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9604E9"/>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9604E9" w:rsidP="009604E9">
            <w:pPr>
              <w:jc w:val="right"/>
            </w:pPr>
            <w:r w:rsidRPr="009604E9">
              <w:rPr>
                <w:sz w:val="40"/>
              </w:rPr>
              <w:t>CAT</w:t>
            </w:r>
            <w:r>
              <w:t>/C/BOL/3</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9604E9" w:rsidP="00A704A8">
            <w:pPr>
              <w:spacing w:before="240"/>
            </w:pPr>
            <w:r>
              <w:t>Distr. générale</w:t>
            </w:r>
          </w:p>
          <w:p w:rsidR="009604E9" w:rsidRDefault="009604E9" w:rsidP="009604E9">
            <w:pPr>
              <w:spacing w:line="240" w:lineRule="exact"/>
            </w:pPr>
            <w:r>
              <w:t>25 mars 2019</w:t>
            </w:r>
          </w:p>
          <w:p w:rsidR="009604E9" w:rsidRDefault="009604E9" w:rsidP="009604E9">
            <w:pPr>
              <w:spacing w:line="240" w:lineRule="exact"/>
            </w:pPr>
            <w:r>
              <w:t>Français</w:t>
            </w:r>
          </w:p>
          <w:p w:rsidR="009604E9" w:rsidRDefault="009604E9" w:rsidP="009604E9">
            <w:pPr>
              <w:spacing w:line="240" w:lineRule="exact"/>
            </w:pPr>
            <w:r>
              <w:t xml:space="preserve">Original : </w:t>
            </w:r>
            <w:r w:rsidR="003D5908">
              <w:t>espagnol</w:t>
            </w:r>
          </w:p>
          <w:p w:rsidR="00A6052D" w:rsidRPr="00DB58B5" w:rsidRDefault="00A6052D" w:rsidP="009604E9">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CC1671" w:rsidRPr="00DF456A" w:rsidRDefault="00CC1671" w:rsidP="00CC1671">
      <w:pPr>
        <w:pStyle w:val="HMG"/>
        <w:rPr>
          <w:noProof/>
          <w:lang w:val="fr-FR"/>
        </w:rPr>
      </w:pPr>
      <w:r w:rsidRPr="00DF456A">
        <w:rPr>
          <w:noProof/>
          <w:color w:val="000000"/>
          <w:lang w:val="fr-FR"/>
        </w:rPr>
        <w:tab/>
      </w:r>
      <w:r w:rsidRPr="00DF456A">
        <w:rPr>
          <w:noProof/>
          <w:color w:val="000000"/>
          <w:lang w:val="fr-FR"/>
        </w:rPr>
        <w:tab/>
      </w:r>
      <w:r w:rsidRPr="00DF456A">
        <w:rPr>
          <w:noProof/>
          <w:lang w:val="fr-FR"/>
        </w:rPr>
        <w:fldChar w:fldCharType="begin"/>
      </w:r>
      <w:r w:rsidRPr="00DF456A">
        <w:rPr>
          <w:noProof/>
          <w:lang w:val="fr-FR"/>
        </w:rPr>
        <w:instrText xml:space="preserve"> DOCPROPERTY  prepwc  \* MERGEFORMAT </w:instrText>
      </w:r>
      <w:r w:rsidRPr="00DF456A">
        <w:rPr>
          <w:noProof/>
          <w:lang w:val="fr-FR"/>
        </w:rPr>
        <w:fldChar w:fldCharType="separate"/>
      </w:r>
      <w:r w:rsidRPr="00DF456A">
        <w:rPr>
          <w:noProof/>
          <w:lang w:val="fr-FR"/>
        </w:rPr>
        <w:t>T</w:t>
      </w:r>
      <w:r>
        <w:rPr>
          <w:noProof/>
          <w:lang w:val="fr-FR"/>
        </w:rPr>
        <w:t>roisième rapport pé</w:t>
      </w:r>
      <w:r w:rsidRPr="00DF456A">
        <w:rPr>
          <w:noProof/>
          <w:lang w:val="fr-FR"/>
        </w:rPr>
        <w:t>ri</w:t>
      </w:r>
      <w:r>
        <w:rPr>
          <w:noProof/>
          <w:lang w:val="fr-FR"/>
        </w:rPr>
        <w:t xml:space="preserve">odique </w:t>
      </w:r>
      <w:r w:rsidRPr="00DF456A">
        <w:rPr>
          <w:noProof/>
          <w:lang w:val="fr-FR"/>
        </w:rPr>
        <w:fldChar w:fldCharType="end"/>
      </w:r>
      <w:r>
        <w:rPr>
          <w:noProof/>
          <w:lang w:val="fr-FR"/>
        </w:rPr>
        <w:t>soumis par l</w:t>
      </w:r>
      <w:r w:rsidR="00FB1114">
        <w:rPr>
          <w:noProof/>
          <w:lang w:val="fr-FR"/>
        </w:rPr>
        <w:t>’</w:t>
      </w:r>
      <w:r>
        <w:rPr>
          <w:noProof/>
          <w:lang w:val="fr-FR"/>
        </w:rPr>
        <w:t>État</w:t>
      </w:r>
      <w:r w:rsidRPr="00DF456A">
        <w:rPr>
          <w:noProof/>
          <w:lang w:val="fr-FR"/>
        </w:rPr>
        <w:t xml:space="preserve"> </w:t>
      </w:r>
      <w:r w:rsidRPr="00DF456A">
        <w:rPr>
          <w:noProof/>
          <w:lang w:val="fr-FR"/>
        </w:rPr>
        <w:fldChar w:fldCharType="begin"/>
      </w:r>
      <w:r w:rsidRPr="00DF456A">
        <w:rPr>
          <w:noProof/>
          <w:lang w:val="fr-FR"/>
        </w:rPr>
        <w:instrText xml:space="preserve"> DOCPROPERTY  countwd  \* MERGEFORMAT </w:instrText>
      </w:r>
      <w:r w:rsidRPr="00DF456A">
        <w:rPr>
          <w:noProof/>
          <w:lang w:val="fr-FR"/>
        </w:rPr>
        <w:fldChar w:fldCharType="separate"/>
      </w:r>
      <w:r>
        <w:rPr>
          <w:noProof/>
          <w:lang w:val="fr-FR"/>
        </w:rPr>
        <w:t>plurinat</w:t>
      </w:r>
      <w:r w:rsidRPr="00DF456A">
        <w:rPr>
          <w:noProof/>
          <w:lang w:val="fr-FR"/>
        </w:rPr>
        <w:t>ional de Bolivi</w:t>
      </w:r>
      <w:r>
        <w:rPr>
          <w:noProof/>
          <w:lang w:val="fr-FR"/>
        </w:rPr>
        <w:t>e</w:t>
      </w:r>
      <w:r w:rsidRPr="00DF456A">
        <w:rPr>
          <w:noProof/>
          <w:lang w:val="fr-FR"/>
        </w:rPr>
        <w:fldChar w:fldCharType="end"/>
      </w:r>
      <w:r w:rsidRPr="00DF456A">
        <w:rPr>
          <w:noProof/>
          <w:lang w:val="fr-FR"/>
        </w:rPr>
        <w:t xml:space="preserve"> </w:t>
      </w:r>
      <w:r>
        <w:rPr>
          <w:noProof/>
          <w:lang w:val="fr-FR"/>
        </w:rPr>
        <w:t xml:space="preserve">en application </w:t>
      </w:r>
      <w:r w:rsidR="007F6F12">
        <w:rPr>
          <w:noProof/>
          <w:lang w:val="fr-FR"/>
        </w:rPr>
        <w:br/>
      </w:r>
      <w:r>
        <w:rPr>
          <w:noProof/>
          <w:lang w:val="fr-FR"/>
        </w:rPr>
        <w:t>de l</w:t>
      </w:r>
      <w:r w:rsidR="00FB1114">
        <w:rPr>
          <w:noProof/>
          <w:lang w:val="fr-FR"/>
        </w:rPr>
        <w:t>’</w:t>
      </w:r>
      <w:r>
        <w:rPr>
          <w:noProof/>
          <w:lang w:val="fr-FR"/>
        </w:rPr>
        <w:t>article 19 de la Convention,</w:t>
      </w:r>
      <w:r w:rsidR="007F6F12">
        <w:rPr>
          <w:noProof/>
          <w:lang w:val="fr-FR"/>
        </w:rPr>
        <w:br/>
      </w:r>
      <w:r>
        <w:rPr>
          <w:noProof/>
          <w:lang w:val="fr-FR"/>
        </w:rPr>
        <w:t>attendu en 2017</w:t>
      </w:r>
      <w:r w:rsidRPr="00DF456A">
        <w:rPr>
          <w:b w:val="0"/>
          <w:noProof/>
          <w:sz w:val="20"/>
          <w:lang w:val="fr-FR"/>
        </w:rPr>
        <w:footnoteReference w:customMarkFollows="1" w:id="2"/>
        <w:t>*</w:t>
      </w:r>
      <w:r w:rsidRPr="00DF456A">
        <w:rPr>
          <w:b w:val="0"/>
          <w:noProof/>
          <w:position w:val="6"/>
          <w:sz w:val="18"/>
          <w:lang w:val="fr-FR"/>
        </w:rPr>
        <w:t>,</w:t>
      </w:r>
      <w:r w:rsidRPr="00DF456A">
        <w:rPr>
          <w:b w:val="0"/>
          <w:noProof/>
          <w:sz w:val="20"/>
          <w:lang w:val="fr-FR"/>
        </w:rPr>
        <w:t xml:space="preserve"> </w:t>
      </w:r>
      <w:r w:rsidRPr="00DF456A">
        <w:rPr>
          <w:b w:val="0"/>
          <w:noProof/>
          <w:sz w:val="20"/>
          <w:lang w:val="fr-FR"/>
        </w:rPr>
        <w:footnoteReference w:customMarkFollows="1" w:id="3"/>
        <w:t>**</w:t>
      </w:r>
      <w:r w:rsidRPr="00DF456A">
        <w:rPr>
          <w:b w:val="0"/>
          <w:noProof/>
          <w:position w:val="6"/>
          <w:sz w:val="18"/>
          <w:lang w:val="fr-FR"/>
        </w:rPr>
        <w:t>,</w:t>
      </w:r>
      <w:r w:rsidRPr="00DF456A">
        <w:rPr>
          <w:b w:val="0"/>
          <w:noProof/>
          <w:sz w:val="20"/>
          <w:lang w:val="fr-FR"/>
        </w:rPr>
        <w:t xml:space="preserve"> </w:t>
      </w:r>
      <w:r w:rsidRPr="00DF456A">
        <w:rPr>
          <w:b w:val="0"/>
          <w:noProof/>
          <w:sz w:val="20"/>
          <w:lang w:val="fr-FR"/>
        </w:rPr>
        <w:footnoteReference w:customMarkFollows="1" w:id="4"/>
        <w:t>***</w:t>
      </w:r>
    </w:p>
    <w:p w:rsidR="00CC1671" w:rsidRDefault="00CC1671" w:rsidP="00CC1671">
      <w:pPr>
        <w:pStyle w:val="SingleTxtG"/>
        <w:jc w:val="right"/>
        <w:rPr>
          <w:noProof/>
          <w:lang w:val="fr-FR"/>
        </w:rPr>
      </w:pPr>
      <w:r w:rsidRPr="00DF456A">
        <w:rPr>
          <w:noProof/>
          <w:lang w:val="fr-FR"/>
        </w:rPr>
        <w:t>[</w:t>
      </w:r>
      <w:r>
        <w:rPr>
          <w:noProof/>
          <w:lang w:val="fr-FR"/>
        </w:rPr>
        <w:t xml:space="preserve">Date de réception </w:t>
      </w:r>
      <w:r w:rsidRPr="00DF456A">
        <w:rPr>
          <w:noProof/>
          <w:lang w:val="fr-FR"/>
        </w:rPr>
        <w:t xml:space="preserve">: 11 </w:t>
      </w:r>
      <w:r>
        <w:rPr>
          <w:noProof/>
          <w:lang w:val="fr-FR"/>
        </w:rPr>
        <w:t xml:space="preserve">février </w:t>
      </w:r>
      <w:r w:rsidRPr="00DF456A">
        <w:rPr>
          <w:noProof/>
          <w:lang w:val="fr-FR"/>
        </w:rPr>
        <w:t>2019]</w:t>
      </w:r>
    </w:p>
    <w:p w:rsidR="00614A7E" w:rsidRPr="00DF456A" w:rsidRDefault="00CC1671" w:rsidP="00614A7E">
      <w:pPr>
        <w:pStyle w:val="HChG"/>
        <w:rPr>
          <w:noProof/>
          <w:lang w:val="fr-FR" w:eastAsia="es-BO"/>
        </w:rPr>
      </w:pPr>
      <w:r>
        <w:rPr>
          <w:noProof/>
          <w:lang w:val="fr-FR"/>
        </w:rPr>
        <w:br w:type="page"/>
      </w:r>
      <w:bookmarkStart w:id="0" w:name="_Hlk21332038"/>
      <w:r w:rsidR="00614A7E" w:rsidRPr="00DF456A">
        <w:rPr>
          <w:noProof/>
          <w:lang w:val="fr-FR" w:eastAsia="es-BO"/>
        </w:rPr>
        <w:lastRenderedPageBreak/>
        <w:tab/>
        <w:t>I.</w:t>
      </w:r>
      <w:r w:rsidR="00614A7E" w:rsidRPr="00DF456A">
        <w:rPr>
          <w:noProof/>
          <w:lang w:val="fr-FR" w:eastAsia="es-BO"/>
        </w:rPr>
        <w:tab/>
      </w:r>
      <w:r w:rsidR="00614A7E" w:rsidRPr="00614A7E">
        <w:t>Introduction</w:t>
      </w:r>
    </w:p>
    <w:p w:rsidR="00614A7E" w:rsidRPr="00DF456A" w:rsidRDefault="00614A7E" w:rsidP="00614A7E">
      <w:pPr>
        <w:pStyle w:val="SingleTxtG"/>
        <w:rPr>
          <w:noProof/>
          <w:lang w:val="fr-FR" w:eastAsia="es-BO"/>
        </w:rPr>
      </w:pPr>
      <w:r w:rsidRPr="00DF456A">
        <w:rPr>
          <w:noProof/>
          <w:lang w:val="fr-FR" w:eastAsia="es-BO"/>
        </w:rPr>
        <w:t>1.</w:t>
      </w:r>
      <w:r w:rsidRPr="00DF456A">
        <w:rPr>
          <w:noProof/>
          <w:lang w:val="fr-FR" w:eastAsia="es-BO"/>
        </w:rPr>
        <w:tab/>
      </w:r>
      <w:r>
        <w:rPr>
          <w:noProof/>
          <w:lang w:val="fr-FR" w:eastAsia="es-BO"/>
        </w:rPr>
        <w:t xml:space="preserve">Conformément au </w:t>
      </w:r>
      <w:r w:rsidRPr="00677F9A">
        <w:rPr>
          <w:noProof/>
          <w:lang w:val="fr-FR"/>
        </w:rPr>
        <w:t>paragraphe</w:t>
      </w:r>
      <w:r>
        <w:rPr>
          <w:noProof/>
          <w:lang w:val="fr-FR"/>
        </w:rPr>
        <w:t> </w:t>
      </w:r>
      <w:r w:rsidRPr="00677F9A">
        <w:rPr>
          <w:noProof/>
          <w:lang w:val="fr-FR"/>
        </w:rPr>
        <w:t>1 de l</w:t>
      </w:r>
      <w:r w:rsidR="00FB1114">
        <w:rPr>
          <w:noProof/>
          <w:lang w:val="fr-FR"/>
        </w:rPr>
        <w:t>’</w:t>
      </w:r>
      <w:r w:rsidRPr="00677F9A">
        <w:rPr>
          <w:noProof/>
          <w:lang w:val="fr-FR"/>
        </w:rPr>
        <w:t>article</w:t>
      </w:r>
      <w:r>
        <w:rPr>
          <w:noProof/>
          <w:lang w:val="fr-FR"/>
        </w:rPr>
        <w:t> </w:t>
      </w:r>
      <w:r w:rsidRPr="00677F9A">
        <w:rPr>
          <w:noProof/>
          <w:lang w:val="fr-FR"/>
        </w:rPr>
        <w:t>19 de la Convention</w:t>
      </w:r>
      <w:r w:rsidRPr="00B5117C">
        <w:rPr>
          <w:lang w:val="fr-FR"/>
        </w:rPr>
        <w:t xml:space="preserve"> c</w:t>
      </w:r>
      <w:r>
        <w:rPr>
          <w:noProof/>
          <w:lang w:val="fr-FR" w:eastAsia="es-BO"/>
        </w:rPr>
        <w:t>ontre la torture et autres peines ou traitements cruels, inhumains ou dégradants (« Convention »), l</w:t>
      </w:r>
      <w:r w:rsidR="00FB1114">
        <w:rPr>
          <w:noProof/>
          <w:lang w:val="fr-FR" w:eastAsia="es-BO"/>
        </w:rPr>
        <w:t>’</w:t>
      </w:r>
      <w:r>
        <w:rPr>
          <w:noProof/>
          <w:lang w:val="fr-FR" w:eastAsia="es-BO"/>
        </w:rPr>
        <w:t>État p</w:t>
      </w:r>
      <w:r w:rsidRPr="00DF456A">
        <w:rPr>
          <w:noProof/>
          <w:lang w:val="fr-FR" w:eastAsia="es-BO"/>
        </w:rPr>
        <w:t>lurina</w:t>
      </w:r>
      <w:r>
        <w:rPr>
          <w:noProof/>
          <w:lang w:val="fr-FR" w:eastAsia="es-BO"/>
        </w:rPr>
        <w:t>tional de Bolivie</w:t>
      </w:r>
      <w:r w:rsidRPr="00DF456A">
        <w:rPr>
          <w:noProof/>
          <w:lang w:val="fr-FR" w:eastAsia="es-BO"/>
        </w:rPr>
        <w:t xml:space="preserve"> (</w:t>
      </w:r>
      <w:r>
        <w:rPr>
          <w:noProof/>
          <w:lang w:val="fr-FR" w:eastAsia="es-BO"/>
        </w:rPr>
        <w:t>« </w:t>
      </w:r>
      <w:r w:rsidRPr="00DF456A">
        <w:rPr>
          <w:noProof/>
          <w:lang w:val="fr-FR" w:eastAsia="es-BO"/>
        </w:rPr>
        <w:t>Bolivi</w:t>
      </w:r>
      <w:r>
        <w:rPr>
          <w:noProof/>
          <w:lang w:val="fr-FR" w:eastAsia="es-BO"/>
        </w:rPr>
        <w:t>e », « État » ou « État bolivien »)</w:t>
      </w:r>
      <w:r w:rsidRPr="00DF456A">
        <w:rPr>
          <w:noProof/>
          <w:lang w:val="fr-FR" w:eastAsia="es-BO"/>
        </w:rPr>
        <w:t xml:space="preserve"> pr</w:t>
      </w:r>
      <w:r>
        <w:rPr>
          <w:noProof/>
          <w:lang w:val="fr-FR" w:eastAsia="es-BO"/>
        </w:rPr>
        <w:t>é</w:t>
      </w:r>
      <w:r w:rsidRPr="00DF456A">
        <w:rPr>
          <w:noProof/>
          <w:lang w:val="fr-FR" w:eastAsia="es-BO"/>
        </w:rPr>
        <w:t>sent</w:t>
      </w:r>
      <w:r>
        <w:rPr>
          <w:noProof/>
          <w:lang w:val="fr-FR" w:eastAsia="es-BO"/>
        </w:rPr>
        <w:t xml:space="preserve">e son troisième rapport périodique, dans lequel il rend compte des mesures prises entre </w:t>
      </w:r>
      <w:r w:rsidRPr="00DF456A">
        <w:rPr>
          <w:noProof/>
          <w:lang w:val="fr-FR" w:eastAsia="es-BO"/>
        </w:rPr>
        <w:t xml:space="preserve">2014 </w:t>
      </w:r>
      <w:r>
        <w:rPr>
          <w:noProof/>
          <w:lang w:val="fr-FR" w:eastAsia="es-BO"/>
        </w:rPr>
        <w:t>et</w:t>
      </w:r>
      <w:r w:rsidRPr="00DF456A">
        <w:rPr>
          <w:noProof/>
          <w:lang w:val="fr-FR" w:eastAsia="es-BO"/>
        </w:rPr>
        <w:t xml:space="preserve"> 2018 en </w:t>
      </w:r>
      <w:r>
        <w:rPr>
          <w:noProof/>
          <w:lang w:val="fr-FR" w:eastAsia="es-BO"/>
        </w:rPr>
        <w:t xml:space="preserve">application des dispositions de la </w:t>
      </w:r>
      <w:r w:rsidRPr="00DF456A">
        <w:rPr>
          <w:noProof/>
          <w:lang w:val="fr-FR" w:eastAsia="es-BO"/>
        </w:rPr>
        <w:t>Conven</w:t>
      </w:r>
      <w:r>
        <w:rPr>
          <w:noProof/>
          <w:lang w:val="fr-FR" w:eastAsia="es-BO"/>
        </w:rPr>
        <w:t xml:space="preserve">tion et des </w:t>
      </w:r>
      <w:r w:rsidRPr="00DF456A">
        <w:rPr>
          <w:noProof/>
          <w:lang w:val="fr-FR" w:eastAsia="es-BO"/>
        </w:rPr>
        <w:t>recom</w:t>
      </w:r>
      <w:r>
        <w:rPr>
          <w:noProof/>
          <w:lang w:val="fr-FR" w:eastAsia="es-BO"/>
        </w:rPr>
        <w:t>ma</w:t>
      </w:r>
      <w:r w:rsidRPr="00DF456A">
        <w:rPr>
          <w:noProof/>
          <w:lang w:val="fr-FR" w:eastAsia="es-BO"/>
        </w:rPr>
        <w:t>nda</w:t>
      </w:r>
      <w:r>
        <w:rPr>
          <w:noProof/>
          <w:lang w:val="fr-FR" w:eastAsia="es-BO"/>
        </w:rPr>
        <w:t>tions formulées par le Comité contre</w:t>
      </w:r>
      <w:r w:rsidRPr="00DF456A">
        <w:rPr>
          <w:noProof/>
          <w:lang w:val="fr-FR" w:eastAsia="es-BO"/>
        </w:rPr>
        <w:t xml:space="preserve"> la </w:t>
      </w:r>
      <w:r>
        <w:rPr>
          <w:noProof/>
          <w:lang w:val="fr-FR" w:eastAsia="es-BO"/>
        </w:rPr>
        <w:t>t</w:t>
      </w:r>
      <w:r w:rsidRPr="00DF456A">
        <w:rPr>
          <w:noProof/>
          <w:lang w:val="fr-FR" w:eastAsia="es-BO"/>
        </w:rPr>
        <w:t>ortur</w:t>
      </w:r>
      <w:r>
        <w:rPr>
          <w:noProof/>
          <w:lang w:val="fr-FR" w:eastAsia="es-BO"/>
        </w:rPr>
        <w:t>e</w:t>
      </w:r>
      <w:r w:rsidRPr="00DF456A">
        <w:rPr>
          <w:noProof/>
          <w:lang w:val="fr-FR" w:eastAsia="es-BO"/>
        </w:rPr>
        <w:t xml:space="preserve"> (</w:t>
      </w:r>
      <w:r>
        <w:rPr>
          <w:noProof/>
          <w:lang w:val="fr-FR" w:eastAsia="es-BO"/>
        </w:rPr>
        <w:t>« </w:t>
      </w:r>
      <w:r w:rsidRPr="00DF456A">
        <w:rPr>
          <w:noProof/>
          <w:lang w:val="fr-FR" w:eastAsia="es-BO"/>
        </w:rPr>
        <w:t>Comité</w:t>
      </w:r>
      <w:r>
        <w:rPr>
          <w:noProof/>
          <w:lang w:val="fr-FR" w:eastAsia="es-BO"/>
        </w:rPr>
        <w:t> »</w:t>
      </w:r>
      <w:r w:rsidRPr="00DF456A">
        <w:rPr>
          <w:noProof/>
          <w:lang w:val="fr-FR" w:eastAsia="es-BO"/>
        </w:rPr>
        <w:t xml:space="preserve">) </w:t>
      </w:r>
      <w:r>
        <w:rPr>
          <w:noProof/>
          <w:lang w:val="fr-FR" w:eastAsia="es-BO"/>
        </w:rPr>
        <w:t xml:space="preserve">sur le deuxième rapport périodique, le </w:t>
      </w:r>
      <w:r w:rsidRPr="00DF456A">
        <w:rPr>
          <w:noProof/>
          <w:lang w:val="fr-FR" w:eastAsia="es-BO"/>
        </w:rPr>
        <w:t>14</w:t>
      </w:r>
      <w:r w:rsidR="002601DF">
        <w:rPr>
          <w:noProof/>
          <w:lang w:val="fr-FR" w:eastAsia="es-BO"/>
        </w:rPr>
        <w:t> </w:t>
      </w:r>
      <w:r>
        <w:rPr>
          <w:noProof/>
          <w:lang w:val="fr-FR" w:eastAsia="es-BO"/>
        </w:rPr>
        <w:t xml:space="preserve">juin </w:t>
      </w:r>
      <w:r w:rsidRPr="00DF456A">
        <w:rPr>
          <w:noProof/>
          <w:lang w:val="fr-FR" w:eastAsia="es-BO"/>
        </w:rPr>
        <w:t>2013.</w:t>
      </w:r>
    </w:p>
    <w:p w:rsidR="00614A7E" w:rsidRPr="00DF456A" w:rsidRDefault="00614A7E" w:rsidP="00614A7E">
      <w:pPr>
        <w:pStyle w:val="SingleTxtG"/>
        <w:rPr>
          <w:noProof/>
          <w:lang w:val="fr-FR" w:eastAsia="es-BO"/>
        </w:rPr>
      </w:pPr>
      <w:r w:rsidRPr="00DF456A">
        <w:rPr>
          <w:noProof/>
          <w:lang w:val="fr-FR" w:eastAsia="es-BO"/>
        </w:rPr>
        <w:t>2.</w:t>
      </w:r>
      <w:r w:rsidRPr="00DF456A">
        <w:rPr>
          <w:noProof/>
          <w:lang w:val="fr-FR" w:eastAsia="es-BO"/>
        </w:rPr>
        <w:tab/>
      </w:r>
      <w:r>
        <w:rPr>
          <w:noProof/>
          <w:lang w:val="fr-FR" w:eastAsia="es-BO"/>
        </w:rPr>
        <w:t xml:space="preserve">Le présent rapport a été établi par le </w:t>
      </w:r>
      <w:r w:rsidRPr="00DF456A">
        <w:rPr>
          <w:noProof/>
          <w:lang w:val="fr-FR" w:eastAsia="es-BO"/>
        </w:rPr>
        <w:t>Minist</w:t>
      </w:r>
      <w:r>
        <w:rPr>
          <w:noProof/>
          <w:lang w:val="fr-FR" w:eastAsia="es-BO"/>
        </w:rPr>
        <w:t>ère de la justice et de la t</w:t>
      </w:r>
      <w:r w:rsidRPr="00DF456A">
        <w:rPr>
          <w:noProof/>
          <w:lang w:val="fr-FR" w:eastAsia="es-BO"/>
        </w:rPr>
        <w:t>ransparenc</w:t>
      </w:r>
      <w:r>
        <w:rPr>
          <w:noProof/>
          <w:lang w:val="fr-FR" w:eastAsia="es-BO"/>
        </w:rPr>
        <w:t>e</w:t>
      </w:r>
      <w:r w:rsidRPr="00DF456A">
        <w:rPr>
          <w:noProof/>
          <w:lang w:val="fr-FR" w:eastAsia="es-BO"/>
        </w:rPr>
        <w:t xml:space="preserve"> </w:t>
      </w:r>
      <w:r>
        <w:rPr>
          <w:noProof/>
          <w:lang w:val="fr-FR" w:eastAsia="es-BO"/>
        </w:rPr>
        <w:t>i</w:t>
      </w:r>
      <w:r w:rsidRPr="00DF456A">
        <w:rPr>
          <w:noProof/>
          <w:lang w:val="fr-FR" w:eastAsia="es-BO"/>
        </w:rPr>
        <w:t>nstitu</w:t>
      </w:r>
      <w:r>
        <w:rPr>
          <w:noProof/>
          <w:lang w:val="fr-FR" w:eastAsia="es-BO"/>
        </w:rPr>
        <w:t xml:space="preserve">tionnelle en collaboration avec </w:t>
      </w:r>
      <w:r w:rsidRPr="00DF456A">
        <w:rPr>
          <w:noProof/>
          <w:lang w:val="fr-FR" w:eastAsia="es-BO"/>
        </w:rPr>
        <w:t>dif</w:t>
      </w:r>
      <w:r>
        <w:rPr>
          <w:noProof/>
          <w:lang w:val="fr-FR" w:eastAsia="es-BO"/>
        </w:rPr>
        <w:t>fé</w:t>
      </w:r>
      <w:r w:rsidRPr="00DF456A">
        <w:rPr>
          <w:noProof/>
          <w:lang w:val="fr-FR" w:eastAsia="es-BO"/>
        </w:rPr>
        <w:t>rentes institu</w:t>
      </w:r>
      <w:r>
        <w:rPr>
          <w:noProof/>
          <w:lang w:val="fr-FR" w:eastAsia="es-BO"/>
        </w:rPr>
        <w:t xml:space="preserve">tions </w:t>
      </w:r>
      <w:r w:rsidRPr="00DF456A">
        <w:rPr>
          <w:noProof/>
          <w:lang w:val="fr-FR" w:eastAsia="es-BO"/>
        </w:rPr>
        <w:t>p</w:t>
      </w:r>
      <w:r>
        <w:rPr>
          <w:noProof/>
          <w:lang w:val="fr-FR" w:eastAsia="es-BO"/>
        </w:rPr>
        <w:t>ubliques</w:t>
      </w:r>
      <w:r w:rsidRPr="00DF456A">
        <w:rPr>
          <w:noProof/>
          <w:lang w:val="fr-FR" w:eastAsia="es-BO"/>
        </w:rPr>
        <w:t xml:space="preserve">, </w:t>
      </w:r>
      <w:r>
        <w:rPr>
          <w:noProof/>
          <w:lang w:val="fr-FR" w:eastAsia="es-BO"/>
        </w:rPr>
        <w:t>et a fait l</w:t>
      </w:r>
      <w:r w:rsidR="00FB1114">
        <w:rPr>
          <w:noProof/>
          <w:lang w:val="fr-FR" w:eastAsia="es-BO"/>
        </w:rPr>
        <w:t>’</w:t>
      </w:r>
      <w:r>
        <w:rPr>
          <w:noProof/>
          <w:lang w:val="fr-FR" w:eastAsia="es-BO"/>
        </w:rPr>
        <w:t>objet d</w:t>
      </w:r>
      <w:r w:rsidR="00FB1114">
        <w:rPr>
          <w:noProof/>
          <w:lang w:val="fr-FR" w:eastAsia="es-BO"/>
        </w:rPr>
        <w:t>’</w:t>
      </w:r>
      <w:r>
        <w:rPr>
          <w:noProof/>
          <w:lang w:val="fr-FR" w:eastAsia="es-BO"/>
        </w:rPr>
        <w:t>un processus d</w:t>
      </w:r>
      <w:r w:rsidR="00FB1114">
        <w:rPr>
          <w:noProof/>
          <w:lang w:val="fr-FR" w:eastAsia="es-BO"/>
        </w:rPr>
        <w:t>’</w:t>
      </w:r>
      <w:r>
        <w:rPr>
          <w:noProof/>
          <w:lang w:val="fr-FR" w:eastAsia="es-BO"/>
        </w:rPr>
        <w:t xml:space="preserve">examen confié à </w:t>
      </w:r>
      <w:r w:rsidRPr="00022F7E">
        <w:rPr>
          <w:noProof/>
          <w:lang w:val="fr-FR" w:eastAsia="es-BO"/>
        </w:rPr>
        <w:t>l</w:t>
      </w:r>
      <w:r w:rsidR="00FB1114" w:rsidRPr="00022F7E">
        <w:rPr>
          <w:noProof/>
          <w:lang w:val="fr-FR" w:eastAsia="es-BO"/>
        </w:rPr>
        <w:t>’</w:t>
      </w:r>
      <w:r w:rsidRPr="00022F7E">
        <w:rPr>
          <w:noProof/>
          <w:lang w:val="fr-FR" w:eastAsia="es-BO"/>
        </w:rPr>
        <w:t>Instance de coordination interinstitutionnelle pour l</w:t>
      </w:r>
      <w:r w:rsidR="00FB1114" w:rsidRPr="00022F7E">
        <w:rPr>
          <w:noProof/>
          <w:lang w:val="fr-FR" w:eastAsia="es-BO"/>
        </w:rPr>
        <w:t>’</w:t>
      </w:r>
      <w:r w:rsidRPr="00022F7E">
        <w:rPr>
          <w:noProof/>
          <w:lang w:val="fr-FR" w:eastAsia="es-BO"/>
        </w:rPr>
        <w:t>élaboration, la présentation et la défense des rapports de l</w:t>
      </w:r>
      <w:r w:rsidR="00FB1114" w:rsidRPr="00022F7E">
        <w:rPr>
          <w:noProof/>
          <w:lang w:val="fr-FR" w:eastAsia="es-BO"/>
        </w:rPr>
        <w:t>’</w:t>
      </w:r>
      <w:r w:rsidRPr="00022F7E">
        <w:rPr>
          <w:noProof/>
          <w:lang w:val="fr-FR" w:eastAsia="es-BO"/>
        </w:rPr>
        <w:t xml:space="preserve">État plurinational de Bolivie composée de représentants du Ministère de la justice et de la transparence institutionnelle, du Ministère des relations extérieures et du service </w:t>
      </w:r>
      <w:r w:rsidRPr="00022F7E">
        <w:rPr>
          <w:noProof/>
          <w:lang w:val="fr-FR"/>
        </w:rPr>
        <w:t>du Procureur génér</w:t>
      </w:r>
      <w:r w:rsidRPr="00CE305E">
        <w:rPr>
          <w:noProof/>
          <w:lang w:val="fr-FR"/>
        </w:rPr>
        <w:t>al de l</w:t>
      </w:r>
      <w:r w:rsidR="00FB1114">
        <w:rPr>
          <w:noProof/>
          <w:lang w:val="fr-FR"/>
        </w:rPr>
        <w:t>’</w:t>
      </w:r>
      <w:r w:rsidRPr="00CE305E">
        <w:rPr>
          <w:noProof/>
          <w:lang w:val="fr-FR"/>
        </w:rPr>
        <w:t>État</w:t>
      </w:r>
      <w:r w:rsidRPr="00DF456A">
        <w:rPr>
          <w:noProof/>
          <w:sz w:val="18"/>
          <w:szCs w:val="18"/>
          <w:vertAlign w:val="superscript"/>
          <w:lang w:val="fr-FR" w:eastAsia="es-BO"/>
        </w:rPr>
        <w:footnoteReference w:id="5"/>
      </w:r>
      <w:r w:rsidRPr="00DF456A">
        <w:rPr>
          <w:noProof/>
          <w:lang w:val="fr-FR" w:eastAsia="es-BO"/>
        </w:rPr>
        <w:t>, com</w:t>
      </w:r>
      <w:r>
        <w:rPr>
          <w:noProof/>
          <w:lang w:val="fr-FR" w:eastAsia="es-BO"/>
        </w:rPr>
        <w:t>me suite aux engagements pris à l</w:t>
      </w:r>
      <w:r w:rsidR="00FB1114">
        <w:rPr>
          <w:noProof/>
          <w:lang w:val="fr-FR" w:eastAsia="es-BO"/>
        </w:rPr>
        <w:t>’</w:t>
      </w:r>
      <w:r>
        <w:rPr>
          <w:noProof/>
          <w:lang w:val="fr-FR" w:eastAsia="es-BO"/>
        </w:rPr>
        <w:t xml:space="preserve">occasion de la défense du deuxième Examen périodique universel </w:t>
      </w:r>
      <w:r w:rsidRPr="00DF456A">
        <w:rPr>
          <w:rFonts w:eastAsia="Calibri"/>
          <w:noProof/>
          <w:lang w:val="fr-FR" w:eastAsia="es-BO"/>
        </w:rPr>
        <w:t>en oct</w:t>
      </w:r>
      <w:r>
        <w:rPr>
          <w:rFonts w:eastAsia="Calibri"/>
          <w:noProof/>
          <w:lang w:val="fr-FR" w:eastAsia="es-BO"/>
        </w:rPr>
        <w:t>o</w:t>
      </w:r>
      <w:r w:rsidRPr="00DF456A">
        <w:rPr>
          <w:rFonts w:eastAsia="Calibri"/>
          <w:noProof/>
          <w:lang w:val="fr-FR" w:eastAsia="es-BO"/>
        </w:rPr>
        <w:t>bre 2014</w:t>
      </w:r>
      <w:r w:rsidRPr="00DF456A">
        <w:rPr>
          <w:noProof/>
          <w:lang w:val="fr-FR" w:eastAsia="es-BO"/>
        </w:rPr>
        <w:t>.</w:t>
      </w:r>
    </w:p>
    <w:p w:rsidR="00614A7E" w:rsidRPr="00DF456A" w:rsidRDefault="00614A7E" w:rsidP="002601DF">
      <w:pPr>
        <w:pStyle w:val="HChG"/>
        <w:rPr>
          <w:noProof/>
          <w:lang w:val="fr-FR" w:eastAsia="es-BO"/>
        </w:rPr>
      </w:pPr>
      <w:r w:rsidRPr="00DF456A">
        <w:rPr>
          <w:noProof/>
          <w:lang w:val="fr-FR" w:eastAsia="es-BO"/>
        </w:rPr>
        <w:tab/>
        <w:t>II.</w:t>
      </w:r>
      <w:r w:rsidRPr="00DF456A">
        <w:rPr>
          <w:noProof/>
          <w:lang w:val="fr-FR" w:eastAsia="es-BO"/>
        </w:rPr>
        <w:tab/>
      </w:r>
      <w:r>
        <w:rPr>
          <w:noProof/>
          <w:lang w:val="fr-FR" w:eastAsia="es-BO"/>
        </w:rPr>
        <w:t>Considérations générales</w:t>
      </w:r>
    </w:p>
    <w:p w:rsidR="00614A7E" w:rsidRPr="00DF456A" w:rsidRDefault="00614A7E" w:rsidP="002601DF">
      <w:pPr>
        <w:pStyle w:val="SingleTxtG"/>
        <w:rPr>
          <w:noProof/>
          <w:lang w:val="fr-FR" w:eastAsia="es-BO"/>
        </w:rPr>
      </w:pPr>
      <w:r w:rsidRPr="00DF456A">
        <w:rPr>
          <w:noProof/>
          <w:lang w:val="fr-FR" w:eastAsia="es-BO"/>
        </w:rPr>
        <w:t>3.</w:t>
      </w:r>
      <w:r w:rsidRPr="00DF456A">
        <w:rPr>
          <w:noProof/>
          <w:lang w:val="fr-FR" w:eastAsia="es-BO"/>
        </w:rPr>
        <w:tab/>
      </w:r>
      <w:r w:rsidRPr="00CE305E">
        <w:rPr>
          <w:noProof/>
          <w:lang w:val="fr-FR"/>
        </w:rPr>
        <w:t>D</w:t>
      </w:r>
      <w:r w:rsidR="00FB1114">
        <w:rPr>
          <w:noProof/>
          <w:lang w:val="fr-FR"/>
        </w:rPr>
        <w:t>’</w:t>
      </w:r>
      <w:r w:rsidRPr="00CE305E">
        <w:rPr>
          <w:noProof/>
          <w:lang w:val="fr-FR"/>
        </w:rPr>
        <w:t>après le recensement de la population et du logement réalis</w:t>
      </w:r>
      <w:r>
        <w:rPr>
          <w:noProof/>
          <w:lang w:val="fr-FR"/>
        </w:rPr>
        <w:t xml:space="preserve">é en </w:t>
      </w:r>
      <w:r w:rsidRPr="00CE305E">
        <w:rPr>
          <w:noProof/>
          <w:lang w:val="fr-FR"/>
        </w:rPr>
        <w:t>20</w:t>
      </w:r>
      <w:r>
        <w:rPr>
          <w:noProof/>
          <w:lang w:val="fr-FR"/>
        </w:rPr>
        <w:t>1</w:t>
      </w:r>
      <w:r w:rsidRPr="00CE305E">
        <w:rPr>
          <w:noProof/>
          <w:lang w:val="fr-FR"/>
        </w:rPr>
        <w:t xml:space="preserve">1, la population était alors de </w:t>
      </w:r>
      <w:r w:rsidRPr="00DF456A">
        <w:rPr>
          <w:noProof/>
          <w:lang w:val="fr-FR" w:eastAsia="es-BO"/>
        </w:rPr>
        <w:t>10</w:t>
      </w:r>
      <w:r>
        <w:rPr>
          <w:noProof/>
          <w:lang w:val="fr-FR" w:eastAsia="es-BO"/>
        </w:rPr>
        <w:t> </w:t>
      </w:r>
      <w:r w:rsidRPr="00DF456A">
        <w:rPr>
          <w:noProof/>
          <w:lang w:val="fr-FR" w:eastAsia="es-BO"/>
        </w:rPr>
        <w:t>027</w:t>
      </w:r>
      <w:r w:rsidR="002601DF">
        <w:rPr>
          <w:noProof/>
          <w:lang w:val="fr-FR" w:eastAsia="es-BO"/>
        </w:rPr>
        <w:t> </w:t>
      </w:r>
      <w:r w:rsidRPr="00DF456A">
        <w:rPr>
          <w:noProof/>
          <w:lang w:val="fr-FR" w:eastAsia="es-BO"/>
        </w:rPr>
        <w:t>254</w:t>
      </w:r>
      <w:r w:rsidR="002601DF">
        <w:rPr>
          <w:noProof/>
          <w:lang w:val="fr-FR" w:eastAsia="es-BO"/>
        </w:rPr>
        <w:t> </w:t>
      </w:r>
      <w:r w:rsidRPr="00CE305E">
        <w:rPr>
          <w:noProof/>
          <w:lang w:val="fr-FR"/>
        </w:rPr>
        <w:t>habitants</w:t>
      </w:r>
      <w:r w:rsidR="0085359F">
        <w:rPr>
          <w:noProof/>
          <w:lang w:val="fr-FR"/>
        </w:rPr>
        <w:t> </w:t>
      </w:r>
      <w:r w:rsidRPr="00CE305E">
        <w:rPr>
          <w:noProof/>
          <w:lang w:val="fr-FR"/>
        </w:rPr>
        <w:t>; d</w:t>
      </w:r>
      <w:r w:rsidR="00FB1114">
        <w:rPr>
          <w:noProof/>
          <w:lang w:val="fr-FR"/>
        </w:rPr>
        <w:t>’</w:t>
      </w:r>
      <w:r w:rsidRPr="00CE305E">
        <w:rPr>
          <w:noProof/>
          <w:lang w:val="fr-FR"/>
        </w:rPr>
        <w:t>après les projections de l</w:t>
      </w:r>
      <w:r w:rsidR="00FB1114">
        <w:rPr>
          <w:noProof/>
          <w:lang w:val="fr-FR"/>
        </w:rPr>
        <w:t>’</w:t>
      </w:r>
      <w:r w:rsidRPr="00CE305E">
        <w:rPr>
          <w:noProof/>
          <w:lang w:val="fr-FR"/>
        </w:rPr>
        <w:t xml:space="preserve">Institut national de statistique, ce chiffre </w:t>
      </w:r>
      <w:r>
        <w:rPr>
          <w:noProof/>
          <w:lang w:val="fr-FR"/>
        </w:rPr>
        <w:t xml:space="preserve">est </w:t>
      </w:r>
      <w:r w:rsidRPr="00CE305E">
        <w:rPr>
          <w:noProof/>
          <w:lang w:val="fr-FR"/>
        </w:rPr>
        <w:t>passé en 201</w:t>
      </w:r>
      <w:r>
        <w:rPr>
          <w:noProof/>
          <w:lang w:val="fr-FR"/>
        </w:rPr>
        <w:t xml:space="preserve">8 </w:t>
      </w:r>
      <w:r w:rsidRPr="00CE305E">
        <w:rPr>
          <w:noProof/>
          <w:lang w:val="fr-FR"/>
        </w:rPr>
        <w:t xml:space="preserve">à </w:t>
      </w:r>
      <w:r w:rsidRPr="00DF456A">
        <w:rPr>
          <w:noProof/>
          <w:lang w:val="fr-FR" w:eastAsia="es-BO"/>
        </w:rPr>
        <w:t>11</w:t>
      </w:r>
      <w:r>
        <w:rPr>
          <w:noProof/>
          <w:lang w:val="fr-FR" w:eastAsia="es-BO"/>
        </w:rPr>
        <w:t> </w:t>
      </w:r>
      <w:r w:rsidRPr="00DF456A">
        <w:rPr>
          <w:noProof/>
          <w:lang w:val="fr-FR" w:eastAsia="es-BO"/>
        </w:rPr>
        <w:t>307</w:t>
      </w:r>
      <w:r>
        <w:rPr>
          <w:noProof/>
          <w:lang w:val="fr-FR" w:eastAsia="es-BO"/>
        </w:rPr>
        <w:t> </w:t>
      </w:r>
      <w:r w:rsidRPr="00DF456A">
        <w:rPr>
          <w:noProof/>
          <w:lang w:val="fr-FR" w:eastAsia="es-BO"/>
        </w:rPr>
        <w:t>000</w:t>
      </w:r>
      <w:r>
        <w:rPr>
          <w:noProof/>
          <w:lang w:val="fr-FR" w:eastAsia="es-BO"/>
        </w:rPr>
        <w:t>, dont 50,4</w:t>
      </w:r>
      <w:r w:rsidR="002601DF">
        <w:rPr>
          <w:noProof/>
          <w:lang w:val="fr-FR" w:eastAsia="es-BO"/>
        </w:rPr>
        <w:t> </w:t>
      </w:r>
      <w:r>
        <w:rPr>
          <w:noProof/>
          <w:lang w:val="fr-FR" w:eastAsia="es-BO"/>
        </w:rPr>
        <w:t>% d</w:t>
      </w:r>
      <w:r w:rsidR="00FB1114">
        <w:rPr>
          <w:noProof/>
          <w:lang w:val="fr-FR" w:eastAsia="es-BO"/>
        </w:rPr>
        <w:t>’</w:t>
      </w:r>
      <w:r>
        <w:rPr>
          <w:noProof/>
          <w:lang w:val="fr-FR" w:eastAsia="es-BO"/>
        </w:rPr>
        <w:t>hommes et 49,6</w:t>
      </w:r>
      <w:r w:rsidR="002601DF">
        <w:rPr>
          <w:noProof/>
          <w:lang w:val="fr-FR" w:eastAsia="es-BO"/>
        </w:rPr>
        <w:t> </w:t>
      </w:r>
      <w:r>
        <w:rPr>
          <w:noProof/>
          <w:lang w:val="fr-FR" w:eastAsia="es-BO"/>
        </w:rPr>
        <w:t>% de femmes</w:t>
      </w:r>
      <w:r w:rsidRPr="00CE305E">
        <w:rPr>
          <w:noProof/>
          <w:lang w:val="fr-FR"/>
        </w:rPr>
        <w:t>. La majeure partie de la population, soit 6</w:t>
      </w:r>
      <w:r>
        <w:rPr>
          <w:noProof/>
          <w:lang w:val="fr-FR"/>
        </w:rPr>
        <w:t>9</w:t>
      </w:r>
      <w:r w:rsidRPr="00CE305E">
        <w:rPr>
          <w:noProof/>
          <w:lang w:val="fr-FR"/>
        </w:rPr>
        <w:t>,4</w:t>
      </w:r>
      <w:r w:rsidR="002601DF">
        <w:rPr>
          <w:noProof/>
          <w:lang w:val="fr-FR"/>
        </w:rPr>
        <w:t> </w:t>
      </w:r>
      <w:r w:rsidRPr="00CE305E">
        <w:rPr>
          <w:noProof/>
          <w:lang w:val="fr-FR"/>
        </w:rPr>
        <w:t>%, vit en zone urbaine, et la population viv</w:t>
      </w:r>
      <w:r>
        <w:rPr>
          <w:noProof/>
          <w:lang w:val="fr-FR"/>
        </w:rPr>
        <w:t>ant en zone rurale représente 30</w:t>
      </w:r>
      <w:r w:rsidRPr="00CE305E">
        <w:rPr>
          <w:noProof/>
          <w:lang w:val="fr-FR"/>
        </w:rPr>
        <w:t>,</w:t>
      </w:r>
      <w:r>
        <w:rPr>
          <w:noProof/>
          <w:lang w:val="fr-FR"/>
        </w:rPr>
        <w:t>6</w:t>
      </w:r>
      <w:r w:rsidR="002601DF">
        <w:rPr>
          <w:noProof/>
          <w:lang w:val="fr-FR"/>
        </w:rPr>
        <w:t> </w:t>
      </w:r>
      <w:r w:rsidRPr="00CE305E">
        <w:rPr>
          <w:noProof/>
          <w:lang w:val="fr-FR"/>
        </w:rPr>
        <w:t>%</w:t>
      </w:r>
      <w:r w:rsidRPr="00DF456A">
        <w:rPr>
          <w:noProof/>
          <w:lang w:val="fr-FR" w:eastAsia="es-BO"/>
        </w:rPr>
        <w:t>.</w:t>
      </w:r>
    </w:p>
    <w:p w:rsidR="00614A7E" w:rsidRPr="00DF456A" w:rsidRDefault="00614A7E" w:rsidP="00614A7E">
      <w:pPr>
        <w:pStyle w:val="SingleTxtG"/>
        <w:rPr>
          <w:noProof/>
          <w:lang w:val="fr-FR" w:eastAsia="es-BO"/>
        </w:rPr>
      </w:pPr>
      <w:r w:rsidRPr="00DF456A">
        <w:rPr>
          <w:noProof/>
          <w:lang w:val="fr-FR" w:eastAsia="es-BO"/>
        </w:rPr>
        <w:t>4.</w:t>
      </w:r>
      <w:r w:rsidRPr="00DF456A">
        <w:rPr>
          <w:noProof/>
          <w:lang w:val="fr-FR" w:eastAsia="es-BO"/>
        </w:rPr>
        <w:tab/>
      </w:r>
      <w:r w:rsidRPr="00CE305E">
        <w:rPr>
          <w:noProof/>
          <w:lang w:val="fr-FR"/>
        </w:rPr>
        <w:t>Selon les données de la Direction générale du système pénitentiaire</w:t>
      </w:r>
      <w:r w:rsidRPr="00CE305E">
        <w:rPr>
          <w:noProof/>
          <w:lang w:val="fr-FR" w:eastAsia="es-BO"/>
        </w:rPr>
        <w:t>,</w:t>
      </w:r>
      <w:r w:rsidRPr="00CE305E">
        <w:rPr>
          <w:noProof/>
          <w:lang w:val="fr-FR"/>
        </w:rPr>
        <w:t xml:space="preserve"> en novembre </w:t>
      </w:r>
      <w:r>
        <w:rPr>
          <w:noProof/>
          <w:lang w:val="fr-FR"/>
        </w:rPr>
        <w:t>2017</w:t>
      </w:r>
      <w:r w:rsidRPr="00CE305E">
        <w:rPr>
          <w:noProof/>
          <w:lang w:val="fr-FR"/>
        </w:rPr>
        <w:t xml:space="preserve">, le pays comptait quelque </w:t>
      </w:r>
      <w:r w:rsidRPr="00CE305E">
        <w:rPr>
          <w:noProof/>
          <w:lang w:val="fr-FR" w:eastAsia="es-BO"/>
        </w:rPr>
        <w:t>17</w:t>
      </w:r>
      <w:r w:rsidR="00C6417A">
        <w:rPr>
          <w:noProof/>
          <w:lang w:val="fr-FR" w:eastAsia="es-BO"/>
        </w:rPr>
        <w:t> </w:t>
      </w:r>
      <w:r w:rsidRPr="00CE305E">
        <w:rPr>
          <w:noProof/>
          <w:lang w:val="fr-FR" w:eastAsia="es-BO"/>
        </w:rPr>
        <w:t>836</w:t>
      </w:r>
      <w:r w:rsidR="00C6417A">
        <w:rPr>
          <w:noProof/>
          <w:lang w:val="fr-FR" w:eastAsia="es-BO"/>
        </w:rPr>
        <w:t> </w:t>
      </w:r>
      <w:r w:rsidRPr="00CE305E">
        <w:rPr>
          <w:noProof/>
          <w:lang w:val="fr-FR" w:eastAsia="es-BO"/>
        </w:rPr>
        <w:t>personnes privées de liberté</w:t>
      </w:r>
      <w:r w:rsidRPr="00CE305E">
        <w:rPr>
          <w:noProof/>
          <w:lang w:val="fr-FR"/>
        </w:rPr>
        <w:t>, réparties dans 19</w:t>
      </w:r>
      <w:r w:rsidR="00C6417A">
        <w:rPr>
          <w:noProof/>
          <w:lang w:val="fr-FR"/>
        </w:rPr>
        <w:t> </w:t>
      </w:r>
      <w:r w:rsidRPr="00CE305E">
        <w:rPr>
          <w:noProof/>
          <w:lang w:val="fr-FR"/>
        </w:rPr>
        <w:t>prisons et</w:t>
      </w:r>
      <w:r w:rsidRPr="00CE305E">
        <w:rPr>
          <w:noProof/>
          <w:lang w:val="fr-FR" w:eastAsia="es-BO"/>
        </w:rPr>
        <w:t xml:space="preserve"> 43 </w:t>
      </w:r>
      <w:r w:rsidRPr="00CE305E">
        <w:rPr>
          <w:i/>
          <w:noProof/>
          <w:lang w:val="fr-FR"/>
        </w:rPr>
        <w:t>carceletas</w:t>
      </w:r>
      <w:r w:rsidRPr="00CE305E">
        <w:rPr>
          <w:noProof/>
          <w:lang w:val="fr-FR"/>
        </w:rPr>
        <w:t xml:space="preserve"> (petites prisons)</w:t>
      </w:r>
      <w:r w:rsidRPr="00DF456A">
        <w:rPr>
          <w:noProof/>
          <w:lang w:val="fr-FR" w:eastAsia="es-BO"/>
        </w:rPr>
        <w:t xml:space="preserve"> </w:t>
      </w:r>
      <w:r>
        <w:rPr>
          <w:noProof/>
          <w:lang w:val="fr-FR" w:eastAsia="es-BO"/>
        </w:rPr>
        <w:t>à travers le pays</w:t>
      </w:r>
      <w:r w:rsidR="0085359F">
        <w:rPr>
          <w:noProof/>
          <w:lang w:val="fr-FR" w:eastAsia="es-BO"/>
        </w:rPr>
        <w:t> </w:t>
      </w:r>
      <w:r w:rsidRPr="00DF456A">
        <w:rPr>
          <w:noProof/>
          <w:lang w:val="fr-FR" w:eastAsia="es-BO"/>
        </w:rPr>
        <w:t xml:space="preserve">; </w:t>
      </w:r>
      <w:r>
        <w:rPr>
          <w:noProof/>
          <w:lang w:val="fr-FR" w:eastAsia="es-BO"/>
        </w:rPr>
        <w:t xml:space="preserve">un jugement avait été prononcé au sujet de </w:t>
      </w:r>
      <w:r w:rsidRPr="00DF456A">
        <w:rPr>
          <w:noProof/>
          <w:lang w:val="fr-FR" w:eastAsia="es-BO"/>
        </w:rPr>
        <w:t>5</w:t>
      </w:r>
      <w:r w:rsidR="00C6417A">
        <w:rPr>
          <w:noProof/>
          <w:lang w:val="fr-FR" w:eastAsia="es-BO"/>
        </w:rPr>
        <w:t> </w:t>
      </w:r>
      <w:r w:rsidRPr="00DF456A">
        <w:rPr>
          <w:noProof/>
          <w:lang w:val="fr-FR" w:eastAsia="es-BO"/>
        </w:rPr>
        <w:t xml:space="preserve">420 de </w:t>
      </w:r>
      <w:r>
        <w:rPr>
          <w:noProof/>
          <w:lang w:val="fr-FR" w:eastAsia="es-BO"/>
        </w:rPr>
        <w:t xml:space="preserve">ces personnes </w:t>
      </w:r>
      <w:r w:rsidRPr="00DF456A">
        <w:rPr>
          <w:noProof/>
          <w:lang w:val="fr-FR" w:eastAsia="es-BO"/>
        </w:rPr>
        <w:t>(30,39</w:t>
      </w:r>
      <w:r w:rsidR="00C6417A">
        <w:rPr>
          <w:noProof/>
          <w:lang w:val="fr-FR" w:eastAsia="es-BO"/>
        </w:rPr>
        <w:t> </w:t>
      </w:r>
      <w:r>
        <w:rPr>
          <w:noProof/>
          <w:lang w:val="fr-FR" w:eastAsia="es-BO"/>
        </w:rPr>
        <w:t xml:space="preserve">%) et les </w:t>
      </w:r>
      <w:r w:rsidRPr="00DF456A">
        <w:rPr>
          <w:noProof/>
          <w:lang w:val="fr-FR" w:eastAsia="es-BO"/>
        </w:rPr>
        <w:t>12</w:t>
      </w:r>
      <w:r w:rsidR="002720B0">
        <w:rPr>
          <w:noProof/>
          <w:lang w:val="fr-FR" w:eastAsia="es-BO"/>
        </w:rPr>
        <w:t> </w:t>
      </w:r>
      <w:r w:rsidRPr="00DF456A">
        <w:rPr>
          <w:noProof/>
          <w:lang w:val="fr-FR" w:eastAsia="es-BO"/>
        </w:rPr>
        <w:t xml:space="preserve">416 </w:t>
      </w:r>
      <w:r>
        <w:rPr>
          <w:noProof/>
          <w:lang w:val="fr-FR" w:eastAsia="es-BO"/>
        </w:rPr>
        <w:t xml:space="preserve">autres </w:t>
      </w:r>
      <w:r w:rsidRPr="00DF456A">
        <w:rPr>
          <w:noProof/>
          <w:lang w:val="fr-FR" w:eastAsia="es-BO"/>
        </w:rPr>
        <w:t>(69,61</w:t>
      </w:r>
      <w:r w:rsidR="002720B0">
        <w:rPr>
          <w:noProof/>
          <w:lang w:val="fr-FR" w:eastAsia="es-BO"/>
        </w:rPr>
        <w:t> </w:t>
      </w:r>
      <w:r w:rsidRPr="00DF456A">
        <w:rPr>
          <w:noProof/>
          <w:lang w:val="fr-FR" w:eastAsia="es-BO"/>
        </w:rPr>
        <w:t xml:space="preserve">%) </w:t>
      </w:r>
      <w:r>
        <w:rPr>
          <w:noProof/>
          <w:lang w:val="fr-FR" w:eastAsia="es-BO"/>
        </w:rPr>
        <w:t>faisaient l</w:t>
      </w:r>
      <w:r w:rsidR="00FB1114">
        <w:rPr>
          <w:noProof/>
          <w:lang w:val="fr-FR" w:eastAsia="es-BO"/>
        </w:rPr>
        <w:t>’</w:t>
      </w:r>
      <w:r>
        <w:rPr>
          <w:noProof/>
          <w:lang w:val="fr-FR" w:eastAsia="es-BO"/>
        </w:rPr>
        <w:t>objet d</w:t>
      </w:r>
      <w:r w:rsidR="00FB1114">
        <w:rPr>
          <w:noProof/>
          <w:lang w:val="fr-FR" w:eastAsia="es-BO"/>
        </w:rPr>
        <w:t>’</w:t>
      </w:r>
      <w:r>
        <w:rPr>
          <w:noProof/>
          <w:lang w:val="fr-FR" w:eastAsia="es-BO"/>
        </w:rPr>
        <w:t>une mesure de détention provisoire</w:t>
      </w:r>
      <w:r w:rsidRPr="00DF456A">
        <w:rPr>
          <w:noProof/>
          <w:lang w:val="fr-FR" w:eastAsia="es-BO"/>
        </w:rPr>
        <w:t>.</w:t>
      </w:r>
    </w:p>
    <w:p w:rsidR="00614A7E" w:rsidRPr="00DF456A" w:rsidRDefault="00614A7E" w:rsidP="00614A7E">
      <w:pPr>
        <w:pStyle w:val="SingleTxtG"/>
        <w:rPr>
          <w:noProof/>
          <w:lang w:val="fr-FR" w:eastAsia="es-BO"/>
        </w:rPr>
      </w:pPr>
      <w:r w:rsidRPr="00DF456A">
        <w:rPr>
          <w:noProof/>
          <w:lang w:val="fr-FR" w:eastAsia="es-BO"/>
        </w:rPr>
        <w:t>5.</w:t>
      </w:r>
      <w:r w:rsidRPr="00DF456A">
        <w:rPr>
          <w:noProof/>
          <w:lang w:val="fr-FR" w:eastAsia="es-BO"/>
        </w:rPr>
        <w:tab/>
      </w:r>
      <w:r>
        <w:rPr>
          <w:noProof/>
          <w:lang w:val="fr-FR" w:eastAsia="es-BO"/>
        </w:rPr>
        <w:t xml:space="preserve">De </w:t>
      </w:r>
      <w:r w:rsidRPr="00CE305E">
        <w:rPr>
          <w:noProof/>
          <w:lang w:val="fr-FR" w:eastAsia="es-BO"/>
        </w:rPr>
        <w:t xml:space="preserve">même, </w:t>
      </w:r>
      <w:r w:rsidRPr="00CE305E">
        <w:rPr>
          <w:noProof/>
          <w:lang w:val="fr-FR"/>
        </w:rPr>
        <w:t xml:space="preserve">la population carcérale est composée pour </w:t>
      </w:r>
      <w:r w:rsidRPr="00CE305E">
        <w:rPr>
          <w:noProof/>
          <w:lang w:val="fr-FR" w:eastAsia="es-BO"/>
        </w:rPr>
        <w:t>92,16</w:t>
      </w:r>
      <w:r w:rsidR="002720B0">
        <w:rPr>
          <w:noProof/>
          <w:lang w:val="fr-FR" w:eastAsia="es-BO"/>
        </w:rPr>
        <w:t> </w:t>
      </w:r>
      <w:r w:rsidRPr="00CE305E">
        <w:rPr>
          <w:noProof/>
          <w:lang w:val="fr-FR" w:eastAsia="es-BO"/>
        </w:rPr>
        <w:t>%</w:t>
      </w:r>
      <w:r w:rsidRPr="00CE305E">
        <w:rPr>
          <w:noProof/>
          <w:lang w:val="fr-FR"/>
        </w:rPr>
        <w:t xml:space="preserve"> d</w:t>
      </w:r>
      <w:r w:rsidR="00FB1114">
        <w:rPr>
          <w:noProof/>
          <w:lang w:val="fr-FR"/>
        </w:rPr>
        <w:t>’</w:t>
      </w:r>
      <w:r w:rsidRPr="00CE305E">
        <w:rPr>
          <w:noProof/>
          <w:lang w:val="fr-FR"/>
        </w:rPr>
        <w:t>hommes (</w:t>
      </w:r>
      <w:r w:rsidRPr="00CE305E">
        <w:rPr>
          <w:noProof/>
          <w:lang w:val="fr-FR" w:eastAsia="es-BO"/>
        </w:rPr>
        <w:t>16</w:t>
      </w:r>
      <w:r w:rsidR="002720B0">
        <w:rPr>
          <w:noProof/>
          <w:lang w:val="fr-FR" w:eastAsia="es-BO"/>
        </w:rPr>
        <w:t> </w:t>
      </w:r>
      <w:r w:rsidRPr="00CE305E">
        <w:rPr>
          <w:noProof/>
          <w:lang w:val="fr-FR" w:eastAsia="es-BO"/>
        </w:rPr>
        <w:t>437</w:t>
      </w:r>
      <w:r w:rsidR="002720B0">
        <w:rPr>
          <w:noProof/>
          <w:lang w:val="fr-FR" w:eastAsia="es-BO"/>
        </w:rPr>
        <w:t> </w:t>
      </w:r>
      <w:r w:rsidRPr="00CE305E">
        <w:rPr>
          <w:noProof/>
          <w:lang w:val="fr-FR"/>
        </w:rPr>
        <w:t xml:space="preserve">personnes) et pour </w:t>
      </w:r>
      <w:r w:rsidRPr="00CE305E">
        <w:rPr>
          <w:noProof/>
          <w:lang w:val="fr-FR" w:eastAsia="es-BO"/>
        </w:rPr>
        <w:t>7,84</w:t>
      </w:r>
      <w:r w:rsidR="002720B0">
        <w:rPr>
          <w:noProof/>
          <w:lang w:val="fr-FR" w:eastAsia="es-BO"/>
        </w:rPr>
        <w:t> </w:t>
      </w:r>
      <w:r w:rsidRPr="00CE305E">
        <w:rPr>
          <w:noProof/>
          <w:lang w:val="fr-FR" w:eastAsia="es-BO"/>
        </w:rPr>
        <w:t xml:space="preserve">% </w:t>
      </w:r>
      <w:r w:rsidRPr="00CE305E">
        <w:rPr>
          <w:noProof/>
          <w:lang w:val="fr-FR"/>
        </w:rPr>
        <w:t>de femmes (1</w:t>
      </w:r>
      <w:r w:rsidR="002720B0">
        <w:rPr>
          <w:noProof/>
          <w:lang w:val="fr-FR"/>
        </w:rPr>
        <w:t> </w:t>
      </w:r>
      <w:r w:rsidRPr="00CE305E">
        <w:rPr>
          <w:noProof/>
          <w:lang w:val="fr-FR"/>
        </w:rPr>
        <w:t>399</w:t>
      </w:r>
      <w:r w:rsidR="002720B0">
        <w:rPr>
          <w:noProof/>
          <w:lang w:val="fr-FR"/>
        </w:rPr>
        <w:t> </w:t>
      </w:r>
      <w:r w:rsidRPr="00CE305E">
        <w:rPr>
          <w:noProof/>
          <w:lang w:val="fr-FR"/>
        </w:rPr>
        <w:t>personnes)</w:t>
      </w:r>
      <w:r w:rsidR="002720B0">
        <w:rPr>
          <w:noProof/>
          <w:lang w:val="fr-FR"/>
        </w:rPr>
        <w:t> </w:t>
      </w:r>
      <w:r w:rsidRPr="00CE305E">
        <w:rPr>
          <w:noProof/>
          <w:lang w:val="fr-FR"/>
        </w:rPr>
        <w:t xml:space="preserve">; </w:t>
      </w:r>
      <w:r w:rsidRPr="00CE305E">
        <w:rPr>
          <w:noProof/>
          <w:lang w:val="fr-FR" w:eastAsia="es-BO"/>
        </w:rPr>
        <w:t xml:space="preserve">17 103 </w:t>
      </w:r>
      <w:r w:rsidRPr="00CE305E">
        <w:rPr>
          <w:noProof/>
          <w:lang w:val="fr-FR"/>
        </w:rPr>
        <w:t>détenus ont entre 18 et 59</w:t>
      </w:r>
      <w:r w:rsidR="002720B0">
        <w:rPr>
          <w:noProof/>
          <w:lang w:val="fr-FR"/>
        </w:rPr>
        <w:t> </w:t>
      </w:r>
      <w:r w:rsidRPr="00CE305E">
        <w:rPr>
          <w:noProof/>
          <w:lang w:val="fr-FR"/>
        </w:rPr>
        <w:t>ans (</w:t>
      </w:r>
      <w:r w:rsidRPr="00CE305E">
        <w:rPr>
          <w:noProof/>
          <w:lang w:val="fr-FR" w:eastAsia="es-BO"/>
        </w:rPr>
        <w:t>95,89</w:t>
      </w:r>
      <w:r w:rsidR="002720B0">
        <w:rPr>
          <w:noProof/>
          <w:lang w:val="fr-FR" w:eastAsia="es-BO"/>
        </w:rPr>
        <w:t> </w:t>
      </w:r>
      <w:r w:rsidRPr="00CE305E">
        <w:rPr>
          <w:noProof/>
          <w:lang w:val="fr-FR"/>
        </w:rPr>
        <w:t>%)</w:t>
      </w:r>
      <w:r w:rsidR="0085359F">
        <w:rPr>
          <w:noProof/>
          <w:lang w:val="fr-FR"/>
        </w:rPr>
        <w:t> ;</w:t>
      </w:r>
      <w:r w:rsidRPr="00CE305E">
        <w:rPr>
          <w:noProof/>
          <w:lang w:val="fr-FR"/>
        </w:rPr>
        <w:t xml:space="preserve"> </w:t>
      </w:r>
      <w:r w:rsidRPr="00CE305E">
        <w:rPr>
          <w:noProof/>
          <w:lang w:val="fr-FR" w:eastAsia="es-BO"/>
        </w:rPr>
        <w:t>664</w:t>
      </w:r>
      <w:r w:rsidRPr="00CE305E">
        <w:rPr>
          <w:noProof/>
          <w:lang w:val="fr-FR"/>
        </w:rPr>
        <w:t xml:space="preserve"> ont plus de 60</w:t>
      </w:r>
      <w:r w:rsidR="002720B0">
        <w:rPr>
          <w:noProof/>
          <w:lang w:val="fr-FR"/>
        </w:rPr>
        <w:t> </w:t>
      </w:r>
      <w:r w:rsidRPr="00CE305E">
        <w:rPr>
          <w:noProof/>
          <w:lang w:val="fr-FR"/>
        </w:rPr>
        <w:t xml:space="preserve">ans </w:t>
      </w:r>
      <w:r w:rsidRPr="00CE305E">
        <w:rPr>
          <w:noProof/>
          <w:lang w:val="fr-FR" w:eastAsia="es-BO"/>
        </w:rPr>
        <w:t>(3,72</w:t>
      </w:r>
      <w:r w:rsidR="002720B0">
        <w:rPr>
          <w:noProof/>
          <w:lang w:val="fr-FR" w:eastAsia="es-BO"/>
        </w:rPr>
        <w:t> </w:t>
      </w:r>
      <w:r w:rsidRPr="00CE305E">
        <w:rPr>
          <w:noProof/>
          <w:lang w:val="fr-FR" w:eastAsia="es-BO"/>
        </w:rPr>
        <w:t>%)</w:t>
      </w:r>
      <w:r w:rsidR="0085359F">
        <w:rPr>
          <w:noProof/>
          <w:lang w:val="fr-FR" w:eastAsia="es-BO"/>
        </w:rPr>
        <w:t xml:space="preserve"> ; </w:t>
      </w:r>
      <w:r w:rsidRPr="00CE305E">
        <w:rPr>
          <w:noProof/>
          <w:lang w:val="fr-FR"/>
        </w:rPr>
        <w:t xml:space="preserve">et </w:t>
      </w:r>
      <w:r w:rsidRPr="00CE305E">
        <w:rPr>
          <w:noProof/>
          <w:lang w:val="fr-FR" w:eastAsia="es-BO"/>
        </w:rPr>
        <w:t>69 o</w:t>
      </w:r>
      <w:r>
        <w:rPr>
          <w:noProof/>
          <w:lang w:val="fr-FR" w:eastAsia="es-BO"/>
        </w:rPr>
        <w:t>n</w:t>
      </w:r>
      <w:r w:rsidRPr="00CE305E">
        <w:rPr>
          <w:noProof/>
          <w:lang w:val="fr-FR" w:eastAsia="es-BO"/>
        </w:rPr>
        <w:t>t moins de 18</w:t>
      </w:r>
      <w:r w:rsidR="002720B0">
        <w:rPr>
          <w:noProof/>
          <w:lang w:val="fr-FR" w:eastAsia="es-BO"/>
        </w:rPr>
        <w:t> </w:t>
      </w:r>
      <w:r w:rsidRPr="00CE305E">
        <w:rPr>
          <w:noProof/>
          <w:lang w:val="fr-FR" w:eastAsia="es-BO"/>
        </w:rPr>
        <w:t>ans (0,39</w:t>
      </w:r>
      <w:r w:rsidR="002720B0">
        <w:rPr>
          <w:noProof/>
          <w:lang w:val="fr-FR" w:eastAsia="es-BO"/>
        </w:rPr>
        <w:t> </w:t>
      </w:r>
      <w:r w:rsidRPr="00CE305E">
        <w:rPr>
          <w:noProof/>
          <w:lang w:val="fr-FR" w:eastAsia="es-BO"/>
        </w:rPr>
        <w:t>%).</w:t>
      </w:r>
    </w:p>
    <w:p w:rsidR="00614A7E" w:rsidRPr="00DF456A" w:rsidRDefault="00614A7E" w:rsidP="00614A7E">
      <w:pPr>
        <w:pStyle w:val="SingleTxtG"/>
        <w:rPr>
          <w:bCs/>
          <w:noProof/>
          <w:lang w:val="fr-FR" w:eastAsia="es-BO"/>
        </w:rPr>
      </w:pPr>
      <w:r w:rsidRPr="00DF456A">
        <w:rPr>
          <w:bCs/>
          <w:noProof/>
          <w:lang w:val="fr-FR" w:eastAsia="es-BO"/>
        </w:rPr>
        <w:t>6.</w:t>
      </w:r>
      <w:r w:rsidRPr="00DF456A">
        <w:rPr>
          <w:bCs/>
          <w:noProof/>
          <w:lang w:val="fr-FR" w:eastAsia="es-BO"/>
        </w:rPr>
        <w:tab/>
      </w:r>
      <w:r>
        <w:rPr>
          <w:noProof/>
          <w:lang w:val="fr-FR" w:eastAsia="es-BO"/>
        </w:rPr>
        <w:t xml:space="preserve">La Bolivie, qui est partie à la </w:t>
      </w:r>
      <w:r w:rsidRPr="00DF456A">
        <w:rPr>
          <w:noProof/>
          <w:spacing w:val="-2"/>
          <w:lang w:val="fr-FR" w:eastAsia="es-BO"/>
        </w:rPr>
        <w:t>Conven</w:t>
      </w:r>
      <w:r>
        <w:rPr>
          <w:noProof/>
          <w:spacing w:val="-2"/>
          <w:lang w:val="fr-FR" w:eastAsia="es-BO"/>
        </w:rPr>
        <w:t>tion</w:t>
      </w:r>
      <w:r w:rsidRPr="00DF456A">
        <w:rPr>
          <w:noProof/>
          <w:spacing w:val="-2"/>
          <w:sz w:val="18"/>
          <w:szCs w:val="18"/>
          <w:vertAlign w:val="superscript"/>
          <w:lang w:val="fr-FR" w:eastAsia="es-BO"/>
        </w:rPr>
        <w:footnoteReference w:id="6"/>
      </w:r>
      <w:r w:rsidRPr="00DF456A">
        <w:rPr>
          <w:noProof/>
          <w:spacing w:val="-2"/>
          <w:lang w:val="fr-FR" w:eastAsia="es-BO"/>
        </w:rPr>
        <w:t xml:space="preserve"> </w:t>
      </w:r>
      <w:r>
        <w:rPr>
          <w:noProof/>
          <w:spacing w:val="-2"/>
          <w:lang w:val="fr-FR" w:eastAsia="es-BO"/>
        </w:rPr>
        <w:t>et au Protocole facultatif se rapportant</w:t>
      </w:r>
      <w:r w:rsidRPr="00DF456A">
        <w:rPr>
          <w:noProof/>
          <w:spacing w:val="-2"/>
          <w:lang w:val="fr-FR" w:eastAsia="es-BO"/>
        </w:rPr>
        <w:t xml:space="preserve"> </w:t>
      </w:r>
      <w:r>
        <w:rPr>
          <w:noProof/>
          <w:spacing w:val="-2"/>
          <w:lang w:val="fr-FR" w:eastAsia="es-BO"/>
        </w:rPr>
        <w:t xml:space="preserve">à la </w:t>
      </w:r>
      <w:r w:rsidRPr="00677F9A">
        <w:rPr>
          <w:noProof/>
          <w:lang w:val="fr-FR"/>
        </w:rPr>
        <w:t>Convention</w:t>
      </w:r>
      <w:r w:rsidRPr="00B5117C">
        <w:rPr>
          <w:lang w:val="fr-FR"/>
        </w:rPr>
        <w:t xml:space="preserve"> c</w:t>
      </w:r>
      <w:r>
        <w:rPr>
          <w:noProof/>
          <w:lang w:val="fr-FR" w:eastAsia="es-BO"/>
        </w:rPr>
        <w:t>ontre la torture et autres peines ou traitements cruels, inhumains ou dégradants, qu</w:t>
      </w:r>
      <w:r w:rsidR="00FB1114">
        <w:rPr>
          <w:noProof/>
          <w:lang w:val="fr-FR" w:eastAsia="es-BO"/>
        </w:rPr>
        <w:t>’</w:t>
      </w:r>
      <w:r>
        <w:rPr>
          <w:noProof/>
          <w:lang w:val="fr-FR" w:eastAsia="es-BO"/>
        </w:rPr>
        <w:t>elle a ratifié</w:t>
      </w:r>
      <w:r w:rsidRPr="00DF456A">
        <w:rPr>
          <w:noProof/>
          <w:sz w:val="18"/>
          <w:szCs w:val="18"/>
          <w:vertAlign w:val="superscript"/>
          <w:lang w:val="fr-FR" w:eastAsia="es-BO"/>
        </w:rPr>
        <w:footnoteReference w:id="7"/>
      </w:r>
      <w:r w:rsidRPr="00DF456A">
        <w:rPr>
          <w:noProof/>
          <w:lang w:val="fr-FR" w:eastAsia="es-BO"/>
        </w:rPr>
        <w:t xml:space="preserve"> (</w:t>
      </w:r>
      <w:r>
        <w:rPr>
          <w:noProof/>
          <w:lang w:val="fr-FR" w:eastAsia="es-BO"/>
        </w:rPr>
        <w:t>« </w:t>
      </w:r>
      <w:r w:rsidRPr="00DF456A">
        <w:rPr>
          <w:noProof/>
          <w:lang w:val="fr-FR" w:eastAsia="es-BO"/>
        </w:rPr>
        <w:t>Protocol</w:t>
      </w:r>
      <w:r>
        <w:rPr>
          <w:noProof/>
          <w:lang w:val="fr-FR" w:eastAsia="es-BO"/>
        </w:rPr>
        <w:t>e</w:t>
      </w:r>
      <w:r w:rsidRPr="00DF456A">
        <w:rPr>
          <w:noProof/>
          <w:lang w:val="fr-FR" w:eastAsia="es-BO"/>
        </w:rPr>
        <w:t xml:space="preserve"> </w:t>
      </w:r>
      <w:r>
        <w:rPr>
          <w:noProof/>
          <w:lang w:val="fr-FR" w:eastAsia="es-BO"/>
        </w:rPr>
        <w:t>f</w:t>
      </w:r>
      <w:r w:rsidRPr="00DF456A">
        <w:rPr>
          <w:noProof/>
          <w:lang w:val="fr-FR" w:eastAsia="es-BO"/>
        </w:rPr>
        <w:t>acultati</w:t>
      </w:r>
      <w:r>
        <w:rPr>
          <w:noProof/>
          <w:lang w:val="fr-FR" w:eastAsia="es-BO"/>
        </w:rPr>
        <w:t>f »</w:t>
      </w:r>
      <w:r w:rsidRPr="00DF456A">
        <w:rPr>
          <w:noProof/>
          <w:lang w:val="fr-FR" w:eastAsia="es-BO"/>
        </w:rPr>
        <w:t>), r</w:t>
      </w:r>
      <w:r>
        <w:rPr>
          <w:noProof/>
          <w:lang w:val="fr-FR" w:eastAsia="es-BO"/>
        </w:rPr>
        <w:t>éaffirme sa volonté de promouvoir et de protéger les droits des personnes privées de liberté et de prévenir la torture</w:t>
      </w:r>
      <w:r w:rsidRPr="00DF456A">
        <w:rPr>
          <w:noProof/>
          <w:lang w:val="fr-FR" w:eastAsia="es-BO"/>
        </w:rPr>
        <w:t>.</w:t>
      </w:r>
    </w:p>
    <w:p w:rsidR="00614A7E" w:rsidRPr="00DF456A" w:rsidRDefault="00614A7E" w:rsidP="00614A7E">
      <w:pPr>
        <w:pStyle w:val="SingleTxtG"/>
        <w:rPr>
          <w:noProof/>
          <w:lang w:val="fr-FR" w:eastAsia="es-BO"/>
        </w:rPr>
      </w:pPr>
      <w:r w:rsidRPr="00DF456A">
        <w:rPr>
          <w:noProof/>
          <w:lang w:val="fr-FR" w:eastAsia="es-BO"/>
        </w:rPr>
        <w:t>7.</w:t>
      </w:r>
      <w:r w:rsidRPr="00DF456A">
        <w:rPr>
          <w:noProof/>
          <w:lang w:val="fr-FR" w:eastAsia="es-BO"/>
        </w:rPr>
        <w:tab/>
      </w:r>
      <w:r>
        <w:rPr>
          <w:noProof/>
          <w:lang w:val="fr-FR" w:eastAsia="es-BO"/>
        </w:rPr>
        <w:t>À cet égard</w:t>
      </w:r>
      <w:r w:rsidRPr="00DF456A">
        <w:rPr>
          <w:noProof/>
          <w:lang w:val="fr-FR" w:eastAsia="es-BO"/>
        </w:rPr>
        <w:t xml:space="preserve">, </w:t>
      </w:r>
      <w:r>
        <w:rPr>
          <w:noProof/>
          <w:lang w:val="fr-FR" w:eastAsia="es-BO"/>
        </w:rPr>
        <w:t xml:space="preserve">le présent rapport contient des </w:t>
      </w:r>
      <w:r w:rsidRPr="00DF456A">
        <w:rPr>
          <w:noProof/>
          <w:lang w:val="fr-FR" w:eastAsia="es-BO"/>
        </w:rPr>
        <w:t>informa</w:t>
      </w:r>
      <w:r>
        <w:rPr>
          <w:noProof/>
          <w:lang w:val="fr-FR" w:eastAsia="es-BO"/>
        </w:rPr>
        <w:t xml:space="preserve">tions sur </w:t>
      </w:r>
      <w:r w:rsidRPr="00535B3D">
        <w:rPr>
          <w:noProof/>
          <w:lang w:val="fr-FR" w:eastAsia="es-BO"/>
        </w:rPr>
        <w:t xml:space="preserve">les </w:t>
      </w:r>
      <w:r w:rsidRPr="00535B3D">
        <w:rPr>
          <w:noProof/>
          <w:lang w:val="fr-FR"/>
        </w:rPr>
        <w:t>progrès accomplis dans l</w:t>
      </w:r>
      <w:r w:rsidR="00FB1114">
        <w:rPr>
          <w:noProof/>
          <w:lang w:val="fr-FR"/>
        </w:rPr>
        <w:t>’</w:t>
      </w:r>
      <w:r w:rsidRPr="00535B3D">
        <w:rPr>
          <w:noProof/>
          <w:lang w:val="fr-FR"/>
        </w:rPr>
        <w:t>adoption de dispositions législatives</w:t>
      </w:r>
      <w:r w:rsidRPr="00DF456A">
        <w:rPr>
          <w:noProof/>
          <w:lang w:val="fr-FR" w:eastAsia="es-BO"/>
        </w:rPr>
        <w:t xml:space="preserve"> </w:t>
      </w:r>
      <w:r>
        <w:rPr>
          <w:noProof/>
          <w:lang w:val="fr-FR" w:eastAsia="es-BO"/>
        </w:rPr>
        <w:t>et sur les autres mesures prises par l</w:t>
      </w:r>
      <w:r w:rsidR="00FB1114">
        <w:rPr>
          <w:noProof/>
          <w:lang w:val="fr-FR" w:eastAsia="es-BO"/>
        </w:rPr>
        <w:t>’</w:t>
      </w:r>
      <w:r>
        <w:rPr>
          <w:noProof/>
          <w:lang w:val="fr-FR" w:eastAsia="es-BO"/>
        </w:rPr>
        <w:t xml:space="preserve">État pour prévenir la torture, comme </w:t>
      </w:r>
      <w:r w:rsidRPr="00DF456A">
        <w:rPr>
          <w:noProof/>
          <w:lang w:val="fr-FR" w:eastAsia="es-BO"/>
        </w:rPr>
        <w:t>la cr</w:t>
      </w:r>
      <w:r>
        <w:rPr>
          <w:noProof/>
          <w:lang w:val="fr-FR" w:eastAsia="es-BO"/>
        </w:rPr>
        <w:t xml:space="preserve">éation, dans le cadre du mécanisme de prévention de la torture et autres peines ou traitements cruels, inhumains ou dégradants, du </w:t>
      </w:r>
      <w:r w:rsidRPr="00535B3D">
        <w:rPr>
          <w:noProof/>
          <w:lang w:val="fr-FR"/>
        </w:rPr>
        <w:t>Service de prévention de la torture</w:t>
      </w:r>
      <w:r>
        <w:rPr>
          <w:noProof/>
          <w:lang w:val="fr-FR" w:eastAsia="es-BO"/>
        </w:rPr>
        <w:t>,</w:t>
      </w:r>
      <w:r w:rsidRPr="00DF456A">
        <w:rPr>
          <w:noProof/>
          <w:lang w:val="fr-FR" w:eastAsia="es-BO"/>
        </w:rPr>
        <w:t xml:space="preserve"> </w:t>
      </w:r>
      <w:r>
        <w:rPr>
          <w:noProof/>
          <w:lang w:val="fr-FR" w:eastAsia="es-BO"/>
        </w:rPr>
        <w:t>le renforcement du Conseil national pénitentiaire</w:t>
      </w:r>
      <w:r w:rsidRPr="00DF456A">
        <w:rPr>
          <w:noProof/>
          <w:lang w:val="fr-FR" w:eastAsia="es-BO"/>
        </w:rPr>
        <w:t xml:space="preserve">, la </w:t>
      </w:r>
      <w:r>
        <w:rPr>
          <w:noProof/>
          <w:lang w:val="fr-FR" w:eastAsia="es-BO"/>
        </w:rPr>
        <w:t>prise de décrets accordant une grâce et l</w:t>
      </w:r>
      <w:r w:rsidR="00FB1114">
        <w:rPr>
          <w:noProof/>
          <w:lang w:val="fr-FR" w:eastAsia="es-BO"/>
        </w:rPr>
        <w:t>’</w:t>
      </w:r>
      <w:r>
        <w:rPr>
          <w:noProof/>
          <w:lang w:val="fr-FR" w:eastAsia="es-BO"/>
        </w:rPr>
        <w:t>adoption d</w:t>
      </w:r>
      <w:r w:rsidR="00FB1114">
        <w:rPr>
          <w:noProof/>
          <w:lang w:val="fr-FR" w:eastAsia="es-BO"/>
        </w:rPr>
        <w:t>’</w:t>
      </w:r>
      <w:r>
        <w:rPr>
          <w:noProof/>
          <w:lang w:val="fr-FR" w:eastAsia="es-BO"/>
        </w:rPr>
        <w:t>une loi d</w:t>
      </w:r>
      <w:r w:rsidR="00FB1114">
        <w:rPr>
          <w:noProof/>
          <w:lang w:val="fr-FR" w:eastAsia="es-BO"/>
        </w:rPr>
        <w:t>’</w:t>
      </w:r>
      <w:r>
        <w:rPr>
          <w:noProof/>
          <w:lang w:val="fr-FR" w:eastAsia="es-BO"/>
        </w:rPr>
        <w:t>amnistie pour raisons humanitaires en faveur des personnes privées de liberté, ainsi que d</w:t>
      </w:r>
      <w:r w:rsidR="00FB1114">
        <w:rPr>
          <w:noProof/>
          <w:lang w:val="fr-FR" w:eastAsia="es-BO"/>
        </w:rPr>
        <w:t>’</w:t>
      </w:r>
      <w:r>
        <w:rPr>
          <w:noProof/>
          <w:lang w:val="fr-FR" w:eastAsia="es-BO"/>
        </w:rPr>
        <w:t>autres mesures allant dans le sens de l</w:t>
      </w:r>
      <w:r w:rsidR="00FB1114">
        <w:rPr>
          <w:noProof/>
          <w:lang w:val="fr-FR" w:eastAsia="es-BO"/>
        </w:rPr>
        <w:t>’</w:t>
      </w:r>
      <w:r>
        <w:rPr>
          <w:noProof/>
          <w:lang w:val="fr-FR" w:eastAsia="es-BO"/>
        </w:rPr>
        <w:t xml:space="preserve">application intégrale de la </w:t>
      </w:r>
      <w:r w:rsidRPr="00DF456A">
        <w:rPr>
          <w:noProof/>
          <w:lang w:val="fr-FR" w:eastAsia="es-BO"/>
        </w:rPr>
        <w:t>Conven</w:t>
      </w:r>
      <w:r>
        <w:rPr>
          <w:noProof/>
          <w:lang w:val="fr-FR" w:eastAsia="es-BO"/>
        </w:rPr>
        <w:t>tion</w:t>
      </w:r>
      <w:r w:rsidRPr="00DF456A">
        <w:rPr>
          <w:noProof/>
          <w:lang w:val="fr-FR" w:eastAsia="es-BO"/>
        </w:rPr>
        <w:t>.</w:t>
      </w:r>
    </w:p>
    <w:p w:rsidR="00614A7E" w:rsidRPr="00DF456A" w:rsidRDefault="00614A7E" w:rsidP="00B87033">
      <w:pPr>
        <w:pStyle w:val="HChG"/>
        <w:rPr>
          <w:noProof/>
          <w:lang w:val="fr-FR" w:eastAsia="es-BO"/>
        </w:rPr>
      </w:pPr>
      <w:r w:rsidRPr="00DF456A">
        <w:rPr>
          <w:noProof/>
          <w:lang w:val="fr-FR" w:eastAsia="es-BO"/>
        </w:rPr>
        <w:lastRenderedPageBreak/>
        <w:tab/>
        <w:t>III.</w:t>
      </w:r>
      <w:r w:rsidRPr="00DF456A">
        <w:rPr>
          <w:noProof/>
          <w:lang w:val="fr-FR" w:eastAsia="es-BO"/>
        </w:rPr>
        <w:tab/>
      </w:r>
      <w:r>
        <w:rPr>
          <w:noProof/>
          <w:lang w:val="fr-FR" w:eastAsia="es-BO"/>
        </w:rPr>
        <w:t>Renseignements sur les nouvelles mesures et les faits nouveaux touchant l</w:t>
      </w:r>
      <w:r w:rsidR="00FB1114">
        <w:rPr>
          <w:noProof/>
          <w:lang w:val="fr-FR" w:eastAsia="es-BO"/>
        </w:rPr>
        <w:t>’</w:t>
      </w:r>
      <w:r>
        <w:rPr>
          <w:noProof/>
          <w:lang w:val="fr-FR" w:eastAsia="es-BO"/>
        </w:rPr>
        <w:t xml:space="preserve">application de la Convention, </w:t>
      </w:r>
      <w:r w:rsidR="00857F6E">
        <w:rPr>
          <w:noProof/>
          <w:lang w:val="fr-FR" w:eastAsia="es-BO"/>
        </w:rPr>
        <w:br/>
      </w:r>
      <w:r>
        <w:rPr>
          <w:noProof/>
          <w:lang w:val="fr-FR" w:eastAsia="es-BO"/>
        </w:rPr>
        <w:t>en suivant l</w:t>
      </w:r>
      <w:r w:rsidR="00FB1114">
        <w:rPr>
          <w:noProof/>
          <w:lang w:val="fr-FR" w:eastAsia="es-BO"/>
        </w:rPr>
        <w:t>’</w:t>
      </w:r>
      <w:r>
        <w:rPr>
          <w:noProof/>
          <w:lang w:val="fr-FR" w:eastAsia="es-BO"/>
        </w:rPr>
        <w:t xml:space="preserve">ordre des </w:t>
      </w:r>
      <w:r w:rsidRPr="00857F6E">
        <w:t>articles</w:t>
      </w:r>
      <w:r>
        <w:rPr>
          <w:noProof/>
          <w:lang w:val="fr-FR" w:eastAsia="es-BO"/>
        </w:rPr>
        <w:t xml:space="preserve"> </w:t>
      </w:r>
      <w:r w:rsidR="00857F6E">
        <w:rPr>
          <w:noProof/>
          <w:lang w:val="fr-FR" w:eastAsia="es-BO"/>
        </w:rPr>
        <w:t>1</w:t>
      </w:r>
      <w:r w:rsidR="00857F6E" w:rsidRPr="00857F6E">
        <w:rPr>
          <w:noProof/>
          <w:vertAlign w:val="superscript"/>
          <w:lang w:val="fr-FR" w:eastAsia="es-BO"/>
        </w:rPr>
        <w:t>er</w:t>
      </w:r>
      <w:r w:rsidR="00857F6E">
        <w:rPr>
          <w:noProof/>
          <w:lang w:val="fr-FR" w:eastAsia="es-BO"/>
        </w:rPr>
        <w:t xml:space="preserve"> </w:t>
      </w:r>
      <w:r>
        <w:rPr>
          <w:noProof/>
          <w:lang w:val="fr-FR" w:eastAsia="es-BO"/>
        </w:rPr>
        <w:t>à</w:t>
      </w:r>
      <w:r w:rsidRPr="00DF456A">
        <w:rPr>
          <w:noProof/>
          <w:lang w:val="fr-FR" w:eastAsia="es-BO"/>
        </w:rPr>
        <w:t xml:space="preserve"> 16</w:t>
      </w:r>
    </w:p>
    <w:p w:rsidR="00614A7E" w:rsidRPr="00DF456A" w:rsidRDefault="00614A7E" w:rsidP="00857F6E">
      <w:pPr>
        <w:pStyle w:val="H1G"/>
        <w:rPr>
          <w:noProof/>
          <w:lang w:val="fr-FR" w:eastAsia="es-BO"/>
        </w:rPr>
      </w:pPr>
      <w:r w:rsidRPr="00DF456A">
        <w:rPr>
          <w:noProof/>
          <w:lang w:val="fr-FR" w:eastAsia="es-BO"/>
        </w:rPr>
        <w:tab/>
      </w:r>
      <w:r w:rsidRPr="00DF456A">
        <w:rPr>
          <w:noProof/>
          <w:lang w:val="fr-FR" w:eastAsia="es-BO"/>
        </w:rPr>
        <w:tab/>
        <w:t>Art</w:t>
      </w:r>
      <w:r>
        <w:rPr>
          <w:noProof/>
          <w:lang w:val="fr-FR" w:eastAsia="es-BO"/>
        </w:rPr>
        <w:t xml:space="preserve">icles </w:t>
      </w:r>
      <w:r w:rsidR="00B87033">
        <w:t>1</w:t>
      </w:r>
      <w:r w:rsidR="00B87033" w:rsidRPr="00B87033">
        <w:rPr>
          <w:vertAlign w:val="superscript"/>
        </w:rPr>
        <w:t>er</w:t>
      </w:r>
      <w:r w:rsidR="00B87033">
        <w:t xml:space="preserve"> </w:t>
      </w:r>
      <w:r>
        <w:rPr>
          <w:noProof/>
          <w:lang w:val="fr-FR" w:eastAsia="es-BO"/>
        </w:rPr>
        <w:t>et</w:t>
      </w:r>
      <w:r w:rsidRPr="00DF456A">
        <w:rPr>
          <w:noProof/>
          <w:lang w:val="fr-FR" w:eastAsia="es-BO"/>
        </w:rPr>
        <w:t xml:space="preserve"> 4</w:t>
      </w:r>
      <w:r w:rsidRPr="00DF456A">
        <w:rPr>
          <w:noProof/>
          <w:lang w:val="fr-FR" w:eastAsia="es-BO"/>
        </w:rPr>
        <w:br/>
        <w:t>D</w:t>
      </w:r>
      <w:r>
        <w:rPr>
          <w:noProof/>
          <w:lang w:val="fr-FR" w:eastAsia="es-BO"/>
        </w:rPr>
        <w:t>é</w:t>
      </w:r>
      <w:r w:rsidRPr="00DF456A">
        <w:rPr>
          <w:noProof/>
          <w:lang w:val="fr-FR" w:eastAsia="es-BO"/>
        </w:rPr>
        <w:t>fini</w:t>
      </w:r>
      <w:r>
        <w:rPr>
          <w:noProof/>
          <w:lang w:val="fr-FR" w:eastAsia="es-BO"/>
        </w:rPr>
        <w:t xml:space="preserve">tion et qualification de la torture conformes aux dispositions </w:t>
      </w:r>
      <w:r w:rsidR="00857F6E">
        <w:rPr>
          <w:noProof/>
          <w:lang w:val="fr-FR" w:eastAsia="es-BO"/>
        </w:rPr>
        <w:br/>
      </w:r>
      <w:r>
        <w:rPr>
          <w:noProof/>
          <w:lang w:val="fr-FR" w:eastAsia="es-BO"/>
        </w:rPr>
        <w:t>de la Convention</w:t>
      </w:r>
    </w:p>
    <w:p w:rsidR="00614A7E" w:rsidRPr="00DF456A" w:rsidRDefault="00614A7E" w:rsidP="00614A7E">
      <w:pPr>
        <w:pStyle w:val="SingleTxtG"/>
        <w:rPr>
          <w:noProof/>
          <w:lang w:val="fr-FR" w:eastAsia="es-BO"/>
        </w:rPr>
      </w:pPr>
      <w:r w:rsidRPr="00DF456A">
        <w:rPr>
          <w:noProof/>
          <w:lang w:val="fr-FR" w:eastAsia="es-BO"/>
        </w:rPr>
        <w:t>8.</w:t>
      </w:r>
      <w:r w:rsidRPr="00DF456A">
        <w:rPr>
          <w:noProof/>
          <w:lang w:val="fr-FR" w:eastAsia="es-BO"/>
        </w:rPr>
        <w:tab/>
      </w:r>
      <w:r>
        <w:rPr>
          <w:noProof/>
          <w:lang w:val="fr-FR" w:eastAsia="es-BO"/>
        </w:rPr>
        <w:t xml:space="preserve">Dans son deuxième rapport périodique au </w:t>
      </w:r>
      <w:r w:rsidRPr="00DF456A">
        <w:rPr>
          <w:noProof/>
          <w:lang w:val="fr-FR" w:eastAsia="es-BO"/>
        </w:rPr>
        <w:t>Comité (p</w:t>
      </w:r>
      <w:r>
        <w:rPr>
          <w:noProof/>
          <w:lang w:val="fr-FR" w:eastAsia="es-BO"/>
        </w:rPr>
        <w:t>ar.</w:t>
      </w:r>
      <w:r w:rsidR="00857F6E">
        <w:rPr>
          <w:noProof/>
          <w:lang w:val="fr-FR" w:eastAsia="es-BO"/>
        </w:rPr>
        <w:t> </w:t>
      </w:r>
      <w:r w:rsidRPr="00DF456A">
        <w:rPr>
          <w:noProof/>
          <w:lang w:val="fr-FR" w:eastAsia="es-BO"/>
        </w:rPr>
        <w:t xml:space="preserve">10 </w:t>
      </w:r>
      <w:r>
        <w:rPr>
          <w:noProof/>
          <w:lang w:val="fr-FR" w:eastAsia="es-BO"/>
        </w:rPr>
        <w:t>et</w:t>
      </w:r>
      <w:r w:rsidRPr="00DF456A">
        <w:rPr>
          <w:noProof/>
          <w:lang w:val="fr-FR" w:eastAsia="es-BO"/>
        </w:rPr>
        <w:t xml:space="preserve"> 11)</w:t>
      </w:r>
      <w:r>
        <w:rPr>
          <w:noProof/>
          <w:lang w:val="fr-FR" w:eastAsia="es-BO"/>
        </w:rPr>
        <w:t>, la Bolivie</w:t>
      </w:r>
      <w:r w:rsidRPr="00DF456A">
        <w:rPr>
          <w:noProof/>
          <w:lang w:val="fr-FR" w:eastAsia="es-BO"/>
        </w:rPr>
        <w:t xml:space="preserve"> </w:t>
      </w:r>
      <w:r>
        <w:rPr>
          <w:noProof/>
          <w:lang w:val="fr-FR" w:eastAsia="es-BO"/>
        </w:rPr>
        <w:t>a fourni des renseignements sur l</w:t>
      </w:r>
      <w:r w:rsidR="00FB1114">
        <w:rPr>
          <w:noProof/>
          <w:lang w:val="fr-FR" w:eastAsia="es-BO"/>
        </w:rPr>
        <w:t>’</w:t>
      </w:r>
      <w:r w:rsidRPr="00DF456A">
        <w:rPr>
          <w:noProof/>
          <w:lang w:val="fr-FR" w:eastAsia="es-BO"/>
        </w:rPr>
        <w:t>ap</w:t>
      </w:r>
      <w:r>
        <w:rPr>
          <w:noProof/>
          <w:lang w:val="fr-FR" w:eastAsia="es-BO"/>
        </w:rPr>
        <w:t>p</w:t>
      </w:r>
      <w:r w:rsidRPr="00DF456A">
        <w:rPr>
          <w:noProof/>
          <w:lang w:val="fr-FR" w:eastAsia="es-BO"/>
        </w:rPr>
        <w:t>lica</w:t>
      </w:r>
      <w:r>
        <w:rPr>
          <w:noProof/>
          <w:lang w:val="fr-FR" w:eastAsia="es-BO"/>
        </w:rPr>
        <w:t>tion des articles</w:t>
      </w:r>
      <w:r w:rsidR="00260BC9">
        <w:rPr>
          <w:noProof/>
          <w:lang w:val="fr-FR" w:eastAsia="es-BO"/>
        </w:rPr>
        <w:t> </w:t>
      </w:r>
      <w:r w:rsidR="00857F6E">
        <w:rPr>
          <w:noProof/>
          <w:lang w:val="fr-FR" w:eastAsia="es-BO"/>
        </w:rPr>
        <w:t>1</w:t>
      </w:r>
      <w:r w:rsidR="00857F6E" w:rsidRPr="00857F6E">
        <w:rPr>
          <w:noProof/>
          <w:vertAlign w:val="superscript"/>
          <w:lang w:val="fr-FR" w:eastAsia="es-BO"/>
        </w:rPr>
        <w:t>er</w:t>
      </w:r>
      <w:r w:rsidR="00857F6E">
        <w:rPr>
          <w:noProof/>
          <w:lang w:val="fr-FR" w:eastAsia="es-BO"/>
        </w:rPr>
        <w:t xml:space="preserve"> </w:t>
      </w:r>
      <w:r>
        <w:rPr>
          <w:noProof/>
          <w:lang w:val="fr-FR" w:eastAsia="es-BO"/>
        </w:rPr>
        <w:t>et</w:t>
      </w:r>
      <w:r w:rsidRPr="00DF456A">
        <w:rPr>
          <w:noProof/>
          <w:lang w:val="fr-FR" w:eastAsia="es-BO"/>
        </w:rPr>
        <w:t xml:space="preserve"> 4 de la Conven</w:t>
      </w:r>
      <w:r>
        <w:rPr>
          <w:noProof/>
          <w:lang w:val="fr-FR" w:eastAsia="es-BO"/>
        </w:rPr>
        <w:t>tion</w:t>
      </w:r>
      <w:r w:rsidRPr="00DF456A">
        <w:rPr>
          <w:noProof/>
          <w:lang w:val="fr-FR" w:eastAsia="es-BO"/>
        </w:rPr>
        <w:t>.</w:t>
      </w:r>
    </w:p>
    <w:p w:rsidR="00614A7E" w:rsidRPr="00DF456A" w:rsidRDefault="00614A7E" w:rsidP="00614A7E">
      <w:pPr>
        <w:pStyle w:val="H1G"/>
        <w:ind w:firstLine="0"/>
        <w:rPr>
          <w:noProof/>
          <w:lang w:val="fr-FR" w:eastAsia="es-BO"/>
        </w:rPr>
      </w:pPr>
      <w:r w:rsidRPr="00DF456A">
        <w:rPr>
          <w:noProof/>
          <w:lang w:val="fr-FR" w:eastAsia="es-BO"/>
        </w:rPr>
        <w:t>Art</w:t>
      </w:r>
      <w:r>
        <w:rPr>
          <w:noProof/>
          <w:lang w:val="fr-FR" w:eastAsia="es-BO"/>
        </w:rPr>
        <w:t xml:space="preserve">icle </w:t>
      </w:r>
      <w:r w:rsidRPr="00DF456A">
        <w:rPr>
          <w:noProof/>
          <w:lang w:val="fr-FR" w:eastAsia="es-BO"/>
        </w:rPr>
        <w:t>2</w:t>
      </w:r>
      <w:r w:rsidRPr="00DF456A">
        <w:rPr>
          <w:noProof/>
          <w:lang w:val="fr-FR" w:eastAsia="es-BO"/>
        </w:rPr>
        <w:br/>
      </w:r>
      <w:r w:rsidRPr="00DA122B">
        <w:rPr>
          <w:noProof/>
          <w:lang w:val="fr-FR"/>
        </w:rPr>
        <w:t xml:space="preserve">Adoption de mesures juridiques, administratives et autres mesures </w:t>
      </w:r>
      <w:r>
        <w:rPr>
          <w:noProof/>
          <w:lang w:val="fr-FR"/>
        </w:rPr>
        <w:t>visant à</w:t>
      </w:r>
      <w:r w:rsidRPr="00DA122B">
        <w:rPr>
          <w:noProof/>
          <w:lang w:val="fr-FR"/>
        </w:rPr>
        <w:t xml:space="preserve"> empêcher que des actes de torture soient commis </w:t>
      </w:r>
      <w:r w:rsidR="00857F6E">
        <w:rPr>
          <w:noProof/>
          <w:lang w:val="fr-FR"/>
        </w:rPr>
        <w:br/>
      </w:r>
      <w:r w:rsidRPr="00DA122B">
        <w:rPr>
          <w:noProof/>
          <w:lang w:val="fr-FR"/>
        </w:rPr>
        <w:t>dans tout le territoire sous la juridiction de l</w:t>
      </w:r>
      <w:r w:rsidR="00FB1114">
        <w:rPr>
          <w:noProof/>
          <w:lang w:val="fr-FR"/>
        </w:rPr>
        <w:t>’</w:t>
      </w:r>
      <w:r w:rsidRPr="00DA122B">
        <w:rPr>
          <w:noProof/>
          <w:lang w:val="fr-FR"/>
        </w:rPr>
        <w:t>État bolivien</w:t>
      </w:r>
    </w:p>
    <w:p w:rsidR="00614A7E" w:rsidRPr="00DF456A" w:rsidRDefault="00614A7E" w:rsidP="00614A7E">
      <w:pPr>
        <w:pStyle w:val="SingleTxtG"/>
        <w:rPr>
          <w:noProof/>
          <w:lang w:val="fr-FR" w:eastAsia="es-BO"/>
        </w:rPr>
      </w:pPr>
      <w:r w:rsidRPr="00DF456A">
        <w:rPr>
          <w:noProof/>
          <w:lang w:val="fr-FR" w:eastAsia="es-BO"/>
        </w:rPr>
        <w:t>9.</w:t>
      </w:r>
      <w:r w:rsidRPr="00DF456A">
        <w:rPr>
          <w:noProof/>
          <w:lang w:val="fr-FR" w:eastAsia="es-BO"/>
        </w:rPr>
        <w:tab/>
      </w:r>
      <w:r>
        <w:rPr>
          <w:bCs/>
          <w:noProof/>
          <w:lang w:val="fr-FR" w:eastAsia="es-BO"/>
        </w:rPr>
        <w:t xml:space="preserve">En ce qui concerne les mesures prises pour garantir un environnement carcéral </w:t>
      </w:r>
      <w:r>
        <w:rPr>
          <w:noProof/>
          <w:lang w:val="fr-FR" w:eastAsia="es-BO"/>
        </w:rPr>
        <w:t>où rien n</w:t>
      </w:r>
      <w:r w:rsidR="00FB1114">
        <w:rPr>
          <w:noProof/>
          <w:lang w:val="fr-FR" w:eastAsia="es-BO"/>
        </w:rPr>
        <w:t>’</w:t>
      </w:r>
      <w:r>
        <w:rPr>
          <w:noProof/>
          <w:lang w:val="fr-FR" w:eastAsia="es-BO"/>
        </w:rPr>
        <w:t>est dissimulé et, de ce fait, prévenir</w:t>
      </w:r>
      <w:r w:rsidRPr="00DF456A">
        <w:rPr>
          <w:noProof/>
          <w:lang w:val="fr-FR" w:eastAsia="es-BO"/>
        </w:rPr>
        <w:t xml:space="preserve"> la tortur</w:t>
      </w:r>
      <w:r>
        <w:rPr>
          <w:noProof/>
          <w:lang w:val="fr-FR" w:eastAsia="es-BO"/>
        </w:rPr>
        <w:t>e et autres peines ou traitements</w:t>
      </w:r>
      <w:r w:rsidRPr="00DF456A">
        <w:rPr>
          <w:noProof/>
          <w:lang w:val="fr-FR" w:eastAsia="es-BO"/>
        </w:rPr>
        <w:t xml:space="preserve"> cruels, inhuma</w:t>
      </w:r>
      <w:r>
        <w:rPr>
          <w:noProof/>
          <w:lang w:val="fr-FR" w:eastAsia="es-BO"/>
        </w:rPr>
        <w:t xml:space="preserve">ins ou </w:t>
      </w:r>
      <w:r w:rsidRPr="00DF456A">
        <w:rPr>
          <w:noProof/>
          <w:lang w:val="fr-FR" w:eastAsia="es-BO"/>
        </w:rPr>
        <w:t>d</w:t>
      </w:r>
      <w:r>
        <w:rPr>
          <w:noProof/>
          <w:lang w:val="fr-FR" w:eastAsia="es-BO"/>
        </w:rPr>
        <w:t>é</w:t>
      </w:r>
      <w:r w:rsidRPr="00DF456A">
        <w:rPr>
          <w:noProof/>
          <w:lang w:val="fr-FR" w:eastAsia="es-BO"/>
        </w:rPr>
        <w:t xml:space="preserve">gradants, </w:t>
      </w:r>
      <w:r>
        <w:rPr>
          <w:noProof/>
          <w:lang w:val="fr-FR" w:eastAsia="es-BO"/>
        </w:rPr>
        <w:t>il convient d</w:t>
      </w:r>
      <w:r w:rsidR="00FB1114">
        <w:rPr>
          <w:noProof/>
          <w:lang w:val="fr-FR" w:eastAsia="es-BO"/>
        </w:rPr>
        <w:t>’</w:t>
      </w:r>
      <w:r>
        <w:rPr>
          <w:noProof/>
          <w:lang w:val="fr-FR" w:eastAsia="es-BO"/>
        </w:rPr>
        <w:t xml:space="preserve">indiquer </w:t>
      </w:r>
      <w:r w:rsidRPr="00DF456A">
        <w:rPr>
          <w:noProof/>
          <w:lang w:val="fr-FR" w:eastAsia="es-BO"/>
        </w:rPr>
        <w:t>que</w:t>
      </w:r>
      <w:r>
        <w:rPr>
          <w:noProof/>
          <w:lang w:val="fr-FR" w:eastAsia="es-BO"/>
        </w:rPr>
        <w:t xml:space="preserve"> l</w:t>
      </w:r>
      <w:r w:rsidR="00FB1114">
        <w:rPr>
          <w:noProof/>
          <w:lang w:val="fr-FR" w:eastAsia="es-BO"/>
        </w:rPr>
        <w:t>’</w:t>
      </w:r>
      <w:r>
        <w:rPr>
          <w:noProof/>
          <w:lang w:val="fr-FR" w:eastAsia="es-BO"/>
        </w:rPr>
        <w:t>État garantit le droit à la liberté</w:t>
      </w:r>
      <w:r w:rsidRPr="00DF456A">
        <w:rPr>
          <w:bCs/>
          <w:noProof/>
          <w:sz w:val="18"/>
          <w:szCs w:val="18"/>
          <w:vertAlign w:val="superscript"/>
          <w:lang w:val="fr-FR" w:eastAsia="es-BO"/>
        </w:rPr>
        <w:footnoteReference w:id="8"/>
      </w:r>
      <w:r w:rsidRPr="00DF456A">
        <w:rPr>
          <w:bCs/>
          <w:noProof/>
          <w:lang w:val="fr-FR" w:eastAsia="es-BO"/>
        </w:rPr>
        <w:t>, la</w:t>
      </w:r>
      <w:r>
        <w:rPr>
          <w:bCs/>
          <w:noProof/>
          <w:lang w:val="fr-FR" w:eastAsia="es-BO"/>
        </w:rPr>
        <w:t xml:space="preserve">quelle ne peut être limitée que </w:t>
      </w:r>
      <w:r w:rsidRPr="001E3B31">
        <w:rPr>
          <w:noProof/>
          <w:lang w:val="fr-FR"/>
        </w:rPr>
        <w:t>pour permettre aux instances judiciaires d</w:t>
      </w:r>
      <w:r w:rsidR="00FB1114">
        <w:rPr>
          <w:noProof/>
          <w:lang w:val="fr-FR"/>
        </w:rPr>
        <w:t>’</w:t>
      </w:r>
      <w:r w:rsidRPr="001E3B31">
        <w:rPr>
          <w:noProof/>
          <w:lang w:val="fr-FR"/>
        </w:rPr>
        <w:t>établir la matérialité des faits</w:t>
      </w:r>
      <w:r w:rsidRPr="00B5117C">
        <w:rPr>
          <w:lang w:val="fr-FR"/>
        </w:rPr>
        <w:t xml:space="preserve"> </w:t>
      </w:r>
      <w:r>
        <w:rPr>
          <w:bCs/>
          <w:noProof/>
          <w:lang w:val="fr-FR" w:eastAsia="es-BO"/>
        </w:rPr>
        <w:t>et qu</w:t>
      </w:r>
      <w:r w:rsidR="00FB1114">
        <w:rPr>
          <w:bCs/>
          <w:noProof/>
          <w:lang w:val="fr-FR" w:eastAsia="es-BO"/>
        </w:rPr>
        <w:t>’</w:t>
      </w:r>
      <w:r w:rsidRPr="00DF456A">
        <w:rPr>
          <w:bCs/>
          <w:noProof/>
          <w:lang w:val="fr-FR" w:eastAsia="es-BO"/>
        </w:rPr>
        <w:t>en v</w:t>
      </w:r>
      <w:r>
        <w:rPr>
          <w:bCs/>
          <w:noProof/>
          <w:lang w:val="fr-FR" w:eastAsia="es-BO"/>
        </w:rPr>
        <w:t>e</w:t>
      </w:r>
      <w:r w:rsidRPr="00DF456A">
        <w:rPr>
          <w:bCs/>
          <w:noProof/>
          <w:lang w:val="fr-FR" w:eastAsia="es-BO"/>
        </w:rPr>
        <w:t>rtu</w:t>
      </w:r>
      <w:r>
        <w:rPr>
          <w:bCs/>
          <w:noProof/>
          <w:lang w:val="fr-FR" w:eastAsia="es-BO"/>
        </w:rPr>
        <w:t xml:space="preserve"> d</w:t>
      </w:r>
      <w:r w:rsidR="00FB1114">
        <w:rPr>
          <w:bCs/>
          <w:noProof/>
          <w:lang w:val="fr-FR" w:eastAsia="es-BO"/>
        </w:rPr>
        <w:t>’</w:t>
      </w:r>
      <w:r>
        <w:rPr>
          <w:bCs/>
          <w:noProof/>
          <w:lang w:val="fr-FR" w:eastAsia="es-BO"/>
        </w:rPr>
        <w:t>un mandat délivré par une autorité compétente</w:t>
      </w:r>
      <w:r w:rsidRPr="00DF456A">
        <w:rPr>
          <w:bCs/>
          <w:noProof/>
          <w:sz w:val="18"/>
          <w:szCs w:val="18"/>
          <w:vertAlign w:val="superscript"/>
          <w:lang w:val="fr-FR" w:eastAsia="es-BO"/>
        </w:rPr>
        <w:footnoteReference w:id="9"/>
      </w:r>
      <w:r w:rsidRPr="00DF456A">
        <w:rPr>
          <w:bCs/>
          <w:noProof/>
          <w:lang w:val="fr-FR" w:eastAsia="es-BO"/>
        </w:rPr>
        <w:t>.</w:t>
      </w:r>
    </w:p>
    <w:p w:rsidR="00614A7E" w:rsidRPr="00DF456A" w:rsidRDefault="00614A7E" w:rsidP="00614A7E">
      <w:pPr>
        <w:pStyle w:val="SingleTxtG"/>
        <w:rPr>
          <w:noProof/>
          <w:lang w:val="fr-FR" w:eastAsia="es-BO"/>
        </w:rPr>
      </w:pPr>
      <w:r w:rsidRPr="00DF456A">
        <w:rPr>
          <w:noProof/>
          <w:lang w:val="fr-FR" w:eastAsia="es-BO"/>
        </w:rPr>
        <w:t>10.</w:t>
      </w:r>
      <w:r w:rsidRPr="00DF456A">
        <w:rPr>
          <w:noProof/>
          <w:lang w:val="fr-FR" w:eastAsia="es-BO"/>
        </w:rPr>
        <w:tab/>
      </w:r>
      <w:r>
        <w:rPr>
          <w:noProof/>
          <w:lang w:val="fr-FR" w:eastAsia="es-BO"/>
        </w:rPr>
        <w:t>De même, et conformément à</w:t>
      </w:r>
      <w:r w:rsidRPr="00DF456A">
        <w:rPr>
          <w:noProof/>
          <w:lang w:val="fr-FR" w:eastAsia="es-BO"/>
        </w:rPr>
        <w:t xml:space="preserve"> la </w:t>
      </w:r>
      <w:r>
        <w:rPr>
          <w:noProof/>
          <w:lang w:val="fr-FR" w:eastAsia="es-BO"/>
        </w:rPr>
        <w:t xml:space="preserve">loi </w:t>
      </w:r>
      <w:r w:rsidR="00DB12E2" w:rsidRPr="00857F6E">
        <w:rPr>
          <w:rFonts w:eastAsia="MS Mincho"/>
          <w:noProof/>
          <w:szCs w:val="22"/>
          <w:lang w:val="fr-FR"/>
        </w:rPr>
        <w:t>n</w:t>
      </w:r>
      <w:r w:rsidR="00DB12E2" w:rsidRPr="00857F6E">
        <w:rPr>
          <w:rFonts w:eastAsia="MS Mincho"/>
          <w:noProof/>
          <w:szCs w:val="22"/>
          <w:vertAlign w:val="superscript"/>
          <w:lang w:val="fr-FR"/>
        </w:rPr>
        <w:t>o</w:t>
      </w:r>
      <w:r w:rsidR="00DB12E2">
        <w:rPr>
          <w:noProof/>
          <w:lang w:val="fr-FR"/>
        </w:rPr>
        <w:t> </w:t>
      </w:r>
      <w:r w:rsidRPr="00DF456A">
        <w:rPr>
          <w:noProof/>
          <w:lang w:val="fr-FR" w:eastAsia="es-BO"/>
        </w:rPr>
        <w:t>2298 d</w:t>
      </w:r>
      <w:r>
        <w:rPr>
          <w:noProof/>
          <w:lang w:val="fr-FR" w:eastAsia="es-BO"/>
        </w:rPr>
        <w:t>u</w:t>
      </w:r>
      <w:r w:rsidRPr="00DF456A">
        <w:rPr>
          <w:noProof/>
          <w:lang w:val="fr-FR" w:eastAsia="es-BO"/>
        </w:rPr>
        <w:t xml:space="preserve"> 20</w:t>
      </w:r>
      <w:r w:rsidR="00DB12E2">
        <w:rPr>
          <w:noProof/>
          <w:lang w:val="fr-FR" w:eastAsia="es-BO"/>
        </w:rPr>
        <w:t> </w:t>
      </w:r>
      <w:r w:rsidRPr="00DF456A">
        <w:rPr>
          <w:noProof/>
          <w:lang w:val="fr-FR" w:eastAsia="es-BO"/>
        </w:rPr>
        <w:t>d</w:t>
      </w:r>
      <w:r>
        <w:rPr>
          <w:noProof/>
          <w:lang w:val="fr-FR" w:eastAsia="es-BO"/>
        </w:rPr>
        <w:t>é</w:t>
      </w:r>
      <w:r w:rsidRPr="00DF456A">
        <w:rPr>
          <w:noProof/>
          <w:lang w:val="fr-FR" w:eastAsia="es-BO"/>
        </w:rPr>
        <w:t>cembre 2001</w:t>
      </w:r>
      <w:r>
        <w:rPr>
          <w:noProof/>
          <w:lang w:val="fr-FR" w:eastAsia="es-BO"/>
        </w:rPr>
        <w:t xml:space="preserve"> sur le suivi de l</w:t>
      </w:r>
      <w:r w:rsidR="00FB1114">
        <w:rPr>
          <w:noProof/>
          <w:lang w:val="fr-FR" w:eastAsia="es-BO"/>
        </w:rPr>
        <w:t>’</w:t>
      </w:r>
      <w:r>
        <w:rPr>
          <w:noProof/>
          <w:lang w:val="fr-FR" w:eastAsia="es-BO"/>
        </w:rPr>
        <w:t xml:space="preserve">exécution des peines </w:t>
      </w:r>
      <w:r w:rsidRPr="00DF456A">
        <w:rPr>
          <w:noProof/>
          <w:lang w:val="fr-FR" w:eastAsia="es-BO"/>
        </w:rPr>
        <w:t>(</w:t>
      </w:r>
      <w:r>
        <w:rPr>
          <w:noProof/>
          <w:lang w:val="fr-FR" w:eastAsia="es-BO"/>
        </w:rPr>
        <w:t>« loi</w:t>
      </w:r>
      <w:r w:rsidRPr="00DF456A">
        <w:rPr>
          <w:noProof/>
          <w:lang w:val="fr-FR" w:eastAsia="es-BO"/>
        </w:rPr>
        <w:t xml:space="preserve"> </w:t>
      </w:r>
      <w:r w:rsidR="00DB12E2" w:rsidRPr="00857F6E">
        <w:rPr>
          <w:rFonts w:eastAsia="MS Mincho"/>
          <w:noProof/>
          <w:szCs w:val="22"/>
          <w:lang w:val="fr-FR"/>
        </w:rPr>
        <w:t>n</w:t>
      </w:r>
      <w:r w:rsidR="00DB12E2" w:rsidRPr="00857F6E">
        <w:rPr>
          <w:rFonts w:eastAsia="MS Mincho"/>
          <w:noProof/>
          <w:szCs w:val="22"/>
          <w:vertAlign w:val="superscript"/>
          <w:lang w:val="fr-FR"/>
        </w:rPr>
        <w:t>o</w:t>
      </w:r>
      <w:r w:rsidR="00DB12E2">
        <w:rPr>
          <w:noProof/>
          <w:lang w:val="fr-FR"/>
        </w:rPr>
        <w:t> </w:t>
      </w:r>
      <w:r w:rsidRPr="00DF456A">
        <w:rPr>
          <w:noProof/>
          <w:lang w:val="fr-FR" w:eastAsia="es-BO"/>
        </w:rPr>
        <w:t>2298</w:t>
      </w:r>
      <w:r>
        <w:rPr>
          <w:noProof/>
          <w:lang w:val="fr-FR" w:eastAsia="es-BO"/>
        </w:rPr>
        <w:t> »</w:t>
      </w:r>
      <w:r w:rsidRPr="00DF456A">
        <w:rPr>
          <w:noProof/>
          <w:lang w:val="fr-FR" w:eastAsia="es-BO"/>
        </w:rPr>
        <w:t>) (</w:t>
      </w:r>
      <w:r>
        <w:rPr>
          <w:noProof/>
          <w:lang w:val="fr-FR" w:eastAsia="es-BO"/>
        </w:rPr>
        <w:t>annexe</w:t>
      </w:r>
      <w:r w:rsidR="00DB12E2">
        <w:rPr>
          <w:noProof/>
          <w:lang w:val="fr-FR" w:eastAsia="es-BO"/>
        </w:rPr>
        <w:t> </w:t>
      </w:r>
      <w:r w:rsidRPr="00DF456A">
        <w:rPr>
          <w:noProof/>
          <w:lang w:val="fr-FR" w:eastAsia="es-BO"/>
        </w:rPr>
        <w:t>1), la d</w:t>
      </w:r>
      <w:r>
        <w:rPr>
          <w:noProof/>
          <w:lang w:val="fr-FR" w:eastAsia="es-BO"/>
        </w:rPr>
        <w:t>é</w:t>
      </w:r>
      <w:r w:rsidRPr="00DF456A">
        <w:rPr>
          <w:noProof/>
          <w:lang w:val="fr-FR" w:eastAsia="es-BO"/>
        </w:rPr>
        <w:t>ten</w:t>
      </w:r>
      <w:r>
        <w:rPr>
          <w:noProof/>
          <w:lang w:val="fr-FR" w:eastAsia="es-BO"/>
        </w:rPr>
        <w:t>tion provisoire est régie par le principe de la présomption d</w:t>
      </w:r>
      <w:r w:rsidR="00FB1114">
        <w:rPr>
          <w:noProof/>
          <w:lang w:val="fr-FR" w:eastAsia="es-BO"/>
        </w:rPr>
        <w:t>’</w:t>
      </w:r>
      <w:r>
        <w:rPr>
          <w:noProof/>
          <w:lang w:val="fr-FR" w:eastAsia="es-BO"/>
        </w:rPr>
        <w:t>innocence</w:t>
      </w:r>
      <w:r w:rsidRPr="00DF456A">
        <w:rPr>
          <w:noProof/>
          <w:lang w:val="fr-FR" w:eastAsia="es-BO"/>
        </w:rPr>
        <w:t xml:space="preserve">, </w:t>
      </w:r>
      <w:r>
        <w:rPr>
          <w:noProof/>
          <w:lang w:val="fr-FR" w:eastAsia="es-BO"/>
        </w:rPr>
        <w:t>qui vise à éviter toute obstruction de la procédure et à garantir la présence de l</w:t>
      </w:r>
      <w:r w:rsidR="00FB1114">
        <w:rPr>
          <w:noProof/>
          <w:lang w:val="fr-FR" w:eastAsia="es-BO"/>
        </w:rPr>
        <w:t>’</w:t>
      </w:r>
      <w:r>
        <w:rPr>
          <w:noProof/>
          <w:lang w:val="fr-FR" w:eastAsia="es-BO"/>
        </w:rPr>
        <w:t>inculpé dans toutes les procédures judiciaires</w:t>
      </w:r>
      <w:r w:rsidRPr="00DF456A">
        <w:rPr>
          <w:noProof/>
          <w:sz w:val="18"/>
          <w:szCs w:val="18"/>
          <w:vertAlign w:val="superscript"/>
          <w:lang w:val="fr-FR" w:eastAsia="es-BO"/>
        </w:rPr>
        <w:footnoteReference w:id="10"/>
      </w:r>
      <w:r w:rsidRPr="00DF456A">
        <w:rPr>
          <w:noProof/>
          <w:lang w:val="fr-FR" w:eastAsia="es-BO"/>
        </w:rPr>
        <w:t>.</w:t>
      </w:r>
    </w:p>
    <w:p w:rsidR="00614A7E" w:rsidRPr="00DF456A" w:rsidRDefault="00614A7E" w:rsidP="00614A7E">
      <w:pPr>
        <w:pStyle w:val="SingleTxtG"/>
        <w:rPr>
          <w:noProof/>
          <w:lang w:val="fr-FR" w:eastAsia="es-BO"/>
        </w:rPr>
      </w:pPr>
      <w:r w:rsidRPr="00DF456A">
        <w:rPr>
          <w:noProof/>
          <w:lang w:val="fr-FR" w:eastAsia="es-BO"/>
        </w:rPr>
        <w:t>11.</w:t>
      </w:r>
      <w:r w:rsidRPr="00DF456A">
        <w:rPr>
          <w:noProof/>
          <w:lang w:val="fr-FR" w:eastAsia="es-BO"/>
        </w:rPr>
        <w:tab/>
      </w:r>
      <w:r>
        <w:rPr>
          <w:noProof/>
          <w:lang w:val="fr-FR" w:eastAsia="es-BO"/>
        </w:rPr>
        <w:t>Compte tenu de ce qui précède</w:t>
      </w:r>
      <w:r w:rsidRPr="00DF456A">
        <w:rPr>
          <w:noProof/>
          <w:lang w:val="fr-FR" w:eastAsia="es-BO"/>
        </w:rPr>
        <w:t xml:space="preserve">, </w:t>
      </w:r>
      <w:r>
        <w:rPr>
          <w:noProof/>
          <w:lang w:val="fr-FR" w:eastAsia="es-BO"/>
        </w:rPr>
        <w:t>l</w:t>
      </w:r>
      <w:r w:rsidR="00FB1114">
        <w:rPr>
          <w:noProof/>
          <w:lang w:val="fr-FR" w:eastAsia="es-BO"/>
        </w:rPr>
        <w:t>’</w:t>
      </w:r>
      <w:r>
        <w:rPr>
          <w:noProof/>
          <w:lang w:val="fr-FR" w:eastAsia="es-BO"/>
        </w:rPr>
        <w:t>article</w:t>
      </w:r>
      <w:r w:rsidR="00DB12E2">
        <w:rPr>
          <w:noProof/>
          <w:lang w:val="fr-FR" w:eastAsia="es-BO"/>
        </w:rPr>
        <w:t> </w:t>
      </w:r>
      <w:r w:rsidRPr="00DF456A">
        <w:rPr>
          <w:noProof/>
          <w:lang w:val="fr-FR" w:eastAsia="es-BO"/>
        </w:rPr>
        <w:t>73 de la Constitu</w:t>
      </w:r>
      <w:r>
        <w:rPr>
          <w:noProof/>
          <w:lang w:val="fr-FR" w:eastAsia="es-BO"/>
        </w:rPr>
        <w:t>tion</w:t>
      </w:r>
      <w:r w:rsidRPr="00DF456A">
        <w:rPr>
          <w:noProof/>
          <w:sz w:val="18"/>
          <w:szCs w:val="18"/>
          <w:vertAlign w:val="superscript"/>
          <w:lang w:val="fr-FR" w:eastAsia="es-BO"/>
        </w:rPr>
        <w:footnoteReference w:id="11"/>
      </w:r>
      <w:r w:rsidRPr="00DF456A">
        <w:rPr>
          <w:noProof/>
          <w:lang w:val="fr-FR" w:eastAsia="es-BO"/>
        </w:rPr>
        <w:t xml:space="preserve"> </w:t>
      </w:r>
      <w:r>
        <w:rPr>
          <w:noProof/>
          <w:lang w:val="fr-FR" w:eastAsia="es-BO"/>
        </w:rPr>
        <w:t xml:space="preserve">dispose que </w:t>
      </w:r>
      <w:r w:rsidRPr="00A10273">
        <w:rPr>
          <w:noProof/>
          <w:lang w:val="fr-FR"/>
        </w:rPr>
        <w:t xml:space="preserve">toute personne soumise à une quelconque forme de privation de liberté doit être traitée avec le respect dû à la dignité humaine et dans le respect de ses droits, </w:t>
      </w:r>
      <w:r>
        <w:rPr>
          <w:noProof/>
          <w:lang w:val="fr-FR"/>
        </w:rPr>
        <w:t>y compris le</w:t>
      </w:r>
      <w:r w:rsidRPr="00A10273">
        <w:rPr>
          <w:noProof/>
          <w:lang w:val="fr-FR"/>
        </w:rPr>
        <w:t xml:space="preserve"> droit de communiquer librement avec son conseil, son interprète, les membres de sa famille</w:t>
      </w:r>
      <w:r>
        <w:rPr>
          <w:noProof/>
          <w:lang w:val="fr-FR" w:eastAsia="es-BO"/>
        </w:rPr>
        <w:t xml:space="preserve"> et</w:t>
      </w:r>
      <w:r w:rsidRPr="00EF0506">
        <w:rPr>
          <w:noProof/>
          <w:lang w:val="fr-FR"/>
        </w:rPr>
        <w:t xml:space="preserve"> </w:t>
      </w:r>
      <w:r>
        <w:rPr>
          <w:noProof/>
          <w:lang w:val="fr-FR"/>
        </w:rPr>
        <w:t>ses proches.</w:t>
      </w:r>
    </w:p>
    <w:p w:rsidR="00614A7E" w:rsidRPr="00DF456A" w:rsidRDefault="00614A7E" w:rsidP="00614A7E">
      <w:pPr>
        <w:pStyle w:val="SingleTxtG"/>
        <w:rPr>
          <w:noProof/>
          <w:lang w:val="fr-FR" w:eastAsia="es-BO"/>
        </w:rPr>
      </w:pPr>
      <w:r w:rsidRPr="00DF456A">
        <w:rPr>
          <w:noProof/>
          <w:lang w:val="fr-FR" w:eastAsia="es-BO"/>
        </w:rPr>
        <w:t>12.</w:t>
      </w:r>
      <w:r w:rsidRPr="00DF456A">
        <w:rPr>
          <w:noProof/>
          <w:lang w:val="fr-FR" w:eastAsia="es-BO"/>
        </w:rPr>
        <w:tab/>
      </w:r>
      <w:r>
        <w:rPr>
          <w:noProof/>
          <w:lang w:val="fr-FR" w:eastAsia="es-BO"/>
        </w:rPr>
        <w:t>De même,</w:t>
      </w:r>
      <w:r w:rsidRPr="00DF456A">
        <w:rPr>
          <w:noProof/>
          <w:lang w:val="fr-FR" w:eastAsia="es-BO"/>
        </w:rPr>
        <w:t xml:space="preserve"> la </w:t>
      </w:r>
      <w:r>
        <w:rPr>
          <w:noProof/>
          <w:lang w:val="fr-FR" w:eastAsia="es-BO"/>
        </w:rPr>
        <w:t xml:space="preserve">loi </w:t>
      </w:r>
      <w:r w:rsidR="00DB12E2" w:rsidRPr="00857F6E">
        <w:rPr>
          <w:rFonts w:eastAsia="MS Mincho"/>
          <w:noProof/>
          <w:szCs w:val="22"/>
          <w:lang w:val="fr-FR"/>
        </w:rPr>
        <w:t>n</w:t>
      </w:r>
      <w:r w:rsidR="00DB12E2" w:rsidRPr="00857F6E">
        <w:rPr>
          <w:rFonts w:eastAsia="MS Mincho"/>
          <w:noProof/>
          <w:szCs w:val="22"/>
          <w:vertAlign w:val="superscript"/>
          <w:lang w:val="fr-FR"/>
        </w:rPr>
        <w:t>o</w:t>
      </w:r>
      <w:r w:rsidR="00DB12E2">
        <w:rPr>
          <w:noProof/>
          <w:lang w:val="fr-FR"/>
        </w:rPr>
        <w:t> </w:t>
      </w:r>
      <w:r w:rsidRPr="00DF456A">
        <w:rPr>
          <w:noProof/>
          <w:lang w:val="fr-FR" w:eastAsia="es-BO"/>
        </w:rPr>
        <w:t xml:space="preserve">2298 </w:t>
      </w:r>
      <w:r>
        <w:rPr>
          <w:noProof/>
          <w:lang w:val="fr-FR" w:eastAsia="es-BO"/>
        </w:rPr>
        <w:t>interdit tout acte de torture dans les établissements pénitentiaires et impose de respecter la dignité humaine, les garanties constitutionnelles et les droits des personnes privées de liberté</w:t>
      </w:r>
      <w:r w:rsidRPr="00DF456A">
        <w:rPr>
          <w:noProof/>
          <w:sz w:val="18"/>
          <w:szCs w:val="18"/>
          <w:vertAlign w:val="superscript"/>
          <w:lang w:val="fr-FR" w:eastAsia="es-BO"/>
        </w:rPr>
        <w:footnoteReference w:id="12"/>
      </w:r>
      <w:r w:rsidRPr="00DF456A">
        <w:rPr>
          <w:noProof/>
          <w:lang w:val="fr-FR" w:eastAsia="es-BO"/>
        </w:rPr>
        <w:t>.</w:t>
      </w:r>
    </w:p>
    <w:p w:rsidR="00614A7E" w:rsidRPr="00DF456A" w:rsidRDefault="00614A7E" w:rsidP="00614A7E">
      <w:pPr>
        <w:pStyle w:val="SingleTxtG"/>
        <w:rPr>
          <w:noProof/>
          <w:lang w:val="fr-FR" w:eastAsia="es-BO"/>
        </w:rPr>
      </w:pPr>
      <w:r w:rsidRPr="00DF456A">
        <w:rPr>
          <w:noProof/>
          <w:lang w:val="fr-FR" w:eastAsia="es-BO"/>
        </w:rPr>
        <w:t>13.</w:t>
      </w:r>
      <w:r w:rsidRPr="00DF456A">
        <w:rPr>
          <w:noProof/>
          <w:lang w:val="fr-FR" w:eastAsia="es-BO"/>
        </w:rPr>
        <w:tab/>
      </w:r>
      <w:r w:rsidRPr="00C3315A">
        <w:rPr>
          <w:noProof/>
          <w:lang w:val="fr-FR" w:eastAsia="es-BO"/>
        </w:rPr>
        <w:t>L</w:t>
      </w:r>
      <w:r w:rsidR="00FB1114" w:rsidRPr="00C3315A">
        <w:rPr>
          <w:noProof/>
          <w:lang w:val="fr-FR" w:eastAsia="es-BO"/>
        </w:rPr>
        <w:t>’</w:t>
      </w:r>
      <w:r w:rsidRPr="00C3315A">
        <w:rPr>
          <w:noProof/>
          <w:lang w:val="fr-FR" w:eastAsia="es-BO"/>
        </w:rPr>
        <w:t xml:space="preserve">État a promulgué la loi </w:t>
      </w:r>
      <w:r w:rsidR="00DB12E2" w:rsidRPr="00C3315A">
        <w:rPr>
          <w:rFonts w:eastAsia="MS Mincho"/>
          <w:noProof/>
          <w:szCs w:val="22"/>
          <w:lang w:val="fr-FR"/>
        </w:rPr>
        <w:t>n</w:t>
      </w:r>
      <w:r w:rsidR="00DB12E2" w:rsidRPr="00C3315A">
        <w:rPr>
          <w:rFonts w:eastAsia="MS Mincho"/>
          <w:noProof/>
          <w:szCs w:val="22"/>
          <w:vertAlign w:val="superscript"/>
          <w:lang w:val="fr-FR"/>
        </w:rPr>
        <w:t>o</w:t>
      </w:r>
      <w:r w:rsidR="00DB12E2" w:rsidRPr="00C3315A">
        <w:rPr>
          <w:noProof/>
          <w:lang w:val="fr-FR"/>
        </w:rPr>
        <w:t> </w:t>
      </w:r>
      <w:r w:rsidRPr="00C3315A">
        <w:rPr>
          <w:noProof/>
          <w:lang w:val="fr-FR" w:eastAsia="es-BO"/>
        </w:rPr>
        <w:t>586 du 30</w:t>
      </w:r>
      <w:r w:rsidR="00DB12E2" w:rsidRPr="00C3315A">
        <w:rPr>
          <w:noProof/>
          <w:lang w:val="fr-FR" w:eastAsia="es-BO"/>
        </w:rPr>
        <w:t> </w:t>
      </w:r>
      <w:r w:rsidRPr="00C3315A">
        <w:rPr>
          <w:noProof/>
          <w:lang w:val="fr-FR" w:eastAsia="es-BO"/>
        </w:rPr>
        <w:t xml:space="preserve">octobre 2014 sur </w:t>
      </w:r>
      <w:r w:rsidRPr="00C3315A">
        <w:rPr>
          <w:noProof/>
          <w:lang w:val="fr-FR"/>
        </w:rPr>
        <w:t>les moyens de décongestionner et de rendre opérationnel le système de procédure pénale</w:t>
      </w:r>
      <w:r w:rsidRPr="00C3315A">
        <w:rPr>
          <w:noProof/>
          <w:lang w:val="fr-FR" w:eastAsia="es-BO"/>
        </w:rPr>
        <w:t xml:space="preserve"> (« loi </w:t>
      </w:r>
      <w:r w:rsidR="00DB12E2" w:rsidRPr="00C3315A">
        <w:rPr>
          <w:rFonts w:eastAsia="MS Mincho"/>
          <w:noProof/>
          <w:szCs w:val="22"/>
          <w:lang w:val="fr-FR"/>
        </w:rPr>
        <w:t>n</w:t>
      </w:r>
      <w:r w:rsidR="00DB12E2" w:rsidRPr="00C3315A">
        <w:rPr>
          <w:rFonts w:eastAsia="MS Mincho"/>
          <w:noProof/>
          <w:szCs w:val="22"/>
          <w:vertAlign w:val="superscript"/>
          <w:lang w:val="fr-FR"/>
        </w:rPr>
        <w:t>o</w:t>
      </w:r>
      <w:r w:rsidR="00DB12E2" w:rsidRPr="00C3315A">
        <w:rPr>
          <w:noProof/>
          <w:lang w:val="fr-FR"/>
        </w:rPr>
        <w:t> </w:t>
      </w:r>
      <w:r w:rsidRPr="00C3315A">
        <w:rPr>
          <w:noProof/>
          <w:lang w:val="fr-FR" w:eastAsia="es-BO"/>
        </w:rPr>
        <w:t>586 ») (annexe</w:t>
      </w:r>
      <w:r w:rsidR="00DB12E2" w:rsidRPr="00C3315A">
        <w:rPr>
          <w:noProof/>
          <w:lang w:val="fr-FR" w:eastAsia="es-BO"/>
        </w:rPr>
        <w:t> </w:t>
      </w:r>
      <w:r w:rsidRPr="00C3315A">
        <w:rPr>
          <w:noProof/>
          <w:lang w:val="fr-FR" w:eastAsia="es-BO"/>
        </w:rPr>
        <w:t>2), qui « introduit des procédures pour accélérer l</w:t>
      </w:r>
      <w:r w:rsidR="00FB1114" w:rsidRPr="00C3315A">
        <w:rPr>
          <w:noProof/>
          <w:lang w:val="fr-FR" w:eastAsia="es-BO"/>
        </w:rPr>
        <w:t>’</w:t>
      </w:r>
      <w:r w:rsidRPr="00C3315A">
        <w:rPr>
          <w:noProof/>
          <w:lang w:val="fr-FR" w:eastAsia="es-BO"/>
        </w:rPr>
        <w:t>examen des affaires pénales afin de décongestionner le système pénal et de réduire le retard pris dans cet examen et, ce faisant, de garantir une justice rapide, diligente et efficace dans le cadre de la Constitution »</w:t>
      </w:r>
      <w:r w:rsidRPr="00C3315A">
        <w:rPr>
          <w:iCs/>
          <w:noProof/>
          <w:sz w:val="18"/>
          <w:szCs w:val="18"/>
          <w:vertAlign w:val="superscript"/>
          <w:lang w:val="fr-FR" w:eastAsia="es-BO"/>
        </w:rPr>
        <w:footnoteReference w:id="13"/>
      </w:r>
      <w:r w:rsidRPr="00C3315A">
        <w:rPr>
          <w:noProof/>
          <w:lang w:val="fr-FR" w:eastAsia="es-BO"/>
        </w:rPr>
        <w:t>, établit le principe de diligence ainsi que des règles relatives à la durée maximale des procédures dans</w:t>
      </w:r>
      <w:bookmarkStart w:id="1" w:name="_GoBack"/>
      <w:bookmarkEnd w:id="1"/>
      <w:r w:rsidRPr="00C3315A">
        <w:rPr>
          <w:noProof/>
          <w:lang w:val="fr-FR" w:eastAsia="es-BO"/>
        </w:rPr>
        <w:t xml:space="preserve"> le cadre des dispositions conventionnelles, modifie en partie la loi </w:t>
      </w:r>
      <w:r w:rsidR="00493508" w:rsidRPr="00C3315A">
        <w:rPr>
          <w:rFonts w:eastAsia="MS Mincho"/>
          <w:noProof/>
          <w:szCs w:val="22"/>
          <w:lang w:val="fr-FR"/>
        </w:rPr>
        <w:t>n</w:t>
      </w:r>
      <w:r w:rsidR="00493508" w:rsidRPr="00C3315A">
        <w:rPr>
          <w:rFonts w:eastAsia="MS Mincho"/>
          <w:noProof/>
          <w:szCs w:val="22"/>
          <w:vertAlign w:val="superscript"/>
          <w:lang w:val="fr-FR"/>
        </w:rPr>
        <w:t>o</w:t>
      </w:r>
      <w:r w:rsidR="00493508" w:rsidRPr="00C3315A">
        <w:rPr>
          <w:noProof/>
          <w:lang w:val="fr-FR"/>
        </w:rPr>
        <w:t> </w:t>
      </w:r>
      <w:r w:rsidRPr="00C3315A">
        <w:rPr>
          <w:iCs/>
          <w:noProof/>
          <w:lang w:val="fr-FR"/>
        </w:rPr>
        <w:t>1970 du 25</w:t>
      </w:r>
      <w:r w:rsidR="00493508">
        <w:rPr>
          <w:iCs/>
          <w:noProof/>
          <w:lang w:val="fr-FR"/>
        </w:rPr>
        <w:t> </w:t>
      </w:r>
      <w:r w:rsidRPr="00DF456A">
        <w:rPr>
          <w:iCs/>
          <w:noProof/>
          <w:lang w:val="fr-FR"/>
        </w:rPr>
        <w:t>mar</w:t>
      </w:r>
      <w:r>
        <w:rPr>
          <w:iCs/>
          <w:noProof/>
          <w:lang w:val="fr-FR"/>
        </w:rPr>
        <w:t>s</w:t>
      </w:r>
      <w:r w:rsidRPr="00DF456A">
        <w:rPr>
          <w:iCs/>
          <w:noProof/>
          <w:lang w:val="fr-FR"/>
        </w:rPr>
        <w:t xml:space="preserve"> 1999</w:t>
      </w:r>
      <w:r>
        <w:rPr>
          <w:iCs/>
          <w:noProof/>
          <w:lang w:val="fr-FR"/>
        </w:rPr>
        <w:t xml:space="preserve"> portant institution du</w:t>
      </w:r>
      <w:r w:rsidRPr="00DF456A">
        <w:rPr>
          <w:iCs/>
          <w:noProof/>
          <w:lang w:val="fr-FR"/>
        </w:rPr>
        <w:t xml:space="preserve"> C</w:t>
      </w:r>
      <w:r>
        <w:rPr>
          <w:iCs/>
          <w:noProof/>
          <w:lang w:val="fr-FR"/>
        </w:rPr>
        <w:t xml:space="preserve">ode de procédure pénale </w:t>
      </w:r>
      <w:r w:rsidRPr="00DF456A">
        <w:rPr>
          <w:rFonts w:eastAsia="Calibri"/>
          <w:noProof/>
          <w:lang w:val="fr-FR" w:eastAsia="es-BO"/>
        </w:rPr>
        <w:t>(</w:t>
      </w:r>
      <w:r>
        <w:rPr>
          <w:rFonts w:eastAsia="Calibri"/>
          <w:noProof/>
          <w:lang w:val="fr-FR" w:eastAsia="es-BO"/>
        </w:rPr>
        <w:t>annexe</w:t>
      </w:r>
      <w:r w:rsidR="00493508">
        <w:rPr>
          <w:rFonts w:eastAsia="Calibri"/>
          <w:noProof/>
          <w:lang w:val="fr-FR" w:eastAsia="es-BO"/>
        </w:rPr>
        <w:t> </w:t>
      </w:r>
      <w:r w:rsidRPr="00DF456A">
        <w:rPr>
          <w:rFonts w:eastAsia="Calibri"/>
          <w:noProof/>
          <w:lang w:val="fr-FR" w:eastAsia="es-BO"/>
        </w:rPr>
        <w:t>3)</w:t>
      </w:r>
      <w:r w:rsidRPr="00DF456A">
        <w:rPr>
          <w:noProof/>
          <w:lang w:val="fr-FR" w:eastAsia="es-BO"/>
        </w:rPr>
        <w:t xml:space="preserve">, </w:t>
      </w:r>
      <w:r>
        <w:rPr>
          <w:noProof/>
          <w:lang w:val="fr-FR" w:eastAsia="es-BO"/>
        </w:rPr>
        <w:t>en ce qui concerne la création de tribunaux inférieurs composés de trois juges techniques ayant compétence pour conduire le procès et prononcer un jugement dans tous les cas d</w:t>
      </w:r>
      <w:r w:rsidR="00FB1114">
        <w:rPr>
          <w:noProof/>
          <w:lang w:val="fr-FR" w:eastAsia="es-BO"/>
        </w:rPr>
        <w:t>’</w:t>
      </w:r>
      <w:r>
        <w:rPr>
          <w:noProof/>
          <w:lang w:val="fr-FR" w:eastAsia="es-BO"/>
        </w:rPr>
        <w:t>infractions entraînant la mise en mouvement de l</w:t>
      </w:r>
      <w:r w:rsidR="00FB1114">
        <w:rPr>
          <w:noProof/>
          <w:lang w:val="fr-FR" w:eastAsia="es-BO"/>
        </w:rPr>
        <w:t>’</w:t>
      </w:r>
      <w:r>
        <w:rPr>
          <w:noProof/>
          <w:lang w:val="fr-FR" w:eastAsia="es-BO"/>
        </w:rPr>
        <w:t>action publique, ces juges techniques remplaçant les trois juges non professionnels comme le prévoyait l</w:t>
      </w:r>
      <w:r w:rsidR="00FB1114">
        <w:rPr>
          <w:noProof/>
          <w:lang w:val="fr-FR" w:eastAsia="es-BO"/>
        </w:rPr>
        <w:t>’</w:t>
      </w:r>
      <w:r>
        <w:rPr>
          <w:noProof/>
          <w:lang w:val="fr-FR" w:eastAsia="es-BO"/>
        </w:rPr>
        <w:t>article</w:t>
      </w:r>
      <w:r w:rsidR="00493508">
        <w:rPr>
          <w:noProof/>
          <w:lang w:val="fr-FR" w:eastAsia="es-BO"/>
        </w:rPr>
        <w:t> </w:t>
      </w:r>
      <w:r w:rsidRPr="00DF456A">
        <w:rPr>
          <w:noProof/>
          <w:lang w:val="fr-FR" w:eastAsia="es-BO"/>
        </w:rPr>
        <w:t xml:space="preserve">60 de la </w:t>
      </w:r>
      <w:r>
        <w:rPr>
          <w:noProof/>
          <w:lang w:val="fr-FR" w:eastAsia="es-BO"/>
        </w:rPr>
        <w:t xml:space="preserve">loi </w:t>
      </w:r>
      <w:r w:rsidR="00493508" w:rsidRPr="00857F6E">
        <w:rPr>
          <w:rFonts w:eastAsia="MS Mincho"/>
          <w:noProof/>
          <w:szCs w:val="22"/>
          <w:lang w:val="fr-FR"/>
        </w:rPr>
        <w:t>n</w:t>
      </w:r>
      <w:r w:rsidR="00493508" w:rsidRPr="00857F6E">
        <w:rPr>
          <w:rFonts w:eastAsia="MS Mincho"/>
          <w:noProof/>
          <w:szCs w:val="22"/>
          <w:vertAlign w:val="superscript"/>
          <w:lang w:val="fr-FR"/>
        </w:rPr>
        <w:t>o</w:t>
      </w:r>
      <w:r w:rsidR="00493508">
        <w:rPr>
          <w:noProof/>
          <w:lang w:val="fr-FR"/>
        </w:rPr>
        <w:t> </w:t>
      </w:r>
      <w:r w:rsidRPr="00DF456A">
        <w:rPr>
          <w:noProof/>
          <w:lang w:val="fr-FR" w:eastAsia="es-BO"/>
        </w:rPr>
        <w:t>025 d</w:t>
      </w:r>
      <w:r>
        <w:rPr>
          <w:noProof/>
          <w:lang w:val="fr-FR" w:eastAsia="es-BO"/>
        </w:rPr>
        <w:t>u</w:t>
      </w:r>
      <w:r w:rsidRPr="00DF456A">
        <w:rPr>
          <w:noProof/>
          <w:lang w:val="fr-FR" w:eastAsia="es-BO"/>
        </w:rPr>
        <w:t xml:space="preserve"> 24</w:t>
      </w:r>
      <w:r w:rsidR="00493508">
        <w:rPr>
          <w:noProof/>
          <w:lang w:val="fr-FR" w:eastAsia="es-BO"/>
        </w:rPr>
        <w:t> </w:t>
      </w:r>
      <w:r>
        <w:rPr>
          <w:noProof/>
          <w:lang w:val="fr-FR" w:eastAsia="es-BO"/>
        </w:rPr>
        <w:t xml:space="preserve">juin </w:t>
      </w:r>
      <w:r w:rsidRPr="00DF456A">
        <w:rPr>
          <w:noProof/>
          <w:lang w:val="fr-FR" w:eastAsia="es-BO"/>
        </w:rPr>
        <w:t>2010</w:t>
      </w:r>
      <w:r>
        <w:rPr>
          <w:noProof/>
          <w:lang w:val="fr-FR" w:eastAsia="es-BO"/>
        </w:rPr>
        <w:t xml:space="preserve"> sur l</w:t>
      </w:r>
      <w:r w:rsidR="00FB1114">
        <w:rPr>
          <w:noProof/>
          <w:lang w:val="fr-FR" w:eastAsia="es-BO"/>
        </w:rPr>
        <w:t>’</w:t>
      </w:r>
      <w:r>
        <w:rPr>
          <w:noProof/>
          <w:lang w:val="fr-FR" w:eastAsia="es-BO"/>
        </w:rPr>
        <w:t>appareil judiciaire</w:t>
      </w:r>
      <w:r w:rsidRPr="00DF456A">
        <w:rPr>
          <w:noProof/>
          <w:lang w:val="fr-FR" w:eastAsia="es-BO"/>
        </w:rPr>
        <w:t xml:space="preserve"> (</w:t>
      </w:r>
      <w:r>
        <w:rPr>
          <w:noProof/>
          <w:lang w:val="fr-FR" w:eastAsia="es-BO"/>
        </w:rPr>
        <w:t>annexe</w:t>
      </w:r>
      <w:r w:rsidRPr="00DF456A">
        <w:rPr>
          <w:noProof/>
          <w:lang w:val="fr-FR" w:eastAsia="es-BO"/>
        </w:rPr>
        <w:t xml:space="preserve"> 4)</w:t>
      </w:r>
      <w:r w:rsidR="00493508">
        <w:rPr>
          <w:noProof/>
          <w:lang w:val="fr-FR" w:eastAsia="es-BO"/>
        </w:rPr>
        <w:t> </w:t>
      </w:r>
      <w:r w:rsidRPr="00DF456A">
        <w:rPr>
          <w:noProof/>
          <w:lang w:val="fr-FR" w:eastAsia="es-BO"/>
        </w:rPr>
        <w:t xml:space="preserve">; </w:t>
      </w:r>
      <w:r>
        <w:rPr>
          <w:noProof/>
          <w:lang w:val="fr-FR" w:eastAsia="es-BO"/>
        </w:rPr>
        <w:t xml:space="preserve">la loi </w:t>
      </w:r>
      <w:r w:rsidR="00493508" w:rsidRPr="00857F6E">
        <w:rPr>
          <w:rFonts w:eastAsia="MS Mincho"/>
          <w:noProof/>
          <w:szCs w:val="22"/>
          <w:lang w:val="fr-FR"/>
        </w:rPr>
        <w:t>n</w:t>
      </w:r>
      <w:r w:rsidR="00493508" w:rsidRPr="00857F6E">
        <w:rPr>
          <w:rFonts w:eastAsia="MS Mincho"/>
          <w:noProof/>
          <w:szCs w:val="22"/>
          <w:vertAlign w:val="superscript"/>
          <w:lang w:val="fr-FR"/>
        </w:rPr>
        <w:t>o</w:t>
      </w:r>
      <w:r w:rsidR="00493508">
        <w:rPr>
          <w:noProof/>
          <w:lang w:val="fr-FR"/>
        </w:rPr>
        <w:t> </w:t>
      </w:r>
      <w:r>
        <w:rPr>
          <w:noProof/>
          <w:lang w:val="fr-FR" w:eastAsia="es-BO"/>
        </w:rPr>
        <w:t xml:space="preserve">586 prévoit également de mettre fin à la détention provisoire dans les cas suivants </w:t>
      </w:r>
      <w:r w:rsidRPr="00DF456A">
        <w:rPr>
          <w:noProof/>
          <w:lang w:val="fr-FR" w:eastAsia="es-BO"/>
        </w:rPr>
        <w:t>:</w:t>
      </w:r>
    </w:p>
    <w:p w:rsidR="00614A7E" w:rsidRPr="00E36FB3" w:rsidRDefault="00614A7E" w:rsidP="00E36FB3">
      <w:pPr>
        <w:pStyle w:val="Bullet1G"/>
      </w:pPr>
      <w:r w:rsidRPr="00DF456A">
        <w:rPr>
          <w:noProof/>
          <w:lang w:val="fr-FR"/>
        </w:rPr>
        <w:lastRenderedPageBreak/>
        <w:t>S</w:t>
      </w:r>
      <w:r>
        <w:rPr>
          <w:noProof/>
          <w:lang w:val="fr-FR"/>
        </w:rPr>
        <w:t>a durée est supérieure a</w:t>
      </w:r>
      <w:r w:rsidRPr="00DF456A">
        <w:rPr>
          <w:noProof/>
          <w:lang w:val="fr-FR"/>
        </w:rPr>
        <w:t xml:space="preserve">u </w:t>
      </w:r>
      <w:r>
        <w:rPr>
          <w:noProof/>
          <w:lang w:val="fr-FR"/>
        </w:rPr>
        <w:t>minimum légal de la sanction pénale fixée pour l</w:t>
      </w:r>
      <w:r w:rsidR="00FB1114">
        <w:rPr>
          <w:noProof/>
          <w:lang w:val="fr-FR"/>
        </w:rPr>
        <w:t>’</w:t>
      </w:r>
      <w:r>
        <w:rPr>
          <w:noProof/>
          <w:lang w:val="fr-FR"/>
        </w:rPr>
        <w:t xml:space="preserve">infraction la </w:t>
      </w:r>
      <w:r w:rsidRPr="00E36FB3">
        <w:t>plus grave faisant l</w:t>
      </w:r>
      <w:r w:rsidR="00FB1114">
        <w:t>’</w:t>
      </w:r>
      <w:r w:rsidRPr="00E36FB3">
        <w:t>objet d</w:t>
      </w:r>
      <w:r w:rsidR="00FB1114">
        <w:t>’</w:t>
      </w:r>
      <w:r w:rsidRPr="00E36FB3">
        <w:t>un jugement ;</w:t>
      </w:r>
    </w:p>
    <w:p w:rsidR="00614A7E" w:rsidRPr="00E36FB3" w:rsidRDefault="00614A7E" w:rsidP="00E36FB3">
      <w:pPr>
        <w:pStyle w:val="Bullet1G"/>
      </w:pPr>
      <w:r w:rsidRPr="00E36FB3">
        <w:t>Elle dure depuis plus de douze mois sans que la personne ait été inculpée ou de vingt-quatre mois sans qu</w:t>
      </w:r>
      <w:r w:rsidR="00FB1114">
        <w:t>’</w:t>
      </w:r>
      <w:r w:rsidRPr="00E36FB3">
        <w:t>un jugement ait été rendu, sauf en cas d</w:t>
      </w:r>
      <w:r w:rsidR="00FB1114">
        <w:t>’</w:t>
      </w:r>
      <w:r w:rsidRPr="00E36FB3">
        <w:t>infractions de corruption, d</w:t>
      </w:r>
      <w:r w:rsidR="00FB1114">
        <w:t>’</w:t>
      </w:r>
      <w:r w:rsidRPr="00E36FB3">
        <w:t>atteinte à la sûreté de l</w:t>
      </w:r>
      <w:r w:rsidR="00FB1114">
        <w:t>’</w:t>
      </w:r>
      <w:r w:rsidRPr="00E36FB3">
        <w:t>État, de féminicide, d</w:t>
      </w:r>
      <w:r w:rsidR="00FB1114">
        <w:t>’</w:t>
      </w:r>
      <w:r w:rsidRPr="00E36FB3">
        <w:t>homicide volontaire, de viol de nourrisson, de petite fille, de petit garçon ou d</w:t>
      </w:r>
      <w:r w:rsidR="00FB1114">
        <w:t>’</w:t>
      </w:r>
      <w:r w:rsidRPr="00E36FB3">
        <w:t>adolescent(e), et d</w:t>
      </w:r>
      <w:r w:rsidR="00FB1114">
        <w:t>’</w:t>
      </w:r>
      <w:r w:rsidRPr="00E36FB3">
        <w:t>infanticide ;</w:t>
      </w:r>
    </w:p>
    <w:p w:rsidR="00614A7E" w:rsidRPr="00DF456A" w:rsidRDefault="00614A7E" w:rsidP="00E36FB3">
      <w:pPr>
        <w:pStyle w:val="Bullet1G"/>
        <w:rPr>
          <w:noProof/>
          <w:lang w:val="fr-FR"/>
        </w:rPr>
      </w:pPr>
      <w:r w:rsidRPr="00E36FB3">
        <w:t>La personne privée</w:t>
      </w:r>
      <w:r>
        <w:rPr>
          <w:noProof/>
          <w:lang w:val="fr-FR"/>
        </w:rPr>
        <w:t xml:space="preserve"> de liberté confirme être atteinte d</w:t>
      </w:r>
      <w:r w:rsidR="00FB1114">
        <w:rPr>
          <w:noProof/>
          <w:lang w:val="fr-FR"/>
        </w:rPr>
        <w:t>’</w:t>
      </w:r>
      <w:r>
        <w:rPr>
          <w:noProof/>
          <w:lang w:val="fr-FR"/>
        </w:rPr>
        <w:t>une maladie en phase terminale</w:t>
      </w:r>
      <w:r w:rsidRPr="00DF456A">
        <w:rPr>
          <w:noProof/>
          <w:lang w:val="fr-FR"/>
        </w:rPr>
        <w:t>.</w:t>
      </w:r>
    </w:p>
    <w:p w:rsidR="00614A7E" w:rsidRPr="00DF456A" w:rsidRDefault="00614A7E" w:rsidP="00614A7E">
      <w:pPr>
        <w:pStyle w:val="SingleTxtG"/>
        <w:rPr>
          <w:noProof/>
          <w:lang w:val="fr-FR" w:eastAsia="es-BO"/>
        </w:rPr>
      </w:pPr>
      <w:r w:rsidRPr="00694D43">
        <w:rPr>
          <w:noProof/>
          <w:lang w:val="fr-FR" w:eastAsia="es-BO"/>
        </w:rPr>
        <w:t>14.</w:t>
      </w:r>
      <w:r w:rsidRPr="00694D43">
        <w:rPr>
          <w:noProof/>
          <w:lang w:val="fr-FR" w:eastAsia="es-BO"/>
        </w:rPr>
        <w:tab/>
        <w:t xml:space="preserve">Dans le cadre de la loi </w:t>
      </w:r>
      <w:r w:rsidR="00E36FB3" w:rsidRPr="00694D43">
        <w:rPr>
          <w:rFonts w:eastAsia="MS Mincho"/>
          <w:noProof/>
          <w:szCs w:val="22"/>
          <w:lang w:val="fr-FR"/>
        </w:rPr>
        <w:t>n</w:t>
      </w:r>
      <w:r w:rsidR="00E36FB3" w:rsidRPr="00694D43">
        <w:rPr>
          <w:rFonts w:eastAsia="MS Mincho"/>
          <w:noProof/>
          <w:szCs w:val="22"/>
          <w:vertAlign w:val="superscript"/>
          <w:lang w:val="fr-FR"/>
        </w:rPr>
        <w:t>o</w:t>
      </w:r>
      <w:r w:rsidR="00E36FB3" w:rsidRPr="00694D43">
        <w:rPr>
          <w:noProof/>
          <w:lang w:val="fr-FR"/>
        </w:rPr>
        <w:t> </w:t>
      </w:r>
      <w:r w:rsidRPr="00694D43">
        <w:rPr>
          <w:noProof/>
          <w:lang w:val="fr-FR" w:eastAsia="es-BO"/>
        </w:rPr>
        <w:t>586, l</w:t>
      </w:r>
      <w:r w:rsidR="00FB1114" w:rsidRPr="00694D43">
        <w:rPr>
          <w:noProof/>
          <w:lang w:val="fr-FR" w:eastAsia="es-BO"/>
        </w:rPr>
        <w:t>’</w:t>
      </w:r>
      <w:r w:rsidRPr="00694D43">
        <w:rPr>
          <w:noProof/>
          <w:lang w:val="fr-FR" w:eastAsia="es-BO"/>
        </w:rPr>
        <w:t>appareil judiciaire a élaboré en 2014 le Plan national de décongestionnement du système pénal, en tant que politique visant à remédier à la forte proportion de personnes placées en détention provisoire dans les prisons du pays, au défaut de protection et à l</w:t>
      </w:r>
      <w:r w:rsidR="00FB1114" w:rsidRPr="00694D43">
        <w:rPr>
          <w:noProof/>
          <w:lang w:val="fr-FR" w:eastAsia="es-BO"/>
        </w:rPr>
        <w:t>’</w:t>
      </w:r>
      <w:r w:rsidRPr="00694D43">
        <w:rPr>
          <w:noProof/>
          <w:lang w:val="fr-FR" w:eastAsia="es-BO"/>
        </w:rPr>
        <w:t>impunité occasionnés par les « retards de la procédure », au retard pris par l</w:t>
      </w:r>
      <w:r w:rsidR="00FB1114" w:rsidRPr="00694D43">
        <w:rPr>
          <w:noProof/>
          <w:lang w:val="fr-FR" w:eastAsia="es-BO"/>
        </w:rPr>
        <w:t>’</w:t>
      </w:r>
      <w:r w:rsidRPr="00694D43">
        <w:rPr>
          <w:noProof/>
          <w:lang w:val="fr-FR" w:eastAsia="es-BO"/>
        </w:rPr>
        <w:t>audience finale, au nombre insuffisant de juges, à la désorganisation des tribunaux, aux « procédures ritualistes</w:t>
      </w:r>
      <w:r w:rsidR="00F51E56">
        <w:rPr>
          <w:noProof/>
          <w:lang w:val="fr-FR" w:eastAsia="es-BO"/>
        </w:rPr>
        <w:t> </w:t>
      </w:r>
      <w:r w:rsidRPr="00694D43">
        <w:rPr>
          <w:noProof/>
          <w:lang w:val="fr-FR" w:eastAsia="es-BO"/>
        </w:rPr>
        <w:t>», à l</w:t>
      </w:r>
      <w:r w:rsidR="00FB1114" w:rsidRPr="00694D43">
        <w:rPr>
          <w:noProof/>
          <w:lang w:val="fr-FR" w:eastAsia="es-BO"/>
        </w:rPr>
        <w:t>’</w:t>
      </w:r>
      <w:r w:rsidRPr="00694D43">
        <w:rPr>
          <w:noProof/>
          <w:lang w:val="fr-FR" w:eastAsia="es-BO"/>
        </w:rPr>
        <w:t>intervention des parties et à leur ligne de conduite au cours du</w:t>
      </w:r>
      <w:r>
        <w:rPr>
          <w:noProof/>
          <w:lang w:val="fr-FR" w:eastAsia="es-BO"/>
        </w:rPr>
        <w:t xml:space="preserve"> procès</w:t>
      </w:r>
      <w:r w:rsidRPr="00DF456A">
        <w:rPr>
          <w:noProof/>
          <w:lang w:val="fr-FR" w:eastAsia="es-BO"/>
        </w:rPr>
        <w:t xml:space="preserve">, </w:t>
      </w:r>
      <w:r>
        <w:rPr>
          <w:noProof/>
          <w:lang w:val="fr-FR" w:eastAsia="es-BO"/>
        </w:rPr>
        <w:t xml:space="preserve">à </w:t>
      </w:r>
      <w:r w:rsidRPr="00DF456A">
        <w:rPr>
          <w:noProof/>
          <w:lang w:val="fr-FR" w:eastAsia="es-BO"/>
        </w:rPr>
        <w:t>l</w:t>
      </w:r>
      <w:r w:rsidR="00FB1114">
        <w:rPr>
          <w:noProof/>
          <w:lang w:val="fr-FR" w:eastAsia="es-BO"/>
        </w:rPr>
        <w:t>’</w:t>
      </w:r>
      <w:r>
        <w:rPr>
          <w:noProof/>
          <w:lang w:val="fr-FR" w:eastAsia="es-BO"/>
        </w:rPr>
        <w:t>inégalité de la charge pesant sur les tribunaux selon qu</w:t>
      </w:r>
      <w:r w:rsidR="00FB1114">
        <w:rPr>
          <w:noProof/>
          <w:lang w:val="fr-FR" w:eastAsia="es-BO"/>
        </w:rPr>
        <w:t>’</w:t>
      </w:r>
      <w:r>
        <w:rPr>
          <w:noProof/>
          <w:lang w:val="fr-FR" w:eastAsia="es-BO"/>
        </w:rPr>
        <w:t>ils sont anciens ou de création récente et qu</w:t>
      </w:r>
      <w:r w:rsidR="00FB1114">
        <w:rPr>
          <w:noProof/>
          <w:lang w:val="fr-FR" w:eastAsia="es-BO"/>
        </w:rPr>
        <w:t>’</w:t>
      </w:r>
      <w:r>
        <w:rPr>
          <w:noProof/>
          <w:lang w:val="fr-FR" w:eastAsia="es-BO"/>
        </w:rPr>
        <w:t>il s</w:t>
      </w:r>
      <w:r w:rsidR="00FB1114">
        <w:rPr>
          <w:noProof/>
          <w:lang w:val="fr-FR" w:eastAsia="es-BO"/>
        </w:rPr>
        <w:t>’</w:t>
      </w:r>
      <w:r>
        <w:rPr>
          <w:noProof/>
          <w:lang w:val="fr-FR" w:eastAsia="es-BO"/>
        </w:rPr>
        <w:t>agit de tribunaux provinciaux ou de tribunaux siégeant dans la capitale, et à l</w:t>
      </w:r>
      <w:r w:rsidR="00FB1114">
        <w:rPr>
          <w:noProof/>
          <w:lang w:val="fr-FR" w:eastAsia="es-BO"/>
        </w:rPr>
        <w:t>’</w:t>
      </w:r>
      <w:r>
        <w:rPr>
          <w:noProof/>
          <w:lang w:val="fr-FR" w:eastAsia="es-BO"/>
        </w:rPr>
        <w:t>absence de</w:t>
      </w:r>
      <w:r w:rsidRPr="00DF456A">
        <w:rPr>
          <w:noProof/>
          <w:lang w:val="fr-FR" w:eastAsia="es-BO"/>
        </w:rPr>
        <w:t xml:space="preserve"> </w:t>
      </w:r>
      <w:r>
        <w:rPr>
          <w:noProof/>
          <w:lang w:val="fr-FR" w:eastAsia="es-BO"/>
        </w:rPr>
        <w:t>statistiques courantes comme outil de diagnostic permettant d</w:t>
      </w:r>
      <w:r w:rsidR="00FB1114">
        <w:rPr>
          <w:noProof/>
          <w:lang w:val="fr-FR" w:eastAsia="es-BO"/>
        </w:rPr>
        <w:t>’</w:t>
      </w:r>
      <w:r>
        <w:rPr>
          <w:noProof/>
          <w:lang w:val="fr-FR" w:eastAsia="es-BO"/>
        </w:rPr>
        <w:t>adopter des politiques de gestion efficaces</w:t>
      </w:r>
      <w:r w:rsidRPr="00DF456A">
        <w:rPr>
          <w:noProof/>
          <w:lang w:val="fr-FR" w:eastAsia="es-BO"/>
        </w:rPr>
        <w:t xml:space="preserve">. </w:t>
      </w:r>
      <w:r>
        <w:rPr>
          <w:noProof/>
          <w:lang w:val="fr-FR" w:eastAsia="es-BO"/>
        </w:rPr>
        <w:t xml:space="preserve">En 2015, les résultats ci-après avaient été obtenus </w:t>
      </w:r>
      <w:r w:rsidRPr="00DF456A">
        <w:rPr>
          <w:noProof/>
          <w:lang w:val="fr-FR" w:eastAsia="es-BO"/>
        </w:rPr>
        <w:t>:</w:t>
      </w:r>
    </w:p>
    <w:p w:rsidR="00614A7E" w:rsidRPr="00E36FB3" w:rsidRDefault="00614A7E" w:rsidP="00E36FB3">
      <w:pPr>
        <w:pStyle w:val="Bullet1G"/>
      </w:pPr>
      <w:r w:rsidRPr="00DF456A">
        <w:rPr>
          <w:noProof/>
          <w:lang w:val="fr-FR"/>
        </w:rPr>
        <w:t>3</w:t>
      </w:r>
      <w:r w:rsidR="002C6990">
        <w:rPr>
          <w:noProof/>
          <w:lang w:val="fr-FR"/>
        </w:rPr>
        <w:t> </w:t>
      </w:r>
      <w:r>
        <w:rPr>
          <w:noProof/>
          <w:lang w:val="fr-FR"/>
        </w:rPr>
        <w:t xml:space="preserve">492 </w:t>
      </w:r>
      <w:r w:rsidRPr="00E36FB3">
        <w:t>audiences finales tenues, dont 1</w:t>
      </w:r>
      <w:r w:rsidR="002C6990">
        <w:t> </w:t>
      </w:r>
      <w:r w:rsidRPr="00E36FB3">
        <w:t>279 dans le cadre d</w:t>
      </w:r>
      <w:r w:rsidR="00FB1114">
        <w:t>’</w:t>
      </w:r>
      <w:r w:rsidRPr="00E36FB3">
        <w:t>affaires qui avaient donné lieu à une mesure de détention provisoire ;</w:t>
      </w:r>
    </w:p>
    <w:p w:rsidR="00614A7E" w:rsidRPr="00E36FB3" w:rsidRDefault="00614A7E" w:rsidP="00E36FB3">
      <w:pPr>
        <w:pStyle w:val="Bullet1G"/>
      </w:pPr>
      <w:r w:rsidRPr="00E36FB3">
        <w:t>759 condamnations prononcées à l</w:t>
      </w:r>
      <w:r w:rsidR="00FB1114">
        <w:t>’</w:t>
      </w:r>
      <w:r w:rsidRPr="00E36FB3">
        <w:t>issue d</w:t>
      </w:r>
      <w:r w:rsidR="00FB1114">
        <w:t>’</w:t>
      </w:r>
      <w:r w:rsidRPr="00E36FB3">
        <w:t>audiences tenues en procédure accélérée ;</w:t>
      </w:r>
    </w:p>
    <w:p w:rsidR="00614A7E" w:rsidRPr="00E36FB3" w:rsidRDefault="00614A7E" w:rsidP="00E36FB3">
      <w:pPr>
        <w:pStyle w:val="Bullet1G"/>
      </w:pPr>
      <w:r w:rsidRPr="00E36FB3">
        <w:t>1</w:t>
      </w:r>
      <w:r w:rsidR="002C6990">
        <w:t> </w:t>
      </w:r>
      <w:r w:rsidRPr="00E36FB3">
        <w:t>056 audiences finales tenues en préparation de l</w:t>
      </w:r>
      <w:r w:rsidR="00FB1114">
        <w:t>’</w:t>
      </w:r>
      <w:r w:rsidRPr="00E36FB3">
        <w:t>audience de jugement ;</w:t>
      </w:r>
    </w:p>
    <w:p w:rsidR="00614A7E" w:rsidRPr="00E36FB3" w:rsidRDefault="00614A7E" w:rsidP="00E36FB3">
      <w:pPr>
        <w:pStyle w:val="Bullet1G"/>
      </w:pPr>
      <w:r w:rsidRPr="00E36FB3">
        <w:t>1</w:t>
      </w:r>
      <w:r w:rsidR="002C6990">
        <w:t> </w:t>
      </w:r>
      <w:r w:rsidRPr="00E36FB3">
        <w:t>464 jugements définitifs rendus à l</w:t>
      </w:r>
      <w:r w:rsidR="00FB1114">
        <w:t>’</w:t>
      </w:r>
      <w:r w:rsidRPr="00E36FB3">
        <w:t>issue d</w:t>
      </w:r>
      <w:r w:rsidR="00FB1114">
        <w:t>’</w:t>
      </w:r>
      <w:r w:rsidRPr="00E36FB3">
        <w:t>audiences de mise en œuvre de solutions de substitution ;</w:t>
      </w:r>
    </w:p>
    <w:p w:rsidR="00614A7E" w:rsidRPr="00DF456A" w:rsidRDefault="00614A7E" w:rsidP="00E36FB3">
      <w:pPr>
        <w:pStyle w:val="Bullet1G"/>
        <w:rPr>
          <w:noProof/>
          <w:lang w:val="fr-FR"/>
        </w:rPr>
      </w:pPr>
      <w:r w:rsidRPr="00E36FB3">
        <w:t>212 autres</w:t>
      </w:r>
      <w:r>
        <w:rPr>
          <w:noProof/>
          <w:lang w:val="fr-FR"/>
        </w:rPr>
        <w:t xml:space="preserve"> jugements définitifs dans le cas d</w:t>
      </w:r>
      <w:r w:rsidR="00FB1114">
        <w:rPr>
          <w:noProof/>
          <w:lang w:val="fr-FR"/>
        </w:rPr>
        <w:t>’</w:t>
      </w:r>
      <w:r>
        <w:rPr>
          <w:noProof/>
          <w:lang w:val="fr-FR"/>
        </w:rPr>
        <w:t>autres procédures</w:t>
      </w:r>
      <w:r w:rsidRPr="00DF456A">
        <w:rPr>
          <w:noProof/>
          <w:lang w:val="fr-FR"/>
        </w:rPr>
        <w:t>.</w:t>
      </w:r>
    </w:p>
    <w:p w:rsidR="00614A7E" w:rsidRPr="00694D43" w:rsidRDefault="00614A7E" w:rsidP="00614A7E">
      <w:pPr>
        <w:pStyle w:val="SingleTxtG"/>
        <w:rPr>
          <w:noProof/>
          <w:sz w:val="12"/>
          <w:lang w:val="fr-FR" w:eastAsia="es-BO"/>
        </w:rPr>
      </w:pPr>
      <w:r w:rsidRPr="00694D43">
        <w:rPr>
          <w:noProof/>
          <w:lang w:val="fr-FR" w:eastAsia="es-BO"/>
        </w:rPr>
        <w:t>15.</w:t>
      </w:r>
      <w:r w:rsidRPr="00694D43">
        <w:rPr>
          <w:noProof/>
          <w:lang w:val="fr-FR" w:eastAsia="es-BO"/>
        </w:rPr>
        <w:tab/>
        <w:t>Le Sommet national sur la justice plurielle pour le bien-vivre (</w:t>
      </w:r>
      <w:r w:rsidRPr="00184625">
        <w:rPr>
          <w:i/>
          <w:noProof/>
          <w:lang w:val="fr-FR" w:eastAsia="es-BO"/>
        </w:rPr>
        <w:t>Cumbre Nacional de Justicia Plural para Vivir Bien</w:t>
      </w:r>
      <w:r w:rsidRPr="00694D43">
        <w:rPr>
          <w:noProof/>
          <w:lang w:val="fr-FR" w:eastAsia="es-BO"/>
        </w:rPr>
        <w:t>) (« Sommet ») s</w:t>
      </w:r>
      <w:r w:rsidR="00FB1114" w:rsidRPr="00694D43">
        <w:rPr>
          <w:noProof/>
          <w:lang w:val="fr-FR" w:eastAsia="es-BO"/>
        </w:rPr>
        <w:t>’</w:t>
      </w:r>
      <w:r w:rsidRPr="00694D43">
        <w:rPr>
          <w:noProof/>
          <w:lang w:val="fr-FR" w:eastAsia="es-BO"/>
        </w:rPr>
        <w:t>est tenu les 10 et 11</w:t>
      </w:r>
      <w:r w:rsidR="00263E53" w:rsidRPr="00694D43">
        <w:rPr>
          <w:noProof/>
          <w:lang w:val="fr-FR" w:eastAsia="es-BO"/>
        </w:rPr>
        <w:t> </w:t>
      </w:r>
      <w:r w:rsidRPr="00694D43">
        <w:rPr>
          <w:noProof/>
          <w:lang w:val="fr-FR" w:eastAsia="es-BO"/>
        </w:rPr>
        <w:t>juin 2016 en présence de représentants de différentes organisations sociales, universitaires et de la société civile, qui ont</w:t>
      </w:r>
      <w:r w:rsidR="00593789" w:rsidRPr="00694D43">
        <w:rPr>
          <w:noProof/>
          <w:lang w:val="fr-FR" w:eastAsia="es-BO"/>
        </w:rPr>
        <w:t xml:space="preserve"> </w:t>
      </w:r>
      <w:r w:rsidRPr="00694D43">
        <w:rPr>
          <w:noProof/>
          <w:lang w:val="fr-FR" w:eastAsia="es-BO"/>
        </w:rPr>
        <w:t>fait des propositions concrètes visant à transformer le système d</w:t>
      </w:r>
      <w:r w:rsidR="00FB1114" w:rsidRPr="00694D43">
        <w:rPr>
          <w:noProof/>
          <w:lang w:val="fr-FR" w:eastAsia="es-BO"/>
        </w:rPr>
        <w:t>’</w:t>
      </w:r>
      <w:r w:rsidRPr="00694D43">
        <w:rPr>
          <w:noProof/>
          <w:lang w:val="fr-FR" w:eastAsia="es-BO"/>
        </w:rPr>
        <w:t xml:space="preserve">administration de la justice. La loi </w:t>
      </w:r>
      <w:r w:rsidR="00263E53" w:rsidRPr="00694D43">
        <w:rPr>
          <w:rFonts w:eastAsia="MS Mincho"/>
          <w:noProof/>
          <w:szCs w:val="22"/>
          <w:lang w:val="fr-FR"/>
        </w:rPr>
        <w:t>n</w:t>
      </w:r>
      <w:r w:rsidR="00263E53" w:rsidRPr="00694D43">
        <w:rPr>
          <w:rFonts w:eastAsia="MS Mincho"/>
          <w:noProof/>
          <w:szCs w:val="22"/>
          <w:vertAlign w:val="superscript"/>
          <w:lang w:val="fr-FR"/>
        </w:rPr>
        <w:t>o</w:t>
      </w:r>
      <w:r w:rsidR="00263E53" w:rsidRPr="00694D43">
        <w:rPr>
          <w:noProof/>
          <w:lang w:val="fr-FR"/>
        </w:rPr>
        <w:t> </w:t>
      </w:r>
      <w:r w:rsidRPr="00694D43">
        <w:rPr>
          <w:noProof/>
          <w:lang w:val="fr-FR" w:eastAsia="es-BO"/>
        </w:rPr>
        <w:t>898 du 26</w:t>
      </w:r>
      <w:r w:rsidR="00263E53" w:rsidRPr="00694D43">
        <w:rPr>
          <w:noProof/>
          <w:lang w:val="fr-FR" w:eastAsia="es-BO"/>
        </w:rPr>
        <w:t> </w:t>
      </w:r>
      <w:r w:rsidRPr="00694D43">
        <w:rPr>
          <w:noProof/>
          <w:lang w:val="fr-FR" w:eastAsia="es-BO"/>
        </w:rPr>
        <w:t>janvier 2017 porte création de la Commission de suivi des conclusions issues du Sommet national sur la justice,</w:t>
      </w:r>
      <w:r w:rsidR="00263E53" w:rsidRPr="00694D43">
        <w:rPr>
          <w:noProof/>
          <w:lang w:val="fr-FR" w:eastAsia="es-BO"/>
        </w:rPr>
        <w:t xml:space="preserve"> </w:t>
      </w:r>
      <w:r w:rsidRPr="00694D43">
        <w:rPr>
          <w:noProof/>
          <w:lang w:val="fr-FR" w:eastAsia="es-BO"/>
        </w:rPr>
        <w:t>où siègent les plus hautes autorités des pouvoirs judiciaire, législatif et exécutif, ainsi que des représentants du ministère public et du service du Procureur général et un représentant du système universitaire bolivien.</w:t>
      </w:r>
    </w:p>
    <w:p w:rsidR="00614A7E" w:rsidRPr="00DF456A" w:rsidRDefault="00614A7E" w:rsidP="00614A7E">
      <w:pPr>
        <w:pStyle w:val="SingleTxtG"/>
        <w:rPr>
          <w:noProof/>
          <w:lang w:val="fr-FR" w:eastAsia="es-BO"/>
        </w:rPr>
      </w:pPr>
      <w:r w:rsidRPr="00694D43">
        <w:rPr>
          <w:noProof/>
          <w:lang w:val="fr-FR" w:eastAsia="es-BO"/>
        </w:rPr>
        <w:t>16.</w:t>
      </w:r>
      <w:r w:rsidRPr="00694D43">
        <w:rPr>
          <w:noProof/>
          <w:lang w:val="fr-FR" w:eastAsia="es-BO"/>
        </w:rPr>
        <w:tab/>
        <w:t>La Commission a soumis un projet de loi sur la simplification de la procédure pénale, qui a également pour objet de modifier le Code de procédure pénale afin de remédier à la lenteur de la justice, au problème de la surpopulation carcérale et au recours abusif à la détention provisoire, moyennant</w:t>
      </w:r>
      <w:r w:rsidR="00263E53" w:rsidRPr="00694D43">
        <w:rPr>
          <w:noProof/>
          <w:lang w:val="fr-FR" w:eastAsia="es-BO"/>
        </w:rPr>
        <w:t> </w:t>
      </w:r>
      <w:r w:rsidRPr="00694D43">
        <w:rPr>
          <w:noProof/>
          <w:lang w:val="fr-FR" w:eastAsia="es-BO"/>
        </w:rPr>
        <w:t>: 1)</w:t>
      </w:r>
      <w:r w:rsidR="00263E53" w:rsidRPr="00694D43">
        <w:rPr>
          <w:noProof/>
          <w:lang w:val="fr-FR" w:eastAsia="es-BO"/>
        </w:rPr>
        <w:t> </w:t>
      </w:r>
      <w:r w:rsidRPr="00694D43">
        <w:rPr>
          <w:noProof/>
          <w:lang w:val="fr-FR" w:eastAsia="es-BO"/>
        </w:rPr>
        <w:t>la simplification des notifications</w:t>
      </w:r>
      <w:r w:rsidR="00263E53" w:rsidRPr="00694D43">
        <w:rPr>
          <w:noProof/>
          <w:lang w:val="fr-FR" w:eastAsia="es-BO"/>
        </w:rPr>
        <w:t> ;</w:t>
      </w:r>
      <w:r w:rsidRPr="00694D43">
        <w:rPr>
          <w:noProof/>
          <w:lang w:val="fr-FR" w:eastAsia="es-BO"/>
        </w:rPr>
        <w:t xml:space="preserve"> 2)</w:t>
      </w:r>
      <w:r w:rsidR="00263E53" w:rsidRPr="00694D43">
        <w:rPr>
          <w:noProof/>
          <w:lang w:val="fr-FR" w:eastAsia="es-BO"/>
        </w:rPr>
        <w:t> </w:t>
      </w:r>
      <w:r w:rsidRPr="00694D43">
        <w:rPr>
          <w:noProof/>
          <w:lang w:val="fr-FR" w:eastAsia="es-BO"/>
        </w:rPr>
        <w:t>la</w:t>
      </w:r>
      <w:r w:rsidR="00263E53" w:rsidRPr="00694D43">
        <w:rPr>
          <w:noProof/>
          <w:lang w:val="fr-FR" w:eastAsia="es-BO"/>
        </w:rPr>
        <w:t> </w:t>
      </w:r>
      <w:r w:rsidRPr="00694D43">
        <w:rPr>
          <w:noProof/>
          <w:lang w:val="fr-FR" w:eastAsia="es-BO"/>
        </w:rPr>
        <w:t>limitation</w:t>
      </w:r>
      <w:r>
        <w:rPr>
          <w:noProof/>
          <w:lang w:val="fr-FR" w:eastAsia="es-BO"/>
        </w:rPr>
        <w:t xml:space="preserve"> du recours à la détention provisoire</w:t>
      </w:r>
      <w:r w:rsidR="006577F6">
        <w:rPr>
          <w:noProof/>
          <w:lang w:val="fr-FR" w:eastAsia="es-BO"/>
        </w:rPr>
        <w:t> ;</w:t>
      </w:r>
      <w:r>
        <w:rPr>
          <w:noProof/>
          <w:lang w:val="fr-FR" w:eastAsia="es-BO"/>
        </w:rPr>
        <w:t xml:space="preserve"> </w:t>
      </w:r>
      <w:r w:rsidRPr="00DF456A">
        <w:rPr>
          <w:noProof/>
          <w:lang w:val="fr-FR" w:eastAsia="es-BO"/>
        </w:rPr>
        <w:t>3</w:t>
      </w:r>
      <w:r>
        <w:rPr>
          <w:noProof/>
          <w:lang w:val="fr-FR" w:eastAsia="es-BO"/>
        </w:rPr>
        <w:t>)</w:t>
      </w:r>
      <w:r w:rsidR="006577F6">
        <w:rPr>
          <w:noProof/>
          <w:lang w:val="fr-FR" w:eastAsia="es-BO"/>
        </w:rPr>
        <w:t> </w:t>
      </w:r>
      <w:r>
        <w:rPr>
          <w:noProof/>
          <w:lang w:val="fr-FR" w:eastAsia="es-BO"/>
        </w:rPr>
        <w:t>le</w:t>
      </w:r>
      <w:r w:rsidRPr="00DF456A">
        <w:rPr>
          <w:noProof/>
          <w:lang w:val="fr-FR" w:eastAsia="es-BO"/>
        </w:rPr>
        <w:t xml:space="preserve"> </w:t>
      </w:r>
      <w:r>
        <w:rPr>
          <w:noProof/>
          <w:lang w:val="fr-FR" w:eastAsia="es-BO"/>
        </w:rPr>
        <w:t xml:space="preserve">renforcement </w:t>
      </w:r>
      <w:r w:rsidRPr="00EF1178">
        <w:rPr>
          <w:noProof/>
          <w:lang w:val="fr-FR"/>
        </w:rPr>
        <w:t xml:space="preserve">de la procédure </w:t>
      </w:r>
      <w:r>
        <w:rPr>
          <w:noProof/>
          <w:lang w:val="fr-FR"/>
        </w:rPr>
        <w:t>orale</w:t>
      </w:r>
      <w:r w:rsidR="006577F6">
        <w:rPr>
          <w:noProof/>
          <w:lang w:val="fr-FR"/>
        </w:rPr>
        <w:t> ;</w:t>
      </w:r>
      <w:r>
        <w:rPr>
          <w:noProof/>
          <w:lang w:val="fr-FR"/>
        </w:rPr>
        <w:t xml:space="preserve"> </w:t>
      </w:r>
      <w:r w:rsidRPr="00DF456A">
        <w:rPr>
          <w:noProof/>
          <w:lang w:val="fr-FR" w:eastAsia="es-BO"/>
        </w:rPr>
        <w:t>4</w:t>
      </w:r>
      <w:r>
        <w:rPr>
          <w:noProof/>
          <w:lang w:val="fr-FR" w:eastAsia="es-BO"/>
        </w:rPr>
        <w:t>)</w:t>
      </w:r>
      <w:r w:rsidR="006577F6">
        <w:rPr>
          <w:noProof/>
          <w:lang w:val="fr-FR" w:eastAsia="es-BO"/>
        </w:rPr>
        <w:t> </w:t>
      </w:r>
      <w:r>
        <w:rPr>
          <w:noProof/>
          <w:lang w:val="fr-FR" w:eastAsia="es-BO"/>
        </w:rPr>
        <w:t>l</w:t>
      </w:r>
      <w:r w:rsidR="00FB1114">
        <w:rPr>
          <w:noProof/>
          <w:lang w:val="fr-FR" w:eastAsia="es-BO"/>
        </w:rPr>
        <w:t>’</w:t>
      </w:r>
      <w:r>
        <w:rPr>
          <w:noProof/>
          <w:lang w:val="fr-FR" w:eastAsia="es-BO"/>
        </w:rPr>
        <w:t>adaptation des compétences</w:t>
      </w:r>
      <w:r w:rsidR="006577F6">
        <w:rPr>
          <w:noProof/>
          <w:lang w:val="fr-FR" w:eastAsia="es-BO"/>
        </w:rPr>
        <w:t> ;</w:t>
      </w:r>
      <w:r w:rsidRPr="00DF456A">
        <w:rPr>
          <w:noProof/>
          <w:lang w:val="fr-FR" w:eastAsia="es-BO"/>
        </w:rPr>
        <w:t xml:space="preserve"> </w:t>
      </w:r>
      <w:r>
        <w:rPr>
          <w:noProof/>
          <w:lang w:val="fr-FR" w:eastAsia="es-BO"/>
        </w:rPr>
        <w:t>et</w:t>
      </w:r>
      <w:r w:rsidRPr="00DF456A">
        <w:rPr>
          <w:noProof/>
          <w:lang w:val="fr-FR" w:eastAsia="es-BO"/>
        </w:rPr>
        <w:t xml:space="preserve"> 5</w:t>
      </w:r>
      <w:r>
        <w:rPr>
          <w:noProof/>
          <w:lang w:val="fr-FR" w:eastAsia="es-BO"/>
        </w:rPr>
        <w:t>)</w:t>
      </w:r>
      <w:r w:rsidR="006577F6">
        <w:rPr>
          <w:noProof/>
          <w:lang w:val="fr-FR" w:eastAsia="es-BO"/>
        </w:rPr>
        <w:t> </w:t>
      </w:r>
      <w:r>
        <w:rPr>
          <w:noProof/>
          <w:lang w:val="fr-FR" w:eastAsia="es-BO"/>
        </w:rPr>
        <w:t>l</w:t>
      </w:r>
      <w:r w:rsidR="00FB1114">
        <w:rPr>
          <w:noProof/>
          <w:lang w:val="fr-FR" w:eastAsia="es-BO"/>
        </w:rPr>
        <w:t>’</w:t>
      </w:r>
      <w:r>
        <w:rPr>
          <w:noProof/>
          <w:lang w:val="fr-FR" w:eastAsia="es-BO"/>
        </w:rPr>
        <w:t>utilisation des technologies de l</w:t>
      </w:r>
      <w:r w:rsidR="00FB1114">
        <w:rPr>
          <w:noProof/>
          <w:lang w:val="fr-FR" w:eastAsia="es-BO"/>
        </w:rPr>
        <w:t>’</w:t>
      </w:r>
      <w:r>
        <w:rPr>
          <w:noProof/>
          <w:lang w:val="fr-FR" w:eastAsia="es-BO"/>
        </w:rPr>
        <w:t>information et des communications</w:t>
      </w:r>
      <w:r w:rsidRPr="00DF456A">
        <w:rPr>
          <w:noProof/>
          <w:lang w:val="fr-FR" w:eastAsia="es-BO"/>
        </w:rPr>
        <w:t>.</w:t>
      </w:r>
    </w:p>
    <w:p w:rsidR="00614A7E" w:rsidRPr="00DF456A" w:rsidRDefault="00614A7E" w:rsidP="00614A7E">
      <w:pPr>
        <w:pStyle w:val="SingleTxtG"/>
        <w:rPr>
          <w:iCs/>
          <w:noProof/>
          <w:lang w:val="fr-FR"/>
        </w:rPr>
      </w:pPr>
      <w:r w:rsidRPr="00DF456A">
        <w:rPr>
          <w:iCs/>
          <w:noProof/>
          <w:lang w:val="fr-FR"/>
        </w:rPr>
        <w:t>17.</w:t>
      </w:r>
      <w:r w:rsidRPr="00DF456A">
        <w:rPr>
          <w:iCs/>
          <w:noProof/>
          <w:lang w:val="fr-FR"/>
        </w:rPr>
        <w:tab/>
      </w:r>
      <w:r w:rsidRPr="00DF456A">
        <w:rPr>
          <w:noProof/>
          <w:lang w:val="fr-FR" w:eastAsia="es-BO"/>
        </w:rPr>
        <w:t>L</w:t>
      </w:r>
      <w:r>
        <w:rPr>
          <w:noProof/>
          <w:lang w:val="fr-FR" w:eastAsia="es-BO"/>
        </w:rPr>
        <w:t>e Bureau du Procureur général de l</w:t>
      </w:r>
      <w:r w:rsidR="00FB1114">
        <w:rPr>
          <w:noProof/>
          <w:lang w:val="fr-FR" w:eastAsia="es-BO"/>
        </w:rPr>
        <w:t>’</w:t>
      </w:r>
      <w:r>
        <w:rPr>
          <w:noProof/>
          <w:lang w:val="fr-FR" w:eastAsia="es-BO"/>
        </w:rPr>
        <w:t>État</w:t>
      </w:r>
      <w:r w:rsidRPr="00DF456A">
        <w:rPr>
          <w:rFonts w:eastAsia="Calibri"/>
          <w:noProof/>
          <w:sz w:val="18"/>
          <w:szCs w:val="18"/>
          <w:vertAlign w:val="superscript"/>
          <w:lang w:val="fr-FR" w:eastAsia="es-BO"/>
        </w:rPr>
        <w:footnoteReference w:id="14"/>
      </w:r>
      <w:r w:rsidRPr="00DF456A">
        <w:rPr>
          <w:noProof/>
          <w:lang w:val="fr-FR" w:eastAsia="es-BO"/>
        </w:rPr>
        <w:t xml:space="preserve"> </w:t>
      </w:r>
      <w:r>
        <w:rPr>
          <w:noProof/>
          <w:lang w:val="fr-FR" w:eastAsia="es-BO"/>
        </w:rPr>
        <w:t>s</w:t>
      </w:r>
      <w:r w:rsidR="00FB1114">
        <w:rPr>
          <w:noProof/>
          <w:lang w:val="fr-FR" w:eastAsia="es-BO"/>
        </w:rPr>
        <w:t>’</w:t>
      </w:r>
      <w:r>
        <w:rPr>
          <w:noProof/>
          <w:lang w:val="fr-FR" w:eastAsia="es-BO"/>
        </w:rPr>
        <w:t xml:space="preserve">emploie à </w:t>
      </w:r>
      <w:r w:rsidRPr="00EF1178">
        <w:rPr>
          <w:noProof/>
          <w:lang w:val="fr-FR"/>
        </w:rPr>
        <w:t>programmer des alertes informatiques fiables pour contrôler la durée de la détention provisoire</w:t>
      </w:r>
      <w:r w:rsidRPr="00DF456A">
        <w:rPr>
          <w:noProof/>
          <w:lang w:val="fr-FR" w:eastAsia="es-BO"/>
        </w:rPr>
        <w:t xml:space="preserve"> </w:t>
      </w:r>
      <w:r w:rsidRPr="00DF456A">
        <w:rPr>
          <w:rFonts w:eastAsia="Calibri"/>
          <w:noProof/>
          <w:lang w:val="fr-FR" w:eastAsia="es-BO"/>
        </w:rPr>
        <w:t>conform</w:t>
      </w:r>
      <w:r>
        <w:rPr>
          <w:rFonts w:eastAsia="Calibri"/>
          <w:noProof/>
          <w:lang w:val="fr-FR" w:eastAsia="es-BO"/>
        </w:rPr>
        <w:t>ément aux délais fixés dans l</w:t>
      </w:r>
      <w:r w:rsidR="00FB1114">
        <w:rPr>
          <w:rFonts w:eastAsia="Calibri"/>
          <w:noProof/>
          <w:lang w:val="fr-FR" w:eastAsia="es-BO"/>
        </w:rPr>
        <w:t>’</w:t>
      </w:r>
      <w:r>
        <w:rPr>
          <w:rFonts w:eastAsia="Calibri"/>
          <w:noProof/>
          <w:lang w:val="fr-FR" w:eastAsia="es-BO"/>
        </w:rPr>
        <w:t>article</w:t>
      </w:r>
      <w:r w:rsidR="006577F6">
        <w:rPr>
          <w:rFonts w:eastAsia="Calibri"/>
          <w:noProof/>
          <w:lang w:val="fr-FR" w:eastAsia="es-BO"/>
        </w:rPr>
        <w:t> </w:t>
      </w:r>
      <w:r w:rsidRPr="00DF456A">
        <w:rPr>
          <w:rFonts w:eastAsia="Calibri"/>
          <w:noProof/>
          <w:lang w:val="fr-FR" w:eastAsia="es-BO"/>
        </w:rPr>
        <w:t>239</w:t>
      </w:r>
      <w:r w:rsidRPr="00DF456A">
        <w:rPr>
          <w:rFonts w:eastAsia="Calibri"/>
          <w:noProof/>
          <w:sz w:val="18"/>
          <w:szCs w:val="18"/>
          <w:vertAlign w:val="superscript"/>
          <w:lang w:val="fr-FR" w:eastAsia="es-BO"/>
        </w:rPr>
        <w:footnoteReference w:id="15"/>
      </w:r>
      <w:r w:rsidRPr="00DF456A">
        <w:rPr>
          <w:rFonts w:eastAsia="Calibri"/>
          <w:noProof/>
          <w:lang w:val="fr-FR" w:eastAsia="es-BO"/>
        </w:rPr>
        <w:t xml:space="preserve"> </w:t>
      </w:r>
      <w:r>
        <w:rPr>
          <w:rFonts w:eastAsia="Calibri"/>
          <w:noProof/>
          <w:lang w:val="fr-FR" w:eastAsia="es-BO"/>
        </w:rPr>
        <w:t>du Code de procédure pénale</w:t>
      </w:r>
      <w:r w:rsidRPr="00DF456A">
        <w:rPr>
          <w:rFonts w:eastAsia="Calibri"/>
          <w:noProof/>
          <w:lang w:val="fr-FR" w:eastAsia="es-BO"/>
        </w:rPr>
        <w:t>.</w:t>
      </w:r>
    </w:p>
    <w:p w:rsidR="00614A7E" w:rsidRPr="00DF456A" w:rsidRDefault="00614A7E" w:rsidP="00614A7E">
      <w:pPr>
        <w:pStyle w:val="SingleTxtG"/>
        <w:rPr>
          <w:noProof/>
          <w:lang w:val="fr-FR" w:eastAsia="es-BO"/>
        </w:rPr>
      </w:pPr>
      <w:r w:rsidRPr="00DF456A">
        <w:rPr>
          <w:noProof/>
          <w:lang w:val="fr-FR" w:eastAsia="es-BO"/>
        </w:rPr>
        <w:t>18.</w:t>
      </w:r>
      <w:r w:rsidRPr="00DF456A">
        <w:rPr>
          <w:noProof/>
          <w:lang w:val="fr-FR" w:eastAsia="es-BO"/>
        </w:rPr>
        <w:tab/>
        <w:t>P</w:t>
      </w:r>
      <w:r>
        <w:rPr>
          <w:noProof/>
          <w:lang w:val="fr-FR" w:eastAsia="es-BO"/>
        </w:rPr>
        <w:t>ar ailleurs</w:t>
      </w:r>
      <w:r w:rsidRPr="00DF456A">
        <w:rPr>
          <w:noProof/>
          <w:lang w:val="fr-FR" w:eastAsia="es-BO"/>
        </w:rPr>
        <w:t xml:space="preserve">, </w:t>
      </w:r>
      <w:r>
        <w:rPr>
          <w:noProof/>
          <w:lang w:val="fr-FR" w:eastAsia="es-BO"/>
        </w:rPr>
        <w:t xml:space="preserve">le décret suprême </w:t>
      </w:r>
      <w:r w:rsidR="006577F6" w:rsidRPr="00857F6E">
        <w:rPr>
          <w:rFonts w:eastAsia="MS Mincho"/>
          <w:noProof/>
          <w:szCs w:val="22"/>
          <w:lang w:val="fr-FR"/>
        </w:rPr>
        <w:t>n</w:t>
      </w:r>
      <w:r w:rsidR="006577F6" w:rsidRPr="00857F6E">
        <w:rPr>
          <w:rFonts w:eastAsia="MS Mincho"/>
          <w:noProof/>
          <w:szCs w:val="22"/>
          <w:vertAlign w:val="superscript"/>
          <w:lang w:val="fr-FR"/>
        </w:rPr>
        <w:t>o</w:t>
      </w:r>
      <w:r w:rsidR="006577F6">
        <w:rPr>
          <w:noProof/>
          <w:lang w:val="fr-FR"/>
        </w:rPr>
        <w:t> </w:t>
      </w:r>
      <w:r w:rsidRPr="00DF456A">
        <w:rPr>
          <w:noProof/>
          <w:lang w:val="fr-FR" w:eastAsia="es-BO"/>
        </w:rPr>
        <w:t xml:space="preserve">2359 </w:t>
      </w:r>
      <w:r>
        <w:rPr>
          <w:noProof/>
          <w:lang w:val="fr-FR" w:eastAsia="es-BO"/>
        </w:rPr>
        <w:t>adopté l</w:t>
      </w:r>
      <w:r w:rsidRPr="00DF456A">
        <w:rPr>
          <w:noProof/>
          <w:lang w:val="fr-FR" w:eastAsia="es-BO"/>
        </w:rPr>
        <w:t>e 13</w:t>
      </w:r>
      <w:r w:rsidR="006577F6">
        <w:rPr>
          <w:noProof/>
          <w:lang w:val="fr-FR" w:eastAsia="es-BO"/>
        </w:rPr>
        <w:t> </w:t>
      </w:r>
      <w:r>
        <w:rPr>
          <w:noProof/>
          <w:lang w:val="fr-FR" w:eastAsia="es-BO"/>
        </w:rPr>
        <w:t>mai</w:t>
      </w:r>
      <w:r w:rsidRPr="00DF456A">
        <w:rPr>
          <w:noProof/>
          <w:lang w:val="fr-FR" w:eastAsia="es-BO"/>
        </w:rPr>
        <w:t xml:space="preserve"> 2015 (</w:t>
      </w:r>
      <w:r>
        <w:rPr>
          <w:noProof/>
          <w:lang w:val="fr-FR" w:eastAsia="es-BO"/>
        </w:rPr>
        <w:t>annexe</w:t>
      </w:r>
      <w:r w:rsidRPr="00DF456A">
        <w:rPr>
          <w:noProof/>
          <w:lang w:val="fr-FR" w:eastAsia="es-BO"/>
        </w:rPr>
        <w:t xml:space="preserve"> 5) </w:t>
      </w:r>
      <w:r>
        <w:rPr>
          <w:noProof/>
          <w:lang w:val="fr-FR" w:eastAsia="es-BO"/>
        </w:rPr>
        <w:t xml:space="preserve">vise à remettre gratuitement des </w:t>
      </w:r>
      <w:r w:rsidRPr="00DF456A">
        <w:rPr>
          <w:noProof/>
          <w:lang w:val="fr-FR" w:eastAsia="es-BO"/>
        </w:rPr>
        <w:t>certifica</w:t>
      </w:r>
      <w:r>
        <w:rPr>
          <w:noProof/>
          <w:lang w:val="fr-FR" w:eastAsia="es-BO"/>
        </w:rPr>
        <w:t xml:space="preserve">ts de naissance et des </w:t>
      </w:r>
      <w:r w:rsidRPr="00DF456A">
        <w:rPr>
          <w:noProof/>
          <w:lang w:val="fr-FR" w:eastAsia="es-BO"/>
        </w:rPr>
        <w:t>c</w:t>
      </w:r>
      <w:r>
        <w:rPr>
          <w:noProof/>
          <w:lang w:val="fr-FR" w:eastAsia="es-BO"/>
        </w:rPr>
        <w:t>artes d</w:t>
      </w:r>
      <w:r w:rsidR="00FB1114">
        <w:rPr>
          <w:noProof/>
          <w:lang w:val="fr-FR" w:eastAsia="es-BO"/>
        </w:rPr>
        <w:t>’</w:t>
      </w:r>
      <w:r>
        <w:rPr>
          <w:noProof/>
          <w:lang w:val="fr-FR" w:eastAsia="es-BO"/>
        </w:rPr>
        <w:t>identité à toutes les personnes privées de liberté placées dans les établissements pénitentiaires du pays</w:t>
      </w:r>
      <w:r w:rsidRPr="00DF456A">
        <w:rPr>
          <w:noProof/>
          <w:lang w:val="fr-FR" w:eastAsia="es-BO"/>
        </w:rPr>
        <w:t xml:space="preserve">, </w:t>
      </w:r>
      <w:r>
        <w:rPr>
          <w:noProof/>
          <w:lang w:val="fr-FR" w:eastAsia="es-BO"/>
        </w:rPr>
        <w:t xml:space="preserve">alors </w:t>
      </w:r>
      <w:r w:rsidRPr="00DF456A">
        <w:rPr>
          <w:noProof/>
          <w:lang w:val="fr-FR" w:eastAsia="es-BO"/>
        </w:rPr>
        <w:t xml:space="preserve">que </w:t>
      </w:r>
      <w:r>
        <w:rPr>
          <w:noProof/>
          <w:lang w:val="fr-FR" w:eastAsia="es-BO"/>
        </w:rPr>
        <w:t xml:space="preserve">le nombre </w:t>
      </w:r>
      <w:r w:rsidRPr="00DF456A">
        <w:rPr>
          <w:noProof/>
          <w:lang w:val="fr-FR" w:eastAsia="es-BO"/>
        </w:rPr>
        <w:t xml:space="preserve">total de </w:t>
      </w:r>
      <w:r>
        <w:rPr>
          <w:noProof/>
          <w:lang w:val="fr-FR" w:eastAsia="es-BO"/>
        </w:rPr>
        <w:t>détenus en possession de documents d</w:t>
      </w:r>
      <w:r w:rsidR="00FB1114">
        <w:rPr>
          <w:noProof/>
          <w:lang w:val="fr-FR" w:eastAsia="es-BO"/>
        </w:rPr>
        <w:t>’</w:t>
      </w:r>
      <w:r>
        <w:rPr>
          <w:noProof/>
          <w:lang w:val="fr-FR" w:eastAsia="es-BO"/>
        </w:rPr>
        <w:t>identité s</w:t>
      </w:r>
      <w:r w:rsidR="00FB1114">
        <w:rPr>
          <w:noProof/>
          <w:lang w:val="fr-FR" w:eastAsia="es-BO"/>
        </w:rPr>
        <w:t>’</w:t>
      </w:r>
      <w:r>
        <w:rPr>
          <w:noProof/>
          <w:lang w:val="fr-FR" w:eastAsia="es-BO"/>
        </w:rPr>
        <w:t xml:space="preserve">élève à </w:t>
      </w:r>
      <w:r w:rsidRPr="00DF456A">
        <w:rPr>
          <w:noProof/>
          <w:lang w:val="fr-FR" w:eastAsia="es-BO"/>
        </w:rPr>
        <w:t>850</w:t>
      </w:r>
      <w:r w:rsidR="006577F6">
        <w:rPr>
          <w:noProof/>
          <w:lang w:val="fr-FR" w:eastAsia="es-BO"/>
        </w:rPr>
        <w:t> </w:t>
      </w:r>
      <w:r>
        <w:rPr>
          <w:noProof/>
          <w:lang w:val="fr-FR" w:eastAsia="es-BO"/>
        </w:rPr>
        <w:t>personnes</w:t>
      </w:r>
      <w:r w:rsidRPr="00DF456A">
        <w:rPr>
          <w:noProof/>
          <w:lang w:val="fr-FR" w:eastAsia="es-BO"/>
        </w:rPr>
        <w:t>. L</w:t>
      </w:r>
      <w:r>
        <w:rPr>
          <w:noProof/>
          <w:lang w:val="fr-FR" w:eastAsia="es-BO"/>
        </w:rPr>
        <w:t>e</w:t>
      </w:r>
      <w:r w:rsidRPr="00DF456A">
        <w:rPr>
          <w:noProof/>
          <w:lang w:val="fr-FR" w:eastAsia="es-BO"/>
        </w:rPr>
        <w:t xml:space="preserve">s </w:t>
      </w:r>
      <w:r>
        <w:rPr>
          <w:rFonts w:eastAsia="Times New Roman"/>
          <w:lang w:val="fr-FR" w:eastAsia="zh-CN"/>
        </w:rPr>
        <w:t>Directions départementales du système pénitentiaire</w:t>
      </w:r>
      <w:r w:rsidRPr="00DF456A">
        <w:rPr>
          <w:noProof/>
          <w:lang w:val="fr-FR" w:eastAsia="es-BO"/>
        </w:rPr>
        <w:t xml:space="preserve">, </w:t>
      </w:r>
      <w:r>
        <w:rPr>
          <w:noProof/>
          <w:lang w:val="fr-FR" w:eastAsia="es-BO"/>
        </w:rPr>
        <w:t xml:space="preserve">agissant </w:t>
      </w:r>
      <w:r w:rsidRPr="00DF456A">
        <w:rPr>
          <w:noProof/>
          <w:lang w:val="fr-FR" w:eastAsia="es-BO"/>
        </w:rPr>
        <w:t xml:space="preserve">en </w:t>
      </w:r>
      <w:r w:rsidRPr="00DF456A">
        <w:rPr>
          <w:noProof/>
          <w:lang w:val="fr-FR" w:eastAsia="es-BO"/>
        </w:rPr>
        <w:lastRenderedPageBreak/>
        <w:t>coordina</w:t>
      </w:r>
      <w:r>
        <w:rPr>
          <w:noProof/>
          <w:lang w:val="fr-FR" w:eastAsia="es-BO"/>
        </w:rPr>
        <w:t xml:space="preserve">tion avec le </w:t>
      </w:r>
      <w:r w:rsidRPr="00594601">
        <w:rPr>
          <w:noProof/>
          <w:lang w:val="fr-FR"/>
        </w:rPr>
        <w:t>Service général de l</w:t>
      </w:r>
      <w:r w:rsidR="00FB1114">
        <w:rPr>
          <w:noProof/>
          <w:lang w:val="fr-FR"/>
        </w:rPr>
        <w:t>’</w:t>
      </w:r>
      <w:r w:rsidRPr="00594601">
        <w:rPr>
          <w:noProof/>
          <w:lang w:val="fr-FR"/>
        </w:rPr>
        <w:t>identité des personnes</w:t>
      </w:r>
      <w:r w:rsidRPr="00DF456A">
        <w:rPr>
          <w:noProof/>
          <w:lang w:val="fr-FR" w:eastAsia="es-BO"/>
        </w:rPr>
        <w:t>, contin</w:t>
      </w:r>
      <w:r>
        <w:rPr>
          <w:noProof/>
          <w:lang w:val="fr-FR" w:eastAsia="es-BO"/>
        </w:rPr>
        <w:t>uent de délivrer des cartes d</w:t>
      </w:r>
      <w:r w:rsidR="00FB1114">
        <w:rPr>
          <w:noProof/>
          <w:lang w:val="fr-FR" w:eastAsia="es-BO"/>
        </w:rPr>
        <w:t>’</w:t>
      </w:r>
      <w:r>
        <w:rPr>
          <w:noProof/>
          <w:lang w:val="fr-FR" w:eastAsia="es-BO"/>
        </w:rPr>
        <w:t>identité aux détenus</w:t>
      </w:r>
      <w:r w:rsidRPr="00DF456A">
        <w:rPr>
          <w:noProof/>
          <w:lang w:val="fr-FR" w:eastAsia="es-BO"/>
        </w:rPr>
        <w:t>.</w:t>
      </w:r>
    </w:p>
    <w:p w:rsidR="00614A7E" w:rsidRPr="00DF456A" w:rsidRDefault="00614A7E" w:rsidP="00614A7E">
      <w:pPr>
        <w:pStyle w:val="H23G"/>
        <w:rPr>
          <w:noProof/>
          <w:lang w:val="fr-FR" w:eastAsia="es-BO"/>
        </w:rPr>
      </w:pPr>
      <w:r w:rsidRPr="00DF456A">
        <w:rPr>
          <w:noProof/>
          <w:lang w:val="fr-FR" w:eastAsia="es-BO"/>
        </w:rPr>
        <w:tab/>
      </w:r>
      <w:r w:rsidRPr="00DF456A">
        <w:rPr>
          <w:noProof/>
          <w:lang w:val="fr-FR" w:eastAsia="es-BO"/>
        </w:rPr>
        <w:tab/>
      </w:r>
      <w:r w:rsidRPr="00594601">
        <w:rPr>
          <w:noProof/>
          <w:lang w:val="fr-FR"/>
        </w:rPr>
        <w:t>Service plurinational de défense publique</w:t>
      </w:r>
    </w:p>
    <w:p w:rsidR="00614A7E" w:rsidRPr="005A16E9" w:rsidRDefault="00614A7E" w:rsidP="00614A7E">
      <w:pPr>
        <w:pStyle w:val="SingleTxtG"/>
        <w:rPr>
          <w:noProof/>
          <w:lang w:val="fr-FR" w:eastAsia="es-BO"/>
        </w:rPr>
      </w:pPr>
      <w:r w:rsidRPr="00DF456A">
        <w:rPr>
          <w:noProof/>
          <w:lang w:val="fr-FR" w:eastAsia="es-BO"/>
        </w:rPr>
        <w:t>19.</w:t>
      </w:r>
      <w:r w:rsidRPr="00DF456A">
        <w:rPr>
          <w:noProof/>
          <w:lang w:val="fr-FR" w:eastAsia="es-BO"/>
        </w:rPr>
        <w:tab/>
      </w:r>
      <w:r>
        <w:rPr>
          <w:noProof/>
          <w:lang w:val="fr-FR" w:eastAsia="es-BO"/>
        </w:rPr>
        <w:t xml:space="preserve">La loi </w:t>
      </w:r>
      <w:r w:rsidR="001357C8" w:rsidRPr="00857F6E">
        <w:rPr>
          <w:rFonts w:eastAsia="MS Mincho"/>
          <w:noProof/>
          <w:szCs w:val="22"/>
          <w:lang w:val="fr-FR"/>
        </w:rPr>
        <w:t>n</w:t>
      </w:r>
      <w:r w:rsidR="001357C8" w:rsidRPr="00857F6E">
        <w:rPr>
          <w:rFonts w:eastAsia="MS Mincho"/>
          <w:noProof/>
          <w:szCs w:val="22"/>
          <w:vertAlign w:val="superscript"/>
          <w:lang w:val="fr-FR"/>
        </w:rPr>
        <w:t>o</w:t>
      </w:r>
      <w:r w:rsidR="001357C8">
        <w:rPr>
          <w:noProof/>
          <w:lang w:val="fr-FR"/>
        </w:rPr>
        <w:t> </w:t>
      </w:r>
      <w:r w:rsidRPr="00DF456A">
        <w:rPr>
          <w:noProof/>
          <w:lang w:val="fr-FR" w:eastAsia="es-BO"/>
        </w:rPr>
        <w:t>463 d</w:t>
      </w:r>
      <w:r>
        <w:rPr>
          <w:noProof/>
          <w:lang w:val="fr-FR" w:eastAsia="es-BO"/>
        </w:rPr>
        <w:t>u</w:t>
      </w:r>
      <w:r w:rsidRPr="00DF456A">
        <w:rPr>
          <w:noProof/>
          <w:lang w:val="fr-FR" w:eastAsia="es-BO"/>
        </w:rPr>
        <w:t xml:space="preserve"> 19</w:t>
      </w:r>
      <w:r w:rsidR="001357C8">
        <w:rPr>
          <w:noProof/>
          <w:lang w:val="fr-FR" w:eastAsia="es-BO"/>
        </w:rPr>
        <w:t> </w:t>
      </w:r>
      <w:r w:rsidRPr="00DF456A">
        <w:rPr>
          <w:noProof/>
          <w:lang w:val="fr-FR" w:eastAsia="es-BO"/>
        </w:rPr>
        <w:t>d</w:t>
      </w:r>
      <w:r>
        <w:rPr>
          <w:noProof/>
          <w:lang w:val="fr-FR" w:eastAsia="es-BO"/>
        </w:rPr>
        <w:t>éc</w:t>
      </w:r>
      <w:r w:rsidRPr="00DF456A">
        <w:rPr>
          <w:noProof/>
          <w:lang w:val="fr-FR" w:eastAsia="es-BO"/>
        </w:rPr>
        <w:t>embre 2013 (</w:t>
      </w:r>
      <w:r>
        <w:rPr>
          <w:noProof/>
          <w:lang w:val="fr-FR" w:eastAsia="es-BO"/>
        </w:rPr>
        <w:t>annexe</w:t>
      </w:r>
      <w:r w:rsidR="001357C8">
        <w:rPr>
          <w:noProof/>
          <w:lang w:val="fr-FR" w:eastAsia="es-BO"/>
        </w:rPr>
        <w:t> </w:t>
      </w:r>
      <w:r w:rsidRPr="00DF456A">
        <w:rPr>
          <w:noProof/>
          <w:lang w:val="fr-FR" w:eastAsia="es-BO"/>
        </w:rPr>
        <w:t>6)</w:t>
      </w:r>
      <w:r>
        <w:rPr>
          <w:noProof/>
          <w:lang w:val="fr-FR" w:eastAsia="es-BO"/>
        </w:rPr>
        <w:t xml:space="preserve"> a créé le Service plurinational de défense publique en tant qu</w:t>
      </w:r>
      <w:r w:rsidR="00FB1114">
        <w:rPr>
          <w:noProof/>
          <w:lang w:val="fr-FR" w:eastAsia="es-BO"/>
        </w:rPr>
        <w:t>’</w:t>
      </w:r>
      <w:r w:rsidRPr="00DF456A">
        <w:rPr>
          <w:noProof/>
          <w:lang w:val="fr-FR" w:eastAsia="es-BO"/>
        </w:rPr>
        <w:t>institu</w:t>
      </w:r>
      <w:r>
        <w:rPr>
          <w:noProof/>
          <w:lang w:val="fr-FR" w:eastAsia="es-BO"/>
        </w:rPr>
        <w:t xml:space="preserve">tion </w:t>
      </w:r>
      <w:r w:rsidRPr="00DF456A">
        <w:rPr>
          <w:noProof/>
          <w:lang w:val="fr-FR" w:eastAsia="es-BO"/>
        </w:rPr>
        <w:t>d</w:t>
      </w:r>
      <w:r>
        <w:rPr>
          <w:noProof/>
          <w:lang w:val="fr-FR" w:eastAsia="es-BO"/>
        </w:rPr>
        <w:t>éc</w:t>
      </w:r>
      <w:r w:rsidRPr="00DF456A">
        <w:rPr>
          <w:noProof/>
          <w:lang w:val="fr-FR" w:eastAsia="es-BO"/>
        </w:rPr>
        <w:t>entrali</w:t>
      </w:r>
      <w:r>
        <w:rPr>
          <w:noProof/>
          <w:lang w:val="fr-FR" w:eastAsia="es-BO"/>
        </w:rPr>
        <w:t>sée dotée de l</w:t>
      </w:r>
      <w:r w:rsidR="00FB1114">
        <w:rPr>
          <w:noProof/>
          <w:lang w:val="fr-FR" w:eastAsia="es-BO"/>
        </w:rPr>
        <w:t>’</w:t>
      </w:r>
      <w:r w:rsidRPr="00DF456A">
        <w:rPr>
          <w:noProof/>
          <w:lang w:val="fr-FR" w:eastAsia="es-BO"/>
        </w:rPr>
        <w:t>autonom</w:t>
      </w:r>
      <w:r>
        <w:rPr>
          <w:noProof/>
          <w:lang w:val="fr-FR" w:eastAsia="es-BO"/>
        </w:rPr>
        <w:t>ie</w:t>
      </w:r>
      <w:r w:rsidRPr="00DF456A">
        <w:rPr>
          <w:noProof/>
          <w:lang w:val="fr-FR" w:eastAsia="es-BO"/>
        </w:rPr>
        <w:t xml:space="preserve"> de gesti</w:t>
      </w:r>
      <w:r>
        <w:rPr>
          <w:noProof/>
          <w:lang w:val="fr-FR" w:eastAsia="es-BO"/>
        </w:rPr>
        <w:t>on administrative</w:t>
      </w:r>
      <w:r w:rsidRPr="00DF456A">
        <w:rPr>
          <w:noProof/>
          <w:lang w:val="fr-FR" w:eastAsia="es-BO"/>
        </w:rPr>
        <w:t>, financi</w:t>
      </w:r>
      <w:r>
        <w:rPr>
          <w:noProof/>
          <w:lang w:val="fr-FR" w:eastAsia="es-BO"/>
        </w:rPr>
        <w:t>ère</w:t>
      </w:r>
      <w:r w:rsidRPr="00DF456A">
        <w:rPr>
          <w:noProof/>
          <w:lang w:val="fr-FR" w:eastAsia="es-BO"/>
        </w:rPr>
        <w:t xml:space="preserve">, </w:t>
      </w:r>
      <w:r>
        <w:rPr>
          <w:noProof/>
          <w:lang w:val="fr-FR" w:eastAsia="es-BO"/>
        </w:rPr>
        <w:t>juridique et technique et relevant du Ministère de la justice et de la transparence institutionnelle</w:t>
      </w:r>
      <w:r w:rsidR="001357C8">
        <w:rPr>
          <w:noProof/>
          <w:lang w:val="fr-FR" w:eastAsia="es-BO"/>
        </w:rPr>
        <w:t> </w:t>
      </w:r>
      <w:r w:rsidRPr="00DF456A">
        <w:rPr>
          <w:noProof/>
          <w:lang w:val="fr-FR" w:eastAsia="es-BO"/>
        </w:rPr>
        <w:t xml:space="preserve">; </w:t>
      </w:r>
      <w:r>
        <w:rPr>
          <w:noProof/>
          <w:lang w:val="fr-FR" w:eastAsia="es-BO"/>
        </w:rPr>
        <w:t>ce Service est chargé d</w:t>
      </w:r>
      <w:r w:rsidR="00FB1114">
        <w:rPr>
          <w:noProof/>
          <w:lang w:val="fr-FR" w:eastAsia="es-BO"/>
        </w:rPr>
        <w:t>’</w:t>
      </w:r>
      <w:r>
        <w:rPr>
          <w:noProof/>
          <w:lang w:val="fr-FR" w:eastAsia="es-BO"/>
        </w:rPr>
        <w:t>assurer gratuitement une assistance juridique et une défense pénale technique à toute personne accusée ou poursuivie et à celles auxquelles un avocat n</w:t>
      </w:r>
      <w:r w:rsidR="00FB1114">
        <w:rPr>
          <w:noProof/>
          <w:lang w:val="fr-FR" w:eastAsia="es-BO"/>
        </w:rPr>
        <w:t>’</w:t>
      </w:r>
      <w:r>
        <w:rPr>
          <w:noProof/>
          <w:lang w:val="fr-FR" w:eastAsia="es-BO"/>
        </w:rPr>
        <w:t>a pas été commis d</w:t>
      </w:r>
      <w:r w:rsidR="00FB1114">
        <w:rPr>
          <w:noProof/>
          <w:lang w:val="fr-FR" w:eastAsia="es-BO"/>
        </w:rPr>
        <w:t>’</w:t>
      </w:r>
      <w:r>
        <w:rPr>
          <w:noProof/>
          <w:lang w:val="fr-FR" w:eastAsia="es-BO"/>
        </w:rPr>
        <w:t>office</w:t>
      </w:r>
      <w:r w:rsidRPr="00DF456A">
        <w:rPr>
          <w:noProof/>
          <w:lang w:val="fr-FR" w:eastAsia="es-BO"/>
        </w:rPr>
        <w:t>.</w:t>
      </w:r>
    </w:p>
    <w:p w:rsidR="00614A7E" w:rsidRPr="00694D43" w:rsidRDefault="00614A7E" w:rsidP="00614A7E">
      <w:pPr>
        <w:pStyle w:val="SingleTxtG"/>
        <w:rPr>
          <w:noProof/>
          <w:lang w:val="fr-FR" w:eastAsia="es-BO"/>
        </w:rPr>
      </w:pPr>
      <w:r w:rsidRPr="00694D43">
        <w:rPr>
          <w:noProof/>
          <w:lang w:val="fr-FR" w:eastAsia="es-BO"/>
        </w:rPr>
        <w:t>20.</w:t>
      </w:r>
      <w:r w:rsidRPr="00694D43">
        <w:rPr>
          <w:noProof/>
          <w:lang w:val="fr-FR" w:eastAsia="es-BO"/>
        </w:rPr>
        <w:tab/>
        <w:t>Selon le Système intégré de suivi des affaires, le Service plurinational avait, au 1</w:t>
      </w:r>
      <w:r w:rsidRPr="00694D43">
        <w:rPr>
          <w:noProof/>
          <w:vertAlign w:val="superscript"/>
          <w:lang w:val="fr-FR" w:eastAsia="es-BO"/>
        </w:rPr>
        <w:t>er</w:t>
      </w:r>
      <w:r w:rsidR="001357C8" w:rsidRPr="00694D43">
        <w:rPr>
          <w:noProof/>
          <w:lang w:val="fr-FR" w:eastAsia="es-BO"/>
        </w:rPr>
        <w:t> </w:t>
      </w:r>
      <w:r w:rsidRPr="00694D43">
        <w:rPr>
          <w:noProof/>
          <w:lang w:val="fr-FR" w:eastAsia="es-BO"/>
        </w:rPr>
        <w:t>décembre 2017, fourni une assistance à 11</w:t>
      </w:r>
      <w:r w:rsidR="00694D43">
        <w:rPr>
          <w:noProof/>
          <w:lang w:val="fr-FR" w:eastAsia="es-BO"/>
        </w:rPr>
        <w:t> </w:t>
      </w:r>
      <w:r w:rsidRPr="00694D43">
        <w:rPr>
          <w:noProof/>
          <w:lang w:val="fr-FR" w:eastAsia="es-BO"/>
        </w:rPr>
        <w:t>609</w:t>
      </w:r>
      <w:r w:rsidR="00694D43">
        <w:rPr>
          <w:noProof/>
          <w:lang w:val="fr-FR" w:eastAsia="es-BO"/>
        </w:rPr>
        <w:t> </w:t>
      </w:r>
      <w:r w:rsidRPr="00694D43">
        <w:rPr>
          <w:noProof/>
          <w:lang w:val="fr-FR" w:eastAsia="es-BO"/>
        </w:rPr>
        <w:t>personnes au niveau national (annexe</w:t>
      </w:r>
      <w:r w:rsidR="001357C8" w:rsidRPr="00694D43">
        <w:rPr>
          <w:noProof/>
          <w:lang w:val="fr-FR" w:eastAsia="es-BO"/>
        </w:rPr>
        <w:t> </w:t>
      </w:r>
      <w:r w:rsidRPr="00694D43">
        <w:rPr>
          <w:noProof/>
          <w:lang w:val="fr-FR" w:eastAsia="es-BO"/>
        </w:rPr>
        <w:t>7).</w:t>
      </w:r>
    </w:p>
    <w:p w:rsidR="00614A7E" w:rsidRPr="00694D43" w:rsidRDefault="00614A7E" w:rsidP="00614A7E">
      <w:pPr>
        <w:pStyle w:val="SingleTxtG"/>
        <w:rPr>
          <w:noProof/>
          <w:lang w:val="fr-FR" w:eastAsia="es-BO"/>
        </w:rPr>
      </w:pPr>
      <w:r w:rsidRPr="00694D43">
        <w:rPr>
          <w:noProof/>
          <w:lang w:val="fr-FR" w:eastAsia="es-BO"/>
        </w:rPr>
        <w:t>21.</w:t>
      </w:r>
      <w:r w:rsidRPr="00694D43">
        <w:rPr>
          <w:noProof/>
          <w:lang w:val="fr-FR" w:eastAsia="es-BO"/>
        </w:rPr>
        <w:tab/>
        <w:t>Les défenseurs public du Service plurinational ont effectué 412 visites dans les centres pénitentiaires dans le but d</w:t>
      </w:r>
      <w:r w:rsidR="00FB1114" w:rsidRPr="00694D43">
        <w:rPr>
          <w:noProof/>
          <w:lang w:val="fr-FR" w:eastAsia="es-BO"/>
        </w:rPr>
        <w:t>’</w:t>
      </w:r>
      <w:r w:rsidRPr="00694D43">
        <w:rPr>
          <w:noProof/>
          <w:lang w:val="fr-FR" w:eastAsia="es-BO"/>
        </w:rPr>
        <w:t>enregistrer toutes les consultations, les procédures menées et les mesures à prendre (annexe</w:t>
      </w:r>
      <w:r w:rsidR="005A16E9" w:rsidRPr="00694D43">
        <w:rPr>
          <w:noProof/>
          <w:lang w:val="fr-FR" w:eastAsia="es-BO"/>
        </w:rPr>
        <w:t> </w:t>
      </w:r>
      <w:r w:rsidRPr="00694D43">
        <w:rPr>
          <w:noProof/>
          <w:lang w:val="fr-FR" w:eastAsia="es-BO"/>
        </w:rPr>
        <w:t>8).</w:t>
      </w:r>
    </w:p>
    <w:p w:rsidR="00614A7E" w:rsidRPr="005A16E9" w:rsidRDefault="00614A7E" w:rsidP="00614A7E">
      <w:pPr>
        <w:pStyle w:val="SingleTxtG"/>
        <w:rPr>
          <w:noProof/>
          <w:lang w:val="fr-FR" w:eastAsia="es-BO"/>
        </w:rPr>
      </w:pPr>
      <w:r w:rsidRPr="00694D43">
        <w:rPr>
          <w:noProof/>
          <w:lang w:val="fr-FR" w:eastAsia="es-BO"/>
        </w:rPr>
        <w:t>22.</w:t>
      </w:r>
      <w:r w:rsidRPr="00694D43">
        <w:rPr>
          <w:noProof/>
          <w:lang w:val="fr-FR" w:eastAsia="es-BO"/>
        </w:rPr>
        <w:tab/>
        <w:t>De même, le Protocole d</w:t>
      </w:r>
      <w:r w:rsidR="00FB1114" w:rsidRPr="00694D43">
        <w:rPr>
          <w:noProof/>
          <w:lang w:val="fr-FR" w:eastAsia="es-BO"/>
        </w:rPr>
        <w:t>’</w:t>
      </w:r>
      <w:r w:rsidRPr="00694D43">
        <w:rPr>
          <w:noProof/>
          <w:lang w:val="fr-FR" w:eastAsia="es-BO"/>
        </w:rPr>
        <w:t>intervention des défenseurs publics</w:t>
      </w:r>
      <w:r w:rsidRPr="00694D43">
        <w:rPr>
          <w:noProof/>
          <w:spacing w:val="-2"/>
          <w:sz w:val="18"/>
          <w:szCs w:val="18"/>
          <w:vertAlign w:val="superscript"/>
          <w:lang w:val="fr-FR" w:eastAsia="es-BO"/>
        </w:rPr>
        <w:footnoteReference w:id="16"/>
      </w:r>
      <w:r w:rsidRPr="00694D43">
        <w:rPr>
          <w:noProof/>
          <w:lang w:val="fr-FR" w:eastAsia="es-BO"/>
        </w:rPr>
        <w:t xml:space="preserve"> (annexe</w:t>
      </w:r>
      <w:r w:rsidR="005A16E9" w:rsidRPr="00694D43">
        <w:rPr>
          <w:noProof/>
          <w:lang w:val="fr-FR" w:eastAsia="es-BO"/>
        </w:rPr>
        <w:t> </w:t>
      </w:r>
      <w:r w:rsidRPr="00694D43">
        <w:rPr>
          <w:noProof/>
          <w:lang w:val="fr-FR" w:eastAsia="es-BO"/>
        </w:rPr>
        <w:t>9) a été adopté en tant qu</w:t>
      </w:r>
      <w:r w:rsidR="00FB1114" w:rsidRPr="00694D43">
        <w:rPr>
          <w:noProof/>
          <w:lang w:val="fr-FR" w:eastAsia="es-BO"/>
        </w:rPr>
        <w:t>’</w:t>
      </w:r>
      <w:r w:rsidRPr="00694D43">
        <w:rPr>
          <w:noProof/>
          <w:lang w:val="fr-FR" w:eastAsia="es-BO"/>
        </w:rPr>
        <w:t>instrument permettant aux défenseurs publics d</w:t>
      </w:r>
      <w:r w:rsidR="00FB1114" w:rsidRPr="00694D43">
        <w:rPr>
          <w:noProof/>
          <w:lang w:val="fr-FR" w:eastAsia="es-BO"/>
        </w:rPr>
        <w:t>’</w:t>
      </w:r>
      <w:r w:rsidRPr="00694D43">
        <w:rPr>
          <w:noProof/>
          <w:lang w:val="fr-FR" w:eastAsia="es-BO"/>
        </w:rPr>
        <w:t>assurer l</w:t>
      </w:r>
      <w:r w:rsidR="00FB1114" w:rsidRPr="00694D43">
        <w:rPr>
          <w:noProof/>
          <w:lang w:val="fr-FR" w:eastAsia="es-BO"/>
        </w:rPr>
        <w:t>’</w:t>
      </w:r>
      <w:r w:rsidRPr="00694D43">
        <w:rPr>
          <w:noProof/>
          <w:lang w:val="fr-FR" w:eastAsia="es-BO"/>
        </w:rPr>
        <w:t>exercice des droits et la mise en œuvre des garantites juridictionnelles dans les procédures pénales, moyennant une représentation technique appropriée et diligente, dans la lignée des observations et recommandations formulées</w:t>
      </w:r>
      <w:r>
        <w:rPr>
          <w:noProof/>
          <w:lang w:val="fr-FR" w:eastAsia="es-BO"/>
        </w:rPr>
        <w:t xml:space="preserve"> par le </w:t>
      </w:r>
      <w:r w:rsidRPr="00DF456A">
        <w:rPr>
          <w:noProof/>
          <w:lang w:val="fr-FR" w:eastAsia="es-BO"/>
        </w:rPr>
        <w:t>S</w:t>
      </w:r>
      <w:r>
        <w:rPr>
          <w:noProof/>
          <w:lang w:val="fr-FR" w:eastAsia="es-BO"/>
        </w:rPr>
        <w:t>ous-Comité pour la pré</w:t>
      </w:r>
      <w:r w:rsidRPr="00DF456A">
        <w:rPr>
          <w:noProof/>
          <w:lang w:val="fr-FR" w:eastAsia="es-BO"/>
        </w:rPr>
        <w:t>ven</w:t>
      </w:r>
      <w:r>
        <w:rPr>
          <w:noProof/>
          <w:lang w:val="fr-FR" w:eastAsia="es-BO"/>
        </w:rPr>
        <w:t>tion</w:t>
      </w:r>
      <w:r w:rsidRPr="00DF456A">
        <w:rPr>
          <w:noProof/>
          <w:lang w:val="fr-FR" w:eastAsia="es-BO"/>
        </w:rPr>
        <w:t xml:space="preserve"> de la </w:t>
      </w:r>
      <w:r>
        <w:rPr>
          <w:noProof/>
          <w:lang w:val="fr-FR" w:eastAsia="es-BO"/>
        </w:rPr>
        <w:t>t</w:t>
      </w:r>
      <w:r w:rsidRPr="00DF456A">
        <w:rPr>
          <w:noProof/>
          <w:lang w:val="fr-FR" w:eastAsia="es-BO"/>
        </w:rPr>
        <w:t>ortur</w:t>
      </w:r>
      <w:r>
        <w:rPr>
          <w:noProof/>
          <w:lang w:val="fr-FR" w:eastAsia="es-BO"/>
        </w:rPr>
        <w:t>e et autres peines ou traitements c</w:t>
      </w:r>
      <w:r w:rsidRPr="00DF456A">
        <w:rPr>
          <w:noProof/>
          <w:lang w:val="fr-FR" w:eastAsia="es-BO"/>
        </w:rPr>
        <w:t xml:space="preserve">ruels, </w:t>
      </w:r>
      <w:r>
        <w:rPr>
          <w:noProof/>
          <w:lang w:val="fr-FR" w:eastAsia="es-BO"/>
        </w:rPr>
        <w:t>i</w:t>
      </w:r>
      <w:r w:rsidRPr="00DF456A">
        <w:rPr>
          <w:noProof/>
          <w:lang w:val="fr-FR" w:eastAsia="es-BO"/>
        </w:rPr>
        <w:t>nhuma</w:t>
      </w:r>
      <w:r>
        <w:rPr>
          <w:noProof/>
          <w:lang w:val="fr-FR" w:eastAsia="es-BO"/>
        </w:rPr>
        <w:t>ins ou dégradants</w:t>
      </w:r>
      <w:r w:rsidRPr="00DF456A">
        <w:rPr>
          <w:noProof/>
          <w:lang w:val="fr-FR" w:eastAsia="es-BO"/>
        </w:rPr>
        <w:t>.</w:t>
      </w:r>
    </w:p>
    <w:p w:rsidR="00614A7E" w:rsidRPr="005A16E9" w:rsidRDefault="00614A7E" w:rsidP="005A16E9">
      <w:pPr>
        <w:pStyle w:val="SingleTxtG"/>
        <w:rPr>
          <w:noProof/>
          <w:lang w:val="fr-FR" w:eastAsia="es-BO"/>
        </w:rPr>
      </w:pPr>
      <w:r w:rsidRPr="00DF456A">
        <w:rPr>
          <w:noProof/>
          <w:lang w:val="fr-FR" w:eastAsia="es-BO"/>
        </w:rPr>
        <w:t>23.</w:t>
      </w:r>
      <w:r w:rsidRPr="00DF456A">
        <w:rPr>
          <w:noProof/>
          <w:lang w:val="fr-FR" w:eastAsia="es-BO"/>
        </w:rPr>
        <w:tab/>
      </w:r>
      <w:r>
        <w:rPr>
          <w:bCs/>
          <w:noProof/>
          <w:lang w:val="fr-FR" w:eastAsia="es-BO"/>
        </w:rPr>
        <w:t>Le Protocole d</w:t>
      </w:r>
      <w:r w:rsidR="00FB1114">
        <w:rPr>
          <w:bCs/>
          <w:noProof/>
          <w:lang w:val="fr-FR" w:eastAsia="es-BO"/>
        </w:rPr>
        <w:t>’</w:t>
      </w:r>
      <w:r>
        <w:rPr>
          <w:bCs/>
          <w:noProof/>
          <w:lang w:val="fr-FR" w:eastAsia="es-BO"/>
        </w:rPr>
        <w:t xml:space="preserve">intervention des défenseurs publics </w:t>
      </w:r>
      <w:r>
        <w:rPr>
          <w:noProof/>
          <w:lang w:val="fr-FR" w:eastAsia="es-BO"/>
        </w:rPr>
        <w:t>pré</w:t>
      </w:r>
      <w:r w:rsidRPr="00DF456A">
        <w:rPr>
          <w:noProof/>
          <w:lang w:val="fr-FR" w:eastAsia="es-BO"/>
        </w:rPr>
        <w:t>v</w:t>
      </w:r>
      <w:r>
        <w:rPr>
          <w:noProof/>
          <w:lang w:val="fr-FR" w:eastAsia="es-BO"/>
        </w:rPr>
        <w:t>oit</w:t>
      </w:r>
      <w:r w:rsidRPr="00DF456A">
        <w:rPr>
          <w:noProof/>
          <w:lang w:val="fr-FR" w:eastAsia="es-BO"/>
        </w:rPr>
        <w:t xml:space="preserve"> que</w:t>
      </w:r>
      <w:r>
        <w:rPr>
          <w:noProof/>
          <w:lang w:val="fr-FR" w:eastAsia="es-BO"/>
        </w:rPr>
        <w:t>, dès qu</w:t>
      </w:r>
      <w:r w:rsidR="00FB1114">
        <w:rPr>
          <w:noProof/>
          <w:lang w:val="fr-FR" w:eastAsia="es-BO"/>
        </w:rPr>
        <w:t>’</w:t>
      </w:r>
      <w:r>
        <w:rPr>
          <w:noProof/>
          <w:lang w:val="fr-FR" w:eastAsia="es-BO"/>
        </w:rPr>
        <w:t xml:space="preserve">il </w:t>
      </w:r>
      <w:r w:rsidRPr="00782DD4">
        <w:rPr>
          <w:noProof/>
          <w:lang w:val="fr-FR"/>
        </w:rPr>
        <w:t>rep</w:t>
      </w:r>
      <w:r>
        <w:rPr>
          <w:noProof/>
          <w:lang w:val="fr-FR"/>
        </w:rPr>
        <w:t>ère</w:t>
      </w:r>
      <w:r w:rsidRPr="00782DD4">
        <w:rPr>
          <w:noProof/>
          <w:lang w:val="fr-FR"/>
        </w:rPr>
        <w:t xml:space="preserve"> de</w:t>
      </w:r>
      <w:r>
        <w:rPr>
          <w:noProof/>
          <w:lang w:val="fr-FR"/>
        </w:rPr>
        <w:t>s</w:t>
      </w:r>
      <w:r w:rsidRPr="00782DD4">
        <w:rPr>
          <w:noProof/>
          <w:lang w:val="fr-FR"/>
        </w:rPr>
        <w:t xml:space="preserve"> signes de violence physique ou </w:t>
      </w:r>
      <w:r w:rsidRPr="005A16E9">
        <w:rPr>
          <w:noProof/>
          <w:lang w:val="fr-FR"/>
        </w:rPr>
        <w:t xml:space="preserve">psychologique chez les usagers du service, le défenseur public </w:t>
      </w:r>
      <w:r w:rsidRPr="005A16E9">
        <w:rPr>
          <w:noProof/>
          <w:lang w:val="fr-FR" w:eastAsia="es-BO"/>
        </w:rPr>
        <w:t>doit demander au procureur de saisir le médecin légiste en le priant de prendre des mesures préventives de sécurité et de transfert vers un centre de soins, et notifier l</w:t>
      </w:r>
      <w:r w:rsidR="00FB1114">
        <w:rPr>
          <w:noProof/>
          <w:lang w:val="fr-FR" w:eastAsia="es-BO"/>
        </w:rPr>
        <w:t>’</w:t>
      </w:r>
      <w:r w:rsidRPr="005A16E9">
        <w:rPr>
          <w:noProof/>
          <w:lang w:val="fr-FR" w:eastAsia="es-BO"/>
        </w:rPr>
        <w:t xml:space="preserve">existence de ces signes au </w:t>
      </w:r>
      <w:r w:rsidRPr="005A16E9">
        <w:rPr>
          <w:noProof/>
          <w:lang w:val="fr-FR"/>
        </w:rPr>
        <w:t>Service de prévention de la torture</w:t>
      </w:r>
      <w:r w:rsidRPr="005A16E9">
        <w:rPr>
          <w:noProof/>
          <w:lang w:val="fr-FR" w:eastAsia="es-BO"/>
        </w:rPr>
        <w:t>.</w:t>
      </w:r>
    </w:p>
    <w:p w:rsidR="00614A7E" w:rsidRPr="00DD5661" w:rsidRDefault="00614A7E" w:rsidP="00614A7E">
      <w:pPr>
        <w:pStyle w:val="SingleTxtG"/>
        <w:rPr>
          <w:noProof/>
          <w:lang w:val="fr-FR" w:eastAsia="es-BO"/>
        </w:rPr>
      </w:pPr>
      <w:r w:rsidRPr="00DD5661">
        <w:rPr>
          <w:noProof/>
          <w:lang w:val="fr-FR" w:eastAsia="es-BO"/>
        </w:rPr>
        <w:t>24.</w:t>
      </w:r>
      <w:r w:rsidRPr="00DD5661">
        <w:rPr>
          <w:noProof/>
          <w:lang w:val="fr-FR" w:eastAsia="es-BO"/>
        </w:rPr>
        <w:tab/>
        <w:t>Le Service plurinational de la défense publique a installé dans les établissements pénitentiaires des terminaux informatiques grâce auxquels les utilisateurs en détention provisoire peuvent suivre les procédures judiciaires les concernant et l</w:t>
      </w:r>
      <w:r w:rsidR="00FB1114" w:rsidRPr="00DD5661">
        <w:rPr>
          <w:noProof/>
          <w:lang w:val="fr-FR" w:eastAsia="es-BO"/>
        </w:rPr>
        <w:t>’</w:t>
      </w:r>
      <w:r w:rsidRPr="00DD5661">
        <w:rPr>
          <w:noProof/>
          <w:lang w:val="fr-FR" w:eastAsia="es-BO"/>
        </w:rPr>
        <w:t>intervention du procureur ou du Service plurinational lui-même, ainsi que celle des défenseurs publics. Depuis 2017, ces terminaux ont été mis en place dans cinq établissements pénitentiaires (annexe 10).</w:t>
      </w:r>
    </w:p>
    <w:p w:rsidR="00614A7E" w:rsidRPr="005A16E9" w:rsidRDefault="00614A7E" w:rsidP="00614A7E">
      <w:pPr>
        <w:pStyle w:val="SingleTxtG"/>
        <w:rPr>
          <w:noProof/>
          <w:lang w:val="fr-FR" w:eastAsia="es-BO"/>
        </w:rPr>
      </w:pPr>
      <w:r w:rsidRPr="005A16E9">
        <w:rPr>
          <w:noProof/>
          <w:lang w:val="fr-FR" w:eastAsia="es-BO"/>
        </w:rPr>
        <w:t>25.</w:t>
      </w:r>
      <w:r w:rsidRPr="005A16E9">
        <w:rPr>
          <w:noProof/>
          <w:lang w:val="fr-FR" w:eastAsia="es-BO"/>
        </w:rPr>
        <w:tab/>
        <w:t>Il est prévu de doter 17 autres établissements pénitentiaires de terminaux informatiques de ce type.</w:t>
      </w:r>
    </w:p>
    <w:p w:rsidR="00614A7E" w:rsidRPr="00DF456A" w:rsidRDefault="005A16E9" w:rsidP="005A16E9">
      <w:pPr>
        <w:pStyle w:val="H23G"/>
        <w:rPr>
          <w:noProof/>
          <w:lang w:val="fr-FR" w:eastAsia="es-BO"/>
        </w:rPr>
      </w:pPr>
      <w:r>
        <w:rPr>
          <w:noProof/>
          <w:lang w:val="fr-FR" w:eastAsia="es-BO"/>
        </w:rPr>
        <w:tab/>
      </w:r>
      <w:r>
        <w:rPr>
          <w:noProof/>
          <w:lang w:val="fr-FR" w:eastAsia="es-BO"/>
        </w:rPr>
        <w:tab/>
      </w:r>
      <w:r w:rsidR="00614A7E">
        <w:rPr>
          <w:noProof/>
          <w:lang w:val="fr-FR" w:eastAsia="es-BO"/>
        </w:rPr>
        <w:t>Renseignements sur l</w:t>
      </w:r>
      <w:r w:rsidR="00FB1114">
        <w:rPr>
          <w:noProof/>
          <w:lang w:val="fr-FR" w:eastAsia="es-BO"/>
        </w:rPr>
        <w:t>’</w:t>
      </w:r>
      <w:r w:rsidR="00614A7E">
        <w:rPr>
          <w:noProof/>
          <w:lang w:val="fr-FR" w:eastAsia="es-BO"/>
        </w:rPr>
        <w:t>application des paragraphes 2 et 3 de l</w:t>
      </w:r>
      <w:r w:rsidR="00FB1114">
        <w:rPr>
          <w:noProof/>
          <w:lang w:val="fr-FR" w:eastAsia="es-BO"/>
        </w:rPr>
        <w:t>’</w:t>
      </w:r>
      <w:r w:rsidR="00614A7E">
        <w:rPr>
          <w:noProof/>
          <w:lang w:val="fr-FR" w:eastAsia="es-BO"/>
        </w:rPr>
        <w:t xml:space="preserve">article </w:t>
      </w:r>
      <w:r w:rsidR="00614A7E" w:rsidRPr="00DF456A">
        <w:rPr>
          <w:noProof/>
          <w:lang w:val="fr-FR" w:eastAsia="es-BO"/>
        </w:rPr>
        <w:t xml:space="preserve">2 </w:t>
      </w:r>
      <w:r>
        <w:rPr>
          <w:noProof/>
          <w:lang w:val="fr-FR" w:eastAsia="es-BO"/>
        </w:rPr>
        <w:br/>
      </w:r>
      <w:r w:rsidR="00614A7E" w:rsidRPr="00DF456A">
        <w:rPr>
          <w:noProof/>
          <w:lang w:val="fr-FR" w:eastAsia="es-BO"/>
        </w:rPr>
        <w:t>de la Conven</w:t>
      </w:r>
      <w:r w:rsidR="00614A7E">
        <w:rPr>
          <w:noProof/>
          <w:lang w:val="fr-FR" w:eastAsia="es-BO"/>
        </w:rPr>
        <w:t>tion</w:t>
      </w:r>
    </w:p>
    <w:p w:rsidR="00614A7E" w:rsidRPr="005A16E9" w:rsidRDefault="00614A7E" w:rsidP="00614A7E">
      <w:pPr>
        <w:pStyle w:val="SingleTxtG"/>
        <w:rPr>
          <w:noProof/>
          <w:lang w:val="fr-FR" w:eastAsia="es-BO"/>
        </w:rPr>
      </w:pPr>
      <w:r w:rsidRPr="00DF456A">
        <w:rPr>
          <w:noProof/>
          <w:lang w:val="fr-FR" w:eastAsia="es-BO"/>
        </w:rPr>
        <w:t>26.</w:t>
      </w:r>
      <w:r w:rsidRPr="00DF456A">
        <w:rPr>
          <w:noProof/>
          <w:lang w:val="fr-FR" w:eastAsia="es-BO"/>
        </w:rPr>
        <w:tab/>
      </w:r>
      <w:r>
        <w:rPr>
          <w:noProof/>
          <w:lang w:val="fr-FR" w:eastAsia="es-BO"/>
        </w:rPr>
        <w:t>En ce qui concerne l</w:t>
      </w:r>
      <w:r w:rsidR="00FB1114">
        <w:rPr>
          <w:noProof/>
          <w:lang w:val="fr-FR" w:eastAsia="es-BO"/>
        </w:rPr>
        <w:t>’</w:t>
      </w:r>
      <w:r>
        <w:rPr>
          <w:noProof/>
          <w:lang w:val="fr-FR" w:eastAsia="es-BO"/>
        </w:rPr>
        <w:t>application du paragraphe</w:t>
      </w:r>
      <w:r w:rsidR="005A16E9">
        <w:rPr>
          <w:noProof/>
          <w:lang w:val="fr-FR" w:eastAsia="es-BO"/>
        </w:rPr>
        <w:t> </w:t>
      </w:r>
      <w:r>
        <w:rPr>
          <w:noProof/>
          <w:lang w:val="fr-FR" w:eastAsia="es-BO"/>
        </w:rPr>
        <w:t>2 de l</w:t>
      </w:r>
      <w:r w:rsidR="00FB1114">
        <w:rPr>
          <w:noProof/>
          <w:lang w:val="fr-FR" w:eastAsia="es-BO"/>
        </w:rPr>
        <w:t>’</w:t>
      </w:r>
      <w:r>
        <w:rPr>
          <w:noProof/>
          <w:lang w:val="fr-FR" w:eastAsia="es-BO"/>
        </w:rPr>
        <w:t>article</w:t>
      </w:r>
      <w:r w:rsidR="005A16E9">
        <w:rPr>
          <w:noProof/>
          <w:lang w:val="fr-FR" w:eastAsia="es-BO"/>
        </w:rPr>
        <w:t> </w:t>
      </w:r>
      <w:r>
        <w:rPr>
          <w:noProof/>
          <w:lang w:val="fr-FR" w:eastAsia="es-BO"/>
        </w:rPr>
        <w:t>2</w:t>
      </w:r>
      <w:r w:rsidRPr="00DF456A">
        <w:rPr>
          <w:noProof/>
          <w:lang w:val="fr-FR" w:eastAsia="es-BO"/>
        </w:rPr>
        <w:t xml:space="preserve"> de la Conven</w:t>
      </w:r>
      <w:r>
        <w:rPr>
          <w:noProof/>
          <w:lang w:val="fr-FR" w:eastAsia="es-BO"/>
        </w:rPr>
        <w:t>tion</w:t>
      </w:r>
      <w:r w:rsidRPr="00DF456A">
        <w:rPr>
          <w:noProof/>
          <w:lang w:val="fr-FR" w:eastAsia="es-BO"/>
        </w:rPr>
        <w:t xml:space="preserve">, </w:t>
      </w:r>
      <w:r>
        <w:rPr>
          <w:noProof/>
          <w:lang w:val="fr-FR" w:eastAsia="es-BO"/>
        </w:rPr>
        <w:t>selon la Constitution, le fait que l</w:t>
      </w:r>
      <w:r w:rsidR="00FB1114">
        <w:rPr>
          <w:noProof/>
          <w:lang w:val="fr-FR" w:eastAsia="es-BO"/>
        </w:rPr>
        <w:t>’</w:t>
      </w:r>
      <w:r>
        <w:rPr>
          <w:noProof/>
          <w:lang w:val="fr-FR" w:eastAsia="es-BO"/>
        </w:rPr>
        <w:t>état d</w:t>
      </w:r>
      <w:r w:rsidR="00FB1114">
        <w:rPr>
          <w:noProof/>
          <w:lang w:val="fr-FR" w:eastAsia="es-BO"/>
        </w:rPr>
        <w:t>’</w:t>
      </w:r>
      <w:r>
        <w:rPr>
          <w:noProof/>
          <w:lang w:val="fr-FR" w:eastAsia="es-BO"/>
        </w:rPr>
        <w:t>exception soit déclaré ne suspend pas les garanties constitutionnelles, les droits de la personne, le droit à un procès équitable et les droits des personnes privées de liberté</w:t>
      </w:r>
      <w:r w:rsidRPr="00DF456A">
        <w:rPr>
          <w:noProof/>
          <w:sz w:val="18"/>
          <w:szCs w:val="18"/>
          <w:vertAlign w:val="superscript"/>
          <w:lang w:val="fr-FR" w:eastAsia="es-BO"/>
        </w:rPr>
        <w:footnoteReference w:id="17"/>
      </w:r>
      <w:r w:rsidRPr="00DF456A">
        <w:rPr>
          <w:noProof/>
          <w:lang w:val="fr-FR" w:eastAsia="es-BO"/>
        </w:rPr>
        <w:t xml:space="preserve">, </w:t>
      </w:r>
      <w:r>
        <w:rPr>
          <w:noProof/>
          <w:lang w:val="fr-FR" w:eastAsia="es-BO"/>
        </w:rPr>
        <w:t xml:space="preserve">et les auteurs de violations des </w:t>
      </w:r>
      <w:r w:rsidRPr="005A16E9">
        <w:rPr>
          <w:noProof/>
          <w:lang w:val="fr-FR" w:eastAsia="es-BO"/>
        </w:rPr>
        <w:t>droits font l</w:t>
      </w:r>
      <w:r w:rsidR="00FB1114">
        <w:rPr>
          <w:noProof/>
          <w:lang w:val="fr-FR" w:eastAsia="es-BO"/>
        </w:rPr>
        <w:t>’</w:t>
      </w:r>
      <w:r w:rsidRPr="005A16E9">
        <w:rPr>
          <w:noProof/>
          <w:lang w:val="fr-FR" w:eastAsia="es-BO"/>
        </w:rPr>
        <w:t>objet de poursuites pénales conformément aux dispositions constitutionnelles</w:t>
      </w:r>
      <w:r w:rsidRPr="005A16E9">
        <w:rPr>
          <w:noProof/>
          <w:vertAlign w:val="superscript"/>
          <w:lang w:val="fr-FR" w:eastAsia="es-BO"/>
        </w:rPr>
        <w:footnoteReference w:id="18"/>
      </w:r>
      <w:r w:rsidRPr="005A16E9">
        <w:rPr>
          <w:noProof/>
          <w:lang w:val="fr-FR" w:eastAsia="es-BO"/>
        </w:rPr>
        <w:t>.</w:t>
      </w:r>
    </w:p>
    <w:p w:rsidR="00614A7E" w:rsidRPr="00B83A1B" w:rsidRDefault="00614A7E" w:rsidP="00614A7E">
      <w:pPr>
        <w:pStyle w:val="SingleTxtG"/>
        <w:rPr>
          <w:noProof/>
          <w:spacing w:val="-1"/>
          <w:lang w:val="fr-FR" w:eastAsia="es-BO"/>
        </w:rPr>
      </w:pPr>
      <w:r w:rsidRPr="00B83A1B">
        <w:rPr>
          <w:noProof/>
          <w:spacing w:val="-1"/>
          <w:lang w:val="fr-FR" w:eastAsia="es-BO"/>
        </w:rPr>
        <w:t>27.</w:t>
      </w:r>
      <w:r w:rsidRPr="00B83A1B">
        <w:rPr>
          <w:noProof/>
          <w:spacing w:val="-1"/>
          <w:lang w:val="fr-FR" w:eastAsia="es-BO"/>
        </w:rPr>
        <w:tab/>
        <w:t>Quant à l</w:t>
      </w:r>
      <w:r w:rsidR="00FB1114" w:rsidRPr="00B83A1B">
        <w:rPr>
          <w:noProof/>
          <w:spacing w:val="-1"/>
          <w:lang w:val="fr-FR" w:eastAsia="es-BO"/>
        </w:rPr>
        <w:t>’</w:t>
      </w:r>
      <w:r w:rsidRPr="00B83A1B">
        <w:rPr>
          <w:noProof/>
          <w:spacing w:val="-1"/>
          <w:lang w:val="fr-FR" w:eastAsia="es-BO"/>
        </w:rPr>
        <w:t>applicabilité du paragraphe</w:t>
      </w:r>
      <w:r w:rsidR="005A16E9" w:rsidRPr="00B83A1B">
        <w:rPr>
          <w:noProof/>
          <w:spacing w:val="-1"/>
          <w:lang w:val="fr-FR" w:eastAsia="es-BO"/>
        </w:rPr>
        <w:t> </w:t>
      </w:r>
      <w:r w:rsidRPr="00B83A1B">
        <w:rPr>
          <w:noProof/>
          <w:spacing w:val="-1"/>
          <w:lang w:val="fr-FR" w:eastAsia="es-BO"/>
        </w:rPr>
        <w:t>3 de l</w:t>
      </w:r>
      <w:r w:rsidR="00FB1114" w:rsidRPr="00B83A1B">
        <w:rPr>
          <w:noProof/>
          <w:spacing w:val="-1"/>
          <w:lang w:val="fr-FR" w:eastAsia="es-BO"/>
        </w:rPr>
        <w:t>’</w:t>
      </w:r>
      <w:r w:rsidRPr="00B83A1B">
        <w:rPr>
          <w:noProof/>
          <w:spacing w:val="-1"/>
          <w:lang w:val="fr-FR" w:eastAsia="es-BO"/>
        </w:rPr>
        <w:t>article</w:t>
      </w:r>
      <w:r w:rsidR="005A16E9" w:rsidRPr="00B83A1B">
        <w:rPr>
          <w:noProof/>
          <w:spacing w:val="-1"/>
          <w:lang w:val="fr-FR" w:eastAsia="es-BO"/>
        </w:rPr>
        <w:t> </w:t>
      </w:r>
      <w:r w:rsidRPr="00B83A1B">
        <w:rPr>
          <w:noProof/>
          <w:spacing w:val="-1"/>
          <w:lang w:val="fr-FR" w:eastAsia="es-BO"/>
        </w:rPr>
        <w:t>2 de la Convention, qui traite de l</w:t>
      </w:r>
      <w:r w:rsidR="00FB1114" w:rsidRPr="00B83A1B">
        <w:rPr>
          <w:noProof/>
          <w:spacing w:val="-1"/>
          <w:lang w:val="fr-FR" w:eastAsia="es-BO"/>
        </w:rPr>
        <w:t>’</w:t>
      </w:r>
      <w:r w:rsidRPr="00B83A1B">
        <w:rPr>
          <w:noProof/>
          <w:spacing w:val="-1"/>
          <w:lang w:val="fr-FR" w:eastAsia="es-BO"/>
        </w:rPr>
        <w:t>interdiction d</w:t>
      </w:r>
      <w:r w:rsidR="00FB1114" w:rsidRPr="00B83A1B">
        <w:rPr>
          <w:noProof/>
          <w:spacing w:val="-1"/>
          <w:lang w:val="fr-FR" w:eastAsia="es-BO"/>
        </w:rPr>
        <w:t>’</w:t>
      </w:r>
      <w:r w:rsidRPr="00B83A1B">
        <w:rPr>
          <w:noProof/>
          <w:spacing w:val="-1"/>
          <w:lang w:val="fr-FR" w:eastAsia="es-BO"/>
        </w:rPr>
        <w:t>invoquer l</w:t>
      </w:r>
      <w:r w:rsidR="00FB1114" w:rsidRPr="00B83A1B">
        <w:rPr>
          <w:noProof/>
          <w:spacing w:val="-1"/>
          <w:lang w:val="fr-FR" w:eastAsia="es-BO"/>
        </w:rPr>
        <w:t>’</w:t>
      </w:r>
      <w:r w:rsidRPr="00B83A1B">
        <w:rPr>
          <w:noProof/>
          <w:spacing w:val="-1"/>
          <w:lang w:val="fr-FR" w:eastAsia="es-BO"/>
        </w:rPr>
        <w:t>ordre d</w:t>
      </w:r>
      <w:r w:rsidR="00FB1114" w:rsidRPr="00B83A1B">
        <w:rPr>
          <w:noProof/>
          <w:spacing w:val="-1"/>
          <w:lang w:val="fr-FR" w:eastAsia="es-BO"/>
        </w:rPr>
        <w:t>’</w:t>
      </w:r>
      <w:r w:rsidRPr="00B83A1B">
        <w:rPr>
          <w:noProof/>
          <w:spacing w:val="-1"/>
          <w:lang w:val="fr-FR" w:eastAsia="es-BO"/>
        </w:rPr>
        <w:t xml:space="preserve">un supérieur, le </w:t>
      </w:r>
      <w:r w:rsidRPr="00B83A1B">
        <w:rPr>
          <w:noProof/>
          <w:spacing w:val="-1"/>
          <w:lang w:val="fr-FR"/>
        </w:rPr>
        <w:t xml:space="preserve">Règlement militaire </w:t>
      </w:r>
      <w:r w:rsidR="005A16E9" w:rsidRPr="00B83A1B">
        <w:rPr>
          <w:rFonts w:eastAsia="MS Mincho"/>
          <w:noProof/>
          <w:spacing w:val="-1"/>
          <w:szCs w:val="22"/>
          <w:lang w:val="fr-FR"/>
        </w:rPr>
        <w:t>n</w:t>
      </w:r>
      <w:r w:rsidR="005A16E9" w:rsidRPr="00B83A1B">
        <w:rPr>
          <w:rFonts w:eastAsia="MS Mincho"/>
          <w:noProof/>
          <w:spacing w:val="-1"/>
          <w:szCs w:val="22"/>
          <w:vertAlign w:val="superscript"/>
          <w:lang w:val="fr-FR"/>
        </w:rPr>
        <w:t>o</w:t>
      </w:r>
      <w:r w:rsidR="005A16E9" w:rsidRPr="00B83A1B">
        <w:rPr>
          <w:noProof/>
          <w:spacing w:val="-1"/>
          <w:lang w:val="fr-FR"/>
        </w:rPr>
        <w:t> </w:t>
      </w:r>
      <w:r w:rsidRPr="00B83A1B">
        <w:rPr>
          <w:noProof/>
          <w:spacing w:val="-1"/>
          <w:lang w:val="fr-FR"/>
        </w:rPr>
        <w:t>23 relatif</w:t>
      </w:r>
      <w:r w:rsidRPr="00B83A1B">
        <w:rPr>
          <w:noProof/>
          <w:spacing w:val="-1"/>
          <w:lang w:val="fr-FR" w:eastAsia="es-BO"/>
        </w:rPr>
        <w:t xml:space="preserve"> </w:t>
      </w:r>
      <w:r w:rsidRPr="00B83A1B">
        <w:rPr>
          <w:noProof/>
          <w:spacing w:val="-1"/>
          <w:lang w:val="fr-FR"/>
        </w:rPr>
        <w:t xml:space="preserve">aux fautes disciplinaires et à leurs sanctions </w:t>
      </w:r>
      <w:r w:rsidRPr="00B83A1B">
        <w:rPr>
          <w:noProof/>
          <w:spacing w:val="-1"/>
          <w:lang w:val="fr-FR" w:eastAsia="es-BO"/>
        </w:rPr>
        <w:t>des forces armées boliviennes</w:t>
      </w:r>
      <w:r w:rsidRPr="00B83A1B">
        <w:rPr>
          <w:noProof/>
          <w:spacing w:val="-1"/>
          <w:vertAlign w:val="superscript"/>
          <w:lang w:val="fr-FR" w:eastAsia="es-BO"/>
        </w:rPr>
        <w:footnoteReference w:id="19"/>
      </w:r>
      <w:r w:rsidRPr="00B83A1B">
        <w:rPr>
          <w:noProof/>
          <w:spacing w:val="-1"/>
          <w:lang w:val="fr-FR" w:eastAsia="es-BO"/>
        </w:rPr>
        <w:t xml:space="preserve"> </w:t>
      </w:r>
      <w:r w:rsidRPr="00B83A1B">
        <w:rPr>
          <w:noProof/>
          <w:spacing w:val="-1"/>
          <w:lang w:val="fr-FR"/>
        </w:rPr>
        <w:t>prévoit la possibilité de contester oralement ou par écrit les ordres reçus qui seraient jugés mal formulés</w:t>
      </w:r>
      <w:r w:rsidRPr="00B83A1B">
        <w:rPr>
          <w:noProof/>
          <w:spacing w:val="-1"/>
          <w:lang w:val="fr-FR" w:eastAsia="es-BO"/>
        </w:rPr>
        <w:t>.</w:t>
      </w:r>
    </w:p>
    <w:p w:rsidR="00614A7E" w:rsidRPr="00BE7CEB" w:rsidRDefault="00614A7E" w:rsidP="00614A7E">
      <w:pPr>
        <w:pStyle w:val="SingleTxtG"/>
        <w:rPr>
          <w:noProof/>
          <w:lang w:val="fr-FR" w:eastAsia="es-BO"/>
        </w:rPr>
      </w:pPr>
      <w:r w:rsidRPr="00DF456A">
        <w:rPr>
          <w:noProof/>
          <w:lang w:val="fr-FR" w:eastAsia="es-BO"/>
        </w:rPr>
        <w:t>28.</w:t>
      </w:r>
      <w:r w:rsidRPr="00DF456A">
        <w:rPr>
          <w:noProof/>
          <w:lang w:val="fr-FR" w:eastAsia="es-BO"/>
        </w:rPr>
        <w:tab/>
      </w:r>
      <w:r>
        <w:rPr>
          <w:noProof/>
          <w:lang w:val="fr-FR" w:eastAsia="es-BO"/>
        </w:rPr>
        <w:t>L</w:t>
      </w:r>
      <w:r w:rsidRPr="00DF456A">
        <w:rPr>
          <w:noProof/>
          <w:lang w:val="fr-FR" w:eastAsia="es-BO"/>
        </w:rPr>
        <w:t xml:space="preserve">a </w:t>
      </w:r>
      <w:r>
        <w:rPr>
          <w:noProof/>
          <w:lang w:val="fr-FR" w:eastAsia="es-BO"/>
        </w:rPr>
        <w:t xml:space="preserve">loi </w:t>
      </w:r>
      <w:r w:rsidR="00ED3ED9" w:rsidRPr="00857F6E">
        <w:rPr>
          <w:rFonts w:eastAsia="MS Mincho"/>
          <w:noProof/>
          <w:szCs w:val="22"/>
          <w:lang w:val="fr-FR"/>
        </w:rPr>
        <w:t>n</w:t>
      </w:r>
      <w:r w:rsidR="00ED3ED9" w:rsidRPr="00857F6E">
        <w:rPr>
          <w:rFonts w:eastAsia="MS Mincho"/>
          <w:noProof/>
          <w:szCs w:val="22"/>
          <w:vertAlign w:val="superscript"/>
          <w:lang w:val="fr-FR"/>
        </w:rPr>
        <w:t>o</w:t>
      </w:r>
      <w:r w:rsidR="00ED3ED9">
        <w:rPr>
          <w:noProof/>
          <w:lang w:val="fr-FR"/>
        </w:rPr>
        <w:t> </w:t>
      </w:r>
      <w:r w:rsidRPr="00DF456A">
        <w:rPr>
          <w:noProof/>
          <w:lang w:val="fr-FR" w:eastAsia="es-BO"/>
        </w:rPr>
        <w:t xml:space="preserve">101 </w:t>
      </w:r>
      <w:r>
        <w:rPr>
          <w:noProof/>
          <w:lang w:val="fr-FR" w:eastAsia="es-BO"/>
        </w:rPr>
        <w:t xml:space="preserve">du </w:t>
      </w:r>
      <w:r w:rsidRPr="00DF456A">
        <w:rPr>
          <w:noProof/>
          <w:lang w:val="fr-FR" w:eastAsia="es-BO"/>
        </w:rPr>
        <w:t>4</w:t>
      </w:r>
      <w:r w:rsidR="00ED3ED9">
        <w:rPr>
          <w:noProof/>
          <w:lang w:val="fr-FR" w:eastAsia="es-BO"/>
        </w:rPr>
        <w:t> </w:t>
      </w:r>
      <w:r w:rsidRPr="00DF456A">
        <w:rPr>
          <w:noProof/>
          <w:lang w:val="fr-FR" w:eastAsia="es-BO"/>
        </w:rPr>
        <w:t>a</w:t>
      </w:r>
      <w:r>
        <w:rPr>
          <w:noProof/>
          <w:lang w:val="fr-FR" w:eastAsia="es-BO"/>
        </w:rPr>
        <w:t>v</w:t>
      </w:r>
      <w:r w:rsidRPr="00DF456A">
        <w:rPr>
          <w:noProof/>
          <w:lang w:val="fr-FR" w:eastAsia="es-BO"/>
        </w:rPr>
        <w:t>ril 2011</w:t>
      </w:r>
      <w:r w:rsidRPr="00B5117C">
        <w:rPr>
          <w:lang w:val="fr-FR"/>
        </w:rPr>
        <w:t xml:space="preserve"> sur </w:t>
      </w:r>
      <w:r w:rsidRPr="001C57C5">
        <w:rPr>
          <w:noProof/>
          <w:lang w:val="fr-FR"/>
        </w:rPr>
        <w:t>le régime disciplinaire de la Police bolivienne</w:t>
      </w:r>
      <w:r w:rsidRPr="001C57C5">
        <w:rPr>
          <w:noProof/>
          <w:lang w:val="fr-FR" w:eastAsia="es-BO"/>
        </w:rPr>
        <w:t xml:space="preserve"> (« loi</w:t>
      </w:r>
      <w:r w:rsidR="00ED3ED9">
        <w:rPr>
          <w:noProof/>
          <w:lang w:val="fr-FR" w:eastAsia="es-BO"/>
        </w:rPr>
        <w:t> </w:t>
      </w:r>
      <w:r w:rsidR="00ED3ED9" w:rsidRPr="00857F6E">
        <w:rPr>
          <w:rFonts w:eastAsia="MS Mincho"/>
          <w:noProof/>
          <w:szCs w:val="22"/>
          <w:lang w:val="fr-FR"/>
        </w:rPr>
        <w:t>n</w:t>
      </w:r>
      <w:r w:rsidR="00ED3ED9" w:rsidRPr="00857F6E">
        <w:rPr>
          <w:rFonts w:eastAsia="MS Mincho"/>
          <w:noProof/>
          <w:szCs w:val="22"/>
          <w:vertAlign w:val="superscript"/>
          <w:lang w:val="fr-FR"/>
        </w:rPr>
        <w:t>o</w:t>
      </w:r>
      <w:r w:rsidR="00ED3ED9">
        <w:rPr>
          <w:noProof/>
          <w:lang w:val="fr-FR"/>
        </w:rPr>
        <w:t> </w:t>
      </w:r>
      <w:r w:rsidRPr="001C57C5">
        <w:rPr>
          <w:noProof/>
          <w:lang w:val="fr-FR" w:eastAsia="es-BO"/>
        </w:rPr>
        <w:t xml:space="preserve">101 ») </w:t>
      </w:r>
      <w:r w:rsidRPr="00184625">
        <w:rPr>
          <w:noProof/>
          <w:lang w:val="fr-FR"/>
        </w:rPr>
        <w:t>exonère de toute responsabilité tout fonctionnaire de police qui refuserait de se plier à un ordre dont l</w:t>
      </w:r>
      <w:r w:rsidR="00FB1114" w:rsidRPr="00184625">
        <w:rPr>
          <w:noProof/>
          <w:lang w:val="fr-FR"/>
        </w:rPr>
        <w:t>’</w:t>
      </w:r>
      <w:r w:rsidRPr="00184625">
        <w:rPr>
          <w:noProof/>
          <w:lang w:val="fr-FR"/>
        </w:rPr>
        <w:t xml:space="preserve">exécution porterait atteinte à la sécurité de la personne, à la </w:t>
      </w:r>
      <w:r w:rsidRPr="00184625">
        <w:rPr>
          <w:noProof/>
          <w:lang w:val="fr-FR"/>
        </w:rPr>
        <w:lastRenderedPageBreak/>
        <w:t>Constitution ou aux lois</w:t>
      </w:r>
      <w:r w:rsidR="00184625">
        <w:rPr>
          <w:lang w:val="fr-FR"/>
        </w:rPr>
        <w:t xml:space="preserve"> </w:t>
      </w:r>
      <w:r w:rsidR="00184625" w:rsidRPr="001C57C5">
        <w:rPr>
          <w:noProof/>
          <w:lang w:val="fr-FR" w:eastAsia="es-BO"/>
        </w:rPr>
        <w:t>(annexe</w:t>
      </w:r>
      <w:r w:rsidR="00184625">
        <w:rPr>
          <w:noProof/>
          <w:lang w:val="fr-FR" w:eastAsia="es-BO"/>
        </w:rPr>
        <w:t> </w:t>
      </w:r>
      <w:r w:rsidR="00184625" w:rsidRPr="001C57C5">
        <w:rPr>
          <w:noProof/>
          <w:lang w:val="fr-FR" w:eastAsia="es-BO"/>
        </w:rPr>
        <w:t>11)</w:t>
      </w:r>
      <w:r w:rsidRPr="00184625">
        <w:rPr>
          <w:lang w:val="fr-FR"/>
        </w:rPr>
        <w:t>.</w:t>
      </w:r>
      <w:r w:rsidRPr="00BE7CEB">
        <w:rPr>
          <w:lang w:val="fr-FR"/>
        </w:rPr>
        <w:t xml:space="preserve"> Tout</w:t>
      </w:r>
      <w:r w:rsidRPr="00BE7CEB">
        <w:rPr>
          <w:noProof/>
          <w:lang w:val="fr-FR" w:eastAsia="es-BO"/>
        </w:rPr>
        <w:t xml:space="preserve"> fonctionnaire de police qui commettrait des actes de torture serait sanctionné par </w:t>
      </w:r>
      <w:r w:rsidRPr="00BE7CEB">
        <w:rPr>
          <w:lang w:val="fr-FR"/>
        </w:rPr>
        <w:t xml:space="preserve">un </w:t>
      </w:r>
      <w:r w:rsidRPr="00BE7CEB">
        <w:rPr>
          <w:noProof/>
          <w:lang w:val="fr-FR"/>
        </w:rPr>
        <w:t>renvoi temporaire ou définitif sans possibilité de réintégration</w:t>
      </w:r>
      <w:r w:rsidRPr="00BE7CEB">
        <w:rPr>
          <w:noProof/>
          <w:vertAlign w:val="superscript"/>
          <w:lang w:val="fr-FR" w:eastAsia="es-BO"/>
        </w:rPr>
        <w:footnoteReference w:id="20"/>
      </w:r>
      <w:r w:rsidRPr="00BE7CEB">
        <w:rPr>
          <w:noProof/>
          <w:lang w:val="fr-FR" w:eastAsia="es-BO"/>
        </w:rPr>
        <w:t>.</w:t>
      </w:r>
    </w:p>
    <w:p w:rsidR="00614A7E" w:rsidRPr="00BE7CEB" w:rsidRDefault="00614A7E" w:rsidP="00614A7E">
      <w:pPr>
        <w:pStyle w:val="SingleTxtG"/>
        <w:rPr>
          <w:noProof/>
          <w:lang w:val="fr-FR" w:eastAsia="es-BO"/>
        </w:rPr>
      </w:pPr>
      <w:r w:rsidRPr="00BE7CEB">
        <w:rPr>
          <w:noProof/>
          <w:lang w:val="fr-FR" w:eastAsia="es-BO"/>
        </w:rPr>
        <w:t>29.</w:t>
      </w:r>
      <w:r w:rsidRPr="00BE7CEB">
        <w:rPr>
          <w:noProof/>
          <w:lang w:val="fr-FR" w:eastAsia="es-BO"/>
        </w:rPr>
        <w:tab/>
      </w:r>
      <w:r w:rsidRPr="00BE7CEB">
        <w:rPr>
          <w:noProof/>
          <w:lang w:val="fr-FR"/>
        </w:rPr>
        <w:t>En conséquence, la législation bolivienne ne permet pas d</w:t>
      </w:r>
      <w:r w:rsidR="00FB1114">
        <w:rPr>
          <w:noProof/>
          <w:lang w:val="fr-FR"/>
        </w:rPr>
        <w:t>’</w:t>
      </w:r>
      <w:r w:rsidRPr="00BE7CEB">
        <w:rPr>
          <w:noProof/>
          <w:lang w:val="fr-FR"/>
        </w:rPr>
        <w:t>invoquer les ordres ou instructions de supérieurs, en aucune circonstance, pour justifier la commission d</w:t>
      </w:r>
      <w:r w:rsidR="00FB1114">
        <w:rPr>
          <w:noProof/>
          <w:lang w:val="fr-FR"/>
        </w:rPr>
        <w:t>’</w:t>
      </w:r>
      <w:r w:rsidRPr="00BE7CEB">
        <w:rPr>
          <w:noProof/>
          <w:lang w:val="fr-FR"/>
        </w:rPr>
        <w:t>actes de torture</w:t>
      </w:r>
      <w:r w:rsidR="00694D43">
        <w:rPr>
          <w:noProof/>
          <w:lang w:val="fr-FR"/>
        </w:rPr>
        <w:t> </w:t>
      </w:r>
      <w:r w:rsidRPr="00BE7CEB">
        <w:rPr>
          <w:noProof/>
          <w:lang w:val="fr-FR" w:eastAsia="es-BO"/>
        </w:rPr>
        <w:t>; il s</w:t>
      </w:r>
      <w:r w:rsidR="00FB1114">
        <w:rPr>
          <w:noProof/>
          <w:lang w:val="fr-FR" w:eastAsia="es-BO"/>
        </w:rPr>
        <w:t>’</w:t>
      </w:r>
      <w:r w:rsidRPr="00BE7CEB">
        <w:rPr>
          <w:noProof/>
          <w:lang w:val="fr-FR" w:eastAsia="es-BO"/>
        </w:rPr>
        <w:t xml:space="preserve">ensuit que, conformément à la règle constitutionnelle, </w:t>
      </w:r>
      <w:r w:rsidRPr="00BE7CEB">
        <w:rPr>
          <w:noProof/>
          <w:lang w:val="fr-FR"/>
        </w:rPr>
        <w:t>quiconque porte directement atteinte à la sécurité d</w:t>
      </w:r>
      <w:r w:rsidR="00FB1114">
        <w:rPr>
          <w:noProof/>
          <w:lang w:val="fr-FR"/>
        </w:rPr>
        <w:t>’</w:t>
      </w:r>
      <w:r w:rsidRPr="00BE7CEB">
        <w:rPr>
          <w:noProof/>
          <w:lang w:val="fr-FR"/>
        </w:rPr>
        <w:t>une personne est responsable pénalement</w:t>
      </w:r>
      <w:r w:rsidRPr="00BE7CEB">
        <w:rPr>
          <w:noProof/>
          <w:vertAlign w:val="superscript"/>
          <w:lang w:val="fr-FR" w:eastAsia="es-BO"/>
        </w:rPr>
        <w:footnoteReference w:id="21"/>
      </w:r>
      <w:r w:rsidRPr="00BE7CEB">
        <w:rPr>
          <w:noProof/>
          <w:lang w:val="fr-FR" w:eastAsia="es-BO"/>
        </w:rPr>
        <w:t>.</w:t>
      </w:r>
    </w:p>
    <w:p w:rsidR="00614A7E" w:rsidRPr="00DF456A" w:rsidRDefault="00614A7E" w:rsidP="005F4F55">
      <w:pPr>
        <w:pStyle w:val="H1G"/>
        <w:rPr>
          <w:noProof/>
          <w:lang w:val="fr-FR" w:eastAsia="es-BO"/>
        </w:rPr>
      </w:pPr>
      <w:r w:rsidRPr="00DF456A">
        <w:rPr>
          <w:noProof/>
          <w:lang w:val="fr-FR"/>
        </w:rPr>
        <w:tab/>
      </w:r>
      <w:r w:rsidRPr="00DF456A">
        <w:rPr>
          <w:noProof/>
          <w:lang w:val="fr-FR"/>
        </w:rPr>
        <w:tab/>
        <w:t>Art</w:t>
      </w:r>
      <w:r>
        <w:rPr>
          <w:noProof/>
          <w:lang w:val="fr-FR"/>
        </w:rPr>
        <w:t>icle</w:t>
      </w:r>
      <w:r w:rsidRPr="00DF456A">
        <w:rPr>
          <w:noProof/>
          <w:lang w:val="fr-FR"/>
        </w:rPr>
        <w:t xml:space="preserve"> 3</w:t>
      </w:r>
      <w:r w:rsidRPr="00DF456A">
        <w:rPr>
          <w:noProof/>
          <w:lang w:val="fr-FR"/>
        </w:rPr>
        <w:br/>
      </w:r>
      <w:r w:rsidRPr="001C57C5">
        <w:rPr>
          <w:noProof/>
          <w:lang w:val="fr-FR"/>
        </w:rPr>
        <w:t>Non-</w:t>
      </w:r>
      <w:r w:rsidRPr="005F4F55">
        <w:t>expulsion</w:t>
      </w:r>
      <w:r w:rsidRPr="001C57C5">
        <w:rPr>
          <w:noProof/>
          <w:lang w:val="fr-FR"/>
        </w:rPr>
        <w:t>, non-refoulement et non-extradition vers d</w:t>
      </w:r>
      <w:r w:rsidR="00FB1114">
        <w:rPr>
          <w:noProof/>
          <w:lang w:val="fr-FR"/>
        </w:rPr>
        <w:t>’</w:t>
      </w:r>
      <w:r w:rsidRPr="001C57C5">
        <w:rPr>
          <w:noProof/>
          <w:lang w:val="fr-FR"/>
        </w:rPr>
        <w:t>autres États lorsqu</w:t>
      </w:r>
      <w:r w:rsidR="00FB1114">
        <w:rPr>
          <w:noProof/>
          <w:lang w:val="fr-FR"/>
        </w:rPr>
        <w:t>’</w:t>
      </w:r>
      <w:r w:rsidRPr="001C57C5">
        <w:rPr>
          <w:noProof/>
          <w:lang w:val="fr-FR"/>
        </w:rPr>
        <w:t xml:space="preserve">il y a des motifs sérieux de croire que la personne risque </w:t>
      </w:r>
      <w:r w:rsidR="007C0300">
        <w:rPr>
          <w:noProof/>
          <w:lang w:val="fr-FR"/>
        </w:rPr>
        <w:br/>
      </w:r>
      <w:r w:rsidRPr="001C57C5">
        <w:rPr>
          <w:noProof/>
          <w:lang w:val="fr-FR"/>
        </w:rPr>
        <w:t>d</w:t>
      </w:r>
      <w:r w:rsidR="00FB1114">
        <w:rPr>
          <w:noProof/>
          <w:lang w:val="fr-FR"/>
        </w:rPr>
        <w:t>’</w:t>
      </w:r>
      <w:r w:rsidRPr="001C57C5">
        <w:rPr>
          <w:noProof/>
          <w:lang w:val="fr-FR"/>
        </w:rPr>
        <w:t>être soumise à la torture</w:t>
      </w:r>
    </w:p>
    <w:p w:rsidR="00614A7E" w:rsidRPr="00606A3E" w:rsidRDefault="00614A7E" w:rsidP="00614A7E">
      <w:pPr>
        <w:pStyle w:val="SingleTxtG"/>
        <w:rPr>
          <w:noProof/>
          <w:lang w:val="fr-FR" w:eastAsia="es-BO"/>
        </w:rPr>
      </w:pPr>
      <w:r w:rsidRPr="00606A3E">
        <w:rPr>
          <w:noProof/>
          <w:lang w:val="fr-FR" w:eastAsia="es-BO"/>
        </w:rPr>
        <w:t>30.</w:t>
      </w:r>
      <w:r w:rsidRPr="00606A3E">
        <w:rPr>
          <w:noProof/>
          <w:lang w:val="fr-FR" w:eastAsia="es-BO"/>
        </w:rPr>
        <w:tab/>
        <w:t xml:space="preserve">La loi </w:t>
      </w:r>
      <w:r w:rsidR="006D502C" w:rsidRPr="00606A3E">
        <w:rPr>
          <w:rFonts w:eastAsia="MS Mincho"/>
          <w:noProof/>
          <w:szCs w:val="22"/>
          <w:lang w:val="fr-FR"/>
        </w:rPr>
        <w:t>n</w:t>
      </w:r>
      <w:r w:rsidR="006D502C" w:rsidRPr="00606A3E">
        <w:rPr>
          <w:rFonts w:eastAsia="MS Mincho"/>
          <w:noProof/>
          <w:szCs w:val="22"/>
          <w:vertAlign w:val="superscript"/>
          <w:lang w:val="fr-FR"/>
        </w:rPr>
        <w:t>o</w:t>
      </w:r>
      <w:r w:rsidR="006D502C" w:rsidRPr="00606A3E">
        <w:rPr>
          <w:noProof/>
          <w:lang w:val="fr-FR"/>
        </w:rPr>
        <w:t> </w:t>
      </w:r>
      <w:r w:rsidRPr="00606A3E">
        <w:rPr>
          <w:noProof/>
          <w:lang w:val="fr-FR" w:eastAsia="es-BO"/>
        </w:rPr>
        <w:t>370 du 8</w:t>
      </w:r>
      <w:r w:rsidR="006D502C" w:rsidRPr="00606A3E">
        <w:rPr>
          <w:noProof/>
          <w:lang w:val="fr-FR" w:eastAsia="es-BO"/>
        </w:rPr>
        <w:t> </w:t>
      </w:r>
      <w:r w:rsidRPr="00606A3E">
        <w:rPr>
          <w:noProof/>
          <w:lang w:val="fr-FR" w:eastAsia="es-BO"/>
        </w:rPr>
        <w:t>mai 2013 sur les migrations (« loi n° 370 ») prévoit l</w:t>
      </w:r>
      <w:r w:rsidR="00FB1114" w:rsidRPr="00606A3E">
        <w:rPr>
          <w:noProof/>
          <w:lang w:val="fr-FR" w:eastAsia="es-BO"/>
        </w:rPr>
        <w:t>’</w:t>
      </w:r>
      <w:r w:rsidRPr="00606A3E">
        <w:rPr>
          <w:noProof/>
          <w:lang w:val="fr-FR" w:eastAsia="es-BO"/>
        </w:rPr>
        <w:t>expulsion d</w:t>
      </w:r>
      <w:r w:rsidR="00FB1114" w:rsidRPr="00606A3E">
        <w:rPr>
          <w:noProof/>
          <w:lang w:val="fr-FR" w:eastAsia="es-BO"/>
        </w:rPr>
        <w:t>’</w:t>
      </w:r>
      <w:r w:rsidRPr="00606A3E">
        <w:rPr>
          <w:noProof/>
          <w:lang w:val="fr-FR" w:eastAsia="es-BO"/>
        </w:rPr>
        <w:t>un migrant étranger pour les motifs qu</w:t>
      </w:r>
      <w:r w:rsidR="00FB1114" w:rsidRPr="00606A3E">
        <w:rPr>
          <w:noProof/>
          <w:lang w:val="fr-FR" w:eastAsia="es-BO"/>
        </w:rPr>
        <w:t>’</w:t>
      </w:r>
      <w:r w:rsidRPr="00606A3E">
        <w:rPr>
          <w:noProof/>
          <w:lang w:val="fr-FR" w:eastAsia="es-BO"/>
        </w:rPr>
        <w:t>elle indique et à l</w:t>
      </w:r>
      <w:r w:rsidR="00FB1114" w:rsidRPr="00606A3E">
        <w:rPr>
          <w:noProof/>
          <w:lang w:val="fr-FR"/>
        </w:rPr>
        <w:t>’</w:t>
      </w:r>
      <w:r w:rsidRPr="00606A3E">
        <w:rPr>
          <w:noProof/>
          <w:lang w:val="fr-FR"/>
        </w:rPr>
        <w:t>issue d</w:t>
      </w:r>
      <w:r w:rsidR="00FB1114" w:rsidRPr="00606A3E">
        <w:rPr>
          <w:noProof/>
          <w:lang w:val="fr-FR"/>
        </w:rPr>
        <w:t>’</w:t>
      </w:r>
      <w:r w:rsidRPr="00606A3E">
        <w:rPr>
          <w:noProof/>
          <w:lang w:val="fr-FR"/>
        </w:rPr>
        <w:t>une procédure administrative</w:t>
      </w:r>
      <w:r w:rsidRPr="00606A3E">
        <w:rPr>
          <w:noProof/>
          <w:lang w:val="fr-FR" w:eastAsia="es-BO"/>
        </w:rPr>
        <w:t xml:space="preserve"> </w:t>
      </w:r>
      <w:r w:rsidRPr="00606A3E">
        <w:rPr>
          <w:noProof/>
          <w:lang w:val="fr-FR"/>
        </w:rPr>
        <w:t xml:space="preserve">menée dans le respect des garanties constitutionnelles par </w:t>
      </w:r>
      <w:r w:rsidRPr="00606A3E">
        <w:rPr>
          <w:noProof/>
          <w:lang w:val="fr-FR" w:eastAsia="es-BO"/>
        </w:rPr>
        <w:t>la Direction général</w:t>
      </w:r>
      <w:r w:rsidR="00606A3E" w:rsidRPr="00606A3E">
        <w:rPr>
          <w:noProof/>
          <w:lang w:val="fr-FR" w:eastAsia="es-BO"/>
        </w:rPr>
        <w:t>e</w:t>
      </w:r>
      <w:r w:rsidRPr="00606A3E">
        <w:rPr>
          <w:noProof/>
          <w:lang w:val="fr-FR" w:eastAsia="es-BO"/>
        </w:rPr>
        <w:t xml:space="preserve"> des migrations, garantit au migrant le droit de former un recours en révision et </w:t>
      </w:r>
      <w:r w:rsidRPr="00606A3E">
        <w:rPr>
          <w:noProof/>
          <w:lang w:val="fr-FR"/>
        </w:rPr>
        <w:t>dispose qu</w:t>
      </w:r>
      <w:r w:rsidR="00FB1114" w:rsidRPr="00606A3E">
        <w:rPr>
          <w:noProof/>
          <w:lang w:val="fr-FR"/>
        </w:rPr>
        <w:t>’</w:t>
      </w:r>
      <w:r w:rsidRPr="00606A3E">
        <w:rPr>
          <w:noProof/>
          <w:lang w:val="fr-FR"/>
        </w:rPr>
        <w:t>il ne peut être contraint de quitter le territoire bolivien pour se rendre dans un autre pays où sa vie et son intégrité physique seraient mises en danger</w:t>
      </w:r>
      <w:r w:rsidRPr="00606A3E">
        <w:rPr>
          <w:noProof/>
          <w:vertAlign w:val="superscript"/>
          <w:lang w:val="fr-FR" w:eastAsia="es-BO"/>
        </w:rPr>
        <w:footnoteReference w:id="22"/>
      </w:r>
      <w:r w:rsidRPr="00606A3E">
        <w:rPr>
          <w:noProof/>
          <w:lang w:val="fr-FR" w:eastAsia="es-BO"/>
        </w:rPr>
        <w:t>.</w:t>
      </w:r>
    </w:p>
    <w:p w:rsidR="00614A7E" w:rsidRPr="00606A3E" w:rsidRDefault="00614A7E" w:rsidP="00614A7E">
      <w:pPr>
        <w:pStyle w:val="SingleTxtG"/>
        <w:rPr>
          <w:noProof/>
          <w:lang w:val="fr-FR" w:eastAsia="es-BO"/>
        </w:rPr>
      </w:pPr>
      <w:r w:rsidRPr="00606A3E">
        <w:rPr>
          <w:noProof/>
          <w:lang w:val="fr-FR" w:eastAsia="es-BO"/>
        </w:rPr>
        <w:t>31.</w:t>
      </w:r>
      <w:r w:rsidRPr="00606A3E">
        <w:rPr>
          <w:noProof/>
          <w:lang w:val="fr-FR" w:eastAsia="es-BO"/>
        </w:rPr>
        <w:tab/>
        <w:t xml:space="preserve">Par ailleurs, la loi </w:t>
      </w:r>
      <w:r w:rsidR="006D502C" w:rsidRPr="00606A3E">
        <w:rPr>
          <w:rFonts w:eastAsia="MS Mincho"/>
          <w:noProof/>
          <w:lang w:val="fr-FR"/>
        </w:rPr>
        <w:t>n</w:t>
      </w:r>
      <w:r w:rsidR="006D502C" w:rsidRPr="00606A3E">
        <w:rPr>
          <w:rFonts w:eastAsia="MS Mincho"/>
          <w:noProof/>
          <w:vertAlign w:val="superscript"/>
          <w:lang w:val="fr-FR"/>
        </w:rPr>
        <w:t>o</w:t>
      </w:r>
      <w:r w:rsidR="006D502C" w:rsidRPr="00606A3E">
        <w:rPr>
          <w:noProof/>
          <w:lang w:val="fr-FR"/>
        </w:rPr>
        <w:t> </w:t>
      </w:r>
      <w:r w:rsidRPr="00606A3E">
        <w:rPr>
          <w:noProof/>
          <w:lang w:val="fr-FR" w:eastAsia="es-BO"/>
        </w:rPr>
        <w:t>251 du 20</w:t>
      </w:r>
      <w:r w:rsidR="006D502C" w:rsidRPr="00606A3E">
        <w:rPr>
          <w:noProof/>
          <w:lang w:val="fr-FR" w:eastAsia="es-BO"/>
        </w:rPr>
        <w:t> </w:t>
      </w:r>
      <w:r w:rsidRPr="00606A3E">
        <w:rPr>
          <w:noProof/>
          <w:lang w:val="fr-FR" w:eastAsia="es-BO"/>
        </w:rPr>
        <w:t xml:space="preserve">juin 2012 sur </w:t>
      </w:r>
      <w:r w:rsidRPr="00606A3E">
        <w:rPr>
          <w:noProof/>
          <w:lang w:val="fr-FR"/>
        </w:rPr>
        <w:t xml:space="preserve">la protection des réfugiés </w:t>
      </w:r>
      <w:r w:rsidRPr="00606A3E">
        <w:rPr>
          <w:noProof/>
          <w:lang w:val="fr-FR" w:eastAsia="es-BO"/>
        </w:rPr>
        <w:t>(« loi</w:t>
      </w:r>
      <w:r w:rsidR="006D502C" w:rsidRPr="00606A3E">
        <w:rPr>
          <w:noProof/>
          <w:lang w:val="fr-FR" w:eastAsia="es-BO"/>
        </w:rPr>
        <w:t> </w:t>
      </w:r>
      <w:r w:rsidR="006D502C" w:rsidRPr="00606A3E">
        <w:rPr>
          <w:rFonts w:eastAsia="MS Mincho"/>
          <w:noProof/>
          <w:lang w:val="fr-FR"/>
        </w:rPr>
        <w:t>n</w:t>
      </w:r>
      <w:r w:rsidR="006D502C" w:rsidRPr="00606A3E">
        <w:rPr>
          <w:rFonts w:eastAsia="MS Mincho"/>
          <w:noProof/>
          <w:vertAlign w:val="superscript"/>
          <w:lang w:val="fr-FR"/>
        </w:rPr>
        <w:t>o</w:t>
      </w:r>
      <w:r w:rsidR="006D502C" w:rsidRPr="00606A3E">
        <w:rPr>
          <w:noProof/>
          <w:lang w:val="fr-FR"/>
        </w:rPr>
        <w:t> </w:t>
      </w:r>
      <w:r w:rsidRPr="00606A3E">
        <w:rPr>
          <w:noProof/>
          <w:lang w:val="fr-FR" w:eastAsia="es-BO"/>
        </w:rPr>
        <w:t xml:space="preserve">251 ») </w:t>
      </w:r>
      <w:r w:rsidRPr="00606A3E">
        <w:rPr>
          <w:noProof/>
          <w:lang w:val="fr-FR"/>
        </w:rPr>
        <w:t>(annexe</w:t>
      </w:r>
      <w:r w:rsidR="006D502C" w:rsidRPr="00606A3E">
        <w:rPr>
          <w:noProof/>
          <w:lang w:val="fr-FR"/>
        </w:rPr>
        <w:t> </w:t>
      </w:r>
      <w:r w:rsidRPr="00606A3E">
        <w:rPr>
          <w:noProof/>
          <w:lang w:val="fr-FR"/>
        </w:rPr>
        <w:t>12) établit le régime de protection des réfugiés et des demandeurs d</w:t>
      </w:r>
      <w:r w:rsidR="00FB1114" w:rsidRPr="00606A3E">
        <w:rPr>
          <w:noProof/>
          <w:lang w:val="fr-FR"/>
        </w:rPr>
        <w:t>’</w:t>
      </w:r>
      <w:r w:rsidRPr="00606A3E">
        <w:rPr>
          <w:noProof/>
          <w:lang w:val="fr-FR"/>
        </w:rPr>
        <w:t>asile. Ce régime est conforme à la Constitution, à la Convention de 1951 relative au statut des réfugiés et au Protocole de 1967 y afférent, ainsi qu</w:t>
      </w:r>
      <w:r w:rsidR="00FB1114" w:rsidRPr="00606A3E">
        <w:rPr>
          <w:noProof/>
          <w:lang w:val="fr-FR"/>
        </w:rPr>
        <w:t>’</w:t>
      </w:r>
      <w:r w:rsidRPr="00606A3E">
        <w:rPr>
          <w:noProof/>
          <w:lang w:val="fr-FR"/>
        </w:rPr>
        <w:t>aux autres instruments internationaux relatifs aux droits de la personne ratifiés par l</w:t>
      </w:r>
      <w:r w:rsidR="00FB1114" w:rsidRPr="00606A3E">
        <w:rPr>
          <w:noProof/>
          <w:lang w:val="fr-FR"/>
        </w:rPr>
        <w:t>’</w:t>
      </w:r>
      <w:r w:rsidRPr="00606A3E">
        <w:rPr>
          <w:noProof/>
          <w:lang w:val="fr-FR"/>
        </w:rPr>
        <w:t>État bolivien</w:t>
      </w:r>
      <w:r w:rsidRPr="00606A3E">
        <w:rPr>
          <w:noProof/>
          <w:lang w:val="fr-FR" w:eastAsia="es-BO"/>
        </w:rPr>
        <w:t>.</w:t>
      </w:r>
    </w:p>
    <w:p w:rsidR="00614A7E" w:rsidRPr="00BE7CEB" w:rsidRDefault="00614A7E" w:rsidP="00614A7E">
      <w:pPr>
        <w:pStyle w:val="SingleTxtG"/>
        <w:rPr>
          <w:noProof/>
          <w:lang w:val="fr-FR" w:eastAsia="es-BO"/>
        </w:rPr>
      </w:pPr>
      <w:r w:rsidRPr="00606A3E">
        <w:rPr>
          <w:noProof/>
          <w:lang w:val="fr-FR" w:eastAsia="es-BO"/>
        </w:rPr>
        <w:t>32.</w:t>
      </w:r>
      <w:r w:rsidRPr="00606A3E">
        <w:rPr>
          <w:noProof/>
          <w:lang w:val="fr-FR" w:eastAsia="es-BO"/>
        </w:rPr>
        <w:tab/>
        <w:t xml:space="preserve">La loi </w:t>
      </w:r>
      <w:r w:rsidR="006D502C" w:rsidRPr="00606A3E">
        <w:rPr>
          <w:rFonts w:eastAsia="MS Mincho"/>
          <w:noProof/>
          <w:lang w:val="fr-FR"/>
        </w:rPr>
        <w:t>n</w:t>
      </w:r>
      <w:r w:rsidR="006D502C" w:rsidRPr="00606A3E">
        <w:rPr>
          <w:rFonts w:eastAsia="MS Mincho"/>
          <w:noProof/>
          <w:vertAlign w:val="superscript"/>
          <w:lang w:val="fr-FR"/>
        </w:rPr>
        <w:t>o</w:t>
      </w:r>
      <w:r w:rsidR="006D502C" w:rsidRPr="00606A3E">
        <w:rPr>
          <w:noProof/>
          <w:lang w:val="fr-FR"/>
        </w:rPr>
        <w:t> </w:t>
      </w:r>
      <w:r w:rsidRPr="00606A3E">
        <w:rPr>
          <w:noProof/>
          <w:lang w:val="fr-FR" w:eastAsia="es-BO"/>
        </w:rPr>
        <w:t>251 consacre les principes de non-refoulement</w:t>
      </w:r>
      <w:r w:rsidRPr="00606A3E">
        <w:rPr>
          <w:iCs/>
          <w:noProof/>
          <w:vertAlign w:val="superscript"/>
          <w:lang w:val="fr-FR" w:eastAsia="es-BO"/>
        </w:rPr>
        <w:footnoteReference w:id="23"/>
      </w:r>
      <w:r w:rsidRPr="00606A3E">
        <w:rPr>
          <w:noProof/>
          <w:lang w:val="fr-FR" w:eastAsia="es-BO"/>
        </w:rPr>
        <w:t xml:space="preserve"> et de non-expulsion</w:t>
      </w:r>
      <w:r w:rsidRPr="00606A3E">
        <w:rPr>
          <w:noProof/>
          <w:vertAlign w:val="superscript"/>
          <w:lang w:val="fr-FR" w:eastAsia="es-BO"/>
        </w:rPr>
        <w:footnoteReference w:id="24"/>
      </w:r>
      <w:r w:rsidRPr="00606A3E">
        <w:rPr>
          <w:noProof/>
          <w:lang w:val="fr-FR" w:eastAsia="es-BO"/>
        </w:rPr>
        <w:t>, dont il découle qu</w:t>
      </w:r>
      <w:r w:rsidR="00FB1114" w:rsidRPr="00606A3E">
        <w:rPr>
          <w:noProof/>
          <w:lang w:val="fr-FR" w:eastAsia="es-BO"/>
        </w:rPr>
        <w:t>’</w:t>
      </w:r>
      <w:r w:rsidRPr="00606A3E">
        <w:rPr>
          <w:noProof/>
          <w:lang w:val="fr-FR" w:eastAsia="es-BO"/>
        </w:rPr>
        <w:t>aucun réfugié ou demandeur d</w:t>
      </w:r>
      <w:r w:rsidR="00FB1114" w:rsidRPr="00606A3E">
        <w:rPr>
          <w:noProof/>
          <w:lang w:val="fr-FR" w:eastAsia="es-BO"/>
        </w:rPr>
        <w:t>’</w:t>
      </w:r>
      <w:r w:rsidRPr="00606A3E">
        <w:rPr>
          <w:noProof/>
          <w:lang w:val="fr-FR" w:eastAsia="es-BO"/>
        </w:rPr>
        <w:t xml:space="preserve">asile ne peut être renvoyé dans un pays où sa vie, sa sécurité et sa liberté seraient mises en danger. Toutefois, le décret suprême </w:t>
      </w:r>
      <w:r w:rsidR="006D502C" w:rsidRPr="00606A3E">
        <w:rPr>
          <w:rFonts w:eastAsia="MS Mincho"/>
          <w:noProof/>
          <w:lang w:val="fr-FR"/>
        </w:rPr>
        <w:t>n</w:t>
      </w:r>
      <w:r w:rsidR="006D502C" w:rsidRPr="00606A3E">
        <w:rPr>
          <w:rFonts w:eastAsia="MS Mincho"/>
          <w:noProof/>
          <w:vertAlign w:val="superscript"/>
          <w:lang w:val="fr-FR"/>
        </w:rPr>
        <w:t>o</w:t>
      </w:r>
      <w:r w:rsidR="006D502C" w:rsidRPr="00606A3E">
        <w:rPr>
          <w:noProof/>
          <w:lang w:val="fr-FR"/>
        </w:rPr>
        <w:t> </w:t>
      </w:r>
      <w:r w:rsidRPr="00606A3E">
        <w:rPr>
          <w:noProof/>
          <w:lang w:val="fr-FR" w:eastAsia="es-BO"/>
        </w:rPr>
        <w:t>1440 du 19</w:t>
      </w:r>
      <w:r w:rsidR="006D502C" w:rsidRPr="00606A3E">
        <w:rPr>
          <w:noProof/>
          <w:lang w:val="fr-FR" w:eastAsia="es-BO"/>
        </w:rPr>
        <w:t> </w:t>
      </w:r>
      <w:r w:rsidRPr="00606A3E">
        <w:rPr>
          <w:noProof/>
          <w:lang w:val="fr-FR" w:eastAsia="es-BO"/>
        </w:rPr>
        <w:t>décembre 2012 (« D.</w:t>
      </w:r>
      <w:r w:rsidR="006D502C" w:rsidRPr="00606A3E">
        <w:rPr>
          <w:noProof/>
          <w:lang w:val="fr-FR" w:eastAsia="es-BO"/>
        </w:rPr>
        <w:t> </w:t>
      </w:r>
      <w:r w:rsidRPr="00606A3E">
        <w:rPr>
          <w:noProof/>
          <w:lang w:val="fr-FR" w:eastAsia="es-BO"/>
        </w:rPr>
        <w:t xml:space="preserve">S. </w:t>
      </w:r>
      <w:r w:rsidR="00BE7CEB" w:rsidRPr="00606A3E">
        <w:rPr>
          <w:rFonts w:eastAsia="MS Mincho"/>
          <w:noProof/>
          <w:lang w:val="fr-FR"/>
        </w:rPr>
        <w:t>n</w:t>
      </w:r>
      <w:r w:rsidR="00BE7CEB" w:rsidRPr="00606A3E">
        <w:rPr>
          <w:rFonts w:eastAsia="MS Mincho"/>
          <w:noProof/>
          <w:vertAlign w:val="superscript"/>
          <w:lang w:val="fr-FR"/>
        </w:rPr>
        <w:t>o</w:t>
      </w:r>
      <w:r w:rsidR="00BE7CEB" w:rsidRPr="00606A3E">
        <w:rPr>
          <w:noProof/>
          <w:lang w:val="fr-FR"/>
        </w:rPr>
        <w:t> </w:t>
      </w:r>
      <w:r w:rsidRPr="00606A3E">
        <w:rPr>
          <w:noProof/>
          <w:lang w:val="fr-FR" w:eastAsia="es-BO"/>
        </w:rPr>
        <w:t>1440 ») (annexe</w:t>
      </w:r>
      <w:r w:rsidR="00BE7CEB" w:rsidRPr="00606A3E">
        <w:rPr>
          <w:noProof/>
          <w:lang w:val="fr-FR" w:eastAsia="es-BO"/>
        </w:rPr>
        <w:t> </w:t>
      </w:r>
      <w:r w:rsidRPr="00606A3E">
        <w:rPr>
          <w:noProof/>
          <w:lang w:val="fr-FR" w:eastAsia="es-BO"/>
        </w:rPr>
        <w:t>13) prévoit la possibilité, dans des cas exceptionnels, de procéder, pour des raisons tenant à la sûreté de l</w:t>
      </w:r>
      <w:r w:rsidR="00FB1114" w:rsidRPr="00606A3E">
        <w:rPr>
          <w:noProof/>
          <w:lang w:val="fr-FR" w:eastAsia="es-BO"/>
        </w:rPr>
        <w:t>’</w:t>
      </w:r>
      <w:r w:rsidRPr="00606A3E">
        <w:rPr>
          <w:noProof/>
          <w:lang w:val="fr-FR" w:eastAsia="es-BO"/>
        </w:rPr>
        <w:t>État ou à l</w:t>
      </w:r>
      <w:r w:rsidR="00FB1114" w:rsidRPr="00606A3E">
        <w:rPr>
          <w:noProof/>
          <w:lang w:val="fr-FR" w:eastAsia="es-BO"/>
        </w:rPr>
        <w:t>’</w:t>
      </w:r>
      <w:r w:rsidRPr="00606A3E">
        <w:rPr>
          <w:noProof/>
          <w:lang w:val="fr-FR" w:eastAsia="es-BO"/>
        </w:rPr>
        <w:t>ordre public, à l</w:t>
      </w:r>
      <w:r w:rsidR="00FB1114" w:rsidRPr="00606A3E">
        <w:rPr>
          <w:noProof/>
          <w:lang w:val="fr-FR" w:eastAsia="es-BO"/>
        </w:rPr>
        <w:t>’</w:t>
      </w:r>
      <w:r w:rsidRPr="00606A3E">
        <w:rPr>
          <w:noProof/>
          <w:lang w:val="fr-FR" w:eastAsia="es-BO"/>
        </w:rPr>
        <w:t>expulsi</w:t>
      </w:r>
      <w:r w:rsidRPr="00BE7CEB">
        <w:rPr>
          <w:noProof/>
          <w:lang w:val="fr-FR" w:eastAsia="es-BO"/>
        </w:rPr>
        <w:t>on d</w:t>
      </w:r>
      <w:r w:rsidR="00FB1114">
        <w:rPr>
          <w:noProof/>
          <w:lang w:val="fr-FR" w:eastAsia="es-BO"/>
        </w:rPr>
        <w:t>’</w:t>
      </w:r>
      <w:r w:rsidRPr="00BE7CEB">
        <w:rPr>
          <w:noProof/>
          <w:lang w:val="fr-FR" w:eastAsia="es-BO"/>
        </w:rPr>
        <w:t>une personne réfugiée, qui dispose alors d</w:t>
      </w:r>
      <w:r w:rsidR="00FB1114">
        <w:rPr>
          <w:noProof/>
          <w:lang w:val="fr-FR" w:eastAsia="es-BO"/>
        </w:rPr>
        <w:t>’</w:t>
      </w:r>
      <w:r w:rsidRPr="00BE7CEB">
        <w:rPr>
          <w:noProof/>
          <w:lang w:val="fr-FR" w:eastAsia="es-BO"/>
        </w:rPr>
        <w:t xml:space="preserve">un délai raisonnable </w:t>
      </w:r>
      <w:r w:rsidRPr="00BE7CEB">
        <w:rPr>
          <w:noProof/>
          <w:lang w:val="fr-FR"/>
        </w:rPr>
        <w:t>pour chercher à se faire admettre régulièrement dans un pays</w:t>
      </w:r>
      <w:r w:rsidRPr="00BE7CEB">
        <w:rPr>
          <w:noProof/>
          <w:lang w:val="fr-FR" w:eastAsia="es-BO"/>
        </w:rPr>
        <w:t xml:space="preserve"> tiers, où sa vie, sa liberté et sa sécurité ne soient pas mises en danger</w:t>
      </w:r>
      <w:r w:rsidRPr="00BE7CEB">
        <w:rPr>
          <w:noProof/>
          <w:vertAlign w:val="superscript"/>
          <w:lang w:val="fr-FR" w:eastAsia="es-BO"/>
        </w:rPr>
        <w:footnoteReference w:id="25"/>
      </w:r>
      <w:r w:rsidRPr="00BE7CEB">
        <w:rPr>
          <w:noProof/>
          <w:lang w:val="fr-FR" w:eastAsia="es-BO"/>
        </w:rPr>
        <w:t xml:space="preserve">, une fois que la </w:t>
      </w:r>
      <w:r w:rsidRPr="00BE7CEB">
        <w:rPr>
          <w:noProof/>
          <w:lang w:val="fr-FR"/>
        </w:rPr>
        <w:t>Commission nationale pour les réfugiés</w:t>
      </w:r>
      <w:r w:rsidRPr="00BE7CEB">
        <w:rPr>
          <w:noProof/>
          <w:lang w:val="fr-FR" w:eastAsia="es-BO"/>
        </w:rPr>
        <w:t xml:space="preserve"> a évalué son cas et s</w:t>
      </w:r>
      <w:r w:rsidR="00FB1114">
        <w:rPr>
          <w:noProof/>
          <w:lang w:val="fr-FR" w:eastAsia="es-BO"/>
        </w:rPr>
        <w:t>’</w:t>
      </w:r>
      <w:r w:rsidRPr="00BE7CEB">
        <w:rPr>
          <w:noProof/>
          <w:lang w:val="fr-FR" w:eastAsia="es-BO"/>
        </w:rPr>
        <w:t>est prononcée à son sujet en garantissant à l</w:t>
      </w:r>
      <w:r w:rsidR="00FB1114">
        <w:rPr>
          <w:noProof/>
          <w:lang w:val="fr-FR" w:eastAsia="es-BO"/>
        </w:rPr>
        <w:t>’</w:t>
      </w:r>
      <w:r w:rsidRPr="00BE7CEB">
        <w:rPr>
          <w:noProof/>
          <w:lang w:val="fr-FR" w:eastAsia="es-BO"/>
        </w:rPr>
        <w:t>intéressé le droit de former un recours.</w:t>
      </w:r>
    </w:p>
    <w:p w:rsidR="00614A7E" w:rsidRPr="00606A3E" w:rsidRDefault="00614A7E" w:rsidP="00614A7E">
      <w:pPr>
        <w:pStyle w:val="SingleTxtG"/>
        <w:rPr>
          <w:noProof/>
          <w:lang w:val="fr-FR" w:eastAsia="es-BO"/>
        </w:rPr>
      </w:pPr>
      <w:r w:rsidRPr="00606A3E">
        <w:rPr>
          <w:noProof/>
          <w:lang w:val="fr-FR" w:eastAsia="es-BO"/>
        </w:rPr>
        <w:t>33.</w:t>
      </w:r>
      <w:r w:rsidRPr="00606A3E">
        <w:rPr>
          <w:noProof/>
          <w:lang w:val="fr-FR" w:eastAsia="es-BO"/>
        </w:rPr>
        <w:tab/>
        <w:t>En ce qui concerne l</w:t>
      </w:r>
      <w:r w:rsidR="00FB1114" w:rsidRPr="00606A3E">
        <w:rPr>
          <w:noProof/>
          <w:lang w:val="fr-FR" w:eastAsia="es-BO"/>
        </w:rPr>
        <w:t>’</w:t>
      </w:r>
      <w:r w:rsidRPr="00606A3E">
        <w:rPr>
          <w:noProof/>
          <w:lang w:val="fr-FR" w:eastAsia="es-BO"/>
        </w:rPr>
        <w:t>extradition, l</w:t>
      </w:r>
      <w:r w:rsidR="00FB1114" w:rsidRPr="00606A3E">
        <w:rPr>
          <w:noProof/>
          <w:lang w:val="fr-FR" w:eastAsia="es-BO"/>
        </w:rPr>
        <w:t>’</w:t>
      </w:r>
      <w:r w:rsidRPr="00606A3E">
        <w:rPr>
          <w:noProof/>
          <w:lang w:val="fr-FR" w:eastAsia="es-BO"/>
        </w:rPr>
        <w:t>État a fourni des renseignements sur l</w:t>
      </w:r>
      <w:r w:rsidR="00FB1114" w:rsidRPr="00606A3E">
        <w:rPr>
          <w:noProof/>
          <w:lang w:val="fr-FR" w:eastAsia="es-BO"/>
        </w:rPr>
        <w:t>’</w:t>
      </w:r>
      <w:r w:rsidRPr="00606A3E">
        <w:rPr>
          <w:noProof/>
          <w:lang w:val="fr-FR" w:eastAsia="es-BO"/>
        </w:rPr>
        <w:t>application de cette mesure dans le rapport initial (par.</w:t>
      </w:r>
      <w:r w:rsidR="00597369" w:rsidRPr="00606A3E">
        <w:rPr>
          <w:noProof/>
          <w:lang w:val="fr-FR" w:eastAsia="es-BO"/>
        </w:rPr>
        <w:t> </w:t>
      </w:r>
      <w:r w:rsidRPr="00606A3E">
        <w:rPr>
          <w:noProof/>
          <w:lang w:val="fr-FR" w:eastAsia="es-BO"/>
        </w:rPr>
        <w:t>37) et dans le deuxième rapport périodique (par.</w:t>
      </w:r>
      <w:r w:rsidR="00652120" w:rsidRPr="00606A3E">
        <w:rPr>
          <w:noProof/>
          <w:lang w:val="fr-FR" w:eastAsia="es-BO"/>
        </w:rPr>
        <w:t> </w:t>
      </w:r>
      <w:r w:rsidRPr="00606A3E">
        <w:rPr>
          <w:noProof/>
          <w:lang w:val="fr-FR" w:eastAsia="es-BO"/>
        </w:rPr>
        <w:t>84) soumis au Comité.</w:t>
      </w:r>
    </w:p>
    <w:p w:rsidR="00614A7E" w:rsidRPr="00597369" w:rsidRDefault="00614A7E" w:rsidP="00614A7E">
      <w:pPr>
        <w:pStyle w:val="SingleTxtG"/>
        <w:rPr>
          <w:noProof/>
          <w:lang w:val="fr-FR" w:eastAsia="es-BO"/>
        </w:rPr>
      </w:pPr>
      <w:r w:rsidRPr="00DF456A">
        <w:rPr>
          <w:noProof/>
          <w:lang w:val="fr-FR" w:eastAsia="es-BO"/>
        </w:rPr>
        <w:t>34.</w:t>
      </w:r>
      <w:r w:rsidRPr="00DF456A">
        <w:rPr>
          <w:noProof/>
          <w:lang w:val="fr-FR" w:eastAsia="es-BO"/>
        </w:rPr>
        <w:tab/>
      </w:r>
      <w:r>
        <w:rPr>
          <w:noProof/>
          <w:lang w:val="fr-FR" w:eastAsia="es-BO"/>
        </w:rPr>
        <w:t>Il convient d</w:t>
      </w:r>
      <w:r w:rsidR="00FB1114">
        <w:rPr>
          <w:noProof/>
          <w:lang w:val="fr-FR" w:eastAsia="es-BO"/>
        </w:rPr>
        <w:t>’</w:t>
      </w:r>
      <w:r>
        <w:rPr>
          <w:noProof/>
          <w:lang w:val="fr-FR" w:eastAsia="es-BO"/>
        </w:rPr>
        <w:t xml:space="preserve">indiquer que les réfugiés ne peuvent pas être extradés. Si une demande </w:t>
      </w:r>
      <w:r w:rsidRPr="00597369">
        <w:rPr>
          <w:noProof/>
          <w:lang w:val="fr-FR" w:eastAsia="es-BO"/>
        </w:rPr>
        <w:t>d</w:t>
      </w:r>
      <w:r w:rsidR="00FB1114">
        <w:rPr>
          <w:noProof/>
          <w:lang w:val="fr-FR" w:eastAsia="es-BO"/>
        </w:rPr>
        <w:t>’</w:t>
      </w:r>
      <w:r w:rsidRPr="00597369">
        <w:rPr>
          <w:noProof/>
          <w:lang w:val="fr-FR" w:eastAsia="es-BO"/>
        </w:rPr>
        <w:t>extradition visant un demandeur d</w:t>
      </w:r>
      <w:r w:rsidR="00FB1114">
        <w:rPr>
          <w:noProof/>
          <w:lang w:val="fr-FR" w:eastAsia="es-BO"/>
        </w:rPr>
        <w:t>’</w:t>
      </w:r>
      <w:r w:rsidRPr="00597369">
        <w:rPr>
          <w:noProof/>
          <w:lang w:val="fr-FR" w:eastAsia="es-BO"/>
        </w:rPr>
        <w:t>asile en Bolivie est présentée, l</w:t>
      </w:r>
      <w:r w:rsidR="00FB1114">
        <w:rPr>
          <w:noProof/>
          <w:lang w:val="fr-FR" w:eastAsia="es-BO"/>
        </w:rPr>
        <w:t>’</w:t>
      </w:r>
      <w:r w:rsidRPr="00597369">
        <w:rPr>
          <w:noProof/>
          <w:lang w:val="fr-FR" w:eastAsia="es-BO"/>
        </w:rPr>
        <w:t>application de la mesure d</w:t>
      </w:r>
      <w:r w:rsidR="00FB1114">
        <w:rPr>
          <w:noProof/>
          <w:lang w:val="fr-FR" w:eastAsia="es-BO"/>
        </w:rPr>
        <w:t>’</w:t>
      </w:r>
      <w:r w:rsidRPr="00597369">
        <w:rPr>
          <w:noProof/>
          <w:lang w:val="fr-FR" w:eastAsia="es-BO"/>
        </w:rPr>
        <w:t>extradition est suspendue le temps qu</w:t>
      </w:r>
      <w:r w:rsidR="00FB1114">
        <w:rPr>
          <w:noProof/>
          <w:lang w:val="fr-FR" w:eastAsia="es-BO"/>
        </w:rPr>
        <w:t>’</w:t>
      </w:r>
      <w:r w:rsidRPr="00597369">
        <w:rPr>
          <w:noProof/>
          <w:lang w:val="fr-FR" w:eastAsia="es-BO"/>
        </w:rPr>
        <w:t>il soit statué sur la demande d</w:t>
      </w:r>
      <w:r w:rsidR="00FB1114">
        <w:rPr>
          <w:noProof/>
          <w:lang w:val="fr-FR" w:eastAsia="es-BO"/>
        </w:rPr>
        <w:t>’</w:t>
      </w:r>
      <w:r w:rsidRPr="00597369">
        <w:rPr>
          <w:noProof/>
          <w:lang w:val="fr-FR" w:eastAsia="es-BO"/>
        </w:rPr>
        <w:t>asile de l</w:t>
      </w:r>
      <w:r w:rsidR="00FB1114">
        <w:rPr>
          <w:noProof/>
          <w:lang w:val="fr-FR" w:eastAsia="es-BO"/>
        </w:rPr>
        <w:t>’</w:t>
      </w:r>
      <w:r w:rsidRPr="00597369">
        <w:rPr>
          <w:noProof/>
          <w:lang w:val="fr-FR" w:eastAsia="es-BO"/>
        </w:rPr>
        <w:t>intéressé</w:t>
      </w:r>
      <w:r w:rsidRPr="00597369">
        <w:rPr>
          <w:noProof/>
          <w:vertAlign w:val="superscript"/>
          <w:lang w:val="fr-FR" w:eastAsia="es-BO"/>
        </w:rPr>
        <w:footnoteReference w:id="26"/>
      </w:r>
      <w:r w:rsidRPr="00597369">
        <w:rPr>
          <w:noProof/>
          <w:lang w:val="fr-FR" w:eastAsia="es-BO"/>
        </w:rPr>
        <w:t>.</w:t>
      </w:r>
    </w:p>
    <w:p w:rsidR="00614A7E" w:rsidRPr="00DF456A" w:rsidRDefault="00614A7E" w:rsidP="007C0300">
      <w:pPr>
        <w:pStyle w:val="H1G"/>
        <w:spacing w:before="320" w:after="200"/>
        <w:rPr>
          <w:noProof/>
          <w:lang w:val="fr-FR" w:eastAsia="es-BO"/>
        </w:rPr>
      </w:pPr>
      <w:r w:rsidRPr="00DF456A">
        <w:rPr>
          <w:noProof/>
          <w:lang w:val="fr-FR" w:eastAsia="es-BO"/>
        </w:rPr>
        <w:lastRenderedPageBreak/>
        <w:tab/>
      </w:r>
      <w:r w:rsidRPr="00DF456A">
        <w:rPr>
          <w:noProof/>
          <w:lang w:val="fr-FR" w:eastAsia="es-BO"/>
        </w:rPr>
        <w:tab/>
      </w:r>
      <w:r w:rsidRPr="00597369">
        <w:t>Article</w:t>
      </w:r>
      <w:r w:rsidRPr="00DF456A">
        <w:rPr>
          <w:noProof/>
          <w:lang w:val="fr-FR" w:eastAsia="es-BO"/>
        </w:rPr>
        <w:t xml:space="preserve"> 5</w:t>
      </w:r>
      <w:r w:rsidRPr="00DF456A">
        <w:rPr>
          <w:noProof/>
          <w:lang w:val="fr-FR" w:eastAsia="es-BO"/>
        </w:rPr>
        <w:br/>
      </w:r>
      <w:r w:rsidRPr="00A1481A">
        <w:rPr>
          <w:noProof/>
          <w:lang w:val="fr-FR"/>
        </w:rPr>
        <w:t>Établissement de la compétence aux fins de connaître de l</w:t>
      </w:r>
      <w:r w:rsidR="00FB1114">
        <w:rPr>
          <w:noProof/>
          <w:lang w:val="fr-FR"/>
        </w:rPr>
        <w:t>’</w:t>
      </w:r>
      <w:r w:rsidRPr="00A1481A">
        <w:rPr>
          <w:noProof/>
          <w:lang w:val="fr-FR"/>
        </w:rPr>
        <w:t>infraction</w:t>
      </w:r>
      <w:r w:rsidR="00597369">
        <w:rPr>
          <w:noProof/>
          <w:lang w:val="fr-FR"/>
        </w:rPr>
        <w:br/>
      </w:r>
      <w:r w:rsidRPr="00A1481A">
        <w:rPr>
          <w:noProof/>
          <w:lang w:val="fr-FR"/>
        </w:rPr>
        <w:t>de torture</w:t>
      </w:r>
    </w:p>
    <w:p w:rsidR="00614A7E" w:rsidRPr="00597369" w:rsidRDefault="00614A7E" w:rsidP="00614A7E">
      <w:pPr>
        <w:pStyle w:val="SingleTxtG"/>
        <w:rPr>
          <w:noProof/>
          <w:lang w:val="fr-FR" w:eastAsia="es-BO"/>
        </w:rPr>
      </w:pPr>
      <w:r w:rsidRPr="00597369">
        <w:rPr>
          <w:noProof/>
          <w:lang w:val="fr-FR" w:eastAsia="es-BO"/>
        </w:rPr>
        <w:t>35.</w:t>
      </w:r>
      <w:r w:rsidRPr="00597369">
        <w:rPr>
          <w:noProof/>
          <w:lang w:val="fr-FR" w:eastAsia="es-BO"/>
        </w:rPr>
        <w:tab/>
        <w:t>Comme indiqué dans le deuxième rapport périodique soumis au Comité (par.</w:t>
      </w:r>
      <w:r w:rsidR="00597369">
        <w:rPr>
          <w:noProof/>
          <w:lang w:val="fr-FR" w:eastAsia="es-BO"/>
        </w:rPr>
        <w:t> </w:t>
      </w:r>
      <w:r w:rsidRPr="00597369">
        <w:rPr>
          <w:noProof/>
          <w:lang w:val="fr-FR" w:eastAsia="es-BO"/>
        </w:rPr>
        <w:t>87 et 88), l</w:t>
      </w:r>
      <w:r w:rsidR="00FB1114">
        <w:rPr>
          <w:noProof/>
          <w:lang w:val="fr-FR" w:eastAsia="es-BO"/>
        </w:rPr>
        <w:t>’</w:t>
      </w:r>
      <w:r w:rsidRPr="00597369">
        <w:rPr>
          <w:noProof/>
          <w:lang w:val="fr-FR" w:eastAsia="es-BO"/>
        </w:rPr>
        <w:t>article premier</w:t>
      </w:r>
      <w:r w:rsidRPr="00597369">
        <w:rPr>
          <w:noProof/>
          <w:vertAlign w:val="superscript"/>
          <w:lang w:val="fr-FR" w:eastAsia="es-BO"/>
        </w:rPr>
        <w:footnoteReference w:id="27"/>
      </w:r>
      <w:r w:rsidRPr="00597369">
        <w:rPr>
          <w:noProof/>
          <w:lang w:val="fr-FR" w:eastAsia="es-BO"/>
        </w:rPr>
        <w:t xml:space="preserve"> du Code pénal reste en vigueur aux fins de l</w:t>
      </w:r>
      <w:r w:rsidR="00FB1114">
        <w:rPr>
          <w:noProof/>
          <w:lang w:val="fr-FR" w:eastAsia="es-BO"/>
        </w:rPr>
        <w:t>’</w:t>
      </w:r>
      <w:r w:rsidRPr="00597369">
        <w:rPr>
          <w:noProof/>
          <w:lang w:val="fr-FR" w:eastAsia="es-BO"/>
        </w:rPr>
        <w:t>application de l</w:t>
      </w:r>
      <w:r w:rsidR="00FB1114">
        <w:rPr>
          <w:noProof/>
          <w:lang w:val="fr-FR" w:eastAsia="es-BO"/>
        </w:rPr>
        <w:t>’</w:t>
      </w:r>
      <w:r w:rsidRPr="00597369">
        <w:rPr>
          <w:noProof/>
          <w:lang w:val="fr-FR" w:eastAsia="es-BO"/>
        </w:rPr>
        <w:t>article</w:t>
      </w:r>
      <w:r w:rsidR="00597369">
        <w:rPr>
          <w:noProof/>
          <w:lang w:val="fr-FR" w:eastAsia="es-BO"/>
        </w:rPr>
        <w:t> </w:t>
      </w:r>
      <w:r w:rsidRPr="00597369">
        <w:rPr>
          <w:noProof/>
          <w:lang w:val="fr-FR" w:eastAsia="es-BO"/>
        </w:rPr>
        <w:t>5 de la Convention.</w:t>
      </w:r>
    </w:p>
    <w:p w:rsidR="00614A7E" w:rsidRPr="00597369" w:rsidRDefault="00614A7E" w:rsidP="00614A7E">
      <w:pPr>
        <w:pStyle w:val="SingleTxtG"/>
        <w:rPr>
          <w:noProof/>
          <w:lang w:val="fr-FR"/>
        </w:rPr>
      </w:pPr>
      <w:r w:rsidRPr="00597369">
        <w:rPr>
          <w:noProof/>
          <w:lang w:val="fr-FR"/>
        </w:rPr>
        <w:t>36.</w:t>
      </w:r>
      <w:r w:rsidRPr="00597369">
        <w:rPr>
          <w:noProof/>
          <w:lang w:val="fr-FR"/>
        </w:rPr>
        <w:tab/>
        <w:t>En outre, l</w:t>
      </w:r>
      <w:r w:rsidR="00FB1114">
        <w:rPr>
          <w:noProof/>
          <w:lang w:val="fr-FR"/>
        </w:rPr>
        <w:t>’</w:t>
      </w:r>
      <w:r w:rsidRPr="00597369">
        <w:rPr>
          <w:noProof/>
          <w:lang w:val="fr-FR"/>
        </w:rPr>
        <w:t>article</w:t>
      </w:r>
      <w:r w:rsidR="00597369">
        <w:rPr>
          <w:noProof/>
          <w:lang w:val="fr-FR"/>
        </w:rPr>
        <w:t> </w:t>
      </w:r>
      <w:r w:rsidRPr="00597369">
        <w:rPr>
          <w:noProof/>
          <w:lang w:val="fr-FR"/>
        </w:rPr>
        <w:t xml:space="preserve">110 de la Constitution dispose que « I. </w:t>
      </w:r>
      <w:r w:rsidRPr="00597369">
        <w:rPr>
          <w:rFonts w:eastAsia="Times New Roman"/>
          <w:lang w:val="fr-FR" w:eastAsia="zh-CN"/>
        </w:rPr>
        <w:t>Toute personne qui porte atteinte aux droits garantis par la Constitution est</w:t>
      </w:r>
      <w:r w:rsidRPr="00597369">
        <w:rPr>
          <w:noProof/>
          <w:lang w:val="fr-FR"/>
        </w:rPr>
        <w:t xml:space="preserve"> </w:t>
      </w:r>
      <w:r w:rsidRPr="00597369">
        <w:rPr>
          <w:rFonts w:eastAsia="Times New Roman"/>
          <w:lang w:val="fr-FR" w:eastAsia="zh-CN"/>
        </w:rPr>
        <w:t>soumise à la juridiction des autorités boliviennes</w:t>
      </w:r>
      <w:r w:rsidRPr="00597369">
        <w:rPr>
          <w:noProof/>
          <w:lang w:val="fr-FR"/>
        </w:rPr>
        <w:t xml:space="preserve">. II. </w:t>
      </w:r>
      <w:r w:rsidRPr="00597369">
        <w:rPr>
          <w:rFonts w:eastAsia="Times New Roman"/>
          <w:lang w:val="fr-FR" w:eastAsia="zh-CN"/>
        </w:rPr>
        <w:t>Les auteurs intellectuels et matériels de violations des droits garantis par la</w:t>
      </w:r>
      <w:r w:rsidRPr="00597369">
        <w:rPr>
          <w:noProof/>
          <w:lang w:val="fr-FR"/>
        </w:rPr>
        <w:t xml:space="preserve"> </w:t>
      </w:r>
      <w:r w:rsidRPr="00597369">
        <w:rPr>
          <w:rFonts w:eastAsia="Times New Roman"/>
          <w:lang w:val="fr-FR" w:eastAsia="zh-CN"/>
        </w:rPr>
        <w:t>Constitution sont pénalement responsables de ces violations</w:t>
      </w:r>
      <w:r w:rsidRPr="00597369">
        <w:rPr>
          <w:noProof/>
          <w:lang w:val="fr-FR"/>
        </w:rPr>
        <w:t>. (…) ».</w:t>
      </w:r>
    </w:p>
    <w:p w:rsidR="00614A7E" w:rsidRPr="00606A3E" w:rsidRDefault="00614A7E" w:rsidP="00614A7E">
      <w:pPr>
        <w:pStyle w:val="SingleTxtG"/>
        <w:rPr>
          <w:noProof/>
          <w:lang w:val="fr-FR" w:eastAsia="es-BO"/>
        </w:rPr>
      </w:pPr>
      <w:r w:rsidRPr="00597369">
        <w:rPr>
          <w:noProof/>
          <w:lang w:val="fr-FR" w:eastAsia="es-BO"/>
        </w:rPr>
        <w:t>37.</w:t>
      </w:r>
      <w:r w:rsidRPr="00597369">
        <w:rPr>
          <w:noProof/>
          <w:lang w:val="fr-FR" w:eastAsia="es-BO"/>
        </w:rPr>
        <w:tab/>
        <w:t xml:space="preserve">De même, </w:t>
      </w:r>
      <w:r w:rsidRPr="00597369">
        <w:rPr>
          <w:rFonts w:eastAsia="Calibri"/>
          <w:noProof/>
          <w:lang w:val="fr-FR" w:eastAsia="es-BO"/>
        </w:rPr>
        <w:t xml:space="preserve">la loi </w:t>
      </w:r>
      <w:r w:rsidR="00CE57C1" w:rsidRPr="00857F6E">
        <w:rPr>
          <w:rFonts w:eastAsia="MS Mincho"/>
          <w:noProof/>
          <w:szCs w:val="22"/>
          <w:lang w:val="fr-FR"/>
        </w:rPr>
        <w:t>n</w:t>
      </w:r>
      <w:r w:rsidR="00CE57C1" w:rsidRPr="00857F6E">
        <w:rPr>
          <w:rFonts w:eastAsia="MS Mincho"/>
          <w:noProof/>
          <w:szCs w:val="22"/>
          <w:vertAlign w:val="superscript"/>
          <w:lang w:val="fr-FR"/>
        </w:rPr>
        <w:t>o</w:t>
      </w:r>
      <w:r w:rsidR="00CE57C1">
        <w:rPr>
          <w:noProof/>
          <w:lang w:val="fr-FR"/>
        </w:rPr>
        <w:t> </w:t>
      </w:r>
      <w:r w:rsidRPr="00597369">
        <w:rPr>
          <w:rFonts w:eastAsia="Calibri"/>
          <w:noProof/>
          <w:lang w:val="fr-FR" w:eastAsia="es-BO"/>
        </w:rPr>
        <w:t>548 du 17</w:t>
      </w:r>
      <w:r w:rsidR="00CE57C1">
        <w:rPr>
          <w:rFonts w:eastAsia="Calibri"/>
          <w:noProof/>
          <w:lang w:val="fr-FR" w:eastAsia="es-BO"/>
        </w:rPr>
        <w:t> </w:t>
      </w:r>
      <w:r w:rsidRPr="00597369">
        <w:rPr>
          <w:rFonts w:eastAsia="Calibri"/>
          <w:noProof/>
          <w:lang w:val="fr-FR" w:eastAsia="es-BO"/>
        </w:rPr>
        <w:t xml:space="preserve">juillet 2014 </w:t>
      </w:r>
      <w:r w:rsidRPr="00597369">
        <w:rPr>
          <w:noProof/>
          <w:lang w:val="fr-FR"/>
        </w:rPr>
        <w:t>portant Code des enfants et des adolescents</w:t>
      </w:r>
      <w:r w:rsidRPr="00597369">
        <w:rPr>
          <w:rFonts w:eastAsia="Calibri"/>
          <w:noProof/>
          <w:lang w:val="fr-FR" w:eastAsia="es-BO"/>
        </w:rPr>
        <w:t xml:space="preserve"> </w:t>
      </w:r>
      <w:r w:rsidRPr="00606A3E">
        <w:rPr>
          <w:rFonts w:eastAsia="Calibri"/>
          <w:noProof/>
          <w:lang w:val="fr-FR" w:eastAsia="es-BO"/>
        </w:rPr>
        <w:t xml:space="preserve">(« loi </w:t>
      </w:r>
      <w:r w:rsidR="00C52462" w:rsidRPr="00606A3E">
        <w:rPr>
          <w:rFonts w:eastAsia="MS Mincho"/>
          <w:noProof/>
          <w:szCs w:val="22"/>
          <w:lang w:val="fr-FR"/>
        </w:rPr>
        <w:t>n</w:t>
      </w:r>
      <w:r w:rsidR="00C52462" w:rsidRPr="00606A3E">
        <w:rPr>
          <w:rFonts w:eastAsia="MS Mincho"/>
          <w:noProof/>
          <w:szCs w:val="22"/>
          <w:vertAlign w:val="superscript"/>
          <w:lang w:val="fr-FR"/>
        </w:rPr>
        <w:t>o</w:t>
      </w:r>
      <w:r w:rsidR="00C52462" w:rsidRPr="00606A3E">
        <w:rPr>
          <w:noProof/>
          <w:lang w:val="fr-FR"/>
        </w:rPr>
        <w:t> </w:t>
      </w:r>
      <w:r w:rsidRPr="00606A3E">
        <w:rPr>
          <w:rFonts w:eastAsia="Calibri"/>
          <w:noProof/>
          <w:lang w:val="fr-FR" w:eastAsia="es-BO"/>
        </w:rPr>
        <w:t>548 ») (annexe</w:t>
      </w:r>
      <w:r w:rsidR="00C52462" w:rsidRPr="00606A3E">
        <w:rPr>
          <w:rFonts w:eastAsia="Calibri"/>
          <w:noProof/>
          <w:lang w:val="fr-FR" w:eastAsia="es-BO"/>
        </w:rPr>
        <w:t> </w:t>
      </w:r>
      <w:r w:rsidRPr="00606A3E">
        <w:rPr>
          <w:rFonts w:eastAsia="Calibri"/>
          <w:noProof/>
          <w:lang w:val="fr-FR" w:eastAsia="es-BO"/>
        </w:rPr>
        <w:t xml:space="preserve">14), </w:t>
      </w:r>
      <w:r w:rsidRPr="00606A3E">
        <w:rPr>
          <w:noProof/>
          <w:lang w:val="fr-FR"/>
        </w:rPr>
        <w:t>en sa deuxième disposition additionnelle modifiant l</w:t>
      </w:r>
      <w:r w:rsidR="00FB1114" w:rsidRPr="00606A3E">
        <w:rPr>
          <w:noProof/>
          <w:lang w:val="fr-FR"/>
        </w:rPr>
        <w:t>’</w:t>
      </w:r>
      <w:r w:rsidRPr="00606A3E">
        <w:rPr>
          <w:noProof/>
          <w:lang w:val="fr-FR"/>
        </w:rPr>
        <w:t>article</w:t>
      </w:r>
      <w:r w:rsidR="00C52462" w:rsidRPr="00606A3E">
        <w:rPr>
          <w:noProof/>
          <w:lang w:val="fr-FR"/>
        </w:rPr>
        <w:t> </w:t>
      </w:r>
      <w:r w:rsidRPr="00606A3E">
        <w:rPr>
          <w:noProof/>
          <w:lang w:val="fr-FR"/>
        </w:rPr>
        <w:t>5 du Code pénal, prévoit ce qui suit</w:t>
      </w:r>
      <w:r w:rsidR="00C52462" w:rsidRPr="00606A3E">
        <w:rPr>
          <w:noProof/>
          <w:lang w:val="fr-FR"/>
        </w:rPr>
        <w:t> </w:t>
      </w:r>
      <w:r w:rsidRPr="00606A3E">
        <w:rPr>
          <w:rFonts w:eastAsia="Calibri"/>
          <w:noProof/>
          <w:lang w:val="fr-FR" w:eastAsia="es-BO"/>
        </w:rPr>
        <w:t xml:space="preserve">: </w:t>
      </w:r>
      <w:r w:rsidRPr="00606A3E">
        <w:rPr>
          <w:noProof/>
          <w:lang w:val="fr-FR"/>
        </w:rPr>
        <w:t>«</w:t>
      </w:r>
      <w:r w:rsidR="00C52462" w:rsidRPr="00606A3E">
        <w:rPr>
          <w:noProof/>
          <w:lang w:val="fr-FR"/>
        </w:rPr>
        <w:t> </w:t>
      </w:r>
      <w:r w:rsidRPr="00606A3E">
        <w:rPr>
          <w:noProof/>
          <w:lang w:val="fr-FR"/>
        </w:rPr>
        <w:t>Article 5 (EN CE QUI CONCERNE LES PERSONNES). Le droit pénal ne reconnaît aucun privilège ni immunité, mais ses dispositions s</w:t>
      </w:r>
      <w:r w:rsidR="00FB1114" w:rsidRPr="00606A3E">
        <w:rPr>
          <w:noProof/>
          <w:lang w:val="fr-FR"/>
        </w:rPr>
        <w:t>’</w:t>
      </w:r>
      <w:r w:rsidRPr="00606A3E">
        <w:rPr>
          <w:noProof/>
          <w:lang w:val="fr-FR"/>
        </w:rPr>
        <w:t>appliquent aux personnes qui, au moment des faits, avaient plus de quatorze (14)</w:t>
      </w:r>
      <w:r w:rsidR="00C52462" w:rsidRPr="00606A3E">
        <w:rPr>
          <w:noProof/>
          <w:lang w:val="fr-FR"/>
        </w:rPr>
        <w:t> </w:t>
      </w:r>
      <w:r w:rsidRPr="00606A3E">
        <w:rPr>
          <w:noProof/>
          <w:lang w:val="fr-FR"/>
        </w:rPr>
        <w:t>ans. La responsabilité pénale des mineurs âgés de quatorze (14) à dix-huit (18) ans non révolus est régie par le Code des enfants et des adolescents. »</w:t>
      </w:r>
      <w:r w:rsidRPr="00606A3E">
        <w:rPr>
          <w:rFonts w:eastAsia="Calibri"/>
          <w:noProof/>
          <w:lang w:val="fr-FR" w:eastAsia="es-BO"/>
        </w:rPr>
        <w:t>.</w:t>
      </w:r>
    </w:p>
    <w:p w:rsidR="00614A7E" w:rsidRPr="00597369" w:rsidRDefault="00614A7E" w:rsidP="00614A7E">
      <w:pPr>
        <w:pStyle w:val="SingleTxtG"/>
        <w:rPr>
          <w:noProof/>
          <w:lang w:val="fr-FR" w:eastAsia="es-BO"/>
        </w:rPr>
      </w:pPr>
      <w:r w:rsidRPr="00597369">
        <w:rPr>
          <w:noProof/>
          <w:lang w:val="fr-FR" w:eastAsia="es-BO"/>
        </w:rPr>
        <w:t>38.</w:t>
      </w:r>
      <w:r w:rsidRPr="00597369">
        <w:rPr>
          <w:noProof/>
          <w:lang w:val="fr-FR" w:eastAsia="es-BO"/>
        </w:rPr>
        <w:tab/>
      </w:r>
      <w:r w:rsidRPr="00597369">
        <w:rPr>
          <w:rFonts w:eastAsia="Calibri"/>
          <w:noProof/>
          <w:lang w:val="fr-FR"/>
        </w:rPr>
        <w:t>Il convient d</w:t>
      </w:r>
      <w:r w:rsidR="00FB1114">
        <w:rPr>
          <w:rFonts w:eastAsia="Calibri"/>
          <w:noProof/>
          <w:lang w:val="fr-FR"/>
        </w:rPr>
        <w:t>’</w:t>
      </w:r>
      <w:r w:rsidRPr="00597369">
        <w:rPr>
          <w:rFonts w:eastAsia="Calibri"/>
          <w:noProof/>
          <w:lang w:val="fr-FR"/>
        </w:rPr>
        <w:t xml:space="preserve">indiquer au Comité que la loi </w:t>
      </w:r>
      <w:r w:rsidR="00580114" w:rsidRPr="00580114">
        <w:rPr>
          <w:rFonts w:eastAsia="MS Mincho"/>
          <w:noProof/>
          <w:szCs w:val="22"/>
          <w:lang w:val="fr-FR"/>
        </w:rPr>
        <w:t>n</w:t>
      </w:r>
      <w:r w:rsidR="00580114" w:rsidRPr="00580114">
        <w:rPr>
          <w:rFonts w:eastAsia="MS Mincho"/>
          <w:noProof/>
          <w:szCs w:val="22"/>
          <w:vertAlign w:val="superscript"/>
          <w:lang w:val="fr-FR"/>
        </w:rPr>
        <w:t>o</w:t>
      </w:r>
      <w:r w:rsidR="00580114">
        <w:rPr>
          <w:rFonts w:eastAsia="Calibri"/>
          <w:noProof/>
          <w:lang w:val="fr-FR"/>
        </w:rPr>
        <w:t> </w:t>
      </w:r>
      <w:r w:rsidRPr="00597369">
        <w:rPr>
          <w:rFonts w:eastAsia="Calibri"/>
          <w:noProof/>
          <w:lang w:val="fr-FR"/>
        </w:rPr>
        <w:t xml:space="preserve">2026 du 27 octobre 1999 </w:t>
      </w:r>
      <w:r w:rsidRPr="00597369">
        <w:rPr>
          <w:noProof/>
          <w:lang w:val="fr-FR"/>
        </w:rPr>
        <w:t>portant Code des enfants et des adolescents</w:t>
      </w:r>
      <w:r w:rsidRPr="00597369">
        <w:rPr>
          <w:rFonts w:eastAsia="Calibri"/>
          <w:noProof/>
          <w:lang w:val="fr-FR"/>
        </w:rPr>
        <w:t xml:space="preserve"> (abrogé par la loi </w:t>
      </w:r>
      <w:r w:rsidR="00580114" w:rsidRPr="00857F6E">
        <w:rPr>
          <w:rFonts w:eastAsia="MS Mincho"/>
          <w:noProof/>
          <w:szCs w:val="22"/>
          <w:lang w:val="fr-FR"/>
        </w:rPr>
        <w:t>n</w:t>
      </w:r>
      <w:r w:rsidR="00580114" w:rsidRPr="00857F6E">
        <w:rPr>
          <w:rFonts w:eastAsia="MS Mincho"/>
          <w:noProof/>
          <w:szCs w:val="22"/>
          <w:vertAlign w:val="superscript"/>
          <w:lang w:val="fr-FR"/>
        </w:rPr>
        <w:t>o</w:t>
      </w:r>
      <w:r w:rsidR="00580114">
        <w:rPr>
          <w:noProof/>
          <w:lang w:val="fr-FR"/>
        </w:rPr>
        <w:t> </w:t>
      </w:r>
      <w:r w:rsidRPr="00597369">
        <w:rPr>
          <w:rFonts w:eastAsia="Calibri"/>
          <w:noProof/>
          <w:lang w:val="fr-FR"/>
        </w:rPr>
        <w:t xml:space="preserve">548) définissait la responsabilité pénale des adolescents âgés de </w:t>
      </w:r>
      <w:r w:rsidR="00606A3E">
        <w:rPr>
          <w:rFonts w:eastAsia="Calibri"/>
          <w:noProof/>
          <w:lang w:val="fr-FR"/>
        </w:rPr>
        <w:t>12</w:t>
      </w:r>
      <w:r w:rsidRPr="00597369">
        <w:rPr>
          <w:rFonts w:eastAsia="Calibri"/>
          <w:noProof/>
          <w:lang w:val="fr-FR"/>
        </w:rPr>
        <w:t xml:space="preserve"> à </w:t>
      </w:r>
      <w:r w:rsidR="00606A3E">
        <w:rPr>
          <w:rFonts w:eastAsia="Calibri"/>
          <w:noProof/>
          <w:lang w:val="fr-FR"/>
        </w:rPr>
        <w:t>16 </w:t>
      </w:r>
      <w:r w:rsidRPr="00597369">
        <w:rPr>
          <w:rFonts w:eastAsia="Calibri"/>
          <w:noProof/>
          <w:lang w:val="fr-FR"/>
        </w:rPr>
        <w:t>ans (en cas d</w:t>
      </w:r>
      <w:r w:rsidR="00FB1114">
        <w:rPr>
          <w:rFonts w:eastAsia="Calibri"/>
          <w:noProof/>
          <w:lang w:val="fr-FR"/>
        </w:rPr>
        <w:t>’</w:t>
      </w:r>
      <w:r w:rsidRPr="00597369">
        <w:rPr>
          <w:rFonts w:eastAsia="Calibri"/>
          <w:noProof/>
          <w:lang w:val="fr-FR"/>
        </w:rPr>
        <w:t>atteinte grave aux droits, les adolescents qui avaient plus de 16</w:t>
      </w:r>
      <w:r w:rsidR="00580114">
        <w:rPr>
          <w:rFonts w:eastAsia="Calibri"/>
          <w:noProof/>
          <w:lang w:val="fr-FR"/>
        </w:rPr>
        <w:t> </w:t>
      </w:r>
      <w:r w:rsidRPr="00597369">
        <w:rPr>
          <w:rFonts w:eastAsia="Calibri"/>
          <w:noProof/>
          <w:lang w:val="fr-FR"/>
        </w:rPr>
        <w:t xml:space="preserve">ans étaient donc jugés comme des adultes). La loi </w:t>
      </w:r>
      <w:r w:rsidR="00580114" w:rsidRPr="00857F6E">
        <w:rPr>
          <w:rFonts w:eastAsia="MS Mincho"/>
          <w:noProof/>
          <w:szCs w:val="22"/>
          <w:lang w:val="fr-FR"/>
        </w:rPr>
        <w:t>n</w:t>
      </w:r>
      <w:r w:rsidR="00580114" w:rsidRPr="00857F6E">
        <w:rPr>
          <w:rFonts w:eastAsia="MS Mincho"/>
          <w:noProof/>
          <w:szCs w:val="22"/>
          <w:vertAlign w:val="superscript"/>
          <w:lang w:val="fr-FR"/>
        </w:rPr>
        <w:t>o</w:t>
      </w:r>
      <w:r w:rsidR="00580114">
        <w:rPr>
          <w:noProof/>
          <w:lang w:val="fr-FR"/>
        </w:rPr>
        <w:t> </w:t>
      </w:r>
      <w:r w:rsidRPr="00597369">
        <w:rPr>
          <w:rFonts w:eastAsia="Calibri"/>
          <w:noProof/>
          <w:lang w:val="fr-FR"/>
        </w:rPr>
        <w:t>548 prévoit que les adolescents âgés de 14 à 18</w:t>
      </w:r>
      <w:r w:rsidR="00580114">
        <w:rPr>
          <w:rFonts w:eastAsia="Calibri"/>
          <w:noProof/>
          <w:lang w:val="fr-FR"/>
        </w:rPr>
        <w:t> </w:t>
      </w:r>
      <w:r w:rsidRPr="00597369">
        <w:rPr>
          <w:rFonts w:eastAsia="Calibri"/>
          <w:noProof/>
          <w:lang w:val="fr-FR"/>
        </w:rPr>
        <w:t>ans sont pénalement responsables d</w:t>
      </w:r>
      <w:r w:rsidR="00FB1114">
        <w:rPr>
          <w:rFonts w:eastAsia="Calibri"/>
          <w:noProof/>
          <w:lang w:val="fr-FR"/>
        </w:rPr>
        <w:t>’</w:t>
      </w:r>
      <w:r w:rsidRPr="00597369">
        <w:rPr>
          <w:rFonts w:eastAsia="Calibri"/>
          <w:noProof/>
          <w:lang w:val="fr-FR"/>
        </w:rPr>
        <w:t>atteintes aux droits, conformément aux normes internationales.</w:t>
      </w:r>
    </w:p>
    <w:p w:rsidR="00614A7E" w:rsidRPr="00DF456A" w:rsidRDefault="007C0300" w:rsidP="007C0300">
      <w:pPr>
        <w:pStyle w:val="H1G"/>
        <w:spacing w:before="320" w:after="200"/>
        <w:rPr>
          <w:noProof/>
          <w:lang w:val="fr-FR"/>
        </w:rPr>
      </w:pPr>
      <w:r>
        <w:rPr>
          <w:noProof/>
          <w:lang w:val="fr-FR"/>
        </w:rPr>
        <w:tab/>
      </w:r>
      <w:r>
        <w:rPr>
          <w:noProof/>
          <w:lang w:val="fr-FR"/>
        </w:rPr>
        <w:tab/>
      </w:r>
      <w:r w:rsidR="00614A7E" w:rsidRPr="00DF456A">
        <w:rPr>
          <w:noProof/>
          <w:lang w:val="fr-FR"/>
        </w:rPr>
        <w:t>Art</w:t>
      </w:r>
      <w:r w:rsidR="00614A7E">
        <w:rPr>
          <w:noProof/>
          <w:lang w:val="fr-FR"/>
        </w:rPr>
        <w:t xml:space="preserve">icle </w:t>
      </w:r>
      <w:r w:rsidR="00614A7E" w:rsidRPr="00DF456A">
        <w:rPr>
          <w:noProof/>
          <w:lang w:val="fr-FR"/>
        </w:rPr>
        <w:t>6</w:t>
      </w:r>
      <w:r w:rsidR="00614A7E" w:rsidRPr="00DF456A">
        <w:rPr>
          <w:noProof/>
          <w:lang w:val="fr-FR"/>
        </w:rPr>
        <w:br/>
      </w:r>
      <w:r w:rsidR="00614A7E" w:rsidRPr="0074610E">
        <w:rPr>
          <w:noProof/>
          <w:lang w:val="fr-FR"/>
        </w:rPr>
        <w:t xml:space="preserve">Règles relatives à la détention des personnes soupçonnées </w:t>
      </w:r>
      <w:r w:rsidR="001B2E3D">
        <w:rPr>
          <w:noProof/>
          <w:lang w:val="fr-FR"/>
        </w:rPr>
        <w:br/>
      </w:r>
      <w:r w:rsidR="00614A7E" w:rsidRPr="0074610E">
        <w:rPr>
          <w:noProof/>
          <w:lang w:val="fr-FR"/>
        </w:rPr>
        <w:t>d</w:t>
      </w:r>
      <w:r w:rsidR="00FB1114">
        <w:rPr>
          <w:noProof/>
          <w:lang w:val="fr-FR"/>
        </w:rPr>
        <w:t>’</w:t>
      </w:r>
      <w:r w:rsidR="00614A7E" w:rsidRPr="0074610E">
        <w:rPr>
          <w:noProof/>
          <w:lang w:val="fr-FR"/>
        </w:rPr>
        <w:t>avoir commis une infraction de torture</w:t>
      </w:r>
    </w:p>
    <w:p w:rsidR="00614A7E" w:rsidRPr="007D226A" w:rsidRDefault="00614A7E" w:rsidP="00614A7E">
      <w:pPr>
        <w:pStyle w:val="SingleTxtG"/>
        <w:rPr>
          <w:noProof/>
          <w:lang w:val="fr-FR" w:eastAsia="es-BO"/>
        </w:rPr>
      </w:pPr>
      <w:r w:rsidRPr="007D226A">
        <w:rPr>
          <w:noProof/>
          <w:lang w:val="fr-FR" w:eastAsia="es-BO"/>
        </w:rPr>
        <w:t>39.</w:t>
      </w:r>
      <w:r w:rsidRPr="007D226A">
        <w:rPr>
          <w:noProof/>
          <w:lang w:val="fr-FR" w:eastAsia="es-BO"/>
        </w:rPr>
        <w:tab/>
        <w:t>Comme indiqué aux paragraphes 10 à 12 du présent rapport et aux paragraphes</w:t>
      </w:r>
      <w:r w:rsidR="001B2E3D" w:rsidRPr="007D226A">
        <w:rPr>
          <w:noProof/>
          <w:lang w:val="fr-FR" w:eastAsia="es-BO"/>
        </w:rPr>
        <w:t> </w:t>
      </w:r>
      <w:r w:rsidRPr="007D226A">
        <w:rPr>
          <w:noProof/>
          <w:lang w:val="fr-FR" w:eastAsia="es-BO"/>
        </w:rPr>
        <w:t>89 à 94 du deuxième rapport périodique soumis au Comité, l</w:t>
      </w:r>
      <w:r w:rsidR="00FB1114">
        <w:rPr>
          <w:noProof/>
          <w:lang w:val="fr-FR" w:eastAsia="es-BO"/>
        </w:rPr>
        <w:t>’</w:t>
      </w:r>
      <w:r w:rsidRPr="007D226A">
        <w:rPr>
          <w:noProof/>
          <w:lang w:val="fr-FR" w:eastAsia="es-BO"/>
        </w:rPr>
        <w:t>État bolivien offre aux personnes soupçonnées d</w:t>
      </w:r>
      <w:r w:rsidR="00FB1114">
        <w:rPr>
          <w:noProof/>
          <w:lang w:val="fr-FR" w:eastAsia="es-BO"/>
        </w:rPr>
        <w:t>’</w:t>
      </w:r>
      <w:r w:rsidRPr="007D226A">
        <w:rPr>
          <w:noProof/>
          <w:lang w:val="fr-FR" w:eastAsia="es-BO"/>
        </w:rPr>
        <w:t>avoir commis des infractions toutes les garanties constitutionnelles pendant leur arrestation et leur mise en détention.</w:t>
      </w:r>
    </w:p>
    <w:p w:rsidR="00614A7E" w:rsidRPr="007D226A" w:rsidRDefault="00614A7E" w:rsidP="00614A7E">
      <w:pPr>
        <w:pStyle w:val="SingleTxtG"/>
        <w:rPr>
          <w:noProof/>
          <w:lang w:val="fr-FR" w:eastAsia="es-BO"/>
        </w:rPr>
      </w:pPr>
      <w:r w:rsidRPr="007D226A">
        <w:rPr>
          <w:noProof/>
          <w:lang w:val="fr-FR" w:eastAsia="es-BO"/>
        </w:rPr>
        <w:t>40.</w:t>
      </w:r>
      <w:r w:rsidRPr="007D226A">
        <w:rPr>
          <w:noProof/>
          <w:lang w:val="fr-FR" w:eastAsia="es-BO"/>
        </w:rPr>
        <w:tab/>
        <w:t xml:space="preserve">Selon la loi </w:t>
      </w:r>
      <w:r w:rsidR="001B2E3D" w:rsidRPr="007D226A">
        <w:rPr>
          <w:rFonts w:eastAsia="MS Mincho"/>
          <w:noProof/>
          <w:lang w:val="fr-FR"/>
        </w:rPr>
        <w:t>n</w:t>
      </w:r>
      <w:r w:rsidR="001B2E3D" w:rsidRPr="007D226A">
        <w:rPr>
          <w:rFonts w:eastAsia="MS Mincho"/>
          <w:noProof/>
          <w:vertAlign w:val="superscript"/>
          <w:lang w:val="fr-FR"/>
        </w:rPr>
        <w:t>o</w:t>
      </w:r>
      <w:r w:rsidR="001B2E3D" w:rsidRPr="007D226A">
        <w:rPr>
          <w:noProof/>
          <w:lang w:val="fr-FR"/>
        </w:rPr>
        <w:t> </w:t>
      </w:r>
      <w:r w:rsidRPr="007D226A">
        <w:rPr>
          <w:noProof/>
          <w:lang w:val="fr-FR" w:eastAsia="es-BO"/>
        </w:rPr>
        <w:t>370, l</w:t>
      </w:r>
      <w:r w:rsidRPr="007D226A">
        <w:rPr>
          <w:lang w:val="fr-FR"/>
        </w:rPr>
        <w:t xml:space="preserve">e </w:t>
      </w:r>
      <w:r w:rsidRPr="007D226A">
        <w:rPr>
          <w:noProof/>
          <w:lang w:val="fr-FR"/>
        </w:rPr>
        <w:t>migrant qui entre sur le territoire bolivien ou y séjourne à titre provisoire ou permanent jouit des garanties prévues par la Constitution et le système juridique</w:t>
      </w:r>
      <w:r w:rsidRPr="007D226A">
        <w:rPr>
          <w:noProof/>
          <w:vertAlign w:val="superscript"/>
          <w:lang w:val="fr-FR" w:eastAsia="es-BO"/>
        </w:rPr>
        <w:footnoteReference w:id="28"/>
      </w:r>
      <w:r w:rsidR="001B2E3D" w:rsidRPr="007D226A">
        <w:rPr>
          <w:noProof/>
          <w:lang w:val="fr-FR"/>
        </w:rPr>
        <w:t> </w:t>
      </w:r>
      <w:r w:rsidRPr="007D226A">
        <w:rPr>
          <w:noProof/>
          <w:lang w:val="fr-FR" w:eastAsia="es-BO"/>
        </w:rPr>
        <w:t>; le droit de notifier son arrestation ou sa mise en détention aux autorités consulaires ou diplomatiques de son pays d</w:t>
      </w:r>
      <w:r w:rsidR="00FB1114">
        <w:rPr>
          <w:noProof/>
          <w:lang w:val="fr-FR" w:eastAsia="es-BO"/>
        </w:rPr>
        <w:t>’</w:t>
      </w:r>
      <w:r w:rsidRPr="007D226A">
        <w:rPr>
          <w:noProof/>
          <w:lang w:val="fr-FR" w:eastAsia="es-BO"/>
        </w:rPr>
        <w:t>origine lui est garanti</w:t>
      </w:r>
      <w:r w:rsidRPr="007D226A">
        <w:rPr>
          <w:noProof/>
          <w:vertAlign w:val="superscript"/>
          <w:lang w:val="fr-FR" w:eastAsia="es-BO"/>
        </w:rPr>
        <w:footnoteReference w:id="29"/>
      </w:r>
      <w:r w:rsidRPr="007D226A">
        <w:rPr>
          <w:noProof/>
          <w:lang w:val="fr-FR" w:eastAsia="es-BO"/>
        </w:rPr>
        <w:t>.</w:t>
      </w:r>
    </w:p>
    <w:p w:rsidR="00614A7E" w:rsidRPr="00DF456A" w:rsidRDefault="00614A7E" w:rsidP="007C0300">
      <w:pPr>
        <w:pStyle w:val="H1G"/>
        <w:spacing w:before="320" w:after="200"/>
        <w:rPr>
          <w:noProof/>
          <w:lang w:val="fr-FR"/>
        </w:rPr>
      </w:pPr>
      <w:r>
        <w:rPr>
          <w:noProof/>
          <w:lang w:val="fr-FR"/>
        </w:rPr>
        <w:tab/>
      </w:r>
      <w:r>
        <w:rPr>
          <w:noProof/>
          <w:lang w:val="fr-FR"/>
        </w:rPr>
        <w:tab/>
        <w:t>Article</w:t>
      </w:r>
      <w:r w:rsidRPr="00DF456A">
        <w:rPr>
          <w:noProof/>
          <w:lang w:val="fr-FR"/>
        </w:rPr>
        <w:t xml:space="preserve"> 7</w:t>
      </w:r>
      <w:r w:rsidRPr="00DF456A">
        <w:rPr>
          <w:noProof/>
          <w:lang w:val="fr-FR"/>
        </w:rPr>
        <w:br/>
      </w:r>
      <w:r w:rsidRPr="001B2E3D">
        <w:t>Poursuites</w:t>
      </w:r>
      <w:r w:rsidRPr="009602E7">
        <w:rPr>
          <w:noProof/>
          <w:lang w:val="fr-FR"/>
        </w:rPr>
        <w:t xml:space="preserve"> dans l</w:t>
      </w:r>
      <w:r w:rsidR="00FB1114">
        <w:rPr>
          <w:noProof/>
          <w:lang w:val="fr-FR"/>
        </w:rPr>
        <w:t>’</w:t>
      </w:r>
      <w:r w:rsidRPr="009602E7">
        <w:rPr>
          <w:noProof/>
          <w:lang w:val="fr-FR"/>
        </w:rPr>
        <w:t>État du coupable présumé d</w:t>
      </w:r>
      <w:r w:rsidR="00FB1114">
        <w:rPr>
          <w:noProof/>
          <w:lang w:val="fr-FR"/>
        </w:rPr>
        <w:t>’</w:t>
      </w:r>
      <w:r w:rsidRPr="009602E7">
        <w:rPr>
          <w:noProof/>
          <w:lang w:val="fr-FR"/>
        </w:rPr>
        <w:t>infraction de torture, lorsque l</w:t>
      </w:r>
      <w:r w:rsidR="00FB1114">
        <w:rPr>
          <w:noProof/>
          <w:lang w:val="fr-FR"/>
        </w:rPr>
        <w:t>’</w:t>
      </w:r>
      <w:r w:rsidRPr="009602E7">
        <w:rPr>
          <w:noProof/>
          <w:lang w:val="fr-FR"/>
        </w:rPr>
        <w:t>extradition ne s</w:t>
      </w:r>
      <w:r w:rsidR="00FB1114">
        <w:rPr>
          <w:noProof/>
          <w:lang w:val="fr-FR"/>
        </w:rPr>
        <w:t>’</w:t>
      </w:r>
      <w:r w:rsidRPr="009602E7">
        <w:rPr>
          <w:noProof/>
          <w:lang w:val="fr-FR"/>
        </w:rPr>
        <w:t>applique pas</w:t>
      </w:r>
    </w:p>
    <w:p w:rsidR="00614A7E" w:rsidRPr="007D226A" w:rsidRDefault="00614A7E" w:rsidP="00614A7E">
      <w:pPr>
        <w:pStyle w:val="SingleTxtG"/>
        <w:rPr>
          <w:noProof/>
          <w:lang w:val="fr-FR" w:eastAsia="es-BO"/>
        </w:rPr>
      </w:pPr>
      <w:r w:rsidRPr="00DF456A">
        <w:rPr>
          <w:noProof/>
          <w:lang w:val="fr-FR" w:eastAsia="es-BO"/>
        </w:rPr>
        <w:t>41.</w:t>
      </w:r>
      <w:r w:rsidRPr="00DF456A">
        <w:rPr>
          <w:noProof/>
          <w:lang w:val="fr-FR" w:eastAsia="es-BO"/>
        </w:rPr>
        <w:tab/>
      </w:r>
      <w:r>
        <w:rPr>
          <w:noProof/>
          <w:lang w:val="fr-FR" w:eastAsia="es-BO"/>
        </w:rPr>
        <w:t>L</w:t>
      </w:r>
      <w:r w:rsidR="00FB1114">
        <w:rPr>
          <w:noProof/>
          <w:lang w:val="fr-FR" w:eastAsia="es-BO"/>
        </w:rPr>
        <w:t>’</w:t>
      </w:r>
      <w:r>
        <w:rPr>
          <w:noProof/>
          <w:lang w:val="fr-FR" w:eastAsia="es-BO"/>
        </w:rPr>
        <w:t>État a fourni des renseignements sur l</w:t>
      </w:r>
      <w:r w:rsidR="00FB1114">
        <w:rPr>
          <w:noProof/>
          <w:lang w:val="fr-FR" w:eastAsia="es-BO"/>
        </w:rPr>
        <w:t>’</w:t>
      </w:r>
      <w:r>
        <w:rPr>
          <w:noProof/>
          <w:lang w:val="fr-FR" w:eastAsia="es-BO"/>
        </w:rPr>
        <w:t>application de l</w:t>
      </w:r>
      <w:r w:rsidR="00FB1114">
        <w:rPr>
          <w:noProof/>
          <w:lang w:val="fr-FR" w:eastAsia="es-BO"/>
        </w:rPr>
        <w:t>’</w:t>
      </w:r>
      <w:r>
        <w:rPr>
          <w:noProof/>
          <w:lang w:val="fr-FR" w:eastAsia="es-BO"/>
        </w:rPr>
        <w:t>article</w:t>
      </w:r>
      <w:r w:rsidR="005673A3">
        <w:rPr>
          <w:noProof/>
          <w:lang w:val="fr-FR" w:eastAsia="es-BO"/>
        </w:rPr>
        <w:t> </w:t>
      </w:r>
      <w:r>
        <w:rPr>
          <w:noProof/>
          <w:lang w:val="fr-FR" w:eastAsia="es-BO"/>
        </w:rPr>
        <w:t xml:space="preserve">7 de la Convention dans le deuxième rapport périodique </w:t>
      </w:r>
      <w:r w:rsidRPr="00DF456A">
        <w:rPr>
          <w:noProof/>
          <w:lang w:val="fr-FR" w:eastAsia="es-BO"/>
        </w:rPr>
        <w:t>(p</w:t>
      </w:r>
      <w:r>
        <w:rPr>
          <w:noProof/>
          <w:lang w:val="fr-FR" w:eastAsia="es-BO"/>
        </w:rPr>
        <w:t>ar</w:t>
      </w:r>
      <w:r w:rsidRPr="00DF456A">
        <w:rPr>
          <w:noProof/>
          <w:lang w:val="fr-FR" w:eastAsia="es-BO"/>
        </w:rPr>
        <w:t>.</w:t>
      </w:r>
      <w:r w:rsidR="005673A3">
        <w:rPr>
          <w:noProof/>
          <w:lang w:val="fr-FR" w:eastAsia="es-BO"/>
        </w:rPr>
        <w:t> </w:t>
      </w:r>
      <w:r>
        <w:rPr>
          <w:noProof/>
          <w:lang w:val="fr-FR" w:eastAsia="es-BO"/>
        </w:rPr>
        <w:t>10</w:t>
      </w:r>
      <w:r w:rsidRPr="00DF456A">
        <w:rPr>
          <w:noProof/>
          <w:lang w:val="fr-FR" w:eastAsia="es-BO"/>
        </w:rPr>
        <w:t>4</w:t>
      </w:r>
      <w:r>
        <w:rPr>
          <w:noProof/>
          <w:lang w:val="fr-FR" w:eastAsia="es-BO"/>
        </w:rPr>
        <w:t xml:space="preserve"> à 111</w:t>
      </w:r>
      <w:r w:rsidRPr="00DF456A">
        <w:rPr>
          <w:noProof/>
          <w:lang w:val="fr-FR" w:eastAsia="es-BO"/>
        </w:rPr>
        <w:t xml:space="preserve">) </w:t>
      </w:r>
      <w:r>
        <w:rPr>
          <w:noProof/>
          <w:lang w:val="fr-FR" w:eastAsia="es-BO"/>
        </w:rPr>
        <w:t>soumis au Comité</w:t>
      </w:r>
      <w:r w:rsidRPr="00DF456A">
        <w:rPr>
          <w:noProof/>
          <w:lang w:val="fr-FR" w:eastAsia="es-BO"/>
        </w:rPr>
        <w:t>.</w:t>
      </w:r>
    </w:p>
    <w:p w:rsidR="00614A7E" w:rsidRPr="00DF456A" w:rsidRDefault="00614A7E" w:rsidP="007C0300">
      <w:pPr>
        <w:pStyle w:val="H1G"/>
        <w:spacing w:before="320" w:after="200"/>
        <w:rPr>
          <w:noProof/>
          <w:lang w:val="fr-FR"/>
        </w:rPr>
      </w:pPr>
      <w:r w:rsidRPr="00DF456A">
        <w:rPr>
          <w:noProof/>
          <w:lang w:val="fr-FR"/>
        </w:rPr>
        <w:tab/>
      </w:r>
      <w:r w:rsidRPr="00DF456A">
        <w:rPr>
          <w:noProof/>
          <w:lang w:val="fr-FR"/>
        </w:rPr>
        <w:tab/>
        <w:t>Art</w:t>
      </w:r>
      <w:r>
        <w:rPr>
          <w:noProof/>
          <w:lang w:val="fr-FR"/>
        </w:rPr>
        <w:t>icle</w:t>
      </w:r>
      <w:r w:rsidRPr="00DF456A">
        <w:rPr>
          <w:noProof/>
          <w:lang w:val="fr-FR"/>
        </w:rPr>
        <w:t xml:space="preserve"> 8</w:t>
      </w:r>
      <w:r w:rsidRPr="00DF456A">
        <w:rPr>
          <w:noProof/>
          <w:lang w:val="fr-FR"/>
        </w:rPr>
        <w:br/>
        <w:t>Extradi</w:t>
      </w:r>
      <w:r>
        <w:rPr>
          <w:noProof/>
          <w:lang w:val="fr-FR"/>
        </w:rPr>
        <w:t>tion</w:t>
      </w:r>
    </w:p>
    <w:p w:rsidR="00614A7E" w:rsidRPr="004B4981" w:rsidRDefault="00614A7E" w:rsidP="00614A7E">
      <w:pPr>
        <w:pStyle w:val="SingleTxtG"/>
        <w:rPr>
          <w:noProof/>
          <w:spacing w:val="-2"/>
          <w:lang w:val="fr-FR" w:eastAsia="es-BO"/>
        </w:rPr>
      </w:pPr>
      <w:r w:rsidRPr="004B4981">
        <w:rPr>
          <w:noProof/>
          <w:spacing w:val="-2"/>
          <w:lang w:val="fr-FR" w:eastAsia="es-BO"/>
        </w:rPr>
        <w:t>42.</w:t>
      </w:r>
      <w:r w:rsidRPr="004B4981">
        <w:rPr>
          <w:noProof/>
          <w:spacing w:val="-2"/>
          <w:lang w:val="fr-FR" w:eastAsia="es-BO"/>
        </w:rPr>
        <w:tab/>
      </w:r>
      <w:r w:rsidRPr="004B4981">
        <w:rPr>
          <w:noProof/>
          <w:spacing w:val="-2"/>
          <w:lang w:val="fr-FR"/>
        </w:rPr>
        <w:t>Conformément à la réglementation nationale en vigueur, le Tribunal suprême de justic</w:t>
      </w:r>
      <w:r w:rsidRPr="004B4981">
        <w:rPr>
          <w:noProof/>
          <w:spacing w:val="-2"/>
          <w:lang w:val="fr-FR" w:eastAsia="es-BO"/>
        </w:rPr>
        <w:t>e</w:t>
      </w:r>
      <w:r w:rsidRPr="004B4981">
        <w:rPr>
          <w:noProof/>
          <w:spacing w:val="-2"/>
          <w:sz w:val="18"/>
          <w:szCs w:val="18"/>
          <w:vertAlign w:val="superscript"/>
          <w:lang w:val="fr-FR" w:eastAsia="es-BO"/>
        </w:rPr>
        <w:footnoteReference w:id="30"/>
      </w:r>
      <w:r w:rsidRPr="004B4981">
        <w:rPr>
          <w:noProof/>
          <w:spacing w:val="-2"/>
          <w:lang w:val="fr-FR" w:eastAsia="es-BO"/>
        </w:rPr>
        <w:t xml:space="preserve"> </w:t>
      </w:r>
      <w:r w:rsidRPr="004B4981">
        <w:rPr>
          <w:noProof/>
          <w:spacing w:val="-2"/>
          <w:lang w:val="fr-FR"/>
        </w:rPr>
        <w:t>est seul à pouvoir se prononcer sur la recevabilité ou l</w:t>
      </w:r>
      <w:r w:rsidR="00FB1114">
        <w:rPr>
          <w:noProof/>
          <w:spacing w:val="-2"/>
          <w:lang w:val="fr-FR"/>
        </w:rPr>
        <w:t>’</w:t>
      </w:r>
      <w:r w:rsidRPr="004B4981">
        <w:rPr>
          <w:noProof/>
          <w:spacing w:val="-2"/>
          <w:lang w:val="fr-FR"/>
        </w:rPr>
        <w:t>irrecevabilité d</w:t>
      </w:r>
      <w:r w:rsidR="00FB1114">
        <w:rPr>
          <w:noProof/>
          <w:spacing w:val="-2"/>
          <w:lang w:val="fr-FR"/>
        </w:rPr>
        <w:t>’</w:t>
      </w:r>
      <w:r w:rsidRPr="004B4981">
        <w:rPr>
          <w:noProof/>
          <w:spacing w:val="-2"/>
          <w:lang w:val="fr-FR"/>
        </w:rPr>
        <w:t xml:space="preserve">une demande </w:t>
      </w:r>
      <w:r w:rsidRPr="004B4981">
        <w:rPr>
          <w:noProof/>
          <w:spacing w:val="-2"/>
          <w:lang w:val="fr-FR"/>
        </w:rPr>
        <w:lastRenderedPageBreak/>
        <w:t>d</w:t>
      </w:r>
      <w:r w:rsidR="00FB1114">
        <w:rPr>
          <w:noProof/>
          <w:spacing w:val="-2"/>
          <w:lang w:val="fr-FR"/>
        </w:rPr>
        <w:t>’</w:t>
      </w:r>
      <w:r w:rsidRPr="004B4981">
        <w:rPr>
          <w:noProof/>
          <w:spacing w:val="-2"/>
          <w:lang w:val="fr-FR"/>
        </w:rPr>
        <w:t>extradition passive</w:t>
      </w:r>
      <w:r w:rsidR="003557EC">
        <w:rPr>
          <w:noProof/>
          <w:spacing w:val="-2"/>
          <w:lang w:val="fr-FR"/>
        </w:rPr>
        <w:t> </w:t>
      </w:r>
      <w:r w:rsidRPr="004B4981">
        <w:rPr>
          <w:noProof/>
          <w:spacing w:val="-2"/>
          <w:lang w:val="fr-FR"/>
        </w:rPr>
        <w:t>; il se fonde à cet effet sur des critères répondant aux exigences énoncées dans le traité invoqué par l</w:t>
      </w:r>
      <w:r w:rsidR="00FB1114">
        <w:rPr>
          <w:noProof/>
          <w:spacing w:val="-2"/>
          <w:lang w:val="fr-FR"/>
        </w:rPr>
        <w:t>’</w:t>
      </w:r>
      <w:r w:rsidRPr="004B4981">
        <w:rPr>
          <w:noProof/>
          <w:spacing w:val="-2"/>
          <w:lang w:val="fr-FR"/>
        </w:rPr>
        <w:t>État requérant et dans la législation nationale</w:t>
      </w:r>
      <w:r w:rsidRPr="004B4981">
        <w:rPr>
          <w:noProof/>
          <w:spacing w:val="-2"/>
          <w:lang w:val="fr-FR" w:eastAsia="es-BO"/>
        </w:rPr>
        <w:t>.</w:t>
      </w:r>
    </w:p>
    <w:p w:rsidR="00614A7E" w:rsidRPr="007D226A" w:rsidRDefault="00614A7E" w:rsidP="00614A7E">
      <w:pPr>
        <w:pStyle w:val="SingleTxtG"/>
        <w:rPr>
          <w:noProof/>
          <w:lang w:val="fr-FR" w:eastAsia="es-BO"/>
        </w:rPr>
      </w:pPr>
      <w:r w:rsidRPr="007D226A">
        <w:rPr>
          <w:noProof/>
          <w:lang w:val="fr-FR" w:eastAsia="es-BO"/>
        </w:rPr>
        <w:t>43.</w:t>
      </w:r>
      <w:r w:rsidRPr="007D226A">
        <w:rPr>
          <w:noProof/>
          <w:lang w:val="fr-FR" w:eastAsia="es-BO"/>
        </w:rPr>
        <w:tab/>
        <w:t>Par ailleurs, compte tenu des dispositions de l</w:t>
      </w:r>
      <w:r w:rsidR="00FB1114">
        <w:rPr>
          <w:noProof/>
          <w:lang w:val="fr-FR" w:eastAsia="es-BO"/>
        </w:rPr>
        <w:t>’</w:t>
      </w:r>
      <w:r w:rsidRPr="007D226A">
        <w:rPr>
          <w:noProof/>
          <w:lang w:val="fr-FR" w:eastAsia="es-BO"/>
        </w:rPr>
        <w:t>article</w:t>
      </w:r>
      <w:r w:rsidR="007C0300">
        <w:rPr>
          <w:noProof/>
          <w:lang w:val="fr-FR" w:eastAsia="es-BO"/>
        </w:rPr>
        <w:t> </w:t>
      </w:r>
      <w:r w:rsidRPr="007D226A">
        <w:rPr>
          <w:noProof/>
          <w:lang w:val="fr-FR" w:eastAsia="es-BO"/>
        </w:rPr>
        <w:t>8 de la Convention, l</w:t>
      </w:r>
      <w:r w:rsidR="00FB1114">
        <w:rPr>
          <w:noProof/>
          <w:lang w:val="fr-FR" w:eastAsia="es-BO"/>
        </w:rPr>
        <w:t>’</w:t>
      </w:r>
      <w:r w:rsidRPr="007D226A">
        <w:rPr>
          <w:noProof/>
          <w:lang w:val="fr-FR" w:eastAsia="es-BO"/>
        </w:rPr>
        <w:t>infraction de « torture » ne figure pas parmi les motifs d</w:t>
      </w:r>
      <w:r w:rsidR="00FB1114">
        <w:rPr>
          <w:noProof/>
          <w:lang w:val="fr-FR" w:eastAsia="es-BO"/>
        </w:rPr>
        <w:t>’</w:t>
      </w:r>
      <w:r w:rsidRPr="007D226A">
        <w:rPr>
          <w:noProof/>
          <w:lang w:val="fr-FR" w:eastAsia="es-BO"/>
        </w:rPr>
        <w:t>extradition visés par les traités</w:t>
      </w:r>
      <w:r w:rsidR="00593789">
        <w:rPr>
          <w:noProof/>
          <w:lang w:val="fr-FR" w:eastAsia="es-BO"/>
        </w:rPr>
        <w:t xml:space="preserve"> </w:t>
      </w:r>
      <w:r w:rsidRPr="007D226A">
        <w:rPr>
          <w:noProof/>
          <w:lang w:val="fr-FR" w:eastAsia="es-BO"/>
        </w:rPr>
        <w:t>d</w:t>
      </w:r>
      <w:r w:rsidR="00FB1114">
        <w:rPr>
          <w:noProof/>
          <w:lang w:val="fr-FR" w:eastAsia="es-BO"/>
        </w:rPr>
        <w:t>’</w:t>
      </w:r>
      <w:r w:rsidRPr="007D226A">
        <w:rPr>
          <w:noProof/>
          <w:lang w:val="fr-FR" w:eastAsia="es-BO"/>
        </w:rPr>
        <w:t xml:space="preserve">extradition, mais la plupart de ces instruments internationaux disposent que </w:t>
      </w:r>
      <w:r w:rsidRPr="007D226A">
        <w:rPr>
          <w:lang w:val="fr-FR"/>
        </w:rPr>
        <w:t xml:space="preserve">les </w:t>
      </w:r>
      <w:r w:rsidRPr="007D226A">
        <w:rPr>
          <w:noProof/>
          <w:lang w:val="fr-FR"/>
        </w:rPr>
        <w:t>infractions correspondant à des comportements délictueux incriminés par les législations nationales des deux parties</w:t>
      </w:r>
      <w:r w:rsidRPr="007D226A">
        <w:rPr>
          <w:noProof/>
          <w:lang w:val="fr-FR" w:eastAsia="es-BO"/>
        </w:rPr>
        <w:t xml:space="preserve"> p</w:t>
      </w:r>
      <w:r w:rsidRPr="007D226A">
        <w:rPr>
          <w:noProof/>
          <w:lang w:val="fr-FR"/>
        </w:rPr>
        <w:t>euvent donner lieu à extradition</w:t>
      </w:r>
      <w:r w:rsidRPr="007D226A">
        <w:rPr>
          <w:noProof/>
          <w:lang w:val="fr-FR" w:eastAsia="es-BO"/>
        </w:rPr>
        <w:t>.</w:t>
      </w:r>
    </w:p>
    <w:p w:rsidR="00614A7E" w:rsidRPr="007D226A" w:rsidRDefault="00614A7E" w:rsidP="00614A7E">
      <w:pPr>
        <w:pStyle w:val="SingleTxtG"/>
        <w:rPr>
          <w:noProof/>
          <w:lang w:val="fr-FR" w:eastAsia="es-BO"/>
        </w:rPr>
      </w:pPr>
      <w:r w:rsidRPr="007D226A">
        <w:rPr>
          <w:noProof/>
          <w:lang w:val="fr-FR" w:eastAsia="es-BO"/>
        </w:rPr>
        <w:t>44.</w:t>
      </w:r>
      <w:r w:rsidRPr="007D226A">
        <w:rPr>
          <w:noProof/>
          <w:lang w:val="fr-FR" w:eastAsia="es-BO"/>
        </w:rPr>
        <w:tab/>
        <w:t>De même, et comme le deuxième rapport périodique (par.</w:t>
      </w:r>
      <w:r w:rsidR="007D226A" w:rsidRPr="007D226A">
        <w:rPr>
          <w:noProof/>
          <w:lang w:val="fr-FR" w:eastAsia="es-BO"/>
        </w:rPr>
        <w:t> </w:t>
      </w:r>
      <w:r w:rsidRPr="007D226A">
        <w:rPr>
          <w:noProof/>
          <w:lang w:val="fr-FR" w:eastAsia="es-BO"/>
        </w:rPr>
        <w:t>114) en a fait état, l</w:t>
      </w:r>
      <w:r w:rsidR="00FB1114">
        <w:rPr>
          <w:noProof/>
          <w:lang w:val="fr-FR" w:eastAsia="es-BO"/>
        </w:rPr>
        <w:t>’</w:t>
      </w:r>
      <w:r w:rsidRPr="007D226A">
        <w:rPr>
          <w:noProof/>
          <w:lang w:val="fr-FR" w:eastAsia="es-BO"/>
        </w:rPr>
        <w:t>article</w:t>
      </w:r>
      <w:r w:rsidR="007D226A" w:rsidRPr="007D226A">
        <w:rPr>
          <w:noProof/>
          <w:lang w:val="fr-FR" w:eastAsia="es-BO"/>
        </w:rPr>
        <w:t> </w:t>
      </w:r>
      <w:r w:rsidRPr="007D226A">
        <w:rPr>
          <w:noProof/>
          <w:lang w:val="fr-FR" w:eastAsia="es-BO"/>
        </w:rPr>
        <w:t>149</w:t>
      </w:r>
      <w:r w:rsidRPr="007D226A">
        <w:rPr>
          <w:noProof/>
          <w:vertAlign w:val="superscript"/>
          <w:lang w:val="fr-FR" w:eastAsia="es-BO"/>
        </w:rPr>
        <w:footnoteReference w:id="31"/>
      </w:r>
      <w:r w:rsidRPr="007D226A">
        <w:rPr>
          <w:noProof/>
          <w:lang w:val="fr-FR" w:eastAsia="es-BO"/>
        </w:rPr>
        <w:t xml:space="preserve"> du Code pénal reste en vigueur aux fins de l</w:t>
      </w:r>
      <w:r w:rsidR="00FB1114">
        <w:rPr>
          <w:noProof/>
          <w:lang w:val="fr-FR" w:eastAsia="es-BO"/>
        </w:rPr>
        <w:t>’</w:t>
      </w:r>
      <w:r w:rsidRPr="007D226A">
        <w:rPr>
          <w:noProof/>
          <w:lang w:val="fr-FR" w:eastAsia="es-BO"/>
        </w:rPr>
        <w:t>application de l</w:t>
      </w:r>
      <w:r w:rsidR="00FB1114">
        <w:rPr>
          <w:noProof/>
          <w:lang w:val="fr-FR" w:eastAsia="es-BO"/>
        </w:rPr>
        <w:t>’</w:t>
      </w:r>
      <w:r w:rsidRPr="007D226A">
        <w:rPr>
          <w:noProof/>
          <w:lang w:val="fr-FR" w:eastAsia="es-BO"/>
        </w:rPr>
        <w:t>article</w:t>
      </w:r>
      <w:r w:rsidR="007D226A" w:rsidRPr="007D226A">
        <w:rPr>
          <w:noProof/>
          <w:lang w:val="fr-FR" w:eastAsia="es-BO"/>
        </w:rPr>
        <w:t> </w:t>
      </w:r>
      <w:r w:rsidRPr="007D226A">
        <w:rPr>
          <w:noProof/>
          <w:lang w:val="fr-FR" w:eastAsia="es-BO"/>
        </w:rPr>
        <w:t>8 de la Convention.</w:t>
      </w:r>
    </w:p>
    <w:p w:rsidR="00614A7E" w:rsidRPr="00DF456A" w:rsidRDefault="007C0300" w:rsidP="007C0300">
      <w:pPr>
        <w:pStyle w:val="H1G"/>
        <w:spacing w:before="320" w:after="200"/>
        <w:rPr>
          <w:noProof/>
          <w:lang w:val="fr-FR"/>
        </w:rPr>
      </w:pPr>
      <w:r>
        <w:rPr>
          <w:noProof/>
          <w:lang w:val="fr-FR"/>
        </w:rPr>
        <w:tab/>
      </w:r>
      <w:r>
        <w:rPr>
          <w:noProof/>
          <w:lang w:val="fr-FR"/>
        </w:rPr>
        <w:tab/>
      </w:r>
      <w:r w:rsidR="00614A7E">
        <w:rPr>
          <w:noProof/>
          <w:lang w:val="fr-FR"/>
        </w:rPr>
        <w:t xml:space="preserve">Article </w:t>
      </w:r>
      <w:r w:rsidR="00614A7E" w:rsidRPr="00DF456A">
        <w:rPr>
          <w:noProof/>
          <w:lang w:val="fr-FR"/>
        </w:rPr>
        <w:t>9</w:t>
      </w:r>
      <w:r w:rsidR="00614A7E" w:rsidRPr="00DF456A">
        <w:rPr>
          <w:noProof/>
          <w:lang w:val="fr-FR"/>
        </w:rPr>
        <w:br/>
      </w:r>
      <w:r w:rsidR="00614A7E" w:rsidRPr="00386E50">
        <w:rPr>
          <w:noProof/>
          <w:lang w:val="fr-FR"/>
        </w:rPr>
        <w:t>Règles relatives à l</w:t>
      </w:r>
      <w:r w:rsidR="00FB1114">
        <w:rPr>
          <w:noProof/>
          <w:lang w:val="fr-FR"/>
        </w:rPr>
        <w:t>’</w:t>
      </w:r>
      <w:r w:rsidR="00614A7E" w:rsidRPr="00386E50">
        <w:rPr>
          <w:noProof/>
          <w:lang w:val="fr-FR"/>
        </w:rPr>
        <w:t>entraide judiciaire</w:t>
      </w:r>
    </w:p>
    <w:p w:rsidR="00614A7E" w:rsidRPr="00DF456A" w:rsidRDefault="00614A7E" w:rsidP="00614A7E">
      <w:pPr>
        <w:pStyle w:val="SingleTxtG"/>
        <w:rPr>
          <w:noProof/>
          <w:sz w:val="24"/>
          <w:szCs w:val="24"/>
          <w:lang w:val="fr-FR" w:eastAsia="es-BO"/>
        </w:rPr>
      </w:pPr>
      <w:r w:rsidRPr="00DF456A">
        <w:rPr>
          <w:noProof/>
          <w:lang w:val="fr-FR" w:eastAsia="es-BO"/>
        </w:rPr>
        <w:t>45.</w:t>
      </w:r>
      <w:r w:rsidRPr="00DF456A">
        <w:rPr>
          <w:noProof/>
          <w:lang w:val="fr-FR" w:eastAsia="es-BO"/>
        </w:rPr>
        <w:tab/>
      </w:r>
      <w:r>
        <w:rPr>
          <w:noProof/>
          <w:lang w:val="fr-FR" w:eastAsia="es-BO"/>
        </w:rPr>
        <w:t>L</w:t>
      </w:r>
      <w:r w:rsidR="00FB1114">
        <w:rPr>
          <w:noProof/>
          <w:lang w:val="fr-FR" w:eastAsia="es-BO"/>
        </w:rPr>
        <w:t>’</w:t>
      </w:r>
      <w:r>
        <w:rPr>
          <w:noProof/>
          <w:lang w:val="fr-FR" w:eastAsia="es-BO"/>
        </w:rPr>
        <w:t>État a fourni des renseignements sur l</w:t>
      </w:r>
      <w:r w:rsidR="00FB1114">
        <w:rPr>
          <w:noProof/>
          <w:lang w:val="fr-FR" w:eastAsia="es-BO"/>
        </w:rPr>
        <w:t>’</w:t>
      </w:r>
      <w:r>
        <w:rPr>
          <w:noProof/>
          <w:lang w:val="fr-FR" w:eastAsia="es-BO"/>
        </w:rPr>
        <w:t>application de l</w:t>
      </w:r>
      <w:r w:rsidR="00FB1114">
        <w:rPr>
          <w:noProof/>
          <w:lang w:val="fr-FR" w:eastAsia="es-BO"/>
        </w:rPr>
        <w:t>’</w:t>
      </w:r>
      <w:r>
        <w:rPr>
          <w:noProof/>
          <w:lang w:val="fr-FR" w:eastAsia="es-BO"/>
        </w:rPr>
        <w:t>article</w:t>
      </w:r>
      <w:r w:rsidR="007D226A">
        <w:rPr>
          <w:noProof/>
          <w:lang w:val="fr-FR" w:eastAsia="es-BO"/>
        </w:rPr>
        <w:t> </w:t>
      </w:r>
      <w:r>
        <w:rPr>
          <w:noProof/>
          <w:lang w:val="fr-FR" w:eastAsia="es-BO"/>
        </w:rPr>
        <w:t xml:space="preserve">9 de la Convention dans le deuxième rapport périodique </w:t>
      </w:r>
      <w:r w:rsidRPr="00DF456A">
        <w:rPr>
          <w:noProof/>
          <w:lang w:val="fr-FR" w:eastAsia="es-BO"/>
        </w:rPr>
        <w:t>(p</w:t>
      </w:r>
      <w:r>
        <w:rPr>
          <w:noProof/>
          <w:lang w:val="fr-FR" w:eastAsia="es-BO"/>
        </w:rPr>
        <w:t>ar</w:t>
      </w:r>
      <w:r w:rsidRPr="00DF456A">
        <w:rPr>
          <w:noProof/>
          <w:lang w:val="fr-FR" w:eastAsia="es-BO"/>
        </w:rPr>
        <w:t>.</w:t>
      </w:r>
      <w:r w:rsidR="007D226A">
        <w:rPr>
          <w:noProof/>
          <w:lang w:val="fr-FR" w:eastAsia="es-BO"/>
        </w:rPr>
        <w:t> </w:t>
      </w:r>
      <w:r>
        <w:rPr>
          <w:noProof/>
          <w:lang w:val="fr-FR" w:eastAsia="es-BO"/>
        </w:rPr>
        <w:t>123 à 127)</w:t>
      </w:r>
      <w:r w:rsidRPr="00DF456A">
        <w:rPr>
          <w:noProof/>
          <w:lang w:val="fr-FR" w:eastAsia="es-BO"/>
        </w:rPr>
        <w:t>.</w:t>
      </w:r>
    </w:p>
    <w:p w:rsidR="00614A7E" w:rsidRPr="00DF456A" w:rsidRDefault="00614A7E" w:rsidP="007C0300">
      <w:pPr>
        <w:pStyle w:val="H1G"/>
        <w:spacing w:before="320" w:after="200"/>
        <w:rPr>
          <w:noProof/>
          <w:lang w:val="fr-FR"/>
        </w:rPr>
      </w:pPr>
      <w:r w:rsidRPr="00DF456A">
        <w:rPr>
          <w:noProof/>
          <w:lang w:val="fr-FR"/>
        </w:rPr>
        <w:tab/>
      </w:r>
      <w:r w:rsidRPr="00DF456A">
        <w:rPr>
          <w:noProof/>
          <w:lang w:val="fr-FR"/>
        </w:rPr>
        <w:tab/>
        <w:t>Art</w:t>
      </w:r>
      <w:r>
        <w:rPr>
          <w:noProof/>
          <w:lang w:val="fr-FR"/>
        </w:rPr>
        <w:t>icle</w:t>
      </w:r>
      <w:r w:rsidRPr="00DF456A">
        <w:rPr>
          <w:noProof/>
          <w:lang w:val="fr-FR"/>
        </w:rPr>
        <w:t xml:space="preserve"> 10</w:t>
      </w:r>
      <w:r w:rsidRPr="00DF456A">
        <w:rPr>
          <w:noProof/>
          <w:lang w:val="fr-FR"/>
        </w:rPr>
        <w:br/>
      </w:r>
      <w:r w:rsidRPr="00386E50">
        <w:rPr>
          <w:noProof/>
          <w:lang w:val="fr-FR"/>
        </w:rPr>
        <w:t>Formation et éducation en matière de prévention de la torture</w:t>
      </w:r>
    </w:p>
    <w:p w:rsidR="00614A7E" w:rsidRPr="0050797F" w:rsidRDefault="00614A7E" w:rsidP="00614A7E">
      <w:pPr>
        <w:pStyle w:val="SingleTxtG"/>
        <w:rPr>
          <w:noProof/>
          <w:lang w:val="fr-FR" w:eastAsia="es-BO"/>
        </w:rPr>
      </w:pPr>
      <w:r w:rsidRPr="00DF456A">
        <w:rPr>
          <w:noProof/>
          <w:lang w:val="fr-FR" w:eastAsia="es-BO"/>
        </w:rPr>
        <w:t>46.</w:t>
      </w:r>
      <w:r w:rsidRPr="00DF456A">
        <w:rPr>
          <w:noProof/>
          <w:lang w:val="fr-FR" w:eastAsia="es-BO"/>
        </w:rPr>
        <w:tab/>
      </w:r>
      <w:r>
        <w:rPr>
          <w:noProof/>
          <w:lang w:val="fr-FR" w:eastAsia="es-BO"/>
        </w:rPr>
        <w:t xml:space="preserve">Ce point sera développé aux paragraphes </w:t>
      </w:r>
      <w:r w:rsidRPr="00DF456A">
        <w:rPr>
          <w:noProof/>
          <w:lang w:val="fr-FR" w:eastAsia="es-BO"/>
        </w:rPr>
        <w:t xml:space="preserve">205 </w:t>
      </w:r>
      <w:r>
        <w:rPr>
          <w:noProof/>
          <w:lang w:val="fr-FR" w:eastAsia="es-BO"/>
        </w:rPr>
        <w:t>à</w:t>
      </w:r>
      <w:r w:rsidRPr="00DF456A">
        <w:rPr>
          <w:noProof/>
          <w:lang w:val="fr-FR" w:eastAsia="es-BO"/>
        </w:rPr>
        <w:t xml:space="preserve"> 216 d</w:t>
      </w:r>
      <w:r>
        <w:rPr>
          <w:noProof/>
          <w:lang w:val="fr-FR" w:eastAsia="es-BO"/>
        </w:rPr>
        <w:t>u présent rapport</w:t>
      </w:r>
      <w:r w:rsidRPr="00DF456A">
        <w:rPr>
          <w:noProof/>
          <w:lang w:val="fr-FR" w:eastAsia="es-BO"/>
        </w:rPr>
        <w:t>.</w:t>
      </w:r>
    </w:p>
    <w:p w:rsidR="00614A7E" w:rsidRPr="00DF456A" w:rsidRDefault="007C0300" w:rsidP="007C0300">
      <w:pPr>
        <w:pStyle w:val="H1G"/>
        <w:spacing w:before="320" w:after="200"/>
        <w:rPr>
          <w:noProof/>
          <w:lang w:val="fr-FR"/>
        </w:rPr>
      </w:pPr>
      <w:r>
        <w:rPr>
          <w:noProof/>
          <w:lang w:val="fr-FR"/>
        </w:rPr>
        <w:tab/>
      </w:r>
      <w:r>
        <w:rPr>
          <w:noProof/>
          <w:lang w:val="fr-FR"/>
        </w:rPr>
        <w:tab/>
      </w:r>
      <w:r w:rsidR="00614A7E">
        <w:rPr>
          <w:noProof/>
          <w:lang w:val="fr-FR"/>
        </w:rPr>
        <w:t xml:space="preserve">Articles </w:t>
      </w:r>
      <w:r w:rsidR="00614A7E" w:rsidRPr="00DF456A">
        <w:rPr>
          <w:noProof/>
          <w:lang w:val="fr-FR"/>
        </w:rPr>
        <w:t xml:space="preserve">11 </w:t>
      </w:r>
      <w:r w:rsidR="00614A7E">
        <w:rPr>
          <w:noProof/>
          <w:lang w:val="fr-FR"/>
        </w:rPr>
        <w:t>et</w:t>
      </w:r>
      <w:r w:rsidR="00614A7E" w:rsidRPr="00DF456A">
        <w:rPr>
          <w:noProof/>
          <w:lang w:val="fr-FR"/>
        </w:rPr>
        <w:t xml:space="preserve"> 15</w:t>
      </w:r>
      <w:r w:rsidR="00614A7E" w:rsidRPr="00DF456A">
        <w:rPr>
          <w:noProof/>
          <w:lang w:val="fr-FR"/>
        </w:rPr>
        <w:br/>
      </w:r>
      <w:r w:rsidR="00614A7E" w:rsidRPr="00386E50">
        <w:rPr>
          <w:noProof/>
          <w:lang w:val="fr-FR"/>
        </w:rPr>
        <w:t>Prévention et interdiction de la torture dans le cadre des actes d</w:t>
      </w:r>
      <w:r w:rsidR="00FB1114">
        <w:rPr>
          <w:noProof/>
          <w:lang w:val="fr-FR"/>
        </w:rPr>
        <w:t>’</w:t>
      </w:r>
      <w:r w:rsidR="00614A7E" w:rsidRPr="00386E50">
        <w:rPr>
          <w:noProof/>
          <w:lang w:val="fr-FR"/>
        </w:rPr>
        <w:t>enquête en matière pénale et de la privation de liberté</w:t>
      </w:r>
    </w:p>
    <w:p w:rsidR="00614A7E" w:rsidRPr="00870A5B" w:rsidRDefault="00614A7E" w:rsidP="00614A7E">
      <w:pPr>
        <w:pStyle w:val="SingleTxtG"/>
        <w:rPr>
          <w:noProof/>
          <w:lang w:val="fr-FR" w:eastAsia="es-BO"/>
        </w:rPr>
      </w:pPr>
      <w:r w:rsidRPr="00DF456A">
        <w:rPr>
          <w:noProof/>
          <w:lang w:val="fr-FR" w:eastAsia="es-BO"/>
        </w:rPr>
        <w:t>47.</w:t>
      </w:r>
      <w:r w:rsidRPr="00DF456A">
        <w:rPr>
          <w:noProof/>
          <w:lang w:val="fr-FR" w:eastAsia="es-BO"/>
        </w:rPr>
        <w:tab/>
      </w:r>
      <w:r>
        <w:rPr>
          <w:noProof/>
          <w:lang w:val="fr-FR" w:eastAsia="es-BO"/>
        </w:rPr>
        <w:t>L</w:t>
      </w:r>
      <w:r w:rsidR="00FB1114">
        <w:rPr>
          <w:noProof/>
          <w:lang w:val="fr-FR" w:eastAsia="es-BO"/>
        </w:rPr>
        <w:t>’</w:t>
      </w:r>
      <w:r>
        <w:rPr>
          <w:noProof/>
          <w:lang w:val="fr-FR" w:eastAsia="es-BO"/>
        </w:rPr>
        <w:t>État a fourni des renseignements sur l</w:t>
      </w:r>
      <w:r w:rsidR="00FB1114">
        <w:rPr>
          <w:noProof/>
          <w:lang w:val="fr-FR" w:eastAsia="es-BO"/>
        </w:rPr>
        <w:t>’</w:t>
      </w:r>
      <w:r>
        <w:rPr>
          <w:noProof/>
          <w:lang w:val="fr-FR" w:eastAsia="es-BO"/>
        </w:rPr>
        <w:t>application des articles</w:t>
      </w:r>
      <w:r w:rsidR="00870A5B">
        <w:rPr>
          <w:noProof/>
          <w:lang w:val="fr-FR" w:eastAsia="es-BO"/>
        </w:rPr>
        <w:t> </w:t>
      </w:r>
      <w:r>
        <w:rPr>
          <w:noProof/>
          <w:lang w:val="fr-FR" w:eastAsia="es-BO"/>
        </w:rPr>
        <w:t xml:space="preserve">11 et 15 de la Convention dans le deuxième rapport périodique </w:t>
      </w:r>
      <w:r w:rsidRPr="00DF456A">
        <w:rPr>
          <w:noProof/>
          <w:lang w:val="fr-FR" w:eastAsia="es-BO"/>
        </w:rPr>
        <w:t>(p</w:t>
      </w:r>
      <w:r>
        <w:rPr>
          <w:noProof/>
          <w:lang w:val="fr-FR" w:eastAsia="es-BO"/>
        </w:rPr>
        <w:t>ar</w:t>
      </w:r>
      <w:r w:rsidRPr="00DF456A">
        <w:rPr>
          <w:noProof/>
          <w:lang w:val="fr-FR" w:eastAsia="es-BO"/>
        </w:rPr>
        <w:t>.</w:t>
      </w:r>
      <w:r w:rsidR="00870A5B">
        <w:rPr>
          <w:noProof/>
          <w:lang w:val="fr-FR" w:eastAsia="es-BO"/>
        </w:rPr>
        <w:t> </w:t>
      </w:r>
      <w:r>
        <w:rPr>
          <w:noProof/>
          <w:lang w:val="fr-FR" w:eastAsia="es-BO"/>
        </w:rPr>
        <w:t>138 à 146, 148 et 149)</w:t>
      </w:r>
      <w:r w:rsidRPr="00DF456A">
        <w:rPr>
          <w:noProof/>
          <w:lang w:val="fr-FR" w:eastAsia="es-BO"/>
        </w:rPr>
        <w:t>.</w:t>
      </w:r>
    </w:p>
    <w:p w:rsidR="00614A7E" w:rsidRPr="00870A5B" w:rsidRDefault="00614A7E" w:rsidP="00614A7E">
      <w:pPr>
        <w:pStyle w:val="SingleTxtG"/>
        <w:rPr>
          <w:noProof/>
          <w:lang w:val="fr-FR" w:eastAsia="es-BO"/>
        </w:rPr>
      </w:pPr>
      <w:r w:rsidRPr="00870A5B">
        <w:rPr>
          <w:noProof/>
          <w:lang w:val="fr-FR" w:eastAsia="es-BO"/>
        </w:rPr>
        <w:t>48.</w:t>
      </w:r>
      <w:r w:rsidRPr="00870A5B">
        <w:rPr>
          <w:noProof/>
          <w:lang w:val="fr-FR" w:eastAsia="es-BO"/>
        </w:rPr>
        <w:tab/>
        <w:t xml:space="preserve">La </w:t>
      </w:r>
      <w:r w:rsidRPr="00870A5B">
        <w:rPr>
          <w:noProof/>
          <w:lang w:val="fr-FR"/>
        </w:rPr>
        <w:t>Direction générale du système pénitentiaire</w:t>
      </w:r>
      <w:r w:rsidRPr="00870A5B">
        <w:rPr>
          <w:noProof/>
          <w:lang w:val="fr-FR" w:eastAsia="es-BO"/>
        </w:rPr>
        <w:t xml:space="preserve"> a publié une directive</w:t>
      </w:r>
      <w:r w:rsidRPr="00870A5B">
        <w:rPr>
          <w:noProof/>
          <w:vertAlign w:val="superscript"/>
          <w:lang w:val="fr-FR" w:eastAsia="es-BO"/>
        </w:rPr>
        <w:footnoteReference w:id="32"/>
      </w:r>
      <w:r w:rsidRPr="00870A5B">
        <w:rPr>
          <w:noProof/>
          <w:lang w:val="fr-FR" w:eastAsia="es-BO"/>
        </w:rPr>
        <w:t xml:space="preserve"> qui </w:t>
      </w:r>
      <w:r w:rsidRPr="00870A5B">
        <w:rPr>
          <w:noProof/>
          <w:lang w:val="fr-FR"/>
        </w:rPr>
        <w:t>interdit catégoriquement aux directeurs et directrices des directions départementales du système pénitentiaire et aux directeurs et directrices des établissements pénitentiaires de commettre, par des actes ou des omissions, tout acte de torture ou mauvais traitements ou d</w:t>
      </w:r>
      <w:r w:rsidR="00FB1114">
        <w:rPr>
          <w:noProof/>
          <w:lang w:val="fr-FR"/>
        </w:rPr>
        <w:t>’</w:t>
      </w:r>
      <w:r w:rsidRPr="00870A5B">
        <w:rPr>
          <w:noProof/>
          <w:lang w:val="fr-FR"/>
        </w:rPr>
        <w:t>en autoriser la commission</w:t>
      </w:r>
      <w:r w:rsidRPr="00870A5B">
        <w:rPr>
          <w:noProof/>
          <w:lang w:val="fr-FR" w:eastAsia="es-BO"/>
        </w:rPr>
        <w:t>.</w:t>
      </w:r>
    </w:p>
    <w:p w:rsidR="00614A7E" w:rsidRPr="00870A5B" w:rsidRDefault="00614A7E" w:rsidP="00614A7E">
      <w:pPr>
        <w:pStyle w:val="SingleTxtG"/>
        <w:rPr>
          <w:noProof/>
          <w:lang w:val="fr-FR" w:eastAsia="es-BO"/>
        </w:rPr>
      </w:pPr>
      <w:r w:rsidRPr="00870A5B">
        <w:rPr>
          <w:noProof/>
          <w:lang w:val="fr-FR" w:eastAsia="es-BO"/>
        </w:rPr>
        <w:t>49.</w:t>
      </w:r>
      <w:r w:rsidRPr="00870A5B">
        <w:rPr>
          <w:noProof/>
          <w:lang w:val="fr-FR" w:eastAsia="es-BO"/>
        </w:rPr>
        <w:tab/>
      </w:r>
      <w:r w:rsidRPr="00870A5B">
        <w:rPr>
          <w:noProof/>
          <w:lang w:val="fr-FR"/>
        </w:rPr>
        <w:t>La Direction nationale de la sécurité dans les prisons</w:t>
      </w:r>
      <w:r w:rsidRPr="00870A5B">
        <w:rPr>
          <w:noProof/>
          <w:vertAlign w:val="superscript"/>
          <w:lang w:val="fr-FR" w:eastAsia="es-BO"/>
        </w:rPr>
        <w:footnoteReference w:id="33"/>
      </w:r>
      <w:r w:rsidRPr="00870A5B">
        <w:rPr>
          <w:noProof/>
          <w:lang w:val="fr-FR" w:eastAsia="es-BO"/>
        </w:rPr>
        <w:t xml:space="preserve"> (annexe</w:t>
      </w:r>
      <w:r w:rsidR="00870A5B">
        <w:rPr>
          <w:noProof/>
          <w:lang w:val="fr-FR" w:eastAsia="es-BO"/>
        </w:rPr>
        <w:t> </w:t>
      </w:r>
      <w:r w:rsidRPr="00870A5B">
        <w:rPr>
          <w:noProof/>
          <w:lang w:val="fr-FR" w:eastAsia="es-BO"/>
        </w:rPr>
        <w:t xml:space="preserve">15) </w:t>
      </w:r>
      <w:r w:rsidRPr="00870A5B">
        <w:rPr>
          <w:noProof/>
          <w:lang w:val="fr-FR"/>
        </w:rPr>
        <w:t>a adressé aux directeurs de tous les établissements pénitentiaires une circulaire aux termes de laquelle ils sont tenus de donner pour instruction au personnel de police sous leurs ordres, dans l</w:t>
      </w:r>
      <w:r w:rsidR="00FB1114">
        <w:rPr>
          <w:noProof/>
          <w:lang w:val="fr-FR"/>
        </w:rPr>
        <w:t>’</w:t>
      </w:r>
      <w:r w:rsidRPr="00870A5B">
        <w:rPr>
          <w:noProof/>
          <w:lang w:val="fr-FR"/>
        </w:rPr>
        <w:t>exercice des fonctions qui leur sont dévolues en matière de sécurité dans les prisons, de traiter les détenus dans le respect des droits de la personne</w:t>
      </w:r>
      <w:r w:rsidR="003557EC">
        <w:rPr>
          <w:noProof/>
          <w:lang w:val="fr-FR"/>
        </w:rPr>
        <w:t> </w:t>
      </w:r>
      <w:r w:rsidRPr="00870A5B">
        <w:rPr>
          <w:noProof/>
          <w:lang w:val="fr-FR"/>
        </w:rPr>
        <w:t>; cette circulaire interdit tout traitement cruel et inhumain, conformément aux dispositions de l</w:t>
      </w:r>
      <w:r w:rsidR="00FB1114">
        <w:rPr>
          <w:noProof/>
          <w:lang w:val="fr-FR"/>
        </w:rPr>
        <w:t>’</w:t>
      </w:r>
      <w:r w:rsidRPr="00870A5B">
        <w:rPr>
          <w:noProof/>
          <w:lang w:val="fr-FR"/>
        </w:rPr>
        <w:t>article</w:t>
      </w:r>
      <w:r w:rsidR="00870A5B">
        <w:rPr>
          <w:noProof/>
          <w:lang w:val="fr-FR"/>
        </w:rPr>
        <w:t> </w:t>
      </w:r>
      <w:r w:rsidRPr="00870A5B">
        <w:rPr>
          <w:noProof/>
          <w:lang w:val="fr-FR"/>
        </w:rPr>
        <w:t>5</w:t>
      </w:r>
      <w:r w:rsidRPr="00870A5B">
        <w:rPr>
          <w:noProof/>
          <w:vertAlign w:val="superscript"/>
          <w:lang w:val="fr-FR" w:eastAsia="es-BO"/>
        </w:rPr>
        <w:footnoteReference w:id="34"/>
      </w:r>
      <w:r w:rsidRPr="00870A5B">
        <w:rPr>
          <w:noProof/>
          <w:lang w:val="fr-FR" w:eastAsia="es-BO"/>
        </w:rPr>
        <w:t xml:space="preserve"> </w:t>
      </w:r>
      <w:r w:rsidRPr="00870A5B">
        <w:rPr>
          <w:noProof/>
          <w:lang w:val="fr-FR"/>
        </w:rPr>
        <w:t>de la Déclaration universelle des droits de l</w:t>
      </w:r>
      <w:r w:rsidR="00FB1114">
        <w:rPr>
          <w:noProof/>
          <w:lang w:val="fr-FR"/>
        </w:rPr>
        <w:t>’</w:t>
      </w:r>
      <w:r w:rsidRPr="00870A5B">
        <w:rPr>
          <w:noProof/>
          <w:lang w:val="fr-FR"/>
        </w:rPr>
        <w:t>homme</w:t>
      </w:r>
      <w:r w:rsidRPr="00870A5B">
        <w:rPr>
          <w:noProof/>
          <w:lang w:val="fr-FR" w:eastAsia="es-BO"/>
        </w:rPr>
        <w:t>.</w:t>
      </w:r>
    </w:p>
    <w:p w:rsidR="00614A7E" w:rsidRPr="00243B67" w:rsidRDefault="00614A7E" w:rsidP="00614A7E">
      <w:pPr>
        <w:pStyle w:val="SingleTxtG"/>
        <w:rPr>
          <w:noProof/>
          <w:lang w:val="fr-FR" w:eastAsia="es-BO"/>
        </w:rPr>
      </w:pPr>
      <w:r w:rsidRPr="00DF456A">
        <w:rPr>
          <w:noProof/>
          <w:lang w:val="fr-FR" w:eastAsia="es-BO"/>
        </w:rPr>
        <w:t>50.</w:t>
      </w:r>
      <w:r w:rsidRPr="00DF456A">
        <w:rPr>
          <w:noProof/>
          <w:lang w:val="fr-FR" w:eastAsia="es-BO"/>
        </w:rPr>
        <w:tab/>
        <w:t xml:space="preserve">La </w:t>
      </w:r>
      <w:r w:rsidRPr="00386E50">
        <w:rPr>
          <w:noProof/>
          <w:lang w:val="fr-FR"/>
        </w:rPr>
        <w:t>Direction nationale de la sécurité dans les prisons</w:t>
      </w:r>
      <w:r w:rsidRPr="00DF456A">
        <w:rPr>
          <w:noProof/>
          <w:lang w:val="fr-FR" w:eastAsia="es-BO"/>
        </w:rPr>
        <w:t xml:space="preserve"> </w:t>
      </w:r>
      <w:r>
        <w:rPr>
          <w:noProof/>
          <w:lang w:val="fr-FR" w:eastAsia="es-BO"/>
        </w:rPr>
        <w:t xml:space="preserve">met en œuvre un </w:t>
      </w:r>
      <w:r w:rsidRPr="00386E50">
        <w:rPr>
          <w:noProof/>
          <w:lang w:val="fr-FR" w:eastAsia="es-BO"/>
        </w:rPr>
        <w:t xml:space="preserve">manuel </w:t>
      </w:r>
      <w:r w:rsidRPr="00386E50">
        <w:rPr>
          <w:noProof/>
          <w:lang w:val="fr-FR"/>
        </w:rPr>
        <w:t>qui en définit l</w:t>
      </w:r>
      <w:r w:rsidR="00FB1114">
        <w:rPr>
          <w:noProof/>
          <w:lang w:val="fr-FR"/>
        </w:rPr>
        <w:t>’</w:t>
      </w:r>
      <w:r w:rsidRPr="00386E50">
        <w:rPr>
          <w:noProof/>
          <w:lang w:val="fr-FR"/>
        </w:rPr>
        <w:t>organisation et les fonctions ainsi que ceux de la Direction des établissements pénitentiaires</w:t>
      </w:r>
      <w:r w:rsidRPr="00386E50">
        <w:rPr>
          <w:noProof/>
          <w:sz w:val="18"/>
          <w:szCs w:val="18"/>
          <w:vertAlign w:val="superscript"/>
          <w:lang w:val="fr-FR" w:eastAsia="es-BO"/>
        </w:rPr>
        <w:footnoteReference w:id="35"/>
      </w:r>
      <w:r w:rsidRPr="00386E50">
        <w:rPr>
          <w:noProof/>
          <w:lang w:val="fr-FR"/>
        </w:rPr>
        <w:t>. Ce document défini</w:t>
      </w:r>
      <w:r>
        <w:rPr>
          <w:noProof/>
          <w:lang w:val="fr-FR"/>
        </w:rPr>
        <w:t>t un cadre juridique de nature</w:t>
      </w:r>
      <w:r w:rsidRPr="00386E50">
        <w:rPr>
          <w:noProof/>
          <w:lang w:val="fr-FR"/>
        </w:rPr>
        <w:t xml:space="preserve"> à promouvoir l</w:t>
      </w:r>
      <w:r w:rsidR="00FB1114">
        <w:rPr>
          <w:noProof/>
          <w:lang w:val="fr-FR"/>
        </w:rPr>
        <w:t>’</w:t>
      </w:r>
      <w:r w:rsidRPr="00386E50">
        <w:rPr>
          <w:noProof/>
          <w:lang w:val="fr-FR"/>
        </w:rPr>
        <w:t>efficacité et l</w:t>
      </w:r>
      <w:r w:rsidR="00FB1114">
        <w:rPr>
          <w:noProof/>
          <w:lang w:val="fr-FR"/>
        </w:rPr>
        <w:t>’</w:t>
      </w:r>
      <w:r w:rsidRPr="00386E50">
        <w:rPr>
          <w:noProof/>
          <w:lang w:val="fr-FR"/>
        </w:rPr>
        <w:t>efficience du travail de tous les fonctionnaires de la Police bolivienne affectés à la Direction nationale de la sécurité dans les prisons</w:t>
      </w:r>
      <w:r w:rsidRPr="00386E50">
        <w:rPr>
          <w:noProof/>
          <w:lang w:val="fr-FR" w:eastAsia="es-BO"/>
        </w:rPr>
        <w:t xml:space="preserve"> </w:t>
      </w:r>
      <w:r w:rsidRPr="00386E50">
        <w:rPr>
          <w:noProof/>
          <w:lang w:val="fr-FR"/>
        </w:rPr>
        <w:t>et à la Direction des établissements pénitentiaires</w:t>
      </w:r>
      <w:r w:rsidRPr="00386E50">
        <w:rPr>
          <w:noProof/>
          <w:lang w:val="fr-FR" w:eastAsia="es-BO"/>
        </w:rPr>
        <w:t>.</w:t>
      </w:r>
    </w:p>
    <w:p w:rsidR="00614A7E" w:rsidRPr="00DF456A" w:rsidRDefault="00614A7E" w:rsidP="00614A7E">
      <w:pPr>
        <w:pStyle w:val="H1G"/>
        <w:rPr>
          <w:noProof/>
          <w:lang w:val="fr-FR"/>
        </w:rPr>
      </w:pPr>
      <w:r w:rsidRPr="00DF456A">
        <w:rPr>
          <w:noProof/>
          <w:lang w:val="fr-FR"/>
        </w:rPr>
        <w:lastRenderedPageBreak/>
        <w:tab/>
      </w:r>
      <w:r w:rsidRPr="00DF456A">
        <w:rPr>
          <w:noProof/>
          <w:lang w:val="fr-FR"/>
        </w:rPr>
        <w:tab/>
        <w:t>Art</w:t>
      </w:r>
      <w:r>
        <w:rPr>
          <w:noProof/>
          <w:lang w:val="fr-FR"/>
        </w:rPr>
        <w:t>icle</w:t>
      </w:r>
      <w:r w:rsidRPr="00DF456A">
        <w:rPr>
          <w:noProof/>
          <w:lang w:val="fr-FR"/>
        </w:rPr>
        <w:t xml:space="preserve"> 12</w:t>
      </w:r>
      <w:r w:rsidRPr="00DF456A">
        <w:rPr>
          <w:noProof/>
          <w:lang w:val="fr-FR"/>
        </w:rPr>
        <w:br/>
      </w:r>
      <w:r>
        <w:rPr>
          <w:noProof/>
          <w:lang w:val="fr-FR"/>
        </w:rPr>
        <w:t xml:space="preserve">Enquête immédiate et </w:t>
      </w:r>
      <w:r w:rsidRPr="00DF456A">
        <w:rPr>
          <w:noProof/>
          <w:lang w:val="fr-FR"/>
        </w:rPr>
        <w:t>impar</w:t>
      </w:r>
      <w:r>
        <w:rPr>
          <w:noProof/>
          <w:lang w:val="fr-FR"/>
        </w:rPr>
        <w:t>tiale en cas de présomption de commission d</w:t>
      </w:r>
      <w:r w:rsidR="00FB1114">
        <w:rPr>
          <w:noProof/>
          <w:lang w:val="fr-FR"/>
        </w:rPr>
        <w:t>’</w:t>
      </w:r>
      <w:r>
        <w:rPr>
          <w:noProof/>
          <w:lang w:val="fr-FR"/>
        </w:rPr>
        <w:t>actes de torture</w:t>
      </w:r>
    </w:p>
    <w:p w:rsidR="00614A7E" w:rsidRPr="00C96608" w:rsidRDefault="00614A7E" w:rsidP="00614A7E">
      <w:pPr>
        <w:pStyle w:val="SingleTxtG"/>
        <w:rPr>
          <w:noProof/>
          <w:lang w:val="fr-FR" w:eastAsia="es-BO"/>
        </w:rPr>
      </w:pPr>
      <w:r w:rsidRPr="00DF456A">
        <w:rPr>
          <w:noProof/>
          <w:lang w:val="fr-FR" w:eastAsia="es-BO"/>
        </w:rPr>
        <w:t>51.</w:t>
      </w:r>
      <w:r w:rsidRPr="00DF456A">
        <w:rPr>
          <w:noProof/>
          <w:lang w:val="fr-FR" w:eastAsia="es-BO"/>
        </w:rPr>
        <w:tab/>
      </w:r>
      <w:r>
        <w:rPr>
          <w:noProof/>
          <w:lang w:val="fr-FR" w:eastAsia="es-BO"/>
        </w:rPr>
        <w:t>L</w:t>
      </w:r>
      <w:r w:rsidR="00FB1114">
        <w:rPr>
          <w:noProof/>
          <w:lang w:val="fr-FR" w:eastAsia="es-BO"/>
        </w:rPr>
        <w:t>’</w:t>
      </w:r>
      <w:r>
        <w:rPr>
          <w:noProof/>
          <w:lang w:val="fr-FR" w:eastAsia="es-BO"/>
        </w:rPr>
        <w:t>État a fourni des renseignements sur l</w:t>
      </w:r>
      <w:r w:rsidR="00FB1114">
        <w:rPr>
          <w:noProof/>
          <w:lang w:val="fr-FR" w:eastAsia="es-BO"/>
        </w:rPr>
        <w:t>’</w:t>
      </w:r>
      <w:r>
        <w:rPr>
          <w:noProof/>
          <w:lang w:val="fr-FR" w:eastAsia="es-BO"/>
        </w:rPr>
        <w:t>application de l</w:t>
      </w:r>
      <w:r w:rsidR="00FB1114">
        <w:rPr>
          <w:noProof/>
          <w:lang w:val="fr-FR" w:eastAsia="es-BO"/>
        </w:rPr>
        <w:t>’</w:t>
      </w:r>
      <w:r>
        <w:rPr>
          <w:noProof/>
          <w:lang w:val="fr-FR" w:eastAsia="es-BO"/>
        </w:rPr>
        <w:t>article</w:t>
      </w:r>
      <w:r w:rsidR="00243B67">
        <w:rPr>
          <w:noProof/>
          <w:lang w:val="fr-FR" w:eastAsia="es-BO"/>
        </w:rPr>
        <w:t> </w:t>
      </w:r>
      <w:r>
        <w:rPr>
          <w:noProof/>
          <w:lang w:val="fr-FR" w:eastAsia="es-BO"/>
        </w:rPr>
        <w:t xml:space="preserve">12 de la Convention dans le deuxième rapport périodique </w:t>
      </w:r>
      <w:r w:rsidRPr="00DF456A">
        <w:rPr>
          <w:noProof/>
          <w:lang w:val="fr-FR" w:eastAsia="es-BO"/>
        </w:rPr>
        <w:t>(p</w:t>
      </w:r>
      <w:r>
        <w:rPr>
          <w:noProof/>
          <w:lang w:val="fr-FR" w:eastAsia="es-BO"/>
        </w:rPr>
        <w:t>ar</w:t>
      </w:r>
      <w:r w:rsidRPr="00DF456A">
        <w:rPr>
          <w:noProof/>
          <w:lang w:val="fr-FR" w:eastAsia="es-BO"/>
        </w:rPr>
        <w:t>.</w:t>
      </w:r>
      <w:r w:rsidR="00243B67">
        <w:rPr>
          <w:noProof/>
          <w:lang w:val="fr-FR" w:eastAsia="es-BO"/>
        </w:rPr>
        <w:t> </w:t>
      </w:r>
      <w:r>
        <w:rPr>
          <w:noProof/>
          <w:lang w:val="fr-FR" w:eastAsia="es-BO"/>
        </w:rPr>
        <w:t>116 et 119 à 121)</w:t>
      </w:r>
      <w:r w:rsidRPr="00DF456A">
        <w:rPr>
          <w:noProof/>
          <w:lang w:val="fr-FR" w:eastAsia="es-BO"/>
        </w:rPr>
        <w:t>.</w:t>
      </w:r>
    </w:p>
    <w:p w:rsidR="00614A7E" w:rsidRPr="002D3C74" w:rsidRDefault="00614A7E" w:rsidP="00614A7E">
      <w:pPr>
        <w:pStyle w:val="SingleTxtG"/>
        <w:rPr>
          <w:noProof/>
          <w:lang w:val="fr-FR" w:eastAsia="es-BO"/>
        </w:rPr>
      </w:pPr>
      <w:r w:rsidRPr="00DF456A">
        <w:rPr>
          <w:noProof/>
          <w:lang w:val="fr-FR" w:eastAsia="es-BO"/>
        </w:rPr>
        <w:t>52.</w:t>
      </w:r>
      <w:r w:rsidRPr="00DF456A">
        <w:rPr>
          <w:noProof/>
          <w:lang w:val="fr-FR" w:eastAsia="es-BO"/>
        </w:rPr>
        <w:tab/>
      </w:r>
      <w:r>
        <w:rPr>
          <w:noProof/>
          <w:lang w:val="fr-FR" w:eastAsia="es-BO"/>
        </w:rPr>
        <w:t>L</w:t>
      </w:r>
      <w:r w:rsidR="00FB1114">
        <w:rPr>
          <w:noProof/>
          <w:lang w:val="fr-FR" w:eastAsia="es-BO"/>
        </w:rPr>
        <w:t>’</w:t>
      </w:r>
      <w:r>
        <w:rPr>
          <w:noProof/>
          <w:lang w:val="fr-FR" w:eastAsia="es-BO"/>
        </w:rPr>
        <w:t>attention du Comité est appelée sur le fait que l</w:t>
      </w:r>
      <w:r w:rsidR="00FB1114">
        <w:rPr>
          <w:noProof/>
          <w:lang w:val="fr-FR" w:eastAsia="es-BO"/>
        </w:rPr>
        <w:t>’</w:t>
      </w:r>
      <w:r>
        <w:rPr>
          <w:noProof/>
          <w:lang w:val="fr-FR" w:eastAsia="es-BO"/>
        </w:rPr>
        <w:t>infraction de torture est incriminée dans le Code pénal, mais tombe sous le coup du Code de procédure pénale et de l</w:t>
      </w:r>
      <w:r w:rsidRPr="00DF456A">
        <w:rPr>
          <w:noProof/>
          <w:lang w:val="fr-FR" w:eastAsia="es-BO"/>
        </w:rPr>
        <w:t xml:space="preserve">a </w:t>
      </w:r>
      <w:r>
        <w:rPr>
          <w:noProof/>
          <w:lang w:val="fr-FR" w:eastAsia="es-BO"/>
        </w:rPr>
        <w:t xml:space="preserve">loi organique </w:t>
      </w:r>
      <w:r w:rsidR="002D3C74" w:rsidRPr="00857F6E">
        <w:rPr>
          <w:rFonts w:eastAsia="MS Mincho"/>
          <w:noProof/>
          <w:szCs w:val="22"/>
          <w:lang w:val="fr-FR"/>
        </w:rPr>
        <w:t>n</w:t>
      </w:r>
      <w:r w:rsidR="002D3C74" w:rsidRPr="00857F6E">
        <w:rPr>
          <w:rFonts w:eastAsia="MS Mincho"/>
          <w:noProof/>
          <w:szCs w:val="22"/>
          <w:vertAlign w:val="superscript"/>
          <w:lang w:val="fr-FR"/>
        </w:rPr>
        <w:t>o</w:t>
      </w:r>
      <w:r w:rsidR="002D3C74">
        <w:rPr>
          <w:noProof/>
          <w:lang w:val="fr-FR"/>
        </w:rPr>
        <w:t> </w:t>
      </w:r>
      <w:r>
        <w:rPr>
          <w:noProof/>
          <w:lang w:val="fr-FR" w:eastAsia="es-BO"/>
        </w:rPr>
        <w:t>260 sur le ministère public du</w:t>
      </w:r>
      <w:r w:rsidRPr="00DF456A">
        <w:rPr>
          <w:noProof/>
          <w:lang w:val="fr-FR" w:eastAsia="es-BO"/>
        </w:rPr>
        <w:t xml:space="preserve"> 11</w:t>
      </w:r>
      <w:r w:rsidR="002D3C74">
        <w:rPr>
          <w:noProof/>
          <w:lang w:val="fr-FR" w:eastAsia="es-BO"/>
        </w:rPr>
        <w:t> </w:t>
      </w:r>
      <w:r>
        <w:rPr>
          <w:noProof/>
          <w:lang w:val="fr-FR" w:eastAsia="es-BO"/>
        </w:rPr>
        <w:t xml:space="preserve">juillet 2012 </w:t>
      </w:r>
      <w:r w:rsidRPr="00DF456A">
        <w:rPr>
          <w:noProof/>
          <w:lang w:val="fr-FR" w:eastAsia="es-BO"/>
        </w:rPr>
        <w:t>(</w:t>
      </w:r>
      <w:r>
        <w:rPr>
          <w:noProof/>
          <w:lang w:val="fr-FR" w:eastAsia="es-BO"/>
        </w:rPr>
        <w:t xml:space="preserve">« loi </w:t>
      </w:r>
      <w:r w:rsidR="002D3C74" w:rsidRPr="00857F6E">
        <w:rPr>
          <w:rFonts w:eastAsia="MS Mincho"/>
          <w:noProof/>
          <w:szCs w:val="22"/>
          <w:lang w:val="fr-FR"/>
        </w:rPr>
        <w:t>n</w:t>
      </w:r>
      <w:r w:rsidR="002D3C74" w:rsidRPr="00857F6E">
        <w:rPr>
          <w:rFonts w:eastAsia="MS Mincho"/>
          <w:noProof/>
          <w:szCs w:val="22"/>
          <w:vertAlign w:val="superscript"/>
          <w:lang w:val="fr-FR"/>
        </w:rPr>
        <w:t>o</w:t>
      </w:r>
      <w:r w:rsidR="002D3C74">
        <w:rPr>
          <w:noProof/>
          <w:lang w:val="fr-FR"/>
        </w:rPr>
        <w:t> </w:t>
      </w:r>
      <w:r w:rsidRPr="00DF456A">
        <w:rPr>
          <w:noProof/>
          <w:lang w:val="fr-FR" w:eastAsia="es-BO"/>
        </w:rPr>
        <w:t>260</w:t>
      </w:r>
      <w:r>
        <w:rPr>
          <w:noProof/>
          <w:lang w:val="fr-FR" w:eastAsia="es-BO"/>
        </w:rPr>
        <w:t> »</w:t>
      </w:r>
      <w:r w:rsidRPr="00DF456A">
        <w:rPr>
          <w:noProof/>
          <w:lang w:val="fr-FR" w:eastAsia="es-BO"/>
        </w:rPr>
        <w:t>)</w:t>
      </w:r>
      <w:r w:rsidRPr="00DF456A">
        <w:rPr>
          <w:noProof/>
          <w:sz w:val="18"/>
          <w:szCs w:val="18"/>
          <w:vertAlign w:val="superscript"/>
          <w:lang w:val="fr-FR" w:eastAsia="es-BO"/>
        </w:rPr>
        <w:footnoteReference w:id="36"/>
      </w:r>
      <w:r w:rsidRPr="00DF456A">
        <w:rPr>
          <w:noProof/>
          <w:lang w:val="fr-FR" w:eastAsia="es-BO"/>
        </w:rPr>
        <w:t xml:space="preserve"> (</w:t>
      </w:r>
      <w:r>
        <w:rPr>
          <w:noProof/>
          <w:lang w:val="fr-FR" w:eastAsia="es-BO"/>
        </w:rPr>
        <w:t>annexe</w:t>
      </w:r>
      <w:r w:rsidR="002D3C74">
        <w:rPr>
          <w:noProof/>
          <w:lang w:val="fr-FR" w:eastAsia="es-BO"/>
        </w:rPr>
        <w:t> </w:t>
      </w:r>
      <w:r w:rsidRPr="00DF456A">
        <w:rPr>
          <w:noProof/>
          <w:lang w:val="fr-FR" w:eastAsia="es-BO"/>
        </w:rPr>
        <w:t>16)</w:t>
      </w:r>
      <w:r>
        <w:rPr>
          <w:noProof/>
          <w:lang w:val="fr-FR" w:eastAsia="es-BO"/>
        </w:rPr>
        <w:t xml:space="preserve">. </w:t>
      </w:r>
      <w:r w:rsidRPr="00AF2924">
        <w:rPr>
          <w:noProof/>
          <w:lang w:val="fr-FR" w:eastAsia="es-BO"/>
        </w:rPr>
        <w:t>Elle</w:t>
      </w:r>
      <w:r w:rsidRPr="00AF2924">
        <w:rPr>
          <w:noProof/>
          <w:lang w:val="fr-FR"/>
        </w:rPr>
        <w:t xml:space="preserve"> relève de ce fait de la procédure commune ou ordinaire applicable aux délits entraînant la mise en</w:t>
      </w:r>
      <w:r>
        <w:rPr>
          <w:noProof/>
          <w:lang w:val="fr-FR"/>
        </w:rPr>
        <w:t xml:space="preserve"> mouvement de l</w:t>
      </w:r>
      <w:r w:rsidR="00FB1114">
        <w:rPr>
          <w:noProof/>
          <w:lang w:val="fr-FR"/>
        </w:rPr>
        <w:t>’</w:t>
      </w:r>
      <w:r>
        <w:rPr>
          <w:noProof/>
          <w:lang w:val="fr-FR"/>
        </w:rPr>
        <w:t>action publique et</w:t>
      </w:r>
      <w:r w:rsidRPr="00AF2924">
        <w:rPr>
          <w:noProof/>
          <w:lang w:val="fr-FR"/>
        </w:rPr>
        <w:t xml:space="preserve"> dans laquelle l</w:t>
      </w:r>
      <w:r w:rsidR="00FB1114">
        <w:rPr>
          <w:noProof/>
          <w:lang w:val="fr-FR"/>
        </w:rPr>
        <w:t>’</w:t>
      </w:r>
      <w:r w:rsidRPr="00AF2924">
        <w:rPr>
          <w:noProof/>
          <w:lang w:val="fr-FR"/>
        </w:rPr>
        <w:t>exercice de l</w:t>
      </w:r>
      <w:r w:rsidR="00FB1114">
        <w:rPr>
          <w:noProof/>
          <w:lang w:val="fr-FR"/>
        </w:rPr>
        <w:t>’</w:t>
      </w:r>
      <w:r w:rsidRPr="00AF2924">
        <w:rPr>
          <w:noProof/>
          <w:lang w:val="fr-FR"/>
        </w:rPr>
        <w:t>action pénale incombe au ministère public qui peut ordonner le début d</w:t>
      </w:r>
      <w:r w:rsidR="00FB1114">
        <w:rPr>
          <w:noProof/>
          <w:lang w:val="fr-FR"/>
        </w:rPr>
        <w:t>’</w:t>
      </w:r>
      <w:r w:rsidRPr="00AF2924">
        <w:rPr>
          <w:noProof/>
          <w:lang w:val="fr-FR"/>
        </w:rPr>
        <w:t>une enquête, la mise en examen ou en accusation, l</w:t>
      </w:r>
      <w:r w:rsidR="00FB1114">
        <w:rPr>
          <w:noProof/>
          <w:lang w:val="fr-FR"/>
        </w:rPr>
        <w:t>’</w:t>
      </w:r>
      <w:r w:rsidRPr="00AF2924">
        <w:rPr>
          <w:noProof/>
          <w:lang w:val="fr-FR"/>
        </w:rPr>
        <w:t>instance juridictionnelle exerçant un contrôle sur les garanties, notamment en tenant les audiences et en appliquant les procédures prévues par la loi, en instruisant des procès, en rendant des jugements, en statuant sur les recours et incidents</w:t>
      </w:r>
      <w:r w:rsidRPr="00AF2924">
        <w:rPr>
          <w:noProof/>
          <w:lang w:val="fr-FR" w:eastAsia="es-BO"/>
        </w:rPr>
        <w:t>, etc</w:t>
      </w:r>
      <w:r w:rsidRPr="00DF456A">
        <w:rPr>
          <w:noProof/>
          <w:lang w:val="fr-FR" w:eastAsia="es-BO"/>
        </w:rPr>
        <w:t>.</w:t>
      </w:r>
    </w:p>
    <w:p w:rsidR="00614A7E" w:rsidRPr="002D3C74" w:rsidRDefault="00614A7E" w:rsidP="00614A7E">
      <w:pPr>
        <w:pStyle w:val="SingleTxtG"/>
        <w:rPr>
          <w:noProof/>
          <w:lang w:val="fr-FR" w:eastAsia="es-BO"/>
        </w:rPr>
      </w:pPr>
      <w:r w:rsidRPr="002D3C74">
        <w:rPr>
          <w:noProof/>
          <w:lang w:val="fr-FR" w:eastAsia="es-BO"/>
        </w:rPr>
        <w:t>53.</w:t>
      </w:r>
      <w:r w:rsidRPr="002D3C74">
        <w:rPr>
          <w:noProof/>
          <w:lang w:val="fr-FR" w:eastAsia="es-BO"/>
        </w:rPr>
        <w:tab/>
        <w:t xml:space="preserve">Le Bureau du Procureur général a publié la directive FGE/RJGP-176/2017 en date du </w:t>
      </w:r>
      <w:r w:rsidRPr="002D3C74">
        <w:rPr>
          <w:rFonts w:eastAsia="Calibri"/>
          <w:bCs/>
          <w:noProof/>
          <w:lang w:val="fr-FR" w:eastAsia="es-BO"/>
        </w:rPr>
        <w:t>16</w:t>
      </w:r>
      <w:r w:rsidR="002D3C74">
        <w:rPr>
          <w:rFonts w:eastAsia="Calibri"/>
          <w:bCs/>
          <w:noProof/>
          <w:lang w:val="fr-FR" w:eastAsia="es-BO"/>
        </w:rPr>
        <w:t> </w:t>
      </w:r>
      <w:r w:rsidRPr="002D3C74">
        <w:rPr>
          <w:rFonts w:eastAsia="Calibri"/>
          <w:bCs/>
          <w:noProof/>
          <w:lang w:val="fr-FR" w:eastAsia="es-BO"/>
        </w:rPr>
        <w:t xml:space="preserve">octobre 2017, </w:t>
      </w:r>
      <w:r w:rsidRPr="002D3C74">
        <w:rPr>
          <w:noProof/>
          <w:lang w:val="fr-FR" w:eastAsia="es-BO"/>
        </w:rPr>
        <w:t>qui porte sur l</w:t>
      </w:r>
      <w:r w:rsidR="00FB1114">
        <w:rPr>
          <w:noProof/>
          <w:lang w:val="fr-FR" w:eastAsia="es-BO"/>
        </w:rPr>
        <w:t>’</w:t>
      </w:r>
      <w:r w:rsidRPr="002D3C74">
        <w:rPr>
          <w:noProof/>
          <w:lang w:val="fr-FR" w:eastAsia="es-BO"/>
        </w:rPr>
        <w:t xml:space="preserve">application des recommandations du Sous-Comité pour la prévention de la torture et autres peines ou traitements cruels, inhumains ou dégradants, et a élaboré un </w:t>
      </w:r>
      <w:r w:rsidR="00157F9D">
        <w:rPr>
          <w:noProof/>
          <w:lang w:val="fr-FR" w:eastAsia="es-BO"/>
        </w:rPr>
        <w:t>g</w:t>
      </w:r>
      <w:r w:rsidRPr="00157F9D">
        <w:rPr>
          <w:noProof/>
          <w:lang w:val="fr-FR" w:eastAsia="es-BO"/>
        </w:rPr>
        <w:t>uide pour l</w:t>
      </w:r>
      <w:r w:rsidR="00FB1114" w:rsidRPr="00157F9D">
        <w:rPr>
          <w:noProof/>
          <w:lang w:val="fr-FR" w:eastAsia="es-BO"/>
        </w:rPr>
        <w:t>’</w:t>
      </w:r>
      <w:r w:rsidRPr="00157F9D">
        <w:rPr>
          <w:noProof/>
          <w:lang w:val="fr-FR" w:eastAsia="es-BO"/>
        </w:rPr>
        <w:t>application du Protocole d</w:t>
      </w:r>
      <w:r w:rsidR="00FB1114" w:rsidRPr="00157F9D">
        <w:rPr>
          <w:noProof/>
          <w:lang w:val="fr-FR" w:eastAsia="es-BO"/>
        </w:rPr>
        <w:t>’</w:t>
      </w:r>
      <w:r w:rsidRPr="00157F9D">
        <w:rPr>
          <w:noProof/>
          <w:lang w:val="fr-FR" w:eastAsia="es-BO"/>
        </w:rPr>
        <w:t>Istanbul dans les enquêtes sur les infractions de tortures et mauvais traitements,</w:t>
      </w:r>
      <w:r w:rsidRPr="002D3C74">
        <w:rPr>
          <w:noProof/>
          <w:lang w:val="fr-FR" w:eastAsia="es-BO"/>
        </w:rPr>
        <w:t xml:space="preserve"> qui cont</w:t>
      </w:r>
      <w:r w:rsidR="00157F9D">
        <w:rPr>
          <w:noProof/>
          <w:lang w:val="fr-FR" w:eastAsia="es-BO"/>
        </w:rPr>
        <w:t>ien</w:t>
      </w:r>
      <w:r w:rsidRPr="002D3C74">
        <w:rPr>
          <w:noProof/>
          <w:lang w:val="fr-FR" w:eastAsia="es-BO"/>
        </w:rPr>
        <w:t>t les directives à suivre pour définir le critère d</w:t>
      </w:r>
      <w:r w:rsidR="00FB1114">
        <w:rPr>
          <w:noProof/>
          <w:lang w:val="fr-FR" w:eastAsia="es-BO"/>
        </w:rPr>
        <w:t>’</w:t>
      </w:r>
      <w:r w:rsidRPr="002D3C74">
        <w:rPr>
          <w:noProof/>
          <w:lang w:val="fr-FR" w:eastAsia="es-BO"/>
        </w:rPr>
        <w:t>intervention et exercer l</w:t>
      </w:r>
      <w:r w:rsidR="00FB1114">
        <w:rPr>
          <w:noProof/>
          <w:lang w:val="fr-FR" w:eastAsia="es-BO"/>
        </w:rPr>
        <w:t>’</w:t>
      </w:r>
      <w:r w:rsidRPr="002D3C74">
        <w:rPr>
          <w:noProof/>
          <w:lang w:val="fr-FR" w:eastAsia="es-BO"/>
        </w:rPr>
        <w:t>action publique lorsqu</w:t>
      </w:r>
      <w:r w:rsidR="00FB1114">
        <w:rPr>
          <w:noProof/>
          <w:lang w:val="fr-FR" w:eastAsia="es-BO"/>
        </w:rPr>
        <w:t>’</w:t>
      </w:r>
      <w:r w:rsidRPr="002D3C74">
        <w:rPr>
          <w:noProof/>
          <w:lang w:val="fr-FR" w:eastAsia="es-BO"/>
        </w:rPr>
        <w:t>elle est envisagée.</w:t>
      </w:r>
    </w:p>
    <w:p w:rsidR="00614A7E" w:rsidRPr="002D3C74" w:rsidRDefault="00614A7E" w:rsidP="00614A7E">
      <w:pPr>
        <w:pStyle w:val="SingleTxtG"/>
        <w:rPr>
          <w:noProof/>
          <w:lang w:val="fr-FR" w:eastAsia="es-BO"/>
        </w:rPr>
      </w:pPr>
      <w:r w:rsidRPr="002D3C74">
        <w:rPr>
          <w:noProof/>
          <w:lang w:val="fr-FR" w:eastAsia="es-BO"/>
        </w:rPr>
        <w:t>54.</w:t>
      </w:r>
      <w:r w:rsidRPr="002D3C74">
        <w:rPr>
          <w:noProof/>
          <w:lang w:val="fr-FR" w:eastAsia="es-BO"/>
        </w:rPr>
        <w:tab/>
        <w:t>À cet égard,</w:t>
      </w:r>
      <w:r w:rsidR="00593789">
        <w:rPr>
          <w:noProof/>
          <w:lang w:val="fr-FR" w:eastAsia="es-BO"/>
        </w:rPr>
        <w:t xml:space="preserve"> </w:t>
      </w:r>
      <w:r w:rsidRPr="002D3C74">
        <w:rPr>
          <w:noProof/>
          <w:lang w:val="fr-FR" w:eastAsia="es-BO"/>
        </w:rPr>
        <w:t>le juge, lors d</w:t>
      </w:r>
      <w:r w:rsidR="00FB1114">
        <w:rPr>
          <w:noProof/>
          <w:lang w:val="fr-FR" w:eastAsia="es-BO"/>
        </w:rPr>
        <w:t>’</w:t>
      </w:r>
      <w:r w:rsidRPr="002D3C74">
        <w:rPr>
          <w:noProof/>
          <w:lang w:val="fr-FR" w:eastAsia="es-BO"/>
        </w:rPr>
        <w:t>une audience publique, notifie à l</w:t>
      </w:r>
      <w:r w:rsidR="00FB1114">
        <w:rPr>
          <w:noProof/>
          <w:lang w:val="fr-FR" w:eastAsia="es-BO"/>
        </w:rPr>
        <w:t>’</w:t>
      </w:r>
      <w:r w:rsidRPr="002D3C74">
        <w:rPr>
          <w:noProof/>
          <w:lang w:val="fr-FR" w:eastAsia="es-BO"/>
        </w:rPr>
        <w:t>accusé, en présence de son défenseur, les motifs de son placement en détention et, si l</w:t>
      </w:r>
      <w:r w:rsidR="00FB1114">
        <w:rPr>
          <w:noProof/>
          <w:lang w:val="fr-FR" w:eastAsia="es-BO"/>
        </w:rPr>
        <w:t>’</w:t>
      </w:r>
      <w:r w:rsidRPr="002D3C74">
        <w:rPr>
          <w:noProof/>
          <w:lang w:val="fr-FR" w:eastAsia="es-BO"/>
        </w:rPr>
        <w:t>existence de blessures est constatée, ordonne au ministère public de saisir un médecin légiste pour une évaluation de ces blessures.</w:t>
      </w:r>
    </w:p>
    <w:p w:rsidR="00614A7E" w:rsidRPr="00DF456A" w:rsidRDefault="00614A7E" w:rsidP="00614A7E">
      <w:pPr>
        <w:pStyle w:val="H1G"/>
        <w:rPr>
          <w:noProof/>
          <w:lang w:val="fr-FR"/>
        </w:rPr>
      </w:pPr>
      <w:r w:rsidRPr="00DF456A">
        <w:rPr>
          <w:noProof/>
          <w:lang w:val="fr-FR"/>
        </w:rPr>
        <w:tab/>
      </w:r>
      <w:r w:rsidRPr="00DF456A">
        <w:rPr>
          <w:noProof/>
          <w:lang w:val="fr-FR"/>
        </w:rPr>
        <w:tab/>
        <w:t>Art</w:t>
      </w:r>
      <w:r>
        <w:rPr>
          <w:noProof/>
          <w:lang w:val="fr-FR"/>
        </w:rPr>
        <w:t>icle</w:t>
      </w:r>
      <w:r w:rsidRPr="00DF456A">
        <w:rPr>
          <w:noProof/>
          <w:lang w:val="fr-FR"/>
        </w:rPr>
        <w:t xml:space="preserve"> 13</w:t>
      </w:r>
      <w:r w:rsidRPr="00DF456A">
        <w:rPr>
          <w:noProof/>
          <w:lang w:val="fr-FR"/>
        </w:rPr>
        <w:br/>
      </w:r>
      <w:r w:rsidRPr="003F01BF">
        <w:rPr>
          <w:noProof/>
          <w:lang w:val="fr-FR"/>
        </w:rPr>
        <w:t>Accès à la justice</w:t>
      </w:r>
    </w:p>
    <w:p w:rsidR="00614A7E" w:rsidRPr="002D3C74" w:rsidRDefault="00614A7E" w:rsidP="00614A7E">
      <w:pPr>
        <w:pStyle w:val="SingleTxtG"/>
        <w:rPr>
          <w:noProof/>
          <w:lang w:val="fr-FR" w:eastAsia="es-BO"/>
        </w:rPr>
      </w:pPr>
      <w:r w:rsidRPr="00DF456A">
        <w:rPr>
          <w:noProof/>
          <w:lang w:val="fr-FR" w:eastAsia="es-BO"/>
        </w:rPr>
        <w:t>55.</w:t>
      </w:r>
      <w:r w:rsidRPr="00DF456A">
        <w:rPr>
          <w:noProof/>
          <w:lang w:val="fr-FR" w:eastAsia="es-BO"/>
        </w:rPr>
        <w:tab/>
      </w:r>
      <w:r>
        <w:rPr>
          <w:noProof/>
          <w:lang w:val="fr-FR" w:eastAsia="es-BO"/>
        </w:rPr>
        <w:t>L</w:t>
      </w:r>
      <w:r w:rsidR="00FB1114">
        <w:rPr>
          <w:noProof/>
          <w:lang w:val="fr-FR" w:eastAsia="es-BO"/>
        </w:rPr>
        <w:t>’</w:t>
      </w:r>
      <w:r>
        <w:rPr>
          <w:noProof/>
          <w:lang w:val="fr-FR" w:eastAsia="es-BO"/>
        </w:rPr>
        <w:t>État a fourni des renseignements sur l</w:t>
      </w:r>
      <w:r w:rsidR="00FB1114">
        <w:rPr>
          <w:noProof/>
          <w:lang w:val="fr-FR" w:eastAsia="es-BO"/>
        </w:rPr>
        <w:t>’</w:t>
      </w:r>
      <w:r>
        <w:rPr>
          <w:noProof/>
          <w:lang w:val="fr-FR" w:eastAsia="es-BO"/>
        </w:rPr>
        <w:t>application de l</w:t>
      </w:r>
      <w:r w:rsidR="00FB1114">
        <w:rPr>
          <w:noProof/>
          <w:lang w:val="fr-FR" w:eastAsia="es-BO"/>
        </w:rPr>
        <w:t>’</w:t>
      </w:r>
      <w:r>
        <w:rPr>
          <w:noProof/>
          <w:lang w:val="fr-FR" w:eastAsia="es-BO"/>
        </w:rPr>
        <w:t>article</w:t>
      </w:r>
      <w:r w:rsidR="002D3C74">
        <w:rPr>
          <w:noProof/>
          <w:lang w:val="fr-FR" w:eastAsia="es-BO"/>
        </w:rPr>
        <w:t> </w:t>
      </w:r>
      <w:r>
        <w:rPr>
          <w:noProof/>
          <w:lang w:val="fr-FR" w:eastAsia="es-BO"/>
        </w:rPr>
        <w:t xml:space="preserve">13 de la Convention dans le deuxième rapport périodique </w:t>
      </w:r>
      <w:r w:rsidRPr="00DF456A">
        <w:rPr>
          <w:noProof/>
          <w:lang w:val="fr-FR" w:eastAsia="es-BO"/>
        </w:rPr>
        <w:t>(p</w:t>
      </w:r>
      <w:r>
        <w:rPr>
          <w:noProof/>
          <w:lang w:val="fr-FR" w:eastAsia="es-BO"/>
        </w:rPr>
        <w:t>ar</w:t>
      </w:r>
      <w:r w:rsidRPr="00DF456A">
        <w:rPr>
          <w:noProof/>
          <w:lang w:val="fr-FR" w:eastAsia="es-BO"/>
        </w:rPr>
        <w:t>.</w:t>
      </w:r>
      <w:r w:rsidR="002D3C74">
        <w:rPr>
          <w:noProof/>
          <w:lang w:val="fr-FR" w:eastAsia="es-BO"/>
        </w:rPr>
        <w:t> </w:t>
      </w:r>
      <w:r>
        <w:rPr>
          <w:noProof/>
          <w:lang w:val="fr-FR" w:eastAsia="es-BO"/>
        </w:rPr>
        <w:t>150 et 151)</w:t>
      </w:r>
      <w:r w:rsidRPr="00DF456A">
        <w:rPr>
          <w:noProof/>
          <w:lang w:val="fr-FR" w:eastAsia="es-BO"/>
        </w:rPr>
        <w:t>.</w:t>
      </w:r>
    </w:p>
    <w:p w:rsidR="00614A7E" w:rsidRPr="002D3C74" w:rsidRDefault="00614A7E" w:rsidP="00614A7E">
      <w:pPr>
        <w:pStyle w:val="SingleTxtG"/>
        <w:rPr>
          <w:noProof/>
          <w:lang w:val="fr-FR" w:eastAsia="es-BO"/>
        </w:rPr>
      </w:pPr>
      <w:r w:rsidRPr="002D3C74">
        <w:rPr>
          <w:noProof/>
          <w:lang w:val="fr-FR" w:eastAsia="es-BO"/>
        </w:rPr>
        <w:t>56.</w:t>
      </w:r>
      <w:r w:rsidRPr="002D3C74">
        <w:rPr>
          <w:noProof/>
          <w:lang w:val="fr-FR" w:eastAsia="es-BO"/>
        </w:rPr>
        <w:tab/>
        <w:t>En outre, il convient de noter qu</w:t>
      </w:r>
      <w:r w:rsidR="00FB1114">
        <w:rPr>
          <w:noProof/>
          <w:lang w:val="fr-FR" w:eastAsia="es-BO"/>
        </w:rPr>
        <w:t>’</w:t>
      </w:r>
      <w:r w:rsidRPr="002D3C74">
        <w:rPr>
          <w:noProof/>
          <w:lang w:val="fr-FR" w:eastAsia="es-BO"/>
        </w:rPr>
        <w:t>en ce qui concerne les mécanismes de protection des plaignants et des témoins visés par les directives générales (HRI/GEN/2/Rev.6, par.</w:t>
      </w:r>
      <w:r w:rsidR="002D3C74" w:rsidRPr="002D3C74">
        <w:rPr>
          <w:noProof/>
          <w:lang w:val="fr-FR" w:eastAsia="es-BO"/>
        </w:rPr>
        <w:t> </w:t>
      </w:r>
      <w:r w:rsidRPr="002D3C74">
        <w:rPr>
          <w:noProof/>
          <w:lang w:val="fr-FR" w:eastAsia="es-BO"/>
        </w:rPr>
        <w:t xml:space="preserve">22.3), la loi </w:t>
      </w:r>
      <w:r w:rsidR="002D3C74" w:rsidRPr="002D3C74">
        <w:rPr>
          <w:rFonts w:eastAsia="MS Mincho"/>
          <w:noProof/>
          <w:lang w:val="fr-FR"/>
        </w:rPr>
        <w:t>n</w:t>
      </w:r>
      <w:r w:rsidR="002D3C74" w:rsidRPr="002D3C74">
        <w:rPr>
          <w:rFonts w:eastAsia="MS Mincho"/>
          <w:noProof/>
          <w:vertAlign w:val="superscript"/>
          <w:lang w:val="fr-FR"/>
        </w:rPr>
        <w:t>o</w:t>
      </w:r>
      <w:r w:rsidR="002D3C74" w:rsidRPr="002D3C74">
        <w:rPr>
          <w:noProof/>
          <w:lang w:val="fr-FR"/>
        </w:rPr>
        <w:t> </w:t>
      </w:r>
      <w:r w:rsidRPr="002D3C74">
        <w:rPr>
          <w:noProof/>
          <w:lang w:val="fr-FR" w:eastAsia="es-BO"/>
        </w:rPr>
        <w:t>458 du 19</w:t>
      </w:r>
      <w:r w:rsidR="002D3C74" w:rsidRPr="002D3C74">
        <w:rPr>
          <w:noProof/>
          <w:lang w:val="fr-FR" w:eastAsia="es-BO"/>
        </w:rPr>
        <w:t> </w:t>
      </w:r>
      <w:r w:rsidRPr="002D3C74">
        <w:rPr>
          <w:noProof/>
          <w:lang w:val="fr-FR" w:eastAsia="es-BO"/>
        </w:rPr>
        <w:t>décembre 2013 institue le système de protection des plaignants et des témoins, en prévoyant également des mécanismes de protection des agents et anciens agents de l</w:t>
      </w:r>
      <w:r w:rsidR="00FB1114">
        <w:rPr>
          <w:noProof/>
          <w:lang w:val="fr-FR" w:eastAsia="es-BO"/>
        </w:rPr>
        <w:t>’</w:t>
      </w:r>
      <w:r w:rsidRPr="002D3C74">
        <w:rPr>
          <w:noProof/>
          <w:lang w:val="fr-FR" w:eastAsia="es-BO"/>
        </w:rPr>
        <w:t>État, des particuliers et des membres de leur famille susceptibles de faire l</w:t>
      </w:r>
      <w:r w:rsidR="00FB1114">
        <w:rPr>
          <w:noProof/>
          <w:lang w:val="fr-FR" w:eastAsia="es-BO"/>
        </w:rPr>
        <w:t>’</w:t>
      </w:r>
      <w:r w:rsidRPr="002D3C74">
        <w:rPr>
          <w:noProof/>
          <w:lang w:val="fr-FR" w:eastAsia="es-BO"/>
        </w:rPr>
        <w:t>objet de représailles.</w:t>
      </w:r>
    </w:p>
    <w:p w:rsidR="00614A7E" w:rsidRPr="00E31B0D" w:rsidRDefault="00614A7E" w:rsidP="00614A7E">
      <w:pPr>
        <w:pStyle w:val="SingleTxtG"/>
        <w:rPr>
          <w:noProof/>
          <w:lang w:val="fr-FR" w:eastAsia="es-BO"/>
        </w:rPr>
      </w:pPr>
      <w:r w:rsidRPr="00E31B0D">
        <w:rPr>
          <w:noProof/>
          <w:lang w:val="fr-FR" w:eastAsia="es-BO"/>
        </w:rPr>
        <w:t>57.</w:t>
      </w:r>
      <w:r w:rsidRPr="00E31B0D">
        <w:rPr>
          <w:noProof/>
          <w:lang w:val="fr-FR" w:eastAsia="es-BO"/>
        </w:rPr>
        <w:tab/>
        <w:t>De même, l</w:t>
      </w:r>
      <w:r w:rsidR="00FB1114" w:rsidRPr="00E31B0D">
        <w:rPr>
          <w:noProof/>
          <w:lang w:val="fr-FR" w:eastAsia="es-BO"/>
        </w:rPr>
        <w:t>’</w:t>
      </w:r>
      <w:r w:rsidRPr="00E31B0D">
        <w:rPr>
          <w:noProof/>
          <w:lang w:val="fr-FR" w:eastAsia="es-BO"/>
        </w:rPr>
        <w:t>article</w:t>
      </w:r>
      <w:r w:rsidR="002D3C74" w:rsidRPr="00E31B0D">
        <w:rPr>
          <w:noProof/>
          <w:lang w:val="fr-FR" w:eastAsia="es-BO"/>
        </w:rPr>
        <w:t> </w:t>
      </w:r>
      <w:r w:rsidRPr="00E31B0D">
        <w:rPr>
          <w:rFonts w:eastAsia="Calibri"/>
          <w:noProof/>
          <w:lang w:val="fr-FR" w:eastAsia="es-BO"/>
        </w:rPr>
        <w:t xml:space="preserve">11 de la loi </w:t>
      </w:r>
      <w:r w:rsidR="002D3C74" w:rsidRPr="00E31B0D">
        <w:rPr>
          <w:rFonts w:eastAsia="MS Mincho"/>
          <w:noProof/>
          <w:szCs w:val="22"/>
          <w:lang w:val="fr-FR"/>
        </w:rPr>
        <w:t>n</w:t>
      </w:r>
      <w:r w:rsidR="002D3C74" w:rsidRPr="00E31B0D">
        <w:rPr>
          <w:rFonts w:eastAsia="MS Mincho"/>
          <w:noProof/>
          <w:szCs w:val="22"/>
          <w:vertAlign w:val="superscript"/>
          <w:lang w:val="fr-FR"/>
        </w:rPr>
        <w:t>o</w:t>
      </w:r>
      <w:r w:rsidR="002D3C74" w:rsidRPr="00E31B0D">
        <w:rPr>
          <w:noProof/>
          <w:lang w:val="fr-FR"/>
        </w:rPr>
        <w:t> </w:t>
      </w:r>
      <w:r w:rsidRPr="00E31B0D">
        <w:rPr>
          <w:rFonts w:eastAsia="Calibri"/>
          <w:noProof/>
          <w:lang w:val="fr-FR" w:eastAsia="es-BO"/>
        </w:rPr>
        <w:t>260 dispose ce qui suit</w:t>
      </w:r>
      <w:r w:rsidR="00E31B0D">
        <w:rPr>
          <w:rFonts w:eastAsia="Calibri"/>
          <w:noProof/>
          <w:lang w:val="fr-FR" w:eastAsia="es-BO"/>
        </w:rPr>
        <w:t> </w:t>
      </w:r>
      <w:r w:rsidRPr="00E31B0D">
        <w:rPr>
          <w:rFonts w:eastAsia="Calibri"/>
          <w:noProof/>
          <w:lang w:val="fr-FR" w:eastAsia="es-BO"/>
        </w:rPr>
        <w:t xml:space="preserve">: </w:t>
      </w:r>
      <w:r w:rsidRPr="00E31B0D">
        <w:rPr>
          <w:lang w:val="fr-FR"/>
        </w:rPr>
        <w:t xml:space="preserve">« </w:t>
      </w:r>
      <w:r w:rsidRPr="00E31B0D">
        <w:rPr>
          <w:noProof/>
          <w:lang w:val="fr-FR"/>
        </w:rPr>
        <w:t>I. En concertation avec la Police bolivienne, les organes de l</w:t>
      </w:r>
      <w:r w:rsidR="00FB1114" w:rsidRPr="00E31B0D">
        <w:rPr>
          <w:noProof/>
          <w:lang w:val="fr-FR"/>
        </w:rPr>
        <w:t>’</w:t>
      </w:r>
      <w:r w:rsidRPr="00E31B0D">
        <w:rPr>
          <w:noProof/>
          <w:lang w:val="fr-FR"/>
        </w:rPr>
        <w:t>État et les institutions publiques, le ministère public assure la protection des personnes que leur collaboration avec la justice pourrait mettre en danger. À cette fin, il met en œuvre des programmes permanents de protection des témoins, des plaignants, des experts, des victimes et de ses fonctionnaires. II. Cette protection est notamment assurée lorsque les infractions commises sont liées à la criminalité organisée, à la corruption, au trafic de drogues, à la traite et au trafic illicite des personnes ou à des violations des droits fondamentaux, ou qu</w:t>
      </w:r>
      <w:r w:rsidR="00FB1114" w:rsidRPr="00E31B0D">
        <w:rPr>
          <w:noProof/>
          <w:lang w:val="fr-FR"/>
        </w:rPr>
        <w:t>’</w:t>
      </w:r>
      <w:r w:rsidRPr="00E31B0D">
        <w:rPr>
          <w:noProof/>
          <w:lang w:val="fr-FR"/>
        </w:rPr>
        <w:t>elles visent des femmes, des enfants et des adolescents</w:t>
      </w:r>
      <w:r w:rsidR="003B609B" w:rsidRPr="00E31B0D">
        <w:rPr>
          <w:noProof/>
          <w:lang w:val="fr-FR"/>
        </w:rPr>
        <w:t> </w:t>
      </w:r>
      <w:r w:rsidRPr="00E31B0D">
        <w:rPr>
          <w:noProof/>
          <w:lang w:val="fr-FR"/>
        </w:rPr>
        <w:t>»</w:t>
      </w:r>
      <w:r w:rsidRPr="00E31B0D">
        <w:rPr>
          <w:rFonts w:eastAsia="Calibri"/>
          <w:noProof/>
          <w:lang w:val="fr-FR"/>
        </w:rPr>
        <w:t>.</w:t>
      </w:r>
    </w:p>
    <w:p w:rsidR="00614A7E" w:rsidRPr="00157F9D" w:rsidRDefault="00614A7E" w:rsidP="00614A7E">
      <w:pPr>
        <w:pStyle w:val="SingleTxtG"/>
        <w:rPr>
          <w:noProof/>
          <w:lang w:val="fr-FR" w:eastAsia="es-BO"/>
        </w:rPr>
      </w:pPr>
      <w:r w:rsidRPr="003B609B">
        <w:rPr>
          <w:noProof/>
          <w:lang w:val="fr-FR" w:eastAsia="es-BO"/>
        </w:rPr>
        <w:t>58.</w:t>
      </w:r>
      <w:r w:rsidRPr="003B609B">
        <w:rPr>
          <w:noProof/>
          <w:lang w:val="fr-FR" w:eastAsia="es-BO"/>
        </w:rPr>
        <w:tab/>
        <w:t>À cet égard, le ministère public s</w:t>
      </w:r>
      <w:r w:rsidR="00FB1114">
        <w:rPr>
          <w:noProof/>
          <w:lang w:val="fr-FR" w:eastAsia="es-BO"/>
        </w:rPr>
        <w:t>’</w:t>
      </w:r>
      <w:r w:rsidRPr="003B609B">
        <w:rPr>
          <w:noProof/>
          <w:lang w:val="fr-FR" w:eastAsia="es-BO"/>
        </w:rPr>
        <w:t>emploie, par l</w:t>
      </w:r>
      <w:r w:rsidR="00FB1114">
        <w:rPr>
          <w:noProof/>
          <w:lang w:val="fr-FR" w:eastAsia="es-BO"/>
        </w:rPr>
        <w:t>’</w:t>
      </w:r>
      <w:r w:rsidRPr="003B609B">
        <w:rPr>
          <w:noProof/>
          <w:lang w:val="fr-FR" w:eastAsia="es-BO"/>
        </w:rPr>
        <w:t>intermédiaire de la D</w:t>
      </w:r>
      <w:r w:rsidRPr="003B609B">
        <w:rPr>
          <w:noProof/>
          <w:lang w:val="fr-FR"/>
        </w:rPr>
        <w:t>irection de la protection et de l</w:t>
      </w:r>
      <w:r w:rsidR="00FB1114">
        <w:rPr>
          <w:noProof/>
          <w:lang w:val="fr-FR"/>
        </w:rPr>
        <w:t>’</w:t>
      </w:r>
      <w:r w:rsidRPr="003B609B">
        <w:rPr>
          <w:noProof/>
          <w:lang w:val="fr-FR"/>
        </w:rPr>
        <w:t>assistance aux victimes, témoins et fonctionnaires du ministère public,</w:t>
      </w:r>
      <w:r w:rsidRPr="003B609B">
        <w:rPr>
          <w:noProof/>
          <w:lang w:val="fr-FR" w:eastAsia="es-BO"/>
        </w:rPr>
        <w:t xml:space="preserve"> </w:t>
      </w:r>
      <w:r w:rsidRPr="003B609B">
        <w:rPr>
          <w:noProof/>
          <w:lang w:val="fr-FR"/>
        </w:rPr>
        <w:t>à assurer protection et assistance aux victimes d</w:t>
      </w:r>
      <w:r w:rsidR="00FB1114">
        <w:rPr>
          <w:noProof/>
          <w:lang w:val="fr-FR"/>
        </w:rPr>
        <w:t>’</w:t>
      </w:r>
      <w:r w:rsidRPr="003B609B">
        <w:rPr>
          <w:noProof/>
          <w:lang w:val="fr-FR"/>
        </w:rPr>
        <w:t xml:space="preserve">infractions, aux témoins, aux personnes qui collaborent aux poursuites pénales et aux fonctionnaires du ministère public, et met en œuvre à cette fin </w:t>
      </w:r>
      <w:r w:rsidRPr="00157F9D">
        <w:rPr>
          <w:noProof/>
          <w:lang w:val="fr-FR"/>
        </w:rPr>
        <w:t xml:space="preserve">le </w:t>
      </w:r>
      <w:r w:rsidRPr="00157F9D">
        <w:rPr>
          <w:noProof/>
          <w:lang w:val="fr-FR" w:eastAsia="es-BO"/>
        </w:rPr>
        <w:t>Programme de protection des victimes, témoins, plaignants et fonctionnaires du ministère public.</w:t>
      </w:r>
    </w:p>
    <w:p w:rsidR="00614A7E" w:rsidRPr="003B609B" w:rsidRDefault="00614A7E" w:rsidP="00614A7E">
      <w:pPr>
        <w:pStyle w:val="SingleTxtG"/>
        <w:rPr>
          <w:noProof/>
          <w:lang w:val="fr-FR" w:eastAsia="es-BO"/>
        </w:rPr>
      </w:pPr>
      <w:r w:rsidRPr="003B609B">
        <w:rPr>
          <w:noProof/>
          <w:lang w:val="fr-FR" w:eastAsia="es-BO"/>
        </w:rPr>
        <w:lastRenderedPageBreak/>
        <w:t>59.</w:t>
      </w:r>
      <w:r w:rsidRPr="003B609B">
        <w:rPr>
          <w:noProof/>
          <w:lang w:val="fr-FR" w:eastAsia="es-BO"/>
        </w:rPr>
        <w:tab/>
      </w:r>
      <w:r w:rsidRPr="003B609B">
        <w:rPr>
          <w:noProof/>
          <w:lang w:val="fr-FR"/>
        </w:rPr>
        <w:t xml:space="preserve">Pour éviter une nouvelle victimisation, </w:t>
      </w:r>
      <w:r w:rsidRPr="003B609B">
        <w:rPr>
          <w:noProof/>
          <w:lang w:val="fr-FR" w:eastAsia="es-BO"/>
        </w:rPr>
        <w:t>la D</w:t>
      </w:r>
      <w:r w:rsidRPr="003B609B">
        <w:rPr>
          <w:noProof/>
          <w:lang w:val="fr-FR"/>
        </w:rPr>
        <w:t>irection de la protection et de l</w:t>
      </w:r>
      <w:r w:rsidR="00FB1114">
        <w:rPr>
          <w:noProof/>
          <w:lang w:val="fr-FR"/>
        </w:rPr>
        <w:t>’</w:t>
      </w:r>
      <w:r w:rsidRPr="003B609B">
        <w:rPr>
          <w:noProof/>
          <w:lang w:val="fr-FR"/>
        </w:rPr>
        <w:t>assistance aux victimes, témoins et fonctionnaires du ministère public</w:t>
      </w:r>
      <w:r w:rsidRPr="003B609B">
        <w:rPr>
          <w:noProof/>
          <w:lang w:val="fr-FR" w:eastAsia="es-BO"/>
        </w:rPr>
        <w:t xml:space="preserve"> </w:t>
      </w:r>
      <w:r w:rsidRPr="003B609B">
        <w:rPr>
          <w:noProof/>
          <w:lang w:val="fr-FR"/>
        </w:rPr>
        <w:t>a pour politique institutionnelle d</w:t>
      </w:r>
      <w:r w:rsidR="00FB1114">
        <w:rPr>
          <w:noProof/>
          <w:lang w:val="fr-FR"/>
        </w:rPr>
        <w:t>’</w:t>
      </w:r>
      <w:r w:rsidRPr="003B609B">
        <w:rPr>
          <w:noProof/>
          <w:lang w:val="fr-FR"/>
        </w:rPr>
        <w:t>enregistrer les entretiens avec les victimes au moyen de chambres d</w:t>
      </w:r>
      <w:r w:rsidR="00FB1114">
        <w:rPr>
          <w:noProof/>
          <w:lang w:val="fr-FR"/>
        </w:rPr>
        <w:t>’</w:t>
      </w:r>
      <w:r w:rsidRPr="003B609B">
        <w:rPr>
          <w:noProof/>
          <w:lang w:val="fr-FR"/>
        </w:rPr>
        <w:t>observation de Gesell en encourageant à cette fin l</w:t>
      </w:r>
      <w:r w:rsidR="00FB1114">
        <w:rPr>
          <w:noProof/>
          <w:lang w:val="fr-FR"/>
        </w:rPr>
        <w:t>’</w:t>
      </w:r>
      <w:r w:rsidRPr="003B609B">
        <w:rPr>
          <w:noProof/>
          <w:lang w:val="fr-FR"/>
        </w:rPr>
        <w:t>élaboration de protocoles conformes au modèle dit ISAP</w:t>
      </w:r>
      <w:r w:rsidRPr="003B609B">
        <w:rPr>
          <w:noProof/>
          <w:lang w:val="fr-FR" w:eastAsia="es-BO"/>
        </w:rPr>
        <w:t>.</w:t>
      </w:r>
    </w:p>
    <w:p w:rsidR="00614A7E" w:rsidRPr="003B609B" w:rsidRDefault="00614A7E" w:rsidP="00614A7E">
      <w:pPr>
        <w:pStyle w:val="SingleTxtG"/>
        <w:rPr>
          <w:noProof/>
          <w:lang w:val="fr-FR" w:eastAsia="es-BO"/>
        </w:rPr>
      </w:pPr>
      <w:r w:rsidRPr="003B609B">
        <w:rPr>
          <w:noProof/>
          <w:lang w:val="fr-FR" w:eastAsia="es-BO"/>
        </w:rPr>
        <w:t>60.</w:t>
      </w:r>
      <w:r w:rsidRPr="003B609B">
        <w:rPr>
          <w:noProof/>
          <w:lang w:val="fr-FR" w:eastAsia="es-BO"/>
        </w:rPr>
        <w:tab/>
      </w:r>
      <w:r w:rsidRPr="003B609B">
        <w:rPr>
          <w:rFonts w:eastAsia="Calibri"/>
          <w:noProof/>
          <w:lang w:val="fr-FR" w:eastAsia="es-BO"/>
        </w:rPr>
        <w:t xml:space="preserve">Le Bureau du Procureur général </w:t>
      </w:r>
      <w:r w:rsidRPr="003B609B">
        <w:rPr>
          <w:noProof/>
          <w:lang w:val="fr-FR"/>
        </w:rPr>
        <w:t>a publié des directives concernant la mise en mouvement des mécanismes de protection des victimes, plaignants, témoins</w:t>
      </w:r>
      <w:r w:rsidRPr="003B609B">
        <w:rPr>
          <w:rFonts w:eastAsia="Calibri"/>
          <w:noProof/>
          <w:vertAlign w:val="superscript"/>
          <w:lang w:val="fr-FR" w:eastAsia="es-BO"/>
        </w:rPr>
        <w:footnoteReference w:id="37"/>
      </w:r>
      <w:r w:rsidRPr="003B609B">
        <w:rPr>
          <w:noProof/>
          <w:lang w:val="fr-FR"/>
        </w:rPr>
        <w:t xml:space="preserve"> et autres personnes que leur collaboration avec la justice pourrait mettre en danger, conformément aux dispositions de l</w:t>
      </w:r>
      <w:r w:rsidR="00FB1114">
        <w:rPr>
          <w:noProof/>
          <w:lang w:val="fr-FR"/>
        </w:rPr>
        <w:t>’</w:t>
      </w:r>
      <w:r w:rsidRPr="003B609B">
        <w:rPr>
          <w:noProof/>
          <w:lang w:val="fr-FR"/>
        </w:rPr>
        <w:t>article</w:t>
      </w:r>
      <w:r w:rsidR="003B609B">
        <w:rPr>
          <w:noProof/>
          <w:lang w:val="fr-FR"/>
        </w:rPr>
        <w:t> </w:t>
      </w:r>
      <w:r w:rsidRPr="003B609B">
        <w:rPr>
          <w:noProof/>
          <w:lang w:val="fr-FR"/>
        </w:rPr>
        <w:t xml:space="preserve">11 de la loi </w:t>
      </w:r>
      <w:r w:rsidR="003B609B" w:rsidRPr="00857F6E">
        <w:rPr>
          <w:rFonts w:eastAsia="MS Mincho"/>
          <w:noProof/>
          <w:szCs w:val="22"/>
          <w:lang w:val="fr-FR"/>
        </w:rPr>
        <w:t>n</w:t>
      </w:r>
      <w:r w:rsidR="003B609B" w:rsidRPr="00857F6E">
        <w:rPr>
          <w:rFonts w:eastAsia="MS Mincho"/>
          <w:noProof/>
          <w:szCs w:val="22"/>
          <w:vertAlign w:val="superscript"/>
          <w:lang w:val="fr-FR"/>
        </w:rPr>
        <w:t>o</w:t>
      </w:r>
      <w:r w:rsidR="003B609B">
        <w:rPr>
          <w:noProof/>
          <w:lang w:val="fr-FR"/>
        </w:rPr>
        <w:t> </w:t>
      </w:r>
      <w:r w:rsidRPr="003B609B">
        <w:rPr>
          <w:rFonts w:eastAsia="Calibri"/>
          <w:noProof/>
          <w:lang w:val="fr-FR" w:eastAsia="es-BO"/>
        </w:rPr>
        <w:t>260</w:t>
      </w:r>
      <w:r w:rsidRPr="003B609B">
        <w:rPr>
          <w:rFonts w:eastAsia="Calibri"/>
          <w:noProof/>
          <w:vertAlign w:val="superscript"/>
          <w:lang w:val="fr-FR" w:eastAsia="es-BO"/>
        </w:rPr>
        <w:footnoteReference w:id="38"/>
      </w:r>
      <w:r w:rsidR="003B609B">
        <w:rPr>
          <w:rFonts w:eastAsia="Calibri"/>
          <w:noProof/>
          <w:lang w:val="fr-FR" w:eastAsia="es-BO"/>
        </w:rPr>
        <w:t> </w:t>
      </w:r>
      <w:r w:rsidRPr="003B609B">
        <w:rPr>
          <w:rFonts w:eastAsia="Calibri"/>
          <w:noProof/>
          <w:lang w:val="fr-FR" w:eastAsia="es-BO"/>
        </w:rPr>
        <w:t>;</w:t>
      </w:r>
      <w:r w:rsidRPr="003B609B">
        <w:rPr>
          <w:noProof/>
          <w:lang w:val="fr-FR"/>
        </w:rPr>
        <w:t xml:space="preserve"> cette protection se fonde sur les principes suivants :</w:t>
      </w:r>
      <w:r w:rsidRPr="003B609B">
        <w:rPr>
          <w:rFonts w:eastAsia="Calibri"/>
          <w:noProof/>
          <w:lang w:val="fr-FR" w:eastAsia="es-BO"/>
        </w:rPr>
        <w:t xml:space="preserve"> assistance, protection et suivi</w:t>
      </w:r>
      <w:r w:rsidRPr="003B609B">
        <w:rPr>
          <w:rFonts w:eastAsia="Calibri"/>
          <w:noProof/>
          <w:vertAlign w:val="superscript"/>
          <w:lang w:val="fr-FR" w:eastAsia="es-BO"/>
        </w:rPr>
        <w:footnoteReference w:id="39"/>
      </w:r>
      <w:r w:rsidRPr="003B609B">
        <w:rPr>
          <w:rFonts w:eastAsia="Calibri"/>
          <w:noProof/>
          <w:lang w:val="fr-FR" w:eastAsia="es-BO"/>
        </w:rPr>
        <w:t>.</w:t>
      </w:r>
    </w:p>
    <w:p w:rsidR="00614A7E" w:rsidRPr="003B609B" w:rsidRDefault="00614A7E" w:rsidP="00614A7E">
      <w:pPr>
        <w:pStyle w:val="SingleTxtG"/>
        <w:rPr>
          <w:noProof/>
          <w:lang w:val="fr-FR" w:eastAsia="es-BO"/>
        </w:rPr>
      </w:pPr>
      <w:r w:rsidRPr="003B609B">
        <w:rPr>
          <w:noProof/>
          <w:lang w:val="fr-FR" w:eastAsia="es-BO"/>
        </w:rPr>
        <w:t>61.</w:t>
      </w:r>
      <w:r w:rsidRPr="003B609B">
        <w:rPr>
          <w:noProof/>
          <w:lang w:val="fr-FR" w:eastAsia="es-BO"/>
        </w:rPr>
        <w:tab/>
      </w:r>
      <w:r w:rsidRPr="003B609B">
        <w:rPr>
          <w:noProof/>
          <w:lang w:val="fr-FR"/>
        </w:rPr>
        <w:t>Outre ces mécanismes de protection, des mesures de sûreté sont prévues, tant dans le cadre de la détention provisoire que dans le cadre des mesures de substitution, notamment l</w:t>
      </w:r>
      <w:r w:rsidR="00FB1114">
        <w:rPr>
          <w:noProof/>
          <w:lang w:val="fr-FR"/>
        </w:rPr>
        <w:t>’</w:t>
      </w:r>
      <w:r w:rsidRPr="003B609B">
        <w:rPr>
          <w:noProof/>
          <w:lang w:val="fr-FR"/>
        </w:rPr>
        <w:t>assignation à domicile, l</w:t>
      </w:r>
      <w:r w:rsidR="00FB1114">
        <w:rPr>
          <w:noProof/>
          <w:lang w:val="fr-FR"/>
        </w:rPr>
        <w:t>’</w:t>
      </w:r>
      <w:r w:rsidRPr="003B609B">
        <w:rPr>
          <w:noProof/>
          <w:lang w:val="fr-FR"/>
        </w:rPr>
        <w:t>interdiction d</w:t>
      </w:r>
      <w:r w:rsidR="00FB1114">
        <w:rPr>
          <w:noProof/>
          <w:lang w:val="fr-FR"/>
        </w:rPr>
        <w:t>’</w:t>
      </w:r>
      <w:r w:rsidRPr="003B609B">
        <w:rPr>
          <w:noProof/>
          <w:lang w:val="fr-FR"/>
        </w:rPr>
        <w:t>approcher la victime et les plaignants, notamment, et d</w:t>
      </w:r>
      <w:r w:rsidR="00FB1114">
        <w:rPr>
          <w:noProof/>
          <w:lang w:val="fr-FR"/>
        </w:rPr>
        <w:t>’</w:t>
      </w:r>
      <w:r w:rsidRPr="003B609B">
        <w:rPr>
          <w:noProof/>
          <w:lang w:val="fr-FR"/>
        </w:rPr>
        <w:t>autres mesures restrictives analogues</w:t>
      </w:r>
      <w:r w:rsidRPr="003B609B">
        <w:rPr>
          <w:rFonts w:eastAsia="Calibri"/>
          <w:noProof/>
          <w:lang w:val="fr-FR" w:eastAsia="es-BO"/>
        </w:rPr>
        <w:t>.</w:t>
      </w:r>
    </w:p>
    <w:p w:rsidR="00614A7E" w:rsidRPr="00062F4F" w:rsidRDefault="00614A7E" w:rsidP="00614A7E">
      <w:pPr>
        <w:pStyle w:val="H1G"/>
        <w:rPr>
          <w:noProof/>
          <w:lang w:val="fr-FR"/>
        </w:rPr>
      </w:pPr>
      <w:r w:rsidRPr="00DF456A">
        <w:rPr>
          <w:noProof/>
          <w:lang w:val="fr-FR"/>
        </w:rPr>
        <w:tab/>
      </w:r>
      <w:r w:rsidRPr="00DF456A">
        <w:rPr>
          <w:noProof/>
          <w:lang w:val="fr-FR"/>
        </w:rPr>
        <w:tab/>
      </w:r>
      <w:r w:rsidRPr="00062F4F">
        <w:rPr>
          <w:noProof/>
          <w:lang w:val="fr-FR"/>
        </w:rPr>
        <w:t>Article 14</w:t>
      </w:r>
      <w:r w:rsidRPr="00062F4F">
        <w:rPr>
          <w:noProof/>
          <w:lang w:val="fr-FR"/>
        </w:rPr>
        <w:br/>
        <w:t>Droit à réparation</w:t>
      </w:r>
    </w:p>
    <w:p w:rsidR="00614A7E" w:rsidRPr="00345AC0" w:rsidRDefault="00614A7E" w:rsidP="00614A7E">
      <w:pPr>
        <w:pStyle w:val="SingleTxtG"/>
        <w:rPr>
          <w:noProof/>
          <w:lang w:val="fr-FR" w:eastAsia="es-BO"/>
        </w:rPr>
      </w:pPr>
      <w:r w:rsidRPr="00DF456A">
        <w:rPr>
          <w:noProof/>
          <w:lang w:val="fr-FR" w:eastAsia="es-BO"/>
        </w:rPr>
        <w:t>62.</w:t>
      </w:r>
      <w:r w:rsidRPr="00DF456A">
        <w:rPr>
          <w:noProof/>
          <w:lang w:val="fr-FR" w:eastAsia="es-BO"/>
        </w:rPr>
        <w:tab/>
      </w:r>
      <w:r>
        <w:rPr>
          <w:noProof/>
          <w:lang w:val="fr-FR" w:eastAsia="es-BO"/>
        </w:rPr>
        <w:t>L</w:t>
      </w:r>
      <w:r w:rsidR="00FB1114">
        <w:rPr>
          <w:noProof/>
          <w:lang w:val="fr-FR" w:eastAsia="es-BO"/>
        </w:rPr>
        <w:t>’</w:t>
      </w:r>
      <w:r>
        <w:rPr>
          <w:noProof/>
          <w:lang w:val="fr-FR" w:eastAsia="es-BO"/>
        </w:rPr>
        <w:t>État a fourni des renseignements sur l</w:t>
      </w:r>
      <w:r w:rsidR="00FB1114">
        <w:rPr>
          <w:noProof/>
          <w:lang w:val="fr-FR" w:eastAsia="es-BO"/>
        </w:rPr>
        <w:t>’</w:t>
      </w:r>
      <w:r>
        <w:rPr>
          <w:noProof/>
          <w:lang w:val="fr-FR" w:eastAsia="es-BO"/>
        </w:rPr>
        <w:t>application de l</w:t>
      </w:r>
      <w:r w:rsidR="00FB1114">
        <w:rPr>
          <w:noProof/>
          <w:lang w:val="fr-FR" w:eastAsia="es-BO"/>
        </w:rPr>
        <w:t>’</w:t>
      </w:r>
      <w:r>
        <w:rPr>
          <w:noProof/>
          <w:lang w:val="fr-FR" w:eastAsia="es-BO"/>
        </w:rPr>
        <w:t>article</w:t>
      </w:r>
      <w:r w:rsidR="00345AC0">
        <w:rPr>
          <w:noProof/>
          <w:lang w:val="fr-FR" w:eastAsia="es-BO"/>
        </w:rPr>
        <w:t> </w:t>
      </w:r>
      <w:r>
        <w:rPr>
          <w:noProof/>
          <w:lang w:val="fr-FR" w:eastAsia="es-BO"/>
        </w:rPr>
        <w:t xml:space="preserve">14 de la Convention dans le deuxième rapport périodique </w:t>
      </w:r>
      <w:r w:rsidRPr="00DF456A">
        <w:rPr>
          <w:noProof/>
          <w:lang w:val="fr-FR" w:eastAsia="es-BO"/>
        </w:rPr>
        <w:t>(p</w:t>
      </w:r>
      <w:r>
        <w:rPr>
          <w:noProof/>
          <w:lang w:val="fr-FR" w:eastAsia="es-BO"/>
        </w:rPr>
        <w:t>ar</w:t>
      </w:r>
      <w:r w:rsidRPr="00DF456A">
        <w:rPr>
          <w:noProof/>
          <w:lang w:val="fr-FR" w:eastAsia="es-BO"/>
        </w:rPr>
        <w:t>.</w:t>
      </w:r>
      <w:r w:rsidR="00345AC0">
        <w:rPr>
          <w:noProof/>
          <w:lang w:val="fr-FR" w:eastAsia="es-BO"/>
        </w:rPr>
        <w:t> </w:t>
      </w:r>
      <w:r>
        <w:rPr>
          <w:noProof/>
          <w:lang w:val="fr-FR" w:eastAsia="es-BO"/>
        </w:rPr>
        <w:t>152 et 153)</w:t>
      </w:r>
      <w:r w:rsidRPr="00DF456A">
        <w:rPr>
          <w:noProof/>
          <w:lang w:val="fr-FR" w:eastAsia="es-BO"/>
        </w:rPr>
        <w:t>.</w:t>
      </w:r>
    </w:p>
    <w:p w:rsidR="00614A7E" w:rsidRPr="00DF456A" w:rsidRDefault="00614A7E" w:rsidP="00614A7E">
      <w:pPr>
        <w:pStyle w:val="H1G"/>
        <w:rPr>
          <w:noProof/>
          <w:lang w:val="fr-FR"/>
        </w:rPr>
      </w:pPr>
      <w:r w:rsidRPr="00DF456A">
        <w:rPr>
          <w:noProof/>
          <w:lang w:val="fr-FR"/>
        </w:rPr>
        <w:tab/>
      </w:r>
      <w:r w:rsidRPr="00DF456A">
        <w:rPr>
          <w:noProof/>
          <w:lang w:val="fr-FR"/>
        </w:rPr>
        <w:tab/>
      </w:r>
      <w:r>
        <w:rPr>
          <w:noProof/>
          <w:lang w:val="fr-FR"/>
        </w:rPr>
        <w:t>Article</w:t>
      </w:r>
      <w:r w:rsidRPr="00DF456A">
        <w:rPr>
          <w:noProof/>
          <w:lang w:val="fr-FR"/>
        </w:rPr>
        <w:t xml:space="preserve"> 16</w:t>
      </w:r>
      <w:r w:rsidRPr="00DF456A">
        <w:rPr>
          <w:noProof/>
          <w:lang w:val="fr-FR"/>
        </w:rPr>
        <w:br/>
      </w:r>
      <w:r w:rsidRPr="00062F4F">
        <w:rPr>
          <w:noProof/>
          <w:lang w:val="fr-FR"/>
        </w:rPr>
        <w:t>Interdiction d</w:t>
      </w:r>
      <w:r w:rsidR="00FB1114">
        <w:rPr>
          <w:noProof/>
          <w:lang w:val="fr-FR"/>
        </w:rPr>
        <w:t>’</w:t>
      </w:r>
      <w:r w:rsidRPr="00062F4F">
        <w:rPr>
          <w:noProof/>
          <w:lang w:val="fr-FR"/>
        </w:rPr>
        <w:t>actes constitutifs de traitements cruels, inhumains, dégradants et/ou humiliants</w:t>
      </w:r>
    </w:p>
    <w:p w:rsidR="00614A7E" w:rsidRPr="00C96608" w:rsidRDefault="00614A7E" w:rsidP="00614A7E">
      <w:pPr>
        <w:pStyle w:val="SingleTxtG"/>
        <w:rPr>
          <w:noProof/>
          <w:lang w:val="fr-FR" w:eastAsia="es-BO"/>
        </w:rPr>
      </w:pPr>
      <w:r w:rsidRPr="00DF456A">
        <w:rPr>
          <w:noProof/>
          <w:lang w:val="fr-FR" w:eastAsia="es-BO"/>
        </w:rPr>
        <w:t>63.</w:t>
      </w:r>
      <w:r w:rsidRPr="00DF456A">
        <w:rPr>
          <w:noProof/>
          <w:lang w:val="fr-FR" w:eastAsia="es-BO"/>
        </w:rPr>
        <w:tab/>
        <w:t xml:space="preserve">En </w:t>
      </w:r>
      <w:r>
        <w:rPr>
          <w:noProof/>
          <w:lang w:val="fr-FR" w:eastAsia="es-BO"/>
        </w:rPr>
        <w:t>vertu de l</w:t>
      </w:r>
      <w:r w:rsidR="00FB1114">
        <w:rPr>
          <w:noProof/>
          <w:lang w:val="fr-FR" w:eastAsia="es-BO"/>
        </w:rPr>
        <w:t>’</w:t>
      </w:r>
      <w:r>
        <w:rPr>
          <w:noProof/>
          <w:lang w:val="fr-FR" w:eastAsia="es-BO"/>
        </w:rPr>
        <w:t>article</w:t>
      </w:r>
      <w:r w:rsidR="00345AC0">
        <w:rPr>
          <w:noProof/>
          <w:lang w:val="fr-FR" w:eastAsia="es-BO"/>
        </w:rPr>
        <w:t> </w:t>
      </w:r>
      <w:r w:rsidRPr="00DF456A">
        <w:rPr>
          <w:noProof/>
          <w:lang w:val="fr-FR" w:eastAsia="es-BO"/>
        </w:rPr>
        <w:t>15.I de la C</w:t>
      </w:r>
      <w:r>
        <w:rPr>
          <w:noProof/>
          <w:lang w:val="fr-FR" w:eastAsia="es-BO"/>
        </w:rPr>
        <w:t>onstitution</w:t>
      </w:r>
      <w:r w:rsidRPr="00DF456A">
        <w:rPr>
          <w:noProof/>
          <w:lang w:val="fr-FR" w:eastAsia="es-BO"/>
        </w:rPr>
        <w:t xml:space="preserve">, </w:t>
      </w:r>
      <w:r>
        <w:rPr>
          <w:noProof/>
          <w:lang w:val="fr-FR" w:eastAsia="es-BO"/>
        </w:rPr>
        <w:t>l</w:t>
      </w:r>
      <w:r w:rsidR="00FB1114">
        <w:rPr>
          <w:noProof/>
          <w:lang w:val="fr-FR" w:eastAsia="es-BO"/>
        </w:rPr>
        <w:t>’</w:t>
      </w:r>
      <w:r>
        <w:rPr>
          <w:noProof/>
          <w:lang w:val="fr-FR" w:eastAsia="es-BO"/>
        </w:rPr>
        <w:t>État bolivien interdit la torture et les traitements cruels, inhumains, dégradants et/ou humiliants</w:t>
      </w:r>
      <w:r w:rsidRPr="00DF456A">
        <w:rPr>
          <w:noProof/>
          <w:lang w:val="fr-FR" w:eastAsia="es-BO"/>
        </w:rPr>
        <w:t xml:space="preserve">. </w:t>
      </w:r>
      <w:r>
        <w:rPr>
          <w:noProof/>
          <w:lang w:val="fr-FR" w:eastAsia="es-BO"/>
        </w:rPr>
        <w:t>De ce fait, les mesures qu</w:t>
      </w:r>
      <w:r w:rsidR="00FB1114">
        <w:rPr>
          <w:noProof/>
          <w:lang w:val="fr-FR" w:eastAsia="es-BO"/>
        </w:rPr>
        <w:t>’</w:t>
      </w:r>
      <w:r>
        <w:rPr>
          <w:noProof/>
          <w:lang w:val="fr-FR" w:eastAsia="es-BO"/>
        </w:rPr>
        <w:t>il a adoptées visent à prévenir et éliminer non seulement tout acte de torture, mais aussi tout traitement cruel, inhumain, dégradant et/ou humiliant</w:t>
      </w:r>
      <w:r w:rsidRPr="00DF456A">
        <w:rPr>
          <w:noProof/>
          <w:lang w:val="fr-FR" w:eastAsia="es-BO"/>
        </w:rPr>
        <w:t>.</w:t>
      </w:r>
    </w:p>
    <w:p w:rsidR="00614A7E" w:rsidRPr="00DF456A" w:rsidRDefault="00614A7E" w:rsidP="00614A7E">
      <w:pPr>
        <w:pStyle w:val="HChG"/>
        <w:rPr>
          <w:noProof/>
          <w:lang w:val="fr-FR" w:eastAsia="es-BO"/>
        </w:rPr>
      </w:pPr>
      <w:r w:rsidRPr="00DF456A">
        <w:rPr>
          <w:noProof/>
          <w:lang w:val="fr-FR" w:eastAsia="es-BO"/>
        </w:rPr>
        <w:tab/>
        <w:t>IV.</w:t>
      </w:r>
      <w:r w:rsidRPr="00DF456A">
        <w:rPr>
          <w:noProof/>
          <w:lang w:val="fr-FR" w:eastAsia="es-BO"/>
        </w:rPr>
        <w:tab/>
        <w:t>Compl</w:t>
      </w:r>
      <w:r>
        <w:rPr>
          <w:noProof/>
          <w:lang w:val="fr-FR" w:eastAsia="es-BO"/>
        </w:rPr>
        <w:t>é</w:t>
      </w:r>
      <w:r w:rsidRPr="00DF456A">
        <w:rPr>
          <w:noProof/>
          <w:lang w:val="fr-FR" w:eastAsia="es-BO"/>
        </w:rPr>
        <w:t>ment</w:t>
      </w:r>
      <w:r>
        <w:rPr>
          <w:noProof/>
          <w:lang w:val="fr-FR" w:eastAsia="es-BO"/>
        </w:rPr>
        <w:t xml:space="preserve"> d</w:t>
      </w:r>
      <w:r w:rsidR="00FB1114">
        <w:rPr>
          <w:noProof/>
          <w:lang w:val="fr-FR" w:eastAsia="es-BO"/>
        </w:rPr>
        <w:t>’</w:t>
      </w:r>
      <w:r>
        <w:rPr>
          <w:noProof/>
          <w:lang w:val="fr-FR" w:eastAsia="es-BO"/>
        </w:rPr>
        <w:t xml:space="preserve">information demandé par le </w:t>
      </w:r>
      <w:r w:rsidRPr="00DF456A">
        <w:rPr>
          <w:noProof/>
          <w:lang w:val="fr-FR" w:eastAsia="es-BO"/>
        </w:rPr>
        <w:t>Comité</w:t>
      </w:r>
    </w:p>
    <w:p w:rsidR="00614A7E" w:rsidRPr="00DF456A" w:rsidRDefault="00614A7E" w:rsidP="00614A7E">
      <w:pPr>
        <w:pStyle w:val="SingleTxtG"/>
        <w:rPr>
          <w:noProof/>
          <w:sz w:val="24"/>
          <w:szCs w:val="24"/>
          <w:lang w:val="fr-FR" w:eastAsia="es-BO"/>
        </w:rPr>
      </w:pPr>
      <w:r w:rsidRPr="00DF456A">
        <w:rPr>
          <w:noProof/>
          <w:lang w:val="fr-FR" w:eastAsia="es-BO"/>
        </w:rPr>
        <w:t>64.</w:t>
      </w:r>
      <w:r w:rsidRPr="00DF456A">
        <w:rPr>
          <w:noProof/>
          <w:lang w:val="fr-FR" w:eastAsia="es-BO"/>
        </w:rPr>
        <w:tab/>
      </w:r>
      <w:r>
        <w:rPr>
          <w:noProof/>
          <w:lang w:val="fr-FR" w:eastAsia="es-BO"/>
        </w:rPr>
        <w:t xml:space="preserve">Les </w:t>
      </w:r>
      <w:r w:rsidRPr="00DF456A">
        <w:rPr>
          <w:noProof/>
          <w:lang w:val="fr-FR" w:eastAsia="es-BO"/>
        </w:rPr>
        <w:t>p</w:t>
      </w:r>
      <w:r>
        <w:rPr>
          <w:noProof/>
          <w:lang w:val="fr-FR" w:eastAsia="es-BO"/>
        </w:rPr>
        <w:t>aragraphes</w:t>
      </w:r>
      <w:r w:rsidR="00345AC0">
        <w:rPr>
          <w:noProof/>
          <w:lang w:val="fr-FR" w:eastAsia="es-BO"/>
        </w:rPr>
        <w:t> </w:t>
      </w:r>
      <w:r w:rsidRPr="00DF456A">
        <w:rPr>
          <w:noProof/>
          <w:lang w:val="fr-FR" w:eastAsia="es-BO"/>
        </w:rPr>
        <w:t xml:space="preserve">51 </w:t>
      </w:r>
      <w:r>
        <w:rPr>
          <w:noProof/>
          <w:lang w:val="fr-FR" w:eastAsia="es-BO"/>
        </w:rPr>
        <w:t>à</w:t>
      </w:r>
      <w:r w:rsidRPr="00DF456A">
        <w:rPr>
          <w:noProof/>
          <w:lang w:val="fr-FR" w:eastAsia="es-BO"/>
        </w:rPr>
        <w:t xml:space="preserve"> 54, 76 </w:t>
      </w:r>
      <w:r>
        <w:rPr>
          <w:noProof/>
          <w:lang w:val="fr-FR" w:eastAsia="es-BO"/>
        </w:rPr>
        <w:t>à</w:t>
      </w:r>
      <w:r w:rsidRPr="00DF456A">
        <w:rPr>
          <w:noProof/>
          <w:lang w:val="fr-FR" w:eastAsia="es-BO"/>
        </w:rPr>
        <w:t xml:space="preserve"> 79, 83, 84, 88, 101 </w:t>
      </w:r>
      <w:r>
        <w:rPr>
          <w:noProof/>
          <w:lang w:val="fr-FR" w:eastAsia="es-BO"/>
        </w:rPr>
        <w:t>à</w:t>
      </w:r>
      <w:r w:rsidRPr="00DF456A">
        <w:rPr>
          <w:noProof/>
          <w:lang w:val="fr-FR" w:eastAsia="es-BO"/>
        </w:rPr>
        <w:t xml:space="preserve"> 104, </w:t>
      </w:r>
      <w:r>
        <w:rPr>
          <w:noProof/>
          <w:lang w:val="fr-FR" w:eastAsia="es-BO"/>
        </w:rPr>
        <w:t xml:space="preserve">et </w:t>
      </w:r>
      <w:r w:rsidRPr="00DF456A">
        <w:rPr>
          <w:noProof/>
          <w:lang w:val="fr-FR" w:eastAsia="es-BO"/>
        </w:rPr>
        <w:t xml:space="preserve">142 </w:t>
      </w:r>
      <w:r>
        <w:rPr>
          <w:noProof/>
          <w:lang w:val="fr-FR" w:eastAsia="es-BO"/>
        </w:rPr>
        <w:t>à</w:t>
      </w:r>
      <w:r w:rsidRPr="00DF456A">
        <w:rPr>
          <w:noProof/>
          <w:lang w:val="fr-FR" w:eastAsia="es-BO"/>
        </w:rPr>
        <w:t xml:space="preserve"> 148 d</w:t>
      </w:r>
      <w:r>
        <w:rPr>
          <w:noProof/>
          <w:lang w:val="fr-FR" w:eastAsia="es-BO"/>
        </w:rPr>
        <w:t>u présent rapport donnent des informations sur les mesures prises</w:t>
      </w:r>
      <w:r w:rsidRPr="00DF456A">
        <w:rPr>
          <w:noProof/>
          <w:lang w:val="fr-FR" w:eastAsia="es-BO"/>
        </w:rPr>
        <w:t>.</w:t>
      </w:r>
    </w:p>
    <w:p w:rsidR="00614A7E" w:rsidRPr="00DF456A" w:rsidRDefault="00614A7E" w:rsidP="00BA4E7A">
      <w:pPr>
        <w:pStyle w:val="HChG"/>
        <w:spacing w:before="320" w:after="220"/>
        <w:rPr>
          <w:noProof/>
          <w:lang w:val="fr-FR" w:eastAsia="es-BO"/>
        </w:rPr>
      </w:pPr>
      <w:r w:rsidRPr="00DF456A">
        <w:rPr>
          <w:noProof/>
          <w:lang w:val="fr-FR" w:eastAsia="es-BO"/>
        </w:rPr>
        <w:tab/>
        <w:t>V.</w:t>
      </w:r>
      <w:r w:rsidRPr="00DF456A">
        <w:rPr>
          <w:noProof/>
          <w:lang w:val="fr-FR" w:eastAsia="es-BO"/>
        </w:rPr>
        <w:tab/>
      </w:r>
      <w:r w:rsidRPr="0043652E">
        <w:rPr>
          <w:noProof/>
          <w:spacing w:val="-3"/>
          <w:lang w:val="fr-FR" w:eastAsia="es-BO"/>
        </w:rPr>
        <w:t>Mise en œuvre des recommandations formulées par le Comité</w:t>
      </w:r>
    </w:p>
    <w:p w:rsidR="00614A7E" w:rsidRPr="00DF456A" w:rsidRDefault="00614A7E" w:rsidP="003319CD">
      <w:pPr>
        <w:pStyle w:val="H1G"/>
        <w:rPr>
          <w:noProof/>
          <w:lang w:val="fr-FR"/>
        </w:rPr>
      </w:pPr>
      <w:r w:rsidRPr="00DF456A">
        <w:rPr>
          <w:noProof/>
          <w:lang w:val="fr-FR"/>
        </w:rPr>
        <w:tab/>
      </w:r>
      <w:r w:rsidRPr="00DF456A">
        <w:rPr>
          <w:noProof/>
          <w:lang w:val="fr-FR"/>
        </w:rPr>
        <w:tab/>
      </w:r>
      <w:r w:rsidRPr="003319CD">
        <w:t>Infraction</w:t>
      </w:r>
      <w:r>
        <w:rPr>
          <w:noProof/>
          <w:lang w:val="fr-FR"/>
        </w:rPr>
        <w:t xml:space="preserve"> de torture et définition </w:t>
      </w:r>
      <w:r w:rsidRPr="00DF456A">
        <w:rPr>
          <w:noProof/>
          <w:lang w:val="fr-FR"/>
        </w:rPr>
        <w:t>(</w:t>
      </w:r>
      <w:r>
        <w:rPr>
          <w:noProof/>
          <w:lang w:val="fr-FR"/>
        </w:rPr>
        <w:t>article</w:t>
      </w:r>
      <w:r w:rsidR="00345AC0">
        <w:rPr>
          <w:noProof/>
          <w:lang w:val="fr-FR"/>
        </w:rPr>
        <w:t> 1</w:t>
      </w:r>
      <w:r w:rsidR="00345AC0" w:rsidRPr="00345AC0">
        <w:rPr>
          <w:noProof/>
          <w:vertAlign w:val="superscript"/>
          <w:lang w:val="fr-FR"/>
        </w:rPr>
        <w:t>er</w:t>
      </w:r>
      <w:r w:rsidRPr="00DF456A">
        <w:rPr>
          <w:noProof/>
          <w:lang w:val="fr-FR"/>
        </w:rPr>
        <w:t>)</w:t>
      </w:r>
    </w:p>
    <w:p w:rsidR="00614A7E" w:rsidRPr="00C96608" w:rsidRDefault="00614A7E" w:rsidP="00614A7E">
      <w:pPr>
        <w:pStyle w:val="H23G"/>
        <w:rPr>
          <w:noProof/>
          <w:lang w:val="fr-FR"/>
        </w:rPr>
      </w:pPr>
      <w:r w:rsidRPr="00DF456A">
        <w:rPr>
          <w:noProof/>
          <w:lang w:val="fr-FR"/>
        </w:rPr>
        <w:tab/>
      </w:r>
      <w:r w:rsidRPr="00DF456A">
        <w:rPr>
          <w:noProof/>
          <w:lang w:val="fr-FR"/>
        </w:rPr>
        <w:tab/>
        <w:t>Recom</w:t>
      </w:r>
      <w:r>
        <w:rPr>
          <w:noProof/>
          <w:lang w:val="fr-FR"/>
        </w:rPr>
        <w:t xml:space="preserve">mandation figurant au paragraphe </w:t>
      </w:r>
      <w:r w:rsidRPr="00DF456A">
        <w:rPr>
          <w:noProof/>
          <w:lang w:val="fr-FR"/>
        </w:rPr>
        <w:t>8</w:t>
      </w:r>
    </w:p>
    <w:p w:rsidR="00614A7E" w:rsidRPr="00C96608" w:rsidRDefault="00614A7E" w:rsidP="00614A7E">
      <w:pPr>
        <w:pStyle w:val="SingleTxtG"/>
        <w:rPr>
          <w:noProof/>
          <w:lang w:val="fr-FR" w:eastAsia="es-BO"/>
        </w:rPr>
      </w:pPr>
      <w:r w:rsidRPr="00C96608">
        <w:rPr>
          <w:noProof/>
          <w:lang w:val="fr-FR" w:eastAsia="es-BO"/>
        </w:rPr>
        <w:t>65.</w:t>
      </w:r>
      <w:r w:rsidRPr="00C96608">
        <w:rPr>
          <w:noProof/>
          <w:lang w:val="fr-FR" w:eastAsia="es-BO"/>
        </w:rPr>
        <w:tab/>
        <w:t>L</w:t>
      </w:r>
      <w:r w:rsidR="00FB1114" w:rsidRPr="00C96608">
        <w:rPr>
          <w:noProof/>
          <w:lang w:val="fr-FR" w:eastAsia="es-BO"/>
        </w:rPr>
        <w:t>’</w:t>
      </w:r>
      <w:r w:rsidRPr="00C96608">
        <w:rPr>
          <w:noProof/>
          <w:lang w:val="fr-FR" w:eastAsia="es-BO"/>
        </w:rPr>
        <w:t>État bolivien a entrepris de modifier le Code pénal pour y incorporer la définition de la torture prévue par les articles</w:t>
      </w:r>
      <w:r w:rsidR="003319CD" w:rsidRPr="00C96608">
        <w:rPr>
          <w:noProof/>
          <w:lang w:val="fr-FR" w:eastAsia="es-BO"/>
        </w:rPr>
        <w:t> 1</w:t>
      </w:r>
      <w:r w:rsidR="003319CD" w:rsidRPr="00C96608">
        <w:rPr>
          <w:noProof/>
          <w:vertAlign w:val="superscript"/>
          <w:lang w:val="fr-FR" w:eastAsia="es-BO"/>
        </w:rPr>
        <w:t>er</w:t>
      </w:r>
      <w:r w:rsidR="003319CD" w:rsidRPr="00C96608">
        <w:rPr>
          <w:noProof/>
          <w:lang w:val="fr-FR" w:eastAsia="es-BO"/>
        </w:rPr>
        <w:t xml:space="preserve"> </w:t>
      </w:r>
      <w:r w:rsidRPr="00C96608">
        <w:rPr>
          <w:noProof/>
          <w:lang w:val="fr-FR" w:eastAsia="es-BO"/>
        </w:rPr>
        <w:t>et 4 de la Convention.</w:t>
      </w:r>
    </w:p>
    <w:p w:rsidR="00614A7E" w:rsidRPr="00DF456A" w:rsidRDefault="00D91801" w:rsidP="00D91801">
      <w:pPr>
        <w:pStyle w:val="H1G"/>
        <w:rPr>
          <w:noProof/>
          <w:lang w:val="fr-FR" w:eastAsia="es-BO"/>
        </w:rPr>
      </w:pPr>
      <w:r>
        <w:rPr>
          <w:noProof/>
          <w:lang w:val="fr-FR" w:eastAsia="es-BO"/>
        </w:rPr>
        <w:tab/>
      </w:r>
      <w:r>
        <w:rPr>
          <w:noProof/>
          <w:lang w:val="fr-FR" w:eastAsia="es-BO"/>
        </w:rPr>
        <w:tab/>
      </w:r>
      <w:r w:rsidR="00614A7E" w:rsidRPr="00DF456A">
        <w:rPr>
          <w:noProof/>
          <w:lang w:val="fr-FR" w:eastAsia="es-BO"/>
        </w:rPr>
        <w:t>Garant</w:t>
      </w:r>
      <w:r w:rsidR="00614A7E">
        <w:rPr>
          <w:noProof/>
          <w:lang w:val="fr-FR" w:eastAsia="es-BO"/>
        </w:rPr>
        <w:t xml:space="preserve">ies juridiques </w:t>
      </w:r>
      <w:r w:rsidR="00614A7E" w:rsidRPr="00DF456A">
        <w:rPr>
          <w:noProof/>
          <w:lang w:val="fr-FR" w:eastAsia="es-BO"/>
        </w:rPr>
        <w:t>f</w:t>
      </w:r>
      <w:r w:rsidR="00614A7E">
        <w:rPr>
          <w:noProof/>
          <w:lang w:val="fr-FR" w:eastAsia="es-BO"/>
        </w:rPr>
        <w:t>o</w:t>
      </w:r>
      <w:r w:rsidR="00614A7E" w:rsidRPr="00DF456A">
        <w:rPr>
          <w:noProof/>
          <w:lang w:val="fr-FR" w:eastAsia="es-BO"/>
        </w:rPr>
        <w:t>ndamentales</w:t>
      </w:r>
    </w:p>
    <w:p w:rsidR="00614A7E" w:rsidRPr="00DF456A" w:rsidRDefault="00614A7E" w:rsidP="00614A7E">
      <w:pPr>
        <w:pStyle w:val="H23G"/>
        <w:rPr>
          <w:bCs/>
          <w:noProof/>
          <w:lang w:val="fr-FR" w:eastAsia="es-BO"/>
        </w:rPr>
      </w:pPr>
      <w:r w:rsidRPr="00DF456A">
        <w:rPr>
          <w:noProof/>
          <w:lang w:val="fr-FR" w:eastAsia="es-BO"/>
        </w:rPr>
        <w:tab/>
      </w:r>
      <w:r w:rsidRPr="00DF456A">
        <w:rPr>
          <w:noProof/>
          <w:lang w:val="fr-FR" w:eastAsia="es-BO"/>
        </w:rPr>
        <w:tab/>
      </w:r>
      <w:r w:rsidRPr="00DF456A">
        <w:rPr>
          <w:noProof/>
          <w:lang w:val="fr-FR"/>
        </w:rPr>
        <w:t>Recom</w:t>
      </w:r>
      <w:r>
        <w:rPr>
          <w:noProof/>
          <w:lang w:val="fr-FR"/>
        </w:rPr>
        <w:t xml:space="preserve">mandation figurant au paragraphe </w:t>
      </w:r>
      <w:r w:rsidRPr="00DF456A">
        <w:rPr>
          <w:noProof/>
          <w:lang w:val="fr-FR" w:eastAsia="es-BO"/>
        </w:rPr>
        <w:t>9.a</w:t>
      </w:r>
    </w:p>
    <w:p w:rsidR="00614A7E" w:rsidRPr="001777E2" w:rsidRDefault="00614A7E" w:rsidP="00614A7E">
      <w:pPr>
        <w:pStyle w:val="SingleTxtG"/>
        <w:rPr>
          <w:noProof/>
          <w:lang w:val="fr-FR" w:eastAsia="es-BO"/>
        </w:rPr>
      </w:pPr>
      <w:r w:rsidRPr="00DF456A">
        <w:rPr>
          <w:noProof/>
          <w:lang w:val="fr-FR" w:eastAsia="es-BO"/>
        </w:rPr>
        <w:t>66.</w:t>
      </w:r>
      <w:r w:rsidRPr="00DF456A">
        <w:rPr>
          <w:noProof/>
          <w:lang w:val="fr-FR" w:eastAsia="es-BO"/>
        </w:rPr>
        <w:tab/>
        <w:t>Com</w:t>
      </w:r>
      <w:r>
        <w:rPr>
          <w:noProof/>
          <w:lang w:val="fr-FR" w:eastAsia="es-BO"/>
        </w:rPr>
        <w:t>me indiqué au paragraphe</w:t>
      </w:r>
      <w:r w:rsidR="003319CD">
        <w:rPr>
          <w:noProof/>
          <w:lang w:val="fr-FR" w:eastAsia="es-BO"/>
        </w:rPr>
        <w:t> </w:t>
      </w:r>
      <w:r>
        <w:rPr>
          <w:noProof/>
          <w:lang w:val="fr-FR" w:eastAsia="es-BO"/>
        </w:rPr>
        <w:t xml:space="preserve">90 du deuxième rapport périodique et conformément à la Constitution, le </w:t>
      </w:r>
      <w:r>
        <w:rPr>
          <w:rFonts w:eastAsia="Times New Roman"/>
          <w:lang w:val="fr-FR" w:eastAsia="zh-CN"/>
        </w:rPr>
        <w:t>droit à un procès équitable, le droit d</w:t>
      </w:r>
      <w:r w:rsidR="00FB1114">
        <w:rPr>
          <w:rFonts w:eastAsia="Times New Roman"/>
          <w:lang w:val="fr-FR" w:eastAsia="zh-CN"/>
        </w:rPr>
        <w:t>’</w:t>
      </w:r>
      <w:r>
        <w:rPr>
          <w:rFonts w:eastAsia="Times New Roman"/>
          <w:lang w:val="fr-FR" w:eastAsia="zh-CN"/>
        </w:rPr>
        <w:t xml:space="preserve">être défendu, le droit à une justice </w:t>
      </w:r>
      <w:r>
        <w:rPr>
          <w:rFonts w:eastAsia="Times New Roman"/>
          <w:lang w:val="fr-FR" w:eastAsia="zh-CN"/>
        </w:rPr>
        <w:lastRenderedPageBreak/>
        <w:t>plurielle, prompte, opportune, gratuite, transparente, et le droit d</w:t>
      </w:r>
      <w:r w:rsidR="00FB1114">
        <w:rPr>
          <w:rFonts w:eastAsia="Times New Roman"/>
          <w:lang w:val="fr-FR" w:eastAsia="zh-CN"/>
        </w:rPr>
        <w:t>’</w:t>
      </w:r>
      <w:r>
        <w:rPr>
          <w:rFonts w:eastAsia="Times New Roman"/>
          <w:lang w:val="fr-FR" w:eastAsia="zh-CN"/>
        </w:rPr>
        <w:t>être jugé sans retard sont garantis</w:t>
      </w:r>
      <w:r w:rsidRPr="00DF456A">
        <w:rPr>
          <w:noProof/>
          <w:sz w:val="18"/>
          <w:szCs w:val="18"/>
          <w:vertAlign w:val="superscript"/>
          <w:lang w:val="fr-FR" w:eastAsia="es-BO"/>
        </w:rPr>
        <w:footnoteReference w:id="40"/>
      </w:r>
      <w:r w:rsidRPr="00DF456A">
        <w:rPr>
          <w:noProof/>
          <w:lang w:val="fr-FR" w:eastAsia="es-BO"/>
        </w:rPr>
        <w:t>.</w:t>
      </w:r>
    </w:p>
    <w:p w:rsidR="00614A7E" w:rsidRPr="001777E2" w:rsidRDefault="00614A7E" w:rsidP="00614A7E">
      <w:pPr>
        <w:pStyle w:val="SingleTxtG"/>
        <w:rPr>
          <w:noProof/>
          <w:lang w:val="fr-FR" w:eastAsia="es-BO"/>
        </w:rPr>
      </w:pPr>
      <w:r w:rsidRPr="001777E2">
        <w:rPr>
          <w:noProof/>
          <w:lang w:val="fr-FR" w:eastAsia="es-BO"/>
        </w:rPr>
        <w:t>67.</w:t>
      </w:r>
      <w:r w:rsidRPr="001777E2">
        <w:rPr>
          <w:noProof/>
          <w:lang w:val="fr-FR" w:eastAsia="es-BO"/>
        </w:rPr>
        <w:tab/>
      </w:r>
      <w:r w:rsidRPr="001777E2">
        <w:rPr>
          <w:bCs/>
          <w:noProof/>
          <w:lang w:val="fr-FR" w:eastAsia="es-BO"/>
        </w:rPr>
        <w:t>En ce sens, et conformément à l</w:t>
      </w:r>
      <w:r w:rsidR="00FB1114">
        <w:rPr>
          <w:bCs/>
          <w:noProof/>
          <w:lang w:val="fr-FR" w:eastAsia="es-BO"/>
        </w:rPr>
        <w:t>’</w:t>
      </w:r>
      <w:r w:rsidRPr="001777E2">
        <w:rPr>
          <w:bCs/>
          <w:noProof/>
          <w:lang w:val="fr-FR" w:eastAsia="es-BO"/>
        </w:rPr>
        <w:t>article</w:t>
      </w:r>
      <w:r w:rsidR="001777E2">
        <w:rPr>
          <w:bCs/>
          <w:noProof/>
          <w:lang w:val="fr-FR" w:eastAsia="es-BO"/>
        </w:rPr>
        <w:t> </w:t>
      </w:r>
      <w:r w:rsidRPr="001777E2">
        <w:rPr>
          <w:bCs/>
          <w:noProof/>
          <w:lang w:val="fr-FR" w:eastAsia="es-BO"/>
        </w:rPr>
        <w:t>296</w:t>
      </w:r>
      <w:r w:rsidRPr="001777E2">
        <w:rPr>
          <w:bCs/>
          <w:noProof/>
          <w:vertAlign w:val="superscript"/>
          <w:lang w:val="fr-FR" w:eastAsia="es-BO"/>
        </w:rPr>
        <w:footnoteReference w:id="41"/>
      </w:r>
      <w:r w:rsidRPr="001777E2">
        <w:rPr>
          <w:bCs/>
          <w:noProof/>
          <w:lang w:val="fr-FR" w:eastAsia="es-BO"/>
        </w:rPr>
        <w:t xml:space="preserve"> du Code de procédure pénale, la personne privée de liberté a le droit d</w:t>
      </w:r>
      <w:r w:rsidR="00FB1114">
        <w:rPr>
          <w:bCs/>
          <w:noProof/>
          <w:lang w:val="fr-FR" w:eastAsia="es-BO"/>
        </w:rPr>
        <w:t>’</w:t>
      </w:r>
      <w:r w:rsidRPr="001777E2">
        <w:rPr>
          <w:bCs/>
          <w:noProof/>
          <w:lang w:val="fr-FR" w:eastAsia="es-BO"/>
        </w:rPr>
        <w:t>être informée du motif de sa détention</w:t>
      </w:r>
      <w:r w:rsidRPr="001777E2">
        <w:rPr>
          <w:noProof/>
          <w:lang w:val="fr-FR" w:eastAsia="es-BO"/>
        </w:rPr>
        <w:t>, et les membres de sa famille ou ses autres proches sont informés de son arrestation et de l</w:t>
      </w:r>
      <w:r w:rsidR="00FB1114">
        <w:rPr>
          <w:noProof/>
          <w:lang w:val="fr-FR" w:eastAsia="es-BO"/>
        </w:rPr>
        <w:t>’</w:t>
      </w:r>
      <w:r w:rsidRPr="001777E2">
        <w:rPr>
          <w:noProof/>
          <w:lang w:val="fr-FR" w:eastAsia="es-BO"/>
        </w:rPr>
        <w:t xml:space="preserve">établissement où elle sera conduite. Partant, la loi </w:t>
      </w:r>
      <w:r w:rsidR="001777E2" w:rsidRPr="00857F6E">
        <w:rPr>
          <w:rFonts w:eastAsia="MS Mincho"/>
          <w:noProof/>
          <w:szCs w:val="22"/>
          <w:lang w:val="fr-FR"/>
        </w:rPr>
        <w:t>n</w:t>
      </w:r>
      <w:r w:rsidR="001777E2" w:rsidRPr="00857F6E">
        <w:rPr>
          <w:rFonts w:eastAsia="MS Mincho"/>
          <w:noProof/>
          <w:szCs w:val="22"/>
          <w:vertAlign w:val="superscript"/>
          <w:lang w:val="fr-FR"/>
        </w:rPr>
        <w:t>o</w:t>
      </w:r>
      <w:r w:rsidR="001777E2">
        <w:rPr>
          <w:noProof/>
          <w:lang w:val="fr-FR"/>
        </w:rPr>
        <w:t> </w:t>
      </w:r>
      <w:r w:rsidRPr="001777E2">
        <w:rPr>
          <w:noProof/>
          <w:lang w:val="fr-FR" w:eastAsia="es-BO"/>
        </w:rPr>
        <w:t>2298 dispose que la personne privée de liberté a le droit</w:t>
      </w:r>
      <w:r w:rsidRPr="001777E2">
        <w:rPr>
          <w:rFonts w:eastAsia="Times New Roman"/>
          <w:lang w:val="fr-FR" w:eastAsia="zh-CN"/>
        </w:rPr>
        <w:t xml:space="preserve"> de communiquer les noms et les</w:t>
      </w:r>
      <w:r w:rsidRPr="001777E2">
        <w:rPr>
          <w:noProof/>
          <w:lang w:val="fr-FR" w:eastAsia="es-BO"/>
        </w:rPr>
        <w:t xml:space="preserve"> coordonnées des membres de sa famille </w:t>
      </w:r>
      <w:r w:rsidRPr="001777E2">
        <w:rPr>
          <w:rFonts w:eastAsia="Times New Roman"/>
          <w:lang w:val="fr-FR" w:eastAsia="zh-CN"/>
        </w:rPr>
        <w:t>ou de proches, afin que ceux-ci soient avisés</w:t>
      </w:r>
      <w:r w:rsidRPr="001777E2">
        <w:rPr>
          <w:noProof/>
          <w:lang w:val="fr-FR" w:eastAsia="es-BO"/>
        </w:rPr>
        <w:t xml:space="preserve"> </w:t>
      </w:r>
      <w:r w:rsidRPr="001777E2">
        <w:rPr>
          <w:rFonts w:eastAsia="Times New Roman"/>
          <w:lang w:val="fr-FR" w:eastAsia="zh-CN"/>
        </w:rPr>
        <w:t>de son état de santé et des décisions relatives à son transfert</w:t>
      </w:r>
      <w:r w:rsidRPr="001777E2">
        <w:rPr>
          <w:noProof/>
          <w:vertAlign w:val="superscript"/>
          <w:lang w:val="fr-FR" w:eastAsia="es-BO"/>
        </w:rPr>
        <w:footnoteReference w:id="42"/>
      </w:r>
      <w:r w:rsidRPr="001777E2">
        <w:rPr>
          <w:noProof/>
          <w:lang w:val="fr-FR" w:eastAsia="es-BO"/>
        </w:rPr>
        <w:t>.</w:t>
      </w:r>
    </w:p>
    <w:p w:rsidR="00614A7E" w:rsidRPr="001777E2" w:rsidRDefault="00614A7E" w:rsidP="00614A7E">
      <w:pPr>
        <w:pStyle w:val="SingleTxtG"/>
        <w:rPr>
          <w:noProof/>
          <w:lang w:val="fr-FR" w:eastAsia="es-BO"/>
        </w:rPr>
      </w:pPr>
      <w:r w:rsidRPr="001777E2">
        <w:rPr>
          <w:noProof/>
          <w:lang w:val="fr-FR" w:eastAsia="es-BO"/>
        </w:rPr>
        <w:t>68.</w:t>
      </w:r>
      <w:r w:rsidRPr="001777E2">
        <w:rPr>
          <w:noProof/>
          <w:lang w:val="fr-FR" w:eastAsia="es-BO"/>
        </w:rPr>
        <w:tab/>
      </w:r>
      <w:r w:rsidRPr="001777E2">
        <w:rPr>
          <w:rFonts w:eastAsia="Calibri"/>
          <w:noProof/>
          <w:lang w:val="fr-FR" w:eastAsia="es-BO"/>
        </w:rPr>
        <w:t>De même, et comme indiqué au paragraphe</w:t>
      </w:r>
      <w:r w:rsidR="001777E2">
        <w:rPr>
          <w:rFonts w:eastAsia="Calibri"/>
          <w:noProof/>
          <w:lang w:val="fr-FR" w:eastAsia="es-BO"/>
        </w:rPr>
        <w:t> </w:t>
      </w:r>
      <w:r w:rsidRPr="001777E2">
        <w:rPr>
          <w:rFonts w:eastAsia="Calibri"/>
          <w:noProof/>
          <w:lang w:val="fr-FR" w:eastAsia="es-BO"/>
        </w:rPr>
        <w:t>27 du deuxième rapport périodique, la personne privée de liberté a le droit d</w:t>
      </w:r>
      <w:r w:rsidR="00FB1114">
        <w:rPr>
          <w:rFonts w:eastAsia="Calibri"/>
          <w:noProof/>
          <w:lang w:val="fr-FR" w:eastAsia="es-BO"/>
        </w:rPr>
        <w:t>’</w:t>
      </w:r>
      <w:r w:rsidRPr="001777E2">
        <w:rPr>
          <w:rFonts w:eastAsia="Calibri"/>
          <w:noProof/>
          <w:lang w:val="fr-FR" w:eastAsia="es-BO"/>
        </w:rPr>
        <w:t>être défendue et celui de se voir fournir gratuitement un défenseur si ses moyens ne lui permettent pas de s</w:t>
      </w:r>
      <w:r w:rsidR="00FB1114">
        <w:rPr>
          <w:rFonts w:eastAsia="Calibri"/>
          <w:noProof/>
          <w:lang w:val="fr-FR" w:eastAsia="es-BO"/>
        </w:rPr>
        <w:t>’</w:t>
      </w:r>
      <w:r w:rsidRPr="001777E2">
        <w:rPr>
          <w:rFonts w:eastAsia="Calibri"/>
          <w:noProof/>
          <w:lang w:val="fr-FR" w:eastAsia="es-BO"/>
        </w:rPr>
        <w:t>assurer les services d</w:t>
      </w:r>
      <w:r w:rsidR="00FB1114">
        <w:rPr>
          <w:rFonts w:eastAsia="Calibri"/>
          <w:noProof/>
          <w:lang w:val="fr-FR" w:eastAsia="es-BO"/>
        </w:rPr>
        <w:t>’</w:t>
      </w:r>
      <w:r w:rsidRPr="001777E2">
        <w:rPr>
          <w:rFonts w:eastAsia="Calibri"/>
          <w:noProof/>
          <w:lang w:val="fr-FR" w:eastAsia="es-BO"/>
        </w:rPr>
        <w:t>un avocat</w:t>
      </w:r>
      <w:r w:rsidRPr="001777E2">
        <w:rPr>
          <w:noProof/>
          <w:lang w:val="fr-FR" w:eastAsia="es-BO"/>
        </w:rPr>
        <w:t>.</w:t>
      </w:r>
    </w:p>
    <w:p w:rsidR="00614A7E" w:rsidRPr="001777E2" w:rsidRDefault="00614A7E" w:rsidP="00614A7E">
      <w:pPr>
        <w:pStyle w:val="SingleTxtG"/>
        <w:rPr>
          <w:noProof/>
          <w:lang w:val="fr-FR" w:eastAsia="es-BO"/>
        </w:rPr>
      </w:pPr>
      <w:r w:rsidRPr="001777E2">
        <w:rPr>
          <w:noProof/>
          <w:lang w:val="fr-FR" w:eastAsia="es-BO"/>
        </w:rPr>
        <w:t>69.</w:t>
      </w:r>
      <w:r w:rsidRPr="001777E2">
        <w:rPr>
          <w:noProof/>
          <w:lang w:val="fr-FR" w:eastAsia="es-BO"/>
        </w:rPr>
        <w:tab/>
        <w:t xml:space="preserve">De plus, conformément à la loi </w:t>
      </w:r>
      <w:r w:rsidR="00AA1512" w:rsidRPr="00857F6E">
        <w:rPr>
          <w:rFonts w:eastAsia="MS Mincho"/>
          <w:noProof/>
          <w:szCs w:val="22"/>
          <w:lang w:val="fr-FR"/>
        </w:rPr>
        <w:t>n</w:t>
      </w:r>
      <w:r w:rsidR="00AA1512" w:rsidRPr="00857F6E">
        <w:rPr>
          <w:rFonts w:eastAsia="MS Mincho"/>
          <w:noProof/>
          <w:szCs w:val="22"/>
          <w:vertAlign w:val="superscript"/>
          <w:lang w:val="fr-FR"/>
        </w:rPr>
        <w:t>o</w:t>
      </w:r>
      <w:r w:rsidR="00AA1512">
        <w:rPr>
          <w:noProof/>
          <w:lang w:val="fr-FR"/>
        </w:rPr>
        <w:t> </w:t>
      </w:r>
      <w:r w:rsidRPr="001777E2">
        <w:rPr>
          <w:noProof/>
          <w:lang w:val="fr-FR" w:eastAsia="es-BO"/>
        </w:rPr>
        <w:t>2298, le système pénitentiaire bolivien applique un régime de visites qui n</w:t>
      </w:r>
      <w:r w:rsidR="00FB1114">
        <w:rPr>
          <w:noProof/>
          <w:lang w:val="fr-FR" w:eastAsia="es-BO"/>
        </w:rPr>
        <w:t>’</w:t>
      </w:r>
      <w:r w:rsidRPr="001777E2">
        <w:rPr>
          <w:noProof/>
          <w:lang w:val="fr-FR" w:eastAsia="es-BO"/>
        </w:rPr>
        <w:t>impose aucune limitation aux avocat(e)s des personnes privées de liberté</w:t>
      </w:r>
      <w:r w:rsidRPr="001777E2">
        <w:rPr>
          <w:noProof/>
          <w:vertAlign w:val="superscript"/>
          <w:lang w:val="fr-FR" w:eastAsia="es-BO"/>
        </w:rPr>
        <w:footnoteReference w:id="43"/>
      </w:r>
      <w:r w:rsidRPr="001777E2">
        <w:rPr>
          <w:noProof/>
          <w:lang w:val="fr-FR" w:eastAsia="es-BO"/>
        </w:rPr>
        <w:t>, lesquelles ont le droit de recevoir des visites en semaine, pendant le week-end et les jours fériés, en respectant simplement l</w:t>
      </w:r>
      <w:r w:rsidR="00FB1114">
        <w:rPr>
          <w:noProof/>
          <w:lang w:val="fr-FR" w:eastAsia="es-BO"/>
        </w:rPr>
        <w:t>’</w:t>
      </w:r>
      <w:r w:rsidRPr="001777E2">
        <w:rPr>
          <w:noProof/>
          <w:lang w:val="fr-FR" w:eastAsia="es-BO"/>
        </w:rPr>
        <w:t>horaire des visites et les restrictions de sécurité</w:t>
      </w:r>
      <w:r w:rsidRPr="001777E2">
        <w:rPr>
          <w:noProof/>
          <w:vertAlign w:val="superscript"/>
          <w:lang w:val="fr-FR" w:eastAsia="es-BO"/>
        </w:rPr>
        <w:footnoteReference w:id="44"/>
      </w:r>
      <w:r w:rsidR="00AA1512">
        <w:rPr>
          <w:noProof/>
          <w:lang w:val="fr-FR" w:eastAsia="es-BO"/>
        </w:rPr>
        <w:t> </w:t>
      </w:r>
      <w:r w:rsidRPr="001777E2">
        <w:rPr>
          <w:noProof/>
          <w:lang w:val="fr-FR" w:eastAsia="es-BO"/>
        </w:rPr>
        <w:t>; les visites conjugales sont également autorisées</w:t>
      </w:r>
      <w:r w:rsidRPr="001777E2">
        <w:rPr>
          <w:noProof/>
          <w:vertAlign w:val="superscript"/>
          <w:lang w:val="fr-FR" w:eastAsia="es-BO"/>
        </w:rPr>
        <w:footnoteReference w:id="45"/>
      </w:r>
      <w:r w:rsidRPr="001777E2">
        <w:rPr>
          <w:noProof/>
          <w:lang w:val="fr-FR" w:eastAsia="es-BO"/>
        </w:rPr>
        <w:t>.</w:t>
      </w:r>
    </w:p>
    <w:p w:rsidR="00614A7E" w:rsidRPr="001777E2" w:rsidRDefault="00614A7E" w:rsidP="00614A7E">
      <w:pPr>
        <w:pStyle w:val="SingleTxtG"/>
        <w:rPr>
          <w:noProof/>
          <w:lang w:val="fr-FR" w:eastAsia="es-BO"/>
        </w:rPr>
      </w:pPr>
      <w:r w:rsidRPr="001777E2">
        <w:rPr>
          <w:noProof/>
          <w:lang w:val="fr-FR" w:eastAsia="es-BO"/>
        </w:rPr>
        <w:t>70.</w:t>
      </w:r>
      <w:r w:rsidRPr="001777E2">
        <w:rPr>
          <w:noProof/>
          <w:lang w:val="fr-FR" w:eastAsia="es-BO"/>
        </w:rPr>
        <w:tab/>
        <w:t>De la même manière, les personnes privées de liberté peuvent présenter leurs requêtes ou plaintes oralement ou par écrit au directeur de l</w:t>
      </w:r>
      <w:r w:rsidR="00FB1114">
        <w:rPr>
          <w:noProof/>
          <w:lang w:val="fr-FR" w:eastAsia="es-BO"/>
        </w:rPr>
        <w:t>’</w:t>
      </w:r>
      <w:r w:rsidRPr="001777E2">
        <w:rPr>
          <w:noProof/>
          <w:lang w:val="fr-FR" w:eastAsia="es-BO"/>
        </w:rPr>
        <w:t>établissement ou au personnel administratif, ou avoir recours à d</w:t>
      </w:r>
      <w:r w:rsidR="00FB1114">
        <w:rPr>
          <w:noProof/>
          <w:lang w:val="fr-FR" w:eastAsia="es-BO"/>
        </w:rPr>
        <w:t>’</w:t>
      </w:r>
      <w:r w:rsidRPr="001777E2">
        <w:rPr>
          <w:noProof/>
          <w:lang w:val="fr-FR" w:eastAsia="es-BO"/>
        </w:rPr>
        <w:t xml:space="preserve">autres mécanismes directs autorisés par la </w:t>
      </w:r>
      <w:r w:rsidRPr="001777E2">
        <w:rPr>
          <w:noProof/>
          <w:lang w:val="fr-FR"/>
        </w:rPr>
        <w:t>Direction générale du système pénitentiaire</w:t>
      </w:r>
      <w:r w:rsidRPr="001777E2">
        <w:rPr>
          <w:noProof/>
          <w:lang w:val="fr-FR" w:eastAsia="es-BO"/>
        </w:rPr>
        <w:t>, et elles peuvent utiliser la « boîte à plaintes ou à requêtes » accessible dans chaque établissement pénitentiaire</w:t>
      </w:r>
      <w:r w:rsidRPr="001777E2">
        <w:rPr>
          <w:noProof/>
          <w:vertAlign w:val="superscript"/>
          <w:lang w:val="fr-FR" w:eastAsia="es-BO"/>
        </w:rPr>
        <w:footnoteReference w:id="46"/>
      </w:r>
      <w:r w:rsidRPr="001777E2">
        <w:rPr>
          <w:noProof/>
          <w:lang w:val="fr-FR" w:eastAsia="es-BO"/>
        </w:rPr>
        <w:t>.</w:t>
      </w:r>
    </w:p>
    <w:p w:rsidR="00614A7E" w:rsidRPr="001777E2" w:rsidRDefault="00614A7E" w:rsidP="00614A7E">
      <w:pPr>
        <w:pStyle w:val="SingleTxtG"/>
        <w:rPr>
          <w:noProof/>
          <w:lang w:val="fr-FR" w:eastAsia="es-BO"/>
        </w:rPr>
      </w:pPr>
      <w:r w:rsidRPr="001777E2">
        <w:rPr>
          <w:noProof/>
          <w:lang w:val="fr-FR" w:eastAsia="es-BO"/>
        </w:rPr>
        <w:t>71.</w:t>
      </w:r>
      <w:r w:rsidRPr="001777E2">
        <w:rPr>
          <w:noProof/>
          <w:lang w:val="fr-FR" w:eastAsia="es-BO"/>
        </w:rPr>
        <w:tab/>
        <w:t>La santé et l</w:t>
      </w:r>
      <w:r w:rsidR="00FB1114">
        <w:rPr>
          <w:noProof/>
          <w:lang w:val="fr-FR" w:eastAsia="es-BO"/>
        </w:rPr>
        <w:t>’</w:t>
      </w:r>
      <w:r w:rsidRPr="001777E2">
        <w:rPr>
          <w:noProof/>
          <w:lang w:val="fr-FR" w:eastAsia="es-BO"/>
        </w:rPr>
        <w:t>intégrité physique des personnes privées de liberté sont protégées dans la mesure où toute personne admise dans un établissement pénitentaire passe un examen médical destiné à constater son état physique et mental</w:t>
      </w:r>
      <w:r w:rsidRPr="001777E2">
        <w:rPr>
          <w:noProof/>
          <w:vertAlign w:val="superscript"/>
          <w:lang w:val="fr-FR" w:eastAsia="es-BO"/>
        </w:rPr>
        <w:footnoteReference w:id="47"/>
      </w:r>
      <w:r w:rsidR="00AA1512">
        <w:rPr>
          <w:noProof/>
          <w:lang w:val="fr-FR" w:eastAsia="es-BO"/>
        </w:rPr>
        <w:t> </w:t>
      </w:r>
      <w:r w:rsidRPr="001777E2">
        <w:rPr>
          <w:noProof/>
          <w:lang w:val="fr-FR" w:eastAsia="es-BO"/>
        </w:rPr>
        <w:t>; de même, chaque détenu est examiné à intervalles réguliers et peut se rendre au service médical chaque fois qu</w:t>
      </w:r>
      <w:r w:rsidR="00FB1114">
        <w:rPr>
          <w:noProof/>
          <w:lang w:val="fr-FR" w:eastAsia="es-BO"/>
        </w:rPr>
        <w:t>’</w:t>
      </w:r>
      <w:r w:rsidRPr="001777E2">
        <w:rPr>
          <w:noProof/>
          <w:lang w:val="fr-FR" w:eastAsia="es-BO"/>
        </w:rPr>
        <w:t>il en a besoin. Si son état de santé nécessite un traitement spécialisé, le médecin adresse au juge de l</w:t>
      </w:r>
      <w:r w:rsidR="00FB1114">
        <w:rPr>
          <w:noProof/>
          <w:lang w:val="fr-FR" w:eastAsia="es-BO"/>
        </w:rPr>
        <w:t>’</w:t>
      </w:r>
      <w:r w:rsidRPr="001777E2">
        <w:rPr>
          <w:noProof/>
          <w:lang w:val="fr-FR" w:eastAsia="es-BO"/>
        </w:rPr>
        <w:t>application des peines une recommandation tendant à le faire transférer vers un établissement de soins.</w:t>
      </w:r>
    </w:p>
    <w:p w:rsidR="00614A7E" w:rsidRPr="00CF6C83" w:rsidRDefault="00614A7E" w:rsidP="00614A7E">
      <w:pPr>
        <w:pStyle w:val="SingleTxtG"/>
        <w:rPr>
          <w:noProof/>
          <w:lang w:val="fr-FR" w:eastAsia="es-BO"/>
        </w:rPr>
      </w:pPr>
      <w:r w:rsidRPr="00DF456A">
        <w:rPr>
          <w:noProof/>
          <w:lang w:val="fr-FR" w:eastAsia="es-BO"/>
        </w:rPr>
        <w:t>72.</w:t>
      </w:r>
      <w:r w:rsidRPr="00DF456A">
        <w:rPr>
          <w:noProof/>
          <w:lang w:val="fr-FR" w:eastAsia="es-BO"/>
        </w:rPr>
        <w:tab/>
        <w:t>Si la person</w:t>
      </w:r>
      <w:r>
        <w:rPr>
          <w:noProof/>
          <w:lang w:val="fr-FR" w:eastAsia="es-BO"/>
        </w:rPr>
        <w:t>ne privée de liberté est atteinte d</w:t>
      </w:r>
      <w:r w:rsidR="00FB1114">
        <w:rPr>
          <w:noProof/>
          <w:lang w:val="fr-FR" w:eastAsia="es-BO"/>
        </w:rPr>
        <w:t>’</w:t>
      </w:r>
      <w:r>
        <w:rPr>
          <w:noProof/>
          <w:lang w:val="fr-FR" w:eastAsia="es-BO"/>
        </w:rPr>
        <w:t>une maladie grave ou contagieuse, le directeur de l</w:t>
      </w:r>
      <w:r w:rsidR="00FB1114">
        <w:rPr>
          <w:noProof/>
          <w:lang w:val="fr-FR" w:eastAsia="es-BO"/>
        </w:rPr>
        <w:t>’</w:t>
      </w:r>
      <w:r>
        <w:rPr>
          <w:noProof/>
          <w:lang w:val="fr-FR" w:eastAsia="es-BO"/>
        </w:rPr>
        <w:t>établissement pénitentiaire doit autoriser son transfert vers un établissement de soins après consultation d</w:t>
      </w:r>
      <w:r w:rsidR="00FB1114">
        <w:rPr>
          <w:noProof/>
          <w:lang w:val="fr-FR" w:eastAsia="es-BO"/>
        </w:rPr>
        <w:t>’</w:t>
      </w:r>
      <w:r>
        <w:rPr>
          <w:noProof/>
          <w:lang w:val="fr-FR" w:eastAsia="es-BO"/>
        </w:rPr>
        <w:t>un médecin</w:t>
      </w:r>
      <w:r w:rsidR="00E31B0D">
        <w:rPr>
          <w:noProof/>
          <w:lang w:val="fr-FR" w:eastAsia="es-BO"/>
        </w:rPr>
        <w:t> </w:t>
      </w:r>
      <w:r>
        <w:rPr>
          <w:noProof/>
          <w:lang w:val="fr-FR" w:eastAsia="es-BO"/>
        </w:rPr>
        <w:t>; il peut même demander au juge de l</w:t>
      </w:r>
      <w:r w:rsidR="00FB1114">
        <w:rPr>
          <w:noProof/>
          <w:lang w:val="fr-FR" w:eastAsia="es-BO"/>
        </w:rPr>
        <w:t>’</w:t>
      </w:r>
      <w:r>
        <w:rPr>
          <w:noProof/>
          <w:lang w:val="fr-FR" w:eastAsia="es-BO"/>
        </w:rPr>
        <w:t>application des peines l</w:t>
      </w:r>
      <w:r w:rsidR="00FB1114">
        <w:rPr>
          <w:noProof/>
          <w:lang w:val="fr-FR" w:eastAsia="es-BO"/>
        </w:rPr>
        <w:t>’</w:t>
      </w:r>
      <w:r>
        <w:rPr>
          <w:noProof/>
          <w:lang w:val="fr-FR" w:eastAsia="es-BO"/>
        </w:rPr>
        <w:t>assignation à résidence de cette personne</w:t>
      </w:r>
      <w:r w:rsidRPr="00DF456A">
        <w:rPr>
          <w:noProof/>
          <w:lang w:val="fr-FR" w:eastAsia="es-BO"/>
        </w:rPr>
        <w:t xml:space="preserve">. </w:t>
      </w:r>
      <w:r>
        <w:rPr>
          <w:noProof/>
          <w:lang w:val="fr-FR" w:eastAsia="es-BO"/>
        </w:rPr>
        <w:t>En cas d</w:t>
      </w:r>
      <w:r w:rsidR="00FB1114">
        <w:rPr>
          <w:noProof/>
          <w:lang w:val="fr-FR" w:eastAsia="es-BO"/>
        </w:rPr>
        <w:t>’</w:t>
      </w:r>
      <w:r>
        <w:rPr>
          <w:noProof/>
          <w:lang w:val="fr-FR" w:eastAsia="es-BO"/>
        </w:rPr>
        <w:t>urgence, le directeur peut ordonner son transfert vers un établissement de santé extérieur en prenant les mesures de sécurité nécessaires et en en informant immédiatement le juge de l</w:t>
      </w:r>
      <w:r w:rsidR="00FB1114">
        <w:rPr>
          <w:noProof/>
          <w:lang w:val="fr-FR" w:eastAsia="es-BO"/>
        </w:rPr>
        <w:t>’</w:t>
      </w:r>
      <w:r>
        <w:rPr>
          <w:noProof/>
          <w:lang w:val="fr-FR" w:eastAsia="es-BO"/>
        </w:rPr>
        <w:t>application des peines.</w:t>
      </w:r>
    </w:p>
    <w:p w:rsidR="00614A7E" w:rsidRPr="00CF6C83" w:rsidRDefault="00614A7E" w:rsidP="00614A7E">
      <w:pPr>
        <w:pStyle w:val="SingleTxtG"/>
        <w:rPr>
          <w:noProof/>
          <w:lang w:val="fr-FR" w:eastAsia="es-BO"/>
        </w:rPr>
      </w:pPr>
      <w:r w:rsidRPr="00CF6C83">
        <w:rPr>
          <w:noProof/>
          <w:lang w:val="fr-FR" w:eastAsia="es-BO"/>
        </w:rPr>
        <w:t>73.</w:t>
      </w:r>
      <w:r w:rsidRPr="00CF6C83">
        <w:rPr>
          <w:noProof/>
          <w:lang w:val="fr-FR" w:eastAsia="es-BO"/>
        </w:rPr>
        <w:tab/>
        <w:t>Il convient de souligner que les responsables de l</w:t>
      </w:r>
      <w:r w:rsidR="00FB1114">
        <w:rPr>
          <w:noProof/>
          <w:lang w:val="fr-FR" w:eastAsia="es-BO"/>
        </w:rPr>
        <w:t>’</w:t>
      </w:r>
      <w:r w:rsidRPr="00CF6C83">
        <w:rPr>
          <w:noProof/>
          <w:lang w:val="fr-FR" w:eastAsia="es-BO"/>
        </w:rPr>
        <w:t xml:space="preserve">assistance médicale et psychologique à la </w:t>
      </w:r>
      <w:r w:rsidRPr="00CF6C83">
        <w:rPr>
          <w:noProof/>
          <w:lang w:val="fr-FR"/>
        </w:rPr>
        <w:t>Direction générale du système pénitentiaire et au Ministère de la santé s</w:t>
      </w:r>
      <w:r w:rsidR="00FB1114">
        <w:rPr>
          <w:noProof/>
          <w:lang w:val="fr-FR"/>
        </w:rPr>
        <w:t>’</w:t>
      </w:r>
      <w:r w:rsidRPr="00CF6C83">
        <w:rPr>
          <w:noProof/>
          <w:lang w:val="fr-FR"/>
        </w:rPr>
        <w:t>emploient en permanence à effectuer des contrôles et des examens, à lancer des campagnes et à organiser des ateliers sur les questions liées à la santé à l</w:t>
      </w:r>
      <w:r w:rsidR="00FB1114">
        <w:rPr>
          <w:noProof/>
          <w:lang w:val="fr-FR"/>
        </w:rPr>
        <w:t>’</w:t>
      </w:r>
      <w:r w:rsidRPr="00CF6C83">
        <w:rPr>
          <w:noProof/>
          <w:lang w:val="fr-FR"/>
        </w:rPr>
        <w:t>intérieur des établissements pénitentiaires de l</w:t>
      </w:r>
      <w:r w:rsidR="00FB1114">
        <w:rPr>
          <w:noProof/>
          <w:lang w:val="fr-FR"/>
        </w:rPr>
        <w:t>’</w:t>
      </w:r>
      <w:r w:rsidRPr="00CF6C83">
        <w:rPr>
          <w:noProof/>
          <w:lang w:val="fr-FR"/>
        </w:rPr>
        <w:t>ensemble du pays.</w:t>
      </w:r>
    </w:p>
    <w:p w:rsidR="00614A7E" w:rsidRPr="00CF6C83" w:rsidRDefault="00614A7E" w:rsidP="00614A7E">
      <w:pPr>
        <w:pStyle w:val="SingleTxtG"/>
        <w:rPr>
          <w:noProof/>
          <w:lang w:val="fr-FR" w:eastAsia="es-BO"/>
        </w:rPr>
      </w:pPr>
      <w:r w:rsidRPr="00CF6C83">
        <w:rPr>
          <w:noProof/>
          <w:lang w:val="fr-FR" w:eastAsia="es-BO"/>
        </w:rPr>
        <w:t>74.</w:t>
      </w:r>
      <w:r w:rsidRPr="00CF6C83">
        <w:rPr>
          <w:noProof/>
          <w:lang w:val="fr-FR" w:eastAsia="es-BO"/>
        </w:rPr>
        <w:tab/>
        <w:t>En ce qui concerne l</w:t>
      </w:r>
      <w:r w:rsidR="00FB1114">
        <w:rPr>
          <w:noProof/>
          <w:lang w:val="fr-FR" w:eastAsia="es-BO"/>
        </w:rPr>
        <w:t>’</w:t>
      </w:r>
      <w:r w:rsidRPr="00CF6C83">
        <w:rPr>
          <w:noProof/>
          <w:lang w:val="fr-FR" w:eastAsia="es-BO"/>
        </w:rPr>
        <w:t xml:space="preserve">application de la recommandation tendant à étendre et à améliorer la couverture du Service national de défense publique (devenu le </w:t>
      </w:r>
      <w:r w:rsidRPr="00CF6C83">
        <w:rPr>
          <w:noProof/>
          <w:lang w:val="fr-FR"/>
        </w:rPr>
        <w:t>Service plurinational de défense publique</w:t>
      </w:r>
      <w:r w:rsidRPr="00CF6C83">
        <w:rPr>
          <w:noProof/>
          <w:lang w:val="fr-FR" w:eastAsia="es-BO"/>
        </w:rPr>
        <w:t>), il convient d</w:t>
      </w:r>
      <w:r w:rsidR="00FB1114">
        <w:rPr>
          <w:noProof/>
          <w:lang w:val="fr-FR" w:eastAsia="es-BO"/>
        </w:rPr>
        <w:t>’</w:t>
      </w:r>
      <w:r w:rsidRPr="00CF6C83">
        <w:rPr>
          <w:noProof/>
          <w:lang w:val="fr-FR" w:eastAsia="es-BO"/>
        </w:rPr>
        <w:t>indiquer que, p</w:t>
      </w:r>
      <w:r w:rsidRPr="00CF6C83">
        <w:rPr>
          <w:noProof/>
          <w:lang w:val="fr-FR"/>
        </w:rPr>
        <w:t>ar l</w:t>
      </w:r>
      <w:r w:rsidR="00FB1114">
        <w:rPr>
          <w:noProof/>
          <w:lang w:val="fr-FR"/>
        </w:rPr>
        <w:t>’</w:t>
      </w:r>
      <w:r w:rsidRPr="00CF6C83">
        <w:rPr>
          <w:noProof/>
          <w:lang w:val="fr-FR"/>
        </w:rPr>
        <w:t>intermédiaire du Ministère de la justice et de la transparence institutionnelle, dont il relève, le Service plurinational de défense publique œuvre actuellement au renforcement institutionnel</w:t>
      </w:r>
      <w:r w:rsidRPr="00CF6C83">
        <w:rPr>
          <w:noProof/>
          <w:lang w:val="fr-FR" w:eastAsia="es-BO"/>
        </w:rPr>
        <w:t xml:space="preserve"> pour </w:t>
      </w:r>
      <w:r w:rsidRPr="00CF6C83">
        <w:rPr>
          <w:noProof/>
          <w:lang w:val="fr-FR" w:eastAsia="es-BO"/>
        </w:rPr>
        <w:lastRenderedPageBreak/>
        <w:t>améliorer les conditions de fonctionnement, créer de nouveaux postes et optimiser les infrastructures de tous les bureaux du pays.</w:t>
      </w:r>
    </w:p>
    <w:p w:rsidR="00614A7E" w:rsidRPr="00CF6C83" w:rsidRDefault="00614A7E" w:rsidP="00614A7E">
      <w:pPr>
        <w:pStyle w:val="SingleTxtG"/>
        <w:rPr>
          <w:noProof/>
          <w:lang w:val="fr-FR" w:eastAsia="es-BO"/>
        </w:rPr>
      </w:pPr>
      <w:r w:rsidRPr="00CF6C83">
        <w:rPr>
          <w:noProof/>
          <w:lang w:val="fr-FR" w:eastAsia="es-BO"/>
        </w:rPr>
        <w:t>75.</w:t>
      </w:r>
      <w:r w:rsidRPr="00CF6C83">
        <w:rPr>
          <w:noProof/>
          <w:lang w:val="fr-FR" w:eastAsia="es-BO"/>
        </w:rPr>
        <w:tab/>
        <w:t xml:space="preserve">De même, le </w:t>
      </w:r>
      <w:r w:rsidRPr="00CF6C83">
        <w:rPr>
          <w:noProof/>
          <w:lang w:val="fr-FR"/>
        </w:rPr>
        <w:t>Service plurinational de défense publique</w:t>
      </w:r>
      <w:r w:rsidRPr="00CF6C83">
        <w:rPr>
          <w:noProof/>
          <w:lang w:val="fr-FR" w:eastAsia="es-BO"/>
        </w:rPr>
        <w:t xml:space="preserve"> a étendu ses services aux zones rurales du pays en faisant couvrir à ce jour 98</w:t>
      </w:r>
      <w:r w:rsidR="00CF6C83">
        <w:rPr>
          <w:noProof/>
          <w:lang w:val="fr-FR" w:eastAsia="es-BO"/>
        </w:rPr>
        <w:t> </w:t>
      </w:r>
      <w:r w:rsidRPr="00CF6C83">
        <w:rPr>
          <w:noProof/>
          <w:lang w:val="fr-FR" w:eastAsia="es-BO"/>
        </w:rPr>
        <w:t>circonscriptions judiciaires par des défenseurs publics mobiles répartis sur l</w:t>
      </w:r>
      <w:r w:rsidR="00FB1114">
        <w:rPr>
          <w:noProof/>
          <w:lang w:val="fr-FR" w:eastAsia="es-BO"/>
        </w:rPr>
        <w:t>’</w:t>
      </w:r>
      <w:r w:rsidRPr="00CF6C83">
        <w:rPr>
          <w:noProof/>
          <w:lang w:val="fr-FR" w:eastAsia="es-BO"/>
        </w:rPr>
        <w:t>ensemble du territoire (annexe</w:t>
      </w:r>
      <w:r w:rsidR="00CF6C83">
        <w:rPr>
          <w:noProof/>
          <w:lang w:val="fr-FR" w:eastAsia="es-BO"/>
        </w:rPr>
        <w:t> </w:t>
      </w:r>
      <w:r w:rsidRPr="00CF6C83">
        <w:rPr>
          <w:noProof/>
          <w:lang w:val="fr-FR" w:eastAsia="es-BO"/>
        </w:rPr>
        <w:t>17).</w:t>
      </w:r>
    </w:p>
    <w:p w:rsidR="00614A7E" w:rsidRPr="00DF456A" w:rsidRDefault="00614A7E" w:rsidP="00CF6C83">
      <w:pPr>
        <w:pStyle w:val="H23G"/>
        <w:rPr>
          <w:noProof/>
          <w:lang w:val="fr-FR" w:eastAsia="es-BO"/>
        </w:rPr>
      </w:pPr>
      <w:r w:rsidRPr="00DF456A">
        <w:rPr>
          <w:noProof/>
          <w:lang w:val="fr-FR" w:eastAsia="es-BO"/>
        </w:rPr>
        <w:tab/>
      </w:r>
      <w:r w:rsidRPr="00DF456A">
        <w:rPr>
          <w:noProof/>
          <w:lang w:val="fr-FR" w:eastAsia="es-BO"/>
        </w:rPr>
        <w:tab/>
      </w:r>
      <w:r w:rsidRPr="00DF456A">
        <w:rPr>
          <w:noProof/>
          <w:lang w:val="fr-FR"/>
        </w:rPr>
        <w:t>Recom</w:t>
      </w:r>
      <w:r>
        <w:rPr>
          <w:noProof/>
          <w:lang w:val="fr-FR"/>
        </w:rPr>
        <w:t xml:space="preserve">mandation figurant au </w:t>
      </w:r>
      <w:r w:rsidRPr="00CF6C83">
        <w:t>paragraphe</w:t>
      </w:r>
      <w:r>
        <w:rPr>
          <w:noProof/>
          <w:lang w:val="fr-FR"/>
        </w:rPr>
        <w:t xml:space="preserve"> </w:t>
      </w:r>
      <w:r w:rsidRPr="00DF456A">
        <w:rPr>
          <w:noProof/>
          <w:lang w:val="fr-FR" w:eastAsia="es-BO"/>
        </w:rPr>
        <w:t>9.b</w:t>
      </w:r>
    </w:p>
    <w:p w:rsidR="00614A7E" w:rsidRPr="003166BD" w:rsidRDefault="00614A7E" w:rsidP="00614A7E">
      <w:pPr>
        <w:pStyle w:val="SingleTxtG"/>
        <w:rPr>
          <w:noProof/>
          <w:lang w:val="fr-FR" w:eastAsia="es-BO"/>
        </w:rPr>
      </w:pPr>
      <w:r w:rsidRPr="00DF456A">
        <w:rPr>
          <w:noProof/>
          <w:lang w:val="fr-FR" w:eastAsia="es-BO"/>
        </w:rPr>
        <w:t>76.</w:t>
      </w:r>
      <w:r w:rsidRPr="00DF456A">
        <w:rPr>
          <w:noProof/>
          <w:lang w:val="fr-FR" w:eastAsia="es-BO"/>
        </w:rPr>
        <w:tab/>
        <w:t xml:space="preserve">La </w:t>
      </w:r>
      <w:r>
        <w:rPr>
          <w:noProof/>
          <w:lang w:val="fr-FR" w:eastAsia="es-BO"/>
        </w:rPr>
        <w:t xml:space="preserve">plus haute autorité de la </w:t>
      </w:r>
      <w:r w:rsidRPr="00CE305E">
        <w:rPr>
          <w:noProof/>
          <w:lang w:val="fr-FR"/>
        </w:rPr>
        <w:t xml:space="preserve">Direction générale du système pénitentiaire </w:t>
      </w:r>
      <w:r>
        <w:rPr>
          <w:noProof/>
          <w:lang w:val="fr-FR"/>
        </w:rPr>
        <w:t xml:space="preserve">effectue, conformément aux instruments internationaux, à la Constitution et à la loi </w:t>
      </w:r>
      <w:r w:rsidR="00CF6C83" w:rsidRPr="00857F6E">
        <w:rPr>
          <w:rFonts w:eastAsia="MS Mincho"/>
          <w:noProof/>
          <w:szCs w:val="22"/>
          <w:lang w:val="fr-FR"/>
        </w:rPr>
        <w:t>n</w:t>
      </w:r>
      <w:r w:rsidR="00CF6C83" w:rsidRPr="00857F6E">
        <w:rPr>
          <w:rFonts w:eastAsia="MS Mincho"/>
          <w:noProof/>
          <w:szCs w:val="22"/>
          <w:vertAlign w:val="superscript"/>
          <w:lang w:val="fr-FR"/>
        </w:rPr>
        <w:t>o</w:t>
      </w:r>
      <w:r w:rsidR="00CF6C83">
        <w:rPr>
          <w:noProof/>
          <w:lang w:val="fr-FR"/>
        </w:rPr>
        <w:t> </w:t>
      </w:r>
      <w:r w:rsidRPr="00DF456A">
        <w:rPr>
          <w:noProof/>
          <w:lang w:val="fr-FR" w:eastAsia="es-BO"/>
        </w:rPr>
        <w:t xml:space="preserve">2298, </w:t>
      </w:r>
      <w:r>
        <w:rPr>
          <w:noProof/>
          <w:lang w:val="fr-FR" w:eastAsia="es-BO"/>
        </w:rPr>
        <w:t>des inspections périodiques concernant les activités menées au sein du système pénitentiaire au niveau national</w:t>
      </w:r>
      <w:r w:rsidRPr="00DF456A">
        <w:rPr>
          <w:noProof/>
          <w:lang w:val="fr-FR" w:eastAsia="es-BO"/>
        </w:rPr>
        <w:t xml:space="preserve">. </w:t>
      </w:r>
      <w:r>
        <w:rPr>
          <w:noProof/>
          <w:lang w:val="fr-FR" w:eastAsia="es-BO"/>
        </w:rPr>
        <w:t>De plus,</w:t>
      </w:r>
      <w:r w:rsidR="001D0F19">
        <w:rPr>
          <w:noProof/>
          <w:lang w:val="fr-FR" w:eastAsia="es-BO"/>
        </w:rPr>
        <w:t xml:space="preserve"> </w:t>
      </w:r>
      <w:r>
        <w:rPr>
          <w:noProof/>
          <w:lang w:val="fr-FR" w:eastAsia="es-BO"/>
        </w:rPr>
        <w:t xml:space="preserve">les </w:t>
      </w:r>
      <w:r w:rsidR="001D0F19">
        <w:rPr>
          <w:noProof/>
          <w:lang w:val="fr-FR" w:eastAsia="es-BO"/>
        </w:rPr>
        <w:t>d</w:t>
      </w:r>
      <w:proofErr w:type="spellStart"/>
      <w:r>
        <w:rPr>
          <w:rFonts w:eastAsia="Times New Roman"/>
          <w:lang w:val="fr-FR" w:eastAsia="zh-CN"/>
        </w:rPr>
        <w:t>irections</w:t>
      </w:r>
      <w:proofErr w:type="spellEnd"/>
      <w:r>
        <w:rPr>
          <w:rFonts w:eastAsia="Times New Roman"/>
          <w:lang w:val="fr-FR" w:eastAsia="zh-CN"/>
        </w:rPr>
        <w:t xml:space="preserve"> départementales du système </w:t>
      </w:r>
      <w:r w:rsidRPr="003166BD">
        <w:rPr>
          <w:rFonts w:eastAsia="Times New Roman"/>
          <w:lang w:val="fr-FR" w:eastAsia="zh-CN"/>
        </w:rPr>
        <w:t>pénitentiaire</w:t>
      </w:r>
      <w:r w:rsidRPr="003166BD">
        <w:rPr>
          <w:noProof/>
          <w:lang w:val="fr-FR" w:eastAsia="es-BO"/>
        </w:rPr>
        <w:t xml:space="preserve"> inspectent les établissements pénitentiaires afin de vérifier leur bon fonctionnement.</w:t>
      </w:r>
    </w:p>
    <w:p w:rsidR="00614A7E" w:rsidRPr="00E31B0D" w:rsidRDefault="00614A7E" w:rsidP="00614A7E">
      <w:pPr>
        <w:pStyle w:val="SingleTxtG"/>
        <w:rPr>
          <w:noProof/>
          <w:lang w:val="fr-FR" w:eastAsia="es-BO"/>
        </w:rPr>
      </w:pPr>
      <w:r w:rsidRPr="00E31B0D">
        <w:rPr>
          <w:noProof/>
          <w:lang w:val="fr-FR" w:eastAsia="es-BO"/>
        </w:rPr>
        <w:t>77.</w:t>
      </w:r>
      <w:r w:rsidRPr="00E31B0D">
        <w:rPr>
          <w:noProof/>
          <w:lang w:val="fr-FR" w:eastAsia="es-BO"/>
        </w:rPr>
        <w:tab/>
        <w:t>Le 2</w:t>
      </w:r>
      <w:r w:rsidR="003166BD" w:rsidRPr="00E31B0D">
        <w:rPr>
          <w:noProof/>
          <w:lang w:val="fr-FR" w:eastAsia="es-BO"/>
        </w:rPr>
        <w:t> </w:t>
      </w:r>
      <w:r w:rsidRPr="00E31B0D">
        <w:rPr>
          <w:noProof/>
          <w:lang w:val="fr-FR" w:eastAsia="es-BO"/>
        </w:rPr>
        <w:t xml:space="preserve">décembre 2015, la </w:t>
      </w:r>
      <w:r w:rsidRPr="00E31B0D">
        <w:rPr>
          <w:noProof/>
          <w:lang w:val="fr-FR"/>
        </w:rPr>
        <w:t>Direction générale du système pénitentiaire a signé avec la Fondation Construir un accord de coopération interinstitutionnelle en vue d</w:t>
      </w:r>
      <w:r w:rsidR="00FB1114" w:rsidRPr="00E31B0D">
        <w:rPr>
          <w:noProof/>
          <w:lang w:val="fr-FR"/>
        </w:rPr>
        <w:t>’</w:t>
      </w:r>
      <w:r w:rsidRPr="00E31B0D">
        <w:rPr>
          <w:noProof/>
          <w:lang w:val="fr-FR"/>
        </w:rPr>
        <w:t xml:space="preserve">élaborer et de mettre en place le </w:t>
      </w:r>
      <w:r w:rsidRPr="00E31B0D">
        <w:rPr>
          <w:noProof/>
          <w:lang w:val="fr-FR" w:eastAsia="es-BO"/>
        </w:rPr>
        <w:t>Système d</w:t>
      </w:r>
      <w:r w:rsidR="00FB1114" w:rsidRPr="00E31B0D">
        <w:rPr>
          <w:noProof/>
          <w:lang w:val="fr-FR" w:eastAsia="es-BO"/>
        </w:rPr>
        <w:t>’</w:t>
      </w:r>
      <w:r w:rsidRPr="00E31B0D">
        <w:rPr>
          <w:noProof/>
          <w:lang w:val="fr-FR" w:eastAsia="es-BO"/>
        </w:rPr>
        <w:t>information pénitentiaire (SIPENBOL) qui stocke des informations actualisées sur les personnes privées de liberté, ainsi que le nom du juge et du procureur saisis, la date du placement en détention, le stade de la procédure pénale, l</w:t>
      </w:r>
      <w:r w:rsidR="00FB1114" w:rsidRPr="00E31B0D">
        <w:rPr>
          <w:noProof/>
          <w:lang w:val="fr-FR" w:eastAsia="es-BO"/>
        </w:rPr>
        <w:t>’</w:t>
      </w:r>
      <w:r w:rsidRPr="00E31B0D">
        <w:rPr>
          <w:noProof/>
          <w:lang w:val="fr-FR" w:eastAsia="es-BO"/>
        </w:rPr>
        <w:t>indication de l</w:t>
      </w:r>
      <w:r w:rsidR="00FB1114" w:rsidRPr="00E31B0D">
        <w:rPr>
          <w:noProof/>
          <w:lang w:val="fr-FR" w:eastAsia="es-BO"/>
        </w:rPr>
        <w:t>’</w:t>
      </w:r>
      <w:r w:rsidRPr="00E31B0D">
        <w:rPr>
          <w:noProof/>
          <w:lang w:val="fr-FR" w:eastAsia="es-BO"/>
        </w:rPr>
        <w:t>identité complète de la personne privée de liberté, ses empreintes digitales et le calcul de la peine, dans un cadre qui assure le respect des droits de la personne (annexe</w:t>
      </w:r>
      <w:r w:rsidR="003166BD" w:rsidRPr="00E31B0D">
        <w:rPr>
          <w:noProof/>
          <w:lang w:val="fr-FR" w:eastAsia="es-BO"/>
        </w:rPr>
        <w:t> </w:t>
      </w:r>
      <w:r w:rsidRPr="00E31B0D">
        <w:rPr>
          <w:noProof/>
          <w:lang w:val="fr-FR" w:eastAsia="es-BO"/>
        </w:rPr>
        <w:t>18). En outre, le SIPENBOL renseignera sur l</w:t>
      </w:r>
      <w:r w:rsidR="00FB1114" w:rsidRPr="00E31B0D">
        <w:rPr>
          <w:noProof/>
          <w:lang w:val="fr-FR" w:eastAsia="es-BO"/>
        </w:rPr>
        <w:t>’</w:t>
      </w:r>
      <w:r w:rsidRPr="00E31B0D">
        <w:rPr>
          <w:noProof/>
          <w:lang w:val="fr-FR" w:eastAsia="es-BO"/>
        </w:rPr>
        <w:t>environnement social, familial, psychologique, de travail et juridique de la personne privée de liberté (annexe</w:t>
      </w:r>
      <w:r w:rsidR="00E31B0D">
        <w:rPr>
          <w:noProof/>
          <w:lang w:val="fr-FR" w:eastAsia="es-BO"/>
        </w:rPr>
        <w:t> </w:t>
      </w:r>
      <w:r w:rsidRPr="00E31B0D">
        <w:rPr>
          <w:noProof/>
          <w:lang w:val="fr-FR" w:eastAsia="es-BO"/>
        </w:rPr>
        <w:t>19).</w:t>
      </w:r>
    </w:p>
    <w:p w:rsidR="00614A7E" w:rsidRPr="003166BD" w:rsidRDefault="00614A7E" w:rsidP="00614A7E">
      <w:pPr>
        <w:pStyle w:val="SingleTxtG"/>
        <w:rPr>
          <w:noProof/>
          <w:lang w:val="fr-FR" w:eastAsia="es-BO"/>
        </w:rPr>
      </w:pPr>
      <w:r w:rsidRPr="003166BD">
        <w:rPr>
          <w:noProof/>
          <w:lang w:val="fr-FR" w:eastAsia="es-BO"/>
        </w:rPr>
        <w:t>78.</w:t>
      </w:r>
      <w:r w:rsidRPr="003166BD">
        <w:rPr>
          <w:noProof/>
          <w:lang w:val="fr-FR" w:eastAsia="es-BO"/>
        </w:rPr>
        <w:tab/>
        <w:t>De même, le 10</w:t>
      </w:r>
      <w:r w:rsidR="003166BD">
        <w:rPr>
          <w:noProof/>
          <w:lang w:val="fr-FR" w:eastAsia="es-BO"/>
        </w:rPr>
        <w:t> </w:t>
      </w:r>
      <w:r w:rsidRPr="003166BD">
        <w:rPr>
          <w:noProof/>
          <w:lang w:val="fr-FR" w:eastAsia="es-BO"/>
        </w:rPr>
        <w:t>février 2017, le Ministère de l</w:t>
      </w:r>
      <w:r w:rsidR="00FB1114">
        <w:rPr>
          <w:noProof/>
          <w:lang w:val="fr-FR" w:eastAsia="es-BO"/>
        </w:rPr>
        <w:t>’</w:t>
      </w:r>
      <w:r w:rsidRPr="003166BD">
        <w:rPr>
          <w:noProof/>
          <w:lang w:val="fr-FR" w:eastAsia="es-BO"/>
        </w:rPr>
        <w:t xml:space="preserve">intérieur et le </w:t>
      </w:r>
      <w:r w:rsidRPr="003166BD">
        <w:rPr>
          <w:noProof/>
          <w:lang w:val="fr-FR"/>
        </w:rPr>
        <w:t>Tribunal suprême de justic</w:t>
      </w:r>
      <w:r w:rsidRPr="003166BD">
        <w:rPr>
          <w:noProof/>
          <w:lang w:val="fr-FR" w:eastAsia="es-BO"/>
        </w:rPr>
        <w:t>e ont signé un accord de coopération et de coordination interinstitutionnelles (annexe</w:t>
      </w:r>
      <w:r w:rsidR="003166BD">
        <w:rPr>
          <w:noProof/>
          <w:lang w:val="fr-FR" w:eastAsia="es-BO"/>
        </w:rPr>
        <w:t> </w:t>
      </w:r>
      <w:r w:rsidRPr="003166BD">
        <w:rPr>
          <w:noProof/>
          <w:lang w:val="fr-FR" w:eastAsia="es-BO"/>
        </w:rPr>
        <w:t>20) devant permettre d</w:t>
      </w:r>
      <w:r w:rsidR="00FB1114">
        <w:rPr>
          <w:noProof/>
          <w:lang w:val="fr-FR" w:eastAsia="es-BO"/>
        </w:rPr>
        <w:t>’</w:t>
      </w:r>
      <w:r w:rsidRPr="003166BD">
        <w:rPr>
          <w:noProof/>
          <w:lang w:val="fr-FR" w:eastAsia="es-BO"/>
        </w:rPr>
        <w:t xml:space="preserve">intégrer le système informatique SIPENBOL avec le système TULLIANUS (Système informatique du </w:t>
      </w:r>
      <w:r w:rsidRPr="003166BD">
        <w:rPr>
          <w:noProof/>
          <w:lang w:val="fr-FR"/>
        </w:rPr>
        <w:t>Tribunal suprême de justic</w:t>
      </w:r>
      <w:r w:rsidRPr="003166BD">
        <w:rPr>
          <w:noProof/>
          <w:lang w:val="fr-FR" w:eastAsia="es-BO"/>
        </w:rPr>
        <w:t>e). Parallèlement, dans le cadre de l</w:t>
      </w:r>
      <w:r w:rsidR="00FB1114">
        <w:rPr>
          <w:noProof/>
          <w:lang w:val="fr-FR" w:eastAsia="es-BO"/>
        </w:rPr>
        <w:t>’</w:t>
      </w:r>
      <w:r w:rsidRPr="003166BD">
        <w:rPr>
          <w:noProof/>
          <w:lang w:val="fr-FR" w:eastAsia="es-BO"/>
        </w:rPr>
        <w:t>accord précité, on a créé un service commun ou interinstitutions chargé de constituer une base de données actualisable en permanence, qui regroupe les données personnelles de la personne privée de liberté et son statut pénal.</w:t>
      </w:r>
    </w:p>
    <w:p w:rsidR="00614A7E" w:rsidRPr="003166BD" w:rsidRDefault="00614A7E" w:rsidP="00614A7E">
      <w:pPr>
        <w:pStyle w:val="SingleTxtG"/>
        <w:rPr>
          <w:noProof/>
          <w:lang w:val="fr-FR" w:eastAsia="es-BO"/>
        </w:rPr>
      </w:pPr>
      <w:r w:rsidRPr="003166BD">
        <w:rPr>
          <w:noProof/>
          <w:lang w:val="fr-FR" w:eastAsia="es-BO"/>
        </w:rPr>
        <w:t>79.</w:t>
      </w:r>
      <w:r w:rsidRPr="003166BD">
        <w:rPr>
          <w:noProof/>
          <w:lang w:val="fr-FR" w:eastAsia="es-BO"/>
        </w:rPr>
        <w:tab/>
        <w:t xml:space="preserve">En outre, on a mis en place une commission </w:t>
      </w:r>
      <w:r w:rsidRPr="003166BD">
        <w:rPr>
          <w:noProof/>
          <w:lang w:val="fr-FR"/>
        </w:rPr>
        <w:t>spécialisée composée de représentants du pouvoir judiciaire, du ministère public, du Ministère de l</w:t>
      </w:r>
      <w:r w:rsidR="00FB1114">
        <w:rPr>
          <w:noProof/>
          <w:lang w:val="fr-FR"/>
        </w:rPr>
        <w:t>’</w:t>
      </w:r>
      <w:r w:rsidRPr="003166BD">
        <w:rPr>
          <w:noProof/>
          <w:lang w:val="fr-FR"/>
        </w:rPr>
        <w:t>intérieur et du Bureau du Défenseur du peuple pour analyser chacune des affaires impliquant des personnes privées de liberté, afin de repérer les cas prioritaires du fait de l</w:t>
      </w:r>
      <w:r w:rsidR="00FB1114">
        <w:rPr>
          <w:noProof/>
          <w:lang w:val="fr-FR"/>
        </w:rPr>
        <w:t>’</w:t>
      </w:r>
      <w:r w:rsidRPr="003166BD">
        <w:rPr>
          <w:noProof/>
          <w:lang w:val="fr-FR"/>
        </w:rPr>
        <w:t>âge, du genre ou d</w:t>
      </w:r>
      <w:r w:rsidR="00FB1114">
        <w:rPr>
          <w:noProof/>
          <w:lang w:val="fr-FR"/>
        </w:rPr>
        <w:t>’</w:t>
      </w:r>
      <w:r w:rsidRPr="003166BD">
        <w:rPr>
          <w:noProof/>
          <w:lang w:val="fr-FR"/>
        </w:rPr>
        <w:t>autres caractéristiques de l</w:t>
      </w:r>
      <w:r w:rsidR="00FB1114">
        <w:rPr>
          <w:noProof/>
          <w:lang w:val="fr-FR"/>
        </w:rPr>
        <w:t>’</w:t>
      </w:r>
      <w:r w:rsidRPr="003166BD">
        <w:rPr>
          <w:noProof/>
          <w:lang w:val="fr-FR"/>
        </w:rPr>
        <w:t xml:space="preserve">intéressé, dans lesquels pourraient être adoptées des mesures alternatives à la détention provisoire ou une mesure relevant du système progressif instauré par la loi </w:t>
      </w:r>
      <w:r w:rsidR="003166BD" w:rsidRPr="00857F6E">
        <w:rPr>
          <w:rFonts w:eastAsia="MS Mincho"/>
          <w:noProof/>
          <w:szCs w:val="22"/>
          <w:lang w:val="fr-FR"/>
        </w:rPr>
        <w:t>n</w:t>
      </w:r>
      <w:r w:rsidR="003166BD" w:rsidRPr="00857F6E">
        <w:rPr>
          <w:rFonts w:eastAsia="MS Mincho"/>
          <w:noProof/>
          <w:szCs w:val="22"/>
          <w:vertAlign w:val="superscript"/>
          <w:lang w:val="fr-FR"/>
        </w:rPr>
        <w:t>o</w:t>
      </w:r>
      <w:r w:rsidR="003166BD">
        <w:rPr>
          <w:noProof/>
          <w:lang w:val="fr-FR"/>
        </w:rPr>
        <w:t> </w:t>
      </w:r>
      <w:r w:rsidRPr="003166BD">
        <w:rPr>
          <w:noProof/>
          <w:lang w:val="fr-FR"/>
        </w:rPr>
        <w:t>2298</w:t>
      </w:r>
      <w:r w:rsidRPr="003166BD">
        <w:rPr>
          <w:noProof/>
          <w:lang w:val="fr-FR" w:eastAsia="es-BO"/>
        </w:rPr>
        <w:t>.</w:t>
      </w:r>
    </w:p>
    <w:p w:rsidR="00614A7E" w:rsidRPr="003872BF" w:rsidRDefault="00614A7E" w:rsidP="003166BD">
      <w:pPr>
        <w:pStyle w:val="H1G"/>
        <w:rPr>
          <w:noProof/>
          <w:lang w:val="fr-FR" w:eastAsia="es-BO"/>
        </w:rPr>
      </w:pPr>
      <w:r w:rsidRPr="00DF456A">
        <w:rPr>
          <w:noProof/>
          <w:lang w:val="fr-FR" w:eastAsia="es-BO"/>
        </w:rPr>
        <w:tab/>
      </w:r>
      <w:r w:rsidRPr="00DF456A">
        <w:rPr>
          <w:noProof/>
          <w:lang w:val="fr-FR" w:eastAsia="es-BO"/>
        </w:rPr>
        <w:tab/>
      </w:r>
      <w:r w:rsidRPr="003872BF">
        <w:rPr>
          <w:lang w:val="fr-FR" w:eastAsia="zh-CN"/>
        </w:rPr>
        <w:t>Plaintes pour torture et mauvais traitements</w:t>
      </w:r>
    </w:p>
    <w:p w:rsidR="00614A7E" w:rsidRPr="00DF456A" w:rsidRDefault="00614A7E" w:rsidP="003166BD">
      <w:pPr>
        <w:pStyle w:val="H23G"/>
        <w:rPr>
          <w:noProof/>
          <w:lang w:val="fr-FR" w:eastAsia="es-BO"/>
        </w:rPr>
      </w:pPr>
      <w:r w:rsidRPr="00DF456A">
        <w:rPr>
          <w:noProof/>
          <w:lang w:val="fr-FR" w:eastAsia="es-BO"/>
        </w:rPr>
        <w:tab/>
      </w:r>
      <w:r w:rsidRPr="00DF456A">
        <w:rPr>
          <w:noProof/>
          <w:lang w:val="fr-FR" w:eastAsia="es-BO"/>
        </w:rPr>
        <w:tab/>
      </w:r>
      <w:r w:rsidRPr="00DF456A">
        <w:rPr>
          <w:noProof/>
          <w:lang w:val="fr-FR"/>
        </w:rPr>
        <w:t>Recom</w:t>
      </w:r>
      <w:r>
        <w:rPr>
          <w:noProof/>
          <w:lang w:val="fr-FR"/>
        </w:rPr>
        <w:t xml:space="preserve">mandation figurant au </w:t>
      </w:r>
      <w:r w:rsidRPr="003166BD">
        <w:t>paragraphe</w:t>
      </w:r>
      <w:r>
        <w:rPr>
          <w:noProof/>
          <w:lang w:val="fr-FR"/>
        </w:rPr>
        <w:t xml:space="preserve"> </w:t>
      </w:r>
      <w:r w:rsidRPr="00DF456A">
        <w:rPr>
          <w:noProof/>
          <w:lang w:val="fr-FR" w:eastAsia="es-BO"/>
        </w:rPr>
        <w:t>10</w:t>
      </w:r>
    </w:p>
    <w:p w:rsidR="00614A7E" w:rsidRPr="003166BD" w:rsidRDefault="00614A7E" w:rsidP="00614A7E">
      <w:pPr>
        <w:pStyle w:val="SingleTxtG"/>
        <w:rPr>
          <w:noProof/>
          <w:lang w:val="fr-FR" w:eastAsia="es-BO"/>
        </w:rPr>
      </w:pPr>
      <w:r w:rsidRPr="00DF456A">
        <w:rPr>
          <w:noProof/>
          <w:lang w:val="fr-FR" w:eastAsia="es-BO"/>
        </w:rPr>
        <w:t>80.</w:t>
      </w:r>
      <w:r w:rsidRPr="00DF456A">
        <w:rPr>
          <w:noProof/>
          <w:lang w:val="fr-FR" w:eastAsia="es-BO"/>
        </w:rPr>
        <w:tab/>
      </w:r>
      <w:r>
        <w:rPr>
          <w:noProof/>
          <w:lang w:val="fr-FR" w:eastAsia="es-BO"/>
        </w:rPr>
        <w:t>Dans le cadre des articles</w:t>
      </w:r>
      <w:r w:rsidR="003166BD">
        <w:rPr>
          <w:noProof/>
          <w:lang w:val="fr-FR" w:eastAsia="es-BO"/>
        </w:rPr>
        <w:t> </w:t>
      </w:r>
      <w:r>
        <w:rPr>
          <w:noProof/>
          <w:lang w:val="fr-FR" w:eastAsia="es-BO"/>
        </w:rPr>
        <w:t xml:space="preserve">9.f et </w:t>
      </w:r>
      <w:r w:rsidRPr="00DF456A">
        <w:rPr>
          <w:noProof/>
          <w:lang w:val="fr-FR" w:eastAsia="es-BO"/>
        </w:rPr>
        <w:t xml:space="preserve">g </w:t>
      </w:r>
      <w:r>
        <w:rPr>
          <w:noProof/>
          <w:lang w:val="fr-FR" w:eastAsia="es-BO"/>
        </w:rPr>
        <w:t>et</w:t>
      </w:r>
      <w:r w:rsidRPr="00DF456A">
        <w:rPr>
          <w:noProof/>
          <w:lang w:val="fr-FR" w:eastAsia="es-BO"/>
        </w:rPr>
        <w:t xml:space="preserve"> 13.c de la </w:t>
      </w:r>
      <w:r>
        <w:rPr>
          <w:noProof/>
          <w:lang w:val="fr-FR" w:eastAsia="es-BO"/>
        </w:rPr>
        <w:t xml:space="preserve">loi </w:t>
      </w:r>
      <w:r w:rsidR="003166BD" w:rsidRPr="00857F6E">
        <w:rPr>
          <w:rFonts w:eastAsia="MS Mincho"/>
          <w:noProof/>
          <w:szCs w:val="22"/>
          <w:lang w:val="fr-FR"/>
        </w:rPr>
        <w:t>n</w:t>
      </w:r>
      <w:r w:rsidR="003166BD" w:rsidRPr="00857F6E">
        <w:rPr>
          <w:rFonts w:eastAsia="MS Mincho"/>
          <w:noProof/>
          <w:szCs w:val="22"/>
          <w:vertAlign w:val="superscript"/>
          <w:lang w:val="fr-FR"/>
        </w:rPr>
        <w:t>o</w:t>
      </w:r>
      <w:r w:rsidR="003166BD">
        <w:rPr>
          <w:noProof/>
          <w:lang w:val="fr-FR"/>
        </w:rPr>
        <w:t> </w:t>
      </w:r>
      <w:r>
        <w:rPr>
          <w:noProof/>
          <w:lang w:val="fr-FR" w:eastAsia="es-BO"/>
        </w:rPr>
        <w:t>474 du</w:t>
      </w:r>
      <w:r w:rsidRPr="00DF456A">
        <w:rPr>
          <w:noProof/>
          <w:lang w:val="fr-FR" w:eastAsia="es-BO"/>
        </w:rPr>
        <w:t xml:space="preserve"> 30</w:t>
      </w:r>
      <w:r w:rsidR="003166BD">
        <w:rPr>
          <w:noProof/>
          <w:lang w:val="fr-FR" w:eastAsia="es-BO"/>
        </w:rPr>
        <w:t> </w:t>
      </w:r>
      <w:r w:rsidRPr="00DF456A">
        <w:rPr>
          <w:noProof/>
          <w:lang w:val="fr-FR" w:eastAsia="es-BO"/>
        </w:rPr>
        <w:t>d</w:t>
      </w:r>
      <w:r>
        <w:rPr>
          <w:noProof/>
          <w:lang w:val="fr-FR" w:eastAsia="es-BO"/>
        </w:rPr>
        <w:t xml:space="preserve">écembre </w:t>
      </w:r>
      <w:r w:rsidRPr="00DF456A">
        <w:rPr>
          <w:noProof/>
          <w:lang w:val="fr-FR" w:eastAsia="es-BO"/>
        </w:rPr>
        <w:t>2013 (</w:t>
      </w:r>
      <w:r>
        <w:rPr>
          <w:noProof/>
          <w:lang w:val="fr-FR" w:eastAsia="es-BO"/>
        </w:rPr>
        <w:t>« loi</w:t>
      </w:r>
      <w:r w:rsidR="003166BD">
        <w:rPr>
          <w:noProof/>
          <w:lang w:val="fr-FR" w:eastAsia="es-BO"/>
        </w:rPr>
        <w:t> </w:t>
      </w:r>
      <w:r w:rsidR="003166BD" w:rsidRPr="00857F6E">
        <w:rPr>
          <w:rFonts w:eastAsia="MS Mincho"/>
          <w:noProof/>
          <w:szCs w:val="22"/>
          <w:lang w:val="fr-FR"/>
        </w:rPr>
        <w:t>n</w:t>
      </w:r>
      <w:r w:rsidR="003166BD" w:rsidRPr="00857F6E">
        <w:rPr>
          <w:rFonts w:eastAsia="MS Mincho"/>
          <w:noProof/>
          <w:szCs w:val="22"/>
          <w:vertAlign w:val="superscript"/>
          <w:lang w:val="fr-FR"/>
        </w:rPr>
        <w:t>o</w:t>
      </w:r>
      <w:r w:rsidR="003166BD">
        <w:rPr>
          <w:noProof/>
          <w:lang w:val="fr-FR"/>
        </w:rPr>
        <w:t> </w:t>
      </w:r>
      <w:r w:rsidRPr="00DF456A">
        <w:rPr>
          <w:noProof/>
          <w:lang w:val="fr-FR" w:eastAsia="es-BO"/>
        </w:rPr>
        <w:t>474</w:t>
      </w:r>
      <w:r>
        <w:rPr>
          <w:noProof/>
          <w:lang w:val="fr-FR" w:eastAsia="es-BO"/>
        </w:rPr>
        <w:t> »</w:t>
      </w:r>
      <w:r w:rsidRPr="00DF456A">
        <w:rPr>
          <w:noProof/>
          <w:lang w:val="fr-FR" w:eastAsia="es-BO"/>
        </w:rPr>
        <w:t>) (</w:t>
      </w:r>
      <w:r>
        <w:rPr>
          <w:noProof/>
          <w:lang w:val="fr-FR" w:eastAsia="es-BO"/>
        </w:rPr>
        <w:t>annexe</w:t>
      </w:r>
      <w:r w:rsidR="003166BD">
        <w:rPr>
          <w:noProof/>
          <w:lang w:val="fr-FR" w:eastAsia="es-BO"/>
        </w:rPr>
        <w:t> </w:t>
      </w:r>
      <w:r w:rsidRPr="00DF456A">
        <w:rPr>
          <w:noProof/>
          <w:lang w:val="fr-FR" w:eastAsia="es-BO"/>
        </w:rPr>
        <w:t xml:space="preserve">21), </w:t>
      </w:r>
      <w:r>
        <w:rPr>
          <w:noProof/>
          <w:lang w:val="fr-FR" w:eastAsia="es-BO"/>
        </w:rPr>
        <w:t xml:space="preserve">le </w:t>
      </w:r>
      <w:r w:rsidRPr="00535B3D">
        <w:rPr>
          <w:noProof/>
          <w:lang w:val="fr-FR"/>
        </w:rPr>
        <w:t>Service de prévention de la torture</w:t>
      </w:r>
      <w:r w:rsidRPr="00B5117C">
        <w:rPr>
          <w:lang w:val="fr-FR"/>
        </w:rPr>
        <w:t xml:space="preserve"> </w:t>
      </w:r>
      <w:r>
        <w:rPr>
          <w:noProof/>
          <w:lang w:val="fr-FR" w:eastAsia="es-BO"/>
        </w:rPr>
        <w:t>est l</w:t>
      </w:r>
      <w:r w:rsidR="00FB1114">
        <w:rPr>
          <w:noProof/>
          <w:lang w:val="fr-FR" w:eastAsia="es-BO"/>
        </w:rPr>
        <w:t>’</w:t>
      </w:r>
      <w:r>
        <w:rPr>
          <w:noProof/>
          <w:lang w:val="fr-FR" w:eastAsia="es-BO"/>
        </w:rPr>
        <w:t>instance</w:t>
      </w:r>
      <w:r w:rsidRPr="00DF456A">
        <w:rPr>
          <w:noProof/>
          <w:lang w:val="fr-FR" w:eastAsia="es-BO"/>
        </w:rPr>
        <w:t xml:space="preserve"> </w:t>
      </w:r>
      <w:r>
        <w:rPr>
          <w:noProof/>
          <w:lang w:val="fr-FR" w:eastAsia="es-BO"/>
        </w:rPr>
        <w:t xml:space="preserve">chargée de recevoir les requêtes et les plaintes pour torture et autres peines ou traitements </w:t>
      </w:r>
      <w:r w:rsidRPr="00DF456A">
        <w:rPr>
          <w:noProof/>
          <w:lang w:val="fr-FR" w:eastAsia="es-BO"/>
        </w:rPr>
        <w:t>cruels, inhuma</w:t>
      </w:r>
      <w:r>
        <w:rPr>
          <w:noProof/>
          <w:lang w:val="fr-FR" w:eastAsia="es-BO"/>
        </w:rPr>
        <w:t xml:space="preserve">ins ou </w:t>
      </w:r>
      <w:r w:rsidRPr="00DF456A">
        <w:rPr>
          <w:noProof/>
          <w:lang w:val="fr-FR" w:eastAsia="es-BO"/>
        </w:rPr>
        <w:t>d</w:t>
      </w:r>
      <w:r>
        <w:rPr>
          <w:noProof/>
          <w:lang w:val="fr-FR" w:eastAsia="es-BO"/>
        </w:rPr>
        <w:t>é</w:t>
      </w:r>
      <w:r w:rsidRPr="00DF456A">
        <w:rPr>
          <w:noProof/>
          <w:lang w:val="fr-FR" w:eastAsia="es-BO"/>
        </w:rPr>
        <w:t>gradants</w:t>
      </w:r>
      <w:r w:rsidR="00E31B0D">
        <w:rPr>
          <w:noProof/>
          <w:lang w:val="fr-FR" w:eastAsia="es-BO"/>
        </w:rPr>
        <w:t> </w:t>
      </w:r>
      <w:r w:rsidRPr="00DF456A">
        <w:rPr>
          <w:noProof/>
          <w:lang w:val="fr-FR" w:eastAsia="es-BO"/>
        </w:rPr>
        <w:t xml:space="preserve">; </w:t>
      </w:r>
      <w:r>
        <w:rPr>
          <w:noProof/>
          <w:lang w:val="fr-FR" w:eastAsia="es-BO"/>
        </w:rPr>
        <w:t xml:space="preserve">il a notamment </w:t>
      </w:r>
      <w:r w:rsidRPr="003872BF">
        <w:rPr>
          <w:noProof/>
          <w:lang w:val="fr-FR" w:eastAsia="es-BO"/>
        </w:rPr>
        <w:t xml:space="preserve">pour fonction de </w:t>
      </w:r>
      <w:r w:rsidRPr="003872BF">
        <w:rPr>
          <w:noProof/>
          <w:lang w:val="fr-FR"/>
        </w:rPr>
        <w:t>se constituer d</w:t>
      </w:r>
      <w:r w:rsidR="00FB1114">
        <w:rPr>
          <w:noProof/>
          <w:lang w:val="fr-FR"/>
        </w:rPr>
        <w:t>’</w:t>
      </w:r>
      <w:r w:rsidRPr="003872BF">
        <w:rPr>
          <w:noProof/>
          <w:lang w:val="fr-FR"/>
        </w:rPr>
        <w:t xml:space="preserve">office partie civile en cas de plainte pour </w:t>
      </w:r>
      <w:r w:rsidRPr="003166BD">
        <w:rPr>
          <w:noProof/>
          <w:lang w:val="fr-FR"/>
        </w:rPr>
        <w:t>actes de torture</w:t>
      </w:r>
      <w:r w:rsidRPr="003166BD">
        <w:rPr>
          <w:noProof/>
          <w:lang w:val="fr-FR" w:eastAsia="es-BO"/>
        </w:rPr>
        <w:t>, et d</w:t>
      </w:r>
      <w:r w:rsidR="00FB1114">
        <w:rPr>
          <w:noProof/>
          <w:lang w:val="fr-FR" w:eastAsia="es-BO"/>
        </w:rPr>
        <w:t>’</w:t>
      </w:r>
      <w:r w:rsidRPr="003166BD">
        <w:rPr>
          <w:noProof/>
          <w:lang w:val="fr-FR" w:eastAsia="es-BO"/>
        </w:rPr>
        <w:t>a</w:t>
      </w:r>
      <w:r w:rsidRPr="003166BD">
        <w:rPr>
          <w:noProof/>
          <w:lang w:val="fr-FR"/>
        </w:rPr>
        <w:t>ssurer le suivi des enquêtes et procédures engagées pour actes de torture</w:t>
      </w:r>
      <w:r w:rsidRPr="003166BD">
        <w:rPr>
          <w:noProof/>
          <w:lang w:val="fr-FR" w:eastAsia="es-BO"/>
        </w:rPr>
        <w:t>.</w:t>
      </w:r>
    </w:p>
    <w:p w:rsidR="00614A7E" w:rsidRPr="003166BD" w:rsidRDefault="00614A7E" w:rsidP="00614A7E">
      <w:pPr>
        <w:pStyle w:val="SingleTxtG"/>
        <w:rPr>
          <w:noProof/>
          <w:lang w:val="fr-FR" w:eastAsia="es-BO"/>
        </w:rPr>
      </w:pPr>
      <w:r w:rsidRPr="003166BD">
        <w:rPr>
          <w:noProof/>
          <w:lang w:val="fr-FR" w:eastAsia="es-BO"/>
        </w:rPr>
        <w:t>81.</w:t>
      </w:r>
      <w:r w:rsidRPr="003166BD">
        <w:rPr>
          <w:noProof/>
          <w:lang w:val="fr-FR" w:eastAsia="es-BO"/>
        </w:rPr>
        <w:tab/>
        <w:t xml:space="preserve">Conformément à la Convention, et afin de donner effet à la présente recommandation, le </w:t>
      </w:r>
      <w:r w:rsidRPr="003166BD">
        <w:rPr>
          <w:noProof/>
          <w:lang w:val="fr-FR"/>
        </w:rPr>
        <w:t>Service de prévention de la torture</w:t>
      </w:r>
      <w:r w:rsidRPr="003166BD">
        <w:rPr>
          <w:noProof/>
          <w:lang w:val="fr-FR" w:eastAsia="es-BO"/>
        </w:rPr>
        <w:t xml:space="preserve"> a entrepris d</w:t>
      </w:r>
      <w:r w:rsidR="00FB1114">
        <w:rPr>
          <w:noProof/>
          <w:lang w:val="fr-FR" w:eastAsia="es-BO"/>
        </w:rPr>
        <w:t>’</w:t>
      </w:r>
      <w:r w:rsidRPr="003166BD">
        <w:rPr>
          <w:noProof/>
          <w:lang w:val="fr-FR" w:eastAsia="es-BO"/>
        </w:rPr>
        <w:t>élaborer un système informatique de suivi des cas de torture et d</w:t>
      </w:r>
      <w:r w:rsidR="00FB1114">
        <w:rPr>
          <w:noProof/>
          <w:lang w:val="fr-FR" w:eastAsia="es-BO"/>
        </w:rPr>
        <w:t>’</w:t>
      </w:r>
      <w:r w:rsidRPr="003166BD">
        <w:rPr>
          <w:noProof/>
          <w:lang w:val="fr-FR" w:eastAsia="es-BO"/>
        </w:rPr>
        <w:t>appui aux instances judiciaires, administratives et du système pénitentiaire dans ce domaine.</w:t>
      </w:r>
    </w:p>
    <w:p w:rsidR="00614A7E" w:rsidRPr="003166BD" w:rsidRDefault="00614A7E" w:rsidP="00614A7E">
      <w:pPr>
        <w:pStyle w:val="SingleTxtG"/>
        <w:rPr>
          <w:noProof/>
          <w:lang w:val="fr-FR" w:eastAsia="es-BO"/>
        </w:rPr>
      </w:pPr>
      <w:r w:rsidRPr="003166BD">
        <w:rPr>
          <w:noProof/>
          <w:lang w:val="fr-FR" w:eastAsia="es-BO"/>
        </w:rPr>
        <w:t>82.</w:t>
      </w:r>
      <w:r w:rsidRPr="003166BD">
        <w:rPr>
          <w:noProof/>
          <w:lang w:val="fr-FR" w:eastAsia="es-BO"/>
        </w:rPr>
        <w:tab/>
        <w:t>Partant, le Service plurinational de défense publique, agissant par l</w:t>
      </w:r>
      <w:r w:rsidR="00FB1114">
        <w:rPr>
          <w:noProof/>
          <w:lang w:val="fr-FR" w:eastAsia="es-BO"/>
        </w:rPr>
        <w:t>’</w:t>
      </w:r>
      <w:r w:rsidRPr="003166BD">
        <w:rPr>
          <w:noProof/>
          <w:lang w:val="fr-FR" w:eastAsia="es-BO"/>
        </w:rPr>
        <w:t xml:space="preserve">intermédiaire des </w:t>
      </w:r>
      <w:r w:rsidRPr="003166BD">
        <w:rPr>
          <w:noProof/>
          <w:lang w:val="fr-FR"/>
        </w:rPr>
        <w:t>directeurs des directions départementales et des défenseurs publics et défenseurs</w:t>
      </w:r>
      <w:r w:rsidRPr="003166BD">
        <w:rPr>
          <w:noProof/>
          <w:lang w:val="fr-FR" w:eastAsia="es-BO"/>
        </w:rPr>
        <w:t xml:space="preserve"> adjoints, repère et enregistre les cas de torture et autres peines ou traitements cruels, inhumains ou </w:t>
      </w:r>
      <w:r w:rsidRPr="003166BD">
        <w:rPr>
          <w:noProof/>
          <w:lang w:val="fr-FR" w:eastAsia="es-BO"/>
        </w:rPr>
        <w:lastRenderedPageBreak/>
        <w:t>dégradants</w:t>
      </w:r>
      <w:r w:rsidRPr="003166BD">
        <w:rPr>
          <w:noProof/>
          <w:vertAlign w:val="superscript"/>
          <w:lang w:val="fr-FR" w:eastAsia="es-BO"/>
        </w:rPr>
        <w:footnoteReference w:id="48"/>
      </w:r>
      <w:r w:rsidRPr="003166BD">
        <w:rPr>
          <w:noProof/>
          <w:lang w:val="fr-FR" w:eastAsia="es-BO"/>
        </w:rPr>
        <w:t xml:space="preserve"> survenant dans les établissements pénitentiaires (annexe</w:t>
      </w:r>
      <w:r w:rsidR="00FC085E">
        <w:rPr>
          <w:noProof/>
          <w:lang w:val="fr-FR" w:eastAsia="es-BO"/>
        </w:rPr>
        <w:t> </w:t>
      </w:r>
      <w:r w:rsidRPr="003166BD">
        <w:rPr>
          <w:noProof/>
          <w:lang w:val="fr-FR" w:eastAsia="es-BO"/>
        </w:rPr>
        <w:t xml:space="preserve">22) afin de les transmettre au </w:t>
      </w:r>
      <w:r w:rsidRPr="003166BD">
        <w:rPr>
          <w:noProof/>
          <w:lang w:val="fr-FR"/>
        </w:rPr>
        <w:t xml:space="preserve">Service de prévention de la torture. De même, le </w:t>
      </w:r>
      <w:r w:rsidRPr="003166BD">
        <w:rPr>
          <w:noProof/>
          <w:lang w:val="fr-FR" w:eastAsia="es-BO"/>
        </w:rPr>
        <w:t>Service plurinational de défense publique signale, dans les centres de détention, les établissements pénitentiaires, les établissements spécialisés et les centres de réinsertion sociale pour les adolescents pénalement responsables, la possibilité de dénoncer n</w:t>
      </w:r>
      <w:r w:rsidR="00FB1114">
        <w:rPr>
          <w:noProof/>
          <w:lang w:val="fr-FR" w:eastAsia="es-BO"/>
        </w:rPr>
        <w:t>’</w:t>
      </w:r>
      <w:r w:rsidRPr="003166BD">
        <w:rPr>
          <w:noProof/>
          <w:lang w:val="fr-FR" w:eastAsia="es-BO"/>
        </w:rPr>
        <w:t>importe quel acte de torture.</w:t>
      </w:r>
    </w:p>
    <w:p w:rsidR="00614A7E" w:rsidRPr="006A2DC5" w:rsidRDefault="00614A7E" w:rsidP="00614A7E">
      <w:pPr>
        <w:pStyle w:val="H1G"/>
        <w:rPr>
          <w:noProof/>
          <w:lang w:val="fr-FR" w:eastAsia="es-BO"/>
        </w:rPr>
      </w:pPr>
      <w:r w:rsidRPr="00DF456A">
        <w:rPr>
          <w:noProof/>
          <w:lang w:val="fr-FR" w:eastAsia="es-BO"/>
        </w:rPr>
        <w:tab/>
      </w:r>
      <w:r w:rsidRPr="00DF456A">
        <w:rPr>
          <w:noProof/>
          <w:lang w:val="fr-FR" w:eastAsia="es-BO"/>
        </w:rPr>
        <w:tab/>
      </w:r>
      <w:r w:rsidRPr="006A2DC5">
        <w:rPr>
          <w:rFonts w:eastAsia="Times New Roman"/>
          <w:bCs/>
          <w:lang w:val="fr-FR" w:eastAsia="zh-CN"/>
        </w:rPr>
        <w:t>Enquêtes et poursuites judiciaires</w:t>
      </w:r>
    </w:p>
    <w:p w:rsidR="00614A7E" w:rsidRPr="00DF456A" w:rsidRDefault="00614A7E" w:rsidP="00614A7E">
      <w:pPr>
        <w:pStyle w:val="H23G"/>
        <w:rPr>
          <w:noProof/>
          <w:lang w:val="fr-FR" w:eastAsia="es-BO"/>
        </w:rPr>
      </w:pPr>
      <w:r w:rsidRPr="00DF456A">
        <w:rPr>
          <w:noProof/>
          <w:lang w:val="fr-FR" w:eastAsia="es-BO"/>
        </w:rPr>
        <w:tab/>
      </w:r>
      <w:r w:rsidRPr="00DF456A">
        <w:rPr>
          <w:noProof/>
          <w:lang w:val="fr-FR" w:eastAsia="es-BO"/>
        </w:rPr>
        <w:tab/>
        <w:t>Recom</w:t>
      </w:r>
      <w:r>
        <w:rPr>
          <w:noProof/>
          <w:lang w:val="fr-FR" w:eastAsia="es-BO"/>
        </w:rPr>
        <w:t xml:space="preserve">mandation figurant aux paragraphes </w:t>
      </w:r>
      <w:r w:rsidRPr="00DF456A">
        <w:rPr>
          <w:noProof/>
          <w:lang w:val="fr-FR" w:eastAsia="es-BO"/>
        </w:rPr>
        <w:t>11.</w:t>
      </w:r>
      <w:r>
        <w:rPr>
          <w:noProof/>
          <w:lang w:val="fr-FR" w:eastAsia="es-BO"/>
        </w:rPr>
        <w:t>a</w:t>
      </w:r>
      <w:r w:rsidRPr="00DF456A">
        <w:rPr>
          <w:noProof/>
          <w:lang w:val="fr-FR" w:eastAsia="es-BO"/>
        </w:rPr>
        <w:t xml:space="preserve"> </w:t>
      </w:r>
      <w:r>
        <w:rPr>
          <w:noProof/>
          <w:lang w:val="fr-FR" w:eastAsia="es-BO"/>
        </w:rPr>
        <w:t xml:space="preserve">et </w:t>
      </w:r>
      <w:r w:rsidRPr="00DF456A">
        <w:rPr>
          <w:noProof/>
          <w:lang w:val="fr-FR" w:eastAsia="es-BO"/>
        </w:rPr>
        <w:t>11.</w:t>
      </w:r>
      <w:r>
        <w:rPr>
          <w:noProof/>
          <w:lang w:val="fr-FR" w:eastAsia="es-BO"/>
        </w:rPr>
        <w:t>b</w:t>
      </w:r>
    </w:p>
    <w:p w:rsidR="00614A7E" w:rsidRPr="00A41DF8" w:rsidRDefault="00614A7E" w:rsidP="00614A7E">
      <w:pPr>
        <w:pStyle w:val="SingleTxtG"/>
        <w:rPr>
          <w:noProof/>
          <w:lang w:val="fr-FR" w:eastAsia="es-BO"/>
        </w:rPr>
      </w:pPr>
      <w:r w:rsidRPr="00DF456A">
        <w:rPr>
          <w:noProof/>
          <w:lang w:val="fr-FR" w:eastAsia="es-BO"/>
        </w:rPr>
        <w:t>83.</w:t>
      </w:r>
      <w:r w:rsidRPr="00DF456A">
        <w:rPr>
          <w:noProof/>
          <w:lang w:val="fr-FR" w:eastAsia="es-BO"/>
        </w:rPr>
        <w:tab/>
      </w:r>
      <w:r>
        <w:rPr>
          <w:noProof/>
          <w:lang w:val="fr-FR" w:eastAsia="es-BO"/>
        </w:rPr>
        <w:t>Le ministère public, agissant par l</w:t>
      </w:r>
      <w:r w:rsidR="00FB1114">
        <w:rPr>
          <w:noProof/>
          <w:lang w:val="fr-FR" w:eastAsia="es-BO"/>
        </w:rPr>
        <w:t>’</w:t>
      </w:r>
      <w:r>
        <w:rPr>
          <w:noProof/>
          <w:lang w:val="fr-FR" w:eastAsia="es-BO"/>
        </w:rPr>
        <w:t xml:space="preserve">intermédiaire des procureurs départementaux, </w:t>
      </w:r>
      <w:r w:rsidRPr="00247853">
        <w:rPr>
          <w:noProof/>
          <w:lang w:val="fr-FR"/>
        </w:rPr>
        <w:t>contrôle, surveille et suit les cas d</w:t>
      </w:r>
      <w:r w:rsidR="00FB1114">
        <w:rPr>
          <w:noProof/>
          <w:lang w:val="fr-FR"/>
        </w:rPr>
        <w:t>’</w:t>
      </w:r>
      <w:r w:rsidRPr="00247853">
        <w:rPr>
          <w:noProof/>
          <w:lang w:val="fr-FR"/>
        </w:rPr>
        <w:t>infractions de torture et les poursuites engagées par le procureur saisi de chaque affaire</w:t>
      </w:r>
      <w:r w:rsidRPr="00247853">
        <w:rPr>
          <w:noProof/>
          <w:lang w:val="fr-FR" w:eastAsia="es-BO"/>
        </w:rPr>
        <w:t xml:space="preserve">, en prenant </w:t>
      </w:r>
      <w:r>
        <w:rPr>
          <w:noProof/>
          <w:lang w:val="fr-FR" w:eastAsia="es-BO"/>
        </w:rPr>
        <w:t>en matière d</w:t>
      </w:r>
      <w:r w:rsidR="00FB1114">
        <w:rPr>
          <w:noProof/>
          <w:lang w:val="fr-FR" w:eastAsia="es-BO"/>
        </w:rPr>
        <w:t>’</w:t>
      </w:r>
      <w:r w:rsidRPr="00247853">
        <w:rPr>
          <w:noProof/>
          <w:lang w:val="fr-FR" w:eastAsia="es-BO"/>
        </w:rPr>
        <w:t>exercice de l</w:t>
      </w:r>
      <w:r w:rsidR="00FB1114">
        <w:rPr>
          <w:noProof/>
          <w:lang w:val="fr-FR" w:eastAsia="es-BO"/>
        </w:rPr>
        <w:t>’</w:t>
      </w:r>
      <w:r w:rsidRPr="00247853">
        <w:rPr>
          <w:noProof/>
          <w:lang w:val="fr-FR" w:eastAsia="es-BO"/>
        </w:rPr>
        <w:t xml:space="preserve">action publique </w:t>
      </w:r>
      <w:r>
        <w:rPr>
          <w:noProof/>
          <w:lang w:val="fr-FR" w:eastAsia="es-BO"/>
        </w:rPr>
        <w:t>les mesures qui s</w:t>
      </w:r>
      <w:r w:rsidR="00FB1114">
        <w:rPr>
          <w:noProof/>
          <w:lang w:val="fr-FR" w:eastAsia="es-BO"/>
        </w:rPr>
        <w:t>’</w:t>
      </w:r>
      <w:r>
        <w:rPr>
          <w:noProof/>
          <w:lang w:val="fr-FR" w:eastAsia="es-BO"/>
        </w:rPr>
        <w:t xml:space="preserve">imposent pour </w:t>
      </w:r>
      <w:r w:rsidRPr="00247853">
        <w:rPr>
          <w:noProof/>
          <w:lang w:val="fr-FR" w:eastAsia="es-BO"/>
        </w:rPr>
        <w:t xml:space="preserve">que la procédure soit réalisée avec la diligence voulue, de façon à </w:t>
      </w:r>
      <w:r w:rsidRPr="00247853">
        <w:rPr>
          <w:noProof/>
          <w:lang w:val="fr-FR"/>
        </w:rPr>
        <w:t xml:space="preserve">respecter les délais de procédure </w:t>
      </w:r>
      <w:r w:rsidRPr="00A41DF8">
        <w:rPr>
          <w:noProof/>
          <w:lang w:val="fr-FR"/>
        </w:rPr>
        <w:t>impartis et les règles relatives à une</w:t>
      </w:r>
      <w:r w:rsidRPr="00A41DF8">
        <w:rPr>
          <w:noProof/>
          <w:lang w:val="fr-FR" w:eastAsia="es-BO"/>
        </w:rPr>
        <w:t xml:space="preserve"> procédure régulière, conformément aux articles</w:t>
      </w:r>
      <w:r w:rsidR="00A41DF8">
        <w:rPr>
          <w:noProof/>
          <w:lang w:val="fr-FR" w:eastAsia="es-BO"/>
        </w:rPr>
        <w:t> </w:t>
      </w:r>
      <w:r w:rsidRPr="00A41DF8">
        <w:rPr>
          <w:noProof/>
          <w:lang w:val="fr-FR" w:eastAsia="es-BO"/>
        </w:rPr>
        <w:t>115.II et 180.I de la Constitution et à l</w:t>
      </w:r>
      <w:r w:rsidR="00FB1114">
        <w:rPr>
          <w:noProof/>
          <w:lang w:val="fr-FR" w:eastAsia="es-BO"/>
        </w:rPr>
        <w:t>’</w:t>
      </w:r>
      <w:r w:rsidRPr="00A41DF8">
        <w:rPr>
          <w:noProof/>
          <w:lang w:val="fr-FR" w:eastAsia="es-BO"/>
        </w:rPr>
        <w:t>article</w:t>
      </w:r>
      <w:r w:rsidR="00A41DF8">
        <w:rPr>
          <w:noProof/>
          <w:lang w:val="fr-FR" w:eastAsia="es-BO"/>
        </w:rPr>
        <w:t> </w:t>
      </w:r>
      <w:r w:rsidRPr="00A41DF8">
        <w:rPr>
          <w:noProof/>
          <w:lang w:val="fr-FR" w:eastAsia="es-BO"/>
        </w:rPr>
        <w:t xml:space="preserve">55.I de la loi </w:t>
      </w:r>
      <w:r w:rsidR="00A41DF8" w:rsidRPr="00857F6E">
        <w:rPr>
          <w:rFonts w:eastAsia="MS Mincho"/>
          <w:noProof/>
          <w:szCs w:val="22"/>
          <w:lang w:val="fr-FR"/>
        </w:rPr>
        <w:t>n</w:t>
      </w:r>
      <w:r w:rsidR="00A41DF8" w:rsidRPr="00857F6E">
        <w:rPr>
          <w:rFonts w:eastAsia="MS Mincho"/>
          <w:noProof/>
          <w:szCs w:val="22"/>
          <w:vertAlign w:val="superscript"/>
          <w:lang w:val="fr-FR"/>
        </w:rPr>
        <w:t>o</w:t>
      </w:r>
      <w:r w:rsidR="00A41DF8">
        <w:rPr>
          <w:noProof/>
          <w:lang w:val="fr-FR"/>
        </w:rPr>
        <w:t> </w:t>
      </w:r>
      <w:r w:rsidRPr="00A41DF8">
        <w:rPr>
          <w:noProof/>
          <w:lang w:val="fr-FR" w:eastAsia="es-BO"/>
        </w:rPr>
        <w:t>260. De ce fait, le ministère public, qui exerce l</w:t>
      </w:r>
      <w:r w:rsidR="00FB1114">
        <w:rPr>
          <w:noProof/>
          <w:lang w:val="fr-FR" w:eastAsia="es-BO"/>
        </w:rPr>
        <w:t>’</w:t>
      </w:r>
      <w:r w:rsidRPr="00A41DF8">
        <w:rPr>
          <w:noProof/>
          <w:lang w:val="fr-FR" w:eastAsia="es-BO"/>
        </w:rPr>
        <w:t>action publique, mène, en vertu du principe d</w:t>
      </w:r>
      <w:r w:rsidR="00FB1114">
        <w:rPr>
          <w:noProof/>
          <w:lang w:val="fr-FR" w:eastAsia="es-BO"/>
        </w:rPr>
        <w:t>’</w:t>
      </w:r>
      <w:r w:rsidRPr="00A41DF8">
        <w:rPr>
          <w:noProof/>
          <w:lang w:val="fr-FR" w:eastAsia="es-BO"/>
        </w:rPr>
        <w:t>exhaustivité, les enquêtes, les procédures d</w:t>
      </w:r>
      <w:r w:rsidR="00FB1114">
        <w:rPr>
          <w:noProof/>
          <w:lang w:val="fr-FR" w:eastAsia="es-BO"/>
        </w:rPr>
        <w:t>’</w:t>
      </w:r>
      <w:r w:rsidRPr="00A41DF8">
        <w:rPr>
          <w:noProof/>
          <w:lang w:val="fr-FR" w:eastAsia="es-BO"/>
        </w:rPr>
        <w:t>expertise et les poursuites.</w:t>
      </w:r>
    </w:p>
    <w:p w:rsidR="00614A7E" w:rsidRPr="00A41DF8" w:rsidRDefault="00614A7E" w:rsidP="00614A7E">
      <w:pPr>
        <w:pStyle w:val="SingleTxtG"/>
        <w:rPr>
          <w:noProof/>
          <w:lang w:val="fr-FR" w:eastAsia="es-BO"/>
        </w:rPr>
      </w:pPr>
      <w:r w:rsidRPr="00A41DF8">
        <w:rPr>
          <w:noProof/>
          <w:lang w:val="fr-FR" w:eastAsia="es-BO"/>
        </w:rPr>
        <w:t>84.</w:t>
      </w:r>
      <w:r w:rsidRPr="00A41DF8">
        <w:rPr>
          <w:noProof/>
          <w:lang w:val="fr-FR" w:eastAsia="es-BO"/>
        </w:rPr>
        <w:tab/>
        <w:t>De même, le Bureau du Procureur général de l</w:t>
      </w:r>
      <w:r w:rsidR="00FB1114">
        <w:rPr>
          <w:noProof/>
          <w:lang w:val="fr-FR" w:eastAsia="es-BO"/>
        </w:rPr>
        <w:t>’</w:t>
      </w:r>
      <w:r w:rsidRPr="00A41DF8">
        <w:rPr>
          <w:noProof/>
          <w:lang w:val="fr-FR" w:eastAsia="es-BO"/>
        </w:rPr>
        <w:t>État a publié les directives suivantes :</w:t>
      </w:r>
    </w:p>
    <w:p w:rsidR="00614A7E" w:rsidRPr="00E31B0D" w:rsidRDefault="00614A7E" w:rsidP="0031266E">
      <w:pPr>
        <w:pStyle w:val="Bullet1G"/>
        <w:rPr>
          <w:rFonts w:eastAsia="Calibri"/>
          <w:noProof/>
          <w:lang w:val="fr-FR"/>
        </w:rPr>
      </w:pPr>
      <w:r w:rsidRPr="00E31B0D">
        <w:rPr>
          <w:rFonts w:eastAsia="Calibri"/>
          <w:noProof/>
          <w:lang w:val="fr-FR"/>
        </w:rPr>
        <w:t>Directive FGE/RJGP/DGFSE-641/2011 du 5</w:t>
      </w:r>
      <w:r w:rsidR="004F3C87" w:rsidRPr="00E31B0D">
        <w:rPr>
          <w:rFonts w:eastAsia="Calibri"/>
          <w:noProof/>
          <w:lang w:val="fr-FR"/>
        </w:rPr>
        <w:t> </w:t>
      </w:r>
      <w:r w:rsidRPr="00E31B0D">
        <w:rPr>
          <w:rFonts w:eastAsia="Calibri"/>
          <w:noProof/>
          <w:lang w:val="fr-FR"/>
        </w:rPr>
        <w:t>septembre 2011 intitulée</w:t>
      </w:r>
      <w:r w:rsidR="004F3C87" w:rsidRPr="00E31B0D">
        <w:rPr>
          <w:rFonts w:eastAsia="Calibri"/>
          <w:noProof/>
          <w:lang w:val="fr-FR"/>
        </w:rPr>
        <w:t xml:space="preserve"> </w:t>
      </w:r>
      <w:r w:rsidRPr="00E31B0D">
        <w:rPr>
          <w:noProof/>
          <w:lang w:val="fr-FR"/>
        </w:rPr>
        <w:t>« Action publique exercée d</w:t>
      </w:r>
      <w:r w:rsidR="00FB1114" w:rsidRPr="00E31B0D">
        <w:rPr>
          <w:noProof/>
          <w:lang w:val="fr-FR"/>
        </w:rPr>
        <w:t>’</w:t>
      </w:r>
      <w:r w:rsidRPr="00E31B0D">
        <w:rPr>
          <w:noProof/>
          <w:lang w:val="fr-FR"/>
        </w:rPr>
        <w:t>office dans les cas de torture et traitements cruels, inhumains et dégradants », aux termes de laquelle les procureurs de district, les procureurs chargés des recours et le procureur de l</w:t>
      </w:r>
      <w:r w:rsidR="00FB1114" w:rsidRPr="00E31B0D">
        <w:rPr>
          <w:noProof/>
          <w:lang w:val="fr-FR"/>
        </w:rPr>
        <w:t>’</w:t>
      </w:r>
      <w:r w:rsidRPr="00E31B0D">
        <w:rPr>
          <w:noProof/>
          <w:lang w:val="fr-FR"/>
        </w:rPr>
        <w:t>État doivent, en application des articles</w:t>
      </w:r>
      <w:r w:rsidR="004F3C87" w:rsidRPr="00E31B0D">
        <w:rPr>
          <w:noProof/>
          <w:lang w:val="fr-FR"/>
        </w:rPr>
        <w:t> </w:t>
      </w:r>
      <w:r w:rsidRPr="00E31B0D">
        <w:rPr>
          <w:noProof/>
          <w:lang w:val="fr-FR"/>
        </w:rPr>
        <w:t xml:space="preserve">38 et 40 de la loi </w:t>
      </w:r>
      <w:r w:rsidR="004F3C87" w:rsidRPr="00E31B0D">
        <w:rPr>
          <w:rFonts w:eastAsia="MS Mincho"/>
          <w:noProof/>
          <w:szCs w:val="22"/>
          <w:lang w:val="fr-FR"/>
        </w:rPr>
        <w:t>n</w:t>
      </w:r>
      <w:r w:rsidR="004F3C87" w:rsidRPr="00E31B0D">
        <w:rPr>
          <w:rFonts w:eastAsia="MS Mincho"/>
          <w:noProof/>
          <w:szCs w:val="22"/>
          <w:vertAlign w:val="superscript"/>
          <w:lang w:val="fr-FR"/>
        </w:rPr>
        <w:t>o</w:t>
      </w:r>
      <w:r w:rsidR="004F3C87" w:rsidRPr="00E31B0D">
        <w:rPr>
          <w:noProof/>
          <w:lang w:val="fr-FR"/>
        </w:rPr>
        <w:t> </w:t>
      </w:r>
      <w:r w:rsidRPr="00E31B0D">
        <w:rPr>
          <w:noProof/>
          <w:lang w:val="fr-FR"/>
        </w:rPr>
        <w:t>260</w:t>
      </w:r>
      <w:r w:rsidRPr="00E31B0D">
        <w:rPr>
          <w:rFonts w:eastAsia="Calibri"/>
          <w:noProof/>
          <w:lang w:val="fr-FR"/>
        </w:rPr>
        <w:t>, ouvrir d</w:t>
      </w:r>
      <w:r w:rsidR="00FB1114" w:rsidRPr="00E31B0D">
        <w:rPr>
          <w:rFonts w:eastAsia="Calibri"/>
          <w:noProof/>
          <w:lang w:val="fr-FR"/>
        </w:rPr>
        <w:t>’</w:t>
      </w:r>
      <w:r w:rsidRPr="00E31B0D">
        <w:rPr>
          <w:rFonts w:eastAsia="Calibri"/>
          <w:noProof/>
          <w:lang w:val="fr-FR"/>
        </w:rPr>
        <w:t>office l</w:t>
      </w:r>
      <w:r w:rsidR="00FB1114" w:rsidRPr="00E31B0D">
        <w:rPr>
          <w:rFonts w:eastAsia="Calibri"/>
          <w:noProof/>
          <w:lang w:val="fr-FR"/>
        </w:rPr>
        <w:t>’</w:t>
      </w:r>
      <w:r w:rsidRPr="00E31B0D">
        <w:rPr>
          <w:rFonts w:eastAsia="Calibri"/>
          <w:noProof/>
          <w:lang w:val="fr-FR"/>
        </w:rPr>
        <w:t>enquête pertinente et prendre les mesures juridiques qu</w:t>
      </w:r>
      <w:r w:rsidR="00FB1114" w:rsidRPr="00E31B0D">
        <w:rPr>
          <w:rFonts w:eastAsia="Calibri"/>
          <w:noProof/>
          <w:lang w:val="fr-FR"/>
        </w:rPr>
        <w:t>’</w:t>
      </w:r>
      <w:r w:rsidRPr="00E31B0D">
        <w:rPr>
          <w:rFonts w:eastAsia="Calibri"/>
          <w:noProof/>
          <w:lang w:val="fr-FR"/>
        </w:rPr>
        <w:t>imposent les actes de torture ou les traitements cruels, dégradants ou humiliants qui comportent une composante pénale, à charge pour eux d</w:t>
      </w:r>
      <w:r w:rsidR="00FB1114" w:rsidRPr="00E31B0D">
        <w:rPr>
          <w:rFonts w:eastAsia="Calibri"/>
          <w:noProof/>
          <w:lang w:val="fr-FR"/>
        </w:rPr>
        <w:t>’</w:t>
      </w:r>
      <w:r w:rsidRPr="00E31B0D">
        <w:rPr>
          <w:rFonts w:eastAsia="Calibri"/>
          <w:noProof/>
          <w:lang w:val="fr-FR"/>
        </w:rPr>
        <w:t>effectuer tous les actes de procédure et toutes les enquêtes nécessaires dans le cadre de l</w:t>
      </w:r>
      <w:r w:rsidR="00FB1114" w:rsidRPr="00E31B0D">
        <w:rPr>
          <w:rFonts w:eastAsia="Calibri"/>
          <w:noProof/>
          <w:lang w:val="fr-FR"/>
        </w:rPr>
        <w:t>’</w:t>
      </w:r>
      <w:r w:rsidRPr="00E31B0D">
        <w:rPr>
          <w:rFonts w:eastAsia="Calibri"/>
          <w:noProof/>
          <w:lang w:val="fr-FR"/>
        </w:rPr>
        <w:t>article</w:t>
      </w:r>
      <w:r w:rsidR="0031266E" w:rsidRPr="00E31B0D">
        <w:rPr>
          <w:rFonts w:eastAsia="Calibri"/>
          <w:noProof/>
          <w:lang w:val="fr-FR"/>
        </w:rPr>
        <w:t> </w:t>
      </w:r>
      <w:r w:rsidRPr="00E31B0D">
        <w:rPr>
          <w:rFonts w:eastAsia="Calibri"/>
          <w:noProof/>
          <w:lang w:val="fr-FR"/>
        </w:rPr>
        <w:t>59 de la loi susvisée, jusqu</w:t>
      </w:r>
      <w:r w:rsidR="00FB1114" w:rsidRPr="00E31B0D">
        <w:rPr>
          <w:rFonts w:eastAsia="Calibri"/>
          <w:noProof/>
          <w:lang w:val="fr-FR"/>
        </w:rPr>
        <w:t>’</w:t>
      </w:r>
      <w:r w:rsidRPr="00E31B0D">
        <w:rPr>
          <w:rFonts w:eastAsia="Calibri"/>
          <w:noProof/>
          <w:lang w:val="fr-FR"/>
        </w:rPr>
        <w:t>à la conclusion de la procédure et au prononcé de la peine infligée aux auteurs des faits incriminés</w:t>
      </w:r>
      <w:r w:rsidR="00CC36B2" w:rsidRPr="00E31B0D">
        <w:rPr>
          <w:rFonts w:eastAsia="Calibri"/>
          <w:noProof/>
          <w:lang w:val="fr-FR"/>
        </w:rPr>
        <w:t> ;</w:t>
      </w:r>
    </w:p>
    <w:p w:rsidR="00614A7E" w:rsidRPr="00E31B0D" w:rsidRDefault="00614A7E" w:rsidP="0031266E">
      <w:pPr>
        <w:pStyle w:val="Bullet1G"/>
        <w:rPr>
          <w:noProof/>
          <w:lang w:val="fr-FR"/>
        </w:rPr>
      </w:pPr>
      <w:r w:rsidRPr="00E31B0D">
        <w:rPr>
          <w:noProof/>
          <w:lang w:val="fr-FR"/>
        </w:rPr>
        <w:t>Directive FGE/RJGP/DGFSE-679/2011 du 16</w:t>
      </w:r>
      <w:r w:rsidR="00CC36B2" w:rsidRPr="00E31B0D">
        <w:rPr>
          <w:noProof/>
          <w:lang w:val="fr-FR"/>
        </w:rPr>
        <w:t> </w:t>
      </w:r>
      <w:r w:rsidRPr="00E31B0D">
        <w:rPr>
          <w:noProof/>
          <w:lang w:val="fr-FR"/>
        </w:rPr>
        <w:t>septembre 2011, aux termes de laquelle les procureurs chargés des recours, les procureurs de district et les procureurs de l</w:t>
      </w:r>
      <w:r w:rsidR="00FB1114" w:rsidRPr="00E31B0D">
        <w:rPr>
          <w:noProof/>
          <w:lang w:val="fr-FR"/>
        </w:rPr>
        <w:t>’</w:t>
      </w:r>
      <w:r w:rsidRPr="00E31B0D">
        <w:rPr>
          <w:noProof/>
          <w:lang w:val="fr-FR"/>
        </w:rPr>
        <w:t>ensemble du pays doivent appliquer l</w:t>
      </w:r>
      <w:r w:rsidR="00FB1114" w:rsidRPr="00E31B0D">
        <w:rPr>
          <w:noProof/>
          <w:lang w:val="fr-FR"/>
        </w:rPr>
        <w:t>’</w:t>
      </w:r>
      <w:r w:rsidRPr="00E31B0D">
        <w:rPr>
          <w:noProof/>
          <w:lang w:val="fr-FR"/>
        </w:rPr>
        <w:t xml:space="preserve">arrêt du Tribunal constitutionnel </w:t>
      </w:r>
      <w:r w:rsidR="00CC36B2" w:rsidRPr="00E31B0D">
        <w:rPr>
          <w:rFonts w:eastAsia="MS Mincho"/>
          <w:noProof/>
          <w:szCs w:val="22"/>
          <w:lang w:val="fr-FR"/>
        </w:rPr>
        <w:t>n</w:t>
      </w:r>
      <w:r w:rsidR="00CC36B2" w:rsidRPr="00E31B0D">
        <w:rPr>
          <w:rFonts w:eastAsia="MS Mincho"/>
          <w:noProof/>
          <w:szCs w:val="22"/>
          <w:vertAlign w:val="superscript"/>
          <w:lang w:val="fr-FR"/>
        </w:rPr>
        <w:t>o</w:t>
      </w:r>
      <w:r w:rsidR="00CC36B2" w:rsidRPr="00E31B0D">
        <w:rPr>
          <w:noProof/>
          <w:lang w:val="fr-FR"/>
        </w:rPr>
        <w:t> </w:t>
      </w:r>
      <w:r w:rsidRPr="00E31B0D">
        <w:rPr>
          <w:noProof/>
          <w:lang w:val="fr-FR"/>
        </w:rPr>
        <w:t>0476/2011-R rendu le 18</w:t>
      </w:r>
      <w:r w:rsidR="00CC36B2" w:rsidRPr="00E31B0D">
        <w:rPr>
          <w:noProof/>
          <w:lang w:val="fr-FR"/>
        </w:rPr>
        <w:t> </w:t>
      </w:r>
      <w:r w:rsidRPr="00E31B0D">
        <w:rPr>
          <w:noProof/>
          <w:lang w:val="fr-FR"/>
        </w:rPr>
        <w:t>avril 2011, dans lequel ce dernier a ordonné que ce qui est énoncé dans le considérant II.3 concernant la nécessité de dresser un constat ou de consigner dans un autre document l</w:t>
      </w:r>
      <w:r w:rsidR="00FB1114" w:rsidRPr="00E31B0D">
        <w:rPr>
          <w:noProof/>
          <w:lang w:val="fr-FR"/>
        </w:rPr>
        <w:t>’</w:t>
      </w:r>
      <w:r w:rsidRPr="00E31B0D">
        <w:rPr>
          <w:noProof/>
          <w:lang w:val="fr-FR"/>
        </w:rPr>
        <w:t>état physique de l</w:t>
      </w:r>
      <w:r w:rsidR="00FB1114" w:rsidRPr="00E31B0D">
        <w:rPr>
          <w:noProof/>
          <w:lang w:val="fr-FR"/>
        </w:rPr>
        <w:t>’</w:t>
      </w:r>
      <w:r w:rsidRPr="00E31B0D">
        <w:rPr>
          <w:noProof/>
          <w:lang w:val="fr-FR"/>
        </w:rPr>
        <w:t>accusé soit obligatoirement communiqué au juge des libertés et de la détention (juez cautelar), lorsqu</w:t>
      </w:r>
      <w:r w:rsidR="00FB1114" w:rsidRPr="00E31B0D">
        <w:rPr>
          <w:noProof/>
          <w:lang w:val="fr-FR"/>
        </w:rPr>
        <w:t>’</w:t>
      </w:r>
      <w:r w:rsidRPr="00E31B0D">
        <w:rPr>
          <w:noProof/>
          <w:lang w:val="fr-FR"/>
        </w:rPr>
        <w:t>une plainte a été déposée pour des actes de torture ou d</w:t>
      </w:r>
      <w:r w:rsidR="00FB1114" w:rsidRPr="00E31B0D">
        <w:rPr>
          <w:noProof/>
          <w:lang w:val="fr-FR"/>
        </w:rPr>
        <w:t>’</w:t>
      </w:r>
      <w:r w:rsidRPr="00E31B0D">
        <w:rPr>
          <w:noProof/>
          <w:lang w:val="fr-FR"/>
        </w:rPr>
        <w:t>autres traitements inhumains commis en violation de l</w:t>
      </w:r>
      <w:r w:rsidR="00FB1114" w:rsidRPr="00E31B0D">
        <w:rPr>
          <w:noProof/>
          <w:lang w:val="fr-FR"/>
        </w:rPr>
        <w:t>’</w:t>
      </w:r>
      <w:r w:rsidRPr="00E31B0D">
        <w:rPr>
          <w:noProof/>
          <w:lang w:val="fr-FR"/>
        </w:rPr>
        <w:t>article</w:t>
      </w:r>
      <w:r w:rsidR="0031266E" w:rsidRPr="00E31B0D">
        <w:rPr>
          <w:noProof/>
          <w:lang w:val="fr-FR"/>
        </w:rPr>
        <w:t> </w:t>
      </w:r>
      <w:r w:rsidRPr="00E31B0D">
        <w:rPr>
          <w:noProof/>
          <w:lang w:val="fr-FR"/>
        </w:rPr>
        <w:t>15 de la Constitution</w:t>
      </w:r>
      <w:r w:rsidR="0031266E" w:rsidRPr="00E31B0D">
        <w:rPr>
          <w:noProof/>
          <w:lang w:val="fr-FR"/>
        </w:rPr>
        <w:t> ;</w:t>
      </w:r>
    </w:p>
    <w:p w:rsidR="00614A7E" w:rsidRPr="00E31B0D" w:rsidRDefault="00614A7E" w:rsidP="0031266E">
      <w:pPr>
        <w:pStyle w:val="Bullet1G"/>
        <w:rPr>
          <w:noProof/>
          <w:lang w:val="fr-FR"/>
        </w:rPr>
      </w:pPr>
      <w:r w:rsidRPr="00E31B0D">
        <w:rPr>
          <w:noProof/>
          <w:lang w:val="fr-FR"/>
        </w:rPr>
        <w:t xml:space="preserve">En vertu de la </w:t>
      </w:r>
      <w:r w:rsidRPr="00E31B0D">
        <w:t>directive</w:t>
      </w:r>
      <w:r w:rsidRPr="00E31B0D">
        <w:rPr>
          <w:noProof/>
          <w:lang w:val="fr-FR"/>
        </w:rPr>
        <w:t xml:space="preserve"> FGE/RJGP-176/2017 du 16</w:t>
      </w:r>
      <w:r w:rsidR="0031266E" w:rsidRPr="00E31B0D">
        <w:rPr>
          <w:noProof/>
          <w:lang w:val="fr-FR"/>
        </w:rPr>
        <w:t> </w:t>
      </w:r>
      <w:r w:rsidRPr="00E31B0D">
        <w:rPr>
          <w:noProof/>
          <w:lang w:val="fr-FR"/>
        </w:rPr>
        <w:t>octobre 2017, il appartient :</w:t>
      </w:r>
    </w:p>
    <w:p w:rsidR="00614A7E" w:rsidRPr="00E31B0D" w:rsidRDefault="00614A7E" w:rsidP="00614A7E">
      <w:pPr>
        <w:pStyle w:val="SingleTxtG"/>
        <w:ind w:left="1701"/>
        <w:rPr>
          <w:rFonts w:eastAsia="Calibri"/>
          <w:noProof/>
          <w:lang w:val="fr-FR" w:eastAsia="es-BO"/>
        </w:rPr>
      </w:pPr>
      <w:r w:rsidRPr="00E31B0D">
        <w:rPr>
          <w:rFonts w:eastAsia="Calibri"/>
          <w:noProof/>
          <w:lang w:val="fr-FR" w:eastAsia="es-BO"/>
        </w:rPr>
        <w:t>i)</w:t>
      </w:r>
      <w:r w:rsidRPr="00E31B0D">
        <w:rPr>
          <w:rFonts w:eastAsia="Calibri"/>
          <w:noProof/>
          <w:lang w:val="fr-FR" w:eastAsia="es-BO"/>
        </w:rPr>
        <w:tab/>
        <w:t>Aux procureurs départementaux :</w:t>
      </w:r>
    </w:p>
    <w:p w:rsidR="00614A7E" w:rsidRPr="00E31B0D" w:rsidRDefault="00614A7E" w:rsidP="00D21531">
      <w:pPr>
        <w:pStyle w:val="SingleTxtG"/>
        <w:ind w:left="1701" w:firstLine="567"/>
        <w:rPr>
          <w:rFonts w:eastAsia="Calibri"/>
          <w:noProof/>
          <w:lang w:val="fr-FR" w:eastAsia="es-BO"/>
        </w:rPr>
      </w:pPr>
      <w:r w:rsidRPr="00E31B0D">
        <w:rPr>
          <w:rFonts w:eastAsia="Calibri"/>
          <w:noProof/>
          <w:lang w:val="fr-FR" w:eastAsia="es-BO"/>
        </w:rPr>
        <w:t>a)</w:t>
      </w:r>
      <w:r w:rsidRPr="00E31B0D">
        <w:rPr>
          <w:rFonts w:eastAsia="Calibri"/>
          <w:noProof/>
          <w:lang w:val="fr-FR" w:eastAsia="es-BO"/>
        </w:rPr>
        <w:tab/>
      </w:r>
      <w:r w:rsidRPr="00E31B0D">
        <w:rPr>
          <w:noProof/>
          <w:lang w:val="fr-FR"/>
        </w:rPr>
        <w:t>De procéder immédiatement d</w:t>
      </w:r>
      <w:r w:rsidR="00FB1114" w:rsidRPr="00E31B0D">
        <w:rPr>
          <w:noProof/>
          <w:lang w:val="fr-FR"/>
        </w:rPr>
        <w:t>’</w:t>
      </w:r>
      <w:r w:rsidRPr="00E31B0D">
        <w:rPr>
          <w:noProof/>
          <w:lang w:val="fr-FR"/>
        </w:rPr>
        <w:t>office à une enquête impartiale chaque fois qu</w:t>
      </w:r>
      <w:r w:rsidR="00FB1114" w:rsidRPr="00E31B0D">
        <w:rPr>
          <w:noProof/>
          <w:lang w:val="fr-FR"/>
        </w:rPr>
        <w:t>’</w:t>
      </w:r>
      <w:r w:rsidRPr="00E31B0D">
        <w:rPr>
          <w:noProof/>
          <w:lang w:val="fr-FR"/>
        </w:rPr>
        <w:t>il y a des motifs raisonnables de croire qu</w:t>
      </w:r>
      <w:r w:rsidR="00FB1114" w:rsidRPr="00E31B0D">
        <w:rPr>
          <w:noProof/>
          <w:lang w:val="fr-FR"/>
        </w:rPr>
        <w:t>’</w:t>
      </w:r>
      <w:r w:rsidRPr="00E31B0D">
        <w:rPr>
          <w:noProof/>
          <w:lang w:val="fr-FR"/>
        </w:rPr>
        <w:t>un acte de torture ou de mauvais traitements a été commis par des policiers ou des agents pénitentiaires et d</w:t>
      </w:r>
      <w:r w:rsidR="00FB1114" w:rsidRPr="00E31B0D">
        <w:rPr>
          <w:noProof/>
          <w:lang w:val="fr-FR"/>
        </w:rPr>
        <w:t>’</w:t>
      </w:r>
      <w:r w:rsidRPr="00E31B0D">
        <w:rPr>
          <w:noProof/>
          <w:lang w:val="fr-FR"/>
        </w:rPr>
        <w:t>établir la responsabilité des supérieurs hiérarchiques qui ont poussé à commettre de tels actes, en ont encouragé la commission, y ont consenti ou l</w:t>
      </w:r>
      <w:r w:rsidR="00FB1114" w:rsidRPr="00E31B0D">
        <w:rPr>
          <w:noProof/>
          <w:lang w:val="fr-FR"/>
        </w:rPr>
        <w:t>’</w:t>
      </w:r>
      <w:r w:rsidRPr="00E31B0D">
        <w:rPr>
          <w:noProof/>
          <w:lang w:val="fr-FR"/>
        </w:rPr>
        <w:t>ont tolérée</w:t>
      </w:r>
      <w:r w:rsidR="00D21531" w:rsidRPr="00E31B0D">
        <w:rPr>
          <w:noProof/>
          <w:lang w:val="fr-FR"/>
        </w:rPr>
        <w:t> </w:t>
      </w:r>
      <w:r w:rsidRPr="00E31B0D">
        <w:rPr>
          <w:rFonts w:eastAsia="Calibri"/>
          <w:noProof/>
          <w:lang w:val="fr-FR" w:eastAsia="es-BO"/>
        </w:rPr>
        <w:t>;</w:t>
      </w:r>
    </w:p>
    <w:p w:rsidR="00614A7E" w:rsidRPr="00E31B0D" w:rsidRDefault="00614A7E" w:rsidP="00D21531">
      <w:pPr>
        <w:pStyle w:val="SingleTxtG"/>
        <w:ind w:left="1701" w:firstLine="567"/>
        <w:rPr>
          <w:rFonts w:eastAsia="Calibri"/>
          <w:noProof/>
          <w:lang w:val="fr-FR" w:eastAsia="es-BO"/>
        </w:rPr>
      </w:pPr>
      <w:r w:rsidRPr="00E31B0D">
        <w:rPr>
          <w:rFonts w:eastAsia="Calibri"/>
          <w:noProof/>
          <w:lang w:val="fr-FR" w:eastAsia="es-BO"/>
        </w:rPr>
        <w:t>b)</w:t>
      </w:r>
      <w:r w:rsidRPr="00E31B0D">
        <w:rPr>
          <w:rFonts w:eastAsia="Calibri"/>
          <w:noProof/>
          <w:lang w:val="fr-FR" w:eastAsia="es-BO"/>
        </w:rPr>
        <w:tab/>
      </w:r>
      <w:r w:rsidRPr="00E31B0D">
        <w:rPr>
          <w:noProof/>
          <w:lang w:val="fr-FR"/>
        </w:rPr>
        <w:t>De prendre les mesures nécessaires pour donner la priorité au règlement des affaires et éviter que des audiences concernant des personnes placées en détention provisoire ne soient suspendues</w:t>
      </w:r>
      <w:r w:rsidR="00D21531" w:rsidRPr="00E31B0D">
        <w:rPr>
          <w:noProof/>
          <w:lang w:val="fr-FR"/>
        </w:rPr>
        <w:t> </w:t>
      </w:r>
      <w:r w:rsidRPr="00E31B0D">
        <w:rPr>
          <w:rFonts w:eastAsia="Calibri"/>
          <w:noProof/>
          <w:lang w:val="fr-FR" w:eastAsia="es-BO"/>
        </w:rPr>
        <w:t>;</w:t>
      </w:r>
    </w:p>
    <w:p w:rsidR="00614A7E" w:rsidRPr="00BC4D2E" w:rsidRDefault="00614A7E" w:rsidP="00D21531">
      <w:pPr>
        <w:pStyle w:val="SingleTxtG"/>
        <w:ind w:left="1701" w:firstLine="567"/>
        <w:rPr>
          <w:rFonts w:eastAsia="Calibri"/>
          <w:noProof/>
          <w:lang w:val="fr-FR" w:eastAsia="es-BO"/>
        </w:rPr>
      </w:pPr>
      <w:r w:rsidRPr="00E31B0D">
        <w:rPr>
          <w:rFonts w:eastAsia="Calibri"/>
          <w:noProof/>
          <w:lang w:val="fr-FR" w:eastAsia="es-BO"/>
        </w:rPr>
        <w:t>c)</w:t>
      </w:r>
      <w:r w:rsidRPr="00E31B0D">
        <w:rPr>
          <w:rFonts w:eastAsia="Calibri"/>
          <w:noProof/>
          <w:lang w:val="fr-FR" w:eastAsia="es-BO"/>
        </w:rPr>
        <w:tab/>
      </w:r>
      <w:r w:rsidRPr="00E31B0D">
        <w:rPr>
          <w:noProof/>
          <w:lang w:val="fr-FR"/>
        </w:rPr>
        <w:t>De privilégier la mise en œuvre de solutions de substitution pour les personnes placées en détention provisoire chaque fois que cela est possible et ne porte atteinte ni à la sécurité publique</w:t>
      </w:r>
      <w:r w:rsidRPr="00BC4D2E">
        <w:rPr>
          <w:noProof/>
          <w:lang w:val="fr-FR"/>
        </w:rPr>
        <w:t xml:space="preserve"> ni aux intérêts de la société et des victimes</w:t>
      </w:r>
      <w:r w:rsidRPr="00BC4D2E">
        <w:rPr>
          <w:rFonts w:eastAsia="Calibri"/>
          <w:noProof/>
          <w:lang w:val="fr-FR" w:eastAsia="es-BO"/>
        </w:rPr>
        <w:t>.</w:t>
      </w:r>
    </w:p>
    <w:p w:rsidR="00614A7E" w:rsidRPr="00BC4D2E" w:rsidRDefault="00614A7E" w:rsidP="00614A7E">
      <w:pPr>
        <w:pStyle w:val="SingleTxtG"/>
        <w:ind w:left="1701"/>
        <w:rPr>
          <w:rFonts w:eastAsia="Calibri"/>
          <w:noProof/>
          <w:lang w:val="fr-FR" w:eastAsia="es-BO"/>
        </w:rPr>
      </w:pPr>
      <w:r w:rsidRPr="00BC4D2E">
        <w:rPr>
          <w:rFonts w:eastAsia="Calibri"/>
          <w:noProof/>
          <w:lang w:val="fr-FR" w:eastAsia="es-BO"/>
        </w:rPr>
        <w:lastRenderedPageBreak/>
        <w:t>ii)</w:t>
      </w:r>
      <w:r w:rsidRPr="00BC4D2E">
        <w:rPr>
          <w:rFonts w:eastAsia="Calibri"/>
          <w:noProof/>
          <w:lang w:val="fr-FR" w:eastAsia="es-BO"/>
        </w:rPr>
        <w:tab/>
      </w:r>
      <w:r w:rsidRPr="00BC4D2E">
        <w:rPr>
          <w:noProof/>
          <w:lang w:val="fr-FR"/>
        </w:rPr>
        <w:t>À la Direction de l</w:t>
      </w:r>
      <w:r w:rsidR="00FB1114">
        <w:rPr>
          <w:noProof/>
          <w:lang w:val="fr-FR"/>
        </w:rPr>
        <w:t>’</w:t>
      </w:r>
      <w:r w:rsidRPr="00BC4D2E">
        <w:rPr>
          <w:noProof/>
          <w:lang w:val="fr-FR"/>
        </w:rPr>
        <w:t>administration du ministère public, du suivi et de l</w:t>
      </w:r>
      <w:r w:rsidR="00FB1114">
        <w:rPr>
          <w:noProof/>
          <w:lang w:val="fr-FR"/>
        </w:rPr>
        <w:t>’</w:t>
      </w:r>
      <w:r w:rsidRPr="00BC4D2E">
        <w:rPr>
          <w:noProof/>
          <w:lang w:val="fr-FR"/>
        </w:rPr>
        <w:t>évaluation : de promouvoir l</w:t>
      </w:r>
      <w:r w:rsidR="00FB1114">
        <w:rPr>
          <w:noProof/>
          <w:lang w:val="fr-FR"/>
        </w:rPr>
        <w:t>’</w:t>
      </w:r>
      <w:r w:rsidRPr="00BC4D2E">
        <w:rPr>
          <w:noProof/>
          <w:lang w:val="fr-FR"/>
        </w:rPr>
        <w:t>élaboration d</w:t>
      </w:r>
      <w:r w:rsidR="00FB1114">
        <w:rPr>
          <w:noProof/>
          <w:lang w:val="fr-FR"/>
        </w:rPr>
        <w:t>’</w:t>
      </w:r>
      <w:r w:rsidRPr="00BC4D2E">
        <w:rPr>
          <w:noProof/>
          <w:lang w:val="fr-FR"/>
        </w:rPr>
        <w:t>une politique pénale tenant compte de la vulnérabilité des personnes et de leurs droits fondamentaux, qui décourage le recours généralisé à la détention avant jugement et privilégie les modèles de justice réparatrice</w:t>
      </w:r>
      <w:r w:rsidR="00D21531">
        <w:rPr>
          <w:noProof/>
          <w:lang w:val="fr-FR"/>
        </w:rPr>
        <w:t> </w:t>
      </w:r>
      <w:r w:rsidRPr="00BC4D2E">
        <w:rPr>
          <w:rFonts w:eastAsia="Calibri"/>
          <w:noProof/>
          <w:lang w:val="fr-FR" w:eastAsia="es-BO"/>
        </w:rPr>
        <w:t>;</w:t>
      </w:r>
    </w:p>
    <w:p w:rsidR="00614A7E" w:rsidRPr="00BC4D2E" w:rsidRDefault="00614A7E" w:rsidP="00614A7E">
      <w:pPr>
        <w:pStyle w:val="SingleTxtG"/>
        <w:ind w:left="1701"/>
        <w:rPr>
          <w:rFonts w:eastAsia="Calibri"/>
          <w:noProof/>
          <w:lang w:val="fr-FR" w:eastAsia="es-BO"/>
        </w:rPr>
      </w:pPr>
      <w:r w:rsidRPr="00BC4D2E">
        <w:rPr>
          <w:rFonts w:eastAsia="Calibri"/>
          <w:noProof/>
          <w:lang w:val="fr-FR" w:eastAsia="es-BO"/>
        </w:rPr>
        <w:t>iii)</w:t>
      </w:r>
      <w:r w:rsidRPr="00BC4D2E">
        <w:rPr>
          <w:rFonts w:eastAsia="Calibri"/>
          <w:noProof/>
          <w:lang w:val="fr-FR" w:eastAsia="es-BO"/>
        </w:rPr>
        <w:tab/>
      </w:r>
      <w:r w:rsidRPr="00BC4D2E">
        <w:rPr>
          <w:noProof/>
          <w:lang w:val="fr-FR"/>
        </w:rPr>
        <w:t>À la Direction de la protection des victimes, témoins et membres du ministère public : d</w:t>
      </w:r>
      <w:r w:rsidR="00FB1114">
        <w:rPr>
          <w:noProof/>
          <w:lang w:val="fr-FR"/>
        </w:rPr>
        <w:t>’</w:t>
      </w:r>
      <w:r w:rsidRPr="00BC4D2E">
        <w:rPr>
          <w:noProof/>
          <w:lang w:val="fr-FR"/>
        </w:rPr>
        <w:t>inclure dans la formulation du Programme de protection des victimes, témoins et personnes qui communiquent des informations les témoins et victimes de mauvais traitements et d</w:t>
      </w:r>
      <w:r w:rsidR="00FB1114">
        <w:rPr>
          <w:noProof/>
          <w:lang w:val="fr-FR"/>
        </w:rPr>
        <w:t>’</w:t>
      </w:r>
      <w:r w:rsidRPr="00BC4D2E">
        <w:rPr>
          <w:noProof/>
          <w:lang w:val="fr-FR"/>
        </w:rPr>
        <w:t xml:space="preserve">actes de torture, </w:t>
      </w:r>
      <w:r w:rsidRPr="00BC4D2E">
        <w:rPr>
          <w:rFonts w:eastAsia="Calibri"/>
          <w:noProof/>
          <w:lang w:val="fr-FR" w:eastAsia="es-BO"/>
        </w:rPr>
        <w:t>en particulier les personnes privées de liberté ou les personnes participant à des manifestation de protestation sociale</w:t>
      </w:r>
      <w:r w:rsidR="00D21531">
        <w:rPr>
          <w:rFonts w:eastAsia="Calibri"/>
          <w:noProof/>
          <w:lang w:val="fr-FR" w:eastAsia="es-BO"/>
        </w:rPr>
        <w:t> </w:t>
      </w:r>
      <w:r w:rsidRPr="00BC4D2E">
        <w:rPr>
          <w:rFonts w:eastAsia="Calibri"/>
          <w:noProof/>
          <w:lang w:val="fr-FR" w:eastAsia="es-BO"/>
        </w:rPr>
        <w:t>;</w:t>
      </w:r>
    </w:p>
    <w:p w:rsidR="00614A7E" w:rsidRPr="00BC4D2E" w:rsidRDefault="00614A7E" w:rsidP="00614A7E">
      <w:pPr>
        <w:pStyle w:val="SingleTxtG"/>
        <w:ind w:left="1701"/>
        <w:rPr>
          <w:rFonts w:eastAsia="Calibri"/>
          <w:noProof/>
          <w:lang w:val="fr-FR" w:eastAsia="es-BO"/>
        </w:rPr>
      </w:pPr>
      <w:r w:rsidRPr="00BC4D2E">
        <w:rPr>
          <w:rFonts w:eastAsia="Calibri"/>
          <w:noProof/>
          <w:lang w:val="fr-FR" w:eastAsia="es-BO"/>
        </w:rPr>
        <w:t>iv)</w:t>
      </w:r>
      <w:r w:rsidRPr="00BC4D2E">
        <w:rPr>
          <w:rFonts w:eastAsia="Calibri"/>
          <w:noProof/>
          <w:lang w:val="fr-FR" w:eastAsia="es-BO"/>
        </w:rPr>
        <w:tab/>
      </w:r>
      <w:r w:rsidRPr="00BC4D2E">
        <w:rPr>
          <w:noProof/>
          <w:lang w:val="fr-FR"/>
        </w:rPr>
        <w:t>Au Bureau du Procureur chargé des infractions contre les personnes : d</w:t>
      </w:r>
      <w:r w:rsidR="00FB1114">
        <w:rPr>
          <w:noProof/>
          <w:lang w:val="fr-FR"/>
        </w:rPr>
        <w:t>’</w:t>
      </w:r>
      <w:r w:rsidRPr="00BC4D2E">
        <w:rPr>
          <w:noProof/>
          <w:lang w:val="fr-FR"/>
        </w:rPr>
        <w:t>établir un plan de mise en application du Manuel pour enquêter efficacement sur la torture et autres peines ou traitements cruels, inhumains ou dégradants (Protocole d</w:t>
      </w:r>
      <w:r w:rsidR="00FB1114">
        <w:rPr>
          <w:noProof/>
          <w:lang w:val="fr-FR"/>
        </w:rPr>
        <w:t>’</w:t>
      </w:r>
      <w:r w:rsidRPr="00BC4D2E">
        <w:rPr>
          <w:noProof/>
          <w:lang w:val="fr-FR"/>
        </w:rPr>
        <w:t>Istanbul)</w:t>
      </w:r>
      <w:r w:rsidR="002908F3">
        <w:rPr>
          <w:noProof/>
          <w:lang w:val="fr-FR"/>
        </w:rPr>
        <w:t> </w:t>
      </w:r>
      <w:r w:rsidRPr="00BC4D2E">
        <w:rPr>
          <w:rFonts w:eastAsia="Calibri"/>
          <w:noProof/>
          <w:lang w:val="fr-FR" w:eastAsia="es-BO"/>
        </w:rPr>
        <w:t>;</w:t>
      </w:r>
    </w:p>
    <w:p w:rsidR="00614A7E" w:rsidRPr="00BC4D2E" w:rsidRDefault="00614A7E" w:rsidP="00614A7E">
      <w:pPr>
        <w:pStyle w:val="SingleTxtG"/>
        <w:ind w:left="1701"/>
        <w:rPr>
          <w:rFonts w:eastAsia="Calibri"/>
          <w:noProof/>
          <w:lang w:val="fr-FR" w:eastAsia="es-BO"/>
        </w:rPr>
      </w:pPr>
      <w:r w:rsidRPr="00BC4D2E">
        <w:rPr>
          <w:rFonts w:eastAsia="Calibri"/>
          <w:noProof/>
          <w:lang w:val="fr-FR" w:eastAsia="es-BO"/>
        </w:rPr>
        <w:t>v)</w:t>
      </w:r>
      <w:r w:rsidRPr="00BC4D2E">
        <w:rPr>
          <w:rFonts w:eastAsia="Calibri"/>
          <w:noProof/>
          <w:lang w:val="fr-FR" w:eastAsia="es-BO"/>
        </w:rPr>
        <w:tab/>
      </w:r>
      <w:r w:rsidRPr="00BC4D2E">
        <w:rPr>
          <w:noProof/>
          <w:lang w:val="fr-FR"/>
        </w:rPr>
        <w:t>À l</w:t>
      </w:r>
      <w:r w:rsidR="00FB1114">
        <w:rPr>
          <w:noProof/>
          <w:lang w:val="fr-FR"/>
        </w:rPr>
        <w:t>’</w:t>
      </w:r>
      <w:r w:rsidRPr="00BC4D2E">
        <w:rPr>
          <w:noProof/>
          <w:lang w:val="fr-FR"/>
        </w:rPr>
        <w:t>Institut de recherche médico</w:t>
      </w:r>
      <w:r w:rsidR="008C55C2">
        <w:rPr>
          <w:noProof/>
          <w:lang w:val="fr-FR"/>
        </w:rPr>
        <w:t>-</w:t>
      </w:r>
      <w:r w:rsidRPr="00BC4D2E">
        <w:rPr>
          <w:noProof/>
          <w:lang w:val="fr-FR"/>
        </w:rPr>
        <w:t>légale : de mettre en œuvre les mesures nécessair</w:t>
      </w:r>
      <w:r>
        <w:rPr>
          <w:noProof/>
          <w:lang w:val="fr-FR"/>
        </w:rPr>
        <w:t>es pour que les rapports médico</w:t>
      </w:r>
      <w:r w:rsidR="008C55C2">
        <w:rPr>
          <w:noProof/>
          <w:lang w:val="fr-FR"/>
        </w:rPr>
        <w:t>-</w:t>
      </w:r>
      <w:r w:rsidRPr="00BC4D2E">
        <w:rPr>
          <w:noProof/>
          <w:lang w:val="fr-FR"/>
        </w:rPr>
        <w:t>légaux soient conformes aux dispositions du Protocole d</w:t>
      </w:r>
      <w:r w:rsidR="00FB1114">
        <w:rPr>
          <w:noProof/>
          <w:lang w:val="fr-FR"/>
        </w:rPr>
        <w:t>’</w:t>
      </w:r>
      <w:r w:rsidRPr="00BC4D2E">
        <w:rPr>
          <w:noProof/>
          <w:lang w:val="fr-FR"/>
        </w:rPr>
        <w:t>Istanbul et permettent d</w:t>
      </w:r>
      <w:r w:rsidR="00FB1114">
        <w:rPr>
          <w:noProof/>
          <w:lang w:val="fr-FR"/>
        </w:rPr>
        <w:t>’</w:t>
      </w:r>
      <w:r w:rsidRPr="00BC4D2E">
        <w:rPr>
          <w:noProof/>
          <w:lang w:val="fr-FR"/>
        </w:rPr>
        <w:t>attester l</w:t>
      </w:r>
      <w:r w:rsidR="00FB1114">
        <w:rPr>
          <w:noProof/>
          <w:lang w:val="fr-FR"/>
        </w:rPr>
        <w:t>’</w:t>
      </w:r>
      <w:r w:rsidRPr="00BC4D2E">
        <w:rPr>
          <w:noProof/>
          <w:lang w:val="fr-FR"/>
        </w:rPr>
        <w:t>existence d</w:t>
      </w:r>
      <w:r w:rsidR="00FB1114">
        <w:rPr>
          <w:noProof/>
          <w:lang w:val="fr-FR"/>
        </w:rPr>
        <w:t>’</w:t>
      </w:r>
      <w:r w:rsidRPr="00BC4D2E">
        <w:rPr>
          <w:noProof/>
          <w:lang w:val="fr-FR"/>
        </w:rPr>
        <w:t>éventuels cas de torture</w:t>
      </w:r>
      <w:r w:rsidR="002908F3">
        <w:rPr>
          <w:noProof/>
          <w:lang w:val="fr-FR"/>
        </w:rPr>
        <w:t> </w:t>
      </w:r>
      <w:r w:rsidRPr="00BC4D2E">
        <w:rPr>
          <w:rFonts w:eastAsia="Calibri"/>
          <w:noProof/>
          <w:lang w:val="fr-FR" w:eastAsia="es-BO"/>
        </w:rPr>
        <w:t>;</w:t>
      </w:r>
    </w:p>
    <w:p w:rsidR="00614A7E" w:rsidRPr="00BC4D2E" w:rsidRDefault="00614A7E" w:rsidP="00614A7E">
      <w:pPr>
        <w:pStyle w:val="SingleTxtG"/>
        <w:ind w:left="1701"/>
        <w:rPr>
          <w:rFonts w:eastAsia="Calibri"/>
          <w:noProof/>
          <w:lang w:val="fr-FR" w:eastAsia="es-BO"/>
        </w:rPr>
      </w:pPr>
      <w:r w:rsidRPr="00BC4D2E">
        <w:rPr>
          <w:rFonts w:eastAsia="Calibri"/>
          <w:noProof/>
          <w:lang w:val="fr-FR" w:eastAsia="es-BO"/>
        </w:rPr>
        <w:t>vi)</w:t>
      </w:r>
      <w:r w:rsidRPr="00BC4D2E">
        <w:rPr>
          <w:rFonts w:eastAsia="Calibri"/>
          <w:noProof/>
          <w:lang w:val="fr-FR" w:eastAsia="es-BO"/>
        </w:rPr>
        <w:tab/>
        <w:t>Aux procureurs</w:t>
      </w:r>
      <w:r w:rsidR="002908F3">
        <w:rPr>
          <w:rFonts w:eastAsia="Calibri"/>
          <w:noProof/>
          <w:lang w:val="fr-FR" w:eastAsia="es-BO"/>
        </w:rPr>
        <w:t> </w:t>
      </w:r>
      <w:r w:rsidRPr="00BC4D2E">
        <w:rPr>
          <w:rFonts w:eastAsia="Calibri"/>
          <w:noProof/>
          <w:lang w:val="fr-FR" w:eastAsia="es-BO"/>
        </w:rPr>
        <w:t>:</w:t>
      </w:r>
    </w:p>
    <w:p w:rsidR="00614A7E" w:rsidRPr="00BC4D2E" w:rsidRDefault="00614A7E" w:rsidP="002908F3">
      <w:pPr>
        <w:pStyle w:val="SingleTxtG"/>
        <w:ind w:left="1701" w:firstLine="567"/>
        <w:rPr>
          <w:rFonts w:eastAsia="Calibri"/>
          <w:noProof/>
          <w:lang w:val="fr-FR" w:eastAsia="es-BO"/>
        </w:rPr>
      </w:pPr>
      <w:r w:rsidRPr="00BC4D2E">
        <w:rPr>
          <w:rFonts w:eastAsia="Calibri"/>
          <w:noProof/>
          <w:lang w:val="fr-FR" w:eastAsia="es-BO"/>
        </w:rPr>
        <w:t>a)</w:t>
      </w:r>
      <w:r w:rsidRPr="00BC4D2E">
        <w:rPr>
          <w:rFonts w:eastAsia="Calibri"/>
          <w:noProof/>
          <w:lang w:val="fr-FR" w:eastAsia="es-BO"/>
        </w:rPr>
        <w:tab/>
      </w:r>
      <w:r w:rsidRPr="00BC4D2E">
        <w:rPr>
          <w:noProof/>
          <w:lang w:val="fr-FR"/>
        </w:rPr>
        <w:t>S</w:t>
      </w:r>
      <w:r w:rsidR="00FB1114">
        <w:rPr>
          <w:noProof/>
          <w:lang w:val="fr-FR"/>
        </w:rPr>
        <w:t>’</w:t>
      </w:r>
      <w:r w:rsidRPr="00BC4D2E">
        <w:rPr>
          <w:noProof/>
          <w:lang w:val="fr-FR"/>
        </w:rPr>
        <w:t>ils doivent demander des mesures individuelles de sûreté, d</w:t>
      </w:r>
      <w:r w:rsidR="00FB1114">
        <w:rPr>
          <w:noProof/>
          <w:lang w:val="fr-FR"/>
        </w:rPr>
        <w:t>’</w:t>
      </w:r>
      <w:r w:rsidRPr="00BC4D2E">
        <w:rPr>
          <w:noProof/>
          <w:lang w:val="fr-FR"/>
        </w:rPr>
        <w:t>en faire un usage mesuré qui nuise le moins possible à la personne et à la réputation des prévenus, en évitant de recourir sans restriction à la détention provisoire, conformément aux dispositions des articles 7 et</w:t>
      </w:r>
      <w:r w:rsidR="00227DCD">
        <w:rPr>
          <w:noProof/>
          <w:lang w:val="fr-FR"/>
        </w:rPr>
        <w:t xml:space="preserve"> </w:t>
      </w:r>
      <w:r w:rsidRPr="00BC4D2E">
        <w:rPr>
          <w:noProof/>
          <w:lang w:val="fr-FR"/>
        </w:rPr>
        <w:t>22 du Code de procédure pénale </w:t>
      </w:r>
      <w:r w:rsidRPr="00BC4D2E">
        <w:rPr>
          <w:rFonts w:eastAsia="Calibri"/>
          <w:noProof/>
          <w:lang w:val="fr-FR" w:eastAsia="es-BO"/>
        </w:rPr>
        <w:t>;</w:t>
      </w:r>
    </w:p>
    <w:p w:rsidR="00614A7E" w:rsidRPr="00BC4D2E" w:rsidRDefault="00614A7E" w:rsidP="002908F3">
      <w:pPr>
        <w:pStyle w:val="SingleTxtG"/>
        <w:ind w:left="1701" w:firstLine="567"/>
        <w:rPr>
          <w:rFonts w:eastAsia="Calibri"/>
          <w:noProof/>
          <w:lang w:val="fr-FR" w:eastAsia="es-BO"/>
        </w:rPr>
      </w:pPr>
      <w:r w:rsidRPr="00BC4D2E">
        <w:rPr>
          <w:rFonts w:eastAsia="Calibri"/>
          <w:noProof/>
          <w:lang w:val="fr-FR" w:eastAsia="es-BO"/>
        </w:rPr>
        <w:t>b)</w:t>
      </w:r>
      <w:r w:rsidRPr="00BC4D2E">
        <w:rPr>
          <w:rFonts w:eastAsia="Calibri"/>
          <w:noProof/>
          <w:lang w:val="fr-FR" w:eastAsia="es-BO"/>
        </w:rPr>
        <w:tab/>
      </w:r>
      <w:r w:rsidRPr="00BC4D2E">
        <w:rPr>
          <w:noProof/>
          <w:lang w:val="fr-FR"/>
        </w:rPr>
        <w:t>De veiller à ce que les conditions d</w:t>
      </w:r>
      <w:r w:rsidR="00FB1114">
        <w:rPr>
          <w:noProof/>
          <w:lang w:val="fr-FR"/>
        </w:rPr>
        <w:t>’</w:t>
      </w:r>
      <w:r w:rsidRPr="00BC4D2E">
        <w:rPr>
          <w:noProof/>
          <w:lang w:val="fr-FR"/>
        </w:rPr>
        <w:t>octroi de mesures de substitution à la détention provisoire correspondent aux possibilités sociales et économiques du prévenu</w:t>
      </w:r>
      <w:r w:rsidR="002908F3">
        <w:rPr>
          <w:noProof/>
          <w:lang w:val="fr-FR"/>
        </w:rPr>
        <w:t> </w:t>
      </w:r>
      <w:r w:rsidRPr="00BC4D2E">
        <w:rPr>
          <w:rFonts w:eastAsia="Calibri"/>
          <w:noProof/>
          <w:lang w:val="fr-FR" w:eastAsia="es-BO"/>
        </w:rPr>
        <w:t>;</w:t>
      </w:r>
    </w:p>
    <w:p w:rsidR="00614A7E" w:rsidRPr="00BC4D2E" w:rsidRDefault="00614A7E" w:rsidP="002908F3">
      <w:pPr>
        <w:pStyle w:val="SingleTxtG"/>
        <w:ind w:left="1701" w:firstLine="567"/>
        <w:rPr>
          <w:rFonts w:eastAsia="Calibri"/>
          <w:noProof/>
          <w:lang w:val="fr-FR" w:eastAsia="es-BO"/>
        </w:rPr>
      </w:pPr>
      <w:r w:rsidRPr="00BC4D2E">
        <w:rPr>
          <w:rFonts w:eastAsia="Calibri"/>
          <w:noProof/>
          <w:lang w:val="fr-FR" w:eastAsia="es-BO"/>
        </w:rPr>
        <w:t>c)</w:t>
      </w:r>
      <w:r w:rsidRPr="00BC4D2E">
        <w:rPr>
          <w:rFonts w:eastAsia="Calibri"/>
          <w:noProof/>
          <w:lang w:val="fr-FR" w:eastAsia="es-BO"/>
        </w:rPr>
        <w:tab/>
      </w:r>
      <w:r w:rsidRPr="00BC4D2E">
        <w:rPr>
          <w:noProof/>
          <w:lang w:val="fr-FR"/>
        </w:rPr>
        <w:t>De tenir compte de la culture ainsi que de la situation patrimoniale et professionnelle des autochtones lorsqu</w:t>
      </w:r>
      <w:r w:rsidR="00FB1114">
        <w:rPr>
          <w:noProof/>
          <w:lang w:val="fr-FR"/>
        </w:rPr>
        <w:t>’</w:t>
      </w:r>
      <w:r w:rsidRPr="00BC4D2E">
        <w:rPr>
          <w:noProof/>
          <w:lang w:val="fr-FR"/>
        </w:rPr>
        <w:t>ils prononcent des mesures de sûreté</w:t>
      </w:r>
      <w:r w:rsidR="002908F3">
        <w:rPr>
          <w:noProof/>
          <w:lang w:val="fr-FR"/>
        </w:rPr>
        <w:t> </w:t>
      </w:r>
      <w:r w:rsidRPr="00BC4D2E">
        <w:rPr>
          <w:rFonts w:eastAsia="Calibri"/>
          <w:noProof/>
          <w:lang w:val="fr-FR" w:eastAsia="es-BO"/>
        </w:rPr>
        <w:t>;</w:t>
      </w:r>
    </w:p>
    <w:p w:rsidR="00614A7E" w:rsidRPr="00BC4D2E" w:rsidRDefault="00614A7E" w:rsidP="002908F3">
      <w:pPr>
        <w:pStyle w:val="SingleTxtG"/>
        <w:ind w:left="1701" w:firstLine="567"/>
        <w:rPr>
          <w:rFonts w:eastAsia="Calibri"/>
          <w:noProof/>
          <w:lang w:val="fr-FR" w:eastAsia="es-BO"/>
        </w:rPr>
      </w:pPr>
      <w:r w:rsidRPr="00BC4D2E">
        <w:rPr>
          <w:rFonts w:eastAsia="Calibri"/>
          <w:noProof/>
          <w:lang w:val="fr-FR" w:eastAsia="es-BO"/>
        </w:rPr>
        <w:t>d)</w:t>
      </w:r>
      <w:r w:rsidRPr="00BC4D2E">
        <w:rPr>
          <w:rFonts w:eastAsia="Calibri"/>
          <w:noProof/>
          <w:lang w:val="fr-FR" w:eastAsia="es-BO"/>
        </w:rPr>
        <w:tab/>
      </w:r>
      <w:r w:rsidRPr="00BC4D2E">
        <w:rPr>
          <w:noProof/>
          <w:lang w:val="fr-FR"/>
        </w:rPr>
        <w:t>De tenir dûment compte des coutumes et du mode de vie des personnes autochtones qui sont jugées par les tribunaux ordinaires, tout en garantissant le respect d</w:t>
      </w:r>
      <w:r w:rsidR="00FB1114">
        <w:rPr>
          <w:noProof/>
          <w:lang w:val="fr-FR"/>
        </w:rPr>
        <w:t>’</w:t>
      </w:r>
      <w:r w:rsidRPr="00BC4D2E">
        <w:rPr>
          <w:noProof/>
          <w:lang w:val="fr-FR"/>
        </w:rPr>
        <w:t>une procédure régulière, en particulier de leur droit d</w:t>
      </w:r>
      <w:r w:rsidR="00FB1114">
        <w:rPr>
          <w:noProof/>
          <w:lang w:val="fr-FR"/>
        </w:rPr>
        <w:t>’</w:t>
      </w:r>
      <w:r w:rsidRPr="00BC4D2E">
        <w:rPr>
          <w:noProof/>
          <w:lang w:val="fr-FR"/>
        </w:rPr>
        <w:t>être défendus, d</w:t>
      </w:r>
      <w:r w:rsidR="00FB1114">
        <w:rPr>
          <w:noProof/>
          <w:lang w:val="fr-FR"/>
        </w:rPr>
        <w:t>’</w:t>
      </w:r>
      <w:r w:rsidRPr="00BC4D2E">
        <w:rPr>
          <w:noProof/>
          <w:lang w:val="fr-FR"/>
        </w:rPr>
        <w:t>être informés des motifs de leur détention et de communiquer dans leur langue, conformément à l</w:t>
      </w:r>
      <w:r w:rsidR="00FB1114">
        <w:rPr>
          <w:noProof/>
          <w:lang w:val="fr-FR"/>
        </w:rPr>
        <w:t>’</w:t>
      </w:r>
      <w:r w:rsidRPr="00BC4D2E">
        <w:rPr>
          <w:noProof/>
          <w:lang w:val="fr-FR"/>
        </w:rPr>
        <w:t>esprit de la Constitution</w:t>
      </w:r>
      <w:r w:rsidR="002908F3">
        <w:rPr>
          <w:noProof/>
          <w:lang w:val="fr-FR"/>
        </w:rPr>
        <w:t> </w:t>
      </w:r>
      <w:r w:rsidRPr="00BC4D2E">
        <w:rPr>
          <w:rFonts w:eastAsia="Calibri"/>
          <w:noProof/>
          <w:lang w:val="fr-FR" w:eastAsia="es-BO"/>
        </w:rPr>
        <w:t>;</w:t>
      </w:r>
    </w:p>
    <w:p w:rsidR="00614A7E" w:rsidRPr="00BC4D2E" w:rsidRDefault="00614A7E" w:rsidP="002908F3">
      <w:pPr>
        <w:pStyle w:val="SingleTxtG"/>
        <w:ind w:left="1701" w:firstLine="567"/>
        <w:rPr>
          <w:rFonts w:eastAsia="Calibri"/>
          <w:noProof/>
          <w:lang w:val="fr-FR" w:eastAsia="es-BO"/>
        </w:rPr>
      </w:pPr>
      <w:r w:rsidRPr="00BC4D2E">
        <w:rPr>
          <w:rFonts w:eastAsia="Calibri"/>
          <w:noProof/>
          <w:lang w:val="fr-FR" w:eastAsia="es-BO"/>
        </w:rPr>
        <w:t>e)</w:t>
      </w:r>
      <w:r w:rsidRPr="00BC4D2E">
        <w:rPr>
          <w:rFonts w:eastAsia="Calibri"/>
          <w:noProof/>
          <w:lang w:val="fr-FR" w:eastAsia="es-BO"/>
        </w:rPr>
        <w:tab/>
      </w:r>
      <w:r w:rsidRPr="00BC4D2E">
        <w:rPr>
          <w:noProof/>
          <w:lang w:val="fr-FR"/>
        </w:rPr>
        <w:t>De donner la priorité au règlement des affaires et d</w:t>
      </w:r>
      <w:r w:rsidR="00FB1114">
        <w:rPr>
          <w:noProof/>
          <w:lang w:val="fr-FR"/>
        </w:rPr>
        <w:t>’</w:t>
      </w:r>
      <w:r w:rsidRPr="00BC4D2E">
        <w:rPr>
          <w:noProof/>
          <w:lang w:val="fr-FR"/>
        </w:rPr>
        <w:t>éviter la suspension de toute audience concernant des personnes en détention provisoire</w:t>
      </w:r>
      <w:r w:rsidR="002908F3">
        <w:rPr>
          <w:noProof/>
          <w:lang w:val="fr-FR"/>
        </w:rPr>
        <w:t> </w:t>
      </w:r>
      <w:r w:rsidRPr="00BC4D2E">
        <w:rPr>
          <w:rFonts w:eastAsia="Calibri"/>
          <w:noProof/>
          <w:lang w:val="fr-FR" w:eastAsia="es-BO"/>
        </w:rPr>
        <w:t>;</w:t>
      </w:r>
    </w:p>
    <w:p w:rsidR="00614A7E" w:rsidRPr="00BC4D2E" w:rsidRDefault="00614A7E" w:rsidP="002908F3">
      <w:pPr>
        <w:pStyle w:val="SingleTxtG"/>
        <w:ind w:left="1701" w:firstLine="567"/>
        <w:rPr>
          <w:rFonts w:eastAsia="Calibri"/>
          <w:noProof/>
          <w:lang w:val="fr-FR" w:eastAsia="es-BO"/>
        </w:rPr>
      </w:pPr>
      <w:r w:rsidRPr="00BC4D2E">
        <w:rPr>
          <w:rFonts w:eastAsia="Calibri"/>
          <w:noProof/>
          <w:lang w:val="fr-FR" w:eastAsia="es-BO"/>
        </w:rPr>
        <w:t>f)</w:t>
      </w:r>
      <w:r w:rsidRPr="00BC4D2E">
        <w:rPr>
          <w:rFonts w:eastAsia="Calibri"/>
          <w:noProof/>
          <w:lang w:val="fr-FR" w:eastAsia="es-BO"/>
        </w:rPr>
        <w:tab/>
      </w:r>
      <w:r w:rsidRPr="00BC4D2E">
        <w:rPr>
          <w:noProof/>
          <w:lang w:val="fr-FR"/>
        </w:rPr>
        <w:t>De privilégier la mise en œuvre de solutions de substitution pour les personnes placées en détention provisoire chaque fois que cela est possible et ne porte atteinte ni à la sécurité publique ni aux intérêts de l</w:t>
      </w:r>
      <w:r w:rsidR="00FB1114">
        <w:rPr>
          <w:noProof/>
          <w:lang w:val="fr-FR"/>
        </w:rPr>
        <w:t>’</w:t>
      </w:r>
      <w:r w:rsidRPr="00BC4D2E">
        <w:rPr>
          <w:noProof/>
          <w:lang w:val="fr-FR"/>
        </w:rPr>
        <w:t>ensemble de la société et des victimes</w:t>
      </w:r>
      <w:r w:rsidR="002908F3">
        <w:rPr>
          <w:noProof/>
          <w:lang w:val="fr-FR"/>
        </w:rPr>
        <w:t> </w:t>
      </w:r>
      <w:r w:rsidRPr="00BC4D2E">
        <w:rPr>
          <w:rFonts w:eastAsia="Calibri"/>
          <w:noProof/>
          <w:lang w:val="fr-FR" w:eastAsia="es-BO"/>
        </w:rPr>
        <w:t>;</w:t>
      </w:r>
    </w:p>
    <w:p w:rsidR="00614A7E" w:rsidRPr="00BC4D2E" w:rsidRDefault="00614A7E" w:rsidP="002908F3">
      <w:pPr>
        <w:pStyle w:val="SingleTxtG"/>
        <w:ind w:left="1701" w:firstLine="567"/>
        <w:rPr>
          <w:rFonts w:eastAsia="Calibri"/>
          <w:noProof/>
          <w:lang w:val="fr-FR" w:eastAsia="es-BO"/>
        </w:rPr>
      </w:pPr>
      <w:r w:rsidRPr="00BC4D2E">
        <w:rPr>
          <w:rFonts w:eastAsia="Calibri"/>
          <w:noProof/>
          <w:lang w:val="fr-FR" w:eastAsia="es-BO"/>
        </w:rPr>
        <w:t>g)</w:t>
      </w:r>
      <w:r w:rsidRPr="00BC4D2E">
        <w:rPr>
          <w:rFonts w:eastAsia="Calibri"/>
          <w:noProof/>
          <w:lang w:val="fr-FR" w:eastAsia="es-BO"/>
        </w:rPr>
        <w:tab/>
        <w:t>Lors du</w:t>
      </w:r>
      <w:r w:rsidRPr="00BC4D2E">
        <w:rPr>
          <w:noProof/>
          <w:lang w:val="fr-FR"/>
        </w:rPr>
        <w:t xml:space="preserve"> règlement des différentes procédures, d</w:t>
      </w:r>
      <w:r w:rsidRPr="00BC4D2E">
        <w:rPr>
          <w:rFonts w:eastAsia="Calibri"/>
          <w:noProof/>
          <w:lang w:val="fr-FR" w:eastAsia="es-BO"/>
        </w:rPr>
        <w:t xml:space="preserve">e tenir compte </w:t>
      </w:r>
      <w:r w:rsidRPr="00BC4D2E">
        <w:rPr>
          <w:noProof/>
          <w:lang w:val="fr-FR"/>
        </w:rPr>
        <w:t>des risques élevés que courent les femmes de se trouver en situation de vulnérabilité et du principe de l</w:t>
      </w:r>
      <w:r w:rsidR="00FB1114">
        <w:rPr>
          <w:noProof/>
          <w:lang w:val="fr-FR"/>
        </w:rPr>
        <w:t>’</w:t>
      </w:r>
      <w:r w:rsidRPr="00BC4D2E">
        <w:rPr>
          <w:noProof/>
          <w:lang w:val="fr-FR"/>
        </w:rPr>
        <w:t>intérêt supérieur de l</w:t>
      </w:r>
      <w:r w:rsidR="00FB1114">
        <w:rPr>
          <w:noProof/>
          <w:lang w:val="fr-FR"/>
        </w:rPr>
        <w:t>’</w:t>
      </w:r>
      <w:r w:rsidRPr="00BC4D2E">
        <w:rPr>
          <w:noProof/>
          <w:lang w:val="fr-FR"/>
        </w:rPr>
        <w:t>enfant, et de recourir largement à des peines de substitution à la privation de liberté, conformément aux Règles de Tokyo et aux Règles de Bangkok</w:t>
      </w:r>
      <w:r w:rsidR="002908F3">
        <w:rPr>
          <w:noProof/>
          <w:lang w:val="fr-FR"/>
        </w:rPr>
        <w:t> </w:t>
      </w:r>
      <w:r w:rsidRPr="00BC4D2E">
        <w:rPr>
          <w:rFonts w:eastAsia="Calibri"/>
          <w:noProof/>
          <w:lang w:val="fr-FR" w:eastAsia="es-BO"/>
        </w:rPr>
        <w:t>;</w:t>
      </w:r>
    </w:p>
    <w:p w:rsidR="00614A7E" w:rsidRPr="00BC4D2E" w:rsidRDefault="00614A7E" w:rsidP="002908F3">
      <w:pPr>
        <w:pStyle w:val="SingleTxtG"/>
        <w:ind w:left="1701" w:firstLine="567"/>
        <w:rPr>
          <w:rFonts w:eastAsia="Calibri"/>
          <w:noProof/>
          <w:lang w:val="fr-FR" w:eastAsia="es-BO"/>
        </w:rPr>
      </w:pPr>
      <w:r w:rsidRPr="00BC4D2E">
        <w:rPr>
          <w:rFonts w:eastAsia="Calibri"/>
          <w:noProof/>
          <w:lang w:val="fr-FR" w:eastAsia="es-BO"/>
        </w:rPr>
        <w:t>h)</w:t>
      </w:r>
      <w:r w:rsidRPr="00BC4D2E">
        <w:rPr>
          <w:rFonts w:eastAsia="Calibri"/>
          <w:noProof/>
          <w:lang w:val="fr-FR" w:eastAsia="es-BO"/>
        </w:rPr>
        <w:tab/>
      </w:r>
      <w:r w:rsidRPr="00BC4D2E">
        <w:rPr>
          <w:noProof/>
          <w:lang w:val="fr-FR"/>
        </w:rPr>
        <w:t>Dans les affaires mettant en cause des mineurs pénalement responsables (âgés de 16</w:t>
      </w:r>
      <w:r w:rsidR="002908F3">
        <w:rPr>
          <w:noProof/>
          <w:lang w:val="fr-FR"/>
        </w:rPr>
        <w:t xml:space="preserve"> </w:t>
      </w:r>
      <w:r w:rsidRPr="00BC4D2E">
        <w:rPr>
          <w:noProof/>
          <w:lang w:val="fr-FR"/>
        </w:rPr>
        <w:t>à 18</w:t>
      </w:r>
      <w:r w:rsidR="002908F3">
        <w:rPr>
          <w:noProof/>
          <w:lang w:val="fr-FR"/>
        </w:rPr>
        <w:t> </w:t>
      </w:r>
      <w:r w:rsidRPr="00BC4D2E">
        <w:rPr>
          <w:noProof/>
          <w:lang w:val="fr-FR"/>
        </w:rPr>
        <w:t>ans), de privilégier la mise en œuvre de mesures de sûreté et de peines de substitution à la privation de liberté</w:t>
      </w:r>
      <w:r w:rsidRPr="00BC4D2E">
        <w:rPr>
          <w:rFonts w:eastAsia="Calibri"/>
          <w:noProof/>
          <w:sz w:val="18"/>
          <w:szCs w:val="18"/>
          <w:vertAlign w:val="superscript"/>
          <w:lang w:val="fr-FR" w:eastAsia="es-BO"/>
        </w:rPr>
        <w:footnoteReference w:id="49"/>
      </w:r>
      <w:r w:rsidR="002908F3">
        <w:rPr>
          <w:noProof/>
          <w:lang w:val="fr-FR"/>
        </w:rPr>
        <w:t> </w:t>
      </w:r>
      <w:r w:rsidRPr="00BC4D2E">
        <w:rPr>
          <w:rFonts w:eastAsia="Calibri"/>
          <w:noProof/>
          <w:lang w:val="fr-FR" w:eastAsia="es-BO"/>
        </w:rPr>
        <w:t>;</w:t>
      </w:r>
    </w:p>
    <w:p w:rsidR="00614A7E" w:rsidRPr="00BC4D2E" w:rsidRDefault="00614A7E" w:rsidP="002908F3">
      <w:pPr>
        <w:pStyle w:val="SingleTxtG"/>
        <w:ind w:left="1701" w:firstLine="567"/>
        <w:rPr>
          <w:rFonts w:eastAsia="Calibri"/>
          <w:noProof/>
          <w:lang w:val="fr-FR" w:eastAsia="es-BO"/>
        </w:rPr>
      </w:pPr>
      <w:r w:rsidRPr="00BC4D2E">
        <w:rPr>
          <w:rFonts w:eastAsia="Calibri"/>
          <w:noProof/>
          <w:lang w:val="fr-FR" w:eastAsia="es-BO"/>
        </w:rPr>
        <w:lastRenderedPageBreak/>
        <w:t>i)</w:t>
      </w:r>
      <w:r w:rsidRPr="00BC4D2E">
        <w:rPr>
          <w:rFonts w:eastAsia="Calibri"/>
          <w:noProof/>
          <w:lang w:val="fr-FR" w:eastAsia="es-BO"/>
        </w:rPr>
        <w:tab/>
      </w:r>
      <w:r w:rsidRPr="00BC4D2E">
        <w:rPr>
          <w:noProof/>
          <w:lang w:val="fr-FR"/>
        </w:rPr>
        <w:t>Dans les cas où le prévenu souffre de troubles mentaux, est dans un état de conscience altérée ou présente une défaillance intellectuelle grave, de prendre d</w:t>
      </w:r>
      <w:r w:rsidR="00FB1114">
        <w:rPr>
          <w:noProof/>
          <w:lang w:val="fr-FR"/>
        </w:rPr>
        <w:t>’</w:t>
      </w:r>
      <w:r w:rsidRPr="00BC4D2E">
        <w:rPr>
          <w:noProof/>
          <w:lang w:val="fr-FR"/>
        </w:rPr>
        <w:t>office les mesures nécessaires pour faire réaliser des examens médicaux, psychologiques ou psychiatriques aux fins de l</w:t>
      </w:r>
      <w:r w:rsidR="00FB1114">
        <w:rPr>
          <w:noProof/>
          <w:lang w:val="fr-FR"/>
        </w:rPr>
        <w:t>’</w:t>
      </w:r>
      <w:r w:rsidRPr="00BC4D2E">
        <w:rPr>
          <w:noProof/>
          <w:lang w:val="fr-FR"/>
        </w:rPr>
        <w:t>application des articles 79 et</w:t>
      </w:r>
      <w:r w:rsidR="004A53F7">
        <w:rPr>
          <w:noProof/>
          <w:lang w:val="fr-FR"/>
        </w:rPr>
        <w:t xml:space="preserve"> </w:t>
      </w:r>
      <w:r w:rsidRPr="00BC4D2E">
        <w:rPr>
          <w:noProof/>
          <w:lang w:val="fr-FR"/>
        </w:rPr>
        <w:t>80 du Code pénal et</w:t>
      </w:r>
      <w:r w:rsidR="00403D63">
        <w:rPr>
          <w:noProof/>
          <w:lang w:val="fr-FR"/>
        </w:rPr>
        <w:t xml:space="preserve"> </w:t>
      </w:r>
      <w:r w:rsidRPr="00BC4D2E">
        <w:rPr>
          <w:noProof/>
          <w:lang w:val="fr-FR"/>
        </w:rPr>
        <w:t>86 du Code de procédure pénale, de l</w:t>
      </w:r>
      <w:r w:rsidR="00FB1114">
        <w:rPr>
          <w:noProof/>
          <w:lang w:val="fr-FR"/>
        </w:rPr>
        <w:t>’</w:t>
      </w:r>
      <w:r w:rsidRPr="00BC4D2E">
        <w:rPr>
          <w:noProof/>
          <w:lang w:val="fr-FR"/>
        </w:rPr>
        <w:t>Ensemble de règles minima pour le traitement des détenus, des Règles de Tokyo et des Règles de Bangkok</w:t>
      </w:r>
      <w:r w:rsidRPr="00BC4D2E">
        <w:rPr>
          <w:rFonts w:eastAsia="Calibri"/>
          <w:noProof/>
          <w:lang w:val="fr-FR" w:eastAsia="es-BO"/>
        </w:rPr>
        <w:t>.</w:t>
      </w:r>
    </w:p>
    <w:p w:rsidR="00614A7E" w:rsidRPr="00DF456A" w:rsidRDefault="00614A7E" w:rsidP="00403D63">
      <w:pPr>
        <w:pStyle w:val="H23G"/>
        <w:rPr>
          <w:noProof/>
          <w:lang w:val="fr-FR" w:eastAsia="es-BO"/>
        </w:rPr>
      </w:pPr>
      <w:r w:rsidRPr="00DF456A">
        <w:rPr>
          <w:noProof/>
          <w:lang w:val="fr-FR" w:eastAsia="es-BO"/>
        </w:rPr>
        <w:tab/>
      </w:r>
      <w:r w:rsidRPr="00DF456A">
        <w:rPr>
          <w:noProof/>
          <w:lang w:val="fr-FR" w:eastAsia="es-BO"/>
        </w:rPr>
        <w:tab/>
        <w:t>Recom</w:t>
      </w:r>
      <w:r>
        <w:rPr>
          <w:noProof/>
          <w:lang w:val="fr-FR" w:eastAsia="es-BO"/>
        </w:rPr>
        <w:t>ma</w:t>
      </w:r>
      <w:r w:rsidRPr="00DF456A">
        <w:rPr>
          <w:noProof/>
          <w:lang w:val="fr-FR" w:eastAsia="es-BO"/>
        </w:rPr>
        <w:t>nda</w:t>
      </w:r>
      <w:r>
        <w:rPr>
          <w:noProof/>
          <w:lang w:val="fr-FR" w:eastAsia="es-BO"/>
        </w:rPr>
        <w:t xml:space="preserve">tion figurant au </w:t>
      </w:r>
      <w:r w:rsidRPr="00DF456A">
        <w:rPr>
          <w:noProof/>
          <w:lang w:val="fr-FR" w:eastAsia="es-BO"/>
        </w:rPr>
        <w:t>p</w:t>
      </w:r>
      <w:r>
        <w:rPr>
          <w:noProof/>
          <w:lang w:val="fr-FR" w:eastAsia="es-BO"/>
        </w:rPr>
        <w:t>aragraphe</w:t>
      </w:r>
      <w:r w:rsidRPr="00DF456A">
        <w:rPr>
          <w:noProof/>
          <w:lang w:val="fr-FR" w:eastAsia="es-BO"/>
        </w:rPr>
        <w:t xml:space="preserve"> </w:t>
      </w:r>
      <w:r w:rsidRPr="00403D63">
        <w:t>11</w:t>
      </w:r>
      <w:r w:rsidRPr="00DF456A">
        <w:rPr>
          <w:noProof/>
          <w:lang w:val="fr-FR" w:eastAsia="es-BO"/>
        </w:rPr>
        <w:t>.</w:t>
      </w:r>
      <w:r>
        <w:rPr>
          <w:noProof/>
          <w:lang w:val="fr-FR" w:eastAsia="es-BO"/>
        </w:rPr>
        <w:t>c</w:t>
      </w:r>
    </w:p>
    <w:p w:rsidR="00614A7E" w:rsidRPr="00026806" w:rsidRDefault="00614A7E" w:rsidP="00614A7E">
      <w:pPr>
        <w:pStyle w:val="SingleTxtG"/>
        <w:rPr>
          <w:noProof/>
          <w:lang w:val="fr-FR" w:eastAsia="es-BO"/>
        </w:rPr>
      </w:pPr>
      <w:r w:rsidRPr="00DF456A">
        <w:rPr>
          <w:noProof/>
          <w:lang w:val="fr-FR" w:eastAsia="es-BO"/>
        </w:rPr>
        <w:t>85.</w:t>
      </w:r>
      <w:r w:rsidRPr="00DF456A">
        <w:rPr>
          <w:noProof/>
          <w:lang w:val="fr-FR" w:eastAsia="es-BO"/>
        </w:rPr>
        <w:tab/>
      </w:r>
      <w:r>
        <w:rPr>
          <w:noProof/>
          <w:spacing w:val="-2"/>
          <w:lang w:val="fr-FR" w:eastAsia="es-BO"/>
        </w:rPr>
        <w:t xml:space="preserve">La loi </w:t>
      </w:r>
      <w:r w:rsidR="00026806" w:rsidRPr="00857F6E">
        <w:rPr>
          <w:rFonts w:eastAsia="MS Mincho"/>
          <w:noProof/>
          <w:szCs w:val="22"/>
          <w:lang w:val="fr-FR"/>
        </w:rPr>
        <w:t>n</w:t>
      </w:r>
      <w:r w:rsidR="00026806" w:rsidRPr="00857F6E">
        <w:rPr>
          <w:rFonts w:eastAsia="MS Mincho"/>
          <w:noProof/>
          <w:szCs w:val="22"/>
          <w:vertAlign w:val="superscript"/>
          <w:lang w:val="fr-FR"/>
        </w:rPr>
        <w:t>o</w:t>
      </w:r>
      <w:r w:rsidR="00026806">
        <w:rPr>
          <w:noProof/>
          <w:lang w:val="fr-FR"/>
        </w:rPr>
        <w:t> </w:t>
      </w:r>
      <w:r w:rsidRPr="00DF456A">
        <w:rPr>
          <w:noProof/>
          <w:spacing w:val="-2"/>
          <w:lang w:val="fr-FR" w:eastAsia="es-BO"/>
        </w:rPr>
        <w:t>101</w:t>
      </w:r>
      <w:r>
        <w:rPr>
          <w:noProof/>
          <w:spacing w:val="-2"/>
          <w:lang w:val="fr-FR" w:eastAsia="es-BO"/>
        </w:rPr>
        <w:t xml:space="preserve"> considère comme une faute grave sanctionnée </w:t>
      </w:r>
      <w:r>
        <w:rPr>
          <w:noProof/>
          <w:lang w:val="fr-FR" w:eastAsia="es-BO"/>
        </w:rPr>
        <w:t xml:space="preserve">par </w:t>
      </w:r>
      <w:r w:rsidRPr="00B5117C">
        <w:rPr>
          <w:lang w:val="fr-FR"/>
        </w:rPr>
        <w:t xml:space="preserve">un </w:t>
      </w:r>
      <w:r w:rsidRPr="001C57C5">
        <w:rPr>
          <w:noProof/>
          <w:lang w:val="fr-FR"/>
        </w:rPr>
        <w:t>renvoi temporaire ou définitif sans possibilité de réintégration</w:t>
      </w:r>
      <w:r>
        <w:rPr>
          <w:noProof/>
          <w:lang w:val="fr-FR"/>
        </w:rPr>
        <w:t xml:space="preserve"> le fait pour un fonctionnaire de police de commettre des actes de torture ou de traitements inhumains, cruels ou dégradants qui portent atteinte aux droits de la personne, sans préjudice, le cas échéant, de l</w:t>
      </w:r>
      <w:r w:rsidR="00FB1114">
        <w:rPr>
          <w:noProof/>
          <w:lang w:val="fr-FR"/>
        </w:rPr>
        <w:t>’</w:t>
      </w:r>
      <w:r>
        <w:rPr>
          <w:noProof/>
          <w:lang w:val="fr-FR"/>
        </w:rPr>
        <w:t>engagement de poursuites judiciaires</w:t>
      </w:r>
      <w:r w:rsidRPr="00DF456A">
        <w:rPr>
          <w:noProof/>
          <w:sz w:val="18"/>
          <w:szCs w:val="18"/>
          <w:vertAlign w:val="superscript"/>
          <w:lang w:val="fr-FR" w:eastAsia="es-BO"/>
        </w:rPr>
        <w:footnoteReference w:id="50"/>
      </w:r>
      <w:r w:rsidRPr="00DF456A">
        <w:rPr>
          <w:noProof/>
          <w:lang w:val="fr-FR" w:eastAsia="es-BO"/>
        </w:rPr>
        <w:t>.</w:t>
      </w:r>
    </w:p>
    <w:p w:rsidR="00614A7E" w:rsidRPr="00026806" w:rsidRDefault="00614A7E" w:rsidP="00614A7E">
      <w:pPr>
        <w:pStyle w:val="SingleTxtG"/>
        <w:rPr>
          <w:noProof/>
          <w:lang w:val="fr-FR" w:eastAsia="es-BO"/>
        </w:rPr>
      </w:pPr>
      <w:r w:rsidRPr="00026806">
        <w:rPr>
          <w:noProof/>
          <w:lang w:val="fr-FR" w:eastAsia="es-BO"/>
        </w:rPr>
        <w:t>86.</w:t>
      </w:r>
      <w:r w:rsidRPr="00026806">
        <w:rPr>
          <w:noProof/>
          <w:lang w:val="fr-FR" w:eastAsia="es-BO"/>
        </w:rPr>
        <w:tab/>
        <w:t>Conformément à la procédure administrative disciplinaire appliquée dans la police, la ou le fonctionnaire de police faisant l</w:t>
      </w:r>
      <w:r w:rsidR="00FB1114">
        <w:rPr>
          <w:noProof/>
          <w:lang w:val="fr-FR" w:eastAsia="es-BO"/>
        </w:rPr>
        <w:t>’</w:t>
      </w:r>
      <w:r w:rsidRPr="00026806">
        <w:rPr>
          <w:noProof/>
          <w:lang w:val="fr-FR" w:eastAsia="es-BO"/>
        </w:rPr>
        <w:t>objet d</w:t>
      </w:r>
      <w:r w:rsidR="00FB1114">
        <w:rPr>
          <w:noProof/>
          <w:lang w:val="fr-FR" w:eastAsia="es-BO"/>
        </w:rPr>
        <w:t>’</w:t>
      </w:r>
      <w:r w:rsidRPr="00026806">
        <w:rPr>
          <w:noProof/>
          <w:lang w:val="fr-FR" w:eastAsia="es-BO"/>
        </w:rPr>
        <w:t>une enquête ou mis(e) en examen pour avoir commis l</w:t>
      </w:r>
      <w:r w:rsidR="00FB1114">
        <w:rPr>
          <w:noProof/>
          <w:lang w:val="fr-FR" w:eastAsia="es-BO"/>
        </w:rPr>
        <w:t>’</w:t>
      </w:r>
      <w:r w:rsidRPr="00026806">
        <w:rPr>
          <w:noProof/>
          <w:lang w:val="fr-FR" w:eastAsia="es-BO"/>
        </w:rPr>
        <w:t>une des fautes graves visées à l</w:t>
      </w:r>
      <w:r w:rsidR="00FB1114">
        <w:rPr>
          <w:noProof/>
          <w:lang w:val="fr-FR" w:eastAsia="es-BO"/>
        </w:rPr>
        <w:t>’</w:t>
      </w:r>
      <w:r w:rsidRPr="00026806">
        <w:rPr>
          <w:noProof/>
          <w:lang w:val="fr-FR" w:eastAsia="es-BO"/>
        </w:rPr>
        <w:t>article</w:t>
      </w:r>
      <w:r w:rsidR="00026806">
        <w:rPr>
          <w:noProof/>
          <w:lang w:val="fr-FR" w:eastAsia="es-BO"/>
        </w:rPr>
        <w:t> </w:t>
      </w:r>
      <w:r w:rsidRPr="00026806">
        <w:rPr>
          <w:noProof/>
          <w:lang w:val="fr-FR" w:eastAsia="es-BO"/>
        </w:rPr>
        <w:t xml:space="preserve">14 de la loi </w:t>
      </w:r>
      <w:r w:rsidR="00026806" w:rsidRPr="00857F6E">
        <w:rPr>
          <w:rFonts w:eastAsia="MS Mincho"/>
          <w:noProof/>
          <w:szCs w:val="22"/>
          <w:lang w:val="fr-FR"/>
        </w:rPr>
        <w:t>n</w:t>
      </w:r>
      <w:r w:rsidR="00026806" w:rsidRPr="00857F6E">
        <w:rPr>
          <w:rFonts w:eastAsia="MS Mincho"/>
          <w:noProof/>
          <w:szCs w:val="22"/>
          <w:vertAlign w:val="superscript"/>
          <w:lang w:val="fr-FR"/>
        </w:rPr>
        <w:t>o</w:t>
      </w:r>
      <w:r w:rsidR="00026806">
        <w:rPr>
          <w:noProof/>
          <w:lang w:val="fr-FR"/>
        </w:rPr>
        <w:t> </w:t>
      </w:r>
      <w:r w:rsidRPr="00026806">
        <w:rPr>
          <w:noProof/>
          <w:lang w:val="fr-FR" w:eastAsia="es-BO"/>
        </w:rPr>
        <w:t>101 est, lors de l</w:t>
      </w:r>
      <w:r w:rsidR="00FB1114">
        <w:rPr>
          <w:noProof/>
          <w:lang w:val="fr-FR" w:eastAsia="es-BO"/>
        </w:rPr>
        <w:t>’</w:t>
      </w:r>
      <w:r w:rsidRPr="00026806">
        <w:rPr>
          <w:noProof/>
          <w:lang w:val="fr-FR" w:eastAsia="es-BO"/>
        </w:rPr>
        <w:t>ouverture de l</w:t>
      </w:r>
      <w:r w:rsidR="00FB1114">
        <w:rPr>
          <w:noProof/>
          <w:lang w:val="fr-FR" w:eastAsia="es-BO"/>
        </w:rPr>
        <w:t>’</w:t>
      </w:r>
      <w:r w:rsidRPr="00026806">
        <w:rPr>
          <w:noProof/>
          <w:lang w:val="fr-FR" w:eastAsia="es-BO"/>
        </w:rPr>
        <w:t>enquête, mis(e)</w:t>
      </w:r>
      <w:r w:rsidR="00593789">
        <w:rPr>
          <w:noProof/>
          <w:lang w:val="fr-FR" w:eastAsia="es-BO"/>
        </w:rPr>
        <w:t xml:space="preserve"> </w:t>
      </w:r>
      <w:r w:rsidRPr="00026806">
        <w:rPr>
          <w:noProof/>
          <w:lang w:val="fr-FR" w:eastAsia="es-BO"/>
        </w:rPr>
        <w:t>à la disposition du procureur de la police et affecté(e) à un autre service, mais sans changement de district, et ses congés et missions sont supprimés afin de garantir sa présence au lieu de déroulement de la procédure disciplinaire. Elle ou il est alors traduit(e) devant le Tribunal disciplinaire départemental saisi de l</w:t>
      </w:r>
      <w:r w:rsidR="00FB1114">
        <w:rPr>
          <w:noProof/>
          <w:lang w:val="fr-FR" w:eastAsia="es-BO"/>
        </w:rPr>
        <w:t>’</w:t>
      </w:r>
      <w:r w:rsidRPr="00026806">
        <w:rPr>
          <w:noProof/>
          <w:lang w:val="fr-FR" w:eastAsia="es-BO"/>
        </w:rPr>
        <w:t>affaire, avec suspension de fonctions et sans traitement et avec notification à la Direction générale des ressources humaines. En cas de flagrant délit et de connotation institutionnelle, une faute grave vaut à la ou au fonctionnaire une suspension de fonction sans traitement et l</w:t>
      </w:r>
      <w:r w:rsidR="00FB1114">
        <w:rPr>
          <w:noProof/>
          <w:lang w:val="fr-FR" w:eastAsia="es-BO"/>
        </w:rPr>
        <w:t>’</w:t>
      </w:r>
      <w:r w:rsidRPr="00026806">
        <w:rPr>
          <w:noProof/>
          <w:lang w:val="fr-FR" w:eastAsia="es-BO"/>
        </w:rPr>
        <w:t>engagement d</w:t>
      </w:r>
      <w:r w:rsidR="00FB1114">
        <w:rPr>
          <w:noProof/>
          <w:lang w:val="fr-FR" w:eastAsia="es-BO"/>
        </w:rPr>
        <w:t>’</w:t>
      </w:r>
      <w:r w:rsidRPr="00026806">
        <w:rPr>
          <w:noProof/>
          <w:lang w:val="fr-FR" w:eastAsia="es-BO"/>
        </w:rPr>
        <w:t>une procédure spéciale. En cas d</w:t>
      </w:r>
      <w:r w:rsidR="00FB1114">
        <w:rPr>
          <w:noProof/>
          <w:lang w:val="fr-FR" w:eastAsia="es-BO"/>
        </w:rPr>
        <w:t>’</w:t>
      </w:r>
      <w:r w:rsidRPr="00026806">
        <w:rPr>
          <w:noProof/>
          <w:lang w:val="fr-FR" w:eastAsia="es-BO"/>
        </w:rPr>
        <w:t>acquittement avec jugement exécutoire, les traitements non versés sont restitués sans perte d</w:t>
      </w:r>
      <w:r w:rsidR="00FB1114">
        <w:rPr>
          <w:noProof/>
          <w:lang w:val="fr-FR" w:eastAsia="es-BO"/>
        </w:rPr>
        <w:t>’</w:t>
      </w:r>
      <w:r w:rsidRPr="00026806">
        <w:rPr>
          <w:noProof/>
          <w:lang w:val="fr-FR" w:eastAsia="es-BO"/>
        </w:rPr>
        <w:t>ancienneté à la ou au fonctionnaire, qui est rétabli(e) dans ses fonctions par le commandement général.</w:t>
      </w:r>
    </w:p>
    <w:p w:rsidR="00614A7E" w:rsidRPr="00026806" w:rsidRDefault="00614A7E" w:rsidP="00614A7E">
      <w:pPr>
        <w:pStyle w:val="SingleTxtG"/>
        <w:rPr>
          <w:noProof/>
          <w:lang w:val="fr-FR" w:eastAsia="es-BO"/>
        </w:rPr>
      </w:pPr>
      <w:r w:rsidRPr="00026806">
        <w:rPr>
          <w:noProof/>
          <w:lang w:val="fr-FR" w:eastAsia="es-BO"/>
        </w:rPr>
        <w:t>87.</w:t>
      </w:r>
      <w:r w:rsidRPr="00026806">
        <w:rPr>
          <w:noProof/>
          <w:lang w:val="fr-FR" w:eastAsia="es-BO"/>
        </w:rPr>
        <w:tab/>
        <w:t>Il convient d</w:t>
      </w:r>
      <w:r w:rsidR="00FB1114">
        <w:rPr>
          <w:noProof/>
          <w:lang w:val="fr-FR" w:eastAsia="es-BO"/>
        </w:rPr>
        <w:t>’</w:t>
      </w:r>
      <w:r w:rsidRPr="00026806">
        <w:rPr>
          <w:noProof/>
          <w:lang w:val="fr-FR" w:eastAsia="es-BO"/>
        </w:rPr>
        <w:t xml:space="preserve">indiquer que la </w:t>
      </w:r>
      <w:r w:rsidRPr="00026806">
        <w:rPr>
          <w:noProof/>
          <w:lang w:val="fr-FR"/>
        </w:rPr>
        <w:t xml:space="preserve">Direction générale du système pénitentiaire, donnant suite à la recommandation du </w:t>
      </w:r>
      <w:r w:rsidRPr="00026806">
        <w:rPr>
          <w:noProof/>
          <w:lang w:val="fr-FR" w:eastAsia="es-BO"/>
        </w:rPr>
        <w:t>Sous-Comité pour la prévention de la torture et autres peines ou traitements cruels, inhumains ou dégradants, a donné pour instruction aux directeurs des directions départementales d</w:t>
      </w:r>
      <w:r w:rsidR="00FB1114">
        <w:rPr>
          <w:noProof/>
          <w:lang w:val="fr-FR" w:eastAsia="es-BO"/>
        </w:rPr>
        <w:t>’</w:t>
      </w:r>
      <w:r w:rsidRPr="00026806">
        <w:rPr>
          <w:noProof/>
          <w:lang w:val="fr-FR" w:eastAsia="es-BO"/>
        </w:rPr>
        <w:t>« </w:t>
      </w:r>
      <w:r w:rsidRPr="00026806">
        <w:rPr>
          <w:noProof/>
          <w:lang w:val="fr-FR"/>
        </w:rPr>
        <w:t>assurer un suivi permanent des procédures pénales entamées suite à des plaintes concernant des actes délictueux qui auraient été commis dans des établissements</w:t>
      </w:r>
      <w:r w:rsidRPr="00026806">
        <w:rPr>
          <w:i/>
          <w:noProof/>
          <w:lang w:val="fr-FR" w:eastAsia="es-BO"/>
        </w:rPr>
        <w:t xml:space="preserve"> </w:t>
      </w:r>
      <w:r w:rsidRPr="00026806">
        <w:rPr>
          <w:noProof/>
          <w:lang w:val="fr-FR"/>
        </w:rPr>
        <w:t>pénitentiaires</w:t>
      </w:r>
      <w:r w:rsidRPr="00026806">
        <w:rPr>
          <w:lang w:val="fr-FR"/>
        </w:rPr>
        <w:t xml:space="preserve"> »</w:t>
      </w:r>
      <w:r w:rsidRPr="00026806">
        <w:rPr>
          <w:noProof/>
          <w:vertAlign w:val="superscript"/>
          <w:lang w:val="fr-FR" w:eastAsia="es-BO"/>
        </w:rPr>
        <w:footnoteReference w:id="51"/>
      </w:r>
      <w:r w:rsidRPr="00026806">
        <w:rPr>
          <w:noProof/>
          <w:lang w:val="fr-FR" w:eastAsia="es-BO"/>
        </w:rPr>
        <w:t>.</w:t>
      </w:r>
    </w:p>
    <w:p w:rsidR="00614A7E" w:rsidRPr="00DF456A" w:rsidRDefault="00614A7E" w:rsidP="00614A7E">
      <w:pPr>
        <w:pStyle w:val="H23G"/>
        <w:ind w:firstLine="0"/>
        <w:rPr>
          <w:noProof/>
          <w:lang w:val="fr-FR" w:eastAsia="es-BO"/>
        </w:rPr>
      </w:pPr>
      <w:r w:rsidRPr="00DF456A">
        <w:rPr>
          <w:noProof/>
          <w:lang w:val="fr-FR" w:eastAsia="es-BO"/>
        </w:rPr>
        <w:t>Recom</w:t>
      </w:r>
      <w:r>
        <w:rPr>
          <w:noProof/>
          <w:lang w:val="fr-FR" w:eastAsia="es-BO"/>
        </w:rPr>
        <w:t xml:space="preserve">mandation figurant au paragraphe </w:t>
      </w:r>
      <w:r w:rsidRPr="00DF456A">
        <w:rPr>
          <w:noProof/>
          <w:lang w:val="fr-FR" w:eastAsia="es-BO"/>
        </w:rPr>
        <w:t>11.d</w:t>
      </w:r>
    </w:p>
    <w:p w:rsidR="00614A7E" w:rsidRPr="00026806" w:rsidRDefault="00614A7E" w:rsidP="00614A7E">
      <w:pPr>
        <w:pStyle w:val="SingleTxtG"/>
        <w:rPr>
          <w:noProof/>
          <w:lang w:val="fr-FR" w:eastAsia="es-BO"/>
        </w:rPr>
      </w:pPr>
      <w:r w:rsidRPr="00DF456A">
        <w:rPr>
          <w:noProof/>
          <w:lang w:val="fr-FR" w:eastAsia="es-BO"/>
        </w:rPr>
        <w:t>88.</w:t>
      </w:r>
      <w:r w:rsidRPr="00DF456A">
        <w:rPr>
          <w:noProof/>
          <w:lang w:val="fr-FR" w:eastAsia="es-BO"/>
        </w:rPr>
        <w:tab/>
      </w:r>
      <w:r>
        <w:rPr>
          <w:noProof/>
          <w:lang w:val="fr-FR" w:eastAsia="es-BO"/>
        </w:rPr>
        <w:t>Dans le document que l</w:t>
      </w:r>
      <w:r w:rsidR="00FB1114">
        <w:rPr>
          <w:noProof/>
          <w:lang w:val="fr-FR" w:eastAsia="es-BO"/>
        </w:rPr>
        <w:t>’</w:t>
      </w:r>
      <w:r>
        <w:rPr>
          <w:noProof/>
          <w:lang w:val="fr-FR" w:eastAsia="es-BO"/>
        </w:rPr>
        <w:t xml:space="preserve">État bolivien a présenté au </w:t>
      </w:r>
      <w:r w:rsidRPr="00DF456A">
        <w:rPr>
          <w:noProof/>
          <w:lang w:val="fr-FR" w:eastAsia="es-BO"/>
        </w:rPr>
        <w:t>Comité (CAT/C/BOL/Q/2/Add.2) en r</w:t>
      </w:r>
      <w:r>
        <w:rPr>
          <w:noProof/>
          <w:lang w:val="fr-FR" w:eastAsia="es-BO"/>
        </w:rPr>
        <w:t xml:space="preserve">éponse à la liste des points à traiter </w:t>
      </w:r>
      <w:r w:rsidRPr="00DF456A">
        <w:rPr>
          <w:noProof/>
          <w:lang w:val="fr-FR" w:eastAsia="es-BO"/>
        </w:rPr>
        <w:t xml:space="preserve">(CAT/C/BOL/Q/2/Add.1), </w:t>
      </w:r>
      <w:r>
        <w:rPr>
          <w:noProof/>
          <w:lang w:val="fr-FR" w:eastAsia="es-BO"/>
        </w:rPr>
        <w:t xml:space="preserve">il est fait référence aux affaires suivantes </w:t>
      </w:r>
      <w:r w:rsidRPr="00DF456A">
        <w:rPr>
          <w:noProof/>
          <w:lang w:val="fr-FR" w:eastAsia="es-BO"/>
        </w:rPr>
        <w:t>:</w:t>
      </w:r>
    </w:p>
    <w:p w:rsidR="00614A7E" w:rsidRPr="00DF456A" w:rsidRDefault="00614A7E" w:rsidP="007E1FB1">
      <w:pPr>
        <w:pStyle w:val="Bullet1G"/>
        <w:rPr>
          <w:noProof/>
          <w:lang w:val="fr-FR"/>
        </w:rPr>
      </w:pPr>
      <w:r>
        <w:rPr>
          <w:noProof/>
          <w:lang w:val="fr-FR"/>
        </w:rPr>
        <w:t>Dans l</w:t>
      </w:r>
      <w:r w:rsidR="00FB1114">
        <w:rPr>
          <w:noProof/>
          <w:lang w:val="fr-FR"/>
        </w:rPr>
        <w:t>’</w:t>
      </w:r>
      <w:r>
        <w:rPr>
          <w:noProof/>
          <w:lang w:val="fr-FR"/>
        </w:rPr>
        <w:t xml:space="preserve">affaire </w:t>
      </w:r>
      <w:r w:rsidRPr="00DF456A">
        <w:rPr>
          <w:noProof/>
          <w:lang w:val="fr-FR"/>
        </w:rPr>
        <w:t xml:space="preserve">Grover Poma Guanto, </w:t>
      </w:r>
      <w:r>
        <w:rPr>
          <w:noProof/>
          <w:lang w:val="fr-FR"/>
        </w:rPr>
        <w:t xml:space="preserve">le </w:t>
      </w:r>
      <w:r w:rsidRPr="00DF456A">
        <w:rPr>
          <w:noProof/>
          <w:lang w:val="fr-FR"/>
        </w:rPr>
        <w:t xml:space="preserve">Tribunal </w:t>
      </w:r>
      <w:r w:rsidR="007E1FB1" w:rsidRPr="00857F6E">
        <w:rPr>
          <w:rFonts w:eastAsia="MS Mincho"/>
          <w:noProof/>
          <w:szCs w:val="22"/>
          <w:lang w:val="fr-FR"/>
        </w:rPr>
        <w:t>n</w:t>
      </w:r>
      <w:r w:rsidR="007E1FB1" w:rsidRPr="00857F6E">
        <w:rPr>
          <w:rFonts w:eastAsia="MS Mincho"/>
          <w:noProof/>
          <w:szCs w:val="22"/>
          <w:vertAlign w:val="superscript"/>
          <w:lang w:val="fr-FR"/>
        </w:rPr>
        <w:t>o</w:t>
      </w:r>
      <w:r w:rsidR="007E1FB1">
        <w:rPr>
          <w:noProof/>
          <w:lang w:val="fr-FR"/>
        </w:rPr>
        <w:t> </w:t>
      </w:r>
      <w:r>
        <w:rPr>
          <w:noProof/>
          <w:lang w:val="fr-FR"/>
        </w:rPr>
        <w:t xml:space="preserve">2 </w:t>
      </w:r>
      <w:r w:rsidRPr="00DF456A">
        <w:rPr>
          <w:noProof/>
          <w:lang w:val="fr-FR"/>
        </w:rPr>
        <w:t xml:space="preserve">de la </w:t>
      </w:r>
      <w:r>
        <w:rPr>
          <w:noProof/>
          <w:lang w:val="fr-FR"/>
        </w:rPr>
        <w:t>localité</w:t>
      </w:r>
      <w:r w:rsidRPr="00DF456A">
        <w:rPr>
          <w:noProof/>
          <w:lang w:val="fr-FR"/>
        </w:rPr>
        <w:t xml:space="preserve"> de Yacuiba</w:t>
      </w:r>
      <w:r>
        <w:rPr>
          <w:noProof/>
          <w:lang w:val="fr-FR"/>
        </w:rPr>
        <w:t xml:space="preserve">, département de </w:t>
      </w:r>
      <w:r w:rsidRPr="00DF456A">
        <w:rPr>
          <w:noProof/>
          <w:lang w:val="fr-FR"/>
        </w:rPr>
        <w:t>Tarija</w:t>
      </w:r>
      <w:r>
        <w:rPr>
          <w:noProof/>
          <w:lang w:val="fr-FR"/>
        </w:rPr>
        <w:t xml:space="preserve">, a rendu le jugement </w:t>
      </w:r>
      <w:r w:rsidR="007E1FB1" w:rsidRPr="00857F6E">
        <w:rPr>
          <w:rFonts w:eastAsia="MS Mincho"/>
          <w:noProof/>
          <w:szCs w:val="22"/>
          <w:lang w:val="fr-FR"/>
        </w:rPr>
        <w:t>n</w:t>
      </w:r>
      <w:r w:rsidR="007E1FB1" w:rsidRPr="00857F6E">
        <w:rPr>
          <w:rFonts w:eastAsia="MS Mincho"/>
          <w:noProof/>
          <w:szCs w:val="22"/>
          <w:vertAlign w:val="superscript"/>
          <w:lang w:val="fr-FR"/>
        </w:rPr>
        <w:t>o</w:t>
      </w:r>
      <w:r w:rsidR="007E1FB1">
        <w:rPr>
          <w:noProof/>
          <w:lang w:val="fr-FR"/>
        </w:rPr>
        <w:t> </w:t>
      </w:r>
      <w:r w:rsidRPr="00DF456A">
        <w:rPr>
          <w:noProof/>
          <w:lang w:val="fr-FR"/>
        </w:rPr>
        <w:t>026/2015</w:t>
      </w:r>
      <w:r>
        <w:rPr>
          <w:noProof/>
          <w:lang w:val="fr-FR"/>
        </w:rPr>
        <w:t>, en date du</w:t>
      </w:r>
      <w:r w:rsidRPr="00DF456A">
        <w:rPr>
          <w:noProof/>
          <w:lang w:val="fr-FR"/>
        </w:rPr>
        <w:t xml:space="preserve"> 21</w:t>
      </w:r>
      <w:r w:rsidR="007E1FB1">
        <w:rPr>
          <w:noProof/>
          <w:lang w:val="fr-FR"/>
        </w:rPr>
        <w:t> </w:t>
      </w:r>
      <w:r>
        <w:rPr>
          <w:noProof/>
          <w:lang w:val="fr-FR"/>
        </w:rPr>
        <w:t xml:space="preserve">août </w:t>
      </w:r>
      <w:r w:rsidRPr="00DF456A">
        <w:rPr>
          <w:noProof/>
          <w:lang w:val="fr-FR"/>
        </w:rPr>
        <w:t>2015, qu</w:t>
      </w:r>
      <w:r>
        <w:rPr>
          <w:noProof/>
          <w:lang w:val="fr-FR"/>
        </w:rPr>
        <w:t>i condamnait à une peine de huit années d</w:t>
      </w:r>
      <w:r w:rsidR="00FB1114">
        <w:rPr>
          <w:noProof/>
          <w:lang w:val="fr-FR"/>
        </w:rPr>
        <w:t>’</w:t>
      </w:r>
      <w:r>
        <w:rPr>
          <w:noProof/>
          <w:lang w:val="fr-FR"/>
        </w:rPr>
        <w:t xml:space="preserve">emprisonnement les auteurs des coups et blessures ayant entraîné la mort, </w:t>
      </w:r>
      <w:r w:rsidRPr="007E1FB1">
        <w:t>infraction</w:t>
      </w:r>
      <w:r>
        <w:rPr>
          <w:noProof/>
          <w:lang w:val="fr-FR"/>
        </w:rPr>
        <w:t xml:space="preserve"> incriminée et sanctionnée par l</w:t>
      </w:r>
      <w:r w:rsidR="00FB1114">
        <w:rPr>
          <w:noProof/>
          <w:lang w:val="fr-FR"/>
        </w:rPr>
        <w:t>’</w:t>
      </w:r>
      <w:r>
        <w:rPr>
          <w:noProof/>
          <w:lang w:val="fr-FR"/>
        </w:rPr>
        <w:t xml:space="preserve">article </w:t>
      </w:r>
      <w:r w:rsidRPr="00DF456A">
        <w:rPr>
          <w:noProof/>
          <w:lang w:val="fr-FR"/>
        </w:rPr>
        <w:t xml:space="preserve">273 </w:t>
      </w:r>
      <w:r>
        <w:rPr>
          <w:noProof/>
          <w:lang w:val="fr-FR"/>
        </w:rPr>
        <w:t xml:space="preserve">du Code pénal. Le jugement ayant été confirmé en appel par le </w:t>
      </w:r>
      <w:r w:rsidRPr="00DF456A">
        <w:rPr>
          <w:noProof/>
          <w:lang w:val="fr-FR"/>
        </w:rPr>
        <w:t xml:space="preserve">Tribunal </w:t>
      </w:r>
      <w:r>
        <w:rPr>
          <w:noProof/>
          <w:lang w:val="fr-FR"/>
        </w:rPr>
        <w:t>départe</w:t>
      </w:r>
      <w:r w:rsidRPr="00DF456A">
        <w:rPr>
          <w:noProof/>
          <w:lang w:val="fr-FR"/>
        </w:rPr>
        <w:t>mental de Tarija</w:t>
      </w:r>
      <w:r>
        <w:rPr>
          <w:noProof/>
          <w:lang w:val="fr-FR"/>
        </w:rPr>
        <w:t xml:space="preserve">, les auteurs se sont pourvus en cassation, mais le </w:t>
      </w:r>
      <w:r w:rsidRPr="00DF456A">
        <w:rPr>
          <w:noProof/>
          <w:lang w:val="fr-FR"/>
        </w:rPr>
        <w:t>Tribunal d</w:t>
      </w:r>
      <w:r w:rsidR="00FB1114">
        <w:rPr>
          <w:noProof/>
          <w:lang w:val="fr-FR"/>
        </w:rPr>
        <w:t>’</w:t>
      </w:r>
      <w:r w:rsidRPr="00DF456A">
        <w:rPr>
          <w:noProof/>
          <w:lang w:val="fr-FR"/>
        </w:rPr>
        <w:t>Alzada</w:t>
      </w:r>
      <w:r>
        <w:rPr>
          <w:noProof/>
          <w:lang w:val="fr-FR"/>
        </w:rPr>
        <w:t xml:space="preserve"> les a déboutés</w:t>
      </w:r>
      <w:r w:rsidRPr="00DF456A">
        <w:rPr>
          <w:noProof/>
          <w:lang w:val="fr-FR"/>
        </w:rPr>
        <w:t xml:space="preserve">; </w:t>
      </w:r>
      <w:r>
        <w:rPr>
          <w:noProof/>
          <w:lang w:val="fr-FR"/>
        </w:rPr>
        <w:t>de ce fait, l</w:t>
      </w:r>
      <w:r w:rsidR="00FB1114">
        <w:rPr>
          <w:noProof/>
          <w:lang w:val="fr-FR"/>
        </w:rPr>
        <w:t>’</w:t>
      </w:r>
      <w:r>
        <w:rPr>
          <w:noProof/>
          <w:lang w:val="fr-FR"/>
        </w:rPr>
        <w:t>affaire a été renvoyée au</w:t>
      </w:r>
      <w:r w:rsidRPr="00DF456A">
        <w:rPr>
          <w:noProof/>
          <w:lang w:val="fr-FR"/>
        </w:rPr>
        <w:t xml:space="preserve"> Tribunal </w:t>
      </w:r>
      <w:r>
        <w:rPr>
          <w:noProof/>
          <w:lang w:val="fr-FR"/>
        </w:rPr>
        <w:t xml:space="preserve">départemental </w:t>
      </w:r>
      <w:r w:rsidRPr="00DF456A">
        <w:rPr>
          <w:noProof/>
          <w:lang w:val="fr-FR"/>
        </w:rPr>
        <w:t xml:space="preserve">de Tarija, </w:t>
      </w:r>
      <w:r>
        <w:rPr>
          <w:noProof/>
          <w:lang w:val="fr-FR"/>
        </w:rPr>
        <w:t xml:space="preserve">à charge pour le </w:t>
      </w:r>
      <w:r w:rsidRPr="00DF456A">
        <w:rPr>
          <w:noProof/>
          <w:lang w:val="fr-FR"/>
        </w:rPr>
        <w:t xml:space="preserve">Tribunal </w:t>
      </w:r>
      <w:r w:rsidR="007E1FB1" w:rsidRPr="00857F6E">
        <w:rPr>
          <w:rFonts w:eastAsia="MS Mincho"/>
          <w:noProof/>
          <w:szCs w:val="22"/>
          <w:lang w:val="fr-FR"/>
        </w:rPr>
        <w:t>n</w:t>
      </w:r>
      <w:r w:rsidR="007E1FB1" w:rsidRPr="00857F6E">
        <w:rPr>
          <w:rFonts w:eastAsia="MS Mincho"/>
          <w:noProof/>
          <w:szCs w:val="22"/>
          <w:vertAlign w:val="superscript"/>
          <w:lang w:val="fr-FR"/>
        </w:rPr>
        <w:t>o</w:t>
      </w:r>
      <w:r w:rsidR="007E1FB1">
        <w:rPr>
          <w:noProof/>
          <w:lang w:val="fr-FR"/>
        </w:rPr>
        <w:t> </w:t>
      </w:r>
      <w:r>
        <w:rPr>
          <w:noProof/>
          <w:lang w:val="fr-FR"/>
        </w:rPr>
        <w:t xml:space="preserve">2 </w:t>
      </w:r>
      <w:r w:rsidRPr="00DF456A">
        <w:rPr>
          <w:noProof/>
          <w:lang w:val="fr-FR"/>
        </w:rPr>
        <w:t>de Yacuiba</w:t>
      </w:r>
      <w:r>
        <w:rPr>
          <w:noProof/>
          <w:lang w:val="fr-FR"/>
        </w:rPr>
        <w:t xml:space="preserve"> d</w:t>
      </w:r>
      <w:r w:rsidR="00FB1114">
        <w:rPr>
          <w:noProof/>
          <w:lang w:val="fr-FR"/>
        </w:rPr>
        <w:t>’</w:t>
      </w:r>
      <w:r>
        <w:rPr>
          <w:noProof/>
          <w:lang w:val="fr-FR"/>
        </w:rPr>
        <w:t xml:space="preserve">exécuter le jugement </w:t>
      </w:r>
      <w:r w:rsidR="007E1FB1" w:rsidRPr="00857F6E">
        <w:rPr>
          <w:rFonts w:eastAsia="MS Mincho"/>
          <w:noProof/>
          <w:szCs w:val="22"/>
          <w:lang w:val="fr-FR"/>
        </w:rPr>
        <w:t>n</w:t>
      </w:r>
      <w:r w:rsidR="007E1FB1" w:rsidRPr="00857F6E">
        <w:rPr>
          <w:rFonts w:eastAsia="MS Mincho"/>
          <w:noProof/>
          <w:szCs w:val="22"/>
          <w:vertAlign w:val="superscript"/>
          <w:lang w:val="fr-FR"/>
        </w:rPr>
        <w:t>o</w:t>
      </w:r>
      <w:r w:rsidR="007E1FB1">
        <w:rPr>
          <w:noProof/>
          <w:lang w:val="fr-FR"/>
        </w:rPr>
        <w:t> </w:t>
      </w:r>
      <w:r w:rsidRPr="00DF456A">
        <w:rPr>
          <w:noProof/>
          <w:lang w:val="fr-FR"/>
        </w:rPr>
        <w:t xml:space="preserve">026/2015, </w:t>
      </w:r>
      <w:r>
        <w:rPr>
          <w:noProof/>
          <w:lang w:val="fr-FR"/>
        </w:rPr>
        <w:t>en rendant une ordonnance portant condamnation à l</w:t>
      </w:r>
      <w:r w:rsidR="00FB1114">
        <w:rPr>
          <w:noProof/>
          <w:lang w:val="fr-FR"/>
        </w:rPr>
        <w:t>’</w:t>
      </w:r>
      <w:r>
        <w:rPr>
          <w:noProof/>
          <w:lang w:val="fr-FR"/>
        </w:rPr>
        <w:t>encontre des personnes jugées</w:t>
      </w:r>
      <w:r w:rsidRPr="00DF456A">
        <w:rPr>
          <w:noProof/>
          <w:lang w:val="fr-FR"/>
        </w:rPr>
        <w:t xml:space="preserve">. En </w:t>
      </w:r>
      <w:r>
        <w:rPr>
          <w:noProof/>
          <w:lang w:val="fr-FR"/>
        </w:rPr>
        <w:t xml:space="preserve">2018, le Tribunal </w:t>
      </w:r>
      <w:r w:rsidR="004129AC" w:rsidRPr="004129AC">
        <w:rPr>
          <w:rFonts w:eastAsia="MS Mincho"/>
          <w:noProof/>
          <w:szCs w:val="22"/>
          <w:lang w:val="fr-FR"/>
        </w:rPr>
        <w:t>n</w:t>
      </w:r>
      <w:r w:rsidR="004129AC" w:rsidRPr="004129AC">
        <w:rPr>
          <w:rFonts w:eastAsia="MS Mincho"/>
          <w:noProof/>
          <w:szCs w:val="22"/>
          <w:vertAlign w:val="superscript"/>
          <w:lang w:val="fr-FR"/>
        </w:rPr>
        <w:t>o</w:t>
      </w:r>
      <w:r w:rsidR="004129AC">
        <w:rPr>
          <w:noProof/>
          <w:lang w:val="fr-FR"/>
        </w:rPr>
        <w:t> </w:t>
      </w:r>
      <w:r>
        <w:rPr>
          <w:noProof/>
          <w:lang w:val="fr-FR"/>
        </w:rPr>
        <w:t>1 de Yacuiba a été saisi d</w:t>
      </w:r>
      <w:r w:rsidR="00FB1114">
        <w:rPr>
          <w:noProof/>
          <w:lang w:val="fr-FR"/>
        </w:rPr>
        <w:t>’</w:t>
      </w:r>
      <w:r>
        <w:rPr>
          <w:noProof/>
          <w:lang w:val="fr-FR"/>
        </w:rPr>
        <w:t xml:space="preserve">une demande de réparation pour les dommages civils causés par les condamnés, </w:t>
      </w:r>
      <w:r w:rsidRPr="00DF456A">
        <w:rPr>
          <w:noProof/>
          <w:lang w:val="fr-FR"/>
        </w:rPr>
        <w:t>por</w:t>
      </w:r>
      <w:r>
        <w:rPr>
          <w:noProof/>
          <w:lang w:val="fr-FR"/>
        </w:rPr>
        <w:t xml:space="preserve">tant sur un montant </w:t>
      </w:r>
      <w:r w:rsidRPr="00DF456A">
        <w:rPr>
          <w:noProof/>
          <w:lang w:val="fr-FR"/>
        </w:rPr>
        <w:t>de 839</w:t>
      </w:r>
      <w:r>
        <w:rPr>
          <w:noProof/>
          <w:lang w:val="fr-FR"/>
        </w:rPr>
        <w:t> </w:t>
      </w:r>
      <w:r w:rsidRPr="00DF456A">
        <w:rPr>
          <w:noProof/>
          <w:lang w:val="fr-FR"/>
        </w:rPr>
        <w:t>655</w:t>
      </w:r>
      <w:r>
        <w:rPr>
          <w:noProof/>
          <w:lang w:val="fr-FR"/>
        </w:rPr>
        <w:t>,</w:t>
      </w:r>
      <w:r w:rsidRPr="00DF456A">
        <w:rPr>
          <w:noProof/>
          <w:lang w:val="fr-FR"/>
        </w:rPr>
        <w:t xml:space="preserve">17 </w:t>
      </w:r>
      <w:r>
        <w:rPr>
          <w:noProof/>
          <w:lang w:val="fr-FR"/>
        </w:rPr>
        <w:t>bolivianos</w:t>
      </w:r>
      <w:r w:rsidRPr="00DF456A">
        <w:rPr>
          <w:noProof/>
          <w:lang w:val="fr-FR"/>
        </w:rPr>
        <w:t xml:space="preserve">. </w:t>
      </w:r>
      <w:r>
        <w:rPr>
          <w:noProof/>
          <w:lang w:val="fr-FR"/>
        </w:rPr>
        <w:t>Le Ministère de la justice et de la transparence institutionnelle, agissant par l</w:t>
      </w:r>
      <w:r w:rsidR="00FB1114">
        <w:rPr>
          <w:noProof/>
          <w:lang w:val="fr-FR"/>
        </w:rPr>
        <w:t>’</w:t>
      </w:r>
      <w:r>
        <w:rPr>
          <w:noProof/>
          <w:lang w:val="fr-FR"/>
        </w:rPr>
        <w:t xml:space="preserve">intermédiaire du </w:t>
      </w:r>
      <w:r w:rsidRPr="00DF456A">
        <w:rPr>
          <w:noProof/>
          <w:lang w:val="fr-FR"/>
        </w:rPr>
        <w:t>Servic</w:t>
      </w:r>
      <w:r>
        <w:rPr>
          <w:noProof/>
          <w:lang w:val="fr-FR"/>
        </w:rPr>
        <w:t>e intégré de justice plurinationale,</w:t>
      </w:r>
      <w:r w:rsidRPr="00DF456A">
        <w:rPr>
          <w:noProof/>
          <w:lang w:val="fr-FR"/>
        </w:rPr>
        <w:t xml:space="preserve"> </w:t>
      </w:r>
      <w:r>
        <w:rPr>
          <w:noProof/>
          <w:lang w:val="fr-FR"/>
        </w:rPr>
        <w:t>offre des conseils juridiques et une aide juridictionnelle à M.</w:t>
      </w:r>
      <w:r w:rsidR="000D4FE1">
        <w:rPr>
          <w:noProof/>
          <w:lang w:val="fr-FR"/>
        </w:rPr>
        <w:t> </w:t>
      </w:r>
      <w:r w:rsidRPr="00DF456A">
        <w:rPr>
          <w:noProof/>
          <w:lang w:val="fr-FR"/>
        </w:rPr>
        <w:t>Andrés Poma Tola, p</w:t>
      </w:r>
      <w:r>
        <w:rPr>
          <w:noProof/>
          <w:lang w:val="fr-FR"/>
        </w:rPr>
        <w:t xml:space="preserve">ère du sous-lieutenant </w:t>
      </w:r>
      <w:r w:rsidRPr="00DF456A">
        <w:rPr>
          <w:noProof/>
          <w:lang w:val="fr-FR"/>
        </w:rPr>
        <w:t>Grover Poma</w:t>
      </w:r>
      <w:r w:rsidR="000D4FE1">
        <w:rPr>
          <w:noProof/>
          <w:lang w:val="fr-FR"/>
        </w:rPr>
        <w:t> ;</w:t>
      </w:r>
    </w:p>
    <w:p w:rsidR="00614A7E" w:rsidRPr="00DF456A" w:rsidRDefault="00614A7E" w:rsidP="00614A7E">
      <w:pPr>
        <w:pStyle w:val="Bullet1G"/>
        <w:numPr>
          <w:ilvl w:val="0"/>
          <w:numId w:val="0"/>
        </w:numPr>
        <w:tabs>
          <w:tab w:val="left" w:pos="1701"/>
        </w:tabs>
        <w:ind w:left="1701" w:hanging="170"/>
        <w:rPr>
          <w:noProof/>
          <w:lang w:val="fr-FR"/>
        </w:rPr>
      </w:pPr>
      <w:r w:rsidRPr="00DF456A">
        <w:rPr>
          <w:noProof/>
          <w:lang w:val="fr-FR"/>
        </w:rPr>
        <w:lastRenderedPageBreak/>
        <w:t>•</w:t>
      </w:r>
      <w:r w:rsidRPr="00DF456A">
        <w:rPr>
          <w:noProof/>
          <w:lang w:val="fr-FR"/>
        </w:rPr>
        <w:tab/>
      </w:r>
      <w:r>
        <w:rPr>
          <w:noProof/>
          <w:lang w:val="fr-FR"/>
        </w:rPr>
        <w:t xml:space="preserve">De même, </w:t>
      </w:r>
      <w:r w:rsidRPr="00DF456A">
        <w:rPr>
          <w:noProof/>
          <w:lang w:val="fr-FR"/>
        </w:rPr>
        <w:t xml:space="preserve">en </w:t>
      </w:r>
      <w:r>
        <w:rPr>
          <w:noProof/>
          <w:lang w:val="fr-FR"/>
        </w:rPr>
        <w:t>application de l</w:t>
      </w:r>
      <w:r w:rsidR="00FB1114">
        <w:rPr>
          <w:noProof/>
          <w:lang w:val="fr-FR"/>
        </w:rPr>
        <w:t>’</w:t>
      </w:r>
      <w:r>
        <w:rPr>
          <w:noProof/>
          <w:lang w:val="fr-FR"/>
        </w:rPr>
        <w:t>article</w:t>
      </w:r>
      <w:r w:rsidR="000D4FE1">
        <w:rPr>
          <w:noProof/>
          <w:lang w:val="fr-FR"/>
        </w:rPr>
        <w:t> </w:t>
      </w:r>
      <w:r w:rsidRPr="00DF456A">
        <w:rPr>
          <w:noProof/>
          <w:lang w:val="fr-FR"/>
        </w:rPr>
        <w:t xml:space="preserve">89.a de la </w:t>
      </w:r>
      <w:r>
        <w:rPr>
          <w:noProof/>
          <w:lang w:val="fr-FR"/>
        </w:rPr>
        <w:t xml:space="preserve">loi organique sur les forces armées </w:t>
      </w:r>
      <w:r w:rsidR="000D4FE1" w:rsidRPr="00857F6E">
        <w:rPr>
          <w:rFonts w:eastAsia="MS Mincho"/>
          <w:noProof/>
          <w:szCs w:val="22"/>
          <w:lang w:val="fr-FR"/>
        </w:rPr>
        <w:t>n</w:t>
      </w:r>
      <w:r w:rsidR="000D4FE1" w:rsidRPr="00857F6E">
        <w:rPr>
          <w:rFonts w:eastAsia="MS Mincho"/>
          <w:noProof/>
          <w:szCs w:val="22"/>
          <w:vertAlign w:val="superscript"/>
          <w:lang w:val="fr-FR"/>
        </w:rPr>
        <w:t>o</w:t>
      </w:r>
      <w:r w:rsidR="000D4FE1">
        <w:rPr>
          <w:noProof/>
          <w:lang w:val="fr-FR"/>
        </w:rPr>
        <w:t> </w:t>
      </w:r>
      <w:r w:rsidRPr="00DF456A">
        <w:rPr>
          <w:noProof/>
          <w:lang w:val="fr-FR"/>
        </w:rPr>
        <w:t xml:space="preserve">1405 </w:t>
      </w:r>
      <w:r>
        <w:rPr>
          <w:noProof/>
          <w:lang w:val="fr-FR"/>
        </w:rPr>
        <w:t xml:space="preserve">du </w:t>
      </w:r>
      <w:r w:rsidRPr="00DF456A">
        <w:rPr>
          <w:noProof/>
          <w:lang w:val="fr-FR"/>
        </w:rPr>
        <w:t>30</w:t>
      </w:r>
      <w:r w:rsidR="000D4FE1">
        <w:rPr>
          <w:noProof/>
          <w:lang w:val="fr-FR"/>
        </w:rPr>
        <w:t> </w:t>
      </w:r>
      <w:r w:rsidRPr="00DF456A">
        <w:rPr>
          <w:noProof/>
          <w:lang w:val="fr-FR"/>
        </w:rPr>
        <w:t>d</w:t>
      </w:r>
      <w:r>
        <w:rPr>
          <w:noProof/>
          <w:lang w:val="fr-FR"/>
        </w:rPr>
        <w:t>éc</w:t>
      </w:r>
      <w:r w:rsidRPr="00DF456A">
        <w:rPr>
          <w:noProof/>
          <w:lang w:val="fr-FR"/>
        </w:rPr>
        <w:t xml:space="preserve">embre </w:t>
      </w:r>
      <w:r>
        <w:rPr>
          <w:noProof/>
          <w:lang w:val="fr-FR"/>
        </w:rPr>
        <w:t xml:space="preserve">1992 </w:t>
      </w:r>
      <w:r w:rsidRPr="00DF456A">
        <w:rPr>
          <w:noProof/>
          <w:lang w:val="fr-FR"/>
        </w:rPr>
        <w:t>(</w:t>
      </w:r>
      <w:r>
        <w:rPr>
          <w:noProof/>
          <w:lang w:val="fr-FR"/>
        </w:rPr>
        <w:t xml:space="preserve">« loi </w:t>
      </w:r>
      <w:r w:rsidR="00510A73" w:rsidRPr="00AD55D6">
        <w:rPr>
          <w:rFonts w:eastAsia="MS Mincho"/>
          <w:noProof/>
          <w:szCs w:val="22"/>
          <w:lang w:val="fr-FR" w:eastAsia="es-BO"/>
        </w:rPr>
        <w:t>n</w:t>
      </w:r>
      <w:r w:rsidR="00510A73" w:rsidRPr="00AD55D6">
        <w:rPr>
          <w:rFonts w:eastAsia="MS Mincho"/>
          <w:noProof/>
          <w:szCs w:val="22"/>
          <w:vertAlign w:val="superscript"/>
          <w:lang w:val="fr-FR" w:eastAsia="es-BO"/>
        </w:rPr>
        <w:t>o</w:t>
      </w:r>
      <w:r w:rsidR="00510A73">
        <w:rPr>
          <w:noProof/>
          <w:lang w:val="fr-FR" w:eastAsia="es-BO"/>
        </w:rPr>
        <w:t> </w:t>
      </w:r>
      <w:r w:rsidRPr="00DF456A">
        <w:rPr>
          <w:noProof/>
          <w:lang w:val="fr-FR"/>
        </w:rPr>
        <w:t>1405</w:t>
      </w:r>
      <w:r>
        <w:rPr>
          <w:noProof/>
          <w:lang w:val="fr-FR"/>
        </w:rPr>
        <w:t> »</w:t>
      </w:r>
      <w:r w:rsidRPr="00DF456A">
        <w:rPr>
          <w:noProof/>
          <w:lang w:val="fr-FR"/>
        </w:rPr>
        <w:t>) (</w:t>
      </w:r>
      <w:r>
        <w:rPr>
          <w:noProof/>
          <w:lang w:val="fr-FR"/>
        </w:rPr>
        <w:t>annexe</w:t>
      </w:r>
      <w:r w:rsidR="00510A73">
        <w:rPr>
          <w:noProof/>
          <w:lang w:val="fr-FR"/>
        </w:rPr>
        <w:t> </w:t>
      </w:r>
      <w:r w:rsidRPr="00DF456A">
        <w:rPr>
          <w:noProof/>
          <w:lang w:val="fr-FR"/>
        </w:rPr>
        <w:t>23)</w:t>
      </w:r>
      <w:r>
        <w:rPr>
          <w:noProof/>
          <w:lang w:val="fr-FR"/>
        </w:rPr>
        <w:t>,</w:t>
      </w:r>
      <w:r w:rsidRPr="00DF456A">
        <w:rPr>
          <w:noProof/>
          <w:lang w:val="fr-FR"/>
        </w:rPr>
        <w:t xml:space="preserve"> </w:t>
      </w:r>
      <w:r>
        <w:rPr>
          <w:noProof/>
          <w:lang w:val="fr-FR"/>
        </w:rPr>
        <w:t>le</w:t>
      </w:r>
      <w:r w:rsidRPr="00DF456A">
        <w:rPr>
          <w:noProof/>
          <w:lang w:val="fr-FR"/>
        </w:rPr>
        <w:t xml:space="preserve"> Tribunal de</w:t>
      </w:r>
      <w:r>
        <w:rPr>
          <w:noProof/>
          <w:lang w:val="fr-FR"/>
        </w:rPr>
        <w:t xml:space="preserve">s forces armées a rendu les décisions </w:t>
      </w:r>
      <w:r w:rsidRPr="00DF456A">
        <w:rPr>
          <w:noProof/>
          <w:lang w:val="fr-FR"/>
        </w:rPr>
        <w:t xml:space="preserve">TPE </w:t>
      </w:r>
      <w:r w:rsidR="000D4FE1" w:rsidRPr="00857F6E">
        <w:rPr>
          <w:rFonts w:eastAsia="MS Mincho"/>
          <w:noProof/>
          <w:szCs w:val="22"/>
          <w:lang w:val="fr-FR"/>
        </w:rPr>
        <w:t>n</w:t>
      </w:r>
      <w:r w:rsidR="000D4FE1" w:rsidRPr="00857F6E">
        <w:rPr>
          <w:rFonts w:eastAsia="MS Mincho"/>
          <w:noProof/>
          <w:szCs w:val="22"/>
          <w:vertAlign w:val="superscript"/>
          <w:lang w:val="fr-FR"/>
        </w:rPr>
        <w:t>o</w:t>
      </w:r>
      <w:r w:rsidR="000D4FE1">
        <w:rPr>
          <w:rFonts w:eastAsia="MS Mincho"/>
          <w:noProof/>
          <w:szCs w:val="22"/>
          <w:vertAlign w:val="superscript"/>
          <w:lang w:val="fr-FR"/>
        </w:rPr>
        <w:t>s</w:t>
      </w:r>
      <w:r w:rsidR="000D4FE1">
        <w:rPr>
          <w:noProof/>
          <w:lang w:val="fr-FR"/>
        </w:rPr>
        <w:t> </w:t>
      </w:r>
      <w:r w:rsidRPr="00DF456A">
        <w:rPr>
          <w:noProof/>
          <w:lang w:val="fr-FR"/>
        </w:rPr>
        <w:t xml:space="preserve">041/18, 042/18 </w:t>
      </w:r>
      <w:r>
        <w:rPr>
          <w:noProof/>
          <w:lang w:val="fr-FR"/>
        </w:rPr>
        <w:t>et</w:t>
      </w:r>
      <w:r w:rsidRPr="00DF456A">
        <w:rPr>
          <w:noProof/>
          <w:lang w:val="fr-FR"/>
        </w:rPr>
        <w:t xml:space="preserve"> 043/18</w:t>
      </w:r>
      <w:r>
        <w:rPr>
          <w:noProof/>
          <w:lang w:val="fr-FR"/>
        </w:rPr>
        <w:t xml:space="preserve"> par lesquelles il a ordonné d</w:t>
      </w:r>
      <w:r w:rsidR="00FB1114">
        <w:rPr>
          <w:noProof/>
          <w:lang w:val="fr-FR"/>
        </w:rPr>
        <w:t>’</w:t>
      </w:r>
      <w:r>
        <w:rPr>
          <w:noProof/>
          <w:lang w:val="fr-FR"/>
        </w:rPr>
        <w:t xml:space="preserve">appliquer aux responsables </w:t>
      </w:r>
      <w:r w:rsidRPr="00DF456A">
        <w:rPr>
          <w:noProof/>
          <w:lang w:val="fr-FR"/>
        </w:rPr>
        <w:t>la sanc</w:t>
      </w:r>
      <w:r>
        <w:rPr>
          <w:noProof/>
          <w:lang w:val="fr-FR"/>
        </w:rPr>
        <w:t xml:space="preserve">tion </w:t>
      </w:r>
      <w:r w:rsidRPr="00DF456A">
        <w:rPr>
          <w:noProof/>
          <w:lang w:val="fr-FR"/>
        </w:rPr>
        <w:t>disciplina</w:t>
      </w:r>
      <w:r>
        <w:rPr>
          <w:noProof/>
          <w:lang w:val="fr-FR"/>
        </w:rPr>
        <w:t>ire de mise à la retraite d</w:t>
      </w:r>
      <w:r w:rsidR="00FB1114">
        <w:rPr>
          <w:noProof/>
          <w:lang w:val="fr-FR"/>
        </w:rPr>
        <w:t>’</w:t>
      </w:r>
      <w:r>
        <w:rPr>
          <w:noProof/>
          <w:lang w:val="fr-FR"/>
        </w:rPr>
        <w:t>office</w:t>
      </w:r>
      <w:r w:rsidR="000D4FE1">
        <w:rPr>
          <w:noProof/>
          <w:lang w:val="fr-FR"/>
        </w:rPr>
        <w:t> ;</w:t>
      </w:r>
    </w:p>
    <w:p w:rsidR="00614A7E" w:rsidRPr="00DF456A" w:rsidRDefault="00614A7E" w:rsidP="00614A7E">
      <w:pPr>
        <w:pStyle w:val="Bullet1G"/>
        <w:numPr>
          <w:ilvl w:val="0"/>
          <w:numId w:val="0"/>
        </w:numPr>
        <w:tabs>
          <w:tab w:val="left" w:pos="1701"/>
        </w:tabs>
        <w:ind w:left="1701" w:hanging="170"/>
        <w:rPr>
          <w:noProof/>
          <w:lang w:val="fr-FR"/>
        </w:rPr>
      </w:pPr>
      <w:r w:rsidRPr="00DF456A">
        <w:rPr>
          <w:noProof/>
          <w:lang w:val="fr-FR"/>
        </w:rPr>
        <w:t>•</w:t>
      </w:r>
      <w:r w:rsidRPr="00DF456A">
        <w:rPr>
          <w:noProof/>
          <w:lang w:val="fr-FR"/>
        </w:rPr>
        <w:tab/>
      </w:r>
      <w:r>
        <w:rPr>
          <w:rFonts w:eastAsia="Calibri"/>
          <w:noProof/>
          <w:lang w:val="fr-FR"/>
        </w:rPr>
        <w:t>Dans l</w:t>
      </w:r>
      <w:r w:rsidR="00FB1114">
        <w:rPr>
          <w:rFonts w:eastAsia="Calibri"/>
          <w:noProof/>
          <w:lang w:val="fr-FR"/>
        </w:rPr>
        <w:t>’</w:t>
      </w:r>
      <w:r>
        <w:rPr>
          <w:rFonts w:eastAsia="Calibri"/>
          <w:noProof/>
          <w:lang w:val="fr-FR"/>
        </w:rPr>
        <w:t xml:space="preserve">affaire </w:t>
      </w:r>
      <w:r w:rsidRPr="00DF456A">
        <w:rPr>
          <w:rFonts w:eastAsia="Calibri"/>
          <w:noProof/>
          <w:lang w:val="fr-FR"/>
        </w:rPr>
        <w:t xml:space="preserve">Alfredo, </w:t>
      </w:r>
      <w:r>
        <w:rPr>
          <w:rFonts w:eastAsia="Calibri"/>
          <w:noProof/>
          <w:lang w:val="fr-FR"/>
        </w:rPr>
        <w:t xml:space="preserve">le </w:t>
      </w:r>
      <w:r w:rsidRPr="00DF456A">
        <w:rPr>
          <w:rFonts w:eastAsia="Calibri"/>
          <w:noProof/>
          <w:lang w:val="fr-FR"/>
        </w:rPr>
        <w:t xml:space="preserve">Tribunal </w:t>
      </w:r>
      <w:r w:rsidR="000D4FE1" w:rsidRPr="00857F6E">
        <w:rPr>
          <w:rFonts w:eastAsia="MS Mincho"/>
          <w:noProof/>
          <w:szCs w:val="22"/>
          <w:lang w:val="fr-FR"/>
        </w:rPr>
        <w:t>n</w:t>
      </w:r>
      <w:r w:rsidR="000D4FE1" w:rsidRPr="00857F6E">
        <w:rPr>
          <w:rFonts w:eastAsia="MS Mincho"/>
          <w:noProof/>
          <w:szCs w:val="22"/>
          <w:vertAlign w:val="superscript"/>
          <w:lang w:val="fr-FR"/>
        </w:rPr>
        <w:t>o</w:t>
      </w:r>
      <w:r w:rsidR="000D4FE1">
        <w:rPr>
          <w:noProof/>
          <w:lang w:val="fr-FR"/>
        </w:rPr>
        <w:t> </w:t>
      </w:r>
      <w:r>
        <w:rPr>
          <w:rFonts w:eastAsia="Calibri"/>
          <w:noProof/>
          <w:lang w:val="fr-FR"/>
        </w:rPr>
        <w:t xml:space="preserve">10 de </w:t>
      </w:r>
      <w:r w:rsidRPr="00DF456A">
        <w:rPr>
          <w:rFonts w:eastAsia="Calibri"/>
          <w:noProof/>
          <w:lang w:val="fr-FR"/>
        </w:rPr>
        <w:t xml:space="preserve">Santa Cruz de la Sierra </w:t>
      </w:r>
      <w:r>
        <w:rPr>
          <w:rFonts w:eastAsia="Calibri"/>
          <w:noProof/>
          <w:lang w:val="fr-FR"/>
        </w:rPr>
        <w:t xml:space="preserve">a rendu le jugement </w:t>
      </w:r>
      <w:r w:rsidR="000D4FE1" w:rsidRPr="00857F6E">
        <w:rPr>
          <w:rFonts w:eastAsia="MS Mincho"/>
          <w:noProof/>
          <w:szCs w:val="22"/>
          <w:lang w:val="fr-FR"/>
        </w:rPr>
        <w:t>n</w:t>
      </w:r>
      <w:r w:rsidR="000D4FE1" w:rsidRPr="00857F6E">
        <w:rPr>
          <w:rFonts w:eastAsia="MS Mincho"/>
          <w:noProof/>
          <w:szCs w:val="22"/>
          <w:vertAlign w:val="superscript"/>
          <w:lang w:val="fr-FR"/>
        </w:rPr>
        <w:t>o</w:t>
      </w:r>
      <w:r w:rsidR="000D4FE1">
        <w:rPr>
          <w:noProof/>
          <w:lang w:val="fr-FR"/>
        </w:rPr>
        <w:t> </w:t>
      </w:r>
      <w:r w:rsidRPr="00DF456A">
        <w:rPr>
          <w:rFonts w:eastAsia="Calibri"/>
          <w:noProof/>
          <w:lang w:val="fr-FR"/>
        </w:rPr>
        <w:t xml:space="preserve">12/2017 </w:t>
      </w:r>
      <w:r>
        <w:rPr>
          <w:rFonts w:eastAsia="Calibri"/>
          <w:noProof/>
          <w:lang w:val="fr-FR"/>
        </w:rPr>
        <w:t xml:space="preserve">en date </w:t>
      </w:r>
      <w:r w:rsidRPr="00DF456A">
        <w:rPr>
          <w:rFonts w:eastAsia="Calibri"/>
          <w:noProof/>
          <w:lang w:val="fr-FR"/>
        </w:rPr>
        <w:t>d</w:t>
      </w:r>
      <w:r>
        <w:rPr>
          <w:rFonts w:eastAsia="Calibri"/>
          <w:noProof/>
          <w:lang w:val="fr-FR"/>
        </w:rPr>
        <w:t>u</w:t>
      </w:r>
      <w:r w:rsidRPr="00DF456A">
        <w:rPr>
          <w:rFonts w:eastAsia="Calibri"/>
          <w:noProof/>
          <w:lang w:val="fr-FR"/>
        </w:rPr>
        <w:t xml:space="preserve"> 23</w:t>
      </w:r>
      <w:r w:rsidR="000D4FE1">
        <w:rPr>
          <w:rFonts w:eastAsia="Calibri"/>
          <w:noProof/>
          <w:lang w:val="fr-FR"/>
        </w:rPr>
        <w:t> </w:t>
      </w:r>
      <w:r w:rsidRPr="00DF456A">
        <w:rPr>
          <w:rFonts w:eastAsia="Calibri"/>
          <w:noProof/>
          <w:lang w:val="fr-FR"/>
        </w:rPr>
        <w:t>mar</w:t>
      </w:r>
      <w:r>
        <w:rPr>
          <w:rFonts w:eastAsia="Calibri"/>
          <w:noProof/>
          <w:lang w:val="fr-FR"/>
        </w:rPr>
        <w:t xml:space="preserve">s </w:t>
      </w:r>
      <w:r w:rsidRPr="00DF456A">
        <w:rPr>
          <w:rFonts w:eastAsia="Calibri"/>
          <w:noProof/>
          <w:lang w:val="fr-FR"/>
        </w:rPr>
        <w:t xml:space="preserve">2017, </w:t>
      </w:r>
      <w:r>
        <w:rPr>
          <w:rFonts w:eastAsia="Calibri"/>
          <w:noProof/>
          <w:lang w:val="fr-FR"/>
        </w:rPr>
        <w:t xml:space="preserve">par lequel il a condamné à une peine de </w:t>
      </w:r>
      <w:r w:rsidR="000D4FE1">
        <w:rPr>
          <w:rFonts w:eastAsia="Calibri"/>
          <w:noProof/>
          <w:lang w:val="fr-FR"/>
        </w:rPr>
        <w:t>quinze</w:t>
      </w:r>
      <w:r>
        <w:rPr>
          <w:rFonts w:eastAsia="Calibri"/>
          <w:noProof/>
          <w:lang w:val="fr-FR"/>
        </w:rPr>
        <w:t xml:space="preserve"> années de réclusion l</w:t>
      </w:r>
      <w:r w:rsidR="00FB1114">
        <w:rPr>
          <w:rFonts w:eastAsia="Calibri"/>
          <w:noProof/>
          <w:lang w:val="fr-FR"/>
        </w:rPr>
        <w:t>’</w:t>
      </w:r>
      <w:r>
        <w:rPr>
          <w:rFonts w:eastAsia="Calibri"/>
          <w:noProof/>
          <w:lang w:val="fr-FR"/>
        </w:rPr>
        <w:t>auteur de l</w:t>
      </w:r>
      <w:r w:rsidR="00FB1114">
        <w:rPr>
          <w:rFonts w:eastAsia="Calibri"/>
          <w:noProof/>
          <w:lang w:val="fr-FR"/>
        </w:rPr>
        <w:t>’</w:t>
      </w:r>
      <w:r>
        <w:rPr>
          <w:rFonts w:eastAsia="Calibri"/>
          <w:noProof/>
          <w:lang w:val="fr-FR"/>
        </w:rPr>
        <w:t>infraction d</w:t>
      </w:r>
      <w:r w:rsidR="00FB1114">
        <w:rPr>
          <w:rFonts w:eastAsia="Calibri"/>
          <w:noProof/>
          <w:lang w:val="fr-FR"/>
        </w:rPr>
        <w:t>’</w:t>
      </w:r>
      <w:r>
        <w:rPr>
          <w:rFonts w:eastAsia="Calibri"/>
          <w:noProof/>
          <w:lang w:val="fr-FR"/>
        </w:rPr>
        <w:t>homicide, incriminée et sanctionnée par l</w:t>
      </w:r>
      <w:r w:rsidR="00FB1114">
        <w:rPr>
          <w:rFonts w:eastAsia="Calibri"/>
          <w:noProof/>
          <w:lang w:val="fr-FR"/>
        </w:rPr>
        <w:t>’</w:t>
      </w:r>
      <w:r>
        <w:rPr>
          <w:rFonts w:eastAsia="Calibri"/>
          <w:noProof/>
          <w:lang w:val="fr-FR"/>
        </w:rPr>
        <w:t>a</w:t>
      </w:r>
      <w:r w:rsidRPr="00DF456A">
        <w:rPr>
          <w:rFonts w:eastAsia="Calibri"/>
          <w:noProof/>
          <w:lang w:val="fr-FR"/>
        </w:rPr>
        <w:t>rt</w:t>
      </w:r>
      <w:r>
        <w:rPr>
          <w:rFonts w:eastAsia="Calibri"/>
          <w:noProof/>
          <w:lang w:val="fr-FR"/>
        </w:rPr>
        <w:t>icle</w:t>
      </w:r>
      <w:r w:rsidR="000D4FE1">
        <w:rPr>
          <w:rFonts w:eastAsia="Calibri"/>
          <w:noProof/>
          <w:lang w:val="fr-FR"/>
        </w:rPr>
        <w:t> </w:t>
      </w:r>
      <w:r w:rsidRPr="00DF456A">
        <w:rPr>
          <w:rFonts w:eastAsia="Calibri"/>
          <w:noProof/>
          <w:lang w:val="fr-FR"/>
        </w:rPr>
        <w:t xml:space="preserve">251 </w:t>
      </w:r>
      <w:r>
        <w:rPr>
          <w:rFonts w:eastAsia="Calibri"/>
          <w:noProof/>
          <w:lang w:val="fr-FR"/>
        </w:rPr>
        <w:t>du Code pénal, et acquitté les autres accusés du chef de meurtre</w:t>
      </w:r>
      <w:r w:rsidR="007F6ADF">
        <w:rPr>
          <w:rFonts w:eastAsia="Calibri"/>
          <w:noProof/>
          <w:lang w:val="fr-FR"/>
        </w:rPr>
        <w:t> </w:t>
      </w:r>
      <w:r>
        <w:rPr>
          <w:rFonts w:eastAsia="Calibri"/>
          <w:noProof/>
          <w:lang w:val="fr-FR"/>
        </w:rPr>
        <w:t>; à ce jour, la juridiction d</w:t>
      </w:r>
      <w:r w:rsidR="00FB1114">
        <w:rPr>
          <w:rFonts w:eastAsia="Calibri"/>
          <w:noProof/>
          <w:lang w:val="fr-FR"/>
        </w:rPr>
        <w:t>’</w:t>
      </w:r>
      <w:r>
        <w:rPr>
          <w:rFonts w:eastAsia="Calibri"/>
          <w:noProof/>
          <w:lang w:val="fr-FR"/>
        </w:rPr>
        <w:t>appel ne s</w:t>
      </w:r>
      <w:r w:rsidR="00FB1114">
        <w:rPr>
          <w:rFonts w:eastAsia="Calibri"/>
          <w:noProof/>
          <w:lang w:val="fr-FR"/>
        </w:rPr>
        <w:t>’</w:t>
      </w:r>
      <w:r>
        <w:rPr>
          <w:rFonts w:eastAsia="Calibri"/>
          <w:noProof/>
          <w:lang w:val="fr-FR"/>
        </w:rPr>
        <w:t>est pas encore prononcée sur les recours limités formés contre ce jugement</w:t>
      </w:r>
      <w:r w:rsidR="000D4FE1">
        <w:rPr>
          <w:rFonts w:eastAsia="Calibri"/>
          <w:noProof/>
          <w:lang w:val="fr-FR"/>
        </w:rPr>
        <w:t> ;</w:t>
      </w:r>
    </w:p>
    <w:p w:rsidR="00614A7E" w:rsidRPr="00DF456A" w:rsidRDefault="00614A7E" w:rsidP="00614A7E">
      <w:pPr>
        <w:pStyle w:val="Bullet1G"/>
        <w:numPr>
          <w:ilvl w:val="0"/>
          <w:numId w:val="0"/>
        </w:numPr>
        <w:tabs>
          <w:tab w:val="left" w:pos="1701"/>
        </w:tabs>
        <w:ind w:left="1701" w:hanging="170"/>
        <w:rPr>
          <w:noProof/>
          <w:lang w:val="fr-FR" w:eastAsia="es-BO"/>
        </w:rPr>
      </w:pPr>
      <w:r w:rsidRPr="00DF456A">
        <w:rPr>
          <w:noProof/>
          <w:lang w:val="fr-FR" w:eastAsia="es-BO"/>
        </w:rPr>
        <w:t>•</w:t>
      </w:r>
      <w:r w:rsidRPr="00DF456A">
        <w:rPr>
          <w:noProof/>
          <w:lang w:val="fr-FR" w:eastAsia="es-BO"/>
        </w:rPr>
        <w:tab/>
      </w:r>
      <w:r>
        <w:rPr>
          <w:rFonts w:eastAsia="Calibri"/>
          <w:noProof/>
          <w:lang w:val="fr-FR"/>
        </w:rPr>
        <w:t>Dans l</w:t>
      </w:r>
      <w:r w:rsidR="00FB1114">
        <w:rPr>
          <w:rFonts w:eastAsia="Calibri"/>
          <w:noProof/>
          <w:lang w:val="fr-FR"/>
        </w:rPr>
        <w:t>’</w:t>
      </w:r>
      <w:r>
        <w:rPr>
          <w:rFonts w:eastAsia="Calibri"/>
          <w:noProof/>
          <w:lang w:val="fr-FR"/>
        </w:rPr>
        <w:t xml:space="preserve">affaire </w:t>
      </w:r>
      <w:r w:rsidRPr="00DF456A">
        <w:rPr>
          <w:noProof/>
          <w:lang w:val="fr-FR"/>
        </w:rPr>
        <w:t xml:space="preserve">Guido Álvaro </w:t>
      </w:r>
      <w:r>
        <w:rPr>
          <w:noProof/>
          <w:lang w:val="fr-FR"/>
        </w:rPr>
        <w:t xml:space="preserve">López Cortez, le juge des enfants et adolescents chargé des poursuites pénales </w:t>
      </w:r>
      <w:r w:rsidR="000D4FE1" w:rsidRPr="00857F6E">
        <w:rPr>
          <w:rFonts w:eastAsia="MS Mincho"/>
          <w:noProof/>
          <w:szCs w:val="22"/>
          <w:lang w:val="fr-FR"/>
        </w:rPr>
        <w:t>n</w:t>
      </w:r>
      <w:r w:rsidR="000D4FE1" w:rsidRPr="00857F6E">
        <w:rPr>
          <w:rFonts w:eastAsia="MS Mincho"/>
          <w:noProof/>
          <w:szCs w:val="22"/>
          <w:vertAlign w:val="superscript"/>
          <w:lang w:val="fr-FR"/>
        </w:rPr>
        <w:t>o</w:t>
      </w:r>
      <w:r w:rsidR="000D4FE1">
        <w:rPr>
          <w:noProof/>
          <w:lang w:val="fr-FR"/>
        </w:rPr>
        <w:t> </w:t>
      </w:r>
      <w:r>
        <w:rPr>
          <w:noProof/>
          <w:lang w:val="fr-FR"/>
        </w:rPr>
        <w:t>1 a indiqué que la procédure pénale en était au stade de la mise en examen, et l</w:t>
      </w:r>
      <w:r w:rsidR="00FB1114">
        <w:rPr>
          <w:noProof/>
          <w:lang w:val="fr-FR"/>
        </w:rPr>
        <w:t>’</w:t>
      </w:r>
      <w:r>
        <w:rPr>
          <w:noProof/>
          <w:lang w:val="fr-FR"/>
        </w:rPr>
        <w:t>audience finale a été menée conformément à la loi</w:t>
      </w:r>
      <w:r w:rsidRPr="00DF456A">
        <w:rPr>
          <w:noProof/>
          <w:lang w:val="fr-FR"/>
        </w:rPr>
        <w:t xml:space="preserve"> </w:t>
      </w:r>
      <w:r w:rsidR="000D4FE1" w:rsidRPr="00857F6E">
        <w:rPr>
          <w:rFonts w:eastAsia="MS Mincho"/>
          <w:noProof/>
          <w:szCs w:val="22"/>
          <w:lang w:val="fr-FR"/>
        </w:rPr>
        <w:t>n</w:t>
      </w:r>
      <w:r w:rsidR="000D4FE1" w:rsidRPr="00857F6E">
        <w:rPr>
          <w:rFonts w:eastAsia="MS Mincho"/>
          <w:noProof/>
          <w:szCs w:val="22"/>
          <w:vertAlign w:val="superscript"/>
          <w:lang w:val="fr-FR"/>
        </w:rPr>
        <w:t>o</w:t>
      </w:r>
      <w:r w:rsidR="000D4FE1">
        <w:rPr>
          <w:noProof/>
          <w:lang w:val="fr-FR"/>
        </w:rPr>
        <w:t> </w:t>
      </w:r>
      <w:r w:rsidRPr="00DF456A">
        <w:rPr>
          <w:noProof/>
          <w:lang w:val="fr-FR"/>
        </w:rPr>
        <w:t>007 d</w:t>
      </w:r>
      <w:r>
        <w:rPr>
          <w:noProof/>
          <w:lang w:val="fr-FR"/>
        </w:rPr>
        <w:t>u</w:t>
      </w:r>
      <w:r w:rsidRPr="00DF456A">
        <w:rPr>
          <w:noProof/>
          <w:lang w:val="fr-FR"/>
        </w:rPr>
        <w:t xml:space="preserve"> 18</w:t>
      </w:r>
      <w:r w:rsidR="000D4FE1">
        <w:rPr>
          <w:noProof/>
          <w:lang w:val="fr-FR"/>
        </w:rPr>
        <w:t> </w:t>
      </w:r>
      <w:r w:rsidRPr="00DF456A">
        <w:rPr>
          <w:noProof/>
          <w:lang w:val="fr-FR"/>
        </w:rPr>
        <w:t>ma</w:t>
      </w:r>
      <w:r>
        <w:rPr>
          <w:noProof/>
          <w:lang w:val="fr-FR"/>
        </w:rPr>
        <w:t xml:space="preserve">i </w:t>
      </w:r>
      <w:r w:rsidRPr="00DF456A">
        <w:rPr>
          <w:noProof/>
          <w:lang w:val="fr-FR"/>
        </w:rPr>
        <w:t>2010</w:t>
      </w:r>
      <w:r>
        <w:rPr>
          <w:noProof/>
          <w:lang w:val="fr-FR"/>
        </w:rPr>
        <w:t xml:space="preserve"> portant modification du Code pénal </w:t>
      </w:r>
      <w:r w:rsidRPr="00DF456A">
        <w:rPr>
          <w:noProof/>
          <w:lang w:val="fr-FR"/>
        </w:rPr>
        <w:t>(</w:t>
      </w:r>
      <w:r>
        <w:rPr>
          <w:noProof/>
          <w:lang w:val="fr-FR"/>
        </w:rPr>
        <w:t>annexe</w:t>
      </w:r>
      <w:r w:rsidR="000D4FE1">
        <w:rPr>
          <w:noProof/>
          <w:lang w:val="fr-FR"/>
        </w:rPr>
        <w:t> </w:t>
      </w:r>
      <w:r w:rsidRPr="00DF456A">
        <w:rPr>
          <w:noProof/>
          <w:lang w:val="fr-FR"/>
        </w:rPr>
        <w:t>24). L</w:t>
      </w:r>
      <w:r>
        <w:rPr>
          <w:noProof/>
          <w:lang w:val="fr-FR"/>
        </w:rPr>
        <w:t>e</w:t>
      </w:r>
      <w:r w:rsidRPr="00DF456A">
        <w:rPr>
          <w:noProof/>
          <w:lang w:val="fr-FR"/>
        </w:rPr>
        <w:t>s ac</w:t>
      </w:r>
      <w:r>
        <w:rPr>
          <w:noProof/>
          <w:lang w:val="fr-FR"/>
        </w:rPr>
        <w:t>cusés ont interjeté un appel incident contre la décision rendue à l</w:t>
      </w:r>
      <w:r w:rsidR="00FB1114">
        <w:rPr>
          <w:noProof/>
          <w:lang w:val="fr-FR"/>
        </w:rPr>
        <w:t>’</w:t>
      </w:r>
      <w:r>
        <w:rPr>
          <w:noProof/>
          <w:lang w:val="fr-FR"/>
        </w:rPr>
        <w:t>issue de l</w:t>
      </w:r>
      <w:r w:rsidR="00FB1114">
        <w:rPr>
          <w:noProof/>
          <w:lang w:val="fr-FR"/>
        </w:rPr>
        <w:t>’</w:t>
      </w:r>
      <w:r>
        <w:rPr>
          <w:noProof/>
          <w:lang w:val="fr-FR"/>
        </w:rPr>
        <w:t xml:space="preserve">audience finale, appel renvoyé à la Chambre pénale du </w:t>
      </w:r>
      <w:r w:rsidRPr="00DF456A">
        <w:rPr>
          <w:noProof/>
          <w:lang w:val="fr-FR"/>
        </w:rPr>
        <w:t xml:space="preserve">Tribunal </w:t>
      </w:r>
      <w:r>
        <w:rPr>
          <w:noProof/>
          <w:lang w:val="fr-FR"/>
        </w:rPr>
        <w:t>départemental d</w:t>
      </w:r>
      <w:r w:rsidR="00FB1114">
        <w:rPr>
          <w:noProof/>
          <w:lang w:val="fr-FR"/>
        </w:rPr>
        <w:t>’</w:t>
      </w:r>
      <w:r w:rsidRPr="00DF456A">
        <w:rPr>
          <w:noProof/>
          <w:lang w:val="fr-FR"/>
        </w:rPr>
        <w:t xml:space="preserve">Oruro. </w:t>
      </w:r>
      <w:r>
        <w:rPr>
          <w:noProof/>
          <w:lang w:val="fr-FR"/>
        </w:rPr>
        <w:t>Ils ont bénéficié de mesures alternatives à la détention provisoire.</w:t>
      </w:r>
    </w:p>
    <w:p w:rsidR="00614A7E" w:rsidRPr="00391F85" w:rsidRDefault="00614A7E" w:rsidP="00391F85">
      <w:pPr>
        <w:pStyle w:val="H1G"/>
      </w:pPr>
      <w:r w:rsidRPr="00DF456A">
        <w:rPr>
          <w:noProof/>
          <w:lang w:val="fr-FR" w:eastAsia="es-BO"/>
        </w:rPr>
        <w:tab/>
      </w:r>
      <w:r w:rsidRPr="00DF456A">
        <w:rPr>
          <w:noProof/>
          <w:lang w:val="fr-FR" w:eastAsia="es-BO"/>
        </w:rPr>
        <w:tab/>
      </w:r>
      <w:r>
        <w:rPr>
          <w:noProof/>
          <w:lang w:val="fr-FR" w:eastAsia="es-BO"/>
        </w:rPr>
        <w:t>Juridiction militaire</w:t>
      </w:r>
    </w:p>
    <w:p w:rsidR="00614A7E" w:rsidRPr="00391F85" w:rsidRDefault="00614A7E" w:rsidP="00391F85">
      <w:pPr>
        <w:pStyle w:val="H23G"/>
      </w:pPr>
      <w:r w:rsidRPr="00DF456A">
        <w:rPr>
          <w:noProof/>
          <w:lang w:val="fr-FR" w:eastAsia="es-BO"/>
        </w:rPr>
        <w:tab/>
      </w:r>
      <w:r w:rsidRPr="00DF456A">
        <w:rPr>
          <w:noProof/>
          <w:lang w:val="fr-FR" w:eastAsia="es-BO"/>
        </w:rPr>
        <w:tab/>
        <w:t>Recom</w:t>
      </w:r>
      <w:r>
        <w:rPr>
          <w:noProof/>
          <w:lang w:val="fr-FR" w:eastAsia="es-BO"/>
        </w:rPr>
        <w:t xml:space="preserve">mandation figurant au paragraphe </w:t>
      </w:r>
      <w:r w:rsidRPr="00DF456A">
        <w:rPr>
          <w:noProof/>
          <w:lang w:val="fr-FR" w:eastAsia="es-BO"/>
        </w:rPr>
        <w:t>12</w:t>
      </w:r>
    </w:p>
    <w:p w:rsidR="00614A7E" w:rsidRPr="004E561C" w:rsidRDefault="00614A7E" w:rsidP="00614A7E">
      <w:pPr>
        <w:pStyle w:val="SingleTxtG"/>
        <w:rPr>
          <w:noProof/>
          <w:lang w:val="fr-FR" w:eastAsia="es-BO"/>
        </w:rPr>
      </w:pPr>
      <w:r w:rsidRPr="00DF456A">
        <w:rPr>
          <w:noProof/>
          <w:lang w:val="fr-FR" w:eastAsia="es-BO"/>
        </w:rPr>
        <w:t>89.</w:t>
      </w:r>
      <w:r w:rsidRPr="00DF456A">
        <w:rPr>
          <w:noProof/>
          <w:lang w:val="fr-FR" w:eastAsia="es-BO"/>
        </w:rPr>
        <w:tab/>
      </w:r>
      <w:r>
        <w:rPr>
          <w:noProof/>
          <w:lang w:val="fr-FR" w:eastAsia="es-BO"/>
        </w:rPr>
        <w:t>Le commandant en chef des forces armées boliviennes a constitué une commission interinstitutions chargée d</w:t>
      </w:r>
      <w:r w:rsidR="00FB1114">
        <w:rPr>
          <w:noProof/>
          <w:lang w:val="fr-FR" w:eastAsia="es-BO"/>
        </w:rPr>
        <w:t>’</w:t>
      </w:r>
      <w:r>
        <w:rPr>
          <w:noProof/>
          <w:lang w:val="fr-FR" w:eastAsia="es-BO"/>
        </w:rPr>
        <w:t xml:space="preserve">aligner la loi </w:t>
      </w:r>
      <w:r w:rsidR="00391F85" w:rsidRPr="00857F6E">
        <w:rPr>
          <w:rFonts w:eastAsia="MS Mincho"/>
          <w:noProof/>
          <w:szCs w:val="22"/>
          <w:lang w:val="fr-FR"/>
        </w:rPr>
        <w:t>n</w:t>
      </w:r>
      <w:r w:rsidR="00391F85" w:rsidRPr="00857F6E">
        <w:rPr>
          <w:rFonts w:eastAsia="MS Mincho"/>
          <w:noProof/>
          <w:szCs w:val="22"/>
          <w:vertAlign w:val="superscript"/>
          <w:lang w:val="fr-FR"/>
        </w:rPr>
        <w:t>o</w:t>
      </w:r>
      <w:r w:rsidR="00391F85">
        <w:rPr>
          <w:noProof/>
          <w:lang w:val="fr-FR"/>
        </w:rPr>
        <w:t> </w:t>
      </w:r>
      <w:r w:rsidRPr="00DF456A">
        <w:rPr>
          <w:noProof/>
          <w:lang w:val="fr-FR" w:eastAsia="es-BO"/>
        </w:rPr>
        <w:t xml:space="preserve">1405 </w:t>
      </w:r>
      <w:r>
        <w:rPr>
          <w:noProof/>
          <w:lang w:val="fr-FR" w:eastAsia="es-BO"/>
        </w:rPr>
        <w:t>sur la Constitution</w:t>
      </w:r>
      <w:r w:rsidRPr="00DF456A">
        <w:rPr>
          <w:noProof/>
          <w:lang w:val="fr-FR" w:eastAsia="es-BO"/>
        </w:rPr>
        <w:t xml:space="preserve">. </w:t>
      </w:r>
      <w:r>
        <w:rPr>
          <w:noProof/>
          <w:lang w:val="fr-FR" w:eastAsia="es-BO"/>
        </w:rPr>
        <w:t>Ce sera l</w:t>
      </w:r>
      <w:r w:rsidR="00FB1114">
        <w:rPr>
          <w:noProof/>
          <w:lang w:val="fr-FR" w:eastAsia="es-BO"/>
        </w:rPr>
        <w:t>’</w:t>
      </w:r>
      <w:r>
        <w:rPr>
          <w:noProof/>
          <w:lang w:val="fr-FR" w:eastAsia="es-BO"/>
        </w:rPr>
        <w:t>occasion d</w:t>
      </w:r>
      <w:r w:rsidR="00FB1114">
        <w:rPr>
          <w:noProof/>
          <w:lang w:val="fr-FR" w:eastAsia="es-BO"/>
        </w:rPr>
        <w:t>’</w:t>
      </w:r>
      <w:r>
        <w:rPr>
          <w:noProof/>
          <w:lang w:val="fr-FR" w:eastAsia="es-BO"/>
        </w:rPr>
        <w:t>apporter les ajustements qui s</w:t>
      </w:r>
      <w:r w:rsidR="00FB1114">
        <w:rPr>
          <w:noProof/>
          <w:lang w:val="fr-FR" w:eastAsia="es-BO"/>
        </w:rPr>
        <w:t>’</w:t>
      </w:r>
      <w:r>
        <w:rPr>
          <w:noProof/>
          <w:lang w:val="fr-FR" w:eastAsia="es-BO"/>
        </w:rPr>
        <w:t>imposent au Code pénal militaire, au Code de procédure pénale militaire et à la loi sur l</w:t>
      </w:r>
      <w:r w:rsidR="00FB1114">
        <w:rPr>
          <w:noProof/>
          <w:lang w:val="fr-FR" w:eastAsia="es-BO"/>
        </w:rPr>
        <w:t>’</w:t>
      </w:r>
      <w:r>
        <w:rPr>
          <w:noProof/>
          <w:lang w:val="fr-FR" w:eastAsia="es-BO"/>
        </w:rPr>
        <w:t>organisation de la justice militaire</w:t>
      </w:r>
      <w:r w:rsidRPr="00DF456A">
        <w:rPr>
          <w:noProof/>
          <w:lang w:val="fr-FR" w:eastAsia="es-BO"/>
        </w:rPr>
        <w:t>.</w:t>
      </w:r>
    </w:p>
    <w:p w:rsidR="00614A7E" w:rsidRPr="004E561C" w:rsidRDefault="00614A7E" w:rsidP="00614A7E">
      <w:pPr>
        <w:pStyle w:val="SingleTxtG"/>
        <w:rPr>
          <w:noProof/>
          <w:lang w:val="fr-FR" w:eastAsia="es-BO"/>
        </w:rPr>
      </w:pPr>
      <w:r w:rsidRPr="004E561C">
        <w:rPr>
          <w:noProof/>
          <w:lang w:val="fr-FR" w:eastAsia="es-BO"/>
        </w:rPr>
        <w:t>90.</w:t>
      </w:r>
      <w:r w:rsidRPr="004E561C">
        <w:rPr>
          <w:noProof/>
          <w:lang w:val="fr-FR" w:eastAsia="es-BO"/>
        </w:rPr>
        <w:tab/>
        <w:t>Pour ce qui est de la deuxième partie de la recommandation, les membres du personnel militaire qui commettent des actes de tortures ou de mauvais traitements sont suspendus</w:t>
      </w:r>
      <w:r w:rsidRPr="004E561C">
        <w:rPr>
          <w:noProof/>
          <w:vertAlign w:val="superscript"/>
          <w:lang w:val="fr-FR" w:eastAsia="es-BO"/>
        </w:rPr>
        <w:footnoteReference w:id="52"/>
      </w:r>
      <w:r w:rsidRPr="004E561C">
        <w:rPr>
          <w:noProof/>
          <w:lang w:val="fr-FR" w:eastAsia="es-BO"/>
        </w:rPr>
        <w:t xml:space="preserve"> et poursuivis devant la justice ordinaire.</w:t>
      </w:r>
    </w:p>
    <w:p w:rsidR="00614A7E" w:rsidRPr="004E561C" w:rsidRDefault="00614A7E" w:rsidP="00614A7E">
      <w:pPr>
        <w:pStyle w:val="SingleTxtG"/>
        <w:rPr>
          <w:noProof/>
          <w:lang w:val="fr-FR" w:eastAsia="es-BO"/>
        </w:rPr>
      </w:pPr>
      <w:r w:rsidRPr="004E561C">
        <w:rPr>
          <w:noProof/>
          <w:lang w:val="fr-FR" w:eastAsia="es-BO"/>
        </w:rPr>
        <w:t>91.</w:t>
      </w:r>
      <w:r w:rsidRPr="004E561C">
        <w:rPr>
          <w:noProof/>
          <w:lang w:val="fr-FR" w:eastAsia="es-BO"/>
        </w:rPr>
        <w:tab/>
        <w:t>Le Ministère de la défense a adopté l</w:t>
      </w:r>
      <w:r w:rsidR="00FB1114">
        <w:rPr>
          <w:noProof/>
          <w:lang w:val="fr-FR" w:eastAsia="es-BO"/>
        </w:rPr>
        <w:t>’</w:t>
      </w:r>
      <w:r w:rsidRPr="004E561C">
        <w:rPr>
          <w:noProof/>
          <w:lang w:val="fr-FR" w:eastAsia="es-BO"/>
        </w:rPr>
        <w:t xml:space="preserve">arrêté </w:t>
      </w:r>
      <w:r w:rsidR="004E561C" w:rsidRPr="00857F6E">
        <w:rPr>
          <w:rFonts w:eastAsia="MS Mincho"/>
          <w:noProof/>
          <w:szCs w:val="22"/>
          <w:lang w:val="fr-FR"/>
        </w:rPr>
        <w:t>n</w:t>
      </w:r>
      <w:r w:rsidR="004E561C" w:rsidRPr="00857F6E">
        <w:rPr>
          <w:rFonts w:eastAsia="MS Mincho"/>
          <w:noProof/>
          <w:szCs w:val="22"/>
          <w:vertAlign w:val="superscript"/>
          <w:lang w:val="fr-FR"/>
        </w:rPr>
        <w:t>o</w:t>
      </w:r>
      <w:r w:rsidR="004E561C">
        <w:rPr>
          <w:noProof/>
          <w:lang w:val="fr-FR"/>
        </w:rPr>
        <w:t> </w:t>
      </w:r>
      <w:r w:rsidRPr="004E561C">
        <w:rPr>
          <w:noProof/>
          <w:lang w:val="fr-FR" w:eastAsia="es-BO"/>
        </w:rPr>
        <w:t>261/2011 en date du 5</w:t>
      </w:r>
      <w:r w:rsidR="004E561C">
        <w:rPr>
          <w:noProof/>
          <w:lang w:val="fr-FR" w:eastAsia="es-BO"/>
        </w:rPr>
        <w:t> </w:t>
      </w:r>
      <w:r w:rsidRPr="004E561C">
        <w:rPr>
          <w:noProof/>
          <w:lang w:val="fr-FR" w:eastAsia="es-BO"/>
        </w:rPr>
        <w:t xml:space="preserve">avril 2011, qui vise à assurer un traitement décent </w:t>
      </w:r>
      <w:r w:rsidRPr="004E561C">
        <w:rPr>
          <w:noProof/>
          <w:lang w:val="fr-FR"/>
        </w:rPr>
        <w:t>dans les instituts militaires et les casernes, pour les cadets, élèves, soldats et marins, ainsi que les personnes suivant une formation prémilitaire et</w:t>
      </w:r>
      <w:r w:rsidRPr="004E561C">
        <w:rPr>
          <w:noProof/>
          <w:lang w:val="fr-FR" w:eastAsia="es-BO"/>
        </w:rPr>
        <w:t xml:space="preserve"> le </w:t>
      </w:r>
      <w:r w:rsidRPr="004E561C">
        <w:rPr>
          <w:noProof/>
          <w:lang w:val="fr-FR"/>
        </w:rPr>
        <w:t>personnel d</w:t>
      </w:r>
      <w:r w:rsidR="00FB1114">
        <w:rPr>
          <w:noProof/>
          <w:lang w:val="fr-FR"/>
        </w:rPr>
        <w:t>’</w:t>
      </w:r>
      <w:r w:rsidRPr="004E561C">
        <w:rPr>
          <w:noProof/>
          <w:lang w:val="fr-FR"/>
        </w:rPr>
        <w:t>encadrement des forces armées, et interdit au personnel militaire d</w:t>
      </w:r>
      <w:r w:rsidR="00FB1114">
        <w:rPr>
          <w:noProof/>
          <w:lang w:val="fr-FR"/>
        </w:rPr>
        <w:t>’</w:t>
      </w:r>
      <w:r w:rsidRPr="004E561C">
        <w:rPr>
          <w:noProof/>
          <w:lang w:val="fr-FR"/>
        </w:rPr>
        <w:t>infliger des traitements cruels, humiliants ou dégradants portant atteinte à l</w:t>
      </w:r>
      <w:r w:rsidR="00FB1114">
        <w:rPr>
          <w:noProof/>
          <w:lang w:val="fr-FR"/>
        </w:rPr>
        <w:t>’</w:t>
      </w:r>
      <w:r w:rsidRPr="004E561C">
        <w:rPr>
          <w:noProof/>
          <w:lang w:val="fr-FR"/>
        </w:rPr>
        <w:t>intégrité physique ou psychologique</w:t>
      </w:r>
      <w:r w:rsidRPr="004E561C">
        <w:rPr>
          <w:noProof/>
          <w:lang w:val="fr-FR" w:eastAsia="es-BO"/>
        </w:rPr>
        <w:t xml:space="preserve"> (annexe</w:t>
      </w:r>
      <w:r w:rsidR="001500C6">
        <w:rPr>
          <w:noProof/>
          <w:lang w:val="fr-FR" w:eastAsia="es-BO"/>
        </w:rPr>
        <w:t> </w:t>
      </w:r>
      <w:r w:rsidRPr="004E561C">
        <w:rPr>
          <w:noProof/>
          <w:lang w:val="fr-FR" w:eastAsia="es-BO"/>
        </w:rPr>
        <w:t>25).</w:t>
      </w:r>
    </w:p>
    <w:p w:rsidR="00614A7E" w:rsidRPr="004E561C" w:rsidRDefault="00614A7E" w:rsidP="00614A7E">
      <w:pPr>
        <w:pStyle w:val="SingleTxtG"/>
        <w:rPr>
          <w:noProof/>
          <w:lang w:val="fr-FR" w:eastAsia="es-BO"/>
        </w:rPr>
      </w:pPr>
      <w:r w:rsidRPr="004E561C">
        <w:rPr>
          <w:noProof/>
          <w:lang w:val="fr-FR" w:eastAsia="es-BO"/>
        </w:rPr>
        <w:t>92.</w:t>
      </w:r>
      <w:r w:rsidRPr="004E561C">
        <w:rPr>
          <w:noProof/>
          <w:lang w:val="fr-FR" w:eastAsia="es-BO"/>
        </w:rPr>
        <w:tab/>
        <w:t>Le Ministère de la défense fait de l</w:t>
      </w:r>
      <w:r w:rsidR="00FB1114">
        <w:rPr>
          <w:noProof/>
          <w:lang w:val="fr-FR" w:eastAsia="es-BO"/>
        </w:rPr>
        <w:t>’</w:t>
      </w:r>
      <w:r w:rsidRPr="004E561C">
        <w:rPr>
          <w:noProof/>
          <w:lang w:val="fr-FR" w:eastAsia="es-BO"/>
        </w:rPr>
        <w:t>obtention du certificat de non-atteinte aux droits de la personne une condition à remplir par les membres du personnel des forces armées candidats à une promotion</w:t>
      </w:r>
      <w:r w:rsidRPr="004E561C">
        <w:rPr>
          <w:noProof/>
          <w:vertAlign w:val="superscript"/>
          <w:lang w:val="fr-FR" w:eastAsia="es-BO"/>
        </w:rPr>
        <w:footnoteReference w:id="53"/>
      </w:r>
      <w:r w:rsidRPr="004E561C">
        <w:rPr>
          <w:noProof/>
          <w:lang w:val="fr-FR" w:eastAsia="es-BO"/>
        </w:rPr>
        <w:t xml:space="preserve"> pour être élevé au grade immédiatement supérieur (annexe</w:t>
      </w:r>
      <w:r w:rsidR="004E561C">
        <w:rPr>
          <w:noProof/>
          <w:lang w:val="fr-FR" w:eastAsia="es-BO"/>
        </w:rPr>
        <w:t> </w:t>
      </w:r>
      <w:r w:rsidRPr="004E561C">
        <w:rPr>
          <w:noProof/>
          <w:lang w:val="fr-FR" w:eastAsia="es-BO"/>
        </w:rPr>
        <w:t>26).</w:t>
      </w:r>
    </w:p>
    <w:p w:rsidR="00614A7E" w:rsidRPr="001500C6" w:rsidRDefault="00614A7E" w:rsidP="00614A7E">
      <w:pPr>
        <w:pStyle w:val="SingleTxtG"/>
        <w:rPr>
          <w:noProof/>
          <w:lang w:val="fr-FR" w:eastAsia="es-BO"/>
        </w:rPr>
      </w:pPr>
      <w:r w:rsidRPr="00DF456A">
        <w:rPr>
          <w:noProof/>
          <w:lang w:val="fr-FR" w:eastAsia="es-BO"/>
        </w:rPr>
        <w:t>93.</w:t>
      </w:r>
      <w:r w:rsidRPr="00DF456A">
        <w:rPr>
          <w:noProof/>
          <w:lang w:val="fr-FR" w:eastAsia="es-BO"/>
        </w:rPr>
        <w:tab/>
      </w:r>
      <w:r w:rsidRPr="007F6ADF">
        <w:rPr>
          <w:noProof/>
          <w:lang w:val="fr-FR" w:eastAsia="es-BO"/>
        </w:rPr>
        <w:t>On a adopté le Programme pour bien vivre à la caserne</w:t>
      </w:r>
      <w:r w:rsidRPr="007F6ADF">
        <w:rPr>
          <w:noProof/>
          <w:sz w:val="18"/>
          <w:szCs w:val="18"/>
          <w:vertAlign w:val="superscript"/>
          <w:lang w:val="fr-FR" w:eastAsia="es-BO"/>
        </w:rPr>
        <w:footnoteReference w:id="54"/>
      </w:r>
      <w:r w:rsidRPr="007F6ADF">
        <w:rPr>
          <w:noProof/>
          <w:lang w:val="fr-FR" w:eastAsia="es-BO"/>
        </w:rPr>
        <w:t>, qui a pour</w:t>
      </w:r>
      <w:r>
        <w:rPr>
          <w:noProof/>
          <w:lang w:val="fr-FR" w:eastAsia="es-BO"/>
        </w:rPr>
        <w:t xml:space="preserve"> objectif de faire respecter la dignité humaine des soldats et des marins qui effectuent leur service militaire obligatoire </w:t>
      </w:r>
      <w:r w:rsidRPr="00DF456A">
        <w:rPr>
          <w:noProof/>
          <w:lang w:val="fr-FR" w:eastAsia="es-BO"/>
        </w:rPr>
        <w:t>(</w:t>
      </w:r>
      <w:r>
        <w:rPr>
          <w:noProof/>
          <w:lang w:val="fr-FR" w:eastAsia="es-BO"/>
        </w:rPr>
        <w:t>annexe</w:t>
      </w:r>
      <w:r w:rsidR="001500C6">
        <w:rPr>
          <w:noProof/>
          <w:lang w:val="fr-FR" w:eastAsia="es-BO"/>
        </w:rPr>
        <w:t> </w:t>
      </w:r>
      <w:r w:rsidRPr="00DF456A">
        <w:rPr>
          <w:noProof/>
          <w:lang w:val="fr-FR" w:eastAsia="es-BO"/>
        </w:rPr>
        <w:t>27)</w:t>
      </w:r>
      <w:r w:rsidR="001500C6">
        <w:rPr>
          <w:noProof/>
          <w:lang w:val="fr-FR" w:eastAsia="es-BO"/>
        </w:rPr>
        <w:t> </w:t>
      </w:r>
      <w:r w:rsidRPr="00DF456A">
        <w:rPr>
          <w:noProof/>
          <w:lang w:val="fr-FR" w:eastAsia="es-BO"/>
        </w:rPr>
        <w:t xml:space="preserve">; </w:t>
      </w:r>
      <w:r>
        <w:rPr>
          <w:noProof/>
          <w:lang w:val="fr-FR" w:eastAsia="es-BO"/>
        </w:rPr>
        <w:t>ce programme comprend les volets suivants :</w:t>
      </w:r>
    </w:p>
    <w:p w:rsidR="00614A7E" w:rsidRPr="001500C6" w:rsidRDefault="00614A7E" w:rsidP="00614A7E">
      <w:pPr>
        <w:pStyle w:val="Bullet1G"/>
        <w:numPr>
          <w:ilvl w:val="0"/>
          <w:numId w:val="0"/>
        </w:numPr>
        <w:tabs>
          <w:tab w:val="left" w:pos="1701"/>
        </w:tabs>
        <w:ind w:left="1701" w:hanging="170"/>
        <w:rPr>
          <w:noProof/>
          <w:lang w:val="fr-FR"/>
        </w:rPr>
      </w:pPr>
      <w:r w:rsidRPr="001500C6">
        <w:rPr>
          <w:noProof/>
          <w:lang w:val="fr-FR"/>
        </w:rPr>
        <w:t>•</w:t>
      </w:r>
      <w:r w:rsidRPr="001500C6">
        <w:rPr>
          <w:noProof/>
          <w:lang w:val="fr-FR"/>
        </w:rPr>
        <w:tab/>
        <w:t>Traitement</w:t>
      </w:r>
      <w:r w:rsidR="001500C6">
        <w:rPr>
          <w:noProof/>
          <w:lang w:val="fr-FR"/>
        </w:rPr>
        <w:t> </w:t>
      </w:r>
      <w:r w:rsidRPr="001500C6">
        <w:rPr>
          <w:noProof/>
          <w:lang w:val="fr-FR"/>
        </w:rPr>
        <w:t>: être à l</w:t>
      </w:r>
      <w:r w:rsidR="00FB1114">
        <w:rPr>
          <w:noProof/>
          <w:lang w:val="fr-FR"/>
        </w:rPr>
        <w:t>’</w:t>
      </w:r>
      <w:r w:rsidRPr="001500C6">
        <w:rPr>
          <w:noProof/>
          <w:lang w:val="fr-FR"/>
        </w:rPr>
        <w:t>abri de toutes les formes de mauvais traitements</w:t>
      </w:r>
      <w:r w:rsidR="001500C6">
        <w:rPr>
          <w:noProof/>
          <w:lang w:val="fr-FR"/>
        </w:rPr>
        <w:t> ;</w:t>
      </w:r>
    </w:p>
    <w:p w:rsidR="00614A7E" w:rsidRPr="001500C6" w:rsidRDefault="00614A7E" w:rsidP="00614A7E">
      <w:pPr>
        <w:pStyle w:val="Bullet1G"/>
        <w:numPr>
          <w:ilvl w:val="0"/>
          <w:numId w:val="0"/>
        </w:numPr>
        <w:tabs>
          <w:tab w:val="left" w:pos="1701"/>
        </w:tabs>
        <w:ind w:left="1701" w:hanging="170"/>
        <w:rPr>
          <w:noProof/>
          <w:lang w:val="fr-FR"/>
        </w:rPr>
      </w:pPr>
      <w:r w:rsidRPr="001500C6">
        <w:rPr>
          <w:noProof/>
          <w:lang w:val="fr-FR"/>
        </w:rPr>
        <w:t>•</w:t>
      </w:r>
      <w:r w:rsidRPr="001500C6">
        <w:rPr>
          <w:noProof/>
          <w:lang w:val="fr-FR"/>
        </w:rPr>
        <w:tab/>
        <w:t>Santé</w:t>
      </w:r>
      <w:r w:rsidR="001500C6">
        <w:rPr>
          <w:noProof/>
          <w:lang w:val="fr-FR"/>
        </w:rPr>
        <w:t> </w:t>
      </w:r>
      <w:r w:rsidRPr="001500C6">
        <w:rPr>
          <w:noProof/>
          <w:lang w:val="fr-FR"/>
        </w:rPr>
        <w:t>: bénéficier sans retard de soins médicaux de qualité. Services de santé adéquats assurés par un personnel médical et paramédical. Politiques de prévention sanitaire</w:t>
      </w:r>
      <w:r w:rsidR="001500C6">
        <w:rPr>
          <w:noProof/>
          <w:lang w:val="fr-FR"/>
        </w:rPr>
        <w:t> ;</w:t>
      </w:r>
    </w:p>
    <w:p w:rsidR="00614A7E" w:rsidRPr="001500C6" w:rsidRDefault="00614A7E" w:rsidP="00614A7E">
      <w:pPr>
        <w:pStyle w:val="Bullet1G"/>
        <w:numPr>
          <w:ilvl w:val="0"/>
          <w:numId w:val="0"/>
        </w:numPr>
        <w:tabs>
          <w:tab w:val="left" w:pos="1701"/>
        </w:tabs>
        <w:ind w:left="1701" w:hanging="170"/>
        <w:rPr>
          <w:noProof/>
          <w:lang w:val="fr-FR"/>
        </w:rPr>
      </w:pPr>
      <w:r w:rsidRPr="001500C6">
        <w:rPr>
          <w:noProof/>
          <w:lang w:val="fr-FR"/>
        </w:rPr>
        <w:t>•</w:t>
      </w:r>
      <w:r w:rsidRPr="001500C6">
        <w:rPr>
          <w:noProof/>
          <w:lang w:val="fr-FR"/>
        </w:rPr>
        <w:tab/>
        <w:t>Alimentation</w:t>
      </w:r>
      <w:r w:rsidR="001500C6">
        <w:rPr>
          <w:noProof/>
          <w:lang w:val="fr-FR"/>
        </w:rPr>
        <w:t> </w:t>
      </w:r>
      <w:r w:rsidRPr="001500C6">
        <w:rPr>
          <w:noProof/>
          <w:lang w:val="fr-FR"/>
        </w:rPr>
        <w:t xml:space="preserve">: conforme aux paramètres nutritionnels énoncés dans le </w:t>
      </w:r>
      <w:r w:rsidRPr="001500C6">
        <w:rPr>
          <w:i/>
          <w:noProof/>
          <w:lang w:val="fr-FR"/>
        </w:rPr>
        <w:t>Manual</w:t>
      </w:r>
      <w:r w:rsidR="004F1AAA">
        <w:rPr>
          <w:i/>
          <w:noProof/>
          <w:lang w:val="fr-FR"/>
        </w:rPr>
        <w:noBreakHyphen/>
      </w:r>
      <w:r w:rsidRPr="001500C6">
        <w:rPr>
          <w:i/>
          <w:noProof/>
          <w:lang w:val="fr-FR"/>
        </w:rPr>
        <w:t xml:space="preserve">Menú Regionalizado de uso práctico para el Soldado y Marinero Boliviano </w:t>
      </w:r>
      <w:r w:rsidRPr="001500C6">
        <w:rPr>
          <w:i/>
          <w:noProof/>
          <w:lang w:val="fr-FR"/>
        </w:rPr>
        <w:lastRenderedPageBreak/>
        <w:t>(</w:t>
      </w:r>
      <w:r w:rsidRPr="00ED0ACE">
        <w:rPr>
          <w:noProof/>
          <w:lang w:val="fr-FR"/>
        </w:rPr>
        <w:t>Manuel pratique sur les menus régionalisés à l</w:t>
      </w:r>
      <w:r w:rsidR="00FB1114" w:rsidRPr="00ED0ACE">
        <w:rPr>
          <w:noProof/>
          <w:lang w:val="fr-FR"/>
        </w:rPr>
        <w:t>’</w:t>
      </w:r>
      <w:r w:rsidRPr="00ED0ACE">
        <w:rPr>
          <w:noProof/>
          <w:lang w:val="fr-FR"/>
        </w:rPr>
        <w:t>intention des soldats et marins boliviens</w:t>
      </w:r>
      <w:r w:rsidRPr="001500C6">
        <w:rPr>
          <w:i/>
          <w:noProof/>
          <w:lang w:val="fr-FR"/>
        </w:rPr>
        <w:t>)</w:t>
      </w:r>
      <w:r w:rsidRPr="001500C6">
        <w:rPr>
          <w:noProof/>
          <w:vertAlign w:val="superscript"/>
          <w:lang w:val="fr-FR"/>
        </w:rPr>
        <w:footnoteReference w:id="55"/>
      </w:r>
      <w:r w:rsidR="004F1AAA">
        <w:rPr>
          <w:i/>
          <w:noProof/>
          <w:lang w:val="fr-FR"/>
        </w:rPr>
        <w:t> </w:t>
      </w:r>
      <w:r w:rsidR="004F1AAA">
        <w:rPr>
          <w:iCs/>
          <w:noProof/>
          <w:lang w:val="fr-FR"/>
        </w:rPr>
        <w:t>;</w:t>
      </w:r>
    </w:p>
    <w:p w:rsidR="00614A7E" w:rsidRPr="001500C6" w:rsidRDefault="00614A7E" w:rsidP="00614A7E">
      <w:pPr>
        <w:pStyle w:val="Bullet1G"/>
        <w:numPr>
          <w:ilvl w:val="0"/>
          <w:numId w:val="0"/>
        </w:numPr>
        <w:tabs>
          <w:tab w:val="left" w:pos="1701"/>
        </w:tabs>
        <w:ind w:left="1701" w:hanging="170"/>
        <w:rPr>
          <w:noProof/>
          <w:lang w:val="fr-FR"/>
        </w:rPr>
      </w:pPr>
      <w:r w:rsidRPr="001500C6">
        <w:rPr>
          <w:noProof/>
          <w:lang w:val="fr-FR"/>
        </w:rPr>
        <w:t>•</w:t>
      </w:r>
      <w:r w:rsidRPr="001500C6">
        <w:rPr>
          <w:noProof/>
          <w:lang w:val="fr-FR"/>
        </w:rPr>
        <w:tab/>
        <w:t>Infrastructure des casernes</w:t>
      </w:r>
      <w:r w:rsidR="004F1AAA">
        <w:rPr>
          <w:noProof/>
          <w:lang w:val="fr-FR"/>
        </w:rPr>
        <w:t> </w:t>
      </w:r>
      <w:r w:rsidRPr="001500C6">
        <w:rPr>
          <w:noProof/>
          <w:lang w:val="fr-FR"/>
        </w:rPr>
        <w:t>: infrastructure adéquate, comprenant les pièces nécessaires et les services de base</w:t>
      </w:r>
      <w:r w:rsidR="004F1AAA">
        <w:rPr>
          <w:noProof/>
          <w:lang w:val="fr-FR"/>
        </w:rPr>
        <w:t> ;</w:t>
      </w:r>
    </w:p>
    <w:p w:rsidR="00614A7E" w:rsidRPr="001500C6" w:rsidRDefault="00614A7E" w:rsidP="00614A7E">
      <w:pPr>
        <w:pStyle w:val="Bullet1G"/>
        <w:numPr>
          <w:ilvl w:val="0"/>
          <w:numId w:val="0"/>
        </w:numPr>
        <w:tabs>
          <w:tab w:val="left" w:pos="1701"/>
        </w:tabs>
        <w:ind w:left="1701" w:hanging="170"/>
        <w:rPr>
          <w:noProof/>
          <w:lang w:val="fr-FR"/>
        </w:rPr>
      </w:pPr>
      <w:r w:rsidRPr="001500C6">
        <w:rPr>
          <w:noProof/>
          <w:lang w:val="fr-FR"/>
        </w:rPr>
        <w:t>•</w:t>
      </w:r>
      <w:r w:rsidRPr="001500C6">
        <w:rPr>
          <w:noProof/>
          <w:lang w:val="fr-FR"/>
        </w:rPr>
        <w:tab/>
        <w:t>Ressources nécessaires</w:t>
      </w:r>
      <w:r w:rsidR="004F1AAA">
        <w:rPr>
          <w:noProof/>
          <w:lang w:val="fr-FR"/>
        </w:rPr>
        <w:t> </w:t>
      </w:r>
      <w:r w:rsidRPr="001500C6">
        <w:rPr>
          <w:noProof/>
          <w:lang w:val="fr-FR"/>
        </w:rPr>
        <w:t>: aliments et vêtements avec contrôle de qualité</w:t>
      </w:r>
      <w:r w:rsidR="004F1AAA">
        <w:rPr>
          <w:noProof/>
          <w:lang w:val="fr-FR"/>
        </w:rPr>
        <w:t> ;</w:t>
      </w:r>
    </w:p>
    <w:p w:rsidR="00614A7E" w:rsidRPr="001500C6" w:rsidRDefault="00614A7E" w:rsidP="00614A7E">
      <w:pPr>
        <w:pStyle w:val="Bullet1G"/>
        <w:numPr>
          <w:ilvl w:val="0"/>
          <w:numId w:val="0"/>
        </w:numPr>
        <w:tabs>
          <w:tab w:val="left" w:pos="1701"/>
        </w:tabs>
        <w:ind w:left="1701" w:hanging="170"/>
        <w:rPr>
          <w:noProof/>
          <w:lang w:val="fr-FR"/>
        </w:rPr>
      </w:pPr>
      <w:r w:rsidRPr="001500C6">
        <w:rPr>
          <w:noProof/>
          <w:lang w:val="fr-FR"/>
        </w:rPr>
        <w:t>•</w:t>
      </w:r>
      <w:r w:rsidRPr="001500C6">
        <w:rPr>
          <w:noProof/>
          <w:lang w:val="fr-FR"/>
        </w:rPr>
        <w:tab/>
        <w:t>Formation complète du soldat</w:t>
      </w:r>
      <w:r w:rsidR="004F1AAA">
        <w:rPr>
          <w:noProof/>
          <w:lang w:val="fr-FR"/>
        </w:rPr>
        <w:t> </w:t>
      </w:r>
      <w:r w:rsidRPr="001500C6">
        <w:rPr>
          <w:noProof/>
          <w:lang w:val="fr-FR"/>
        </w:rPr>
        <w:t xml:space="preserve">: mise en place des </w:t>
      </w:r>
      <w:r w:rsidR="007F6ADF">
        <w:rPr>
          <w:noProof/>
          <w:lang w:val="fr-FR"/>
        </w:rPr>
        <w:t>i</w:t>
      </w:r>
      <w:r w:rsidRPr="001500C6">
        <w:rPr>
          <w:noProof/>
          <w:lang w:val="fr-FR"/>
        </w:rPr>
        <w:t>nstituts militaires techniques, appui à l</w:t>
      </w:r>
      <w:r w:rsidR="00FB1114">
        <w:rPr>
          <w:noProof/>
          <w:lang w:val="fr-FR"/>
        </w:rPr>
        <w:t>’</w:t>
      </w:r>
      <w:r w:rsidRPr="001500C6">
        <w:rPr>
          <w:noProof/>
          <w:lang w:val="fr-FR"/>
        </w:rPr>
        <w:t>achèvement des études secondaires, techniques et universitaires, et accès à des bourses permettant aux soldats et marins qui se distinguent pendant le service militaire obligatoire de faire des études supérieures dans les établissements d</w:t>
      </w:r>
      <w:r w:rsidR="00FB1114">
        <w:rPr>
          <w:noProof/>
          <w:lang w:val="fr-FR"/>
        </w:rPr>
        <w:t>’</w:t>
      </w:r>
      <w:r w:rsidRPr="001500C6">
        <w:rPr>
          <w:noProof/>
          <w:lang w:val="fr-FR"/>
        </w:rPr>
        <w:t>enseignement relevant du Ministère de l</w:t>
      </w:r>
      <w:r w:rsidR="00FB1114">
        <w:rPr>
          <w:noProof/>
          <w:lang w:val="fr-FR"/>
        </w:rPr>
        <w:t>’</w:t>
      </w:r>
      <w:r w:rsidRPr="001500C6">
        <w:rPr>
          <w:noProof/>
          <w:lang w:val="fr-FR"/>
        </w:rPr>
        <w:t>éducation, et à l</w:t>
      </w:r>
      <w:r w:rsidR="00FB1114">
        <w:rPr>
          <w:noProof/>
          <w:lang w:val="fr-FR"/>
        </w:rPr>
        <w:t>’</w:t>
      </w:r>
      <w:r w:rsidR="007F6ADF">
        <w:rPr>
          <w:noProof/>
          <w:lang w:val="fr-FR"/>
        </w:rPr>
        <w:t>é</w:t>
      </w:r>
      <w:r w:rsidRPr="001500C6">
        <w:rPr>
          <w:noProof/>
          <w:lang w:val="fr-FR"/>
        </w:rPr>
        <w:t xml:space="preserve">cole et dans les </w:t>
      </w:r>
      <w:r w:rsidR="007F6ADF">
        <w:rPr>
          <w:noProof/>
          <w:lang w:val="fr-FR"/>
        </w:rPr>
        <w:t>i</w:t>
      </w:r>
      <w:r w:rsidRPr="001500C6">
        <w:rPr>
          <w:noProof/>
          <w:lang w:val="fr-FR"/>
        </w:rPr>
        <w:t>nstituts militaires de formation professionnelle en ingénierie</w:t>
      </w:r>
      <w:r w:rsidRPr="001500C6">
        <w:rPr>
          <w:rStyle w:val="Appelnotedebasdep"/>
          <w:noProof/>
          <w:sz w:val="20"/>
          <w:lang w:val="fr-FR"/>
        </w:rPr>
        <w:footnoteReference w:id="56"/>
      </w:r>
      <w:r w:rsidR="004F1AAA">
        <w:rPr>
          <w:noProof/>
          <w:lang w:val="fr-FR"/>
        </w:rPr>
        <w:t> ;</w:t>
      </w:r>
    </w:p>
    <w:p w:rsidR="00614A7E" w:rsidRPr="001500C6" w:rsidRDefault="00614A7E" w:rsidP="00614A7E">
      <w:pPr>
        <w:pStyle w:val="Bullet1G"/>
        <w:numPr>
          <w:ilvl w:val="0"/>
          <w:numId w:val="0"/>
        </w:numPr>
        <w:tabs>
          <w:tab w:val="left" w:pos="1701"/>
        </w:tabs>
        <w:ind w:left="1701" w:hanging="170"/>
        <w:rPr>
          <w:noProof/>
          <w:lang w:val="fr-FR"/>
        </w:rPr>
      </w:pPr>
      <w:r w:rsidRPr="001500C6">
        <w:rPr>
          <w:noProof/>
          <w:lang w:val="fr-FR"/>
        </w:rPr>
        <w:t>•</w:t>
      </w:r>
      <w:r w:rsidRPr="001500C6">
        <w:rPr>
          <w:noProof/>
          <w:lang w:val="fr-FR"/>
        </w:rPr>
        <w:tab/>
        <w:t>Prévention de tout acte raciste et de toute forme de discrimination</w:t>
      </w:r>
      <w:r w:rsidR="004F1AAA">
        <w:rPr>
          <w:noProof/>
          <w:lang w:val="fr-FR"/>
        </w:rPr>
        <w:t> </w:t>
      </w:r>
      <w:r w:rsidRPr="001500C6">
        <w:rPr>
          <w:noProof/>
          <w:lang w:val="fr-FR"/>
        </w:rPr>
        <w:t>:</w:t>
      </w:r>
      <w:r w:rsidRPr="001500C6">
        <w:rPr>
          <w:b/>
          <w:noProof/>
          <w:lang w:val="fr-FR"/>
        </w:rPr>
        <w:t xml:space="preserve"> </w:t>
      </w:r>
      <w:r w:rsidRPr="001500C6">
        <w:rPr>
          <w:noProof/>
          <w:lang w:val="fr-FR"/>
        </w:rPr>
        <w:t xml:space="preserve">formations et réunions organisées dans les unités militaires sur la loi </w:t>
      </w:r>
      <w:r w:rsidR="004F1AAA" w:rsidRPr="00857F6E">
        <w:rPr>
          <w:rFonts w:eastAsia="MS Mincho"/>
          <w:noProof/>
          <w:szCs w:val="22"/>
          <w:lang w:val="fr-FR"/>
        </w:rPr>
        <w:t>n</w:t>
      </w:r>
      <w:r w:rsidR="004F1AAA" w:rsidRPr="00857F6E">
        <w:rPr>
          <w:rFonts w:eastAsia="MS Mincho"/>
          <w:noProof/>
          <w:szCs w:val="22"/>
          <w:vertAlign w:val="superscript"/>
          <w:lang w:val="fr-FR"/>
        </w:rPr>
        <w:t>o</w:t>
      </w:r>
      <w:r w:rsidR="004F1AAA">
        <w:rPr>
          <w:noProof/>
          <w:lang w:val="fr-FR"/>
        </w:rPr>
        <w:t> </w:t>
      </w:r>
      <w:r w:rsidRPr="001500C6">
        <w:rPr>
          <w:noProof/>
          <w:lang w:val="fr-FR"/>
        </w:rPr>
        <w:t>045 du 8</w:t>
      </w:r>
      <w:r w:rsidR="004F1AAA">
        <w:rPr>
          <w:noProof/>
          <w:lang w:val="fr-FR"/>
        </w:rPr>
        <w:t> </w:t>
      </w:r>
      <w:r w:rsidRPr="001500C6">
        <w:rPr>
          <w:noProof/>
          <w:lang w:val="fr-FR"/>
        </w:rPr>
        <w:t xml:space="preserve">octobre 2010 sur la lutte contre le racisme et toutes les formes de discrimination (« loi </w:t>
      </w:r>
      <w:r w:rsidR="004F1AAA" w:rsidRPr="00857F6E">
        <w:rPr>
          <w:rFonts w:eastAsia="MS Mincho"/>
          <w:noProof/>
          <w:szCs w:val="22"/>
          <w:lang w:val="fr-FR"/>
        </w:rPr>
        <w:t>n</w:t>
      </w:r>
      <w:r w:rsidR="004F1AAA" w:rsidRPr="00857F6E">
        <w:rPr>
          <w:rFonts w:eastAsia="MS Mincho"/>
          <w:noProof/>
          <w:szCs w:val="22"/>
          <w:vertAlign w:val="superscript"/>
          <w:lang w:val="fr-FR"/>
        </w:rPr>
        <w:t>o</w:t>
      </w:r>
      <w:r w:rsidR="004F1AAA">
        <w:rPr>
          <w:noProof/>
          <w:lang w:val="fr-FR"/>
        </w:rPr>
        <w:t> </w:t>
      </w:r>
      <w:r w:rsidRPr="001500C6">
        <w:rPr>
          <w:noProof/>
          <w:lang w:val="fr-FR"/>
        </w:rPr>
        <w:t>045 ») (annexe</w:t>
      </w:r>
      <w:r w:rsidR="004F1AAA">
        <w:rPr>
          <w:noProof/>
          <w:lang w:val="fr-FR"/>
        </w:rPr>
        <w:t> </w:t>
      </w:r>
      <w:r w:rsidRPr="001500C6">
        <w:rPr>
          <w:noProof/>
          <w:lang w:val="fr-FR"/>
        </w:rPr>
        <w:t>28)</w:t>
      </w:r>
      <w:r w:rsidR="007F6ADF">
        <w:rPr>
          <w:noProof/>
          <w:lang w:val="fr-FR"/>
        </w:rPr>
        <w:t> </w:t>
      </w:r>
      <w:r w:rsidRPr="001500C6">
        <w:rPr>
          <w:noProof/>
          <w:lang w:val="fr-FR"/>
        </w:rPr>
        <w:t>; diffusion de l</w:t>
      </w:r>
      <w:r w:rsidR="00FB1114">
        <w:rPr>
          <w:noProof/>
          <w:lang w:val="fr-FR"/>
        </w:rPr>
        <w:t>’</w:t>
      </w:r>
      <w:r w:rsidRPr="001500C6">
        <w:rPr>
          <w:noProof/>
          <w:lang w:val="fr-FR"/>
        </w:rPr>
        <w:t xml:space="preserve">arrêté ministériel </w:t>
      </w:r>
      <w:r w:rsidR="004F1AAA" w:rsidRPr="00857F6E">
        <w:rPr>
          <w:rFonts w:eastAsia="MS Mincho"/>
          <w:noProof/>
          <w:szCs w:val="22"/>
          <w:lang w:val="fr-FR"/>
        </w:rPr>
        <w:t>n</w:t>
      </w:r>
      <w:r w:rsidR="004F1AAA" w:rsidRPr="00857F6E">
        <w:rPr>
          <w:rFonts w:eastAsia="MS Mincho"/>
          <w:noProof/>
          <w:szCs w:val="22"/>
          <w:vertAlign w:val="superscript"/>
          <w:lang w:val="fr-FR"/>
        </w:rPr>
        <w:t>o</w:t>
      </w:r>
      <w:r w:rsidR="004F1AAA">
        <w:rPr>
          <w:noProof/>
          <w:lang w:val="fr-FR"/>
        </w:rPr>
        <w:t> </w:t>
      </w:r>
      <w:r w:rsidRPr="001500C6">
        <w:rPr>
          <w:noProof/>
          <w:lang w:val="fr-FR"/>
        </w:rPr>
        <w:t>261 du 15</w:t>
      </w:r>
      <w:r w:rsidR="004F1AAA">
        <w:rPr>
          <w:noProof/>
          <w:lang w:val="fr-FR"/>
        </w:rPr>
        <w:t> </w:t>
      </w:r>
      <w:r w:rsidRPr="001500C6">
        <w:rPr>
          <w:noProof/>
          <w:lang w:val="fr-FR"/>
        </w:rPr>
        <w:t xml:space="preserve">avril 2011 relatif au traitement, et de la directive applicable aux forces armées </w:t>
      </w:r>
      <w:r w:rsidR="004F1AAA" w:rsidRPr="00857F6E">
        <w:rPr>
          <w:rFonts w:eastAsia="MS Mincho"/>
          <w:noProof/>
          <w:szCs w:val="22"/>
          <w:lang w:val="fr-FR"/>
        </w:rPr>
        <w:t>n</w:t>
      </w:r>
      <w:r w:rsidR="004F1AAA" w:rsidRPr="00857F6E">
        <w:rPr>
          <w:rFonts w:eastAsia="MS Mincho"/>
          <w:noProof/>
          <w:szCs w:val="22"/>
          <w:vertAlign w:val="superscript"/>
          <w:lang w:val="fr-FR"/>
        </w:rPr>
        <w:t>o</w:t>
      </w:r>
      <w:r w:rsidR="004F1AAA">
        <w:rPr>
          <w:noProof/>
          <w:lang w:val="fr-FR"/>
        </w:rPr>
        <w:t> </w:t>
      </w:r>
      <w:r w:rsidRPr="001500C6">
        <w:rPr>
          <w:noProof/>
          <w:lang w:val="fr-FR"/>
        </w:rPr>
        <w:t>09/13 du 12</w:t>
      </w:r>
      <w:r w:rsidR="004F1AAA">
        <w:rPr>
          <w:noProof/>
          <w:lang w:val="fr-FR"/>
        </w:rPr>
        <w:t> </w:t>
      </w:r>
      <w:r w:rsidRPr="001500C6">
        <w:rPr>
          <w:noProof/>
          <w:lang w:val="fr-FR"/>
        </w:rPr>
        <w:t>mars 2013, qui a pour objectif de former le personnel d</w:t>
      </w:r>
      <w:r w:rsidR="00FB1114">
        <w:rPr>
          <w:noProof/>
          <w:lang w:val="fr-FR"/>
        </w:rPr>
        <w:t>’</w:t>
      </w:r>
      <w:r w:rsidRPr="001500C6">
        <w:rPr>
          <w:noProof/>
          <w:lang w:val="fr-FR"/>
        </w:rPr>
        <w:t xml:space="preserve">encadrement et le personnel civil des forces armées à ne pas violer la loi générale sur la traite des personnes </w:t>
      </w:r>
      <w:r w:rsidR="004F1AAA" w:rsidRPr="00857F6E">
        <w:rPr>
          <w:rFonts w:eastAsia="MS Mincho"/>
          <w:noProof/>
          <w:szCs w:val="22"/>
          <w:lang w:val="fr-FR"/>
        </w:rPr>
        <w:t>n</w:t>
      </w:r>
      <w:r w:rsidR="004F1AAA" w:rsidRPr="00857F6E">
        <w:rPr>
          <w:rFonts w:eastAsia="MS Mincho"/>
          <w:noProof/>
          <w:szCs w:val="22"/>
          <w:vertAlign w:val="superscript"/>
          <w:lang w:val="fr-FR"/>
        </w:rPr>
        <w:t>o</w:t>
      </w:r>
      <w:r w:rsidR="004F1AAA">
        <w:rPr>
          <w:noProof/>
          <w:lang w:val="fr-FR"/>
        </w:rPr>
        <w:t> </w:t>
      </w:r>
      <w:r w:rsidRPr="001500C6">
        <w:rPr>
          <w:noProof/>
          <w:lang w:val="fr-FR"/>
        </w:rPr>
        <w:t>263 du 31</w:t>
      </w:r>
      <w:r w:rsidR="004F1AAA">
        <w:rPr>
          <w:noProof/>
          <w:lang w:val="fr-FR"/>
        </w:rPr>
        <w:t> </w:t>
      </w:r>
      <w:r w:rsidRPr="001500C6">
        <w:rPr>
          <w:noProof/>
          <w:lang w:val="fr-FR"/>
        </w:rPr>
        <w:t xml:space="preserve">juillet 2012 (« loi </w:t>
      </w:r>
      <w:r w:rsidR="004F1AAA" w:rsidRPr="00857F6E">
        <w:rPr>
          <w:rFonts w:eastAsia="MS Mincho"/>
          <w:noProof/>
          <w:szCs w:val="22"/>
          <w:lang w:val="fr-FR"/>
        </w:rPr>
        <w:t>n</w:t>
      </w:r>
      <w:r w:rsidR="004F1AAA" w:rsidRPr="00857F6E">
        <w:rPr>
          <w:rFonts w:eastAsia="MS Mincho"/>
          <w:noProof/>
          <w:szCs w:val="22"/>
          <w:vertAlign w:val="superscript"/>
          <w:lang w:val="fr-FR"/>
        </w:rPr>
        <w:t>o</w:t>
      </w:r>
      <w:r w:rsidR="004F1AAA">
        <w:rPr>
          <w:noProof/>
          <w:lang w:val="fr-FR"/>
        </w:rPr>
        <w:t> </w:t>
      </w:r>
      <w:r w:rsidRPr="001500C6">
        <w:rPr>
          <w:noProof/>
          <w:lang w:val="fr-FR"/>
        </w:rPr>
        <w:t>263 ») (annexe</w:t>
      </w:r>
      <w:r w:rsidR="004F1AAA">
        <w:rPr>
          <w:noProof/>
          <w:lang w:val="fr-FR"/>
        </w:rPr>
        <w:t> </w:t>
      </w:r>
      <w:r w:rsidRPr="001500C6">
        <w:rPr>
          <w:noProof/>
          <w:lang w:val="fr-FR"/>
        </w:rPr>
        <w:t xml:space="preserve">29), la loi </w:t>
      </w:r>
      <w:r w:rsidR="004F1AAA" w:rsidRPr="00857F6E">
        <w:rPr>
          <w:rFonts w:eastAsia="MS Mincho"/>
          <w:noProof/>
          <w:szCs w:val="22"/>
          <w:lang w:val="fr-FR"/>
        </w:rPr>
        <w:t>n</w:t>
      </w:r>
      <w:r w:rsidR="004F1AAA" w:rsidRPr="00857F6E">
        <w:rPr>
          <w:rFonts w:eastAsia="MS Mincho"/>
          <w:noProof/>
          <w:szCs w:val="22"/>
          <w:vertAlign w:val="superscript"/>
          <w:lang w:val="fr-FR"/>
        </w:rPr>
        <w:t>o</w:t>
      </w:r>
      <w:r w:rsidR="004F1AAA">
        <w:rPr>
          <w:noProof/>
          <w:lang w:val="fr-FR"/>
        </w:rPr>
        <w:t> </w:t>
      </w:r>
      <w:r w:rsidRPr="001500C6">
        <w:rPr>
          <w:noProof/>
          <w:lang w:val="fr-FR"/>
        </w:rPr>
        <w:t>045, la loi générale visant à garantir aux femmes une vie à l</w:t>
      </w:r>
      <w:r w:rsidR="00FB1114">
        <w:rPr>
          <w:noProof/>
          <w:lang w:val="fr-FR"/>
        </w:rPr>
        <w:t>’</w:t>
      </w:r>
      <w:r w:rsidRPr="001500C6">
        <w:rPr>
          <w:noProof/>
          <w:lang w:val="fr-FR"/>
        </w:rPr>
        <w:t xml:space="preserve">abri de la violence </w:t>
      </w:r>
      <w:r w:rsidR="004F1AAA" w:rsidRPr="00857F6E">
        <w:rPr>
          <w:rFonts w:eastAsia="MS Mincho"/>
          <w:noProof/>
          <w:szCs w:val="22"/>
          <w:lang w:val="fr-FR"/>
        </w:rPr>
        <w:t>n</w:t>
      </w:r>
      <w:r w:rsidR="004F1AAA" w:rsidRPr="00857F6E">
        <w:rPr>
          <w:rFonts w:eastAsia="MS Mincho"/>
          <w:noProof/>
          <w:szCs w:val="22"/>
          <w:vertAlign w:val="superscript"/>
          <w:lang w:val="fr-FR"/>
        </w:rPr>
        <w:t>o</w:t>
      </w:r>
      <w:r w:rsidR="004F1AAA">
        <w:rPr>
          <w:noProof/>
          <w:lang w:val="fr-FR"/>
        </w:rPr>
        <w:t> </w:t>
      </w:r>
      <w:r w:rsidRPr="001500C6">
        <w:rPr>
          <w:noProof/>
          <w:lang w:val="fr-FR"/>
        </w:rPr>
        <w:t>348 du 9</w:t>
      </w:r>
      <w:r w:rsidR="004F1AAA">
        <w:rPr>
          <w:noProof/>
          <w:lang w:val="fr-FR"/>
        </w:rPr>
        <w:t> </w:t>
      </w:r>
      <w:r w:rsidRPr="001500C6">
        <w:rPr>
          <w:noProof/>
          <w:lang w:val="fr-FR"/>
        </w:rPr>
        <w:t>mars 2013 (« loi</w:t>
      </w:r>
      <w:r w:rsidR="004F1AAA">
        <w:rPr>
          <w:noProof/>
          <w:lang w:val="fr-FR"/>
        </w:rPr>
        <w:t> </w:t>
      </w:r>
      <w:r w:rsidR="004F1AAA" w:rsidRPr="00857F6E">
        <w:rPr>
          <w:rFonts w:eastAsia="MS Mincho"/>
          <w:noProof/>
          <w:szCs w:val="22"/>
          <w:lang w:val="fr-FR"/>
        </w:rPr>
        <w:t>n</w:t>
      </w:r>
      <w:r w:rsidR="004F1AAA" w:rsidRPr="00857F6E">
        <w:rPr>
          <w:rFonts w:eastAsia="MS Mincho"/>
          <w:noProof/>
          <w:szCs w:val="22"/>
          <w:vertAlign w:val="superscript"/>
          <w:lang w:val="fr-FR"/>
        </w:rPr>
        <w:t>o</w:t>
      </w:r>
      <w:r w:rsidR="004F1AAA">
        <w:rPr>
          <w:noProof/>
          <w:lang w:val="fr-FR"/>
        </w:rPr>
        <w:t> </w:t>
      </w:r>
      <w:r w:rsidRPr="001500C6">
        <w:rPr>
          <w:noProof/>
          <w:lang w:val="fr-FR"/>
        </w:rPr>
        <w:t>348 ») et la loi sur la lutte contre la corruption et l</w:t>
      </w:r>
      <w:r w:rsidR="00FB1114">
        <w:rPr>
          <w:noProof/>
          <w:lang w:val="fr-FR"/>
        </w:rPr>
        <w:t>’</w:t>
      </w:r>
      <w:r w:rsidRPr="001500C6">
        <w:rPr>
          <w:noProof/>
          <w:lang w:val="fr-FR"/>
        </w:rPr>
        <w:t>enrichissement illicite et l</w:t>
      </w:r>
      <w:r w:rsidR="00FB1114">
        <w:rPr>
          <w:noProof/>
          <w:lang w:val="fr-FR"/>
        </w:rPr>
        <w:t>’</w:t>
      </w:r>
      <w:r w:rsidRPr="001500C6">
        <w:rPr>
          <w:noProof/>
          <w:lang w:val="fr-FR"/>
        </w:rPr>
        <w:t>ouverture d</w:t>
      </w:r>
      <w:r w:rsidR="00FB1114">
        <w:rPr>
          <w:noProof/>
          <w:lang w:val="fr-FR"/>
        </w:rPr>
        <w:t>’</w:t>
      </w:r>
      <w:r w:rsidRPr="001500C6">
        <w:rPr>
          <w:noProof/>
          <w:lang w:val="fr-FR"/>
        </w:rPr>
        <w:t>enquêtes concernant la constitution de fortunes</w:t>
      </w:r>
      <w:r w:rsidRPr="001500C6">
        <w:rPr>
          <w:lang w:val="fr-FR"/>
        </w:rPr>
        <w:t xml:space="preserve"> «</w:t>
      </w:r>
      <w:r w:rsidR="00425D51">
        <w:rPr>
          <w:lang w:val="fr-FR"/>
        </w:rPr>
        <w:t> </w:t>
      </w:r>
      <w:r w:rsidRPr="001500C6">
        <w:rPr>
          <w:lang w:val="fr-FR"/>
        </w:rPr>
        <w:t>Marcelo Quiroga Santa Cruz</w:t>
      </w:r>
      <w:r w:rsidR="004F1AAA">
        <w:rPr>
          <w:lang w:val="fr-FR"/>
        </w:rPr>
        <w:t> </w:t>
      </w:r>
      <w:r w:rsidRPr="001500C6">
        <w:rPr>
          <w:lang w:val="fr-FR"/>
        </w:rPr>
        <w:t>»</w:t>
      </w:r>
      <w:r w:rsidRPr="001500C6">
        <w:rPr>
          <w:noProof/>
          <w:lang w:val="fr-FR"/>
        </w:rPr>
        <w:t xml:space="preserve"> </w:t>
      </w:r>
      <w:r w:rsidR="004F1AAA" w:rsidRPr="00857F6E">
        <w:rPr>
          <w:rFonts w:eastAsia="MS Mincho"/>
          <w:noProof/>
          <w:szCs w:val="22"/>
          <w:lang w:val="fr-FR"/>
        </w:rPr>
        <w:t>n</w:t>
      </w:r>
      <w:r w:rsidR="004F1AAA" w:rsidRPr="00857F6E">
        <w:rPr>
          <w:rFonts w:eastAsia="MS Mincho"/>
          <w:noProof/>
          <w:szCs w:val="22"/>
          <w:vertAlign w:val="superscript"/>
          <w:lang w:val="fr-FR"/>
        </w:rPr>
        <w:t>o</w:t>
      </w:r>
      <w:r w:rsidR="004F1AAA">
        <w:rPr>
          <w:noProof/>
          <w:lang w:val="fr-FR"/>
        </w:rPr>
        <w:t> </w:t>
      </w:r>
      <w:r w:rsidRPr="001500C6">
        <w:rPr>
          <w:noProof/>
          <w:lang w:val="fr-FR"/>
        </w:rPr>
        <w:t>004 du 31</w:t>
      </w:r>
      <w:r w:rsidR="00425D51">
        <w:rPr>
          <w:noProof/>
          <w:lang w:val="fr-FR"/>
        </w:rPr>
        <w:t> </w:t>
      </w:r>
      <w:r w:rsidRPr="001500C6">
        <w:rPr>
          <w:noProof/>
          <w:lang w:val="fr-FR"/>
        </w:rPr>
        <w:t>mars 2010 (annexe</w:t>
      </w:r>
      <w:r w:rsidR="00425D51">
        <w:rPr>
          <w:noProof/>
          <w:lang w:val="fr-FR"/>
        </w:rPr>
        <w:t> </w:t>
      </w:r>
      <w:r w:rsidRPr="001500C6">
        <w:rPr>
          <w:noProof/>
          <w:lang w:val="fr-FR"/>
        </w:rPr>
        <w:t>30).</w:t>
      </w:r>
    </w:p>
    <w:p w:rsidR="00614A7E" w:rsidRPr="00DF456A" w:rsidRDefault="00614A7E" w:rsidP="00614A7E">
      <w:pPr>
        <w:pStyle w:val="H1G"/>
        <w:rPr>
          <w:noProof/>
          <w:lang w:val="fr-FR" w:eastAsia="es-BO"/>
        </w:rPr>
      </w:pPr>
      <w:r w:rsidRPr="00DF456A">
        <w:rPr>
          <w:noProof/>
          <w:lang w:val="fr-FR" w:eastAsia="es-BO"/>
        </w:rPr>
        <w:tab/>
      </w:r>
      <w:r w:rsidRPr="00DF456A">
        <w:rPr>
          <w:noProof/>
          <w:lang w:val="fr-FR" w:eastAsia="es-BO"/>
        </w:rPr>
        <w:tab/>
        <w:t>Lu</w:t>
      </w:r>
      <w:r>
        <w:rPr>
          <w:noProof/>
          <w:lang w:val="fr-FR" w:eastAsia="es-BO"/>
        </w:rPr>
        <w:t>tte contre l</w:t>
      </w:r>
      <w:r w:rsidR="00FB1114">
        <w:rPr>
          <w:noProof/>
          <w:lang w:val="fr-FR" w:eastAsia="es-BO"/>
        </w:rPr>
        <w:t>’</w:t>
      </w:r>
      <w:r w:rsidRPr="00DF456A">
        <w:rPr>
          <w:noProof/>
          <w:lang w:val="fr-FR" w:eastAsia="es-BO"/>
        </w:rPr>
        <w:t>impuni</w:t>
      </w:r>
      <w:r>
        <w:rPr>
          <w:noProof/>
          <w:lang w:val="fr-FR" w:eastAsia="es-BO"/>
        </w:rPr>
        <w:t>té et</w:t>
      </w:r>
      <w:r w:rsidRPr="00DF456A">
        <w:rPr>
          <w:noProof/>
          <w:lang w:val="fr-FR" w:eastAsia="es-BO"/>
        </w:rPr>
        <w:t xml:space="preserve"> me</w:t>
      </w:r>
      <w:r>
        <w:rPr>
          <w:noProof/>
          <w:lang w:val="fr-FR" w:eastAsia="es-BO"/>
        </w:rPr>
        <w:t xml:space="preserve">sures </w:t>
      </w:r>
      <w:r w:rsidRPr="00DF456A">
        <w:rPr>
          <w:noProof/>
          <w:lang w:val="fr-FR" w:eastAsia="es-BO"/>
        </w:rPr>
        <w:t>de r</w:t>
      </w:r>
      <w:r>
        <w:rPr>
          <w:noProof/>
          <w:lang w:val="fr-FR" w:eastAsia="es-BO"/>
        </w:rPr>
        <w:t>é</w:t>
      </w:r>
      <w:r w:rsidRPr="00DF456A">
        <w:rPr>
          <w:noProof/>
          <w:lang w:val="fr-FR" w:eastAsia="es-BO"/>
        </w:rPr>
        <w:t>para</w:t>
      </w:r>
      <w:r>
        <w:rPr>
          <w:noProof/>
          <w:lang w:val="fr-FR" w:eastAsia="es-BO"/>
        </w:rPr>
        <w:t>tion s</w:t>
      </w:r>
      <w:r w:rsidR="00FB1114">
        <w:rPr>
          <w:noProof/>
          <w:lang w:val="fr-FR" w:eastAsia="es-BO"/>
        </w:rPr>
        <w:t>’</w:t>
      </w:r>
      <w:r>
        <w:rPr>
          <w:noProof/>
          <w:lang w:val="fr-FR" w:eastAsia="es-BO"/>
        </w:rPr>
        <w:t xml:space="preserve">agissant </w:t>
      </w:r>
      <w:r w:rsidR="00301EC7">
        <w:rPr>
          <w:noProof/>
          <w:lang w:val="fr-FR" w:eastAsia="es-BO"/>
        </w:rPr>
        <w:br/>
      </w:r>
      <w:r>
        <w:rPr>
          <w:noProof/>
          <w:lang w:val="fr-FR" w:eastAsia="es-BO"/>
        </w:rPr>
        <w:t>des violations des droits de la personne commises par le passé</w:t>
      </w:r>
    </w:p>
    <w:p w:rsidR="00614A7E" w:rsidRPr="0042274E" w:rsidRDefault="00614A7E" w:rsidP="00614A7E">
      <w:pPr>
        <w:pStyle w:val="SingleTxtG"/>
        <w:rPr>
          <w:noProof/>
          <w:lang w:val="fr-FR" w:eastAsia="es-BO"/>
        </w:rPr>
      </w:pPr>
      <w:r w:rsidRPr="00DF456A">
        <w:rPr>
          <w:noProof/>
          <w:lang w:val="fr-FR" w:eastAsia="es-BO"/>
        </w:rPr>
        <w:t>94.</w:t>
      </w:r>
      <w:r w:rsidRPr="00DF456A">
        <w:rPr>
          <w:noProof/>
          <w:lang w:val="fr-FR" w:eastAsia="es-BO"/>
        </w:rPr>
        <w:tab/>
      </w:r>
      <w:r>
        <w:rPr>
          <w:noProof/>
          <w:lang w:val="fr-FR" w:eastAsia="es-BO"/>
        </w:rPr>
        <w:t xml:space="preserve">La loi </w:t>
      </w:r>
      <w:r w:rsidR="0042274E" w:rsidRPr="00857F6E">
        <w:rPr>
          <w:rFonts w:eastAsia="MS Mincho"/>
          <w:noProof/>
          <w:szCs w:val="22"/>
          <w:lang w:val="fr-FR"/>
        </w:rPr>
        <w:t>n</w:t>
      </w:r>
      <w:r w:rsidR="0042274E" w:rsidRPr="00857F6E">
        <w:rPr>
          <w:rFonts w:eastAsia="MS Mincho"/>
          <w:noProof/>
          <w:szCs w:val="22"/>
          <w:vertAlign w:val="superscript"/>
          <w:lang w:val="fr-FR"/>
        </w:rPr>
        <w:t>o</w:t>
      </w:r>
      <w:r w:rsidR="0042274E">
        <w:rPr>
          <w:noProof/>
          <w:lang w:val="fr-FR"/>
        </w:rPr>
        <w:t> </w:t>
      </w:r>
      <w:r w:rsidRPr="00DF456A">
        <w:rPr>
          <w:noProof/>
          <w:lang w:val="fr-FR" w:eastAsia="es-BO"/>
        </w:rPr>
        <w:t>879 d</w:t>
      </w:r>
      <w:r>
        <w:rPr>
          <w:noProof/>
          <w:lang w:val="fr-FR" w:eastAsia="es-BO"/>
        </w:rPr>
        <w:t>u</w:t>
      </w:r>
      <w:r w:rsidRPr="00DF456A">
        <w:rPr>
          <w:noProof/>
          <w:lang w:val="fr-FR" w:eastAsia="es-BO"/>
        </w:rPr>
        <w:t xml:space="preserve"> 23</w:t>
      </w:r>
      <w:r w:rsidR="0042274E">
        <w:rPr>
          <w:noProof/>
          <w:lang w:val="fr-FR" w:eastAsia="es-BO"/>
        </w:rPr>
        <w:t> </w:t>
      </w:r>
      <w:r w:rsidRPr="00DF456A">
        <w:rPr>
          <w:noProof/>
          <w:lang w:val="fr-FR" w:eastAsia="es-BO"/>
        </w:rPr>
        <w:t>d</w:t>
      </w:r>
      <w:r>
        <w:rPr>
          <w:noProof/>
          <w:lang w:val="fr-FR" w:eastAsia="es-BO"/>
        </w:rPr>
        <w:t xml:space="preserve">écembre </w:t>
      </w:r>
      <w:r w:rsidRPr="00DF456A">
        <w:rPr>
          <w:noProof/>
          <w:lang w:val="fr-FR" w:eastAsia="es-BO"/>
        </w:rPr>
        <w:t>2016 (</w:t>
      </w:r>
      <w:r>
        <w:rPr>
          <w:noProof/>
          <w:lang w:val="fr-FR" w:eastAsia="es-BO"/>
        </w:rPr>
        <w:t xml:space="preserve">« loi </w:t>
      </w:r>
      <w:r w:rsidR="0042274E" w:rsidRPr="00857F6E">
        <w:rPr>
          <w:rFonts w:eastAsia="MS Mincho"/>
          <w:noProof/>
          <w:szCs w:val="22"/>
          <w:lang w:val="fr-FR"/>
        </w:rPr>
        <w:t>n</w:t>
      </w:r>
      <w:r w:rsidR="0042274E" w:rsidRPr="00857F6E">
        <w:rPr>
          <w:rFonts w:eastAsia="MS Mincho"/>
          <w:noProof/>
          <w:szCs w:val="22"/>
          <w:vertAlign w:val="superscript"/>
          <w:lang w:val="fr-FR"/>
        </w:rPr>
        <w:t>o</w:t>
      </w:r>
      <w:r w:rsidR="0042274E">
        <w:rPr>
          <w:noProof/>
          <w:lang w:val="fr-FR"/>
        </w:rPr>
        <w:t> </w:t>
      </w:r>
      <w:r w:rsidRPr="00DF456A">
        <w:rPr>
          <w:noProof/>
          <w:lang w:val="fr-FR" w:eastAsia="es-BO"/>
        </w:rPr>
        <w:t>879</w:t>
      </w:r>
      <w:r>
        <w:rPr>
          <w:noProof/>
          <w:lang w:val="fr-FR" w:eastAsia="es-BO"/>
        </w:rPr>
        <w:t> »</w:t>
      </w:r>
      <w:r w:rsidRPr="00DF456A">
        <w:rPr>
          <w:noProof/>
          <w:lang w:val="fr-FR" w:eastAsia="es-BO"/>
        </w:rPr>
        <w:t>)</w:t>
      </w:r>
      <w:r>
        <w:rPr>
          <w:noProof/>
          <w:lang w:val="fr-FR" w:eastAsia="es-BO"/>
        </w:rPr>
        <w:t xml:space="preserve"> a porté création de </w:t>
      </w:r>
      <w:r w:rsidRPr="00DF456A">
        <w:rPr>
          <w:noProof/>
          <w:lang w:val="fr-FR" w:eastAsia="es-BO"/>
        </w:rPr>
        <w:t>la Co</w:t>
      </w:r>
      <w:r>
        <w:rPr>
          <w:noProof/>
          <w:lang w:val="fr-FR" w:eastAsia="es-BO"/>
        </w:rPr>
        <w:t>m</w:t>
      </w:r>
      <w:r w:rsidRPr="00DF456A">
        <w:rPr>
          <w:noProof/>
          <w:lang w:val="fr-FR" w:eastAsia="es-BO"/>
        </w:rPr>
        <w:t>mis</w:t>
      </w:r>
      <w:r>
        <w:rPr>
          <w:noProof/>
          <w:lang w:val="fr-FR" w:eastAsia="es-BO"/>
        </w:rPr>
        <w:t xml:space="preserve">sion de la </w:t>
      </w:r>
      <w:r w:rsidRPr="005015F6">
        <w:rPr>
          <w:noProof/>
          <w:lang w:val="fr-FR" w:eastAsia="es-BO"/>
        </w:rPr>
        <w:t xml:space="preserve">vérité </w:t>
      </w:r>
      <w:r w:rsidRPr="005015F6">
        <w:rPr>
          <w:noProof/>
          <w:lang w:val="fr-FR"/>
        </w:rPr>
        <w:t>pour faire la lumière sur les graves violations des droits de la personne que sont les assassinats, les disparitions forcées, les actes de torture, la détention arbitraire et les violences sexuelles qui ont été commises en Bolivie pour des raisons politiques et idéologiques entre le 4</w:t>
      </w:r>
      <w:r w:rsidR="0042274E">
        <w:rPr>
          <w:noProof/>
          <w:lang w:val="fr-FR"/>
        </w:rPr>
        <w:t> </w:t>
      </w:r>
      <w:r w:rsidRPr="005015F6">
        <w:rPr>
          <w:noProof/>
          <w:lang w:val="fr-FR"/>
        </w:rPr>
        <w:t>novembre 1964 et le 10</w:t>
      </w:r>
      <w:r w:rsidR="0042274E">
        <w:rPr>
          <w:noProof/>
          <w:lang w:val="fr-FR"/>
        </w:rPr>
        <w:t> </w:t>
      </w:r>
      <w:r w:rsidRPr="005015F6">
        <w:rPr>
          <w:noProof/>
          <w:lang w:val="fr-FR"/>
        </w:rPr>
        <w:t>octobre 1982</w:t>
      </w:r>
      <w:r w:rsidRPr="00DF456A">
        <w:rPr>
          <w:noProof/>
          <w:lang w:val="fr-FR" w:eastAsia="es-BO"/>
        </w:rPr>
        <w:t>.</w:t>
      </w:r>
    </w:p>
    <w:p w:rsidR="00614A7E" w:rsidRPr="00CB6489" w:rsidRDefault="00614A7E" w:rsidP="00614A7E">
      <w:pPr>
        <w:pStyle w:val="SingleTxtG"/>
        <w:rPr>
          <w:noProof/>
          <w:lang w:val="fr-FR" w:eastAsia="es-BO"/>
        </w:rPr>
      </w:pPr>
      <w:r w:rsidRPr="00DF456A">
        <w:rPr>
          <w:noProof/>
          <w:lang w:val="fr-FR" w:eastAsia="es-BO"/>
        </w:rPr>
        <w:t>95.</w:t>
      </w:r>
      <w:r w:rsidRPr="00DF456A">
        <w:rPr>
          <w:noProof/>
          <w:lang w:val="fr-FR" w:eastAsia="es-BO"/>
        </w:rPr>
        <w:tab/>
      </w:r>
      <w:r w:rsidRPr="005015F6">
        <w:rPr>
          <w:noProof/>
          <w:lang w:val="fr-FR"/>
        </w:rPr>
        <w:t>La Commission de la vérité est composée de cinq (5) membres non rémunérés qui sont connus et choisis pour leur impartialité, leur professionnalisme, leur éthique, leur</w:t>
      </w:r>
      <w:r w:rsidRPr="005015F6">
        <w:rPr>
          <w:noProof/>
          <w:lang w:val="fr-FR" w:eastAsia="es-BO"/>
        </w:rPr>
        <w:t xml:space="preserve"> </w:t>
      </w:r>
      <w:r w:rsidRPr="005015F6">
        <w:rPr>
          <w:noProof/>
          <w:lang w:val="fr-FR"/>
        </w:rPr>
        <w:t>intégrité et leur engagement en faveur de la promotion des droits de la personne, et qui connaissent la réalité vécue au cours de la période définie à l</w:t>
      </w:r>
      <w:r w:rsidR="00FB1114">
        <w:rPr>
          <w:noProof/>
          <w:lang w:val="fr-FR"/>
        </w:rPr>
        <w:t>’</w:t>
      </w:r>
      <w:r w:rsidRPr="005015F6">
        <w:rPr>
          <w:noProof/>
          <w:lang w:val="fr-FR"/>
        </w:rPr>
        <w:t>article</w:t>
      </w:r>
      <w:r w:rsidR="00301EC7">
        <w:rPr>
          <w:noProof/>
          <w:lang w:val="fr-FR"/>
        </w:rPr>
        <w:t> </w:t>
      </w:r>
      <w:r w:rsidRPr="005015F6">
        <w:rPr>
          <w:noProof/>
          <w:lang w:val="fr-FR"/>
        </w:rPr>
        <w:t>premier de la loi</w:t>
      </w:r>
      <w:r w:rsidR="0042274E">
        <w:rPr>
          <w:noProof/>
          <w:lang w:val="fr-FR"/>
        </w:rPr>
        <w:t> </w:t>
      </w:r>
      <w:r w:rsidR="0042274E" w:rsidRPr="00857F6E">
        <w:rPr>
          <w:rFonts w:eastAsia="MS Mincho"/>
          <w:noProof/>
          <w:szCs w:val="22"/>
          <w:lang w:val="fr-FR"/>
        </w:rPr>
        <w:t>n</w:t>
      </w:r>
      <w:r w:rsidR="0042274E" w:rsidRPr="00857F6E">
        <w:rPr>
          <w:rFonts w:eastAsia="MS Mincho"/>
          <w:noProof/>
          <w:szCs w:val="22"/>
          <w:vertAlign w:val="superscript"/>
          <w:lang w:val="fr-FR"/>
        </w:rPr>
        <w:t>o</w:t>
      </w:r>
      <w:r w:rsidR="0042274E">
        <w:rPr>
          <w:noProof/>
          <w:lang w:val="fr-FR"/>
        </w:rPr>
        <w:t> </w:t>
      </w:r>
      <w:r w:rsidRPr="005015F6">
        <w:rPr>
          <w:noProof/>
          <w:lang w:val="fr-FR"/>
        </w:rPr>
        <w:t>879. Les membres de la Commission de la vérité ont été nommés par le Président de l</w:t>
      </w:r>
      <w:r w:rsidR="00FB1114">
        <w:rPr>
          <w:noProof/>
          <w:lang w:val="fr-FR"/>
        </w:rPr>
        <w:t>’</w:t>
      </w:r>
      <w:r w:rsidRPr="005015F6">
        <w:rPr>
          <w:noProof/>
          <w:lang w:val="fr-FR"/>
        </w:rPr>
        <w:t>État plurinational le 21</w:t>
      </w:r>
      <w:r w:rsidR="00CB6489">
        <w:rPr>
          <w:noProof/>
          <w:lang w:val="fr-FR"/>
        </w:rPr>
        <w:t> </w:t>
      </w:r>
      <w:r w:rsidRPr="005015F6">
        <w:rPr>
          <w:noProof/>
          <w:lang w:val="fr-FR"/>
        </w:rPr>
        <w:t>août 2017</w:t>
      </w:r>
      <w:r w:rsidRPr="00DF456A">
        <w:rPr>
          <w:noProof/>
          <w:lang w:val="fr-FR" w:eastAsia="es-BO"/>
        </w:rPr>
        <w:t>. La Com</w:t>
      </w:r>
      <w:r>
        <w:rPr>
          <w:noProof/>
          <w:lang w:val="fr-FR" w:eastAsia="es-BO"/>
        </w:rPr>
        <w:t>mision de la vérité dispose d</w:t>
      </w:r>
      <w:r w:rsidR="00FB1114">
        <w:rPr>
          <w:noProof/>
          <w:lang w:val="fr-FR" w:eastAsia="es-BO"/>
        </w:rPr>
        <w:t>’</w:t>
      </w:r>
      <w:r>
        <w:rPr>
          <w:noProof/>
          <w:lang w:val="fr-FR" w:eastAsia="es-BO"/>
        </w:rPr>
        <w:t>un secrétariat technique</w:t>
      </w:r>
      <w:r w:rsidRPr="00DF456A">
        <w:rPr>
          <w:bCs/>
          <w:noProof/>
          <w:sz w:val="18"/>
          <w:szCs w:val="18"/>
          <w:vertAlign w:val="superscript"/>
          <w:lang w:val="fr-FR" w:eastAsia="es-BO"/>
        </w:rPr>
        <w:footnoteReference w:id="57"/>
      </w:r>
      <w:r w:rsidRPr="00DF456A">
        <w:rPr>
          <w:bCs/>
          <w:noProof/>
          <w:lang w:val="fr-FR" w:eastAsia="es-BO"/>
        </w:rPr>
        <w:t xml:space="preserve"> </w:t>
      </w:r>
      <w:r>
        <w:rPr>
          <w:bCs/>
          <w:noProof/>
          <w:lang w:val="fr-FR" w:eastAsia="es-BO"/>
        </w:rPr>
        <w:t xml:space="preserve">assuré par </w:t>
      </w:r>
      <w:r>
        <w:rPr>
          <w:noProof/>
          <w:lang w:val="fr-FR" w:eastAsia="es-BO"/>
        </w:rPr>
        <w:t>une équipe technique opérationnelle</w:t>
      </w:r>
      <w:r w:rsidRPr="00DF456A">
        <w:rPr>
          <w:noProof/>
          <w:lang w:val="fr-FR" w:eastAsia="es-BO"/>
        </w:rPr>
        <w:t>.</w:t>
      </w:r>
    </w:p>
    <w:p w:rsidR="00614A7E" w:rsidRPr="00CB6489" w:rsidRDefault="00614A7E" w:rsidP="00614A7E">
      <w:pPr>
        <w:pStyle w:val="SingleTxtG"/>
        <w:rPr>
          <w:noProof/>
          <w:lang w:val="fr-FR" w:eastAsia="es-BO"/>
        </w:rPr>
      </w:pPr>
      <w:r w:rsidRPr="00CB6489">
        <w:rPr>
          <w:noProof/>
          <w:lang w:val="fr-FR" w:eastAsia="es-BO"/>
        </w:rPr>
        <w:t>96.</w:t>
      </w:r>
      <w:r w:rsidRPr="00CB6489">
        <w:rPr>
          <w:noProof/>
          <w:lang w:val="fr-FR" w:eastAsia="es-BO"/>
        </w:rPr>
        <w:tab/>
      </w:r>
      <w:r w:rsidRPr="00CB6489">
        <w:rPr>
          <w:rFonts w:eastAsia="Calibri"/>
          <w:noProof/>
          <w:lang w:val="fr-FR" w:eastAsia="es-BO"/>
        </w:rPr>
        <w:t>Le Bureau du Procureur général de l</w:t>
      </w:r>
      <w:r w:rsidR="00FB1114">
        <w:rPr>
          <w:rFonts w:eastAsia="Calibri"/>
          <w:noProof/>
          <w:lang w:val="fr-FR" w:eastAsia="es-BO"/>
        </w:rPr>
        <w:t>’</w:t>
      </w:r>
      <w:r w:rsidRPr="00CB6489">
        <w:rPr>
          <w:rFonts w:eastAsia="Calibri"/>
          <w:noProof/>
          <w:lang w:val="fr-FR" w:eastAsia="es-BO"/>
        </w:rPr>
        <w:t>État a publié la directive FGE/RJGP-141/2017 qui prévoit de donner la priorité à l</w:t>
      </w:r>
      <w:r w:rsidR="00FB1114">
        <w:rPr>
          <w:rFonts w:eastAsia="Calibri"/>
          <w:noProof/>
          <w:lang w:val="fr-FR" w:eastAsia="es-BO"/>
        </w:rPr>
        <w:t>’</w:t>
      </w:r>
      <w:r w:rsidRPr="00CB6489">
        <w:rPr>
          <w:rFonts w:eastAsia="Calibri"/>
          <w:noProof/>
          <w:lang w:val="fr-FR" w:eastAsia="es-BO"/>
        </w:rPr>
        <w:t>ouverture d</w:t>
      </w:r>
      <w:r w:rsidR="00FB1114">
        <w:rPr>
          <w:rFonts w:eastAsia="Calibri"/>
          <w:noProof/>
          <w:lang w:val="fr-FR" w:eastAsia="es-BO"/>
        </w:rPr>
        <w:t>’</w:t>
      </w:r>
      <w:r w:rsidRPr="00CB6489">
        <w:rPr>
          <w:rFonts w:eastAsia="Calibri"/>
          <w:noProof/>
          <w:lang w:val="fr-FR" w:eastAsia="es-BO"/>
        </w:rPr>
        <w:t>enquêtes sur les infractions impliquant des violations des droits de la personne commises sous les régimes inconstitutionnels entre 1964 et 1982. À cet égard, le ministère public est saisi des affaires suivantes</w:t>
      </w:r>
      <w:r w:rsidR="00CB6489">
        <w:rPr>
          <w:rFonts w:eastAsia="Calibri"/>
          <w:noProof/>
          <w:lang w:val="fr-FR" w:eastAsia="es-BO"/>
        </w:rPr>
        <w:t> </w:t>
      </w:r>
      <w:r w:rsidRPr="00CB6489">
        <w:rPr>
          <w:rFonts w:eastAsia="Calibri"/>
          <w:noProof/>
          <w:lang w:val="fr-FR" w:eastAsia="es-BO"/>
        </w:rPr>
        <w:t>: affaire 14222/2009 (Santa Cruz)</w:t>
      </w:r>
      <w:r w:rsidR="001A0A83">
        <w:rPr>
          <w:rFonts w:eastAsia="Calibri"/>
          <w:noProof/>
          <w:lang w:val="fr-FR" w:eastAsia="es-BO"/>
        </w:rPr>
        <w:t> </w:t>
      </w:r>
      <w:r w:rsidRPr="00CB6489">
        <w:rPr>
          <w:rFonts w:eastAsia="Calibri"/>
          <w:noProof/>
          <w:lang w:val="fr-FR" w:eastAsia="es-BO"/>
        </w:rPr>
        <w:t xml:space="preserve">; </w:t>
      </w:r>
      <w:r w:rsidRPr="00CB6489">
        <w:rPr>
          <w:noProof/>
          <w:lang w:val="fr-FR" w:eastAsia="es-BO"/>
        </w:rPr>
        <w:t>LPZ 0900419</w:t>
      </w:r>
      <w:r w:rsidR="001A0A83">
        <w:rPr>
          <w:noProof/>
          <w:lang w:val="fr-FR" w:eastAsia="es-BO"/>
        </w:rPr>
        <w:t> </w:t>
      </w:r>
      <w:r w:rsidRPr="00CB6489">
        <w:rPr>
          <w:noProof/>
          <w:lang w:val="fr-FR" w:eastAsia="es-BO"/>
        </w:rPr>
        <w:t>; LPZ 1009466</w:t>
      </w:r>
      <w:r w:rsidR="001A0A83">
        <w:rPr>
          <w:noProof/>
          <w:lang w:val="fr-FR" w:eastAsia="es-BO"/>
        </w:rPr>
        <w:t> </w:t>
      </w:r>
      <w:r w:rsidRPr="00CB6489">
        <w:rPr>
          <w:noProof/>
          <w:lang w:val="fr-FR" w:eastAsia="es-BO"/>
        </w:rPr>
        <w:t>; LPZ 1515606</w:t>
      </w:r>
      <w:r w:rsidR="00CB6489">
        <w:rPr>
          <w:noProof/>
          <w:lang w:val="fr-FR" w:eastAsia="es-BO"/>
        </w:rPr>
        <w:t> </w:t>
      </w:r>
      <w:r w:rsidRPr="00CB6489">
        <w:rPr>
          <w:noProof/>
          <w:lang w:val="fr-FR" w:eastAsia="es-BO"/>
        </w:rPr>
        <w:t>; FISLPZ 0906441 et 0906035.</w:t>
      </w:r>
    </w:p>
    <w:p w:rsidR="00614A7E" w:rsidRPr="00CB6489" w:rsidRDefault="00614A7E" w:rsidP="00614A7E">
      <w:pPr>
        <w:pStyle w:val="SingleTxtG"/>
        <w:rPr>
          <w:noProof/>
          <w:lang w:val="fr-FR" w:eastAsia="es-BO"/>
        </w:rPr>
      </w:pPr>
      <w:r w:rsidRPr="00CB6489">
        <w:rPr>
          <w:noProof/>
          <w:lang w:val="fr-FR" w:eastAsia="es-BO"/>
        </w:rPr>
        <w:t>97.</w:t>
      </w:r>
      <w:r w:rsidRPr="00CB6489">
        <w:rPr>
          <w:noProof/>
          <w:lang w:val="fr-FR" w:eastAsia="es-BO"/>
        </w:rPr>
        <w:tab/>
        <w:t xml:space="preserve">En ce qui concerne les procédures susvisées, le Bureau du Procureur général </w:t>
      </w:r>
      <w:r w:rsidRPr="00CB6489">
        <w:rPr>
          <w:rFonts w:eastAsia="Calibri"/>
          <w:noProof/>
          <w:lang w:val="fr-FR" w:eastAsia="es-BO"/>
        </w:rPr>
        <w:t>de l</w:t>
      </w:r>
      <w:r w:rsidR="00FB1114">
        <w:rPr>
          <w:rFonts w:eastAsia="Calibri"/>
          <w:noProof/>
          <w:lang w:val="fr-FR" w:eastAsia="es-BO"/>
        </w:rPr>
        <w:t>’</w:t>
      </w:r>
      <w:r w:rsidRPr="00CB6489">
        <w:rPr>
          <w:rFonts w:eastAsia="Calibri"/>
          <w:noProof/>
          <w:lang w:val="fr-FR" w:eastAsia="es-BO"/>
        </w:rPr>
        <w:t xml:space="preserve">État </w:t>
      </w:r>
      <w:r w:rsidRPr="00CB6489">
        <w:rPr>
          <w:noProof/>
          <w:lang w:val="fr-FR" w:eastAsia="es-BO"/>
        </w:rPr>
        <w:t>a demandé aux parquets départementaux de La Paz et de Santa Cruz</w:t>
      </w:r>
      <w:r w:rsidR="001A0A83">
        <w:rPr>
          <w:noProof/>
          <w:lang w:val="fr-FR" w:eastAsia="es-BO"/>
        </w:rPr>
        <w:t> </w:t>
      </w:r>
      <w:r w:rsidRPr="00CB6489">
        <w:rPr>
          <w:noProof/>
          <w:lang w:val="fr-FR" w:eastAsia="es-BO"/>
        </w:rPr>
        <w:t>:</w:t>
      </w:r>
    </w:p>
    <w:p w:rsidR="00614A7E" w:rsidRPr="00727A0A" w:rsidRDefault="00614A7E" w:rsidP="00727A0A">
      <w:pPr>
        <w:pStyle w:val="Bullet1G"/>
      </w:pPr>
      <w:r w:rsidRPr="00CB6489">
        <w:rPr>
          <w:noProof/>
          <w:lang w:val="fr-FR"/>
        </w:rPr>
        <w:lastRenderedPageBreak/>
        <w:t xml:space="preserve">De procéder à la surveillance, au contrôle et au suivi des procédures en question et des </w:t>
      </w:r>
      <w:r w:rsidRPr="00727A0A">
        <w:t>poursuites engagées par le procureur saisi, conformément aux dispositions des articles</w:t>
      </w:r>
      <w:r w:rsidR="001A0A83" w:rsidRPr="00727A0A">
        <w:t> </w:t>
      </w:r>
      <w:r w:rsidRPr="00727A0A">
        <w:t>5.6</w:t>
      </w:r>
      <w:r w:rsidR="00DA2C93">
        <w:t>,</w:t>
      </w:r>
      <w:r w:rsidRPr="00727A0A">
        <w:t xml:space="preserve"> 32</w:t>
      </w:r>
      <w:r w:rsidR="00DA2C93">
        <w:t>,</w:t>
      </w:r>
      <w:r w:rsidRPr="00727A0A">
        <w:t xml:space="preserve"> 34.3, 10 et 16 de la loi </w:t>
      </w:r>
      <w:r w:rsidR="00510A73" w:rsidRPr="00AD55D6">
        <w:rPr>
          <w:rFonts w:eastAsia="MS Mincho"/>
          <w:noProof/>
          <w:szCs w:val="22"/>
          <w:lang w:val="fr-FR" w:eastAsia="es-BO"/>
        </w:rPr>
        <w:t>n</w:t>
      </w:r>
      <w:r w:rsidR="00510A73" w:rsidRPr="00AD55D6">
        <w:rPr>
          <w:rFonts w:eastAsia="MS Mincho"/>
          <w:noProof/>
          <w:szCs w:val="22"/>
          <w:vertAlign w:val="superscript"/>
          <w:lang w:val="fr-FR" w:eastAsia="es-BO"/>
        </w:rPr>
        <w:t>o</w:t>
      </w:r>
      <w:r w:rsidR="00510A73">
        <w:rPr>
          <w:noProof/>
          <w:lang w:val="fr-FR" w:eastAsia="es-BO"/>
        </w:rPr>
        <w:t> </w:t>
      </w:r>
      <w:r w:rsidRPr="00727A0A">
        <w:t>260</w:t>
      </w:r>
      <w:r w:rsidR="001A0A83" w:rsidRPr="00727A0A">
        <w:t> ;</w:t>
      </w:r>
    </w:p>
    <w:p w:rsidR="00614A7E" w:rsidRPr="00CB6489" w:rsidRDefault="00614A7E" w:rsidP="00727A0A">
      <w:pPr>
        <w:pStyle w:val="Bullet1G"/>
        <w:rPr>
          <w:noProof/>
          <w:lang w:val="fr-FR"/>
        </w:rPr>
      </w:pPr>
      <w:r w:rsidRPr="00727A0A">
        <w:t>D</w:t>
      </w:r>
      <w:r w:rsidR="00FB1114">
        <w:t>’</w:t>
      </w:r>
      <w:r w:rsidRPr="00727A0A">
        <w:t>ordonner au procureur saisi d</w:t>
      </w:r>
      <w:r w:rsidR="00FB1114">
        <w:t>’</w:t>
      </w:r>
      <w:r w:rsidRPr="00727A0A">
        <w:t>engager l</w:t>
      </w:r>
      <w:r w:rsidR="00FB1114">
        <w:t>’</w:t>
      </w:r>
      <w:r w:rsidRPr="00727A0A">
        <w:t>autorité judiciaire à prendre les dispositions nécessaires pour que la procédure se déroule sans retard jusqu</w:t>
      </w:r>
      <w:r w:rsidR="00FB1114">
        <w:t>’</w:t>
      </w:r>
      <w:r w:rsidRPr="00727A0A">
        <w:t>à sa conclusion</w:t>
      </w:r>
      <w:r w:rsidRPr="00CB6489">
        <w:rPr>
          <w:noProof/>
          <w:lang w:val="fr-FR"/>
        </w:rPr>
        <w:t>, en veillant à ce que l</w:t>
      </w:r>
      <w:r w:rsidR="00FB1114">
        <w:rPr>
          <w:noProof/>
          <w:lang w:val="fr-FR"/>
        </w:rPr>
        <w:t>’</w:t>
      </w:r>
      <w:r w:rsidRPr="00CB6489">
        <w:rPr>
          <w:noProof/>
          <w:lang w:val="fr-FR"/>
        </w:rPr>
        <w:t>appareil judiciaire fonctionne de manière efficace et dans le respect des lois et des délais prévus par celles-ci, et en prenant les mesures et en utilisant les ressources éventuellement nécessaires</w:t>
      </w:r>
      <w:r w:rsidR="001A0A83">
        <w:rPr>
          <w:noProof/>
          <w:lang w:val="fr-FR"/>
        </w:rPr>
        <w:t> ;</w:t>
      </w:r>
    </w:p>
    <w:p w:rsidR="00614A7E" w:rsidRPr="00727A0A" w:rsidRDefault="00614A7E" w:rsidP="00727A0A">
      <w:pPr>
        <w:pStyle w:val="SingleTxtG"/>
        <w:ind w:firstLine="567"/>
        <w:rPr>
          <w:noProof/>
          <w:lang w:val="fr-FR" w:eastAsia="es-BO"/>
        </w:rPr>
      </w:pPr>
      <w:r w:rsidRPr="00CB6489">
        <w:rPr>
          <w:noProof/>
          <w:lang w:val="fr-FR" w:eastAsia="es-BO"/>
        </w:rPr>
        <w:t>a)</w:t>
      </w:r>
      <w:r w:rsidRPr="00CB6489">
        <w:rPr>
          <w:noProof/>
          <w:lang w:val="fr-FR" w:eastAsia="es-BO"/>
        </w:rPr>
        <w:tab/>
        <w:t>Dans les affaires LPZ 0906035 et LPZ 1515606 :</w:t>
      </w:r>
    </w:p>
    <w:p w:rsidR="00614A7E" w:rsidRPr="00CB6489" w:rsidRDefault="00614A7E" w:rsidP="00727A0A">
      <w:pPr>
        <w:pStyle w:val="Bullet2G"/>
        <w:rPr>
          <w:noProof/>
          <w:lang w:val="fr-FR"/>
        </w:rPr>
      </w:pPr>
      <w:r w:rsidRPr="00CB6489">
        <w:rPr>
          <w:noProof/>
          <w:lang w:val="fr-FR"/>
        </w:rPr>
        <w:tab/>
        <w:t>De faire en sorte que l</w:t>
      </w:r>
      <w:r w:rsidR="00FB1114">
        <w:rPr>
          <w:noProof/>
          <w:lang w:val="fr-FR"/>
        </w:rPr>
        <w:t>’</w:t>
      </w:r>
      <w:r w:rsidRPr="00CB6489">
        <w:rPr>
          <w:noProof/>
          <w:lang w:val="fr-FR"/>
        </w:rPr>
        <w:t>examen de l</w:t>
      </w:r>
      <w:r w:rsidR="00FB1114">
        <w:rPr>
          <w:noProof/>
          <w:lang w:val="fr-FR"/>
        </w:rPr>
        <w:t>’</w:t>
      </w:r>
      <w:r w:rsidRPr="00CB6489">
        <w:rPr>
          <w:noProof/>
          <w:lang w:val="fr-FR"/>
        </w:rPr>
        <w:t>affaire atteigne son objectif, s</w:t>
      </w:r>
      <w:r w:rsidR="00FB1114">
        <w:rPr>
          <w:noProof/>
          <w:lang w:val="fr-FR"/>
        </w:rPr>
        <w:t>’</w:t>
      </w:r>
      <w:r w:rsidRPr="00CB6489">
        <w:rPr>
          <w:noProof/>
          <w:lang w:val="fr-FR"/>
        </w:rPr>
        <w:t>agissant d</w:t>
      </w:r>
      <w:r w:rsidR="00FB1114">
        <w:rPr>
          <w:noProof/>
          <w:lang w:val="fr-FR"/>
        </w:rPr>
        <w:t>’</w:t>
      </w:r>
      <w:r w:rsidRPr="00CB6489">
        <w:rPr>
          <w:noProof/>
          <w:lang w:val="fr-FR"/>
        </w:rPr>
        <w:t xml:space="preserve">établir la </w:t>
      </w:r>
      <w:r w:rsidRPr="00727A0A">
        <w:t>matérialité</w:t>
      </w:r>
      <w:r w:rsidRPr="00CB6489">
        <w:rPr>
          <w:noProof/>
          <w:lang w:val="fr-FR"/>
        </w:rPr>
        <w:t xml:space="preserve"> des faits et la responsabilité de l</w:t>
      </w:r>
      <w:r w:rsidR="00FB1114">
        <w:rPr>
          <w:noProof/>
          <w:lang w:val="fr-FR"/>
        </w:rPr>
        <w:t>’</w:t>
      </w:r>
      <w:r w:rsidRPr="00CB6489">
        <w:rPr>
          <w:noProof/>
          <w:lang w:val="fr-FR"/>
        </w:rPr>
        <w:t xml:space="preserve">auteur ou de son </w:t>
      </w:r>
      <w:r w:rsidRPr="00727A0A">
        <w:t>complice</w:t>
      </w:r>
      <w:r w:rsidRPr="00CB6489">
        <w:rPr>
          <w:noProof/>
          <w:lang w:val="fr-FR"/>
        </w:rPr>
        <w:t xml:space="preserve"> et de réparer le préjudice causé à la victime</w:t>
      </w:r>
      <w:r w:rsidR="00DA2C93">
        <w:rPr>
          <w:noProof/>
          <w:lang w:val="fr-FR"/>
        </w:rPr>
        <w:t> </w:t>
      </w:r>
      <w:r w:rsidRPr="00CB6489">
        <w:rPr>
          <w:noProof/>
          <w:lang w:val="fr-FR"/>
        </w:rPr>
        <w:t>; et qu</w:t>
      </w:r>
      <w:r w:rsidR="00FB1114">
        <w:rPr>
          <w:noProof/>
          <w:lang w:val="fr-FR"/>
        </w:rPr>
        <w:t>’</w:t>
      </w:r>
      <w:r w:rsidRPr="00CB6489">
        <w:rPr>
          <w:noProof/>
          <w:lang w:val="fr-FR"/>
        </w:rPr>
        <w:t>il soit mené avec objectivité, demande l</w:t>
      </w:r>
      <w:r w:rsidR="00FB1114">
        <w:rPr>
          <w:noProof/>
          <w:lang w:val="fr-FR"/>
        </w:rPr>
        <w:t>’</w:t>
      </w:r>
      <w:r w:rsidRPr="00CB6489">
        <w:rPr>
          <w:noProof/>
          <w:lang w:val="fr-FR"/>
        </w:rPr>
        <w:t>application des mesures de sûreté qui s</w:t>
      </w:r>
      <w:r w:rsidR="00FB1114">
        <w:rPr>
          <w:noProof/>
          <w:lang w:val="fr-FR"/>
        </w:rPr>
        <w:t>’</w:t>
      </w:r>
      <w:r w:rsidRPr="00CB6489">
        <w:rPr>
          <w:noProof/>
          <w:lang w:val="fr-FR"/>
        </w:rPr>
        <w:t>imposent, respecte les délais procéduraux fixés dans les décisions et conclusions du procureur, en assurant le respect des droits et des garanties constitutionnelles, et en exerçant une diligence raisonnable et en respectant le droit à une procédure régulière</w:t>
      </w:r>
      <w:r w:rsidR="00727A0A">
        <w:rPr>
          <w:noProof/>
          <w:lang w:val="fr-FR"/>
        </w:rPr>
        <w:t> ;</w:t>
      </w:r>
    </w:p>
    <w:p w:rsidR="00614A7E" w:rsidRPr="00CB6489" w:rsidRDefault="00614A7E" w:rsidP="00727A0A">
      <w:pPr>
        <w:pStyle w:val="Bullet2G"/>
        <w:rPr>
          <w:noProof/>
          <w:lang w:val="fr-FR" w:eastAsia="es-BO"/>
        </w:rPr>
      </w:pPr>
      <w:r w:rsidRPr="00CB6489">
        <w:rPr>
          <w:noProof/>
          <w:lang w:val="fr-FR"/>
        </w:rPr>
        <w:t>D</w:t>
      </w:r>
      <w:r w:rsidR="00FB1114">
        <w:rPr>
          <w:noProof/>
          <w:lang w:val="fr-FR"/>
        </w:rPr>
        <w:t>’</w:t>
      </w:r>
      <w:r w:rsidRPr="00CB6489">
        <w:rPr>
          <w:noProof/>
          <w:lang w:val="fr-FR"/>
        </w:rPr>
        <w:t>ordonner que toutes les enquêtes et poursuites nécessaires soient entreprises conformément à la procédure et au principe d</w:t>
      </w:r>
      <w:r w:rsidR="00FB1114">
        <w:rPr>
          <w:noProof/>
          <w:lang w:val="fr-FR"/>
        </w:rPr>
        <w:t>’</w:t>
      </w:r>
      <w:r w:rsidRPr="00CB6489">
        <w:rPr>
          <w:noProof/>
          <w:lang w:val="fr-FR"/>
        </w:rPr>
        <w:t>exhaustivité</w:t>
      </w:r>
      <w:r w:rsidR="00DA2C93">
        <w:rPr>
          <w:noProof/>
          <w:lang w:val="fr-FR"/>
        </w:rPr>
        <w:t> </w:t>
      </w:r>
      <w:r w:rsidRPr="00CB6489">
        <w:rPr>
          <w:noProof/>
          <w:lang w:val="fr-FR"/>
        </w:rPr>
        <w:t xml:space="preserve">; à cet égard, le ministère </w:t>
      </w:r>
      <w:r w:rsidRPr="00727A0A">
        <w:t>public</w:t>
      </w:r>
      <w:r w:rsidRPr="00CB6489">
        <w:rPr>
          <w:noProof/>
          <w:lang w:val="fr-FR"/>
        </w:rPr>
        <w:t xml:space="preserve"> doit, dans l</w:t>
      </w:r>
      <w:r w:rsidR="00FB1114">
        <w:rPr>
          <w:noProof/>
          <w:lang w:val="fr-FR"/>
        </w:rPr>
        <w:t>’</w:t>
      </w:r>
      <w:r w:rsidRPr="00CB6489">
        <w:rPr>
          <w:noProof/>
          <w:lang w:val="fr-FR"/>
        </w:rPr>
        <w:t>exercice de l</w:t>
      </w:r>
      <w:r w:rsidR="00FB1114">
        <w:rPr>
          <w:noProof/>
          <w:lang w:val="fr-FR"/>
        </w:rPr>
        <w:t>’</w:t>
      </w:r>
      <w:r w:rsidRPr="00CB6489">
        <w:rPr>
          <w:noProof/>
          <w:lang w:val="fr-FR"/>
        </w:rPr>
        <w:t>action publique, pousser l</w:t>
      </w:r>
      <w:r w:rsidR="00FB1114">
        <w:rPr>
          <w:noProof/>
          <w:lang w:val="fr-FR"/>
        </w:rPr>
        <w:t>’</w:t>
      </w:r>
      <w:r w:rsidRPr="00CB6489">
        <w:rPr>
          <w:noProof/>
          <w:lang w:val="fr-FR"/>
        </w:rPr>
        <w:t>enquête aussi loin que nécessaire, en menant toutes les activités d</w:t>
      </w:r>
      <w:r w:rsidR="00FB1114">
        <w:rPr>
          <w:noProof/>
          <w:lang w:val="fr-FR"/>
        </w:rPr>
        <w:t>’</w:t>
      </w:r>
      <w:r w:rsidRPr="00CB6489">
        <w:rPr>
          <w:noProof/>
          <w:lang w:val="fr-FR"/>
        </w:rPr>
        <w:t>enquête dans les limites imposées par la légalité, la pertinence et l</w:t>
      </w:r>
      <w:r w:rsidR="00FB1114">
        <w:rPr>
          <w:noProof/>
          <w:lang w:val="fr-FR"/>
        </w:rPr>
        <w:t>’</w:t>
      </w:r>
      <w:r w:rsidRPr="00CB6489">
        <w:rPr>
          <w:noProof/>
          <w:lang w:val="fr-FR"/>
        </w:rPr>
        <w:t>utilité</w:t>
      </w:r>
      <w:r w:rsidRPr="00CB6489">
        <w:rPr>
          <w:noProof/>
          <w:lang w:val="fr-FR" w:eastAsia="es-BO"/>
        </w:rPr>
        <w:t>.</w:t>
      </w:r>
    </w:p>
    <w:p w:rsidR="00614A7E" w:rsidRPr="00CB6489" w:rsidRDefault="00614A7E" w:rsidP="00727A0A">
      <w:pPr>
        <w:pStyle w:val="SingleTxtG"/>
        <w:ind w:firstLine="567"/>
        <w:rPr>
          <w:noProof/>
          <w:lang w:val="fr-FR" w:eastAsia="es-BO"/>
        </w:rPr>
      </w:pPr>
      <w:r w:rsidRPr="00CB6489">
        <w:rPr>
          <w:noProof/>
          <w:lang w:val="fr-FR" w:eastAsia="es-BO"/>
        </w:rPr>
        <w:t>b)</w:t>
      </w:r>
      <w:r w:rsidRPr="00CB6489">
        <w:rPr>
          <w:noProof/>
          <w:lang w:val="fr-FR" w:eastAsia="es-BO"/>
        </w:rPr>
        <w:tab/>
        <w:t>En ce qui concerne chaque affaire, le Bureau du Procureur général de l</w:t>
      </w:r>
      <w:r w:rsidR="00FB1114">
        <w:rPr>
          <w:noProof/>
          <w:lang w:val="fr-FR" w:eastAsia="es-BO"/>
        </w:rPr>
        <w:t>’</w:t>
      </w:r>
      <w:r w:rsidRPr="00CB6489">
        <w:rPr>
          <w:noProof/>
          <w:lang w:val="fr-FR" w:eastAsia="es-BO"/>
        </w:rPr>
        <w:t>État a ordonné l</w:t>
      </w:r>
      <w:r w:rsidR="00FB1114">
        <w:rPr>
          <w:noProof/>
          <w:lang w:val="fr-FR" w:eastAsia="es-BO"/>
        </w:rPr>
        <w:t>’</w:t>
      </w:r>
      <w:r w:rsidRPr="00CB6489">
        <w:rPr>
          <w:noProof/>
          <w:lang w:val="fr-FR" w:eastAsia="es-BO"/>
        </w:rPr>
        <w:t>application de certaines mesures (annexe</w:t>
      </w:r>
      <w:r w:rsidR="00727A0A">
        <w:rPr>
          <w:noProof/>
          <w:lang w:val="fr-FR" w:eastAsia="es-BO"/>
        </w:rPr>
        <w:t> </w:t>
      </w:r>
      <w:r w:rsidRPr="00CB6489">
        <w:rPr>
          <w:noProof/>
          <w:lang w:val="fr-FR" w:eastAsia="es-BO"/>
        </w:rPr>
        <w:t>31).</w:t>
      </w:r>
    </w:p>
    <w:p w:rsidR="00614A7E" w:rsidRPr="00DF456A" w:rsidRDefault="00614A7E" w:rsidP="00D23DAE">
      <w:pPr>
        <w:pStyle w:val="H23G"/>
        <w:rPr>
          <w:noProof/>
          <w:lang w:val="fr-FR" w:eastAsia="es-BO"/>
        </w:rPr>
      </w:pPr>
      <w:r w:rsidRPr="00DF456A">
        <w:rPr>
          <w:noProof/>
          <w:lang w:val="fr-FR" w:eastAsia="es-BO"/>
        </w:rPr>
        <w:tab/>
      </w:r>
      <w:r w:rsidRPr="00DF456A">
        <w:rPr>
          <w:noProof/>
          <w:lang w:val="fr-FR" w:eastAsia="es-BO"/>
        </w:rPr>
        <w:tab/>
        <w:t>Recom</w:t>
      </w:r>
      <w:r>
        <w:rPr>
          <w:noProof/>
          <w:lang w:val="fr-FR" w:eastAsia="es-BO"/>
        </w:rPr>
        <w:t xml:space="preserve">mandation figurant au paragraphe </w:t>
      </w:r>
      <w:r w:rsidRPr="00DF456A">
        <w:rPr>
          <w:noProof/>
          <w:lang w:val="fr-FR" w:eastAsia="es-BO"/>
        </w:rPr>
        <w:t>13.b</w:t>
      </w:r>
    </w:p>
    <w:p w:rsidR="00614A7E" w:rsidRPr="00594499" w:rsidRDefault="00614A7E" w:rsidP="00614A7E">
      <w:pPr>
        <w:pStyle w:val="SingleTxtG"/>
        <w:rPr>
          <w:noProof/>
          <w:lang w:val="fr-FR"/>
        </w:rPr>
      </w:pPr>
      <w:r w:rsidRPr="00DF456A">
        <w:rPr>
          <w:noProof/>
          <w:lang w:val="fr-FR"/>
        </w:rPr>
        <w:t>98.</w:t>
      </w:r>
      <w:r w:rsidRPr="00DF456A">
        <w:rPr>
          <w:noProof/>
          <w:lang w:val="fr-FR"/>
        </w:rPr>
        <w:tab/>
      </w:r>
      <w:r>
        <w:rPr>
          <w:noProof/>
          <w:lang w:val="fr-FR"/>
        </w:rPr>
        <w:t>Agissant par l</w:t>
      </w:r>
      <w:r w:rsidR="00FB1114">
        <w:rPr>
          <w:noProof/>
          <w:lang w:val="fr-FR"/>
        </w:rPr>
        <w:t>’</w:t>
      </w:r>
      <w:r>
        <w:rPr>
          <w:noProof/>
          <w:lang w:val="fr-FR"/>
        </w:rPr>
        <w:t xml:space="preserve">intermédiaire des procureurs de rang supérieur, le ministère public </w:t>
      </w:r>
      <w:r w:rsidRPr="00BE5FE1">
        <w:rPr>
          <w:noProof/>
          <w:lang w:val="fr-FR"/>
        </w:rPr>
        <w:t>coordonne et centralise les enquêtes sur les cas de disparition forcée enregistrés pendant les dictatures entre le 4</w:t>
      </w:r>
      <w:r w:rsidR="00D23DAE">
        <w:rPr>
          <w:noProof/>
          <w:lang w:val="fr-FR"/>
        </w:rPr>
        <w:t> </w:t>
      </w:r>
      <w:r w:rsidRPr="00BE5FE1">
        <w:rPr>
          <w:noProof/>
          <w:lang w:val="fr-FR"/>
        </w:rPr>
        <w:t>novembre 1964 et le 10</w:t>
      </w:r>
      <w:r w:rsidR="00D23DAE">
        <w:rPr>
          <w:noProof/>
          <w:lang w:val="fr-FR"/>
        </w:rPr>
        <w:t> </w:t>
      </w:r>
      <w:r w:rsidRPr="00BE5FE1">
        <w:rPr>
          <w:noProof/>
          <w:lang w:val="fr-FR"/>
        </w:rPr>
        <w:t>octobre 1982</w:t>
      </w:r>
      <w:r w:rsidR="00D23DAE">
        <w:rPr>
          <w:noProof/>
          <w:lang w:val="fr-FR"/>
        </w:rPr>
        <w:t> </w:t>
      </w:r>
      <w:r w:rsidRPr="00BE5FE1">
        <w:rPr>
          <w:noProof/>
          <w:lang w:val="fr-FR"/>
        </w:rPr>
        <w:t>; il suit un plan de travail pour les affaires concernant Marcelo Quiroga Santa Cruz, Juan Carlos Flores Bedregal, Félix Melgar Antelo, José Carlos Truji</w:t>
      </w:r>
      <w:r>
        <w:rPr>
          <w:noProof/>
          <w:lang w:val="fr-FR"/>
        </w:rPr>
        <w:t>llo Oroza, José Luis Ibsen Peña</w:t>
      </w:r>
      <w:r w:rsidRPr="00BE5FE1">
        <w:rPr>
          <w:noProof/>
          <w:lang w:val="fr-FR"/>
        </w:rPr>
        <w:t xml:space="preserve"> et Renato Ticona Estrada</w:t>
      </w:r>
      <w:r>
        <w:rPr>
          <w:noProof/>
          <w:lang w:val="fr-FR"/>
        </w:rPr>
        <w:t>,</w:t>
      </w:r>
      <w:r w:rsidRPr="00BE5FE1">
        <w:rPr>
          <w:noProof/>
          <w:lang w:val="fr-FR"/>
        </w:rPr>
        <w:t xml:space="preserve"> et reçoit un appui technique de l</w:t>
      </w:r>
      <w:r w:rsidR="00FB1114">
        <w:rPr>
          <w:noProof/>
          <w:lang w:val="fr-FR"/>
        </w:rPr>
        <w:t>’</w:t>
      </w:r>
      <w:r w:rsidRPr="00BE5FE1">
        <w:rPr>
          <w:noProof/>
          <w:lang w:val="fr-FR"/>
        </w:rPr>
        <w:t>Équipe argentine d</w:t>
      </w:r>
      <w:r w:rsidR="00FB1114">
        <w:rPr>
          <w:noProof/>
          <w:lang w:val="fr-FR"/>
        </w:rPr>
        <w:t>’</w:t>
      </w:r>
      <w:r w:rsidRPr="00BE5FE1">
        <w:rPr>
          <w:noProof/>
          <w:lang w:val="fr-FR"/>
        </w:rPr>
        <w:t>anthropologie médico</w:t>
      </w:r>
      <w:r w:rsidR="008C55C2">
        <w:rPr>
          <w:noProof/>
          <w:lang w:val="fr-FR"/>
        </w:rPr>
        <w:t>-</w:t>
      </w:r>
      <w:r w:rsidRPr="00BE5FE1">
        <w:rPr>
          <w:noProof/>
          <w:lang w:val="fr-FR"/>
        </w:rPr>
        <w:t>légale (</w:t>
      </w:r>
      <w:r w:rsidRPr="006952D1">
        <w:rPr>
          <w:i/>
          <w:noProof/>
          <w:lang w:val="fr-FR"/>
        </w:rPr>
        <w:t xml:space="preserve">Equipo Argentino de Antropología Forense </w:t>
      </w:r>
      <w:r w:rsidR="001E44CC" w:rsidRPr="006952D1">
        <w:rPr>
          <w:i/>
          <w:noProof/>
          <w:lang w:val="fr-FR"/>
        </w:rPr>
        <w:t>−</w:t>
      </w:r>
      <w:r w:rsidRPr="006952D1">
        <w:rPr>
          <w:i/>
          <w:noProof/>
          <w:lang w:val="fr-FR"/>
        </w:rPr>
        <w:t xml:space="preserve"> EAAF</w:t>
      </w:r>
      <w:r w:rsidRPr="00594499">
        <w:rPr>
          <w:noProof/>
          <w:lang w:val="fr-FR"/>
        </w:rPr>
        <w:t>) pour repérer, exhumer et identifier des restes humains (annexe</w:t>
      </w:r>
      <w:r w:rsidR="001E44CC" w:rsidRPr="00594499">
        <w:rPr>
          <w:noProof/>
          <w:lang w:val="fr-FR"/>
        </w:rPr>
        <w:t> </w:t>
      </w:r>
      <w:r w:rsidRPr="00594499">
        <w:rPr>
          <w:noProof/>
          <w:lang w:val="fr-FR"/>
        </w:rPr>
        <w:t>32).</w:t>
      </w:r>
      <w:r w:rsidRPr="00594499">
        <w:rPr>
          <w:noProof/>
          <w:sz w:val="24"/>
          <w:szCs w:val="24"/>
          <w:lang w:val="fr-FR"/>
        </w:rPr>
        <w:t xml:space="preserve"> </w:t>
      </w:r>
      <w:r w:rsidRPr="00594499">
        <w:rPr>
          <w:noProof/>
          <w:lang w:val="fr-FR"/>
        </w:rPr>
        <w:t>La Stratégie de travail interinstitutionnel sur les disparitions forcées qui a été élaborée comprend trois volets</w:t>
      </w:r>
      <w:r w:rsidR="001E44CC" w:rsidRPr="00594499">
        <w:rPr>
          <w:noProof/>
          <w:lang w:val="fr-FR"/>
        </w:rPr>
        <w:t> </w:t>
      </w:r>
      <w:r w:rsidRPr="00594499">
        <w:rPr>
          <w:noProof/>
          <w:lang w:val="fr-FR"/>
        </w:rPr>
        <w:t>: enquêtes sur les faits de disparition forcée, repérage des personnes disparues et identification de restes humains.</w:t>
      </w:r>
    </w:p>
    <w:p w:rsidR="00614A7E" w:rsidRPr="001E44CC" w:rsidRDefault="00614A7E" w:rsidP="00614A7E">
      <w:pPr>
        <w:pStyle w:val="SingleTxtG"/>
        <w:rPr>
          <w:noProof/>
          <w:lang w:val="fr-FR"/>
        </w:rPr>
      </w:pPr>
      <w:r w:rsidRPr="001E44CC">
        <w:rPr>
          <w:noProof/>
          <w:lang w:val="fr-FR"/>
        </w:rPr>
        <w:t>99.</w:t>
      </w:r>
      <w:r w:rsidRPr="001E44CC">
        <w:rPr>
          <w:noProof/>
          <w:lang w:val="fr-FR"/>
        </w:rPr>
        <w:tab/>
      </w:r>
      <w:r w:rsidRPr="001E44CC">
        <w:rPr>
          <w:noProof/>
          <w:lang w:val="fr-FR" w:eastAsia="es-BO"/>
        </w:rPr>
        <w:t>De plus, on a signé le 17</w:t>
      </w:r>
      <w:r w:rsidR="001E44CC">
        <w:rPr>
          <w:noProof/>
          <w:lang w:val="fr-FR" w:eastAsia="es-BO"/>
        </w:rPr>
        <w:t> </w:t>
      </w:r>
      <w:r w:rsidRPr="001E44CC">
        <w:rPr>
          <w:noProof/>
          <w:lang w:val="fr-FR" w:eastAsia="es-BO"/>
        </w:rPr>
        <w:t>août 2018 l</w:t>
      </w:r>
      <w:r w:rsidR="00FB1114">
        <w:rPr>
          <w:noProof/>
          <w:lang w:val="fr-FR" w:eastAsia="es-BO"/>
        </w:rPr>
        <w:t>’</w:t>
      </w:r>
      <w:r w:rsidRPr="001E44CC">
        <w:rPr>
          <w:noProof/>
          <w:lang w:val="fr-FR" w:eastAsia="es-BO"/>
        </w:rPr>
        <w:t>accord de coopération interinstitutionnelle entre la Commisssion de la vérité et le Bureau du Procureur général de l</w:t>
      </w:r>
      <w:r w:rsidR="00FB1114">
        <w:rPr>
          <w:noProof/>
          <w:lang w:val="fr-FR" w:eastAsia="es-BO"/>
        </w:rPr>
        <w:t>’</w:t>
      </w:r>
      <w:r w:rsidRPr="001E44CC">
        <w:rPr>
          <w:noProof/>
          <w:lang w:val="fr-FR" w:eastAsia="es-BO"/>
        </w:rPr>
        <w:t>État, et élaboré le projet de mise en place et d</w:t>
      </w:r>
      <w:r w:rsidR="00FB1114">
        <w:rPr>
          <w:noProof/>
          <w:lang w:val="fr-FR" w:eastAsia="es-BO"/>
        </w:rPr>
        <w:t>’</w:t>
      </w:r>
      <w:r w:rsidRPr="001E44CC">
        <w:rPr>
          <w:noProof/>
          <w:lang w:val="fr-FR" w:eastAsia="es-BO"/>
        </w:rPr>
        <w:t xml:space="preserve">amélioration des laboratoires </w:t>
      </w:r>
      <w:r w:rsidRPr="001E44CC">
        <w:rPr>
          <w:noProof/>
          <w:lang w:val="fr-FR"/>
        </w:rPr>
        <w:t>d</w:t>
      </w:r>
      <w:r w:rsidR="00FB1114">
        <w:rPr>
          <w:noProof/>
          <w:lang w:val="fr-FR"/>
        </w:rPr>
        <w:t>’</w:t>
      </w:r>
      <w:r w:rsidRPr="001E44CC">
        <w:rPr>
          <w:noProof/>
          <w:lang w:val="fr-FR"/>
        </w:rPr>
        <w:t>anthropologie médico</w:t>
      </w:r>
      <w:r w:rsidR="008C55C2">
        <w:rPr>
          <w:noProof/>
          <w:lang w:val="fr-FR"/>
        </w:rPr>
        <w:t>-</w:t>
      </w:r>
      <w:r w:rsidRPr="001E44CC">
        <w:rPr>
          <w:noProof/>
          <w:lang w:val="fr-FR"/>
        </w:rPr>
        <w:t>légale de l</w:t>
      </w:r>
      <w:r w:rsidR="00FB1114">
        <w:rPr>
          <w:noProof/>
          <w:lang w:val="fr-FR"/>
        </w:rPr>
        <w:t>’</w:t>
      </w:r>
      <w:r w:rsidRPr="001E44CC">
        <w:rPr>
          <w:noProof/>
          <w:lang w:val="fr-FR"/>
        </w:rPr>
        <w:t>Institut de recherche médico</w:t>
      </w:r>
      <w:r w:rsidR="001E44CC">
        <w:rPr>
          <w:noProof/>
          <w:lang w:val="fr-FR"/>
        </w:rPr>
        <w:t>-</w:t>
      </w:r>
      <w:r w:rsidRPr="001E44CC">
        <w:rPr>
          <w:noProof/>
          <w:lang w:val="fr-FR"/>
        </w:rPr>
        <w:t>légale</w:t>
      </w:r>
      <w:r w:rsidRPr="001E44CC">
        <w:rPr>
          <w:noProof/>
          <w:lang w:val="fr-FR" w:eastAsia="es-BO"/>
        </w:rPr>
        <w:t>.</w:t>
      </w:r>
    </w:p>
    <w:p w:rsidR="00614A7E" w:rsidRPr="00C96608" w:rsidRDefault="00614A7E" w:rsidP="00614A7E">
      <w:pPr>
        <w:pStyle w:val="SingleTxtG"/>
        <w:rPr>
          <w:noProof/>
          <w:lang w:val="fr-FR" w:eastAsia="es-BO"/>
        </w:rPr>
      </w:pPr>
      <w:r w:rsidRPr="00DF456A">
        <w:rPr>
          <w:noProof/>
          <w:lang w:val="fr-FR" w:eastAsia="es-BO"/>
        </w:rPr>
        <w:t>100.</w:t>
      </w:r>
      <w:r w:rsidRPr="00DF456A">
        <w:rPr>
          <w:noProof/>
          <w:lang w:val="fr-FR" w:eastAsia="es-BO"/>
        </w:rPr>
        <w:tab/>
      </w:r>
      <w:r>
        <w:rPr>
          <w:noProof/>
          <w:lang w:val="fr-FR"/>
        </w:rPr>
        <w:t>L</w:t>
      </w:r>
      <w:r w:rsidR="00FB1114">
        <w:rPr>
          <w:noProof/>
          <w:lang w:val="fr-FR"/>
        </w:rPr>
        <w:t>’</w:t>
      </w:r>
      <w:r>
        <w:rPr>
          <w:noProof/>
          <w:lang w:val="fr-FR"/>
        </w:rPr>
        <w:t>Institut de recherche médico</w:t>
      </w:r>
      <w:r w:rsidR="008C55C2">
        <w:rPr>
          <w:noProof/>
          <w:lang w:val="fr-FR"/>
        </w:rPr>
        <w:t>-</w:t>
      </w:r>
      <w:r>
        <w:rPr>
          <w:noProof/>
          <w:lang w:val="fr-FR"/>
        </w:rPr>
        <w:t>légale</w:t>
      </w:r>
      <w:r w:rsidRPr="00DF456A">
        <w:rPr>
          <w:noProof/>
          <w:lang w:val="fr-FR" w:eastAsia="es-BO"/>
        </w:rPr>
        <w:t xml:space="preserve"> </w:t>
      </w:r>
      <w:r>
        <w:rPr>
          <w:noProof/>
          <w:lang w:val="fr-FR" w:eastAsia="es-BO"/>
        </w:rPr>
        <w:t xml:space="preserve">a donné la priorité aux études </w:t>
      </w:r>
      <w:r w:rsidRPr="00C96608">
        <w:rPr>
          <w:noProof/>
          <w:lang w:val="fr-FR" w:eastAsia="es-BO"/>
        </w:rPr>
        <w:t>scientifiques et techniques dans le cadre des enquêtes sur les infractions contre les personnes. En effet</w:t>
      </w:r>
      <w:r w:rsidR="0024497C" w:rsidRPr="00C96608">
        <w:rPr>
          <w:noProof/>
          <w:lang w:val="fr-FR" w:eastAsia="es-BO"/>
        </w:rPr>
        <w:t> :</w:t>
      </w:r>
    </w:p>
    <w:p w:rsidR="00614A7E" w:rsidRPr="0024497C" w:rsidRDefault="00614A7E" w:rsidP="0024497C">
      <w:pPr>
        <w:pStyle w:val="Bullet1G"/>
      </w:pPr>
      <w:r>
        <w:rPr>
          <w:noProof/>
          <w:lang w:val="fr-FR"/>
        </w:rPr>
        <w:t>Les études de caractère a</w:t>
      </w:r>
      <w:r w:rsidRPr="00DF456A">
        <w:rPr>
          <w:noProof/>
          <w:lang w:val="fr-FR"/>
        </w:rPr>
        <w:t>ntropol</w:t>
      </w:r>
      <w:r>
        <w:rPr>
          <w:noProof/>
          <w:lang w:val="fr-FR"/>
        </w:rPr>
        <w:t xml:space="preserve">ogique et génétique concernant les cas de disparition forcée et autres </w:t>
      </w:r>
      <w:r w:rsidRPr="00DF456A">
        <w:rPr>
          <w:noProof/>
          <w:lang w:val="fr-FR"/>
        </w:rPr>
        <w:t>s</w:t>
      </w:r>
      <w:r>
        <w:rPr>
          <w:noProof/>
          <w:lang w:val="fr-FR"/>
        </w:rPr>
        <w:t xml:space="preserve">ont </w:t>
      </w:r>
      <w:r w:rsidRPr="0024497C">
        <w:t>actuellement achevées</w:t>
      </w:r>
      <w:r w:rsidR="0024497C" w:rsidRPr="0024497C">
        <w:t> ;</w:t>
      </w:r>
    </w:p>
    <w:p w:rsidR="00614A7E" w:rsidRPr="0024497C" w:rsidRDefault="00614A7E" w:rsidP="0024497C">
      <w:pPr>
        <w:pStyle w:val="Bullet1G"/>
      </w:pPr>
      <w:r w:rsidRPr="0024497C">
        <w:t>Dans le cas du disparu José Luis Ibsen Peña, l</w:t>
      </w:r>
      <w:r w:rsidR="00FB1114">
        <w:t>’</w:t>
      </w:r>
      <w:r w:rsidRPr="0024497C">
        <w:t>Institut a, le 15</w:t>
      </w:r>
      <w:r w:rsidR="0024497C" w:rsidRPr="0024497C">
        <w:t> </w:t>
      </w:r>
      <w:r w:rsidRPr="0024497C">
        <w:t>décembre 2016, remis au Service d</w:t>
      </w:r>
      <w:r w:rsidR="00FB1114">
        <w:t>’</w:t>
      </w:r>
      <w:r w:rsidRPr="0024497C">
        <w:t>enregistrement et d</w:t>
      </w:r>
      <w:r w:rsidR="00FB1114">
        <w:t>’</w:t>
      </w:r>
      <w:r w:rsidRPr="0024497C">
        <w:t>intégrité des preuves le rapport d</w:t>
      </w:r>
      <w:r w:rsidR="00FB1114">
        <w:t>’</w:t>
      </w:r>
      <w:r w:rsidRPr="0024497C">
        <w:t>expertise anthropologique médico</w:t>
      </w:r>
      <w:r w:rsidR="008C55C2">
        <w:t>-</w:t>
      </w:r>
      <w:r w:rsidRPr="0024497C">
        <w:t>légale. Le 14</w:t>
      </w:r>
      <w:r w:rsidR="0024497C" w:rsidRPr="0024497C">
        <w:t> </w:t>
      </w:r>
      <w:r w:rsidRPr="0024497C">
        <w:t>septembre 2017, l</w:t>
      </w:r>
      <w:r w:rsidR="00FB1114">
        <w:t>’</w:t>
      </w:r>
      <w:r w:rsidRPr="0024497C">
        <w:t>Institut a remis à ce Service le rapport d</w:t>
      </w:r>
      <w:r w:rsidR="00FB1114">
        <w:t>’</w:t>
      </w:r>
      <w:r w:rsidRPr="0024497C">
        <w:t>expertise génétique médico</w:t>
      </w:r>
      <w:r w:rsidR="008C55C2">
        <w:t>-</w:t>
      </w:r>
      <w:r w:rsidRPr="0024497C">
        <w:t>légale et le rapport conjoint comportant les conclusions du laboratoire d</w:t>
      </w:r>
      <w:r w:rsidR="00FB1114">
        <w:t>’</w:t>
      </w:r>
      <w:r w:rsidRPr="0024497C">
        <w:t>anthropologie et de génétique médico</w:t>
      </w:r>
      <w:r w:rsidR="00594499">
        <w:noBreakHyphen/>
      </w:r>
      <w:r w:rsidRPr="0024497C">
        <w:t>légales</w:t>
      </w:r>
      <w:r w:rsidR="0024497C" w:rsidRPr="0024497C">
        <w:t> ;</w:t>
      </w:r>
    </w:p>
    <w:p w:rsidR="00614A7E" w:rsidRPr="00DF456A" w:rsidRDefault="00614A7E" w:rsidP="0024497C">
      <w:pPr>
        <w:pStyle w:val="Bullet1G"/>
        <w:rPr>
          <w:noProof/>
          <w:lang w:val="fr-FR"/>
        </w:rPr>
      </w:pPr>
      <w:r w:rsidRPr="0024497C">
        <w:t>Dans le cas du disparu Trujillo Oroza, on attend actuellement les échantillons biologiques à obtenir auprès</w:t>
      </w:r>
      <w:r w:rsidRPr="00F45CF0">
        <w:rPr>
          <w:noProof/>
          <w:lang w:val="fr-FR"/>
        </w:rPr>
        <w:t xml:space="preserve"> des proches du disparu pour pouvoir procéder à l</w:t>
      </w:r>
      <w:r w:rsidR="00FB1114">
        <w:rPr>
          <w:noProof/>
          <w:lang w:val="fr-FR"/>
        </w:rPr>
        <w:t>’</w:t>
      </w:r>
      <w:r w:rsidRPr="00F45CF0">
        <w:rPr>
          <w:noProof/>
          <w:lang w:val="fr-FR"/>
        </w:rPr>
        <w:t>analyse génétique correspondante.</w:t>
      </w:r>
    </w:p>
    <w:p w:rsidR="00614A7E" w:rsidRPr="00DF456A" w:rsidRDefault="00614A7E" w:rsidP="006B7EC3">
      <w:pPr>
        <w:pStyle w:val="H23G"/>
        <w:rPr>
          <w:noProof/>
          <w:lang w:val="fr-FR" w:eastAsia="es-BO"/>
        </w:rPr>
      </w:pPr>
      <w:r w:rsidRPr="00DF456A">
        <w:rPr>
          <w:noProof/>
          <w:lang w:val="fr-FR" w:eastAsia="es-BO"/>
        </w:rPr>
        <w:lastRenderedPageBreak/>
        <w:tab/>
      </w:r>
      <w:r w:rsidRPr="00DF456A">
        <w:rPr>
          <w:noProof/>
          <w:lang w:val="fr-FR" w:eastAsia="es-BO"/>
        </w:rPr>
        <w:tab/>
      </w:r>
      <w:r w:rsidRPr="006B7EC3">
        <w:t>Recommandation</w:t>
      </w:r>
      <w:r>
        <w:rPr>
          <w:noProof/>
          <w:lang w:val="fr-FR" w:eastAsia="es-BO"/>
        </w:rPr>
        <w:t xml:space="preserve"> figurant au pragraphe </w:t>
      </w:r>
      <w:r w:rsidRPr="00DF456A">
        <w:rPr>
          <w:noProof/>
          <w:lang w:val="fr-FR" w:eastAsia="es-BO"/>
        </w:rPr>
        <w:t>13.c</w:t>
      </w:r>
    </w:p>
    <w:p w:rsidR="00614A7E" w:rsidRPr="00DF456A" w:rsidRDefault="00614A7E" w:rsidP="005C440C">
      <w:pPr>
        <w:pStyle w:val="SingleTxtG"/>
        <w:rPr>
          <w:noProof/>
          <w:lang w:val="fr-FR" w:eastAsia="es-BO"/>
        </w:rPr>
      </w:pPr>
      <w:r w:rsidRPr="00DF456A">
        <w:rPr>
          <w:noProof/>
          <w:lang w:val="fr-FR" w:eastAsia="es-BO"/>
        </w:rPr>
        <w:t>101.</w:t>
      </w:r>
      <w:r w:rsidRPr="00DF456A">
        <w:rPr>
          <w:noProof/>
          <w:lang w:val="fr-FR" w:eastAsia="es-BO"/>
        </w:rPr>
        <w:tab/>
      </w:r>
      <w:r>
        <w:rPr>
          <w:noProof/>
          <w:lang w:val="fr-FR" w:eastAsia="es-BO"/>
        </w:rPr>
        <w:t>Le Ministère de la défense a pris l</w:t>
      </w:r>
      <w:r w:rsidR="00FB1114">
        <w:rPr>
          <w:noProof/>
          <w:lang w:val="fr-FR" w:eastAsia="es-BO"/>
        </w:rPr>
        <w:t>’</w:t>
      </w:r>
      <w:r>
        <w:rPr>
          <w:noProof/>
          <w:lang w:val="fr-FR" w:eastAsia="es-BO"/>
        </w:rPr>
        <w:t xml:space="preserve">arrêté ministériel </w:t>
      </w:r>
      <w:r w:rsidR="005C440C" w:rsidRPr="00857F6E">
        <w:rPr>
          <w:rFonts w:eastAsia="MS Mincho"/>
          <w:noProof/>
          <w:szCs w:val="22"/>
          <w:lang w:val="fr-FR"/>
        </w:rPr>
        <w:t>n</w:t>
      </w:r>
      <w:r w:rsidR="005C440C" w:rsidRPr="00857F6E">
        <w:rPr>
          <w:rFonts w:eastAsia="MS Mincho"/>
          <w:noProof/>
          <w:szCs w:val="22"/>
          <w:vertAlign w:val="superscript"/>
          <w:lang w:val="fr-FR"/>
        </w:rPr>
        <w:t>o</w:t>
      </w:r>
      <w:r w:rsidR="005C440C">
        <w:rPr>
          <w:noProof/>
          <w:lang w:val="fr-FR"/>
        </w:rPr>
        <w:t> </w:t>
      </w:r>
      <w:r w:rsidRPr="00DF456A">
        <w:rPr>
          <w:noProof/>
          <w:lang w:val="fr-FR" w:eastAsia="es-BO"/>
        </w:rPr>
        <w:t>0316 d</w:t>
      </w:r>
      <w:r>
        <w:rPr>
          <w:noProof/>
          <w:lang w:val="fr-FR" w:eastAsia="es-BO"/>
        </w:rPr>
        <w:t>u</w:t>
      </w:r>
      <w:r w:rsidRPr="00DF456A">
        <w:rPr>
          <w:noProof/>
          <w:lang w:val="fr-FR" w:eastAsia="es-BO"/>
        </w:rPr>
        <w:t xml:space="preserve"> 19</w:t>
      </w:r>
      <w:r w:rsidR="005C440C">
        <w:rPr>
          <w:noProof/>
          <w:lang w:val="fr-FR" w:eastAsia="es-BO"/>
        </w:rPr>
        <w:t> </w:t>
      </w:r>
      <w:r>
        <w:rPr>
          <w:noProof/>
          <w:lang w:val="fr-FR" w:eastAsia="es-BO"/>
        </w:rPr>
        <w:t xml:space="preserve">mai </w:t>
      </w:r>
      <w:r w:rsidRPr="00DF456A">
        <w:rPr>
          <w:noProof/>
          <w:lang w:val="fr-FR" w:eastAsia="es-BO"/>
        </w:rPr>
        <w:t xml:space="preserve">2009, </w:t>
      </w:r>
      <w:r>
        <w:rPr>
          <w:noProof/>
          <w:lang w:val="fr-FR" w:eastAsia="es-BO"/>
        </w:rPr>
        <w:t>qui dispose notamment ce qui suit : « </w:t>
      </w:r>
      <w:r w:rsidRPr="00B43C8D">
        <w:rPr>
          <w:noProof/>
          <w:lang w:val="fr-FR"/>
        </w:rPr>
        <w:t>Article</w:t>
      </w:r>
      <w:r w:rsidR="006B7EC3">
        <w:rPr>
          <w:noProof/>
          <w:lang w:val="fr-FR"/>
        </w:rPr>
        <w:t> </w:t>
      </w:r>
      <w:r w:rsidRPr="00B43C8D">
        <w:rPr>
          <w:noProof/>
          <w:lang w:val="fr-FR"/>
        </w:rPr>
        <w:t>1. Le commandement en chef des forces armées de l</w:t>
      </w:r>
      <w:r w:rsidR="00FB1114">
        <w:rPr>
          <w:noProof/>
          <w:lang w:val="fr-FR"/>
        </w:rPr>
        <w:t>’</w:t>
      </w:r>
      <w:r w:rsidRPr="00B43C8D">
        <w:rPr>
          <w:noProof/>
          <w:lang w:val="fr-FR"/>
        </w:rPr>
        <w:t>É</w:t>
      </w:r>
      <w:r>
        <w:rPr>
          <w:noProof/>
          <w:lang w:val="fr-FR"/>
        </w:rPr>
        <w:t>tat est autorisé à donner aux vi</w:t>
      </w:r>
      <w:r w:rsidRPr="00B43C8D">
        <w:rPr>
          <w:noProof/>
          <w:lang w:val="fr-FR"/>
        </w:rPr>
        <w:t>ctimes et parents de victimes de régimes relevant de la dictature militaire qui en font la demande et ont démontré y avoir un intérêt légitime accès aux archives, registres publics et documents existants des forces arm</w:t>
      </w:r>
      <w:r>
        <w:rPr>
          <w:noProof/>
          <w:lang w:val="fr-FR"/>
        </w:rPr>
        <w:t>ées »</w:t>
      </w:r>
      <w:r w:rsidR="00BB2B48">
        <w:rPr>
          <w:noProof/>
          <w:lang w:val="fr-FR"/>
        </w:rPr>
        <w:t> </w:t>
      </w:r>
      <w:r>
        <w:rPr>
          <w:noProof/>
          <w:lang w:val="fr-FR" w:eastAsia="es-BO"/>
        </w:rPr>
        <w:t>;</w:t>
      </w:r>
      <w:r w:rsidRPr="00B43C8D">
        <w:rPr>
          <w:noProof/>
          <w:lang w:val="fr-FR"/>
        </w:rPr>
        <w:t xml:space="preserve"> </w:t>
      </w:r>
      <w:r>
        <w:rPr>
          <w:noProof/>
          <w:lang w:val="fr-FR"/>
        </w:rPr>
        <w:t>l</w:t>
      </w:r>
      <w:r w:rsidRPr="00B43C8D">
        <w:rPr>
          <w:noProof/>
          <w:lang w:val="fr-FR"/>
        </w:rPr>
        <w:t xml:space="preserve">e commandement en chef des forces armées </w:t>
      </w:r>
      <w:r>
        <w:rPr>
          <w:noProof/>
          <w:lang w:val="fr-FR"/>
        </w:rPr>
        <w:t>a donné suite conformément à la procédure légale en faisant déclassifier la documentation à l</w:t>
      </w:r>
      <w:r w:rsidR="00FB1114">
        <w:rPr>
          <w:noProof/>
          <w:lang w:val="fr-FR"/>
        </w:rPr>
        <w:t>’</w:t>
      </w:r>
      <w:r>
        <w:rPr>
          <w:noProof/>
          <w:lang w:val="fr-FR"/>
        </w:rPr>
        <w:t>intention du ministère public, et cette documentation a été examinée de façon exhaustive et personnellement par les procureurs et les enquêteurs</w:t>
      </w:r>
      <w:r w:rsidRPr="00DF456A">
        <w:rPr>
          <w:iCs/>
          <w:noProof/>
          <w:lang w:val="fr-FR" w:eastAsia="es-BO"/>
        </w:rPr>
        <w:t>.</w:t>
      </w:r>
    </w:p>
    <w:p w:rsidR="00614A7E" w:rsidRPr="006B7EC3" w:rsidRDefault="00614A7E" w:rsidP="00614A7E">
      <w:pPr>
        <w:pStyle w:val="SingleTxtG"/>
        <w:rPr>
          <w:noProof/>
          <w:lang w:val="fr-FR" w:eastAsia="es-BO"/>
        </w:rPr>
      </w:pPr>
      <w:r w:rsidRPr="00DF456A">
        <w:rPr>
          <w:noProof/>
          <w:lang w:val="fr-FR" w:eastAsia="es-BO"/>
        </w:rPr>
        <w:t>102.</w:t>
      </w:r>
      <w:r w:rsidRPr="00DF456A">
        <w:rPr>
          <w:noProof/>
          <w:lang w:val="fr-FR" w:eastAsia="es-BO"/>
        </w:rPr>
        <w:tab/>
      </w:r>
      <w:r>
        <w:rPr>
          <w:noProof/>
          <w:lang w:val="fr-FR" w:eastAsia="es-BO"/>
        </w:rPr>
        <w:t xml:space="preserve">De plus, le </w:t>
      </w:r>
      <w:r w:rsidRPr="009602E7">
        <w:rPr>
          <w:noProof/>
          <w:lang w:val="fr-FR"/>
        </w:rPr>
        <w:t>Tribunal suprême de justic</w:t>
      </w:r>
      <w:r w:rsidRPr="009602E7">
        <w:rPr>
          <w:noProof/>
          <w:lang w:val="fr-FR" w:eastAsia="es-BO"/>
        </w:rPr>
        <w:t>e</w:t>
      </w:r>
      <w:r>
        <w:rPr>
          <w:noProof/>
          <w:lang w:val="fr-FR" w:eastAsia="es-BO"/>
        </w:rPr>
        <w:t xml:space="preserve"> a, par l</w:t>
      </w:r>
      <w:r w:rsidR="00FB1114">
        <w:rPr>
          <w:noProof/>
          <w:lang w:val="fr-FR" w:eastAsia="es-BO"/>
        </w:rPr>
        <w:t>’</w:t>
      </w:r>
      <w:r>
        <w:rPr>
          <w:noProof/>
          <w:lang w:val="fr-FR" w:eastAsia="es-BO"/>
        </w:rPr>
        <w:t xml:space="preserve">ordonnance suprême </w:t>
      </w:r>
      <w:r w:rsidR="006B7EC3" w:rsidRPr="00857F6E">
        <w:rPr>
          <w:rFonts w:eastAsia="MS Mincho"/>
          <w:noProof/>
          <w:szCs w:val="22"/>
          <w:lang w:val="fr-FR"/>
        </w:rPr>
        <w:t>n</w:t>
      </w:r>
      <w:r w:rsidR="006B7EC3" w:rsidRPr="00857F6E">
        <w:rPr>
          <w:rFonts w:eastAsia="MS Mincho"/>
          <w:noProof/>
          <w:szCs w:val="22"/>
          <w:vertAlign w:val="superscript"/>
          <w:lang w:val="fr-FR"/>
        </w:rPr>
        <w:t>o</w:t>
      </w:r>
      <w:r w:rsidR="006B7EC3">
        <w:rPr>
          <w:noProof/>
          <w:lang w:val="fr-FR"/>
        </w:rPr>
        <w:t> </w:t>
      </w:r>
      <w:r w:rsidRPr="00DF456A">
        <w:rPr>
          <w:noProof/>
          <w:lang w:val="fr-FR" w:eastAsia="es-BO"/>
        </w:rPr>
        <w:t>125/2010 d</w:t>
      </w:r>
      <w:r>
        <w:rPr>
          <w:noProof/>
          <w:lang w:val="fr-FR" w:eastAsia="es-BO"/>
        </w:rPr>
        <w:t xml:space="preserve">u </w:t>
      </w:r>
      <w:r w:rsidRPr="00DF456A">
        <w:rPr>
          <w:noProof/>
          <w:lang w:val="fr-FR" w:eastAsia="es-BO"/>
        </w:rPr>
        <w:t>1</w:t>
      </w:r>
      <w:r w:rsidRPr="00B43C8D">
        <w:rPr>
          <w:noProof/>
          <w:vertAlign w:val="superscript"/>
          <w:lang w:val="fr-FR" w:eastAsia="es-BO"/>
        </w:rPr>
        <w:t>er</w:t>
      </w:r>
      <w:r w:rsidR="006B7EC3">
        <w:rPr>
          <w:noProof/>
          <w:lang w:val="fr-FR" w:eastAsia="es-BO"/>
        </w:rPr>
        <w:t> </w:t>
      </w:r>
      <w:r>
        <w:rPr>
          <w:noProof/>
          <w:lang w:val="fr-FR" w:eastAsia="es-BO"/>
        </w:rPr>
        <w:t xml:space="preserve">avril </w:t>
      </w:r>
      <w:r w:rsidRPr="00DF456A">
        <w:rPr>
          <w:noProof/>
          <w:lang w:val="fr-FR" w:eastAsia="es-BO"/>
        </w:rPr>
        <w:t xml:space="preserve">2010, </w:t>
      </w:r>
      <w:r>
        <w:rPr>
          <w:noProof/>
          <w:lang w:val="fr-FR" w:eastAsia="es-BO"/>
        </w:rPr>
        <w:t xml:space="preserve">ordonné au commandant en chef des forces armées, après réception de la notification légale, de procéder conjointement avec un représentant du ministère public à la déclassification des </w:t>
      </w:r>
      <w:r w:rsidRPr="00DF456A">
        <w:rPr>
          <w:noProof/>
          <w:lang w:val="fr-FR" w:eastAsia="es-BO"/>
        </w:rPr>
        <w:t>archiv</w:t>
      </w:r>
      <w:r>
        <w:rPr>
          <w:noProof/>
          <w:lang w:val="fr-FR" w:eastAsia="es-BO"/>
        </w:rPr>
        <w:t>e</w:t>
      </w:r>
      <w:r w:rsidRPr="00DF456A">
        <w:rPr>
          <w:noProof/>
          <w:lang w:val="fr-FR" w:eastAsia="es-BO"/>
        </w:rPr>
        <w:t>s exist</w:t>
      </w:r>
      <w:r>
        <w:rPr>
          <w:noProof/>
          <w:lang w:val="fr-FR" w:eastAsia="es-BO"/>
        </w:rPr>
        <w:t>a</w:t>
      </w:r>
      <w:r w:rsidRPr="00DF456A">
        <w:rPr>
          <w:noProof/>
          <w:lang w:val="fr-FR" w:eastAsia="es-BO"/>
        </w:rPr>
        <w:t xml:space="preserve">ntes </w:t>
      </w:r>
      <w:r>
        <w:rPr>
          <w:noProof/>
          <w:lang w:val="fr-FR" w:eastAsia="es-BO"/>
        </w:rPr>
        <w:t xml:space="preserve">au Département </w:t>
      </w:r>
      <w:r w:rsidR="006B7EC3" w:rsidRPr="00857F6E">
        <w:rPr>
          <w:rFonts w:eastAsia="MS Mincho"/>
          <w:noProof/>
          <w:szCs w:val="22"/>
          <w:lang w:val="fr-FR"/>
        </w:rPr>
        <w:t>n</w:t>
      </w:r>
      <w:r w:rsidR="006B7EC3" w:rsidRPr="00857F6E">
        <w:rPr>
          <w:rFonts w:eastAsia="MS Mincho"/>
          <w:noProof/>
          <w:szCs w:val="22"/>
          <w:vertAlign w:val="superscript"/>
          <w:lang w:val="fr-FR"/>
        </w:rPr>
        <w:t>o</w:t>
      </w:r>
      <w:r w:rsidR="006B7EC3">
        <w:rPr>
          <w:noProof/>
          <w:lang w:val="fr-FR"/>
        </w:rPr>
        <w:t> </w:t>
      </w:r>
      <w:r>
        <w:rPr>
          <w:noProof/>
          <w:lang w:val="fr-FR" w:eastAsia="es-BO"/>
        </w:rPr>
        <w:t>2 de l</w:t>
      </w:r>
      <w:r w:rsidR="00FB1114">
        <w:rPr>
          <w:noProof/>
          <w:lang w:val="fr-FR" w:eastAsia="es-BO"/>
        </w:rPr>
        <w:t>’</w:t>
      </w:r>
      <w:r>
        <w:rPr>
          <w:noProof/>
          <w:lang w:val="fr-FR" w:eastAsia="es-BO"/>
        </w:rPr>
        <w:t xml:space="preserve">état-major, pour la période comprise entre juin </w:t>
      </w:r>
      <w:r w:rsidRPr="00DF456A">
        <w:rPr>
          <w:noProof/>
          <w:lang w:val="fr-FR" w:eastAsia="es-BO"/>
        </w:rPr>
        <w:t xml:space="preserve">1979 </w:t>
      </w:r>
      <w:r>
        <w:rPr>
          <w:noProof/>
          <w:lang w:val="fr-FR" w:eastAsia="es-BO"/>
        </w:rPr>
        <w:t xml:space="preserve">et décembre </w:t>
      </w:r>
      <w:r w:rsidRPr="00DF456A">
        <w:rPr>
          <w:noProof/>
          <w:lang w:val="fr-FR" w:eastAsia="es-BO"/>
        </w:rPr>
        <w:t xml:space="preserve">1980 </w:t>
      </w:r>
      <w:r>
        <w:rPr>
          <w:noProof/>
          <w:lang w:val="fr-FR" w:eastAsia="es-BO"/>
        </w:rPr>
        <w:t xml:space="preserve">ainsi que du rapport </w:t>
      </w:r>
      <w:r w:rsidRPr="006B7EC3">
        <w:rPr>
          <w:noProof/>
          <w:lang w:val="fr-FR" w:eastAsia="es-BO"/>
        </w:rPr>
        <w:t>sur les recettes et les dépenses soumis à l</w:t>
      </w:r>
      <w:r w:rsidR="00FB1114">
        <w:rPr>
          <w:noProof/>
          <w:lang w:val="fr-FR" w:eastAsia="es-BO"/>
        </w:rPr>
        <w:t>’</w:t>
      </w:r>
      <w:r w:rsidRPr="006B7EC3">
        <w:rPr>
          <w:noProof/>
          <w:lang w:val="fr-FR" w:eastAsia="es-BO"/>
        </w:rPr>
        <w:t>état-major pour la période du 10 au 20</w:t>
      </w:r>
      <w:r w:rsidR="006B7EC3" w:rsidRPr="006B7EC3">
        <w:rPr>
          <w:noProof/>
          <w:lang w:val="fr-FR" w:eastAsia="es-BO"/>
        </w:rPr>
        <w:t> </w:t>
      </w:r>
      <w:r w:rsidRPr="006B7EC3">
        <w:rPr>
          <w:noProof/>
          <w:lang w:val="fr-FR" w:eastAsia="es-BO"/>
        </w:rPr>
        <w:t>juillet 1980.</w:t>
      </w:r>
    </w:p>
    <w:p w:rsidR="00614A7E" w:rsidRPr="006B7EC3" w:rsidRDefault="00614A7E" w:rsidP="00614A7E">
      <w:pPr>
        <w:pStyle w:val="SingleTxtG"/>
        <w:rPr>
          <w:noProof/>
          <w:lang w:val="fr-FR" w:eastAsia="es-BO"/>
        </w:rPr>
      </w:pPr>
      <w:r w:rsidRPr="006B7EC3">
        <w:rPr>
          <w:noProof/>
          <w:lang w:val="fr-FR" w:eastAsia="es-BO"/>
        </w:rPr>
        <w:t>103.</w:t>
      </w:r>
      <w:r w:rsidRPr="006B7EC3">
        <w:rPr>
          <w:noProof/>
          <w:lang w:val="fr-FR" w:eastAsia="es-BO"/>
        </w:rPr>
        <w:tab/>
        <w:t>Le 24</w:t>
      </w:r>
      <w:r w:rsidR="006B7EC3">
        <w:rPr>
          <w:noProof/>
          <w:lang w:val="fr-FR" w:eastAsia="es-BO"/>
        </w:rPr>
        <w:t> </w:t>
      </w:r>
      <w:r w:rsidRPr="006B7EC3">
        <w:rPr>
          <w:noProof/>
          <w:lang w:val="fr-FR" w:eastAsia="es-BO"/>
        </w:rPr>
        <w:t>septembre 2012, le ministère public a demandé au commandement en chef des forces armées de faire mettre les archives déclassifiées à sa disposition pour le 28</w:t>
      </w:r>
      <w:r w:rsidR="006B7EC3">
        <w:rPr>
          <w:noProof/>
          <w:lang w:val="fr-FR" w:eastAsia="es-BO"/>
        </w:rPr>
        <w:t> </w:t>
      </w:r>
      <w:r w:rsidRPr="006B7EC3">
        <w:rPr>
          <w:noProof/>
          <w:lang w:val="fr-FR" w:eastAsia="es-BO"/>
        </w:rPr>
        <w:t>septembre 2012 au plus tard. Suite à cette demande, il a eu accès à la documentation pertinente pour les années 1979 et 1980.</w:t>
      </w:r>
    </w:p>
    <w:p w:rsidR="00614A7E" w:rsidRPr="006B7EC3" w:rsidRDefault="00614A7E" w:rsidP="00614A7E">
      <w:pPr>
        <w:pStyle w:val="SingleTxtG"/>
        <w:rPr>
          <w:noProof/>
          <w:lang w:val="fr-FR" w:eastAsia="es-BO"/>
        </w:rPr>
      </w:pPr>
      <w:r w:rsidRPr="006B7EC3">
        <w:rPr>
          <w:noProof/>
          <w:lang w:val="fr-FR" w:eastAsia="es-BO"/>
        </w:rPr>
        <w:t>104.</w:t>
      </w:r>
      <w:r w:rsidRPr="006B7EC3">
        <w:rPr>
          <w:noProof/>
          <w:lang w:val="fr-FR" w:eastAsia="es-BO"/>
        </w:rPr>
        <w:tab/>
        <w:t xml:space="preserve">Il convient de souligner que la loi </w:t>
      </w:r>
      <w:r w:rsidR="006B7EC3" w:rsidRPr="00857F6E">
        <w:rPr>
          <w:rFonts w:eastAsia="MS Mincho"/>
          <w:noProof/>
          <w:szCs w:val="22"/>
          <w:lang w:val="fr-FR"/>
        </w:rPr>
        <w:t>n</w:t>
      </w:r>
      <w:r w:rsidR="006B7EC3" w:rsidRPr="00857F6E">
        <w:rPr>
          <w:rFonts w:eastAsia="MS Mincho"/>
          <w:noProof/>
          <w:szCs w:val="22"/>
          <w:vertAlign w:val="superscript"/>
          <w:lang w:val="fr-FR"/>
        </w:rPr>
        <w:t>o</w:t>
      </w:r>
      <w:r w:rsidR="006B7EC3">
        <w:rPr>
          <w:noProof/>
          <w:lang w:val="fr-FR"/>
        </w:rPr>
        <w:t> </w:t>
      </w:r>
      <w:r w:rsidRPr="006B7EC3">
        <w:rPr>
          <w:noProof/>
          <w:lang w:val="fr-FR" w:eastAsia="es-BO"/>
        </w:rPr>
        <w:t>879 prévoit la déclassification des documents militaires (physique</w:t>
      </w:r>
      <w:r w:rsidR="006B2D16">
        <w:rPr>
          <w:noProof/>
          <w:lang w:val="fr-FR" w:eastAsia="es-BO"/>
        </w:rPr>
        <w:t>s</w:t>
      </w:r>
      <w:r w:rsidRPr="006B7EC3">
        <w:rPr>
          <w:noProof/>
          <w:lang w:val="fr-FR" w:eastAsia="es-BO"/>
        </w:rPr>
        <w:t xml:space="preserve"> ou numériques), policiers et autres types de documents classifiés ou à accès restreint, qu</w:t>
      </w:r>
      <w:r w:rsidR="00FB1114">
        <w:rPr>
          <w:noProof/>
          <w:lang w:val="fr-FR" w:eastAsia="es-BO"/>
        </w:rPr>
        <w:t>’</w:t>
      </w:r>
      <w:r w:rsidRPr="006B7EC3">
        <w:rPr>
          <w:noProof/>
          <w:lang w:val="fr-FR" w:eastAsia="es-BO"/>
        </w:rPr>
        <w:t>ils soient confidentiels ou relèvent d</w:t>
      </w:r>
      <w:r w:rsidR="00FB1114">
        <w:rPr>
          <w:noProof/>
          <w:lang w:val="fr-FR" w:eastAsia="es-BO"/>
        </w:rPr>
        <w:t>’</w:t>
      </w:r>
      <w:r w:rsidRPr="006B7EC3">
        <w:rPr>
          <w:noProof/>
          <w:lang w:val="fr-FR" w:eastAsia="es-BO"/>
        </w:rPr>
        <w:t>une autre catégorie qui empêche de les examiner ou d</w:t>
      </w:r>
      <w:r w:rsidR="00FB1114">
        <w:rPr>
          <w:noProof/>
          <w:lang w:val="fr-FR" w:eastAsia="es-BO"/>
        </w:rPr>
        <w:t>’</w:t>
      </w:r>
      <w:r w:rsidRPr="006B7EC3">
        <w:rPr>
          <w:noProof/>
          <w:lang w:val="fr-FR" w:eastAsia="es-BO"/>
        </w:rPr>
        <w:t>y avoir accès, pour la période comprise entre 1964 et 1982. De même, les autorités chargées de la conservation des archives sont tenues de les rendre accessibles pour la</w:t>
      </w:r>
      <w:r w:rsidRPr="006B7EC3">
        <w:rPr>
          <w:noProof/>
          <w:lang w:val="fr-FR"/>
        </w:rPr>
        <w:t xml:space="preserve"> Commission de la vérité aux fins des enquêtes à mener sur les disparitions et violations des droits de la personne survenues sous les gouvernements militaires entre </w:t>
      </w:r>
      <w:r w:rsidRPr="006B7EC3">
        <w:rPr>
          <w:noProof/>
          <w:lang w:val="fr-FR" w:eastAsia="es-BO"/>
        </w:rPr>
        <w:t>1964 et 1982</w:t>
      </w:r>
      <w:r w:rsidRPr="006B7EC3">
        <w:rPr>
          <w:noProof/>
          <w:lang w:val="fr-FR"/>
        </w:rPr>
        <w:t>.</w:t>
      </w:r>
    </w:p>
    <w:p w:rsidR="00614A7E" w:rsidRPr="006B7EC3" w:rsidRDefault="006B7EC3" w:rsidP="006B7EC3">
      <w:pPr>
        <w:pStyle w:val="H23G"/>
        <w:rPr>
          <w:noProof/>
          <w:lang w:val="fr-FR" w:eastAsia="es-BO"/>
        </w:rPr>
      </w:pPr>
      <w:r>
        <w:tab/>
      </w:r>
      <w:r>
        <w:tab/>
      </w:r>
      <w:r w:rsidR="00614A7E" w:rsidRPr="006B7EC3">
        <w:t>Recommandation</w:t>
      </w:r>
      <w:r w:rsidR="00614A7E" w:rsidRPr="006B7EC3">
        <w:rPr>
          <w:noProof/>
          <w:lang w:val="fr-FR" w:eastAsia="es-BO"/>
        </w:rPr>
        <w:t xml:space="preserve"> figurant au paragraphe 14</w:t>
      </w:r>
    </w:p>
    <w:p w:rsidR="00614A7E" w:rsidRPr="006B7EC3" w:rsidRDefault="00614A7E" w:rsidP="00614A7E">
      <w:pPr>
        <w:pStyle w:val="SingleTxtG"/>
        <w:rPr>
          <w:noProof/>
          <w:lang w:val="fr-FR" w:eastAsia="es-BO"/>
        </w:rPr>
      </w:pPr>
      <w:r w:rsidRPr="006B7EC3">
        <w:rPr>
          <w:noProof/>
          <w:lang w:val="fr-FR" w:eastAsia="es-BO"/>
        </w:rPr>
        <w:t>105.</w:t>
      </w:r>
      <w:r w:rsidRPr="006B7EC3">
        <w:rPr>
          <w:noProof/>
          <w:lang w:val="fr-FR" w:eastAsia="es-BO"/>
        </w:rPr>
        <w:tab/>
        <w:t>Les faits ouvrant droit à réparation en lien avec les violences politiques commises pendant la période visée à l</w:t>
      </w:r>
      <w:r w:rsidR="00FB1114">
        <w:rPr>
          <w:noProof/>
          <w:lang w:val="fr-FR" w:eastAsia="es-BO"/>
        </w:rPr>
        <w:t>’</w:t>
      </w:r>
      <w:r w:rsidRPr="006B7EC3">
        <w:rPr>
          <w:noProof/>
          <w:lang w:val="fr-FR" w:eastAsia="es-BO"/>
        </w:rPr>
        <w:t>article</w:t>
      </w:r>
      <w:r w:rsidR="006B7EC3">
        <w:rPr>
          <w:noProof/>
          <w:lang w:val="fr-FR" w:eastAsia="es-BO"/>
        </w:rPr>
        <w:t> </w:t>
      </w:r>
      <w:r w:rsidRPr="006B7EC3">
        <w:rPr>
          <w:noProof/>
          <w:lang w:val="fr-FR" w:eastAsia="es-BO"/>
        </w:rPr>
        <w:t xml:space="preserve">4 de la loi </w:t>
      </w:r>
      <w:r w:rsidR="006B7EC3" w:rsidRPr="00857F6E">
        <w:rPr>
          <w:rFonts w:eastAsia="MS Mincho"/>
          <w:noProof/>
          <w:szCs w:val="22"/>
          <w:lang w:val="fr-FR"/>
        </w:rPr>
        <w:t>n</w:t>
      </w:r>
      <w:r w:rsidR="006B7EC3" w:rsidRPr="00857F6E">
        <w:rPr>
          <w:rFonts w:eastAsia="MS Mincho"/>
          <w:noProof/>
          <w:szCs w:val="22"/>
          <w:vertAlign w:val="superscript"/>
          <w:lang w:val="fr-FR"/>
        </w:rPr>
        <w:t>o</w:t>
      </w:r>
      <w:r w:rsidR="006B7EC3">
        <w:rPr>
          <w:noProof/>
          <w:lang w:val="fr-FR"/>
        </w:rPr>
        <w:t> </w:t>
      </w:r>
      <w:r w:rsidRPr="006B7EC3">
        <w:rPr>
          <w:noProof/>
          <w:lang w:val="fr-FR" w:eastAsia="es-BO"/>
        </w:rPr>
        <w:t>2640 du 11</w:t>
      </w:r>
      <w:r w:rsidR="006B7EC3">
        <w:rPr>
          <w:noProof/>
          <w:lang w:val="fr-FR" w:eastAsia="es-BO"/>
        </w:rPr>
        <w:t> </w:t>
      </w:r>
      <w:r w:rsidRPr="006B7EC3">
        <w:rPr>
          <w:noProof/>
          <w:lang w:val="fr-FR" w:eastAsia="es-BO"/>
        </w:rPr>
        <w:t xml:space="preserve">mars 2004 (« loi </w:t>
      </w:r>
      <w:r w:rsidR="006B7EC3" w:rsidRPr="00857F6E">
        <w:rPr>
          <w:rFonts w:eastAsia="MS Mincho"/>
          <w:noProof/>
          <w:szCs w:val="22"/>
          <w:lang w:val="fr-FR"/>
        </w:rPr>
        <w:t>n</w:t>
      </w:r>
      <w:r w:rsidR="006B7EC3" w:rsidRPr="00857F6E">
        <w:rPr>
          <w:rFonts w:eastAsia="MS Mincho"/>
          <w:noProof/>
          <w:szCs w:val="22"/>
          <w:vertAlign w:val="superscript"/>
          <w:lang w:val="fr-FR"/>
        </w:rPr>
        <w:t>o</w:t>
      </w:r>
      <w:r w:rsidR="006B7EC3">
        <w:rPr>
          <w:noProof/>
          <w:lang w:val="fr-FR"/>
        </w:rPr>
        <w:t> </w:t>
      </w:r>
      <w:r w:rsidRPr="006B7EC3">
        <w:rPr>
          <w:noProof/>
          <w:lang w:val="fr-FR" w:eastAsia="es-BO"/>
        </w:rPr>
        <w:t>2640 ») (annexe</w:t>
      </w:r>
      <w:r w:rsidR="006B7EC3">
        <w:rPr>
          <w:noProof/>
          <w:lang w:val="fr-FR" w:eastAsia="es-BO"/>
        </w:rPr>
        <w:t> </w:t>
      </w:r>
      <w:r w:rsidRPr="006B7EC3">
        <w:rPr>
          <w:noProof/>
          <w:lang w:val="fr-FR" w:eastAsia="es-BO"/>
        </w:rPr>
        <w:t>33) ont été les suivants</w:t>
      </w:r>
      <w:r w:rsidR="006B7EC3">
        <w:rPr>
          <w:noProof/>
          <w:lang w:val="fr-FR" w:eastAsia="es-BO"/>
        </w:rPr>
        <w:t> </w:t>
      </w:r>
      <w:r w:rsidRPr="006B7EC3">
        <w:rPr>
          <w:noProof/>
          <w:lang w:val="fr-FR" w:eastAsia="es-BO"/>
        </w:rPr>
        <w:t>:</w:t>
      </w:r>
    </w:p>
    <w:p w:rsidR="00614A7E" w:rsidRPr="006B7EC3" w:rsidRDefault="00614A7E" w:rsidP="006B7EC3">
      <w:pPr>
        <w:pStyle w:val="SingleTxtG"/>
        <w:ind w:firstLine="567"/>
        <w:rPr>
          <w:noProof/>
          <w:lang w:val="fr-FR" w:eastAsia="es-BO"/>
        </w:rPr>
      </w:pPr>
      <w:r w:rsidRPr="006B7EC3">
        <w:rPr>
          <w:noProof/>
          <w:lang w:val="fr-FR" w:eastAsia="es-BO"/>
        </w:rPr>
        <w:t>a)</w:t>
      </w:r>
      <w:r w:rsidRPr="006B7EC3">
        <w:rPr>
          <w:noProof/>
          <w:lang w:val="fr-FR" w:eastAsia="es-BO"/>
        </w:rPr>
        <w:tab/>
        <w:t>Arrestation et détention arbitraires</w:t>
      </w:r>
      <w:r w:rsidR="006B7EC3">
        <w:rPr>
          <w:noProof/>
          <w:lang w:val="fr-FR" w:eastAsia="es-BO"/>
        </w:rPr>
        <w:t> </w:t>
      </w:r>
      <w:r w:rsidRPr="006B7EC3">
        <w:rPr>
          <w:noProof/>
          <w:lang w:val="fr-FR" w:eastAsia="es-BO"/>
        </w:rPr>
        <w:t>;</w:t>
      </w:r>
    </w:p>
    <w:p w:rsidR="00614A7E" w:rsidRPr="006B7EC3" w:rsidRDefault="00614A7E" w:rsidP="006B7EC3">
      <w:pPr>
        <w:pStyle w:val="SingleTxtG"/>
        <w:ind w:firstLine="567"/>
        <w:rPr>
          <w:noProof/>
          <w:lang w:val="fr-FR" w:eastAsia="es-BO"/>
        </w:rPr>
      </w:pPr>
      <w:r w:rsidRPr="006B7EC3">
        <w:rPr>
          <w:noProof/>
          <w:lang w:val="fr-FR" w:eastAsia="es-BO"/>
        </w:rPr>
        <w:t>b)</w:t>
      </w:r>
      <w:r w:rsidRPr="006B7EC3">
        <w:rPr>
          <w:noProof/>
          <w:lang w:val="fr-FR" w:eastAsia="es-BO"/>
        </w:rPr>
        <w:tab/>
        <w:t>Torture</w:t>
      </w:r>
      <w:r w:rsidR="006B7EC3">
        <w:rPr>
          <w:noProof/>
          <w:lang w:val="fr-FR" w:eastAsia="es-BO"/>
        </w:rPr>
        <w:t> </w:t>
      </w:r>
      <w:r w:rsidRPr="006B7EC3">
        <w:rPr>
          <w:noProof/>
          <w:lang w:val="fr-FR" w:eastAsia="es-BO"/>
        </w:rPr>
        <w:t>;</w:t>
      </w:r>
    </w:p>
    <w:p w:rsidR="00614A7E" w:rsidRPr="006B7EC3" w:rsidRDefault="00614A7E" w:rsidP="006B7EC3">
      <w:pPr>
        <w:pStyle w:val="SingleTxtG"/>
        <w:ind w:firstLine="567"/>
        <w:rPr>
          <w:noProof/>
          <w:lang w:val="fr-FR" w:eastAsia="es-BO"/>
        </w:rPr>
      </w:pPr>
      <w:r w:rsidRPr="006B7EC3">
        <w:rPr>
          <w:noProof/>
          <w:lang w:val="fr-FR" w:eastAsia="es-BO"/>
        </w:rPr>
        <w:t>c)</w:t>
      </w:r>
      <w:r w:rsidRPr="006B7EC3">
        <w:rPr>
          <w:noProof/>
          <w:lang w:val="fr-FR" w:eastAsia="es-BO"/>
        </w:rPr>
        <w:tab/>
        <w:t>Exil ou bannissement</w:t>
      </w:r>
      <w:r w:rsidR="006B7EC3">
        <w:rPr>
          <w:noProof/>
          <w:lang w:val="fr-FR" w:eastAsia="es-BO"/>
        </w:rPr>
        <w:t> </w:t>
      </w:r>
      <w:r w:rsidRPr="006B7EC3">
        <w:rPr>
          <w:noProof/>
          <w:lang w:val="fr-FR" w:eastAsia="es-BO"/>
        </w:rPr>
        <w:t>;</w:t>
      </w:r>
    </w:p>
    <w:p w:rsidR="00614A7E" w:rsidRPr="006B7EC3" w:rsidRDefault="00614A7E" w:rsidP="006B7EC3">
      <w:pPr>
        <w:pStyle w:val="SingleTxtG"/>
        <w:ind w:firstLine="567"/>
        <w:rPr>
          <w:noProof/>
          <w:lang w:val="fr-FR" w:eastAsia="es-BO"/>
        </w:rPr>
      </w:pPr>
      <w:r w:rsidRPr="006B7EC3">
        <w:rPr>
          <w:noProof/>
          <w:lang w:val="fr-FR" w:eastAsia="es-BO"/>
        </w:rPr>
        <w:t>d)</w:t>
      </w:r>
      <w:r w:rsidRPr="006B7EC3">
        <w:rPr>
          <w:noProof/>
          <w:lang w:val="fr-FR" w:eastAsia="es-BO"/>
        </w:rPr>
        <w:tab/>
      </w:r>
      <w:r w:rsidRPr="006B7EC3">
        <w:rPr>
          <w:noProof/>
          <w:lang w:val="fr-FR"/>
        </w:rPr>
        <w:t>Coups et blessures et incapacités qualifiées</w:t>
      </w:r>
      <w:r w:rsidR="006B7EC3">
        <w:rPr>
          <w:noProof/>
          <w:lang w:val="fr-FR"/>
        </w:rPr>
        <w:t> </w:t>
      </w:r>
      <w:r w:rsidRPr="006B7EC3">
        <w:rPr>
          <w:noProof/>
          <w:lang w:val="fr-FR" w:eastAsia="es-BO"/>
        </w:rPr>
        <w:t>;</w:t>
      </w:r>
    </w:p>
    <w:p w:rsidR="00614A7E" w:rsidRPr="006B7EC3" w:rsidRDefault="00614A7E" w:rsidP="006B7EC3">
      <w:pPr>
        <w:pStyle w:val="SingleTxtG"/>
        <w:ind w:firstLine="567"/>
        <w:rPr>
          <w:noProof/>
          <w:lang w:val="fr-FR" w:eastAsia="es-BO"/>
        </w:rPr>
      </w:pPr>
      <w:r w:rsidRPr="006B7EC3">
        <w:rPr>
          <w:noProof/>
          <w:lang w:val="fr-FR" w:eastAsia="es-BO"/>
        </w:rPr>
        <w:t>e)</w:t>
      </w:r>
      <w:r w:rsidRPr="006B7EC3">
        <w:rPr>
          <w:noProof/>
          <w:lang w:val="fr-FR" w:eastAsia="es-BO"/>
        </w:rPr>
        <w:tab/>
        <w:t>Décès, dans le pays ou à l</w:t>
      </w:r>
      <w:r w:rsidR="00FB1114">
        <w:rPr>
          <w:noProof/>
          <w:lang w:val="fr-FR" w:eastAsia="es-BO"/>
        </w:rPr>
        <w:t>’</w:t>
      </w:r>
      <w:r w:rsidRPr="006B7EC3">
        <w:rPr>
          <w:noProof/>
          <w:lang w:val="fr-FR" w:eastAsia="es-BO"/>
        </w:rPr>
        <w:t>étranger, dû à des causes liées à la violence politique</w:t>
      </w:r>
      <w:r w:rsidR="006B7EC3">
        <w:rPr>
          <w:noProof/>
          <w:lang w:val="fr-FR" w:eastAsia="es-BO"/>
        </w:rPr>
        <w:t> </w:t>
      </w:r>
      <w:r w:rsidRPr="006B7EC3">
        <w:rPr>
          <w:noProof/>
          <w:lang w:val="fr-FR" w:eastAsia="es-BO"/>
        </w:rPr>
        <w:t>;</w:t>
      </w:r>
    </w:p>
    <w:p w:rsidR="00614A7E" w:rsidRPr="006B7EC3" w:rsidRDefault="00614A7E" w:rsidP="006B7EC3">
      <w:pPr>
        <w:pStyle w:val="SingleTxtG"/>
        <w:ind w:firstLine="567"/>
        <w:rPr>
          <w:noProof/>
          <w:lang w:val="fr-FR" w:eastAsia="es-BO"/>
        </w:rPr>
      </w:pPr>
      <w:r w:rsidRPr="006B7EC3">
        <w:rPr>
          <w:noProof/>
          <w:lang w:val="fr-FR" w:eastAsia="es-BO"/>
        </w:rPr>
        <w:t>f)</w:t>
      </w:r>
      <w:r w:rsidRPr="006B7EC3">
        <w:rPr>
          <w:noProof/>
          <w:lang w:val="fr-FR" w:eastAsia="es-BO"/>
        </w:rPr>
        <w:tab/>
        <w:t>Disparition forcée</w:t>
      </w:r>
      <w:r w:rsidR="006B7EC3">
        <w:rPr>
          <w:noProof/>
          <w:lang w:val="fr-FR" w:eastAsia="es-BO"/>
        </w:rPr>
        <w:t> </w:t>
      </w:r>
      <w:r w:rsidRPr="006B7EC3">
        <w:rPr>
          <w:noProof/>
          <w:lang w:val="fr-FR" w:eastAsia="es-BO"/>
        </w:rPr>
        <w:t>;</w:t>
      </w:r>
    </w:p>
    <w:p w:rsidR="00614A7E" w:rsidRPr="00DF456A" w:rsidRDefault="00614A7E" w:rsidP="00E45FB2">
      <w:pPr>
        <w:pStyle w:val="SingleTxtG"/>
        <w:ind w:firstLine="567"/>
        <w:rPr>
          <w:noProof/>
          <w:lang w:val="fr-FR" w:eastAsia="es-BO"/>
        </w:rPr>
      </w:pPr>
      <w:r w:rsidRPr="00DF456A">
        <w:rPr>
          <w:noProof/>
          <w:lang w:val="fr-FR" w:eastAsia="es-BO"/>
        </w:rPr>
        <w:t>g)</w:t>
      </w:r>
      <w:r w:rsidRPr="00DF456A">
        <w:rPr>
          <w:noProof/>
          <w:lang w:val="fr-FR" w:eastAsia="es-BO"/>
        </w:rPr>
        <w:tab/>
        <w:t>P</w:t>
      </w:r>
      <w:r>
        <w:rPr>
          <w:noProof/>
          <w:lang w:val="fr-FR" w:eastAsia="es-BO"/>
        </w:rPr>
        <w:t>ersécution pour des raisons politiques ou syndicales</w:t>
      </w:r>
      <w:r w:rsidRPr="00DF456A">
        <w:rPr>
          <w:noProof/>
          <w:lang w:val="fr-FR" w:eastAsia="es-BO"/>
        </w:rPr>
        <w:t>.</w:t>
      </w:r>
    </w:p>
    <w:p w:rsidR="00614A7E" w:rsidRPr="00DF456A" w:rsidRDefault="00614A7E" w:rsidP="00614A7E">
      <w:pPr>
        <w:pStyle w:val="SingleTxtG"/>
        <w:rPr>
          <w:noProof/>
          <w:sz w:val="24"/>
          <w:szCs w:val="24"/>
          <w:lang w:val="fr-FR" w:eastAsia="es-BO"/>
        </w:rPr>
      </w:pPr>
      <w:r w:rsidRPr="00DF456A">
        <w:rPr>
          <w:noProof/>
          <w:lang w:val="fr-FR" w:eastAsia="es-BO"/>
        </w:rPr>
        <w:t>106.</w:t>
      </w:r>
      <w:r w:rsidRPr="00DF456A">
        <w:rPr>
          <w:noProof/>
          <w:lang w:val="fr-FR" w:eastAsia="es-BO"/>
        </w:rPr>
        <w:tab/>
      </w:r>
      <w:r w:rsidRPr="001C05E6">
        <w:rPr>
          <w:noProof/>
          <w:lang w:val="fr-FR"/>
        </w:rPr>
        <w:t>Les faits ouvrant droit à réparation pour torture, coups et blessures et incapacités qualifiées constituent des facteurs aggravants dans chacune des catégories prises en compte pour le calcul</w:t>
      </w:r>
      <w:r w:rsidRPr="00DF456A">
        <w:rPr>
          <w:noProof/>
          <w:lang w:val="fr-FR" w:eastAsia="es-BO"/>
        </w:rPr>
        <w:t>.</w:t>
      </w:r>
    </w:p>
    <w:p w:rsidR="00614A7E" w:rsidRPr="00C932EC" w:rsidRDefault="00614A7E" w:rsidP="00614A7E">
      <w:pPr>
        <w:pStyle w:val="SingleTxtG"/>
        <w:rPr>
          <w:noProof/>
          <w:lang w:val="fr-FR" w:eastAsia="es-BO"/>
        </w:rPr>
      </w:pPr>
      <w:r w:rsidRPr="00DF456A">
        <w:rPr>
          <w:noProof/>
          <w:lang w:val="fr-FR" w:eastAsia="es-BO"/>
        </w:rPr>
        <w:t>107.</w:t>
      </w:r>
      <w:r w:rsidRPr="00DF456A">
        <w:rPr>
          <w:noProof/>
          <w:lang w:val="fr-FR" w:eastAsia="es-BO"/>
        </w:rPr>
        <w:tab/>
        <w:t xml:space="preserve">En </w:t>
      </w:r>
      <w:r>
        <w:rPr>
          <w:noProof/>
          <w:lang w:val="fr-FR" w:eastAsia="es-BO"/>
        </w:rPr>
        <w:t>ce qui concerne le financement des réparations, l</w:t>
      </w:r>
      <w:r w:rsidR="00FB1114">
        <w:rPr>
          <w:noProof/>
          <w:lang w:val="fr-FR" w:eastAsia="es-BO"/>
        </w:rPr>
        <w:t>’</w:t>
      </w:r>
      <w:r>
        <w:rPr>
          <w:noProof/>
          <w:lang w:val="fr-FR" w:eastAsia="es-BO"/>
        </w:rPr>
        <w:t>article</w:t>
      </w:r>
      <w:r w:rsidR="00E45FB2">
        <w:rPr>
          <w:noProof/>
          <w:lang w:val="fr-FR" w:eastAsia="es-BO"/>
        </w:rPr>
        <w:t> </w:t>
      </w:r>
      <w:r w:rsidRPr="00DF456A">
        <w:rPr>
          <w:noProof/>
          <w:lang w:val="fr-FR" w:eastAsia="es-BO"/>
        </w:rPr>
        <w:t xml:space="preserve">16 de la </w:t>
      </w:r>
      <w:r>
        <w:rPr>
          <w:noProof/>
          <w:lang w:val="fr-FR" w:eastAsia="es-BO"/>
        </w:rPr>
        <w:t xml:space="preserve">loi </w:t>
      </w:r>
      <w:r w:rsidR="00E45FB2" w:rsidRPr="00857F6E">
        <w:rPr>
          <w:rFonts w:eastAsia="MS Mincho"/>
          <w:noProof/>
          <w:szCs w:val="22"/>
          <w:lang w:val="fr-FR"/>
        </w:rPr>
        <w:t>n</w:t>
      </w:r>
      <w:r w:rsidR="00E45FB2" w:rsidRPr="00857F6E">
        <w:rPr>
          <w:rFonts w:eastAsia="MS Mincho"/>
          <w:noProof/>
          <w:szCs w:val="22"/>
          <w:vertAlign w:val="superscript"/>
          <w:lang w:val="fr-FR"/>
        </w:rPr>
        <w:t>o</w:t>
      </w:r>
      <w:r w:rsidR="00E45FB2">
        <w:rPr>
          <w:noProof/>
          <w:lang w:val="fr-FR"/>
        </w:rPr>
        <w:t> </w:t>
      </w:r>
      <w:r w:rsidRPr="00DF456A">
        <w:rPr>
          <w:noProof/>
          <w:lang w:val="fr-FR" w:eastAsia="es-BO"/>
        </w:rPr>
        <w:t xml:space="preserve">2640 </w:t>
      </w:r>
      <w:r>
        <w:rPr>
          <w:noProof/>
          <w:lang w:val="fr-FR" w:eastAsia="es-BO"/>
        </w:rPr>
        <w:t>dispose que les ressources destinées à l</w:t>
      </w:r>
      <w:r w:rsidR="00FB1114">
        <w:rPr>
          <w:noProof/>
          <w:lang w:val="fr-FR" w:eastAsia="es-BO"/>
        </w:rPr>
        <w:t>’</w:t>
      </w:r>
      <w:r>
        <w:rPr>
          <w:noProof/>
          <w:lang w:val="fr-FR" w:eastAsia="es-BO"/>
        </w:rPr>
        <w:t>indemnisation des victimes proviendraient des sources suivantes</w:t>
      </w:r>
      <w:r w:rsidR="00E45FB2">
        <w:rPr>
          <w:noProof/>
          <w:lang w:val="fr-FR" w:eastAsia="es-BO"/>
        </w:rPr>
        <w:t> </w:t>
      </w:r>
      <w:r w:rsidRPr="00DF456A">
        <w:rPr>
          <w:noProof/>
          <w:lang w:val="fr-FR" w:eastAsia="es-BO"/>
        </w:rPr>
        <w:t>:</w:t>
      </w:r>
    </w:p>
    <w:p w:rsidR="00614A7E" w:rsidRPr="00C932EC" w:rsidRDefault="00614A7E" w:rsidP="00614A7E">
      <w:pPr>
        <w:pStyle w:val="SingleTxtG"/>
        <w:ind w:firstLine="567"/>
        <w:rPr>
          <w:noProof/>
          <w:lang w:val="fr-FR" w:eastAsia="es-BO"/>
        </w:rPr>
      </w:pPr>
      <w:r w:rsidRPr="00C932EC">
        <w:rPr>
          <w:noProof/>
          <w:lang w:val="fr-FR" w:eastAsia="es-BO"/>
        </w:rPr>
        <w:t>a)</w:t>
      </w:r>
      <w:r w:rsidRPr="00C932EC">
        <w:rPr>
          <w:noProof/>
          <w:lang w:val="fr-FR" w:eastAsia="es-BO"/>
        </w:rPr>
        <w:tab/>
      </w:r>
      <w:r w:rsidRPr="00C932EC">
        <w:rPr>
          <w:noProof/>
          <w:lang w:val="fr-FR"/>
        </w:rPr>
        <w:t>Le Trésor général de la nation prévoira un poste spécial pour couvrir 20</w:t>
      </w:r>
      <w:r w:rsidR="009B0EF2" w:rsidRPr="00C932EC">
        <w:rPr>
          <w:noProof/>
          <w:lang w:val="fr-FR"/>
        </w:rPr>
        <w:t> </w:t>
      </w:r>
      <w:r w:rsidRPr="00C932EC">
        <w:rPr>
          <w:noProof/>
          <w:lang w:val="fr-FR"/>
        </w:rPr>
        <w:t>%, c</w:t>
      </w:r>
      <w:r w:rsidR="00FB1114">
        <w:rPr>
          <w:noProof/>
          <w:lang w:val="fr-FR"/>
        </w:rPr>
        <w:t>’</w:t>
      </w:r>
      <w:r w:rsidRPr="00C932EC">
        <w:rPr>
          <w:noProof/>
          <w:lang w:val="fr-FR"/>
        </w:rPr>
        <w:t>est-à-dire 3,6</w:t>
      </w:r>
      <w:r w:rsidR="00784F4E" w:rsidRPr="00C932EC">
        <w:rPr>
          <w:noProof/>
          <w:lang w:val="fr-FR"/>
        </w:rPr>
        <w:t> </w:t>
      </w:r>
      <w:r w:rsidRPr="00C932EC">
        <w:rPr>
          <w:noProof/>
          <w:lang w:val="fr-FR"/>
        </w:rPr>
        <w:t>millions de dollars des États-Unis,</w:t>
      </w:r>
      <w:r w:rsidRPr="00C932EC">
        <w:rPr>
          <w:noProof/>
          <w:lang w:val="fr-FR" w:eastAsia="es-BO"/>
        </w:rPr>
        <w:t xml:space="preserve"> soit 1,2</w:t>
      </w:r>
      <w:r w:rsidR="009B0EF2" w:rsidRPr="00C932EC">
        <w:rPr>
          <w:noProof/>
          <w:lang w:val="fr-FR" w:eastAsia="es-BO"/>
        </w:rPr>
        <w:t> </w:t>
      </w:r>
      <w:r w:rsidRPr="00C932EC">
        <w:rPr>
          <w:noProof/>
          <w:lang w:val="fr-FR"/>
        </w:rPr>
        <w:t>million de dollars É</w:t>
      </w:r>
      <w:r w:rsidR="006D5339">
        <w:rPr>
          <w:noProof/>
          <w:lang w:val="fr-FR"/>
        </w:rPr>
        <w:t>.</w:t>
      </w:r>
      <w:r w:rsidRPr="00C932EC">
        <w:rPr>
          <w:noProof/>
          <w:lang w:val="fr-FR"/>
        </w:rPr>
        <w:t>-U</w:t>
      </w:r>
      <w:r w:rsidR="006D5339">
        <w:rPr>
          <w:noProof/>
          <w:lang w:val="fr-FR"/>
        </w:rPr>
        <w:t>.</w:t>
      </w:r>
      <w:r w:rsidRPr="00C932EC">
        <w:rPr>
          <w:noProof/>
          <w:lang w:val="fr-FR" w:eastAsia="es-BO"/>
        </w:rPr>
        <w:t xml:space="preserve"> budgétisés pour les exercices 2005, 2006 et 2007</w:t>
      </w:r>
      <w:r w:rsidR="009B0EF2" w:rsidRPr="00C932EC">
        <w:rPr>
          <w:noProof/>
          <w:lang w:val="fr-FR" w:eastAsia="es-BO"/>
        </w:rPr>
        <w:t> </w:t>
      </w:r>
      <w:r w:rsidRPr="00C932EC">
        <w:rPr>
          <w:noProof/>
          <w:lang w:val="fr-FR" w:eastAsia="es-BO"/>
        </w:rPr>
        <w:t>;</w:t>
      </w:r>
    </w:p>
    <w:p w:rsidR="00614A7E" w:rsidRPr="00C932EC" w:rsidRDefault="00614A7E" w:rsidP="00614A7E">
      <w:pPr>
        <w:pStyle w:val="SingleTxtG"/>
        <w:ind w:firstLine="567"/>
        <w:rPr>
          <w:noProof/>
          <w:lang w:val="fr-FR" w:eastAsia="es-BO"/>
        </w:rPr>
      </w:pPr>
      <w:r w:rsidRPr="00C932EC">
        <w:rPr>
          <w:noProof/>
          <w:lang w:val="fr-FR" w:eastAsia="es-BO"/>
        </w:rPr>
        <w:lastRenderedPageBreak/>
        <w:t>b)</w:t>
      </w:r>
      <w:r w:rsidRPr="00C932EC">
        <w:rPr>
          <w:noProof/>
          <w:lang w:val="fr-FR" w:eastAsia="es-BO"/>
        </w:rPr>
        <w:tab/>
        <w:t>Dons émanant du secteur privé ou de l</w:t>
      </w:r>
      <w:r w:rsidR="00FB1114">
        <w:rPr>
          <w:noProof/>
          <w:lang w:val="fr-FR" w:eastAsia="es-BO"/>
        </w:rPr>
        <w:t>’</w:t>
      </w:r>
      <w:r w:rsidRPr="00C932EC">
        <w:rPr>
          <w:noProof/>
          <w:lang w:val="fr-FR" w:eastAsia="es-BO"/>
        </w:rPr>
        <w:t>étranger ainsi que d</w:t>
      </w:r>
      <w:r w:rsidR="00FB1114">
        <w:rPr>
          <w:noProof/>
          <w:lang w:val="fr-FR" w:eastAsia="es-BO"/>
        </w:rPr>
        <w:t>’</w:t>
      </w:r>
      <w:r w:rsidRPr="00C932EC">
        <w:rPr>
          <w:noProof/>
          <w:lang w:val="fr-FR" w:eastAsia="es-BO"/>
        </w:rPr>
        <w:t>organisations internationales, j</w:t>
      </w:r>
      <w:r w:rsidRPr="00C932EC">
        <w:rPr>
          <w:noProof/>
          <w:lang w:val="fr-FR"/>
        </w:rPr>
        <w:t>usqu</w:t>
      </w:r>
      <w:r w:rsidR="00FB1114">
        <w:rPr>
          <w:noProof/>
          <w:lang w:val="fr-FR"/>
        </w:rPr>
        <w:t>’</w:t>
      </w:r>
      <w:r w:rsidRPr="00C932EC">
        <w:rPr>
          <w:noProof/>
          <w:lang w:val="fr-FR"/>
        </w:rPr>
        <w:t>à représenter 80</w:t>
      </w:r>
      <w:r w:rsidR="00784F4E" w:rsidRPr="00C932EC">
        <w:rPr>
          <w:noProof/>
          <w:lang w:val="fr-FR"/>
        </w:rPr>
        <w:t> </w:t>
      </w:r>
      <w:r w:rsidRPr="00C932EC">
        <w:rPr>
          <w:noProof/>
          <w:lang w:val="fr-FR"/>
        </w:rPr>
        <w:t>% du montant des indemnisations</w:t>
      </w:r>
      <w:r w:rsidRPr="00C932EC">
        <w:rPr>
          <w:noProof/>
          <w:lang w:val="fr-FR" w:eastAsia="es-BO"/>
        </w:rPr>
        <w:t xml:space="preserve"> fixé par la Commission nationale d</w:t>
      </w:r>
      <w:r w:rsidR="00FB1114">
        <w:rPr>
          <w:noProof/>
          <w:lang w:val="fr-FR" w:eastAsia="es-BO"/>
        </w:rPr>
        <w:t>’</w:t>
      </w:r>
      <w:r w:rsidRPr="00C932EC">
        <w:rPr>
          <w:noProof/>
          <w:lang w:val="fr-FR" w:eastAsia="es-BO"/>
        </w:rPr>
        <w:t>indemnisation des victimes de la violence politique.</w:t>
      </w:r>
    </w:p>
    <w:p w:rsidR="00614A7E" w:rsidRPr="00C932EC" w:rsidRDefault="00614A7E" w:rsidP="00614A7E">
      <w:pPr>
        <w:pStyle w:val="SingleTxtG"/>
        <w:rPr>
          <w:noProof/>
          <w:lang w:val="fr-FR" w:eastAsia="es-BO"/>
        </w:rPr>
      </w:pPr>
      <w:r w:rsidRPr="00C932EC">
        <w:rPr>
          <w:noProof/>
          <w:lang w:val="fr-FR" w:eastAsia="es-BO"/>
        </w:rPr>
        <w:t>108.</w:t>
      </w:r>
      <w:r w:rsidRPr="00C932EC">
        <w:rPr>
          <w:noProof/>
          <w:lang w:val="fr-FR" w:eastAsia="es-BO"/>
        </w:rPr>
        <w:tab/>
        <w:t>En ce qui concerne les 20</w:t>
      </w:r>
      <w:r w:rsidR="00C932EC" w:rsidRPr="00C932EC">
        <w:rPr>
          <w:noProof/>
          <w:lang w:val="fr-FR" w:eastAsia="es-BO"/>
        </w:rPr>
        <w:t> </w:t>
      </w:r>
      <w:r w:rsidRPr="00C932EC">
        <w:rPr>
          <w:noProof/>
          <w:lang w:val="fr-FR" w:eastAsia="es-BO"/>
        </w:rPr>
        <w:t>% susvisés, une fois achevée la validation des dossiers des victimes de la violence politique (1</w:t>
      </w:r>
      <w:r w:rsidR="00F239C0">
        <w:rPr>
          <w:noProof/>
          <w:lang w:val="fr-FR" w:eastAsia="es-BO"/>
        </w:rPr>
        <w:t> </w:t>
      </w:r>
      <w:r w:rsidRPr="00C932EC">
        <w:rPr>
          <w:noProof/>
          <w:lang w:val="fr-FR" w:eastAsia="es-BO"/>
        </w:rPr>
        <w:t>714</w:t>
      </w:r>
      <w:r w:rsidR="00F239C0">
        <w:rPr>
          <w:noProof/>
          <w:lang w:val="fr-FR" w:eastAsia="es-BO"/>
        </w:rPr>
        <w:t> </w:t>
      </w:r>
      <w:r w:rsidRPr="00C932EC">
        <w:rPr>
          <w:noProof/>
          <w:lang w:val="fr-FR"/>
        </w:rPr>
        <w:t>bénéficiaires ont été retenus à l</w:t>
      </w:r>
      <w:r w:rsidR="00FB1114">
        <w:rPr>
          <w:noProof/>
          <w:lang w:val="fr-FR"/>
        </w:rPr>
        <w:t>’</w:t>
      </w:r>
      <w:r w:rsidRPr="00C932EC">
        <w:rPr>
          <w:noProof/>
          <w:lang w:val="fr-FR"/>
        </w:rPr>
        <w:t>issue de la procédure de validation</w:t>
      </w:r>
      <w:r w:rsidRPr="00C932EC">
        <w:rPr>
          <w:noProof/>
          <w:lang w:val="fr-FR" w:eastAsia="es-BO"/>
        </w:rPr>
        <w:t xml:space="preserve">) et après adoption de la loi </w:t>
      </w:r>
      <w:r w:rsidR="00C932EC" w:rsidRPr="00C932EC">
        <w:rPr>
          <w:rFonts w:eastAsia="MS Mincho"/>
          <w:noProof/>
          <w:lang w:val="fr-FR"/>
        </w:rPr>
        <w:t>n</w:t>
      </w:r>
      <w:r w:rsidR="00C932EC" w:rsidRPr="00C932EC">
        <w:rPr>
          <w:rFonts w:eastAsia="MS Mincho"/>
          <w:noProof/>
          <w:vertAlign w:val="superscript"/>
          <w:lang w:val="fr-FR"/>
        </w:rPr>
        <w:t>o</w:t>
      </w:r>
      <w:r w:rsidR="00C932EC" w:rsidRPr="00C932EC">
        <w:rPr>
          <w:noProof/>
          <w:lang w:val="fr-FR"/>
        </w:rPr>
        <w:t> </w:t>
      </w:r>
      <w:r w:rsidRPr="00C932EC">
        <w:rPr>
          <w:noProof/>
          <w:lang w:val="fr-FR" w:eastAsia="es-BO"/>
        </w:rPr>
        <w:t>238 du 30</w:t>
      </w:r>
      <w:r w:rsidR="00C932EC" w:rsidRPr="00C932EC">
        <w:rPr>
          <w:noProof/>
          <w:lang w:val="fr-FR" w:eastAsia="es-BO"/>
        </w:rPr>
        <w:t> </w:t>
      </w:r>
      <w:r w:rsidRPr="00C932EC">
        <w:rPr>
          <w:noProof/>
          <w:lang w:val="fr-FR" w:eastAsia="es-BO"/>
        </w:rPr>
        <w:t xml:space="preserve">avril 2012, le Trésor général a été autorisé à </w:t>
      </w:r>
      <w:r w:rsidRPr="00C932EC">
        <w:rPr>
          <w:noProof/>
          <w:lang w:val="fr-FR"/>
        </w:rPr>
        <w:t>décaisser 3</w:t>
      </w:r>
      <w:r w:rsidR="00F96DA2">
        <w:rPr>
          <w:noProof/>
          <w:lang w:val="fr-FR"/>
        </w:rPr>
        <w:t>,</w:t>
      </w:r>
      <w:r w:rsidRPr="00C932EC">
        <w:rPr>
          <w:noProof/>
          <w:lang w:val="fr-FR"/>
        </w:rPr>
        <w:t>6</w:t>
      </w:r>
      <w:r w:rsidR="00F96DA2">
        <w:rPr>
          <w:noProof/>
          <w:lang w:val="fr-FR"/>
        </w:rPr>
        <w:t xml:space="preserve"> millions de</w:t>
      </w:r>
      <w:r w:rsidRPr="00C932EC">
        <w:rPr>
          <w:noProof/>
          <w:lang w:val="fr-FR"/>
        </w:rPr>
        <w:t xml:space="preserve"> dollars É</w:t>
      </w:r>
      <w:r w:rsidR="00F96DA2">
        <w:rPr>
          <w:noProof/>
          <w:lang w:val="fr-FR"/>
        </w:rPr>
        <w:t>.</w:t>
      </w:r>
      <w:r w:rsidRPr="00C932EC">
        <w:rPr>
          <w:noProof/>
          <w:lang w:val="fr-FR"/>
        </w:rPr>
        <w:t>-U</w:t>
      </w:r>
      <w:r w:rsidR="00F96DA2">
        <w:rPr>
          <w:noProof/>
          <w:lang w:val="fr-FR"/>
        </w:rPr>
        <w:t>.</w:t>
      </w:r>
      <w:r w:rsidRPr="00C932EC">
        <w:rPr>
          <w:noProof/>
          <w:lang w:val="fr-FR"/>
        </w:rPr>
        <w:t xml:space="preserve"> pour effectuer un versement unique et définitif correspondant à vingt pour cent (20</w:t>
      </w:r>
      <w:r w:rsidR="00C932EC" w:rsidRPr="00C932EC">
        <w:rPr>
          <w:noProof/>
          <w:lang w:val="fr-FR"/>
        </w:rPr>
        <w:t> </w:t>
      </w:r>
      <w:r w:rsidRPr="00C932EC">
        <w:rPr>
          <w:noProof/>
          <w:lang w:val="fr-FR"/>
        </w:rPr>
        <w:t>%) du montant total des réparations que l</w:t>
      </w:r>
      <w:r w:rsidR="00FB1114">
        <w:rPr>
          <w:noProof/>
          <w:lang w:val="fr-FR"/>
        </w:rPr>
        <w:t>’</w:t>
      </w:r>
      <w:r w:rsidRPr="00C932EC">
        <w:rPr>
          <w:noProof/>
          <w:lang w:val="fr-FR"/>
        </w:rPr>
        <w:t>État bolivien s</w:t>
      </w:r>
      <w:r w:rsidR="00FB1114">
        <w:rPr>
          <w:noProof/>
          <w:lang w:val="fr-FR"/>
        </w:rPr>
        <w:t>’</w:t>
      </w:r>
      <w:r w:rsidRPr="00C932EC">
        <w:rPr>
          <w:noProof/>
          <w:lang w:val="fr-FR"/>
        </w:rPr>
        <w:t>est engagé à verser aux victimes d</w:t>
      </w:r>
      <w:r w:rsidR="00FB1114">
        <w:rPr>
          <w:noProof/>
          <w:lang w:val="fr-FR"/>
        </w:rPr>
        <w:t>’</w:t>
      </w:r>
      <w:r w:rsidRPr="00C932EC">
        <w:rPr>
          <w:noProof/>
          <w:lang w:val="fr-FR"/>
        </w:rPr>
        <w:t>actes de violence politique, conformément aux dispositions</w:t>
      </w:r>
      <w:r w:rsidRPr="00C932EC">
        <w:rPr>
          <w:noProof/>
          <w:lang w:val="fr-FR" w:eastAsia="es-BO"/>
        </w:rPr>
        <w:t xml:space="preserve"> de l</w:t>
      </w:r>
      <w:r w:rsidR="00FB1114">
        <w:rPr>
          <w:noProof/>
          <w:lang w:val="fr-FR" w:eastAsia="es-BO"/>
        </w:rPr>
        <w:t>’</w:t>
      </w:r>
      <w:r w:rsidRPr="00C932EC">
        <w:rPr>
          <w:noProof/>
          <w:lang w:val="fr-FR" w:eastAsia="es-BO"/>
        </w:rPr>
        <w:t>article</w:t>
      </w:r>
      <w:r w:rsidR="00C932EC" w:rsidRPr="00C932EC">
        <w:rPr>
          <w:noProof/>
          <w:lang w:val="fr-FR" w:eastAsia="es-BO"/>
        </w:rPr>
        <w:t> </w:t>
      </w:r>
      <w:r w:rsidRPr="00C932EC">
        <w:rPr>
          <w:noProof/>
          <w:lang w:val="fr-FR" w:eastAsia="es-BO"/>
        </w:rPr>
        <w:t xml:space="preserve">16 de la loi </w:t>
      </w:r>
      <w:r w:rsidR="00C932EC" w:rsidRPr="00C932EC">
        <w:rPr>
          <w:rFonts w:eastAsia="MS Mincho"/>
          <w:noProof/>
          <w:lang w:val="fr-FR"/>
        </w:rPr>
        <w:t>n</w:t>
      </w:r>
      <w:r w:rsidR="00C932EC" w:rsidRPr="00C932EC">
        <w:rPr>
          <w:rFonts w:eastAsia="MS Mincho"/>
          <w:noProof/>
          <w:vertAlign w:val="superscript"/>
          <w:lang w:val="fr-FR"/>
        </w:rPr>
        <w:t>o</w:t>
      </w:r>
      <w:r w:rsidR="00C932EC" w:rsidRPr="00C932EC">
        <w:rPr>
          <w:noProof/>
          <w:lang w:val="fr-FR"/>
        </w:rPr>
        <w:t> </w:t>
      </w:r>
      <w:r w:rsidRPr="00C932EC">
        <w:rPr>
          <w:noProof/>
          <w:lang w:val="fr-FR" w:eastAsia="es-BO"/>
        </w:rPr>
        <w:t>2640.</w:t>
      </w:r>
    </w:p>
    <w:p w:rsidR="00614A7E" w:rsidRPr="00C932EC" w:rsidRDefault="00614A7E" w:rsidP="00614A7E">
      <w:pPr>
        <w:pStyle w:val="SingleTxtG"/>
        <w:rPr>
          <w:noProof/>
          <w:lang w:val="fr-FR" w:eastAsia="es-BO"/>
        </w:rPr>
      </w:pPr>
      <w:r w:rsidRPr="00C932EC">
        <w:rPr>
          <w:noProof/>
          <w:lang w:val="fr-FR" w:eastAsia="es-BO"/>
        </w:rPr>
        <w:t>109.</w:t>
      </w:r>
      <w:r w:rsidRPr="00C932EC">
        <w:rPr>
          <w:noProof/>
          <w:lang w:val="fr-FR" w:eastAsia="es-BO"/>
        </w:rPr>
        <w:tab/>
        <w:t>À cet égard, l</w:t>
      </w:r>
      <w:r w:rsidR="00FB1114">
        <w:rPr>
          <w:noProof/>
          <w:lang w:val="fr-FR" w:eastAsia="es-BO"/>
        </w:rPr>
        <w:t>’</w:t>
      </w:r>
      <w:r w:rsidRPr="00C932EC">
        <w:rPr>
          <w:noProof/>
          <w:lang w:val="fr-FR" w:eastAsia="es-BO"/>
        </w:rPr>
        <w:t>État s</w:t>
      </w:r>
      <w:r w:rsidR="00FB1114">
        <w:rPr>
          <w:noProof/>
          <w:lang w:val="fr-FR" w:eastAsia="es-BO"/>
        </w:rPr>
        <w:t>’</w:t>
      </w:r>
      <w:r w:rsidRPr="00C932EC">
        <w:rPr>
          <w:noProof/>
          <w:lang w:val="fr-FR" w:eastAsia="es-BO"/>
        </w:rPr>
        <w:t xml:space="preserve">est conformé aux dispositions de la loi </w:t>
      </w:r>
      <w:r w:rsidR="00F239C0" w:rsidRPr="00857F6E">
        <w:rPr>
          <w:rFonts w:eastAsia="MS Mincho"/>
          <w:noProof/>
          <w:szCs w:val="22"/>
          <w:lang w:val="fr-FR"/>
        </w:rPr>
        <w:t>n</w:t>
      </w:r>
      <w:r w:rsidR="00F239C0" w:rsidRPr="00857F6E">
        <w:rPr>
          <w:rFonts w:eastAsia="MS Mincho"/>
          <w:noProof/>
          <w:szCs w:val="22"/>
          <w:vertAlign w:val="superscript"/>
          <w:lang w:val="fr-FR"/>
        </w:rPr>
        <w:t>o</w:t>
      </w:r>
      <w:r w:rsidR="00F239C0">
        <w:rPr>
          <w:noProof/>
          <w:lang w:val="fr-FR"/>
        </w:rPr>
        <w:t> </w:t>
      </w:r>
      <w:r w:rsidRPr="00C932EC">
        <w:rPr>
          <w:noProof/>
          <w:lang w:val="fr-FR" w:eastAsia="es-BO"/>
        </w:rPr>
        <w:t>2640 touchant l</w:t>
      </w:r>
      <w:r w:rsidR="00FB1114">
        <w:rPr>
          <w:noProof/>
          <w:lang w:val="fr-FR" w:eastAsia="es-BO"/>
        </w:rPr>
        <w:t>’</w:t>
      </w:r>
      <w:r w:rsidRPr="00C932EC">
        <w:rPr>
          <w:noProof/>
          <w:lang w:val="fr-FR" w:eastAsia="es-BO"/>
        </w:rPr>
        <w:t>engagement de verser 20</w:t>
      </w:r>
      <w:r w:rsidR="00F239C0">
        <w:rPr>
          <w:noProof/>
          <w:lang w:val="fr-FR" w:eastAsia="es-BO"/>
        </w:rPr>
        <w:t> </w:t>
      </w:r>
      <w:r w:rsidRPr="00C932EC">
        <w:rPr>
          <w:noProof/>
          <w:lang w:val="fr-FR" w:eastAsia="es-BO"/>
        </w:rPr>
        <w:t>% aux victimes de la violence politique au titre des réparations.</w:t>
      </w:r>
    </w:p>
    <w:p w:rsidR="00614A7E" w:rsidRPr="00C932EC" w:rsidRDefault="00614A7E" w:rsidP="00614A7E">
      <w:pPr>
        <w:pStyle w:val="SingleTxtG"/>
        <w:rPr>
          <w:noProof/>
          <w:lang w:val="fr-FR" w:eastAsia="es-BO"/>
        </w:rPr>
      </w:pPr>
      <w:r w:rsidRPr="00C932EC">
        <w:rPr>
          <w:noProof/>
          <w:lang w:val="fr-FR" w:eastAsia="es-BO"/>
        </w:rPr>
        <w:t>110.</w:t>
      </w:r>
      <w:r w:rsidRPr="00C932EC">
        <w:rPr>
          <w:noProof/>
          <w:lang w:val="fr-FR" w:eastAsia="es-BO"/>
        </w:rPr>
        <w:tab/>
        <w:t>En ce qui concerne l</w:t>
      </w:r>
      <w:r w:rsidR="00FB1114">
        <w:rPr>
          <w:noProof/>
          <w:lang w:val="fr-FR" w:eastAsia="es-BO"/>
        </w:rPr>
        <w:t>’</w:t>
      </w:r>
      <w:r w:rsidRPr="00C932EC">
        <w:rPr>
          <w:noProof/>
          <w:lang w:val="fr-FR" w:eastAsia="es-BO"/>
        </w:rPr>
        <w:t>obligation incombant au pouvoir</w:t>
      </w:r>
      <w:r w:rsidRPr="00C932EC">
        <w:rPr>
          <w:noProof/>
          <w:lang w:val="fr-FR"/>
        </w:rPr>
        <w:t xml:space="preserve"> exécutif de gérer les dons émanant du secteur privé, de l</w:t>
      </w:r>
      <w:r w:rsidR="00FB1114">
        <w:rPr>
          <w:noProof/>
          <w:lang w:val="fr-FR"/>
        </w:rPr>
        <w:t>’</w:t>
      </w:r>
      <w:r w:rsidRPr="00C932EC">
        <w:rPr>
          <w:noProof/>
          <w:lang w:val="fr-FR"/>
        </w:rPr>
        <w:t>étranger et d</w:t>
      </w:r>
      <w:r w:rsidR="00FB1114">
        <w:rPr>
          <w:noProof/>
          <w:lang w:val="fr-FR"/>
        </w:rPr>
        <w:t>’</w:t>
      </w:r>
      <w:r w:rsidRPr="00C932EC">
        <w:rPr>
          <w:noProof/>
          <w:lang w:val="fr-FR"/>
        </w:rPr>
        <w:t>organismes internationaux, à hauteur de 80</w:t>
      </w:r>
      <w:r w:rsidR="00F239C0">
        <w:rPr>
          <w:noProof/>
          <w:lang w:val="fr-FR"/>
        </w:rPr>
        <w:t> </w:t>
      </w:r>
      <w:r w:rsidRPr="00C932EC">
        <w:rPr>
          <w:noProof/>
          <w:lang w:val="fr-FR"/>
        </w:rPr>
        <w:t>% du montant des indemnisations, il convient d</w:t>
      </w:r>
      <w:r w:rsidR="00FB1114">
        <w:rPr>
          <w:noProof/>
          <w:lang w:val="fr-FR"/>
        </w:rPr>
        <w:t>’</w:t>
      </w:r>
      <w:r w:rsidRPr="00C932EC">
        <w:rPr>
          <w:noProof/>
          <w:lang w:val="fr-FR"/>
        </w:rPr>
        <w:t>indiquer que le Ministère de la justice (devenu le Ministère de la justice et de la transparence institutionnelle) a effectué des démarches en vue d</w:t>
      </w:r>
      <w:r w:rsidR="00FB1114">
        <w:rPr>
          <w:noProof/>
          <w:lang w:val="fr-FR"/>
        </w:rPr>
        <w:t>’</w:t>
      </w:r>
      <w:r w:rsidRPr="00C932EC">
        <w:rPr>
          <w:noProof/>
          <w:lang w:val="fr-FR"/>
        </w:rPr>
        <w:t>une coopération internationale auprès de divers</w:t>
      </w:r>
      <w:r w:rsidRPr="00C932EC">
        <w:rPr>
          <w:noProof/>
          <w:lang w:val="fr-FR" w:eastAsia="es-BO"/>
        </w:rPr>
        <w:t xml:space="preserve"> </w:t>
      </w:r>
      <w:r w:rsidRPr="00C932EC">
        <w:rPr>
          <w:noProof/>
          <w:lang w:val="fr-FR"/>
        </w:rPr>
        <w:t>organismes internationaux de financement externe</w:t>
      </w:r>
      <w:r w:rsidRPr="00C932EC">
        <w:rPr>
          <w:lang w:val="fr-FR"/>
        </w:rPr>
        <w:t xml:space="preserve"> </w:t>
      </w:r>
      <w:r w:rsidRPr="00C932EC">
        <w:rPr>
          <w:noProof/>
          <w:lang w:val="fr-FR" w:eastAsia="es-BO"/>
        </w:rPr>
        <w:t>(Banque interaméricaine de développement, Union européenne, Agenc</w:t>
      </w:r>
      <w:r w:rsidR="00A35462">
        <w:rPr>
          <w:noProof/>
          <w:lang w:val="fr-FR" w:eastAsia="es-BO"/>
        </w:rPr>
        <w:t>e des États-Unis pour le développement international</w:t>
      </w:r>
      <w:r w:rsidRPr="00C932EC">
        <w:rPr>
          <w:noProof/>
          <w:lang w:val="fr-FR" w:eastAsia="es-BO"/>
        </w:rPr>
        <w:t xml:space="preserve">, </w:t>
      </w:r>
      <w:r w:rsidR="004D58F4">
        <w:rPr>
          <w:noProof/>
          <w:lang w:val="fr-FR" w:eastAsia="es-BO"/>
        </w:rPr>
        <w:t>a</w:t>
      </w:r>
      <w:r w:rsidRPr="00C932EC">
        <w:rPr>
          <w:noProof/>
          <w:lang w:val="fr-FR" w:eastAsia="es-BO"/>
        </w:rPr>
        <w:t xml:space="preserve">mbassade du Canada, </w:t>
      </w:r>
      <w:r w:rsidR="004D58F4">
        <w:rPr>
          <w:noProof/>
          <w:lang w:val="fr-FR" w:eastAsia="es-BO"/>
        </w:rPr>
        <w:t>a</w:t>
      </w:r>
      <w:r w:rsidRPr="00C932EC">
        <w:rPr>
          <w:noProof/>
          <w:lang w:val="fr-FR" w:eastAsia="es-BO"/>
        </w:rPr>
        <w:t>mbassade d</w:t>
      </w:r>
      <w:r w:rsidR="00FB1114">
        <w:rPr>
          <w:noProof/>
          <w:lang w:val="fr-FR" w:eastAsia="es-BO"/>
        </w:rPr>
        <w:t>’</w:t>
      </w:r>
      <w:r w:rsidRPr="00C932EC">
        <w:rPr>
          <w:noProof/>
          <w:lang w:val="fr-FR" w:eastAsia="es-BO"/>
        </w:rPr>
        <w:t>Espagne, République bolivarienne du Venezuela, Organisation des Nations Unies et Banque mondiale).</w:t>
      </w:r>
    </w:p>
    <w:p w:rsidR="00614A7E" w:rsidRPr="00DF456A" w:rsidRDefault="00F239C0" w:rsidP="00F239C0">
      <w:pPr>
        <w:pStyle w:val="H1G"/>
        <w:rPr>
          <w:noProof/>
          <w:lang w:val="fr-FR" w:eastAsia="es-BO"/>
        </w:rPr>
      </w:pPr>
      <w:r>
        <w:rPr>
          <w:noProof/>
          <w:lang w:val="fr-FR" w:eastAsia="es-BO"/>
        </w:rPr>
        <w:tab/>
      </w:r>
      <w:r>
        <w:rPr>
          <w:noProof/>
          <w:lang w:val="fr-FR" w:eastAsia="es-BO"/>
        </w:rPr>
        <w:tab/>
      </w:r>
      <w:r w:rsidR="00614A7E" w:rsidRPr="00DF456A">
        <w:rPr>
          <w:noProof/>
          <w:lang w:val="fr-FR" w:eastAsia="es-BO"/>
        </w:rPr>
        <w:t>Violenc</w:t>
      </w:r>
      <w:r w:rsidR="00614A7E">
        <w:rPr>
          <w:noProof/>
          <w:lang w:val="fr-FR" w:eastAsia="es-BO"/>
        </w:rPr>
        <w:t>e à l</w:t>
      </w:r>
      <w:r w:rsidR="00FB1114">
        <w:rPr>
          <w:noProof/>
          <w:lang w:val="fr-FR" w:eastAsia="es-BO"/>
        </w:rPr>
        <w:t>’</w:t>
      </w:r>
      <w:r w:rsidR="00614A7E">
        <w:rPr>
          <w:noProof/>
          <w:lang w:val="fr-FR" w:eastAsia="es-BO"/>
        </w:rPr>
        <w:t>égard des femmes</w:t>
      </w:r>
    </w:p>
    <w:p w:rsidR="00614A7E" w:rsidRPr="00DF456A" w:rsidRDefault="00614A7E" w:rsidP="00F239C0">
      <w:pPr>
        <w:pStyle w:val="H23G"/>
        <w:rPr>
          <w:noProof/>
          <w:lang w:val="fr-FR" w:eastAsia="es-BO"/>
        </w:rPr>
      </w:pPr>
      <w:r w:rsidRPr="00DF456A">
        <w:rPr>
          <w:noProof/>
          <w:lang w:val="fr-FR" w:eastAsia="es-BO"/>
        </w:rPr>
        <w:tab/>
      </w:r>
      <w:r w:rsidRPr="00DF456A">
        <w:rPr>
          <w:noProof/>
          <w:lang w:val="fr-FR" w:eastAsia="es-BO"/>
        </w:rPr>
        <w:tab/>
      </w:r>
      <w:r w:rsidRPr="00F239C0">
        <w:t>Recommandation</w:t>
      </w:r>
      <w:r>
        <w:rPr>
          <w:noProof/>
          <w:lang w:val="fr-FR" w:eastAsia="es-BO"/>
        </w:rPr>
        <w:t xml:space="preserve"> figurant au paragraphe </w:t>
      </w:r>
      <w:r w:rsidRPr="00DF456A">
        <w:rPr>
          <w:noProof/>
          <w:lang w:val="fr-FR" w:eastAsia="es-BO"/>
        </w:rPr>
        <w:t>15.a</w:t>
      </w:r>
    </w:p>
    <w:p w:rsidR="00614A7E" w:rsidRPr="00000FBC" w:rsidRDefault="00614A7E" w:rsidP="00614A7E">
      <w:pPr>
        <w:pStyle w:val="SingleTxtG"/>
        <w:rPr>
          <w:noProof/>
          <w:lang w:val="fr-FR" w:eastAsia="es-BO"/>
        </w:rPr>
      </w:pPr>
      <w:r w:rsidRPr="00DF456A">
        <w:rPr>
          <w:noProof/>
          <w:lang w:val="fr-FR" w:eastAsia="es-BO"/>
        </w:rPr>
        <w:t>111.</w:t>
      </w:r>
      <w:r w:rsidRPr="00DF456A">
        <w:rPr>
          <w:noProof/>
          <w:lang w:val="fr-FR" w:eastAsia="es-BO"/>
        </w:rPr>
        <w:tab/>
      </w:r>
      <w:r>
        <w:rPr>
          <w:noProof/>
          <w:lang w:val="fr-FR" w:eastAsia="es-BO"/>
        </w:rPr>
        <w:t>En tant qu</w:t>
      </w:r>
      <w:r w:rsidR="00FB1114">
        <w:rPr>
          <w:noProof/>
          <w:lang w:val="fr-FR" w:eastAsia="es-BO"/>
        </w:rPr>
        <w:t>’</w:t>
      </w:r>
      <w:r>
        <w:rPr>
          <w:noProof/>
          <w:lang w:val="fr-FR" w:eastAsia="es-BO"/>
        </w:rPr>
        <w:t xml:space="preserve">institution chargée </w:t>
      </w:r>
      <w:r w:rsidRPr="00DF456A">
        <w:rPr>
          <w:noProof/>
          <w:lang w:val="fr-FR" w:eastAsia="es-BO"/>
        </w:rPr>
        <w:t>de repr</w:t>
      </w:r>
      <w:r>
        <w:rPr>
          <w:noProof/>
          <w:lang w:val="fr-FR" w:eastAsia="es-BO"/>
        </w:rPr>
        <w:t>é</w:t>
      </w:r>
      <w:r w:rsidRPr="00DF456A">
        <w:rPr>
          <w:noProof/>
          <w:lang w:val="fr-FR" w:eastAsia="es-BO"/>
        </w:rPr>
        <w:t>sent</w:t>
      </w:r>
      <w:r>
        <w:rPr>
          <w:noProof/>
          <w:lang w:val="fr-FR" w:eastAsia="es-BO"/>
        </w:rPr>
        <w:t xml:space="preserve">er </w:t>
      </w:r>
      <w:r w:rsidRPr="00DF456A">
        <w:rPr>
          <w:noProof/>
          <w:lang w:val="fr-FR" w:eastAsia="es-BO"/>
        </w:rPr>
        <w:t>la soci</w:t>
      </w:r>
      <w:r>
        <w:rPr>
          <w:noProof/>
          <w:lang w:val="fr-FR" w:eastAsia="es-BO"/>
        </w:rPr>
        <w:t>été devant les organes juridictionnels et de faire respecter ses droits</w:t>
      </w:r>
      <w:r w:rsidRPr="00DF456A">
        <w:rPr>
          <w:noProof/>
          <w:lang w:val="fr-FR" w:eastAsia="es-BO"/>
        </w:rPr>
        <w:t xml:space="preserve">, </w:t>
      </w:r>
      <w:r>
        <w:rPr>
          <w:noProof/>
          <w:lang w:val="fr-FR" w:eastAsia="es-BO"/>
        </w:rPr>
        <w:t>le ministère public exerce l</w:t>
      </w:r>
      <w:r w:rsidR="00FB1114">
        <w:rPr>
          <w:noProof/>
          <w:lang w:val="fr-FR" w:eastAsia="es-BO"/>
        </w:rPr>
        <w:t>’</w:t>
      </w:r>
      <w:r>
        <w:rPr>
          <w:noProof/>
          <w:lang w:val="fr-FR" w:eastAsia="es-BO"/>
        </w:rPr>
        <w:t>action publique et dirige les enquêtes pénales menées par la police spécialisée</w:t>
      </w:r>
      <w:r w:rsidRPr="00DF456A">
        <w:rPr>
          <w:noProof/>
          <w:lang w:val="fr-FR" w:eastAsia="es-BO"/>
        </w:rPr>
        <w:t>.</w:t>
      </w:r>
    </w:p>
    <w:p w:rsidR="00614A7E" w:rsidRPr="00000FBC" w:rsidRDefault="00614A7E" w:rsidP="00614A7E">
      <w:pPr>
        <w:pStyle w:val="SingleTxtG"/>
        <w:rPr>
          <w:noProof/>
          <w:lang w:val="fr-FR" w:eastAsia="es-BO"/>
        </w:rPr>
      </w:pPr>
      <w:r w:rsidRPr="00000FBC">
        <w:rPr>
          <w:noProof/>
          <w:lang w:val="fr-FR" w:eastAsia="es-BO"/>
        </w:rPr>
        <w:t>112.</w:t>
      </w:r>
      <w:r w:rsidRPr="00000FBC">
        <w:rPr>
          <w:noProof/>
          <w:lang w:val="fr-FR" w:eastAsia="es-BO"/>
        </w:rPr>
        <w:tab/>
      </w:r>
      <w:r w:rsidRPr="00000FBC">
        <w:rPr>
          <w:bCs/>
          <w:noProof/>
          <w:lang w:val="fr-FR" w:eastAsia="es-BO"/>
        </w:rPr>
        <w:t xml:space="preserve">En ce sens, la loi </w:t>
      </w:r>
      <w:r w:rsidR="00000FBC" w:rsidRPr="00857F6E">
        <w:rPr>
          <w:rFonts w:eastAsia="MS Mincho"/>
          <w:noProof/>
          <w:szCs w:val="22"/>
          <w:lang w:val="fr-FR"/>
        </w:rPr>
        <w:t>n</w:t>
      </w:r>
      <w:r w:rsidR="00000FBC" w:rsidRPr="00857F6E">
        <w:rPr>
          <w:rFonts w:eastAsia="MS Mincho"/>
          <w:noProof/>
          <w:szCs w:val="22"/>
          <w:vertAlign w:val="superscript"/>
          <w:lang w:val="fr-FR"/>
        </w:rPr>
        <w:t>o</w:t>
      </w:r>
      <w:r w:rsidR="00000FBC">
        <w:rPr>
          <w:noProof/>
          <w:lang w:val="fr-FR"/>
        </w:rPr>
        <w:t> </w:t>
      </w:r>
      <w:r w:rsidRPr="00000FBC">
        <w:rPr>
          <w:noProof/>
          <w:lang w:val="fr-FR" w:eastAsia="es-BO"/>
        </w:rPr>
        <w:t>348 prévoit les mesures que le ministère public doit prendre pour garantir la qualité de la réponse pénale</w:t>
      </w:r>
      <w:r w:rsidRPr="00000FBC">
        <w:rPr>
          <w:noProof/>
          <w:vertAlign w:val="superscript"/>
          <w:lang w:val="fr-FR" w:eastAsia="es-BO"/>
        </w:rPr>
        <w:footnoteReference w:id="58"/>
      </w:r>
      <w:r w:rsidRPr="00000FBC">
        <w:rPr>
          <w:noProof/>
          <w:lang w:val="fr-FR" w:eastAsia="es-BO"/>
        </w:rPr>
        <w:t>. Avec la Direction nationale des Services de poursuite chargé</w:t>
      </w:r>
      <w:r w:rsidR="005A102E">
        <w:rPr>
          <w:noProof/>
          <w:lang w:val="fr-FR" w:eastAsia="es-BO"/>
        </w:rPr>
        <w:t>e</w:t>
      </w:r>
      <w:r w:rsidRPr="00000FBC">
        <w:rPr>
          <w:noProof/>
          <w:lang w:val="fr-FR" w:eastAsia="es-BO"/>
        </w:rPr>
        <w:t xml:space="preserve"> des victimes nécessitant une attention prioritaire, il dispose de directives pour la conduite de l</w:t>
      </w:r>
      <w:r w:rsidR="00FB1114">
        <w:rPr>
          <w:noProof/>
          <w:lang w:val="fr-FR" w:eastAsia="es-BO"/>
        </w:rPr>
        <w:t>’</w:t>
      </w:r>
      <w:r w:rsidRPr="00000FBC">
        <w:rPr>
          <w:noProof/>
          <w:lang w:val="fr-FR" w:eastAsia="es-BO"/>
        </w:rPr>
        <w:t>enquête à ouvrir sur chaque cas, ce qui lui permet de mener une enquête rapide</w:t>
      </w:r>
      <w:r w:rsidR="005A102E">
        <w:rPr>
          <w:noProof/>
          <w:lang w:val="fr-FR" w:eastAsia="es-BO"/>
        </w:rPr>
        <w:t> </w:t>
      </w:r>
      <w:r w:rsidRPr="00000FBC">
        <w:rPr>
          <w:noProof/>
          <w:lang w:val="fr-FR" w:eastAsia="es-BO"/>
        </w:rPr>
        <w:t>; de même, il dispose de protocoles, de manuels et de guides sur les questions traitées par la loi susvisée, permettant ainsi au fonctionnaire chargé de l</w:t>
      </w:r>
      <w:r w:rsidR="00FB1114">
        <w:rPr>
          <w:noProof/>
          <w:lang w:val="fr-FR" w:eastAsia="es-BO"/>
        </w:rPr>
        <w:t>’</w:t>
      </w:r>
      <w:r w:rsidRPr="00000FBC">
        <w:rPr>
          <w:noProof/>
          <w:lang w:val="fr-FR" w:eastAsia="es-BO"/>
        </w:rPr>
        <w:t>enquête de la mener de manière satisfaisante, dans le respect des droits des victimes.</w:t>
      </w:r>
    </w:p>
    <w:p w:rsidR="00614A7E" w:rsidRPr="00000FBC" w:rsidRDefault="00614A7E" w:rsidP="00614A7E">
      <w:pPr>
        <w:pStyle w:val="SingleTxtG"/>
        <w:rPr>
          <w:noProof/>
          <w:lang w:val="fr-FR" w:eastAsia="es-BO"/>
        </w:rPr>
      </w:pPr>
      <w:r w:rsidRPr="00000FBC">
        <w:rPr>
          <w:noProof/>
          <w:lang w:val="fr-FR" w:eastAsia="es-BO"/>
        </w:rPr>
        <w:t>113.</w:t>
      </w:r>
      <w:r w:rsidRPr="00000FBC">
        <w:rPr>
          <w:noProof/>
          <w:lang w:val="fr-FR" w:eastAsia="es-BO"/>
        </w:rPr>
        <w:tab/>
        <w:t>Par ailleurs, l</w:t>
      </w:r>
      <w:r w:rsidR="00FB1114">
        <w:rPr>
          <w:noProof/>
          <w:lang w:val="fr-FR" w:eastAsia="es-BO"/>
        </w:rPr>
        <w:t>’</w:t>
      </w:r>
      <w:r w:rsidRPr="00000FBC">
        <w:rPr>
          <w:noProof/>
          <w:lang w:val="fr-FR" w:eastAsia="es-BO"/>
        </w:rPr>
        <w:t>appareil judiciaire s</w:t>
      </w:r>
      <w:r w:rsidR="00FB1114">
        <w:rPr>
          <w:noProof/>
          <w:lang w:val="fr-FR" w:eastAsia="es-BO"/>
        </w:rPr>
        <w:t>’</w:t>
      </w:r>
      <w:r w:rsidRPr="00000FBC">
        <w:rPr>
          <w:noProof/>
          <w:lang w:val="fr-FR" w:eastAsia="es-BO"/>
        </w:rPr>
        <w:t>assure, par l</w:t>
      </w:r>
      <w:r w:rsidR="00FB1114">
        <w:rPr>
          <w:noProof/>
          <w:lang w:val="fr-FR" w:eastAsia="es-BO"/>
        </w:rPr>
        <w:t>’</w:t>
      </w:r>
      <w:r w:rsidRPr="00000FBC">
        <w:rPr>
          <w:noProof/>
          <w:lang w:val="fr-FR" w:eastAsia="es-BO"/>
        </w:rPr>
        <w:t>intermédiaire des juridictions d</w:t>
      </w:r>
      <w:r w:rsidR="00FB1114">
        <w:rPr>
          <w:noProof/>
          <w:lang w:val="fr-FR" w:eastAsia="es-BO"/>
        </w:rPr>
        <w:t>’</w:t>
      </w:r>
      <w:r w:rsidRPr="00000FBC">
        <w:rPr>
          <w:noProof/>
          <w:lang w:val="fr-FR" w:eastAsia="es-BO"/>
        </w:rPr>
        <w:t>instruction tutélaires, que les enquêtes pénales sont menées dans le respect des droits et garanties des victimes et des auteurs d</w:t>
      </w:r>
      <w:r w:rsidR="00FB1114">
        <w:rPr>
          <w:noProof/>
          <w:lang w:val="fr-FR" w:eastAsia="es-BO"/>
        </w:rPr>
        <w:t>’</w:t>
      </w:r>
      <w:r w:rsidRPr="00000FBC">
        <w:rPr>
          <w:noProof/>
          <w:lang w:val="fr-FR" w:eastAsia="es-BO"/>
        </w:rPr>
        <w:t>infractions. Les juridictions tutélaires limitent les pouvoirs du ministère public et de la F</w:t>
      </w:r>
      <w:r w:rsidRPr="00000FBC">
        <w:rPr>
          <w:noProof/>
          <w:lang w:val="fr-FR"/>
        </w:rPr>
        <w:t>orce de police spéciale de lutte contre la violence</w:t>
      </w:r>
      <w:r w:rsidRPr="00000FBC">
        <w:rPr>
          <w:lang w:val="fr-FR"/>
        </w:rPr>
        <w:t xml:space="preserve"> </w:t>
      </w:r>
      <w:r w:rsidRPr="00000FBC">
        <w:rPr>
          <w:noProof/>
          <w:lang w:val="fr-FR" w:eastAsia="es-BO"/>
        </w:rPr>
        <w:t>pour éviter toute investigation pouvant porter atteinte aux droits de la personne.</w:t>
      </w:r>
    </w:p>
    <w:p w:rsidR="00614A7E" w:rsidRPr="00AF7705" w:rsidRDefault="00614A7E" w:rsidP="00614A7E">
      <w:pPr>
        <w:pStyle w:val="SingleTxtG"/>
        <w:rPr>
          <w:noProof/>
          <w:lang w:val="fr-FR" w:eastAsia="es-BO"/>
        </w:rPr>
      </w:pPr>
      <w:r w:rsidRPr="00DF456A">
        <w:rPr>
          <w:noProof/>
          <w:lang w:val="fr-FR" w:eastAsia="es-BO"/>
        </w:rPr>
        <w:t>114.</w:t>
      </w:r>
      <w:r w:rsidRPr="00DF456A">
        <w:rPr>
          <w:noProof/>
          <w:lang w:val="fr-FR" w:eastAsia="es-BO"/>
        </w:rPr>
        <w:tab/>
      </w:r>
      <w:r>
        <w:rPr>
          <w:noProof/>
          <w:lang w:val="fr-FR" w:eastAsia="es-BO"/>
        </w:rPr>
        <w:t>Les</w:t>
      </w:r>
      <w:r w:rsidRPr="00DF456A">
        <w:rPr>
          <w:noProof/>
          <w:lang w:val="fr-FR" w:eastAsia="es-BO"/>
        </w:rPr>
        <w:t xml:space="preserve"> tribuna</w:t>
      </w:r>
      <w:r>
        <w:rPr>
          <w:noProof/>
          <w:lang w:val="fr-FR" w:eastAsia="es-BO"/>
        </w:rPr>
        <w:t xml:space="preserve">ux inférieurs </w:t>
      </w:r>
      <w:r w:rsidRPr="00DF456A">
        <w:rPr>
          <w:noProof/>
          <w:lang w:val="fr-FR" w:eastAsia="es-BO"/>
        </w:rPr>
        <w:t>son</w:t>
      </w:r>
      <w:r>
        <w:rPr>
          <w:noProof/>
          <w:lang w:val="fr-FR" w:eastAsia="es-BO"/>
        </w:rPr>
        <w:t xml:space="preserve">t chargés de conduire la procédure orale publique et de rendre un jugement après </w:t>
      </w:r>
      <w:r w:rsidRPr="00AF7705">
        <w:rPr>
          <w:noProof/>
          <w:lang w:val="fr-FR" w:eastAsia="es-BO"/>
        </w:rPr>
        <w:t>avoir entendu les exposés des parties et pris connaissance des preuves produites.</w:t>
      </w:r>
    </w:p>
    <w:p w:rsidR="00614A7E" w:rsidRPr="00AF7705" w:rsidRDefault="00614A7E" w:rsidP="00614A7E">
      <w:pPr>
        <w:pStyle w:val="SingleTxtG"/>
        <w:rPr>
          <w:noProof/>
          <w:lang w:val="fr-FR" w:eastAsia="es-BO"/>
        </w:rPr>
      </w:pPr>
      <w:r w:rsidRPr="00AF7705">
        <w:rPr>
          <w:noProof/>
          <w:lang w:val="fr-FR" w:eastAsia="es-BO"/>
        </w:rPr>
        <w:t>115.</w:t>
      </w:r>
      <w:r w:rsidRPr="00AF7705">
        <w:rPr>
          <w:noProof/>
          <w:lang w:val="fr-FR" w:eastAsia="es-BO"/>
        </w:rPr>
        <w:tab/>
        <w:t>La loi n° 348 institue les juges et tribunaux spécialisés dans la violence fondée sur le genre, qui ont compétence pour examiner et régler les infractions de violence contre les femmes, entre autres infractions entraînant la mise en mouvement de l</w:t>
      </w:r>
      <w:r w:rsidR="00FB1114">
        <w:rPr>
          <w:noProof/>
          <w:lang w:val="fr-FR" w:eastAsia="es-BO"/>
        </w:rPr>
        <w:t>’</w:t>
      </w:r>
      <w:r w:rsidRPr="00AF7705">
        <w:rPr>
          <w:noProof/>
          <w:lang w:val="fr-FR" w:eastAsia="es-BO"/>
        </w:rPr>
        <w:t>action publique.</w:t>
      </w:r>
    </w:p>
    <w:p w:rsidR="00614A7E" w:rsidRPr="00AF7705" w:rsidRDefault="00614A7E" w:rsidP="00614A7E">
      <w:pPr>
        <w:pStyle w:val="SingleTxtG"/>
        <w:rPr>
          <w:noProof/>
          <w:lang w:val="fr-FR"/>
        </w:rPr>
      </w:pPr>
      <w:r w:rsidRPr="00AF7705">
        <w:rPr>
          <w:noProof/>
          <w:lang w:val="fr-FR"/>
        </w:rPr>
        <w:t>116.</w:t>
      </w:r>
      <w:r w:rsidRPr="00AF7705">
        <w:rPr>
          <w:noProof/>
          <w:lang w:val="fr-FR"/>
        </w:rPr>
        <w:tab/>
        <w:t>En tant qu</w:t>
      </w:r>
      <w:r w:rsidR="00FB1114">
        <w:rPr>
          <w:noProof/>
          <w:lang w:val="fr-FR"/>
        </w:rPr>
        <w:t>’</w:t>
      </w:r>
      <w:r w:rsidRPr="00AF7705">
        <w:rPr>
          <w:noProof/>
          <w:lang w:val="fr-FR"/>
        </w:rPr>
        <w:t>organe directeur et responsable du Système global plurinational visant à prévenir, combattre, sanctionner et éliminer la violence fondée sur le genre, le Ministère de la justice et de la transparence institutionnelle a élaboré et adopté le Modèle bolivien global de riposte à la violence fondée sur le genre</w:t>
      </w:r>
      <w:r w:rsidRPr="00AF7705">
        <w:rPr>
          <w:noProof/>
          <w:vertAlign w:val="superscript"/>
          <w:lang w:val="fr-FR"/>
        </w:rPr>
        <w:footnoteReference w:id="59"/>
      </w:r>
      <w:r w:rsidRPr="00AF7705">
        <w:rPr>
          <w:noProof/>
          <w:lang w:val="fr-FR"/>
        </w:rPr>
        <w:t xml:space="preserve"> (annexe</w:t>
      </w:r>
      <w:r w:rsidR="005E6D49">
        <w:rPr>
          <w:noProof/>
          <w:lang w:val="fr-FR"/>
        </w:rPr>
        <w:t> </w:t>
      </w:r>
      <w:r w:rsidRPr="00AF7705">
        <w:rPr>
          <w:noProof/>
          <w:lang w:val="fr-FR"/>
        </w:rPr>
        <w:t xml:space="preserve">34), qui vise à mettre en œuvre et </w:t>
      </w:r>
      <w:r w:rsidRPr="00AF7705">
        <w:rPr>
          <w:noProof/>
          <w:lang w:val="fr-FR"/>
        </w:rPr>
        <w:lastRenderedPageBreak/>
        <w:t>coordonner aux niveaux national, départemental, municipal et communautaire des interventions qui favorisent l</w:t>
      </w:r>
      <w:r w:rsidR="00FB1114">
        <w:rPr>
          <w:noProof/>
          <w:lang w:val="fr-FR"/>
        </w:rPr>
        <w:t>’</w:t>
      </w:r>
      <w:r w:rsidRPr="00AF7705">
        <w:rPr>
          <w:noProof/>
          <w:lang w:val="fr-FR"/>
        </w:rPr>
        <w:t>exercice par les femmes de leur droit de vivre à l</w:t>
      </w:r>
      <w:r w:rsidR="00FB1114">
        <w:rPr>
          <w:noProof/>
          <w:lang w:val="fr-FR"/>
        </w:rPr>
        <w:t>’</w:t>
      </w:r>
      <w:r w:rsidRPr="00AF7705">
        <w:rPr>
          <w:noProof/>
          <w:lang w:val="fr-FR"/>
        </w:rPr>
        <w:t>abri de la violence dans tous les domaines.</w:t>
      </w:r>
    </w:p>
    <w:p w:rsidR="00614A7E" w:rsidRPr="00AF7705" w:rsidRDefault="00614A7E" w:rsidP="00614A7E">
      <w:pPr>
        <w:pStyle w:val="SingleTxtG"/>
        <w:rPr>
          <w:noProof/>
          <w:lang w:val="fr-FR" w:eastAsia="es-BO"/>
        </w:rPr>
      </w:pPr>
      <w:r w:rsidRPr="00AF7705">
        <w:rPr>
          <w:noProof/>
          <w:lang w:val="fr-FR" w:eastAsia="es-BO"/>
        </w:rPr>
        <w:t>117.</w:t>
      </w:r>
      <w:r w:rsidRPr="00AF7705">
        <w:rPr>
          <w:noProof/>
          <w:lang w:val="fr-FR" w:eastAsia="es-BO"/>
        </w:rPr>
        <w:tab/>
        <w:t>Comme on peut le voir, la Bolivie a privilégié l</w:t>
      </w:r>
      <w:r w:rsidR="00FB1114">
        <w:rPr>
          <w:noProof/>
          <w:lang w:val="fr-FR" w:eastAsia="es-BO"/>
        </w:rPr>
        <w:t>’</w:t>
      </w:r>
      <w:r w:rsidRPr="00AF7705">
        <w:rPr>
          <w:noProof/>
          <w:lang w:val="fr-FR" w:eastAsia="es-BO"/>
        </w:rPr>
        <w:t>élimination de la violence à l</w:t>
      </w:r>
      <w:r w:rsidR="00FB1114">
        <w:rPr>
          <w:noProof/>
          <w:lang w:val="fr-FR" w:eastAsia="es-BO"/>
        </w:rPr>
        <w:t>’</w:t>
      </w:r>
      <w:r w:rsidRPr="00AF7705">
        <w:rPr>
          <w:noProof/>
          <w:lang w:val="fr-FR" w:eastAsia="es-BO"/>
        </w:rPr>
        <w:t>égard des femmes, parce que cette violence est l</w:t>
      </w:r>
      <w:r w:rsidR="00FB1114">
        <w:rPr>
          <w:noProof/>
          <w:lang w:val="fr-FR" w:eastAsia="es-BO"/>
        </w:rPr>
        <w:t>’</w:t>
      </w:r>
      <w:r w:rsidRPr="00AF7705">
        <w:rPr>
          <w:noProof/>
          <w:lang w:val="fr-FR" w:eastAsia="es-BO"/>
        </w:rPr>
        <w:t>une des formes les plus extrêmes de discrimination fondée sur le genre</w:t>
      </w:r>
      <w:r w:rsidR="004D58F4">
        <w:rPr>
          <w:noProof/>
          <w:lang w:val="fr-FR" w:eastAsia="es-BO"/>
        </w:rPr>
        <w:t> </w:t>
      </w:r>
      <w:r w:rsidRPr="00AF7705">
        <w:rPr>
          <w:noProof/>
          <w:lang w:val="fr-FR" w:eastAsia="es-BO"/>
        </w:rPr>
        <w:t>; c</w:t>
      </w:r>
      <w:r w:rsidR="00FB1114">
        <w:rPr>
          <w:noProof/>
          <w:lang w:val="fr-FR" w:eastAsia="es-BO"/>
        </w:rPr>
        <w:t>’</w:t>
      </w:r>
      <w:r w:rsidRPr="00AF7705">
        <w:rPr>
          <w:noProof/>
          <w:lang w:val="fr-FR" w:eastAsia="es-BO"/>
        </w:rPr>
        <w:t>est pourquoi le droit interne bolivien garantit l</w:t>
      </w:r>
      <w:r w:rsidR="00FB1114">
        <w:rPr>
          <w:noProof/>
          <w:lang w:val="fr-FR" w:eastAsia="es-BO"/>
        </w:rPr>
        <w:t>’</w:t>
      </w:r>
      <w:r w:rsidRPr="00AF7705">
        <w:rPr>
          <w:noProof/>
          <w:lang w:val="fr-FR" w:eastAsia="es-BO"/>
        </w:rPr>
        <w:t>accès à la justice, une enquête impartiale, des réparations et la sanction des auteurs d</w:t>
      </w:r>
      <w:r w:rsidR="00FB1114">
        <w:rPr>
          <w:noProof/>
          <w:lang w:val="fr-FR" w:eastAsia="es-BO"/>
        </w:rPr>
        <w:t>’</w:t>
      </w:r>
      <w:r w:rsidRPr="00AF7705">
        <w:rPr>
          <w:noProof/>
          <w:lang w:val="fr-FR" w:eastAsia="es-BO"/>
        </w:rPr>
        <w:t>agressions.</w:t>
      </w:r>
    </w:p>
    <w:p w:rsidR="00614A7E" w:rsidRPr="00DF456A" w:rsidRDefault="00614A7E" w:rsidP="00614A7E">
      <w:pPr>
        <w:pStyle w:val="H23G"/>
        <w:ind w:firstLine="0"/>
        <w:rPr>
          <w:noProof/>
          <w:lang w:val="fr-FR" w:eastAsia="es-BO"/>
        </w:rPr>
      </w:pPr>
      <w:r w:rsidRPr="00DF456A">
        <w:rPr>
          <w:noProof/>
          <w:lang w:val="fr-FR" w:eastAsia="es-BO"/>
        </w:rPr>
        <w:t>Recom</w:t>
      </w:r>
      <w:r>
        <w:rPr>
          <w:noProof/>
          <w:lang w:val="fr-FR" w:eastAsia="es-BO"/>
        </w:rPr>
        <w:t xml:space="preserve">mandation figurant au paragraphe </w:t>
      </w:r>
      <w:r w:rsidRPr="00DF456A">
        <w:rPr>
          <w:noProof/>
          <w:lang w:val="fr-FR" w:eastAsia="es-BO"/>
        </w:rPr>
        <w:t>15.b</w:t>
      </w:r>
    </w:p>
    <w:p w:rsidR="00614A7E" w:rsidRPr="00AF7705" w:rsidRDefault="00614A7E" w:rsidP="00614A7E">
      <w:pPr>
        <w:pStyle w:val="SingleTxtG"/>
        <w:rPr>
          <w:noProof/>
          <w:lang w:val="fr-FR" w:eastAsia="es-BO"/>
        </w:rPr>
      </w:pPr>
      <w:r w:rsidRPr="00DF456A">
        <w:rPr>
          <w:noProof/>
          <w:lang w:val="fr-FR" w:eastAsia="es-BO"/>
        </w:rPr>
        <w:t>118.</w:t>
      </w:r>
      <w:r w:rsidRPr="00DF456A">
        <w:rPr>
          <w:noProof/>
          <w:lang w:val="fr-FR" w:eastAsia="es-BO"/>
        </w:rPr>
        <w:tab/>
      </w:r>
      <w:r>
        <w:rPr>
          <w:noProof/>
          <w:lang w:val="fr-FR" w:eastAsia="es-BO"/>
        </w:rPr>
        <w:t>Conformément à l</w:t>
      </w:r>
      <w:r w:rsidR="00FB1114">
        <w:rPr>
          <w:noProof/>
          <w:lang w:val="fr-FR" w:eastAsia="es-BO"/>
        </w:rPr>
        <w:t>’</w:t>
      </w:r>
      <w:r>
        <w:rPr>
          <w:noProof/>
          <w:lang w:val="fr-FR" w:eastAsia="es-BO"/>
        </w:rPr>
        <w:t>article</w:t>
      </w:r>
      <w:r w:rsidR="00AF7705">
        <w:rPr>
          <w:noProof/>
          <w:lang w:val="fr-FR" w:eastAsia="es-BO"/>
        </w:rPr>
        <w:t> </w:t>
      </w:r>
      <w:r w:rsidRPr="00DF456A">
        <w:rPr>
          <w:noProof/>
          <w:lang w:val="fr-FR" w:eastAsia="es-BO"/>
        </w:rPr>
        <w:t xml:space="preserve">42 de la </w:t>
      </w:r>
      <w:r>
        <w:rPr>
          <w:noProof/>
          <w:lang w:val="fr-FR" w:eastAsia="es-BO"/>
        </w:rPr>
        <w:t xml:space="preserve">loi </w:t>
      </w:r>
      <w:r w:rsidR="00AF7705" w:rsidRPr="00857F6E">
        <w:rPr>
          <w:rFonts w:eastAsia="MS Mincho"/>
          <w:noProof/>
          <w:szCs w:val="22"/>
          <w:lang w:val="fr-FR"/>
        </w:rPr>
        <w:t>n</w:t>
      </w:r>
      <w:r w:rsidR="00AF7705" w:rsidRPr="00857F6E">
        <w:rPr>
          <w:rFonts w:eastAsia="MS Mincho"/>
          <w:noProof/>
          <w:szCs w:val="22"/>
          <w:vertAlign w:val="superscript"/>
          <w:lang w:val="fr-FR"/>
        </w:rPr>
        <w:t>o</w:t>
      </w:r>
      <w:r w:rsidR="00AF7705">
        <w:rPr>
          <w:noProof/>
          <w:lang w:val="fr-FR"/>
        </w:rPr>
        <w:t> </w:t>
      </w:r>
      <w:r w:rsidRPr="00DF456A">
        <w:rPr>
          <w:noProof/>
          <w:lang w:val="fr-FR" w:eastAsia="es-BO"/>
        </w:rPr>
        <w:t xml:space="preserve">348, </w:t>
      </w:r>
      <w:r>
        <w:rPr>
          <w:noProof/>
          <w:lang w:val="fr-FR" w:eastAsia="es-BO"/>
        </w:rPr>
        <w:t xml:space="preserve">tout fait de violence contre les femmes peut être signalé </w:t>
      </w:r>
      <w:r w:rsidRPr="00AF7705">
        <w:rPr>
          <w:noProof/>
          <w:lang w:val="fr-FR" w:eastAsia="es-BO"/>
        </w:rPr>
        <w:t>par la victime ou par toute personne qui en a eu connaissance aux instances suivantes</w:t>
      </w:r>
      <w:r w:rsidR="00AF7705" w:rsidRPr="00AF7705">
        <w:rPr>
          <w:noProof/>
          <w:lang w:val="fr-FR" w:eastAsia="es-BO"/>
        </w:rPr>
        <w:t> </w:t>
      </w:r>
      <w:r w:rsidRPr="00AF7705">
        <w:rPr>
          <w:noProof/>
          <w:lang w:val="fr-FR" w:eastAsia="es-BO"/>
        </w:rPr>
        <w:t>:</w:t>
      </w:r>
    </w:p>
    <w:p w:rsidR="00614A7E" w:rsidRPr="004D58F4" w:rsidRDefault="00614A7E" w:rsidP="00AF7705">
      <w:pPr>
        <w:pStyle w:val="SingleTxtG"/>
        <w:ind w:firstLine="567"/>
        <w:rPr>
          <w:noProof/>
          <w:lang w:val="fr-FR" w:eastAsia="es-BO"/>
        </w:rPr>
      </w:pPr>
      <w:r w:rsidRPr="00AF7705">
        <w:rPr>
          <w:noProof/>
          <w:lang w:val="fr-FR" w:eastAsia="es-BO"/>
        </w:rPr>
        <w:t>a)</w:t>
      </w:r>
      <w:r w:rsidRPr="00AF7705">
        <w:rPr>
          <w:noProof/>
          <w:lang w:val="fr-FR" w:eastAsia="es-BO"/>
        </w:rPr>
        <w:tab/>
      </w:r>
      <w:r w:rsidRPr="004D58F4">
        <w:rPr>
          <w:noProof/>
          <w:lang w:val="fr-FR" w:eastAsia="es-BO"/>
        </w:rPr>
        <w:t>La Police bolivienne et en particulier la F</w:t>
      </w:r>
      <w:r w:rsidRPr="004D58F4">
        <w:rPr>
          <w:noProof/>
          <w:lang w:val="fr-FR"/>
        </w:rPr>
        <w:t>orce de police spéciale de lutte contre la violence</w:t>
      </w:r>
      <w:r w:rsidRPr="004D58F4">
        <w:rPr>
          <w:noProof/>
          <w:lang w:val="fr-FR" w:eastAsia="es-BO"/>
        </w:rPr>
        <w:t>, organisme spécialisé chargé, sous la direction du ministère public et en coordination avec les entités publiques et privées, de prévenir les actes de violence à l</w:t>
      </w:r>
      <w:r w:rsidR="00FB1114" w:rsidRPr="004D58F4">
        <w:rPr>
          <w:noProof/>
          <w:lang w:val="fr-FR" w:eastAsia="es-BO"/>
        </w:rPr>
        <w:t>’</w:t>
      </w:r>
      <w:r w:rsidRPr="004D58F4">
        <w:rPr>
          <w:noProof/>
          <w:lang w:val="fr-FR" w:eastAsia="es-BO"/>
        </w:rPr>
        <w:t>égard des femmes et de violence familiale, de prêter assistance aux victimes, d</w:t>
      </w:r>
      <w:r w:rsidR="00FB1114" w:rsidRPr="004D58F4">
        <w:rPr>
          <w:noProof/>
          <w:lang w:val="fr-FR" w:eastAsia="es-BO"/>
        </w:rPr>
        <w:t>’</w:t>
      </w:r>
      <w:r w:rsidRPr="004D58F4">
        <w:rPr>
          <w:noProof/>
          <w:lang w:val="fr-FR" w:eastAsia="es-BO"/>
        </w:rPr>
        <w:t>enquêter sur ces actes et d</w:t>
      </w:r>
      <w:r w:rsidR="00FB1114" w:rsidRPr="004D58F4">
        <w:rPr>
          <w:noProof/>
          <w:lang w:val="fr-FR" w:eastAsia="es-BO"/>
        </w:rPr>
        <w:t>’</w:t>
      </w:r>
      <w:r w:rsidRPr="004D58F4">
        <w:rPr>
          <w:noProof/>
          <w:lang w:val="fr-FR" w:eastAsia="es-BO"/>
        </w:rPr>
        <w:t>identifier et d</w:t>
      </w:r>
      <w:r w:rsidR="00FB1114" w:rsidRPr="004D58F4">
        <w:rPr>
          <w:noProof/>
          <w:lang w:val="fr-FR" w:eastAsia="es-BO"/>
        </w:rPr>
        <w:t>’</w:t>
      </w:r>
      <w:r w:rsidRPr="004D58F4">
        <w:rPr>
          <w:noProof/>
          <w:lang w:val="fr-FR" w:eastAsia="es-BO"/>
        </w:rPr>
        <w:t>appréhender les personnes présumées les avoir commis. La F</w:t>
      </w:r>
      <w:r w:rsidRPr="004D58F4">
        <w:rPr>
          <w:noProof/>
          <w:lang w:val="fr-FR"/>
        </w:rPr>
        <w:t>orce de police spéciale dispose d</w:t>
      </w:r>
      <w:r w:rsidR="00FB1114" w:rsidRPr="004D58F4">
        <w:rPr>
          <w:noProof/>
          <w:lang w:val="fr-FR"/>
        </w:rPr>
        <w:t>’</w:t>
      </w:r>
      <w:r w:rsidRPr="004D58F4">
        <w:rPr>
          <w:noProof/>
          <w:lang w:val="fr-FR"/>
        </w:rPr>
        <w:t>une plateforme de prise en charge et de réception des signalements de cas de violence contre les femmes</w:t>
      </w:r>
      <w:r w:rsidR="00AF7705" w:rsidRPr="004D58F4">
        <w:rPr>
          <w:noProof/>
          <w:lang w:val="fr-FR"/>
        </w:rPr>
        <w:t> </w:t>
      </w:r>
      <w:r w:rsidRPr="004D58F4">
        <w:rPr>
          <w:noProof/>
          <w:lang w:val="fr-FR" w:eastAsia="es-BO"/>
        </w:rPr>
        <w:t>;</w:t>
      </w:r>
    </w:p>
    <w:p w:rsidR="00614A7E" w:rsidRPr="004D58F4" w:rsidRDefault="00614A7E" w:rsidP="00AF7705">
      <w:pPr>
        <w:pStyle w:val="SingleTxtG"/>
        <w:ind w:firstLine="567"/>
        <w:rPr>
          <w:noProof/>
          <w:lang w:val="fr-FR" w:eastAsia="es-BO"/>
        </w:rPr>
      </w:pPr>
      <w:r w:rsidRPr="004D58F4">
        <w:rPr>
          <w:noProof/>
          <w:lang w:val="fr-FR" w:eastAsia="es-BO"/>
        </w:rPr>
        <w:t>b)</w:t>
      </w:r>
      <w:r w:rsidRPr="004D58F4">
        <w:rPr>
          <w:noProof/>
          <w:lang w:val="fr-FR" w:eastAsia="es-BO"/>
        </w:rPr>
        <w:tab/>
        <w:t>Le ministère public, qui est l</w:t>
      </w:r>
      <w:r w:rsidR="00FB1114" w:rsidRPr="004D58F4">
        <w:rPr>
          <w:noProof/>
          <w:lang w:val="fr-FR" w:eastAsia="es-BO"/>
        </w:rPr>
        <w:t>’</w:t>
      </w:r>
      <w:r w:rsidRPr="004D58F4">
        <w:rPr>
          <w:noProof/>
          <w:lang w:val="fr-FR" w:eastAsia="es-BO"/>
        </w:rPr>
        <w:t>instance chargée d</w:t>
      </w:r>
      <w:r w:rsidR="00FB1114" w:rsidRPr="004D58F4">
        <w:rPr>
          <w:noProof/>
          <w:lang w:val="fr-FR" w:eastAsia="es-BO"/>
        </w:rPr>
        <w:t>’</w:t>
      </w:r>
      <w:r w:rsidRPr="004D58F4">
        <w:rPr>
          <w:noProof/>
          <w:lang w:val="fr-FR" w:eastAsia="es-BO"/>
        </w:rPr>
        <w:t>exercer les poursuites pénales dans les affaires de violence contre les femmes.</w:t>
      </w:r>
    </w:p>
    <w:p w:rsidR="00614A7E" w:rsidRPr="004D58F4" w:rsidRDefault="00614A7E" w:rsidP="00AD7872">
      <w:pPr>
        <w:pStyle w:val="SingleTxtG"/>
        <w:rPr>
          <w:noProof/>
          <w:lang w:val="fr-FR" w:eastAsia="es-BO"/>
        </w:rPr>
      </w:pPr>
      <w:r w:rsidRPr="004D58F4">
        <w:rPr>
          <w:noProof/>
          <w:lang w:val="fr-FR" w:eastAsia="es-BO"/>
        </w:rPr>
        <w:t>119.</w:t>
      </w:r>
      <w:r w:rsidRPr="004D58F4">
        <w:rPr>
          <w:noProof/>
          <w:lang w:val="fr-FR" w:eastAsia="es-BO"/>
        </w:rPr>
        <w:tab/>
        <w:t>Conformément à la loi susvisée, les instances chargées d</w:t>
      </w:r>
      <w:r w:rsidR="00FB1114" w:rsidRPr="004D58F4">
        <w:rPr>
          <w:noProof/>
          <w:lang w:val="fr-FR" w:eastAsia="es-BO"/>
        </w:rPr>
        <w:t>’</w:t>
      </w:r>
      <w:r w:rsidRPr="004D58F4">
        <w:rPr>
          <w:noProof/>
          <w:lang w:val="fr-FR" w:eastAsia="es-BO"/>
        </w:rPr>
        <w:t>encourager les signalements sont les suivantes</w:t>
      </w:r>
      <w:r w:rsidR="00AF7705" w:rsidRPr="004D58F4">
        <w:rPr>
          <w:noProof/>
          <w:lang w:val="fr-FR" w:eastAsia="es-BO"/>
        </w:rPr>
        <w:t> </w:t>
      </w:r>
      <w:r w:rsidRPr="004D58F4">
        <w:rPr>
          <w:noProof/>
          <w:lang w:val="fr-FR" w:eastAsia="es-BO"/>
        </w:rPr>
        <w:t>:</w:t>
      </w:r>
    </w:p>
    <w:p w:rsidR="00614A7E" w:rsidRPr="004D58F4" w:rsidRDefault="00614A7E" w:rsidP="00AF7705">
      <w:pPr>
        <w:pStyle w:val="SingleTxtG"/>
        <w:ind w:firstLine="567"/>
        <w:rPr>
          <w:noProof/>
          <w:lang w:val="fr-FR" w:eastAsia="es-BO"/>
        </w:rPr>
      </w:pPr>
      <w:r w:rsidRPr="004D58F4">
        <w:rPr>
          <w:noProof/>
          <w:lang w:val="fr-FR" w:eastAsia="es-BO"/>
        </w:rPr>
        <w:t>a)</w:t>
      </w:r>
      <w:r w:rsidRPr="004D58F4">
        <w:rPr>
          <w:noProof/>
          <w:lang w:val="fr-FR" w:eastAsia="es-BO"/>
        </w:rPr>
        <w:tab/>
        <w:t>Services juridiques municipaux. Chacun de ces services est composé d</w:t>
      </w:r>
      <w:r w:rsidR="00FB1114" w:rsidRPr="004D58F4">
        <w:rPr>
          <w:noProof/>
          <w:lang w:val="fr-FR" w:eastAsia="es-BO"/>
        </w:rPr>
        <w:t>’</w:t>
      </w:r>
      <w:r w:rsidRPr="004D58F4">
        <w:rPr>
          <w:noProof/>
          <w:lang w:val="fr-FR" w:eastAsia="es-BO"/>
        </w:rPr>
        <w:t>une équipe multidisciplinaire de conseils et d</w:t>
      </w:r>
      <w:r w:rsidR="00FB1114" w:rsidRPr="004D58F4">
        <w:rPr>
          <w:noProof/>
          <w:lang w:val="fr-FR" w:eastAsia="es-BO"/>
        </w:rPr>
        <w:t>’</w:t>
      </w:r>
      <w:r w:rsidRPr="004D58F4">
        <w:rPr>
          <w:noProof/>
          <w:lang w:val="fr-FR" w:eastAsia="es-BO"/>
        </w:rPr>
        <w:t>aide psychologique, sociale et juridique gratuits chargée de promouvoir et de protéger les droits des femmes victimes de violences</w:t>
      </w:r>
      <w:r w:rsidR="00AF7705" w:rsidRPr="004D58F4">
        <w:rPr>
          <w:noProof/>
          <w:lang w:val="fr-FR" w:eastAsia="es-BO"/>
        </w:rPr>
        <w:t> </w:t>
      </w:r>
      <w:r w:rsidRPr="004D58F4">
        <w:rPr>
          <w:noProof/>
          <w:lang w:val="fr-FR" w:eastAsia="es-BO"/>
        </w:rPr>
        <w:t>;</w:t>
      </w:r>
    </w:p>
    <w:p w:rsidR="00614A7E" w:rsidRPr="00AF7705" w:rsidRDefault="00614A7E" w:rsidP="00AF7705">
      <w:pPr>
        <w:pStyle w:val="SingleTxtG"/>
        <w:ind w:firstLine="567"/>
        <w:rPr>
          <w:noProof/>
          <w:lang w:val="fr-FR" w:eastAsia="es-BO"/>
        </w:rPr>
      </w:pPr>
      <w:r w:rsidRPr="004D58F4">
        <w:rPr>
          <w:noProof/>
          <w:lang w:val="fr-FR" w:eastAsia="es-BO"/>
        </w:rPr>
        <w:t>b)</w:t>
      </w:r>
      <w:r w:rsidRPr="004D58F4">
        <w:rPr>
          <w:noProof/>
          <w:lang w:val="fr-FR" w:eastAsia="es-BO"/>
        </w:rPr>
        <w:tab/>
      </w:r>
      <w:r w:rsidRPr="004D58F4">
        <w:rPr>
          <w:noProof/>
          <w:lang w:val="fr-FR"/>
        </w:rPr>
        <w:t>Service intégré de justice plurinationale</w:t>
      </w:r>
      <w:r w:rsidRPr="004D58F4">
        <w:rPr>
          <w:noProof/>
          <w:lang w:val="fr-FR" w:eastAsia="es-BO"/>
        </w:rPr>
        <w:t xml:space="preserve">. Ce </w:t>
      </w:r>
      <w:r w:rsidR="004D58F4">
        <w:rPr>
          <w:noProof/>
          <w:lang w:val="fr-FR" w:eastAsia="es-BO"/>
        </w:rPr>
        <w:t>s</w:t>
      </w:r>
      <w:r w:rsidRPr="004D58F4">
        <w:rPr>
          <w:noProof/>
          <w:lang w:val="fr-FR" w:eastAsia="es-BO"/>
        </w:rPr>
        <w:t>ervice, qui relève du Ministère de la justice et de la transparence institutionnelle, est chargé de recevoir les signalements, de fournir des conseils juridiques et une aide juridictionnelle gratuits, en appliquant une démarche fondée sur les droits aux femmes victimes de violences</w:t>
      </w:r>
      <w:r w:rsidR="00DE753C">
        <w:rPr>
          <w:noProof/>
          <w:lang w:val="fr-FR" w:eastAsia="es-BO"/>
        </w:rPr>
        <w:t> </w:t>
      </w:r>
      <w:r w:rsidRPr="004D58F4">
        <w:rPr>
          <w:noProof/>
          <w:lang w:val="fr-FR" w:eastAsia="es-BO"/>
        </w:rPr>
        <w:t>; en matière de prise en charge de ces victimes, ses missions sont les</w:t>
      </w:r>
      <w:r w:rsidRPr="00AF7705">
        <w:rPr>
          <w:noProof/>
          <w:lang w:val="fr-FR" w:eastAsia="es-BO"/>
        </w:rPr>
        <w:t xml:space="preserve"> suivantes</w:t>
      </w:r>
      <w:r w:rsidR="00AF7705">
        <w:rPr>
          <w:noProof/>
          <w:lang w:val="fr-FR" w:eastAsia="es-BO"/>
        </w:rPr>
        <w:t> </w:t>
      </w:r>
      <w:r w:rsidRPr="00AF7705">
        <w:rPr>
          <w:noProof/>
          <w:lang w:val="fr-FR" w:eastAsia="es-BO"/>
        </w:rPr>
        <w:t>:</w:t>
      </w:r>
    </w:p>
    <w:p w:rsidR="00614A7E" w:rsidRPr="00AF7705" w:rsidRDefault="00614A7E" w:rsidP="0037558F">
      <w:pPr>
        <w:pStyle w:val="Bullet2G"/>
        <w:rPr>
          <w:noProof/>
          <w:lang w:val="fr-FR" w:eastAsia="es-BO"/>
        </w:rPr>
      </w:pPr>
      <w:r w:rsidRPr="0037558F">
        <w:t>Recevoir</w:t>
      </w:r>
      <w:r w:rsidRPr="00AF7705">
        <w:rPr>
          <w:noProof/>
          <w:lang w:val="fr-FR" w:eastAsia="es-BO"/>
        </w:rPr>
        <w:t xml:space="preserve"> et enregistrer les signalements de cas de violence</w:t>
      </w:r>
      <w:r w:rsidR="00AF7705">
        <w:rPr>
          <w:noProof/>
          <w:lang w:val="fr-FR" w:eastAsia="es-BO"/>
        </w:rPr>
        <w:t> ;</w:t>
      </w:r>
    </w:p>
    <w:p w:rsidR="00614A7E" w:rsidRPr="0037558F" w:rsidRDefault="00614A7E" w:rsidP="0037558F">
      <w:pPr>
        <w:pStyle w:val="Bullet2G"/>
      </w:pPr>
      <w:r w:rsidRPr="0037558F">
        <w:t>Encourager les citoyens à signaler les cas de violence au ministère public ou à la police</w:t>
      </w:r>
      <w:r w:rsidR="00AF7705" w:rsidRPr="0037558F">
        <w:t> ;</w:t>
      </w:r>
    </w:p>
    <w:p w:rsidR="00614A7E" w:rsidRPr="0037558F" w:rsidRDefault="00614A7E" w:rsidP="0037558F">
      <w:pPr>
        <w:pStyle w:val="Bullet2G"/>
      </w:pPr>
      <w:r w:rsidRPr="0037558F">
        <w:t>Fournir des conseils, une protection, un appui et une aide juridictionnelle aux victimes de violences</w:t>
      </w:r>
      <w:r w:rsidR="00AF7705" w:rsidRPr="0037558F">
        <w:t> ;</w:t>
      </w:r>
    </w:p>
    <w:p w:rsidR="00614A7E" w:rsidRPr="00AF7705" w:rsidRDefault="00614A7E" w:rsidP="0037558F">
      <w:pPr>
        <w:pStyle w:val="Bullet2G"/>
        <w:rPr>
          <w:noProof/>
          <w:lang w:val="fr-FR" w:eastAsia="es-BO"/>
        </w:rPr>
      </w:pPr>
      <w:r w:rsidRPr="0037558F">
        <w:tab/>
        <w:t>Intenter</w:t>
      </w:r>
      <w:r w:rsidRPr="00AF7705">
        <w:rPr>
          <w:noProof/>
          <w:lang w:val="fr-FR" w:eastAsia="es-BO"/>
        </w:rPr>
        <w:t xml:space="preserve"> une action en justice et suivre la procédure engagée devant le tribunal compétent.</w:t>
      </w:r>
    </w:p>
    <w:p w:rsidR="00614A7E" w:rsidRPr="00DE753C" w:rsidRDefault="00614A7E" w:rsidP="00614A7E">
      <w:pPr>
        <w:pStyle w:val="SingleTxtG"/>
        <w:ind w:firstLine="567"/>
        <w:rPr>
          <w:noProof/>
          <w:lang w:val="fr-FR" w:eastAsia="es-BO"/>
        </w:rPr>
      </w:pPr>
      <w:r w:rsidRPr="00DE753C">
        <w:rPr>
          <w:noProof/>
          <w:lang w:val="fr-FR" w:eastAsia="es-BO"/>
        </w:rPr>
        <w:t>c)</w:t>
      </w:r>
      <w:r w:rsidRPr="00DE753C">
        <w:rPr>
          <w:noProof/>
          <w:lang w:val="fr-FR" w:eastAsia="es-BO"/>
        </w:rPr>
        <w:tab/>
        <w:t>Service plurinational d</w:t>
      </w:r>
      <w:r w:rsidR="00FB1114" w:rsidRPr="00DE753C">
        <w:rPr>
          <w:noProof/>
          <w:lang w:val="fr-FR" w:eastAsia="es-BO"/>
        </w:rPr>
        <w:t>’</w:t>
      </w:r>
      <w:r w:rsidRPr="00DE753C">
        <w:rPr>
          <w:noProof/>
          <w:lang w:val="fr-FR" w:eastAsia="es-BO"/>
        </w:rPr>
        <w:t>aide aux victimes</w:t>
      </w:r>
      <w:r w:rsidRPr="00DE753C">
        <w:rPr>
          <w:noProof/>
          <w:sz w:val="18"/>
          <w:szCs w:val="18"/>
          <w:vertAlign w:val="superscript"/>
          <w:lang w:val="fr-FR" w:eastAsia="es-BO"/>
        </w:rPr>
        <w:footnoteReference w:id="60"/>
      </w:r>
      <w:r w:rsidRPr="00DE753C">
        <w:rPr>
          <w:noProof/>
          <w:lang w:val="fr-FR" w:eastAsia="es-BO"/>
        </w:rPr>
        <w:t xml:space="preserve">. Ce </w:t>
      </w:r>
      <w:r w:rsidR="00DE753C" w:rsidRPr="00DE753C">
        <w:rPr>
          <w:noProof/>
          <w:lang w:val="fr-FR" w:eastAsia="es-BO"/>
        </w:rPr>
        <w:t>s</w:t>
      </w:r>
      <w:r w:rsidRPr="00DE753C">
        <w:rPr>
          <w:noProof/>
          <w:lang w:val="fr-FR" w:eastAsia="es-BO"/>
        </w:rPr>
        <w:t xml:space="preserve">ervice </w:t>
      </w:r>
      <w:r w:rsidRPr="00DE753C">
        <w:rPr>
          <w:noProof/>
          <w:lang w:val="fr-FR"/>
        </w:rPr>
        <w:t>fournit une aide juridictionnelle et des services d</w:t>
      </w:r>
      <w:r w:rsidR="00FB1114" w:rsidRPr="00DE753C">
        <w:rPr>
          <w:noProof/>
          <w:lang w:val="fr-FR"/>
        </w:rPr>
        <w:t>’</w:t>
      </w:r>
      <w:r w:rsidRPr="00DE753C">
        <w:rPr>
          <w:noProof/>
          <w:lang w:val="fr-FR"/>
        </w:rPr>
        <w:t>assistance sociale et d</w:t>
      </w:r>
      <w:r w:rsidR="00FB1114" w:rsidRPr="00DE753C">
        <w:rPr>
          <w:noProof/>
          <w:lang w:val="fr-FR"/>
        </w:rPr>
        <w:t>’</w:t>
      </w:r>
      <w:r w:rsidRPr="00DE753C">
        <w:rPr>
          <w:noProof/>
          <w:lang w:val="fr-FR"/>
        </w:rPr>
        <w:t>accompagnement psychologique aux victimes démunies, et ce, depuis le début de la procédure pénale et jusqu</w:t>
      </w:r>
      <w:r w:rsidR="00FB1114" w:rsidRPr="00DE753C">
        <w:rPr>
          <w:noProof/>
          <w:lang w:val="fr-FR"/>
        </w:rPr>
        <w:t>’</w:t>
      </w:r>
      <w:r w:rsidRPr="00DE753C">
        <w:rPr>
          <w:noProof/>
          <w:lang w:val="fr-FR"/>
        </w:rPr>
        <w:t>à l</w:t>
      </w:r>
      <w:r w:rsidR="00FB1114" w:rsidRPr="00DE753C">
        <w:rPr>
          <w:noProof/>
          <w:lang w:val="fr-FR"/>
        </w:rPr>
        <w:t>’</w:t>
      </w:r>
      <w:r w:rsidRPr="00DE753C">
        <w:rPr>
          <w:noProof/>
          <w:lang w:val="fr-FR"/>
        </w:rPr>
        <w:t>exécution du jugement, afin qu</w:t>
      </w:r>
      <w:r w:rsidR="00FB1114" w:rsidRPr="00DE753C">
        <w:rPr>
          <w:noProof/>
          <w:lang w:val="fr-FR"/>
        </w:rPr>
        <w:t>’</w:t>
      </w:r>
      <w:r w:rsidRPr="00DE753C">
        <w:rPr>
          <w:noProof/>
          <w:lang w:val="fr-FR"/>
        </w:rPr>
        <w:t>elles puissent obtenir réparation pour les dommages subis et, surtout, qu</w:t>
      </w:r>
      <w:r w:rsidR="00FB1114" w:rsidRPr="00DE753C">
        <w:rPr>
          <w:noProof/>
          <w:lang w:val="fr-FR"/>
        </w:rPr>
        <w:t>’</w:t>
      </w:r>
      <w:r w:rsidRPr="00DE753C">
        <w:rPr>
          <w:noProof/>
          <w:lang w:val="fr-FR"/>
        </w:rPr>
        <w:t>elles ne subissent pas de nouvelles violations de leurs droits</w:t>
      </w:r>
      <w:r w:rsidRPr="00DE753C">
        <w:rPr>
          <w:lang w:val="fr-FR"/>
        </w:rPr>
        <w:t xml:space="preserve"> </w:t>
      </w:r>
      <w:r w:rsidRPr="00DE753C">
        <w:rPr>
          <w:noProof/>
          <w:lang w:val="fr-FR" w:eastAsia="es-BO"/>
        </w:rPr>
        <w:t>(annexe 35)</w:t>
      </w:r>
      <w:r w:rsidR="00524527" w:rsidRPr="00DE753C">
        <w:rPr>
          <w:noProof/>
          <w:lang w:val="fr-FR" w:eastAsia="es-BO"/>
        </w:rPr>
        <w:t> </w:t>
      </w:r>
      <w:r w:rsidRPr="00DE753C">
        <w:rPr>
          <w:noProof/>
          <w:lang w:val="fr-FR" w:eastAsia="es-BO"/>
        </w:rPr>
        <w:t>;</w:t>
      </w:r>
    </w:p>
    <w:p w:rsidR="00614A7E" w:rsidRPr="00DE753C" w:rsidRDefault="00614A7E" w:rsidP="00614A7E">
      <w:pPr>
        <w:pStyle w:val="SingleTxtG"/>
        <w:ind w:firstLine="567"/>
        <w:rPr>
          <w:noProof/>
          <w:lang w:val="fr-FR" w:eastAsia="es-BO"/>
        </w:rPr>
      </w:pPr>
      <w:r w:rsidRPr="00DE753C">
        <w:rPr>
          <w:noProof/>
          <w:lang w:val="fr-FR" w:eastAsia="es-BO"/>
        </w:rPr>
        <w:t>d)</w:t>
      </w:r>
      <w:r w:rsidRPr="00DE753C">
        <w:rPr>
          <w:noProof/>
          <w:lang w:val="fr-FR" w:eastAsia="es-BO"/>
        </w:rPr>
        <w:tab/>
      </w:r>
      <w:r w:rsidRPr="00DE753C">
        <w:rPr>
          <w:noProof/>
          <w:lang w:val="fr-FR"/>
        </w:rPr>
        <w:t>Autorités autochtones originaires rurales</w:t>
      </w:r>
      <w:r w:rsidRPr="00DE753C">
        <w:rPr>
          <w:noProof/>
          <w:lang w:val="fr-FR" w:eastAsia="es-BO"/>
        </w:rPr>
        <w:t>, le cas échéant.</w:t>
      </w:r>
    </w:p>
    <w:p w:rsidR="00614A7E" w:rsidRPr="009D70FB" w:rsidRDefault="00614A7E" w:rsidP="00614A7E">
      <w:pPr>
        <w:pStyle w:val="SingleTxtG"/>
        <w:rPr>
          <w:noProof/>
          <w:lang w:val="fr-FR" w:eastAsia="es-BO"/>
        </w:rPr>
      </w:pPr>
      <w:r w:rsidRPr="00DE753C">
        <w:rPr>
          <w:noProof/>
          <w:lang w:val="fr-FR" w:eastAsia="es-BO"/>
        </w:rPr>
        <w:t>120.</w:t>
      </w:r>
      <w:r w:rsidRPr="001B37F7">
        <w:rPr>
          <w:noProof/>
          <w:lang w:val="fr-FR" w:eastAsia="es-BO"/>
        </w:rPr>
        <w:tab/>
      </w:r>
      <w:r w:rsidRPr="001B37F7">
        <w:rPr>
          <w:rFonts w:eastAsia="Calibri"/>
          <w:noProof/>
          <w:lang w:val="fr-FR" w:eastAsia="es-BO"/>
        </w:rPr>
        <w:t>Le ministère public dispose d</w:t>
      </w:r>
      <w:r w:rsidR="00FB1114" w:rsidRPr="001B37F7">
        <w:rPr>
          <w:rFonts w:eastAsia="Calibri"/>
          <w:noProof/>
          <w:lang w:val="fr-FR" w:eastAsia="es-BO"/>
        </w:rPr>
        <w:t>’</w:t>
      </w:r>
      <w:r w:rsidRPr="001B37F7">
        <w:rPr>
          <w:rFonts w:eastAsia="Calibri"/>
          <w:noProof/>
          <w:lang w:val="fr-FR" w:eastAsia="es-BO"/>
        </w:rPr>
        <w:t>une Plateforme d</w:t>
      </w:r>
      <w:r w:rsidR="00FB1114" w:rsidRPr="001B37F7">
        <w:rPr>
          <w:rFonts w:eastAsia="Calibri"/>
          <w:noProof/>
          <w:lang w:val="fr-FR" w:eastAsia="es-BO"/>
        </w:rPr>
        <w:t>’</w:t>
      </w:r>
      <w:r w:rsidRPr="001B37F7">
        <w:rPr>
          <w:rFonts w:eastAsia="Calibri"/>
          <w:noProof/>
          <w:lang w:val="fr-FR" w:eastAsia="es-BO"/>
        </w:rPr>
        <w:t>accueil et d</w:t>
      </w:r>
      <w:r w:rsidR="00FB1114" w:rsidRPr="001B37F7">
        <w:rPr>
          <w:rFonts w:eastAsia="Calibri"/>
          <w:noProof/>
          <w:lang w:val="fr-FR" w:eastAsia="es-BO"/>
        </w:rPr>
        <w:t>’</w:t>
      </w:r>
      <w:r w:rsidRPr="001B37F7">
        <w:rPr>
          <w:rFonts w:eastAsia="Calibri"/>
          <w:noProof/>
          <w:lang w:val="fr-FR" w:eastAsia="es-BO"/>
        </w:rPr>
        <w:t>orientation du public, qui doit assurer une prise en charge rapide, complète et différenciée des victimes</w:t>
      </w:r>
      <w:r>
        <w:rPr>
          <w:rFonts w:eastAsia="Calibri"/>
          <w:noProof/>
          <w:lang w:val="fr-FR" w:eastAsia="es-BO"/>
        </w:rPr>
        <w:t xml:space="preserve">, en protégeant leurs droits et en évitant toute nouvelle violation de ces derniers, en améliorant la prise en charge des populations vulnérables, notamment les femmes et les victimes mineures, et en </w:t>
      </w:r>
      <w:r w:rsidRPr="00DF456A">
        <w:rPr>
          <w:rFonts w:eastAsia="Calibri"/>
          <w:noProof/>
          <w:lang w:val="fr-FR" w:eastAsia="es-BO"/>
        </w:rPr>
        <w:t>optimi</w:t>
      </w:r>
      <w:r>
        <w:rPr>
          <w:rFonts w:eastAsia="Calibri"/>
          <w:noProof/>
          <w:lang w:val="fr-FR" w:eastAsia="es-BO"/>
        </w:rPr>
        <w:t>sant l</w:t>
      </w:r>
      <w:r w:rsidR="00FB1114">
        <w:rPr>
          <w:rFonts w:eastAsia="Calibri"/>
          <w:noProof/>
          <w:lang w:val="fr-FR" w:eastAsia="es-BO"/>
        </w:rPr>
        <w:t>’</w:t>
      </w:r>
      <w:r>
        <w:rPr>
          <w:rFonts w:eastAsia="Calibri"/>
          <w:noProof/>
          <w:lang w:val="fr-FR" w:eastAsia="es-BO"/>
        </w:rPr>
        <w:t xml:space="preserve">action que mène le ministère public pour faciliter </w:t>
      </w:r>
      <w:r w:rsidRPr="00524527">
        <w:rPr>
          <w:rFonts w:eastAsia="Calibri"/>
          <w:noProof/>
          <w:lang w:val="fr-FR" w:eastAsia="es-BO"/>
        </w:rPr>
        <w:t>l</w:t>
      </w:r>
      <w:r w:rsidR="00FB1114">
        <w:rPr>
          <w:rFonts w:eastAsia="Calibri"/>
          <w:noProof/>
          <w:lang w:val="fr-FR" w:eastAsia="es-BO"/>
        </w:rPr>
        <w:t>’</w:t>
      </w:r>
      <w:r w:rsidRPr="00524527">
        <w:rPr>
          <w:rFonts w:eastAsia="Calibri"/>
          <w:noProof/>
          <w:lang w:val="fr-FR" w:eastAsia="es-BO"/>
        </w:rPr>
        <w:t xml:space="preserve">accès à la </w:t>
      </w:r>
      <w:r w:rsidRPr="00524527">
        <w:rPr>
          <w:rFonts w:eastAsia="Calibri"/>
          <w:noProof/>
          <w:lang w:val="fr-FR" w:eastAsia="es-BO"/>
        </w:rPr>
        <w:lastRenderedPageBreak/>
        <w:t xml:space="preserve">justice. De plus, cette plateforme reçoit des plaintes orales et écrites en </w:t>
      </w:r>
      <w:r w:rsidRPr="00524527">
        <w:rPr>
          <w:noProof/>
          <w:lang w:val="fr-FR"/>
        </w:rPr>
        <w:t xml:space="preserve">garantissant la confidentialité de </w:t>
      </w:r>
      <w:r w:rsidRPr="009D70FB">
        <w:rPr>
          <w:noProof/>
          <w:lang w:val="fr-FR"/>
        </w:rPr>
        <w:t>l</w:t>
      </w:r>
      <w:r w:rsidR="00FB1114" w:rsidRPr="009D70FB">
        <w:rPr>
          <w:noProof/>
          <w:lang w:val="fr-FR"/>
        </w:rPr>
        <w:t>’</w:t>
      </w:r>
      <w:r w:rsidRPr="009D70FB">
        <w:rPr>
          <w:noProof/>
          <w:lang w:val="fr-FR"/>
        </w:rPr>
        <w:t>identité et des coordonnées des victimes qui en font la demande</w:t>
      </w:r>
      <w:r w:rsidRPr="009D70FB">
        <w:rPr>
          <w:rFonts w:eastAsia="Calibri"/>
          <w:noProof/>
          <w:lang w:val="fr-FR" w:eastAsia="es-BO"/>
        </w:rPr>
        <w:t>.</w:t>
      </w:r>
    </w:p>
    <w:p w:rsidR="00614A7E" w:rsidRPr="009D70FB" w:rsidRDefault="00614A7E" w:rsidP="00614A7E">
      <w:pPr>
        <w:pStyle w:val="SingleTxtG"/>
        <w:rPr>
          <w:noProof/>
          <w:lang w:val="fr-FR" w:eastAsia="es-BO"/>
        </w:rPr>
      </w:pPr>
      <w:r w:rsidRPr="009D70FB">
        <w:rPr>
          <w:noProof/>
          <w:lang w:val="fr-FR" w:eastAsia="es-BO"/>
        </w:rPr>
        <w:t>121.</w:t>
      </w:r>
      <w:r w:rsidRPr="009D70FB">
        <w:rPr>
          <w:noProof/>
          <w:lang w:val="fr-FR" w:eastAsia="es-BO"/>
        </w:rPr>
        <w:tab/>
      </w:r>
      <w:r w:rsidRPr="009D70FB">
        <w:rPr>
          <w:rFonts w:eastAsia="Calibri"/>
          <w:noProof/>
          <w:lang w:val="fr-FR" w:eastAsia="es-BO"/>
        </w:rPr>
        <w:t>De même, les procureurs de permanence dans les parquets départementaux du pays garantissent une formulation et une présentation efficaces des plaintes des femmes victimes de violences ou de personnes mineures victimes de violences ou d</w:t>
      </w:r>
      <w:r w:rsidR="00FB1114" w:rsidRPr="009D70FB">
        <w:rPr>
          <w:rFonts w:eastAsia="Calibri"/>
          <w:noProof/>
          <w:lang w:val="fr-FR" w:eastAsia="es-BO"/>
        </w:rPr>
        <w:t>’</w:t>
      </w:r>
      <w:r w:rsidRPr="009D70FB">
        <w:rPr>
          <w:rFonts w:eastAsia="Calibri"/>
          <w:noProof/>
          <w:lang w:val="fr-FR" w:eastAsia="es-BO"/>
        </w:rPr>
        <w:t>abus sexuels</w:t>
      </w:r>
      <w:r w:rsidR="00DE753C" w:rsidRPr="009D70FB">
        <w:rPr>
          <w:rFonts w:eastAsia="Calibri"/>
          <w:noProof/>
          <w:lang w:val="fr-FR" w:eastAsia="es-BO"/>
        </w:rPr>
        <w:t> </w:t>
      </w:r>
      <w:r w:rsidRPr="009D70FB">
        <w:rPr>
          <w:rFonts w:eastAsia="Calibri"/>
          <w:noProof/>
          <w:lang w:val="fr-FR" w:eastAsia="es-BO"/>
        </w:rPr>
        <w:t>; en effet, les procureurs tiennent des permanences en dehors de l</w:t>
      </w:r>
      <w:r w:rsidR="00FB1114" w:rsidRPr="009D70FB">
        <w:rPr>
          <w:rFonts w:eastAsia="Calibri"/>
          <w:noProof/>
          <w:lang w:val="fr-FR" w:eastAsia="es-BO"/>
        </w:rPr>
        <w:t>’</w:t>
      </w:r>
      <w:r w:rsidRPr="009D70FB">
        <w:rPr>
          <w:rFonts w:eastAsia="Calibri"/>
          <w:noProof/>
          <w:lang w:val="fr-FR" w:eastAsia="es-BO"/>
        </w:rPr>
        <w:t>horaire normal de travail, ainsi que les samedis, dimanches et jours fériés, assurant ainsi une prise en charge rapide et complète 24</w:t>
      </w:r>
      <w:r w:rsidR="00BA0B74" w:rsidRPr="009D70FB">
        <w:rPr>
          <w:rFonts w:eastAsia="Calibri"/>
          <w:noProof/>
          <w:lang w:val="fr-FR" w:eastAsia="es-BO"/>
        </w:rPr>
        <w:t> </w:t>
      </w:r>
      <w:r w:rsidRPr="009D70FB">
        <w:rPr>
          <w:rFonts w:eastAsia="Calibri"/>
          <w:noProof/>
          <w:lang w:val="fr-FR" w:eastAsia="es-BO"/>
        </w:rPr>
        <w:t>heures</w:t>
      </w:r>
      <w:r w:rsidR="00FF3568" w:rsidRPr="009D70FB">
        <w:rPr>
          <w:rFonts w:eastAsia="Calibri"/>
          <w:noProof/>
          <w:lang w:val="fr-FR" w:eastAsia="es-BO"/>
        </w:rPr>
        <w:t xml:space="preserve"> </w:t>
      </w:r>
      <w:r w:rsidRPr="009D70FB">
        <w:rPr>
          <w:rFonts w:eastAsia="Calibri"/>
          <w:noProof/>
          <w:lang w:val="fr-FR" w:eastAsia="es-BO"/>
        </w:rPr>
        <w:t xml:space="preserve">sur 24 et </w:t>
      </w:r>
      <w:r w:rsidR="00BA0B74" w:rsidRPr="009D70FB">
        <w:rPr>
          <w:rFonts w:eastAsia="Calibri"/>
          <w:noProof/>
          <w:lang w:val="fr-FR" w:eastAsia="es-BO"/>
        </w:rPr>
        <w:t>trois cent soixante-cinq </w:t>
      </w:r>
      <w:r w:rsidRPr="009D70FB">
        <w:rPr>
          <w:rFonts w:eastAsia="Calibri"/>
          <w:noProof/>
          <w:lang w:val="fr-FR" w:eastAsia="es-BO"/>
        </w:rPr>
        <w:t xml:space="preserve">jours par an. Pendant leurs permanences, ils peuvent faire appel aux services de </w:t>
      </w:r>
      <w:r w:rsidRPr="009D70FB">
        <w:rPr>
          <w:noProof/>
          <w:lang w:val="fr-FR"/>
        </w:rPr>
        <w:t>l</w:t>
      </w:r>
      <w:r w:rsidR="00FB1114" w:rsidRPr="009D70FB">
        <w:rPr>
          <w:noProof/>
          <w:lang w:val="fr-FR"/>
        </w:rPr>
        <w:t>’</w:t>
      </w:r>
      <w:r w:rsidRPr="009D70FB">
        <w:rPr>
          <w:noProof/>
          <w:lang w:val="fr-FR"/>
        </w:rPr>
        <w:t>Institut de recherche médico</w:t>
      </w:r>
      <w:r w:rsidR="008C55C2" w:rsidRPr="009D70FB">
        <w:rPr>
          <w:noProof/>
          <w:lang w:val="fr-FR"/>
        </w:rPr>
        <w:t>-</w:t>
      </w:r>
      <w:r w:rsidRPr="009D70FB">
        <w:rPr>
          <w:noProof/>
          <w:lang w:val="fr-FR"/>
        </w:rPr>
        <w:t>légale </w:t>
      </w:r>
      <w:r w:rsidRPr="009D70FB">
        <w:rPr>
          <w:rFonts w:eastAsia="Calibri"/>
          <w:noProof/>
          <w:lang w:val="fr-FR" w:eastAsia="es-BO"/>
        </w:rPr>
        <w:t>pour les examens médico</w:t>
      </w:r>
      <w:r w:rsidR="008C55C2" w:rsidRPr="009D70FB">
        <w:rPr>
          <w:rFonts w:eastAsia="Calibri"/>
          <w:noProof/>
          <w:lang w:val="fr-FR" w:eastAsia="es-BO"/>
        </w:rPr>
        <w:t>-</w:t>
      </w:r>
      <w:r w:rsidRPr="009D70FB">
        <w:rPr>
          <w:rFonts w:eastAsia="Calibri"/>
          <w:noProof/>
          <w:lang w:val="fr-FR" w:eastAsia="es-BO"/>
        </w:rPr>
        <w:t>légaux, les avis médicaux et les prélèvements d</w:t>
      </w:r>
      <w:r w:rsidR="00FB1114" w:rsidRPr="009D70FB">
        <w:rPr>
          <w:rFonts w:eastAsia="Calibri"/>
          <w:noProof/>
          <w:lang w:val="fr-FR" w:eastAsia="es-BO"/>
        </w:rPr>
        <w:t>’</w:t>
      </w:r>
      <w:r w:rsidRPr="009D70FB">
        <w:rPr>
          <w:rFonts w:eastAsia="Calibri"/>
          <w:noProof/>
          <w:lang w:val="fr-FR" w:eastAsia="es-BO"/>
        </w:rPr>
        <w:t>échantillons, ainsi qu</w:t>
      </w:r>
      <w:r w:rsidR="00FB1114" w:rsidRPr="009D70FB">
        <w:rPr>
          <w:rFonts w:eastAsia="Calibri"/>
          <w:noProof/>
          <w:lang w:val="fr-FR" w:eastAsia="es-BO"/>
        </w:rPr>
        <w:t>’</w:t>
      </w:r>
      <w:r w:rsidRPr="009D70FB">
        <w:rPr>
          <w:rFonts w:eastAsia="Calibri"/>
          <w:noProof/>
          <w:lang w:val="fr-FR" w:eastAsia="es-BO"/>
        </w:rPr>
        <w:t>au personnel du Service de protection des victimes et des témoins pour la prise en charge immédiate des femmes victimes de violences ou de personnes mineures victimes de violences ou d</w:t>
      </w:r>
      <w:r w:rsidR="00FB1114" w:rsidRPr="009D70FB">
        <w:rPr>
          <w:rFonts w:eastAsia="Calibri"/>
          <w:noProof/>
          <w:lang w:val="fr-FR" w:eastAsia="es-BO"/>
        </w:rPr>
        <w:t>’</w:t>
      </w:r>
      <w:r w:rsidRPr="009D70FB">
        <w:rPr>
          <w:rFonts w:eastAsia="Calibri"/>
          <w:noProof/>
          <w:lang w:val="fr-FR" w:eastAsia="es-BO"/>
        </w:rPr>
        <w:t>abus sexuels, en garantissant une présentation effective des plaintes et en respectant la santé affective des victimes.</w:t>
      </w:r>
    </w:p>
    <w:p w:rsidR="00614A7E" w:rsidRPr="009D70FB" w:rsidRDefault="00614A7E" w:rsidP="00614A7E">
      <w:pPr>
        <w:pStyle w:val="SingleTxtG"/>
        <w:rPr>
          <w:noProof/>
          <w:lang w:val="fr-FR" w:eastAsia="es-BO"/>
        </w:rPr>
      </w:pPr>
      <w:r w:rsidRPr="009D70FB">
        <w:rPr>
          <w:noProof/>
          <w:lang w:val="fr-FR" w:eastAsia="es-BO"/>
        </w:rPr>
        <w:t>122.</w:t>
      </w:r>
      <w:r w:rsidRPr="009D70FB">
        <w:rPr>
          <w:noProof/>
          <w:lang w:val="fr-FR" w:eastAsia="es-BO"/>
        </w:rPr>
        <w:tab/>
        <w:t>De plus, le Ministère de la justice et de la transparence institutionnelle a élaboré l</w:t>
      </w:r>
      <w:r w:rsidR="00243517">
        <w:rPr>
          <w:noProof/>
          <w:lang w:val="fr-FR" w:eastAsia="es-BO"/>
        </w:rPr>
        <w:t>e</w:t>
      </w:r>
      <w:r w:rsidRPr="009D70FB">
        <w:rPr>
          <w:noProof/>
          <w:lang w:val="fr-FR" w:eastAsia="es-BO"/>
        </w:rPr>
        <w:t xml:space="preserve"> Protocole de prise en charge institutionnelle prévue par la loi </w:t>
      </w:r>
      <w:r w:rsidR="009D091F" w:rsidRPr="009D70FB">
        <w:rPr>
          <w:rFonts w:eastAsia="MS Mincho"/>
          <w:noProof/>
          <w:szCs w:val="22"/>
          <w:lang w:val="fr-FR"/>
        </w:rPr>
        <w:t>n</w:t>
      </w:r>
      <w:r w:rsidR="009D091F" w:rsidRPr="009D70FB">
        <w:rPr>
          <w:rFonts w:eastAsia="MS Mincho"/>
          <w:noProof/>
          <w:szCs w:val="22"/>
          <w:vertAlign w:val="superscript"/>
          <w:lang w:val="fr-FR"/>
        </w:rPr>
        <w:t>o</w:t>
      </w:r>
      <w:r w:rsidR="009D091F" w:rsidRPr="009D70FB">
        <w:rPr>
          <w:noProof/>
          <w:lang w:val="fr-FR"/>
        </w:rPr>
        <w:t> </w:t>
      </w:r>
      <w:r w:rsidRPr="009D70FB">
        <w:rPr>
          <w:noProof/>
          <w:lang w:val="fr-FR" w:eastAsia="es-BO"/>
        </w:rPr>
        <w:t>348, qui énonce la procédure de prise en charge des femmes victimes de violences (annexe 36).</w:t>
      </w:r>
    </w:p>
    <w:p w:rsidR="00614A7E" w:rsidRPr="00DF456A" w:rsidRDefault="00614A7E" w:rsidP="009D091F">
      <w:pPr>
        <w:pStyle w:val="H1G"/>
        <w:rPr>
          <w:noProof/>
          <w:lang w:val="fr-FR" w:eastAsia="es-BO"/>
        </w:rPr>
      </w:pPr>
      <w:r w:rsidRPr="00DF456A">
        <w:rPr>
          <w:noProof/>
          <w:lang w:val="fr-FR" w:eastAsia="es-BO"/>
        </w:rPr>
        <w:tab/>
      </w:r>
      <w:r w:rsidRPr="00DF456A">
        <w:rPr>
          <w:noProof/>
          <w:lang w:val="fr-FR" w:eastAsia="es-BO"/>
        </w:rPr>
        <w:tab/>
      </w:r>
      <w:r w:rsidRPr="00D31178">
        <w:rPr>
          <w:noProof/>
          <w:lang w:val="fr-FR"/>
        </w:rPr>
        <w:t xml:space="preserve">Système global plurinational visant à prévenir, combattre, sanctionner et éliminer la </w:t>
      </w:r>
      <w:r w:rsidRPr="009D091F">
        <w:t>violence</w:t>
      </w:r>
      <w:r w:rsidRPr="00D31178">
        <w:rPr>
          <w:noProof/>
          <w:lang w:val="fr-FR"/>
        </w:rPr>
        <w:t xml:space="preserve"> fondée sur le genre</w:t>
      </w:r>
    </w:p>
    <w:p w:rsidR="00614A7E" w:rsidRPr="009D091F" w:rsidRDefault="00614A7E" w:rsidP="00614A7E">
      <w:pPr>
        <w:pStyle w:val="SingleTxtG"/>
        <w:rPr>
          <w:noProof/>
          <w:lang w:val="fr-FR" w:eastAsia="es-BO"/>
        </w:rPr>
      </w:pPr>
      <w:r w:rsidRPr="00DF456A">
        <w:rPr>
          <w:noProof/>
          <w:lang w:val="fr-FR" w:eastAsia="es-BO"/>
        </w:rPr>
        <w:t>123.</w:t>
      </w:r>
      <w:r w:rsidRPr="00DF456A">
        <w:rPr>
          <w:noProof/>
          <w:lang w:val="fr-FR" w:eastAsia="es-BO"/>
        </w:rPr>
        <w:tab/>
      </w:r>
      <w:r>
        <w:rPr>
          <w:noProof/>
          <w:lang w:val="fr-FR" w:eastAsia="es-BO"/>
        </w:rPr>
        <w:t xml:space="preserve">Le </w:t>
      </w:r>
      <w:r w:rsidRPr="00D31178">
        <w:rPr>
          <w:noProof/>
          <w:lang w:val="fr-FR"/>
        </w:rPr>
        <w:t>Système global plurinational visant à prévenir, combattre, sanctionner et éliminer la violence fondée sur le genre</w:t>
      </w:r>
      <w:r w:rsidRPr="00DF456A">
        <w:rPr>
          <w:noProof/>
          <w:lang w:val="fr-FR" w:eastAsia="es-BO"/>
        </w:rPr>
        <w:t xml:space="preserve"> es</w:t>
      </w:r>
      <w:r>
        <w:rPr>
          <w:noProof/>
          <w:lang w:val="fr-FR" w:eastAsia="es-BO"/>
        </w:rPr>
        <w:t>t spécialisé dans la lutte contre la violence fondée sur le genre. Il s</w:t>
      </w:r>
      <w:r w:rsidR="00FB1114">
        <w:rPr>
          <w:noProof/>
          <w:lang w:val="fr-FR" w:eastAsia="es-BO"/>
        </w:rPr>
        <w:t>’</w:t>
      </w:r>
      <w:r>
        <w:rPr>
          <w:noProof/>
          <w:lang w:val="fr-FR" w:eastAsia="es-BO"/>
        </w:rPr>
        <w:t>emploie à réorganiser l</w:t>
      </w:r>
      <w:r w:rsidR="00FB1114">
        <w:rPr>
          <w:noProof/>
          <w:lang w:val="fr-FR" w:eastAsia="es-BO"/>
        </w:rPr>
        <w:t>’</w:t>
      </w:r>
      <w:r>
        <w:rPr>
          <w:noProof/>
          <w:lang w:val="fr-FR" w:eastAsia="es-BO"/>
        </w:rPr>
        <w:t xml:space="preserve">ensemble du système de prise en charge globale des femmes victimes de violences et enregistre les informations relatives aux signalements des faits de violence fondée sur le genre, constituant </w:t>
      </w:r>
      <w:r w:rsidRPr="009D091F">
        <w:rPr>
          <w:noProof/>
          <w:lang w:val="fr-FR" w:eastAsia="es-BO"/>
        </w:rPr>
        <w:t>ainsi l</w:t>
      </w:r>
      <w:r w:rsidR="00FB1114">
        <w:rPr>
          <w:noProof/>
          <w:lang w:val="fr-FR" w:eastAsia="es-BO"/>
        </w:rPr>
        <w:t>’</w:t>
      </w:r>
      <w:r w:rsidRPr="009D091F">
        <w:rPr>
          <w:noProof/>
          <w:lang w:val="fr-FR" w:eastAsia="es-BO"/>
        </w:rPr>
        <w:t>instrument opérationnel de l</w:t>
      </w:r>
      <w:r w:rsidR="00FB1114">
        <w:rPr>
          <w:noProof/>
          <w:lang w:val="fr-FR" w:eastAsia="es-BO"/>
        </w:rPr>
        <w:t>’</w:t>
      </w:r>
      <w:r w:rsidRPr="009D091F">
        <w:rPr>
          <w:noProof/>
          <w:lang w:val="fr-FR" w:eastAsia="es-BO"/>
        </w:rPr>
        <w:t>intervention contre la violence à l</w:t>
      </w:r>
      <w:r w:rsidR="00FB1114">
        <w:rPr>
          <w:noProof/>
          <w:lang w:val="fr-FR" w:eastAsia="es-BO"/>
        </w:rPr>
        <w:t>’</w:t>
      </w:r>
      <w:r w:rsidRPr="009D091F">
        <w:rPr>
          <w:noProof/>
          <w:lang w:val="fr-FR" w:eastAsia="es-BO"/>
        </w:rPr>
        <w:t>égard des femmes.</w:t>
      </w:r>
    </w:p>
    <w:p w:rsidR="00614A7E" w:rsidRPr="009D091F" w:rsidRDefault="00614A7E" w:rsidP="00614A7E">
      <w:pPr>
        <w:pStyle w:val="SingleTxtG"/>
        <w:rPr>
          <w:noProof/>
          <w:lang w:val="fr-FR" w:eastAsia="es-BO"/>
        </w:rPr>
      </w:pPr>
      <w:r w:rsidRPr="009D091F">
        <w:rPr>
          <w:noProof/>
          <w:lang w:val="fr-FR" w:eastAsia="es-BO"/>
        </w:rPr>
        <w:t>124.</w:t>
      </w:r>
      <w:r w:rsidRPr="009D091F">
        <w:rPr>
          <w:noProof/>
          <w:lang w:val="fr-FR" w:eastAsia="es-BO"/>
        </w:rPr>
        <w:tab/>
        <w:t>Depuis sa mise en place (en 2014), le Système global plurinational met au point un système d</w:t>
      </w:r>
      <w:r w:rsidR="00FB1114">
        <w:rPr>
          <w:noProof/>
          <w:lang w:val="fr-FR" w:eastAsia="es-BO"/>
        </w:rPr>
        <w:t>’</w:t>
      </w:r>
      <w:r w:rsidRPr="009D091F">
        <w:rPr>
          <w:noProof/>
          <w:lang w:val="fr-FR" w:eastAsia="es-BO"/>
        </w:rPr>
        <w:t>information destiné à renforcer les acteurs directs s</w:t>
      </w:r>
      <w:r w:rsidR="00FB1114">
        <w:rPr>
          <w:noProof/>
          <w:lang w:val="fr-FR" w:eastAsia="es-BO"/>
        </w:rPr>
        <w:t>’</w:t>
      </w:r>
      <w:r w:rsidRPr="009D091F">
        <w:rPr>
          <w:noProof/>
          <w:lang w:val="fr-FR" w:eastAsia="es-BO"/>
        </w:rPr>
        <w:t xml:space="preserve">agissant de </w:t>
      </w:r>
      <w:r w:rsidRPr="009D091F">
        <w:rPr>
          <w:noProof/>
          <w:lang w:val="fr-FR"/>
        </w:rPr>
        <w:t>prévenir, combattre, protéger, poursuivre, sanctionner la violence faite aux femmes et d</w:t>
      </w:r>
      <w:r w:rsidR="00FB1114">
        <w:rPr>
          <w:noProof/>
          <w:lang w:val="fr-FR"/>
        </w:rPr>
        <w:t>’</w:t>
      </w:r>
      <w:r w:rsidRPr="009D091F">
        <w:rPr>
          <w:noProof/>
          <w:lang w:val="fr-FR"/>
        </w:rPr>
        <w:t>indemniser ces dernières pour le préjudice subi</w:t>
      </w:r>
      <w:r w:rsidR="009D70FB">
        <w:rPr>
          <w:noProof/>
          <w:lang w:val="fr-FR"/>
        </w:rPr>
        <w:t> </w:t>
      </w:r>
      <w:r w:rsidRPr="009D091F">
        <w:rPr>
          <w:noProof/>
          <w:lang w:val="fr-FR" w:eastAsia="es-BO"/>
        </w:rPr>
        <w:t>; de même, il a élaboré les instruments énumérés ci</w:t>
      </w:r>
      <w:r w:rsidR="009D091F">
        <w:rPr>
          <w:noProof/>
          <w:lang w:val="fr-FR" w:eastAsia="es-BO"/>
        </w:rPr>
        <w:noBreakHyphen/>
      </w:r>
      <w:r w:rsidRPr="009D091F">
        <w:rPr>
          <w:noProof/>
          <w:lang w:val="fr-FR" w:eastAsia="es-BO"/>
        </w:rPr>
        <w:t>après</w:t>
      </w:r>
      <w:r w:rsidR="009D091F">
        <w:rPr>
          <w:noProof/>
          <w:lang w:val="fr-FR" w:eastAsia="es-BO"/>
        </w:rPr>
        <w:t> </w:t>
      </w:r>
      <w:r w:rsidRPr="009D091F">
        <w:rPr>
          <w:noProof/>
          <w:lang w:val="fr-FR" w:eastAsia="es-BO"/>
        </w:rPr>
        <w:t>:</w:t>
      </w:r>
    </w:p>
    <w:p w:rsidR="00614A7E" w:rsidRPr="009D091F" w:rsidRDefault="00614A7E" w:rsidP="009D091F">
      <w:pPr>
        <w:pStyle w:val="Bullet1G"/>
      </w:pPr>
      <w:r w:rsidRPr="009D091F">
        <w:rPr>
          <w:noProof/>
          <w:lang w:val="fr-FR"/>
        </w:rPr>
        <w:t xml:space="preserve">Modèle du Service de prise en </w:t>
      </w:r>
      <w:r w:rsidRPr="009D091F">
        <w:t>charge globale et immédiate</w:t>
      </w:r>
      <w:r w:rsidR="009D091F">
        <w:t> ;</w:t>
      </w:r>
    </w:p>
    <w:p w:rsidR="00614A7E" w:rsidRPr="009D091F" w:rsidRDefault="00614A7E" w:rsidP="009D091F">
      <w:pPr>
        <w:pStyle w:val="Bullet1G"/>
      </w:pPr>
      <w:r w:rsidRPr="009D091F">
        <w:t>Modèle bolivien global de riposte à la violence fondée sur le genre</w:t>
      </w:r>
      <w:r w:rsidR="009D091F">
        <w:t> ;</w:t>
      </w:r>
    </w:p>
    <w:p w:rsidR="00614A7E" w:rsidRPr="009D091F" w:rsidRDefault="00614A7E" w:rsidP="009D091F">
      <w:pPr>
        <w:pStyle w:val="Bullet1G"/>
      </w:pPr>
      <w:r w:rsidRPr="009D091F">
        <w:t>Guide pour alerter contre la violence fondée sur le genre (annexe 37)</w:t>
      </w:r>
      <w:r w:rsidR="009D091F">
        <w:t> ;</w:t>
      </w:r>
    </w:p>
    <w:p w:rsidR="00614A7E" w:rsidRPr="009D091F" w:rsidRDefault="00614A7E" w:rsidP="009D091F">
      <w:pPr>
        <w:pStyle w:val="Bullet1G"/>
      </w:pPr>
      <w:r w:rsidRPr="009D091F">
        <w:t>Guide pour la gestion des foyers d</w:t>
      </w:r>
      <w:r w:rsidR="00FB1114">
        <w:t>’</w:t>
      </w:r>
      <w:r w:rsidRPr="009D091F">
        <w:t>accueil et refuges temporaires (annexe 38)</w:t>
      </w:r>
      <w:r w:rsidR="009D091F">
        <w:t> ;</w:t>
      </w:r>
    </w:p>
    <w:p w:rsidR="00614A7E" w:rsidRPr="009D091F" w:rsidRDefault="00614A7E" w:rsidP="009D091F">
      <w:pPr>
        <w:pStyle w:val="Bullet1G"/>
      </w:pPr>
      <w:r w:rsidRPr="009D091F">
        <w:t>Guide pour le fonctionnement des services juridiques municipaux (annexe 39)</w:t>
      </w:r>
      <w:r w:rsidR="009D091F">
        <w:t> ;</w:t>
      </w:r>
    </w:p>
    <w:p w:rsidR="00614A7E" w:rsidRPr="009D091F" w:rsidRDefault="00614A7E" w:rsidP="009D091F">
      <w:pPr>
        <w:pStyle w:val="Bullet1G"/>
        <w:rPr>
          <w:noProof/>
          <w:lang w:val="fr-FR"/>
        </w:rPr>
      </w:pPr>
      <w:r w:rsidRPr="009D091F">
        <w:t>Système d</w:t>
      </w:r>
      <w:r w:rsidR="00FB1114">
        <w:t>’</w:t>
      </w:r>
      <w:r w:rsidRPr="009D091F">
        <w:t>information pour l</w:t>
      </w:r>
      <w:r w:rsidR="00FB1114">
        <w:t>’</w:t>
      </w:r>
      <w:r w:rsidRPr="009D091F">
        <w:t>enregi</w:t>
      </w:r>
      <w:r w:rsidRPr="009D091F">
        <w:rPr>
          <w:noProof/>
          <w:lang w:val="fr-FR"/>
        </w:rPr>
        <w:t>strement central des cas de violence fondée sur le genre (disponible à l</w:t>
      </w:r>
      <w:r w:rsidR="00FB1114">
        <w:rPr>
          <w:noProof/>
          <w:lang w:val="fr-FR"/>
        </w:rPr>
        <w:t>’</w:t>
      </w:r>
      <w:r w:rsidRPr="009D091F">
        <w:rPr>
          <w:noProof/>
          <w:lang w:val="fr-FR"/>
        </w:rPr>
        <w:t xml:space="preserve">adresse </w:t>
      </w:r>
      <w:hyperlink r:id="rId9" w:history="1">
        <w:r w:rsidR="001B37F7" w:rsidRPr="00B425C8">
          <w:rPr>
            <w:rStyle w:val="Lienhypertexte"/>
            <w:noProof/>
            <w:lang w:val="fr-FR"/>
          </w:rPr>
          <w:t>htt</w:t>
        </w:r>
        <w:r w:rsidR="00B425C8" w:rsidRPr="00B425C8">
          <w:rPr>
            <w:rStyle w:val="Lienhypertexte"/>
            <w:noProof/>
            <w:lang w:val="fr-FR"/>
          </w:rPr>
          <w:t>p://</w:t>
        </w:r>
        <w:r w:rsidRPr="00B425C8">
          <w:rPr>
            <w:rStyle w:val="Lienhypertexte"/>
            <w:noProof/>
            <w:lang w:val="fr-FR"/>
          </w:rPr>
          <w:t>sippase.justicia.gob.bo</w:t>
        </w:r>
      </w:hyperlink>
      <w:r w:rsidRPr="001B37F7">
        <w:rPr>
          <w:noProof/>
          <w:lang w:val="fr-FR"/>
        </w:rPr>
        <w:t>)</w:t>
      </w:r>
      <w:r w:rsidR="009D091F" w:rsidRPr="001B37F7">
        <w:rPr>
          <w:noProof/>
          <w:lang w:val="fr-FR"/>
        </w:rPr>
        <w:t> </w:t>
      </w:r>
      <w:r w:rsidR="009D091F">
        <w:rPr>
          <w:noProof/>
          <w:lang w:val="fr-FR"/>
        </w:rPr>
        <w:t>;</w:t>
      </w:r>
    </w:p>
    <w:p w:rsidR="00614A7E" w:rsidRPr="00AC74AB" w:rsidRDefault="00614A7E" w:rsidP="00AC74AB">
      <w:pPr>
        <w:pStyle w:val="Bullet1G"/>
      </w:pPr>
      <w:r>
        <w:rPr>
          <w:noProof/>
          <w:lang w:val="fr-FR"/>
        </w:rPr>
        <w:t>Guide d</w:t>
      </w:r>
      <w:r w:rsidR="00FB1114">
        <w:rPr>
          <w:noProof/>
          <w:lang w:val="fr-FR"/>
        </w:rPr>
        <w:t>’</w:t>
      </w:r>
      <w:r>
        <w:rPr>
          <w:noProof/>
          <w:lang w:val="fr-FR"/>
        </w:rPr>
        <w:t>intervention contre la violence fondée sur le genre à l</w:t>
      </w:r>
      <w:r w:rsidR="00FB1114">
        <w:rPr>
          <w:noProof/>
          <w:lang w:val="fr-FR"/>
        </w:rPr>
        <w:t>’</w:t>
      </w:r>
      <w:r>
        <w:rPr>
          <w:noProof/>
          <w:lang w:val="fr-FR"/>
        </w:rPr>
        <w:t>intention des a</w:t>
      </w:r>
      <w:r w:rsidRPr="00CD6B7E">
        <w:rPr>
          <w:noProof/>
          <w:lang w:val="fr-FR"/>
        </w:rPr>
        <w:t xml:space="preserve">utorités </w:t>
      </w:r>
      <w:r w:rsidRPr="00AC74AB">
        <w:t>autochtones originaires rurales, traduit en trois langues : quechua, aymara et guaran</w:t>
      </w:r>
      <w:r w:rsidR="00681A56">
        <w:t>i</w:t>
      </w:r>
      <w:r w:rsidRPr="00AC74AB">
        <w:t xml:space="preserve"> (annexe</w:t>
      </w:r>
      <w:r w:rsidR="0032537B">
        <w:t> </w:t>
      </w:r>
      <w:r w:rsidRPr="00AC74AB">
        <w:t>40)</w:t>
      </w:r>
      <w:r w:rsidR="00AC74AB" w:rsidRPr="00AC74AB">
        <w:t> ;</w:t>
      </w:r>
    </w:p>
    <w:p w:rsidR="00614A7E" w:rsidRPr="00DF456A" w:rsidRDefault="00614A7E" w:rsidP="00AC74AB">
      <w:pPr>
        <w:pStyle w:val="Bullet1G"/>
        <w:rPr>
          <w:noProof/>
          <w:lang w:val="fr-FR"/>
        </w:rPr>
      </w:pPr>
      <w:r w:rsidRPr="00AC74AB">
        <w:t>Plans départementaux</w:t>
      </w:r>
      <w:r>
        <w:rPr>
          <w:noProof/>
          <w:lang w:val="fr-FR"/>
        </w:rPr>
        <w:t xml:space="preserve"> de lutte contre la violence fondée sur le genre</w:t>
      </w:r>
      <w:r w:rsidR="0037558F">
        <w:rPr>
          <w:noProof/>
          <w:lang w:val="fr-FR"/>
        </w:rPr>
        <w:t xml:space="preserve"> </w:t>
      </w:r>
      <w:r>
        <w:rPr>
          <w:noProof/>
          <w:lang w:val="fr-FR"/>
        </w:rPr>
        <w:t xml:space="preserve">pour les départements suivants : </w:t>
      </w:r>
      <w:r w:rsidRPr="00DF456A">
        <w:rPr>
          <w:noProof/>
          <w:lang w:val="fr-FR"/>
        </w:rPr>
        <w:t xml:space="preserve">Cochabamba, Tarija, Oruro, </w:t>
      </w:r>
      <w:r>
        <w:rPr>
          <w:noProof/>
          <w:lang w:val="fr-FR"/>
        </w:rPr>
        <w:t>Potosí, Beni, Pando, Santa Cruz et</w:t>
      </w:r>
      <w:r w:rsidRPr="00DF456A">
        <w:rPr>
          <w:noProof/>
          <w:lang w:val="fr-FR"/>
        </w:rPr>
        <w:t xml:space="preserve"> Chuquisaca,</w:t>
      </w:r>
      <w:r>
        <w:rPr>
          <w:noProof/>
          <w:lang w:val="fr-FR"/>
        </w:rPr>
        <w:t xml:space="preserve"> et plan en cours d</w:t>
      </w:r>
      <w:r w:rsidR="00FB1114">
        <w:rPr>
          <w:noProof/>
          <w:lang w:val="fr-FR"/>
        </w:rPr>
        <w:t>’</w:t>
      </w:r>
      <w:r>
        <w:rPr>
          <w:noProof/>
          <w:lang w:val="fr-FR"/>
        </w:rPr>
        <w:t xml:space="preserve">élaboration pour le département de </w:t>
      </w:r>
      <w:r w:rsidRPr="00DF456A">
        <w:rPr>
          <w:noProof/>
          <w:lang w:val="fr-FR"/>
        </w:rPr>
        <w:t>La Paz.</w:t>
      </w:r>
    </w:p>
    <w:p w:rsidR="00614A7E" w:rsidRPr="00DF456A" w:rsidRDefault="00614A7E" w:rsidP="00614A7E">
      <w:pPr>
        <w:pStyle w:val="H23G"/>
        <w:rPr>
          <w:noProof/>
          <w:lang w:val="fr-FR" w:eastAsia="es-BO"/>
        </w:rPr>
      </w:pPr>
      <w:r w:rsidRPr="00DF456A">
        <w:rPr>
          <w:noProof/>
          <w:lang w:val="fr-FR" w:eastAsia="es-BO"/>
        </w:rPr>
        <w:tab/>
      </w:r>
      <w:r w:rsidRPr="00DF456A">
        <w:rPr>
          <w:noProof/>
          <w:lang w:val="fr-FR" w:eastAsia="es-BO"/>
        </w:rPr>
        <w:tab/>
        <w:t>Recom</w:t>
      </w:r>
      <w:r>
        <w:rPr>
          <w:noProof/>
          <w:lang w:val="fr-FR" w:eastAsia="es-BO"/>
        </w:rPr>
        <w:t xml:space="preserve">mandation figurant au paragraphe </w:t>
      </w:r>
      <w:r w:rsidRPr="00DF456A">
        <w:rPr>
          <w:noProof/>
          <w:lang w:val="fr-FR" w:eastAsia="es-BO"/>
        </w:rPr>
        <w:t>15.c</w:t>
      </w:r>
    </w:p>
    <w:p w:rsidR="00614A7E" w:rsidRPr="00275B19" w:rsidRDefault="00614A7E" w:rsidP="00614A7E">
      <w:pPr>
        <w:pStyle w:val="SingleTxtG"/>
        <w:rPr>
          <w:noProof/>
          <w:lang w:val="fr-FR" w:eastAsia="es-BO"/>
        </w:rPr>
      </w:pPr>
      <w:r w:rsidRPr="00DF456A">
        <w:rPr>
          <w:noProof/>
          <w:lang w:val="fr-FR" w:eastAsia="es-BO"/>
        </w:rPr>
        <w:t>125.</w:t>
      </w:r>
      <w:r w:rsidRPr="00DF456A">
        <w:rPr>
          <w:noProof/>
          <w:lang w:val="fr-FR" w:eastAsia="es-BO"/>
        </w:rPr>
        <w:tab/>
      </w:r>
      <w:r>
        <w:rPr>
          <w:noProof/>
          <w:lang w:val="fr-FR" w:eastAsia="es-BO"/>
        </w:rPr>
        <w:t>Conformément à l</w:t>
      </w:r>
      <w:r w:rsidR="00FB1114">
        <w:rPr>
          <w:noProof/>
          <w:lang w:val="fr-FR" w:eastAsia="es-BO"/>
        </w:rPr>
        <w:t>’</w:t>
      </w:r>
      <w:r>
        <w:rPr>
          <w:noProof/>
          <w:lang w:val="fr-FR" w:eastAsia="es-BO"/>
        </w:rPr>
        <w:t>a</w:t>
      </w:r>
      <w:r w:rsidRPr="00DF456A">
        <w:rPr>
          <w:noProof/>
          <w:lang w:val="fr-FR" w:eastAsia="es-BO"/>
        </w:rPr>
        <w:t>rt</w:t>
      </w:r>
      <w:r>
        <w:rPr>
          <w:noProof/>
          <w:lang w:val="fr-FR" w:eastAsia="es-BO"/>
        </w:rPr>
        <w:t>icle</w:t>
      </w:r>
      <w:r w:rsidR="006A6A14">
        <w:rPr>
          <w:noProof/>
          <w:lang w:val="fr-FR" w:eastAsia="es-BO"/>
        </w:rPr>
        <w:t> </w:t>
      </w:r>
      <w:r w:rsidRPr="00DF456A">
        <w:rPr>
          <w:noProof/>
          <w:lang w:val="fr-FR" w:eastAsia="es-BO"/>
        </w:rPr>
        <w:t xml:space="preserve">25 de la </w:t>
      </w:r>
      <w:r>
        <w:rPr>
          <w:noProof/>
          <w:lang w:val="fr-FR" w:eastAsia="es-BO"/>
        </w:rPr>
        <w:t xml:space="preserve">loi </w:t>
      </w:r>
      <w:r w:rsidR="006A6A14" w:rsidRPr="00857F6E">
        <w:rPr>
          <w:rFonts w:eastAsia="MS Mincho"/>
          <w:noProof/>
          <w:szCs w:val="22"/>
          <w:lang w:val="fr-FR"/>
        </w:rPr>
        <w:t>n</w:t>
      </w:r>
      <w:r w:rsidR="006A6A14" w:rsidRPr="00857F6E">
        <w:rPr>
          <w:rFonts w:eastAsia="MS Mincho"/>
          <w:noProof/>
          <w:szCs w:val="22"/>
          <w:vertAlign w:val="superscript"/>
          <w:lang w:val="fr-FR"/>
        </w:rPr>
        <w:t>o</w:t>
      </w:r>
      <w:r w:rsidR="006A6A14">
        <w:rPr>
          <w:noProof/>
          <w:lang w:val="fr-FR"/>
        </w:rPr>
        <w:t> </w:t>
      </w:r>
      <w:r w:rsidRPr="00DF456A">
        <w:rPr>
          <w:noProof/>
          <w:lang w:val="fr-FR" w:eastAsia="es-BO"/>
        </w:rPr>
        <w:t>348, l</w:t>
      </w:r>
      <w:r>
        <w:rPr>
          <w:noProof/>
          <w:lang w:val="fr-FR" w:eastAsia="es-BO"/>
        </w:rPr>
        <w:t>e</w:t>
      </w:r>
      <w:r w:rsidRPr="00DF456A">
        <w:rPr>
          <w:noProof/>
          <w:lang w:val="fr-FR" w:eastAsia="es-BO"/>
        </w:rPr>
        <w:t>s enti</w:t>
      </w:r>
      <w:r>
        <w:rPr>
          <w:noProof/>
          <w:lang w:val="fr-FR" w:eastAsia="es-BO"/>
        </w:rPr>
        <w:t>té</w:t>
      </w:r>
      <w:r w:rsidRPr="00DF456A">
        <w:rPr>
          <w:noProof/>
          <w:lang w:val="fr-FR" w:eastAsia="es-BO"/>
        </w:rPr>
        <w:t>s territoriales aut</w:t>
      </w:r>
      <w:r>
        <w:rPr>
          <w:noProof/>
          <w:lang w:val="fr-FR" w:eastAsia="es-BO"/>
        </w:rPr>
        <w:t>onomes ont créé des foyers d</w:t>
      </w:r>
      <w:r w:rsidR="00FB1114">
        <w:rPr>
          <w:noProof/>
          <w:lang w:val="fr-FR" w:eastAsia="es-BO"/>
        </w:rPr>
        <w:t>’</w:t>
      </w:r>
      <w:r>
        <w:rPr>
          <w:noProof/>
          <w:lang w:val="fr-FR" w:eastAsia="es-BO"/>
        </w:rPr>
        <w:t xml:space="preserve">accueil et refuges temporaires pour accueillir les femmes et mineurs des deux sexes victimes de violences en les protégeant contre leur agresseur </w:t>
      </w:r>
      <w:r w:rsidRPr="00DF456A">
        <w:rPr>
          <w:noProof/>
          <w:lang w:val="fr-FR" w:eastAsia="es-BO"/>
        </w:rPr>
        <w:t>(</w:t>
      </w:r>
      <w:r>
        <w:rPr>
          <w:noProof/>
          <w:lang w:val="fr-FR" w:eastAsia="es-BO"/>
        </w:rPr>
        <w:t>annexe</w:t>
      </w:r>
      <w:r w:rsidR="006A6A14">
        <w:rPr>
          <w:noProof/>
          <w:lang w:val="fr-FR" w:eastAsia="es-BO"/>
        </w:rPr>
        <w:t> </w:t>
      </w:r>
      <w:r w:rsidRPr="00DF456A">
        <w:rPr>
          <w:noProof/>
          <w:lang w:val="fr-FR" w:eastAsia="es-BO"/>
        </w:rPr>
        <w:t xml:space="preserve">41). </w:t>
      </w:r>
      <w:r>
        <w:rPr>
          <w:noProof/>
          <w:lang w:val="fr-FR" w:eastAsia="es-BO"/>
        </w:rPr>
        <w:t>L</w:t>
      </w:r>
      <w:r w:rsidR="00FB1114">
        <w:rPr>
          <w:noProof/>
          <w:lang w:val="fr-FR" w:eastAsia="es-BO"/>
        </w:rPr>
        <w:t>’</w:t>
      </w:r>
      <w:r>
        <w:rPr>
          <w:noProof/>
          <w:lang w:val="fr-FR" w:eastAsia="es-BO"/>
        </w:rPr>
        <w:t>accès à ces foyers est volontaire et gratuit, et les femmes qui s</w:t>
      </w:r>
      <w:r w:rsidR="00FB1114">
        <w:rPr>
          <w:noProof/>
          <w:lang w:val="fr-FR" w:eastAsia="es-BO"/>
        </w:rPr>
        <w:t>’</w:t>
      </w:r>
      <w:r>
        <w:rPr>
          <w:noProof/>
          <w:lang w:val="fr-FR" w:eastAsia="es-BO"/>
        </w:rPr>
        <w:t xml:space="preserve">y rendent peuvent les </w:t>
      </w:r>
      <w:r>
        <w:rPr>
          <w:noProof/>
          <w:lang w:val="fr-FR" w:eastAsia="es-BO"/>
        </w:rPr>
        <w:lastRenderedPageBreak/>
        <w:t>quitter quand elles le souhaitent</w:t>
      </w:r>
      <w:r w:rsidRPr="00DF456A">
        <w:rPr>
          <w:noProof/>
          <w:lang w:val="fr-FR" w:eastAsia="es-BO"/>
        </w:rPr>
        <w:t xml:space="preserve">. </w:t>
      </w:r>
      <w:r>
        <w:rPr>
          <w:noProof/>
          <w:lang w:val="fr-FR" w:eastAsia="es-BO"/>
        </w:rPr>
        <w:t>Ces foyers d</w:t>
      </w:r>
      <w:r w:rsidR="00FB1114">
        <w:rPr>
          <w:noProof/>
          <w:lang w:val="fr-FR" w:eastAsia="es-BO"/>
        </w:rPr>
        <w:t>’</w:t>
      </w:r>
      <w:r>
        <w:rPr>
          <w:noProof/>
          <w:lang w:val="fr-FR" w:eastAsia="es-BO"/>
        </w:rPr>
        <w:t xml:space="preserve">accueil et refuges temporaires offrent les services suivants </w:t>
      </w:r>
      <w:r w:rsidRPr="00DF456A">
        <w:rPr>
          <w:noProof/>
          <w:lang w:val="fr-FR" w:eastAsia="es-BO"/>
        </w:rPr>
        <w:t>:</w:t>
      </w:r>
    </w:p>
    <w:p w:rsidR="00614A7E" w:rsidRPr="00FF3568" w:rsidRDefault="00614A7E" w:rsidP="00FF3568">
      <w:pPr>
        <w:pStyle w:val="Bullet1G"/>
      </w:pPr>
      <w:r>
        <w:rPr>
          <w:noProof/>
          <w:lang w:val="fr-FR"/>
        </w:rPr>
        <w:t xml:space="preserve">Une prise </w:t>
      </w:r>
      <w:r w:rsidRPr="00FF3568">
        <w:t>en charge globale, un accompagnement psychologique et une assistance juridique, sociale et sanitaire</w:t>
      </w:r>
      <w:r w:rsidR="006A6A14">
        <w:t> ;</w:t>
      </w:r>
    </w:p>
    <w:p w:rsidR="00614A7E" w:rsidRPr="00FF3568" w:rsidRDefault="00614A7E" w:rsidP="00FF3568">
      <w:pPr>
        <w:pStyle w:val="Bullet1G"/>
      </w:pPr>
      <w:r w:rsidRPr="00FF3568">
        <w:t>Un espace qui permet aux femmes de recouvrer leur autonomie en vue d</w:t>
      </w:r>
      <w:r w:rsidR="00FB1114">
        <w:t>’</w:t>
      </w:r>
      <w:r w:rsidRPr="00FF3568">
        <w:t>établir un plan de vie à l</w:t>
      </w:r>
      <w:r w:rsidR="00FB1114">
        <w:t>’</w:t>
      </w:r>
      <w:r w:rsidRPr="00FF3568">
        <w:t>abri de la violence</w:t>
      </w:r>
      <w:r w:rsidR="006A6A14">
        <w:t> ;</w:t>
      </w:r>
    </w:p>
    <w:p w:rsidR="00614A7E" w:rsidRPr="00FF3568" w:rsidRDefault="00614A7E" w:rsidP="00FF3568">
      <w:pPr>
        <w:pStyle w:val="Bullet1G"/>
      </w:pPr>
      <w:r w:rsidRPr="00FF3568">
        <w:t>Une prise en charge axée sur leur rétablissement et celui de leurs enfants mineurs, à la faveur de programmes qui les aident à prendre des décisions.</w:t>
      </w:r>
    </w:p>
    <w:p w:rsidR="00614A7E" w:rsidRPr="00FF3568" w:rsidRDefault="00614A7E" w:rsidP="00FF3568">
      <w:pPr>
        <w:pStyle w:val="Bullet1G"/>
      </w:pPr>
      <w:r w:rsidRPr="00FF3568">
        <w:t>Une protection contre la violence extrême qui peut conduire au féminicide ou au suicide.</w:t>
      </w:r>
    </w:p>
    <w:p w:rsidR="00614A7E" w:rsidRPr="00DF456A" w:rsidRDefault="00614A7E" w:rsidP="00FF3568">
      <w:pPr>
        <w:pStyle w:val="Bullet1G"/>
        <w:rPr>
          <w:noProof/>
          <w:lang w:val="fr-FR"/>
        </w:rPr>
      </w:pPr>
      <w:r w:rsidRPr="00FF3568">
        <w:t>Des outils d</w:t>
      </w:r>
      <w:r w:rsidR="00FB1114">
        <w:t>’</w:t>
      </w:r>
      <w:r w:rsidRPr="00FF3568">
        <w:t>autodétermination</w:t>
      </w:r>
      <w:r>
        <w:rPr>
          <w:noProof/>
          <w:lang w:val="fr-FR"/>
        </w:rPr>
        <w:t xml:space="preserve"> et d</w:t>
      </w:r>
      <w:r w:rsidR="00FB1114">
        <w:rPr>
          <w:noProof/>
          <w:lang w:val="fr-FR"/>
        </w:rPr>
        <w:t>’</w:t>
      </w:r>
      <w:r>
        <w:rPr>
          <w:noProof/>
          <w:lang w:val="fr-FR"/>
        </w:rPr>
        <w:t>émancipation pour ces femmes</w:t>
      </w:r>
      <w:r w:rsidRPr="00DF456A">
        <w:rPr>
          <w:noProof/>
          <w:lang w:val="fr-FR"/>
        </w:rPr>
        <w:t>.</w:t>
      </w:r>
    </w:p>
    <w:p w:rsidR="00614A7E" w:rsidRPr="00173FFB" w:rsidRDefault="00614A7E" w:rsidP="00614A7E">
      <w:pPr>
        <w:pStyle w:val="SingleTxtG"/>
        <w:rPr>
          <w:noProof/>
          <w:lang w:val="fr-FR" w:eastAsia="es-BO"/>
        </w:rPr>
      </w:pPr>
      <w:r w:rsidRPr="00DF456A">
        <w:rPr>
          <w:noProof/>
          <w:lang w:val="fr-FR" w:eastAsia="es-BO"/>
        </w:rPr>
        <w:t>126.</w:t>
      </w:r>
      <w:r w:rsidRPr="00DF456A">
        <w:rPr>
          <w:noProof/>
          <w:lang w:val="fr-FR" w:eastAsia="es-BO"/>
        </w:rPr>
        <w:tab/>
      </w:r>
      <w:r w:rsidRPr="00DF456A">
        <w:rPr>
          <w:bCs/>
          <w:noProof/>
          <w:lang w:val="fr-FR" w:eastAsia="es-BO"/>
        </w:rPr>
        <w:t>L</w:t>
      </w:r>
      <w:r>
        <w:rPr>
          <w:bCs/>
          <w:noProof/>
          <w:lang w:val="fr-FR" w:eastAsia="es-BO"/>
        </w:rPr>
        <w:t>e</w:t>
      </w:r>
      <w:r w:rsidRPr="00DF456A">
        <w:rPr>
          <w:bCs/>
          <w:noProof/>
          <w:lang w:val="fr-FR" w:eastAsia="es-BO"/>
        </w:rPr>
        <w:t xml:space="preserve">s </w:t>
      </w:r>
      <w:r>
        <w:rPr>
          <w:noProof/>
          <w:lang w:val="fr-FR" w:eastAsia="es-BO"/>
        </w:rPr>
        <w:t>foyers d</w:t>
      </w:r>
      <w:r w:rsidR="00FB1114">
        <w:rPr>
          <w:noProof/>
          <w:lang w:val="fr-FR" w:eastAsia="es-BO"/>
        </w:rPr>
        <w:t>’</w:t>
      </w:r>
      <w:r>
        <w:rPr>
          <w:noProof/>
          <w:lang w:val="fr-FR" w:eastAsia="es-BO"/>
        </w:rPr>
        <w:t>accueil et refuges temporaires disposent d</w:t>
      </w:r>
      <w:r w:rsidR="00FB1114">
        <w:rPr>
          <w:noProof/>
          <w:lang w:val="fr-FR" w:eastAsia="es-BO"/>
        </w:rPr>
        <w:t>’</w:t>
      </w:r>
      <w:r>
        <w:rPr>
          <w:noProof/>
          <w:lang w:val="fr-FR" w:eastAsia="es-BO"/>
        </w:rPr>
        <w:t xml:space="preserve">un personnel </w:t>
      </w:r>
      <w:r w:rsidRPr="00DF456A">
        <w:rPr>
          <w:noProof/>
          <w:lang w:val="fr-FR" w:eastAsia="es-BO"/>
        </w:rPr>
        <w:t>multidisciplina</w:t>
      </w:r>
      <w:r>
        <w:rPr>
          <w:noProof/>
          <w:lang w:val="fr-FR" w:eastAsia="es-BO"/>
        </w:rPr>
        <w:t>ire ayant reçu une formation spécialisée à la prise en charge de femmes victimes de violences</w:t>
      </w:r>
      <w:r w:rsidRPr="00DF456A">
        <w:rPr>
          <w:noProof/>
          <w:lang w:val="fr-FR" w:eastAsia="es-BO"/>
        </w:rPr>
        <w:t xml:space="preserve">. </w:t>
      </w:r>
      <w:r>
        <w:rPr>
          <w:noProof/>
          <w:lang w:val="fr-FR" w:eastAsia="es-BO"/>
        </w:rPr>
        <w:t>De même, ces lieux d</w:t>
      </w:r>
      <w:r w:rsidR="00FB1114">
        <w:rPr>
          <w:noProof/>
          <w:lang w:val="fr-FR" w:eastAsia="es-BO"/>
        </w:rPr>
        <w:t>’</w:t>
      </w:r>
      <w:r>
        <w:rPr>
          <w:noProof/>
          <w:lang w:val="fr-FR" w:eastAsia="es-BO"/>
        </w:rPr>
        <w:t xml:space="preserve">accueil ne sont pas connus du public et leur localisation est tenue </w:t>
      </w:r>
      <w:r w:rsidRPr="00173FFB">
        <w:rPr>
          <w:noProof/>
          <w:lang w:val="fr-FR" w:eastAsia="es-BO"/>
        </w:rPr>
        <w:t>confidentielle, ce système de sécurité visant à protéger efficacement les femmes, leurs enfants et les employés contre ce que leurs agresseurs pourraient éventuellement tenter.</w:t>
      </w:r>
    </w:p>
    <w:p w:rsidR="00614A7E" w:rsidRPr="00173FFB" w:rsidRDefault="00614A7E" w:rsidP="00614A7E">
      <w:pPr>
        <w:pStyle w:val="SingleTxtG"/>
        <w:rPr>
          <w:noProof/>
          <w:lang w:val="fr-FR" w:eastAsia="es-BO"/>
        </w:rPr>
      </w:pPr>
      <w:r w:rsidRPr="00173FFB">
        <w:rPr>
          <w:noProof/>
          <w:lang w:val="fr-FR" w:eastAsia="es-BO"/>
        </w:rPr>
        <w:t>127.</w:t>
      </w:r>
      <w:r w:rsidRPr="00173FFB">
        <w:rPr>
          <w:noProof/>
          <w:lang w:val="fr-FR" w:eastAsia="es-BO"/>
        </w:rPr>
        <w:tab/>
        <w:t>En matière d</w:t>
      </w:r>
      <w:r w:rsidR="00FB1114">
        <w:rPr>
          <w:noProof/>
          <w:lang w:val="fr-FR" w:eastAsia="es-BO"/>
        </w:rPr>
        <w:t>’</w:t>
      </w:r>
      <w:r w:rsidRPr="00173FFB">
        <w:rPr>
          <w:noProof/>
          <w:lang w:val="fr-FR" w:eastAsia="es-BO"/>
        </w:rPr>
        <w:t>assistance sanitaire</w:t>
      </w:r>
      <w:r w:rsidRPr="00741073">
        <w:rPr>
          <w:noProof/>
          <w:lang w:val="fr-FR" w:eastAsia="es-BO"/>
        </w:rPr>
        <w:t>,</w:t>
      </w:r>
      <w:r w:rsidRPr="00173FFB">
        <w:rPr>
          <w:i/>
          <w:noProof/>
          <w:lang w:val="fr-FR" w:eastAsia="es-BO"/>
        </w:rPr>
        <w:t xml:space="preserve"> </w:t>
      </w:r>
      <w:r w:rsidRPr="00173FFB">
        <w:rPr>
          <w:noProof/>
          <w:lang w:val="fr-FR" w:eastAsia="es-BO"/>
        </w:rPr>
        <w:t>les services publics de santé de tous niveaux, les services de sécurité sociale et les services de santé privés sont tenus de prendre en charge toute femme qui demanderait à recevoir des soins médicaux et psychologiques.</w:t>
      </w:r>
    </w:p>
    <w:p w:rsidR="00614A7E" w:rsidRPr="00173FFB" w:rsidRDefault="00614A7E" w:rsidP="00614A7E">
      <w:pPr>
        <w:pStyle w:val="SingleTxtG"/>
        <w:rPr>
          <w:noProof/>
          <w:lang w:val="fr-FR" w:eastAsia="es-BO"/>
        </w:rPr>
      </w:pPr>
      <w:r w:rsidRPr="00173FFB">
        <w:rPr>
          <w:noProof/>
          <w:lang w:val="fr-FR" w:eastAsia="es-BO"/>
        </w:rPr>
        <w:t>128.</w:t>
      </w:r>
      <w:r w:rsidRPr="00173FFB">
        <w:rPr>
          <w:noProof/>
          <w:lang w:val="fr-FR" w:eastAsia="es-BO"/>
        </w:rPr>
        <w:tab/>
        <w:t xml:space="preserve">Conformément à la loi </w:t>
      </w:r>
      <w:r w:rsidR="00173FFB" w:rsidRPr="00857F6E">
        <w:rPr>
          <w:rFonts w:eastAsia="MS Mincho"/>
          <w:noProof/>
          <w:szCs w:val="22"/>
          <w:lang w:val="fr-FR"/>
        </w:rPr>
        <w:t>n</w:t>
      </w:r>
      <w:r w:rsidR="00173FFB" w:rsidRPr="00857F6E">
        <w:rPr>
          <w:rFonts w:eastAsia="MS Mincho"/>
          <w:noProof/>
          <w:szCs w:val="22"/>
          <w:vertAlign w:val="superscript"/>
          <w:lang w:val="fr-FR"/>
        </w:rPr>
        <w:t>o</w:t>
      </w:r>
      <w:r w:rsidR="00173FFB">
        <w:rPr>
          <w:noProof/>
          <w:lang w:val="fr-FR"/>
        </w:rPr>
        <w:t> </w:t>
      </w:r>
      <w:r w:rsidRPr="00173FFB">
        <w:rPr>
          <w:noProof/>
          <w:lang w:val="fr-FR" w:eastAsia="es-BO"/>
        </w:rPr>
        <w:t>348, le ministère public est l</w:t>
      </w:r>
      <w:r w:rsidR="00FB1114">
        <w:rPr>
          <w:noProof/>
          <w:lang w:val="fr-FR" w:eastAsia="es-BO"/>
        </w:rPr>
        <w:t>’</w:t>
      </w:r>
      <w:r w:rsidRPr="00173FFB">
        <w:rPr>
          <w:noProof/>
          <w:lang w:val="fr-FR" w:eastAsia="es-BO"/>
        </w:rPr>
        <w:t xml:space="preserve">instance chargée de prendre des mesures </w:t>
      </w:r>
      <w:r w:rsidRPr="00E347A9">
        <w:rPr>
          <w:noProof/>
          <w:lang w:val="fr-FR" w:eastAsia="es-BO"/>
        </w:rPr>
        <w:t>visant à garantir aux femmes en situation de risque et/ou de violence l</w:t>
      </w:r>
      <w:r w:rsidR="00FB1114" w:rsidRPr="00E347A9">
        <w:rPr>
          <w:noProof/>
          <w:lang w:val="fr-FR" w:eastAsia="es-BO"/>
        </w:rPr>
        <w:t>’</w:t>
      </w:r>
      <w:r w:rsidRPr="00E347A9">
        <w:rPr>
          <w:noProof/>
          <w:lang w:val="fr-FR" w:eastAsia="es-BO"/>
        </w:rPr>
        <w:t>accès aux services de santé ainsi qu</w:t>
      </w:r>
      <w:r w:rsidR="00FB1114" w:rsidRPr="00E347A9">
        <w:rPr>
          <w:noProof/>
          <w:lang w:val="fr-FR" w:eastAsia="es-BO"/>
        </w:rPr>
        <w:t>’</w:t>
      </w:r>
      <w:r w:rsidRPr="00E347A9">
        <w:rPr>
          <w:noProof/>
          <w:lang w:val="fr-FR" w:eastAsia="es-BO"/>
        </w:rPr>
        <w:t>à un traitement et à une protection. Dans cette perspective, il a élaboré le Modèle de prise en charge globale des victimes de violences sexuelles</w:t>
      </w:r>
      <w:r w:rsidRPr="00E347A9">
        <w:rPr>
          <w:noProof/>
          <w:vertAlign w:val="superscript"/>
          <w:lang w:val="fr-FR" w:eastAsia="es-BO"/>
        </w:rPr>
        <w:footnoteReference w:id="61"/>
      </w:r>
      <w:r w:rsidRPr="00E347A9">
        <w:rPr>
          <w:noProof/>
          <w:lang w:val="fr-FR" w:eastAsia="es-BO"/>
        </w:rPr>
        <w:t>, qui porte sur une prise en charge préventive et curative globale des victimes de violences sexuelles, et vise à ce que le service de santé soit axé sur la prévention, le repérage</w:t>
      </w:r>
      <w:r w:rsidRPr="00173FFB">
        <w:rPr>
          <w:noProof/>
          <w:lang w:val="fr-FR" w:eastAsia="es-BO"/>
        </w:rPr>
        <w:t>, le diagnostic et le traitement des violences sexuelles de sorte que ces violences deviennent un problème de santé publique, et à ce que tous les services soient prêts à fournir les meilleurs soins possibles conformément à leur capacité d</w:t>
      </w:r>
      <w:r w:rsidR="00FB1114">
        <w:rPr>
          <w:noProof/>
          <w:lang w:val="fr-FR" w:eastAsia="es-BO"/>
        </w:rPr>
        <w:t>’</w:t>
      </w:r>
      <w:r w:rsidRPr="00173FFB">
        <w:rPr>
          <w:noProof/>
          <w:lang w:val="fr-FR" w:eastAsia="es-BO"/>
        </w:rPr>
        <w:t>apporter des solutions (annexe</w:t>
      </w:r>
      <w:r w:rsidR="00173FFB">
        <w:rPr>
          <w:noProof/>
          <w:lang w:val="fr-FR" w:eastAsia="es-BO"/>
        </w:rPr>
        <w:t> </w:t>
      </w:r>
      <w:r w:rsidRPr="00173FFB">
        <w:rPr>
          <w:noProof/>
          <w:lang w:val="fr-FR" w:eastAsia="es-BO"/>
        </w:rPr>
        <w:t>42).</w:t>
      </w:r>
    </w:p>
    <w:p w:rsidR="00614A7E" w:rsidRPr="00173FFB" w:rsidRDefault="00173FFB" w:rsidP="00173FFB">
      <w:pPr>
        <w:pStyle w:val="H23G"/>
      </w:pPr>
      <w:r>
        <w:rPr>
          <w:noProof/>
          <w:lang w:val="fr-FR" w:eastAsia="es-BO"/>
        </w:rPr>
        <w:tab/>
      </w:r>
      <w:r>
        <w:rPr>
          <w:noProof/>
          <w:lang w:val="fr-FR" w:eastAsia="es-BO"/>
        </w:rPr>
        <w:tab/>
      </w:r>
      <w:r w:rsidR="00614A7E" w:rsidRPr="00DF456A">
        <w:rPr>
          <w:noProof/>
          <w:lang w:val="fr-FR" w:eastAsia="es-BO"/>
        </w:rPr>
        <w:t>Recom</w:t>
      </w:r>
      <w:r w:rsidR="00614A7E">
        <w:rPr>
          <w:noProof/>
          <w:lang w:val="fr-FR" w:eastAsia="es-BO"/>
        </w:rPr>
        <w:t>mandation figurant au paragraphe</w:t>
      </w:r>
      <w:r>
        <w:rPr>
          <w:noProof/>
          <w:lang w:val="fr-FR" w:eastAsia="es-BO"/>
        </w:rPr>
        <w:t> </w:t>
      </w:r>
      <w:r w:rsidR="00614A7E" w:rsidRPr="00DF456A">
        <w:rPr>
          <w:noProof/>
          <w:lang w:val="fr-FR" w:eastAsia="es-BO"/>
        </w:rPr>
        <w:t>15.d</w:t>
      </w:r>
    </w:p>
    <w:p w:rsidR="00614A7E" w:rsidRPr="009B7927" w:rsidRDefault="00614A7E" w:rsidP="00614A7E">
      <w:pPr>
        <w:pStyle w:val="SingleTxtG"/>
        <w:rPr>
          <w:noProof/>
          <w:lang w:val="fr-FR" w:eastAsia="es-BO"/>
        </w:rPr>
      </w:pPr>
      <w:r w:rsidRPr="00DF456A">
        <w:rPr>
          <w:noProof/>
          <w:lang w:val="fr-FR" w:eastAsia="es-BO"/>
        </w:rPr>
        <w:t>129.</w:t>
      </w:r>
      <w:r w:rsidRPr="00DF456A">
        <w:rPr>
          <w:noProof/>
          <w:lang w:val="fr-FR" w:eastAsia="es-BO"/>
        </w:rPr>
        <w:tab/>
      </w:r>
      <w:r>
        <w:rPr>
          <w:noProof/>
          <w:lang w:val="fr-FR" w:eastAsia="es-BO"/>
        </w:rPr>
        <w:t>A</w:t>
      </w:r>
      <w:r w:rsidRPr="00DF456A">
        <w:rPr>
          <w:noProof/>
          <w:lang w:val="fr-FR" w:eastAsia="es-BO"/>
        </w:rPr>
        <w:t xml:space="preserve">fin de </w:t>
      </w:r>
      <w:r>
        <w:rPr>
          <w:noProof/>
          <w:lang w:val="fr-FR" w:eastAsia="es-BO"/>
        </w:rPr>
        <w:t xml:space="preserve">régler le problème de la lenteur de la justice et des retards de la procédure et respecter les délais fixés par la loi </w:t>
      </w:r>
      <w:r w:rsidR="00FE74D3" w:rsidRPr="00857F6E">
        <w:rPr>
          <w:rFonts w:eastAsia="MS Mincho"/>
          <w:noProof/>
          <w:szCs w:val="22"/>
          <w:lang w:val="fr-FR"/>
        </w:rPr>
        <w:t>n</w:t>
      </w:r>
      <w:r w:rsidR="00FE74D3" w:rsidRPr="00857F6E">
        <w:rPr>
          <w:rFonts w:eastAsia="MS Mincho"/>
          <w:noProof/>
          <w:szCs w:val="22"/>
          <w:vertAlign w:val="superscript"/>
          <w:lang w:val="fr-FR"/>
        </w:rPr>
        <w:t>o</w:t>
      </w:r>
      <w:r w:rsidR="00FE74D3">
        <w:rPr>
          <w:noProof/>
          <w:lang w:val="fr-FR"/>
        </w:rPr>
        <w:t> </w:t>
      </w:r>
      <w:r w:rsidRPr="00DF456A">
        <w:rPr>
          <w:noProof/>
          <w:lang w:val="fr-FR" w:eastAsia="es-BO"/>
        </w:rPr>
        <w:t xml:space="preserve">348, </w:t>
      </w:r>
      <w:r>
        <w:rPr>
          <w:noProof/>
          <w:lang w:val="fr-FR" w:eastAsia="es-BO"/>
        </w:rPr>
        <w:t xml:space="preserve">le Conseil de la magistrature a, en </w:t>
      </w:r>
      <w:r w:rsidRPr="00DF456A">
        <w:rPr>
          <w:noProof/>
          <w:lang w:val="fr-FR" w:eastAsia="es-BO"/>
        </w:rPr>
        <w:t xml:space="preserve">2013, </w:t>
      </w:r>
      <w:r>
        <w:rPr>
          <w:noProof/>
          <w:lang w:val="fr-FR" w:eastAsia="es-BO"/>
        </w:rPr>
        <w:t>créé six</w:t>
      </w:r>
      <w:r w:rsidR="009B7927">
        <w:rPr>
          <w:noProof/>
          <w:lang w:val="fr-FR" w:eastAsia="es-BO"/>
        </w:rPr>
        <w:t> </w:t>
      </w:r>
      <w:r>
        <w:rPr>
          <w:noProof/>
          <w:lang w:val="fr-FR" w:eastAsia="es-BO"/>
        </w:rPr>
        <w:t>chambres d</w:t>
      </w:r>
      <w:r w:rsidR="00FB1114">
        <w:rPr>
          <w:noProof/>
          <w:lang w:val="fr-FR" w:eastAsia="es-BO"/>
        </w:rPr>
        <w:t>’</w:t>
      </w:r>
      <w:r>
        <w:rPr>
          <w:noProof/>
          <w:lang w:val="fr-FR" w:eastAsia="es-BO"/>
        </w:rPr>
        <w:t xml:space="preserve">instruction et un tribunal chargés des affaires de violences contre les femmes </w:t>
      </w:r>
      <w:r w:rsidRPr="00DF456A">
        <w:rPr>
          <w:noProof/>
          <w:lang w:val="fr-FR" w:eastAsia="es-BO"/>
        </w:rPr>
        <w:t>(</w:t>
      </w:r>
      <w:r>
        <w:rPr>
          <w:noProof/>
          <w:lang w:val="fr-FR" w:eastAsia="es-BO"/>
        </w:rPr>
        <w:t>annexe</w:t>
      </w:r>
      <w:r w:rsidR="00A80902">
        <w:rPr>
          <w:noProof/>
          <w:lang w:val="fr-FR" w:eastAsia="es-BO"/>
        </w:rPr>
        <w:t> </w:t>
      </w:r>
      <w:r w:rsidRPr="00DF456A">
        <w:rPr>
          <w:noProof/>
          <w:lang w:val="fr-FR" w:eastAsia="es-BO"/>
        </w:rPr>
        <w:t>43).</w:t>
      </w:r>
    </w:p>
    <w:p w:rsidR="00614A7E" w:rsidRPr="00275B19" w:rsidRDefault="00614A7E" w:rsidP="00614A7E">
      <w:pPr>
        <w:pStyle w:val="SingleTxtG"/>
        <w:rPr>
          <w:noProof/>
          <w:lang w:val="fr-FR" w:eastAsia="es-BO"/>
        </w:rPr>
      </w:pPr>
      <w:r w:rsidRPr="009B7927">
        <w:rPr>
          <w:noProof/>
          <w:lang w:val="fr-FR" w:eastAsia="es-BO"/>
        </w:rPr>
        <w:t>130.</w:t>
      </w:r>
      <w:r w:rsidRPr="009B7927">
        <w:rPr>
          <w:noProof/>
          <w:lang w:val="fr-FR" w:eastAsia="es-BO"/>
        </w:rPr>
        <w:tab/>
        <w:t>Par la suite, entre 2014 et 2016, dan</w:t>
      </w:r>
      <w:r>
        <w:rPr>
          <w:noProof/>
          <w:lang w:val="fr-FR" w:eastAsia="es-BO"/>
        </w:rPr>
        <w:t>s le cadre de la mise en application du Code de procédure civile, du Code du commerce et du Code de la famille, on a réorganisé les chambres d</w:t>
      </w:r>
      <w:r w:rsidR="00FB1114">
        <w:rPr>
          <w:noProof/>
          <w:lang w:val="fr-FR" w:eastAsia="es-BO"/>
        </w:rPr>
        <w:t>’</w:t>
      </w:r>
      <w:r>
        <w:rPr>
          <w:noProof/>
          <w:lang w:val="fr-FR" w:eastAsia="es-BO"/>
        </w:rPr>
        <w:t>instruction et les tribunaux au moyen d</w:t>
      </w:r>
      <w:r w:rsidR="00FB1114">
        <w:rPr>
          <w:noProof/>
          <w:lang w:val="fr-FR" w:eastAsia="es-BO"/>
        </w:rPr>
        <w:t>’</w:t>
      </w:r>
      <w:r>
        <w:rPr>
          <w:noProof/>
          <w:lang w:val="fr-FR" w:eastAsia="es-BO"/>
        </w:rPr>
        <w:t>une réattribution des compétences selon laquelle</w:t>
      </w:r>
      <w:r w:rsidRPr="00DF456A">
        <w:rPr>
          <w:noProof/>
          <w:lang w:val="fr-FR" w:eastAsia="es-BO"/>
        </w:rPr>
        <w:t xml:space="preserve">, </w:t>
      </w:r>
      <w:r>
        <w:rPr>
          <w:noProof/>
          <w:lang w:val="fr-FR" w:eastAsia="es-BO"/>
        </w:rPr>
        <w:t>étant donné la nécessité d</w:t>
      </w:r>
      <w:r w:rsidR="00FB1114">
        <w:rPr>
          <w:noProof/>
          <w:lang w:val="fr-FR" w:eastAsia="es-BO"/>
        </w:rPr>
        <w:t>’</w:t>
      </w:r>
      <w:r>
        <w:rPr>
          <w:noProof/>
          <w:lang w:val="fr-FR" w:eastAsia="es-BO"/>
        </w:rPr>
        <w:t>augmenter le nombre de chambres d</w:t>
      </w:r>
      <w:r w:rsidR="00FB1114">
        <w:rPr>
          <w:noProof/>
          <w:lang w:val="fr-FR" w:eastAsia="es-BO"/>
        </w:rPr>
        <w:t>’</w:t>
      </w:r>
      <w:r>
        <w:rPr>
          <w:noProof/>
          <w:lang w:val="fr-FR" w:eastAsia="es-BO"/>
        </w:rPr>
        <w:t>instruction, 10</w:t>
      </w:r>
      <w:r w:rsidR="00A80902">
        <w:rPr>
          <w:noProof/>
          <w:lang w:val="fr-FR" w:eastAsia="es-BO"/>
        </w:rPr>
        <w:t> </w:t>
      </w:r>
      <w:r>
        <w:rPr>
          <w:noProof/>
          <w:lang w:val="fr-FR" w:eastAsia="es-BO"/>
        </w:rPr>
        <w:t>chambres ont été réaffectées à l</w:t>
      </w:r>
      <w:r w:rsidR="00FB1114">
        <w:rPr>
          <w:noProof/>
          <w:lang w:val="fr-FR" w:eastAsia="es-BO"/>
        </w:rPr>
        <w:t>’</w:t>
      </w:r>
      <w:r>
        <w:rPr>
          <w:noProof/>
          <w:lang w:val="fr-FR" w:eastAsia="es-BO"/>
        </w:rPr>
        <w:t>examen d</w:t>
      </w:r>
      <w:r w:rsidR="00FB1114">
        <w:rPr>
          <w:noProof/>
          <w:lang w:val="fr-FR" w:eastAsia="es-BO"/>
        </w:rPr>
        <w:t>’</w:t>
      </w:r>
      <w:r>
        <w:rPr>
          <w:noProof/>
          <w:lang w:val="fr-FR" w:eastAsia="es-BO"/>
        </w:rPr>
        <w:t xml:space="preserve">affaires de violence contre les femmes au vu du nombre de plaintes déposées par celles-ci </w:t>
      </w:r>
      <w:r w:rsidRPr="00DF456A">
        <w:rPr>
          <w:noProof/>
          <w:lang w:val="fr-FR" w:eastAsia="es-BO"/>
        </w:rPr>
        <w:t>(</w:t>
      </w:r>
      <w:r>
        <w:rPr>
          <w:noProof/>
          <w:lang w:val="fr-FR" w:eastAsia="es-BO"/>
        </w:rPr>
        <w:t>annexe</w:t>
      </w:r>
      <w:r w:rsidR="002E7705">
        <w:rPr>
          <w:noProof/>
          <w:lang w:val="fr-FR" w:eastAsia="es-BO"/>
        </w:rPr>
        <w:t> </w:t>
      </w:r>
      <w:r w:rsidRPr="00DF456A">
        <w:rPr>
          <w:noProof/>
          <w:lang w:val="fr-FR" w:eastAsia="es-BO"/>
        </w:rPr>
        <w:t>44).</w:t>
      </w:r>
    </w:p>
    <w:p w:rsidR="00614A7E" w:rsidRPr="00275B19" w:rsidRDefault="00614A7E" w:rsidP="00614A7E">
      <w:pPr>
        <w:pStyle w:val="SingleTxtG"/>
        <w:rPr>
          <w:noProof/>
          <w:lang w:val="fr-FR" w:eastAsia="es-BO"/>
        </w:rPr>
      </w:pPr>
      <w:r w:rsidRPr="00DF456A">
        <w:rPr>
          <w:noProof/>
          <w:lang w:val="fr-FR" w:eastAsia="es-BO"/>
        </w:rPr>
        <w:t>131.</w:t>
      </w:r>
      <w:r w:rsidRPr="00DF456A">
        <w:rPr>
          <w:noProof/>
          <w:lang w:val="fr-FR" w:eastAsia="es-BO"/>
        </w:rPr>
        <w:tab/>
      </w:r>
      <w:r>
        <w:rPr>
          <w:noProof/>
          <w:lang w:val="fr-FR" w:eastAsia="es-BO"/>
        </w:rPr>
        <w:t xml:space="preserve">Ces </w:t>
      </w:r>
      <w:r w:rsidRPr="00DF456A">
        <w:rPr>
          <w:noProof/>
          <w:lang w:val="fr-FR" w:eastAsia="es-BO"/>
        </w:rPr>
        <w:t xml:space="preserve">10 </w:t>
      </w:r>
      <w:r>
        <w:rPr>
          <w:noProof/>
          <w:lang w:val="fr-FR" w:eastAsia="es-BO"/>
        </w:rPr>
        <w:t>chambres supplémentaires contribuent dans une large mesure à l</w:t>
      </w:r>
      <w:r w:rsidR="00FB1114">
        <w:rPr>
          <w:noProof/>
          <w:lang w:val="fr-FR" w:eastAsia="es-BO"/>
        </w:rPr>
        <w:t>’</w:t>
      </w:r>
      <w:r>
        <w:rPr>
          <w:noProof/>
          <w:lang w:val="fr-FR" w:eastAsia="es-BO"/>
        </w:rPr>
        <w:t>application de la loi susvisée</w:t>
      </w:r>
      <w:r w:rsidR="003E52B3">
        <w:rPr>
          <w:noProof/>
          <w:lang w:val="fr-FR" w:eastAsia="es-BO"/>
        </w:rPr>
        <w:t> </w:t>
      </w:r>
      <w:r w:rsidRPr="00DF456A">
        <w:rPr>
          <w:noProof/>
          <w:lang w:val="fr-FR" w:eastAsia="es-BO"/>
        </w:rPr>
        <w:t>; 17</w:t>
      </w:r>
      <w:r w:rsidR="00A80902">
        <w:rPr>
          <w:noProof/>
          <w:lang w:val="fr-FR" w:eastAsia="es-BO"/>
        </w:rPr>
        <w:t> </w:t>
      </w:r>
      <w:r>
        <w:rPr>
          <w:noProof/>
          <w:lang w:val="fr-FR" w:eastAsia="es-BO"/>
        </w:rPr>
        <w:t>chambres d</w:t>
      </w:r>
      <w:r w:rsidR="00FB1114">
        <w:rPr>
          <w:noProof/>
          <w:lang w:val="fr-FR" w:eastAsia="es-BO"/>
        </w:rPr>
        <w:t>’</w:t>
      </w:r>
      <w:r>
        <w:rPr>
          <w:noProof/>
          <w:lang w:val="fr-FR" w:eastAsia="es-BO"/>
        </w:rPr>
        <w:t xml:space="preserve">instruction et tribunaux ont </w:t>
      </w:r>
      <w:r w:rsidR="00901374">
        <w:rPr>
          <w:noProof/>
          <w:lang w:val="fr-FR" w:eastAsia="es-BO"/>
        </w:rPr>
        <w:t xml:space="preserve">donc </w:t>
      </w:r>
      <w:r>
        <w:rPr>
          <w:noProof/>
          <w:lang w:val="fr-FR" w:eastAsia="es-BO"/>
        </w:rPr>
        <w:t>compétence pour connaître d</w:t>
      </w:r>
      <w:r w:rsidR="00FB1114">
        <w:rPr>
          <w:noProof/>
          <w:lang w:val="fr-FR" w:eastAsia="es-BO"/>
        </w:rPr>
        <w:t>’</w:t>
      </w:r>
      <w:r>
        <w:rPr>
          <w:noProof/>
          <w:lang w:val="fr-FR" w:eastAsia="es-BO"/>
        </w:rPr>
        <w:t xml:space="preserve">affaires de violence contre les femmes uniquement dans les chefs-lieux de département </w:t>
      </w:r>
      <w:r w:rsidRPr="00DF456A">
        <w:rPr>
          <w:noProof/>
          <w:lang w:val="fr-FR" w:eastAsia="es-BO"/>
        </w:rPr>
        <w:t>(</w:t>
      </w:r>
      <w:r>
        <w:rPr>
          <w:noProof/>
          <w:lang w:val="fr-FR" w:eastAsia="es-BO"/>
        </w:rPr>
        <w:t>annexe</w:t>
      </w:r>
      <w:r w:rsidR="002E7705">
        <w:rPr>
          <w:noProof/>
          <w:lang w:val="fr-FR" w:eastAsia="es-BO"/>
        </w:rPr>
        <w:t> </w:t>
      </w:r>
      <w:r w:rsidRPr="00DF456A">
        <w:rPr>
          <w:noProof/>
          <w:lang w:val="fr-FR" w:eastAsia="es-BO"/>
        </w:rPr>
        <w:t>45).</w:t>
      </w:r>
    </w:p>
    <w:p w:rsidR="00614A7E" w:rsidRPr="00275B19" w:rsidRDefault="00614A7E" w:rsidP="00614A7E">
      <w:pPr>
        <w:pStyle w:val="SingleTxtG"/>
        <w:rPr>
          <w:noProof/>
          <w:lang w:val="fr-FR" w:eastAsia="es-BO"/>
        </w:rPr>
      </w:pPr>
      <w:r w:rsidRPr="00275B19">
        <w:rPr>
          <w:noProof/>
          <w:lang w:val="fr-FR" w:eastAsia="es-BO"/>
        </w:rPr>
        <w:t>132.</w:t>
      </w:r>
      <w:r w:rsidRPr="00275B19">
        <w:rPr>
          <w:noProof/>
          <w:lang w:val="fr-FR" w:eastAsia="es-BO"/>
        </w:rPr>
        <w:tab/>
        <w:t>Dans les provinces, toutes les chambres d</w:t>
      </w:r>
      <w:r w:rsidR="00FB1114" w:rsidRPr="00275B19">
        <w:rPr>
          <w:noProof/>
          <w:lang w:val="fr-FR" w:eastAsia="es-BO"/>
        </w:rPr>
        <w:t>’</w:t>
      </w:r>
      <w:r w:rsidRPr="00275B19">
        <w:rPr>
          <w:noProof/>
          <w:lang w:val="fr-FR" w:eastAsia="es-BO"/>
        </w:rPr>
        <w:t>instruction pénale et tous les tribunaux publics à compétences mixtes sont compétents pour connaître d</w:t>
      </w:r>
      <w:r w:rsidR="00FB1114" w:rsidRPr="00275B19">
        <w:rPr>
          <w:noProof/>
          <w:lang w:val="fr-FR" w:eastAsia="es-BO"/>
        </w:rPr>
        <w:t>’</w:t>
      </w:r>
      <w:r w:rsidRPr="00275B19">
        <w:rPr>
          <w:noProof/>
          <w:lang w:val="fr-FR" w:eastAsia="es-BO"/>
        </w:rPr>
        <w:t>affaires de violence contre les femmes.</w:t>
      </w:r>
    </w:p>
    <w:p w:rsidR="00614A7E" w:rsidRPr="00DF456A" w:rsidRDefault="00614A7E" w:rsidP="00614A7E">
      <w:pPr>
        <w:pStyle w:val="H23G"/>
        <w:ind w:firstLine="0"/>
        <w:rPr>
          <w:noProof/>
          <w:lang w:val="fr-FR" w:eastAsia="es-BO"/>
        </w:rPr>
      </w:pPr>
      <w:r w:rsidRPr="00DF456A">
        <w:rPr>
          <w:noProof/>
          <w:lang w:val="fr-FR" w:eastAsia="es-BO"/>
        </w:rPr>
        <w:lastRenderedPageBreak/>
        <w:t>Recom</w:t>
      </w:r>
      <w:r>
        <w:rPr>
          <w:noProof/>
          <w:lang w:val="fr-FR" w:eastAsia="es-BO"/>
        </w:rPr>
        <w:t xml:space="preserve">mandation figurant au paragraphe </w:t>
      </w:r>
      <w:r w:rsidRPr="00DF456A">
        <w:rPr>
          <w:noProof/>
          <w:lang w:val="fr-FR" w:eastAsia="es-BO"/>
        </w:rPr>
        <w:t>15.e</w:t>
      </w:r>
    </w:p>
    <w:p w:rsidR="00614A7E" w:rsidRPr="00275B19" w:rsidRDefault="00614A7E" w:rsidP="00614A7E">
      <w:pPr>
        <w:pStyle w:val="SingleTxtG"/>
        <w:rPr>
          <w:noProof/>
          <w:lang w:val="fr-FR" w:eastAsia="es-BO"/>
        </w:rPr>
      </w:pPr>
      <w:r w:rsidRPr="00DF456A">
        <w:rPr>
          <w:noProof/>
          <w:lang w:val="fr-FR" w:eastAsia="es-BO"/>
        </w:rPr>
        <w:t>133.</w:t>
      </w:r>
      <w:r w:rsidRPr="00DF456A">
        <w:rPr>
          <w:noProof/>
          <w:lang w:val="fr-FR" w:eastAsia="es-BO"/>
        </w:rPr>
        <w:tab/>
      </w:r>
      <w:r>
        <w:rPr>
          <w:noProof/>
          <w:lang w:val="fr-FR" w:eastAsia="es-BO"/>
        </w:rPr>
        <w:t>En matière de formation et de sensibilisation au problème de la violence fondée sur le genre, le Ministère de la justice et de la transparence institutionnelle a mené les activités suivantes</w:t>
      </w:r>
      <w:r w:rsidR="00475D71">
        <w:rPr>
          <w:noProof/>
          <w:lang w:val="fr-FR" w:eastAsia="es-BO"/>
        </w:rPr>
        <w:t> </w:t>
      </w:r>
      <w:r w:rsidRPr="00275B19">
        <w:rPr>
          <w:noProof/>
          <w:lang w:val="fr-FR" w:eastAsia="es-BO"/>
        </w:rPr>
        <w:t>:</w:t>
      </w:r>
    </w:p>
    <w:p w:rsidR="00614A7E" w:rsidRPr="00275B19" w:rsidRDefault="00614A7E" w:rsidP="00475D71">
      <w:pPr>
        <w:pStyle w:val="Bullet1G"/>
      </w:pPr>
      <w:r w:rsidRPr="00275B19">
        <w:rPr>
          <w:noProof/>
          <w:lang w:val="fr-FR"/>
        </w:rPr>
        <w:t xml:space="preserve">La présentation de la loi </w:t>
      </w:r>
      <w:r w:rsidR="0039350D" w:rsidRPr="00275B19">
        <w:rPr>
          <w:rFonts w:eastAsia="MS Mincho"/>
          <w:noProof/>
          <w:lang w:val="fr-FR"/>
        </w:rPr>
        <w:t>n</w:t>
      </w:r>
      <w:r w:rsidR="0039350D" w:rsidRPr="00275B19">
        <w:rPr>
          <w:rFonts w:eastAsia="MS Mincho"/>
          <w:noProof/>
          <w:vertAlign w:val="superscript"/>
          <w:lang w:val="fr-FR"/>
        </w:rPr>
        <w:t>o</w:t>
      </w:r>
      <w:r w:rsidR="0039350D" w:rsidRPr="00275B19">
        <w:rPr>
          <w:noProof/>
          <w:lang w:val="fr-FR"/>
        </w:rPr>
        <w:t> </w:t>
      </w:r>
      <w:r w:rsidRPr="00275B19">
        <w:rPr>
          <w:noProof/>
          <w:lang w:val="fr-FR"/>
        </w:rPr>
        <w:t xml:space="preserve">348 et de la loi </w:t>
      </w:r>
      <w:r w:rsidR="0039350D" w:rsidRPr="00275B19">
        <w:rPr>
          <w:rFonts w:eastAsia="MS Mincho"/>
          <w:noProof/>
          <w:lang w:val="fr-FR"/>
        </w:rPr>
        <w:t>n</w:t>
      </w:r>
      <w:r w:rsidR="0039350D" w:rsidRPr="00275B19">
        <w:rPr>
          <w:rFonts w:eastAsia="MS Mincho"/>
          <w:noProof/>
          <w:vertAlign w:val="superscript"/>
          <w:lang w:val="fr-FR"/>
        </w:rPr>
        <w:t>o</w:t>
      </w:r>
      <w:r w:rsidR="0039350D" w:rsidRPr="00275B19">
        <w:rPr>
          <w:noProof/>
          <w:lang w:val="fr-FR"/>
        </w:rPr>
        <w:t> </w:t>
      </w:r>
      <w:r w:rsidRPr="00275B19">
        <w:rPr>
          <w:noProof/>
          <w:lang w:val="fr-FR"/>
        </w:rPr>
        <w:t xml:space="preserve">243 sur la lutte contre le harcèlement et la violence </w:t>
      </w:r>
      <w:r w:rsidRPr="00275B19">
        <w:t>politique à l</w:t>
      </w:r>
      <w:r w:rsidR="00FB1114" w:rsidRPr="00275B19">
        <w:t>’</w:t>
      </w:r>
      <w:r w:rsidRPr="00275B19">
        <w:t>encontre des femmes dans différentes muni</w:t>
      </w:r>
      <w:r w:rsidR="0039350D" w:rsidRPr="00275B19">
        <w:t>ci</w:t>
      </w:r>
      <w:r w:rsidRPr="00275B19">
        <w:t>palités du pays (2017)</w:t>
      </w:r>
      <w:r w:rsidR="00475D71" w:rsidRPr="00275B19">
        <w:t> ;</w:t>
      </w:r>
    </w:p>
    <w:p w:rsidR="00614A7E" w:rsidRPr="00275B19" w:rsidRDefault="00614A7E" w:rsidP="00475D71">
      <w:pPr>
        <w:pStyle w:val="Bullet1G"/>
      </w:pPr>
      <w:r w:rsidRPr="00275B19">
        <w:t>La diffusion et l</w:t>
      </w:r>
      <w:r w:rsidR="00FB1114" w:rsidRPr="00275B19">
        <w:t>’</w:t>
      </w:r>
      <w:r w:rsidRPr="00275B19">
        <w:t>application des instruments du Système global plurinational visant à prévenir, combattre, sanctionner et éliminer la violence fondée sur le genre dans 30</w:t>
      </w:r>
      <w:r w:rsidR="0039350D" w:rsidRPr="00275B19">
        <w:t> </w:t>
      </w:r>
      <w:r w:rsidRPr="00275B19">
        <w:t>services juridiques municipaux, 61</w:t>
      </w:r>
      <w:r w:rsidR="0039350D" w:rsidRPr="00275B19">
        <w:t> </w:t>
      </w:r>
      <w:r w:rsidRPr="00275B19">
        <w:t xml:space="preserve">municipalités et </w:t>
      </w:r>
      <w:r w:rsidR="0072494E">
        <w:t>9</w:t>
      </w:r>
      <w:r w:rsidRPr="00275B19">
        <w:t xml:space="preserve"> gouvernorats (2017)</w:t>
      </w:r>
      <w:r w:rsidR="008E6D00">
        <w:t> </w:t>
      </w:r>
      <w:r w:rsidRPr="00275B19">
        <w:t>; et la présentation de ces instruments dans 45</w:t>
      </w:r>
      <w:r w:rsidR="0039350D" w:rsidRPr="00275B19">
        <w:t> </w:t>
      </w:r>
      <w:r w:rsidRPr="00275B19">
        <w:t>municipalités supplémentaires au niveau national, soit 106</w:t>
      </w:r>
      <w:r w:rsidR="0039350D" w:rsidRPr="00275B19">
        <w:t> </w:t>
      </w:r>
      <w:r w:rsidRPr="00275B19">
        <w:t>municipalités au total (2016)</w:t>
      </w:r>
      <w:r w:rsidR="00475D71" w:rsidRPr="00275B19">
        <w:t> ;</w:t>
      </w:r>
    </w:p>
    <w:p w:rsidR="00614A7E" w:rsidRPr="00275B19" w:rsidRDefault="00614A7E" w:rsidP="00475D71">
      <w:pPr>
        <w:pStyle w:val="Bullet1G"/>
        <w:rPr>
          <w:noProof/>
          <w:lang w:val="fr-FR"/>
        </w:rPr>
      </w:pPr>
      <w:r w:rsidRPr="00275B19">
        <w:t>La Foire « Bien vivre sans violence » dans le cadre de la célébration de la « Journée internationale pour l</w:t>
      </w:r>
      <w:r w:rsidR="00FB1114" w:rsidRPr="00275B19">
        <w:t>’</w:t>
      </w:r>
      <w:r w:rsidRPr="00275B19">
        <w:t>élimination de la violence à l</w:t>
      </w:r>
      <w:r w:rsidR="00FB1114" w:rsidRPr="00275B19">
        <w:t>’</w:t>
      </w:r>
      <w:r w:rsidRPr="00275B19">
        <w:t>égard des femmes », afin de promouvoir l</w:t>
      </w:r>
      <w:r w:rsidR="00FB1114" w:rsidRPr="00275B19">
        <w:t>’</w:t>
      </w:r>
      <w:r w:rsidRPr="00275B19">
        <w:t>élimination de toutes les formes de violence à l</w:t>
      </w:r>
      <w:r w:rsidR="00FB1114" w:rsidRPr="00275B19">
        <w:t>’</w:t>
      </w:r>
      <w:r w:rsidRPr="00275B19">
        <w:t>égard des femmes, avec la participation d</w:t>
      </w:r>
      <w:r w:rsidR="00FB1114" w:rsidRPr="00275B19">
        <w:t>’</w:t>
      </w:r>
      <w:r w:rsidRPr="00275B19">
        <w:t>organisations internationales et de la Commission interinstitutions</w:t>
      </w:r>
      <w:r w:rsidRPr="008E6D00">
        <w:rPr>
          <w:rStyle w:val="Appelnotedebasdep"/>
          <w:szCs w:val="18"/>
        </w:rPr>
        <w:footnoteReference w:id="62"/>
      </w:r>
      <w:r w:rsidRPr="00275B19">
        <w:t xml:space="preserve"> chargée</w:t>
      </w:r>
      <w:r w:rsidRPr="00275B19">
        <w:rPr>
          <w:noProof/>
          <w:lang w:val="fr-FR"/>
        </w:rPr>
        <w:t xml:space="preserve"> de mettre en œuvre la Politique publique globale visant à assurer une vie décente aux Boliviennes, commission créée par le décret suprême </w:t>
      </w:r>
      <w:r w:rsidR="0039350D" w:rsidRPr="00275B19">
        <w:rPr>
          <w:rFonts w:eastAsia="MS Mincho"/>
          <w:noProof/>
          <w:lang w:val="fr-FR"/>
        </w:rPr>
        <w:t>n</w:t>
      </w:r>
      <w:r w:rsidR="0039350D" w:rsidRPr="00275B19">
        <w:rPr>
          <w:rFonts w:eastAsia="MS Mincho"/>
          <w:noProof/>
          <w:vertAlign w:val="superscript"/>
          <w:lang w:val="fr-FR"/>
        </w:rPr>
        <w:t>o</w:t>
      </w:r>
      <w:r w:rsidR="0039350D" w:rsidRPr="00275B19">
        <w:rPr>
          <w:noProof/>
          <w:lang w:val="fr-FR"/>
        </w:rPr>
        <w:t> </w:t>
      </w:r>
      <w:r w:rsidRPr="00275B19">
        <w:rPr>
          <w:noProof/>
          <w:lang w:val="fr-FR"/>
        </w:rPr>
        <w:t>3106 du 8</w:t>
      </w:r>
      <w:r w:rsidR="0039350D" w:rsidRPr="00275B19">
        <w:rPr>
          <w:noProof/>
          <w:lang w:val="fr-FR"/>
        </w:rPr>
        <w:t> </w:t>
      </w:r>
      <w:r w:rsidRPr="00275B19">
        <w:rPr>
          <w:noProof/>
          <w:lang w:val="fr-FR"/>
        </w:rPr>
        <w:t>mars 2017.</w:t>
      </w:r>
    </w:p>
    <w:p w:rsidR="00614A7E" w:rsidRPr="00275B19" w:rsidRDefault="00614A7E" w:rsidP="00614A7E">
      <w:pPr>
        <w:pStyle w:val="SingleTxtG"/>
        <w:rPr>
          <w:noProof/>
          <w:lang w:val="fr-FR"/>
        </w:rPr>
      </w:pPr>
      <w:r w:rsidRPr="00275B19">
        <w:rPr>
          <w:noProof/>
          <w:lang w:val="fr-FR"/>
        </w:rPr>
        <w:t>134.</w:t>
      </w:r>
      <w:r w:rsidRPr="00275B19">
        <w:rPr>
          <w:noProof/>
          <w:lang w:val="fr-FR"/>
        </w:rPr>
        <w:tab/>
      </w:r>
      <w:r w:rsidRPr="00275B19">
        <w:rPr>
          <w:noProof/>
          <w:lang w:val="fr-FR" w:eastAsia="es-BO"/>
        </w:rPr>
        <w:t>L</w:t>
      </w:r>
      <w:r w:rsidR="00FB1114" w:rsidRPr="00275B19">
        <w:rPr>
          <w:noProof/>
          <w:lang w:val="fr-FR" w:eastAsia="es-BO"/>
        </w:rPr>
        <w:t>’</w:t>
      </w:r>
      <w:r w:rsidRPr="00275B19">
        <w:rPr>
          <w:noProof/>
          <w:lang w:val="fr-FR" w:eastAsia="es-BO"/>
        </w:rPr>
        <w:t>École nationale de la magistrature, institution universitaire de formation et de spécialisation des personnes qui se destinent à une carrière judiciaire et de formation complète des fonctionnaires judiciaires, a incorporé le thème « violence fondée sur le genre » comme élément central et transversal de son programme d</w:t>
      </w:r>
      <w:r w:rsidR="00FB1114" w:rsidRPr="00275B19">
        <w:rPr>
          <w:noProof/>
          <w:lang w:val="fr-FR" w:eastAsia="es-BO"/>
        </w:rPr>
        <w:t>’</w:t>
      </w:r>
      <w:r w:rsidRPr="00275B19">
        <w:rPr>
          <w:noProof/>
          <w:lang w:val="fr-FR" w:eastAsia="es-BO"/>
        </w:rPr>
        <w:t>études et a dispensé</w:t>
      </w:r>
      <w:r w:rsidR="00D954B8" w:rsidRPr="00275B19">
        <w:rPr>
          <w:noProof/>
          <w:lang w:val="fr-FR" w:eastAsia="es-BO"/>
        </w:rPr>
        <w:t> </w:t>
      </w:r>
      <w:r w:rsidRPr="00275B19">
        <w:rPr>
          <w:noProof/>
          <w:lang w:val="fr-FR"/>
        </w:rPr>
        <w:t>:</w:t>
      </w:r>
    </w:p>
    <w:p w:rsidR="00614A7E" w:rsidRPr="00275B19" w:rsidRDefault="00614A7E" w:rsidP="00691650">
      <w:pPr>
        <w:pStyle w:val="Bullet1G"/>
      </w:pPr>
      <w:r w:rsidRPr="00275B19">
        <w:rPr>
          <w:noProof/>
          <w:lang w:val="fr-FR"/>
        </w:rPr>
        <w:t xml:space="preserve">Deux cours </w:t>
      </w:r>
      <w:r w:rsidRPr="00275B19">
        <w:t>virtuels de formation sur le thème « Violence fondée sur le genre et son traitement judiciaire » aux juges et magistrats de l</w:t>
      </w:r>
      <w:r w:rsidR="00FB1114" w:rsidRPr="00275B19">
        <w:t>’</w:t>
      </w:r>
      <w:r w:rsidRPr="00275B19">
        <w:t>appareil judiciaire</w:t>
      </w:r>
      <w:r w:rsidR="00D954B8" w:rsidRPr="00275B19">
        <w:t> ;</w:t>
      </w:r>
    </w:p>
    <w:p w:rsidR="00614A7E" w:rsidRPr="00275B19" w:rsidRDefault="00614A7E" w:rsidP="00691650">
      <w:pPr>
        <w:pStyle w:val="Bullet1G"/>
      </w:pPr>
      <w:r w:rsidRPr="00275B19">
        <w:t>Un cours de spécialisation en semi-présentiel intitulé « Violence contre les femmes fondée sur le genre » aux fonctionnaires du Service plurinational de défense publique</w:t>
      </w:r>
      <w:r w:rsidR="00D954B8" w:rsidRPr="00275B19">
        <w:t> ;</w:t>
      </w:r>
    </w:p>
    <w:p w:rsidR="00614A7E" w:rsidRPr="00275B19" w:rsidRDefault="00614A7E" w:rsidP="00691650">
      <w:pPr>
        <w:pStyle w:val="Bullet1G"/>
      </w:pPr>
      <w:r w:rsidRPr="00275B19">
        <w:t>Un cours virtuel intitulé «</w:t>
      </w:r>
      <w:r w:rsidR="00593789" w:rsidRPr="00275B19">
        <w:t xml:space="preserve"> </w:t>
      </w:r>
      <w:r w:rsidRPr="00275B19">
        <w:t>Loi générale visant à garantir aux femmes une vie à l</w:t>
      </w:r>
      <w:r w:rsidR="00FB1114" w:rsidRPr="00275B19">
        <w:t>’</w:t>
      </w:r>
      <w:r w:rsidRPr="00275B19">
        <w:t>abri de la violence » aux fonctionnaires de l</w:t>
      </w:r>
      <w:r w:rsidR="00FB1114" w:rsidRPr="00275B19">
        <w:t>’</w:t>
      </w:r>
      <w:r w:rsidRPr="00275B19">
        <w:t>appareil judiciaire</w:t>
      </w:r>
      <w:r w:rsidR="00D954B8" w:rsidRPr="00275B19">
        <w:t> ;</w:t>
      </w:r>
    </w:p>
    <w:p w:rsidR="00614A7E" w:rsidRPr="00275B19" w:rsidRDefault="00614A7E" w:rsidP="00691650">
      <w:pPr>
        <w:pStyle w:val="Bullet1G"/>
      </w:pPr>
      <w:r w:rsidRPr="00275B19">
        <w:t>Un cours en semi-présentiel intitulé « Comment et pourquoi juger en tenant compte des questions de genre ? » aux fonctionnaires de l</w:t>
      </w:r>
      <w:r w:rsidR="00FB1114" w:rsidRPr="00275B19">
        <w:t>’</w:t>
      </w:r>
      <w:r w:rsidRPr="00275B19">
        <w:t>appareil judiciaire</w:t>
      </w:r>
      <w:r w:rsidR="00D954B8" w:rsidRPr="00275B19">
        <w:t> ;</w:t>
      </w:r>
    </w:p>
    <w:p w:rsidR="00614A7E" w:rsidRPr="008E6D00" w:rsidRDefault="00614A7E" w:rsidP="00691650">
      <w:pPr>
        <w:pStyle w:val="Bullet1G"/>
        <w:rPr>
          <w:noProof/>
          <w:lang w:val="fr-FR"/>
        </w:rPr>
      </w:pPr>
      <w:r w:rsidRPr="00275B19">
        <w:t xml:space="preserve">Le </w:t>
      </w:r>
      <w:r w:rsidR="00701C03" w:rsidRPr="00275B19">
        <w:t>p</w:t>
      </w:r>
      <w:r w:rsidRPr="00275B19">
        <w:t>remier cours de formation et de spécialisation en droit commun (</w:t>
      </w:r>
      <w:r w:rsidRPr="00901374">
        <w:rPr>
          <w:i/>
        </w:rPr>
        <w:t>Primer Curso de Formación y Especialización Judicial en el Área Ordinaria</w:t>
      </w:r>
      <w:r w:rsidRPr="00275B19">
        <w:t>), avec le concours du Haut-Commissariat des Nations Unies aux droits de l</w:t>
      </w:r>
      <w:r w:rsidR="00FB1114" w:rsidRPr="00275B19">
        <w:t>’</w:t>
      </w:r>
      <w:r w:rsidRPr="00275B19">
        <w:t>homme (HCDH). Ce cours a été suivi avec succès par 171</w:t>
      </w:r>
      <w:r w:rsidR="00275B19">
        <w:t> </w:t>
      </w:r>
      <w:r w:rsidRPr="00275B19">
        <w:t>personnes qui ont été affectées à des postes juridictionnels (entre 2015</w:t>
      </w:r>
      <w:r w:rsidRPr="00275B19">
        <w:rPr>
          <w:noProof/>
          <w:lang w:val="fr-FR"/>
        </w:rPr>
        <w:t xml:space="preserve"> et 2017). Le deuxième cours est dispensé depuis janvier </w:t>
      </w:r>
      <w:r w:rsidRPr="008E6D00">
        <w:rPr>
          <w:noProof/>
          <w:lang w:val="fr-FR"/>
        </w:rPr>
        <w:t>2018</w:t>
      </w:r>
      <w:r w:rsidR="00691650" w:rsidRPr="008E6D00">
        <w:rPr>
          <w:noProof/>
          <w:lang w:val="fr-FR"/>
        </w:rPr>
        <w:t> </w:t>
      </w:r>
      <w:r w:rsidRPr="008E6D00">
        <w:rPr>
          <w:noProof/>
          <w:lang w:val="fr-FR"/>
        </w:rPr>
        <w:t>; suivi par 150 personnes, il doit s</w:t>
      </w:r>
      <w:r w:rsidR="00FB1114" w:rsidRPr="008E6D00">
        <w:rPr>
          <w:noProof/>
          <w:lang w:val="fr-FR"/>
        </w:rPr>
        <w:t>’</w:t>
      </w:r>
      <w:r w:rsidRPr="008E6D00">
        <w:rPr>
          <w:noProof/>
          <w:lang w:val="fr-FR"/>
        </w:rPr>
        <w:t>achever en décembre 2019</w:t>
      </w:r>
      <w:r w:rsidR="00275B19" w:rsidRPr="008E6D00">
        <w:rPr>
          <w:noProof/>
          <w:lang w:val="fr-FR"/>
        </w:rPr>
        <w:t> ;</w:t>
      </w:r>
    </w:p>
    <w:p w:rsidR="00614A7E" w:rsidRPr="008E6D00" w:rsidRDefault="00614A7E" w:rsidP="00691650">
      <w:pPr>
        <w:pStyle w:val="Bullet1G"/>
      </w:pPr>
      <w:r w:rsidRPr="008E6D00">
        <w:rPr>
          <w:noProof/>
          <w:lang w:val="fr-FR"/>
        </w:rPr>
        <w:t>Première versi</w:t>
      </w:r>
      <w:r w:rsidR="00901374">
        <w:rPr>
          <w:noProof/>
          <w:lang w:val="fr-FR"/>
        </w:rPr>
        <w:t>o</w:t>
      </w:r>
      <w:r w:rsidRPr="008E6D00">
        <w:rPr>
          <w:noProof/>
          <w:lang w:val="fr-FR"/>
        </w:rPr>
        <w:t xml:space="preserve">n de la formation diplômante intitulée « Politiques et modalités de lutte contre la </w:t>
      </w:r>
      <w:r w:rsidRPr="008E6D00">
        <w:t>violence fondée sur le genre », aux personnes chargées d</w:t>
      </w:r>
      <w:r w:rsidR="00FB1114" w:rsidRPr="008E6D00">
        <w:t>’</w:t>
      </w:r>
      <w:r w:rsidRPr="008E6D00">
        <w:t>appliquer le protocole de prise en charge des victimes de la violence, en coordination avec l</w:t>
      </w:r>
      <w:r w:rsidR="00FB1114" w:rsidRPr="008E6D00">
        <w:t>’</w:t>
      </w:r>
      <w:r w:rsidRPr="008E6D00">
        <w:t>Université de la police</w:t>
      </w:r>
      <w:r w:rsidR="00691650" w:rsidRPr="008E6D00">
        <w:t> ;</w:t>
      </w:r>
    </w:p>
    <w:p w:rsidR="00614A7E" w:rsidRPr="008E6D00" w:rsidRDefault="00614A7E" w:rsidP="00691650">
      <w:pPr>
        <w:pStyle w:val="Bullet1G"/>
        <w:rPr>
          <w:noProof/>
          <w:lang w:val="fr-FR"/>
        </w:rPr>
      </w:pPr>
      <w:r w:rsidRPr="008E6D00">
        <w:t>En 2017, la deuxième version de la formation diplômante susvisée a été dispensée à 68 fonctionnaires, dont</w:t>
      </w:r>
      <w:r w:rsidRPr="008E6D00">
        <w:rPr>
          <w:noProof/>
          <w:lang w:val="fr-FR"/>
        </w:rPr>
        <w:t xml:space="preserve"> 49 ont obtenu le diplôme correspondant.</w:t>
      </w:r>
    </w:p>
    <w:p w:rsidR="00614A7E" w:rsidRPr="008E6D00" w:rsidRDefault="00614A7E" w:rsidP="00614A7E">
      <w:pPr>
        <w:pStyle w:val="SingleTxtG"/>
        <w:rPr>
          <w:noProof/>
          <w:lang w:val="fr-FR" w:eastAsia="es-BO"/>
        </w:rPr>
      </w:pPr>
      <w:r w:rsidRPr="008E6D00">
        <w:rPr>
          <w:noProof/>
          <w:lang w:val="fr-FR" w:eastAsia="es-BO"/>
        </w:rPr>
        <w:t>135.</w:t>
      </w:r>
      <w:r w:rsidRPr="008E6D00">
        <w:rPr>
          <w:noProof/>
          <w:lang w:val="fr-FR" w:eastAsia="es-BO"/>
        </w:rPr>
        <w:tab/>
      </w:r>
      <w:r w:rsidRPr="008E6D00">
        <w:rPr>
          <w:rFonts w:eastAsia="Calibri"/>
          <w:noProof/>
          <w:lang w:val="fr-FR" w:eastAsia="es-BO"/>
        </w:rPr>
        <w:t>Par ailleurs, le ministère public a organisé les activités suivantes</w:t>
      </w:r>
      <w:r w:rsidR="00921D18" w:rsidRPr="008E6D00">
        <w:rPr>
          <w:rFonts w:eastAsia="Calibri"/>
          <w:noProof/>
          <w:lang w:val="fr-FR" w:eastAsia="es-BO"/>
        </w:rPr>
        <w:t> </w:t>
      </w:r>
      <w:r w:rsidRPr="008E6D00">
        <w:rPr>
          <w:noProof/>
          <w:lang w:val="fr-FR" w:eastAsia="es-BO"/>
        </w:rPr>
        <w:t>:</w:t>
      </w:r>
    </w:p>
    <w:p w:rsidR="00614A7E" w:rsidRPr="008E6D00" w:rsidRDefault="00614A7E" w:rsidP="00D17E7B">
      <w:pPr>
        <w:pStyle w:val="Bullet1G"/>
      </w:pPr>
      <w:r w:rsidRPr="008E6D00">
        <w:rPr>
          <w:noProof/>
          <w:lang w:val="fr-FR"/>
        </w:rPr>
        <w:t xml:space="preserve">Projection du film </w:t>
      </w:r>
      <w:r w:rsidR="00921D18" w:rsidRPr="008E6D00">
        <w:rPr>
          <w:noProof/>
          <w:lang w:val="fr-FR"/>
        </w:rPr>
        <w:t>« </w:t>
      </w:r>
      <w:r w:rsidRPr="00E347A9">
        <w:rPr>
          <w:i/>
          <w:noProof/>
          <w:lang w:val="fr-FR"/>
        </w:rPr>
        <w:t>Te Doy Mis Ojos</w:t>
      </w:r>
      <w:r w:rsidR="00921D18" w:rsidRPr="008E6D00">
        <w:rPr>
          <w:noProof/>
          <w:lang w:val="fr-FR"/>
        </w:rPr>
        <w:t xml:space="preserve"> » </w:t>
      </w:r>
      <w:r w:rsidRPr="008E6D00">
        <w:rPr>
          <w:noProof/>
          <w:lang w:val="fr-FR"/>
        </w:rPr>
        <w:t>(Je te donne mes yeux), qui aborde le</w:t>
      </w:r>
      <w:r w:rsidR="00593789" w:rsidRPr="008E6D00">
        <w:rPr>
          <w:noProof/>
          <w:lang w:val="fr-FR"/>
        </w:rPr>
        <w:t xml:space="preserve"> </w:t>
      </w:r>
      <w:r w:rsidRPr="008E6D00">
        <w:rPr>
          <w:noProof/>
          <w:lang w:val="fr-FR"/>
        </w:rPr>
        <w:t xml:space="preserve">thème de la violence </w:t>
      </w:r>
      <w:r w:rsidRPr="008E6D00">
        <w:t>familiale contre la femme</w:t>
      </w:r>
      <w:r w:rsidR="00D17E7B" w:rsidRPr="008E6D00">
        <w:t> ;</w:t>
      </w:r>
    </w:p>
    <w:p w:rsidR="00614A7E" w:rsidRPr="00D17E7B" w:rsidRDefault="00614A7E" w:rsidP="00D17E7B">
      <w:pPr>
        <w:pStyle w:val="Bullet1G"/>
      </w:pPr>
      <w:r w:rsidRPr="00D17E7B">
        <w:lastRenderedPageBreak/>
        <w:t>Programme de formation « Emploi d</w:t>
      </w:r>
      <w:r w:rsidR="00FB1114">
        <w:t>’</w:t>
      </w:r>
      <w:r w:rsidRPr="00D17E7B">
        <w:t>outils et de techniques dans les domaines de la psychologie et du travail social par le Service de protection des victimes et des témoins du ministère public », à l</w:t>
      </w:r>
      <w:r w:rsidR="00FB1114">
        <w:t>’</w:t>
      </w:r>
      <w:r w:rsidRPr="00D17E7B">
        <w:t>intention des fonctionnaires de cet organe, afin de leur apprendre à utiliser les outils et les techniques de protection et d</w:t>
      </w:r>
      <w:r w:rsidR="00FB1114">
        <w:t>’</w:t>
      </w:r>
      <w:r w:rsidRPr="00D17E7B">
        <w:t>accompagnement des victimes et des témoins, et de fournir à ces derniers une assistance rapide, efficace et chaleureuse</w:t>
      </w:r>
      <w:r w:rsidR="00D17E7B">
        <w:t> ;</w:t>
      </w:r>
    </w:p>
    <w:p w:rsidR="00614A7E" w:rsidRPr="00D17E7B" w:rsidRDefault="00614A7E" w:rsidP="00D17E7B">
      <w:pPr>
        <w:pStyle w:val="Bullet1G"/>
        <w:rPr>
          <w:bCs/>
          <w:noProof/>
          <w:lang w:val="fr-FR"/>
        </w:rPr>
      </w:pPr>
      <w:r w:rsidRPr="00D17E7B">
        <w:t xml:space="preserve">Présentation du Protocole de la feuille de route urgente interinstitutions pour la prise en charge et la protection des victimes et/ou témoins, dans le cadre de loi </w:t>
      </w:r>
      <w:r w:rsidR="00D17E7B" w:rsidRPr="00857F6E">
        <w:rPr>
          <w:rFonts w:eastAsia="MS Mincho"/>
          <w:noProof/>
          <w:szCs w:val="22"/>
          <w:lang w:val="fr-FR"/>
        </w:rPr>
        <w:t>n</w:t>
      </w:r>
      <w:r w:rsidR="00D17E7B" w:rsidRPr="00857F6E">
        <w:rPr>
          <w:rFonts w:eastAsia="MS Mincho"/>
          <w:noProof/>
          <w:szCs w:val="22"/>
          <w:vertAlign w:val="superscript"/>
          <w:lang w:val="fr-FR"/>
        </w:rPr>
        <w:t>o</w:t>
      </w:r>
      <w:r w:rsidR="00D17E7B">
        <w:rPr>
          <w:noProof/>
          <w:lang w:val="fr-FR"/>
        </w:rPr>
        <w:t> </w:t>
      </w:r>
      <w:r w:rsidRPr="00D17E7B">
        <w:t>348 au chef-lieu des neuf</w:t>
      </w:r>
      <w:r>
        <w:rPr>
          <w:noProof/>
          <w:lang w:val="fr-FR"/>
        </w:rPr>
        <w:t xml:space="preserve"> départe</w:t>
      </w:r>
      <w:r w:rsidRPr="00DF456A">
        <w:rPr>
          <w:noProof/>
          <w:lang w:val="fr-FR"/>
        </w:rPr>
        <w:t>ments</w:t>
      </w:r>
      <w:r>
        <w:rPr>
          <w:noProof/>
          <w:lang w:val="fr-FR"/>
        </w:rPr>
        <w:t xml:space="preserve">, ainsi que dans les villes de </w:t>
      </w:r>
      <w:r w:rsidRPr="00DF456A">
        <w:rPr>
          <w:noProof/>
          <w:lang w:val="fr-FR"/>
        </w:rPr>
        <w:t>El Alto</w:t>
      </w:r>
      <w:r>
        <w:rPr>
          <w:noProof/>
          <w:lang w:val="fr-FR"/>
        </w:rPr>
        <w:t xml:space="preserve"> et de</w:t>
      </w:r>
      <w:r w:rsidRPr="00DF456A">
        <w:rPr>
          <w:noProof/>
          <w:lang w:val="fr-FR"/>
        </w:rPr>
        <w:t xml:space="preserve"> Punata </w:t>
      </w:r>
      <w:r>
        <w:rPr>
          <w:noProof/>
          <w:lang w:val="fr-FR"/>
        </w:rPr>
        <w:t>(département de Cochabamba) et de</w:t>
      </w:r>
      <w:r w:rsidRPr="00DF456A">
        <w:rPr>
          <w:noProof/>
          <w:lang w:val="fr-FR"/>
        </w:rPr>
        <w:t xml:space="preserve"> Monteagudo </w:t>
      </w:r>
      <w:r>
        <w:rPr>
          <w:noProof/>
          <w:lang w:val="fr-FR"/>
        </w:rPr>
        <w:t xml:space="preserve">(département de </w:t>
      </w:r>
      <w:r w:rsidRPr="00DF456A">
        <w:rPr>
          <w:noProof/>
          <w:lang w:val="fr-FR"/>
        </w:rPr>
        <w:t>Chuquisaca</w:t>
      </w:r>
      <w:r>
        <w:rPr>
          <w:noProof/>
          <w:lang w:val="fr-FR"/>
        </w:rPr>
        <w:t>)</w:t>
      </w:r>
      <w:r w:rsidRPr="00DF456A">
        <w:rPr>
          <w:noProof/>
          <w:lang w:val="fr-FR"/>
        </w:rPr>
        <w:t>.</w:t>
      </w:r>
    </w:p>
    <w:p w:rsidR="00614A7E" w:rsidRPr="00600D92" w:rsidRDefault="00614A7E" w:rsidP="00614A7E">
      <w:pPr>
        <w:pStyle w:val="SingleTxtG"/>
        <w:rPr>
          <w:noProof/>
          <w:lang w:val="fr-FR" w:eastAsia="es-BO"/>
        </w:rPr>
      </w:pPr>
      <w:r w:rsidRPr="00DF456A">
        <w:rPr>
          <w:noProof/>
          <w:lang w:val="fr-FR" w:eastAsia="es-BO"/>
        </w:rPr>
        <w:t>136.</w:t>
      </w:r>
      <w:r w:rsidRPr="00DF456A">
        <w:rPr>
          <w:noProof/>
          <w:lang w:val="fr-FR" w:eastAsia="es-BO"/>
        </w:rPr>
        <w:tab/>
      </w:r>
      <w:r>
        <w:rPr>
          <w:rFonts w:eastAsia="Calibri"/>
          <w:noProof/>
          <w:lang w:val="fr-FR" w:eastAsia="es-BO"/>
        </w:rPr>
        <w:t>De même</w:t>
      </w:r>
      <w:r w:rsidRPr="00DF456A">
        <w:rPr>
          <w:rFonts w:eastAsia="Calibri"/>
          <w:noProof/>
          <w:lang w:val="fr-FR" w:eastAsia="es-BO"/>
        </w:rPr>
        <w:t xml:space="preserve">, </w:t>
      </w:r>
      <w:r>
        <w:rPr>
          <w:rFonts w:eastAsia="Calibri"/>
          <w:noProof/>
          <w:lang w:val="fr-FR" w:eastAsia="es-BO"/>
        </w:rPr>
        <w:t>l</w:t>
      </w:r>
      <w:r w:rsidR="00FB1114">
        <w:rPr>
          <w:rFonts w:eastAsia="Calibri"/>
          <w:noProof/>
          <w:lang w:val="fr-FR" w:eastAsia="es-BO"/>
        </w:rPr>
        <w:t>’</w:t>
      </w:r>
      <w:r>
        <w:rPr>
          <w:rFonts w:eastAsia="Calibri"/>
          <w:noProof/>
          <w:lang w:val="fr-FR" w:eastAsia="es-BO"/>
        </w:rPr>
        <w:t xml:space="preserve">École nationale des procureurs </w:t>
      </w:r>
      <w:r w:rsidRPr="00DF456A">
        <w:rPr>
          <w:rFonts w:eastAsia="Calibri"/>
          <w:noProof/>
          <w:lang w:val="fr-FR" w:eastAsia="es-BO"/>
        </w:rPr>
        <w:t xml:space="preserve">(EFE), </w:t>
      </w:r>
      <w:r>
        <w:rPr>
          <w:rFonts w:eastAsia="Calibri"/>
          <w:noProof/>
          <w:lang w:val="fr-FR" w:eastAsia="es-BO"/>
        </w:rPr>
        <w:t xml:space="preserve">chargée de </w:t>
      </w:r>
      <w:r w:rsidRPr="00A91889">
        <w:rPr>
          <w:rFonts w:eastAsia="Calibri"/>
          <w:noProof/>
          <w:lang w:val="fr-FR" w:eastAsia="es-BO"/>
        </w:rPr>
        <w:t>l</w:t>
      </w:r>
      <w:r w:rsidRPr="00A91889">
        <w:rPr>
          <w:noProof/>
          <w:lang w:val="fr-FR"/>
        </w:rPr>
        <w:t>a formation et de la remise à niveau</w:t>
      </w:r>
      <w:r w:rsidRPr="00B5117C">
        <w:rPr>
          <w:lang w:val="fr-FR"/>
        </w:rPr>
        <w:t xml:space="preserve"> </w:t>
      </w:r>
      <w:r w:rsidRPr="00DF456A">
        <w:rPr>
          <w:rFonts w:eastAsia="Calibri"/>
          <w:noProof/>
          <w:lang w:val="fr-FR" w:eastAsia="es-BO"/>
        </w:rPr>
        <w:t>de</w:t>
      </w:r>
      <w:r>
        <w:rPr>
          <w:rFonts w:eastAsia="Calibri"/>
          <w:noProof/>
          <w:lang w:val="fr-FR" w:eastAsia="es-BO"/>
        </w:rPr>
        <w:t>s fonctionnaires du ministère public</w:t>
      </w:r>
      <w:r w:rsidRPr="00DF456A">
        <w:rPr>
          <w:rFonts w:eastAsia="Calibri"/>
          <w:noProof/>
          <w:lang w:val="fr-FR" w:eastAsia="es-BO"/>
        </w:rPr>
        <w:t xml:space="preserve">, </w:t>
      </w:r>
      <w:r>
        <w:rPr>
          <w:rFonts w:eastAsia="Calibri"/>
          <w:noProof/>
          <w:lang w:val="fr-FR" w:eastAsia="es-BO"/>
        </w:rPr>
        <w:t xml:space="preserve">a dispensé des cours de remise à niveau aux procureurs et aux fonctionnaires subalternes qui ont un contact direct avec les </w:t>
      </w:r>
      <w:r w:rsidRPr="00600D92">
        <w:rPr>
          <w:rFonts w:eastAsia="Calibri"/>
          <w:noProof/>
          <w:lang w:val="fr-FR" w:eastAsia="es-BO"/>
        </w:rPr>
        <w:t>victimes, à savoir</w:t>
      </w:r>
      <w:r w:rsidR="00D17E7B" w:rsidRPr="00600D92">
        <w:rPr>
          <w:rFonts w:eastAsia="Calibri"/>
          <w:noProof/>
          <w:lang w:val="fr-FR" w:eastAsia="es-BO"/>
        </w:rPr>
        <w:t> </w:t>
      </w:r>
      <w:r w:rsidRPr="00600D92">
        <w:rPr>
          <w:rFonts w:eastAsia="Calibri"/>
          <w:noProof/>
          <w:lang w:val="fr-FR" w:eastAsia="es-BO"/>
        </w:rPr>
        <w:t>:</w:t>
      </w:r>
    </w:p>
    <w:p w:rsidR="00614A7E" w:rsidRPr="00600D92" w:rsidRDefault="00614A7E" w:rsidP="008A6C06">
      <w:pPr>
        <w:pStyle w:val="Bullet1G"/>
        <w:rPr>
          <w:rFonts w:eastAsia="Calibri"/>
          <w:noProof/>
          <w:lang w:val="fr-FR"/>
        </w:rPr>
      </w:pPr>
      <w:r w:rsidRPr="00600D92">
        <w:rPr>
          <w:rFonts w:eastAsia="Calibri"/>
          <w:noProof/>
          <w:lang w:val="fr-FR"/>
        </w:rPr>
        <w:t>Programme national de formation spécialisée à l</w:t>
      </w:r>
      <w:r w:rsidR="00FB1114" w:rsidRPr="00600D92">
        <w:rPr>
          <w:rFonts w:eastAsia="Calibri"/>
          <w:noProof/>
          <w:lang w:val="fr-FR"/>
        </w:rPr>
        <w:t>’</w:t>
      </w:r>
      <w:r w:rsidRPr="00600D92">
        <w:rPr>
          <w:rFonts w:eastAsia="Calibri"/>
          <w:noProof/>
          <w:lang w:val="fr-FR"/>
        </w:rPr>
        <w:t>exercice de l</w:t>
      </w:r>
      <w:r w:rsidR="00FB1114" w:rsidRPr="00600D92">
        <w:rPr>
          <w:rFonts w:eastAsia="Calibri"/>
          <w:noProof/>
          <w:lang w:val="fr-FR"/>
        </w:rPr>
        <w:t>’</w:t>
      </w:r>
      <w:r w:rsidRPr="00600D92">
        <w:rPr>
          <w:rFonts w:eastAsia="Calibri"/>
          <w:noProof/>
          <w:lang w:val="fr-FR"/>
        </w:rPr>
        <w:t xml:space="preserve">action publique dans une démarche tenant compte des questions de genre, en application de la loi </w:t>
      </w:r>
      <w:r w:rsidR="008A6C06" w:rsidRPr="00600D92">
        <w:rPr>
          <w:rFonts w:eastAsia="MS Mincho"/>
          <w:noProof/>
          <w:szCs w:val="22"/>
          <w:lang w:val="fr-FR"/>
        </w:rPr>
        <w:t>n</w:t>
      </w:r>
      <w:r w:rsidR="008A6C06" w:rsidRPr="00600D92">
        <w:rPr>
          <w:rFonts w:eastAsia="MS Mincho"/>
          <w:noProof/>
          <w:szCs w:val="22"/>
          <w:vertAlign w:val="superscript"/>
          <w:lang w:val="fr-FR"/>
        </w:rPr>
        <w:t>o</w:t>
      </w:r>
      <w:r w:rsidR="008A6C06" w:rsidRPr="00600D92">
        <w:rPr>
          <w:noProof/>
          <w:lang w:val="fr-FR"/>
        </w:rPr>
        <w:t> </w:t>
      </w:r>
      <w:r w:rsidRPr="00600D92">
        <w:rPr>
          <w:rFonts w:eastAsia="Calibri"/>
          <w:noProof/>
          <w:lang w:val="fr-FR"/>
        </w:rPr>
        <w:t xml:space="preserve">348, pour renforcer les connaissances des agents des </w:t>
      </w:r>
      <w:r w:rsidRPr="00600D92">
        <w:rPr>
          <w:noProof/>
          <w:lang w:val="fr-FR" w:eastAsia="es-BO"/>
        </w:rPr>
        <w:t xml:space="preserve">Services de poursuite chargé des victimes nécessitant une attention prioritaire </w:t>
      </w:r>
      <w:r w:rsidRPr="00600D92">
        <w:rPr>
          <w:rFonts w:eastAsia="Calibri"/>
          <w:noProof/>
          <w:lang w:val="fr-FR"/>
        </w:rPr>
        <w:t>et des analystes, et mettre en valeur leurs capacités et aptitudes dans le cadre d</w:t>
      </w:r>
      <w:r w:rsidR="00FB1114" w:rsidRPr="00600D92">
        <w:rPr>
          <w:rFonts w:eastAsia="Calibri"/>
          <w:noProof/>
          <w:lang w:val="fr-FR"/>
        </w:rPr>
        <w:t>’</w:t>
      </w:r>
      <w:r w:rsidRPr="00600D92">
        <w:rPr>
          <w:rFonts w:eastAsia="Calibri"/>
          <w:noProof/>
          <w:lang w:val="fr-FR"/>
        </w:rPr>
        <w:t>une formation pratique, en mettant à leur disposition des contenus, outils et instruments qui leur seront utiles pour bien qualifier et instruire les faits de violence à l</w:t>
      </w:r>
      <w:r w:rsidR="00FB1114" w:rsidRPr="00600D92">
        <w:rPr>
          <w:rFonts w:eastAsia="Calibri"/>
          <w:noProof/>
          <w:lang w:val="fr-FR"/>
        </w:rPr>
        <w:t>’</w:t>
      </w:r>
      <w:r w:rsidRPr="00600D92">
        <w:rPr>
          <w:rFonts w:eastAsia="Calibri"/>
          <w:noProof/>
          <w:lang w:val="fr-FR"/>
        </w:rPr>
        <w:t>égard des femmes, principalement les féminicides</w:t>
      </w:r>
      <w:r w:rsidR="008A6C06" w:rsidRPr="00600D92">
        <w:rPr>
          <w:rFonts w:eastAsia="Calibri"/>
          <w:noProof/>
          <w:lang w:val="fr-FR"/>
        </w:rPr>
        <w:t> ;</w:t>
      </w:r>
    </w:p>
    <w:p w:rsidR="00614A7E" w:rsidRPr="00DF456A" w:rsidRDefault="00614A7E" w:rsidP="008A6C06">
      <w:pPr>
        <w:pStyle w:val="Bullet1G"/>
        <w:rPr>
          <w:rFonts w:eastAsia="Calibri"/>
          <w:noProof/>
          <w:lang w:val="fr-FR"/>
        </w:rPr>
      </w:pPr>
      <w:r w:rsidRPr="00600D92">
        <w:rPr>
          <w:rFonts w:eastAsia="Calibri"/>
          <w:noProof/>
          <w:lang w:val="fr-FR"/>
        </w:rPr>
        <w:t>Programme national de formation permanente et spécialisée aux dispositions de la loi</w:t>
      </w:r>
      <w:r w:rsidRPr="00600D92">
        <w:rPr>
          <w:noProof/>
          <w:lang w:val="fr-FR"/>
        </w:rPr>
        <w:t xml:space="preserve"> générale visant à garantir aux femmes une vie à l</w:t>
      </w:r>
      <w:r w:rsidR="00FB1114" w:rsidRPr="00600D92">
        <w:rPr>
          <w:noProof/>
          <w:lang w:val="fr-FR"/>
        </w:rPr>
        <w:t>’</w:t>
      </w:r>
      <w:r w:rsidRPr="00600D92">
        <w:rPr>
          <w:noProof/>
          <w:lang w:val="fr-FR"/>
        </w:rPr>
        <w:t xml:space="preserve">abri de la violence </w:t>
      </w:r>
      <w:r w:rsidR="008A6C06" w:rsidRPr="00600D92">
        <w:rPr>
          <w:rFonts w:eastAsia="MS Mincho"/>
          <w:noProof/>
          <w:szCs w:val="22"/>
          <w:lang w:val="fr-FR"/>
        </w:rPr>
        <w:t>n</w:t>
      </w:r>
      <w:r w:rsidR="008A6C06" w:rsidRPr="00600D92">
        <w:rPr>
          <w:rFonts w:eastAsia="MS Mincho"/>
          <w:noProof/>
          <w:szCs w:val="22"/>
          <w:vertAlign w:val="superscript"/>
          <w:lang w:val="fr-FR"/>
        </w:rPr>
        <w:t>o</w:t>
      </w:r>
      <w:r w:rsidR="008A6C06" w:rsidRPr="00600D92">
        <w:rPr>
          <w:noProof/>
          <w:lang w:val="fr-FR"/>
        </w:rPr>
        <w:t> </w:t>
      </w:r>
      <w:r w:rsidRPr="00600D92">
        <w:rPr>
          <w:noProof/>
          <w:lang w:val="fr-FR"/>
        </w:rPr>
        <w:t xml:space="preserve">348 et de la loi générale sur la traite et le trafic de personnes </w:t>
      </w:r>
      <w:r w:rsidR="008A6C06" w:rsidRPr="00600D92">
        <w:rPr>
          <w:rFonts w:eastAsia="MS Mincho"/>
          <w:noProof/>
          <w:szCs w:val="22"/>
          <w:lang w:val="fr-FR"/>
        </w:rPr>
        <w:t>n</w:t>
      </w:r>
      <w:r w:rsidR="008A6C06" w:rsidRPr="00600D92">
        <w:rPr>
          <w:rFonts w:eastAsia="MS Mincho"/>
          <w:noProof/>
          <w:szCs w:val="22"/>
          <w:vertAlign w:val="superscript"/>
          <w:lang w:val="fr-FR"/>
        </w:rPr>
        <w:t>o</w:t>
      </w:r>
      <w:r w:rsidR="008A6C06" w:rsidRPr="00600D92">
        <w:rPr>
          <w:noProof/>
          <w:lang w:val="fr-FR"/>
        </w:rPr>
        <w:t> </w:t>
      </w:r>
      <w:r w:rsidRPr="00600D92">
        <w:rPr>
          <w:noProof/>
          <w:lang w:val="fr-FR"/>
        </w:rPr>
        <w:t>263 à l</w:t>
      </w:r>
      <w:r w:rsidR="00FB1114" w:rsidRPr="00600D92">
        <w:rPr>
          <w:noProof/>
          <w:lang w:val="fr-FR"/>
        </w:rPr>
        <w:t>’</w:t>
      </w:r>
      <w:r w:rsidRPr="00600D92">
        <w:rPr>
          <w:noProof/>
          <w:lang w:val="fr-FR"/>
        </w:rPr>
        <w:t xml:space="preserve">intention des agents des </w:t>
      </w:r>
      <w:r w:rsidRPr="00600D92">
        <w:rPr>
          <w:noProof/>
          <w:lang w:val="fr-FR" w:eastAsia="es-BO"/>
        </w:rPr>
        <w:t>Services de poursuite chargés des victimes nécessitant une attention prioritaire à l</w:t>
      </w:r>
      <w:r w:rsidR="00FB1114" w:rsidRPr="00600D92">
        <w:rPr>
          <w:noProof/>
          <w:lang w:val="fr-FR" w:eastAsia="es-BO"/>
        </w:rPr>
        <w:t>’</w:t>
      </w:r>
      <w:r w:rsidRPr="00600D92">
        <w:rPr>
          <w:noProof/>
          <w:lang w:val="fr-FR" w:eastAsia="es-BO"/>
        </w:rPr>
        <w:t xml:space="preserve">échelon </w:t>
      </w:r>
      <w:r w:rsidRPr="00600D92">
        <w:rPr>
          <w:rFonts w:eastAsia="Calibri"/>
          <w:noProof/>
          <w:lang w:val="fr-FR"/>
        </w:rPr>
        <w:t>national, afin de développer leurs capacités et aptitudes en mettant à leur disposition des contenus, outils et instruments qui leur seront utiles pour bien qualifier et instruire les infractions visées dans</w:t>
      </w:r>
      <w:r>
        <w:rPr>
          <w:rFonts w:eastAsia="Calibri"/>
          <w:noProof/>
          <w:lang w:val="fr-FR"/>
        </w:rPr>
        <w:t xml:space="preserve"> la loi </w:t>
      </w:r>
      <w:r w:rsidR="008A6C06" w:rsidRPr="00857F6E">
        <w:rPr>
          <w:rFonts w:eastAsia="MS Mincho"/>
          <w:noProof/>
          <w:szCs w:val="22"/>
          <w:lang w:val="fr-FR"/>
        </w:rPr>
        <w:t>n</w:t>
      </w:r>
      <w:r w:rsidR="008A6C06" w:rsidRPr="00857F6E">
        <w:rPr>
          <w:rFonts w:eastAsia="MS Mincho"/>
          <w:noProof/>
          <w:szCs w:val="22"/>
          <w:vertAlign w:val="superscript"/>
          <w:lang w:val="fr-FR"/>
        </w:rPr>
        <w:t>o</w:t>
      </w:r>
      <w:r w:rsidR="008A6C06">
        <w:rPr>
          <w:noProof/>
          <w:lang w:val="fr-FR"/>
        </w:rPr>
        <w:t> </w:t>
      </w:r>
      <w:r>
        <w:rPr>
          <w:rFonts w:eastAsia="Calibri"/>
          <w:noProof/>
          <w:lang w:val="fr-FR"/>
        </w:rPr>
        <w:t xml:space="preserve">263 et la loi </w:t>
      </w:r>
      <w:r w:rsidR="008A6C06" w:rsidRPr="00857F6E">
        <w:rPr>
          <w:rFonts w:eastAsia="MS Mincho"/>
          <w:noProof/>
          <w:szCs w:val="22"/>
          <w:lang w:val="fr-FR"/>
        </w:rPr>
        <w:t>n</w:t>
      </w:r>
      <w:r w:rsidR="008A6C06" w:rsidRPr="00857F6E">
        <w:rPr>
          <w:rFonts w:eastAsia="MS Mincho"/>
          <w:noProof/>
          <w:szCs w:val="22"/>
          <w:vertAlign w:val="superscript"/>
          <w:lang w:val="fr-FR"/>
        </w:rPr>
        <w:t>o</w:t>
      </w:r>
      <w:r w:rsidR="008A6C06">
        <w:rPr>
          <w:noProof/>
          <w:lang w:val="fr-FR"/>
        </w:rPr>
        <w:t> </w:t>
      </w:r>
      <w:r>
        <w:rPr>
          <w:rFonts w:eastAsia="Calibri"/>
          <w:noProof/>
          <w:lang w:val="fr-FR"/>
        </w:rPr>
        <w:t>348, et d</w:t>
      </w:r>
      <w:r w:rsidR="00FB1114">
        <w:rPr>
          <w:rFonts w:eastAsia="Calibri"/>
          <w:noProof/>
          <w:lang w:val="fr-FR"/>
        </w:rPr>
        <w:t>’</w:t>
      </w:r>
      <w:r>
        <w:rPr>
          <w:rFonts w:eastAsia="Calibri"/>
          <w:noProof/>
          <w:lang w:val="fr-FR"/>
        </w:rPr>
        <w:t>apporter des éléments qui favorisent une prise en charge efficace et chaleureuse de ces victimes</w:t>
      </w:r>
      <w:r w:rsidRPr="00DF456A">
        <w:rPr>
          <w:rFonts w:eastAsia="Calibri"/>
          <w:noProof/>
          <w:lang w:val="fr-FR"/>
        </w:rPr>
        <w:t>.</w:t>
      </w:r>
    </w:p>
    <w:p w:rsidR="00614A7E" w:rsidRPr="00DF456A" w:rsidRDefault="00614A7E" w:rsidP="00614A7E">
      <w:pPr>
        <w:pStyle w:val="H23G"/>
        <w:rPr>
          <w:noProof/>
          <w:lang w:val="fr-FR" w:eastAsia="es-BO"/>
        </w:rPr>
      </w:pPr>
      <w:r w:rsidRPr="00DF456A">
        <w:rPr>
          <w:noProof/>
          <w:lang w:val="fr-FR" w:eastAsia="es-BO"/>
        </w:rPr>
        <w:tab/>
      </w:r>
      <w:r w:rsidRPr="00DF456A">
        <w:rPr>
          <w:noProof/>
          <w:lang w:val="fr-FR" w:eastAsia="es-BO"/>
        </w:rPr>
        <w:tab/>
      </w:r>
      <w:r>
        <w:rPr>
          <w:noProof/>
          <w:lang w:val="fr-FR" w:eastAsia="es-BO"/>
        </w:rPr>
        <w:t xml:space="preserve">Recommandation figurant au paragraphe </w:t>
      </w:r>
      <w:r w:rsidRPr="00DF456A">
        <w:rPr>
          <w:noProof/>
          <w:lang w:val="fr-FR" w:eastAsia="es-BO"/>
        </w:rPr>
        <w:t>15.f</w:t>
      </w:r>
    </w:p>
    <w:p w:rsidR="00614A7E" w:rsidRPr="005F0AF5" w:rsidRDefault="00614A7E" w:rsidP="00614A7E">
      <w:pPr>
        <w:pStyle w:val="SingleTxtG"/>
        <w:rPr>
          <w:noProof/>
          <w:lang w:val="fr-FR" w:eastAsia="es-BO"/>
        </w:rPr>
      </w:pPr>
      <w:r w:rsidRPr="00DF456A">
        <w:rPr>
          <w:noProof/>
          <w:lang w:val="fr-FR" w:eastAsia="es-BO"/>
        </w:rPr>
        <w:t>137.</w:t>
      </w:r>
      <w:r w:rsidRPr="00DF456A">
        <w:rPr>
          <w:noProof/>
          <w:lang w:val="fr-FR" w:eastAsia="es-BO"/>
        </w:rPr>
        <w:tab/>
        <w:t>E</w:t>
      </w:r>
      <w:r>
        <w:rPr>
          <w:noProof/>
          <w:lang w:val="fr-FR" w:eastAsia="es-BO"/>
        </w:rPr>
        <w:t>n</w:t>
      </w:r>
      <w:r w:rsidRPr="00DF456A">
        <w:rPr>
          <w:noProof/>
          <w:lang w:val="fr-FR" w:eastAsia="es-BO"/>
        </w:rPr>
        <w:t xml:space="preserve"> 2017, l</w:t>
      </w:r>
      <w:r>
        <w:rPr>
          <w:noProof/>
          <w:lang w:val="fr-FR" w:eastAsia="es-BO"/>
        </w:rPr>
        <w:t>e Bureau du Procureur général de l</w:t>
      </w:r>
      <w:r w:rsidR="00FB1114">
        <w:rPr>
          <w:noProof/>
          <w:lang w:val="fr-FR" w:eastAsia="es-BO"/>
        </w:rPr>
        <w:t>’</w:t>
      </w:r>
      <w:r>
        <w:rPr>
          <w:noProof/>
          <w:lang w:val="fr-FR" w:eastAsia="es-BO"/>
        </w:rPr>
        <w:t xml:space="preserve">État </w:t>
      </w:r>
      <w:r w:rsidRPr="00DF456A">
        <w:rPr>
          <w:noProof/>
          <w:lang w:val="fr-FR" w:eastAsia="es-BO"/>
        </w:rPr>
        <w:t xml:space="preserve">a </w:t>
      </w:r>
      <w:r>
        <w:rPr>
          <w:noProof/>
          <w:lang w:val="fr-FR" w:eastAsia="es-BO"/>
        </w:rPr>
        <w:t>en</w:t>
      </w:r>
      <w:r w:rsidRPr="00DF456A">
        <w:rPr>
          <w:noProof/>
          <w:lang w:val="fr-FR" w:eastAsia="es-BO"/>
        </w:rPr>
        <w:t>registr</w:t>
      </w:r>
      <w:r>
        <w:rPr>
          <w:noProof/>
          <w:lang w:val="fr-FR" w:eastAsia="es-BO"/>
        </w:rPr>
        <w:t>é</w:t>
      </w:r>
      <w:r w:rsidRPr="00DF456A">
        <w:rPr>
          <w:noProof/>
          <w:lang w:val="fr-FR" w:eastAsia="es-BO"/>
        </w:rPr>
        <w:t xml:space="preserve"> 36</w:t>
      </w:r>
      <w:r w:rsidR="005F0AF5">
        <w:rPr>
          <w:noProof/>
          <w:lang w:val="fr-FR" w:eastAsia="es-BO"/>
        </w:rPr>
        <w:t> </w:t>
      </w:r>
      <w:r w:rsidRPr="00DF456A">
        <w:rPr>
          <w:noProof/>
          <w:lang w:val="fr-FR" w:eastAsia="es-BO"/>
        </w:rPr>
        <w:t>882</w:t>
      </w:r>
      <w:r w:rsidR="005F0AF5">
        <w:rPr>
          <w:noProof/>
          <w:lang w:val="fr-FR" w:eastAsia="es-BO"/>
        </w:rPr>
        <w:t> </w:t>
      </w:r>
      <w:r w:rsidRPr="00DF456A">
        <w:rPr>
          <w:noProof/>
          <w:lang w:val="fr-FR" w:eastAsia="es-BO"/>
        </w:rPr>
        <w:t>cas</w:t>
      </w:r>
      <w:r>
        <w:rPr>
          <w:noProof/>
          <w:lang w:val="fr-FR" w:eastAsia="es-BO"/>
        </w:rPr>
        <w:t xml:space="preserve"> de violences contre la femme et d</w:t>
      </w:r>
      <w:r w:rsidR="00FB1114">
        <w:rPr>
          <w:noProof/>
          <w:lang w:val="fr-FR" w:eastAsia="es-BO"/>
        </w:rPr>
        <w:t>’</w:t>
      </w:r>
      <w:r>
        <w:rPr>
          <w:noProof/>
          <w:lang w:val="fr-FR" w:eastAsia="es-BO"/>
        </w:rPr>
        <w:t>autres signalements d</w:t>
      </w:r>
      <w:r w:rsidR="00FB1114">
        <w:rPr>
          <w:noProof/>
          <w:lang w:val="fr-FR" w:eastAsia="es-BO"/>
        </w:rPr>
        <w:t>’</w:t>
      </w:r>
      <w:r>
        <w:rPr>
          <w:noProof/>
          <w:lang w:val="fr-FR" w:eastAsia="es-BO"/>
        </w:rPr>
        <w:t xml:space="preserve">infractions visées par la loi </w:t>
      </w:r>
      <w:r w:rsidR="005F0AF5" w:rsidRPr="00857F6E">
        <w:rPr>
          <w:rFonts w:eastAsia="MS Mincho"/>
          <w:noProof/>
          <w:szCs w:val="22"/>
          <w:lang w:val="fr-FR"/>
        </w:rPr>
        <w:t>n</w:t>
      </w:r>
      <w:r w:rsidR="005F0AF5" w:rsidRPr="00857F6E">
        <w:rPr>
          <w:rFonts w:eastAsia="MS Mincho"/>
          <w:noProof/>
          <w:szCs w:val="22"/>
          <w:vertAlign w:val="superscript"/>
          <w:lang w:val="fr-FR"/>
        </w:rPr>
        <w:t>o</w:t>
      </w:r>
      <w:r w:rsidR="005F0AF5">
        <w:rPr>
          <w:noProof/>
          <w:lang w:val="fr-FR"/>
        </w:rPr>
        <w:t> </w:t>
      </w:r>
      <w:r w:rsidRPr="00DF456A">
        <w:rPr>
          <w:noProof/>
          <w:lang w:val="fr-FR" w:eastAsia="es-BO"/>
        </w:rPr>
        <w:t>348 (</w:t>
      </w:r>
      <w:r>
        <w:rPr>
          <w:noProof/>
          <w:lang w:val="fr-FR" w:eastAsia="es-BO"/>
        </w:rPr>
        <w:t xml:space="preserve">annexe </w:t>
      </w:r>
      <w:r w:rsidRPr="00DF456A">
        <w:rPr>
          <w:noProof/>
          <w:lang w:val="fr-FR" w:eastAsia="es-BO"/>
        </w:rPr>
        <w:t>46).</w:t>
      </w:r>
    </w:p>
    <w:p w:rsidR="00614A7E" w:rsidRPr="005F0AF5" w:rsidRDefault="00614A7E" w:rsidP="005F0AF5">
      <w:pPr>
        <w:pStyle w:val="H1G"/>
      </w:pPr>
      <w:r w:rsidRPr="00DF456A">
        <w:rPr>
          <w:noProof/>
          <w:lang w:val="fr-FR" w:eastAsia="es-BO"/>
        </w:rPr>
        <w:tab/>
      </w:r>
      <w:r w:rsidRPr="00DF456A">
        <w:rPr>
          <w:noProof/>
          <w:lang w:val="fr-FR" w:eastAsia="es-BO"/>
        </w:rPr>
        <w:tab/>
      </w:r>
      <w:r w:rsidRPr="002647D4">
        <w:rPr>
          <w:lang w:val="fr-FR" w:eastAsia="zh-CN"/>
        </w:rPr>
        <w:t>Maltraitance et violence sexuelle à l</w:t>
      </w:r>
      <w:r w:rsidR="00FB1114">
        <w:rPr>
          <w:lang w:val="fr-FR" w:eastAsia="zh-CN"/>
        </w:rPr>
        <w:t>’</w:t>
      </w:r>
      <w:r w:rsidRPr="002647D4">
        <w:rPr>
          <w:lang w:val="fr-FR" w:eastAsia="zh-CN"/>
        </w:rPr>
        <w:t>égard des enfants</w:t>
      </w:r>
    </w:p>
    <w:p w:rsidR="00614A7E" w:rsidRPr="005F0AF5" w:rsidRDefault="00614A7E" w:rsidP="005F0AF5">
      <w:pPr>
        <w:pStyle w:val="SingleTxtG"/>
        <w:rPr>
          <w:noProof/>
          <w:lang w:val="fr-FR" w:eastAsia="es-BO"/>
        </w:rPr>
      </w:pPr>
      <w:r w:rsidRPr="00DF456A">
        <w:rPr>
          <w:noProof/>
          <w:lang w:val="fr-FR" w:eastAsia="es-BO"/>
        </w:rPr>
        <w:t>138.</w:t>
      </w:r>
      <w:r w:rsidRPr="00DF456A">
        <w:rPr>
          <w:noProof/>
          <w:lang w:val="fr-FR" w:eastAsia="es-BO"/>
        </w:rPr>
        <w:tab/>
      </w:r>
      <w:r w:rsidRPr="00DF456A">
        <w:rPr>
          <w:bCs/>
          <w:noProof/>
          <w:lang w:val="fr-FR" w:eastAsia="es-BO"/>
        </w:rPr>
        <w:t xml:space="preserve">En </w:t>
      </w:r>
      <w:r w:rsidRPr="00DF456A">
        <w:rPr>
          <w:noProof/>
          <w:lang w:val="fr-FR" w:eastAsia="es-BO"/>
        </w:rPr>
        <w:t>Bolivi</w:t>
      </w:r>
      <w:r>
        <w:rPr>
          <w:noProof/>
          <w:lang w:val="fr-FR" w:eastAsia="es-BO"/>
        </w:rPr>
        <w:t>e, il est interdit de faire subir quelque forme de violence que ce soit aux enfants et adolescents des deux sexes</w:t>
      </w:r>
      <w:r w:rsidRPr="00DF456A">
        <w:rPr>
          <w:noProof/>
          <w:lang w:val="fr-FR" w:eastAsia="es-BO"/>
        </w:rPr>
        <w:t xml:space="preserve"> </w:t>
      </w:r>
      <w:r w:rsidRPr="00571BBF">
        <w:rPr>
          <w:noProof/>
          <w:lang w:val="fr-FR"/>
        </w:rPr>
        <w:t>au sein de la famille comme dans la société</w:t>
      </w:r>
      <w:r w:rsidRPr="005F0AF5">
        <w:rPr>
          <w:noProof/>
          <w:vertAlign w:val="superscript"/>
          <w:lang w:val="fr-FR" w:eastAsia="es-BO"/>
        </w:rPr>
        <w:footnoteReference w:id="63"/>
      </w:r>
      <w:r w:rsidRPr="005F0AF5">
        <w:rPr>
          <w:noProof/>
          <w:lang w:val="fr-FR" w:eastAsia="es-BO"/>
        </w:rPr>
        <w:t>.</w:t>
      </w:r>
    </w:p>
    <w:p w:rsidR="00614A7E" w:rsidRPr="00DF456A" w:rsidRDefault="00614A7E" w:rsidP="00614A7E">
      <w:pPr>
        <w:pStyle w:val="SingleTxtG"/>
        <w:rPr>
          <w:noProof/>
          <w:lang w:val="fr-FR" w:eastAsia="es-BO"/>
        </w:rPr>
      </w:pPr>
      <w:r w:rsidRPr="00600D92">
        <w:rPr>
          <w:noProof/>
          <w:lang w:val="fr-FR" w:eastAsia="es-BO"/>
        </w:rPr>
        <w:t>139.</w:t>
      </w:r>
      <w:r w:rsidRPr="00600D92">
        <w:rPr>
          <w:noProof/>
          <w:lang w:val="fr-FR" w:eastAsia="es-BO"/>
        </w:rPr>
        <w:tab/>
        <w:t xml:space="preserve">La loi </w:t>
      </w:r>
      <w:r w:rsidR="00773837" w:rsidRPr="00600D92">
        <w:rPr>
          <w:rFonts w:eastAsia="MS Mincho"/>
          <w:noProof/>
          <w:szCs w:val="22"/>
          <w:lang w:val="fr-FR"/>
        </w:rPr>
        <w:t>n</w:t>
      </w:r>
      <w:r w:rsidR="00773837" w:rsidRPr="00600D92">
        <w:rPr>
          <w:rFonts w:eastAsia="MS Mincho"/>
          <w:noProof/>
          <w:szCs w:val="22"/>
          <w:vertAlign w:val="superscript"/>
          <w:lang w:val="fr-FR"/>
        </w:rPr>
        <w:t>o</w:t>
      </w:r>
      <w:r w:rsidR="00773837" w:rsidRPr="00600D92">
        <w:rPr>
          <w:noProof/>
          <w:lang w:val="fr-FR"/>
        </w:rPr>
        <w:t> </w:t>
      </w:r>
      <w:r w:rsidRPr="00600D92">
        <w:rPr>
          <w:noProof/>
          <w:lang w:val="fr-FR" w:eastAsia="es-BO"/>
        </w:rPr>
        <w:t>548 garantit le droit à l</w:t>
      </w:r>
      <w:r w:rsidR="00FB1114" w:rsidRPr="00600D92">
        <w:rPr>
          <w:noProof/>
          <w:lang w:val="fr-FR" w:eastAsia="es-BO"/>
        </w:rPr>
        <w:t>’</w:t>
      </w:r>
      <w:r w:rsidRPr="00600D92">
        <w:rPr>
          <w:noProof/>
          <w:lang w:val="fr-FR" w:eastAsia="es-BO"/>
        </w:rPr>
        <w:t>intégrité de la personne et à la protection contre la violence</w:t>
      </w:r>
      <w:r w:rsidR="00773837" w:rsidRPr="00600D92">
        <w:rPr>
          <w:noProof/>
          <w:lang w:val="fr-FR" w:eastAsia="es-BO"/>
        </w:rPr>
        <w:t> </w:t>
      </w:r>
      <w:r w:rsidRPr="00600D92">
        <w:rPr>
          <w:noProof/>
          <w:lang w:val="fr-FR" w:eastAsia="es-BO"/>
        </w:rPr>
        <w:t>: « ARTICLE 145. (DROIT À L</w:t>
      </w:r>
      <w:r w:rsidR="00FB1114" w:rsidRPr="00600D92">
        <w:rPr>
          <w:noProof/>
          <w:lang w:val="fr-FR" w:eastAsia="es-BO"/>
        </w:rPr>
        <w:t>’</w:t>
      </w:r>
      <w:r w:rsidRPr="00600D92">
        <w:rPr>
          <w:noProof/>
          <w:lang w:val="fr-FR" w:eastAsia="es-BO"/>
        </w:rPr>
        <w:t>INTÉGRITÉ DE LA PERSONNE)</w:t>
      </w:r>
      <w:r w:rsidR="00593789" w:rsidRPr="00600D92">
        <w:rPr>
          <w:noProof/>
          <w:lang w:val="fr-FR" w:eastAsia="es-BO"/>
        </w:rPr>
        <w:t xml:space="preserve"> </w:t>
      </w:r>
      <w:r w:rsidRPr="00600D92">
        <w:rPr>
          <w:noProof/>
          <w:lang w:val="fr-FR" w:eastAsia="es-BO"/>
        </w:rPr>
        <w:t>I. L</w:t>
      </w:r>
      <w:r w:rsidR="00FB1114" w:rsidRPr="00600D92">
        <w:rPr>
          <w:noProof/>
          <w:lang w:val="fr-FR" w:eastAsia="es-BO"/>
        </w:rPr>
        <w:t>’</w:t>
      </w:r>
      <w:r w:rsidRPr="00600D92">
        <w:rPr>
          <w:noProof/>
          <w:lang w:val="fr-FR" w:eastAsia="es-BO"/>
        </w:rPr>
        <w:t>enfant et l</w:t>
      </w:r>
      <w:r w:rsidR="00FB1114" w:rsidRPr="00600D92">
        <w:rPr>
          <w:noProof/>
          <w:lang w:val="fr-FR" w:eastAsia="es-BO"/>
        </w:rPr>
        <w:t>’</w:t>
      </w:r>
      <w:r w:rsidRPr="00600D92">
        <w:rPr>
          <w:noProof/>
          <w:lang w:val="fr-FR" w:eastAsia="es-BO"/>
        </w:rPr>
        <w:t>adolescent ont droit à l</w:t>
      </w:r>
      <w:r w:rsidR="00FB1114" w:rsidRPr="00600D92">
        <w:rPr>
          <w:noProof/>
          <w:lang w:val="fr-FR" w:eastAsia="es-BO"/>
        </w:rPr>
        <w:t>’</w:t>
      </w:r>
      <w:r w:rsidRPr="00600D92">
        <w:rPr>
          <w:noProof/>
          <w:lang w:val="fr-FR" w:eastAsia="es-BO"/>
        </w:rPr>
        <w:t>intégrité de la personne, qui comprend leur intégrité physique, psychologique et sexuelle. II. Les enfants et les adolescents ne peuvent pas être soumis à la torture ni à d</w:t>
      </w:r>
      <w:r w:rsidR="00FB1114" w:rsidRPr="00600D92">
        <w:rPr>
          <w:noProof/>
          <w:lang w:val="fr-FR" w:eastAsia="es-BO"/>
        </w:rPr>
        <w:t>’</w:t>
      </w:r>
      <w:r w:rsidRPr="00600D92">
        <w:rPr>
          <w:noProof/>
          <w:lang w:val="fr-FR" w:eastAsia="es-BO"/>
        </w:rPr>
        <w:t>autres peines ou traitements cruels, inhumains ou dégradants. III. L</w:t>
      </w:r>
      <w:r w:rsidR="00FB1114" w:rsidRPr="00600D92">
        <w:rPr>
          <w:noProof/>
          <w:lang w:val="fr-FR" w:eastAsia="es-BO"/>
        </w:rPr>
        <w:t>’</w:t>
      </w:r>
      <w:r w:rsidRPr="00600D92">
        <w:rPr>
          <w:noProof/>
          <w:lang w:val="fr-FR" w:eastAsia="es-BO"/>
        </w:rPr>
        <w:t>État à tous les niveaux, la famille et la société doivent protéger tous les enfants et adolescents contre toute forme d</w:t>
      </w:r>
      <w:r w:rsidR="00FB1114" w:rsidRPr="00600D92">
        <w:rPr>
          <w:noProof/>
          <w:lang w:val="fr-FR" w:eastAsia="es-BO"/>
        </w:rPr>
        <w:t>’</w:t>
      </w:r>
      <w:r w:rsidRPr="00600D92">
        <w:rPr>
          <w:noProof/>
          <w:lang w:val="fr-FR" w:eastAsia="es-BO"/>
        </w:rPr>
        <w:t>exploitation, de maltraitance, de sévices ou de négligence qui nuit à l</w:t>
      </w:r>
      <w:r w:rsidR="00FB1114" w:rsidRPr="00600D92">
        <w:rPr>
          <w:noProof/>
          <w:lang w:val="fr-FR" w:eastAsia="es-BO"/>
        </w:rPr>
        <w:t>’</w:t>
      </w:r>
      <w:r w:rsidRPr="00600D92">
        <w:rPr>
          <w:noProof/>
          <w:lang w:val="fr-FR" w:eastAsia="es-BO"/>
        </w:rPr>
        <w:t>intégrité de leur personne</w:t>
      </w:r>
      <w:r w:rsidRPr="00773837">
        <w:rPr>
          <w:noProof/>
          <w:lang w:val="fr-FR" w:eastAsia="es-BO"/>
        </w:rPr>
        <w:t>. »</w:t>
      </w:r>
      <w:r w:rsidR="00773837">
        <w:rPr>
          <w:noProof/>
          <w:lang w:val="fr-FR" w:eastAsia="es-BO"/>
        </w:rPr>
        <w:t>.</w:t>
      </w:r>
    </w:p>
    <w:p w:rsidR="00614A7E" w:rsidRPr="00773837" w:rsidRDefault="00614A7E" w:rsidP="00614A7E">
      <w:pPr>
        <w:pStyle w:val="SingleTxtG"/>
        <w:rPr>
          <w:noProof/>
          <w:lang w:val="fr-FR" w:eastAsia="es-BO"/>
        </w:rPr>
      </w:pPr>
      <w:r w:rsidRPr="00DF456A">
        <w:rPr>
          <w:noProof/>
          <w:lang w:val="fr-FR" w:eastAsia="es-BO"/>
        </w:rPr>
        <w:t>140.</w:t>
      </w:r>
      <w:r w:rsidRPr="00DF456A">
        <w:rPr>
          <w:noProof/>
          <w:lang w:val="fr-FR" w:eastAsia="es-BO"/>
        </w:rPr>
        <w:tab/>
      </w:r>
      <w:r>
        <w:rPr>
          <w:noProof/>
          <w:lang w:val="fr-FR" w:eastAsia="es-BO"/>
        </w:rPr>
        <w:t xml:space="preserve">De même, la loi susvisée </w:t>
      </w:r>
      <w:r w:rsidRPr="00DF456A">
        <w:rPr>
          <w:noProof/>
          <w:lang w:val="fr-FR" w:eastAsia="es-BO"/>
        </w:rPr>
        <w:t>garanti</w:t>
      </w:r>
      <w:r>
        <w:rPr>
          <w:noProof/>
          <w:lang w:val="fr-FR" w:eastAsia="es-BO"/>
        </w:rPr>
        <w:t>t</w:t>
      </w:r>
      <w:r w:rsidRPr="00DF456A">
        <w:rPr>
          <w:noProof/>
          <w:lang w:val="fr-FR" w:eastAsia="es-BO"/>
        </w:rPr>
        <w:t xml:space="preserve"> la protec</w:t>
      </w:r>
      <w:r>
        <w:rPr>
          <w:noProof/>
          <w:lang w:val="fr-FR" w:eastAsia="es-BO"/>
        </w:rPr>
        <w:t xml:space="preserve">tion contre </w:t>
      </w:r>
      <w:r w:rsidRPr="00DF456A">
        <w:rPr>
          <w:noProof/>
          <w:lang w:val="fr-FR" w:eastAsia="es-BO"/>
        </w:rPr>
        <w:t>la violenc</w:t>
      </w:r>
      <w:r>
        <w:rPr>
          <w:noProof/>
          <w:lang w:val="fr-FR" w:eastAsia="es-BO"/>
        </w:rPr>
        <w:t>e dans le système éducatif. En effet, son article</w:t>
      </w:r>
      <w:r w:rsidR="00773837">
        <w:rPr>
          <w:noProof/>
          <w:lang w:val="fr-FR" w:eastAsia="es-BO"/>
        </w:rPr>
        <w:t> </w:t>
      </w:r>
      <w:r w:rsidRPr="00DF456A">
        <w:rPr>
          <w:noProof/>
          <w:lang w:val="fr-FR" w:eastAsia="es-BO"/>
        </w:rPr>
        <w:t>150</w:t>
      </w:r>
      <w:r>
        <w:rPr>
          <w:noProof/>
          <w:lang w:val="fr-FR" w:eastAsia="es-BO"/>
        </w:rPr>
        <w:t xml:space="preserve"> prévoit ce qui suit</w:t>
      </w:r>
      <w:r w:rsidR="00773837">
        <w:rPr>
          <w:noProof/>
          <w:lang w:val="fr-FR" w:eastAsia="es-BO"/>
        </w:rPr>
        <w:t> </w:t>
      </w:r>
      <w:r w:rsidRPr="00DF456A">
        <w:rPr>
          <w:noProof/>
          <w:lang w:val="fr-FR" w:eastAsia="es-BO"/>
        </w:rPr>
        <w:t xml:space="preserve">: </w:t>
      </w:r>
      <w:r>
        <w:rPr>
          <w:noProof/>
          <w:lang w:val="fr-FR" w:eastAsia="es-BO"/>
        </w:rPr>
        <w:t>« </w:t>
      </w:r>
      <w:r w:rsidRPr="00DF456A">
        <w:rPr>
          <w:noProof/>
          <w:lang w:val="fr-FR" w:eastAsia="es-BO"/>
        </w:rPr>
        <w:t>La protec</w:t>
      </w:r>
      <w:r>
        <w:rPr>
          <w:noProof/>
          <w:lang w:val="fr-FR" w:eastAsia="es-BO"/>
        </w:rPr>
        <w:t xml:space="preserve">tion de </w:t>
      </w:r>
      <w:r w:rsidRPr="00DF456A">
        <w:rPr>
          <w:noProof/>
          <w:lang w:val="fr-FR" w:eastAsia="es-BO"/>
        </w:rPr>
        <w:t>la vi</w:t>
      </w:r>
      <w:r>
        <w:rPr>
          <w:noProof/>
          <w:lang w:val="fr-FR" w:eastAsia="es-BO"/>
        </w:rPr>
        <w:t>e et de l</w:t>
      </w:r>
      <w:r w:rsidR="00FB1114">
        <w:rPr>
          <w:noProof/>
          <w:lang w:val="fr-FR" w:eastAsia="es-BO"/>
        </w:rPr>
        <w:t>’</w:t>
      </w:r>
      <w:r>
        <w:rPr>
          <w:noProof/>
          <w:lang w:val="fr-FR" w:eastAsia="es-BO"/>
        </w:rPr>
        <w:t>intégrité physique et psychologique des membres de la communauté éducative implique la prévention de la violence exercée dans le système éducatif de l</w:t>
      </w:r>
      <w:r w:rsidR="00FB1114">
        <w:rPr>
          <w:noProof/>
          <w:lang w:val="fr-FR" w:eastAsia="es-BO"/>
        </w:rPr>
        <w:t>’</w:t>
      </w:r>
      <w:r>
        <w:rPr>
          <w:noProof/>
          <w:lang w:val="fr-FR" w:eastAsia="es-BO"/>
        </w:rPr>
        <w:t xml:space="preserve">État plurinational de </w:t>
      </w:r>
      <w:r>
        <w:rPr>
          <w:noProof/>
          <w:lang w:val="fr-FR" w:eastAsia="es-BO"/>
        </w:rPr>
        <w:lastRenderedPageBreak/>
        <w:t xml:space="preserve">Bolivie, le traitement du problème de cette violence et la sanction des auteurs de celle-ci, le but étant de </w:t>
      </w:r>
      <w:r w:rsidRPr="00DF456A">
        <w:rPr>
          <w:noProof/>
          <w:lang w:val="fr-FR" w:eastAsia="es-BO"/>
        </w:rPr>
        <w:t>consolid</w:t>
      </w:r>
      <w:r>
        <w:rPr>
          <w:noProof/>
          <w:lang w:val="fr-FR" w:eastAsia="es-BO"/>
        </w:rPr>
        <w:t>e</w:t>
      </w:r>
      <w:r w:rsidRPr="00DF456A">
        <w:rPr>
          <w:noProof/>
          <w:lang w:val="fr-FR" w:eastAsia="es-BO"/>
        </w:rPr>
        <w:t>r la co</w:t>
      </w:r>
      <w:r>
        <w:rPr>
          <w:noProof/>
          <w:lang w:val="fr-FR" w:eastAsia="es-BO"/>
        </w:rPr>
        <w:t>habitation pacifique et harmonieuse, la culture</w:t>
      </w:r>
      <w:r w:rsidRPr="00DF456A">
        <w:rPr>
          <w:noProof/>
          <w:lang w:val="fr-FR" w:eastAsia="es-BO"/>
        </w:rPr>
        <w:t xml:space="preserve"> de pa</w:t>
      </w:r>
      <w:r>
        <w:rPr>
          <w:noProof/>
          <w:lang w:val="fr-FR" w:eastAsia="es-BO"/>
        </w:rPr>
        <w:t>ix</w:t>
      </w:r>
      <w:r w:rsidRPr="00DF456A">
        <w:rPr>
          <w:noProof/>
          <w:lang w:val="fr-FR" w:eastAsia="es-BO"/>
        </w:rPr>
        <w:t xml:space="preserve">, </w:t>
      </w:r>
      <w:r>
        <w:rPr>
          <w:noProof/>
          <w:lang w:val="fr-FR" w:eastAsia="es-BO"/>
        </w:rPr>
        <w:t xml:space="preserve">la </w:t>
      </w:r>
      <w:r w:rsidRPr="00DF456A">
        <w:rPr>
          <w:noProof/>
          <w:lang w:val="fr-FR" w:eastAsia="es-BO"/>
        </w:rPr>
        <w:t>tol</w:t>
      </w:r>
      <w:r>
        <w:rPr>
          <w:noProof/>
          <w:lang w:val="fr-FR" w:eastAsia="es-BO"/>
        </w:rPr>
        <w:t>é</w:t>
      </w:r>
      <w:r w:rsidRPr="00DF456A">
        <w:rPr>
          <w:noProof/>
          <w:lang w:val="fr-FR" w:eastAsia="es-BO"/>
        </w:rPr>
        <w:t>ranc</w:t>
      </w:r>
      <w:r>
        <w:rPr>
          <w:noProof/>
          <w:lang w:val="fr-FR" w:eastAsia="es-BO"/>
        </w:rPr>
        <w:t>e et la justice</w:t>
      </w:r>
      <w:r w:rsidRPr="00DF456A">
        <w:rPr>
          <w:noProof/>
          <w:lang w:val="fr-FR" w:eastAsia="es-BO"/>
        </w:rPr>
        <w:t xml:space="preserve">, </w:t>
      </w:r>
      <w:r w:rsidRPr="002B27C0">
        <w:rPr>
          <w:noProof/>
          <w:lang w:val="fr-FR" w:eastAsia="es-BO"/>
        </w:rPr>
        <w:t>d</w:t>
      </w:r>
      <w:r w:rsidRPr="002B27C0">
        <w:rPr>
          <w:noProof/>
          <w:lang w:val="fr-FR"/>
        </w:rPr>
        <w:t xml:space="preserve">ans le cadre du </w:t>
      </w:r>
      <w:r>
        <w:rPr>
          <w:noProof/>
          <w:lang w:val="fr-FR"/>
        </w:rPr>
        <w:t>b</w:t>
      </w:r>
      <w:r w:rsidRPr="002B27C0">
        <w:rPr>
          <w:noProof/>
          <w:lang w:val="fr-FR"/>
        </w:rPr>
        <w:t>ien-vivre</w:t>
      </w:r>
      <w:r w:rsidRPr="002B27C0">
        <w:rPr>
          <w:noProof/>
          <w:lang w:val="fr-FR" w:eastAsia="es-BO"/>
        </w:rPr>
        <w:t>, un traitement décent, la solidarité, le respe</w:t>
      </w:r>
      <w:r>
        <w:rPr>
          <w:noProof/>
          <w:lang w:val="fr-FR" w:eastAsia="es-BO"/>
        </w:rPr>
        <w:t>c</w:t>
      </w:r>
      <w:r w:rsidRPr="002B27C0">
        <w:rPr>
          <w:noProof/>
          <w:lang w:val="fr-FR" w:eastAsia="es-BO"/>
        </w:rPr>
        <w:t>t, l</w:t>
      </w:r>
      <w:r w:rsidR="00FB1114">
        <w:rPr>
          <w:noProof/>
          <w:lang w:val="fr-FR" w:eastAsia="es-BO"/>
        </w:rPr>
        <w:t>’</w:t>
      </w:r>
      <w:r w:rsidRPr="002B27C0">
        <w:rPr>
          <w:noProof/>
          <w:lang w:val="fr-FR" w:eastAsia="es-BO"/>
        </w:rPr>
        <w:t>intraculturalité, l</w:t>
      </w:r>
      <w:r w:rsidR="00FB1114">
        <w:rPr>
          <w:noProof/>
          <w:lang w:val="fr-FR" w:eastAsia="es-BO"/>
        </w:rPr>
        <w:t>’</w:t>
      </w:r>
      <w:r w:rsidRPr="002B27C0">
        <w:rPr>
          <w:noProof/>
          <w:lang w:val="fr-FR" w:eastAsia="es-BO"/>
        </w:rPr>
        <w:t>interculturalité et la no</w:t>
      </w:r>
      <w:r>
        <w:rPr>
          <w:noProof/>
          <w:lang w:val="fr-FR" w:eastAsia="es-BO"/>
        </w:rPr>
        <w:t>n</w:t>
      </w:r>
      <w:r w:rsidRPr="002B27C0">
        <w:rPr>
          <w:noProof/>
          <w:lang w:val="fr-FR" w:eastAsia="es-BO"/>
        </w:rPr>
        <w:t>-discrimination</w:t>
      </w:r>
      <w:r>
        <w:rPr>
          <w:noProof/>
          <w:lang w:val="fr-FR" w:eastAsia="es-BO"/>
        </w:rPr>
        <w:t xml:space="preserve"> entre ses m</w:t>
      </w:r>
      <w:r w:rsidRPr="00DF456A">
        <w:rPr>
          <w:noProof/>
          <w:lang w:val="fr-FR" w:eastAsia="es-BO"/>
        </w:rPr>
        <w:t>embr</w:t>
      </w:r>
      <w:r>
        <w:rPr>
          <w:noProof/>
          <w:lang w:val="fr-FR" w:eastAsia="es-BO"/>
        </w:rPr>
        <w:t>e</w:t>
      </w:r>
      <w:r w:rsidRPr="00DF456A">
        <w:rPr>
          <w:noProof/>
          <w:lang w:val="fr-FR" w:eastAsia="es-BO"/>
        </w:rPr>
        <w:t>s.</w:t>
      </w:r>
      <w:r>
        <w:rPr>
          <w:noProof/>
          <w:lang w:val="fr-FR" w:eastAsia="es-BO"/>
        </w:rPr>
        <w:t> »</w:t>
      </w:r>
      <w:r w:rsidR="00773837">
        <w:rPr>
          <w:noProof/>
          <w:lang w:val="fr-FR" w:eastAsia="es-BO"/>
        </w:rPr>
        <w:t>.</w:t>
      </w:r>
    </w:p>
    <w:p w:rsidR="00614A7E" w:rsidRPr="00600D92" w:rsidRDefault="00614A7E" w:rsidP="00614A7E">
      <w:pPr>
        <w:pStyle w:val="SingleTxtG"/>
        <w:rPr>
          <w:noProof/>
          <w:lang w:val="fr-FR" w:eastAsia="es-BO"/>
        </w:rPr>
      </w:pPr>
      <w:r w:rsidRPr="00600D92">
        <w:rPr>
          <w:noProof/>
          <w:lang w:val="fr-FR" w:eastAsia="es-BO"/>
        </w:rPr>
        <w:t>141.</w:t>
      </w:r>
      <w:r w:rsidRPr="00600D92">
        <w:rPr>
          <w:noProof/>
          <w:lang w:val="fr-FR" w:eastAsia="es-BO"/>
        </w:rPr>
        <w:tab/>
        <w:t>Parallèlement, l</w:t>
      </w:r>
      <w:r w:rsidR="00FB1114" w:rsidRPr="00600D92">
        <w:rPr>
          <w:noProof/>
          <w:lang w:val="fr-FR" w:eastAsia="es-BO"/>
        </w:rPr>
        <w:t>’</w:t>
      </w:r>
      <w:r w:rsidRPr="00600D92">
        <w:rPr>
          <w:noProof/>
          <w:lang w:val="fr-FR" w:eastAsia="es-BO"/>
        </w:rPr>
        <w:t>article</w:t>
      </w:r>
      <w:r w:rsidR="00773837" w:rsidRPr="00600D92">
        <w:rPr>
          <w:noProof/>
          <w:lang w:val="fr-FR" w:eastAsia="es-BO"/>
        </w:rPr>
        <w:t> </w:t>
      </w:r>
      <w:r w:rsidRPr="00600D92">
        <w:rPr>
          <w:noProof/>
          <w:lang w:val="fr-FR" w:eastAsia="es-BO"/>
        </w:rPr>
        <w:t>3.12 de la loi sur l</w:t>
      </w:r>
      <w:r w:rsidR="00FB1114" w:rsidRPr="00600D92">
        <w:rPr>
          <w:noProof/>
          <w:lang w:val="fr-FR" w:eastAsia="es-BO"/>
        </w:rPr>
        <w:t>’</w:t>
      </w:r>
      <w:r w:rsidRPr="00600D92">
        <w:rPr>
          <w:noProof/>
          <w:lang w:val="fr-FR" w:eastAsia="es-BO"/>
        </w:rPr>
        <w:t xml:space="preserve">éducation « Avelino Siñani </w:t>
      </w:r>
      <w:r w:rsidR="00AD55D6" w:rsidRPr="00600D92">
        <w:rPr>
          <w:noProof/>
          <w:lang w:val="fr-FR" w:eastAsia="es-BO"/>
        </w:rPr>
        <w:t>−</w:t>
      </w:r>
      <w:r w:rsidRPr="00600D92">
        <w:rPr>
          <w:noProof/>
          <w:lang w:val="fr-FR" w:eastAsia="es-BO"/>
        </w:rPr>
        <w:t xml:space="preserve"> Elizardo Pérez » </w:t>
      </w:r>
      <w:r w:rsidR="00AD55D6" w:rsidRPr="00600D92">
        <w:rPr>
          <w:rFonts w:eastAsia="MS Mincho"/>
          <w:noProof/>
          <w:szCs w:val="22"/>
          <w:lang w:val="fr-FR" w:eastAsia="es-BO"/>
        </w:rPr>
        <w:t>n</w:t>
      </w:r>
      <w:r w:rsidR="00AD55D6" w:rsidRPr="00600D92">
        <w:rPr>
          <w:rFonts w:eastAsia="MS Mincho"/>
          <w:noProof/>
          <w:szCs w:val="22"/>
          <w:vertAlign w:val="superscript"/>
          <w:lang w:val="fr-FR" w:eastAsia="es-BO"/>
        </w:rPr>
        <w:t>o</w:t>
      </w:r>
      <w:r w:rsidR="00AD55D6" w:rsidRPr="00600D92">
        <w:rPr>
          <w:noProof/>
          <w:lang w:val="fr-FR" w:eastAsia="es-BO"/>
        </w:rPr>
        <w:t> </w:t>
      </w:r>
      <w:hyperlink r:id="rId10" w:history="1">
        <w:r w:rsidRPr="00600D92">
          <w:rPr>
            <w:noProof/>
            <w:lang w:val="fr-FR" w:eastAsia="es-BO"/>
          </w:rPr>
          <w:t>070</w:t>
        </w:r>
      </w:hyperlink>
      <w:r w:rsidRPr="00600D92">
        <w:rPr>
          <w:noProof/>
          <w:lang w:val="fr-FR" w:eastAsia="es-BO"/>
        </w:rPr>
        <w:t xml:space="preserve"> du 20</w:t>
      </w:r>
      <w:r w:rsidR="00AD55D6" w:rsidRPr="00600D92">
        <w:rPr>
          <w:noProof/>
          <w:lang w:val="fr-FR" w:eastAsia="es-BO"/>
        </w:rPr>
        <w:t> </w:t>
      </w:r>
      <w:r w:rsidRPr="00600D92">
        <w:rPr>
          <w:noProof/>
          <w:lang w:val="fr-FR" w:eastAsia="es-BO"/>
        </w:rPr>
        <w:t>décembre 2010 (annexe</w:t>
      </w:r>
      <w:r w:rsidR="00AD55D6" w:rsidRPr="00600D92">
        <w:rPr>
          <w:noProof/>
          <w:lang w:val="fr-FR" w:eastAsia="es-BO"/>
        </w:rPr>
        <w:t> </w:t>
      </w:r>
      <w:r w:rsidRPr="00600D92">
        <w:rPr>
          <w:noProof/>
          <w:lang w:val="fr-FR" w:eastAsia="es-BO"/>
        </w:rPr>
        <w:t>47) dispose notamment ce qui suit</w:t>
      </w:r>
      <w:r w:rsidR="00AD55D6" w:rsidRPr="00600D92">
        <w:rPr>
          <w:noProof/>
          <w:lang w:val="fr-FR" w:eastAsia="es-BO"/>
        </w:rPr>
        <w:t> </w:t>
      </w:r>
      <w:r w:rsidRPr="00600D92">
        <w:rPr>
          <w:noProof/>
          <w:lang w:val="fr-FR" w:eastAsia="es-BO"/>
        </w:rPr>
        <w:t>: « (…) l</w:t>
      </w:r>
      <w:r w:rsidR="00FB1114" w:rsidRPr="00600D92">
        <w:rPr>
          <w:noProof/>
          <w:lang w:val="fr-FR" w:eastAsia="es-BO"/>
        </w:rPr>
        <w:t>’</w:t>
      </w:r>
      <w:r w:rsidRPr="00600D92">
        <w:rPr>
          <w:noProof/>
          <w:lang w:val="fr-FR" w:eastAsia="es-BO"/>
        </w:rPr>
        <w:t>éducation renforce la cohabitation pacifique et contribue à éliminer toutes les formes de violence à l</w:t>
      </w:r>
      <w:r w:rsidR="00FB1114" w:rsidRPr="00600D92">
        <w:rPr>
          <w:noProof/>
          <w:lang w:val="fr-FR" w:eastAsia="es-BO"/>
        </w:rPr>
        <w:t>’</w:t>
      </w:r>
      <w:r w:rsidRPr="00600D92">
        <w:rPr>
          <w:noProof/>
          <w:lang w:val="fr-FR" w:eastAsia="es-BO"/>
        </w:rPr>
        <w:t>école, afin de développer une société édifiée sur une culture de paix, un traitement décent et le respect des droits individuels et collectifs des personnes et des peuples.</w:t>
      </w:r>
      <w:r w:rsidR="00C34011" w:rsidRPr="00600D92">
        <w:rPr>
          <w:noProof/>
          <w:lang w:val="fr-FR" w:eastAsia="es-BO"/>
        </w:rPr>
        <w:t> </w:t>
      </w:r>
      <w:r w:rsidR="00AD55D6" w:rsidRPr="00600D92">
        <w:rPr>
          <w:noProof/>
          <w:lang w:val="fr-FR" w:eastAsia="es-BO"/>
        </w:rPr>
        <w:t>».</w:t>
      </w:r>
    </w:p>
    <w:p w:rsidR="00614A7E" w:rsidRPr="00DF456A" w:rsidRDefault="00AD55D6" w:rsidP="00AD55D6">
      <w:pPr>
        <w:pStyle w:val="H23G"/>
        <w:rPr>
          <w:noProof/>
          <w:lang w:val="fr-FR" w:eastAsia="es-BO"/>
        </w:rPr>
      </w:pPr>
      <w:r>
        <w:rPr>
          <w:noProof/>
          <w:lang w:val="fr-FR" w:eastAsia="es-BO"/>
        </w:rPr>
        <w:tab/>
      </w:r>
      <w:r>
        <w:rPr>
          <w:noProof/>
          <w:lang w:val="fr-FR" w:eastAsia="es-BO"/>
        </w:rPr>
        <w:tab/>
      </w:r>
      <w:r w:rsidR="00614A7E">
        <w:rPr>
          <w:noProof/>
          <w:lang w:val="fr-FR" w:eastAsia="es-BO"/>
        </w:rPr>
        <w:t xml:space="preserve">Recommandation figurant au paragraphe </w:t>
      </w:r>
      <w:r w:rsidR="00614A7E" w:rsidRPr="00DF456A">
        <w:rPr>
          <w:noProof/>
          <w:lang w:val="fr-FR" w:eastAsia="es-BO"/>
        </w:rPr>
        <w:t>16.a</w:t>
      </w:r>
    </w:p>
    <w:p w:rsidR="00614A7E" w:rsidRPr="00CD5BE7" w:rsidRDefault="00614A7E" w:rsidP="00614A7E">
      <w:pPr>
        <w:pStyle w:val="SingleTxtG"/>
        <w:rPr>
          <w:noProof/>
          <w:lang w:val="fr-FR" w:eastAsia="es-BO"/>
        </w:rPr>
      </w:pPr>
      <w:r w:rsidRPr="00DF456A">
        <w:rPr>
          <w:noProof/>
          <w:lang w:val="fr-FR" w:eastAsia="es-BO"/>
        </w:rPr>
        <w:t>142.</w:t>
      </w:r>
      <w:r w:rsidRPr="00DF456A">
        <w:rPr>
          <w:noProof/>
          <w:lang w:val="fr-FR" w:eastAsia="es-BO"/>
        </w:rPr>
        <w:tab/>
      </w:r>
      <w:r>
        <w:rPr>
          <w:noProof/>
          <w:lang w:val="fr-FR" w:eastAsia="es-BO"/>
        </w:rPr>
        <w:t>L</w:t>
      </w:r>
      <w:r w:rsidR="00FB1114">
        <w:rPr>
          <w:noProof/>
          <w:lang w:val="fr-FR" w:eastAsia="es-BO"/>
        </w:rPr>
        <w:t>’</w:t>
      </w:r>
      <w:r>
        <w:rPr>
          <w:noProof/>
          <w:lang w:val="fr-FR" w:eastAsia="es-BO"/>
        </w:rPr>
        <w:t>article</w:t>
      </w:r>
      <w:r w:rsidR="00AD55D6">
        <w:rPr>
          <w:noProof/>
          <w:lang w:val="fr-FR" w:eastAsia="es-BO"/>
        </w:rPr>
        <w:t> </w:t>
      </w:r>
      <w:r w:rsidRPr="00DF456A">
        <w:rPr>
          <w:noProof/>
          <w:lang w:val="fr-FR" w:eastAsia="es-BO"/>
        </w:rPr>
        <w:t xml:space="preserve">149.II de la </w:t>
      </w:r>
      <w:r>
        <w:rPr>
          <w:noProof/>
          <w:lang w:val="fr-FR" w:eastAsia="es-BO"/>
        </w:rPr>
        <w:t xml:space="preserve">loi </w:t>
      </w:r>
      <w:r w:rsidR="00AD55D6" w:rsidRPr="00AD55D6">
        <w:rPr>
          <w:rFonts w:eastAsia="MS Mincho"/>
          <w:noProof/>
          <w:szCs w:val="22"/>
          <w:lang w:val="fr-FR" w:eastAsia="es-BO"/>
        </w:rPr>
        <w:t>n</w:t>
      </w:r>
      <w:r w:rsidR="00AD55D6" w:rsidRPr="00AD55D6">
        <w:rPr>
          <w:rFonts w:eastAsia="MS Mincho"/>
          <w:noProof/>
          <w:szCs w:val="22"/>
          <w:vertAlign w:val="superscript"/>
          <w:lang w:val="fr-FR" w:eastAsia="es-BO"/>
        </w:rPr>
        <w:t>o</w:t>
      </w:r>
      <w:r w:rsidR="00AD55D6">
        <w:rPr>
          <w:noProof/>
          <w:lang w:val="fr-FR" w:eastAsia="es-BO"/>
        </w:rPr>
        <w:t> </w:t>
      </w:r>
      <w:r>
        <w:rPr>
          <w:noProof/>
          <w:lang w:val="fr-FR" w:eastAsia="es-BO"/>
        </w:rPr>
        <w:t>548 prévoit ce qui suit</w:t>
      </w:r>
      <w:r w:rsidR="00AD55D6">
        <w:rPr>
          <w:noProof/>
          <w:lang w:val="fr-FR" w:eastAsia="es-BO"/>
        </w:rPr>
        <w:t> </w:t>
      </w:r>
      <w:r w:rsidRPr="00DF456A">
        <w:rPr>
          <w:noProof/>
          <w:lang w:val="fr-FR" w:eastAsia="es-BO"/>
        </w:rPr>
        <w:t xml:space="preserve">: </w:t>
      </w:r>
      <w:r>
        <w:rPr>
          <w:noProof/>
          <w:lang w:val="fr-FR" w:eastAsia="es-BO"/>
        </w:rPr>
        <w:t>« </w:t>
      </w:r>
      <w:r w:rsidRPr="00DF456A">
        <w:rPr>
          <w:noProof/>
          <w:lang w:val="fr-FR" w:eastAsia="es-BO"/>
        </w:rPr>
        <w:t>L</w:t>
      </w:r>
      <w:r>
        <w:rPr>
          <w:noProof/>
          <w:lang w:val="fr-FR" w:eastAsia="es-BO"/>
        </w:rPr>
        <w:t>es juges pénaux et le ministère public qui examinent et instruisent les infractions commises contre la liberté sexuelle d</w:t>
      </w:r>
      <w:r w:rsidR="00FB1114">
        <w:rPr>
          <w:noProof/>
          <w:lang w:val="fr-FR" w:eastAsia="es-BO"/>
        </w:rPr>
        <w:t>’</w:t>
      </w:r>
      <w:r>
        <w:rPr>
          <w:noProof/>
          <w:lang w:val="fr-FR" w:eastAsia="es-BO"/>
        </w:rPr>
        <w:t>enfants et d</w:t>
      </w:r>
      <w:r w:rsidR="00FB1114">
        <w:rPr>
          <w:noProof/>
          <w:lang w:val="fr-FR" w:eastAsia="es-BO"/>
        </w:rPr>
        <w:t>’</w:t>
      </w:r>
      <w:r>
        <w:rPr>
          <w:noProof/>
          <w:lang w:val="fr-FR" w:eastAsia="es-BO"/>
        </w:rPr>
        <w:t>adolescents ont l</w:t>
      </w:r>
      <w:r w:rsidR="00FB1114">
        <w:rPr>
          <w:noProof/>
          <w:lang w:val="fr-FR" w:eastAsia="es-BO"/>
        </w:rPr>
        <w:t>’</w:t>
      </w:r>
      <w:r>
        <w:rPr>
          <w:noProof/>
          <w:lang w:val="fr-FR" w:eastAsia="es-BO"/>
        </w:rPr>
        <w:t>obligation de traiter ces infractions en priorité et de façon accélérée conformément à la loi, jusqu</w:t>
      </w:r>
      <w:r w:rsidR="00FB1114">
        <w:rPr>
          <w:noProof/>
          <w:lang w:val="fr-FR" w:eastAsia="es-BO"/>
        </w:rPr>
        <w:t>’</w:t>
      </w:r>
      <w:r>
        <w:rPr>
          <w:noProof/>
          <w:lang w:val="fr-FR" w:eastAsia="es-BO"/>
        </w:rPr>
        <w:t>à la fin de la procédure. </w:t>
      </w:r>
      <w:r w:rsidRPr="00CD5BE7">
        <w:rPr>
          <w:noProof/>
          <w:lang w:val="fr-FR" w:eastAsia="es-BO"/>
        </w:rPr>
        <w:t>»</w:t>
      </w:r>
      <w:r w:rsidR="00CD5BE7">
        <w:rPr>
          <w:noProof/>
          <w:lang w:val="fr-FR" w:eastAsia="es-BO"/>
        </w:rPr>
        <w:t>.</w:t>
      </w:r>
    </w:p>
    <w:p w:rsidR="00614A7E" w:rsidRPr="00D11905" w:rsidRDefault="00614A7E" w:rsidP="00614A7E">
      <w:pPr>
        <w:pStyle w:val="SingleTxtG"/>
        <w:rPr>
          <w:noProof/>
          <w:lang w:val="fr-FR" w:eastAsia="es-BO"/>
        </w:rPr>
      </w:pPr>
      <w:r w:rsidRPr="00DF456A">
        <w:rPr>
          <w:noProof/>
          <w:lang w:val="fr-FR" w:eastAsia="es-BO"/>
        </w:rPr>
        <w:t>143.</w:t>
      </w:r>
      <w:r w:rsidRPr="00DF456A">
        <w:rPr>
          <w:noProof/>
          <w:lang w:val="fr-FR" w:eastAsia="es-BO"/>
        </w:rPr>
        <w:tab/>
      </w:r>
      <w:r>
        <w:rPr>
          <w:noProof/>
          <w:lang w:val="fr-FR" w:eastAsia="es-BO"/>
        </w:rPr>
        <w:t>De même, en vertu de l</w:t>
      </w:r>
      <w:r w:rsidR="00FB1114">
        <w:rPr>
          <w:noProof/>
          <w:lang w:val="fr-FR" w:eastAsia="es-BO"/>
        </w:rPr>
        <w:t>’</w:t>
      </w:r>
      <w:r>
        <w:rPr>
          <w:noProof/>
          <w:lang w:val="fr-FR" w:eastAsia="es-BO"/>
        </w:rPr>
        <w:t>article</w:t>
      </w:r>
      <w:r w:rsidR="00CD5BE7">
        <w:rPr>
          <w:noProof/>
          <w:lang w:val="fr-FR" w:eastAsia="es-BO"/>
        </w:rPr>
        <w:t> </w:t>
      </w:r>
      <w:r w:rsidRPr="00DF456A">
        <w:rPr>
          <w:noProof/>
          <w:lang w:val="fr-FR" w:eastAsia="es-BO"/>
        </w:rPr>
        <w:t xml:space="preserve">154 de la </w:t>
      </w:r>
      <w:r>
        <w:rPr>
          <w:noProof/>
          <w:lang w:val="fr-FR" w:eastAsia="es-BO"/>
        </w:rPr>
        <w:t>loi susvisée</w:t>
      </w:r>
      <w:r w:rsidRPr="00DF456A">
        <w:rPr>
          <w:noProof/>
          <w:lang w:val="fr-FR" w:eastAsia="es-BO"/>
        </w:rPr>
        <w:t xml:space="preserve">, </w:t>
      </w:r>
      <w:r>
        <w:rPr>
          <w:noProof/>
          <w:lang w:val="fr-FR" w:eastAsia="es-BO"/>
        </w:rPr>
        <w:t>« (le) ministère public, agissant par l</w:t>
      </w:r>
      <w:r w:rsidR="00FB1114">
        <w:rPr>
          <w:noProof/>
          <w:lang w:val="fr-FR" w:eastAsia="es-BO"/>
        </w:rPr>
        <w:t>’</w:t>
      </w:r>
      <w:r>
        <w:rPr>
          <w:noProof/>
          <w:lang w:val="fr-FR" w:eastAsia="es-BO"/>
        </w:rPr>
        <w:t>intermédiaire de ses services spécialisés, et le Ministère de la justice, agissant par l</w:t>
      </w:r>
      <w:r w:rsidR="00FB1114">
        <w:rPr>
          <w:noProof/>
          <w:lang w:val="fr-FR" w:eastAsia="es-BO"/>
        </w:rPr>
        <w:t>’</w:t>
      </w:r>
      <w:r>
        <w:rPr>
          <w:noProof/>
          <w:lang w:val="fr-FR" w:eastAsia="es-BO"/>
        </w:rPr>
        <w:t>intermédiaire du système du Service plurinational de défense publique, dans le cadre de leurs compétences respectives, prennent en charge l</w:t>
      </w:r>
      <w:r w:rsidR="00FB1114">
        <w:rPr>
          <w:noProof/>
          <w:lang w:val="fr-FR" w:eastAsia="es-BO"/>
        </w:rPr>
        <w:t>’</w:t>
      </w:r>
      <w:r>
        <w:rPr>
          <w:noProof/>
          <w:lang w:val="fr-FR" w:eastAsia="es-BO"/>
        </w:rPr>
        <w:t>enfant ou l</w:t>
      </w:r>
      <w:r w:rsidR="00FB1114">
        <w:rPr>
          <w:noProof/>
          <w:lang w:val="fr-FR" w:eastAsia="es-BO"/>
        </w:rPr>
        <w:t>’</w:t>
      </w:r>
      <w:r w:rsidRPr="00DF456A">
        <w:rPr>
          <w:noProof/>
          <w:lang w:val="fr-FR" w:eastAsia="es-BO"/>
        </w:rPr>
        <w:t>adolescent</w:t>
      </w:r>
      <w:r>
        <w:rPr>
          <w:noProof/>
          <w:lang w:val="fr-FR" w:eastAsia="es-BO"/>
        </w:rPr>
        <w:t xml:space="preserve"> victime ou témoin d</w:t>
      </w:r>
      <w:r w:rsidR="00FB1114">
        <w:rPr>
          <w:noProof/>
          <w:lang w:val="fr-FR" w:eastAsia="es-BO"/>
        </w:rPr>
        <w:t>’</w:t>
      </w:r>
      <w:r>
        <w:rPr>
          <w:noProof/>
          <w:lang w:val="fr-FR" w:eastAsia="es-BO"/>
        </w:rPr>
        <w:t>une infraction, en vue de son rétablissement psychoaffectif. À cette fin</w:t>
      </w:r>
      <w:r w:rsidR="00CD5BE7">
        <w:rPr>
          <w:noProof/>
          <w:lang w:val="fr-FR" w:eastAsia="es-BO"/>
        </w:rPr>
        <w:t> </w:t>
      </w:r>
      <w:r w:rsidRPr="00DF456A">
        <w:rPr>
          <w:noProof/>
          <w:lang w:val="fr-FR" w:eastAsia="es-BO"/>
        </w:rPr>
        <w:t>: a</w:t>
      </w:r>
      <w:r>
        <w:rPr>
          <w:noProof/>
          <w:lang w:val="fr-FR" w:eastAsia="es-BO"/>
        </w:rPr>
        <w:t>)</w:t>
      </w:r>
      <w:r w:rsidR="00CD5BE7">
        <w:rPr>
          <w:noProof/>
          <w:lang w:val="fr-FR" w:eastAsia="es-BO"/>
        </w:rPr>
        <w:t> </w:t>
      </w:r>
      <w:r>
        <w:rPr>
          <w:noProof/>
          <w:lang w:val="fr-FR" w:eastAsia="es-BO"/>
        </w:rPr>
        <w:t>ils lui apportent un traitement spécialisé respectueux, efficace et chaleureux, dispensé à titre confidentiel et dans la langue maternelle de l</w:t>
      </w:r>
      <w:r w:rsidR="00FB1114">
        <w:rPr>
          <w:noProof/>
          <w:lang w:val="fr-FR" w:eastAsia="es-BO"/>
        </w:rPr>
        <w:t>’</w:t>
      </w:r>
      <w:r>
        <w:rPr>
          <w:noProof/>
          <w:lang w:val="fr-FR" w:eastAsia="es-BO"/>
        </w:rPr>
        <w:t>intéressé(e) ou une autre langue qu</w:t>
      </w:r>
      <w:r w:rsidR="00FB1114">
        <w:rPr>
          <w:noProof/>
          <w:lang w:val="fr-FR" w:eastAsia="es-BO"/>
        </w:rPr>
        <w:t>’</w:t>
      </w:r>
      <w:r>
        <w:rPr>
          <w:noProof/>
          <w:lang w:val="fr-FR" w:eastAsia="es-BO"/>
        </w:rPr>
        <w:t>il ou elle comprend, et avec le concours d</w:t>
      </w:r>
      <w:r w:rsidR="00FB1114">
        <w:rPr>
          <w:noProof/>
          <w:lang w:val="fr-FR" w:eastAsia="es-BO"/>
        </w:rPr>
        <w:t>’</w:t>
      </w:r>
      <w:r>
        <w:rPr>
          <w:noProof/>
          <w:lang w:val="fr-FR" w:eastAsia="es-BO"/>
        </w:rPr>
        <w:t>une équipe multidisci</w:t>
      </w:r>
      <w:r w:rsidR="00600D92">
        <w:rPr>
          <w:noProof/>
          <w:lang w:val="fr-FR" w:eastAsia="es-BO"/>
        </w:rPr>
        <w:t>p</w:t>
      </w:r>
      <w:r>
        <w:rPr>
          <w:noProof/>
          <w:lang w:val="fr-FR" w:eastAsia="es-BO"/>
        </w:rPr>
        <w:t>linaire</w:t>
      </w:r>
      <w:r w:rsidR="00CD5BE7">
        <w:rPr>
          <w:noProof/>
          <w:lang w:val="fr-FR" w:eastAsia="es-BO"/>
        </w:rPr>
        <w:t> </w:t>
      </w:r>
      <w:r>
        <w:rPr>
          <w:noProof/>
          <w:lang w:val="fr-FR" w:eastAsia="es-BO"/>
        </w:rPr>
        <w:t>; et</w:t>
      </w:r>
      <w:r w:rsidRPr="00DF456A">
        <w:rPr>
          <w:noProof/>
          <w:lang w:val="fr-FR" w:eastAsia="es-BO"/>
        </w:rPr>
        <w:t xml:space="preserve"> b</w:t>
      </w:r>
      <w:r>
        <w:rPr>
          <w:noProof/>
          <w:lang w:val="fr-FR" w:eastAsia="es-BO"/>
        </w:rPr>
        <w:t>)</w:t>
      </w:r>
      <w:r w:rsidR="00CD5BE7">
        <w:rPr>
          <w:noProof/>
          <w:lang w:val="fr-FR" w:eastAsia="es-BO"/>
        </w:rPr>
        <w:t> </w:t>
      </w:r>
      <w:r>
        <w:rPr>
          <w:noProof/>
          <w:lang w:val="fr-FR" w:eastAsia="es-BO"/>
        </w:rPr>
        <w:t>ils appliquent les protocoles de prise en charge et les feuilles de route urgentes officiels</w:t>
      </w:r>
      <w:r w:rsidRPr="00DF456A">
        <w:rPr>
          <w:noProof/>
          <w:lang w:val="fr-FR" w:eastAsia="es-BO"/>
        </w:rPr>
        <w:t xml:space="preserve">, </w:t>
      </w:r>
      <w:r>
        <w:rPr>
          <w:noProof/>
          <w:lang w:val="fr-FR" w:eastAsia="es-BO"/>
        </w:rPr>
        <w:t xml:space="preserve">en tenant compte </w:t>
      </w:r>
      <w:r w:rsidRPr="00D11905">
        <w:rPr>
          <w:noProof/>
          <w:lang w:val="fr-FR" w:eastAsia="es-BO"/>
        </w:rPr>
        <w:t>également de la production de preuves afin d</w:t>
      </w:r>
      <w:r w:rsidR="00FB1114" w:rsidRPr="00D11905">
        <w:rPr>
          <w:noProof/>
          <w:lang w:val="fr-FR" w:eastAsia="es-BO"/>
        </w:rPr>
        <w:t>’</w:t>
      </w:r>
      <w:r w:rsidRPr="00D11905">
        <w:rPr>
          <w:noProof/>
          <w:lang w:val="fr-FR" w:eastAsia="es-BO"/>
        </w:rPr>
        <w:t>éviter la revictimisation »</w:t>
      </w:r>
      <w:r w:rsidR="00CD5BE7" w:rsidRPr="00D11905">
        <w:rPr>
          <w:noProof/>
          <w:lang w:val="fr-FR" w:eastAsia="es-BO"/>
        </w:rPr>
        <w:t>.</w:t>
      </w:r>
    </w:p>
    <w:p w:rsidR="00614A7E" w:rsidRPr="00D11905" w:rsidRDefault="00614A7E" w:rsidP="00614A7E">
      <w:pPr>
        <w:pStyle w:val="SingleTxtG"/>
        <w:rPr>
          <w:noProof/>
          <w:lang w:val="fr-FR" w:eastAsia="es-BO"/>
        </w:rPr>
      </w:pPr>
      <w:r w:rsidRPr="00D11905">
        <w:rPr>
          <w:noProof/>
          <w:lang w:val="fr-FR" w:eastAsia="es-BO"/>
        </w:rPr>
        <w:t>144.</w:t>
      </w:r>
      <w:r w:rsidRPr="00D11905">
        <w:rPr>
          <w:noProof/>
          <w:lang w:val="fr-FR" w:eastAsia="es-BO"/>
        </w:rPr>
        <w:tab/>
        <w:t>Conformément à ces dispositions, le Ministère de la justice et de la transparence institutionnelle</w:t>
      </w:r>
      <w:r w:rsidRPr="00D11905">
        <w:rPr>
          <w:noProof/>
          <w:sz w:val="18"/>
          <w:szCs w:val="18"/>
          <w:vertAlign w:val="superscript"/>
          <w:lang w:val="fr-FR" w:eastAsia="es-BO"/>
        </w:rPr>
        <w:footnoteReference w:id="64"/>
      </w:r>
      <w:r w:rsidRPr="00D11905">
        <w:rPr>
          <w:noProof/>
          <w:lang w:val="fr-FR" w:eastAsia="es-BO"/>
        </w:rPr>
        <w:t xml:space="preserve"> a, conjointement avec les instances qui composent le Réseau pour le droit de vivre à l</w:t>
      </w:r>
      <w:r w:rsidR="00FB1114" w:rsidRPr="00D11905">
        <w:rPr>
          <w:noProof/>
          <w:lang w:val="fr-FR" w:eastAsia="es-BO"/>
        </w:rPr>
        <w:t>’</w:t>
      </w:r>
      <w:r w:rsidRPr="00D11905">
        <w:rPr>
          <w:noProof/>
          <w:lang w:val="fr-FR" w:eastAsia="es-BO"/>
        </w:rPr>
        <w:t xml:space="preserve">abri de la violence, élaboré le Protocole de </w:t>
      </w:r>
      <w:r w:rsidRPr="00D11905">
        <w:rPr>
          <w:noProof/>
          <w:lang w:val="fr-FR"/>
        </w:rPr>
        <w:t>prévention, de traitement et de répression de</w:t>
      </w:r>
      <w:r w:rsidRPr="00D11905">
        <w:rPr>
          <w:noProof/>
          <w:lang w:val="fr-FR" w:eastAsia="es-BO"/>
        </w:rPr>
        <w:t xml:space="preserve"> toute forme d</w:t>
      </w:r>
      <w:r w:rsidR="00FB1114" w:rsidRPr="00D11905">
        <w:rPr>
          <w:noProof/>
          <w:lang w:val="fr-FR" w:eastAsia="es-BO"/>
        </w:rPr>
        <w:t>’</w:t>
      </w:r>
      <w:r w:rsidRPr="00D11905">
        <w:rPr>
          <w:noProof/>
          <w:lang w:val="fr-FR" w:eastAsia="es-BO"/>
        </w:rPr>
        <w:t>atteinte à l</w:t>
      </w:r>
      <w:r w:rsidR="00FB1114" w:rsidRPr="00D11905">
        <w:rPr>
          <w:noProof/>
          <w:lang w:val="fr-FR" w:eastAsia="es-BO"/>
        </w:rPr>
        <w:t>’</w:t>
      </w:r>
      <w:r w:rsidRPr="00D11905">
        <w:rPr>
          <w:noProof/>
          <w:lang w:val="fr-FR" w:eastAsia="es-BO"/>
        </w:rPr>
        <w:t>intégrité sexuelle des enfants et des adolescents et la Feuille de route urgente en matière de prévention, de traitement et de répression (annexe</w:t>
      </w:r>
      <w:r w:rsidR="00600D92" w:rsidRPr="00D11905">
        <w:rPr>
          <w:noProof/>
          <w:lang w:val="fr-FR" w:eastAsia="es-BO"/>
        </w:rPr>
        <w:t> </w:t>
      </w:r>
      <w:r w:rsidRPr="00D11905">
        <w:rPr>
          <w:noProof/>
          <w:lang w:val="fr-FR" w:eastAsia="es-BO"/>
        </w:rPr>
        <w:t>48), qui est un ensemble de procédures spécifiques énonçant des directives à l</w:t>
      </w:r>
      <w:r w:rsidR="00FB1114" w:rsidRPr="00D11905">
        <w:rPr>
          <w:noProof/>
          <w:lang w:val="fr-FR" w:eastAsia="es-BO"/>
        </w:rPr>
        <w:t>’</w:t>
      </w:r>
      <w:r w:rsidRPr="00D11905">
        <w:rPr>
          <w:noProof/>
          <w:lang w:val="fr-FR" w:eastAsia="es-BO"/>
        </w:rPr>
        <w:t>intention des entités publiques et privées, des organisations de la société civile et des familles, et visant principalement à mener des interventions immédiates, dans le cadre de la prévention de la violence sexuelle, en instaurant les conditions nécessaires pour éliminer ce type de violence par une prise en charge complète et interdisciplinaire des jeunes Boliviens.</w:t>
      </w:r>
    </w:p>
    <w:p w:rsidR="00614A7E" w:rsidRPr="00CD5BE7" w:rsidRDefault="00614A7E" w:rsidP="00614A7E">
      <w:pPr>
        <w:pStyle w:val="SingleTxtG"/>
        <w:rPr>
          <w:noProof/>
          <w:lang w:val="fr-FR" w:eastAsia="es-BO"/>
        </w:rPr>
      </w:pPr>
      <w:r w:rsidRPr="00D11905">
        <w:rPr>
          <w:noProof/>
          <w:lang w:val="fr-FR" w:eastAsia="es-BO"/>
        </w:rPr>
        <w:t>145.</w:t>
      </w:r>
      <w:r w:rsidRPr="00D11905">
        <w:rPr>
          <w:noProof/>
          <w:lang w:val="fr-FR" w:eastAsia="es-BO"/>
        </w:rPr>
        <w:tab/>
      </w:r>
      <w:r w:rsidRPr="00D11905">
        <w:rPr>
          <w:rFonts w:eastAsia="Calibri"/>
          <w:noProof/>
          <w:lang w:val="fr-FR" w:eastAsia="es-BO"/>
        </w:rPr>
        <w:t xml:space="preserve">Par ailleurs, les </w:t>
      </w:r>
      <w:r w:rsidRPr="00D11905">
        <w:rPr>
          <w:noProof/>
          <w:lang w:val="fr-FR" w:eastAsia="es-BO"/>
        </w:rPr>
        <w:t>Services de poursuite</w:t>
      </w:r>
      <w:r w:rsidRPr="00CD5BE7">
        <w:rPr>
          <w:noProof/>
          <w:lang w:val="fr-FR" w:eastAsia="es-BO"/>
        </w:rPr>
        <w:t xml:space="preserve"> chargé des victimes nécessitant une attention prioritaire, qui relèvent du ministère public, </w:t>
      </w:r>
      <w:r w:rsidRPr="00CD5BE7">
        <w:rPr>
          <w:rFonts w:eastAsia="Calibri"/>
          <w:noProof/>
          <w:lang w:val="fr-FR" w:eastAsia="es-BO"/>
        </w:rPr>
        <w:t xml:space="preserve">conduisent la poursuite pénale spécialisée des infractions visées par la loi </w:t>
      </w:r>
      <w:r w:rsidR="00CD5BE7" w:rsidRPr="00AD55D6">
        <w:rPr>
          <w:rFonts w:eastAsia="MS Mincho"/>
          <w:noProof/>
          <w:szCs w:val="22"/>
          <w:lang w:val="fr-FR" w:eastAsia="es-BO"/>
        </w:rPr>
        <w:t>n</w:t>
      </w:r>
      <w:r w:rsidR="00CD5BE7" w:rsidRPr="00AD55D6">
        <w:rPr>
          <w:rFonts w:eastAsia="MS Mincho"/>
          <w:noProof/>
          <w:szCs w:val="22"/>
          <w:vertAlign w:val="superscript"/>
          <w:lang w:val="fr-FR" w:eastAsia="es-BO"/>
        </w:rPr>
        <w:t>o</w:t>
      </w:r>
      <w:r w:rsidR="00CD5BE7">
        <w:rPr>
          <w:noProof/>
          <w:lang w:val="fr-FR" w:eastAsia="es-BO"/>
        </w:rPr>
        <w:t> </w:t>
      </w:r>
      <w:r w:rsidRPr="00CD5BE7">
        <w:rPr>
          <w:rFonts w:eastAsia="Calibri"/>
          <w:noProof/>
          <w:lang w:val="fr-FR" w:eastAsia="es-BO"/>
        </w:rPr>
        <w:t xml:space="preserve">263 et la loi </w:t>
      </w:r>
      <w:r w:rsidR="00CD5BE7" w:rsidRPr="00AD55D6">
        <w:rPr>
          <w:rFonts w:eastAsia="MS Mincho"/>
          <w:noProof/>
          <w:szCs w:val="22"/>
          <w:lang w:val="fr-FR" w:eastAsia="es-BO"/>
        </w:rPr>
        <w:t>n</w:t>
      </w:r>
      <w:r w:rsidR="00CD5BE7" w:rsidRPr="00AD55D6">
        <w:rPr>
          <w:rFonts w:eastAsia="MS Mincho"/>
          <w:noProof/>
          <w:szCs w:val="22"/>
          <w:vertAlign w:val="superscript"/>
          <w:lang w:val="fr-FR" w:eastAsia="es-BO"/>
        </w:rPr>
        <w:t>o</w:t>
      </w:r>
      <w:r w:rsidR="00CD5BE7">
        <w:rPr>
          <w:noProof/>
          <w:lang w:val="fr-FR" w:eastAsia="es-BO"/>
        </w:rPr>
        <w:t> </w:t>
      </w:r>
      <w:r w:rsidRPr="00CD5BE7">
        <w:rPr>
          <w:rFonts w:eastAsia="Calibri"/>
          <w:noProof/>
          <w:lang w:val="fr-FR" w:eastAsia="es-BO"/>
        </w:rPr>
        <w:t>348 (cas de violence contre les femmes ou de violence sexuelle contre les mineurs), dans le cadre de la prise en charge prioritaire spécialisée</w:t>
      </w:r>
      <w:r w:rsidR="00593789">
        <w:rPr>
          <w:rFonts w:eastAsia="Calibri"/>
          <w:noProof/>
          <w:lang w:val="fr-FR" w:eastAsia="es-BO"/>
        </w:rPr>
        <w:t xml:space="preserve"> </w:t>
      </w:r>
      <w:r w:rsidRPr="00CD5BE7">
        <w:rPr>
          <w:rFonts w:eastAsia="Calibri"/>
          <w:noProof/>
          <w:lang w:val="fr-FR" w:eastAsia="es-BO"/>
        </w:rPr>
        <w:t>des victimes d</w:t>
      </w:r>
      <w:r w:rsidR="00FB1114">
        <w:rPr>
          <w:rFonts w:eastAsia="Calibri"/>
          <w:noProof/>
          <w:lang w:val="fr-FR" w:eastAsia="es-BO"/>
        </w:rPr>
        <w:t>’</w:t>
      </w:r>
      <w:r w:rsidRPr="00CD5BE7">
        <w:rPr>
          <w:rFonts w:eastAsia="Calibri"/>
          <w:noProof/>
          <w:lang w:val="fr-FR" w:eastAsia="es-BO"/>
        </w:rPr>
        <w:t>infractions de ce type.</w:t>
      </w:r>
    </w:p>
    <w:p w:rsidR="00614A7E" w:rsidRPr="00DF456A" w:rsidRDefault="000D37AA" w:rsidP="000D37AA">
      <w:pPr>
        <w:pStyle w:val="H23G"/>
        <w:rPr>
          <w:noProof/>
          <w:lang w:val="fr-FR" w:eastAsia="es-BO"/>
        </w:rPr>
      </w:pPr>
      <w:r>
        <w:tab/>
      </w:r>
      <w:r>
        <w:tab/>
      </w:r>
      <w:r w:rsidR="00614A7E" w:rsidRPr="000D37AA">
        <w:t>Recommandation</w:t>
      </w:r>
      <w:r w:rsidR="00614A7E">
        <w:rPr>
          <w:noProof/>
          <w:lang w:val="fr-FR" w:eastAsia="es-BO"/>
        </w:rPr>
        <w:t xml:space="preserve"> figurant au paragraphe </w:t>
      </w:r>
      <w:r w:rsidR="00614A7E" w:rsidRPr="00DF456A">
        <w:rPr>
          <w:noProof/>
          <w:lang w:val="fr-FR" w:eastAsia="es-BO"/>
        </w:rPr>
        <w:t>16.b</w:t>
      </w:r>
    </w:p>
    <w:p w:rsidR="00614A7E" w:rsidRPr="00755E5F" w:rsidRDefault="00614A7E" w:rsidP="00614A7E">
      <w:pPr>
        <w:pStyle w:val="SingleTxtG"/>
        <w:rPr>
          <w:noProof/>
          <w:lang w:val="fr-FR" w:eastAsia="es-BO"/>
        </w:rPr>
      </w:pPr>
      <w:r w:rsidRPr="00DF456A">
        <w:rPr>
          <w:noProof/>
          <w:lang w:val="fr-FR" w:eastAsia="es-BO"/>
        </w:rPr>
        <w:t>146.</w:t>
      </w:r>
      <w:r w:rsidRPr="00DF456A">
        <w:rPr>
          <w:noProof/>
          <w:lang w:val="fr-FR" w:eastAsia="es-BO"/>
        </w:rPr>
        <w:tab/>
        <w:t>L</w:t>
      </w:r>
      <w:r>
        <w:rPr>
          <w:noProof/>
          <w:lang w:val="fr-FR" w:eastAsia="es-BO"/>
        </w:rPr>
        <w:t>e</w:t>
      </w:r>
      <w:r w:rsidRPr="00DF456A">
        <w:rPr>
          <w:noProof/>
          <w:lang w:val="fr-FR" w:eastAsia="es-BO"/>
        </w:rPr>
        <w:t>s instanc</w:t>
      </w:r>
      <w:r>
        <w:rPr>
          <w:noProof/>
          <w:lang w:val="fr-FR" w:eastAsia="es-BO"/>
        </w:rPr>
        <w:t>e</w:t>
      </w:r>
      <w:r w:rsidRPr="00DF456A">
        <w:rPr>
          <w:noProof/>
          <w:lang w:val="fr-FR" w:eastAsia="es-BO"/>
        </w:rPr>
        <w:t xml:space="preserve">s </w:t>
      </w:r>
      <w:r>
        <w:rPr>
          <w:noProof/>
          <w:lang w:val="fr-FR" w:eastAsia="es-BO"/>
        </w:rPr>
        <w:t>de prise en charge complète des cas d</w:t>
      </w:r>
      <w:r w:rsidR="00FB1114">
        <w:rPr>
          <w:noProof/>
          <w:lang w:val="fr-FR" w:eastAsia="es-BO"/>
        </w:rPr>
        <w:t>’</w:t>
      </w:r>
      <w:r>
        <w:rPr>
          <w:noProof/>
          <w:lang w:val="fr-FR" w:eastAsia="es-BO"/>
        </w:rPr>
        <w:t>atteinte à l</w:t>
      </w:r>
      <w:r w:rsidR="00FB1114">
        <w:rPr>
          <w:noProof/>
          <w:lang w:val="fr-FR" w:eastAsia="es-BO"/>
        </w:rPr>
        <w:t>’</w:t>
      </w:r>
      <w:r>
        <w:rPr>
          <w:noProof/>
          <w:lang w:val="fr-FR" w:eastAsia="es-BO"/>
        </w:rPr>
        <w:t>intégrité sexuelle des enfants et adolescents incriminés dans le Code pénal sont les suivantes</w:t>
      </w:r>
      <w:r w:rsidR="00755E5F">
        <w:rPr>
          <w:noProof/>
          <w:lang w:val="fr-FR" w:eastAsia="es-BO"/>
        </w:rPr>
        <w:t> </w:t>
      </w:r>
      <w:r w:rsidRPr="00DF456A">
        <w:rPr>
          <w:noProof/>
          <w:lang w:val="fr-FR" w:eastAsia="es-BO"/>
        </w:rPr>
        <w:t>:</w:t>
      </w:r>
    </w:p>
    <w:p w:rsidR="00614A7E" w:rsidRPr="00755E5F" w:rsidRDefault="00614A7E" w:rsidP="00755E5F">
      <w:pPr>
        <w:pStyle w:val="Bullet1G"/>
      </w:pPr>
      <w:r w:rsidRPr="00755E5F">
        <w:rPr>
          <w:noProof/>
          <w:lang w:val="fr-FR"/>
        </w:rPr>
        <w:t>Le ministère public, par l</w:t>
      </w:r>
      <w:r w:rsidR="00FB1114">
        <w:rPr>
          <w:noProof/>
          <w:lang w:val="fr-FR"/>
        </w:rPr>
        <w:t>’</w:t>
      </w:r>
      <w:r w:rsidRPr="00755E5F">
        <w:rPr>
          <w:noProof/>
          <w:lang w:val="fr-FR"/>
        </w:rPr>
        <w:t xml:space="preserve">intermédiaire des </w:t>
      </w:r>
      <w:r w:rsidRPr="00755E5F">
        <w:rPr>
          <w:noProof/>
          <w:lang w:val="fr-FR" w:eastAsia="es-BO"/>
        </w:rPr>
        <w:t xml:space="preserve">Services de poursuite chargé des </w:t>
      </w:r>
      <w:r w:rsidRPr="00755E5F">
        <w:t>victimes nécessitant une attention prioritaire</w:t>
      </w:r>
      <w:r w:rsidR="00755E5F">
        <w:t> ;</w:t>
      </w:r>
    </w:p>
    <w:p w:rsidR="00614A7E" w:rsidRPr="00755E5F" w:rsidRDefault="00614A7E" w:rsidP="00755E5F">
      <w:pPr>
        <w:pStyle w:val="Bullet1G"/>
      </w:pPr>
      <w:r w:rsidRPr="00755E5F">
        <w:t>La Police bolivienne</w:t>
      </w:r>
      <w:r w:rsidR="00755E5F">
        <w:t> ;</w:t>
      </w:r>
    </w:p>
    <w:p w:rsidR="00614A7E" w:rsidRPr="00755E5F" w:rsidRDefault="00614A7E" w:rsidP="00755E5F">
      <w:pPr>
        <w:pStyle w:val="Bullet1G"/>
        <w:rPr>
          <w:noProof/>
          <w:lang w:val="fr-FR"/>
        </w:rPr>
      </w:pPr>
      <w:r w:rsidRPr="00755E5F">
        <w:t>Les chambres d</w:t>
      </w:r>
      <w:r w:rsidR="00FB1114">
        <w:t>’</w:t>
      </w:r>
      <w:r w:rsidRPr="00755E5F">
        <w:t>instruction, les tribunaux inférieurs et les tribunaux publics pour enfants</w:t>
      </w:r>
      <w:r w:rsidRPr="00755E5F">
        <w:rPr>
          <w:noProof/>
          <w:lang w:val="fr-FR"/>
        </w:rPr>
        <w:t xml:space="preserve"> et adolescents.</w:t>
      </w:r>
    </w:p>
    <w:p w:rsidR="00614A7E" w:rsidRPr="00755E5F" w:rsidRDefault="00614A7E" w:rsidP="00614A7E">
      <w:pPr>
        <w:pStyle w:val="SingleTxtG"/>
        <w:rPr>
          <w:noProof/>
          <w:lang w:val="fr-FR" w:eastAsia="es-BO"/>
        </w:rPr>
      </w:pPr>
      <w:r w:rsidRPr="00755E5F">
        <w:rPr>
          <w:noProof/>
          <w:lang w:val="fr-FR" w:eastAsia="es-BO"/>
        </w:rPr>
        <w:lastRenderedPageBreak/>
        <w:t>147.</w:t>
      </w:r>
      <w:r w:rsidRPr="00755E5F">
        <w:rPr>
          <w:noProof/>
          <w:lang w:val="fr-FR" w:eastAsia="es-BO"/>
        </w:rPr>
        <w:tab/>
        <w:t>De même, les instances chargées d</w:t>
      </w:r>
      <w:r w:rsidR="00FB1114">
        <w:rPr>
          <w:noProof/>
          <w:lang w:val="fr-FR" w:eastAsia="es-BO"/>
        </w:rPr>
        <w:t>’</w:t>
      </w:r>
      <w:r w:rsidRPr="00755E5F">
        <w:rPr>
          <w:noProof/>
          <w:lang w:val="fr-FR" w:eastAsia="es-BO"/>
        </w:rPr>
        <w:t>identifier et d</w:t>
      </w:r>
      <w:r w:rsidR="00FB1114">
        <w:rPr>
          <w:noProof/>
          <w:lang w:val="fr-FR" w:eastAsia="es-BO"/>
        </w:rPr>
        <w:t>’</w:t>
      </w:r>
      <w:r w:rsidRPr="00755E5F">
        <w:rPr>
          <w:noProof/>
          <w:lang w:val="fr-FR" w:eastAsia="es-BO"/>
        </w:rPr>
        <w:t>encourager les signalements sont les suivantes</w:t>
      </w:r>
      <w:r w:rsidR="00E62955">
        <w:rPr>
          <w:noProof/>
          <w:lang w:val="fr-FR" w:eastAsia="es-BO"/>
        </w:rPr>
        <w:t> </w:t>
      </w:r>
      <w:r w:rsidRPr="00755E5F">
        <w:rPr>
          <w:noProof/>
          <w:lang w:val="fr-FR" w:eastAsia="es-BO"/>
        </w:rPr>
        <w:t>:</w:t>
      </w:r>
    </w:p>
    <w:p w:rsidR="00614A7E" w:rsidRPr="00DF456A" w:rsidRDefault="00614A7E" w:rsidP="00755E5F">
      <w:pPr>
        <w:pStyle w:val="Bullet1G"/>
        <w:rPr>
          <w:noProof/>
          <w:lang w:val="fr-FR"/>
        </w:rPr>
      </w:pPr>
      <w:r w:rsidRPr="007B0565">
        <w:rPr>
          <w:noProof/>
          <w:lang w:val="fr-FR"/>
        </w:rPr>
        <w:t>Services de défense des enfants et des adolescents</w:t>
      </w:r>
      <w:r>
        <w:rPr>
          <w:noProof/>
          <w:lang w:val="fr-FR"/>
        </w:rPr>
        <w:t xml:space="preserve"> : encouragent et reçoivent les signalements, dans la mesure où ils sont désignés par la loi pour protéger les droits des </w:t>
      </w:r>
      <w:r w:rsidRPr="007B0565">
        <w:rPr>
          <w:noProof/>
          <w:lang w:val="fr-FR"/>
        </w:rPr>
        <w:t>enfants et des adolescents</w:t>
      </w:r>
      <w:r>
        <w:rPr>
          <w:noProof/>
          <w:lang w:val="fr-FR"/>
        </w:rPr>
        <w:t>, et garantissent la prise en charge et la protection juridique, psychologique et sociale des victimes</w:t>
      </w:r>
      <w:r w:rsidR="00264969">
        <w:rPr>
          <w:noProof/>
          <w:lang w:val="fr-FR"/>
        </w:rPr>
        <w:t> ;</w:t>
      </w:r>
    </w:p>
    <w:p w:rsidR="00614A7E" w:rsidRPr="00DF456A" w:rsidRDefault="00614A7E" w:rsidP="00755E5F">
      <w:pPr>
        <w:pStyle w:val="Bullet1G"/>
        <w:rPr>
          <w:noProof/>
          <w:lang w:val="fr-FR"/>
        </w:rPr>
      </w:pPr>
      <w:r w:rsidRPr="00DF456A">
        <w:rPr>
          <w:noProof/>
          <w:lang w:val="fr-FR"/>
        </w:rPr>
        <w:t>Servic</w:t>
      </w:r>
      <w:r>
        <w:rPr>
          <w:noProof/>
          <w:lang w:val="fr-FR"/>
        </w:rPr>
        <w:t>e intégré de justice plurinationale</w:t>
      </w:r>
      <w:r w:rsidR="00264969">
        <w:rPr>
          <w:noProof/>
          <w:lang w:val="fr-FR"/>
        </w:rPr>
        <w:t> ;</w:t>
      </w:r>
    </w:p>
    <w:p w:rsidR="00614A7E" w:rsidRPr="00DF456A" w:rsidRDefault="00614A7E" w:rsidP="00755E5F">
      <w:pPr>
        <w:pStyle w:val="Bullet1G"/>
        <w:rPr>
          <w:noProof/>
          <w:lang w:val="fr-FR"/>
        </w:rPr>
      </w:pPr>
      <w:r w:rsidRPr="00CB2F83">
        <w:rPr>
          <w:noProof/>
          <w:lang w:val="fr-FR" w:eastAsia="es-BO"/>
        </w:rPr>
        <w:t>Service plurinational d</w:t>
      </w:r>
      <w:r w:rsidR="00FB1114">
        <w:rPr>
          <w:noProof/>
          <w:lang w:val="fr-FR" w:eastAsia="es-BO"/>
        </w:rPr>
        <w:t>’</w:t>
      </w:r>
      <w:r w:rsidRPr="00CB2F83">
        <w:rPr>
          <w:noProof/>
          <w:lang w:val="fr-FR" w:eastAsia="es-BO"/>
        </w:rPr>
        <w:t>aide aux victimes</w:t>
      </w:r>
      <w:r w:rsidR="00264969">
        <w:rPr>
          <w:noProof/>
          <w:lang w:val="fr-FR" w:eastAsia="es-BO"/>
        </w:rPr>
        <w:t> ;</w:t>
      </w:r>
    </w:p>
    <w:p w:rsidR="00614A7E" w:rsidRPr="00DF456A" w:rsidRDefault="00614A7E" w:rsidP="00755E5F">
      <w:pPr>
        <w:pStyle w:val="Bullet1G"/>
        <w:rPr>
          <w:noProof/>
          <w:lang w:val="fr-FR"/>
        </w:rPr>
      </w:pPr>
      <w:r w:rsidRPr="00DF456A">
        <w:rPr>
          <w:noProof/>
          <w:lang w:val="fr-FR"/>
        </w:rPr>
        <w:t>Institu</w:t>
      </w:r>
      <w:r>
        <w:rPr>
          <w:noProof/>
          <w:lang w:val="fr-FR"/>
        </w:rPr>
        <w:t xml:space="preserve">tions publiques et privées </w:t>
      </w:r>
      <w:r w:rsidRPr="00DF456A">
        <w:rPr>
          <w:noProof/>
          <w:lang w:val="fr-FR"/>
        </w:rPr>
        <w:t>(</w:t>
      </w:r>
      <w:r>
        <w:rPr>
          <w:noProof/>
          <w:lang w:val="fr-FR"/>
        </w:rPr>
        <w:t>unités éducatives</w:t>
      </w:r>
      <w:r w:rsidRPr="00DF456A">
        <w:rPr>
          <w:noProof/>
          <w:lang w:val="fr-FR"/>
        </w:rPr>
        <w:t>, D</w:t>
      </w:r>
      <w:r>
        <w:rPr>
          <w:noProof/>
          <w:lang w:val="fr-FR"/>
        </w:rPr>
        <w:t>é</w:t>
      </w:r>
      <w:r w:rsidRPr="00DF456A">
        <w:rPr>
          <w:noProof/>
          <w:lang w:val="fr-FR"/>
        </w:rPr>
        <w:t>fens</w:t>
      </w:r>
      <w:r>
        <w:rPr>
          <w:noProof/>
          <w:lang w:val="fr-FR"/>
        </w:rPr>
        <w:t>eu</w:t>
      </w:r>
      <w:r w:rsidRPr="00DF456A">
        <w:rPr>
          <w:noProof/>
          <w:lang w:val="fr-FR"/>
        </w:rPr>
        <w:t>r d</w:t>
      </w:r>
      <w:r>
        <w:rPr>
          <w:noProof/>
          <w:lang w:val="fr-FR"/>
        </w:rPr>
        <w:t>u</w:t>
      </w:r>
      <w:r w:rsidRPr="00DF456A">
        <w:rPr>
          <w:noProof/>
          <w:lang w:val="fr-FR"/>
        </w:rPr>
        <w:t xml:space="preserve"> </w:t>
      </w:r>
      <w:r>
        <w:rPr>
          <w:noProof/>
          <w:lang w:val="fr-FR"/>
        </w:rPr>
        <w:t>peuple</w:t>
      </w:r>
      <w:r w:rsidRPr="00DF456A">
        <w:rPr>
          <w:noProof/>
          <w:lang w:val="fr-FR"/>
        </w:rPr>
        <w:t xml:space="preserve">, </w:t>
      </w:r>
      <w:r>
        <w:rPr>
          <w:noProof/>
          <w:lang w:val="fr-FR"/>
        </w:rPr>
        <w:t>services de gestion sociale</w:t>
      </w:r>
      <w:r w:rsidRPr="00DF456A">
        <w:rPr>
          <w:noProof/>
          <w:lang w:val="fr-FR"/>
        </w:rPr>
        <w:t xml:space="preserve">, </w:t>
      </w:r>
      <w:r>
        <w:rPr>
          <w:noProof/>
          <w:lang w:val="fr-FR"/>
        </w:rPr>
        <w:t>s</w:t>
      </w:r>
      <w:r w:rsidRPr="00DF456A">
        <w:rPr>
          <w:noProof/>
          <w:lang w:val="fr-FR"/>
        </w:rPr>
        <w:t>ervic</w:t>
      </w:r>
      <w:r>
        <w:rPr>
          <w:noProof/>
          <w:lang w:val="fr-FR"/>
        </w:rPr>
        <w:t>e</w:t>
      </w:r>
      <w:r w:rsidRPr="00DF456A">
        <w:rPr>
          <w:noProof/>
          <w:lang w:val="fr-FR"/>
        </w:rPr>
        <w:t xml:space="preserve">s </w:t>
      </w:r>
      <w:r>
        <w:rPr>
          <w:noProof/>
          <w:lang w:val="fr-FR"/>
        </w:rPr>
        <w:t>dé</w:t>
      </w:r>
      <w:r w:rsidRPr="00DF456A">
        <w:rPr>
          <w:noProof/>
          <w:lang w:val="fr-FR"/>
        </w:rPr>
        <w:t>part</w:t>
      </w:r>
      <w:r>
        <w:rPr>
          <w:noProof/>
          <w:lang w:val="fr-FR"/>
        </w:rPr>
        <w:t>e</w:t>
      </w:r>
      <w:r w:rsidRPr="00DF456A">
        <w:rPr>
          <w:noProof/>
          <w:lang w:val="fr-FR"/>
        </w:rPr>
        <w:t>menta</w:t>
      </w:r>
      <w:r>
        <w:rPr>
          <w:noProof/>
          <w:lang w:val="fr-FR"/>
        </w:rPr>
        <w:t>ux de santé</w:t>
      </w:r>
      <w:r w:rsidRPr="00DF456A">
        <w:rPr>
          <w:noProof/>
          <w:lang w:val="fr-FR"/>
        </w:rPr>
        <w:t xml:space="preserve">, </w:t>
      </w:r>
      <w:r>
        <w:rPr>
          <w:noProof/>
          <w:lang w:val="fr-FR"/>
        </w:rPr>
        <w:t>directions départementales de l</w:t>
      </w:r>
      <w:r w:rsidR="00FB1114">
        <w:rPr>
          <w:noProof/>
          <w:lang w:val="fr-FR"/>
        </w:rPr>
        <w:t>’</w:t>
      </w:r>
      <w:r>
        <w:rPr>
          <w:noProof/>
          <w:lang w:val="fr-FR"/>
        </w:rPr>
        <w:t>éducation</w:t>
      </w:r>
      <w:r w:rsidRPr="00DF456A">
        <w:rPr>
          <w:noProof/>
          <w:lang w:val="fr-FR"/>
        </w:rPr>
        <w:t xml:space="preserve">, </w:t>
      </w:r>
      <w:r>
        <w:rPr>
          <w:noProof/>
          <w:lang w:val="fr-FR"/>
        </w:rPr>
        <w:t>o</w:t>
      </w:r>
      <w:r w:rsidRPr="00DF456A">
        <w:rPr>
          <w:noProof/>
          <w:lang w:val="fr-FR"/>
        </w:rPr>
        <w:t>rgani</w:t>
      </w:r>
      <w:r>
        <w:rPr>
          <w:noProof/>
          <w:lang w:val="fr-FR"/>
        </w:rPr>
        <w:t>s</w:t>
      </w:r>
      <w:r w:rsidRPr="00DF456A">
        <w:rPr>
          <w:noProof/>
          <w:lang w:val="fr-FR"/>
        </w:rPr>
        <w:t>a</w:t>
      </w:r>
      <w:r>
        <w:rPr>
          <w:noProof/>
          <w:lang w:val="fr-FR"/>
        </w:rPr>
        <w:t>tion</w:t>
      </w:r>
      <w:r w:rsidRPr="00DF456A">
        <w:rPr>
          <w:noProof/>
          <w:lang w:val="fr-FR"/>
        </w:rPr>
        <w:t xml:space="preserve">s </w:t>
      </w:r>
      <w:r>
        <w:rPr>
          <w:noProof/>
          <w:lang w:val="fr-FR"/>
        </w:rPr>
        <w:t>non gouvernementales (ONG</w:t>
      </w:r>
      <w:r w:rsidRPr="00DF456A">
        <w:rPr>
          <w:noProof/>
          <w:lang w:val="fr-FR"/>
        </w:rPr>
        <w:t>) o</w:t>
      </w:r>
      <w:r>
        <w:rPr>
          <w:noProof/>
          <w:lang w:val="fr-FR"/>
        </w:rPr>
        <w:t>u fondations</w:t>
      </w:r>
      <w:r w:rsidRPr="00DF456A">
        <w:rPr>
          <w:noProof/>
          <w:lang w:val="fr-FR"/>
        </w:rPr>
        <w:t xml:space="preserve">) </w:t>
      </w:r>
      <w:r>
        <w:rPr>
          <w:noProof/>
          <w:lang w:val="fr-FR"/>
        </w:rPr>
        <w:t xml:space="preserve">et </w:t>
      </w:r>
      <w:r w:rsidRPr="00DF456A">
        <w:rPr>
          <w:noProof/>
          <w:lang w:val="fr-FR"/>
        </w:rPr>
        <w:t>servic</w:t>
      </w:r>
      <w:r>
        <w:rPr>
          <w:noProof/>
          <w:lang w:val="fr-FR"/>
        </w:rPr>
        <w:t>e</w:t>
      </w:r>
      <w:r w:rsidRPr="00DF456A">
        <w:rPr>
          <w:noProof/>
          <w:lang w:val="fr-FR"/>
        </w:rPr>
        <w:t>s de sa</w:t>
      </w:r>
      <w:r>
        <w:rPr>
          <w:noProof/>
          <w:lang w:val="fr-FR"/>
        </w:rPr>
        <w:t>nté</w:t>
      </w:r>
      <w:r w:rsidRPr="00DF456A">
        <w:rPr>
          <w:noProof/>
          <w:lang w:val="fr-FR"/>
        </w:rPr>
        <w:t xml:space="preserve">, </w:t>
      </w:r>
      <w:r>
        <w:rPr>
          <w:noProof/>
          <w:lang w:val="fr-FR"/>
        </w:rPr>
        <w:t>qui prennent connaissance d</w:t>
      </w:r>
      <w:r w:rsidR="00FB1114">
        <w:rPr>
          <w:noProof/>
          <w:lang w:val="fr-FR"/>
        </w:rPr>
        <w:t>’</w:t>
      </w:r>
      <w:r>
        <w:rPr>
          <w:noProof/>
          <w:lang w:val="fr-FR"/>
        </w:rPr>
        <w:t>un fait de violence</w:t>
      </w:r>
      <w:r w:rsidR="00264969">
        <w:rPr>
          <w:noProof/>
          <w:lang w:val="fr-FR"/>
        </w:rPr>
        <w:t> ;</w:t>
      </w:r>
    </w:p>
    <w:p w:rsidR="00614A7E" w:rsidRPr="00DF456A" w:rsidRDefault="00614A7E" w:rsidP="00755E5F">
      <w:pPr>
        <w:pStyle w:val="Bullet1G"/>
        <w:rPr>
          <w:noProof/>
          <w:lang w:val="fr-FR"/>
        </w:rPr>
      </w:pPr>
      <w:r w:rsidRPr="00CB2F83">
        <w:rPr>
          <w:noProof/>
          <w:lang w:val="fr-FR"/>
        </w:rPr>
        <w:t xml:space="preserve">Autorités autochtones originaires </w:t>
      </w:r>
      <w:r>
        <w:rPr>
          <w:noProof/>
          <w:lang w:val="fr-FR"/>
        </w:rPr>
        <w:t>rurale</w:t>
      </w:r>
      <w:r w:rsidRPr="00CB2F83">
        <w:rPr>
          <w:noProof/>
          <w:lang w:val="fr-FR"/>
        </w:rPr>
        <w:t>s</w:t>
      </w:r>
      <w:r w:rsidR="00264969">
        <w:rPr>
          <w:noProof/>
          <w:lang w:val="fr-FR"/>
        </w:rPr>
        <w:t> ;</w:t>
      </w:r>
    </w:p>
    <w:p w:rsidR="00614A7E" w:rsidRPr="00DF456A" w:rsidRDefault="00614A7E" w:rsidP="00755E5F">
      <w:pPr>
        <w:pStyle w:val="Bullet1G"/>
        <w:rPr>
          <w:noProof/>
          <w:lang w:val="fr-FR"/>
        </w:rPr>
      </w:pPr>
      <w:r>
        <w:rPr>
          <w:noProof/>
          <w:lang w:val="fr-FR"/>
        </w:rPr>
        <w:t xml:space="preserve">Autres instances </w:t>
      </w:r>
      <w:r w:rsidRPr="00DF456A">
        <w:rPr>
          <w:noProof/>
          <w:lang w:val="fr-FR"/>
        </w:rPr>
        <w:t>(</w:t>
      </w:r>
      <w:r>
        <w:rPr>
          <w:noProof/>
          <w:lang w:val="fr-FR"/>
        </w:rPr>
        <w:t>conseils communautaires</w:t>
      </w:r>
      <w:r w:rsidRPr="00DF456A">
        <w:rPr>
          <w:noProof/>
          <w:lang w:val="fr-FR"/>
        </w:rPr>
        <w:t xml:space="preserve">, </w:t>
      </w:r>
      <w:r>
        <w:rPr>
          <w:noProof/>
          <w:lang w:val="fr-FR"/>
        </w:rPr>
        <w:t>contrôle s</w:t>
      </w:r>
      <w:r w:rsidRPr="00DF456A">
        <w:rPr>
          <w:noProof/>
          <w:lang w:val="fr-FR"/>
        </w:rPr>
        <w:t xml:space="preserve">ocial, </w:t>
      </w:r>
      <w:r>
        <w:rPr>
          <w:noProof/>
          <w:lang w:val="fr-FR"/>
        </w:rPr>
        <w:t>églises</w:t>
      </w:r>
      <w:r w:rsidRPr="00DF456A">
        <w:rPr>
          <w:noProof/>
          <w:lang w:val="fr-FR"/>
        </w:rPr>
        <w:t>).</w:t>
      </w:r>
    </w:p>
    <w:p w:rsidR="00614A7E" w:rsidRPr="00264969" w:rsidRDefault="00614A7E" w:rsidP="00614A7E">
      <w:pPr>
        <w:pStyle w:val="SingleTxtG"/>
        <w:rPr>
          <w:noProof/>
          <w:lang w:val="fr-FR" w:eastAsia="es-BO"/>
        </w:rPr>
      </w:pPr>
      <w:r w:rsidRPr="00DF456A">
        <w:rPr>
          <w:noProof/>
          <w:lang w:val="fr-FR" w:eastAsia="es-BO"/>
        </w:rPr>
        <w:t>148.</w:t>
      </w:r>
      <w:r w:rsidRPr="00DF456A">
        <w:rPr>
          <w:noProof/>
          <w:lang w:val="fr-FR" w:eastAsia="es-BO"/>
        </w:rPr>
        <w:tab/>
      </w:r>
      <w:r>
        <w:rPr>
          <w:bCs/>
          <w:noProof/>
          <w:lang w:val="fr-FR" w:eastAsia="es-BO"/>
        </w:rPr>
        <w:t xml:space="preserve">De même, toute personne ayant connaissance de faits de violence contre des enfants et des adolescents est tenu de les signaler aux </w:t>
      </w:r>
      <w:r w:rsidRPr="007B0565">
        <w:rPr>
          <w:noProof/>
          <w:lang w:val="fr-FR"/>
        </w:rPr>
        <w:t>Services de défense des enfants et des adolescents</w:t>
      </w:r>
      <w:r w:rsidRPr="00B5117C">
        <w:rPr>
          <w:lang w:val="fr-FR"/>
        </w:rPr>
        <w:t xml:space="preserve"> </w:t>
      </w:r>
      <w:r>
        <w:rPr>
          <w:bCs/>
          <w:noProof/>
          <w:lang w:val="fr-FR" w:eastAsia="es-BO"/>
        </w:rPr>
        <w:t xml:space="preserve">ou à toute autre autorité compétente </w:t>
      </w:r>
      <w:r w:rsidRPr="00DF456A">
        <w:rPr>
          <w:noProof/>
          <w:lang w:val="fr-FR" w:eastAsia="es-BO"/>
        </w:rPr>
        <w:t>(</w:t>
      </w:r>
      <w:r>
        <w:rPr>
          <w:noProof/>
          <w:lang w:val="fr-FR" w:eastAsia="es-BO"/>
        </w:rPr>
        <w:t>ministère public ou Police bolivienne</w:t>
      </w:r>
      <w:r w:rsidRPr="00DF456A">
        <w:rPr>
          <w:noProof/>
          <w:lang w:val="fr-FR" w:eastAsia="es-BO"/>
        </w:rPr>
        <w:t>)</w:t>
      </w:r>
      <w:r w:rsidRPr="00DF456A">
        <w:rPr>
          <w:noProof/>
          <w:sz w:val="18"/>
          <w:szCs w:val="18"/>
          <w:vertAlign w:val="superscript"/>
          <w:lang w:val="fr-FR" w:eastAsia="es-BO"/>
        </w:rPr>
        <w:footnoteReference w:id="65"/>
      </w:r>
      <w:r w:rsidRPr="00DF456A">
        <w:rPr>
          <w:noProof/>
          <w:lang w:val="fr-FR" w:eastAsia="es-BO"/>
        </w:rPr>
        <w:t>.</w:t>
      </w:r>
    </w:p>
    <w:p w:rsidR="00614A7E" w:rsidRPr="00264969" w:rsidRDefault="00264969" w:rsidP="005E19A0">
      <w:pPr>
        <w:pStyle w:val="H1G"/>
        <w:rPr>
          <w:noProof/>
          <w:lang w:val="fr-FR" w:eastAsia="es-BO"/>
        </w:rPr>
      </w:pPr>
      <w:r>
        <w:rPr>
          <w:noProof/>
          <w:lang w:val="fr-FR" w:eastAsia="es-BO"/>
        </w:rPr>
        <w:tab/>
      </w:r>
      <w:r>
        <w:rPr>
          <w:noProof/>
          <w:lang w:val="fr-FR" w:eastAsia="es-BO"/>
        </w:rPr>
        <w:tab/>
      </w:r>
      <w:r w:rsidR="00614A7E" w:rsidRPr="00264969">
        <w:rPr>
          <w:noProof/>
          <w:lang w:val="fr-FR" w:eastAsia="es-BO"/>
        </w:rPr>
        <w:t>Poursuites pour sévices sexuels infligés à des enfants</w:t>
      </w:r>
    </w:p>
    <w:p w:rsidR="00614A7E" w:rsidRPr="00264969" w:rsidRDefault="00614A7E" w:rsidP="00614A7E">
      <w:pPr>
        <w:pStyle w:val="SingleTxtG"/>
        <w:rPr>
          <w:noProof/>
          <w:lang w:val="fr-FR" w:eastAsia="es-BO"/>
        </w:rPr>
      </w:pPr>
      <w:r w:rsidRPr="00264969">
        <w:rPr>
          <w:noProof/>
          <w:lang w:val="fr-FR" w:eastAsia="es-BO"/>
        </w:rPr>
        <w:t>149.</w:t>
      </w:r>
      <w:r w:rsidRPr="00264969">
        <w:rPr>
          <w:noProof/>
          <w:lang w:val="fr-FR" w:eastAsia="es-BO"/>
        </w:rPr>
        <w:tab/>
      </w:r>
      <w:r w:rsidRPr="00264969">
        <w:rPr>
          <w:rFonts w:eastAsia="Calibri"/>
          <w:noProof/>
          <w:lang w:val="fr-FR" w:eastAsia="es-BO"/>
        </w:rPr>
        <w:t>Le ministère public exerce l</w:t>
      </w:r>
      <w:r w:rsidR="00FB1114">
        <w:rPr>
          <w:rFonts w:eastAsia="Calibri"/>
          <w:noProof/>
          <w:lang w:val="fr-FR" w:eastAsia="es-BO"/>
        </w:rPr>
        <w:t>’</w:t>
      </w:r>
      <w:r w:rsidRPr="00264969">
        <w:rPr>
          <w:rFonts w:eastAsia="Calibri"/>
          <w:noProof/>
          <w:lang w:val="fr-FR" w:eastAsia="es-BO"/>
        </w:rPr>
        <w:t xml:space="preserve">action pénale spécialisée dans les cas de violences sexuelles contre des mineurs et dirige les enquêtes sur les infractions de ce type. Dans les </w:t>
      </w:r>
      <w:r w:rsidR="00D11905">
        <w:rPr>
          <w:rFonts w:eastAsia="Calibri"/>
          <w:noProof/>
          <w:lang w:val="fr-FR" w:eastAsia="es-BO"/>
        </w:rPr>
        <w:t>vingt-quatre </w:t>
      </w:r>
      <w:r w:rsidRPr="00264969">
        <w:rPr>
          <w:rFonts w:eastAsia="Calibri"/>
          <w:noProof/>
          <w:lang w:val="fr-FR" w:eastAsia="es-BO"/>
        </w:rPr>
        <w:t>heures qui suivent le moment où une infraction lui est signalée, il doit notifier au juge des garanties l</w:t>
      </w:r>
      <w:r w:rsidR="00FB1114">
        <w:rPr>
          <w:rFonts w:eastAsia="Calibri"/>
          <w:noProof/>
          <w:lang w:val="fr-FR" w:eastAsia="es-BO"/>
        </w:rPr>
        <w:t>’</w:t>
      </w:r>
      <w:r w:rsidRPr="00264969">
        <w:rPr>
          <w:rFonts w:eastAsia="Calibri"/>
          <w:noProof/>
          <w:lang w:val="fr-FR" w:eastAsia="es-BO"/>
        </w:rPr>
        <w:t>ouverture de l</w:t>
      </w:r>
      <w:r w:rsidR="00FB1114">
        <w:rPr>
          <w:rFonts w:eastAsia="Calibri"/>
          <w:noProof/>
          <w:lang w:val="fr-FR" w:eastAsia="es-BO"/>
        </w:rPr>
        <w:t>’</w:t>
      </w:r>
      <w:r w:rsidRPr="00264969">
        <w:rPr>
          <w:rFonts w:eastAsia="Calibri"/>
          <w:noProof/>
          <w:lang w:val="fr-FR" w:eastAsia="es-BO"/>
        </w:rPr>
        <w:t>enquête pour que le contrôle juridictionnel puisse avoir lieu</w:t>
      </w:r>
      <w:r w:rsidRPr="00264969">
        <w:rPr>
          <w:noProof/>
          <w:lang w:val="fr-FR" w:eastAsia="es-BO"/>
        </w:rPr>
        <w:t>.</w:t>
      </w:r>
    </w:p>
    <w:p w:rsidR="00614A7E" w:rsidRPr="0000425C" w:rsidRDefault="00614A7E" w:rsidP="00614A7E">
      <w:pPr>
        <w:pStyle w:val="SingleTxtG"/>
        <w:rPr>
          <w:noProof/>
          <w:lang w:val="fr-FR" w:eastAsia="es-BO"/>
        </w:rPr>
      </w:pPr>
      <w:r w:rsidRPr="0000425C">
        <w:rPr>
          <w:noProof/>
          <w:lang w:val="fr-FR" w:eastAsia="es-BO"/>
        </w:rPr>
        <w:t>150.</w:t>
      </w:r>
      <w:r w:rsidRPr="0000425C">
        <w:rPr>
          <w:noProof/>
          <w:lang w:val="fr-FR" w:eastAsia="es-BO"/>
        </w:rPr>
        <w:tab/>
      </w:r>
      <w:r w:rsidRPr="0000425C">
        <w:rPr>
          <w:rFonts w:eastAsia="Calibri"/>
          <w:noProof/>
          <w:lang w:val="fr-FR" w:eastAsia="es-BO"/>
        </w:rPr>
        <w:t>Le ministère public utilise une c</w:t>
      </w:r>
      <w:r w:rsidRPr="0000425C">
        <w:rPr>
          <w:noProof/>
          <w:lang w:val="fr-FR"/>
        </w:rPr>
        <w:t>hambre d</w:t>
      </w:r>
      <w:r w:rsidR="00FB1114" w:rsidRPr="0000425C">
        <w:rPr>
          <w:noProof/>
          <w:lang w:val="fr-FR"/>
        </w:rPr>
        <w:t>’</w:t>
      </w:r>
      <w:r w:rsidRPr="0000425C">
        <w:rPr>
          <w:noProof/>
          <w:lang w:val="fr-FR"/>
        </w:rPr>
        <w:t>observation de Gesell</w:t>
      </w:r>
      <w:r w:rsidRPr="0000425C">
        <w:rPr>
          <w:rFonts w:eastAsia="Calibri"/>
          <w:noProof/>
          <w:lang w:val="fr-FR" w:eastAsia="es-BO"/>
        </w:rPr>
        <w:t xml:space="preserve"> pour protéger les droits et garanties des victimes mineures. Il s</w:t>
      </w:r>
      <w:r w:rsidR="00FB1114" w:rsidRPr="0000425C">
        <w:rPr>
          <w:rFonts w:eastAsia="Calibri"/>
          <w:noProof/>
          <w:lang w:val="fr-FR" w:eastAsia="es-BO"/>
        </w:rPr>
        <w:t>’</w:t>
      </w:r>
      <w:r w:rsidRPr="0000425C">
        <w:rPr>
          <w:rFonts w:eastAsia="Calibri"/>
          <w:noProof/>
          <w:lang w:val="fr-FR" w:eastAsia="es-BO"/>
        </w:rPr>
        <w:t>agit d</w:t>
      </w:r>
      <w:r w:rsidR="00FB1114" w:rsidRPr="0000425C">
        <w:rPr>
          <w:rFonts w:eastAsia="Calibri"/>
          <w:noProof/>
          <w:lang w:val="fr-FR" w:eastAsia="es-BO"/>
        </w:rPr>
        <w:t>’</w:t>
      </w:r>
      <w:r w:rsidRPr="0000425C">
        <w:rPr>
          <w:rFonts w:eastAsia="Calibri"/>
          <w:noProof/>
          <w:lang w:val="fr-FR" w:eastAsia="es-BO"/>
        </w:rPr>
        <w:t>une pièce spécialement aménagée qui permet ce qui suit</w:t>
      </w:r>
      <w:r w:rsidR="000D37AA" w:rsidRPr="0000425C">
        <w:rPr>
          <w:rFonts w:eastAsia="Calibri"/>
          <w:noProof/>
          <w:lang w:val="fr-FR" w:eastAsia="es-BO"/>
        </w:rPr>
        <w:t> </w:t>
      </w:r>
      <w:r w:rsidRPr="0000425C">
        <w:rPr>
          <w:rFonts w:eastAsia="Calibri"/>
          <w:noProof/>
          <w:lang w:val="fr-FR" w:eastAsia="es-BO"/>
        </w:rPr>
        <w:t>:</w:t>
      </w:r>
    </w:p>
    <w:p w:rsidR="00614A7E" w:rsidRPr="00264969" w:rsidRDefault="00614A7E" w:rsidP="000D37AA">
      <w:pPr>
        <w:pStyle w:val="Bullet1G"/>
        <w:rPr>
          <w:rFonts w:eastAsia="Calibri"/>
          <w:noProof/>
          <w:lang w:val="fr-FR"/>
        </w:rPr>
      </w:pPr>
      <w:r w:rsidRPr="00264969">
        <w:rPr>
          <w:rFonts w:eastAsia="Calibri"/>
          <w:noProof/>
          <w:lang w:val="fr-FR"/>
        </w:rPr>
        <w:t>Entretiens psychologiques instructifs</w:t>
      </w:r>
      <w:r w:rsidR="000D37AA">
        <w:rPr>
          <w:rFonts w:eastAsia="Calibri"/>
          <w:noProof/>
          <w:lang w:val="fr-FR"/>
        </w:rPr>
        <w:t> ;</w:t>
      </w:r>
    </w:p>
    <w:p w:rsidR="00614A7E" w:rsidRPr="00264969" w:rsidRDefault="00614A7E" w:rsidP="000D37AA">
      <w:pPr>
        <w:pStyle w:val="Bullet1G"/>
        <w:rPr>
          <w:rFonts w:eastAsia="Calibri"/>
          <w:noProof/>
          <w:lang w:val="fr-FR"/>
        </w:rPr>
      </w:pPr>
      <w:r w:rsidRPr="00264969">
        <w:rPr>
          <w:rFonts w:eastAsia="Calibri"/>
          <w:noProof/>
          <w:lang w:val="fr-FR"/>
        </w:rPr>
        <w:t>Production de preuves</w:t>
      </w:r>
      <w:r w:rsidR="000D37AA">
        <w:rPr>
          <w:rFonts w:eastAsia="Calibri"/>
          <w:noProof/>
          <w:lang w:val="fr-FR"/>
        </w:rPr>
        <w:t> ;</w:t>
      </w:r>
    </w:p>
    <w:p w:rsidR="00614A7E" w:rsidRPr="00264969" w:rsidRDefault="00614A7E" w:rsidP="000D37AA">
      <w:pPr>
        <w:pStyle w:val="Bullet1G"/>
        <w:rPr>
          <w:rFonts w:eastAsia="Calibri"/>
          <w:noProof/>
          <w:lang w:val="fr-FR"/>
        </w:rPr>
      </w:pPr>
      <w:r w:rsidRPr="00264969">
        <w:rPr>
          <w:rFonts w:eastAsia="Calibri"/>
          <w:noProof/>
          <w:lang w:val="fr-FR"/>
        </w:rPr>
        <w:t>Expertises psychologiques</w:t>
      </w:r>
      <w:r w:rsidR="000D37AA">
        <w:rPr>
          <w:rFonts w:eastAsia="Calibri"/>
          <w:noProof/>
          <w:lang w:val="fr-FR"/>
        </w:rPr>
        <w:t> ;</w:t>
      </w:r>
    </w:p>
    <w:p w:rsidR="00614A7E" w:rsidRPr="00264969" w:rsidRDefault="00614A7E" w:rsidP="000D37AA">
      <w:pPr>
        <w:pStyle w:val="Bullet1G"/>
        <w:rPr>
          <w:rFonts w:eastAsia="Calibri"/>
          <w:noProof/>
          <w:lang w:val="fr-FR"/>
        </w:rPr>
      </w:pPr>
      <w:r w:rsidRPr="00264969">
        <w:rPr>
          <w:rFonts w:eastAsia="Calibri"/>
          <w:noProof/>
          <w:lang w:val="fr-FR"/>
        </w:rPr>
        <w:t>Identification de personnes</w:t>
      </w:r>
      <w:r w:rsidR="000D37AA">
        <w:rPr>
          <w:rFonts w:eastAsia="Calibri"/>
          <w:noProof/>
          <w:lang w:val="fr-FR"/>
        </w:rPr>
        <w:t> ;</w:t>
      </w:r>
    </w:p>
    <w:p w:rsidR="00614A7E" w:rsidRPr="00264969" w:rsidRDefault="00614A7E" w:rsidP="000D37AA">
      <w:pPr>
        <w:pStyle w:val="Bullet1G"/>
        <w:rPr>
          <w:rFonts w:eastAsia="Calibri"/>
          <w:noProof/>
          <w:lang w:val="fr-FR"/>
        </w:rPr>
      </w:pPr>
      <w:r w:rsidRPr="00264969">
        <w:rPr>
          <w:rFonts w:eastAsia="Calibri"/>
          <w:noProof/>
          <w:lang w:val="fr-FR"/>
        </w:rPr>
        <w:t>Audiences orales.</w:t>
      </w:r>
    </w:p>
    <w:p w:rsidR="00614A7E" w:rsidRPr="00264969" w:rsidRDefault="00614A7E" w:rsidP="00614A7E">
      <w:pPr>
        <w:pStyle w:val="SingleTxtG"/>
        <w:rPr>
          <w:noProof/>
          <w:lang w:val="fr-FR" w:eastAsia="es-BO"/>
        </w:rPr>
      </w:pPr>
      <w:r w:rsidRPr="00264969">
        <w:rPr>
          <w:noProof/>
          <w:lang w:val="fr-FR" w:eastAsia="es-BO"/>
        </w:rPr>
        <w:t>151.</w:t>
      </w:r>
      <w:r w:rsidRPr="00264969">
        <w:rPr>
          <w:noProof/>
          <w:lang w:val="fr-FR" w:eastAsia="es-BO"/>
        </w:rPr>
        <w:tab/>
        <w:t>Si la ou le procureur(e) conclut à la présence d</w:t>
      </w:r>
      <w:r w:rsidR="00FB1114">
        <w:rPr>
          <w:noProof/>
          <w:lang w:val="fr-FR" w:eastAsia="es-BO"/>
        </w:rPr>
        <w:t>’</w:t>
      </w:r>
      <w:r w:rsidRPr="00264969">
        <w:rPr>
          <w:noProof/>
          <w:lang w:val="fr-FR" w:eastAsia="es-BO"/>
        </w:rPr>
        <w:t>indices suffisants de la réalité du fait et de la participation de l</w:t>
      </w:r>
      <w:r w:rsidR="00FB1114">
        <w:rPr>
          <w:noProof/>
          <w:lang w:val="fr-FR" w:eastAsia="es-BO"/>
        </w:rPr>
        <w:t>’</w:t>
      </w:r>
      <w:r w:rsidRPr="00264969">
        <w:rPr>
          <w:noProof/>
          <w:lang w:val="fr-FR" w:eastAsia="es-BO"/>
        </w:rPr>
        <w:t>accusé(e), il ou elle établit un acte d</w:t>
      </w:r>
      <w:r w:rsidR="00FB1114">
        <w:rPr>
          <w:noProof/>
          <w:lang w:val="fr-FR" w:eastAsia="es-BO"/>
        </w:rPr>
        <w:t>’</w:t>
      </w:r>
      <w:r w:rsidRPr="00264969">
        <w:rPr>
          <w:noProof/>
          <w:lang w:val="fr-FR" w:eastAsia="es-BO"/>
        </w:rPr>
        <w:t>accusation étayé pour porter ultérieurement l</w:t>
      </w:r>
      <w:r w:rsidR="00FB1114">
        <w:rPr>
          <w:noProof/>
          <w:lang w:val="fr-FR" w:eastAsia="es-BO"/>
        </w:rPr>
        <w:t>’</w:t>
      </w:r>
      <w:r w:rsidRPr="00264969">
        <w:rPr>
          <w:noProof/>
          <w:lang w:val="fr-FR" w:eastAsia="es-BO"/>
        </w:rPr>
        <w:t>affaire en justice, moment essentiel de la procédure. Le procès se déroule sur la base de l</w:t>
      </w:r>
      <w:r w:rsidR="00FB1114">
        <w:rPr>
          <w:noProof/>
          <w:lang w:val="fr-FR" w:eastAsia="es-BO"/>
        </w:rPr>
        <w:t>’</w:t>
      </w:r>
      <w:r w:rsidRPr="00264969">
        <w:rPr>
          <w:noProof/>
          <w:lang w:val="fr-FR" w:eastAsia="es-BO"/>
        </w:rPr>
        <w:t>accusation et le tribunal tient des audiences contradictoires, orales, publiques et ininterrompues pour prouver l</w:t>
      </w:r>
      <w:r w:rsidR="00FB1114">
        <w:rPr>
          <w:noProof/>
          <w:lang w:val="fr-FR" w:eastAsia="es-BO"/>
        </w:rPr>
        <w:t>’</w:t>
      </w:r>
      <w:r w:rsidRPr="00264969">
        <w:rPr>
          <w:noProof/>
          <w:lang w:val="fr-FR" w:eastAsia="es-BO"/>
        </w:rPr>
        <w:t>infraction et établir la responsabilité de l</w:t>
      </w:r>
      <w:r w:rsidR="00FB1114">
        <w:rPr>
          <w:noProof/>
          <w:lang w:val="fr-FR" w:eastAsia="es-BO"/>
        </w:rPr>
        <w:t>’</w:t>
      </w:r>
      <w:r w:rsidRPr="00264969">
        <w:rPr>
          <w:noProof/>
          <w:lang w:val="fr-FR" w:eastAsia="es-BO"/>
        </w:rPr>
        <w:t>accusé(e).</w:t>
      </w:r>
    </w:p>
    <w:p w:rsidR="00614A7E" w:rsidRPr="00DF3104" w:rsidRDefault="00614A7E" w:rsidP="00614A7E">
      <w:pPr>
        <w:pStyle w:val="SingleTxtG"/>
        <w:rPr>
          <w:noProof/>
          <w:lang w:val="fr-FR" w:eastAsia="es-BO"/>
        </w:rPr>
      </w:pPr>
      <w:r w:rsidRPr="00DF456A">
        <w:rPr>
          <w:noProof/>
          <w:lang w:val="fr-FR" w:eastAsia="es-BO"/>
        </w:rPr>
        <w:t>152.</w:t>
      </w:r>
      <w:r w:rsidRPr="00DF456A">
        <w:rPr>
          <w:noProof/>
          <w:lang w:val="fr-FR" w:eastAsia="es-BO"/>
        </w:rPr>
        <w:tab/>
      </w:r>
      <w:r>
        <w:rPr>
          <w:noProof/>
          <w:lang w:val="fr-FR" w:eastAsia="es-BO"/>
        </w:rPr>
        <w:t>Au stade de l</w:t>
      </w:r>
      <w:r w:rsidR="00FB1114">
        <w:rPr>
          <w:noProof/>
          <w:lang w:val="fr-FR" w:eastAsia="es-BO"/>
        </w:rPr>
        <w:t>’</w:t>
      </w:r>
      <w:r>
        <w:rPr>
          <w:noProof/>
          <w:lang w:val="fr-FR" w:eastAsia="es-BO"/>
        </w:rPr>
        <w:t xml:space="preserve">audience, le tribunal inférieur a compétence pour conduire le procès et prononcer le jugement, et la procédure se déroule en présence ininterrompue des </w:t>
      </w:r>
      <w:r w:rsidRPr="00DF3104">
        <w:rPr>
          <w:noProof/>
          <w:lang w:val="fr-FR" w:eastAsia="es-BO"/>
        </w:rPr>
        <w:t>parties. Le tribunal clôture les débats et la procédure de scrutin secret avant de rendre un jugement</w:t>
      </w:r>
      <w:r w:rsidR="00DF3104" w:rsidRPr="00DF3104">
        <w:rPr>
          <w:noProof/>
          <w:lang w:val="fr-FR" w:eastAsia="es-BO"/>
        </w:rPr>
        <w:t>.</w:t>
      </w:r>
    </w:p>
    <w:p w:rsidR="00614A7E" w:rsidRPr="00DF3104" w:rsidRDefault="00614A7E" w:rsidP="00614A7E">
      <w:pPr>
        <w:pStyle w:val="SingleTxtG"/>
        <w:rPr>
          <w:noProof/>
          <w:lang w:val="fr-FR" w:eastAsia="es-BO"/>
        </w:rPr>
      </w:pPr>
      <w:r w:rsidRPr="00DF3104">
        <w:rPr>
          <w:noProof/>
          <w:lang w:val="fr-FR" w:eastAsia="es-BO"/>
        </w:rPr>
        <w:t>153.</w:t>
      </w:r>
      <w:r w:rsidRPr="00DF3104">
        <w:rPr>
          <w:noProof/>
          <w:lang w:val="fr-FR" w:eastAsia="es-BO"/>
        </w:rPr>
        <w:tab/>
        <w:t>De même, la victime se voit garantir le droit à une réparation complète du préjudice conformément à la Constitution.</w:t>
      </w:r>
    </w:p>
    <w:p w:rsidR="00614A7E" w:rsidRPr="00DF3104" w:rsidRDefault="00614A7E" w:rsidP="00614A7E">
      <w:pPr>
        <w:pStyle w:val="SingleTxtG"/>
        <w:rPr>
          <w:noProof/>
          <w:lang w:val="fr-FR" w:eastAsia="es-BO"/>
        </w:rPr>
      </w:pPr>
      <w:r w:rsidRPr="00DF3104">
        <w:rPr>
          <w:noProof/>
          <w:lang w:val="fr-FR" w:eastAsia="es-BO"/>
        </w:rPr>
        <w:t>154.</w:t>
      </w:r>
      <w:r w:rsidRPr="00DF3104">
        <w:rPr>
          <w:noProof/>
          <w:lang w:val="fr-FR" w:eastAsia="es-BO"/>
        </w:rPr>
        <w:tab/>
      </w:r>
      <w:r w:rsidRPr="00DF3104">
        <w:rPr>
          <w:rFonts w:eastAsia="Calibri"/>
          <w:noProof/>
          <w:lang w:val="fr-FR" w:eastAsia="es-BO"/>
        </w:rPr>
        <w:t>On voit qu</w:t>
      </w:r>
      <w:r w:rsidR="00FB1114">
        <w:rPr>
          <w:rFonts w:eastAsia="Calibri"/>
          <w:noProof/>
          <w:lang w:val="fr-FR" w:eastAsia="es-BO"/>
        </w:rPr>
        <w:t>’</w:t>
      </w:r>
      <w:r w:rsidRPr="00DF3104">
        <w:rPr>
          <w:rFonts w:eastAsia="Calibri"/>
          <w:noProof/>
          <w:lang w:val="fr-FR" w:eastAsia="es-BO"/>
        </w:rPr>
        <w:t>il existe des mécanismes qui garantissent aux mineur(e)s victimes de la maltraitance et de la violence sexuelle l</w:t>
      </w:r>
      <w:r w:rsidR="00FB1114">
        <w:rPr>
          <w:rFonts w:eastAsia="Calibri"/>
          <w:noProof/>
          <w:lang w:val="fr-FR" w:eastAsia="es-BO"/>
        </w:rPr>
        <w:t>’</w:t>
      </w:r>
      <w:r w:rsidRPr="00DF3104">
        <w:rPr>
          <w:rFonts w:eastAsia="Calibri"/>
          <w:noProof/>
          <w:lang w:val="fr-FR" w:eastAsia="es-BO"/>
        </w:rPr>
        <w:t>assistance qui leur est due, en leur donnant rapidement accès à la justice et en leur évitant la revictimisation. Ces mécanismes permettent à l</w:t>
      </w:r>
      <w:r w:rsidR="00FB1114">
        <w:rPr>
          <w:rFonts w:eastAsia="Calibri"/>
          <w:noProof/>
          <w:lang w:val="fr-FR" w:eastAsia="es-BO"/>
        </w:rPr>
        <w:t>’</w:t>
      </w:r>
      <w:r w:rsidRPr="00DF3104">
        <w:rPr>
          <w:rFonts w:eastAsia="Calibri"/>
          <w:noProof/>
          <w:lang w:val="fr-FR" w:eastAsia="es-BO"/>
        </w:rPr>
        <w:t>État bolivien, œuvrant par l</w:t>
      </w:r>
      <w:r w:rsidR="00FB1114">
        <w:rPr>
          <w:rFonts w:eastAsia="Calibri"/>
          <w:noProof/>
          <w:lang w:val="fr-FR" w:eastAsia="es-BO"/>
        </w:rPr>
        <w:t>’</w:t>
      </w:r>
      <w:r w:rsidRPr="00DF3104">
        <w:rPr>
          <w:rFonts w:eastAsia="Calibri"/>
          <w:noProof/>
          <w:lang w:val="fr-FR" w:eastAsia="es-BO"/>
        </w:rPr>
        <w:t xml:space="preserve">intermédiaire des instances compétentes, de </w:t>
      </w:r>
      <w:r w:rsidRPr="00DF3104">
        <w:rPr>
          <w:rFonts w:eastAsia="Calibri"/>
          <w:noProof/>
          <w:lang w:val="fr-FR" w:eastAsia="es-BO"/>
        </w:rPr>
        <w:lastRenderedPageBreak/>
        <w:t>protéger les droits et garanties des victimes, au moment du dépôt de leur plainte, pendant l</w:t>
      </w:r>
      <w:r w:rsidR="00FB1114">
        <w:rPr>
          <w:rFonts w:eastAsia="Calibri"/>
          <w:noProof/>
          <w:lang w:val="fr-FR" w:eastAsia="es-BO"/>
        </w:rPr>
        <w:t>’</w:t>
      </w:r>
      <w:r w:rsidRPr="00DF3104">
        <w:rPr>
          <w:rFonts w:eastAsia="Calibri"/>
          <w:noProof/>
          <w:lang w:val="fr-FR" w:eastAsia="es-BO"/>
        </w:rPr>
        <w:t>enquête qui s</w:t>
      </w:r>
      <w:r w:rsidR="00FB1114">
        <w:rPr>
          <w:rFonts w:eastAsia="Calibri"/>
          <w:noProof/>
          <w:lang w:val="fr-FR" w:eastAsia="es-BO"/>
        </w:rPr>
        <w:t>’</w:t>
      </w:r>
      <w:r w:rsidRPr="00DF3104">
        <w:rPr>
          <w:rFonts w:eastAsia="Calibri"/>
          <w:noProof/>
          <w:lang w:val="fr-FR" w:eastAsia="es-BO"/>
        </w:rPr>
        <w:t>ensuit, lors du prononcé du jugement et à l</w:t>
      </w:r>
      <w:r w:rsidR="00FB1114">
        <w:rPr>
          <w:rFonts w:eastAsia="Calibri"/>
          <w:noProof/>
          <w:lang w:val="fr-FR" w:eastAsia="es-BO"/>
        </w:rPr>
        <w:t>’</w:t>
      </w:r>
      <w:r w:rsidRPr="00DF3104">
        <w:rPr>
          <w:rFonts w:eastAsia="Calibri"/>
          <w:noProof/>
          <w:lang w:val="fr-FR" w:eastAsia="es-BO"/>
        </w:rPr>
        <w:t>occasion de l</w:t>
      </w:r>
      <w:r w:rsidR="00FB1114">
        <w:rPr>
          <w:rFonts w:eastAsia="Calibri"/>
          <w:noProof/>
          <w:lang w:val="fr-FR" w:eastAsia="es-BO"/>
        </w:rPr>
        <w:t>’</w:t>
      </w:r>
      <w:r w:rsidRPr="00DF3104">
        <w:rPr>
          <w:rFonts w:eastAsia="Calibri"/>
          <w:noProof/>
          <w:lang w:val="fr-FR" w:eastAsia="es-BO"/>
        </w:rPr>
        <w:t>octroi d</w:t>
      </w:r>
      <w:r w:rsidR="00FB1114">
        <w:rPr>
          <w:rFonts w:eastAsia="Calibri"/>
          <w:noProof/>
          <w:lang w:val="fr-FR" w:eastAsia="es-BO"/>
        </w:rPr>
        <w:t>’</w:t>
      </w:r>
      <w:r w:rsidRPr="00DF3104">
        <w:rPr>
          <w:rFonts w:eastAsia="Calibri"/>
          <w:noProof/>
          <w:lang w:val="fr-FR" w:eastAsia="es-BO"/>
        </w:rPr>
        <w:t>une réparation.</w:t>
      </w:r>
    </w:p>
    <w:p w:rsidR="00614A7E" w:rsidRPr="005E19A0" w:rsidRDefault="00DF3104" w:rsidP="005E19A0">
      <w:pPr>
        <w:pStyle w:val="H23G"/>
      </w:pPr>
      <w:r>
        <w:rPr>
          <w:noProof/>
          <w:lang w:val="fr-FR" w:eastAsia="es-BO"/>
        </w:rPr>
        <w:tab/>
      </w:r>
      <w:r>
        <w:rPr>
          <w:noProof/>
          <w:lang w:val="fr-FR" w:eastAsia="es-BO"/>
        </w:rPr>
        <w:tab/>
      </w:r>
      <w:r w:rsidR="00614A7E" w:rsidRPr="00DF456A">
        <w:rPr>
          <w:noProof/>
          <w:lang w:val="fr-FR" w:eastAsia="es-BO"/>
        </w:rPr>
        <w:t>Recom</w:t>
      </w:r>
      <w:r w:rsidR="00614A7E">
        <w:rPr>
          <w:noProof/>
          <w:lang w:val="fr-FR" w:eastAsia="es-BO"/>
        </w:rPr>
        <w:t xml:space="preserve">mandation </w:t>
      </w:r>
      <w:r w:rsidR="00614A7E" w:rsidRPr="00DF3104">
        <w:t>figurant</w:t>
      </w:r>
      <w:r w:rsidR="00614A7E">
        <w:rPr>
          <w:noProof/>
          <w:lang w:val="fr-FR" w:eastAsia="es-BO"/>
        </w:rPr>
        <w:t xml:space="preserve"> au paragraphe </w:t>
      </w:r>
      <w:r w:rsidR="00614A7E" w:rsidRPr="00DF456A">
        <w:rPr>
          <w:noProof/>
          <w:lang w:val="fr-FR" w:eastAsia="es-BO"/>
        </w:rPr>
        <w:t>16.c</w:t>
      </w:r>
    </w:p>
    <w:p w:rsidR="00614A7E" w:rsidRPr="009720B0" w:rsidRDefault="00614A7E" w:rsidP="00614A7E">
      <w:pPr>
        <w:pStyle w:val="SingleTxtG"/>
        <w:rPr>
          <w:noProof/>
          <w:lang w:val="fr-FR" w:eastAsia="es-BO"/>
        </w:rPr>
      </w:pPr>
      <w:r w:rsidRPr="00DF456A">
        <w:rPr>
          <w:noProof/>
          <w:lang w:val="fr-FR" w:eastAsia="es-BO"/>
        </w:rPr>
        <w:t>155.</w:t>
      </w:r>
      <w:r w:rsidRPr="00DF456A">
        <w:rPr>
          <w:noProof/>
          <w:lang w:val="fr-FR" w:eastAsia="es-BO"/>
        </w:rPr>
        <w:tab/>
      </w:r>
      <w:r>
        <w:rPr>
          <w:noProof/>
          <w:lang w:val="fr-FR" w:eastAsia="es-BO"/>
        </w:rPr>
        <w:t>L</w:t>
      </w:r>
      <w:r w:rsidR="00FB1114">
        <w:rPr>
          <w:noProof/>
          <w:lang w:val="fr-FR" w:eastAsia="es-BO"/>
        </w:rPr>
        <w:t>’</w:t>
      </w:r>
      <w:r>
        <w:rPr>
          <w:noProof/>
          <w:lang w:val="fr-FR" w:eastAsia="es-BO"/>
        </w:rPr>
        <w:t>enfant ou l</w:t>
      </w:r>
      <w:r w:rsidR="00FB1114">
        <w:rPr>
          <w:noProof/>
          <w:lang w:val="fr-FR" w:eastAsia="es-BO"/>
        </w:rPr>
        <w:t>’</w:t>
      </w:r>
      <w:r>
        <w:rPr>
          <w:noProof/>
          <w:lang w:val="fr-FR" w:eastAsia="es-BO"/>
        </w:rPr>
        <w:t>adolescent victime est immédiatement dirigé vers un service de santé, ce qui permet de protéger son intégrité et de veiller sur sa sécurité</w:t>
      </w:r>
      <w:r w:rsidRPr="00DF456A">
        <w:rPr>
          <w:noProof/>
          <w:lang w:val="fr-FR" w:eastAsia="es-BO"/>
        </w:rPr>
        <w:t xml:space="preserve">. </w:t>
      </w:r>
      <w:r>
        <w:rPr>
          <w:noProof/>
          <w:lang w:val="fr-FR" w:eastAsia="es-BO"/>
        </w:rPr>
        <w:t xml:space="preserve">Ce service doit tenir compte du </w:t>
      </w:r>
      <w:r w:rsidRPr="009720B0">
        <w:rPr>
          <w:noProof/>
          <w:lang w:val="fr-FR" w:eastAsia="es-BO"/>
        </w:rPr>
        <w:t>Modèle de prise en charge globale des victimes de violences sexuelles du Ministère de la santé.</w:t>
      </w:r>
    </w:p>
    <w:p w:rsidR="00614A7E" w:rsidRPr="00DF3104" w:rsidRDefault="00614A7E" w:rsidP="00614A7E">
      <w:pPr>
        <w:pStyle w:val="SingleTxtG"/>
        <w:rPr>
          <w:noProof/>
          <w:lang w:val="fr-FR" w:eastAsia="es-BO"/>
        </w:rPr>
      </w:pPr>
      <w:r w:rsidRPr="00DF3104">
        <w:rPr>
          <w:noProof/>
          <w:lang w:val="fr-FR" w:eastAsia="es-BO"/>
        </w:rPr>
        <w:t>156.</w:t>
      </w:r>
      <w:r w:rsidRPr="00DF3104">
        <w:rPr>
          <w:noProof/>
          <w:lang w:val="fr-FR" w:eastAsia="es-BO"/>
        </w:rPr>
        <w:tab/>
        <w:t>Par ailleurs, dans le cadre des articles</w:t>
      </w:r>
      <w:r w:rsidR="00DF3104">
        <w:rPr>
          <w:noProof/>
          <w:lang w:val="fr-FR" w:eastAsia="es-BO"/>
        </w:rPr>
        <w:t> </w:t>
      </w:r>
      <w:r w:rsidRPr="00DF3104">
        <w:rPr>
          <w:noProof/>
          <w:lang w:val="fr-FR" w:eastAsia="es-BO"/>
        </w:rPr>
        <w:t xml:space="preserve">36 et 37.4 de la loi </w:t>
      </w:r>
      <w:r w:rsidR="00DF3104" w:rsidRPr="00DF3104">
        <w:rPr>
          <w:rFonts w:eastAsia="MS Mincho"/>
          <w:noProof/>
          <w:lang w:val="fr-FR" w:eastAsia="es-BO"/>
        </w:rPr>
        <w:t>n</w:t>
      </w:r>
      <w:r w:rsidR="00DF3104" w:rsidRPr="00DF3104">
        <w:rPr>
          <w:rFonts w:eastAsia="MS Mincho"/>
          <w:noProof/>
          <w:vertAlign w:val="superscript"/>
          <w:lang w:val="fr-FR" w:eastAsia="es-BO"/>
        </w:rPr>
        <w:t>o</w:t>
      </w:r>
      <w:r w:rsidR="00DF3104" w:rsidRPr="00DF3104">
        <w:rPr>
          <w:noProof/>
          <w:lang w:val="fr-FR" w:eastAsia="es-BO"/>
        </w:rPr>
        <w:t> </w:t>
      </w:r>
      <w:r w:rsidRPr="00DF3104">
        <w:rPr>
          <w:noProof/>
          <w:lang w:val="fr-FR" w:eastAsia="es-BO"/>
        </w:rPr>
        <w:t>464</w:t>
      </w:r>
      <w:r w:rsidRPr="00DF3104">
        <w:rPr>
          <w:noProof/>
          <w:vertAlign w:val="superscript"/>
          <w:lang w:val="fr-FR" w:eastAsia="es-BO"/>
        </w:rPr>
        <w:footnoteReference w:id="66"/>
      </w:r>
      <w:r w:rsidRPr="00DF3104">
        <w:rPr>
          <w:noProof/>
          <w:lang w:val="fr-FR" w:eastAsia="es-BO"/>
        </w:rPr>
        <w:t>, le Service plurinational d</w:t>
      </w:r>
      <w:r w:rsidR="00FB1114">
        <w:rPr>
          <w:noProof/>
          <w:lang w:val="fr-FR" w:eastAsia="es-BO"/>
        </w:rPr>
        <w:t>’</w:t>
      </w:r>
      <w:r w:rsidRPr="00DF3104">
        <w:rPr>
          <w:noProof/>
          <w:lang w:val="fr-FR" w:eastAsia="es-BO"/>
        </w:rPr>
        <w:t>aide aux victimes a signé les accords suivants</w:t>
      </w:r>
      <w:r w:rsidR="00DF3104" w:rsidRPr="00DF3104">
        <w:rPr>
          <w:noProof/>
          <w:lang w:val="fr-FR" w:eastAsia="es-BO"/>
        </w:rPr>
        <w:t> </w:t>
      </w:r>
      <w:r w:rsidRPr="00DF3104">
        <w:rPr>
          <w:noProof/>
          <w:lang w:val="fr-FR" w:eastAsia="es-BO"/>
        </w:rPr>
        <w:t>:</w:t>
      </w:r>
    </w:p>
    <w:p w:rsidR="00614A7E" w:rsidRPr="00DF3104" w:rsidRDefault="00614A7E" w:rsidP="00DF3104">
      <w:pPr>
        <w:pStyle w:val="Bullet1G"/>
        <w:rPr>
          <w:noProof/>
          <w:lang w:val="fr-FR"/>
        </w:rPr>
      </w:pPr>
      <w:r w:rsidRPr="00DF3104">
        <w:rPr>
          <w:noProof/>
          <w:lang w:val="fr-FR"/>
        </w:rPr>
        <w:t>Accord interinstitutionnel pour la prévention intégrale des sévices sexuels infligés à des enfants et l</w:t>
      </w:r>
      <w:r w:rsidR="00FB1114">
        <w:rPr>
          <w:noProof/>
          <w:lang w:val="fr-FR"/>
        </w:rPr>
        <w:t>’</w:t>
      </w:r>
      <w:r w:rsidRPr="00DF3104">
        <w:rPr>
          <w:noProof/>
          <w:lang w:val="fr-FR"/>
        </w:rPr>
        <w:t>aide gratuite aux victimes en ce qui concerne les services et les études destinés à assurer la participation citoyenne à la démocratie chez ces enfants, qui a pour objectif d</w:t>
      </w:r>
      <w:r w:rsidR="00FB1114">
        <w:rPr>
          <w:noProof/>
          <w:lang w:val="fr-FR"/>
        </w:rPr>
        <w:t>’</w:t>
      </w:r>
      <w:r w:rsidRPr="00DF3104">
        <w:rPr>
          <w:noProof/>
          <w:lang w:val="fr-FR"/>
        </w:rPr>
        <w:t>obtenir des parties qu</w:t>
      </w:r>
      <w:r w:rsidR="00FB1114">
        <w:rPr>
          <w:noProof/>
          <w:lang w:val="fr-FR"/>
        </w:rPr>
        <w:t>’</w:t>
      </w:r>
      <w:r w:rsidRPr="00DF3104">
        <w:rPr>
          <w:noProof/>
          <w:lang w:val="fr-FR"/>
        </w:rPr>
        <w:t>elles fassent preuve de détermination et déploient des efforts et mènent, dans le cadre de leurs compétences respectives, des actions de prévention intégrale des sévices sexuels infligés à des enfants et d</w:t>
      </w:r>
      <w:r w:rsidR="00FB1114">
        <w:rPr>
          <w:noProof/>
          <w:lang w:val="fr-FR"/>
        </w:rPr>
        <w:t>’</w:t>
      </w:r>
      <w:r w:rsidRPr="00DF3104">
        <w:rPr>
          <w:noProof/>
          <w:lang w:val="fr-FR"/>
        </w:rPr>
        <w:t>assistance gratuite aux victimes dans les domaines concernés</w:t>
      </w:r>
      <w:r w:rsidR="00DF3104">
        <w:rPr>
          <w:noProof/>
          <w:lang w:val="fr-FR"/>
        </w:rPr>
        <w:t> ;</w:t>
      </w:r>
    </w:p>
    <w:p w:rsidR="00614A7E" w:rsidRPr="009A1CCE" w:rsidRDefault="00614A7E" w:rsidP="00DF3104">
      <w:pPr>
        <w:pStyle w:val="Bullet1G"/>
        <w:rPr>
          <w:noProof/>
          <w:lang w:val="fr-FR"/>
        </w:rPr>
      </w:pPr>
      <w:r w:rsidRPr="00DF3104">
        <w:rPr>
          <w:noProof/>
          <w:lang w:val="fr-FR"/>
        </w:rPr>
        <w:t>Accord de coopération interinstitutionnelle avec le Centre de recherche, d</w:t>
      </w:r>
      <w:r w:rsidR="00FB1114">
        <w:rPr>
          <w:noProof/>
          <w:lang w:val="fr-FR"/>
        </w:rPr>
        <w:t>’</w:t>
      </w:r>
      <w:r w:rsidRPr="00DF3104">
        <w:rPr>
          <w:noProof/>
          <w:lang w:val="fr-FR"/>
        </w:rPr>
        <w:t>éducation et de services (</w:t>
      </w:r>
      <w:r w:rsidRPr="00DF3104">
        <w:rPr>
          <w:i/>
          <w:noProof/>
          <w:lang w:val="fr-FR"/>
        </w:rPr>
        <w:t>Centro de Investigación, Educación y Servicios</w:t>
      </w:r>
      <w:r w:rsidRPr="00DF3104">
        <w:rPr>
          <w:noProof/>
          <w:lang w:val="fr-FR"/>
        </w:rPr>
        <w:t xml:space="preserve"> (CIES)) de La Paz, en date du 29</w:t>
      </w:r>
      <w:r w:rsidR="002319E5">
        <w:rPr>
          <w:noProof/>
          <w:lang w:val="fr-FR"/>
        </w:rPr>
        <w:t> </w:t>
      </w:r>
      <w:r w:rsidRPr="00DF3104">
        <w:rPr>
          <w:noProof/>
          <w:lang w:val="fr-FR"/>
        </w:rPr>
        <w:t>août 2017</w:t>
      </w:r>
      <w:r w:rsidR="002319E5">
        <w:rPr>
          <w:noProof/>
          <w:lang w:val="fr-FR"/>
        </w:rPr>
        <w:t> </w:t>
      </w:r>
      <w:r w:rsidRPr="00DF3104">
        <w:rPr>
          <w:noProof/>
          <w:lang w:val="fr-FR"/>
        </w:rPr>
        <w:t xml:space="preserve">; CIES </w:t>
      </w:r>
      <w:r w:rsidR="002319E5">
        <w:rPr>
          <w:noProof/>
          <w:lang w:val="fr-FR"/>
        </w:rPr>
        <w:t>−</w:t>
      </w:r>
      <w:r w:rsidRPr="00DF3104">
        <w:rPr>
          <w:noProof/>
          <w:lang w:val="fr-FR"/>
        </w:rPr>
        <w:t xml:space="preserve"> département de Chuquisaca, en date du 25</w:t>
      </w:r>
      <w:r w:rsidR="002319E5">
        <w:rPr>
          <w:noProof/>
          <w:lang w:val="fr-FR"/>
        </w:rPr>
        <w:t> </w:t>
      </w:r>
      <w:r w:rsidRPr="00DF3104">
        <w:rPr>
          <w:noProof/>
          <w:lang w:val="fr-FR"/>
        </w:rPr>
        <w:t xml:space="preserve">septembre 2017, et CIES Regional </w:t>
      </w:r>
      <w:r w:rsidR="002319E5">
        <w:rPr>
          <w:noProof/>
          <w:lang w:val="fr-FR"/>
        </w:rPr>
        <w:t>−</w:t>
      </w:r>
      <w:r w:rsidRPr="00DF3104">
        <w:rPr>
          <w:noProof/>
          <w:lang w:val="fr-FR"/>
        </w:rPr>
        <w:t xml:space="preserve"> département de Cochabamba, en date du 13</w:t>
      </w:r>
      <w:r w:rsidR="002319E5">
        <w:rPr>
          <w:noProof/>
          <w:lang w:val="fr-FR"/>
        </w:rPr>
        <w:t> </w:t>
      </w:r>
      <w:r w:rsidRPr="00DF3104">
        <w:rPr>
          <w:noProof/>
          <w:lang w:val="fr-FR"/>
        </w:rPr>
        <w:t>octobre 2017, qui a pour objectif d</w:t>
      </w:r>
      <w:r w:rsidR="00FB1114">
        <w:rPr>
          <w:noProof/>
          <w:lang w:val="fr-FR"/>
        </w:rPr>
        <w:t>’</w:t>
      </w:r>
      <w:r w:rsidRPr="00DF3104">
        <w:rPr>
          <w:noProof/>
          <w:lang w:val="fr-FR"/>
        </w:rPr>
        <w:t>obtenir des parties qu</w:t>
      </w:r>
      <w:r w:rsidR="00FB1114">
        <w:rPr>
          <w:noProof/>
          <w:lang w:val="fr-FR"/>
        </w:rPr>
        <w:t>’</w:t>
      </w:r>
      <w:r w:rsidRPr="00DF3104">
        <w:rPr>
          <w:noProof/>
          <w:lang w:val="fr-FR"/>
        </w:rPr>
        <w:t xml:space="preserve">elles fassent preuve de détermination et déploient des efforts et mènent, dans le cadre de leurs compétences respectives, des actions visant à renforcer les mesures interinstitutionnelles en fournissant des services juridiques, sanitaires, psychologiques et éducatifs pour prendre en charge en temps voulu la santé intégrale en tant que droit et, en particulier, la santé sexuelle et la santé procréative, dans une perspective de genre, générationnelle et interculturelle, en faveur des victimes de la violence fondée sur le </w:t>
      </w:r>
      <w:r w:rsidRPr="009A1CCE">
        <w:rPr>
          <w:noProof/>
          <w:lang w:val="fr-FR"/>
        </w:rPr>
        <w:t>genre</w:t>
      </w:r>
      <w:r w:rsidR="00DF3104" w:rsidRPr="009A1CCE">
        <w:rPr>
          <w:noProof/>
          <w:lang w:val="fr-FR"/>
        </w:rPr>
        <w:t> ;</w:t>
      </w:r>
    </w:p>
    <w:p w:rsidR="00614A7E" w:rsidRPr="009A1CCE" w:rsidRDefault="00614A7E" w:rsidP="002319E5">
      <w:pPr>
        <w:pStyle w:val="Bullet1G"/>
        <w:rPr>
          <w:noProof/>
          <w:lang w:val="fr-FR"/>
        </w:rPr>
      </w:pPr>
      <w:r w:rsidRPr="009A1CCE">
        <w:rPr>
          <w:noProof/>
          <w:lang w:val="fr-FR"/>
        </w:rPr>
        <w:t>Accord de coopération interinstitutionnelle avec le Centre hospitalier de gynécologie obstétricale « Dr. Jaime Sánchez Porcel », en date du 25</w:t>
      </w:r>
      <w:r w:rsidR="002319E5" w:rsidRPr="009A1CCE">
        <w:rPr>
          <w:noProof/>
          <w:lang w:val="fr-FR"/>
        </w:rPr>
        <w:t> </w:t>
      </w:r>
      <w:r w:rsidRPr="009A1CCE">
        <w:rPr>
          <w:noProof/>
          <w:lang w:val="fr-FR"/>
        </w:rPr>
        <w:t xml:space="preserve">septembre 2017, axé sur le renforcement </w:t>
      </w:r>
      <w:r w:rsidR="009A1CCE">
        <w:rPr>
          <w:noProof/>
          <w:lang w:val="fr-FR"/>
        </w:rPr>
        <w:t xml:space="preserve">de </w:t>
      </w:r>
      <w:r w:rsidRPr="009A1CCE">
        <w:rPr>
          <w:noProof/>
          <w:lang w:val="fr-FR"/>
        </w:rPr>
        <w:t xml:space="preserve">la prestation de services juridiques, sanitaires, psychologiques et </w:t>
      </w:r>
      <w:r w:rsidRPr="009A1CCE">
        <w:t>éducatifs</w:t>
      </w:r>
      <w:r w:rsidRPr="009A1CCE">
        <w:rPr>
          <w:noProof/>
          <w:lang w:val="fr-FR"/>
        </w:rPr>
        <w:t xml:space="preserve"> pour prendre en charge en temps voulu la santé intégrale en tant que droit et, en particulier, la santé sexuelle et la santé procréative, dans une perspective de genre, </w:t>
      </w:r>
      <w:r w:rsidRPr="009A1CCE">
        <w:rPr>
          <w:rFonts w:eastAsia="Calibri"/>
          <w:noProof/>
          <w:lang w:val="fr-FR"/>
        </w:rPr>
        <w:t>générationnelle</w:t>
      </w:r>
      <w:r w:rsidRPr="009A1CCE">
        <w:rPr>
          <w:noProof/>
          <w:lang w:val="fr-FR"/>
        </w:rPr>
        <w:t xml:space="preserve"> et interculturelle, en faveur des victimes de la violence fondée sur le genre.</w:t>
      </w:r>
    </w:p>
    <w:p w:rsidR="00614A7E" w:rsidRPr="00EE5B03" w:rsidRDefault="00614A7E" w:rsidP="00614A7E">
      <w:pPr>
        <w:pStyle w:val="SingleTxtG"/>
        <w:rPr>
          <w:noProof/>
          <w:lang w:val="fr-FR" w:eastAsia="es-BO"/>
        </w:rPr>
      </w:pPr>
      <w:r w:rsidRPr="009A1CCE">
        <w:rPr>
          <w:noProof/>
          <w:lang w:val="fr-FR" w:eastAsia="es-BO"/>
        </w:rPr>
        <w:t>157.</w:t>
      </w:r>
      <w:r w:rsidRPr="009A1CCE">
        <w:rPr>
          <w:noProof/>
          <w:lang w:val="fr-FR" w:eastAsia="es-BO"/>
        </w:rPr>
        <w:tab/>
      </w:r>
      <w:r w:rsidRPr="009A1CCE">
        <w:rPr>
          <w:rFonts w:eastAsia="Calibri"/>
          <w:noProof/>
          <w:lang w:val="fr-FR" w:eastAsia="es-BO"/>
        </w:rPr>
        <w:t>Par ailleurs, le Bureau du Procureur général de l</w:t>
      </w:r>
      <w:r w:rsidR="00FB1114" w:rsidRPr="009A1CCE">
        <w:rPr>
          <w:rFonts w:eastAsia="Calibri"/>
          <w:noProof/>
          <w:lang w:val="fr-FR" w:eastAsia="es-BO"/>
        </w:rPr>
        <w:t>’</w:t>
      </w:r>
      <w:r w:rsidRPr="009A1CCE">
        <w:rPr>
          <w:rFonts w:eastAsia="Calibri"/>
          <w:noProof/>
          <w:lang w:val="fr-FR" w:eastAsia="es-BO"/>
        </w:rPr>
        <w:t>État a adopté le Protocole d</w:t>
      </w:r>
      <w:r w:rsidR="00FB1114" w:rsidRPr="009A1CCE">
        <w:rPr>
          <w:rFonts w:eastAsia="Calibri"/>
          <w:noProof/>
          <w:lang w:val="fr-FR" w:eastAsia="es-BO"/>
        </w:rPr>
        <w:t>’</w:t>
      </w:r>
      <w:r w:rsidRPr="009A1CCE">
        <w:rPr>
          <w:rFonts w:eastAsia="Calibri"/>
          <w:noProof/>
          <w:lang w:val="fr-FR" w:eastAsia="es-BO"/>
        </w:rPr>
        <w:t>évaluation médico</w:t>
      </w:r>
      <w:r w:rsidR="008C55C2" w:rsidRPr="009A1CCE">
        <w:rPr>
          <w:rFonts w:eastAsia="Calibri"/>
          <w:noProof/>
          <w:lang w:val="fr-FR" w:eastAsia="es-BO"/>
        </w:rPr>
        <w:t>-</w:t>
      </w:r>
      <w:r w:rsidRPr="009A1CCE">
        <w:rPr>
          <w:rFonts w:eastAsia="Calibri"/>
          <w:noProof/>
          <w:lang w:val="fr-FR" w:eastAsia="es-BO"/>
        </w:rPr>
        <w:t>légale des infractions sexuelles</w:t>
      </w:r>
      <w:r w:rsidRPr="009A1CCE">
        <w:rPr>
          <w:rFonts w:eastAsia="Calibri"/>
          <w:noProof/>
          <w:vertAlign w:val="superscript"/>
          <w:lang w:val="fr-FR" w:eastAsia="es-BO"/>
        </w:rPr>
        <w:footnoteReference w:id="67"/>
      </w:r>
      <w:r w:rsidRPr="009A1CCE">
        <w:rPr>
          <w:rFonts w:eastAsia="Calibri"/>
          <w:noProof/>
          <w:lang w:val="fr-FR" w:eastAsia="es-BO"/>
        </w:rPr>
        <w:t>, à l</w:t>
      </w:r>
      <w:r w:rsidR="00FB1114" w:rsidRPr="009A1CCE">
        <w:rPr>
          <w:rFonts w:eastAsia="Calibri"/>
          <w:noProof/>
          <w:lang w:val="fr-FR" w:eastAsia="es-BO"/>
        </w:rPr>
        <w:t>’</w:t>
      </w:r>
      <w:r w:rsidRPr="009A1CCE">
        <w:rPr>
          <w:rFonts w:eastAsia="Calibri"/>
          <w:noProof/>
          <w:lang w:val="fr-FR" w:eastAsia="es-BO"/>
        </w:rPr>
        <w:t xml:space="preserve">intention des médecins légistes de </w:t>
      </w:r>
      <w:r w:rsidRPr="009A1CCE">
        <w:rPr>
          <w:noProof/>
          <w:lang w:val="fr-FR"/>
        </w:rPr>
        <w:t>l</w:t>
      </w:r>
      <w:r w:rsidR="00FB1114" w:rsidRPr="009A1CCE">
        <w:rPr>
          <w:noProof/>
          <w:lang w:val="fr-FR"/>
        </w:rPr>
        <w:t>’</w:t>
      </w:r>
      <w:r w:rsidRPr="009A1CCE">
        <w:rPr>
          <w:noProof/>
          <w:lang w:val="fr-FR"/>
        </w:rPr>
        <w:t>Institut de recherche médico</w:t>
      </w:r>
      <w:r w:rsidR="002E6DD8" w:rsidRPr="009A1CCE">
        <w:rPr>
          <w:noProof/>
          <w:lang w:val="fr-FR"/>
        </w:rPr>
        <w:t>-</w:t>
      </w:r>
      <w:r w:rsidRPr="009A1CCE">
        <w:rPr>
          <w:noProof/>
          <w:lang w:val="fr-FR"/>
        </w:rPr>
        <w:t>légale. Ce Protocole donne les lignes directrices qui doivent guider l</w:t>
      </w:r>
      <w:r w:rsidR="00FB1114" w:rsidRPr="009A1CCE">
        <w:rPr>
          <w:noProof/>
          <w:lang w:val="fr-FR"/>
        </w:rPr>
        <w:t>’</w:t>
      </w:r>
      <w:r w:rsidRPr="009A1CCE">
        <w:rPr>
          <w:noProof/>
          <w:lang w:val="fr-FR"/>
        </w:rPr>
        <w:t>exécution et le développement des activités médico</w:t>
      </w:r>
      <w:r w:rsidR="002E6DD8" w:rsidRPr="009A1CCE">
        <w:rPr>
          <w:noProof/>
          <w:lang w:val="fr-FR"/>
        </w:rPr>
        <w:t>-</w:t>
      </w:r>
      <w:r w:rsidRPr="009A1CCE">
        <w:rPr>
          <w:noProof/>
          <w:lang w:val="fr-FR"/>
        </w:rPr>
        <w:t>légales dans le cas des infractions commises</w:t>
      </w:r>
      <w:r w:rsidRPr="00DF3104">
        <w:rPr>
          <w:noProof/>
          <w:lang w:val="fr-FR"/>
        </w:rPr>
        <w:t xml:space="preserve"> contre la liberté sexuelle, en assurant la prise en charge prioritaire des enfants </w:t>
      </w:r>
      <w:r w:rsidRPr="00EE5B03">
        <w:rPr>
          <w:noProof/>
          <w:lang w:val="fr-FR"/>
        </w:rPr>
        <w:t>victimes de sévices sexuels en coordination avec les autres organes du ministère public et les institutions publiques et privées</w:t>
      </w:r>
      <w:r w:rsidRPr="00EE5B03">
        <w:rPr>
          <w:noProof/>
          <w:lang w:val="fr-FR" w:eastAsia="es-BO"/>
        </w:rPr>
        <w:t>.</w:t>
      </w:r>
    </w:p>
    <w:p w:rsidR="00614A7E" w:rsidRPr="00EE5B03" w:rsidRDefault="00EE5B03" w:rsidP="00EE5B03">
      <w:pPr>
        <w:pStyle w:val="H23G"/>
        <w:rPr>
          <w:noProof/>
          <w:lang w:val="fr-FR" w:eastAsia="es-BO"/>
        </w:rPr>
      </w:pPr>
      <w:r w:rsidRPr="00EE5B03">
        <w:rPr>
          <w:noProof/>
          <w:lang w:val="fr-FR" w:eastAsia="es-BO"/>
        </w:rPr>
        <w:tab/>
      </w:r>
      <w:r w:rsidRPr="00EE5B03">
        <w:rPr>
          <w:noProof/>
          <w:lang w:val="fr-FR" w:eastAsia="es-BO"/>
        </w:rPr>
        <w:tab/>
      </w:r>
      <w:r w:rsidR="00614A7E" w:rsidRPr="00EE5B03">
        <w:rPr>
          <w:noProof/>
          <w:lang w:val="fr-FR" w:eastAsia="es-BO"/>
        </w:rPr>
        <w:t xml:space="preserve">Recommandation figurant au </w:t>
      </w:r>
      <w:r w:rsidR="00614A7E" w:rsidRPr="00EE5B03">
        <w:t>paragraphe</w:t>
      </w:r>
      <w:r w:rsidR="00614A7E" w:rsidRPr="00EE5B03">
        <w:rPr>
          <w:noProof/>
          <w:lang w:val="fr-FR" w:eastAsia="es-BO"/>
        </w:rPr>
        <w:t xml:space="preserve"> 16.d</w:t>
      </w:r>
    </w:p>
    <w:p w:rsidR="00614A7E" w:rsidRPr="00EE5B03" w:rsidRDefault="00614A7E" w:rsidP="00614A7E">
      <w:pPr>
        <w:pStyle w:val="SingleTxtG"/>
        <w:rPr>
          <w:noProof/>
          <w:lang w:val="fr-FR" w:eastAsia="es-BO"/>
        </w:rPr>
      </w:pPr>
      <w:r w:rsidRPr="00EE5B03">
        <w:rPr>
          <w:noProof/>
          <w:lang w:val="fr-FR" w:eastAsia="es-BO"/>
        </w:rPr>
        <w:t>158.</w:t>
      </w:r>
      <w:r w:rsidRPr="00EE5B03">
        <w:rPr>
          <w:noProof/>
          <w:lang w:val="fr-FR" w:eastAsia="es-BO"/>
        </w:rPr>
        <w:tab/>
      </w:r>
      <w:r w:rsidRPr="00EE5B03">
        <w:rPr>
          <w:rFonts w:eastAsia="Calibri"/>
          <w:noProof/>
          <w:lang w:val="fr-FR" w:eastAsia="es-BO"/>
        </w:rPr>
        <w:t>L</w:t>
      </w:r>
      <w:r w:rsidR="00FB1114">
        <w:rPr>
          <w:rFonts w:eastAsia="Calibri"/>
          <w:noProof/>
          <w:lang w:val="fr-FR" w:eastAsia="es-BO"/>
        </w:rPr>
        <w:t>’</w:t>
      </w:r>
      <w:r w:rsidRPr="00EE5B03">
        <w:rPr>
          <w:rFonts w:eastAsia="Calibri"/>
          <w:noProof/>
          <w:lang w:val="fr-FR" w:eastAsia="es-BO"/>
        </w:rPr>
        <w:t xml:space="preserve">École nationale des procureurs met au point les programmes de formation ci-après axés sur la sensibilisation et la formation à la problématique des </w:t>
      </w:r>
      <w:r w:rsidRPr="00EE5B03">
        <w:rPr>
          <w:noProof/>
          <w:lang w:val="fr-FR"/>
        </w:rPr>
        <w:t>sévices sexuels</w:t>
      </w:r>
      <w:r w:rsidRPr="00EE5B03">
        <w:rPr>
          <w:rFonts w:eastAsia="Calibri"/>
          <w:noProof/>
          <w:lang w:val="fr-FR" w:eastAsia="es-BO"/>
        </w:rPr>
        <w:t xml:space="preserve"> infligés à des enfants</w:t>
      </w:r>
      <w:r w:rsidR="00EE5B03" w:rsidRPr="00EE5B03">
        <w:rPr>
          <w:rFonts w:eastAsia="Calibri"/>
          <w:noProof/>
          <w:lang w:val="fr-FR" w:eastAsia="es-BO"/>
        </w:rPr>
        <w:t> </w:t>
      </w:r>
      <w:r w:rsidRPr="00EE5B03">
        <w:rPr>
          <w:rFonts w:eastAsia="Calibri"/>
          <w:noProof/>
          <w:lang w:val="fr-FR" w:eastAsia="es-BO"/>
        </w:rPr>
        <w:t>:</w:t>
      </w:r>
    </w:p>
    <w:p w:rsidR="00614A7E" w:rsidRPr="009A1CCE" w:rsidRDefault="00614A7E" w:rsidP="00460C8D">
      <w:pPr>
        <w:pStyle w:val="Bullet1G"/>
        <w:rPr>
          <w:rFonts w:eastAsia="Calibri"/>
          <w:noProof/>
          <w:lang w:val="fr-FR"/>
        </w:rPr>
      </w:pPr>
      <w:r w:rsidRPr="009A1CCE">
        <w:rPr>
          <w:noProof/>
          <w:lang w:val="fr-FR"/>
        </w:rPr>
        <w:lastRenderedPageBreak/>
        <w:t xml:space="preserve">Le </w:t>
      </w:r>
      <w:r w:rsidR="009A1CCE">
        <w:rPr>
          <w:noProof/>
          <w:lang w:val="fr-FR"/>
        </w:rPr>
        <w:t>p</w:t>
      </w:r>
      <w:r w:rsidRPr="009A1CCE">
        <w:rPr>
          <w:noProof/>
          <w:lang w:val="fr-FR"/>
        </w:rPr>
        <w:t>remier cours d</w:t>
      </w:r>
      <w:r w:rsidR="00FB1114" w:rsidRPr="009A1CCE">
        <w:rPr>
          <w:noProof/>
          <w:lang w:val="fr-FR"/>
        </w:rPr>
        <w:t>’</w:t>
      </w:r>
      <w:r w:rsidRPr="009A1CCE">
        <w:rPr>
          <w:noProof/>
          <w:lang w:val="fr-FR"/>
        </w:rPr>
        <w:t>initiation s</w:t>
      </w:r>
      <w:r w:rsidR="00FB1114" w:rsidRPr="009A1CCE">
        <w:rPr>
          <w:noProof/>
          <w:lang w:val="fr-FR"/>
        </w:rPr>
        <w:t>’</w:t>
      </w:r>
      <w:r w:rsidRPr="009A1CCE">
        <w:rPr>
          <w:noProof/>
          <w:lang w:val="fr-FR"/>
        </w:rPr>
        <w:t>adressant aux personnes désireuses de faire carrière dans la magistrature</w:t>
      </w:r>
      <w:r w:rsidRPr="009A1CCE">
        <w:rPr>
          <w:rFonts w:eastAsia="Calibri"/>
          <w:noProof/>
          <w:vertAlign w:val="superscript"/>
          <w:lang w:val="fr-FR"/>
        </w:rPr>
        <w:footnoteReference w:id="68"/>
      </w:r>
      <w:r w:rsidRPr="009A1CCE">
        <w:rPr>
          <w:rFonts w:eastAsia="Calibri"/>
          <w:noProof/>
          <w:lang w:val="fr-FR"/>
        </w:rPr>
        <w:t>, dans le cadre de la formation des procureurs de carrière, est dispensé en semi-présentiel</w:t>
      </w:r>
      <w:r w:rsidR="009A1CCE" w:rsidRPr="009A1CCE">
        <w:rPr>
          <w:rFonts w:eastAsia="Calibri"/>
          <w:noProof/>
          <w:lang w:val="fr-FR"/>
        </w:rPr>
        <w:t> </w:t>
      </w:r>
      <w:r w:rsidRPr="009A1CCE">
        <w:rPr>
          <w:rFonts w:eastAsia="Calibri"/>
          <w:noProof/>
          <w:lang w:val="fr-FR"/>
        </w:rPr>
        <w:t>; l</w:t>
      </w:r>
      <w:r w:rsidR="00FB1114" w:rsidRPr="009A1CCE">
        <w:rPr>
          <w:rFonts w:eastAsia="Calibri"/>
          <w:noProof/>
          <w:lang w:val="fr-FR"/>
        </w:rPr>
        <w:t>’</w:t>
      </w:r>
      <w:r w:rsidRPr="009A1CCE">
        <w:rPr>
          <w:rFonts w:eastAsia="Calibri"/>
          <w:noProof/>
          <w:lang w:val="fr-FR"/>
        </w:rPr>
        <w:t xml:space="preserve">enseignement porte sur les droits des enfants et la justice pénale pour mineurs </w:t>
      </w:r>
      <w:r w:rsidRPr="009A1CCE">
        <w:rPr>
          <w:noProof/>
          <w:lang w:val="fr-FR"/>
        </w:rPr>
        <w:t>dans l</w:t>
      </w:r>
      <w:r w:rsidR="00FB1114" w:rsidRPr="009A1CCE">
        <w:rPr>
          <w:noProof/>
          <w:lang w:val="fr-FR"/>
        </w:rPr>
        <w:t>’</w:t>
      </w:r>
      <w:r w:rsidRPr="009A1CCE">
        <w:rPr>
          <w:noProof/>
          <w:lang w:val="fr-FR"/>
        </w:rPr>
        <w:t>exercice de la fonction de procureur</w:t>
      </w:r>
      <w:r w:rsidR="00460C8D" w:rsidRPr="009A1CCE">
        <w:rPr>
          <w:noProof/>
          <w:lang w:val="fr-FR"/>
        </w:rPr>
        <w:t> ;</w:t>
      </w:r>
    </w:p>
    <w:p w:rsidR="00614A7E" w:rsidRPr="009A1CCE" w:rsidRDefault="00614A7E" w:rsidP="00460C8D">
      <w:pPr>
        <w:pStyle w:val="Bullet1G"/>
        <w:rPr>
          <w:rFonts w:eastAsia="Calibri"/>
          <w:noProof/>
          <w:lang w:val="fr-FR"/>
        </w:rPr>
      </w:pPr>
      <w:r w:rsidRPr="009A1CCE">
        <w:rPr>
          <w:rFonts w:eastAsia="Calibri"/>
          <w:noProof/>
          <w:lang w:val="fr-FR"/>
        </w:rPr>
        <w:t xml:space="preserve">Le </w:t>
      </w:r>
      <w:r w:rsidR="009A1CCE">
        <w:rPr>
          <w:rFonts w:eastAsia="Calibri"/>
          <w:noProof/>
          <w:lang w:val="fr-FR"/>
        </w:rPr>
        <w:t>c</w:t>
      </w:r>
      <w:r w:rsidRPr="009A1CCE">
        <w:rPr>
          <w:rFonts w:eastAsia="Calibri"/>
          <w:noProof/>
          <w:lang w:val="fr-FR"/>
        </w:rPr>
        <w:t>ours de remise à niveau pour l</w:t>
      </w:r>
      <w:r w:rsidR="00FB1114" w:rsidRPr="009A1CCE">
        <w:rPr>
          <w:rFonts w:eastAsia="Calibri"/>
          <w:noProof/>
          <w:lang w:val="fr-FR"/>
        </w:rPr>
        <w:t>’</w:t>
      </w:r>
      <w:r w:rsidRPr="009A1CCE">
        <w:rPr>
          <w:rFonts w:eastAsia="Calibri"/>
          <w:noProof/>
          <w:lang w:val="fr-FR"/>
        </w:rPr>
        <w:t>emploi d</w:t>
      </w:r>
      <w:r w:rsidR="00FB1114" w:rsidRPr="009A1CCE">
        <w:rPr>
          <w:rFonts w:eastAsia="Calibri"/>
          <w:noProof/>
          <w:lang w:val="fr-FR"/>
        </w:rPr>
        <w:t>’</w:t>
      </w:r>
      <w:r w:rsidRPr="009A1CCE">
        <w:rPr>
          <w:rFonts w:eastAsia="Calibri"/>
          <w:noProof/>
          <w:lang w:val="fr-FR"/>
        </w:rPr>
        <w:t xml:space="preserve">outils et de techniques dans les domaines de la psychologie et du travail social par le </w:t>
      </w:r>
      <w:r w:rsidRPr="009A1CCE">
        <w:rPr>
          <w:rFonts w:eastAsia="Calibri"/>
          <w:noProof/>
          <w:lang w:val="fr-FR" w:eastAsia="es-BO"/>
        </w:rPr>
        <w:t>Service de protection des victimes et des témoins</w:t>
      </w:r>
      <w:r w:rsidRPr="009A1CCE">
        <w:rPr>
          <w:rFonts w:eastAsia="Calibri"/>
          <w:noProof/>
          <w:lang w:val="fr-FR"/>
        </w:rPr>
        <w:t>, dont l</w:t>
      </w:r>
      <w:r w:rsidR="00FB1114" w:rsidRPr="009A1CCE">
        <w:rPr>
          <w:rFonts w:eastAsia="Calibri"/>
          <w:noProof/>
          <w:lang w:val="fr-FR"/>
        </w:rPr>
        <w:t>’</w:t>
      </w:r>
      <w:r w:rsidRPr="009A1CCE">
        <w:rPr>
          <w:rFonts w:eastAsia="Calibri"/>
          <w:noProof/>
          <w:lang w:val="fr-FR"/>
        </w:rPr>
        <w:t>objectif est de former les psychologues et travailleurs sociaux du ministère public au sujet de l</w:t>
      </w:r>
      <w:r w:rsidR="00FB1114" w:rsidRPr="009A1CCE">
        <w:rPr>
          <w:rFonts w:eastAsia="Calibri"/>
          <w:noProof/>
          <w:lang w:val="fr-FR"/>
        </w:rPr>
        <w:t>’</w:t>
      </w:r>
      <w:r w:rsidRPr="009A1CCE">
        <w:rPr>
          <w:rFonts w:eastAsia="Calibri"/>
          <w:noProof/>
          <w:lang w:val="fr-FR"/>
        </w:rPr>
        <w:t>utilité procédurale des entretiens avec les victimes et les témoins, en particulier des enfants et des adolescents, afin de réduire au minimum les effets de la revictimisation</w:t>
      </w:r>
      <w:r w:rsidR="00460C8D" w:rsidRPr="009A1CCE">
        <w:rPr>
          <w:rFonts w:eastAsia="Calibri"/>
          <w:noProof/>
          <w:lang w:val="fr-FR"/>
        </w:rPr>
        <w:t> ;</w:t>
      </w:r>
    </w:p>
    <w:p w:rsidR="00614A7E" w:rsidRPr="00EE5B03" w:rsidRDefault="00614A7E" w:rsidP="00460C8D">
      <w:pPr>
        <w:pStyle w:val="Bullet1G"/>
        <w:rPr>
          <w:rFonts w:eastAsia="Calibri"/>
          <w:noProof/>
          <w:lang w:val="fr-FR"/>
        </w:rPr>
      </w:pPr>
      <w:r w:rsidRPr="009A1CCE">
        <w:rPr>
          <w:rFonts w:eastAsia="Calibri"/>
          <w:noProof/>
          <w:lang w:val="fr-FR"/>
        </w:rPr>
        <w:t xml:space="preserve">Le </w:t>
      </w:r>
      <w:r w:rsidR="009A1CCE">
        <w:rPr>
          <w:rFonts w:eastAsia="Calibri"/>
          <w:noProof/>
          <w:lang w:val="fr-FR"/>
        </w:rPr>
        <w:t>c</w:t>
      </w:r>
      <w:r w:rsidRPr="009A1CCE">
        <w:rPr>
          <w:rFonts w:eastAsia="Calibri"/>
          <w:noProof/>
          <w:lang w:val="fr-FR"/>
        </w:rPr>
        <w:t>ours de formation et de renforcement des capacités aux fins de la protection et de l</w:t>
      </w:r>
      <w:r w:rsidR="00FB1114" w:rsidRPr="009A1CCE">
        <w:rPr>
          <w:rFonts w:eastAsia="Calibri"/>
          <w:noProof/>
          <w:lang w:val="fr-FR"/>
        </w:rPr>
        <w:t>’</w:t>
      </w:r>
      <w:r w:rsidRPr="009A1CCE">
        <w:rPr>
          <w:rFonts w:eastAsia="Calibri"/>
          <w:noProof/>
          <w:lang w:val="fr-FR"/>
        </w:rPr>
        <w:t>assistance à fournir aux victimes de la violence fondée sur le genre et de la violence sexuelle. Conçu dans l</w:t>
      </w:r>
      <w:r w:rsidR="00FB1114" w:rsidRPr="009A1CCE">
        <w:rPr>
          <w:rFonts w:eastAsia="Calibri"/>
          <w:noProof/>
          <w:lang w:val="fr-FR"/>
        </w:rPr>
        <w:t>’</w:t>
      </w:r>
      <w:r w:rsidRPr="009A1CCE">
        <w:rPr>
          <w:rFonts w:eastAsia="Calibri"/>
          <w:noProof/>
          <w:lang w:val="fr-FR"/>
        </w:rPr>
        <w:t>esprit d</w:t>
      </w:r>
      <w:r w:rsidR="00FB1114" w:rsidRPr="009A1CCE">
        <w:rPr>
          <w:rFonts w:eastAsia="Calibri"/>
          <w:noProof/>
          <w:lang w:val="fr-FR"/>
        </w:rPr>
        <w:t>’</w:t>
      </w:r>
      <w:r w:rsidRPr="009A1CCE">
        <w:rPr>
          <w:rFonts w:eastAsia="Calibri"/>
          <w:noProof/>
          <w:lang w:val="fr-FR"/>
        </w:rPr>
        <w:t>une approche concrète d</w:t>
      </w:r>
      <w:r w:rsidR="00FB1114" w:rsidRPr="009A1CCE">
        <w:rPr>
          <w:rFonts w:eastAsia="Calibri"/>
          <w:noProof/>
          <w:lang w:val="fr-FR"/>
        </w:rPr>
        <w:t>’</w:t>
      </w:r>
      <w:r w:rsidRPr="009A1CCE">
        <w:rPr>
          <w:rFonts w:eastAsia="Calibri"/>
          <w:noProof/>
          <w:lang w:val="fr-FR"/>
        </w:rPr>
        <w:t>application des connaissances, ce cours s</w:t>
      </w:r>
      <w:r w:rsidR="00FB1114" w:rsidRPr="009A1CCE">
        <w:rPr>
          <w:rFonts w:eastAsia="Calibri"/>
          <w:noProof/>
          <w:lang w:val="fr-FR"/>
        </w:rPr>
        <w:t>’</w:t>
      </w:r>
      <w:r w:rsidRPr="009A1CCE">
        <w:rPr>
          <w:rFonts w:eastAsia="Calibri"/>
          <w:noProof/>
          <w:lang w:val="fr-FR"/>
        </w:rPr>
        <w:t>adresse aux agents</w:t>
      </w:r>
      <w:r w:rsidRPr="00EE5B03">
        <w:rPr>
          <w:rFonts w:eastAsia="Calibri"/>
          <w:noProof/>
          <w:lang w:val="fr-FR"/>
        </w:rPr>
        <w:t xml:space="preserve"> du </w:t>
      </w:r>
      <w:r w:rsidRPr="00EE5B03">
        <w:rPr>
          <w:rFonts w:eastAsia="Calibri"/>
          <w:noProof/>
          <w:lang w:val="fr-FR" w:eastAsia="es-BO"/>
        </w:rPr>
        <w:t>Service de protection des victimes et des témoins</w:t>
      </w:r>
      <w:r w:rsidRPr="00EE5B03">
        <w:rPr>
          <w:rFonts w:eastAsia="Calibri"/>
          <w:noProof/>
          <w:lang w:val="fr-FR"/>
        </w:rPr>
        <w:t xml:space="preserve"> et est dispensé en semi-présentiel.</w:t>
      </w:r>
    </w:p>
    <w:p w:rsidR="00614A7E" w:rsidRPr="00EE5B03" w:rsidRDefault="00614A7E" w:rsidP="00614A7E">
      <w:pPr>
        <w:pStyle w:val="H23G"/>
        <w:rPr>
          <w:noProof/>
          <w:lang w:val="fr-FR" w:eastAsia="es-BO"/>
        </w:rPr>
      </w:pPr>
      <w:r w:rsidRPr="00EE5B03">
        <w:rPr>
          <w:noProof/>
          <w:lang w:val="fr-FR" w:eastAsia="es-BO"/>
        </w:rPr>
        <w:tab/>
      </w:r>
      <w:r w:rsidRPr="00EE5B03">
        <w:rPr>
          <w:noProof/>
          <w:lang w:val="fr-FR" w:eastAsia="es-BO"/>
        </w:rPr>
        <w:tab/>
        <w:t>Recommandation figurant au paragraphe 16.e</w:t>
      </w:r>
    </w:p>
    <w:p w:rsidR="00614A7E" w:rsidRPr="00EE5B03" w:rsidRDefault="00614A7E" w:rsidP="00614A7E">
      <w:pPr>
        <w:pStyle w:val="SingleTxtG"/>
        <w:rPr>
          <w:noProof/>
          <w:lang w:val="fr-FR" w:eastAsia="es-BO"/>
        </w:rPr>
      </w:pPr>
      <w:r w:rsidRPr="00EE5B03">
        <w:rPr>
          <w:noProof/>
          <w:lang w:val="fr-FR" w:eastAsia="es-BO"/>
        </w:rPr>
        <w:t>159.</w:t>
      </w:r>
      <w:r w:rsidRPr="00EE5B03">
        <w:rPr>
          <w:noProof/>
          <w:lang w:val="fr-FR" w:eastAsia="es-BO"/>
        </w:rPr>
        <w:tab/>
      </w:r>
      <w:r w:rsidRPr="00EE5B03">
        <w:rPr>
          <w:rFonts w:eastAsia="Calibri"/>
          <w:noProof/>
          <w:lang w:val="fr-FR" w:eastAsia="es-BO"/>
        </w:rPr>
        <w:t xml:space="preserve">En ce qui concerne la lutte contre les </w:t>
      </w:r>
      <w:r w:rsidRPr="00EE5B03">
        <w:rPr>
          <w:noProof/>
          <w:lang w:val="fr-FR"/>
        </w:rPr>
        <w:t>sévices sexuels</w:t>
      </w:r>
      <w:r w:rsidRPr="00EE5B03">
        <w:rPr>
          <w:rFonts w:eastAsia="Calibri"/>
          <w:noProof/>
          <w:lang w:val="fr-FR" w:eastAsia="es-BO"/>
        </w:rPr>
        <w:t xml:space="preserve"> infligés à des enfants et adolescents, le ministère public a publié les documents institutionnels ci-après</w:t>
      </w:r>
      <w:r w:rsidR="00460C8D">
        <w:rPr>
          <w:rFonts w:eastAsia="Calibri"/>
          <w:noProof/>
          <w:lang w:val="fr-FR" w:eastAsia="es-BO"/>
        </w:rPr>
        <w:t> </w:t>
      </w:r>
      <w:r w:rsidRPr="00EE5B03">
        <w:rPr>
          <w:rFonts w:eastAsia="Calibri"/>
          <w:noProof/>
          <w:lang w:val="fr-FR" w:eastAsia="es-BO"/>
        </w:rPr>
        <w:t>:</w:t>
      </w:r>
    </w:p>
    <w:p w:rsidR="00614A7E" w:rsidRPr="00EE5B03" w:rsidRDefault="00614A7E" w:rsidP="00460C8D">
      <w:pPr>
        <w:pStyle w:val="Bullet1G"/>
        <w:rPr>
          <w:rFonts w:eastAsia="Calibri"/>
          <w:noProof/>
          <w:lang w:val="fr-FR"/>
        </w:rPr>
      </w:pPr>
      <w:r w:rsidRPr="00EE5B03">
        <w:rPr>
          <w:rFonts w:eastAsia="Calibri"/>
          <w:noProof/>
          <w:lang w:val="fr-FR"/>
        </w:rPr>
        <w:t>Guide d</w:t>
      </w:r>
      <w:r w:rsidR="00FB1114">
        <w:rPr>
          <w:rFonts w:eastAsia="Calibri"/>
          <w:noProof/>
          <w:lang w:val="fr-FR"/>
        </w:rPr>
        <w:t>’</w:t>
      </w:r>
      <w:r w:rsidRPr="00EE5B03">
        <w:rPr>
          <w:rFonts w:eastAsia="Calibri"/>
          <w:noProof/>
          <w:lang w:val="fr-FR"/>
        </w:rPr>
        <w:t xml:space="preserve">utilisation de la </w:t>
      </w:r>
      <w:r w:rsidRPr="00EE5B03">
        <w:rPr>
          <w:noProof/>
          <w:lang w:val="fr-FR"/>
        </w:rPr>
        <w:t>chambre d</w:t>
      </w:r>
      <w:r w:rsidR="00FB1114">
        <w:rPr>
          <w:noProof/>
          <w:lang w:val="fr-FR"/>
        </w:rPr>
        <w:t>’</w:t>
      </w:r>
      <w:r w:rsidRPr="00EE5B03">
        <w:rPr>
          <w:noProof/>
          <w:lang w:val="fr-FR"/>
        </w:rPr>
        <w:t xml:space="preserve">observation de Gesell </w:t>
      </w:r>
      <w:r w:rsidR="00460C8D">
        <w:rPr>
          <w:noProof/>
          <w:lang w:val="fr-FR"/>
        </w:rPr>
        <w:t>−</w:t>
      </w:r>
      <w:r w:rsidRPr="00EE5B03">
        <w:rPr>
          <w:rFonts w:eastAsia="Calibri"/>
          <w:noProof/>
          <w:lang w:val="fr-FR"/>
        </w:rPr>
        <w:t xml:space="preserve"> 2013</w:t>
      </w:r>
      <w:r w:rsidR="00460C8D">
        <w:rPr>
          <w:rFonts w:eastAsia="Calibri"/>
          <w:noProof/>
          <w:lang w:val="fr-FR"/>
        </w:rPr>
        <w:t> ;</w:t>
      </w:r>
    </w:p>
    <w:p w:rsidR="00614A7E" w:rsidRPr="00EE5B03" w:rsidRDefault="00614A7E" w:rsidP="00460C8D">
      <w:pPr>
        <w:pStyle w:val="Bullet1G"/>
        <w:rPr>
          <w:rFonts w:eastAsia="Calibri"/>
          <w:noProof/>
          <w:lang w:val="fr-FR"/>
        </w:rPr>
      </w:pPr>
      <w:r w:rsidRPr="00EE5B03">
        <w:rPr>
          <w:rFonts w:eastAsia="Calibri"/>
          <w:noProof/>
          <w:lang w:val="fr-FR"/>
        </w:rPr>
        <w:t xml:space="preserve">Guide méthodologique du </w:t>
      </w:r>
      <w:r w:rsidRPr="00EE5B03">
        <w:rPr>
          <w:rFonts w:eastAsia="Calibri"/>
          <w:noProof/>
          <w:lang w:val="fr-FR" w:eastAsia="es-BO"/>
        </w:rPr>
        <w:t>Service de protection des victimes et des témoins</w:t>
      </w:r>
      <w:r w:rsidRPr="00EE5B03">
        <w:rPr>
          <w:rFonts w:eastAsia="Calibri"/>
          <w:noProof/>
          <w:lang w:val="fr-FR"/>
        </w:rPr>
        <w:t xml:space="preserve"> </w:t>
      </w:r>
      <w:r w:rsidR="00CB0D64">
        <w:rPr>
          <w:rFonts w:eastAsia="Calibri"/>
          <w:noProof/>
          <w:lang w:val="fr-FR"/>
        </w:rPr>
        <w:t>−</w:t>
      </w:r>
      <w:r w:rsidRPr="00EE5B03">
        <w:rPr>
          <w:rFonts w:eastAsia="Calibri"/>
          <w:noProof/>
          <w:lang w:val="fr-FR"/>
        </w:rPr>
        <w:t xml:space="preserve"> 2016</w:t>
      </w:r>
      <w:r w:rsidR="00CB0D64">
        <w:rPr>
          <w:rFonts w:eastAsia="Calibri"/>
          <w:noProof/>
          <w:lang w:val="fr-FR"/>
        </w:rPr>
        <w:t> ;</w:t>
      </w:r>
    </w:p>
    <w:p w:rsidR="00614A7E" w:rsidRPr="00EE5B03" w:rsidRDefault="00614A7E" w:rsidP="00460C8D">
      <w:pPr>
        <w:pStyle w:val="Bullet1G"/>
        <w:rPr>
          <w:rFonts w:eastAsia="Calibri"/>
          <w:noProof/>
          <w:lang w:val="fr-FR"/>
        </w:rPr>
      </w:pPr>
      <w:r w:rsidRPr="00EE5B03">
        <w:rPr>
          <w:rFonts w:eastAsia="Calibri"/>
          <w:noProof/>
          <w:lang w:val="fr-FR"/>
        </w:rPr>
        <w:t xml:space="preserve">Protocole relatif aux entretiens menés en </w:t>
      </w:r>
      <w:r w:rsidRPr="00EE5B03">
        <w:rPr>
          <w:noProof/>
          <w:lang w:val="fr-FR"/>
        </w:rPr>
        <w:t>chambre d</w:t>
      </w:r>
      <w:r w:rsidR="00FB1114">
        <w:rPr>
          <w:noProof/>
          <w:lang w:val="fr-FR"/>
        </w:rPr>
        <w:t>’</w:t>
      </w:r>
      <w:r w:rsidRPr="00EE5B03">
        <w:rPr>
          <w:noProof/>
          <w:lang w:val="fr-FR"/>
        </w:rPr>
        <w:t xml:space="preserve">observation de Gesell et aux méthodes utilisées pour faire </w:t>
      </w:r>
      <w:r w:rsidR="001943ED">
        <w:rPr>
          <w:noProof/>
          <w:lang w:val="fr-FR"/>
        </w:rPr>
        <w:t>témoigner</w:t>
      </w:r>
      <w:r w:rsidRPr="00EE5B03">
        <w:rPr>
          <w:noProof/>
          <w:lang w:val="fr-FR"/>
        </w:rPr>
        <w:t xml:space="preserve"> des enfants et adolescents victimes et/ou témoins </w:t>
      </w:r>
      <w:r w:rsidR="00CB0D64">
        <w:rPr>
          <w:noProof/>
          <w:lang w:val="fr-FR"/>
        </w:rPr>
        <w:t>−</w:t>
      </w:r>
      <w:r w:rsidRPr="00EE5B03">
        <w:rPr>
          <w:rFonts w:eastAsia="Calibri"/>
          <w:noProof/>
          <w:lang w:val="fr-FR"/>
        </w:rPr>
        <w:t xml:space="preserve"> 2012</w:t>
      </w:r>
      <w:r w:rsidR="00CB0D64">
        <w:rPr>
          <w:rFonts w:eastAsia="Calibri"/>
          <w:noProof/>
          <w:lang w:val="fr-FR"/>
        </w:rPr>
        <w:t> ;</w:t>
      </w:r>
    </w:p>
    <w:p w:rsidR="00614A7E" w:rsidRPr="00EE5B03" w:rsidRDefault="00614A7E" w:rsidP="00460C8D">
      <w:pPr>
        <w:pStyle w:val="Bullet1G"/>
        <w:rPr>
          <w:rFonts w:eastAsia="Calibri"/>
          <w:noProof/>
          <w:lang w:val="fr-FR"/>
        </w:rPr>
      </w:pPr>
      <w:r w:rsidRPr="00EE5B03">
        <w:rPr>
          <w:rFonts w:eastAsia="Calibri"/>
          <w:noProof/>
          <w:lang w:val="fr-FR"/>
        </w:rPr>
        <w:t>Protocole d</w:t>
      </w:r>
      <w:r w:rsidR="00FB1114">
        <w:rPr>
          <w:rFonts w:eastAsia="Calibri"/>
          <w:noProof/>
          <w:lang w:val="fr-FR"/>
        </w:rPr>
        <w:t>’</w:t>
      </w:r>
      <w:r w:rsidRPr="00EE5B03">
        <w:rPr>
          <w:rFonts w:eastAsia="Calibri"/>
          <w:noProof/>
          <w:lang w:val="fr-FR"/>
        </w:rPr>
        <w:t>évaluation médico</w:t>
      </w:r>
      <w:r w:rsidR="002E6DD8">
        <w:rPr>
          <w:rFonts w:eastAsia="Calibri"/>
          <w:noProof/>
          <w:lang w:val="fr-FR"/>
        </w:rPr>
        <w:t>-</w:t>
      </w:r>
      <w:r w:rsidRPr="00EE5B03">
        <w:rPr>
          <w:rFonts w:eastAsia="Calibri"/>
          <w:noProof/>
          <w:lang w:val="fr-FR"/>
        </w:rPr>
        <w:t xml:space="preserve">légale des infractions sexuelles </w:t>
      </w:r>
      <w:r w:rsidR="00CB0D64">
        <w:rPr>
          <w:rFonts w:eastAsia="Calibri"/>
          <w:noProof/>
          <w:lang w:val="fr-FR"/>
        </w:rPr>
        <w:t>−</w:t>
      </w:r>
      <w:r w:rsidRPr="00EE5B03">
        <w:rPr>
          <w:rFonts w:eastAsia="Calibri"/>
          <w:noProof/>
          <w:lang w:val="fr-FR"/>
        </w:rPr>
        <w:t xml:space="preserve"> 2013</w:t>
      </w:r>
      <w:r w:rsidR="00CB0D64">
        <w:rPr>
          <w:rFonts w:eastAsia="Calibri"/>
          <w:noProof/>
          <w:lang w:val="fr-FR"/>
        </w:rPr>
        <w:t> ;</w:t>
      </w:r>
    </w:p>
    <w:p w:rsidR="00614A7E" w:rsidRPr="00EE5B03" w:rsidRDefault="00614A7E" w:rsidP="00460C8D">
      <w:pPr>
        <w:pStyle w:val="Bullet1G"/>
        <w:rPr>
          <w:rFonts w:eastAsia="Calibri"/>
          <w:noProof/>
          <w:lang w:val="fr-FR"/>
        </w:rPr>
      </w:pPr>
      <w:r w:rsidRPr="00EE5B03">
        <w:rPr>
          <w:rFonts w:eastAsia="Calibri"/>
          <w:noProof/>
          <w:lang w:val="fr-FR"/>
        </w:rPr>
        <w:t>Protocole de prise en charge des femmes victimes de violences sous l</w:t>
      </w:r>
      <w:r w:rsidR="00FB1114">
        <w:rPr>
          <w:rFonts w:eastAsia="Calibri"/>
          <w:noProof/>
          <w:lang w:val="fr-FR"/>
        </w:rPr>
        <w:t>’</w:t>
      </w:r>
      <w:r w:rsidRPr="00EE5B03">
        <w:rPr>
          <w:rFonts w:eastAsia="Calibri"/>
          <w:noProof/>
          <w:lang w:val="fr-FR"/>
        </w:rPr>
        <w:t>angle de la psychologie médico</w:t>
      </w:r>
      <w:r w:rsidR="002E6DD8">
        <w:rPr>
          <w:rFonts w:eastAsia="Calibri"/>
          <w:noProof/>
          <w:lang w:val="fr-FR"/>
        </w:rPr>
        <w:t>-</w:t>
      </w:r>
      <w:r w:rsidRPr="00EE5B03">
        <w:rPr>
          <w:rFonts w:eastAsia="Calibri"/>
          <w:noProof/>
          <w:lang w:val="fr-FR"/>
        </w:rPr>
        <w:t xml:space="preserve">légale </w:t>
      </w:r>
      <w:r w:rsidR="00CB0D64">
        <w:rPr>
          <w:rFonts w:eastAsia="Calibri"/>
          <w:noProof/>
          <w:lang w:val="fr-FR"/>
        </w:rPr>
        <w:t>−</w:t>
      </w:r>
      <w:r w:rsidRPr="00EE5B03">
        <w:rPr>
          <w:rFonts w:eastAsia="Calibri"/>
          <w:noProof/>
          <w:lang w:val="fr-FR"/>
        </w:rPr>
        <w:t xml:space="preserve"> 2013</w:t>
      </w:r>
      <w:r w:rsidR="00CB0D64">
        <w:rPr>
          <w:rFonts w:eastAsia="Calibri"/>
          <w:noProof/>
          <w:lang w:val="fr-FR"/>
        </w:rPr>
        <w:t> ;</w:t>
      </w:r>
    </w:p>
    <w:p w:rsidR="00614A7E" w:rsidRPr="00EE5B03" w:rsidRDefault="00614A7E" w:rsidP="00460C8D">
      <w:pPr>
        <w:pStyle w:val="Bullet1G"/>
        <w:rPr>
          <w:rFonts w:eastAsia="Calibri"/>
          <w:noProof/>
          <w:lang w:val="fr-FR"/>
        </w:rPr>
      </w:pPr>
      <w:r w:rsidRPr="00EE5B03">
        <w:rPr>
          <w:rFonts w:eastAsia="Calibri"/>
          <w:noProof/>
          <w:lang w:val="fr-FR"/>
        </w:rPr>
        <w:t xml:space="preserve">Protocole et feuille de route urgente interinstitutionnels relatifs à la prise en charge et à la protection des victimes, dans le cadre de la loi </w:t>
      </w:r>
      <w:r w:rsidR="00CB0D64" w:rsidRPr="00AD55D6">
        <w:rPr>
          <w:rFonts w:eastAsia="MS Mincho"/>
          <w:noProof/>
          <w:szCs w:val="22"/>
          <w:lang w:val="fr-FR" w:eastAsia="es-BO"/>
        </w:rPr>
        <w:t>n</w:t>
      </w:r>
      <w:r w:rsidR="00CB0D64" w:rsidRPr="00AD55D6">
        <w:rPr>
          <w:rFonts w:eastAsia="MS Mincho"/>
          <w:noProof/>
          <w:szCs w:val="22"/>
          <w:vertAlign w:val="superscript"/>
          <w:lang w:val="fr-FR" w:eastAsia="es-BO"/>
        </w:rPr>
        <w:t>o</w:t>
      </w:r>
      <w:r w:rsidR="00CB0D64">
        <w:rPr>
          <w:noProof/>
          <w:lang w:val="fr-FR" w:eastAsia="es-BO"/>
        </w:rPr>
        <w:t> </w:t>
      </w:r>
      <w:r w:rsidRPr="00EE5B03">
        <w:rPr>
          <w:rFonts w:eastAsia="Calibri"/>
          <w:noProof/>
          <w:lang w:val="fr-FR"/>
        </w:rPr>
        <w:t>348. Il s</w:t>
      </w:r>
      <w:r w:rsidR="00FB1114">
        <w:rPr>
          <w:rFonts w:eastAsia="Calibri"/>
          <w:noProof/>
          <w:lang w:val="fr-FR"/>
        </w:rPr>
        <w:t>’</w:t>
      </w:r>
      <w:r w:rsidRPr="00EE5B03">
        <w:rPr>
          <w:rFonts w:eastAsia="Calibri"/>
          <w:noProof/>
          <w:lang w:val="fr-FR"/>
        </w:rPr>
        <w:t>agit d</w:t>
      </w:r>
      <w:r w:rsidR="00FB1114">
        <w:rPr>
          <w:rFonts w:eastAsia="Calibri"/>
          <w:noProof/>
          <w:lang w:val="fr-FR"/>
        </w:rPr>
        <w:t>’</w:t>
      </w:r>
      <w:r w:rsidRPr="00EE5B03">
        <w:rPr>
          <w:rFonts w:eastAsia="Calibri"/>
          <w:noProof/>
          <w:lang w:val="fr-FR"/>
        </w:rPr>
        <w:t>un instrument permettant de coordonner en faveur des victimes et des témoins des actions d</w:t>
      </w:r>
      <w:r w:rsidR="00FB1114">
        <w:rPr>
          <w:rFonts w:eastAsia="Calibri"/>
          <w:noProof/>
          <w:lang w:val="fr-FR"/>
        </w:rPr>
        <w:t>’</w:t>
      </w:r>
      <w:r w:rsidRPr="00EE5B03">
        <w:rPr>
          <w:rFonts w:eastAsia="Calibri"/>
          <w:noProof/>
          <w:lang w:val="fr-FR"/>
        </w:rPr>
        <w:t>assistance et de protection qui visent à limiter la revictimisation des victimes, en évitant les doublons et en utilisant au mieux le temps et les ressources disponibles.</w:t>
      </w:r>
    </w:p>
    <w:p w:rsidR="00614A7E" w:rsidRPr="00EE5B03" w:rsidRDefault="00614A7E" w:rsidP="00614A7E">
      <w:pPr>
        <w:pStyle w:val="SingleTxtG"/>
        <w:rPr>
          <w:noProof/>
          <w:lang w:val="fr-FR" w:eastAsia="es-BO"/>
        </w:rPr>
      </w:pPr>
      <w:r w:rsidRPr="00EE5B03">
        <w:rPr>
          <w:noProof/>
          <w:lang w:val="fr-FR" w:eastAsia="es-BO"/>
        </w:rPr>
        <w:t>160.</w:t>
      </w:r>
      <w:r w:rsidRPr="00EE5B03">
        <w:rPr>
          <w:noProof/>
          <w:lang w:val="fr-FR" w:eastAsia="es-BO"/>
        </w:rPr>
        <w:tab/>
        <w:t xml:space="preserve">Par ailleurs, le décret suprême </w:t>
      </w:r>
      <w:r w:rsidR="006A7034" w:rsidRPr="00AD55D6">
        <w:rPr>
          <w:rFonts w:eastAsia="MS Mincho"/>
          <w:noProof/>
          <w:szCs w:val="22"/>
          <w:lang w:val="fr-FR" w:eastAsia="es-BO"/>
        </w:rPr>
        <w:t>n</w:t>
      </w:r>
      <w:r w:rsidR="006A7034" w:rsidRPr="00AD55D6">
        <w:rPr>
          <w:rFonts w:eastAsia="MS Mincho"/>
          <w:noProof/>
          <w:szCs w:val="22"/>
          <w:vertAlign w:val="superscript"/>
          <w:lang w:val="fr-FR" w:eastAsia="es-BO"/>
        </w:rPr>
        <w:t>o</w:t>
      </w:r>
      <w:r w:rsidR="006A7034">
        <w:rPr>
          <w:noProof/>
          <w:lang w:val="fr-FR" w:eastAsia="es-BO"/>
        </w:rPr>
        <w:t> </w:t>
      </w:r>
      <w:r w:rsidRPr="00EE5B03">
        <w:rPr>
          <w:noProof/>
          <w:lang w:val="fr-FR" w:eastAsia="es-BO"/>
        </w:rPr>
        <w:t>1302 du 1</w:t>
      </w:r>
      <w:r w:rsidRPr="00EE5B03">
        <w:rPr>
          <w:noProof/>
          <w:vertAlign w:val="superscript"/>
          <w:lang w:val="fr-FR" w:eastAsia="es-BO"/>
        </w:rPr>
        <w:t>er</w:t>
      </w:r>
      <w:r w:rsidR="006A7034">
        <w:rPr>
          <w:noProof/>
          <w:lang w:val="fr-FR" w:eastAsia="es-BO"/>
        </w:rPr>
        <w:t> </w:t>
      </w:r>
      <w:r w:rsidRPr="00EE5B03">
        <w:rPr>
          <w:noProof/>
          <w:lang w:val="fr-FR" w:eastAsia="es-BO"/>
        </w:rPr>
        <w:t>août 2012</w:t>
      </w:r>
      <w:r w:rsidRPr="00EE5B03">
        <w:rPr>
          <w:noProof/>
          <w:vertAlign w:val="superscript"/>
          <w:lang w:val="fr-FR" w:eastAsia="es-BO"/>
        </w:rPr>
        <w:footnoteReference w:id="69"/>
      </w:r>
      <w:r w:rsidRPr="00EE5B03">
        <w:rPr>
          <w:noProof/>
          <w:lang w:val="fr-FR" w:eastAsia="es-BO"/>
        </w:rPr>
        <w:t xml:space="preserve"> (« D.</w:t>
      </w:r>
      <w:r w:rsidR="006A7034">
        <w:rPr>
          <w:noProof/>
          <w:lang w:val="fr-FR" w:eastAsia="es-BO"/>
        </w:rPr>
        <w:t> </w:t>
      </w:r>
      <w:r w:rsidRPr="00EE5B03">
        <w:rPr>
          <w:noProof/>
          <w:lang w:val="fr-FR" w:eastAsia="es-BO"/>
        </w:rPr>
        <w:t xml:space="preserve">S. </w:t>
      </w:r>
      <w:r w:rsidR="006A7034" w:rsidRPr="00AD55D6">
        <w:rPr>
          <w:rFonts w:eastAsia="MS Mincho"/>
          <w:noProof/>
          <w:szCs w:val="22"/>
          <w:lang w:val="fr-FR" w:eastAsia="es-BO"/>
        </w:rPr>
        <w:t>n</w:t>
      </w:r>
      <w:r w:rsidR="006A7034" w:rsidRPr="00AD55D6">
        <w:rPr>
          <w:rFonts w:eastAsia="MS Mincho"/>
          <w:noProof/>
          <w:szCs w:val="22"/>
          <w:vertAlign w:val="superscript"/>
          <w:lang w:val="fr-FR" w:eastAsia="es-BO"/>
        </w:rPr>
        <w:t>o</w:t>
      </w:r>
      <w:r w:rsidR="006A7034">
        <w:rPr>
          <w:noProof/>
          <w:lang w:val="fr-FR" w:eastAsia="es-BO"/>
        </w:rPr>
        <w:t> </w:t>
      </w:r>
      <w:r w:rsidRPr="00EE5B03">
        <w:rPr>
          <w:noProof/>
          <w:lang w:val="fr-FR" w:eastAsia="es-BO"/>
        </w:rPr>
        <w:t>1302 ») (annexe</w:t>
      </w:r>
      <w:r w:rsidR="006A7034">
        <w:rPr>
          <w:noProof/>
          <w:lang w:val="fr-FR" w:eastAsia="es-BO"/>
        </w:rPr>
        <w:t> </w:t>
      </w:r>
      <w:r w:rsidRPr="00EE5B03">
        <w:rPr>
          <w:noProof/>
          <w:lang w:val="fr-FR" w:eastAsia="es-BO"/>
        </w:rPr>
        <w:t>49) institue des mécanismes d</w:t>
      </w:r>
      <w:r w:rsidR="00FB1114">
        <w:rPr>
          <w:noProof/>
          <w:lang w:val="fr-FR" w:eastAsia="es-BO"/>
        </w:rPr>
        <w:t>’</w:t>
      </w:r>
      <w:r w:rsidRPr="00EE5B03">
        <w:rPr>
          <w:noProof/>
          <w:lang w:val="fr-FR" w:eastAsia="es-BO"/>
        </w:rPr>
        <w:t>aide à l</w:t>
      </w:r>
      <w:r w:rsidR="00FB1114">
        <w:rPr>
          <w:noProof/>
          <w:lang w:val="fr-FR" w:eastAsia="es-BO"/>
        </w:rPr>
        <w:t>’</w:t>
      </w:r>
      <w:r w:rsidRPr="00EE5B03">
        <w:rPr>
          <w:noProof/>
          <w:lang w:val="fr-FR" w:eastAsia="es-BO"/>
        </w:rPr>
        <w:t>élimination de la violence et de la maltraitance attentatoires à la vie et à l</w:t>
      </w:r>
      <w:r w:rsidR="00FB1114">
        <w:rPr>
          <w:noProof/>
          <w:lang w:val="fr-FR" w:eastAsia="es-BO"/>
        </w:rPr>
        <w:t>’</w:t>
      </w:r>
      <w:r w:rsidRPr="00EE5B03">
        <w:rPr>
          <w:noProof/>
          <w:lang w:val="fr-FR" w:eastAsia="es-BO"/>
        </w:rPr>
        <w:t>intégrité physique, psychologique et/ou sexuelle des enfants et adolescents à l</w:t>
      </w:r>
      <w:r w:rsidR="00FB1114">
        <w:rPr>
          <w:noProof/>
          <w:lang w:val="fr-FR" w:eastAsia="es-BO"/>
        </w:rPr>
        <w:t>’</w:t>
      </w:r>
      <w:r w:rsidRPr="00EE5B03">
        <w:rPr>
          <w:noProof/>
          <w:lang w:val="fr-FR" w:eastAsia="es-BO"/>
        </w:rPr>
        <w:t>école.</w:t>
      </w:r>
    </w:p>
    <w:p w:rsidR="00614A7E" w:rsidRPr="009A1CCE" w:rsidRDefault="00614A7E" w:rsidP="00614A7E">
      <w:pPr>
        <w:pStyle w:val="SingleTxtG"/>
        <w:rPr>
          <w:noProof/>
          <w:lang w:val="fr-FR" w:eastAsia="es-BO"/>
        </w:rPr>
      </w:pPr>
      <w:r w:rsidRPr="009A1CCE">
        <w:rPr>
          <w:noProof/>
          <w:lang w:val="fr-FR" w:eastAsia="es-BO"/>
        </w:rPr>
        <w:t>161.</w:t>
      </w:r>
      <w:r w:rsidRPr="009A1CCE">
        <w:rPr>
          <w:noProof/>
          <w:lang w:val="fr-FR" w:eastAsia="es-BO"/>
        </w:rPr>
        <w:tab/>
        <w:t>Le Ministère de l</w:t>
      </w:r>
      <w:r w:rsidR="00FB1114" w:rsidRPr="009A1CCE">
        <w:rPr>
          <w:noProof/>
          <w:lang w:val="fr-FR" w:eastAsia="es-BO"/>
        </w:rPr>
        <w:t>’</w:t>
      </w:r>
      <w:r w:rsidRPr="009A1CCE">
        <w:rPr>
          <w:noProof/>
          <w:lang w:val="fr-FR" w:eastAsia="es-BO"/>
        </w:rPr>
        <w:t>éducation, en tant qu</w:t>
      </w:r>
      <w:r w:rsidR="00FB1114" w:rsidRPr="009A1CCE">
        <w:rPr>
          <w:noProof/>
          <w:lang w:val="fr-FR" w:eastAsia="es-BO"/>
        </w:rPr>
        <w:t>’</w:t>
      </w:r>
      <w:r w:rsidRPr="009A1CCE">
        <w:rPr>
          <w:noProof/>
          <w:lang w:val="fr-FR" w:eastAsia="es-BO"/>
        </w:rPr>
        <w:t>organe directeur du système éducatif plurinational, et les directions départementales de l</w:t>
      </w:r>
      <w:r w:rsidR="00FB1114" w:rsidRPr="009A1CCE">
        <w:rPr>
          <w:noProof/>
          <w:lang w:val="fr-FR" w:eastAsia="es-BO"/>
        </w:rPr>
        <w:t>’</w:t>
      </w:r>
      <w:r w:rsidRPr="009A1CCE">
        <w:rPr>
          <w:noProof/>
          <w:lang w:val="fr-FR" w:eastAsia="es-BO"/>
        </w:rPr>
        <w:t>éducation disposent d</w:t>
      </w:r>
      <w:r w:rsidR="00FB1114" w:rsidRPr="009A1CCE">
        <w:rPr>
          <w:noProof/>
          <w:lang w:val="fr-FR" w:eastAsia="es-BO"/>
        </w:rPr>
        <w:t>’</w:t>
      </w:r>
      <w:r w:rsidRPr="009A1CCE">
        <w:rPr>
          <w:noProof/>
          <w:lang w:val="fr-FR" w:eastAsia="es-BO"/>
        </w:rPr>
        <w:t>une équipe d</w:t>
      </w:r>
      <w:r w:rsidR="00FB1114" w:rsidRPr="009A1CCE">
        <w:rPr>
          <w:noProof/>
          <w:lang w:val="fr-FR" w:eastAsia="es-BO"/>
        </w:rPr>
        <w:t>’</w:t>
      </w:r>
      <w:r w:rsidRPr="009A1CCE">
        <w:rPr>
          <w:noProof/>
          <w:lang w:val="fr-FR" w:eastAsia="es-BO"/>
        </w:rPr>
        <w:t>avocats pour la conduite et le suivi des procès engagés dans le cadre du D.</w:t>
      </w:r>
      <w:r w:rsidR="006A7034" w:rsidRPr="009A1CCE">
        <w:rPr>
          <w:noProof/>
          <w:lang w:val="fr-FR" w:eastAsia="es-BO"/>
        </w:rPr>
        <w:t> </w:t>
      </w:r>
      <w:r w:rsidRPr="009A1CCE">
        <w:rPr>
          <w:noProof/>
          <w:lang w:val="fr-FR" w:eastAsia="es-BO"/>
        </w:rPr>
        <w:t xml:space="preserve">S. </w:t>
      </w:r>
      <w:r w:rsidR="006A7034" w:rsidRPr="009A1CCE">
        <w:rPr>
          <w:rFonts w:eastAsia="MS Mincho"/>
          <w:noProof/>
          <w:szCs w:val="22"/>
          <w:lang w:val="fr-FR" w:eastAsia="es-BO"/>
        </w:rPr>
        <w:t>n</w:t>
      </w:r>
      <w:r w:rsidR="006A7034" w:rsidRPr="009A1CCE">
        <w:rPr>
          <w:rFonts w:eastAsia="MS Mincho"/>
          <w:noProof/>
          <w:szCs w:val="22"/>
          <w:vertAlign w:val="superscript"/>
          <w:lang w:val="fr-FR" w:eastAsia="es-BO"/>
        </w:rPr>
        <w:t>o</w:t>
      </w:r>
      <w:r w:rsidR="006A7034" w:rsidRPr="009A1CCE">
        <w:rPr>
          <w:noProof/>
          <w:lang w:val="fr-FR" w:eastAsia="es-BO"/>
        </w:rPr>
        <w:t> </w:t>
      </w:r>
      <w:r w:rsidRPr="009A1CCE">
        <w:rPr>
          <w:noProof/>
          <w:lang w:val="fr-FR" w:eastAsia="es-BO"/>
        </w:rPr>
        <w:t xml:space="preserve">1302 et du décret suprême </w:t>
      </w:r>
      <w:r w:rsidR="006A7034" w:rsidRPr="009A1CCE">
        <w:rPr>
          <w:rFonts w:eastAsia="MS Mincho"/>
          <w:noProof/>
          <w:szCs w:val="22"/>
          <w:lang w:val="fr-FR" w:eastAsia="es-BO"/>
        </w:rPr>
        <w:t>n</w:t>
      </w:r>
      <w:r w:rsidR="006A7034" w:rsidRPr="009A1CCE">
        <w:rPr>
          <w:rFonts w:eastAsia="MS Mincho"/>
          <w:noProof/>
          <w:szCs w:val="22"/>
          <w:vertAlign w:val="superscript"/>
          <w:lang w:val="fr-FR" w:eastAsia="es-BO"/>
        </w:rPr>
        <w:t>o</w:t>
      </w:r>
      <w:r w:rsidR="006A7034" w:rsidRPr="009A1CCE">
        <w:rPr>
          <w:noProof/>
          <w:lang w:val="fr-FR" w:eastAsia="es-BO"/>
        </w:rPr>
        <w:t> </w:t>
      </w:r>
      <w:r w:rsidRPr="009A1CCE">
        <w:rPr>
          <w:noProof/>
          <w:lang w:val="fr-FR" w:eastAsia="es-BO"/>
        </w:rPr>
        <w:t>1320 du 8</w:t>
      </w:r>
      <w:r w:rsidR="006A7034" w:rsidRPr="009A1CCE">
        <w:rPr>
          <w:noProof/>
          <w:lang w:val="fr-FR" w:eastAsia="es-BO"/>
        </w:rPr>
        <w:t> </w:t>
      </w:r>
      <w:r w:rsidRPr="009A1CCE">
        <w:rPr>
          <w:noProof/>
          <w:lang w:val="fr-FR" w:eastAsia="es-BO"/>
        </w:rPr>
        <w:t>août de 2012</w:t>
      </w:r>
      <w:r w:rsidRPr="009A1CCE">
        <w:rPr>
          <w:bCs/>
          <w:noProof/>
          <w:vertAlign w:val="superscript"/>
          <w:lang w:val="fr-FR" w:eastAsia="es-BO"/>
        </w:rPr>
        <w:footnoteReference w:id="70"/>
      </w:r>
      <w:r w:rsidRPr="009A1CCE">
        <w:rPr>
          <w:noProof/>
          <w:lang w:val="fr-FR" w:eastAsia="es-BO"/>
        </w:rPr>
        <w:t xml:space="preserve"> (« D.</w:t>
      </w:r>
      <w:r w:rsidR="006A7034" w:rsidRPr="009A1CCE">
        <w:rPr>
          <w:noProof/>
          <w:lang w:val="fr-FR" w:eastAsia="es-BO"/>
        </w:rPr>
        <w:t> </w:t>
      </w:r>
      <w:r w:rsidRPr="009A1CCE">
        <w:rPr>
          <w:noProof/>
          <w:lang w:val="fr-FR" w:eastAsia="es-BO"/>
        </w:rPr>
        <w:t xml:space="preserve">S. </w:t>
      </w:r>
      <w:r w:rsidR="006A7034" w:rsidRPr="009A1CCE">
        <w:rPr>
          <w:rFonts w:eastAsia="MS Mincho"/>
          <w:noProof/>
          <w:szCs w:val="22"/>
          <w:lang w:val="fr-FR" w:eastAsia="es-BO"/>
        </w:rPr>
        <w:t>n</w:t>
      </w:r>
      <w:r w:rsidR="006A7034" w:rsidRPr="009A1CCE">
        <w:rPr>
          <w:rFonts w:eastAsia="MS Mincho"/>
          <w:noProof/>
          <w:szCs w:val="22"/>
          <w:vertAlign w:val="superscript"/>
          <w:lang w:val="fr-FR" w:eastAsia="es-BO"/>
        </w:rPr>
        <w:t>o</w:t>
      </w:r>
      <w:r w:rsidR="006A7034" w:rsidRPr="009A1CCE">
        <w:rPr>
          <w:noProof/>
          <w:lang w:val="fr-FR" w:eastAsia="es-BO"/>
        </w:rPr>
        <w:t> </w:t>
      </w:r>
      <w:r w:rsidRPr="009A1CCE">
        <w:rPr>
          <w:noProof/>
          <w:lang w:val="fr-FR" w:eastAsia="es-BO"/>
        </w:rPr>
        <w:t>1320 ») (annexe</w:t>
      </w:r>
      <w:r w:rsidR="006A7034" w:rsidRPr="009A1CCE">
        <w:rPr>
          <w:noProof/>
          <w:lang w:val="fr-FR" w:eastAsia="es-BO"/>
        </w:rPr>
        <w:t> </w:t>
      </w:r>
      <w:r w:rsidRPr="009A1CCE">
        <w:rPr>
          <w:noProof/>
          <w:lang w:val="fr-FR" w:eastAsia="es-BO"/>
        </w:rPr>
        <w:t>50).</w:t>
      </w:r>
    </w:p>
    <w:p w:rsidR="00614A7E" w:rsidRPr="009A1CCE" w:rsidRDefault="00614A7E" w:rsidP="00614A7E">
      <w:pPr>
        <w:pStyle w:val="SingleTxtG"/>
        <w:rPr>
          <w:noProof/>
          <w:lang w:val="fr-FR" w:eastAsia="es-BO"/>
        </w:rPr>
      </w:pPr>
      <w:r w:rsidRPr="009A1CCE">
        <w:rPr>
          <w:noProof/>
          <w:lang w:val="fr-FR" w:eastAsia="es-BO"/>
        </w:rPr>
        <w:t>162.</w:t>
      </w:r>
      <w:r w:rsidRPr="009A1CCE">
        <w:rPr>
          <w:noProof/>
          <w:lang w:val="fr-FR" w:eastAsia="es-BO"/>
        </w:rPr>
        <w:tab/>
        <w:t>De même, un Accord de coopération interinstitutionnelle entre le Ministère de l</w:t>
      </w:r>
      <w:r w:rsidR="00FB1114" w:rsidRPr="009A1CCE">
        <w:rPr>
          <w:noProof/>
          <w:lang w:val="fr-FR" w:eastAsia="es-BO"/>
        </w:rPr>
        <w:t>’</w:t>
      </w:r>
      <w:r w:rsidRPr="009A1CCE">
        <w:rPr>
          <w:noProof/>
          <w:lang w:val="fr-FR" w:eastAsia="es-BO"/>
        </w:rPr>
        <w:t>éducation et le Bureau du Procureur général de l</w:t>
      </w:r>
      <w:r w:rsidR="00FB1114" w:rsidRPr="009A1CCE">
        <w:rPr>
          <w:noProof/>
          <w:lang w:val="fr-FR" w:eastAsia="es-BO"/>
        </w:rPr>
        <w:t>’</w:t>
      </w:r>
      <w:r w:rsidRPr="009A1CCE">
        <w:rPr>
          <w:noProof/>
          <w:lang w:val="fr-FR" w:eastAsia="es-BO"/>
        </w:rPr>
        <w:t>État, signé le 20</w:t>
      </w:r>
      <w:r w:rsidR="00E519AD" w:rsidRPr="009A1CCE">
        <w:rPr>
          <w:noProof/>
          <w:lang w:val="fr-FR" w:eastAsia="es-BO"/>
        </w:rPr>
        <w:t> </w:t>
      </w:r>
      <w:r w:rsidRPr="009A1CCE">
        <w:rPr>
          <w:noProof/>
          <w:lang w:val="fr-FR" w:eastAsia="es-BO"/>
        </w:rPr>
        <w:t>décembre 2016, a pour objectif de mettre en place des mécanismes qui permettent d</w:t>
      </w:r>
      <w:r w:rsidR="00FB1114" w:rsidRPr="009A1CCE">
        <w:rPr>
          <w:noProof/>
          <w:lang w:val="fr-FR" w:eastAsia="es-BO"/>
        </w:rPr>
        <w:t>’</w:t>
      </w:r>
      <w:r w:rsidRPr="009A1CCE">
        <w:rPr>
          <w:noProof/>
          <w:lang w:val="fr-FR" w:eastAsia="es-BO"/>
        </w:rPr>
        <w:t xml:space="preserve">assurer une protection effective et efficace des droits des enfants et adolescents et des femmes dans le système éducatif plurinational, et de mener des enquêtes efficaces sur des faits délictueux, conformément aux dispositions de la loi </w:t>
      </w:r>
      <w:r w:rsidR="00E519AD" w:rsidRPr="009A1CCE">
        <w:rPr>
          <w:rFonts w:eastAsia="MS Mincho"/>
          <w:noProof/>
          <w:lang w:val="fr-FR" w:eastAsia="es-BO"/>
        </w:rPr>
        <w:t>n</w:t>
      </w:r>
      <w:r w:rsidR="00E519AD" w:rsidRPr="009A1CCE">
        <w:rPr>
          <w:rFonts w:eastAsia="MS Mincho"/>
          <w:noProof/>
          <w:vertAlign w:val="superscript"/>
          <w:lang w:val="fr-FR" w:eastAsia="es-BO"/>
        </w:rPr>
        <w:t>o</w:t>
      </w:r>
      <w:r w:rsidR="00E519AD" w:rsidRPr="009A1CCE">
        <w:rPr>
          <w:noProof/>
          <w:lang w:val="fr-FR" w:eastAsia="es-BO"/>
        </w:rPr>
        <w:t> </w:t>
      </w:r>
      <w:r w:rsidRPr="009A1CCE">
        <w:rPr>
          <w:noProof/>
          <w:lang w:val="fr-FR" w:eastAsia="es-BO"/>
        </w:rPr>
        <w:t xml:space="preserve">263, de la loi </w:t>
      </w:r>
      <w:r w:rsidR="00E519AD" w:rsidRPr="009A1CCE">
        <w:rPr>
          <w:rFonts w:eastAsia="MS Mincho"/>
          <w:noProof/>
          <w:lang w:val="fr-FR" w:eastAsia="es-BO"/>
        </w:rPr>
        <w:t>n</w:t>
      </w:r>
      <w:r w:rsidR="00E519AD" w:rsidRPr="009A1CCE">
        <w:rPr>
          <w:rFonts w:eastAsia="MS Mincho"/>
          <w:noProof/>
          <w:vertAlign w:val="superscript"/>
          <w:lang w:val="fr-FR" w:eastAsia="es-BO"/>
        </w:rPr>
        <w:t>o</w:t>
      </w:r>
      <w:r w:rsidR="00E519AD" w:rsidRPr="009A1CCE">
        <w:rPr>
          <w:noProof/>
          <w:lang w:val="fr-FR" w:eastAsia="es-BO"/>
        </w:rPr>
        <w:t> </w:t>
      </w:r>
      <w:r w:rsidRPr="009A1CCE">
        <w:rPr>
          <w:noProof/>
          <w:lang w:val="fr-FR" w:eastAsia="es-BO"/>
        </w:rPr>
        <w:t>348, du D.</w:t>
      </w:r>
      <w:r w:rsidR="00E519AD" w:rsidRPr="009A1CCE">
        <w:rPr>
          <w:noProof/>
          <w:lang w:val="fr-FR" w:eastAsia="es-BO"/>
        </w:rPr>
        <w:t> </w:t>
      </w:r>
      <w:r w:rsidRPr="009A1CCE">
        <w:rPr>
          <w:noProof/>
          <w:lang w:val="fr-FR" w:eastAsia="es-BO"/>
        </w:rPr>
        <w:t xml:space="preserve">S. </w:t>
      </w:r>
      <w:r w:rsidR="00E519AD" w:rsidRPr="009A1CCE">
        <w:rPr>
          <w:rFonts w:eastAsia="MS Mincho"/>
          <w:noProof/>
          <w:lang w:val="fr-FR" w:eastAsia="es-BO"/>
        </w:rPr>
        <w:t>n</w:t>
      </w:r>
      <w:r w:rsidR="00E519AD" w:rsidRPr="009A1CCE">
        <w:rPr>
          <w:rFonts w:eastAsia="MS Mincho"/>
          <w:noProof/>
          <w:vertAlign w:val="superscript"/>
          <w:lang w:val="fr-FR" w:eastAsia="es-BO"/>
        </w:rPr>
        <w:t>o</w:t>
      </w:r>
      <w:r w:rsidR="00E519AD" w:rsidRPr="009A1CCE">
        <w:rPr>
          <w:noProof/>
          <w:lang w:val="fr-FR" w:eastAsia="es-BO"/>
        </w:rPr>
        <w:t> </w:t>
      </w:r>
      <w:r w:rsidRPr="009A1CCE">
        <w:rPr>
          <w:noProof/>
          <w:lang w:val="fr-FR" w:eastAsia="es-BO"/>
        </w:rPr>
        <w:t>1302 et du D.</w:t>
      </w:r>
      <w:r w:rsidR="00E519AD" w:rsidRPr="009A1CCE">
        <w:rPr>
          <w:noProof/>
          <w:lang w:val="fr-FR" w:eastAsia="es-BO"/>
        </w:rPr>
        <w:t> </w:t>
      </w:r>
      <w:r w:rsidRPr="009A1CCE">
        <w:rPr>
          <w:noProof/>
          <w:lang w:val="fr-FR" w:eastAsia="es-BO"/>
        </w:rPr>
        <w:t xml:space="preserve">S. </w:t>
      </w:r>
      <w:r w:rsidR="00E519AD" w:rsidRPr="009A1CCE">
        <w:rPr>
          <w:rFonts w:eastAsia="MS Mincho"/>
          <w:noProof/>
          <w:lang w:val="fr-FR" w:eastAsia="es-BO"/>
        </w:rPr>
        <w:t>n</w:t>
      </w:r>
      <w:r w:rsidR="00E519AD" w:rsidRPr="009A1CCE">
        <w:rPr>
          <w:rFonts w:eastAsia="MS Mincho"/>
          <w:noProof/>
          <w:vertAlign w:val="superscript"/>
          <w:lang w:val="fr-FR" w:eastAsia="es-BO"/>
        </w:rPr>
        <w:t>o</w:t>
      </w:r>
      <w:r w:rsidR="00E519AD" w:rsidRPr="009A1CCE">
        <w:rPr>
          <w:noProof/>
          <w:lang w:val="fr-FR" w:eastAsia="es-BO"/>
        </w:rPr>
        <w:t> </w:t>
      </w:r>
      <w:r w:rsidRPr="009A1CCE">
        <w:rPr>
          <w:noProof/>
          <w:lang w:val="fr-FR" w:eastAsia="es-BO"/>
        </w:rPr>
        <w:t>1320.</w:t>
      </w:r>
    </w:p>
    <w:p w:rsidR="00614A7E" w:rsidRPr="00E26533" w:rsidRDefault="00614A7E" w:rsidP="00614A7E">
      <w:pPr>
        <w:pStyle w:val="SingleTxtG"/>
        <w:rPr>
          <w:noProof/>
          <w:lang w:val="fr-FR" w:eastAsia="es-BO"/>
        </w:rPr>
      </w:pPr>
      <w:r w:rsidRPr="00E26533">
        <w:rPr>
          <w:noProof/>
          <w:lang w:val="fr-FR" w:eastAsia="es-BO"/>
        </w:rPr>
        <w:lastRenderedPageBreak/>
        <w:t>163.</w:t>
      </w:r>
      <w:r w:rsidRPr="00E26533">
        <w:rPr>
          <w:noProof/>
          <w:lang w:val="fr-FR" w:eastAsia="es-BO"/>
        </w:rPr>
        <w:tab/>
      </w:r>
      <w:r w:rsidRPr="00AA304F">
        <w:rPr>
          <w:noProof/>
          <w:lang w:val="fr-FR" w:eastAsia="es-BO"/>
        </w:rPr>
        <w:t>Le Ministère de l</w:t>
      </w:r>
      <w:r w:rsidR="00FB1114" w:rsidRPr="00AA304F">
        <w:rPr>
          <w:noProof/>
          <w:lang w:val="fr-FR" w:eastAsia="es-BO"/>
        </w:rPr>
        <w:t>’</w:t>
      </w:r>
      <w:r w:rsidRPr="00AA304F">
        <w:rPr>
          <w:noProof/>
          <w:lang w:val="fr-FR" w:eastAsia="es-BO"/>
        </w:rPr>
        <w:t>éducation a adopté le « Protocole de prévention de la violence physique, psychologique et sexuelle dans les établissements d</w:t>
      </w:r>
      <w:r w:rsidR="00FB1114" w:rsidRPr="00AA304F">
        <w:rPr>
          <w:noProof/>
          <w:lang w:val="fr-FR" w:eastAsia="es-BO"/>
        </w:rPr>
        <w:t>’</w:t>
      </w:r>
      <w:r w:rsidRPr="00AA304F">
        <w:rPr>
          <w:noProof/>
          <w:lang w:val="fr-FR" w:eastAsia="es-BO"/>
        </w:rPr>
        <w:t>enseignement et de prise en charge des plaintes pour violence de ces types »</w:t>
      </w:r>
      <w:r w:rsidRPr="00AA304F">
        <w:rPr>
          <w:noProof/>
          <w:vertAlign w:val="superscript"/>
          <w:lang w:val="fr-FR" w:eastAsia="es-BO"/>
        </w:rPr>
        <w:footnoteReference w:id="71"/>
      </w:r>
      <w:r w:rsidRPr="00AA304F">
        <w:rPr>
          <w:noProof/>
          <w:lang w:val="fr-FR" w:eastAsia="es-BO"/>
        </w:rPr>
        <w:t>, qui fixe les grandes orientations, les lignes directrices et la procédure à suivre en matière de prévention de la violence physique, psychologique et sexuelle dans les établissements d</w:t>
      </w:r>
      <w:r w:rsidR="00FB1114" w:rsidRPr="00AA304F">
        <w:rPr>
          <w:noProof/>
          <w:lang w:val="fr-FR" w:eastAsia="es-BO"/>
        </w:rPr>
        <w:t>’</w:t>
      </w:r>
      <w:r w:rsidRPr="00AA304F">
        <w:rPr>
          <w:noProof/>
          <w:lang w:val="fr-FR" w:eastAsia="es-BO"/>
        </w:rPr>
        <w:t>enseignement et de prise en charge des plaintes pour actes de violence de</w:t>
      </w:r>
      <w:r w:rsidRPr="00E26533">
        <w:rPr>
          <w:noProof/>
          <w:lang w:val="fr-FR" w:eastAsia="es-BO"/>
        </w:rPr>
        <w:t xml:space="preserve"> ces types</w:t>
      </w:r>
      <w:r w:rsidRPr="00E26533">
        <w:rPr>
          <w:i/>
          <w:noProof/>
          <w:lang w:val="fr-FR" w:eastAsia="es-BO"/>
        </w:rPr>
        <w:t> </w:t>
      </w:r>
      <w:r w:rsidRPr="00E26533">
        <w:rPr>
          <w:noProof/>
          <w:lang w:val="fr-FR" w:eastAsia="es-BO"/>
        </w:rPr>
        <w:t>commis par les chefs d</w:t>
      </w:r>
      <w:r w:rsidR="00FB1114">
        <w:rPr>
          <w:noProof/>
          <w:lang w:val="fr-FR" w:eastAsia="es-BO"/>
        </w:rPr>
        <w:t>’</w:t>
      </w:r>
      <w:r w:rsidRPr="00E26533">
        <w:rPr>
          <w:noProof/>
          <w:lang w:val="fr-FR" w:eastAsia="es-BO"/>
        </w:rPr>
        <w:t>établissement, les enseignants et le personnel administratif contre des enfants et adolescents inscrits dans ces établissements, afin de préserver l</w:t>
      </w:r>
      <w:r w:rsidR="00FB1114">
        <w:rPr>
          <w:noProof/>
          <w:lang w:val="fr-FR" w:eastAsia="es-BO"/>
        </w:rPr>
        <w:t>’</w:t>
      </w:r>
      <w:r w:rsidRPr="00E26533">
        <w:rPr>
          <w:noProof/>
          <w:lang w:val="fr-FR" w:eastAsia="es-BO"/>
        </w:rPr>
        <w:t>intégrité des élèves moyennant des ripostes rapides et efficaces et reposant sur le cadre de défense des droits de la personne (annexe</w:t>
      </w:r>
      <w:r w:rsidR="00E26533">
        <w:rPr>
          <w:noProof/>
          <w:lang w:val="fr-FR" w:eastAsia="es-BO"/>
        </w:rPr>
        <w:t> </w:t>
      </w:r>
      <w:r w:rsidRPr="00E26533">
        <w:rPr>
          <w:noProof/>
          <w:lang w:val="fr-FR" w:eastAsia="es-BO"/>
        </w:rPr>
        <w:t>51).</w:t>
      </w:r>
    </w:p>
    <w:p w:rsidR="00614A7E" w:rsidRPr="00E26533" w:rsidRDefault="00614A7E" w:rsidP="00147804">
      <w:pPr>
        <w:pStyle w:val="H1G"/>
        <w:rPr>
          <w:noProof/>
          <w:lang w:val="fr-FR" w:eastAsia="es-BO"/>
        </w:rPr>
      </w:pPr>
      <w:r w:rsidRPr="00E26533">
        <w:rPr>
          <w:noProof/>
          <w:lang w:val="fr-FR" w:eastAsia="es-BO"/>
        </w:rPr>
        <w:tab/>
      </w:r>
      <w:r w:rsidRPr="00E26533">
        <w:rPr>
          <w:noProof/>
          <w:lang w:val="fr-FR" w:eastAsia="es-BO"/>
        </w:rPr>
        <w:tab/>
        <w:t>Cas de la mineure Patricia Flores</w:t>
      </w:r>
    </w:p>
    <w:p w:rsidR="00614A7E" w:rsidRPr="00E26533" w:rsidRDefault="00614A7E" w:rsidP="00614A7E">
      <w:pPr>
        <w:pStyle w:val="SingleTxtG"/>
        <w:rPr>
          <w:noProof/>
          <w:lang w:val="fr-FR" w:eastAsia="es-BO"/>
        </w:rPr>
      </w:pPr>
      <w:r w:rsidRPr="00E26533">
        <w:rPr>
          <w:noProof/>
          <w:lang w:val="fr-FR" w:eastAsia="es-BO"/>
        </w:rPr>
        <w:t>164.</w:t>
      </w:r>
      <w:r w:rsidRPr="00E26533">
        <w:rPr>
          <w:noProof/>
          <w:lang w:val="fr-FR" w:eastAsia="es-BO"/>
        </w:rPr>
        <w:tab/>
        <w:t xml:space="preserve">Le </w:t>
      </w:r>
      <w:r w:rsidRPr="00E26533">
        <w:rPr>
          <w:i/>
          <w:noProof/>
          <w:lang w:val="fr-FR" w:eastAsia="es-BO"/>
        </w:rPr>
        <w:t xml:space="preserve">Juzgado de Partido de Sentencia Liquidador </w:t>
      </w:r>
      <w:r w:rsidR="00E26533" w:rsidRPr="00AD55D6">
        <w:rPr>
          <w:rFonts w:eastAsia="MS Mincho"/>
          <w:noProof/>
          <w:szCs w:val="22"/>
          <w:lang w:val="fr-FR" w:eastAsia="es-BO"/>
        </w:rPr>
        <w:t>n</w:t>
      </w:r>
      <w:r w:rsidR="00E26533" w:rsidRPr="00AD55D6">
        <w:rPr>
          <w:rFonts w:eastAsia="MS Mincho"/>
          <w:noProof/>
          <w:szCs w:val="22"/>
          <w:vertAlign w:val="superscript"/>
          <w:lang w:val="fr-FR" w:eastAsia="es-BO"/>
        </w:rPr>
        <w:t>o</w:t>
      </w:r>
      <w:r w:rsidR="00E26533">
        <w:rPr>
          <w:noProof/>
          <w:lang w:val="fr-FR" w:eastAsia="es-BO"/>
        </w:rPr>
        <w:t> </w:t>
      </w:r>
      <w:r w:rsidRPr="00E26533">
        <w:rPr>
          <w:noProof/>
          <w:lang w:val="fr-FR" w:eastAsia="es-BO"/>
        </w:rPr>
        <w:t>8 de La</w:t>
      </w:r>
      <w:r w:rsidR="00F434F2">
        <w:rPr>
          <w:noProof/>
          <w:lang w:val="fr-FR" w:eastAsia="es-BO"/>
        </w:rPr>
        <w:t> </w:t>
      </w:r>
      <w:r w:rsidRPr="00E26533">
        <w:rPr>
          <w:noProof/>
          <w:lang w:val="fr-FR" w:eastAsia="es-BO"/>
        </w:rPr>
        <w:t xml:space="preserve">Paz a rendu le jugement </w:t>
      </w:r>
      <w:r w:rsidR="00E26533" w:rsidRPr="00E26533">
        <w:rPr>
          <w:rFonts w:eastAsia="MS Mincho"/>
          <w:noProof/>
          <w:lang w:val="fr-FR" w:eastAsia="es-BO"/>
        </w:rPr>
        <w:t>n</w:t>
      </w:r>
      <w:r w:rsidR="00E26533" w:rsidRPr="00E26533">
        <w:rPr>
          <w:rFonts w:eastAsia="MS Mincho"/>
          <w:noProof/>
          <w:vertAlign w:val="superscript"/>
          <w:lang w:val="fr-FR" w:eastAsia="es-BO"/>
        </w:rPr>
        <w:t>o</w:t>
      </w:r>
      <w:r w:rsidR="00E26533" w:rsidRPr="00E26533">
        <w:rPr>
          <w:noProof/>
          <w:lang w:val="fr-FR" w:eastAsia="es-BO"/>
        </w:rPr>
        <w:t> </w:t>
      </w:r>
      <w:r w:rsidRPr="00E26533">
        <w:rPr>
          <w:noProof/>
          <w:lang w:val="fr-FR" w:eastAsia="es-BO"/>
        </w:rPr>
        <w:t>027/2014, déclarant le principal accusé auteur des infractions de viol et de meurtre, prévues et sanctionnées par les articles</w:t>
      </w:r>
      <w:r w:rsidR="00F434F2">
        <w:rPr>
          <w:noProof/>
          <w:lang w:val="fr-FR" w:eastAsia="es-BO"/>
        </w:rPr>
        <w:t> </w:t>
      </w:r>
      <w:r w:rsidRPr="00E26533">
        <w:rPr>
          <w:noProof/>
          <w:lang w:val="fr-FR" w:eastAsia="es-BO"/>
        </w:rPr>
        <w:t xml:space="preserve">308 et 252.2, 3, 6 et 7 du Code pénal, et le condamnant à une peine de </w:t>
      </w:r>
      <w:r w:rsidR="00E26533" w:rsidRPr="00E26533">
        <w:rPr>
          <w:noProof/>
          <w:lang w:val="fr-FR" w:eastAsia="es-BO"/>
        </w:rPr>
        <w:t>trente</w:t>
      </w:r>
      <w:r w:rsidRPr="00E26533">
        <w:rPr>
          <w:noProof/>
          <w:lang w:val="fr-FR" w:eastAsia="es-BO"/>
        </w:rPr>
        <w:t xml:space="preserve"> années d</w:t>
      </w:r>
      <w:r w:rsidR="00FB1114">
        <w:rPr>
          <w:noProof/>
          <w:lang w:val="fr-FR" w:eastAsia="es-BO"/>
        </w:rPr>
        <w:t>’</w:t>
      </w:r>
      <w:r w:rsidRPr="00E26533">
        <w:rPr>
          <w:noProof/>
          <w:lang w:val="fr-FR" w:eastAsia="es-BO"/>
        </w:rPr>
        <w:t>emprisonnement sans possibilité de remise de peine, à purger dans</w:t>
      </w:r>
      <w:r w:rsidR="00593789">
        <w:rPr>
          <w:noProof/>
          <w:lang w:val="fr-FR" w:eastAsia="es-BO"/>
        </w:rPr>
        <w:t xml:space="preserve"> </w:t>
      </w:r>
      <w:r w:rsidRPr="00E26533">
        <w:rPr>
          <w:noProof/>
          <w:lang w:val="fr-FR" w:eastAsia="es-BO"/>
        </w:rPr>
        <w:t>la prison de San Pedro de Chonchocoro.</w:t>
      </w:r>
    </w:p>
    <w:p w:rsidR="00614A7E" w:rsidRPr="00E26533" w:rsidRDefault="00614A7E" w:rsidP="00614A7E">
      <w:pPr>
        <w:pStyle w:val="SingleTxtG"/>
        <w:rPr>
          <w:noProof/>
          <w:lang w:val="fr-FR" w:eastAsia="es-BO"/>
        </w:rPr>
      </w:pPr>
      <w:r w:rsidRPr="00E26533">
        <w:rPr>
          <w:noProof/>
          <w:lang w:val="fr-FR" w:eastAsia="es-BO"/>
        </w:rPr>
        <w:t>165.</w:t>
      </w:r>
      <w:r w:rsidRPr="00E26533">
        <w:rPr>
          <w:noProof/>
          <w:lang w:val="fr-FR" w:eastAsia="es-BO"/>
        </w:rPr>
        <w:tab/>
        <w:t>Trois autres personnes ont été condamnées, pour inexécution de leurs obligations, infraction incriminée par l</w:t>
      </w:r>
      <w:r w:rsidR="00FB1114">
        <w:rPr>
          <w:noProof/>
          <w:lang w:val="fr-FR" w:eastAsia="es-BO"/>
        </w:rPr>
        <w:t>’</w:t>
      </w:r>
      <w:r w:rsidRPr="00E26533">
        <w:rPr>
          <w:noProof/>
          <w:lang w:val="fr-FR" w:eastAsia="es-BO"/>
        </w:rPr>
        <w:t>article</w:t>
      </w:r>
      <w:r w:rsidR="00F434F2">
        <w:rPr>
          <w:noProof/>
          <w:lang w:val="fr-FR" w:eastAsia="es-BO"/>
        </w:rPr>
        <w:t> </w:t>
      </w:r>
      <w:r w:rsidRPr="00E26533">
        <w:rPr>
          <w:noProof/>
          <w:lang w:val="fr-FR" w:eastAsia="es-BO"/>
        </w:rPr>
        <w:t>154 du Code pénal, à une peine d</w:t>
      </w:r>
      <w:r w:rsidR="00FB1114">
        <w:rPr>
          <w:noProof/>
          <w:lang w:val="fr-FR" w:eastAsia="es-BO"/>
        </w:rPr>
        <w:t>’</w:t>
      </w:r>
      <w:r w:rsidRPr="00E26533">
        <w:rPr>
          <w:noProof/>
          <w:lang w:val="fr-FR" w:eastAsia="es-BO"/>
        </w:rPr>
        <w:t>une année d</w:t>
      </w:r>
      <w:r w:rsidR="00FB1114">
        <w:rPr>
          <w:noProof/>
          <w:lang w:val="fr-FR" w:eastAsia="es-BO"/>
        </w:rPr>
        <w:t>’</w:t>
      </w:r>
      <w:r w:rsidRPr="00E26533">
        <w:rPr>
          <w:noProof/>
          <w:lang w:val="fr-FR" w:eastAsia="es-BO"/>
        </w:rPr>
        <w:t xml:space="preserve">emprisonnement, à purger au </w:t>
      </w:r>
      <w:r w:rsidRPr="00E26533">
        <w:rPr>
          <w:i/>
          <w:noProof/>
          <w:lang w:val="fr-FR" w:eastAsia="es-BO"/>
        </w:rPr>
        <w:t>Centro de Orientación Femenina de Obrajes</w:t>
      </w:r>
      <w:r w:rsidRPr="00E26533">
        <w:rPr>
          <w:noProof/>
          <w:vertAlign w:val="superscript"/>
          <w:lang w:val="fr-FR" w:eastAsia="es-BO"/>
        </w:rPr>
        <w:footnoteReference w:id="72"/>
      </w:r>
      <w:r w:rsidRPr="00E26533">
        <w:rPr>
          <w:noProof/>
          <w:lang w:val="fr-FR" w:eastAsia="es-BO"/>
        </w:rPr>
        <w:t>.</w:t>
      </w:r>
    </w:p>
    <w:p w:rsidR="00614A7E" w:rsidRPr="00E26533" w:rsidRDefault="00614A7E" w:rsidP="00614A7E">
      <w:pPr>
        <w:pStyle w:val="SingleTxtG"/>
        <w:rPr>
          <w:noProof/>
          <w:lang w:val="fr-FR" w:eastAsia="es-BO"/>
        </w:rPr>
      </w:pPr>
      <w:r w:rsidRPr="00E26533">
        <w:rPr>
          <w:noProof/>
          <w:lang w:val="fr-FR" w:eastAsia="es-BO"/>
        </w:rPr>
        <w:t>166.</w:t>
      </w:r>
      <w:r w:rsidRPr="00E26533">
        <w:rPr>
          <w:noProof/>
          <w:lang w:val="fr-FR" w:eastAsia="es-BO"/>
        </w:rPr>
        <w:tab/>
        <w:t>L</w:t>
      </w:r>
      <w:r w:rsidR="00FB1114">
        <w:rPr>
          <w:noProof/>
          <w:lang w:val="fr-FR" w:eastAsia="es-BO"/>
        </w:rPr>
        <w:t>’</w:t>
      </w:r>
      <w:r w:rsidRPr="00E26533">
        <w:rPr>
          <w:noProof/>
          <w:lang w:val="fr-FR" w:eastAsia="es-BO"/>
        </w:rPr>
        <w:t>appel et le pourvoi en cassation de l</w:t>
      </w:r>
      <w:r w:rsidR="00FB1114">
        <w:rPr>
          <w:noProof/>
          <w:lang w:val="fr-FR" w:eastAsia="es-BO"/>
        </w:rPr>
        <w:t>’</w:t>
      </w:r>
      <w:r w:rsidRPr="00E26533">
        <w:rPr>
          <w:noProof/>
          <w:lang w:val="fr-FR" w:eastAsia="es-BO"/>
        </w:rPr>
        <w:t>auteur principal ayant été rejetés, le jugement est exécutoire et l</w:t>
      </w:r>
      <w:r w:rsidR="00FB1114">
        <w:rPr>
          <w:noProof/>
          <w:lang w:val="fr-FR" w:eastAsia="es-BO"/>
        </w:rPr>
        <w:t>’</w:t>
      </w:r>
      <w:r w:rsidRPr="00E26533">
        <w:rPr>
          <w:noProof/>
          <w:lang w:val="fr-FR" w:eastAsia="es-BO"/>
        </w:rPr>
        <w:t>auteur principal exécute sa peine.</w:t>
      </w:r>
    </w:p>
    <w:p w:rsidR="00614A7E" w:rsidRPr="00E26533" w:rsidRDefault="00614A7E" w:rsidP="00614A7E">
      <w:pPr>
        <w:pStyle w:val="SingleTxtG"/>
        <w:rPr>
          <w:noProof/>
          <w:lang w:val="fr-FR" w:eastAsia="es-BO"/>
        </w:rPr>
      </w:pPr>
      <w:r w:rsidRPr="00E26533">
        <w:rPr>
          <w:noProof/>
          <w:lang w:val="fr-FR" w:eastAsia="es-BO"/>
        </w:rPr>
        <w:t>167.</w:t>
      </w:r>
      <w:r w:rsidRPr="00E26533">
        <w:rPr>
          <w:noProof/>
          <w:lang w:val="fr-FR" w:eastAsia="es-BO"/>
        </w:rPr>
        <w:tab/>
        <w:t>Enfin, l</w:t>
      </w:r>
      <w:r w:rsidR="00FB1114">
        <w:rPr>
          <w:noProof/>
          <w:lang w:val="fr-FR" w:eastAsia="es-BO"/>
        </w:rPr>
        <w:t>’</w:t>
      </w:r>
      <w:r w:rsidRPr="00E26533">
        <w:rPr>
          <w:noProof/>
          <w:lang w:val="fr-FR" w:eastAsia="es-BO"/>
        </w:rPr>
        <w:t>article</w:t>
      </w:r>
      <w:r w:rsidR="00F434F2">
        <w:rPr>
          <w:noProof/>
          <w:lang w:val="fr-FR" w:eastAsia="es-BO"/>
        </w:rPr>
        <w:t> </w:t>
      </w:r>
      <w:r w:rsidRPr="00E26533">
        <w:rPr>
          <w:noProof/>
          <w:lang w:val="fr-FR" w:eastAsia="es-BO"/>
        </w:rPr>
        <w:t>113.I de la Constitution et le Code de procédure pénale accordent aux victimes le droit à réparation</w:t>
      </w:r>
      <w:r w:rsidR="00F434F2">
        <w:rPr>
          <w:noProof/>
          <w:lang w:val="fr-FR" w:eastAsia="es-BO"/>
        </w:rPr>
        <w:t>.</w:t>
      </w:r>
      <w:r w:rsidRPr="00E26533">
        <w:rPr>
          <w:noProof/>
          <w:lang w:val="fr-FR" w:eastAsia="es-BO"/>
        </w:rPr>
        <w:t xml:space="preserve"> À ce jour, aucun proche ne l</w:t>
      </w:r>
      <w:r w:rsidR="00FB1114">
        <w:rPr>
          <w:noProof/>
          <w:lang w:val="fr-FR" w:eastAsia="es-BO"/>
        </w:rPr>
        <w:t>’</w:t>
      </w:r>
      <w:r w:rsidRPr="00E26533">
        <w:rPr>
          <w:noProof/>
          <w:lang w:val="fr-FR" w:eastAsia="es-BO"/>
        </w:rPr>
        <w:t>a exercé.</w:t>
      </w:r>
    </w:p>
    <w:p w:rsidR="00614A7E" w:rsidRPr="00E26533" w:rsidRDefault="00E26533" w:rsidP="00147804">
      <w:pPr>
        <w:pStyle w:val="H1G"/>
        <w:rPr>
          <w:noProof/>
          <w:lang w:val="fr-FR" w:eastAsia="es-BO"/>
        </w:rPr>
      </w:pPr>
      <w:r w:rsidRPr="00E26533">
        <w:rPr>
          <w:noProof/>
          <w:lang w:val="fr-FR" w:eastAsia="es-BO"/>
        </w:rPr>
        <w:tab/>
      </w:r>
      <w:r w:rsidRPr="00E26533">
        <w:rPr>
          <w:noProof/>
          <w:lang w:val="fr-FR" w:eastAsia="es-BO"/>
        </w:rPr>
        <w:tab/>
      </w:r>
      <w:r w:rsidR="00614A7E" w:rsidRPr="00E26533">
        <w:rPr>
          <w:noProof/>
          <w:lang w:val="fr-FR" w:eastAsia="es-BO"/>
        </w:rPr>
        <w:t>Réfugiés, non-refoulement</w:t>
      </w:r>
    </w:p>
    <w:p w:rsidR="00614A7E" w:rsidRPr="00E26533" w:rsidRDefault="00614A7E" w:rsidP="00614A7E">
      <w:pPr>
        <w:pStyle w:val="H23G"/>
        <w:rPr>
          <w:noProof/>
          <w:lang w:val="fr-FR" w:eastAsia="es-BO"/>
        </w:rPr>
      </w:pPr>
      <w:r w:rsidRPr="00E26533">
        <w:rPr>
          <w:noProof/>
          <w:lang w:val="fr-FR" w:eastAsia="es-BO"/>
        </w:rPr>
        <w:tab/>
      </w:r>
      <w:r w:rsidRPr="00E26533">
        <w:rPr>
          <w:noProof/>
          <w:lang w:val="fr-FR" w:eastAsia="es-BO"/>
        </w:rPr>
        <w:tab/>
        <w:t>Recommandation figurant au paragraphe 17</w:t>
      </w:r>
    </w:p>
    <w:p w:rsidR="00614A7E" w:rsidRPr="009133F1" w:rsidRDefault="00614A7E" w:rsidP="00614A7E">
      <w:pPr>
        <w:pStyle w:val="SingleTxtG"/>
        <w:rPr>
          <w:noProof/>
          <w:lang w:val="fr-FR" w:eastAsia="es-BO"/>
        </w:rPr>
      </w:pPr>
      <w:r w:rsidRPr="009133F1">
        <w:rPr>
          <w:noProof/>
          <w:lang w:val="fr-FR" w:eastAsia="es-BO"/>
        </w:rPr>
        <w:t>168.</w:t>
      </w:r>
      <w:r w:rsidRPr="009133F1">
        <w:rPr>
          <w:noProof/>
          <w:lang w:val="fr-FR" w:eastAsia="es-BO"/>
        </w:rPr>
        <w:tab/>
        <w:t xml:space="preserve">La loi </w:t>
      </w:r>
      <w:r w:rsidR="001A2BA4" w:rsidRPr="009133F1">
        <w:rPr>
          <w:rFonts w:eastAsia="MS Mincho"/>
          <w:noProof/>
          <w:szCs w:val="22"/>
          <w:lang w:val="fr-FR" w:eastAsia="es-BO"/>
        </w:rPr>
        <w:t>n</w:t>
      </w:r>
      <w:r w:rsidR="001A2BA4" w:rsidRPr="009133F1">
        <w:rPr>
          <w:rFonts w:eastAsia="MS Mincho"/>
          <w:noProof/>
          <w:szCs w:val="22"/>
          <w:vertAlign w:val="superscript"/>
          <w:lang w:val="fr-FR" w:eastAsia="es-BO"/>
        </w:rPr>
        <w:t>o</w:t>
      </w:r>
      <w:r w:rsidR="001A2BA4" w:rsidRPr="009133F1">
        <w:rPr>
          <w:noProof/>
          <w:lang w:val="fr-FR" w:eastAsia="es-BO"/>
        </w:rPr>
        <w:t> </w:t>
      </w:r>
      <w:r w:rsidRPr="009133F1">
        <w:rPr>
          <w:noProof/>
          <w:lang w:val="fr-FR" w:eastAsia="es-BO"/>
        </w:rPr>
        <w:t>251 consacre les principes de non-refoulement</w:t>
      </w:r>
      <w:r w:rsidRPr="009133F1">
        <w:rPr>
          <w:noProof/>
          <w:vertAlign w:val="superscript"/>
          <w:lang w:val="fr-FR" w:eastAsia="es-BO"/>
        </w:rPr>
        <w:footnoteReference w:id="73"/>
      </w:r>
      <w:r w:rsidRPr="009133F1">
        <w:rPr>
          <w:noProof/>
          <w:lang w:val="fr-FR" w:eastAsia="es-BO"/>
        </w:rPr>
        <w:t>, de l</w:t>
      </w:r>
      <w:r w:rsidR="00FB1114" w:rsidRPr="009133F1">
        <w:rPr>
          <w:noProof/>
          <w:lang w:val="fr-FR" w:eastAsia="es-BO"/>
        </w:rPr>
        <w:t>’</w:t>
      </w:r>
      <w:r w:rsidRPr="009133F1">
        <w:rPr>
          <w:noProof/>
          <w:lang w:val="fr-FR" w:eastAsia="es-BO"/>
        </w:rPr>
        <w:t>irrecevabilité de l</w:t>
      </w:r>
      <w:r w:rsidR="00FB1114" w:rsidRPr="009133F1">
        <w:rPr>
          <w:noProof/>
          <w:lang w:val="fr-FR" w:eastAsia="es-BO"/>
        </w:rPr>
        <w:t>’</w:t>
      </w:r>
      <w:r w:rsidRPr="009133F1">
        <w:rPr>
          <w:noProof/>
          <w:lang w:val="fr-FR" w:eastAsia="es-BO"/>
        </w:rPr>
        <w:t>extradition</w:t>
      </w:r>
      <w:r w:rsidRPr="009133F1">
        <w:rPr>
          <w:noProof/>
          <w:vertAlign w:val="superscript"/>
          <w:lang w:val="fr-FR" w:eastAsia="es-BO"/>
        </w:rPr>
        <w:footnoteReference w:id="74"/>
      </w:r>
      <w:r w:rsidRPr="009133F1">
        <w:rPr>
          <w:noProof/>
          <w:lang w:val="fr-FR" w:eastAsia="es-BO"/>
        </w:rPr>
        <w:t xml:space="preserve"> et de non-expulsion</w:t>
      </w:r>
      <w:r w:rsidRPr="009133F1">
        <w:rPr>
          <w:noProof/>
          <w:vertAlign w:val="superscript"/>
          <w:lang w:val="fr-FR" w:eastAsia="es-BO"/>
        </w:rPr>
        <w:footnoteReference w:id="75"/>
      </w:r>
      <w:r w:rsidRPr="009133F1">
        <w:rPr>
          <w:noProof/>
          <w:lang w:val="fr-FR" w:eastAsia="es-BO"/>
        </w:rPr>
        <w:t>, en prévoyant un régime de protection des réfugiés et des personnes qui demandent le statut de réfugié, conformément à la Constitution, à la Convention de 1951 relative au statut des réfugiés et à son Protocole. À cet égard, depuis l</w:t>
      </w:r>
      <w:r w:rsidR="00FB1114" w:rsidRPr="009133F1">
        <w:rPr>
          <w:noProof/>
          <w:lang w:val="fr-FR" w:eastAsia="es-BO"/>
        </w:rPr>
        <w:t>’</w:t>
      </w:r>
      <w:r w:rsidRPr="009133F1">
        <w:rPr>
          <w:noProof/>
          <w:lang w:val="fr-FR" w:eastAsia="es-BO"/>
        </w:rPr>
        <w:t>entrée en vigueur de la loi susvisée, il n</w:t>
      </w:r>
      <w:r w:rsidR="00FB1114" w:rsidRPr="009133F1">
        <w:rPr>
          <w:noProof/>
          <w:lang w:val="fr-FR" w:eastAsia="es-BO"/>
        </w:rPr>
        <w:t>’</w:t>
      </w:r>
      <w:r w:rsidRPr="009133F1">
        <w:rPr>
          <w:noProof/>
          <w:lang w:val="fr-FR" w:eastAsia="es-BO"/>
        </w:rPr>
        <w:t>a été procédé à aucun refoulement ni à aucune expulsion de réfugiés ou de personnes demandant le statut de réfugié en Bolivie.</w:t>
      </w:r>
    </w:p>
    <w:p w:rsidR="00614A7E" w:rsidRPr="009133F1" w:rsidRDefault="00614A7E" w:rsidP="00614A7E">
      <w:pPr>
        <w:pStyle w:val="SingleTxtG"/>
        <w:rPr>
          <w:noProof/>
          <w:lang w:val="fr-FR" w:eastAsia="es-BO"/>
        </w:rPr>
      </w:pPr>
      <w:r w:rsidRPr="009133F1">
        <w:rPr>
          <w:noProof/>
          <w:lang w:val="fr-FR" w:eastAsia="es-BO"/>
        </w:rPr>
        <w:t>169.</w:t>
      </w:r>
      <w:r w:rsidRPr="009133F1">
        <w:rPr>
          <w:noProof/>
          <w:lang w:val="fr-FR" w:eastAsia="es-BO"/>
        </w:rPr>
        <w:tab/>
        <w:t>Dans le cadre de la mise en œuvre du Programme relatif aux frontières sécurisées, mais solidaires (</w:t>
      </w:r>
      <w:r w:rsidRPr="00785C01">
        <w:rPr>
          <w:i/>
          <w:lang w:val="fr-FR" w:eastAsia="es-BO"/>
        </w:rPr>
        <w:t>Programa Fronteras Solidarias y Seguras</w:t>
      </w:r>
      <w:r w:rsidRPr="009133F1">
        <w:rPr>
          <w:lang w:val="fr-FR" w:eastAsia="es-BO"/>
        </w:rPr>
        <w:t>)</w:t>
      </w:r>
      <w:r w:rsidRPr="009133F1">
        <w:rPr>
          <w:noProof/>
          <w:lang w:val="fr-FR" w:eastAsia="es-BO"/>
        </w:rPr>
        <w:t>, l</w:t>
      </w:r>
      <w:r w:rsidR="00FB1114" w:rsidRPr="009133F1">
        <w:rPr>
          <w:noProof/>
          <w:lang w:val="fr-FR" w:eastAsia="es-BO"/>
        </w:rPr>
        <w:t>’</w:t>
      </w:r>
      <w:r w:rsidRPr="009133F1">
        <w:rPr>
          <w:noProof/>
          <w:lang w:val="fr-FR" w:eastAsia="es-BO"/>
        </w:rPr>
        <w:t>État bolivien, agissant par l</w:t>
      </w:r>
      <w:r w:rsidR="00FB1114" w:rsidRPr="009133F1">
        <w:rPr>
          <w:noProof/>
          <w:lang w:val="fr-FR" w:eastAsia="es-BO"/>
        </w:rPr>
        <w:t>’</w:t>
      </w:r>
      <w:r w:rsidRPr="009133F1">
        <w:rPr>
          <w:noProof/>
          <w:lang w:val="fr-FR" w:eastAsia="es-BO"/>
        </w:rPr>
        <w:t xml:space="preserve">intermédiaire de la </w:t>
      </w:r>
      <w:r w:rsidRPr="009133F1">
        <w:rPr>
          <w:rFonts w:eastAsia="Times New Roman"/>
          <w:lang w:val="fr-FR" w:eastAsia="zh-CN"/>
        </w:rPr>
        <w:t>Commission nationale pour les réfugiés</w:t>
      </w:r>
      <w:r w:rsidRPr="009133F1">
        <w:rPr>
          <w:noProof/>
          <w:lang w:val="fr-FR" w:eastAsia="es-BO"/>
        </w:rPr>
        <w:t>, dispense des cours de formation continue et organise des campagnes d</w:t>
      </w:r>
      <w:r w:rsidR="00FB1114" w:rsidRPr="009133F1">
        <w:rPr>
          <w:noProof/>
          <w:lang w:val="fr-FR" w:eastAsia="es-BO"/>
        </w:rPr>
        <w:t>’</w:t>
      </w:r>
      <w:r w:rsidRPr="009133F1">
        <w:rPr>
          <w:noProof/>
          <w:lang w:val="fr-FR" w:eastAsia="es-BO"/>
        </w:rPr>
        <w:t>information et de sensibilisation à la question de l</w:t>
      </w:r>
      <w:r w:rsidR="00FB1114" w:rsidRPr="009133F1">
        <w:rPr>
          <w:noProof/>
          <w:lang w:val="fr-FR" w:eastAsia="es-BO"/>
        </w:rPr>
        <w:t>’</w:t>
      </w:r>
      <w:r w:rsidRPr="009133F1">
        <w:rPr>
          <w:noProof/>
          <w:lang w:val="fr-FR" w:eastAsia="es-BO"/>
        </w:rPr>
        <w:t>asile à l</w:t>
      </w:r>
      <w:r w:rsidR="00FB1114" w:rsidRPr="009133F1">
        <w:rPr>
          <w:noProof/>
          <w:lang w:val="fr-FR" w:eastAsia="es-BO"/>
        </w:rPr>
        <w:t>’</w:t>
      </w:r>
      <w:r w:rsidRPr="009133F1">
        <w:rPr>
          <w:noProof/>
          <w:lang w:val="fr-FR" w:eastAsia="es-BO"/>
        </w:rPr>
        <w:t>intention des fonctionnaires ayant affaire aux réfugiés et aux demandeurs d</w:t>
      </w:r>
      <w:r w:rsidR="00FB1114" w:rsidRPr="009133F1">
        <w:rPr>
          <w:noProof/>
          <w:lang w:val="fr-FR" w:eastAsia="es-BO"/>
        </w:rPr>
        <w:t>’</w:t>
      </w:r>
      <w:r w:rsidRPr="009133F1">
        <w:rPr>
          <w:noProof/>
          <w:lang w:val="fr-FR" w:eastAsia="es-BO"/>
        </w:rPr>
        <w:t>asile (annexe</w:t>
      </w:r>
      <w:r w:rsidR="001A2BA4" w:rsidRPr="009133F1">
        <w:rPr>
          <w:noProof/>
          <w:lang w:val="fr-FR" w:eastAsia="es-BO"/>
        </w:rPr>
        <w:t> </w:t>
      </w:r>
      <w:r w:rsidRPr="009133F1">
        <w:rPr>
          <w:noProof/>
          <w:lang w:val="fr-FR" w:eastAsia="es-BO"/>
        </w:rPr>
        <w:t>52). Les activités sont menées, en collaboration avec la Direction générale de la migration et la Pastoral de Movilidad Humana en tant qu</w:t>
      </w:r>
      <w:r w:rsidR="00FB1114" w:rsidRPr="009133F1">
        <w:rPr>
          <w:noProof/>
          <w:lang w:val="fr-FR" w:eastAsia="es-BO"/>
        </w:rPr>
        <w:t>’</w:t>
      </w:r>
      <w:r w:rsidRPr="009133F1">
        <w:rPr>
          <w:noProof/>
          <w:lang w:val="fr-FR" w:eastAsia="es-BO"/>
        </w:rPr>
        <w:t>agent d</w:t>
      </w:r>
      <w:r w:rsidR="00FB1114" w:rsidRPr="009133F1">
        <w:rPr>
          <w:noProof/>
          <w:lang w:val="fr-FR" w:eastAsia="es-BO"/>
        </w:rPr>
        <w:t>’</w:t>
      </w:r>
      <w:r w:rsidRPr="009133F1">
        <w:rPr>
          <w:noProof/>
          <w:lang w:val="fr-FR" w:eastAsia="es-BO"/>
        </w:rPr>
        <w:t>exécution du Haut-Commissariat des Nations Unies pour les réfugiés, dans les différentes institutions publiques, universités et régions frontalières.</w:t>
      </w:r>
    </w:p>
    <w:p w:rsidR="00614A7E" w:rsidRPr="00DF456A" w:rsidRDefault="00614A7E" w:rsidP="00614A7E">
      <w:pPr>
        <w:pStyle w:val="H23G"/>
        <w:ind w:firstLine="0"/>
        <w:rPr>
          <w:noProof/>
          <w:lang w:val="fr-FR" w:eastAsia="es-BO"/>
        </w:rPr>
      </w:pPr>
      <w:r w:rsidRPr="00DF456A">
        <w:rPr>
          <w:noProof/>
          <w:lang w:val="fr-FR" w:eastAsia="es-BO"/>
        </w:rPr>
        <w:t>Recom</w:t>
      </w:r>
      <w:r>
        <w:rPr>
          <w:noProof/>
          <w:lang w:val="fr-FR" w:eastAsia="es-BO"/>
        </w:rPr>
        <w:t xml:space="preserve">mandation figurant au paragraphe </w:t>
      </w:r>
      <w:r w:rsidRPr="00DF456A">
        <w:rPr>
          <w:noProof/>
          <w:lang w:val="fr-FR" w:eastAsia="es-BO"/>
        </w:rPr>
        <w:t>17.a</w:t>
      </w:r>
    </w:p>
    <w:p w:rsidR="00614A7E" w:rsidRPr="00DF456A" w:rsidRDefault="00614A7E" w:rsidP="00614A7E">
      <w:pPr>
        <w:pStyle w:val="SingleTxtG"/>
        <w:rPr>
          <w:noProof/>
          <w:lang w:val="fr-FR" w:eastAsia="es-BO"/>
        </w:rPr>
      </w:pPr>
      <w:r w:rsidRPr="00DF456A">
        <w:rPr>
          <w:noProof/>
          <w:lang w:val="fr-FR" w:eastAsia="es-BO"/>
        </w:rPr>
        <w:t>170.</w:t>
      </w:r>
      <w:r w:rsidRPr="00DF456A">
        <w:rPr>
          <w:noProof/>
          <w:lang w:val="fr-FR" w:eastAsia="es-BO"/>
        </w:rPr>
        <w:tab/>
      </w:r>
      <w:r>
        <w:rPr>
          <w:noProof/>
          <w:lang w:val="fr-FR" w:eastAsia="es-BO"/>
        </w:rPr>
        <w:t>Conformément à l</w:t>
      </w:r>
      <w:r w:rsidRPr="00DF456A">
        <w:rPr>
          <w:noProof/>
          <w:lang w:val="fr-FR" w:eastAsia="es-BO"/>
        </w:rPr>
        <w:t xml:space="preserve">a </w:t>
      </w:r>
      <w:r>
        <w:rPr>
          <w:noProof/>
          <w:lang w:val="fr-FR" w:eastAsia="es-BO"/>
        </w:rPr>
        <w:t>d</w:t>
      </w:r>
      <w:r w:rsidRPr="00DF456A">
        <w:rPr>
          <w:noProof/>
          <w:lang w:val="fr-FR" w:eastAsia="es-BO"/>
        </w:rPr>
        <w:t>isposi</w:t>
      </w:r>
      <w:r>
        <w:rPr>
          <w:noProof/>
          <w:lang w:val="fr-FR" w:eastAsia="es-BO"/>
        </w:rPr>
        <w:t xml:space="preserve">tion provisoire unique du décret suprême </w:t>
      </w:r>
      <w:r w:rsidR="00420DB9" w:rsidRPr="00AD55D6">
        <w:rPr>
          <w:rFonts w:eastAsia="MS Mincho"/>
          <w:noProof/>
          <w:szCs w:val="22"/>
          <w:lang w:val="fr-FR" w:eastAsia="es-BO"/>
        </w:rPr>
        <w:t>n</w:t>
      </w:r>
      <w:r w:rsidR="00420DB9" w:rsidRPr="00AD55D6">
        <w:rPr>
          <w:rFonts w:eastAsia="MS Mincho"/>
          <w:noProof/>
          <w:szCs w:val="22"/>
          <w:vertAlign w:val="superscript"/>
          <w:lang w:val="fr-FR" w:eastAsia="es-BO"/>
        </w:rPr>
        <w:t>o</w:t>
      </w:r>
      <w:r w:rsidR="00420DB9">
        <w:rPr>
          <w:noProof/>
          <w:lang w:val="fr-FR" w:eastAsia="es-BO"/>
        </w:rPr>
        <w:t> </w:t>
      </w:r>
      <w:r>
        <w:rPr>
          <w:noProof/>
          <w:lang w:val="fr-FR" w:eastAsia="es-BO"/>
        </w:rPr>
        <w:t xml:space="preserve">1440 du </w:t>
      </w:r>
      <w:r w:rsidRPr="00DF456A">
        <w:rPr>
          <w:noProof/>
          <w:lang w:val="fr-FR" w:eastAsia="es-BO"/>
        </w:rPr>
        <w:t>19</w:t>
      </w:r>
      <w:r w:rsidR="00420DB9">
        <w:rPr>
          <w:noProof/>
          <w:lang w:val="fr-FR" w:eastAsia="es-BO"/>
        </w:rPr>
        <w:t> </w:t>
      </w:r>
      <w:r w:rsidRPr="00DF456A">
        <w:rPr>
          <w:noProof/>
          <w:lang w:val="fr-FR" w:eastAsia="es-BO"/>
        </w:rPr>
        <w:t>d</w:t>
      </w:r>
      <w:r>
        <w:rPr>
          <w:noProof/>
          <w:lang w:val="fr-FR" w:eastAsia="es-BO"/>
        </w:rPr>
        <w:t>éc</w:t>
      </w:r>
      <w:r w:rsidRPr="00DF456A">
        <w:rPr>
          <w:noProof/>
          <w:lang w:val="fr-FR" w:eastAsia="es-BO"/>
        </w:rPr>
        <w:t>embre 2012 (</w:t>
      </w:r>
      <w:r>
        <w:rPr>
          <w:noProof/>
          <w:lang w:val="fr-FR" w:eastAsia="es-BO"/>
        </w:rPr>
        <w:t>annexe</w:t>
      </w:r>
      <w:r w:rsidR="00420DB9">
        <w:rPr>
          <w:noProof/>
          <w:lang w:val="fr-FR" w:eastAsia="es-BO"/>
        </w:rPr>
        <w:t> </w:t>
      </w:r>
      <w:r w:rsidRPr="00DF456A">
        <w:rPr>
          <w:noProof/>
          <w:lang w:val="fr-FR" w:eastAsia="es-BO"/>
        </w:rPr>
        <w:t>53), l</w:t>
      </w:r>
      <w:r>
        <w:rPr>
          <w:noProof/>
          <w:lang w:val="fr-FR" w:eastAsia="es-BO"/>
        </w:rPr>
        <w:t>e</w:t>
      </w:r>
      <w:r w:rsidRPr="00DF456A">
        <w:rPr>
          <w:noProof/>
          <w:lang w:val="fr-FR" w:eastAsia="es-BO"/>
        </w:rPr>
        <w:t xml:space="preserve">s </w:t>
      </w:r>
      <w:r>
        <w:rPr>
          <w:noProof/>
          <w:lang w:val="fr-FR" w:eastAsia="es-BO"/>
        </w:rPr>
        <w:t>demandes concernant l</w:t>
      </w:r>
      <w:r w:rsidR="00FB1114">
        <w:rPr>
          <w:noProof/>
          <w:lang w:val="fr-FR" w:eastAsia="es-BO"/>
        </w:rPr>
        <w:t>’</w:t>
      </w:r>
      <w:r>
        <w:rPr>
          <w:noProof/>
          <w:lang w:val="fr-FR" w:eastAsia="es-BO"/>
        </w:rPr>
        <w:t xml:space="preserve">apatridie peuvent être traitées selon la procédure prévue par la loi </w:t>
      </w:r>
      <w:r w:rsidR="00420DB9" w:rsidRPr="00AD55D6">
        <w:rPr>
          <w:rFonts w:eastAsia="MS Mincho"/>
          <w:noProof/>
          <w:szCs w:val="22"/>
          <w:lang w:val="fr-FR" w:eastAsia="es-BO"/>
        </w:rPr>
        <w:t>n</w:t>
      </w:r>
      <w:r w:rsidR="00420DB9" w:rsidRPr="00AD55D6">
        <w:rPr>
          <w:rFonts w:eastAsia="MS Mincho"/>
          <w:noProof/>
          <w:szCs w:val="22"/>
          <w:vertAlign w:val="superscript"/>
          <w:lang w:val="fr-FR" w:eastAsia="es-BO"/>
        </w:rPr>
        <w:t>o</w:t>
      </w:r>
      <w:r w:rsidR="00420DB9">
        <w:rPr>
          <w:noProof/>
          <w:lang w:val="fr-FR" w:eastAsia="es-BO"/>
        </w:rPr>
        <w:t> </w:t>
      </w:r>
      <w:r w:rsidRPr="00DF456A">
        <w:rPr>
          <w:noProof/>
          <w:lang w:val="fr-FR" w:eastAsia="es-BO"/>
        </w:rPr>
        <w:t xml:space="preserve">251 </w:t>
      </w:r>
      <w:r>
        <w:rPr>
          <w:noProof/>
          <w:lang w:val="fr-FR" w:eastAsia="es-BO"/>
        </w:rPr>
        <w:t>et le décret suprême lui-même</w:t>
      </w:r>
      <w:r w:rsidRPr="00DF456A">
        <w:rPr>
          <w:noProof/>
          <w:lang w:val="fr-FR" w:eastAsia="es-BO"/>
        </w:rPr>
        <w:t xml:space="preserve">. </w:t>
      </w:r>
      <w:r>
        <w:rPr>
          <w:noProof/>
          <w:lang w:val="fr-FR" w:eastAsia="es-BO"/>
        </w:rPr>
        <w:t>Néanmoins, le Comité est informé qu</w:t>
      </w:r>
      <w:r w:rsidR="00FB1114">
        <w:rPr>
          <w:noProof/>
          <w:lang w:val="fr-FR" w:eastAsia="es-BO"/>
        </w:rPr>
        <w:t>’</w:t>
      </w:r>
      <w:r>
        <w:rPr>
          <w:noProof/>
          <w:lang w:val="fr-FR" w:eastAsia="es-BO"/>
        </w:rPr>
        <w:t>aucun cas d</w:t>
      </w:r>
      <w:r w:rsidR="00FB1114">
        <w:rPr>
          <w:noProof/>
          <w:lang w:val="fr-FR" w:eastAsia="es-BO"/>
        </w:rPr>
        <w:t>’</w:t>
      </w:r>
      <w:r>
        <w:rPr>
          <w:noProof/>
          <w:lang w:val="fr-FR" w:eastAsia="es-BO"/>
        </w:rPr>
        <w:t>apatridie ne s</w:t>
      </w:r>
      <w:r w:rsidR="00FB1114">
        <w:rPr>
          <w:noProof/>
          <w:lang w:val="fr-FR" w:eastAsia="es-BO"/>
        </w:rPr>
        <w:t>’</w:t>
      </w:r>
      <w:r>
        <w:rPr>
          <w:noProof/>
          <w:lang w:val="fr-FR" w:eastAsia="es-BO"/>
        </w:rPr>
        <w:t>est présenté en Bolivie.</w:t>
      </w:r>
    </w:p>
    <w:p w:rsidR="00614A7E" w:rsidRPr="00DF456A" w:rsidRDefault="00614A7E" w:rsidP="00614A7E">
      <w:pPr>
        <w:pStyle w:val="H23G"/>
        <w:rPr>
          <w:noProof/>
          <w:lang w:val="fr-FR" w:eastAsia="es-BO"/>
        </w:rPr>
      </w:pPr>
      <w:r w:rsidRPr="00DF456A">
        <w:rPr>
          <w:noProof/>
          <w:lang w:val="fr-FR" w:eastAsia="es-BO"/>
        </w:rPr>
        <w:lastRenderedPageBreak/>
        <w:tab/>
      </w:r>
      <w:r w:rsidRPr="00DF456A">
        <w:rPr>
          <w:noProof/>
          <w:lang w:val="fr-FR" w:eastAsia="es-BO"/>
        </w:rPr>
        <w:tab/>
        <w:t>Recom</w:t>
      </w:r>
      <w:r>
        <w:rPr>
          <w:noProof/>
          <w:lang w:val="fr-FR" w:eastAsia="es-BO"/>
        </w:rPr>
        <w:t xml:space="preserve">mandation figurant au paragraphe </w:t>
      </w:r>
      <w:r w:rsidRPr="00DF456A">
        <w:rPr>
          <w:noProof/>
          <w:lang w:val="fr-FR" w:eastAsia="es-BO"/>
        </w:rPr>
        <w:t>17.b</w:t>
      </w:r>
    </w:p>
    <w:p w:rsidR="00614A7E" w:rsidRPr="00DF456A" w:rsidRDefault="00614A7E" w:rsidP="00614A7E">
      <w:pPr>
        <w:pStyle w:val="SingleTxtG"/>
        <w:rPr>
          <w:noProof/>
          <w:lang w:val="fr-FR" w:eastAsia="es-BO"/>
        </w:rPr>
      </w:pPr>
      <w:r w:rsidRPr="00DF456A">
        <w:rPr>
          <w:noProof/>
          <w:lang w:val="fr-FR" w:eastAsia="es-BO"/>
        </w:rPr>
        <w:t>171.</w:t>
      </w:r>
      <w:r w:rsidRPr="00DF456A">
        <w:rPr>
          <w:noProof/>
          <w:lang w:val="fr-FR" w:eastAsia="es-BO"/>
        </w:rPr>
        <w:tab/>
        <w:t xml:space="preserve">La </w:t>
      </w:r>
      <w:r>
        <w:rPr>
          <w:noProof/>
          <w:lang w:val="fr-FR" w:eastAsia="es-BO"/>
        </w:rPr>
        <w:t>Direction générale de la migration</w:t>
      </w:r>
      <w:r w:rsidRPr="00DF456A">
        <w:rPr>
          <w:noProof/>
          <w:lang w:val="fr-FR" w:eastAsia="es-BO"/>
        </w:rPr>
        <w:t xml:space="preserve"> </w:t>
      </w:r>
      <w:r>
        <w:rPr>
          <w:noProof/>
          <w:lang w:val="fr-FR" w:eastAsia="es-BO"/>
        </w:rPr>
        <w:t xml:space="preserve">a adopté le </w:t>
      </w:r>
      <w:r w:rsidRPr="00DF456A">
        <w:rPr>
          <w:noProof/>
          <w:lang w:val="fr-FR" w:eastAsia="es-BO"/>
        </w:rPr>
        <w:t>Manu</w:t>
      </w:r>
      <w:r>
        <w:rPr>
          <w:noProof/>
          <w:lang w:val="fr-FR" w:eastAsia="es-BO"/>
        </w:rPr>
        <w:t>e</w:t>
      </w:r>
      <w:r w:rsidRPr="00DF456A">
        <w:rPr>
          <w:noProof/>
          <w:lang w:val="fr-FR" w:eastAsia="es-BO"/>
        </w:rPr>
        <w:t xml:space="preserve">l de </w:t>
      </w:r>
      <w:r>
        <w:rPr>
          <w:noProof/>
          <w:lang w:val="fr-FR" w:eastAsia="es-BO"/>
        </w:rPr>
        <w:t xml:space="preserve">procédures relatives au contrôle migratoire </w:t>
      </w:r>
      <w:r w:rsidR="00420DB9">
        <w:rPr>
          <w:noProof/>
          <w:lang w:val="fr-FR" w:eastAsia="es-BO"/>
        </w:rPr>
        <w:t>−</w:t>
      </w:r>
      <w:r>
        <w:rPr>
          <w:noProof/>
          <w:lang w:val="fr-FR" w:eastAsia="es-BO"/>
        </w:rPr>
        <w:t xml:space="preserve"> entrées de nationaux et d</w:t>
      </w:r>
      <w:r w:rsidR="00FB1114">
        <w:rPr>
          <w:noProof/>
          <w:lang w:val="fr-FR" w:eastAsia="es-BO"/>
        </w:rPr>
        <w:t>’</w:t>
      </w:r>
      <w:r>
        <w:rPr>
          <w:noProof/>
          <w:lang w:val="fr-FR" w:eastAsia="es-BO"/>
        </w:rPr>
        <w:t xml:space="preserve">étrangers sur le territoire bolivien et sorties de ce territoire </w:t>
      </w:r>
      <w:r w:rsidRPr="00DF456A">
        <w:rPr>
          <w:noProof/>
          <w:lang w:val="fr-FR" w:eastAsia="es-BO"/>
        </w:rPr>
        <w:t>(</w:t>
      </w:r>
      <w:r>
        <w:rPr>
          <w:noProof/>
          <w:lang w:val="fr-FR" w:eastAsia="es-BO"/>
        </w:rPr>
        <w:t>annexe</w:t>
      </w:r>
      <w:r w:rsidRPr="00DF456A">
        <w:rPr>
          <w:noProof/>
          <w:lang w:val="fr-FR" w:eastAsia="es-BO"/>
        </w:rPr>
        <w:t> 54)</w:t>
      </w:r>
      <w:r>
        <w:rPr>
          <w:noProof/>
          <w:lang w:val="fr-FR" w:eastAsia="es-BO"/>
        </w:rPr>
        <w:t>, qui fait obligation à l</w:t>
      </w:r>
      <w:r w:rsidR="00FB1114">
        <w:rPr>
          <w:noProof/>
          <w:lang w:val="fr-FR" w:eastAsia="es-BO"/>
        </w:rPr>
        <w:t>’</w:t>
      </w:r>
      <w:r>
        <w:rPr>
          <w:noProof/>
          <w:lang w:val="fr-FR" w:eastAsia="es-BO"/>
        </w:rPr>
        <w:t>inspecteur chargé du contrôle migratoire aux frontières terrestres et aéroportuaires d</w:t>
      </w:r>
      <w:r w:rsidR="00FB1114">
        <w:rPr>
          <w:noProof/>
          <w:lang w:val="fr-FR" w:eastAsia="es-BO"/>
        </w:rPr>
        <w:t>’</w:t>
      </w:r>
      <w:r>
        <w:rPr>
          <w:noProof/>
          <w:lang w:val="fr-FR" w:eastAsia="es-BO"/>
        </w:rPr>
        <w:t xml:space="preserve">effectuer un contrôle différencié qui tienne compte de cas spéciaux </w:t>
      </w:r>
      <w:r w:rsidRPr="00DF456A">
        <w:rPr>
          <w:noProof/>
          <w:lang w:val="fr-FR" w:eastAsia="es-BO"/>
        </w:rPr>
        <w:t>(</w:t>
      </w:r>
      <w:r>
        <w:rPr>
          <w:noProof/>
          <w:lang w:val="fr-FR" w:eastAsia="es-BO"/>
        </w:rPr>
        <w:t>demandeurs d</w:t>
      </w:r>
      <w:r w:rsidR="00FB1114">
        <w:rPr>
          <w:noProof/>
          <w:lang w:val="fr-FR" w:eastAsia="es-BO"/>
        </w:rPr>
        <w:t>’</w:t>
      </w:r>
      <w:r>
        <w:rPr>
          <w:noProof/>
          <w:lang w:val="fr-FR" w:eastAsia="es-BO"/>
        </w:rPr>
        <w:t>asile et réfugiés,</w:t>
      </w:r>
      <w:r w:rsidRPr="00DF456A">
        <w:rPr>
          <w:noProof/>
          <w:lang w:val="fr-FR" w:eastAsia="es-BO"/>
        </w:rPr>
        <w:t xml:space="preserve"> ap</w:t>
      </w:r>
      <w:r>
        <w:rPr>
          <w:noProof/>
          <w:lang w:val="fr-FR" w:eastAsia="es-BO"/>
        </w:rPr>
        <w:t>a</w:t>
      </w:r>
      <w:r w:rsidRPr="00DF456A">
        <w:rPr>
          <w:noProof/>
          <w:lang w:val="fr-FR" w:eastAsia="es-BO"/>
        </w:rPr>
        <w:t>trid</w:t>
      </w:r>
      <w:r>
        <w:rPr>
          <w:noProof/>
          <w:lang w:val="fr-FR" w:eastAsia="es-BO"/>
        </w:rPr>
        <w:t>e</w:t>
      </w:r>
      <w:r w:rsidRPr="00DF456A">
        <w:rPr>
          <w:noProof/>
          <w:lang w:val="fr-FR" w:eastAsia="es-BO"/>
        </w:rPr>
        <w:t xml:space="preserve">s, </w:t>
      </w:r>
      <w:r>
        <w:rPr>
          <w:noProof/>
          <w:lang w:val="fr-FR" w:eastAsia="es-BO"/>
        </w:rPr>
        <w:t>mineurs non accompagnés par leurs parents et qui sont en possession d</w:t>
      </w:r>
      <w:r w:rsidR="00FB1114">
        <w:rPr>
          <w:noProof/>
          <w:lang w:val="fr-FR" w:eastAsia="es-BO"/>
        </w:rPr>
        <w:t>’</w:t>
      </w:r>
      <w:r>
        <w:rPr>
          <w:noProof/>
          <w:lang w:val="fr-FR" w:eastAsia="es-BO"/>
        </w:rPr>
        <w:t>une autorisation de voyage établie par l</w:t>
      </w:r>
      <w:r w:rsidR="00FB1114">
        <w:rPr>
          <w:noProof/>
          <w:lang w:val="fr-FR" w:eastAsia="es-BO"/>
        </w:rPr>
        <w:t>’</w:t>
      </w:r>
      <w:r>
        <w:rPr>
          <w:noProof/>
          <w:lang w:val="fr-FR" w:eastAsia="es-BO"/>
        </w:rPr>
        <w:t>autorité compétente, victimes de la traite des personnes et autres cas</w:t>
      </w:r>
      <w:r w:rsidRPr="00DF456A">
        <w:rPr>
          <w:noProof/>
          <w:lang w:val="fr-FR" w:eastAsia="es-BO"/>
        </w:rPr>
        <w:t xml:space="preserve">). </w:t>
      </w:r>
      <w:r>
        <w:rPr>
          <w:noProof/>
          <w:lang w:val="fr-FR" w:eastAsia="es-BO"/>
        </w:rPr>
        <w:t>Si une personne demande l</w:t>
      </w:r>
      <w:r w:rsidR="00FB1114">
        <w:rPr>
          <w:noProof/>
          <w:lang w:val="fr-FR" w:eastAsia="es-BO"/>
        </w:rPr>
        <w:t>’</w:t>
      </w:r>
      <w:r>
        <w:rPr>
          <w:noProof/>
          <w:lang w:val="fr-FR" w:eastAsia="es-BO"/>
        </w:rPr>
        <w:t>asile ou a le statut d</w:t>
      </w:r>
      <w:r w:rsidR="00FB1114">
        <w:rPr>
          <w:noProof/>
          <w:lang w:val="fr-FR" w:eastAsia="es-BO"/>
        </w:rPr>
        <w:t>’</w:t>
      </w:r>
      <w:r>
        <w:rPr>
          <w:noProof/>
          <w:lang w:val="fr-FR" w:eastAsia="es-BO"/>
        </w:rPr>
        <w:t>apatride et en cas de surveillance stricte des flux migratoires aux frontières, on lui indique de prendre contact avec la Commission nationale pour les réfugiés</w:t>
      </w:r>
      <w:r w:rsidRPr="00DF456A">
        <w:rPr>
          <w:noProof/>
          <w:lang w:val="fr-FR" w:eastAsia="es-BO"/>
        </w:rPr>
        <w:t xml:space="preserve">, </w:t>
      </w:r>
      <w:r>
        <w:rPr>
          <w:noProof/>
          <w:lang w:val="fr-FR" w:eastAsia="es-BO"/>
        </w:rPr>
        <w:t>dont on lui donne l</w:t>
      </w:r>
      <w:r w:rsidR="00FB1114">
        <w:rPr>
          <w:noProof/>
          <w:lang w:val="fr-FR" w:eastAsia="es-BO"/>
        </w:rPr>
        <w:t>’</w:t>
      </w:r>
      <w:r>
        <w:rPr>
          <w:noProof/>
          <w:lang w:val="fr-FR" w:eastAsia="es-BO"/>
        </w:rPr>
        <w:t>adresse et les coordonnées</w:t>
      </w:r>
      <w:r w:rsidRPr="00DF456A">
        <w:rPr>
          <w:noProof/>
          <w:lang w:val="fr-FR" w:eastAsia="es-BO"/>
        </w:rPr>
        <w:t>.</w:t>
      </w:r>
    </w:p>
    <w:p w:rsidR="00614A7E" w:rsidRPr="00DF456A" w:rsidRDefault="00614A7E" w:rsidP="00614A7E">
      <w:pPr>
        <w:pStyle w:val="SingleTxtG"/>
        <w:rPr>
          <w:noProof/>
          <w:lang w:val="fr-FR" w:eastAsia="es-BO"/>
        </w:rPr>
      </w:pPr>
      <w:r w:rsidRPr="00DF456A">
        <w:rPr>
          <w:noProof/>
          <w:lang w:val="fr-FR" w:eastAsia="es-BO"/>
        </w:rPr>
        <w:t>172.</w:t>
      </w:r>
      <w:r w:rsidRPr="00DF456A">
        <w:rPr>
          <w:noProof/>
          <w:lang w:val="fr-FR" w:eastAsia="es-BO"/>
        </w:rPr>
        <w:tab/>
      </w:r>
      <w:r>
        <w:rPr>
          <w:noProof/>
          <w:lang w:val="fr-FR" w:eastAsia="es-BO"/>
        </w:rPr>
        <w:t xml:space="preserve">De même, le manuel susmentionné précise que </w:t>
      </w:r>
      <w:r w:rsidRPr="00B56565">
        <w:rPr>
          <w:noProof/>
          <w:lang w:val="fr-FR" w:eastAsia="es-BO"/>
        </w:rPr>
        <w:t>l</w:t>
      </w:r>
      <w:r w:rsidR="00FB1114">
        <w:rPr>
          <w:noProof/>
          <w:lang w:val="fr-FR" w:eastAsia="es-BO"/>
        </w:rPr>
        <w:t>’</w:t>
      </w:r>
      <w:r w:rsidRPr="00B56565">
        <w:rPr>
          <w:noProof/>
          <w:lang w:val="fr-FR"/>
        </w:rPr>
        <w:t>interdiction d</w:t>
      </w:r>
      <w:r w:rsidR="00FB1114">
        <w:rPr>
          <w:noProof/>
          <w:lang w:val="fr-FR"/>
        </w:rPr>
        <w:t>’</w:t>
      </w:r>
      <w:r w:rsidRPr="00B56565">
        <w:rPr>
          <w:noProof/>
          <w:lang w:val="fr-FR"/>
        </w:rPr>
        <w:t>entrer dans le pays</w:t>
      </w:r>
      <w:r w:rsidRPr="00B5117C">
        <w:rPr>
          <w:lang w:val="fr-FR"/>
        </w:rPr>
        <w:t xml:space="preserve"> </w:t>
      </w:r>
      <w:r>
        <w:rPr>
          <w:noProof/>
          <w:lang w:val="fr-FR" w:eastAsia="es-BO"/>
        </w:rPr>
        <w:t>ne s</w:t>
      </w:r>
      <w:r w:rsidR="00FB1114">
        <w:rPr>
          <w:noProof/>
          <w:lang w:val="fr-FR" w:eastAsia="es-BO"/>
        </w:rPr>
        <w:t>’</w:t>
      </w:r>
      <w:r>
        <w:rPr>
          <w:noProof/>
          <w:lang w:val="fr-FR" w:eastAsia="es-BO"/>
        </w:rPr>
        <w:t>applique pas aux demandeurs d</w:t>
      </w:r>
      <w:r w:rsidR="00FB1114">
        <w:rPr>
          <w:noProof/>
          <w:lang w:val="fr-FR" w:eastAsia="es-BO"/>
        </w:rPr>
        <w:t>’</w:t>
      </w:r>
      <w:r>
        <w:rPr>
          <w:noProof/>
          <w:lang w:val="fr-FR" w:eastAsia="es-BO"/>
        </w:rPr>
        <w:t>asile et aux victimes de la traite des personnes</w:t>
      </w:r>
      <w:r w:rsidRPr="00DF456A">
        <w:rPr>
          <w:noProof/>
          <w:lang w:val="fr-FR" w:eastAsia="es-BO"/>
        </w:rPr>
        <w:t>.</w:t>
      </w:r>
    </w:p>
    <w:p w:rsidR="00614A7E" w:rsidRPr="00DF456A" w:rsidRDefault="00614A7E" w:rsidP="00614A7E">
      <w:pPr>
        <w:pStyle w:val="SingleTxtG"/>
        <w:rPr>
          <w:noProof/>
          <w:lang w:val="fr-FR" w:eastAsia="es-BO"/>
        </w:rPr>
      </w:pPr>
      <w:r w:rsidRPr="00DF456A">
        <w:rPr>
          <w:noProof/>
          <w:lang w:val="fr-FR" w:eastAsia="es-BO"/>
        </w:rPr>
        <w:t>173.</w:t>
      </w:r>
      <w:r w:rsidRPr="00DF456A">
        <w:rPr>
          <w:noProof/>
          <w:lang w:val="fr-FR" w:eastAsia="es-BO"/>
        </w:rPr>
        <w:tab/>
      </w:r>
      <w:r>
        <w:rPr>
          <w:noProof/>
          <w:lang w:val="fr-FR" w:eastAsia="es-BO"/>
        </w:rPr>
        <w:t>De plus, pour régulariser la situation des étrangers demandeurs d</w:t>
      </w:r>
      <w:r w:rsidR="00FB1114">
        <w:rPr>
          <w:noProof/>
          <w:lang w:val="fr-FR" w:eastAsia="es-BO"/>
        </w:rPr>
        <w:t>’</w:t>
      </w:r>
      <w:r>
        <w:rPr>
          <w:noProof/>
          <w:lang w:val="fr-FR" w:eastAsia="es-BO"/>
        </w:rPr>
        <w:t>asile ou du statut d</w:t>
      </w:r>
      <w:r w:rsidR="00FB1114">
        <w:rPr>
          <w:noProof/>
          <w:lang w:val="fr-FR" w:eastAsia="es-BO"/>
        </w:rPr>
        <w:t>’</w:t>
      </w:r>
      <w:r>
        <w:rPr>
          <w:noProof/>
          <w:lang w:val="fr-FR" w:eastAsia="es-BO"/>
        </w:rPr>
        <w:t xml:space="preserve">apatride et des victimes de la traite des personnes et du trafic de migrants qui seraient entrés sur le territoire bolivien en se soustrayant au contrôle migratoire, </w:t>
      </w:r>
      <w:r w:rsidRPr="00DF456A">
        <w:rPr>
          <w:noProof/>
          <w:lang w:val="fr-FR" w:eastAsia="es-BO"/>
        </w:rPr>
        <w:t xml:space="preserve">la </w:t>
      </w:r>
      <w:r>
        <w:rPr>
          <w:noProof/>
          <w:lang w:val="fr-FR" w:eastAsia="es-BO"/>
        </w:rPr>
        <w:t>Direction générale de la migration</w:t>
      </w:r>
      <w:r w:rsidRPr="00DF456A">
        <w:rPr>
          <w:noProof/>
          <w:lang w:val="fr-FR" w:eastAsia="es-BO"/>
        </w:rPr>
        <w:t xml:space="preserve"> </w:t>
      </w:r>
      <w:r>
        <w:rPr>
          <w:noProof/>
          <w:lang w:val="fr-FR" w:eastAsia="es-BO"/>
        </w:rPr>
        <w:t>leur remet la carte andine des migrations revêtue des tampons correspondants et</w:t>
      </w:r>
      <w:r w:rsidRPr="00DF456A">
        <w:rPr>
          <w:noProof/>
          <w:lang w:val="fr-FR" w:eastAsia="es-BO"/>
        </w:rPr>
        <w:t xml:space="preserve"> </w:t>
      </w:r>
      <w:r>
        <w:rPr>
          <w:noProof/>
          <w:lang w:val="fr-FR" w:eastAsia="es-BO"/>
        </w:rPr>
        <w:t>appose un cachet sur le document de voyage dont la personne est éventuellement porteuse,</w:t>
      </w:r>
      <w:r w:rsidRPr="00DF456A">
        <w:rPr>
          <w:noProof/>
          <w:lang w:val="fr-FR" w:eastAsia="es-BO"/>
        </w:rPr>
        <w:t xml:space="preserve"> </w:t>
      </w:r>
      <w:r>
        <w:rPr>
          <w:noProof/>
          <w:lang w:val="fr-FR" w:eastAsia="es-BO"/>
        </w:rPr>
        <w:t>et enregistre les flux migratoires dans le Sy</w:t>
      </w:r>
      <w:r w:rsidRPr="00DF456A">
        <w:rPr>
          <w:noProof/>
          <w:lang w:val="fr-FR" w:eastAsia="es-BO"/>
        </w:rPr>
        <w:t>st</w:t>
      </w:r>
      <w:r>
        <w:rPr>
          <w:noProof/>
          <w:lang w:val="fr-FR" w:eastAsia="es-BO"/>
        </w:rPr>
        <w:t>ème intégré de c</w:t>
      </w:r>
      <w:r w:rsidRPr="00DF456A">
        <w:rPr>
          <w:noProof/>
          <w:lang w:val="fr-FR" w:eastAsia="es-BO"/>
        </w:rPr>
        <w:t>ontr</w:t>
      </w:r>
      <w:r>
        <w:rPr>
          <w:noProof/>
          <w:lang w:val="fr-FR" w:eastAsia="es-BO"/>
        </w:rPr>
        <w:t>ôle migratoire</w:t>
      </w:r>
      <w:r w:rsidRPr="00DF456A">
        <w:rPr>
          <w:noProof/>
          <w:lang w:val="fr-FR" w:eastAsia="es-BO"/>
        </w:rPr>
        <w:t xml:space="preserve"> </w:t>
      </w:r>
      <w:r>
        <w:rPr>
          <w:noProof/>
          <w:lang w:val="fr-FR" w:eastAsia="es-BO"/>
        </w:rPr>
        <w:t>géré par les a</w:t>
      </w:r>
      <w:r w:rsidRPr="00DF456A">
        <w:rPr>
          <w:noProof/>
          <w:lang w:val="fr-FR" w:eastAsia="es-BO"/>
        </w:rPr>
        <w:t>dministra</w:t>
      </w:r>
      <w:r>
        <w:rPr>
          <w:noProof/>
          <w:lang w:val="fr-FR" w:eastAsia="es-BO"/>
        </w:rPr>
        <w:t xml:space="preserve">tions départementales ou le Bureau central </w:t>
      </w:r>
      <w:r w:rsidRPr="00DF456A">
        <w:rPr>
          <w:noProof/>
          <w:lang w:val="fr-FR" w:eastAsia="es-BO"/>
        </w:rPr>
        <w:t xml:space="preserve">de la </w:t>
      </w:r>
      <w:r>
        <w:rPr>
          <w:noProof/>
          <w:lang w:val="fr-FR" w:eastAsia="es-BO"/>
        </w:rPr>
        <w:t>Direction générale de la migration</w:t>
      </w:r>
      <w:r w:rsidRPr="00DF456A">
        <w:rPr>
          <w:noProof/>
          <w:lang w:val="fr-FR" w:eastAsia="es-BO"/>
        </w:rPr>
        <w:t>.</w:t>
      </w:r>
    </w:p>
    <w:p w:rsidR="00614A7E" w:rsidRPr="009133F1" w:rsidRDefault="00614A7E" w:rsidP="00614A7E">
      <w:pPr>
        <w:pStyle w:val="SingleTxtG"/>
        <w:rPr>
          <w:noProof/>
          <w:lang w:val="fr-FR" w:eastAsia="es-BO"/>
        </w:rPr>
      </w:pPr>
      <w:r w:rsidRPr="00DF456A">
        <w:rPr>
          <w:noProof/>
          <w:lang w:val="fr-FR" w:eastAsia="es-BO"/>
        </w:rPr>
        <w:t>174.</w:t>
      </w:r>
      <w:r w:rsidRPr="00DF456A">
        <w:rPr>
          <w:noProof/>
          <w:lang w:val="fr-FR" w:eastAsia="es-BO"/>
        </w:rPr>
        <w:tab/>
      </w:r>
      <w:r w:rsidRPr="009133F1">
        <w:rPr>
          <w:noProof/>
          <w:lang w:val="fr-FR" w:eastAsia="es-BO"/>
        </w:rPr>
        <w:t>Par ailleurs, en 2015, le Conseil plurinational de lutte contre la traite et le trafic des personnes a adopté</w:t>
      </w:r>
      <w:r w:rsidR="00420DB9" w:rsidRPr="009133F1">
        <w:rPr>
          <w:noProof/>
          <w:lang w:val="fr-FR" w:eastAsia="es-BO"/>
        </w:rPr>
        <w:t> </w:t>
      </w:r>
      <w:r w:rsidRPr="009133F1">
        <w:rPr>
          <w:noProof/>
          <w:lang w:val="fr-FR" w:eastAsia="es-BO"/>
        </w:rPr>
        <w:t>:</w:t>
      </w:r>
    </w:p>
    <w:p w:rsidR="00614A7E" w:rsidRPr="009133F1" w:rsidRDefault="00614A7E" w:rsidP="00614A7E">
      <w:pPr>
        <w:pStyle w:val="SingleTxtG"/>
        <w:ind w:left="1701" w:firstLine="567"/>
        <w:rPr>
          <w:noProof/>
          <w:lang w:val="fr-FR" w:eastAsia="es-BO"/>
        </w:rPr>
      </w:pPr>
      <w:r w:rsidRPr="009133F1">
        <w:rPr>
          <w:noProof/>
          <w:lang w:val="fr-FR" w:eastAsia="es-BO"/>
        </w:rPr>
        <w:t xml:space="preserve">Les </w:t>
      </w:r>
      <w:r w:rsidRPr="009133F1">
        <w:rPr>
          <w:noProof/>
          <w:lang w:val="fr-FR"/>
        </w:rPr>
        <w:t>« Principes d</w:t>
      </w:r>
      <w:r w:rsidR="00FB1114" w:rsidRPr="009133F1">
        <w:rPr>
          <w:noProof/>
          <w:lang w:val="fr-FR"/>
        </w:rPr>
        <w:t>’</w:t>
      </w:r>
      <w:r w:rsidRPr="009133F1">
        <w:rPr>
          <w:noProof/>
          <w:lang w:val="fr-FR"/>
        </w:rPr>
        <w:t>action en matière de lutte contre la traite et le trafic des nationaux et des étrangers »</w:t>
      </w:r>
      <w:r w:rsidRPr="009133F1">
        <w:rPr>
          <w:noProof/>
          <w:lang w:val="fr-FR" w:eastAsia="es-BO"/>
        </w:rPr>
        <w:t xml:space="preserve"> (annexe</w:t>
      </w:r>
      <w:r w:rsidR="00420DB9" w:rsidRPr="009133F1">
        <w:rPr>
          <w:noProof/>
          <w:lang w:val="fr-FR" w:eastAsia="es-BO"/>
        </w:rPr>
        <w:t> </w:t>
      </w:r>
      <w:r w:rsidRPr="009133F1">
        <w:rPr>
          <w:noProof/>
          <w:lang w:val="fr-FR" w:eastAsia="es-BO"/>
        </w:rPr>
        <w:t>55), qui définit des règles de conduite en matière de migrations au niveau national pour prévenir les infractions de traite et de trafic des personnes, repérer rapidement d</w:t>
      </w:r>
      <w:r w:rsidR="00FB1114" w:rsidRPr="009133F1">
        <w:rPr>
          <w:noProof/>
          <w:lang w:val="fr-FR" w:eastAsia="es-BO"/>
        </w:rPr>
        <w:t>’</w:t>
      </w:r>
      <w:r w:rsidRPr="009133F1">
        <w:rPr>
          <w:noProof/>
          <w:lang w:val="fr-FR" w:eastAsia="es-BO"/>
        </w:rPr>
        <w:t>éventuelles victimes, identifier les auteurs présumés des actes de traite et/ou de trafic, mettre en œuvre des dispositifs de protection et enregistrer toutes ces informations.</w:t>
      </w:r>
    </w:p>
    <w:p w:rsidR="00614A7E" w:rsidRPr="00DF456A" w:rsidRDefault="00614A7E" w:rsidP="00147804">
      <w:pPr>
        <w:pStyle w:val="H1G"/>
        <w:rPr>
          <w:noProof/>
          <w:lang w:val="fr-FR" w:eastAsia="es-BO"/>
        </w:rPr>
      </w:pPr>
      <w:r w:rsidRPr="00DF456A">
        <w:rPr>
          <w:noProof/>
          <w:lang w:val="fr-FR" w:eastAsia="es-BO"/>
        </w:rPr>
        <w:tab/>
      </w:r>
      <w:r w:rsidRPr="00DF456A">
        <w:rPr>
          <w:noProof/>
          <w:lang w:val="fr-FR" w:eastAsia="es-BO"/>
        </w:rPr>
        <w:tab/>
        <w:t>Condi</w:t>
      </w:r>
      <w:r>
        <w:rPr>
          <w:noProof/>
          <w:lang w:val="fr-FR" w:eastAsia="es-BO"/>
        </w:rPr>
        <w:t>tions de détention dans les établissements pénitentiaires</w:t>
      </w:r>
    </w:p>
    <w:p w:rsidR="00614A7E" w:rsidRPr="00DF456A" w:rsidRDefault="00614A7E" w:rsidP="00105564">
      <w:pPr>
        <w:pStyle w:val="H23G"/>
        <w:rPr>
          <w:noProof/>
          <w:lang w:val="fr-FR" w:eastAsia="es-BO"/>
        </w:rPr>
      </w:pPr>
      <w:r w:rsidRPr="00DF456A">
        <w:rPr>
          <w:noProof/>
          <w:lang w:val="fr-FR" w:eastAsia="es-BO"/>
        </w:rPr>
        <w:tab/>
      </w:r>
      <w:r w:rsidRPr="00DF456A">
        <w:rPr>
          <w:noProof/>
          <w:lang w:val="fr-FR" w:eastAsia="es-BO"/>
        </w:rPr>
        <w:tab/>
        <w:t>Recom</w:t>
      </w:r>
      <w:r>
        <w:rPr>
          <w:noProof/>
          <w:lang w:val="fr-FR" w:eastAsia="es-BO"/>
        </w:rPr>
        <w:t xml:space="preserve">mandation </w:t>
      </w:r>
      <w:r w:rsidRPr="00105564">
        <w:t>figurant</w:t>
      </w:r>
      <w:r>
        <w:rPr>
          <w:noProof/>
          <w:lang w:val="fr-FR" w:eastAsia="es-BO"/>
        </w:rPr>
        <w:t xml:space="preserve"> au paragraphe </w:t>
      </w:r>
      <w:r w:rsidRPr="00DF456A">
        <w:rPr>
          <w:noProof/>
          <w:lang w:val="fr-FR" w:eastAsia="es-BO"/>
        </w:rPr>
        <w:t>18.a</w:t>
      </w:r>
    </w:p>
    <w:p w:rsidR="00614A7E" w:rsidRPr="00DF456A" w:rsidRDefault="00614A7E" w:rsidP="00614A7E">
      <w:pPr>
        <w:pStyle w:val="SingleTxtG"/>
        <w:rPr>
          <w:noProof/>
          <w:lang w:val="fr-FR" w:eastAsia="es-BO"/>
        </w:rPr>
      </w:pPr>
      <w:r w:rsidRPr="00DF456A">
        <w:rPr>
          <w:noProof/>
          <w:lang w:val="fr-FR" w:eastAsia="es-BO"/>
        </w:rPr>
        <w:t>175.</w:t>
      </w:r>
      <w:r w:rsidRPr="00DF456A">
        <w:rPr>
          <w:noProof/>
          <w:lang w:val="fr-FR" w:eastAsia="es-BO"/>
        </w:rPr>
        <w:tab/>
      </w:r>
      <w:r>
        <w:rPr>
          <w:noProof/>
          <w:lang w:val="fr-FR" w:eastAsia="es-BO"/>
        </w:rPr>
        <w:t xml:space="preserve">La </w:t>
      </w:r>
      <w:r w:rsidRPr="00DF456A">
        <w:rPr>
          <w:noProof/>
          <w:lang w:val="fr-FR" w:eastAsia="es-BO"/>
        </w:rPr>
        <w:t>Bolivi</w:t>
      </w:r>
      <w:r>
        <w:rPr>
          <w:noProof/>
          <w:lang w:val="fr-FR" w:eastAsia="es-BO"/>
        </w:rPr>
        <w:t>e a redoublé d</w:t>
      </w:r>
      <w:r w:rsidR="00FB1114">
        <w:rPr>
          <w:noProof/>
          <w:lang w:val="fr-FR" w:eastAsia="es-BO"/>
        </w:rPr>
        <w:t>’</w:t>
      </w:r>
      <w:r>
        <w:rPr>
          <w:noProof/>
          <w:lang w:val="fr-FR" w:eastAsia="es-BO"/>
        </w:rPr>
        <w:t>efforts pour réduire la surpopulation carcérale, en s</w:t>
      </w:r>
      <w:r w:rsidR="00FB1114">
        <w:rPr>
          <w:noProof/>
          <w:lang w:val="fr-FR" w:eastAsia="es-BO"/>
        </w:rPr>
        <w:t>’</w:t>
      </w:r>
      <w:r>
        <w:rPr>
          <w:noProof/>
          <w:lang w:val="fr-FR" w:eastAsia="es-BO"/>
        </w:rPr>
        <w:t xml:space="preserve">employant à promouvoir </w:t>
      </w:r>
      <w:r w:rsidRPr="00DF456A">
        <w:rPr>
          <w:noProof/>
          <w:lang w:val="fr-FR" w:eastAsia="es-BO"/>
        </w:rPr>
        <w:t xml:space="preserve">la </w:t>
      </w:r>
      <w:r>
        <w:rPr>
          <w:noProof/>
          <w:lang w:val="fr-FR" w:eastAsia="es-BO"/>
        </w:rPr>
        <w:t>pratique de la grâce et de l</w:t>
      </w:r>
      <w:r w:rsidR="00FB1114">
        <w:rPr>
          <w:noProof/>
          <w:lang w:val="fr-FR" w:eastAsia="es-BO"/>
        </w:rPr>
        <w:t>’</w:t>
      </w:r>
      <w:r>
        <w:rPr>
          <w:noProof/>
          <w:lang w:val="fr-FR" w:eastAsia="es-BO"/>
        </w:rPr>
        <w:t>amnistie et, à cette fin, en adoptant les dispositions suivantes</w:t>
      </w:r>
      <w:r w:rsidR="00105564">
        <w:rPr>
          <w:noProof/>
          <w:lang w:val="fr-FR" w:eastAsia="es-BO"/>
        </w:rPr>
        <w:t> </w:t>
      </w:r>
      <w:r w:rsidRPr="00DF456A">
        <w:rPr>
          <w:noProof/>
          <w:lang w:val="fr-FR" w:eastAsia="es-BO"/>
        </w:rPr>
        <w:t>:</w:t>
      </w:r>
    </w:p>
    <w:p w:rsidR="00614A7E" w:rsidRPr="00105564" w:rsidRDefault="00614A7E" w:rsidP="00105564">
      <w:pPr>
        <w:pStyle w:val="Bullet1G"/>
      </w:pPr>
      <w:r w:rsidRPr="00DF456A">
        <w:rPr>
          <w:noProof/>
          <w:lang w:val="fr-FR"/>
        </w:rPr>
        <w:t>D</w:t>
      </w:r>
      <w:r>
        <w:rPr>
          <w:noProof/>
          <w:lang w:val="fr-FR"/>
        </w:rPr>
        <w:t xml:space="preserve">écret présidentiel </w:t>
      </w:r>
      <w:r w:rsidR="00105564" w:rsidRPr="00AD55D6">
        <w:rPr>
          <w:rFonts w:eastAsia="MS Mincho"/>
          <w:noProof/>
          <w:szCs w:val="22"/>
          <w:lang w:val="fr-FR" w:eastAsia="es-BO"/>
        </w:rPr>
        <w:t>n</w:t>
      </w:r>
      <w:r w:rsidR="00105564" w:rsidRPr="00AD55D6">
        <w:rPr>
          <w:rFonts w:eastAsia="MS Mincho"/>
          <w:noProof/>
          <w:szCs w:val="22"/>
          <w:vertAlign w:val="superscript"/>
          <w:lang w:val="fr-FR" w:eastAsia="es-BO"/>
        </w:rPr>
        <w:t>o</w:t>
      </w:r>
      <w:r w:rsidR="00105564">
        <w:rPr>
          <w:noProof/>
          <w:lang w:val="fr-FR" w:eastAsia="es-BO"/>
        </w:rPr>
        <w:t> </w:t>
      </w:r>
      <w:r w:rsidRPr="00DF456A">
        <w:rPr>
          <w:noProof/>
          <w:lang w:val="fr-FR"/>
        </w:rPr>
        <w:t>445 d</w:t>
      </w:r>
      <w:r>
        <w:rPr>
          <w:noProof/>
          <w:lang w:val="fr-FR"/>
        </w:rPr>
        <w:t>u</w:t>
      </w:r>
      <w:r w:rsidRPr="00DF456A">
        <w:rPr>
          <w:noProof/>
          <w:lang w:val="fr-FR"/>
        </w:rPr>
        <w:t xml:space="preserve"> 19</w:t>
      </w:r>
      <w:r w:rsidR="00105564">
        <w:rPr>
          <w:noProof/>
          <w:lang w:val="fr-FR"/>
        </w:rPr>
        <w:t> </w:t>
      </w:r>
      <w:r w:rsidRPr="00DF456A">
        <w:rPr>
          <w:noProof/>
          <w:lang w:val="fr-FR"/>
        </w:rPr>
        <w:t>d</w:t>
      </w:r>
      <w:r>
        <w:rPr>
          <w:noProof/>
          <w:lang w:val="fr-FR"/>
        </w:rPr>
        <w:t>é</w:t>
      </w:r>
      <w:r w:rsidRPr="00DF456A">
        <w:rPr>
          <w:noProof/>
          <w:lang w:val="fr-FR"/>
        </w:rPr>
        <w:t xml:space="preserve">cembre </w:t>
      </w:r>
      <w:r>
        <w:rPr>
          <w:noProof/>
          <w:lang w:val="fr-FR"/>
        </w:rPr>
        <w:t>2012 sur la grâce</w:t>
      </w:r>
      <w:r w:rsidR="00105564">
        <w:rPr>
          <w:noProof/>
          <w:lang w:val="fr-FR"/>
        </w:rPr>
        <w:t> ;</w:t>
      </w:r>
    </w:p>
    <w:p w:rsidR="00614A7E" w:rsidRPr="00105564" w:rsidRDefault="00614A7E" w:rsidP="00105564">
      <w:pPr>
        <w:pStyle w:val="Bullet1G"/>
      </w:pPr>
      <w:r w:rsidRPr="00105564">
        <w:t xml:space="preserve">Décret présidentiel </w:t>
      </w:r>
      <w:r w:rsidR="00105564" w:rsidRPr="00AD55D6">
        <w:rPr>
          <w:rFonts w:eastAsia="MS Mincho"/>
          <w:noProof/>
          <w:szCs w:val="22"/>
          <w:lang w:val="fr-FR" w:eastAsia="es-BO"/>
        </w:rPr>
        <w:t>n</w:t>
      </w:r>
      <w:r w:rsidR="00105564" w:rsidRPr="00AD55D6">
        <w:rPr>
          <w:rFonts w:eastAsia="MS Mincho"/>
          <w:noProof/>
          <w:szCs w:val="22"/>
          <w:vertAlign w:val="superscript"/>
          <w:lang w:val="fr-FR" w:eastAsia="es-BO"/>
        </w:rPr>
        <w:t>o</w:t>
      </w:r>
      <w:r w:rsidR="00105564">
        <w:rPr>
          <w:noProof/>
          <w:lang w:val="fr-FR" w:eastAsia="es-BO"/>
        </w:rPr>
        <w:t> </w:t>
      </w:r>
      <w:r w:rsidRPr="00105564">
        <w:t>1723 du 18</w:t>
      </w:r>
      <w:r w:rsidR="00105564">
        <w:t> </w:t>
      </w:r>
      <w:r w:rsidRPr="00105564">
        <w:t>septembre 2013 sur la grâce et l</w:t>
      </w:r>
      <w:r w:rsidR="00FB1114">
        <w:t>’</w:t>
      </w:r>
      <w:r w:rsidRPr="00105564">
        <w:t>amnistie</w:t>
      </w:r>
      <w:r w:rsidR="00105564">
        <w:t> ;</w:t>
      </w:r>
    </w:p>
    <w:p w:rsidR="00614A7E" w:rsidRPr="00105564" w:rsidRDefault="00614A7E" w:rsidP="00105564">
      <w:pPr>
        <w:pStyle w:val="Bullet1G"/>
      </w:pPr>
      <w:r w:rsidRPr="00105564">
        <w:t xml:space="preserve">Décret présidentiel </w:t>
      </w:r>
      <w:r w:rsidR="00105564" w:rsidRPr="00AD55D6">
        <w:rPr>
          <w:rFonts w:eastAsia="MS Mincho"/>
          <w:noProof/>
          <w:szCs w:val="22"/>
          <w:lang w:val="fr-FR" w:eastAsia="es-BO"/>
        </w:rPr>
        <w:t>n</w:t>
      </w:r>
      <w:r w:rsidR="00105564" w:rsidRPr="00AD55D6">
        <w:rPr>
          <w:rFonts w:eastAsia="MS Mincho"/>
          <w:noProof/>
          <w:szCs w:val="22"/>
          <w:vertAlign w:val="superscript"/>
          <w:lang w:val="fr-FR" w:eastAsia="es-BO"/>
        </w:rPr>
        <w:t>o</w:t>
      </w:r>
      <w:r w:rsidR="00105564">
        <w:rPr>
          <w:noProof/>
          <w:lang w:val="fr-FR" w:eastAsia="es-BO"/>
        </w:rPr>
        <w:t> </w:t>
      </w:r>
      <w:r w:rsidRPr="00105564">
        <w:t>2131 du 14</w:t>
      </w:r>
      <w:r w:rsidR="00105564">
        <w:t> </w:t>
      </w:r>
      <w:r w:rsidRPr="00105564">
        <w:t>novembre 2014 sur la grâce accordée pour raisons humanitaires</w:t>
      </w:r>
      <w:r w:rsidR="00105564">
        <w:t> ;</w:t>
      </w:r>
    </w:p>
    <w:p w:rsidR="00614A7E" w:rsidRPr="00105564" w:rsidRDefault="00614A7E" w:rsidP="00105564">
      <w:pPr>
        <w:pStyle w:val="Bullet1G"/>
      </w:pPr>
      <w:r w:rsidRPr="00105564">
        <w:t xml:space="preserve">Décret présidentiel </w:t>
      </w:r>
      <w:r w:rsidR="004B204C" w:rsidRPr="00AD55D6">
        <w:rPr>
          <w:rFonts w:eastAsia="MS Mincho"/>
          <w:noProof/>
          <w:szCs w:val="22"/>
          <w:lang w:val="fr-FR" w:eastAsia="es-BO"/>
        </w:rPr>
        <w:t>n</w:t>
      </w:r>
      <w:r w:rsidR="004B204C" w:rsidRPr="00AD55D6">
        <w:rPr>
          <w:rFonts w:eastAsia="MS Mincho"/>
          <w:noProof/>
          <w:szCs w:val="22"/>
          <w:vertAlign w:val="superscript"/>
          <w:lang w:val="fr-FR" w:eastAsia="es-BO"/>
        </w:rPr>
        <w:t>o</w:t>
      </w:r>
      <w:r w:rsidR="004B204C">
        <w:rPr>
          <w:noProof/>
          <w:lang w:val="fr-FR" w:eastAsia="es-BO"/>
        </w:rPr>
        <w:t> </w:t>
      </w:r>
      <w:r w:rsidRPr="00105564">
        <w:t>2437 du 1</w:t>
      </w:r>
      <w:r w:rsidR="004B204C" w:rsidRPr="004B204C">
        <w:rPr>
          <w:vertAlign w:val="superscript"/>
        </w:rPr>
        <w:t>er</w:t>
      </w:r>
      <w:r w:rsidR="004B204C">
        <w:t> </w:t>
      </w:r>
      <w:r w:rsidRPr="00105564">
        <w:t>juillet 2015 sur l</w:t>
      </w:r>
      <w:r w:rsidR="00FB1114">
        <w:t>’</w:t>
      </w:r>
      <w:r w:rsidRPr="00105564">
        <w:t>amnistie, la grâce partielle et l</w:t>
      </w:r>
      <w:r w:rsidR="00FB1114">
        <w:t>’</w:t>
      </w:r>
      <w:r w:rsidRPr="00105564">
        <w:t>extension de la grâce</w:t>
      </w:r>
      <w:r w:rsidR="00105564">
        <w:t> ;</w:t>
      </w:r>
    </w:p>
    <w:p w:rsidR="00614A7E" w:rsidRPr="00105564" w:rsidRDefault="00614A7E" w:rsidP="00105564">
      <w:pPr>
        <w:pStyle w:val="Bullet1G"/>
      </w:pPr>
      <w:r w:rsidRPr="00105564">
        <w:t xml:space="preserve">Décret présidentiel </w:t>
      </w:r>
      <w:r w:rsidR="0025098C" w:rsidRPr="00AD55D6">
        <w:rPr>
          <w:rFonts w:eastAsia="MS Mincho"/>
          <w:noProof/>
          <w:szCs w:val="22"/>
          <w:lang w:val="fr-FR" w:eastAsia="es-BO"/>
        </w:rPr>
        <w:t>n</w:t>
      </w:r>
      <w:r w:rsidR="0025098C" w:rsidRPr="00AD55D6">
        <w:rPr>
          <w:rFonts w:eastAsia="MS Mincho"/>
          <w:noProof/>
          <w:szCs w:val="22"/>
          <w:vertAlign w:val="superscript"/>
          <w:lang w:val="fr-FR" w:eastAsia="es-BO"/>
        </w:rPr>
        <w:t>o</w:t>
      </w:r>
      <w:r w:rsidR="0025098C">
        <w:rPr>
          <w:noProof/>
          <w:lang w:val="fr-FR" w:eastAsia="es-BO"/>
        </w:rPr>
        <w:t> </w:t>
      </w:r>
      <w:r w:rsidRPr="00105564">
        <w:t>3030 du 24</w:t>
      </w:r>
      <w:r w:rsidR="0025098C">
        <w:t> </w:t>
      </w:r>
      <w:r w:rsidRPr="00105564">
        <w:t>dé</w:t>
      </w:r>
      <w:r w:rsidR="0025098C">
        <w:t>c</w:t>
      </w:r>
      <w:r w:rsidRPr="00105564">
        <w:t>embre 2016 sur l</w:t>
      </w:r>
      <w:r w:rsidR="00FB1114">
        <w:t>’</w:t>
      </w:r>
      <w:r w:rsidRPr="00105564">
        <w:t>amnistie, la grâce totale et la grâce partielle</w:t>
      </w:r>
      <w:r w:rsidR="00105564">
        <w:t> ;</w:t>
      </w:r>
    </w:p>
    <w:p w:rsidR="00614A7E" w:rsidRPr="00105564" w:rsidRDefault="00614A7E" w:rsidP="00105564">
      <w:pPr>
        <w:pStyle w:val="Bullet1G"/>
      </w:pPr>
      <w:r w:rsidRPr="00105564">
        <w:t xml:space="preserve">Décret présidentiel </w:t>
      </w:r>
      <w:r w:rsidR="0025098C" w:rsidRPr="00AD55D6">
        <w:rPr>
          <w:rFonts w:eastAsia="MS Mincho"/>
          <w:noProof/>
          <w:szCs w:val="22"/>
          <w:lang w:val="fr-FR" w:eastAsia="es-BO"/>
        </w:rPr>
        <w:t>n</w:t>
      </w:r>
      <w:r w:rsidR="0025098C" w:rsidRPr="00AD55D6">
        <w:rPr>
          <w:rFonts w:eastAsia="MS Mincho"/>
          <w:noProof/>
          <w:szCs w:val="22"/>
          <w:vertAlign w:val="superscript"/>
          <w:lang w:val="fr-FR" w:eastAsia="es-BO"/>
        </w:rPr>
        <w:t>o</w:t>
      </w:r>
      <w:r w:rsidR="0025098C">
        <w:rPr>
          <w:noProof/>
          <w:lang w:val="fr-FR" w:eastAsia="es-BO"/>
        </w:rPr>
        <w:t> </w:t>
      </w:r>
      <w:r w:rsidRPr="00105564">
        <w:t>3519 du 3</w:t>
      </w:r>
      <w:r w:rsidR="0025098C">
        <w:t> </w:t>
      </w:r>
      <w:r w:rsidRPr="00105564">
        <w:t>avril 2018, sur l</w:t>
      </w:r>
      <w:r w:rsidR="00FB1114">
        <w:t>’</w:t>
      </w:r>
      <w:r w:rsidRPr="00105564">
        <w:t>amnistie, la grâce partielle et la grâce totale</w:t>
      </w:r>
      <w:r w:rsidR="00105564">
        <w:t>.</w:t>
      </w:r>
    </w:p>
    <w:p w:rsidR="00614A7E" w:rsidRPr="00DF456A" w:rsidRDefault="00614A7E" w:rsidP="00614A7E">
      <w:pPr>
        <w:pStyle w:val="SingleTxtG"/>
        <w:rPr>
          <w:noProof/>
          <w:lang w:val="fr-FR" w:eastAsia="es-BO"/>
        </w:rPr>
      </w:pPr>
      <w:r w:rsidRPr="00DF456A">
        <w:rPr>
          <w:noProof/>
          <w:lang w:val="fr-FR" w:eastAsia="es-BO"/>
        </w:rPr>
        <w:t>176.</w:t>
      </w:r>
      <w:r w:rsidRPr="00DF456A">
        <w:rPr>
          <w:noProof/>
          <w:lang w:val="fr-FR" w:eastAsia="es-BO"/>
        </w:rPr>
        <w:tab/>
        <w:t xml:space="preserve">La </w:t>
      </w:r>
      <w:r w:rsidRPr="00CE305E">
        <w:rPr>
          <w:noProof/>
          <w:lang w:val="fr-FR"/>
        </w:rPr>
        <w:t>Direction générale du système pénitentiaire</w:t>
      </w:r>
      <w:r>
        <w:rPr>
          <w:noProof/>
          <w:lang w:val="fr-FR"/>
        </w:rPr>
        <w:t xml:space="preserve"> a indiqué qu</w:t>
      </w:r>
      <w:r w:rsidR="00FB1114">
        <w:rPr>
          <w:noProof/>
          <w:lang w:val="fr-FR"/>
        </w:rPr>
        <w:t>’</w:t>
      </w:r>
      <w:r>
        <w:rPr>
          <w:noProof/>
          <w:lang w:val="fr-FR"/>
        </w:rPr>
        <w:t xml:space="preserve">en décembre </w:t>
      </w:r>
      <w:r w:rsidRPr="00DF456A">
        <w:rPr>
          <w:noProof/>
          <w:lang w:val="fr-FR" w:eastAsia="es-BO"/>
        </w:rPr>
        <w:t>2017, 5</w:t>
      </w:r>
      <w:r w:rsidR="0076450B">
        <w:rPr>
          <w:noProof/>
          <w:lang w:val="fr-FR" w:eastAsia="es-BO"/>
        </w:rPr>
        <w:t> </w:t>
      </w:r>
      <w:r w:rsidRPr="00DF456A">
        <w:rPr>
          <w:noProof/>
          <w:lang w:val="fr-FR" w:eastAsia="es-BO"/>
        </w:rPr>
        <w:t>782</w:t>
      </w:r>
      <w:r w:rsidR="0076450B">
        <w:rPr>
          <w:noProof/>
          <w:lang w:val="fr-FR" w:eastAsia="es-BO"/>
        </w:rPr>
        <w:t> </w:t>
      </w:r>
      <w:r w:rsidRPr="00DF456A">
        <w:rPr>
          <w:noProof/>
          <w:lang w:val="fr-FR" w:eastAsia="es-BO"/>
        </w:rPr>
        <w:t>person</w:t>
      </w:r>
      <w:r>
        <w:rPr>
          <w:noProof/>
          <w:lang w:val="fr-FR" w:eastAsia="es-BO"/>
        </w:rPr>
        <w:t>ne</w:t>
      </w:r>
      <w:r w:rsidR="00232FA7">
        <w:rPr>
          <w:noProof/>
          <w:lang w:val="fr-FR" w:eastAsia="es-BO"/>
        </w:rPr>
        <w:t>s</w:t>
      </w:r>
      <w:r w:rsidRPr="00DF456A">
        <w:rPr>
          <w:noProof/>
          <w:lang w:val="fr-FR" w:eastAsia="es-BO"/>
        </w:rPr>
        <w:t xml:space="preserve"> (d</w:t>
      </w:r>
      <w:r>
        <w:rPr>
          <w:noProof/>
          <w:lang w:val="fr-FR" w:eastAsia="es-BO"/>
        </w:rPr>
        <w:t xml:space="preserve">ont </w:t>
      </w:r>
      <w:r w:rsidRPr="00DF456A">
        <w:rPr>
          <w:noProof/>
          <w:lang w:val="fr-FR" w:eastAsia="es-BO"/>
        </w:rPr>
        <w:t>1</w:t>
      </w:r>
      <w:r w:rsidR="00B636BA">
        <w:rPr>
          <w:noProof/>
          <w:lang w:val="fr-FR" w:eastAsia="es-BO"/>
        </w:rPr>
        <w:t> </w:t>
      </w:r>
      <w:r w:rsidRPr="00DF456A">
        <w:rPr>
          <w:noProof/>
          <w:lang w:val="fr-FR" w:eastAsia="es-BO"/>
        </w:rPr>
        <w:t>416</w:t>
      </w:r>
      <w:r w:rsidR="00B636BA">
        <w:rPr>
          <w:noProof/>
          <w:lang w:val="fr-FR" w:eastAsia="es-BO"/>
        </w:rPr>
        <w:t> </w:t>
      </w:r>
      <w:r>
        <w:rPr>
          <w:noProof/>
          <w:lang w:val="fr-FR" w:eastAsia="es-BO"/>
        </w:rPr>
        <w:t>femmes</w:t>
      </w:r>
      <w:r w:rsidRPr="00DF456A">
        <w:rPr>
          <w:noProof/>
          <w:lang w:val="fr-FR" w:eastAsia="es-BO"/>
        </w:rPr>
        <w:t xml:space="preserve">) </w:t>
      </w:r>
      <w:r>
        <w:rPr>
          <w:noProof/>
          <w:lang w:val="fr-FR" w:eastAsia="es-BO"/>
        </w:rPr>
        <w:t xml:space="preserve">avaient tiré parti des mesures énoncées dans les dispositions précitées </w:t>
      </w:r>
      <w:r w:rsidRPr="00DF456A">
        <w:rPr>
          <w:noProof/>
          <w:lang w:val="fr-FR" w:eastAsia="es-BO"/>
        </w:rPr>
        <w:t>(</w:t>
      </w:r>
      <w:r>
        <w:rPr>
          <w:noProof/>
          <w:lang w:val="fr-FR" w:eastAsia="es-BO"/>
        </w:rPr>
        <w:t>annexe</w:t>
      </w:r>
      <w:r w:rsidR="00B636BA">
        <w:rPr>
          <w:noProof/>
          <w:lang w:val="fr-FR" w:eastAsia="es-BO"/>
        </w:rPr>
        <w:t> </w:t>
      </w:r>
      <w:r w:rsidRPr="00DF456A">
        <w:rPr>
          <w:noProof/>
          <w:lang w:val="fr-FR" w:eastAsia="es-BO"/>
        </w:rPr>
        <w:t>56).</w:t>
      </w:r>
    </w:p>
    <w:p w:rsidR="00614A7E" w:rsidRPr="00DF456A" w:rsidRDefault="00614A7E" w:rsidP="00614A7E">
      <w:pPr>
        <w:pStyle w:val="SingleTxtG"/>
        <w:rPr>
          <w:noProof/>
          <w:lang w:val="fr-FR" w:eastAsia="es-BO"/>
        </w:rPr>
      </w:pPr>
      <w:r w:rsidRPr="00DF456A">
        <w:rPr>
          <w:noProof/>
          <w:lang w:val="fr-FR" w:eastAsia="es-BO"/>
        </w:rPr>
        <w:t>177.</w:t>
      </w:r>
      <w:r w:rsidRPr="00DF456A">
        <w:rPr>
          <w:noProof/>
          <w:lang w:val="fr-FR" w:eastAsia="es-BO"/>
        </w:rPr>
        <w:tab/>
      </w:r>
      <w:r>
        <w:rPr>
          <w:noProof/>
          <w:lang w:val="fr-FR" w:eastAsia="es-BO"/>
        </w:rPr>
        <w:t>De même</w:t>
      </w:r>
      <w:r w:rsidRPr="00DF456A">
        <w:rPr>
          <w:noProof/>
          <w:lang w:val="fr-FR" w:eastAsia="es-BO"/>
        </w:rPr>
        <w:t xml:space="preserve">, la </w:t>
      </w:r>
      <w:r w:rsidRPr="00CE305E">
        <w:rPr>
          <w:noProof/>
          <w:lang w:val="fr-FR"/>
        </w:rPr>
        <w:t>Direction générale du système pénitentiaire</w:t>
      </w:r>
      <w:r>
        <w:rPr>
          <w:noProof/>
          <w:lang w:val="fr-FR"/>
        </w:rPr>
        <w:t xml:space="preserve"> met en œuvre </w:t>
      </w:r>
      <w:r w:rsidRPr="00785C01">
        <w:rPr>
          <w:noProof/>
          <w:lang w:val="fr-FR"/>
        </w:rPr>
        <w:t xml:space="preserve">la </w:t>
      </w:r>
      <w:r w:rsidRPr="00785C01">
        <w:rPr>
          <w:noProof/>
          <w:lang w:val="fr-FR" w:eastAsia="es-BO"/>
        </w:rPr>
        <w:t xml:space="preserve">Stratégie de réforme pénitentiaire pour </w:t>
      </w:r>
      <w:r w:rsidRPr="00785C01">
        <w:rPr>
          <w:bCs/>
          <w:noProof/>
          <w:lang w:val="fr-FR" w:eastAsia="es-BO"/>
        </w:rPr>
        <w:t>2016-2020</w:t>
      </w:r>
      <w:r w:rsidRPr="00785C01">
        <w:rPr>
          <w:noProof/>
          <w:lang w:val="fr-FR" w:eastAsia="es-BO"/>
        </w:rPr>
        <w:t>, qui vise à consolider la réforme du</w:t>
      </w:r>
      <w:r>
        <w:rPr>
          <w:noProof/>
          <w:lang w:val="fr-FR" w:eastAsia="es-BO"/>
        </w:rPr>
        <w:t xml:space="preserve"> système </w:t>
      </w:r>
      <w:r>
        <w:rPr>
          <w:noProof/>
          <w:lang w:val="fr-FR" w:eastAsia="es-BO"/>
        </w:rPr>
        <w:lastRenderedPageBreak/>
        <w:t>pénitentiaire dans le sens de la réinsertion sociale et professionnelle, et à améliorer les conditions de vie des personnes privées de liberté, dans le respect des droits de la personne et de la réglementation en vigueur</w:t>
      </w:r>
      <w:r w:rsidRPr="00DF456A">
        <w:rPr>
          <w:noProof/>
          <w:lang w:val="fr-FR" w:eastAsia="es-BO"/>
        </w:rPr>
        <w:t xml:space="preserve">. </w:t>
      </w:r>
      <w:r>
        <w:rPr>
          <w:noProof/>
          <w:lang w:val="fr-FR" w:eastAsia="es-BO"/>
        </w:rPr>
        <w:t xml:space="preserve">Cette stratégie tient compte des questions de genre dans toutes les activités prévues </w:t>
      </w:r>
      <w:r w:rsidRPr="00DF456A">
        <w:rPr>
          <w:bCs/>
          <w:noProof/>
          <w:lang w:val="fr-FR" w:eastAsia="es-BO"/>
        </w:rPr>
        <w:t>(</w:t>
      </w:r>
      <w:r>
        <w:rPr>
          <w:bCs/>
          <w:noProof/>
          <w:lang w:val="fr-FR" w:eastAsia="es-BO"/>
        </w:rPr>
        <w:t>annexe</w:t>
      </w:r>
      <w:r w:rsidR="0076450B">
        <w:rPr>
          <w:bCs/>
          <w:noProof/>
          <w:lang w:val="fr-FR" w:eastAsia="es-BO"/>
        </w:rPr>
        <w:t> </w:t>
      </w:r>
      <w:r w:rsidRPr="00DF456A">
        <w:rPr>
          <w:bCs/>
          <w:noProof/>
          <w:lang w:val="fr-FR" w:eastAsia="es-BO"/>
        </w:rPr>
        <w:t>57).</w:t>
      </w:r>
    </w:p>
    <w:p w:rsidR="00614A7E" w:rsidRPr="00DF456A" w:rsidRDefault="00614A7E" w:rsidP="00614A7E">
      <w:pPr>
        <w:pStyle w:val="H23G"/>
        <w:rPr>
          <w:noProof/>
          <w:lang w:val="fr-FR" w:eastAsia="es-BO"/>
        </w:rPr>
      </w:pPr>
      <w:r w:rsidRPr="00DF456A">
        <w:rPr>
          <w:noProof/>
          <w:lang w:val="fr-FR" w:eastAsia="es-BO"/>
        </w:rPr>
        <w:tab/>
      </w:r>
      <w:r w:rsidRPr="00DF456A">
        <w:rPr>
          <w:noProof/>
          <w:lang w:val="fr-FR" w:eastAsia="es-BO"/>
        </w:rPr>
        <w:tab/>
        <w:t>Recom</w:t>
      </w:r>
      <w:r>
        <w:rPr>
          <w:noProof/>
          <w:lang w:val="fr-FR" w:eastAsia="es-BO"/>
        </w:rPr>
        <w:t xml:space="preserve">mandation figurant au paragraphe </w:t>
      </w:r>
      <w:r w:rsidRPr="00DF456A">
        <w:rPr>
          <w:noProof/>
          <w:lang w:val="fr-FR" w:eastAsia="es-BO"/>
        </w:rPr>
        <w:t>18.b</w:t>
      </w:r>
    </w:p>
    <w:p w:rsidR="00614A7E" w:rsidRPr="00DF456A" w:rsidRDefault="00614A7E" w:rsidP="00614A7E">
      <w:pPr>
        <w:pStyle w:val="SingleTxtG"/>
        <w:rPr>
          <w:noProof/>
          <w:lang w:val="fr-FR" w:eastAsia="es-BO"/>
        </w:rPr>
      </w:pPr>
      <w:r w:rsidRPr="00DF456A">
        <w:rPr>
          <w:noProof/>
          <w:lang w:val="fr-FR" w:eastAsia="es-BO"/>
        </w:rPr>
        <w:t>178.</w:t>
      </w:r>
      <w:r w:rsidRPr="00DF456A">
        <w:rPr>
          <w:noProof/>
          <w:lang w:val="fr-FR" w:eastAsia="es-BO"/>
        </w:rPr>
        <w:tab/>
      </w:r>
      <w:r>
        <w:rPr>
          <w:noProof/>
          <w:lang w:val="fr-FR" w:eastAsia="es-BO"/>
        </w:rPr>
        <w:t xml:space="preserve">Dans tous les établissements pénitentiaires de district et de province, on a augmenté </w:t>
      </w:r>
      <w:r>
        <w:rPr>
          <w:noProof/>
          <w:lang w:val="fr-FR"/>
        </w:rPr>
        <w:t>l</w:t>
      </w:r>
      <w:r w:rsidR="00FB1114">
        <w:rPr>
          <w:noProof/>
          <w:lang w:val="fr-FR"/>
        </w:rPr>
        <w:t>’</w:t>
      </w:r>
      <w:r w:rsidRPr="003D7B26">
        <w:rPr>
          <w:noProof/>
          <w:lang w:val="fr-FR"/>
        </w:rPr>
        <w:t>allocation pour personne privée de liberté (</w:t>
      </w:r>
      <w:r w:rsidRPr="003D7B26">
        <w:rPr>
          <w:i/>
          <w:noProof/>
          <w:lang w:val="fr-FR"/>
        </w:rPr>
        <w:t>prediario</w:t>
      </w:r>
      <w:r w:rsidRPr="003D7B26">
        <w:rPr>
          <w:noProof/>
          <w:lang w:val="fr-FR"/>
        </w:rPr>
        <w:t>)</w:t>
      </w:r>
      <w:r w:rsidRPr="00B5117C">
        <w:rPr>
          <w:lang w:val="fr-FR"/>
        </w:rPr>
        <w:t xml:space="preserve"> de </w:t>
      </w:r>
      <w:r w:rsidRPr="00DF456A">
        <w:rPr>
          <w:noProof/>
          <w:lang w:val="fr-FR" w:eastAsia="es-BO"/>
        </w:rPr>
        <w:t>17,5</w:t>
      </w:r>
      <w:r w:rsidR="00EE3C5D">
        <w:rPr>
          <w:noProof/>
          <w:lang w:val="fr-FR" w:eastAsia="es-BO"/>
        </w:rPr>
        <w:t> </w:t>
      </w:r>
      <w:r w:rsidRPr="00DF456A">
        <w:rPr>
          <w:noProof/>
          <w:lang w:val="fr-FR" w:eastAsia="es-BO"/>
        </w:rPr>
        <w:t xml:space="preserve">%, </w:t>
      </w:r>
      <w:r>
        <w:rPr>
          <w:noProof/>
          <w:lang w:val="fr-FR" w:eastAsia="es-BO"/>
        </w:rPr>
        <w:t>ce qui a permis d</w:t>
      </w:r>
      <w:r w:rsidR="00FB1114">
        <w:rPr>
          <w:noProof/>
          <w:lang w:val="fr-FR" w:eastAsia="es-BO"/>
        </w:rPr>
        <w:t>’</w:t>
      </w:r>
      <w:r>
        <w:rPr>
          <w:noProof/>
          <w:lang w:val="fr-FR" w:eastAsia="es-BO"/>
        </w:rPr>
        <w:t>augmenter les ressources consacrées à l</w:t>
      </w:r>
      <w:r w:rsidR="00FB1114">
        <w:rPr>
          <w:noProof/>
          <w:lang w:val="fr-FR" w:eastAsia="es-BO"/>
        </w:rPr>
        <w:t>’</w:t>
      </w:r>
      <w:r>
        <w:rPr>
          <w:noProof/>
          <w:lang w:val="fr-FR" w:eastAsia="es-BO"/>
        </w:rPr>
        <w:t>alimentation des détenus</w:t>
      </w:r>
      <w:r w:rsidRPr="00DF456A">
        <w:rPr>
          <w:noProof/>
          <w:sz w:val="18"/>
          <w:szCs w:val="18"/>
          <w:vertAlign w:val="superscript"/>
          <w:lang w:val="fr-FR" w:eastAsia="es-BO"/>
        </w:rPr>
        <w:footnoteReference w:id="76"/>
      </w:r>
      <w:r w:rsidRPr="00DF456A">
        <w:rPr>
          <w:noProof/>
          <w:lang w:val="fr-FR" w:eastAsia="es-BO"/>
        </w:rPr>
        <w:t>.</w:t>
      </w:r>
    </w:p>
    <w:p w:rsidR="00614A7E" w:rsidRPr="00DF456A" w:rsidRDefault="00614A7E" w:rsidP="00614A7E">
      <w:pPr>
        <w:pStyle w:val="SingleTxtG"/>
        <w:rPr>
          <w:noProof/>
          <w:lang w:val="fr-FR" w:eastAsia="es-BO"/>
        </w:rPr>
      </w:pPr>
      <w:r w:rsidRPr="00DF456A">
        <w:rPr>
          <w:noProof/>
          <w:lang w:val="fr-FR" w:eastAsia="es-BO"/>
        </w:rPr>
        <w:t>179.</w:t>
      </w:r>
      <w:r w:rsidRPr="00DF456A">
        <w:rPr>
          <w:noProof/>
          <w:lang w:val="fr-FR" w:eastAsia="es-BO"/>
        </w:rPr>
        <w:tab/>
      </w:r>
      <w:r>
        <w:rPr>
          <w:noProof/>
          <w:lang w:val="fr-FR" w:eastAsia="es-BO"/>
        </w:rPr>
        <w:t xml:space="preserve">Le </w:t>
      </w:r>
      <w:r w:rsidRPr="00DF456A">
        <w:rPr>
          <w:noProof/>
          <w:lang w:val="fr-FR" w:eastAsia="es-BO"/>
        </w:rPr>
        <w:t>17</w:t>
      </w:r>
      <w:r w:rsidR="00EE3C5D">
        <w:rPr>
          <w:noProof/>
          <w:lang w:val="fr-FR" w:eastAsia="es-BO"/>
        </w:rPr>
        <w:t> </w:t>
      </w:r>
      <w:r>
        <w:rPr>
          <w:noProof/>
          <w:lang w:val="fr-FR" w:eastAsia="es-BO"/>
        </w:rPr>
        <w:t xml:space="preserve">août </w:t>
      </w:r>
      <w:r w:rsidRPr="00DF456A">
        <w:rPr>
          <w:noProof/>
          <w:lang w:val="fr-FR" w:eastAsia="es-BO"/>
        </w:rPr>
        <w:t xml:space="preserve">2015, </w:t>
      </w:r>
      <w:r>
        <w:rPr>
          <w:noProof/>
          <w:lang w:val="fr-FR" w:eastAsia="es-BO"/>
        </w:rPr>
        <w:t>le Ministère de l</w:t>
      </w:r>
      <w:r w:rsidR="00FB1114">
        <w:rPr>
          <w:noProof/>
          <w:lang w:val="fr-FR" w:eastAsia="es-BO"/>
        </w:rPr>
        <w:t>’</w:t>
      </w:r>
      <w:r>
        <w:rPr>
          <w:noProof/>
          <w:lang w:val="fr-FR" w:eastAsia="es-BO"/>
        </w:rPr>
        <w:t>intérieur et le Ministère de la santé ont signé un accord i</w:t>
      </w:r>
      <w:r w:rsidRPr="00DF456A">
        <w:rPr>
          <w:noProof/>
          <w:lang w:val="fr-FR" w:eastAsia="es-BO"/>
        </w:rPr>
        <w:t>nterinstitu</w:t>
      </w:r>
      <w:r>
        <w:rPr>
          <w:noProof/>
          <w:lang w:val="fr-FR" w:eastAsia="es-BO"/>
        </w:rPr>
        <w:t>tionnel pour renforcer le personnel de santé dans les établissements pénitentiaires et y développer l</w:t>
      </w:r>
      <w:r w:rsidR="00FB1114">
        <w:rPr>
          <w:noProof/>
          <w:lang w:val="fr-FR" w:eastAsia="es-BO"/>
        </w:rPr>
        <w:t>’</w:t>
      </w:r>
      <w:r>
        <w:rPr>
          <w:noProof/>
          <w:lang w:val="fr-FR" w:eastAsia="es-BO"/>
        </w:rPr>
        <w:t xml:space="preserve">application des programmes du système de santé moyennant des actions de promotion et de prévention des maladies, compte tenu des caractéristiques épidémiologiques </w:t>
      </w:r>
      <w:r w:rsidRPr="00DF456A">
        <w:rPr>
          <w:noProof/>
          <w:lang w:val="fr-FR" w:eastAsia="es-BO"/>
        </w:rPr>
        <w:t xml:space="preserve">de </w:t>
      </w:r>
      <w:r>
        <w:rPr>
          <w:noProof/>
          <w:lang w:val="fr-FR" w:eastAsia="es-BO"/>
        </w:rPr>
        <w:t xml:space="preserve">ce groupe de population, aux niveaux </w:t>
      </w:r>
      <w:r w:rsidRPr="00DF456A">
        <w:rPr>
          <w:noProof/>
          <w:lang w:val="fr-FR" w:eastAsia="es-BO"/>
        </w:rPr>
        <w:t>local, r</w:t>
      </w:r>
      <w:r>
        <w:rPr>
          <w:noProof/>
          <w:lang w:val="fr-FR" w:eastAsia="es-BO"/>
        </w:rPr>
        <w:t>é</w:t>
      </w:r>
      <w:r w:rsidRPr="00DF456A">
        <w:rPr>
          <w:noProof/>
          <w:lang w:val="fr-FR" w:eastAsia="es-BO"/>
        </w:rPr>
        <w:t xml:space="preserve">gional </w:t>
      </w:r>
      <w:r>
        <w:rPr>
          <w:noProof/>
          <w:lang w:val="fr-FR" w:eastAsia="es-BO"/>
        </w:rPr>
        <w:t>et</w:t>
      </w:r>
      <w:r w:rsidRPr="00DF456A">
        <w:rPr>
          <w:noProof/>
          <w:lang w:val="fr-FR" w:eastAsia="es-BO"/>
        </w:rPr>
        <w:t xml:space="preserve"> na</w:t>
      </w:r>
      <w:r>
        <w:rPr>
          <w:noProof/>
          <w:lang w:val="fr-FR" w:eastAsia="es-BO"/>
        </w:rPr>
        <w:t>t</w:t>
      </w:r>
      <w:r w:rsidRPr="00DF456A">
        <w:rPr>
          <w:noProof/>
          <w:lang w:val="fr-FR" w:eastAsia="es-BO"/>
        </w:rPr>
        <w:t>ional.</w:t>
      </w:r>
    </w:p>
    <w:p w:rsidR="00614A7E" w:rsidRPr="00DF456A" w:rsidRDefault="00614A7E" w:rsidP="00614A7E">
      <w:pPr>
        <w:pStyle w:val="SingleTxtG"/>
        <w:rPr>
          <w:noProof/>
          <w:lang w:val="fr-FR" w:eastAsia="es-BO"/>
        </w:rPr>
      </w:pPr>
      <w:r w:rsidRPr="00DF456A">
        <w:rPr>
          <w:noProof/>
          <w:lang w:val="fr-FR" w:eastAsia="es-BO"/>
        </w:rPr>
        <w:t>180.</w:t>
      </w:r>
      <w:r w:rsidRPr="00DF456A">
        <w:rPr>
          <w:noProof/>
          <w:lang w:val="fr-FR" w:eastAsia="es-BO"/>
        </w:rPr>
        <w:tab/>
      </w:r>
      <w:r>
        <w:rPr>
          <w:noProof/>
          <w:lang w:val="fr-FR" w:eastAsia="es-BO"/>
        </w:rPr>
        <w:t>Les 24</w:t>
      </w:r>
      <w:r w:rsidR="00EE3C5D">
        <w:rPr>
          <w:noProof/>
          <w:lang w:val="fr-FR" w:eastAsia="es-BO"/>
        </w:rPr>
        <w:t> </w:t>
      </w:r>
      <w:r>
        <w:rPr>
          <w:noProof/>
          <w:lang w:val="fr-FR" w:eastAsia="es-BO"/>
        </w:rPr>
        <w:t xml:space="preserve">établissements pénitentiaires dispensent une assistance en médecine générale en employant </w:t>
      </w:r>
      <w:r w:rsidRPr="00DF456A">
        <w:rPr>
          <w:noProof/>
          <w:lang w:val="fr-FR" w:eastAsia="es-BO"/>
        </w:rPr>
        <w:t>35</w:t>
      </w:r>
      <w:r w:rsidR="00EE3C5D">
        <w:rPr>
          <w:noProof/>
          <w:lang w:val="fr-FR" w:eastAsia="es-BO"/>
        </w:rPr>
        <w:t> </w:t>
      </w:r>
      <w:r w:rsidRPr="00DF456A">
        <w:rPr>
          <w:noProof/>
          <w:lang w:val="fr-FR" w:eastAsia="es-BO"/>
        </w:rPr>
        <w:t>méd</w:t>
      </w:r>
      <w:r>
        <w:rPr>
          <w:noProof/>
          <w:lang w:val="fr-FR" w:eastAsia="es-BO"/>
        </w:rPr>
        <w:t>ecins et 114</w:t>
      </w:r>
      <w:r w:rsidR="00EE3C5D">
        <w:rPr>
          <w:noProof/>
          <w:lang w:val="fr-FR" w:eastAsia="es-BO"/>
        </w:rPr>
        <w:t> </w:t>
      </w:r>
      <w:r>
        <w:rPr>
          <w:noProof/>
          <w:lang w:val="fr-FR" w:eastAsia="es-BO"/>
        </w:rPr>
        <w:t xml:space="preserve">professionnels de la santé </w:t>
      </w:r>
      <w:r w:rsidRPr="00DF456A">
        <w:rPr>
          <w:noProof/>
          <w:lang w:val="fr-FR" w:eastAsia="es-BO"/>
        </w:rPr>
        <w:t>(</w:t>
      </w:r>
      <w:r>
        <w:rPr>
          <w:noProof/>
          <w:lang w:val="fr-FR" w:eastAsia="es-BO"/>
        </w:rPr>
        <w:t>annexe</w:t>
      </w:r>
      <w:r w:rsidR="00EE3C5D">
        <w:rPr>
          <w:noProof/>
          <w:lang w:val="fr-FR" w:eastAsia="es-BO"/>
        </w:rPr>
        <w:t> </w:t>
      </w:r>
      <w:r w:rsidRPr="00DF456A">
        <w:rPr>
          <w:noProof/>
          <w:lang w:val="fr-FR" w:eastAsia="es-BO"/>
        </w:rPr>
        <w:t>58).</w:t>
      </w:r>
    </w:p>
    <w:p w:rsidR="00614A7E" w:rsidRPr="00DF456A" w:rsidRDefault="00614A7E" w:rsidP="00614A7E">
      <w:pPr>
        <w:pStyle w:val="SingleTxtG"/>
        <w:rPr>
          <w:noProof/>
          <w:lang w:val="fr-FR" w:eastAsia="es-BO"/>
        </w:rPr>
      </w:pPr>
      <w:r w:rsidRPr="00DF456A">
        <w:rPr>
          <w:noProof/>
          <w:lang w:val="fr-FR" w:eastAsia="es-BO"/>
        </w:rPr>
        <w:t>181.</w:t>
      </w:r>
      <w:r w:rsidRPr="00DF456A">
        <w:rPr>
          <w:noProof/>
          <w:lang w:val="fr-FR" w:eastAsia="es-BO"/>
        </w:rPr>
        <w:tab/>
        <w:t xml:space="preserve">La </w:t>
      </w:r>
      <w:r w:rsidRPr="00CE305E">
        <w:rPr>
          <w:noProof/>
          <w:lang w:val="fr-FR"/>
        </w:rPr>
        <w:t>Direction générale du système pénitentiaire</w:t>
      </w:r>
      <w:r w:rsidRPr="00DF456A">
        <w:rPr>
          <w:noProof/>
          <w:lang w:val="fr-FR" w:eastAsia="es-BO"/>
        </w:rPr>
        <w:t xml:space="preserve"> </w:t>
      </w:r>
      <w:r>
        <w:rPr>
          <w:noProof/>
          <w:lang w:val="fr-FR" w:eastAsia="es-BO"/>
        </w:rPr>
        <w:t xml:space="preserve">a dépensé </w:t>
      </w:r>
      <w:r w:rsidRPr="00DF456A">
        <w:rPr>
          <w:noProof/>
          <w:lang w:val="fr-FR" w:eastAsia="es-BO"/>
        </w:rPr>
        <w:t>1</w:t>
      </w:r>
      <w:r>
        <w:rPr>
          <w:noProof/>
          <w:lang w:val="fr-FR" w:eastAsia="es-BO"/>
        </w:rPr>
        <w:t> </w:t>
      </w:r>
      <w:r w:rsidRPr="00DF456A">
        <w:rPr>
          <w:noProof/>
          <w:lang w:val="fr-FR" w:eastAsia="es-BO"/>
        </w:rPr>
        <w:t>765</w:t>
      </w:r>
      <w:r>
        <w:rPr>
          <w:noProof/>
          <w:lang w:val="fr-FR" w:eastAsia="es-BO"/>
        </w:rPr>
        <w:t xml:space="preserve"> </w:t>
      </w:r>
      <w:r w:rsidRPr="00DF456A">
        <w:rPr>
          <w:noProof/>
          <w:lang w:val="fr-FR" w:eastAsia="es-BO"/>
        </w:rPr>
        <w:t>224,43</w:t>
      </w:r>
      <w:r w:rsidR="00EE3C5D">
        <w:rPr>
          <w:noProof/>
          <w:lang w:val="fr-FR" w:eastAsia="es-BO"/>
        </w:rPr>
        <w:t> </w:t>
      </w:r>
      <w:r>
        <w:rPr>
          <w:noProof/>
          <w:lang w:val="fr-FR" w:eastAsia="es-BO"/>
        </w:rPr>
        <w:t xml:space="preserve">bolivianos </w:t>
      </w:r>
      <w:r w:rsidRPr="00DF456A">
        <w:rPr>
          <w:noProof/>
          <w:lang w:val="fr-FR" w:eastAsia="es-BO"/>
        </w:rPr>
        <w:t xml:space="preserve">en </w:t>
      </w:r>
      <w:r>
        <w:rPr>
          <w:noProof/>
          <w:lang w:val="fr-FR" w:eastAsia="es-BO"/>
        </w:rPr>
        <w:t>soins hospitaliers et hospitalisations</w:t>
      </w:r>
      <w:r w:rsidR="00EE3C5D">
        <w:rPr>
          <w:noProof/>
          <w:lang w:val="fr-FR" w:eastAsia="es-BO"/>
        </w:rPr>
        <w:t> </w:t>
      </w:r>
      <w:r w:rsidRPr="00DF456A">
        <w:rPr>
          <w:noProof/>
          <w:lang w:val="fr-FR" w:eastAsia="es-BO"/>
        </w:rPr>
        <w:t>; 97</w:t>
      </w:r>
      <w:r>
        <w:rPr>
          <w:noProof/>
          <w:lang w:val="fr-FR" w:eastAsia="es-BO"/>
        </w:rPr>
        <w:t xml:space="preserve"> </w:t>
      </w:r>
      <w:r w:rsidRPr="00DF456A">
        <w:rPr>
          <w:noProof/>
          <w:lang w:val="fr-FR" w:eastAsia="es-BO"/>
        </w:rPr>
        <w:t>100,9</w:t>
      </w:r>
      <w:r w:rsidR="00EE3C5D">
        <w:rPr>
          <w:noProof/>
          <w:lang w:val="fr-FR" w:eastAsia="es-BO"/>
        </w:rPr>
        <w:t> </w:t>
      </w:r>
      <w:r>
        <w:rPr>
          <w:noProof/>
          <w:lang w:val="fr-FR" w:eastAsia="es-BO"/>
        </w:rPr>
        <w:t>bolivianos pour la fourniture d</w:t>
      </w:r>
      <w:r w:rsidR="00FB1114">
        <w:rPr>
          <w:noProof/>
          <w:lang w:val="fr-FR" w:eastAsia="es-BO"/>
        </w:rPr>
        <w:t>’</w:t>
      </w:r>
      <w:r>
        <w:rPr>
          <w:noProof/>
          <w:lang w:val="fr-FR" w:eastAsia="es-BO"/>
        </w:rPr>
        <w:t>intrants et de médicaments</w:t>
      </w:r>
      <w:r w:rsidR="00EE3C5D">
        <w:rPr>
          <w:noProof/>
          <w:lang w:val="fr-FR" w:eastAsia="es-BO"/>
        </w:rPr>
        <w:t> </w:t>
      </w:r>
      <w:r w:rsidRPr="00DF456A">
        <w:rPr>
          <w:noProof/>
          <w:lang w:val="fr-FR" w:eastAsia="es-BO"/>
        </w:rPr>
        <w:t>; 143</w:t>
      </w:r>
      <w:r w:rsidR="00EE3C5D">
        <w:rPr>
          <w:noProof/>
          <w:lang w:val="fr-FR" w:eastAsia="es-BO"/>
        </w:rPr>
        <w:t> </w:t>
      </w:r>
      <w:r w:rsidRPr="00DF456A">
        <w:rPr>
          <w:noProof/>
          <w:lang w:val="fr-FR" w:eastAsia="es-BO"/>
        </w:rPr>
        <w:t>580</w:t>
      </w:r>
      <w:r w:rsidR="00EE3C5D">
        <w:rPr>
          <w:noProof/>
          <w:lang w:val="fr-FR" w:eastAsia="es-BO"/>
        </w:rPr>
        <w:t> </w:t>
      </w:r>
      <w:r>
        <w:rPr>
          <w:noProof/>
          <w:lang w:val="fr-FR" w:eastAsia="es-BO"/>
        </w:rPr>
        <w:t>bolivianos pour la fourniture d</w:t>
      </w:r>
      <w:r w:rsidR="00FB1114">
        <w:rPr>
          <w:noProof/>
          <w:lang w:val="fr-FR" w:eastAsia="es-BO"/>
        </w:rPr>
        <w:t>’</w:t>
      </w:r>
      <w:r>
        <w:rPr>
          <w:noProof/>
          <w:lang w:val="fr-FR" w:eastAsia="es-BO"/>
        </w:rPr>
        <w:t>équipements médicaux et dentaires, et</w:t>
      </w:r>
      <w:r w:rsidRPr="00DF456A">
        <w:rPr>
          <w:noProof/>
          <w:lang w:val="fr-FR" w:eastAsia="es-BO"/>
        </w:rPr>
        <w:t xml:space="preserve"> 23</w:t>
      </w:r>
      <w:r w:rsidR="00EE3C5D">
        <w:rPr>
          <w:noProof/>
          <w:lang w:val="fr-FR" w:eastAsia="es-BO"/>
        </w:rPr>
        <w:t> </w:t>
      </w:r>
      <w:r w:rsidRPr="00DF456A">
        <w:rPr>
          <w:noProof/>
          <w:lang w:val="fr-FR" w:eastAsia="es-BO"/>
        </w:rPr>
        <w:t xml:space="preserve">590 </w:t>
      </w:r>
      <w:r>
        <w:rPr>
          <w:noProof/>
          <w:lang w:val="fr-FR" w:eastAsia="es-BO"/>
        </w:rPr>
        <w:t>pour la fourniture d</w:t>
      </w:r>
      <w:r w:rsidR="00FB1114">
        <w:rPr>
          <w:noProof/>
          <w:lang w:val="fr-FR" w:eastAsia="es-BO"/>
        </w:rPr>
        <w:t>’</w:t>
      </w:r>
      <w:r>
        <w:rPr>
          <w:noProof/>
          <w:lang w:val="fr-FR" w:eastAsia="es-BO"/>
        </w:rPr>
        <w:t>instruments dentaires</w:t>
      </w:r>
      <w:r w:rsidRPr="00DF456A">
        <w:rPr>
          <w:noProof/>
          <w:lang w:val="fr-FR" w:eastAsia="es-BO"/>
        </w:rPr>
        <w:t>.</w:t>
      </w:r>
    </w:p>
    <w:p w:rsidR="00614A7E" w:rsidRPr="00DF456A" w:rsidRDefault="00614A7E" w:rsidP="00614A7E">
      <w:pPr>
        <w:pStyle w:val="H23G"/>
        <w:rPr>
          <w:noProof/>
          <w:lang w:val="fr-FR" w:eastAsia="es-BO"/>
        </w:rPr>
      </w:pPr>
      <w:r w:rsidRPr="00DF456A">
        <w:rPr>
          <w:noProof/>
          <w:lang w:val="fr-FR" w:eastAsia="es-BO"/>
        </w:rPr>
        <w:tab/>
      </w:r>
      <w:r w:rsidRPr="00DF456A">
        <w:rPr>
          <w:noProof/>
          <w:lang w:val="fr-FR" w:eastAsia="es-BO"/>
        </w:rPr>
        <w:tab/>
        <w:t>Recom</w:t>
      </w:r>
      <w:r>
        <w:rPr>
          <w:noProof/>
          <w:lang w:val="fr-FR" w:eastAsia="es-BO"/>
        </w:rPr>
        <w:t xml:space="preserve">mandation figurant au paragraphe </w:t>
      </w:r>
      <w:r w:rsidRPr="00DF456A">
        <w:rPr>
          <w:noProof/>
          <w:lang w:val="fr-FR" w:eastAsia="es-BO"/>
        </w:rPr>
        <w:t>18.c</w:t>
      </w:r>
    </w:p>
    <w:p w:rsidR="00614A7E" w:rsidRPr="00DF456A" w:rsidRDefault="00614A7E" w:rsidP="00614A7E">
      <w:pPr>
        <w:pStyle w:val="SingleTxtG"/>
        <w:rPr>
          <w:noProof/>
          <w:lang w:val="fr-FR" w:eastAsia="es-BO"/>
        </w:rPr>
      </w:pPr>
      <w:r w:rsidRPr="00DF456A">
        <w:rPr>
          <w:noProof/>
          <w:lang w:val="fr-FR" w:eastAsia="es-BO"/>
        </w:rPr>
        <w:t>182.</w:t>
      </w:r>
      <w:r w:rsidRPr="00DF456A">
        <w:rPr>
          <w:noProof/>
          <w:lang w:val="fr-FR" w:eastAsia="es-BO"/>
        </w:rPr>
        <w:tab/>
      </w:r>
      <w:r>
        <w:rPr>
          <w:noProof/>
          <w:lang w:val="fr-FR" w:eastAsia="es-BO"/>
        </w:rPr>
        <w:t>La Bolivie a entrepris d</w:t>
      </w:r>
      <w:r w:rsidR="00FB1114">
        <w:rPr>
          <w:noProof/>
          <w:lang w:val="fr-FR" w:eastAsia="es-BO"/>
        </w:rPr>
        <w:t>’</w:t>
      </w:r>
      <w:r>
        <w:rPr>
          <w:noProof/>
          <w:lang w:val="fr-FR" w:eastAsia="es-BO"/>
        </w:rPr>
        <w:t>améliorer</w:t>
      </w:r>
      <w:r w:rsidRPr="00DF456A">
        <w:rPr>
          <w:noProof/>
          <w:lang w:val="fr-FR" w:eastAsia="es-BO"/>
        </w:rPr>
        <w:t xml:space="preserve"> </w:t>
      </w:r>
      <w:r w:rsidRPr="006957CE">
        <w:rPr>
          <w:noProof/>
          <w:lang w:val="fr-FR"/>
        </w:rPr>
        <w:t>l</w:t>
      </w:r>
      <w:r w:rsidR="00FB1114">
        <w:rPr>
          <w:noProof/>
          <w:lang w:val="fr-FR"/>
        </w:rPr>
        <w:t>’</w:t>
      </w:r>
      <w:r w:rsidRPr="006957CE">
        <w:rPr>
          <w:noProof/>
          <w:lang w:val="fr-FR"/>
        </w:rPr>
        <w:t>état des infrastructures, ainsi que des aires de détente et d</w:t>
      </w:r>
      <w:r w:rsidR="00FB1114">
        <w:rPr>
          <w:noProof/>
          <w:lang w:val="fr-FR"/>
        </w:rPr>
        <w:t>’</w:t>
      </w:r>
      <w:r w:rsidRPr="006957CE">
        <w:rPr>
          <w:noProof/>
          <w:lang w:val="fr-FR"/>
        </w:rPr>
        <w:t>ergothérapie destinées aux personnes privées de liberté</w:t>
      </w:r>
      <w:r w:rsidR="00232FA7">
        <w:rPr>
          <w:noProof/>
          <w:lang w:val="fr-FR"/>
        </w:rPr>
        <w:t> </w:t>
      </w:r>
      <w:r w:rsidRPr="00DF456A">
        <w:rPr>
          <w:noProof/>
          <w:lang w:val="fr-FR" w:eastAsia="es-BO"/>
        </w:rPr>
        <w:t xml:space="preserve">; </w:t>
      </w:r>
      <w:r>
        <w:rPr>
          <w:noProof/>
          <w:lang w:val="fr-FR" w:eastAsia="es-BO"/>
        </w:rPr>
        <w:t>à cet égard, le Ministère de l</w:t>
      </w:r>
      <w:r w:rsidR="00FB1114">
        <w:rPr>
          <w:noProof/>
          <w:lang w:val="fr-FR" w:eastAsia="es-BO"/>
        </w:rPr>
        <w:t>’</w:t>
      </w:r>
      <w:r>
        <w:rPr>
          <w:noProof/>
          <w:lang w:val="fr-FR" w:eastAsia="es-BO"/>
        </w:rPr>
        <w:t xml:space="preserve">intérieur a fait exécuter les travaux ci-après en </w:t>
      </w:r>
      <w:r w:rsidRPr="00DF456A">
        <w:rPr>
          <w:noProof/>
          <w:lang w:val="fr-FR" w:eastAsia="es-BO"/>
        </w:rPr>
        <w:t>2018</w:t>
      </w:r>
      <w:r w:rsidR="00DF677A">
        <w:rPr>
          <w:noProof/>
          <w:lang w:val="fr-FR" w:eastAsia="es-BO"/>
        </w:rPr>
        <w:t> </w:t>
      </w:r>
      <w:r w:rsidRPr="00DF456A">
        <w:rPr>
          <w:noProof/>
          <w:lang w:val="fr-FR" w:eastAsia="es-BO"/>
        </w:rPr>
        <w:t>:</w:t>
      </w:r>
    </w:p>
    <w:p w:rsidR="00614A7E" w:rsidRPr="00DF677A" w:rsidRDefault="00614A7E" w:rsidP="00DF677A">
      <w:pPr>
        <w:pStyle w:val="Bullet1G"/>
      </w:pPr>
      <w:r>
        <w:rPr>
          <w:noProof/>
          <w:lang w:val="fr-FR"/>
        </w:rPr>
        <w:t xml:space="preserve">Établissement </w:t>
      </w:r>
      <w:r w:rsidRPr="00DF677A">
        <w:t>pénitentiaire d</w:t>
      </w:r>
      <w:r w:rsidR="00FB1114">
        <w:t>’</w:t>
      </w:r>
      <w:r w:rsidRPr="00DF677A">
        <w:t>Uyuni, dans le département de Potosí, qui peut accueillir 150</w:t>
      </w:r>
      <w:r w:rsidR="00DF677A">
        <w:t> </w:t>
      </w:r>
      <w:r w:rsidRPr="00DF677A">
        <w:t>détenus</w:t>
      </w:r>
      <w:r w:rsidR="00DF677A">
        <w:t> ;</w:t>
      </w:r>
    </w:p>
    <w:p w:rsidR="00614A7E" w:rsidRPr="00DF677A" w:rsidRDefault="00614A7E" w:rsidP="00DF677A">
      <w:pPr>
        <w:pStyle w:val="Bullet1G"/>
      </w:pPr>
      <w:r w:rsidRPr="00DF677A">
        <w:t>Établissement pénitentiaire de Villazón, dans le même département, qui peut accueillir 124</w:t>
      </w:r>
      <w:r w:rsidR="00DF677A">
        <w:t> </w:t>
      </w:r>
      <w:r w:rsidRPr="00DF677A">
        <w:t>détenus</w:t>
      </w:r>
      <w:r w:rsidR="00DF677A">
        <w:t> ;</w:t>
      </w:r>
    </w:p>
    <w:p w:rsidR="00614A7E" w:rsidRPr="00DF456A" w:rsidRDefault="00614A7E" w:rsidP="00DF677A">
      <w:pPr>
        <w:pStyle w:val="Bullet1G"/>
        <w:rPr>
          <w:noProof/>
          <w:lang w:val="fr-FR"/>
        </w:rPr>
      </w:pPr>
      <w:r w:rsidRPr="00DF677A">
        <w:t>Nouveau quartier dans l</w:t>
      </w:r>
      <w:r w:rsidR="00FB1114">
        <w:t>’</w:t>
      </w:r>
      <w:r w:rsidRPr="00DF677A">
        <w:t>établissement pénitentiaire d</w:t>
      </w:r>
      <w:r w:rsidR="00FB1114">
        <w:t>’</w:t>
      </w:r>
      <w:r w:rsidRPr="00DF677A">
        <w:t>El</w:t>
      </w:r>
      <w:r w:rsidR="00DF677A">
        <w:t> </w:t>
      </w:r>
      <w:r w:rsidRPr="00DF677A">
        <w:t>Abra, dans le département</w:t>
      </w:r>
      <w:r w:rsidR="00593789">
        <w:t xml:space="preserve"> </w:t>
      </w:r>
      <w:r w:rsidRPr="00DF677A">
        <w:t>de Cochabamba, qui peut</w:t>
      </w:r>
      <w:r>
        <w:rPr>
          <w:noProof/>
          <w:lang w:val="fr-FR"/>
        </w:rPr>
        <w:t xml:space="preserve"> accueillir </w:t>
      </w:r>
      <w:r w:rsidRPr="00DF456A">
        <w:rPr>
          <w:noProof/>
          <w:lang w:val="fr-FR"/>
        </w:rPr>
        <w:t>180</w:t>
      </w:r>
      <w:r w:rsidR="00DF677A">
        <w:rPr>
          <w:noProof/>
          <w:lang w:val="fr-FR"/>
        </w:rPr>
        <w:t> </w:t>
      </w:r>
      <w:r>
        <w:rPr>
          <w:noProof/>
          <w:lang w:val="fr-FR"/>
        </w:rPr>
        <w:t>détenus</w:t>
      </w:r>
      <w:r w:rsidRPr="00DF456A">
        <w:rPr>
          <w:noProof/>
          <w:lang w:val="fr-FR"/>
        </w:rPr>
        <w:t>.</w:t>
      </w:r>
    </w:p>
    <w:p w:rsidR="00614A7E" w:rsidRPr="00DF456A" w:rsidRDefault="00614A7E" w:rsidP="00614A7E">
      <w:pPr>
        <w:pStyle w:val="SingleTxtG"/>
        <w:rPr>
          <w:noProof/>
          <w:lang w:val="fr-FR" w:eastAsia="es-BO"/>
        </w:rPr>
      </w:pPr>
      <w:r w:rsidRPr="00DF456A">
        <w:rPr>
          <w:noProof/>
          <w:lang w:val="fr-FR" w:eastAsia="es-BO"/>
        </w:rPr>
        <w:t>183.</w:t>
      </w:r>
      <w:r w:rsidRPr="00DF456A">
        <w:rPr>
          <w:noProof/>
          <w:lang w:val="fr-FR" w:eastAsia="es-BO"/>
        </w:rPr>
        <w:tab/>
      </w:r>
      <w:r>
        <w:rPr>
          <w:noProof/>
          <w:lang w:val="fr-FR" w:eastAsia="es-BO"/>
        </w:rPr>
        <w:t>De même, le Ministère de l</w:t>
      </w:r>
      <w:r w:rsidR="00FB1114">
        <w:rPr>
          <w:noProof/>
          <w:lang w:val="fr-FR" w:eastAsia="es-BO"/>
        </w:rPr>
        <w:t>’</w:t>
      </w:r>
      <w:r>
        <w:rPr>
          <w:noProof/>
          <w:lang w:val="fr-FR" w:eastAsia="es-BO"/>
        </w:rPr>
        <w:t xml:space="preserve">intérieur prévoit de construire </w:t>
      </w:r>
      <w:r w:rsidRPr="00DF456A">
        <w:rPr>
          <w:noProof/>
          <w:lang w:val="fr-FR" w:eastAsia="es-BO"/>
        </w:rPr>
        <w:t>(</w:t>
      </w:r>
      <w:r>
        <w:rPr>
          <w:noProof/>
          <w:lang w:val="fr-FR" w:eastAsia="es-BO"/>
        </w:rPr>
        <w:t xml:space="preserve">annexe </w:t>
      </w:r>
      <w:r w:rsidRPr="00DF456A">
        <w:rPr>
          <w:noProof/>
          <w:lang w:val="fr-FR" w:eastAsia="es-BO"/>
        </w:rPr>
        <w:t>59)</w:t>
      </w:r>
      <w:r w:rsidR="00DF677A">
        <w:rPr>
          <w:noProof/>
          <w:lang w:val="fr-FR" w:eastAsia="es-BO"/>
        </w:rPr>
        <w:t> </w:t>
      </w:r>
      <w:r w:rsidRPr="00DF456A">
        <w:rPr>
          <w:noProof/>
          <w:lang w:val="fr-FR" w:eastAsia="es-BO"/>
        </w:rPr>
        <w:t>:</w:t>
      </w:r>
    </w:p>
    <w:p w:rsidR="00614A7E" w:rsidRPr="00DF456A" w:rsidRDefault="00614A7E" w:rsidP="00614A7E">
      <w:pPr>
        <w:pStyle w:val="Bullet1G"/>
        <w:numPr>
          <w:ilvl w:val="0"/>
          <w:numId w:val="0"/>
        </w:numPr>
        <w:tabs>
          <w:tab w:val="left" w:pos="1701"/>
        </w:tabs>
        <w:ind w:left="1701" w:hanging="170"/>
        <w:rPr>
          <w:noProof/>
          <w:lang w:val="fr-FR"/>
        </w:rPr>
      </w:pPr>
      <w:r w:rsidRPr="00DF456A">
        <w:rPr>
          <w:noProof/>
          <w:lang w:val="fr-FR"/>
        </w:rPr>
        <w:t>•</w:t>
      </w:r>
      <w:r w:rsidRPr="00DF456A">
        <w:rPr>
          <w:noProof/>
          <w:lang w:val="fr-FR"/>
        </w:rPr>
        <w:tab/>
      </w:r>
      <w:r>
        <w:rPr>
          <w:noProof/>
          <w:lang w:val="fr-FR"/>
        </w:rPr>
        <w:t xml:space="preserve">Le complexe pénitentiaire du département de </w:t>
      </w:r>
      <w:r w:rsidRPr="00DF456A">
        <w:rPr>
          <w:noProof/>
          <w:lang w:val="fr-FR"/>
        </w:rPr>
        <w:t xml:space="preserve">La Paz, </w:t>
      </w:r>
      <w:r>
        <w:rPr>
          <w:noProof/>
          <w:lang w:val="fr-FR"/>
        </w:rPr>
        <w:t>pour un investissement s</w:t>
      </w:r>
      <w:r w:rsidR="00FB1114">
        <w:rPr>
          <w:noProof/>
          <w:lang w:val="fr-FR"/>
        </w:rPr>
        <w:t>’</w:t>
      </w:r>
      <w:r>
        <w:rPr>
          <w:noProof/>
          <w:lang w:val="fr-FR"/>
        </w:rPr>
        <w:t xml:space="preserve">élevant à </w:t>
      </w:r>
      <w:r w:rsidRPr="00DF456A">
        <w:rPr>
          <w:noProof/>
          <w:lang w:val="fr-FR"/>
        </w:rPr>
        <w:t>1</w:t>
      </w:r>
      <w:r>
        <w:rPr>
          <w:noProof/>
          <w:lang w:val="fr-FR"/>
        </w:rPr>
        <w:t> </w:t>
      </w:r>
      <w:r w:rsidRPr="00DF456A">
        <w:rPr>
          <w:noProof/>
          <w:lang w:val="fr-FR"/>
        </w:rPr>
        <w:t>920</w:t>
      </w:r>
      <w:r>
        <w:rPr>
          <w:noProof/>
          <w:lang w:val="fr-FR"/>
        </w:rPr>
        <w:t> </w:t>
      </w:r>
      <w:r w:rsidRPr="00DF456A">
        <w:rPr>
          <w:noProof/>
          <w:lang w:val="fr-FR"/>
        </w:rPr>
        <w:t>955</w:t>
      </w:r>
      <w:r>
        <w:rPr>
          <w:noProof/>
          <w:lang w:val="fr-FR"/>
        </w:rPr>
        <w:t>,</w:t>
      </w:r>
      <w:r w:rsidRPr="00DF456A">
        <w:rPr>
          <w:noProof/>
          <w:lang w:val="fr-FR"/>
        </w:rPr>
        <w:t>00</w:t>
      </w:r>
      <w:r w:rsidR="00415B96">
        <w:rPr>
          <w:noProof/>
          <w:lang w:val="fr-FR"/>
        </w:rPr>
        <w:t> </w:t>
      </w:r>
      <w:r>
        <w:rPr>
          <w:noProof/>
          <w:lang w:val="fr-FR"/>
        </w:rPr>
        <w:t>bolivianos</w:t>
      </w:r>
      <w:r w:rsidR="00415B96">
        <w:rPr>
          <w:noProof/>
          <w:lang w:val="fr-FR"/>
        </w:rPr>
        <w:t> ;</w:t>
      </w:r>
    </w:p>
    <w:p w:rsidR="00614A7E" w:rsidRPr="00DF456A" w:rsidRDefault="00614A7E" w:rsidP="00614A7E">
      <w:pPr>
        <w:pStyle w:val="Bullet1G"/>
        <w:numPr>
          <w:ilvl w:val="0"/>
          <w:numId w:val="0"/>
        </w:numPr>
        <w:tabs>
          <w:tab w:val="left" w:pos="1701"/>
        </w:tabs>
        <w:ind w:left="1701" w:hanging="170"/>
        <w:rPr>
          <w:noProof/>
          <w:lang w:val="fr-FR"/>
        </w:rPr>
      </w:pPr>
      <w:r w:rsidRPr="00DF456A">
        <w:rPr>
          <w:noProof/>
          <w:lang w:val="fr-FR"/>
        </w:rPr>
        <w:t>•</w:t>
      </w:r>
      <w:r w:rsidRPr="00DF456A">
        <w:rPr>
          <w:noProof/>
          <w:lang w:val="fr-FR"/>
        </w:rPr>
        <w:tab/>
      </w:r>
      <w:r>
        <w:rPr>
          <w:noProof/>
          <w:lang w:val="fr-FR"/>
        </w:rPr>
        <w:t xml:space="preserve">Le complexe pénitentiaire </w:t>
      </w:r>
      <w:r w:rsidRPr="00DF456A">
        <w:rPr>
          <w:noProof/>
          <w:lang w:val="fr-FR"/>
        </w:rPr>
        <w:t>de Palmasola (</w:t>
      </w:r>
      <w:r>
        <w:rPr>
          <w:noProof/>
          <w:lang w:val="fr-FR"/>
        </w:rPr>
        <w:t>dé</w:t>
      </w:r>
      <w:r w:rsidRPr="00DF456A">
        <w:rPr>
          <w:noProof/>
          <w:lang w:val="fr-FR"/>
        </w:rPr>
        <w:t>part</w:t>
      </w:r>
      <w:r>
        <w:rPr>
          <w:noProof/>
          <w:lang w:val="fr-FR"/>
        </w:rPr>
        <w:t>e</w:t>
      </w:r>
      <w:r w:rsidRPr="00DF456A">
        <w:rPr>
          <w:noProof/>
          <w:lang w:val="fr-FR"/>
        </w:rPr>
        <w:t xml:space="preserve">ment de Santa Cruz), </w:t>
      </w:r>
      <w:r>
        <w:rPr>
          <w:noProof/>
          <w:lang w:val="fr-FR"/>
        </w:rPr>
        <w:t>pour un investissement s</w:t>
      </w:r>
      <w:r w:rsidR="00FB1114">
        <w:rPr>
          <w:noProof/>
          <w:lang w:val="fr-FR"/>
        </w:rPr>
        <w:t>’</w:t>
      </w:r>
      <w:r>
        <w:rPr>
          <w:noProof/>
          <w:lang w:val="fr-FR"/>
        </w:rPr>
        <w:t xml:space="preserve">élevant à </w:t>
      </w:r>
      <w:r w:rsidRPr="00DF456A">
        <w:rPr>
          <w:noProof/>
          <w:lang w:val="fr-FR"/>
        </w:rPr>
        <w:t>2</w:t>
      </w:r>
      <w:r>
        <w:rPr>
          <w:noProof/>
          <w:lang w:val="fr-FR"/>
        </w:rPr>
        <w:t> </w:t>
      </w:r>
      <w:r w:rsidRPr="00DF456A">
        <w:rPr>
          <w:noProof/>
          <w:lang w:val="fr-FR"/>
        </w:rPr>
        <w:t>317</w:t>
      </w:r>
      <w:r>
        <w:rPr>
          <w:noProof/>
          <w:lang w:val="fr-FR"/>
        </w:rPr>
        <w:t> </w:t>
      </w:r>
      <w:r w:rsidRPr="00DF456A">
        <w:rPr>
          <w:noProof/>
          <w:lang w:val="fr-FR"/>
        </w:rPr>
        <w:t>834</w:t>
      </w:r>
      <w:r>
        <w:rPr>
          <w:noProof/>
          <w:lang w:val="fr-FR"/>
        </w:rPr>
        <w:t>,</w:t>
      </w:r>
      <w:r w:rsidRPr="00DF456A">
        <w:rPr>
          <w:noProof/>
          <w:lang w:val="fr-FR"/>
        </w:rPr>
        <w:t>00</w:t>
      </w:r>
      <w:r w:rsidR="00415B96">
        <w:rPr>
          <w:noProof/>
          <w:lang w:val="fr-FR"/>
        </w:rPr>
        <w:t> </w:t>
      </w:r>
      <w:r>
        <w:rPr>
          <w:noProof/>
          <w:lang w:val="fr-FR"/>
        </w:rPr>
        <w:t>bolivianos</w:t>
      </w:r>
      <w:r w:rsidR="00415B96">
        <w:rPr>
          <w:noProof/>
          <w:lang w:val="fr-FR"/>
        </w:rPr>
        <w:t> ;</w:t>
      </w:r>
    </w:p>
    <w:p w:rsidR="00614A7E" w:rsidRPr="00DF456A" w:rsidRDefault="00614A7E" w:rsidP="00614A7E">
      <w:pPr>
        <w:pStyle w:val="Bullet1G"/>
        <w:numPr>
          <w:ilvl w:val="0"/>
          <w:numId w:val="0"/>
        </w:numPr>
        <w:tabs>
          <w:tab w:val="left" w:pos="1701"/>
        </w:tabs>
        <w:ind w:left="1701" w:hanging="170"/>
        <w:rPr>
          <w:noProof/>
          <w:lang w:val="fr-FR"/>
        </w:rPr>
      </w:pPr>
      <w:r w:rsidRPr="00DF456A">
        <w:rPr>
          <w:noProof/>
          <w:lang w:val="fr-FR"/>
        </w:rPr>
        <w:t>•</w:t>
      </w:r>
      <w:r w:rsidRPr="00DF456A">
        <w:rPr>
          <w:noProof/>
          <w:lang w:val="fr-FR"/>
        </w:rPr>
        <w:tab/>
      </w:r>
      <w:r>
        <w:rPr>
          <w:noProof/>
          <w:lang w:val="fr-FR"/>
        </w:rPr>
        <w:t xml:space="preserve">Le complexe pénitentiaire modèle </w:t>
      </w:r>
      <w:r w:rsidRPr="00DF456A">
        <w:rPr>
          <w:noProof/>
          <w:lang w:val="fr-FR"/>
        </w:rPr>
        <w:t xml:space="preserve">de Cochabamba, </w:t>
      </w:r>
      <w:r>
        <w:rPr>
          <w:noProof/>
          <w:lang w:val="fr-FR"/>
        </w:rPr>
        <w:t>pour un investissement s</w:t>
      </w:r>
      <w:r w:rsidR="00FB1114">
        <w:rPr>
          <w:noProof/>
          <w:lang w:val="fr-FR"/>
        </w:rPr>
        <w:t>’</w:t>
      </w:r>
      <w:r>
        <w:rPr>
          <w:noProof/>
          <w:lang w:val="fr-FR"/>
        </w:rPr>
        <w:t>élevant à</w:t>
      </w:r>
      <w:r w:rsidRPr="00DF456A">
        <w:rPr>
          <w:noProof/>
          <w:lang w:val="fr-FR"/>
        </w:rPr>
        <w:t xml:space="preserve"> </w:t>
      </w:r>
      <w:r>
        <w:rPr>
          <w:noProof/>
          <w:lang w:val="fr-FR"/>
        </w:rPr>
        <w:t>1 </w:t>
      </w:r>
      <w:r w:rsidRPr="00DF456A">
        <w:rPr>
          <w:noProof/>
          <w:lang w:val="fr-FR"/>
        </w:rPr>
        <w:t>700</w:t>
      </w:r>
      <w:r>
        <w:rPr>
          <w:noProof/>
          <w:lang w:val="fr-FR"/>
        </w:rPr>
        <w:t> </w:t>
      </w:r>
      <w:r w:rsidRPr="00DF456A">
        <w:rPr>
          <w:noProof/>
          <w:lang w:val="fr-FR"/>
        </w:rPr>
        <w:t>000</w:t>
      </w:r>
      <w:r>
        <w:rPr>
          <w:noProof/>
          <w:lang w:val="fr-FR"/>
        </w:rPr>
        <w:t>,</w:t>
      </w:r>
      <w:r w:rsidRPr="00DF456A">
        <w:rPr>
          <w:noProof/>
          <w:lang w:val="fr-FR"/>
        </w:rPr>
        <w:t>00</w:t>
      </w:r>
      <w:r w:rsidR="00415B96">
        <w:rPr>
          <w:noProof/>
          <w:lang w:val="fr-FR"/>
        </w:rPr>
        <w:t> </w:t>
      </w:r>
      <w:r>
        <w:rPr>
          <w:noProof/>
          <w:lang w:val="fr-FR"/>
        </w:rPr>
        <w:t>bolivianos</w:t>
      </w:r>
      <w:r w:rsidRPr="00DF456A">
        <w:rPr>
          <w:noProof/>
          <w:lang w:val="fr-FR"/>
        </w:rPr>
        <w:t>.</w:t>
      </w:r>
    </w:p>
    <w:p w:rsidR="00614A7E" w:rsidRPr="00DF456A" w:rsidRDefault="00614A7E" w:rsidP="00614A7E">
      <w:pPr>
        <w:pStyle w:val="SingleTxtG"/>
        <w:rPr>
          <w:noProof/>
          <w:lang w:val="fr-FR" w:eastAsia="es-BO"/>
        </w:rPr>
      </w:pPr>
      <w:r w:rsidRPr="00DF456A">
        <w:rPr>
          <w:noProof/>
          <w:lang w:val="fr-FR" w:eastAsia="es-BO"/>
        </w:rPr>
        <w:t>184.</w:t>
      </w:r>
      <w:r w:rsidRPr="00DF456A">
        <w:rPr>
          <w:noProof/>
          <w:lang w:val="fr-FR" w:eastAsia="es-BO"/>
        </w:rPr>
        <w:tab/>
      </w:r>
      <w:r>
        <w:rPr>
          <w:noProof/>
          <w:lang w:val="fr-FR" w:eastAsia="es-BO"/>
        </w:rPr>
        <w:t>Les trois grands projets susmentionnés devraient permettre d</w:t>
      </w:r>
      <w:r w:rsidR="00FB1114">
        <w:rPr>
          <w:noProof/>
          <w:lang w:val="fr-FR" w:eastAsia="es-BO"/>
        </w:rPr>
        <w:t>’</w:t>
      </w:r>
      <w:r>
        <w:rPr>
          <w:noProof/>
          <w:lang w:val="fr-FR" w:eastAsia="es-BO"/>
        </w:rPr>
        <w:t>accueillir les personnes actuellement détenues dans différents établissements pénitentiaires, de disposer d</w:t>
      </w:r>
      <w:r w:rsidR="00FB1114">
        <w:rPr>
          <w:noProof/>
          <w:lang w:val="fr-FR" w:eastAsia="es-BO"/>
        </w:rPr>
        <w:t>’</w:t>
      </w:r>
      <w:r>
        <w:rPr>
          <w:noProof/>
          <w:lang w:val="fr-FR" w:eastAsia="es-BO"/>
        </w:rPr>
        <w:t>infrastructures offrant une meilleure qualité de vie</w:t>
      </w:r>
      <w:r w:rsidRPr="00DF456A">
        <w:rPr>
          <w:noProof/>
          <w:lang w:val="fr-FR" w:eastAsia="es-BO"/>
        </w:rPr>
        <w:t xml:space="preserve">, </w:t>
      </w:r>
      <w:r>
        <w:rPr>
          <w:noProof/>
          <w:lang w:val="fr-FR" w:eastAsia="es-BO"/>
        </w:rPr>
        <w:t>en respectant la dignité et les droits de ces personnes et en garantissant leur réinsertion sociale, et de réduire la surpopulation actuelle</w:t>
      </w:r>
      <w:r w:rsidRPr="00DF456A">
        <w:rPr>
          <w:noProof/>
          <w:lang w:val="fr-FR" w:eastAsia="es-BO"/>
        </w:rPr>
        <w:t>.</w:t>
      </w:r>
    </w:p>
    <w:p w:rsidR="00614A7E" w:rsidRPr="00DF456A" w:rsidRDefault="00614A7E" w:rsidP="00614A7E">
      <w:pPr>
        <w:pStyle w:val="H23G"/>
        <w:rPr>
          <w:noProof/>
          <w:lang w:val="fr-FR" w:eastAsia="es-BO"/>
        </w:rPr>
      </w:pPr>
      <w:r w:rsidRPr="00DF456A">
        <w:rPr>
          <w:noProof/>
          <w:lang w:val="fr-FR" w:eastAsia="es-BO"/>
        </w:rPr>
        <w:tab/>
      </w:r>
      <w:r w:rsidRPr="00DF456A">
        <w:rPr>
          <w:noProof/>
          <w:lang w:val="fr-FR" w:eastAsia="es-BO"/>
        </w:rPr>
        <w:tab/>
        <w:t>Recom</w:t>
      </w:r>
      <w:r>
        <w:rPr>
          <w:noProof/>
          <w:lang w:val="fr-FR" w:eastAsia="es-BO"/>
        </w:rPr>
        <w:t>mandation figurant au paragraphe</w:t>
      </w:r>
      <w:r w:rsidRPr="00DF456A">
        <w:rPr>
          <w:noProof/>
          <w:lang w:val="fr-FR" w:eastAsia="es-BO"/>
        </w:rPr>
        <w:t xml:space="preserve"> 18.d</w:t>
      </w:r>
    </w:p>
    <w:p w:rsidR="00614A7E" w:rsidRPr="00DF456A" w:rsidRDefault="00614A7E" w:rsidP="00614A7E">
      <w:pPr>
        <w:pStyle w:val="SingleTxtG"/>
        <w:rPr>
          <w:noProof/>
          <w:lang w:val="fr-FR" w:eastAsia="es-BO"/>
        </w:rPr>
      </w:pPr>
      <w:r w:rsidRPr="00DF456A">
        <w:rPr>
          <w:noProof/>
          <w:lang w:val="fr-FR" w:eastAsia="es-BO"/>
        </w:rPr>
        <w:t>185.</w:t>
      </w:r>
      <w:r w:rsidRPr="00DF456A">
        <w:rPr>
          <w:noProof/>
          <w:lang w:val="fr-FR" w:eastAsia="es-BO"/>
        </w:rPr>
        <w:tab/>
      </w:r>
      <w:r>
        <w:rPr>
          <w:noProof/>
          <w:lang w:val="fr-FR" w:eastAsia="es-BO"/>
        </w:rPr>
        <w:t>Conformément aux articles</w:t>
      </w:r>
      <w:r w:rsidR="00654D93">
        <w:rPr>
          <w:noProof/>
          <w:lang w:val="fr-FR" w:eastAsia="es-BO"/>
        </w:rPr>
        <w:t> </w:t>
      </w:r>
      <w:r w:rsidRPr="00DF456A">
        <w:rPr>
          <w:noProof/>
          <w:lang w:val="fr-FR" w:eastAsia="es-BO"/>
        </w:rPr>
        <w:t xml:space="preserve">67 </w:t>
      </w:r>
      <w:r>
        <w:rPr>
          <w:noProof/>
          <w:lang w:val="fr-FR" w:eastAsia="es-BO"/>
        </w:rPr>
        <w:t>et</w:t>
      </w:r>
      <w:r w:rsidRPr="00DF456A">
        <w:rPr>
          <w:noProof/>
          <w:lang w:val="fr-FR" w:eastAsia="es-BO"/>
        </w:rPr>
        <w:t xml:space="preserve"> 71 de la </w:t>
      </w:r>
      <w:r>
        <w:rPr>
          <w:noProof/>
          <w:lang w:val="fr-FR" w:eastAsia="es-BO"/>
        </w:rPr>
        <w:t xml:space="preserve">loi </w:t>
      </w:r>
      <w:r w:rsidR="00654D93" w:rsidRPr="00AD55D6">
        <w:rPr>
          <w:rFonts w:eastAsia="MS Mincho"/>
          <w:noProof/>
          <w:szCs w:val="22"/>
          <w:lang w:val="fr-FR" w:eastAsia="es-BO"/>
        </w:rPr>
        <w:t>n</w:t>
      </w:r>
      <w:r w:rsidR="00654D93" w:rsidRPr="00AD55D6">
        <w:rPr>
          <w:rFonts w:eastAsia="MS Mincho"/>
          <w:noProof/>
          <w:szCs w:val="22"/>
          <w:vertAlign w:val="superscript"/>
          <w:lang w:val="fr-FR" w:eastAsia="es-BO"/>
        </w:rPr>
        <w:t>o</w:t>
      </w:r>
      <w:r w:rsidR="00654D93">
        <w:rPr>
          <w:noProof/>
          <w:lang w:val="fr-FR" w:eastAsia="es-BO"/>
        </w:rPr>
        <w:t> </w:t>
      </w:r>
      <w:r w:rsidRPr="00DF456A">
        <w:rPr>
          <w:noProof/>
          <w:lang w:val="fr-FR" w:eastAsia="es-BO"/>
        </w:rPr>
        <w:t>2298, la P</w:t>
      </w:r>
      <w:r>
        <w:rPr>
          <w:noProof/>
          <w:lang w:val="fr-FR" w:eastAsia="es-BO"/>
        </w:rPr>
        <w:t>olice bolivienne contrôle la sécurité interne et extérieure des établissements pénitentiaires au niveau national</w:t>
      </w:r>
      <w:r w:rsidR="00512772">
        <w:rPr>
          <w:noProof/>
          <w:lang w:val="fr-FR" w:eastAsia="es-BO"/>
        </w:rPr>
        <w:t> </w:t>
      </w:r>
      <w:r w:rsidRPr="00DF456A">
        <w:rPr>
          <w:noProof/>
          <w:lang w:val="fr-FR" w:eastAsia="es-BO"/>
        </w:rPr>
        <w:t xml:space="preserve">; </w:t>
      </w:r>
      <w:r>
        <w:rPr>
          <w:noProof/>
          <w:lang w:val="fr-FR" w:eastAsia="es-BO"/>
        </w:rPr>
        <w:t xml:space="preserve">elle </w:t>
      </w:r>
      <w:r w:rsidRPr="003F51E1">
        <w:rPr>
          <w:noProof/>
          <w:lang w:val="fr-FR"/>
        </w:rPr>
        <w:t>vérifie également les listes d</w:t>
      </w:r>
      <w:r w:rsidR="00FB1114">
        <w:rPr>
          <w:noProof/>
          <w:lang w:val="fr-FR"/>
        </w:rPr>
        <w:t>’</w:t>
      </w:r>
      <w:r w:rsidRPr="003F51E1">
        <w:rPr>
          <w:noProof/>
          <w:lang w:val="fr-FR"/>
        </w:rPr>
        <w:t>appel, les fouilles et l</w:t>
      </w:r>
      <w:r w:rsidR="00FB1114">
        <w:rPr>
          <w:noProof/>
          <w:lang w:val="fr-FR"/>
        </w:rPr>
        <w:t>’</w:t>
      </w:r>
      <w:r w:rsidRPr="003F51E1">
        <w:rPr>
          <w:noProof/>
          <w:lang w:val="fr-FR"/>
        </w:rPr>
        <w:t>application des sanctions disciplinaires aux personnes privées</w:t>
      </w:r>
      <w:r w:rsidRPr="00B5117C">
        <w:rPr>
          <w:lang w:val="fr-FR"/>
        </w:rPr>
        <w:t xml:space="preserve"> de liberté</w:t>
      </w:r>
      <w:r w:rsidRPr="00DF456A">
        <w:rPr>
          <w:noProof/>
          <w:lang w:val="fr-FR" w:eastAsia="es-BO"/>
        </w:rPr>
        <w:t xml:space="preserve">, </w:t>
      </w:r>
      <w:r>
        <w:rPr>
          <w:noProof/>
          <w:lang w:val="fr-FR" w:eastAsia="es-BO"/>
        </w:rPr>
        <w:t>sous le contrôle juridictionnel du juge de l</w:t>
      </w:r>
      <w:r w:rsidR="00FB1114">
        <w:rPr>
          <w:noProof/>
          <w:lang w:val="fr-FR" w:eastAsia="es-BO"/>
        </w:rPr>
        <w:t>’</w:t>
      </w:r>
      <w:r>
        <w:rPr>
          <w:noProof/>
          <w:lang w:val="fr-FR" w:eastAsia="es-BO"/>
        </w:rPr>
        <w:t xml:space="preserve">application des </w:t>
      </w:r>
      <w:r>
        <w:rPr>
          <w:noProof/>
          <w:lang w:val="fr-FR" w:eastAsia="es-BO"/>
        </w:rPr>
        <w:lastRenderedPageBreak/>
        <w:t>peines</w:t>
      </w:r>
      <w:r w:rsidR="008C0BBE">
        <w:rPr>
          <w:noProof/>
          <w:lang w:val="fr-FR" w:eastAsia="es-BO"/>
        </w:rPr>
        <w:t> </w:t>
      </w:r>
      <w:r w:rsidRPr="00DF456A">
        <w:rPr>
          <w:noProof/>
          <w:lang w:val="fr-FR" w:eastAsia="es-BO"/>
        </w:rPr>
        <w:t xml:space="preserve">; </w:t>
      </w:r>
      <w:r>
        <w:rPr>
          <w:noProof/>
          <w:lang w:val="fr-FR" w:eastAsia="es-BO"/>
        </w:rPr>
        <w:t>de même</w:t>
      </w:r>
      <w:r w:rsidRPr="00DF456A">
        <w:rPr>
          <w:noProof/>
          <w:lang w:val="fr-FR" w:eastAsia="es-BO"/>
        </w:rPr>
        <w:t xml:space="preserve">, </w:t>
      </w:r>
      <w:r w:rsidRPr="003F51E1">
        <w:rPr>
          <w:noProof/>
          <w:lang w:val="fr-FR"/>
        </w:rPr>
        <w:t>les directeurs de prison ont pour instruction d</w:t>
      </w:r>
      <w:r w:rsidR="00FB1114">
        <w:rPr>
          <w:noProof/>
          <w:lang w:val="fr-FR"/>
        </w:rPr>
        <w:t>’</w:t>
      </w:r>
      <w:r w:rsidRPr="003F51E1">
        <w:rPr>
          <w:noProof/>
          <w:lang w:val="fr-FR"/>
        </w:rPr>
        <w:t>effectuer des contrôles internes de façon inopinée et aléatoire</w:t>
      </w:r>
      <w:r>
        <w:rPr>
          <w:noProof/>
          <w:lang w:val="fr-FR"/>
        </w:rPr>
        <w:t>,</w:t>
      </w:r>
      <w:r w:rsidRPr="003F51E1">
        <w:rPr>
          <w:noProof/>
          <w:lang w:val="fr-FR"/>
        </w:rPr>
        <w:t xml:space="preserve"> en concertation avec la </w:t>
      </w:r>
      <w:r w:rsidR="008C0BBE">
        <w:rPr>
          <w:noProof/>
          <w:lang w:val="fr-FR"/>
        </w:rPr>
        <w:t>po</w:t>
      </w:r>
      <w:r w:rsidRPr="003F51E1">
        <w:rPr>
          <w:noProof/>
          <w:lang w:val="fr-FR"/>
        </w:rPr>
        <w:t>lice départementale, pour assurer le déroulement normal des activités de l</w:t>
      </w:r>
      <w:r w:rsidR="00FB1114">
        <w:rPr>
          <w:noProof/>
          <w:lang w:val="fr-FR"/>
        </w:rPr>
        <w:t>’</w:t>
      </w:r>
      <w:r w:rsidRPr="003F51E1">
        <w:rPr>
          <w:noProof/>
          <w:lang w:val="fr-FR"/>
        </w:rPr>
        <w:t>établissement pénitentiaire</w:t>
      </w:r>
      <w:r w:rsidRPr="00DF456A">
        <w:rPr>
          <w:noProof/>
          <w:lang w:val="fr-FR" w:eastAsia="es-BO"/>
        </w:rPr>
        <w:t>.</w:t>
      </w:r>
    </w:p>
    <w:p w:rsidR="00614A7E" w:rsidRPr="00DF456A" w:rsidRDefault="00614A7E" w:rsidP="00614A7E">
      <w:pPr>
        <w:pStyle w:val="SingleTxtG"/>
        <w:rPr>
          <w:noProof/>
          <w:lang w:val="fr-FR" w:eastAsia="es-BO"/>
        </w:rPr>
      </w:pPr>
      <w:r w:rsidRPr="00DF456A">
        <w:rPr>
          <w:noProof/>
          <w:lang w:val="fr-FR" w:eastAsia="es-BO"/>
        </w:rPr>
        <w:t>186.</w:t>
      </w:r>
      <w:r w:rsidRPr="00DF456A">
        <w:rPr>
          <w:noProof/>
          <w:lang w:val="fr-FR" w:eastAsia="es-BO"/>
        </w:rPr>
        <w:tab/>
        <w:t xml:space="preserve">En </w:t>
      </w:r>
      <w:r>
        <w:rPr>
          <w:noProof/>
          <w:lang w:val="fr-FR" w:eastAsia="es-BO"/>
        </w:rPr>
        <w:t>ce sens</w:t>
      </w:r>
      <w:r w:rsidRPr="00DF456A">
        <w:rPr>
          <w:noProof/>
          <w:lang w:val="fr-FR" w:eastAsia="es-BO"/>
        </w:rPr>
        <w:t xml:space="preserve">, </w:t>
      </w:r>
      <w:r>
        <w:rPr>
          <w:noProof/>
          <w:lang w:val="fr-FR" w:eastAsia="es-BO"/>
        </w:rPr>
        <w:t>le système disciplinaire</w:t>
      </w:r>
      <w:r w:rsidRPr="00DF456A">
        <w:rPr>
          <w:noProof/>
          <w:lang w:val="fr-FR" w:eastAsia="es-BO"/>
        </w:rPr>
        <w:t xml:space="preserve"> intern</w:t>
      </w:r>
      <w:r>
        <w:rPr>
          <w:noProof/>
          <w:lang w:val="fr-FR" w:eastAsia="es-BO"/>
        </w:rPr>
        <w:t>e</w:t>
      </w:r>
      <w:r w:rsidRPr="00DF456A">
        <w:rPr>
          <w:noProof/>
          <w:lang w:val="fr-FR" w:eastAsia="es-BO"/>
        </w:rPr>
        <w:t xml:space="preserve"> </w:t>
      </w:r>
      <w:r>
        <w:rPr>
          <w:noProof/>
          <w:lang w:val="fr-FR" w:eastAsia="es-BO"/>
        </w:rPr>
        <w:t>et la sécurité interne des établissements relèvent du directeur de chacun d</w:t>
      </w:r>
      <w:r w:rsidR="00FB1114">
        <w:rPr>
          <w:noProof/>
          <w:lang w:val="fr-FR" w:eastAsia="es-BO"/>
        </w:rPr>
        <w:t>’</w:t>
      </w:r>
      <w:r>
        <w:rPr>
          <w:noProof/>
          <w:lang w:val="fr-FR" w:eastAsia="es-BO"/>
        </w:rPr>
        <w:t>entre eux</w:t>
      </w:r>
      <w:r w:rsidRPr="00DF456A">
        <w:rPr>
          <w:noProof/>
          <w:lang w:val="fr-FR" w:eastAsia="es-BO"/>
        </w:rPr>
        <w:t>.</w:t>
      </w:r>
    </w:p>
    <w:p w:rsidR="00614A7E" w:rsidRPr="00DF456A" w:rsidRDefault="00614A7E" w:rsidP="00614A7E">
      <w:pPr>
        <w:pStyle w:val="SingleTxtG"/>
        <w:rPr>
          <w:noProof/>
          <w:lang w:val="fr-FR" w:eastAsia="es-BO"/>
        </w:rPr>
      </w:pPr>
      <w:r w:rsidRPr="00DF456A">
        <w:rPr>
          <w:noProof/>
          <w:lang w:val="fr-FR" w:eastAsia="es-BO"/>
        </w:rPr>
        <w:t>187.</w:t>
      </w:r>
      <w:r w:rsidRPr="00DF456A">
        <w:rPr>
          <w:noProof/>
          <w:lang w:val="fr-FR" w:eastAsia="es-BO"/>
        </w:rPr>
        <w:tab/>
      </w:r>
      <w:r>
        <w:rPr>
          <w:noProof/>
          <w:lang w:val="fr-FR" w:eastAsia="es-BO"/>
        </w:rPr>
        <w:t>De ce fait</w:t>
      </w:r>
      <w:r w:rsidRPr="00DF456A">
        <w:rPr>
          <w:noProof/>
          <w:lang w:val="fr-FR" w:eastAsia="es-BO"/>
        </w:rPr>
        <w:t xml:space="preserve">, </w:t>
      </w:r>
      <w:r>
        <w:rPr>
          <w:noProof/>
          <w:lang w:val="fr-FR" w:eastAsia="es-BO"/>
        </w:rPr>
        <w:t>l</w:t>
      </w:r>
      <w:r w:rsidR="00FB1114">
        <w:rPr>
          <w:noProof/>
          <w:lang w:val="fr-FR" w:eastAsia="es-BO"/>
        </w:rPr>
        <w:t>’</w:t>
      </w:r>
      <w:r>
        <w:rPr>
          <w:noProof/>
          <w:lang w:val="fr-FR" w:eastAsia="es-BO"/>
        </w:rPr>
        <w:t>État, agissant par l</w:t>
      </w:r>
      <w:r w:rsidR="00FB1114">
        <w:rPr>
          <w:noProof/>
          <w:lang w:val="fr-FR" w:eastAsia="es-BO"/>
        </w:rPr>
        <w:t>’</w:t>
      </w:r>
      <w:r>
        <w:rPr>
          <w:noProof/>
          <w:lang w:val="fr-FR" w:eastAsia="es-BO"/>
        </w:rPr>
        <w:t xml:space="preserve">intermédiaire de la </w:t>
      </w:r>
      <w:r w:rsidRPr="00CE305E">
        <w:rPr>
          <w:noProof/>
          <w:lang w:val="fr-FR"/>
        </w:rPr>
        <w:t>Direction générale du système pénitentiaire</w:t>
      </w:r>
      <w:r>
        <w:rPr>
          <w:noProof/>
          <w:lang w:val="fr-FR" w:eastAsia="es-BO"/>
        </w:rPr>
        <w:t xml:space="preserve">, non seulement contrôle et surveille les </w:t>
      </w:r>
      <w:r w:rsidRPr="00DF456A">
        <w:rPr>
          <w:noProof/>
          <w:lang w:val="fr-FR" w:eastAsia="es-BO"/>
        </w:rPr>
        <w:t>activi</w:t>
      </w:r>
      <w:r>
        <w:rPr>
          <w:noProof/>
          <w:lang w:val="fr-FR" w:eastAsia="es-BO"/>
        </w:rPr>
        <w:t>tés des personnes privées de liberté</w:t>
      </w:r>
      <w:r w:rsidRPr="00DF456A">
        <w:rPr>
          <w:noProof/>
          <w:lang w:val="fr-FR" w:eastAsia="es-BO"/>
        </w:rPr>
        <w:t xml:space="preserve">, </w:t>
      </w:r>
      <w:r>
        <w:rPr>
          <w:noProof/>
          <w:lang w:val="fr-FR" w:eastAsia="es-BO"/>
        </w:rPr>
        <w:t>mais, conformément aux règles</w:t>
      </w:r>
      <w:r w:rsidR="00654D93">
        <w:rPr>
          <w:noProof/>
          <w:lang w:val="fr-FR" w:eastAsia="es-BO"/>
        </w:rPr>
        <w:t> </w:t>
      </w:r>
      <w:r>
        <w:rPr>
          <w:noProof/>
          <w:lang w:val="fr-FR" w:eastAsia="es-BO"/>
        </w:rPr>
        <w:t>2 et 4.1 des Règles Nelson Mandela, fournit des espaces, des mécanismes et des instruments pour que ces personnes aient accès à l</w:t>
      </w:r>
      <w:r w:rsidR="00FB1114">
        <w:rPr>
          <w:noProof/>
          <w:lang w:val="fr-FR" w:eastAsia="es-BO"/>
        </w:rPr>
        <w:t>’</w:t>
      </w:r>
      <w:r>
        <w:rPr>
          <w:noProof/>
          <w:lang w:val="fr-FR" w:eastAsia="es-BO"/>
        </w:rPr>
        <w:t>éducation, au travail, à la santé, au sport, au culte et à la représentativité</w:t>
      </w:r>
      <w:r w:rsidRPr="00DF456A">
        <w:rPr>
          <w:noProof/>
          <w:lang w:val="fr-FR" w:eastAsia="es-BO"/>
        </w:rPr>
        <w:t>.</w:t>
      </w:r>
    </w:p>
    <w:p w:rsidR="00614A7E" w:rsidRPr="00DF456A" w:rsidRDefault="00614A7E" w:rsidP="002F12F4">
      <w:pPr>
        <w:pStyle w:val="H23G"/>
        <w:rPr>
          <w:noProof/>
          <w:lang w:val="fr-FR" w:eastAsia="es-BO"/>
        </w:rPr>
      </w:pPr>
      <w:r w:rsidRPr="00DF456A">
        <w:rPr>
          <w:noProof/>
          <w:lang w:val="fr-FR" w:eastAsia="es-BO"/>
        </w:rPr>
        <w:tab/>
      </w:r>
      <w:r w:rsidRPr="00DF456A">
        <w:rPr>
          <w:noProof/>
          <w:lang w:val="fr-FR" w:eastAsia="es-BO"/>
        </w:rPr>
        <w:tab/>
        <w:t>Recom</w:t>
      </w:r>
      <w:r>
        <w:rPr>
          <w:noProof/>
          <w:lang w:val="fr-FR" w:eastAsia="es-BO"/>
        </w:rPr>
        <w:t xml:space="preserve">mandation figurant au paragraphe </w:t>
      </w:r>
      <w:r w:rsidRPr="00DF456A">
        <w:rPr>
          <w:noProof/>
          <w:lang w:val="fr-FR" w:eastAsia="es-BO"/>
        </w:rPr>
        <w:t>18.e</w:t>
      </w:r>
    </w:p>
    <w:p w:rsidR="00614A7E" w:rsidRPr="00DF456A" w:rsidRDefault="00614A7E" w:rsidP="00614A7E">
      <w:pPr>
        <w:pStyle w:val="SingleTxtG"/>
        <w:rPr>
          <w:noProof/>
          <w:lang w:val="fr-FR" w:eastAsia="es-BO"/>
        </w:rPr>
      </w:pPr>
      <w:r w:rsidRPr="00DF456A">
        <w:rPr>
          <w:noProof/>
          <w:lang w:val="fr-FR" w:eastAsia="es-BO"/>
        </w:rPr>
        <w:t>188.</w:t>
      </w:r>
      <w:r w:rsidRPr="00DF456A">
        <w:rPr>
          <w:noProof/>
          <w:lang w:val="fr-FR" w:eastAsia="es-BO"/>
        </w:rPr>
        <w:tab/>
        <w:t xml:space="preserve">La </w:t>
      </w:r>
      <w:r w:rsidRPr="00CE305E">
        <w:rPr>
          <w:noProof/>
          <w:lang w:val="fr-FR"/>
        </w:rPr>
        <w:t>Direction générale du système pénitentiaire</w:t>
      </w:r>
      <w:r w:rsidRPr="00DF456A">
        <w:rPr>
          <w:noProof/>
          <w:lang w:val="fr-FR" w:eastAsia="es-BO"/>
        </w:rPr>
        <w:t xml:space="preserve"> </w:t>
      </w:r>
      <w:r>
        <w:rPr>
          <w:noProof/>
          <w:lang w:val="fr-FR" w:eastAsia="es-BO"/>
        </w:rPr>
        <w:t xml:space="preserve">met en œuvre le </w:t>
      </w:r>
      <w:r w:rsidRPr="007F69EF">
        <w:rPr>
          <w:noProof/>
          <w:lang w:val="fr-FR" w:eastAsia="es-BO"/>
        </w:rPr>
        <w:t>Programme invitant à choisir d</w:t>
      </w:r>
      <w:r w:rsidR="00FB1114" w:rsidRPr="007F69EF">
        <w:rPr>
          <w:noProof/>
          <w:lang w:val="fr-FR" w:eastAsia="es-BO"/>
        </w:rPr>
        <w:t>’</w:t>
      </w:r>
      <w:r w:rsidRPr="007F69EF">
        <w:rPr>
          <w:noProof/>
          <w:lang w:val="fr-FR" w:eastAsia="es-BO"/>
        </w:rPr>
        <w:t>autres moyens que la violence, en faisant comprendre aux personnes</w:t>
      </w:r>
      <w:r>
        <w:rPr>
          <w:noProof/>
          <w:lang w:val="fr-FR" w:eastAsia="es-BO"/>
        </w:rPr>
        <w:t xml:space="preserve"> privées de liberté l</w:t>
      </w:r>
      <w:r w:rsidR="00FB1114">
        <w:rPr>
          <w:noProof/>
          <w:lang w:val="fr-FR" w:eastAsia="es-BO"/>
        </w:rPr>
        <w:t>’</w:t>
      </w:r>
      <w:r>
        <w:rPr>
          <w:noProof/>
          <w:lang w:val="fr-FR" w:eastAsia="es-BO"/>
        </w:rPr>
        <w:t>importance du travail en commun et de l</w:t>
      </w:r>
      <w:r w:rsidR="00FB1114">
        <w:rPr>
          <w:noProof/>
          <w:lang w:val="fr-FR" w:eastAsia="es-BO"/>
        </w:rPr>
        <w:t>’</w:t>
      </w:r>
      <w:r>
        <w:rPr>
          <w:noProof/>
          <w:lang w:val="fr-FR" w:eastAsia="es-BO"/>
        </w:rPr>
        <w:t>empathie pour la cohabitation de personnes détenues</w:t>
      </w:r>
      <w:r w:rsidRPr="00DF456A">
        <w:rPr>
          <w:noProof/>
          <w:lang w:val="fr-FR" w:eastAsia="es-BO"/>
        </w:rPr>
        <w:t xml:space="preserve"> (</w:t>
      </w:r>
      <w:r>
        <w:rPr>
          <w:noProof/>
          <w:lang w:val="fr-FR" w:eastAsia="es-BO"/>
        </w:rPr>
        <w:t>annexe</w:t>
      </w:r>
      <w:r w:rsidR="002F12F4">
        <w:rPr>
          <w:noProof/>
          <w:lang w:val="fr-FR" w:eastAsia="es-BO"/>
        </w:rPr>
        <w:t> </w:t>
      </w:r>
      <w:r w:rsidRPr="00DF456A">
        <w:rPr>
          <w:noProof/>
          <w:lang w:val="fr-FR" w:eastAsia="es-BO"/>
        </w:rPr>
        <w:t>60).</w:t>
      </w:r>
    </w:p>
    <w:p w:rsidR="00614A7E" w:rsidRPr="00DF456A" w:rsidRDefault="00614A7E" w:rsidP="00614A7E">
      <w:pPr>
        <w:pStyle w:val="SingleTxtG"/>
        <w:rPr>
          <w:noProof/>
          <w:lang w:val="fr-FR" w:eastAsia="es-BO"/>
        </w:rPr>
      </w:pPr>
      <w:r w:rsidRPr="00DF456A">
        <w:rPr>
          <w:noProof/>
          <w:lang w:val="fr-FR" w:eastAsia="es-BO"/>
        </w:rPr>
        <w:t>189.</w:t>
      </w:r>
      <w:r w:rsidRPr="00DF456A">
        <w:rPr>
          <w:noProof/>
          <w:lang w:val="fr-FR" w:eastAsia="es-BO"/>
        </w:rPr>
        <w:tab/>
        <w:t xml:space="preserve">La </w:t>
      </w:r>
      <w:r>
        <w:rPr>
          <w:noProof/>
          <w:lang w:val="fr-FR" w:eastAsia="es-BO"/>
        </w:rPr>
        <w:t xml:space="preserve">loi </w:t>
      </w:r>
      <w:r w:rsidR="002F12F4" w:rsidRPr="00AD55D6">
        <w:rPr>
          <w:rFonts w:eastAsia="MS Mincho"/>
          <w:noProof/>
          <w:szCs w:val="22"/>
          <w:lang w:val="fr-FR" w:eastAsia="es-BO"/>
        </w:rPr>
        <w:t>n</w:t>
      </w:r>
      <w:r w:rsidR="002F12F4" w:rsidRPr="00AD55D6">
        <w:rPr>
          <w:rFonts w:eastAsia="MS Mincho"/>
          <w:noProof/>
          <w:szCs w:val="22"/>
          <w:vertAlign w:val="superscript"/>
          <w:lang w:val="fr-FR" w:eastAsia="es-BO"/>
        </w:rPr>
        <w:t>o</w:t>
      </w:r>
      <w:r w:rsidR="002F12F4">
        <w:rPr>
          <w:noProof/>
          <w:lang w:val="fr-FR" w:eastAsia="es-BO"/>
        </w:rPr>
        <w:t> </w:t>
      </w:r>
      <w:r w:rsidRPr="00DF456A">
        <w:rPr>
          <w:noProof/>
          <w:lang w:val="fr-FR" w:eastAsia="es-BO"/>
        </w:rPr>
        <w:t xml:space="preserve">2298 </w:t>
      </w:r>
      <w:r>
        <w:rPr>
          <w:noProof/>
          <w:lang w:val="fr-FR" w:eastAsia="es-BO"/>
        </w:rPr>
        <w:t xml:space="preserve">institue </w:t>
      </w:r>
      <w:r w:rsidRPr="00DF456A">
        <w:rPr>
          <w:noProof/>
          <w:lang w:val="fr-FR" w:eastAsia="es-BO"/>
        </w:rPr>
        <w:t>un régime</w:t>
      </w:r>
      <w:r>
        <w:rPr>
          <w:noProof/>
          <w:lang w:val="fr-FR" w:eastAsia="es-BO"/>
        </w:rPr>
        <w:t xml:space="preserve"> disciplinaire</w:t>
      </w:r>
      <w:r w:rsidRPr="00DF456A">
        <w:rPr>
          <w:noProof/>
          <w:lang w:val="fr-FR" w:eastAsia="es-BO"/>
        </w:rPr>
        <w:t xml:space="preserve"> sanc</w:t>
      </w:r>
      <w:r>
        <w:rPr>
          <w:noProof/>
          <w:lang w:val="fr-FR" w:eastAsia="es-BO"/>
        </w:rPr>
        <w:t>tionnant les manquements à la discipline commis par une personne privée de liberté à l</w:t>
      </w:r>
      <w:r w:rsidR="00FB1114">
        <w:rPr>
          <w:noProof/>
          <w:lang w:val="fr-FR" w:eastAsia="es-BO"/>
        </w:rPr>
        <w:t>’</w:t>
      </w:r>
      <w:r>
        <w:rPr>
          <w:noProof/>
          <w:lang w:val="fr-FR" w:eastAsia="es-BO"/>
        </w:rPr>
        <w:t>intérieur d</w:t>
      </w:r>
      <w:r w:rsidR="00FB1114">
        <w:rPr>
          <w:noProof/>
          <w:lang w:val="fr-FR" w:eastAsia="es-BO"/>
        </w:rPr>
        <w:t>’</w:t>
      </w:r>
      <w:r>
        <w:rPr>
          <w:noProof/>
          <w:lang w:val="fr-FR" w:eastAsia="es-BO"/>
        </w:rPr>
        <w:t xml:space="preserve">un établissement pénitentiaire et vise à garantir la sécurité et </w:t>
      </w:r>
      <w:r w:rsidRPr="00DF456A">
        <w:rPr>
          <w:noProof/>
          <w:lang w:val="fr-FR" w:eastAsia="es-BO"/>
        </w:rPr>
        <w:t xml:space="preserve">la </w:t>
      </w:r>
      <w:r>
        <w:rPr>
          <w:noProof/>
          <w:lang w:val="fr-FR" w:eastAsia="es-BO"/>
        </w:rPr>
        <w:t xml:space="preserve">cohabitation </w:t>
      </w:r>
      <w:r w:rsidRPr="00DF456A">
        <w:rPr>
          <w:noProof/>
          <w:lang w:val="fr-FR" w:eastAsia="es-BO"/>
        </w:rPr>
        <w:t>pac</w:t>
      </w:r>
      <w:r>
        <w:rPr>
          <w:noProof/>
          <w:lang w:val="fr-FR" w:eastAsia="es-BO"/>
        </w:rPr>
        <w:t>ifique et bien réglée</w:t>
      </w:r>
      <w:r w:rsidRPr="00DF456A">
        <w:rPr>
          <w:noProof/>
          <w:lang w:val="fr-FR" w:eastAsia="es-BO"/>
        </w:rPr>
        <w:t xml:space="preserve">; </w:t>
      </w:r>
      <w:r>
        <w:rPr>
          <w:noProof/>
          <w:lang w:val="fr-FR" w:eastAsia="es-BO"/>
        </w:rPr>
        <w:t>à ce propos</w:t>
      </w:r>
      <w:r w:rsidRPr="00DF456A">
        <w:rPr>
          <w:noProof/>
          <w:lang w:val="fr-FR" w:eastAsia="es-BO"/>
        </w:rPr>
        <w:t xml:space="preserve">, </w:t>
      </w:r>
      <w:r>
        <w:rPr>
          <w:noProof/>
          <w:lang w:val="fr-FR" w:eastAsia="es-BO"/>
        </w:rPr>
        <w:t>l</w:t>
      </w:r>
      <w:r w:rsidR="00FB1114">
        <w:rPr>
          <w:noProof/>
          <w:lang w:val="fr-FR" w:eastAsia="es-BO"/>
        </w:rPr>
        <w:t>’</w:t>
      </w:r>
      <w:r>
        <w:rPr>
          <w:noProof/>
          <w:lang w:val="fr-FR" w:eastAsia="es-BO"/>
        </w:rPr>
        <w:t>article</w:t>
      </w:r>
      <w:r w:rsidR="002F12F4">
        <w:rPr>
          <w:noProof/>
          <w:lang w:val="fr-FR" w:eastAsia="es-BO"/>
        </w:rPr>
        <w:t> </w:t>
      </w:r>
      <w:r w:rsidRPr="00DF456A">
        <w:rPr>
          <w:noProof/>
          <w:lang w:val="fr-FR" w:eastAsia="es-BO"/>
        </w:rPr>
        <w:t xml:space="preserve">130.4 de la </w:t>
      </w:r>
      <w:r>
        <w:rPr>
          <w:noProof/>
          <w:lang w:val="fr-FR" w:eastAsia="es-BO"/>
        </w:rPr>
        <w:t xml:space="preserve">même loi érige en faute très </w:t>
      </w:r>
      <w:r w:rsidRPr="008C0BBE">
        <w:rPr>
          <w:noProof/>
          <w:lang w:val="fr-FR" w:eastAsia="es-BO"/>
        </w:rPr>
        <w:t>grave « l</w:t>
      </w:r>
      <w:r w:rsidR="00FB1114" w:rsidRPr="008C0BBE">
        <w:rPr>
          <w:noProof/>
          <w:lang w:val="fr-FR" w:eastAsia="es-BO"/>
        </w:rPr>
        <w:t>’</w:t>
      </w:r>
      <w:r w:rsidRPr="008C0BBE">
        <w:rPr>
          <w:noProof/>
          <w:lang w:val="fr-FR" w:eastAsia="es-BO"/>
        </w:rPr>
        <w:t>incitation à participer ou la participation à des mouvements violents visant à troubler l</w:t>
      </w:r>
      <w:r w:rsidR="00FB1114" w:rsidRPr="008C0BBE">
        <w:rPr>
          <w:noProof/>
          <w:lang w:val="fr-FR" w:eastAsia="es-BO"/>
        </w:rPr>
        <w:t>’</w:t>
      </w:r>
      <w:r w:rsidRPr="008C0BBE">
        <w:rPr>
          <w:noProof/>
          <w:lang w:val="fr-FR" w:eastAsia="es-BO"/>
        </w:rPr>
        <w:t>ordre et la discipline ».</w:t>
      </w:r>
      <w:r>
        <w:rPr>
          <w:i/>
          <w:noProof/>
          <w:lang w:val="fr-FR" w:eastAsia="es-BO"/>
        </w:rPr>
        <w:t xml:space="preserve"> </w:t>
      </w:r>
      <w:r>
        <w:rPr>
          <w:noProof/>
          <w:lang w:val="fr-FR" w:eastAsia="es-BO"/>
        </w:rPr>
        <w:t xml:space="preserve">Toutefois, </w:t>
      </w:r>
      <w:r w:rsidRPr="00296174">
        <w:rPr>
          <w:noProof/>
          <w:lang w:val="fr-FR" w:eastAsia="es-BO"/>
        </w:rPr>
        <w:t>t</w:t>
      </w:r>
      <w:r w:rsidRPr="00296174">
        <w:rPr>
          <w:noProof/>
          <w:lang w:val="fr-FR"/>
        </w:rPr>
        <w:t>out comportement délictueux d</w:t>
      </w:r>
      <w:r w:rsidR="00FB1114">
        <w:rPr>
          <w:noProof/>
          <w:lang w:val="fr-FR"/>
        </w:rPr>
        <w:t>’</w:t>
      </w:r>
      <w:r w:rsidRPr="00296174">
        <w:rPr>
          <w:noProof/>
          <w:lang w:val="fr-FR"/>
        </w:rPr>
        <w:t>une personne privée de liberté est immédiatement porté à la connaissance du ministère public, l</w:t>
      </w:r>
      <w:r w:rsidR="00FB1114">
        <w:rPr>
          <w:noProof/>
          <w:lang w:val="fr-FR"/>
        </w:rPr>
        <w:t>’</w:t>
      </w:r>
      <w:r w:rsidRPr="00296174">
        <w:rPr>
          <w:noProof/>
          <w:lang w:val="fr-FR"/>
        </w:rPr>
        <w:t>instance compétente pour vérifier les fondements des faits et identifier les auteurs et instigateurs de l</w:t>
      </w:r>
      <w:r w:rsidR="00FB1114">
        <w:rPr>
          <w:noProof/>
          <w:lang w:val="fr-FR"/>
        </w:rPr>
        <w:t>’</w:t>
      </w:r>
      <w:r w:rsidRPr="00296174">
        <w:rPr>
          <w:noProof/>
          <w:lang w:val="fr-FR"/>
        </w:rPr>
        <w:t>acte perpétré</w:t>
      </w:r>
      <w:r w:rsidRPr="00DF456A">
        <w:rPr>
          <w:noProof/>
          <w:lang w:val="fr-FR" w:eastAsia="es-BO"/>
        </w:rPr>
        <w:t>.</w:t>
      </w:r>
    </w:p>
    <w:p w:rsidR="00614A7E" w:rsidRPr="00DF456A" w:rsidRDefault="00614A7E" w:rsidP="00614A7E">
      <w:pPr>
        <w:pStyle w:val="H23G"/>
        <w:rPr>
          <w:noProof/>
          <w:lang w:val="fr-FR" w:eastAsia="es-BO"/>
        </w:rPr>
      </w:pPr>
      <w:r w:rsidRPr="00DF456A">
        <w:rPr>
          <w:noProof/>
          <w:lang w:val="fr-FR" w:eastAsia="es-BO"/>
        </w:rPr>
        <w:tab/>
      </w:r>
      <w:r w:rsidRPr="00DF456A">
        <w:rPr>
          <w:noProof/>
          <w:lang w:val="fr-FR" w:eastAsia="es-BO"/>
        </w:rPr>
        <w:tab/>
        <w:t>Recom</w:t>
      </w:r>
      <w:r>
        <w:rPr>
          <w:noProof/>
          <w:lang w:val="fr-FR" w:eastAsia="es-BO"/>
        </w:rPr>
        <w:t xml:space="preserve">mandation figurant au paragraphe </w:t>
      </w:r>
      <w:r w:rsidRPr="00DF456A">
        <w:rPr>
          <w:noProof/>
          <w:lang w:val="fr-FR" w:eastAsia="es-BO"/>
        </w:rPr>
        <w:t>18.f</w:t>
      </w:r>
    </w:p>
    <w:p w:rsidR="00614A7E" w:rsidRPr="00DF456A" w:rsidRDefault="00614A7E" w:rsidP="00614A7E">
      <w:pPr>
        <w:pStyle w:val="SingleTxtG"/>
        <w:rPr>
          <w:noProof/>
          <w:lang w:val="fr-FR" w:eastAsia="es-BO"/>
        </w:rPr>
      </w:pPr>
      <w:r w:rsidRPr="00DF456A">
        <w:rPr>
          <w:noProof/>
          <w:lang w:val="fr-FR" w:eastAsia="es-BO"/>
        </w:rPr>
        <w:t>190.</w:t>
      </w:r>
      <w:r w:rsidRPr="00DF456A">
        <w:rPr>
          <w:noProof/>
          <w:lang w:val="fr-FR" w:eastAsia="es-BO"/>
        </w:rPr>
        <w:tab/>
        <w:t xml:space="preserve">La </w:t>
      </w:r>
      <w:r w:rsidRPr="00CE305E">
        <w:rPr>
          <w:noProof/>
          <w:lang w:val="fr-FR"/>
        </w:rPr>
        <w:t>Direction générale du système pénitentiaire</w:t>
      </w:r>
      <w:r w:rsidRPr="00DF456A">
        <w:rPr>
          <w:noProof/>
          <w:lang w:val="fr-FR" w:eastAsia="es-BO"/>
        </w:rPr>
        <w:t xml:space="preserve"> </w:t>
      </w:r>
      <w:r>
        <w:rPr>
          <w:noProof/>
          <w:lang w:val="fr-FR" w:eastAsia="es-BO"/>
        </w:rPr>
        <w:t>classe les détenus condamnés en application des décisions du Conseil des établissements pénitentiaires</w:t>
      </w:r>
      <w:r w:rsidRPr="00DF456A">
        <w:rPr>
          <w:noProof/>
          <w:lang w:val="fr-FR" w:eastAsia="es-BO"/>
        </w:rPr>
        <w:t>. P</w:t>
      </w:r>
      <w:r>
        <w:rPr>
          <w:noProof/>
          <w:lang w:val="fr-FR" w:eastAsia="es-BO"/>
        </w:rPr>
        <w:t xml:space="preserve">our rendre effective la séparation technique des détenus, on a prévu de construire, </w:t>
      </w:r>
      <w:r w:rsidRPr="00B5117C">
        <w:rPr>
          <w:lang w:val="fr-FR"/>
        </w:rPr>
        <w:t xml:space="preserve">le </w:t>
      </w:r>
      <w:r w:rsidRPr="00296174">
        <w:rPr>
          <w:noProof/>
          <w:lang w:val="fr-FR"/>
        </w:rPr>
        <w:t>long de l</w:t>
      </w:r>
      <w:r w:rsidR="00FB1114">
        <w:rPr>
          <w:noProof/>
          <w:lang w:val="fr-FR"/>
        </w:rPr>
        <w:t>’</w:t>
      </w:r>
      <w:r w:rsidRPr="00296174">
        <w:rPr>
          <w:noProof/>
          <w:lang w:val="fr-FR"/>
        </w:rPr>
        <w:t>axe central du pays,</w:t>
      </w:r>
      <w:r w:rsidRPr="00296174">
        <w:rPr>
          <w:noProof/>
          <w:lang w:val="fr-FR" w:eastAsia="es-BO"/>
        </w:rPr>
        <w:t xml:space="preserve"> </w:t>
      </w:r>
      <w:r>
        <w:rPr>
          <w:noProof/>
          <w:lang w:val="fr-FR" w:eastAsia="es-BO"/>
        </w:rPr>
        <w:t>trois grands complexes pénitentiaires à</w:t>
      </w:r>
      <w:r w:rsidRPr="00DF456A">
        <w:rPr>
          <w:noProof/>
          <w:lang w:val="fr-FR" w:eastAsia="es-BO"/>
        </w:rPr>
        <w:t xml:space="preserve"> La Paz, Cochabamba </w:t>
      </w:r>
      <w:r>
        <w:rPr>
          <w:noProof/>
          <w:lang w:val="fr-FR" w:eastAsia="es-BO"/>
        </w:rPr>
        <w:t xml:space="preserve">et </w:t>
      </w:r>
      <w:r w:rsidRPr="00DF456A">
        <w:rPr>
          <w:noProof/>
          <w:lang w:val="fr-FR" w:eastAsia="es-BO"/>
        </w:rPr>
        <w:t>Santa Cruz.</w:t>
      </w:r>
    </w:p>
    <w:p w:rsidR="00614A7E" w:rsidRPr="00147804" w:rsidRDefault="00147804" w:rsidP="00147804">
      <w:pPr>
        <w:pStyle w:val="H1G"/>
      </w:pPr>
      <w:r>
        <w:rPr>
          <w:noProof/>
          <w:lang w:val="fr-FR" w:eastAsia="es-BO"/>
        </w:rPr>
        <w:tab/>
      </w:r>
      <w:r>
        <w:rPr>
          <w:noProof/>
          <w:lang w:val="fr-FR" w:eastAsia="es-BO"/>
        </w:rPr>
        <w:tab/>
      </w:r>
      <w:r w:rsidR="00614A7E">
        <w:rPr>
          <w:noProof/>
          <w:lang w:val="fr-FR" w:eastAsia="es-BO"/>
        </w:rPr>
        <w:t>Décès en détention</w:t>
      </w:r>
    </w:p>
    <w:p w:rsidR="00614A7E" w:rsidRPr="00DF456A" w:rsidRDefault="00614A7E" w:rsidP="00614A7E">
      <w:pPr>
        <w:pStyle w:val="H23G"/>
        <w:rPr>
          <w:noProof/>
          <w:lang w:val="fr-FR" w:eastAsia="es-BO"/>
        </w:rPr>
      </w:pPr>
      <w:r w:rsidRPr="00DF456A">
        <w:rPr>
          <w:noProof/>
          <w:lang w:val="fr-FR" w:eastAsia="es-BO"/>
        </w:rPr>
        <w:tab/>
      </w:r>
      <w:r w:rsidRPr="00DF456A">
        <w:rPr>
          <w:noProof/>
          <w:lang w:val="fr-FR" w:eastAsia="es-BO"/>
        </w:rPr>
        <w:tab/>
        <w:t>Recom</w:t>
      </w:r>
      <w:r>
        <w:rPr>
          <w:noProof/>
          <w:lang w:val="fr-FR" w:eastAsia="es-BO"/>
        </w:rPr>
        <w:t>mandation figurant au paragraphe</w:t>
      </w:r>
      <w:r w:rsidRPr="00DF456A">
        <w:rPr>
          <w:noProof/>
          <w:lang w:val="fr-FR" w:eastAsia="es-BO"/>
        </w:rPr>
        <w:t xml:space="preserve"> 19</w:t>
      </w:r>
    </w:p>
    <w:p w:rsidR="00614A7E" w:rsidRPr="00DF456A" w:rsidRDefault="00614A7E" w:rsidP="00614A7E">
      <w:pPr>
        <w:pStyle w:val="SingleTxtG"/>
        <w:rPr>
          <w:noProof/>
          <w:lang w:val="fr-FR" w:eastAsia="es-BO"/>
        </w:rPr>
      </w:pPr>
      <w:r w:rsidRPr="00DF456A">
        <w:rPr>
          <w:noProof/>
          <w:lang w:val="fr-FR" w:eastAsia="es-BO"/>
        </w:rPr>
        <w:t>191.</w:t>
      </w:r>
      <w:r w:rsidRPr="00DF456A">
        <w:rPr>
          <w:noProof/>
          <w:lang w:val="fr-FR" w:eastAsia="es-BO"/>
        </w:rPr>
        <w:tab/>
        <w:t xml:space="preserve">La </w:t>
      </w:r>
      <w:r w:rsidRPr="00CE305E">
        <w:rPr>
          <w:noProof/>
          <w:lang w:val="fr-FR"/>
        </w:rPr>
        <w:t>Direction générale du système pénitentiaire</w:t>
      </w:r>
      <w:r w:rsidRPr="00DF456A">
        <w:rPr>
          <w:noProof/>
          <w:lang w:val="fr-FR" w:eastAsia="es-BO"/>
        </w:rPr>
        <w:t xml:space="preserve"> </w:t>
      </w:r>
      <w:r>
        <w:rPr>
          <w:noProof/>
          <w:lang w:val="fr-FR" w:eastAsia="es-BO"/>
        </w:rPr>
        <w:t>porte le décès d</w:t>
      </w:r>
      <w:r w:rsidR="00FB1114">
        <w:rPr>
          <w:noProof/>
          <w:lang w:val="fr-FR" w:eastAsia="es-BO"/>
        </w:rPr>
        <w:t>’</w:t>
      </w:r>
      <w:r>
        <w:rPr>
          <w:noProof/>
          <w:lang w:val="fr-FR" w:eastAsia="es-BO"/>
        </w:rPr>
        <w:t xml:space="preserve">une personne privée de liberté à </w:t>
      </w:r>
      <w:r w:rsidRPr="00B221A5">
        <w:rPr>
          <w:noProof/>
          <w:lang w:val="fr-FR"/>
        </w:rPr>
        <w:t>l</w:t>
      </w:r>
      <w:r w:rsidR="00FB1114">
        <w:rPr>
          <w:noProof/>
          <w:lang w:val="fr-FR"/>
        </w:rPr>
        <w:t>’</w:t>
      </w:r>
      <w:r w:rsidRPr="00B221A5">
        <w:rPr>
          <w:noProof/>
          <w:lang w:val="fr-FR"/>
        </w:rPr>
        <w:t>attention de la Force spéciale de lutte contre la criminalité</w:t>
      </w:r>
      <w:r w:rsidRPr="00B221A5">
        <w:rPr>
          <w:noProof/>
          <w:lang w:val="fr-FR" w:eastAsia="es-BO"/>
        </w:rPr>
        <w:t>, à charge pour celle-ci d</w:t>
      </w:r>
      <w:r w:rsidR="00FB1114">
        <w:rPr>
          <w:noProof/>
          <w:lang w:val="fr-FR" w:eastAsia="es-BO"/>
        </w:rPr>
        <w:t>’</w:t>
      </w:r>
      <w:r w:rsidRPr="00B221A5">
        <w:rPr>
          <w:noProof/>
          <w:lang w:val="fr-FR" w:eastAsia="es-BO"/>
        </w:rPr>
        <w:t xml:space="preserve">en aviser le </w:t>
      </w:r>
      <w:r w:rsidRPr="00B221A5">
        <w:rPr>
          <w:noProof/>
          <w:lang w:val="fr-FR"/>
        </w:rPr>
        <w:t>ministère public</w:t>
      </w:r>
      <w:r w:rsidRPr="00DF456A">
        <w:rPr>
          <w:noProof/>
          <w:lang w:val="fr-FR" w:eastAsia="es-BO"/>
        </w:rPr>
        <w:t>.</w:t>
      </w:r>
    </w:p>
    <w:p w:rsidR="00614A7E" w:rsidRPr="00DF456A" w:rsidRDefault="00614A7E" w:rsidP="00614A7E">
      <w:pPr>
        <w:pStyle w:val="SingleTxtG"/>
        <w:rPr>
          <w:noProof/>
          <w:lang w:val="fr-FR" w:eastAsia="es-BO"/>
        </w:rPr>
      </w:pPr>
      <w:r w:rsidRPr="00DF456A">
        <w:rPr>
          <w:noProof/>
          <w:lang w:val="fr-FR" w:eastAsia="es-BO"/>
        </w:rPr>
        <w:t>192.</w:t>
      </w:r>
      <w:r w:rsidRPr="00DF456A">
        <w:rPr>
          <w:noProof/>
          <w:lang w:val="fr-FR" w:eastAsia="es-BO"/>
        </w:rPr>
        <w:tab/>
      </w:r>
      <w:r>
        <w:rPr>
          <w:noProof/>
          <w:lang w:val="fr-FR"/>
        </w:rPr>
        <w:t>L</w:t>
      </w:r>
      <w:r w:rsidR="00FB1114">
        <w:rPr>
          <w:noProof/>
          <w:lang w:val="fr-FR"/>
        </w:rPr>
        <w:t>’</w:t>
      </w:r>
      <w:r w:rsidRPr="00BC4D2E">
        <w:rPr>
          <w:noProof/>
          <w:lang w:val="fr-FR"/>
        </w:rPr>
        <w:t>Institut de recherche médico</w:t>
      </w:r>
      <w:r w:rsidR="002E6DD8">
        <w:rPr>
          <w:noProof/>
          <w:lang w:val="fr-FR"/>
        </w:rPr>
        <w:t>-</w:t>
      </w:r>
      <w:r w:rsidRPr="00BC4D2E">
        <w:rPr>
          <w:noProof/>
          <w:lang w:val="fr-FR"/>
        </w:rPr>
        <w:t>légale</w:t>
      </w:r>
      <w:r w:rsidR="002E6DD8">
        <w:rPr>
          <w:noProof/>
          <w:lang w:val="fr-FR"/>
        </w:rPr>
        <w:t xml:space="preserve"> </w:t>
      </w:r>
      <w:r>
        <w:rPr>
          <w:noProof/>
          <w:lang w:val="fr-FR"/>
        </w:rPr>
        <w:t>a l</w:t>
      </w:r>
      <w:r w:rsidR="00FB1114">
        <w:rPr>
          <w:noProof/>
          <w:lang w:val="fr-FR"/>
        </w:rPr>
        <w:t>’</w:t>
      </w:r>
      <w:r w:rsidRPr="00DF456A">
        <w:rPr>
          <w:noProof/>
          <w:lang w:val="fr-FR" w:eastAsia="es-BO"/>
        </w:rPr>
        <w:t>obliga</w:t>
      </w:r>
      <w:r w:rsidR="008C0BBE">
        <w:rPr>
          <w:noProof/>
          <w:lang w:val="fr-FR" w:eastAsia="es-BO"/>
        </w:rPr>
        <w:t>tion</w:t>
      </w:r>
      <w:r w:rsidRPr="00DF456A">
        <w:rPr>
          <w:noProof/>
          <w:lang w:val="fr-FR" w:eastAsia="es-BO"/>
        </w:rPr>
        <w:t xml:space="preserve"> </w:t>
      </w:r>
      <w:r>
        <w:rPr>
          <w:noProof/>
          <w:lang w:val="fr-FR" w:eastAsia="es-BO"/>
        </w:rPr>
        <w:t>d</w:t>
      </w:r>
      <w:r w:rsidR="00FB1114">
        <w:rPr>
          <w:noProof/>
          <w:lang w:val="fr-FR" w:eastAsia="es-BO"/>
        </w:rPr>
        <w:t>’</w:t>
      </w:r>
      <w:r>
        <w:rPr>
          <w:noProof/>
          <w:lang w:val="fr-FR" w:eastAsia="es-BO"/>
        </w:rPr>
        <w:t>utiliser tous les moyens disponibles pour déterminer la cause du décès en respectant les principes de diligence et d</w:t>
      </w:r>
      <w:r w:rsidRPr="00DF456A">
        <w:rPr>
          <w:noProof/>
          <w:lang w:val="fr-FR" w:eastAsia="es-BO"/>
        </w:rPr>
        <w:t xml:space="preserve">e </w:t>
      </w:r>
      <w:r>
        <w:rPr>
          <w:noProof/>
          <w:lang w:val="fr-FR" w:eastAsia="es-BO"/>
        </w:rPr>
        <w:t>conservation des pièces et,</w:t>
      </w:r>
      <w:r w:rsidRPr="00DF456A">
        <w:rPr>
          <w:noProof/>
          <w:lang w:val="fr-FR" w:eastAsia="es-BO"/>
        </w:rPr>
        <w:t xml:space="preserve"> conform</w:t>
      </w:r>
      <w:r>
        <w:rPr>
          <w:noProof/>
          <w:lang w:val="fr-FR" w:eastAsia="es-BO"/>
        </w:rPr>
        <w:t>ément aux protocoles (Protocole d</w:t>
      </w:r>
      <w:r w:rsidR="00FB1114">
        <w:rPr>
          <w:noProof/>
          <w:lang w:val="fr-FR" w:eastAsia="es-BO"/>
        </w:rPr>
        <w:t>’</w:t>
      </w:r>
      <w:r>
        <w:rPr>
          <w:noProof/>
          <w:lang w:val="fr-FR" w:eastAsia="es-BO"/>
        </w:rPr>
        <w:t>Istanbul</w:t>
      </w:r>
      <w:r w:rsidRPr="00DF456A">
        <w:rPr>
          <w:noProof/>
          <w:lang w:val="fr-FR" w:eastAsia="es-BO"/>
        </w:rPr>
        <w:t>) o</w:t>
      </w:r>
      <w:r>
        <w:rPr>
          <w:noProof/>
          <w:lang w:val="fr-FR" w:eastAsia="es-BO"/>
        </w:rPr>
        <w:t>u aux</w:t>
      </w:r>
      <w:r w:rsidR="00593789">
        <w:rPr>
          <w:noProof/>
          <w:lang w:val="fr-FR" w:eastAsia="es-BO"/>
        </w:rPr>
        <w:t xml:space="preserve"> </w:t>
      </w:r>
      <w:r>
        <w:rPr>
          <w:noProof/>
          <w:lang w:val="fr-FR" w:eastAsia="es-BO"/>
        </w:rPr>
        <w:t>normes de procédure de l</w:t>
      </w:r>
      <w:r w:rsidR="00FB1114">
        <w:rPr>
          <w:noProof/>
          <w:lang w:val="fr-FR" w:eastAsia="es-BO"/>
        </w:rPr>
        <w:t>’</w:t>
      </w:r>
      <w:r>
        <w:rPr>
          <w:noProof/>
          <w:lang w:val="fr-FR" w:eastAsia="es-BO"/>
        </w:rPr>
        <w:t>Institut, en portant à l</w:t>
      </w:r>
      <w:r w:rsidR="00FB1114">
        <w:rPr>
          <w:noProof/>
          <w:lang w:val="fr-FR" w:eastAsia="es-BO"/>
        </w:rPr>
        <w:t>’</w:t>
      </w:r>
      <w:r>
        <w:rPr>
          <w:noProof/>
          <w:lang w:val="fr-FR" w:eastAsia="es-BO"/>
        </w:rPr>
        <w:t>attention de l</w:t>
      </w:r>
      <w:r w:rsidR="00FB1114">
        <w:rPr>
          <w:noProof/>
          <w:lang w:val="fr-FR" w:eastAsia="es-BO"/>
        </w:rPr>
        <w:t>’</w:t>
      </w:r>
      <w:r>
        <w:rPr>
          <w:noProof/>
          <w:lang w:val="fr-FR" w:eastAsia="es-BO"/>
        </w:rPr>
        <w:t>autorité compétente et des instances supérieures les résultats de l</w:t>
      </w:r>
      <w:r w:rsidR="00FB1114">
        <w:rPr>
          <w:noProof/>
          <w:lang w:val="fr-FR" w:eastAsia="es-BO"/>
        </w:rPr>
        <w:t>’</w:t>
      </w:r>
      <w:r>
        <w:rPr>
          <w:noProof/>
          <w:lang w:val="fr-FR" w:eastAsia="es-BO"/>
        </w:rPr>
        <w:t>autopsie médico</w:t>
      </w:r>
      <w:r w:rsidR="002E6DD8">
        <w:rPr>
          <w:noProof/>
          <w:lang w:val="fr-FR" w:eastAsia="es-BO"/>
        </w:rPr>
        <w:t>-</w:t>
      </w:r>
      <w:r>
        <w:rPr>
          <w:noProof/>
          <w:lang w:val="fr-FR" w:eastAsia="es-BO"/>
        </w:rPr>
        <w:t>légale</w:t>
      </w:r>
      <w:r w:rsidRPr="00DF456A">
        <w:rPr>
          <w:noProof/>
          <w:lang w:val="fr-FR" w:eastAsia="es-BO"/>
        </w:rPr>
        <w:t xml:space="preserve">. </w:t>
      </w:r>
      <w:r>
        <w:rPr>
          <w:noProof/>
          <w:lang w:val="fr-FR" w:eastAsia="es-BO"/>
        </w:rPr>
        <w:t>Si un acte illicite a été commis, il incombe au ministère public de mettre d</w:t>
      </w:r>
      <w:r w:rsidR="00FB1114">
        <w:rPr>
          <w:noProof/>
          <w:lang w:val="fr-FR" w:eastAsia="es-BO"/>
        </w:rPr>
        <w:t>’</w:t>
      </w:r>
      <w:r>
        <w:rPr>
          <w:noProof/>
          <w:lang w:val="fr-FR" w:eastAsia="es-BO"/>
        </w:rPr>
        <w:t>office en mouvement l</w:t>
      </w:r>
      <w:r w:rsidR="00FB1114">
        <w:rPr>
          <w:noProof/>
          <w:lang w:val="fr-FR" w:eastAsia="es-BO"/>
        </w:rPr>
        <w:t>’</w:t>
      </w:r>
      <w:r>
        <w:rPr>
          <w:noProof/>
          <w:lang w:val="fr-FR" w:eastAsia="es-BO"/>
        </w:rPr>
        <w:t>action publique et d</w:t>
      </w:r>
      <w:r w:rsidR="00FB1114">
        <w:rPr>
          <w:noProof/>
          <w:lang w:val="fr-FR" w:eastAsia="es-BO"/>
        </w:rPr>
        <w:t>’</w:t>
      </w:r>
      <w:r>
        <w:rPr>
          <w:noProof/>
          <w:lang w:val="fr-FR" w:eastAsia="es-BO"/>
        </w:rPr>
        <w:t>identifier l</w:t>
      </w:r>
      <w:r w:rsidR="00FB1114">
        <w:rPr>
          <w:noProof/>
          <w:lang w:val="fr-FR" w:eastAsia="es-BO"/>
        </w:rPr>
        <w:t>’</w:t>
      </w:r>
      <w:r>
        <w:rPr>
          <w:noProof/>
          <w:lang w:val="fr-FR" w:eastAsia="es-BO"/>
        </w:rPr>
        <w:t>auteur présumé de cet acte, sous le contrôle de l</w:t>
      </w:r>
      <w:r w:rsidR="00FB1114">
        <w:rPr>
          <w:noProof/>
          <w:lang w:val="fr-FR" w:eastAsia="es-BO"/>
        </w:rPr>
        <w:t>’</w:t>
      </w:r>
      <w:r>
        <w:rPr>
          <w:noProof/>
          <w:lang w:val="fr-FR" w:eastAsia="es-BO"/>
        </w:rPr>
        <w:t>organe juridictionnel qui, dans le cadre d</w:t>
      </w:r>
      <w:r w:rsidR="00FB1114">
        <w:rPr>
          <w:noProof/>
          <w:lang w:val="fr-FR" w:eastAsia="es-BO"/>
        </w:rPr>
        <w:t>’</w:t>
      </w:r>
      <w:r>
        <w:rPr>
          <w:noProof/>
          <w:lang w:val="fr-FR" w:eastAsia="es-BO"/>
        </w:rPr>
        <w:t>une procédure orale et publique et sur la base de l</w:t>
      </w:r>
      <w:r w:rsidR="00FB1114">
        <w:rPr>
          <w:noProof/>
          <w:lang w:val="fr-FR" w:eastAsia="es-BO"/>
        </w:rPr>
        <w:t>’</w:t>
      </w:r>
      <w:r>
        <w:rPr>
          <w:noProof/>
          <w:lang w:val="fr-FR" w:eastAsia="es-BO"/>
        </w:rPr>
        <w:t>accusation, doit établir la commission de l</w:t>
      </w:r>
      <w:r w:rsidR="00FB1114">
        <w:rPr>
          <w:noProof/>
          <w:lang w:val="fr-FR" w:eastAsia="es-BO"/>
        </w:rPr>
        <w:t>’</w:t>
      </w:r>
      <w:r>
        <w:rPr>
          <w:noProof/>
          <w:lang w:val="fr-FR" w:eastAsia="es-BO"/>
        </w:rPr>
        <w:t>infraction et la responsabilité de l</w:t>
      </w:r>
      <w:r w:rsidR="00FB1114">
        <w:rPr>
          <w:noProof/>
          <w:lang w:val="fr-FR" w:eastAsia="es-BO"/>
        </w:rPr>
        <w:t>’</w:t>
      </w:r>
      <w:r>
        <w:rPr>
          <w:noProof/>
          <w:lang w:val="fr-FR" w:eastAsia="es-BO"/>
        </w:rPr>
        <w:t>accusé</w:t>
      </w:r>
      <w:r w:rsidRPr="00DF456A">
        <w:rPr>
          <w:noProof/>
          <w:lang w:val="fr-FR" w:eastAsia="es-BO"/>
        </w:rPr>
        <w:t>.</w:t>
      </w:r>
    </w:p>
    <w:p w:rsidR="00614A7E" w:rsidRPr="00DF456A" w:rsidRDefault="00614A7E" w:rsidP="00614A7E">
      <w:pPr>
        <w:pStyle w:val="SingleTxtG"/>
        <w:rPr>
          <w:noProof/>
          <w:lang w:val="fr-FR" w:eastAsia="es-BO"/>
        </w:rPr>
      </w:pPr>
      <w:r w:rsidRPr="00DF456A">
        <w:rPr>
          <w:noProof/>
          <w:lang w:val="fr-FR" w:eastAsia="es-BO"/>
        </w:rPr>
        <w:t>193.</w:t>
      </w:r>
      <w:r w:rsidRPr="00DF456A">
        <w:rPr>
          <w:noProof/>
          <w:lang w:val="fr-FR" w:eastAsia="es-BO"/>
        </w:rPr>
        <w:tab/>
        <w:t xml:space="preserve">La </w:t>
      </w:r>
      <w:r w:rsidRPr="00CE305E">
        <w:rPr>
          <w:noProof/>
          <w:lang w:val="fr-FR"/>
        </w:rPr>
        <w:t>Direction générale du système pénitentiaire</w:t>
      </w:r>
      <w:r w:rsidRPr="00DF456A">
        <w:rPr>
          <w:noProof/>
          <w:lang w:val="fr-FR" w:eastAsia="es-BO"/>
        </w:rPr>
        <w:t xml:space="preserve"> </w:t>
      </w:r>
      <w:r>
        <w:rPr>
          <w:noProof/>
          <w:lang w:val="fr-FR" w:eastAsia="es-BO"/>
        </w:rPr>
        <w:t xml:space="preserve">a enregistré </w:t>
      </w:r>
      <w:r w:rsidRPr="00DF456A">
        <w:rPr>
          <w:noProof/>
          <w:lang w:val="fr-FR" w:eastAsia="es-BO"/>
        </w:rPr>
        <w:t>53</w:t>
      </w:r>
      <w:r w:rsidR="002E6DD8">
        <w:rPr>
          <w:noProof/>
          <w:lang w:val="fr-FR" w:eastAsia="es-BO"/>
        </w:rPr>
        <w:t> </w:t>
      </w:r>
      <w:r w:rsidRPr="00DF456A">
        <w:rPr>
          <w:noProof/>
          <w:lang w:val="fr-FR" w:eastAsia="es-BO"/>
        </w:rPr>
        <w:t>d</w:t>
      </w:r>
      <w:r>
        <w:rPr>
          <w:noProof/>
          <w:lang w:val="fr-FR" w:eastAsia="es-BO"/>
        </w:rPr>
        <w:t>écès de personnes privées de liberté dans les établissements pénitentiaires en</w:t>
      </w:r>
      <w:r w:rsidRPr="00DF456A">
        <w:rPr>
          <w:noProof/>
          <w:lang w:val="fr-FR" w:eastAsia="es-BO"/>
        </w:rPr>
        <w:t xml:space="preserve"> 2016 </w:t>
      </w:r>
      <w:r>
        <w:rPr>
          <w:noProof/>
          <w:lang w:val="fr-FR" w:eastAsia="es-BO"/>
        </w:rPr>
        <w:t>et</w:t>
      </w:r>
      <w:r w:rsidRPr="00DF456A">
        <w:rPr>
          <w:noProof/>
          <w:lang w:val="fr-FR" w:eastAsia="es-BO"/>
        </w:rPr>
        <w:t xml:space="preserve"> 2017 (</w:t>
      </w:r>
      <w:r>
        <w:rPr>
          <w:noProof/>
          <w:lang w:val="fr-FR" w:eastAsia="es-BO"/>
        </w:rPr>
        <w:t>annexe</w:t>
      </w:r>
      <w:r w:rsidRPr="00DF456A">
        <w:rPr>
          <w:noProof/>
          <w:lang w:val="fr-FR" w:eastAsia="es-BO"/>
        </w:rPr>
        <w:t xml:space="preserve"> 61).</w:t>
      </w:r>
    </w:p>
    <w:p w:rsidR="00614A7E" w:rsidRPr="00DF456A" w:rsidRDefault="00614A7E" w:rsidP="00614A7E">
      <w:pPr>
        <w:pStyle w:val="SingleTxtG"/>
        <w:rPr>
          <w:noProof/>
          <w:lang w:val="fr-FR" w:eastAsia="es-BO"/>
        </w:rPr>
      </w:pPr>
      <w:r w:rsidRPr="00DF456A">
        <w:rPr>
          <w:noProof/>
          <w:lang w:val="fr-FR" w:eastAsia="es-BO"/>
        </w:rPr>
        <w:t>194.</w:t>
      </w:r>
      <w:r w:rsidRPr="00DF456A">
        <w:rPr>
          <w:noProof/>
          <w:lang w:val="fr-FR" w:eastAsia="es-BO"/>
        </w:rPr>
        <w:tab/>
        <w:t>L</w:t>
      </w:r>
      <w:r>
        <w:rPr>
          <w:noProof/>
          <w:lang w:val="fr-FR" w:eastAsia="es-BO"/>
        </w:rPr>
        <w:t>e</w:t>
      </w:r>
      <w:r w:rsidRPr="00DF456A">
        <w:rPr>
          <w:noProof/>
          <w:lang w:val="fr-FR" w:eastAsia="es-BO"/>
        </w:rPr>
        <w:t xml:space="preserve">s </w:t>
      </w:r>
      <w:r>
        <w:rPr>
          <w:noProof/>
          <w:lang w:val="fr-FR" w:eastAsia="es-BO"/>
        </w:rPr>
        <w:t>fonctionnaires de police doivent, conformément à la Constitution, aux lois en vigueur et aux normes internationales, respecter et protéger les droits des personnes détenues. La responsabilité de ceux qui ne se conforment pas aux dispositions législatives et réglementaires en vigueur</w:t>
      </w:r>
      <w:r w:rsidRPr="00DF456A">
        <w:rPr>
          <w:noProof/>
          <w:lang w:val="fr-FR" w:eastAsia="es-BO"/>
        </w:rPr>
        <w:t xml:space="preserve"> </w:t>
      </w:r>
      <w:r>
        <w:rPr>
          <w:noProof/>
          <w:lang w:val="fr-FR" w:eastAsia="es-BO"/>
        </w:rPr>
        <w:t>est engagée. À cet égard, le Police bolivienne a publié la directive</w:t>
      </w:r>
      <w:r w:rsidR="002F52AD">
        <w:rPr>
          <w:noProof/>
          <w:lang w:val="fr-FR" w:eastAsia="es-BO"/>
        </w:rPr>
        <w:t> </w:t>
      </w:r>
      <w:r>
        <w:rPr>
          <w:noProof/>
          <w:lang w:val="fr-FR" w:eastAsia="es-BO"/>
        </w:rPr>
        <w:t xml:space="preserve">055/2018 pour prévenir et éviter les décès de personnes placées en garde à vue </w:t>
      </w:r>
      <w:r w:rsidRPr="00DF456A">
        <w:rPr>
          <w:noProof/>
          <w:lang w:val="fr-FR" w:eastAsia="es-BO"/>
        </w:rPr>
        <w:t>(</w:t>
      </w:r>
      <w:r>
        <w:rPr>
          <w:noProof/>
          <w:lang w:val="fr-FR" w:eastAsia="es-BO"/>
        </w:rPr>
        <w:t>annexe</w:t>
      </w:r>
      <w:r w:rsidRPr="00DF456A">
        <w:rPr>
          <w:noProof/>
          <w:lang w:val="fr-FR" w:eastAsia="es-BO"/>
        </w:rPr>
        <w:t xml:space="preserve"> 62).</w:t>
      </w:r>
    </w:p>
    <w:p w:rsidR="00614A7E" w:rsidRPr="00DF456A" w:rsidRDefault="00614A7E" w:rsidP="00614A7E">
      <w:pPr>
        <w:pStyle w:val="SingleTxtG"/>
        <w:rPr>
          <w:noProof/>
          <w:lang w:val="fr-FR" w:eastAsia="es-BO"/>
        </w:rPr>
      </w:pPr>
      <w:r w:rsidRPr="00DF456A">
        <w:rPr>
          <w:noProof/>
          <w:lang w:val="fr-FR" w:eastAsia="es-BO"/>
        </w:rPr>
        <w:lastRenderedPageBreak/>
        <w:t>195.</w:t>
      </w:r>
      <w:r w:rsidRPr="00DF456A">
        <w:rPr>
          <w:noProof/>
          <w:lang w:val="fr-FR" w:eastAsia="es-BO"/>
        </w:rPr>
        <w:tab/>
        <w:t xml:space="preserve">La </w:t>
      </w:r>
      <w:r w:rsidRPr="006B7FD3">
        <w:rPr>
          <w:noProof/>
          <w:lang w:val="fr-FR"/>
        </w:rPr>
        <w:t>Force spéciale de lutte contre le trafic de stupéfiants</w:t>
      </w:r>
      <w:r w:rsidRPr="00DF456A">
        <w:rPr>
          <w:noProof/>
          <w:lang w:val="fr-FR" w:eastAsia="es-BO"/>
        </w:rPr>
        <w:t xml:space="preserve"> </w:t>
      </w:r>
      <w:r>
        <w:rPr>
          <w:noProof/>
          <w:lang w:val="fr-FR" w:eastAsia="es-BO"/>
        </w:rPr>
        <w:t>a introduit pour les fonctionnaires de police l</w:t>
      </w:r>
      <w:r w:rsidR="00FB1114">
        <w:rPr>
          <w:noProof/>
          <w:lang w:val="fr-FR" w:eastAsia="es-BO"/>
        </w:rPr>
        <w:t>’</w:t>
      </w:r>
      <w:r>
        <w:rPr>
          <w:noProof/>
          <w:lang w:val="fr-FR" w:eastAsia="es-BO"/>
        </w:rPr>
        <w:t xml:space="preserve">obligation </w:t>
      </w:r>
      <w:r w:rsidRPr="00DF456A">
        <w:rPr>
          <w:noProof/>
          <w:lang w:val="fr-FR" w:eastAsia="es-BO"/>
        </w:rPr>
        <w:t>de prot</w:t>
      </w:r>
      <w:r>
        <w:rPr>
          <w:noProof/>
          <w:lang w:val="fr-FR" w:eastAsia="es-BO"/>
        </w:rPr>
        <w:t>é</w:t>
      </w:r>
      <w:r w:rsidRPr="00DF456A">
        <w:rPr>
          <w:noProof/>
          <w:lang w:val="fr-FR" w:eastAsia="es-BO"/>
        </w:rPr>
        <w:t>ger l</w:t>
      </w:r>
      <w:r w:rsidR="00FB1114">
        <w:rPr>
          <w:noProof/>
          <w:lang w:val="fr-FR" w:eastAsia="es-BO"/>
        </w:rPr>
        <w:t>’</w:t>
      </w:r>
      <w:r>
        <w:rPr>
          <w:noProof/>
          <w:lang w:val="fr-FR" w:eastAsia="es-BO"/>
        </w:rPr>
        <w:t>intégrité physique des personnes en garde à vue</w:t>
      </w:r>
      <w:r w:rsidRPr="00DF456A">
        <w:rPr>
          <w:noProof/>
          <w:sz w:val="18"/>
          <w:szCs w:val="18"/>
          <w:vertAlign w:val="superscript"/>
          <w:lang w:val="fr-FR" w:eastAsia="es-BO"/>
        </w:rPr>
        <w:footnoteReference w:id="77"/>
      </w:r>
      <w:r w:rsidRPr="00DF456A">
        <w:rPr>
          <w:noProof/>
          <w:lang w:val="fr-FR" w:eastAsia="es-BO"/>
        </w:rPr>
        <w:t xml:space="preserve"> (</w:t>
      </w:r>
      <w:r>
        <w:rPr>
          <w:noProof/>
          <w:lang w:val="fr-FR" w:eastAsia="es-BO"/>
        </w:rPr>
        <w:t xml:space="preserve">annexe </w:t>
      </w:r>
      <w:r w:rsidRPr="00DF456A">
        <w:rPr>
          <w:noProof/>
          <w:lang w:val="fr-FR" w:eastAsia="es-BO"/>
        </w:rPr>
        <w:t>63).</w:t>
      </w:r>
    </w:p>
    <w:p w:rsidR="00614A7E" w:rsidRPr="00DF456A" w:rsidRDefault="00614A7E" w:rsidP="00614A7E">
      <w:pPr>
        <w:pStyle w:val="H1G"/>
        <w:rPr>
          <w:noProof/>
          <w:lang w:val="fr-FR" w:eastAsia="es-BO"/>
        </w:rPr>
      </w:pPr>
      <w:r w:rsidRPr="00DF456A">
        <w:rPr>
          <w:noProof/>
          <w:lang w:val="fr-FR" w:eastAsia="es-BO"/>
        </w:rPr>
        <w:tab/>
      </w:r>
      <w:r w:rsidRPr="00DF456A">
        <w:rPr>
          <w:noProof/>
          <w:lang w:val="fr-FR" w:eastAsia="es-BO"/>
        </w:rPr>
        <w:tab/>
      </w:r>
      <w:r w:rsidRPr="00743FEA">
        <w:rPr>
          <w:rFonts w:eastAsia="Times New Roman"/>
          <w:bCs/>
          <w:lang w:val="fr-FR" w:eastAsia="zh-CN"/>
        </w:rPr>
        <w:t>Surveillance et inspection des centres de détention</w:t>
      </w:r>
    </w:p>
    <w:p w:rsidR="00614A7E" w:rsidRPr="00DF456A" w:rsidRDefault="00614A7E" w:rsidP="00614A7E">
      <w:pPr>
        <w:pStyle w:val="H23G"/>
        <w:rPr>
          <w:noProof/>
          <w:lang w:val="fr-FR" w:eastAsia="es-BO"/>
        </w:rPr>
      </w:pPr>
      <w:r w:rsidRPr="00DF456A">
        <w:rPr>
          <w:noProof/>
          <w:lang w:val="fr-FR" w:eastAsia="es-BO"/>
        </w:rPr>
        <w:tab/>
      </w:r>
      <w:r w:rsidRPr="00DF456A">
        <w:rPr>
          <w:noProof/>
          <w:lang w:val="fr-FR" w:eastAsia="es-BO"/>
        </w:rPr>
        <w:tab/>
        <w:t>Recom</w:t>
      </w:r>
      <w:r>
        <w:rPr>
          <w:noProof/>
          <w:lang w:val="fr-FR" w:eastAsia="es-BO"/>
        </w:rPr>
        <w:t xml:space="preserve">mandation figurant au paragraphe </w:t>
      </w:r>
      <w:r w:rsidRPr="00DF456A">
        <w:rPr>
          <w:noProof/>
          <w:lang w:val="fr-FR" w:eastAsia="es-BO"/>
        </w:rPr>
        <w:t>20.a</w:t>
      </w:r>
    </w:p>
    <w:p w:rsidR="00614A7E" w:rsidRPr="00DF456A" w:rsidRDefault="00614A7E" w:rsidP="00614A7E">
      <w:pPr>
        <w:pStyle w:val="SingleTxtG"/>
        <w:rPr>
          <w:noProof/>
          <w:lang w:val="fr-FR" w:eastAsia="es-BO"/>
        </w:rPr>
      </w:pPr>
      <w:r w:rsidRPr="00DF456A">
        <w:rPr>
          <w:noProof/>
          <w:lang w:val="fr-FR" w:eastAsia="es-BO"/>
        </w:rPr>
        <w:t>196.</w:t>
      </w:r>
      <w:r w:rsidRPr="00DF456A">
        <w:rPr>
          <w:noProof/>
          <w:lang w:val="fr-FR" w:eastAsia="es-BO"/>
        </w:rPr>
        <w:tab/>
      </w:r>
      <w:r>
        <w:rPr>
          <w:noProof/>
          <w:lang w:val="fr-FR" w:eastAsia="es-BO"/>
        </w:rPr>
        <w:t>En tant qu</w:t>
      </w:r>
      <w:r w:rsidR="00FB1114">
        <w:rPr>
          <w:noProof/>
          <w:lang w:val="fr-FR" w:eastAsia="es-BO"/>
        </w:rPr>
        <w:t>’</w:t>
      </w:r>
      <w:r>
        <w:rPr>
          <w:noProof/>
          <w:lang w:val="fr-FR" w:eastAsia="es-BO"/>
        </w:rPr>
        <w:t>instance chargée du système pénitentiaire, l</w:t>
      </w:r>
      <w:r w:rsidRPr="00DF456A">
        <w:rPr>
          <w:noProof/>
          <w:lang w:val="fr-FR" w:eastAsia="es-BO"/>
        </w:rPr>
        <w:t xml:space="preserve">a </w:t>
      </w:r>
      <w:r w:rsidRPr="00CE305E">
        <w:rPr>
          <w:noProof/>
          <w:lang w:val="fr-FR"/>
        </w:rPr>
        <w:t>Direction générale du système pénitentiaire</w:t>
      </w:r>
      <w:r w:rsidRPr="00DF456A">
        <w:rPr>
          <w:noProof/>
          <w:lang w:val="fr-FR" w:eastAsia="es-BO"/>
        </w:rPr>
        <w:t xml:space="preserve"> </w:t>
      </w:r>
      <w:r>
        <w:rPr>
          <w:noProof/>
          <w:lang w:val="fr-FR" w:eastAsia="es-BO"/>
        </w:rPr>
        <w:t>apporte son appui au Bureau du Défenseur du peuple, conformément aux dispositions de l</w:t>
      </w:r>
      <w:r w:rsidR="00FB1114">
        <w:rPr>
          <w:noProof/>
          <w:lang w:val="fr-FR" w:eastAsia="es-BO"/>
        </w:rPr>
        <w:t>’</w:t>
      </w:r>
      <w:r>
        <w:rPr>
          <w:noProof/>
          <w:lang w:val="fr-FR" w:eastAsia="es-BO"/>
        </w:rPr>
        <w:t>article</w:t>
      </w:r>
      <w:r w:rsidR="000F0699">
        <w:rPr>
          <w:noProof/>
          <w:lang w:val="fr-FR" w:eastAsia="es-BO"/>
        </w:rPr>
        <w:t> </w:t>
      </w:r>
      <w:r w:rsidRPr="00DF456A">
        <w:rPr>
          <w:noProof/>
          <w:lang w:val="fr-FR" w:eastAsia="es-BO"/>
        </w:rPr>
        <w:t>5.6</w:t>
      </w:r>
      <w:r w:rsidRPr="00DF456A">
        <w:rPr>
          <w:noProof/>
          <w:sz w:val="18"/>
          <w:szCs w:val="18"/>
          <w:vertAlign w:val="superscript"/>
          <w:lang w:val="fr-FR" w:eastAsia="es-BO"/>
        </w:rPr>
        <w:footnoteReference w:id="78"/>
      </w:r>
      <w:r w:rsidRPr="00DF456A">
        <w:rPr>
          <w:noProof/>
          <w:lang w:val="fr-FR" w:eastAsia="es-BO"/>
        </w:rPr>
        <w:t xml:space="preserve"> de la </w:t>
      </w:r>
      <w:r>
        <w:rPr>
          <w:noProof/>
          <w:lang w:val="fr-FR" w:eastAsia="es-BO"/>
        </w:rPr>
        <w:t xml:space="preserve">loi </w:t>
      </w:r>
      <w:r w:rsidR="000F0699" w:rsidRPr="00AD55D6">
        <w:rPr>
          <w:rFonts w:eastAsia="MS Mincho"/>
          <w:noProof/>
          <w:szCs w:val="22"/>
          <w:lang w:val="fr-FR" w:eastAsia="es-BO"/>
        </w:rPr>
        <w:t>n</w:t>
      </w:r>
      <w:r w:rsidR="000F0699" w:rsidRPr="00AD55D6">
        <w:rPr>
          <w:rFonts w:eastAsia="MS Mincho"/>
          <w:noProof/>
          <w:szCs w:val="22"/>
          <w:vertAlign w:val="superscript"/>
          <w:lang w:val="fr-FR" w:eastAsia="es-BO"/>
        </w:rPr>
        <w:t>o</w:t>
      </w:r>
      <w:r w:rsidR="000F0699">
        <w:rPr>
          <w:noProof/>
          <w:lang w:val="fr-FR" w:eastAsia="es-BO"/>
        </w:rPr>
        <w:t> </w:t>
      </w:r>
      <w:r w:rsidRPr="00DF456A">
        <w:rPr>
          <w:noProof/>
          <w:lang w:val="fr-FR" w:eastAsia="es-BO"/>
        </w:rPr>
        <w:t>870 d</w:t>
      </w:r>
      <w:r>
        <w:rPr>
          <w:noProof/>
          <w:lang w:val="fr-FR" w:eastAsia="es-BO"/>
        </w:rPr>
        <w:t>u</w:t>
      </w:r>
      <w:r w:rsidRPr="00DF456A">
        <w:rPr>
          <w:noProof/>
          <w:lang w:val="fr-FR" w:eastAsia="es-BO"/>
        </w:rPr>
        <w:t xml:space="preserve"> 13</w:t>
      </w:r>
      <w:r w:rsidR="000F0699">
        <w:rPr>
          <w:noProof/>
          <w:lang w:val="fr-FR" w:eastAsia="es-BO"/>
        </w:rPr>
        <w:t> </w:t>
      </w:r>
      <w:r w:rsidRPr="00DF456A">
        <w:rPr>
          <w:noProof/>
          <w:lang w:val="fr-FR" w:eastAsia="es-BO"/>
        </w:rPr>
        <w:t>d</w:t>
      </w:r>
      <w:r>
        <w:rPr>
          <w:noProof/>
          <w:lang w:val="fr-FR" w:eastAsia="es-BO"/>
        </w:rPr>
        <w:t>é</w:t>
      </w:r>
      <w:r w:rsidRPr="00DF456A">
        <w:rPr>
          <w:noProof/>
          <w:lang w:val="fr-FR" w:eastAsia="es-BO"/>
        </w:rPr>
        <w:t>cembre 2016</w:t>
      </w:r>
      <w:r>
        <w:rPr>
          <w:noProof/>
          <w:lang w:val="fr-FR" w:eastAsia="es-BO"/>
        </w:rPr>
        <w:t xml:space="preserve"> sur le Défenseur du peuple</w:t>
      </w:r>
      <w:r w:rsidRPr="00DF456A">
        <w:rPr>
          <w:noProof/>
          <w:lang w:val="fr-FR" w:eastAsia="es-BO"/>
        </w:rPr>
        <w:t>.</w:t>
      </w:r>
    </w:p>
    <w:p w:rsidR="00614A7E" w:rsidRPr="00DF456A" w:rsidRDefault="00614A7E" w:rsidP="00614A7E">
      <w:pPr>
        <w:pStyle w:val="H23G"/>
        <w:rPr>
          <w:noProof/>
          <w:lang w:val="fr-FR" w:eastAsia="es-BO"/>
        </w:rPr>
      </w:pPr>
      <w:r w:rsidRPr="00DF456A">
        <w:rPr>
          <w:noProof/>
          <w:lang w:val="fr-FR" w:eastAsia="es-BO"/>
        </w:rPr>
        <w:tab/>
      </w:r>
      <w:r w:rsidRPr="00DF456A">
        <w:rPr>
          <w:noProof/>
          <w:lang w:val="fr-FR" w:eastAsia="es-BO"/>
        </w:rPr>
        <w:tab/>
        <w:t>Recom</w:t>
      </w:r>
      <w:r>
        <w:rPr>
          <w:noProof/>
          <w:lang w:val="fr-FR" w:eastAsia="es-BO"/>
        </w:rPr>
        <w:t xml:space="preserve">mandation figurant au paragraphe </w:t>
      </w:r>
      <w:r w:rsidRPr="00DF456A">
        <w:rPr>
          <w:noProof/>
          <w:lang w:val="fr-FR" w:eastAsia="es-BO"/>
        </w:rPr>
        <w:t>20.b</w:t>
      </w:r>
    </w:p>
    <w:p w:rsidR="00614A7E" w:rsidRPr="00DF456A" w:rsidRDefault="00614A7E" w:rsidP="00614A7E">
      <w:pPr>
        <w:pStyle w:val="SingleTxtG"/>
        <w:rPr>
          <w:noProof/>
          <w:lang w:val="fr-FR" w:eastAsia="es-BO"/>
        </w:rPr>
      </w:pPr>
      <w:r w:rsidRPr="00DF456A">
        <w:rPr>
          <w:noProof/>
          <w:lang w:val="fr-FR" w:eastAsia="es-BO"/>
        </w:rPr>
        <w:t>197.</w:t>
      </w:r>
      <w:r w:rsidRPr="00DF456A">
        <w:rPr>
          <w:noProof/>
          <w:lang w:val="fr-FR" w:eastAsia="es-BO"/>
        </w:rPr>
        <w:tab/>
      </w:r>
      <w:r>
        <w:rPr>
          <w:noProof/>
          <w:lang w:val="fr-FR" w:eastAsia="es-BO"/>
        </w:rPr>
        <w:t>Agissant par l</w:t>
      </w:r>
      <w:r w:rsidR="00FB1114">
        <w:rPr>
          <w:noProof/>
          <w:lang w:val="fr-FR" w:eastAsia="es-BO"/>
        </w:rPr>
        <w:t>’</w:t>
      </w:r>
      <w:r>
        <w:rPr>
          <w:noProof/>
          <w:lang w:val="fr-FR" w:eastAsia="es-BO"/>
        </w:rPr>
        <w:t xml:space="preserve">intermédiaire de la </w:t>
      </w:r>
      <w:r w:rsidRPr="00CE305E">
        <w:rPr>
          <w:noProof/>
          <w:lang w:val="fr-FR"/>
        </w:rPr>
        <w:t>Direction générale du système pénitentiaire</w:t>
      </w:r>
      <w:r>
        <w:rPr>
          <w:noProof/>
          <w:lang w:val="fr-FR" w:eastAsia="es-BO"/>
        </w:rPr>
        <w:t>, l</w:t>
      </w:r>
      <w:r w:rsidR="00FB1114">
        <w:rPr>
          <w:noProof/>
          <w:lang w:val="fr-FR" w:eastAsia="es-BO"/>
        </w:rPr>
        <w:t>’</w:t>
      </w:r>
      <w:r>
        <w:rPr>
          <w:noProof/>
          <w:lang w:val="fr-FR" w:eastAsia="es-BO"/>
        </w:rPr>
        <w:t>État mène, en coordination avec les ONG, des activités en faveur des personnes privées de liberté</w:t>
      </w:r>
      <w:r w:rsidR="00F13B66">
        <w:rPr>
          <w:noProof/>
          <w:lang w:val="fr-FR" w:eastAsia="es-BO"/>
        </w:rPr>
        <w:t> </w:t>
      </w:r>
      <w:r w:rsidRPr="00DF456A">
        <w:rPr>
          <w:noProof/>
          <w:lang w:val="fr-FR" w:eastAsia="es-BO"/>
        </w:rPr>
        <w:t xml:space="preserve">; </w:t>
      </w:r>
      <w:r>
        <w:rPr>
          <w:noProof/>
          <w:lang w:val="fr-FR" w:eastAsia="es-BO"/>
        </w:rPr>
        <w:t>c</w:t>
      </w:r>
      <w:r w:rsidR="00FB1114">
        <w:rPr>
          <w:noProof/>
          <w:lang w:val="fr-FR" w:eastAsia="es-BO"/>
        </w:rPr>
        <w:t>’</w:t>
      </w:r>
      <w:r>
        <w:rPr>
          <w:noProof/>
          <w:lang w:val="fr-FR" w:eastAsia="es-BO"/>
        </w:rPr>
        <w:t>est, par exemple, l</w:t>
      </w:r>
      <w:r w:rsidR="00FB1114">
        <w:rPr>
          <w:noProof/>
          <w:lang w:val="fr-FR" w:eastAsia="es-BO"/>
        </w:rPr>
        <w:t>’</w:t>
      </w:r>
      <w:r>
        <w:rPr>
          <w:noProof/>
          <w:lang w:val="fr-FR" w:eastAsia="es-BO"/>
        </w:rPr>
        <w:t>adoption d</w:t>
      </w:r>
      <w:r w:rsidR="00FB1114">
        <w:rPr>
          <w:noProof/>
          <w:lang w:val="fr-FR" w:eastAsia="es-BO"/>
        </w:rPr>
        <w:t>’</w:t>
      </w:r>
      <w:r>
        <w:rPr>
          <w:noProof/>
          <w:lang w:val="fr-FR" w:eastAsia="es-BO"/>
        </w:rPr>
        <w:t xml:space="preserve">une perspective de justice réparatrice </w:t>
      </w:r>
      <w:r w:rsidRPr="00DF456A">
        <w:rPr>
          <w:noProof/>
          <w:lang w:val="fr-FR" w:eastAsia="es-BO"/>
        </w:rPr>
        <w:t>qu</w:t>
      </w:r>
      <w:r>
        <w:rPr>
          <w:noProof/>
          <w:lang w:val="fr-FR" w:eastAsia="es-BO"/>
        </w:rPr>
        <w:t>i propose d</w:t>
      </w:r>
      <w:r w:rsidR="00FB1114">
        <w:rPr>
          <w:noProof/>
          <w:lang w:val="fr-FR" w:eastAsia="es-BO"/>
        </w:rPr>
        <w:t>’</w:t>
      </w:r>
      <w:r>
        <w:rPr>
          <w:noProof/>
          <w:lang w:val="fr-FR" w:eastAsia="es-BO"/>
        </w:rPr>
        <w:t>adopter des mesures d</w:t>
      </w:r>
      <w:r w:rsidR="00FB1114">
        <w:rPr>
          <w:noProof/>
          <w:lang w:val="fr-FR" w:eastAsia="es-BO"/>
        </w:rPr>
        <w:t>’</w:t>
      </w:r>
      <w:r>
        <w:rPr>
          <w:noProof/>
          <w:lang w:val="fr-FR" w:eastAsia="es-BO"/>
        </w:rPr>
        <w:t>accompagnement socioéducatif sur le modèle appliqué par l</w:t>
      </w:r>
      <w:r w:rsidR="00FB1114">
        <w:rPr>
          <w:noProof/>
          <w:lang w:val="fr-FR" w:eastAsia="es-BO"/>
        </w:rPr>
        <w:t>’</w:t>
      </w:r>
      <w:r>
        <w:rPr>
          <w:noProof/>
          <w:lang w:val="fr-FR" w:eastAsia="es-BO"/>
        </w:rPr>
        <w:t>établissement pénitentiaire de « </w:t>
      </w:r>
      <w:r w:rsidRPr="00DF456A">
        <w:rPr>
          <w:noProof/>
          <w:lang w:val="fr-FR" w:eastAsia="es-BO"/>
        </w:rPr>
        <w:t>Qalauma</w:t>
      </w:r>
      <w:r>
        <w:rPr>
          <w:noProof/>
          <w:lang w:val="fr-FR" w:eastAsia="es-BO"/>
        </w:rPr>
        <w:t> »</w:t>
      </w:r>
      <w:r w:rsidRPr="00DF456A">
        <w:rPr>
          <w:noProof/>
          <w:lang w:val="fr-FR" w:eastAsia="es-BO"/>
        </w:rPr>
        <w:t xml:space="preserve">. </w:t>
      </w:r>
      <w:r>
        <w:rPr>
          <w:noProof/>
          <w:lang w:val="fr-FR" w:eastAsia="es-BO"/>
        </w:rPr>
        <w:t>De même, l</w:t>
      </w:r>
      <w:r w:rsidR="00FB1114">
        <w:rPr>
          <w:noProof/>
          <w:lang w:val="fr-FR" w:eastAsia="es-BO"/>
        </w:rPr>
        <w:t>’</w:t>
      </w:r>
      <w:r w:rsidRPr="00DF456A">
        <w:rPr>
          <w:noProof/>
          <w:lang w:val="fr-FR" w:eastAsia="es-BO"/>
        </w:rPr>
        <w:t xml:space="preserve">ONG </w:t>
      </w:r>
      <w:r>
        <w:rPr>
          <w:noProof/>
          <w:lang w:val="fr-FR" w:eastAsia="es-BO"/>
        </w:rPr>
        <w:t>« </w:t>
      </w:r>
      <w:r w:rsidRPr="00DF456A">
        <w:rPr>
          <w:noProof/>
          <w:lang w:val="fr-FR" w:eastAsia="es-BO"/>
        </w:rPr>
        <w:t>Capacitación y Derechos Ciudadanos</w:t>
      </w:r>
      <w:r>
        <w:rPr>
          <w:noProof/>
          <w:lang w:val="fr-FR" w:eastAsia="es-BO"/>
        </w:rPr>
        <w:t> » (Formation et droits des citoyens) offre une aide juridictionnelle aux adolescents et aux jeunes</w:t>
      </w:r>
      <w:r w:rsidR="00593789">
        <w:rPr>
          <w:noProof/>
          <w:lang w:val="fr-FR" w:eastAsia="es-BO"/>
        </w:rPr>
        <w:t xml:space="preserve"> </w:t>
      </w:r>
      <w:r>
        <w:rPr>
          <w:noProof/>
          <w:lang w:val="fr-FR" w:eastAsia="es-BO"/>
        </w:rPr>
        <w:t xml:space="preserve">qui ont commis une infraction </w:t>
      </w:r>
      <w:r w:rsidRPr="00DF456A">
        <w:rPr>
          <w:noProof/>
          <w:lang w:val="fr-FR" w:eastAsia="es-BO"/>
        </w:rPr>
        <w:t xml:space="preserve">de </w:t>
      </w:r>
      <w:r>
        <w:rPr>
          <w:noProof/>
          <w:lang w:val="fr-FR" w:eastAsia="es-BO"/>
        </w:rPr>
        <w:t>moindre importance sociale</w:t>
      </w:r>
      <w:r w:rsidRPr="00DF456A">
        <w:rPr>
          <w:noProof/>
          <w:lang w:val="fr-FR" w:eastAsia="es-BO"/>
        </w:rPr>
        <w:t>.</w:t>
      </w:r>
    </w:p>
    <w:p w:rsidR="00614A7E" w:rsidRPr="00743FEA" w:rsidRDefault="00614A7E" w:rsidP="00614A7E">
      <w:pPr>
        <w:pStyle w:val="H1G"/>
        <w:rPr>
          <w:noProof/>
          <w:lang w:val="fr-FR" w:eastAsia="es-BO"/>
        </w:rPr>
      </w:pPr>
      <w:r w:rsidRPr="00DF456A">
        <w:rPr>
          <w:noProof/>
          <w:lang w:val="fr-FR" w:eastAsia="es-BO"/>
        </w:rPr>
        <w:tab/>
      </w:r>
      <w:r w:rsidRPr="00DF456A">
        <w:rPr>
          <w:noProof/>
          <w:lang w:val="fr-FR" w:eastAsia="es-BO"/>
        </w:rPr>
        <w:tab/>
      </w:r>
      <w:r w:rsidRPr="00743FEA">
        <w:rPr>
          <w:rFonts w:eastAsia="Times New Roman"/>
          <w:bCs/>
          <w:lang w:val="fr-FR" w:eastAsia="zh-CN"/>
        </w:rPr>
        <w:t>Protocole facultatif et mécanisme national de prévention</w:t>
      </w:r>
    </w:p>
    <w:p w:rsidR="00614A7E" w:rsidRPr="00DF456A" w:rsidRDefault="00614A7E" w:rsidP="00614A7E">
      <w:pPr>
        <w:pStyle w:val="H23G"/>
        <w:rPr>
          <w:noProof/>
          <w:lang w:val="fr-FR" w:eastAsia="es-BO"/>
        </w:rPr>
      </w:pPr>
      <w:r w:rsidRPr="00DF456A">
        <w:rPr>
          <w:noProof/>
          <w:lang w:val="fr-FR" w:eastAsia="es-BO"/>
        </w:rPr>
        <w:tab/>
      </w:r>
      <w:r w:rsidRPr="00DF456A">
        <w:rPr>
          <w:noProof/>
          <w:lang w:val="fr-FR" w:eastAsia="es-BO"/>
        </w:rPr>
        <w:tab/>
        <w:t>Recom</w:t>
      </w:r>
      <w:r>
        <w:rPr>
          <w:noProof/>
          <w:lang w:val="fr-FR" w:eastAsia="es-BO"/>
        </w:rPr>
        <w:t>mandation figurant au paragraphe</w:t>
      </w:r>
      <w:r w:rsidR="00F13B66">
        <w:rPr>
          <w:noProof/>
          <w:lang w:val="fr-FR" w:eastAsia="es-BO"/>
        </w:rPr>
        <w:t> </w:t>
      </w:r>
      <w:r w:rsidRPr="00DF456A">
        <w:rPr>
          <w:noProof/>
          <w:lang w:val="fr-FR" w:eastAsia="es-BO"/>
        </w:rPr>
        <w:t>21</w:t>
      </w:r>
    </w:p>
    <w:p w:rsidR="00614A7E" w:rsidRPr="00DF456A" w:rsidRDefault="00614A7E" w:rsidP="00F13B66">
      <w:pPr>
        <w:pStyle w:val="SingleTxtG"/>
        <w:rPr>
          <w:noProof/>
          <w:lang w:val="fr-FR" w:eastAsia="es-BO"/>
        </w:rPr>
      </w:pPr>
      <w:r w:rsidRPr="00DF456A">
        <w:rPr>
          <w:noProof/>
          <w:lang w:val="fr-FR" w:eastAsia="es-BO"/>
        </w:rPr>
        <w:t>198.</w:t>
      </w:r>
      <w:r w:rsidRPr="00DF456A">
        <w:rPr>
          <w:noProof/>
          <w:lang w:val="fr-FR" w:eastAsia="es-BO"/>
        </w:rPr>
        <w:tab/>
        <w:t xml:space="preserve">La </w:t>
      </w:r>
      <w:r>
        <w:rPr>
          <w:noProof/>
          <w:lang w:val="fr-FR" w:eastAsia="es-BO"/>
        </w:rPr>
        <w:t xml:space="preserve">loi </w:t>
      </w:r>
      <w:r w:rsidR="00F13B66" w:rsidRPr="00AD55D6">
        <w:rPr>
          <w:rFonts w:eastAsia="MS Mincho"/>
          <w:noProof/>
          <w:szCs w:val="22"/>
          <w:lang w:val="fr-FR" w:eastAsia="es-BO"/>
        </w:rPr>
        <w:t>n</w:t>
      </w:r>
      <w:r w:rsidR="00F13B66" w:rsidRPr="00AD55D6">
        <w:rPr>
          <w:rFonts w:eastAsia="MS Mincho"/>
          <w:noProof/>
          <w:szCs w:val="22"/>
          <w:vertAlign w:val="superscript"/>
          <w:lang w:val="fr-FR" w:eastAsia="es-BO"/>
        </w:rPr>
        <w:t>o</w:t>
      </w:r>
      <w:r w:rsidR="00F13B66">
        <w:rPr>
          <w:noProof/>
          <w:lang w:val="fr-FR" w:eastAsia="es-BO"/>
        </w:rPr>
        <w:t> </w:t>
      </w:r>
      <w:r w:rsidRPr="00DF456A">
        <w:rPr>
          <w:noProof/>
          <w:lang w:val="fr-FR" w:eastAsia="es-BO"/>
        </w:rPr>
        <w:t>474 cr</w:t>
      </w:r>
      <w:r>
        <w:rPr>
          <w:noProof/>
          <w:lang w:val="fr-FR" w:eastAsia="es-BO"/>
        </w:rPr>
        <w:t>é</w:t>
      </w:r>
      <w:r w:rsidRPr="00DF456A">
        <w:rPr>
          <w:noProof/>
          <w:lang w:val="fr-FR" w:eastAsia="es-BO"/>
        </w:rPr>
        <w:t>e</w:t>
      </w:r>
      <w:r>
        <w:rPr>
          <w:noProof/>
          <w:lang w:val="fr-FR" w:eastAsia="es-BO"/>
        </w:rPr>
        <w:t xml:space="preserve"> le </w:t>
      </w:r>
      <w:r w:rsidRPr="00535B3D">
        <w:rPr>
          <w:noProof/>
          <w:lang w:val="fr-FR"/>
        </w:rPr>
        <w:t>Service de prévention de la torture</w:t>
      </w:r>
      <w:r w:rsidRPr="00DF456A">
        <w:rPr>
          <w:noProof/>
          <w:lang w:val="fr-FR" w:eastAsia="es-BO"/>
        </w:rPr>
        <w:t xml:space="preserve">, </w:t>
      </w:r>
      <w:r>
        <w:rPr>
          <w:noProof/>
          <w:lang w:val="fr-FR" w:eastAsia="es-BO"/>
        </w:rPr>
        <w:t xml:space="preserve">qui est une institution </w:t>
      </w:r>
      <w:r w:rsidRPr="00DF456A">
        <w:rPr>
          <w:noProof/>
          <w:lang w:val="fr-FR" w:eastAsia="es-BO"/>
        </w:rPr>
        <w:t>p</w:t>
      </w:r>
      <w:r>
        <w:rPr>
          <w:noProof/>
          <w:lang w:val="fr-FR" w:eastAsia="es-BO"/>
        </w:rPr>
        <w:t>ublique dé</w:t>
      </w:r>
      <w:r w:rsidRPr="00DF456A">
        <w:rPr>
          <w:noProof/>
          <w:lang w:val="fr-FR" w:eastAsia="es-BO"/>
        </w:rPr>
        <w:t>centrali</w:t>
      </w:r>
      <w:r>
        <w:rPr>
          <w:noProof/>
          <w:lang w:val="fr-FR" w:eastAsia="es-BO"/>
        </w:rPr>
        <w:t xml:space="preserve">sée faisant office de mécanisme national de prévention de </w:t>
      </w:r>
      <w:r w:rsidRPr="00DF456A">
        <w:rPr>
          <w:noProof/>
          <w:lang w:val="fr-FR" w:eastAsia="es-BO"/>
        </w:rPr>
        <w:t>la tortur</w:t>
      </w:r>
      <w:r>
        <w:rPr>
          <w:noProof/>
          <w:lang w:val="fr-FR" w:eastAsia="es-BO"/>
        </w:rPr>
        <w:t xml:space="preserve">e et autres peines ou traitements </w:t>
      </w:r>
      <w:r w:rsidRPr="00DF456A">
        <w:rPr>
          <w:noProof/>
          <w:lang w:val="fr-FR" w:eastAsia="es-BO"/>
        </w:rPr>
        <w:t>cruels, inhuma</w:t>
      </w:r>
      <w:r>
        <w:rPr>
          <w:noProof/>
          <w:lang w:val="fr-FR" w:eastAsia="es-BO"/>
        </w:rPr>
        <w:t xml:space="preserve">ins, </w:t>
      </w:r>
      <w:r w:rsidRPr="00DF456A">
        <w:rPr>
          <w:noProof/>
          <w:lang w:val="fr-FR" w:eastAsia="es-BO"/>
        </w:rPr>
        <w:t>d</w:t>
      </w:r>
      <w:r>
        <w:rPr>
          <w:noProof/>
          <w:lang w:val="fr-FR" w:eastAsia="es-BO"/>
        </w:rPr>
        <w:t>é</w:t>
      </w:r>
      <w:r w:rsidRPr="00DF456A">
        <w:rPr>
          <w:noProof/>
          <w:lang w:val="fr-FR" w:eastAsia="es-BO"/>
        </w:rPr>
        <w:t>gradants o</w:t>
      </w:r>
      <w:r>
        <w:rPr>
          <w:noProof/>
          <w:lang w:val="fr-FR" w:eastAsia="es-BO"/>
        </w:rPr>
        <w:t>u</w:t>
      </w:r>
      <w:r w:rsidRPr="00DF456A">
        <w:rPr>
          <w:noProof/>
          <w:lang w:val="fr-FR" w:eastAsia="es-BO"/>
        </w:rPr>
        <w:t xml:space="preserve"> humil</w:t>
      </w:r>
      <w:r>
        <w:rPr>
          <w:noProof/>
          <w:lang w:val="fr-FR" w:eastAsia="es-BO"/>
        </w:rPr>
        <w:t>iants de l</w:t>
      </w:r>
      <w:r w:rsidR="00FB1114">
        <w:rPr>
          <w:noProof/>
          <w:lang w:val="fr-FR" w:eastAsia="es-BO"/>
        </w:rPr>
        <w:t>’</w:t>
      </w:r>
      <w:r>
        <w:rPr>
          <w:noProof/>
          <w:lang w:val="fr-FR" w:eastAsia="es-BO"/>
        </w:rPr>
        <w:t>État p</w:t>
      </w:r>
      <w:r w:rsidRPr="00DF456A">
        <w:rPr>
          <w:noProof/>
          <w:lang w:val="fr-FR" w:eastAsia="es-BO"/>
        </w:rPr>
        <w:t>lurina</w:t>
      </w:r>
      <w:r>
        <w:rPr>
          <w:noProof/>
          <w:lang w:val="fr-FR" w:eastAsia="es-BO"/>
        </w:rPr>
        <w:t>tional de Bolivie</w:t>
      </w:r>
      <w:r w:rsidRPr="00DF456A">
        <w:rPr>
          <w:noProof/>
          <w:lang w:val="fr-FR" w:eastAsia="es-BO"/>
        </w:rPr>
        <w:t>.</w:t>
      </w:r>
    </w:p>
    <w:p w:rsidR="00614A7E" w:rsidRPr="00DF456A" w:rsidRDefault="00614A7E" w:rsidP="00614A7E">
      <w:pPr>
        <w:pStyle w:val="SingleTxtG"/>
        <w:rPr>
          <w:noProof/>
          <w:lang w:val="fr-FR" w:eastAsia="es-BO"/>
        </w:rPr>
      </w:pPr>
      <w:r w:rsidRPr="00DF456A">
        <w:rPr>
          <w:noProof/>
          <w:lang w:val="fr-FR" w:eastAsia="es-BO"/>
        </w:rPr>
        <w:t>199.</w:t>
      </w:r>
      <w:r w:rsidRPr="00DF456A">
        <w:rPr>
          <w:noProof/>
          <w:lang w:val="fr-FR" w:eastAsia="es-BO"/>
        </w:rPr>
        <w:tab/>
      </w:r>
      <w:r>
        <w:rPr>
          <w:bCs/>
          <w:noProof/>
          <w:lang w:val="fr-FR" w:eastAsia="es-BO"/>
        </w:rPr>
        <w:t xml:space="preserve">En vertu du décret suprême </w:t>
      </w:r>
      <w:r w:rsidR="00F13B66" w:rsidRPr="00AD55D6">
        <w:rPr>
          <w:rFonts w:eastAsia="MS Mincho"/>
          <w:noProof/>
          <w:szCs w:val="22"/>
          <w:lang w:val="fr-FR" w:eastAsia="es-BO"/>
        </w:rPr>
        <w:t>n</w:t>
      </w:r>
      <w:r w:rsidR="00F13B66" w:rsidRPr="00AD55D6">
        <w:rPr>
          <w:rFonts w:eastAsia="MS Mincho"/>
          <w:noProof/>
          <w:szCs w:val="22"/>
          <w:vertAlign w:val="superscript"/>
          <w:lang w:val="fr-FR" w:eastAsia="es-BO"/>
        </w:rPr>
        <w:t>o</w:t>
      </w:r>
      <w:r w:rsidR="00F13B66">
        <w:rPr>
          <w:noProof/>
          <w:lang w:val="fr-FR" w:eastAsia="es-BO"/>
        </w:rPr>
        <w:t> </w:t>
      </w:r>
      <w:r w:rsidRPr="00DF456A">
        <w:rPr>
          <w:bCs/>
          <w:noProof/>
          <w:lang w:val="fr-FR" w:eastAsia="es-BO"/>
        </w:rPr>
        <w:t>28631 d</w:t>
      </w:r>
      <w:r>
        <w:rPr>
          <w:bCs/>
          <w:noProof/>
          <w:lang w:val="fr-FR" w:eastAsia="es-BO"/>
        </w:rPr>
        <w:t>u</w:t>
      </w:r>
      <w:r w:rsidRPr="00DF456A">
        <w:rPr>
          <w:bCs/>
          <w:noProof/>
          <w:lang w:val="fr-FR" w:eastAsia="es-BO"/>
        </w:rPr>
        <w:t xml:space="preserve"> 8</w:t>
      </w:r>
      <w:r w:rsidR="00F13B66">
        <w:rPr>
          <w:bCs/>
          <w:noProof/>
          <w:lang w:val="fr-FR" w:eastAsia="es-BO"/>
        </w:rPr>
        <w:t> </w:t>
      </w:r>
      <w:r w:rsidRPr="00DF456A">
        <w:rPr>
          <w:bCs/>
          <w:noProof/>
          <w:lang w:val="fr-FR" w:eastAsia="es-BO"/>
        </w:rPr>
        <w:t>mar</w:t>
      </w:r>
      <w:r>
        <w:rPr>
          <w:bCs/>
          <w:noProof/>
          <w:lang w:val="fr-FR" w:eastAsia="es-BO"/>
        </w:rPr>
        <w:t xml:space="preserve">s </w:t>
      </w:r>
      <w:r w:rsidRPr="00DF456A">
        <w:rPr>
          <w:bCs/>
          <w:noProof/>
          <w:lang w:val="fr-FR" w:eastAsia="es-BO"/>
        </w:rPr>
        <w:t>2006 (</w:t>
      </w:r>
      <w:r>
        <w:rPr>
          <w:bCs/>
          <w:noProof/>
          <w:lang w:val="fr-FR" w:eastAsia="es-BO"/>
        </w:rPr>
        <w:t>« </w:t>
      </w:r>
      <w:r w:rsidRPr="00DF456A">
        <w:rPr>
          <w:bCs/>
          <w:noProof/>
          <w:lang w:val="fr-FR" w:eastAsia="es-BO"/>
        </w:rPr>
        <w:t>D.</w:t>
      </w:r>
      <w:r w:rsidR="00F13B66">
        <w:rPr>
          <w:bCs/>
          <w:noProof/>
          <w:lang w:val="fr-FR" w:eastAsia="es-BO"/>
        </w:rPr>
        <w:t> </w:t>
      </w:r>
      <w:r w:rsidRPr="00DF456A">
        <w:rPr>
          <w:bCs/>
          <w:noProof/>
          <w:lang w:val="fr-FR" w:eastAsia="es-BO"/>
        </w:rPr>
        <w:t xml:space="preserve">S. </w:t>
      </w:r>
      <w:r w:rsidR="00F13B66" w:rsidRPr="00AD55D6">
        <w:rPr>
          <w:rFonts w:eastAsia="MS Mincho"/>
          <w:noProof/>
          <w:szCs w:val="22"/>
          <w:lang w:val="fr-FR" w:eastAsia="es-BO"/>
        </w:rPr>
        <w:t>n</w:t>
      </w:r>
      <w:r w:rsidR="00F13B66" w:rsidRPr="00AD55D6">
        <w:rPr>
          <w:rFonts w:eastAsia="MS Mincho"/>
          <w:noProof/>
          <w:szCs w:val="22"/>
          <w:vertAlign w:val="superscript"/>
          <w:lang w:val="fr-FR" w:eastAsia="es-BO"/>
        </w:rPr>
        <w:t>o</w:t>
      </w:r>
      <w:r w:rsidR="00F13B66">
        <w:rPr>
          <w:noProof/>
          <w:lang w:val="fr-FR" w:eastAsia="es-BO"/>
        </w:rPr>
        <w:t> </w:t>
      </w:r>
      <w:r w:rsidRPr="00DF456A">
        <w:rPr>
          <w:bCs/>
          <w:noProof/>
          <w:lang w:val="fr-FR" w:eastAsia="es-BO"/>
        </w:rPr>
        <w:t>28631</w:t>
      </w:r>
      <w:r>
        <w:rPr>
          <w:bCs/>
          <w:noProof/>
          <w:lang w:val="fr-FR" w:eastAsia="es-BO"/>
        </w:rPr>
        <w:t> »</w:t>
      </w:r>
      <w:r w:rsidRPr="00DF456A">
        <w:rPr>
          <w:bCs/>
          <w:noProof/>
          <w:lang w:val="fr-FR" w:eastAsia="es-BO"/>
        </w:rPr>
        <w:t>) (</w:t>
      </w:r>
      <w:r>
        <w:rPr>
          <w:bCs/>
          <w:noProof/>
          <w:lang w:val="fr-FR" w:eastAsia="es-BO"/>
        </w:rPr>
        <w:t>annexe</w:t>
      </w:r>
      <w:r w:rsidR="00F13B66">
        <w:rPr>
          <w:bCs/>
          <w:noProof/>
          <w:lang w:val="fr-FR" w:eastAsia="es-BO"/>
        </w:rPr>
        <w:t> </w:t>
      </w:r>
      <w:r w:rsidRPr="00DF456A">
        <w:rPr>
          <w:bCs/>
          <w:noProof/>
          <w:lang w:val="fr-FR" w:eastAsia="es-BO"/>
        </w:rPr>
        <w:t>64)</w:t>
      </w:r>
      <w:r>
        <w:rPr>
          <w:noProof/>
          <w:lang w:val="fr-FR" w:eastAsia="es-BO"/>
        </w:rPr>
        <w:t>,</w:t>
      </w:r>
      <w:r w:rsidR="00F13B66">
        <w:rPr>
          <w:noProof/>
          <w:lang w:val="fr-FR" w:eastAsia="es-BO"/>
        </w:rPr>
        <w:t xml:space="preserve"> </w:t>
      </w:r>
      <w:r w:rsidRPr="00DF456A">
        <w:rPr>
          <w:noProof/>
          <w:lang w:val="fr-FR" w:eastAsia="es-BO"/>
        </w:rPr>
        <w:t>l</w:t>
      </w:r>
      <w:r>
        <w:rPr>
          <w:noProof/>
          <w:lang w:val="fr-FR" w:eastAsia="es-BO"/>
        </w:rPr>
        <w:t>e</w:t>
      </w:r>
      <w:r w:rsidRPr="00DF456A">
        <w:rPr>
          <w:noProof/>
          <w:lang w:val="fr-FR" w:eastAsia="es-BO"/>
        </w:rPr>
        <w:t>s institu</w:t>
      </w:r>
      <w:r>
        <w:rPr>
          <w:noProof/>
          <w:lang w:val="fr-FR" w:eastAsia="es-BO"/>
        </w:rPr>
        <w:t xml:space="preserve">tions </w:t>
      </w:r>
      <w:r w:rsidRPr="00DF456A">
        <w:rPr>
          <w:noProof/>
          <w:lang w:val="fr-FR" w:eastAsia="es-BO"/>
        </w:rPr>
        <w:t>p</w:t>
      </w:r>
      <w:r>
        <w:rPr>
          <w:noProof/>
          <w:lang w:val="fr-FR" w:eastAsia="es-BO"/>
        </w:rPr>
        <w:t xml:space="preserve">ubliques </w:t>
      </w:r>
      <w:r w:rsidRPr="00DF456A">
        <w:rPr>
          <w:noProof/>
          <w:lang w:val="fr-FR" w:eastAsia="es-BO"/>
        </w:rPr>
        <w:t>d</w:t>
      </w:r>
      <w:r>
        <w:rPr>
          <w:noProof/>
          <w:lang w:val="fr-FR" w:eastAsia="es-BO"/>
        </w:rPr>
        <w:t>é</w:t>
      </w:r>
      <w:r w:rsidRPr="00DF456A">
        <w:rPr>
          <w:noProof/>
          <w:lang w:val="fr-FR" w:eastAsia="es-BO"/>
        </w:rPr>
        <w:t>centrali</w:t>
      </w:r>
      <w:r>
        <w:rPr>
          <w:noProof/>
          <w:lang w:val="fr-FR" w:eastAsia="es-BO"/>
        </w:rPr>
        <w:t>sées</w:t>
      </w:r>
      <w:r w:rsidRPr="00DF456A">
        <w:rPr>
          <w:noProof/>
          <w:sz w:val="18"/>
          <w:szCs w:val="18"/>
          <w:vertAlign w:val="superscript"/>
          <w:lang w:val="fr-FR" w:eastAsia="es-BO"/>
        </w:rPr>
        <w:footnoteReference w:id="79"/>
      </w:r>
      <w:r w:rsidRPr="00DF456A">
        <w:rPr>
          <w:noProof/>
          <w:lang w:val="fr-FR" w:eastAsia="es-BO"/>
        </w:rPr>
        <w:t xml:space="preserve"> </w:t>
      </w:r>
      <w:r>
        <w:rPr>
          <w:noProof/>
          <w:lang w:val="fr-FR" w:eastAsia="es-BO"/>
        </w:rPr>
        <w:t>présentent les caractéristiques suivantes</w:t>
      </w:r>
      <w:r w:rsidR="00F13B66">
        <w:rPr>
          <w:noProof/>
          <w:lang w:val="fr-FR" w:eastAsia="es-BO"/>
        </w:rPr>
        <w:t> </w:t>
      </w:r>
      <w:r w:rsidRPr="00DF456A">
        <w:rPr>
          <w:noProof/>
          <w:lang w:val="fr-FR" w:eastAsia="es-BO"/>
        </w:rPr>
        <w:t>:</w:t>
      </w:r>
    </w:p>
    <w:p w:rsidR="00614A7E" w:rsidRPr="00DF456A" w:rsidRDefault="00614A7E" w:rsidP="00614A7E">
      <w:pPr>
        <w:pStyle w:val="SingleTxtG"/>
        <w:ind w:firstLine="567"/>
        <w:rPr>
          <w:noProof/>
          <w:lang w:val="fr-FR"/>
        </w:rPr>
      </w:pPr>
      <w:r w:rsidRPr="00DF456A">
        <w:rPr>
          <w:noProof/>
          <w:lang w:val="fr-FR"/>
        </w:rPr>
        <w:t>a)</w:t>
      </w:r>
      <w:r w:rsidRPr="00DF456A">
        <w:rPr>
          <w:noProof/>
          <w:lang w:val="fr-FR"/>
        </w:rPr>
        <w:tab/>
      </w:r>
      <w:r>
        <w:rPr>
          <w:noProof/>
          <w:lang w:val="fr-FR"/>
        </w:rPr>
        <w:t>Elles disposent d</w:t>
      </w:r>
      <w:r w:rsidR="00FB1114">
        <w:rPr>
          <w:noProof/>
          <w:lang w:val="fr-FR"/>
        </w:rPr>
        <w:t>’</w:t>
      </w:r>
      <w:r>
        <w:rPr>
          <w:noProof/>
          <w:lang w:val="fr-FR"/>
        </w:rPr>
        <w:t>un patrimoine propre</w:t>
      </w:r>
      <w:r w:rsidR="0002107C">
        <w:rPr>
          <w:noProof/>
          <w:lang w:val="fr-FR"/>
        </w:rPr>
        <w:t> </w:t>
      </w:r>
      <w:r w:rsidRPr="00DF456A">
        <w:rPr>
          <w:noProof/>
          <w:lang w:val="fr-FR"/>
        </w:rPr>
        <w:t>;</w:t>
      </w:r>
    </w:p>
    <w:p w:rsidR="00614A7E" w:rsidRPr="00DF456A" w:rsidRDefault="00614A7E" w:rsidP="00614A7E">
      <w:pPr>
        <w:pStyle w:val="SingleTxtG"/>
        <w:ind w:firstLine="567"/>
        <w:rPr>
          <w:noProof/>
          <w:lang w:val="fr-FR"/>
        </w:rPr>
      </w:pPr>
      <w:r w:rsidRPr="00DF456A">
        <w:rPr>
          <w:noProof/>
          <w:lang w:val="fr-FR"/>
        </w:rPr>
        <w:t>b)</w:t>
      </w:r>
      <w:r w:rsidRPr="00DF456A">
        <w:rPr>
          <w:noProof/>
          <w:lang w:val="fr-FR"/>
        </w:rPr>
        <w:tab/>
      </w:r>
      <w:r>
        <w:rPr>
          <w:noProof/>
          <w:lang w:val="fr-FR"/>
        </w:rPr>
        <w:t>Ce sont des personnes morales de droit public</w:t>
      </w:r>
      <w:r w:rsidR="0002107C">
        <w:rPr>
          <w:noProof/>
          <w:lang w:val="fr-FR"/>
        </w:rPr>
        <w:t> </w:t>
      </w:r>
      <w:r w:rsidRPr="00DF456A">
        <w:rPr>
          <w:noProof/>
          <w:lang w:val="fr-FR"/>
        </w:rPr>
        <w:t>;</w:t>
      </w:r>
    </w:p>
    <w:p w:rsidR="00614A7E" w:rsidRPr="00DF456A" w:rsidRDefault="00614A7E" w:rsidP="00614A7E">
      <w:pPr>
        <w:pStyle w:val="SingleTxtG"/>
        <w:ind w:firstLine="567"/>
        <w:rPr>
          <w:noProof/>
          <w:lang w:val="fr-FR"/>
        </w:rPr>
      </w:pPr>
      <w:r w:rsidRPr="00DF456A">
        <w:rPr>
          <w:noProof/>
          <w:lang w:val="fr-FR"/>
        </w:rPr>
        <w:t>c)</w:t>
      </w:r>
      <w:r w:rsidRPr="00DF456A">
        <w:rPr>
          <w:noProof/>
          <w:lang w:val="fr-FR"/>
        </w:rPr>
        <w:tab/>
      </w:r>
      <w:r>
        <w:rPr>
          <w:noProof/>
          <w:lang w:val="fr-FR"/>
        </w:rPr>
        <w:t>Elles jouissent d</w:t>
      </w:r>
      <w:r w:rsidR="00FB1114">
        <w:rPr>
          <w:noProof/>
          <w:lang w:val="fr-FR"/>
        </w:rPr>
        <w:t>’</w:t>
      </w:r>
      <w:r>
        <w:rPr>
          <w:noProof/>
          <w:lang w:val="fr-FR"/>
        </w:rPr>
        <w:t>une autonomie de gestion administrative</w:t>
      </w:r>
      <w:r w:rsidRPr="00DF456A">
        <w:rPr>
          <w:noProof/>
          <w:lang w:val="fr-FR"/>
        </w:rPr>
        <w:t>, financi</w:t>
      </w:r>
      <w:r>
        <w:rPr>
          <w:noProof/>
          <w:lang w:val="fr-FR"/>
        </w:rPr>
        <w:t>ère</w:t>
      </w:r>
      <w:r w:rsidRPr="00DF456A">
        <w:rPr>
          <w:noProof/>
          <w:lang w:val="fr-FR"/>
        </w:rPr>
        <w:t xml:space="preserve">, </w:t>
      </w:r>
      <w:r>
        <w:rPr>
          <w:noProof/>
          <w:lang w:val="fr-FR"/>
        </w:rPr>
        <w:t>juridique et technique</w:t>
      </w:r>
      <w:r w:rsidR="0002107C">
        <w:rPr>
          <w:noProof/>
          <w:lang w:val="fr-FR"/>
        </w:rPr>
        <w:t> </w:t>
      </w:r>
      <w:r w:rsidRPr="00DF456A">
        <w:rPr>
          <w:noProof/>
          <w:lang w:val="fr-FR"/>
        </w:rPr>
        <w:t>;</w:t>
      </w:r>
    </w:p>
    <w:p w:rsidR="00614A7E" w:rsidRPr="00DF456A" w:rsidRDefault="00614A7E" w:rsidP="00614A7E">
      <w:pPr>
        <w:pStyle w:val="SingleTxtG"/>
        <w:ind w:firstLine="567"/>
        <w:rPr>
          <w:noProof/>
          <w:lang w:val="fr-FR"/>
        </w:rPr>
      </w:pPr>
      <w:r w:rsidRPr="00DF456A">
        <w:rPr>
          <w:noProof/>
          <w:lang w:val="fr-FR"/>
        </w:rPr>
        <w:t>d)</w:t>
      </w:r>
      <w:r w:rsidRPr="00DF456A">
        <w:rPr>
          <w:noProof/>
          <w:lang w:val="fr-FR"/>
        </w:rPr>
        <w:tab/>
      </w:r>
      <w:r>
        <w:rPr>
          <w:noProof/>
          <w:lang w:val="fr-FR"/>
        </w:rPr>
        <w:t xml:space="preserve">Elles ont à leur tête un </w:t>
      </w:r>
      <w:r w:rsidRPr="00DF456A">
        <w:rPr>
          <w:noProof/>
          <w:lang w:val="fr-FR"/>
        </w:rPr>
        <w:t>Direct</w:t>
      </w:r>
      <w:r>
        <w:rPr>
          <w:noProof/>
          <w:lang w:val="fr-FR"/>
        </w:rPr>
        <w:t>eu</w:t>
      </w:r>
      <w:r w:rsidRPr="00DF456A">
        <w:rPr>
          <w:noProof/>
          <w:lang w:val="fr-FR"/>
        </w:rPr>
        <w:t xml:space="preserve">r </w:t>
      </w:r>
      <w:r>
        <w:rPr>
          <w:noProof/>
          <w:lang w:val="fr-FR"/>
        </w:rPr>
        <w:t>général</w:t>
      </w:r>
      <w:r w:rsidRPr="00DF456A">
        <w:rPr>
          <w:noProof/>
          <w:lang w:val="fr-FR"/>
        </w:rPr>
        <w:t xml:space="preserve">, qui </w:t>
      </w:r>
      <w:r>
        <w:rPr>
          <w:noProof/>
          <w:lang w:val="fr-FR"/>
        </w:rPr>
        <w:t xml:space="preserve">assure </w:t>
      </w:r>
      <w:r w:rsidRPr="00DF456A">
        <w:rPr>
          <w:noProof/>
          <w:lang w:val="fr-FR"/>
        </w:rPr>
        <w:t>la repr</w:t>
      </w:r>
      <w:r>
        <w:rPr>
          <w:noProof/>
          <w:lang w:val="fr-FR"/>
        </w:rPr>
        <w:t>é</w:t>
      </w:r>
      <w:r w:rsidRPr="00DF456A">
        <w:rPr>
          <w:noProof/>
          <w:lang w:val="fr-FR"/>
        </w:rPr>
        <w:t>senta</w:t>
      </w:r>
      <w:r>
        <w:rPr>
          <w:noProof/>
          <w:lang w:val="fr-FR"/>
        </w:rPr>
        <w:t>tion de l</w:t>
      </w:r>
      <w:r w:rsidR="00FB1114">
        <w:rPr>
          <w:noProof/>
          <w:lang w:val="fr-FR"/>
        </w:rPr>
        <w:t>’</w:t>
      </w:r>
      <w:r>
        <w:rPr>
          <w:noProof/>
          <w:lang w:val="fr-FR"/>
        </w:rPr>
        <w:t xml:space="preserve">institution et en </w:t>
      </w:r>
      <w:r w:rsidRPr="00DF456A">
        <w:rPr>
          <w:noProof/>
          <w:lang w:val="fr-FR"/>
        </w:rPr>
        <w:t>es</w:t>
      </w:r>
      <w:r>
        <w:rPr>
          <w:noProof/>
          <w:lang w:val="fr-FR"/>
        </w:rPr>
        <w:t xml:space="preserve">t </w:t>
      </w:r>
      <w:r w:rsidRPr="00B5117C">
        <w:rPr>
          <w:lang w:val="fr-FR"/>
        </w:rPr>
        <w:t xml:space="preserve">la </w:t>
      </w:r>
      <w:r w:rsidRPr="003812C1">
        <w:rPr>
          <w:noProof/>
          <w:lang w:val="fr-FR"/>
        </w:rPr>
        <w:t>plus haute autorité exécutive</w:t>
      </w:r>
      <w:r>
        <w:rPr>
          <w:noProof/>
          <w:lang w:val="fr-FR"/>
        </w:rPr>
        <w:t xml:space="preserve">; il </w:t>
      </w:r>
      <w:r w:rsidRPr="00DF456A">
        <w:rPr>
          <w:noProof/>
          <w:lang w:val="fr-FR"/>
        </w:rPr>
        <w:t>es</w:t>
      </w:r>
      <w:r>
        <w:rPr>
          <w:noProof/>
          <w:lang w:val="fr-FR"/>
        </w:rPr>
        <w:t xml:space="preserve">t nommé par décision suprême et </w:t>
      </w:r>
      <w:r w:rsidRPr="00DF456A">
        <w:rPr>
          <w:noProof/>
          <w:lang w:val="fr-FR"/>
        </w:rPr>
        <w:t>d</w:t>
      </w:r>
      <w:r>
        <w:rPr>
          <w:noProof/>
          <w:lang w:val="fr-FR"/>
        </w:rPr>
        <w:t>éfinit les questions relevant de sa compétence à l</w:t>
      </w:r>
      <w:r w:rsidR="00FB1114">
        <w:rPr>
          <w:noProof/>
          <w:lang w:val="fr-FR"/>
        </w:rPr>
        <w:t>’</w:t>
      </w:r>
      <w:r>
        <w:rPr>
          <w:noProof/>
          <w:lang w:val="fr-FR"/>
        </w:rPr>
        <w:t xml:space="preserve">occasion, notamment, de décisions </w:t>
      </w:r>
      <w:r w:rsidRPr="00DF456A">
        <w:rPr>
          <w:noProof/>
          <w:lang w:val="fr-FR"/>
        </w:rPr>
        <w:t>administrativ</w:t>
      </w:r>
      <w:r>
        <w:rPr>
          <w:noProof/>
          <w:lang w:val="fr-FR"/>
        </w:rPr>
        <w:t>es</w:t>
      </w:r>
      <w:r w:rsidRPr="00DF456A">
        <w:rPr>
          <w:noProof/>
          <w:lang w:val="fr-FR"/>
        </w:rPr>
        <w:t>.</w:t>
      </w:r>
    </w:p>
    <w:p w:rsidR="00614A7E" w:rsidRPr="00DF456A" w:rsidRDefault="00614A7E" w:rsidP="00614A7E">
      <w:pPr>
        <w:pStyle w:val="SingleTxtG"/>
        <w:rPr>
          <w:noProof/>
          <w:lang w:val="fr-FR" w:eastAsia="es-BO"/>
        </w:rPr>
      </w:pPr>
      <w:r w:rsidRPr="00DF456A">
        <w:rPr>
          <w:noProof/>
          <w:lang w:val="fr-FR" w:eastAsia="es-BO"/>
        </w:rPr>
        <w:t>200.</w:t>
      </w:r>
      <w:r w:rsidRPr="00DF456A">
        <w:rPr>
          <w:noProof/>
          <w:lang w:val="fr-FR" w:eastAsia="es-BO"/>
        </w:rPr>
        <w:tab/>
      </w:r>
      <w:r>
        <w:rPr>
          <w:noProof/>
          <w:lang w:val="fr-FR" w:eastAsia="es-BO"/>
        </w:rPr>
        <w:t xml:space="preserve">La création du </w:t>
      </w:r>
      <w:r w:rsidRPr="00535B3D">
        <w:rPr>
          <w:noProof/>
          <w:lang w:val="fr-FR"/>
        </w:rPr>
        <w:t>Service de prévention de la torture</w:t>
      </w:r>
      <w:r w:rsidRPr="00DF456A">
        <w:rPr>
          <w:noProof/>
          <w:lang w:val="fr-FR" w:eastAsia="es-BO"/>
        </w:rPr>
        <w:t xml:space="preserve"> </w:t>
      </w:r>
      <w:r>
        <w:rPr>
          <w:noProof/>
          <w:lang w:val="fr-FR" w:eastAsia="es-BO"/>
        </w:rPr>
        <w:t>en tant qu</w:t>
      </w:r>
      <w:r w:rsidR="00FB1114">
        <w:rPr>
          <w:noProof/>
          <w:lang w:val="fr-FR" w:eastAsia="es-BO"/>
        </w:rPr>
        <w:t>’</w:t>
      </w:r>
      <w:r w:rsidRPr="00DF456A">
        <w:rPr>
          <w:noProof/>
          <w:lang w:val="fr-FR" w:eastAsia="es-BO"/>
        </w:rPr>
        <w:t>institu</w:t>
      </w:r>
      <w:r>
        <w:rPr>
          <w:noProof/>
          <w:lang w:val="fr-FR" w:eastAsia="es-BO"/>
        </w:rPr>
        <w:t xml:space="preserve">tion </w:t>
      </w:r>
      <w:r w:rsidRPr="00DF456A">
        <w:rPr>
          <w:noProof/>
          <w:lang w:val="fr-FR" w:eastAsia="es-BO"/>
        </w:rPr>
        <w:t>d</w:t>
      </w:r>
      <w:r>
        <w:rPr>
          <w:noProof/>
          <w:lang w:val="fr-FR" w:eastAsia="es-BO"/>
        </w:rPr>
        <w:t>é</w:t>
      </w:r>
      <w:r w:rsidRPr="00DF456A">
        <w:rPr>
          <w:noProof/>
          <w:lang w:val="fr-FR" w:eastAsia="es-BO"/>
        </w:rPr>
        <w:t>centrali</w:t>
      </w:r>
      <w:r>
        <w:rPr>
          <w:noProof/>
          <w:lang w:val="fr-FR" w:eastAsia="es-BO"/>
        </w:rPr>
        <w:t>sée a tenu compte de la portée de l</w:t>
      </w:r>
      <w:r w:rsidR="00FB1114">
        <w:rPr>
          <w:noProof/>
          <w:lang w:val="fr-FR" w:eastAsia="es-BO"/>
        </w:rPr>
        <w:t>’</w:t>
      </w:r>
      <w:r>
        <w:rPr>
          <w:noProof/>
          <w:lang w:val="fr-FR" w:eastAsia="es-BO"/>
        </w:rPr>
        <w:t>article</w:t>
      </w:r>
      <w:r w:rsidR="005F1A2B">
        <w:rPr>
          <w:noProof/>
          <w:lang w:val="fr-FR" w:eastAsia="es-BO"/>
        </w:rPr>
        <w:t> </w:t>
      </w:r>
      <w:r w:rsidRPr="00DF456A">
        <w:rPr>
          <w:iCs/>
          <w:noProof/>
          <w:lang w:val="fr-FR" w:eastAsia="es-BO"/>
        </w:rPr>
        <w:t>17 d</w:t>
      </w:r>
      <w:r>
        <w:rPr>
          <w:iCs/>
          <w:noProof/>
          <w:lang w:val="fr-FR" w:eastAsia="es-BO"/>
        </w:rPr>
        <w:t>u</w:t>
      </w:r>
      <w:r w:rsidRPr="00DF456A">
        <w:rPr>
          <w:iCs/>
          <w:noProof/>
          <w:lang w:val="fr-FR" w:eastAsia="es-BO"/>
        </w:rPr>
        <w:t xml:space="preserve"> Protocol</w:t>
      </w:r>
      <w:r>
        <w:rPr>
          <w:iCs/>
          <w:noProof/>
          <w:lang w:val="fr-FR" w:eastAsia="es-BO"/>
        </w:rPr>
        <w:t>e</w:t>
      </w:r>
      <w:r w:rsidRPr="00DF456A">
        <w:rPr>
          <w:iCs/>
          <w:noProof/>
          <w:lang w:val="fr-FR" w:eastAsia="es-BO"/>
        </w:rPr>
        <w:t xml:space="preserve"> </w:t>
      </w:r>
      <w:r>
        <w:rPr>
          <w:iCs/>
          <w:noProof/>
          <w:lang w:val="fr-FR" w:eastAsia="es-BO"/>
        </w:rPr>
        <w:t>f</w:t>
      </w:r>
      <w:r w:rsidRPr="00DF456A">
        <w:rPr>
          <w:iCs/>
          <w:noProof/>
          <w:lang w:val="fr-FR" w:eastAsia="es-BO"/>
        </w:rPr>
        <w:t>acultati</w:t>
      </w:r>
      <w:r>
        <w:rPr>
          <w:iCs/>
          <w:noProof/>
          <w:lang w:val="fr-FR" w:eastAsia="es-BO"/>
        </w:rPr>
        <w:t>f</w:t>
      </w:r>
      <w:r w:rsidRPr="00DF456A">
        <w:rPr>
          <w:iCs/>
          <w:noProof/>
          <w:lang w:val="fr-FR" w:eastAsia="es-BO"/>
        </w:rPr>
        <w:t xml:space="preserve"> </w:t>
      </w:r>
      <w:r>
        <w:rPr>
          <w:iCs/>
          <w:noProof/>
          <w:lang w:val="fr-FR" w:eastAsia="es-BO"/>
        </w:rPr>
        <w:t>et de l</w:t>
      </w:r>
      <w:r w:rsidR="00FB1114">
        <w:rPr>
          <w:iCs/>
          <w:noProof/>
          <w:lang w:val="fr-FR" w:eastAsia="es-BO"/>
        </w:rPr>
        <w:t>’</w:t>
      </w:r>
      <w:r>
        <w:rPr>
          <w:iCs/>
          <w:noProof/>
          <w:lang w:val="fr-FR" w:eastAsia="es-BO"/>
        </w:rPr>
        <w:t>a</w:t>
      </w:r>
      <w:r w:rsidRPr="00DF456A">
        <w:rPr>
          <w:iCs/>
          <w:noProof/>
          <w:lang w:val="fr-FR" w:eastAsia="es-BO"/>
        </w:rPr>
        <w:t>rt</w:t>
      </w:r>
      <w:r>
        <w:rPr>
          <w:iCs/>
          <w:noProof/>
          <w:lang w:val="fr-FR" w:eastAsia="es-BO"/>
        </w:rPr>
        <w:t>icle</w:t>
      </w:r>
      <w:r w:rsidR="005F1A2B">
        <w:rPr>
          <w:iCs/>
          <w:noProof/>
          <w:lang w:val="fr-FR" w:eastAsia="es-BO"/>
        </w:rPr>
        <w:t> </w:t>
      </w:r>
      <w:r w:rsidRPr="00DF456A">
        <w:rPr>
          <w:iCs/>
          <w:noProof/>
          <w:lang w:val="fr-FR" w:eastAsia="es-BO"/>
        </w:rPr>
        <w:t>32</w:t>
      </w:r>
      <w:r w:rsidRPr="00DF456A">
        <w:rPr>
          <w:bCs/>
          <w:noProof/>
          <w:lang w:val="fr-FR" w:eastAsia="es-BO"/>
        </w:rPr>
        <w:t xml:space="preserve"> </w:t>
      </w:r>
      <w:r>
        <w:rPr>
          <w:bCs/>
          <w:noProof/>
          <w:lang w:val="fr-FR" w:eastAsia="es-BO"/>
        </w:rPr>
        <w:t xml:space="preserve">du </w:t>
      </w:r>
      <w:r w:rsidRPr="00DF456A">
        <w:rPr>
          <w:bCs/>
          <w:noProof/>
          <w:lang w:val="fr-FR" w:eastAsia="es-BO"/>
        </w:rPr>
        <w:t>D.</w:t>
      </w:r>
      <w:r w:rsidR="005F1A2B">
        <w:rPr>
          <w:bCs/>
          <w:noProof/>
          <w:lang w:val="fr-FR" w:eastAsia="es-BO"/>
        </w:rPr>
        <w:t> </w:t>
      </w:r>
      <w:r w:rsidRPr="00DF456A">
        <w:rPr>
          <w:bCs/>
          <w:noProof/>
          <w:lang w:val="fr-FR" w:eastAsia="es-BO"/>
        </w:rPr>
        <w:t>S.</w:t>
      </w:r>
      <w:r w:rsidR="008C0BBE">
        <w:rPr>
          <w:bCs/>
          <w:noProof/>
          <w:lang w:val="fr-FR" w:eastAsia="es-BO"/>
        </w:rPr>
        <w:t> </w:t>
      </w:r>
      <w:r w:rsidR="005F1A2B" w:rsidRPr="00AD55D6">
        <w:rPr>
          <w:rFonts w:eastAsia="MS Mincho"/>
          <w:noProof/>
          <w:szCs w:val="22"/>
          <w:lang w:val="fr-FR" w:eastAsia="es-BO"/>
        </w:rPr>
        <w:t>n</w:t>
      </w:r>
      <w:r w:rsidR="005F1A2B" w:rsidRPr="00AD55D6">
        <w:rPr>
          <w:rFonts w:eastAsia="MS Mincho"/>
          <w:noProof/>
          <w:szCs w:val="22"/>
          <w:vertAlign w:val="superscript"/>
          <w:lang w:val="fr-FR" w:eastAsia="es-BO"/>
        </w:rPr>
        <w:t>o</w:t>
      </w:r>
      <w:r w:rsidR="005F1A2B">
        <w:rPr>
          <w:noProof/>
          <w:lang w:val="fr-FR" w:eastAsia="es-BO"/>
        </w:rPr>
        <w:t> </w:t>
      </w:r>
      <w:r w:rsidRPr="00DF456A">
        <w:rPr>
          <w:bCs/>
          <w:noProof/>
          <w:lang w:val="fr-FR" w:eastAsia="es-BO"/>
        </w:rPr>
        <w:t>28631</w:t>
      </w:r>
      <w:r w:rsidRPr="00DF456A">
        <w:rPr>
          <w:noProof/>
          <w:lang w:val="fr-FR" w:eastAsia="es-BO"/>
        </w:rPr>
        <w:t xml:space="preserve">. </w:t>
      </w:r>
      <w:r>
        <w:rPr>
          <w:noProof/>
          <w:lang w:val="fr-FR" w:eastAsia="es-BO"/>
        </w:rPr>
        <w:t>En d</w:t>
      </w:r>
      <w:r w:rsidR="00FB1114">
        <w:rPr>
          <w:noProof/>
          <w:lang w:val="fr-FR" w:eastAsia="es-BO"/>
        </w:rPr>
        <w:t>’</w:t>
      </w:r>
      <w:r>
        <w:rPr>
          <w:noProof/>
          <w:lang w:val="fr-FR" w:eastAsia="es-BO"/>
        </w:rPr>
        <w:t>autres termes, ce Service a, dans le cadre de la législation bolivienne, le statut d</w:t>
      </w:r>
      <w:r w:rsidR="00FB1114">
        <w:rPr>
          <w:noProof/>
          <w:lang w:val="fr-FR" w:eastAsia="es-BO"/>
        </w:rPr>
        <w:t>’</w:t>
      </w:r>
      <w:r>
        <w:rPr>
          <w:noProof/>
          <w:lang w:val="fr-FR" w:eastAsia="es-BO"/>
        </w:rPr>
        <w:t>institution publique décentralisée d</w:t>
      </w:r>
      <w:r w:rsidR="00FB1114">
        <w:rPr>
          <w:noProof/>
          <w:lang w:val="fr-FR" w:eastAsia="es-BO"/>
        </w:rPr>
        <w:t>’</w:t>
      </w:r>
      <w:r>
        <w:rPr>
          <w:noProof/>
          <w:lang w:val="fr-FR" w:eastAsia="es-BO"/>
        </w:rPr>
        <w:t>envergure nationale</w:t>
      </w:r>
      <w:r w:rsidRPr="00DF456A">
        <w:rPr>
          <w:noProof/>
          <w:lang w:val="fr-FR" w:eastAsia="es-BO"/>
        </w:rPr>
        <w:t xml:space="preserve">, </w:t>
      </w:r>
      <w:r>
        <w:rPr>
          <w:noProof/>
          <w:lang w:val="fr-FR"/>
        </w:rPr>
        <w:t>jouit d</w:t>
      </w:r>
      <w:r w:rsidR="00FB1114">
        <w:rPr>
          <w:noProof/>
          <w:lang w:val="fr-FR"/>
        </w:rPr>
        <w:t>’</w:t>
      </w:r>
      <w:r>
        <w:rPr>
          <w:noProof/>
          <w:lang w:val="fr-FR"/>
        </w:rPr>
        <w:t>une autonomie de gestion administrative</w:t>
      </w:r>
      <w:r w:rsidRPr="00DF456A">
        <w:rPr>
          <w:noProof/>
          <w:lang w:val="fr-FR"/>
        </w:rPr>
        <w:t>, financi</w:t>
      </w:r>
      <w:r>
        <w:rPr>
          <w:noProof/>
          <w:lang w:val="fr-FR"/>
        </w:rPr>
        <w:t>ère</w:t>
      </w:r>
      <w:r w:rsidRPr="00DF456A">
        <w:rPr>
          <w:noProof/>
          <w:lang w:val="fr-FR"/>
        </w:rPr>
        <w:t xml:space="preserve">, </w:t>
      </w:r>
      <w:r>
        <w:rPr>
          <w:noProof/>
          <w:lang w:val="fr-FR"/>
        </w:rPr>
        <w:t>juridique et technique,</w:t>
      </w:r>
      <w:r w:rsidRPr="00DF456A">
        <w:rPr>
          <w:noProof/>
          <w:lang w:val="fr-FR" w:eastAsia="es-BO"/>
        </w:rPr>
        <w:t xml:space="preserve"> </w:t>
      </w:r>
      <w:r>
        <w:rPr>
          <w:noProof/>
          <w:lang w:val="fr-FR" w:eastAsia="es-BO"/>
        </w:rPr>
        <w:t>et dispose de ressources humaines et financières qui lui permettent de fonctionner de manière indépendante</w:t>
      </w:r>
      <w:r w:rsidRPr="00DF456A">
        <w:rPr>
          <w:noProof/>
          <w:sz w:val="18"/>
          <w:szCs w:val="18"/>
          <w:vertAlign w:val="superscript"/>
          <w:lang w:val="fr-FR" w:eastAsia="es-BO"/>
        </w:rPr>
        <w:footnoteReference w:id="80"/>
      </w:r>
      <w:r w:rsidRPr="00DF456A">
        <w:rPr>
          <w:noProof/>
          <w:lang w:val="fr-FR" w:eastAsia="es-BO"/>
        </w:rPr>
        <w:t>.</w:t>
      </w:r>
    </w:p>
    <w:p w:rsidR="00614A7E" w:rsidRPr="00DF456A" w:rsidRDefault="00614A7E" w:rsidP="00614A7E">
      <w:pPr>
        <w:pStyle w:val="SingleTxtG"/>
        <w:rPr>
          <w:noProof/>
          <w:lang w:val="fr-FR" w:eastAsia="es-BO"/>
        </w:rPr>
      </w:pPr>
      <w:r w:rsidRPr="00DF456A">
        <w:rPr>
          <w:noProof/>
          <w:lang w:val="fr-FR" w:eastAsia="es-BO"/>
        </w:rPr>
        <w:t>201.</w:t>
      </w:r>
      <w:r w:rsidRPr="00DF456A">
        <w:rPr>
          <w:noProof/>
          <w:lang w:val="fr-FR" w:eastAsia="es-BO"/>
        </w:rPr>
        <w:tab/>
      </w:r>
      <w:r>
        <w:rPr>
          <w:noProof/>
          <w:lang w:val="fr-FR" w:eastAsia="es-BO"/>
        </w:rPr>
        <w:t xml:space="preserve">À cet égard, dans le cadre de la loi </w:t>
      </w:r>
      <w:r w:rsidR="005F1A2B" w:rsidRPr="00AD55D6">
        <w:rPr>
          <w:rFonts w:eastAsia="MS Mincho"/>
          <w:noProof/>
          <w:szCs w:val="22"/>
          <w:lang w:val="fr-FR" w:eastAsia="es-BO"/>
        </w:rPr>
        <w:t>n</w:t>
      </w:r>
      <w:r w:rsidR="005F1A2B" w:rsidRPr="00AD55D6">
        <w:rPr>
          <w:rFonts w:eastAsia="MS Mincho"/>
          <w:noProof/>
          <w:szCs w:val="22"/>
          <w:vertAlign w:val="superscript"/>
          <w:lang w:val="fr-FR" w:eastAsia="es-BO"/>
        </w:rPr>
        <w:t>o</w:t>
      </w:r>
      <w:r w:rsidR="005F1A2B">
        <w:rPr>
          <w:noProof/>
          <w:lang w:val="fr-FR" w:eastAsia="es-BO"/>
        </w:rPr>
        <w:t> </w:t>
      </w:r>
      <w:r w:rsidRPr="00DF456A">
        <w:rPr>
          <w:noProof/>
          <w:lang w:val="fr-FR" w:eastAsia="es-BO"/>
        </w:rPr>
        <w:t xml:space="preserve">474 </w:t>
      </w:r>
      <w:r>
        <w:rPr>
          <w:noProof/>
          <w:lang w:val="fr-FR" w:eastAsia="es-BO"/>
        </w:rPr>
        <w:t>et des articles</w:t>
      </w:r>
      <w:r w:rsidR="005F1A2B">
        <w:rPr>
          <w:noProof/>
          <w:lang w:val="fr-FR" w:eastAsia="es-BO"/>
        </w:rPr>
        <w:t> </w:t>
      </w:r>
      <w:r w:rsidRPr="00DF456A">
        <w:rPr>
          <w:noProof/>
          <w:lang w:val="fr-FR" w:eastAsia="es-BO"/>
        </w:rPr>
        <w:t xml:space="preserve">11 </w:t>
      </w:r>
      <w:r>
        <w:rPr>
          <w:noProof/>
          <w:lang w:val="fr-FR" w:eastAsia="es-BO"/>
        </w:rPr>
        <w:t>et</w:t>
      </w:r>
      <w:r w:rsidRPr="00DF456A">
        <w:rPr>
          <w:noProof/>
          <w:lang w:val="fr-FR" w:eastAsia="es-BO"/>
        </w:rPr>
        <w:t xml:space="preserve"> 12 </w:t>
      </w:r>
      <w:r>
        <w:rPr>
          <w:noProof/>
          <w:lang w:val="fr-FR" w:eastAsia="es-BO"/>
        </w:rPr>
        <w:t xml:space="preserve">du décret suprême </w:t>
      </w:r>
      <w:r w:rsidR="005F1A2B" w:rsidRPr="00AD55D6">
        <w:rPr>
          <w:rFonts w:eastAsia="MS Mincho"/>
          <w:noProof/>
          <w:szCs w:val="22"/>
          <w:lang w:val="fr-FR" w:eastAsia="es-BO"/>
        </w:rPr>
        <w:t>n</w:t>
      </w:r>
      <w:r w:rsidR="005F1A2B" w:rsidRPr="00AD55D6">
        <w:rPr>
          <w:rFonts w:eastAsia="MS Mincho"/>
          <w:noProof/>
          <w:szCs w:val="22"/>
          <w:vertAlign w:val="superscript"/>
          <w:lang w:val="fr-FR" w:eastAsia="es-BO"/>
        </w:rPr>
        <w:t>o</w:t>
      </w:r>
      <w:r w:rsidR="005F1A2B">
        <w:rPr>
          <w:noProof/>
          <w:lang w:val="fr-FR" w:eastAsia="es-BO"/>
        </w:rPr>
        <w:t> </w:t>
      </w:r>
      <w:r w:rsidRPr="00DF456A">
        <w:rPr>
          <w:noProof/>
          <w:lang w:val="fr-FR" w:eastAsia="es-BO"/>
        </w:rPr>
        <w:t>2082 d</w:t>
      </w:r>
      <w:r>
        <w:rPr>
          <w:noProof/>
          <w:lang w:val="fr-FR" w:eastAsia="es-BO"/>
        </w:rPr>
        <w:t>u</w:t>
      </w:r>
      <w:r w:rsidRPr="00DF456A">
        <w:rPr>
          <w:noProof/>
          <w:lang w:val="fr-FR" w:eastAsia="es-BO"/>
        </w:rPr>
        <w:t xml:space="preserve"> 21</w:t>
      </w:r>
      <w:r w:rsidR="005F1A2B">
        <w:rPr>
          <w:noProof/>
          <w:lang w:val="fr-FR" w:eastAsia="es-BO"/>
        </w:rPr>
        <w:t> </w:t>
      </w:r>
      <w:r>
        <w:rPr>
          <w:noProof/>
          <w:lang w:val="fr-FR" w:eastAsia="es-BO"/>
        </w:rPr>
        <w:t xml:space="preserve">août </w:t>
      </w:r>
      <w:r w:rsidRPr="00DF456A">
        <w:rPr>
          <w:noProof/>
          <w:lang w:val="fr-FR" w:eastAsia="es-BO"/>
        </w:rPr>
        <w:t>2014 (</w:t>
      </w:r>
      <w:r>
        <w:rPr>
          <w:noProof/>
          <w:lang w:val="fr-FR" w:eastAsia="es-BO"/>
        </w:rPr>
        <w:t>« </w:t>
      </w:r>
      <w:r w:rsidRPr="00DF456A">
        <w:rPr>
          <w:noProof/>
          <w:lang w:val="fr-FR" w:eastAsia="es-BO"/>
        </w:rPr>
        <w:t>D.</w:t>
      </w:r>
      <w:r w:rsidR="005F1A2B">
        <w:rPr>
          <w:noProof/>
          <w:lang w:val="fr-FR" w:eastAsia="es-BO"/>
        </w:rPr>
        <w:t> </w:t>
      </w:r>
      <w:r w:rsidRPr="00DF456A">
        <w:rPr>
          <w:noProof/>
          <w:lang w:val="fr-FR" w:eastAsia="es-BO"/>
        </w:rPr>
        <w:t xml:space="preserve">S. </w:t>
      </w:r>
      <w:r w:rsidR="005F1A2B" w:rsidRPr="00AD55D6">
        <w:rPr>
          <w:rFonts w:eastAsia="MS Mincho"/>
          <w:noProof/>
          <w:szCs w:val="22"/>
          <w:lang w:val="fr-FR" w:eastAsia="es-BO"/>
        </w:rPr>
        <w:t>n</w:t>
      </w:r>
      <w:r w:rsidR="005F1A2B" w:rsidRPr="00AD55D6">
        <w:rPr>
          <w:rFonts w:eastAsia="MS Mincho"/>
          <w:noProof/>
          <w:szCs w:val="22"/>
          <w:vertAlign w:val="superscript"/>
          <w:lang w:val="fr-FR" w:eastAsia="es-BO"/>
        </w:rPr>
        <w:t>o</w:t>
      </w:r>
      <w:r w:rsidR="005F1A2B">
        <w:rPr>
          <w:noProof/>
          <w:lang w:val="fr-FR" w:eastAsia="es-BO"/>
        </w:rPr>
        <w:t> </w:t>
      </w:r>
      <w:r w:rsidRPr="00DF456A">
        <w:rPr>
          <w:noProof/>
          <w:lang w:val="fr-FR" w:eastAsia="es-BO"/>
        </w:rPr>
        <w:t>2082</w:t>
      </w:r>
      <w:r>
        <w:rPr>
          <w:noProof/>
          <w:lang w:val="fr-FR" w:eastAsia="es-BO"/>
        </w:rPr>
        <w:t> »</w:t>
      </w:r>
      <w:r w:rsidRPr="00DF456A">
        <w:rPr>
          <w:noProof/>
          <w:lang w:val="fr-FR" w:eastAsia="es-BO"/>
        </w:rPr>
        <w:t xml:space="preserve">), </w:t>
      </w:r>
      <w:r>
        <w:rPr>
          <w:noProof/>
          <w:lang w:val="fr-FR" w:eastAsia="es-BO"/>
        </w:rPr>
        <w:t xml:space="preserve">le Directeur général par intérim du </w:t>
      </w:r>
      <w:r w:rsidRPr="00535B3D">
        <w:rPr>
          <w:noProof/>
          <w:lang w:val="fr-FR"/>
        </w:rPr>
        <w:t xml:space="preserve">Service de </w:t>
      </w:r>
      <w:r w:rsidRPr="00535B3D">
        <w:rPr>
          <w:noProof/>
          <w:lang w:val="fr-FR"/>
        </w:rPr>
        <w:lastRenderedPageBreak/>
        <w:t>prévention de la torture</w:t>
      </w:r>
      <w:r>
        <w:rPr>
          <w:noProof/>
          <w:lang w:val="fr-FR" w:eastAsia="es-BO"/>
        </w:rPr>
        <w:t xml:space="preserve"> a été nommé par la décision suprême </w:t>
      </w:r>
      <w:r w:rsidR="005F1A2B" w:rsidRPr="00AD55D6">
        <w:rPr>
          <w:rFonts w:eastAsia="MS Mincho"/>
          <w:noProof/>
          <w:szCs w:val="22"/>
          <w:lang w:val="fr-FR" w:eastAsia="es-BO"/>
        </w:rPr>
        <w:t>n</w:t>
      </w:r>
      <w:r w:rsidR="005F1A2B" w:rsidRPr="00AD55D6">
        <w:rPr>
          <w:rFonts w:eastAsia="MS Mincho"/>
          <w:noProof/>
          <w:szCs w:val="22"/>
          <w:vertAlign w:val="superscript"/>
          <w:lang w:val="fr-FR" w:eastAsia="es-BO"/>
        </w:rPr>
        <w:t>o</w:t>
      </w:r>
      <w:r w:rsidR="005F1A2B">
        <w:rPr>
          <w:noProof/>
          <w:lang w:val="fr-FR" w:eastAsia="es-BO"/>
        </w:rPr>
        <w:t> </w:t>
      </w:r>
      <w:r w:rsidRPr="00DF456A">
        <w:rPr>
          <w:noProof/>
          <w:lang w:val="fr-FR" w:eastAsia="es-BO"/>
        </w:rPr>
        <w:t xml:space="preserve">15925 </w:t>
      </w:r>
      <w:r>
        <w:rPr>
          <w:noProof/>
          <w:lang w:val="fr-FR" w:eastAsia="es-BO"/>
        </w:rPr>
        <w:t xml:space="preserve">du </w:t>
      </w:r>
      <w:r w:rsidRPr="00DF456A">
        <w:rPr>
          <w:noProof/>
          <w:lang w:val="fr-FR" w:eastAsia="es-BO"/>
        </w:rPr>
        <w:t>26</w:t>
      </w:r>
      <w:r w:rsidR="005F1A2B">
        <w:rPr>
          <w:noProof/>
          <w:lang w:val="fr-FR" w:eastAsia="es-BO"/>
        </w:rPr>
        <w:t> </w:t>
      </w:r>
      <w:r>
        <w:rPr>
          <w:noProof/>
          <w:lang w:val="fr-FR" w:eastAsia="es-BO"/>
        </w:rPr>
        <w:t xml:space="preserve">août </w:t>
      </w:r>
      <w:r w:rsidRPr="00DF456A">
        <w:rPr>
          <w:noProof/>
          <w:lang w:val="fr-FR" w:eastAsia="es-BO"/>
        </w:rPr>
        <w:t>2015 (</w:t>
      </w:r>
      <w:r>
        <w:rPr>
          <w:noProof/>
          <w:lang w:val="fr-FR" w:eastAsia="es-BO"/>
        </w:rPr>
        <w:t>annexe</w:t>
      </w:r>
      <w:r w:rsidR="005F1A2B">
        <w:rPr>
          <w:noProof/>
          <w:lang w:val="fr-FR" w:eastAsia="es-BO"/>
        </w:rPr>
        <w:t> </w:t>
      </w:r>
      <w:r w:rsidRPr="00DF456A">
        <w:rPr>
          <w:noProof/>
          <w:lang w:val="fr-FR" w:eastAsia="es-BO"/>
        </w:rPr>
        <w:t>55).</w:t>
      </w:r>
    </w:p>
    <w:p w:rsidR="00614A7E" w:rsidRPr="00DF456A" w:rsidRDefault="00614A7E" w:rsidP="00614A7E">
      <w:pPr>
        <w:pStyle w:val="SingleTxtG"/>
        <w:rPr>
          <w:noProof/>
          <w:lang w:val="fr-FR" w:eastAsia="es-BO"/>
        </w:rPr>
      </w:pPr>
      <w:r w:rsidRPr="00DF456A">
        <w:rPr>
          <w:noProof/>
          <w:lang w:val="fr-FR" w:eastAsia="es-BO"/>
        </w:rPr>
        <w:t>202.</w:t>
      </w:r>
      <w:r w:rsidRPr="00DF456A">
        <w:rPr>
          <w:noProof/>
          <w:lang w:val="fr-FR" w:eastAsia="es-BO"/>
        </w:rPr>
        <w:tab/>
      </w:r>
      <w:r>
        <w:rPr>
          <w:noProof/>
          <w:lang w:val="fr-FR" w:eastAsia="es-BO"/>
        </w:rPr>
        <w:t xml:space="preserve">Le </w:t>
      </w:r>
      <w:r w:rsidRPr="00DF456A">
        <w:rPr>
          <w:noProof/>
          <w:lang w:val="fr-FR" w:eastAsia="es-BO"/>
        </w:rPr>
        <w:t>D.</w:t>
      </w:r>
      <w:r w:rsidR="005F1A2B">
        <w:rPr>
          <w:noProof/>
          <w:lang w:val="fr-FR" w:eastAsia="es-BO"/>
        </w:rPr>
        <w:t> </w:t>
      </w:r>
      <w:r w:rsidRPr="00DF456A">
        <w:rPr>
          <w:noProof/>
          <w:lang w:val="fr-FR" w:eastAsia="es-BO"/>
        </w:rPr>
        <w:t xml:space="preserve">S. </w:t>
      </w:r>
      <w:r w:rsidR="005F1A2B" w:rsidRPr="00AD55D6">
        <w:rPr>
          <w:rFonts w:eastAsia="MS Mincho"/>
          <w:noProof/>
          <w:szCs w:val="22"/>
          <w:lang w:val="fr-FR" w:eastAsia="es-BO"/>
        </w:rPr>
        <w:t>n</w:t>
      </w:r>
      <w:r w:rsidR="005F1A2B" w:rsidRPr="00AD55D6">
        <w:rPr>
          <w:rFonts w:eastAsia="MS Mincho"/>
          <w:noProof/>
          <w:szCs w:val="22"/>
          <w:vertAlign w:val="superscript"/>
          <w:lang w:val="fr-FR" w:eastAsia="es-BO"/>
        </w:rPr>
        <w:t>o</w:t>
      </w:r>
      <w:r w:rsidR="005F1A2B">
        <w:rPr>
          <w:noProof/>
          <w:lang w:val="fr-FR" w:eastAsia="es-BO"/>
        </w:rPr>
        <w:t> </w:t>
      </w:r>
      <w:r>
        <w:rPr>
          <w:noProof/>
          <w:lang w:val="fr-FR" w:eastAsia="es-BO"/>
        </w:rPr>
        <w:t>2082 ré</w:t>
      </w:r>
      <w:r w:rsidRPr="00DF456A">
        <w:rPr>
          <w:noProof/>
          <w:lang w:val="fr-FR" w:eastAsia="es-BO"/>
        </w:rPr>
        <w:t>gl</w:t>
      </w:r>
      <w:r>
        <w:rPr>
          <w:noProof/>
          <w:lang w:val="fr-FR" w:eastAsia="es-BO"/>
        </w:rPr>
        <w:t>e</w:t>
      </w:r>
      <w:r w:rsidRPr="00DF456A">
        <w:rPr>
          <w:noProof/>
          <w:lang w:val="fr-FR" w:eastAsia="es-BO"/>
        </w:rPr>
        <w:t>ment</w:t>
      </w:r>
      <w:r>
        <w:rPr>
          <w:noProof/>
          <w:lang w:val="fr-FR" w:eastAsia="es-BO"/>
        </w:rPr>
        <w:t>e</w:t>
      </w:r>
      <w:r w:rsidRPr="00DF456A">
        <w:rPr>
          <w:noProof/>
          <w:lang w:val="fr-FR" w:eastAsia="es-BO"/>
        </w:rPr>
        <w:t xml:space="preserve"> la structur</w:t>
      </w:r>
      <w:r>
        <w:rPr>
          <w:noProof/>
          <w:lang w:val="fr-FR" w:eastAsia="es-BO"/>
        </w:rPr>
        <w:t xml:space="preserve">e et le fonctionnement du </w:t>
      </w:r>
      <w:r w:rsidRPr="00535B3D">
        <w:rPr>
          <w:noProof/>
          <w:lang w:val="fr-FR"/>
        </w:rPr>
        <w:t>Service de prévention de la torture</w:t>
      </w:r>
      <w:r w:rsidRPr="00DF456A">
        <w:rPr>
          <w:noProof/>
          <w:lang w:val="fr-FR" w:eastAsia="es-BO"/>
        </w:rPr>
        <w:t xml:space="preserve">, </w:t>
      </w:r>
      <w:r>
        <w:rPr>
          <w:noProof/>
          <w:lang w:val="fr-FR" w:eastAsia="es-BO"/>
        </w:rPr>
        <w:t>dont le champ de compétence s</w:t>
      </w:r>
      <w:r w:rsidR="00FB1114">
        <w:rPr>
          <w:noProof/>
          <w:lang w:val="fr-FR" w:eastAsia="es-BO"/>
        </w:rPr>
        <w:t>’</w:t>
      </w:r>
      <w:r>
        <w:rPr>
          <w:noProof/>
          <w:lang w:val="fr-FR" w:eastAsia="es-BO"/>
        </w:rPr>
        <w:t xml:space="preserve">étend </w:t>
      </w:r>
      <w:r w:rsidRPr="00F435A2">
        <w:rPr>
          <w:noProof/>
          <w:lang w:val="fr-FR" w:eastAsia="es-BO"/>
        </w:rPr>
        <w:t xml:space="preserve">aux </w:t>
      </w:r>
      <w:r w:rsidRPr="00F435A2">
        <w:rPr>
          <w:noProof/>
          <w:lang w:val="fr-FR"/>
        </w:rPr>
        <w:t>centres de détention, établissements pénitentiaires, établissements spécialisés, établissements pour mineurs pénalement responsables (système pénal pour adolescents), pénitenciers militaires, centres de formation de la police et de l</w:t>
      </w:r>
      <w:r w:rsidR="00FB1114">
        <w:rPr>
          <w:noProof/>
          <w:lang w:val="fr-FR"/>
        </w:rPr>
        <w:t>’</w:t>
      </w:r>
      <w:r w:rsidRPr="00F435A2">
        <w:rPr>
          <w:noProof/>
          <w:lang w:val="fr-FR"/>
        </w:rPr>
        <w:t>armée, casernes et toute autre institution, sans exercer aucune forme de discrimination, et ce sur l</w:t>
      </w:r>
      <w:r w:rsidR="00FB1114">
        <w:rPr>
          <w:noProof/>
          <w:lang w:val="fr-FR"/>
        </w:rPr>
        <w:t>’</w:t>
      </w:r>
      <w:r w:rsidRPr="00F435A2">
        <w:rPr>
          <w:noProof/>
          <w:lang w:val="fr-FR"/>
        </w:rPr>
        <w:t>ensemble du territoire bolivien</w:t>
      </w:r>
      <w:r w:rsidRPr="00DF456A">
        <w:rPr>
          <w:noProof/>
          <w:lang w:val="fr-FR" w:eastAsia="es-BO"/>
        </w:rPr>
        <w:t>.</w:t>
      </w:r>
    </w:p>
    <w:p w:rsidR="00614A7E" w:rsidRPr="00DF456A" w:rsidRDefault="00614A7E" w:rsidP="00614A7E">
      <w:pPr>
        <w:pStyle w:val="SingleTxtG"/>
        <w:rPr>
          <w:noProof/>
          <w:lang w:val="fr-FR" w:eastAsia="es-BO"/>
        </w:rPr>
      </w:pPr>
      <w:r w:rsidRPr="00DF456A">
        <w:rPr>
          <w:noProof/>
          <w:lang w:val="fr-FR" w:eastAsia="es-BO"/>
        </w:rPr>
        <w:t>203.</w:t>
      </w:r>
      <w:r w:rsidRPr="00DF456A">
        <w:rPr>
          <w:noProof/>
          <w:lang w:val="fr-FR" w:eastAsia="es-BO"/>
        </w:rPr>
        <w:tab/>
      </w:r>
      <w:r>
        <w:rPr>
          <w:noProof/>
          <w:lang w:val="fr-FR" w:eastAsia="es-BO"/>
        </w:rPr>
        <w:t xml:space="preserve">En juin </w:t>
      </w:r>
      <w:r w:rsidRPr="00DF456A">
        <w:rPr>
          <w:noProof/>
          <w:lang w:val="fr-FR" w:eastAsia="es-BO"/>
        </w:rPr>
        <w:t xml:space="preserve">2018, </w:t>
      </w:r>
      <w:r>
        <w:rPr>
          <w:noProof/>
          <w:lang w:val="fr-FR" w:eastAsia="es-BO"/>
        </w:rPr>
        <w:t xml:space="preserve">le </w:t>
      </w:r>
      <w:r w:rsidRPr="00535B3D">
        <w:rPr>
          <w:noProof/>
          <w:lang w:val="fr-FR"/>
        </w:rPr>
        <w:t>Service de prévention de la torture</w:t>
      </w:r>
      <w:r w:rsidRPr="00DF456A">
        <w:rPr>
          <w:noProof/>
          <w:lang w:val="fr-FR" w:eastAsia="es-BO"/>
        </w:rPr>
        <w:t xml:space="preserve"> </w:t>
      </w:r>
      <w:r>
        <w:rPr>
          <w:noProof/>
          <w:lang w:val="fr-FR" w:eastAsia="es-BO"/>
        </w:rPr>
        <w:t xml:space="preserve">avait mené les activités ci-après </w:t>
      </w:r>
      <w:r w:rsidRPr="00DF456A">
        <w:rPr>
          <w:noProof/>
          <w:lang w:val="fr-FR" w:eastAsia="es-BO"/>
        </w:rPr>
        <w:t>(</w:t>
      </w:r>
      <w:r>
        <w:rPr>
          <w:noProof/>
          <w:lang w:val="fr-FR" w:eastAsia="es-BO"/>
        </w:rPr>
        <w:t>annexe</w:t>
      </w:r>
      <w:r w:rsidR="005F1A2B">
        <w:rPr>
          <w:noProof/>
          <w:lang w:val="fr-FR" w:eastAsia="es-BO"/>
        </w:rPr>
        <w:t> </w:t>
      </w:r>
      <w:r w:rsidRPr="00DF456A">
        <w:rPr>
          <w:noProof/>
          <w:lang w:val="fr-FR" w:eastAsia="es-BO"/>
        </w:rPr>
        <w:t>66)</w:t>
      </w:r>
      <w:r w:rsidR="005F1A2B">
        <w:rPr>
          <w:noProof/>
          <w:lang w:val="fr-FR" w:eastAsia="es-BO"/>
        </w:rPr>
        <w:t> </w:t>
      </w:r>
      <w:r w:rsidRPr="00DF456A">
        <w:rPr>
          <w:noProof/>
          <w:lang w:val="fr-FR" w:eastAsia="es-BO"/>
        </w:rPr>
        <w:t>:</w:t>
      </w:r>
    </w:p>
    <w:p w:rsidR="00614A7E" w:rsidRPr="005F1A2B" w:rsidRDefault="00614A7E" w:rsidP="005F1A2B">
      <w:pPr>
        <w:pStyle w:val="Bullet1G"/>
      </w:pPr>
      <w:r w:rsidRPr="00DF456A">
        <w:rPr>
          <w:noProof/>
          <w:lang w:val="fr-FR"/>
        </w:rPr>
        <w:t>R</w:t>
      </w:r>
      <w:r>
        <w:rPr>
          <w:noProof/>
          <w:lang w:val="fr-FR"/>
        </w:rPr>
        <w:t>é</w:t>
      </w:r>
      <w:r w:rsidRPr="00DF456A">
        <w:rPr>
          <w:noProof/>
          <w:lang w:val="fr-FR"/>
        </w:rPr>
        <w:t>cep</w:t>
      </w:r>
      <w:r>
        <w:rPr>
          <w:noProof/>
          <w:lang w:val="fr-FR"/>
        </w:rPr>
        <w:t>tion de plaintes concernant d</w:t>
      </w:r>
      <w:r w:rsidR="00FB1114">
        <w:rPr>
          <w:noProof/>
          <w:lang w:val="fr-FR"/>
        </w:rPr>
        <w:t>’</w:t>
      </w:r>
      <w:r>
        <w:rPr>
          <w:noProof/>
          <w:lang w:val="fr-FR"/>
        </w:rPr>
        <w:t xml:space="preserve">éventuels cas de torture transmises par </w:t>
      </w:r>
      <w:r w:rsidRPr="00DF456A">
        <w:rPr>
          <w:noProof/>
          <w:lang w:val="fr-FR"/>
        </w:rPr>
        <w:t>Wha</w:t>
      </w:r>
      <w:r>
        <w:rPr>
          <w:noProof/>
          <w:lang w:val="fr-FR"/>
        </w:rPr>
        <w:t>tsApp</w:t>
      </w:r>
      <w:r w:rsidRPr="00DF456A">
        <w:rPr>
          <w:noProof/>
          <w:lang w:val="fr-FR"/>
        </w:rPr>
        <w:t xml:space="preserve"> </w:t>
      </w:r>
      <w:r>
        <w:rPr>
          <w:noProof/>
          <w:lang w:val="fr-FR"/>
        </w:rPr>
        <w:t xml:space="preserve">et textos </w:t>
      </w:r>
      <w:r w:rsidRPr="005F1A2B">
        <w:t>ou recueillies dans le cadre d</w:t>
      </w:r>
      <w:r w:rsidR="00FB1114">
        <w:t>’</w:t>
      </w:r>
      <w:r w:rsidRPr="005F1A2B">
        <w:t>entretiens avec les victimes de tortures à la faveur de visites impromptues</w:t>
      </w:r>
      <w:r w:rsidR="005F1A2B">
        <w:t> ;</w:t>
      </w:r>
    </w:p>
    <w:p w:rsidR="00614A7E" w:rsidRPr="005F1A2B" w:rsidRDefault="00614A7E" w:rsidP="005F1A2B">
      <w:pPr>
        <w:pStyle w:val="Bullet1G"/>
      </w:pPr>
      <w:r w:rsidRPr="005F1A2B">
        <w:t>Propositions de projet de loi sur la qualification pénale des faits de torture et autres peines ou traitements cruels, inhumains ou dégradants, assorties d</w:t>
      </w:r>
      <w:r w:rsidR="00FB1114">
        <w:t>’</w:t>
      </w:r>
      <w:r w:rsidRPr="005F1A2B">
        <w:t>un exposé des motifs conformément à l</w:t>
      </w:r>
      <w:r w:rsidR="00FB1114">
        <w:t>’</w:t>
      </w:r>
      <w:r w:rsidRPr="005F1A2B">
        <w:t>article premier de la Convention</w:t>
      </w:r>
      <w:r w:rsidR="005F1A2B">
        <w:t> ;</w:t>
      </w:r>
    </w:p>
    <w:p w:rsidR="00614A7E" w:rsidRPr="005F1A2B" w:rsidRDefault="00614A7E" w:rsidP="005F1A2B">
      <w:pPr>
        <w:pStyle w:val="Bullet1G"/>
      </w:pPr>
      <w:r w:rsidRPr="005F1A2B">
        <w:t>Rapports médicaux et psychologiques; établissement de 25</w:t>
      </w:r>
      <w:r w:rsidR="009E0047">
        <w:t> </w:t>
      </w:r>
      <w:r w:rsidRPr="005F1A2B">
        <w:t>documents sur la prévention d</w:t>
      </w:r>
      <w:r w:rsidR="00FB1114">
        <w:t>’</w:t>
      </w:r>
      <w:r w:rsidRPr="005F1A2B">
        <w:t>éventuels cas de torture et autres peines ou traitements cruels, inhumains ou dégradants dans différents centres du pays</w:t>
      </w:r>
      <w:r w:rsidR="005F1A2B">
        <w:t> ;</w:t>
      </w:r>
    </w:p>
    <w:p w:rsidR="00614A7E" w:rsidRPr="005F1A2B" w:rsidRDefault="00614A7E" w:rsidP="005F1A2B">
      <w:pPr>
        <w:pStyle w:val="Bullet1G"/>
      </w:pPr>
      <w:r w:rsidRPr="005F1A2B">
        <w:t>37 ateliers d</w:t>
      </w:r>
      <w:r w:rsidR="00FB1114">
        <w:t>’</w:t>
      </w:r>
      <w:r w:rsidRPr="005F1A2B">
        <w:t>information et de formation organisés au niveau national</w:t>
      </w:r>
      <w:r w:rsidR="009E0047">
        <w:t> ;</w:t>
      </w:r>
    </w:p>
    <w:p w:rsidR="00614A7E" w:rsidRPr="005F1A2B" w:rsidRDefault="00614A7E" w:rsidP="005F1A2B">
      <w:pPr>
        <w:pStyle w:val="Bullet1G"/>
      </w:pPr>
      <w:r w:rsidRPr="005F1A2B">
        <w:t>Formation de 1</w:t>
      </w:r>
      <w:r w:rsidR="009E0047">
        <w:t> </w:t>
      </w:r>
      <w:r w:rsidRPr="005F1A2B">
        <w:t>709</w:t>
      </w:r>
      <w:r w:rsidR="009E0047">
        <w:t> </w:t>
      </w:r>
      <w:r w:rsidRPr="005F1A2B">
        <w:t>fonctionnaires et représentants de la société civile au niveau national</w:t>
      </w:r>
      <w:r w:rsidR="009E0047">
        <w:t> ;</w:t>
      </w:r>
    </w:p>
    <w:p w:rsidR="00614A7E" w:rsidRPr="005F1A2B" w:rsidRDefault="009E0047" w:rsidP="005F1A2B">
      <w:pPr>
        <w:pStyle w:val="Bullet1G"/>
      </w:pPr>
      <w:r>
        <w:t>1</w:t>
      </w:r>
      <w:r w:rsidR="00614A7E" w:rsidRPr="005F1A2B">
        <w:t>59 visites impromptues réalisées dans le cadre de ses compétences au niveau national</w:t>
      </w:r>
      <w:r>
        <w:t> ;</w:t>
      </w:r>
    </w:p>
    <w:p w:rsidR="00614A7E" w:rsidRPr="005F1A2B" w:rsidRDefault="00614A7E" w:rsidP="005F1A2B">
      <w:pPr>
        <w:pStyle w:val="Bullet1G"/>
      </w:pPr>
      <w:r w:rsidRPr="005F1A2B">
        <w:t>14 recommandations soumises aux autorités de l</w:t>
      </w:r>
      <w:r w:rsidR="00FB1114">
        <w:t>’</w:t>
      </w:r>
      <w:r w:rsidRPr="005F1A2B">
        <w:t>État en matière de prévention de la torture</w:t>
      </w:r>
      <w:r w:rsidR="009E0047">
        <w:t> ;</w:t>
      </w:r>
    </w:p>
    <w:p w:rsidR="00614A7E" w:rsidRPr="005F1A2B" w:rsidRDefault="00614A7E" w:rsidP="005F1A2B">
      <w:pPr>
        <w:pStyle w:val="Bullet1G"/>
      </w:pPr>
      <w:r w:rsidRPr="005F1A2B">
        <w:t>88 réunions de coordination organisées avec des institutions publiques et des organisations de la société civile</w:t>
      </w:r>
      <w:r w:rsidR="00DB5145">
        <w:t> ;</w:t>
      </w:r>
    </w:p>
    <w:p w:rsidR="00614A7E" w:rsidRPr="005F1A2B" w:rsidRDefault="00614A7E" w:rsidP="005F1A2B">
      <w:pPr>
        <w:pStyle w:val="Bullet1G"/>
      </w:pPr>
      <w:r w:rsidRPr="005F1A2B">
        <w:t>66 activités de suivi d</w:t>
      </w:r>
      <w:r w:rsidR="00FB1114">
        <w:t>’</w:t>
      </w:r>
      <w:r w:rsidRPr="005F1A2B">
        <w:t>éventuels cas de torture</w:t>
      </w:r>
      <w:r w:rsidR="00DB5145">
        <w:t> ;</w:t>
      </w:r>
    </w:p>
    <w:p w:rsidR="00614A7E" w:rsidRPr="005F1A2B" w:rsidRDefault="00614A7E" w:rsidP="005F1A2B">
      <w:pPr>
        <w:pStyle w:val="Bullet1G"/>
      </w:pPr>
      <w:r w:rsidRPr="005F1A2B">
        <w:t>12 victimes éventuelles de torture prises en charge</w:t>
      </w:r>
      <w:r w:rsidR="00DB5145">
        <w:t> ;</w:t>
      </w:r>
    </w:p>
    <w:p w:rsidR="00614A7E" w:rsidRPr="00DF456A" w:rsidRDefault="00614A7E" w:rsidP="005F1A2B">
      <w:pPr>
        <w:pStyle w:val="Bullet1G"/>
        <w:rPr>
          <w:noProof/>
          <w:lang w:val="fr-FR"/>
        </w:rPr>
      </w:pPr>
      <w:r w:rsidRPr="005F1A2B">
        <w:t>Publications distribuées à l</w:t>
      </w:r>
      <w:r w:rsidR="00FB1114">
        <w:t>’</w:t>
      </w:r>
      <w:r w:rsidRPr="005F1A2B">
        <w:t>intérieur</w:t>
      </w:r>
      <w:r>
        <w:rPr>
          <w:noProof/>
          <w:lang w:val="fr-FR"/>
        </w:rPr>
        <w:t xml:space="preserve"> des centres </w:t>
      </w:r>
      <w:r w:rsidRPr="00DF456A">
        <w:rPr>
          <w:noProof/>
          <w:lang w:val="fr-FR"/>
        </w:rPr>
        <w:t>:</w:t>
      </w:r>
    </w:p>
    <w:p w:rsidR="00614A7E" w:rsidRPr="009E0047" w:rsidRDefault="00614A7E" w:rsidP="009E0047">
      <w:pPr>
        <w:pStyle w:val="Bullet2G"/>
      </w:pPr>
      <w:r w:rsidRPr="009E0047">
        <w:t>Recueil de règles nationales et internationales relatives à la prévention de la torture et autres peines ou traitements cruels, inhumains ou dégradants</w:t>
      </w:r>
      <w:r w:rsidR="00DB5145">
        <w:t> ;</w:t>
      </w:r>
    </w:p>
    <w:p w:rsidR="00614A7E" w:rsidRPr="009E0047" w:rsidRDefault="00614A7E" w:rsidP="009E0047">
      <w:pPr>
        <w:pStyle w:val="Bullet2G"/>
      </w:pPr>
      <w:r w:rsidRPr="009E0047">
        <w:tab/>
        <w:t>Affiche de l</w:t>
      </w:r>
      <w:r w:rsidR="00FB1114">
        <w:t>’</w:t>
      </w:r>
      <w:r w:rsidRPr="009E0047">
        <w:t>institution</w:t>
      </w:r>
      <w:r w:rsidR="00DB5145">
        <w:t> ;</w:t>
      </w:r>
    </w:p>
    <w:p w:rsidR="00614A7E" w:rsidRPr="009E0047" w:rsidRDefault="00614A7E" w:rsidP="009E0047">
      <w:pPr>
        <w:pStyle w:val="Bullet2G"/>
      </w:pPr>
      <w:r w:rsidRPr="009E0047">
        <w:tab/>
        <w:t>Dépliant</w:t>
      </w:r>
      <w:r w:rsidR="00DB5145">
        <w:t> ;</w:t>
      </w:r>
    </w:p>
    <w:p w:rsidR="00614A7E" w:rsidRPr="009E0047" w:rsidRDefault="00614A7E" w:rsidP="009E0047">
      <w:pPr>
        <w:pStyle w:val="Bullet2G"/>
      </w:pPr>
      <w:r w:rsidRPr="009E0047">
        <w:tab/>
        <w:t xml:space="preserve">Publication institutionnelle dans le journal </w:t>
      </w:r>
      <w:proofErr w:type="spellStart"/>
      <w:r w:rsidRPr="002440D2">
        <w:rPr>
          <w:i/>
        </w:rPr>
        <w:t>Cambio</w:t>
      </w:r>
      <w:proofErr w:type="spellEnd"/>
      <w:r w:rsidRPr="009E0047">
        <w:t xml:space="preserve"> du 25</w:t>
      </w:r>
      <w:r w:rsidR="00DB5145">
        <w:t> </w:t>
      </w:r>
      <w:r w:rsidRPr="009E0047">
        <w:t>décembre 2016</w:t>
      </w:r>
      <w:r w:rsidR="00DB5145">
        <w:t> </w:t>
      </w:r>
      <w:r w:rsidRPr="009E0047">
        <w:t>; et</w:t>
      </w:r>
    </w:p>
    <w:p w:rsidR="00614A7E" w:rsidRPr="00DF456A" w:rsidRDefault="00614A7E" w:rsidP="00370FFC">
      <w:pPr>
        <w:pStyle w:val="Bullet2G"/>
        <w:rPr>
          <w:noProof/>
          <w:lang w:val="fr-FR" w:eastAsia="es-BO"/>
        </w:rPr>
      </w:pPr>
      <w:r w:rsidRPr="00DF456A">
        <w:rPr>
          <w:noProof/>
          <w:lang w:val="fr-FR" w:eastAsia="es-BO"/>
        </w:rPr>
        <w:t>Publica</w:t>
      </w:r>
      <w:r>
        <w:rPr>
          <w:noProof/>
          <w:lang w:val="fr-FR" w:eastAsia="es-BO"/>
        </w:rPr>
        <w:t xml:space="preserve">tion </w:t>
      </w:r>
      <w:r w:rsidRPr="00DF456A">
        <w:rPr>
          <w:noProof/>
          <w:lang w:val="fr-FR" w:eastAsia="es-BO"/>
        </w:rPr>
        <w:t>institu</w:t>
      </w:r>
      <w:r>
        <w:rPr>
          <w:noProof/>
          <w:lang w:val="fr-FR" w:eastAsia="es-BO"/>
        </w:rPr>
        <w:t xml:space="preserve">tionnelle dans le journal </w:t>
      </w:r>
      <w:proofErr w:type="spellStart"/>
      <w:r w:rsidR="002440D2" w:rsidRPr="002440D2">
        <w:rPr>
          <w:i/>
        </w:rPr>
        <w:t>Cambio</w:t>
      </w:r>
      <w:proofErr w:type="spellEnd"/>
      <w:r w:rsidR="002440D2" w:rsidRPr="009E0047">
        <w:t xml:space="preserve"> </w:t>
      </w:r>
      <w:r w:rsidRPr="00DF456A">
        <w:rPr>
          <w:rFonts w:eastAsia="Calibri"/>
          <w:noProof/>
          <w:lang w:val="fr-FR" w:eastAsia="es-BO"/>
        </w:rPr>
        <w:t>d</w:t>
      </w:r>
      <w:r>
        <w:rPr>
          <w:rFonts w:eastAsia="Calibri"/>
          <w:noProof/>
          <w:lang w:val="fr-FR" w:eastAsia="es-BO"/>
        </w:rPr>
        <w:t>u</w:t>
      </w:r>
      <w:r w:rsidRPr="00DF456A">
        <w:rPr>
          <w:rFonts w:eastAsia="Calibri"/>
          <w:noProof/>
          <w:lang w:val="fr-FR" w:eastAsia="es-BO"/>
        </w:rPr>
        <w:t xml:space="preserve"> 27</w:t>
      </w:r>
      <w:r w:rsidR="00370FFC">
        <w:rPr>
          <w:rFonts w:eastAsia="Calibri"/>
          <w:noProof/>
          <w:lang w:val="fr-FR" w:eastAsia="es-BO"/>
        </w:rPr>
        <w:t> </w:t>
      </w:r>
      <w:r>
        <w:rPr>
          <w:rFonts w:eastAsia="Calibri"/>
          <w:noProof/>
          <w:lang w:val="fr-FR" w:eastAsia="es-BO"/>
        </w:rPr>
        <w:t xml:space="preserve">août </w:t>
      </w:r>
      <w:r w:rsidRPr="00DF456A">
        <w:rPr>
          <w:rFonts w:eastAsia="Calibri"/>
          <w:noProof/>
          <w:lang w:val="fr-FR" w:eastAsia="es-BO"/>
        </w:rPr>
        <w:t>2017</w:t>
      </w:r>
      <w:r w:rsidR="00370FFC">
        <w:rPr>
          <w:rFonts w:eastAsia="Calibri"/>
          <w:noProof/>
          <w:lang w:val="fr-FR" w:eastAsia="es-BO"/>
        </w:rPr>
        <w:t> ;</w:t>
      </w:r>
    </w:p>
    <w:p w:rsidR="00614A7E" w:rsidRPr="00DF456A" w:rsidRDefault="00614A7E" w:rsidP="00370FFC">
      <w:pPr>
        <w:pStyle w:val="Bullet1G"/>
        <w:rPr>
          <w:noProof/>
          <w:lang w:val="fr-FR"/>
        </w:rPr>
      </w:pPr>
      <w:r>
        <w:rPr>
          <w:noProof/>
          <w:lang w:val="fr-FR"/>
        </w:rPr>
        <w:t xml:space="preserve">Autres activités </w:t>
      </w:r>
      <w:r w:rsidRPr="00DF456A">
        <w:rPr>
          <w:noProof/>
          <w:lang w:val="fr-FR"/>
        </w:rPr>
        <w:t>:</w:t>
      </w:r>
    </w:p>
    <w:p w:rsidR="00614A7E" w:rsidRPr="00DF456A" w:rsidRDefault="00614A7E" w:rsidP="00370FFC">
      <w:pPr>
        <w:pStyle w:val="Bullet2G"/>
        <w:rPr>
          <w:rFonts w:eastAsia="Calibri"/>
          <w:noProof/>
          <w:lang w:val="fr-FR"/>
        </w:rPr>
      </w:pPr>
      <w:r>
        <w:rPr>
          <w:rFonts w:eastAsia="Calibri"/>
          <w:noProof/>
          <w:lang w:val="fr-FR"/>
        </w:rPr>
        <w:t>Message radiophonique sur la chaîne nationale « </w:t>
      </w:r>
      <w:r w:rsidRPr="00DF456A">
        <w:rPr>
          <w:rFonts w:eastAsia="Calibri"/>
          <w:noProof/>
          <w:lang w:val="fr-FR"/>
        </w:rPr>
        <w:t>Patria nueva</w:t>
      </w:r>
      <w:r>
        <w:rPr>
          <w:rFonts w:eastAsia="Calibri"/>
          <w:noProof/>
          <w:lang w:val="fr-FR"/>
        </w:rPr>
        <w:t> »</w:t>
      </w:r>
      <w:r w:rsidR="00370FFC">
        <w:rPr>
          <w:rFonts w:eastAsia="Calibri"/>
          <w:noProof/>
          <w:lang w:val="fr-FR"/>
        </w:rPr>
        <w:t> ;</w:t>
      </w:r>
    </w:p>
    <w:p w:rsidR="00614A7E" w:rsidRPr="00DF456A" w:rsidRDefault="00614A7E" w:rsidP="00370FFC">
      <w:pPr>
        <w:pStyle w:val="Bullet2G"/>
        <w:rPr>
          <w:rFonts w:eastAsia="Calibri"/>
          <w:noProof/>
          <w:lang w:val="fr-FR"/>
        </w:rPr>
      </w:pPr>
      <w:r>
        <w:rPr>
          <w:rFonts w:eastAsia="Calibri"/>
          <w:noProof/>
          <w:lang w:val="fr-FR"/>
        </w:rPr>
        <w:t>Publicités achetées auprès de l</w:t>
      </w:r>
      <w:r w:rsidR="00FB1114">
        <w:rPr>
          <w:rFonts w:eastAsia="Calibri"/>
          <w:noProof/>
          <w:lang w:val="fr-FR"/>
        </w:rPr>
        <w:t>’</w:t>
      </w:r>
      <w:r>
        <w:rPr>
          <w:rFonts w:eastAsia="Calibri"/>
          <w:noProof/>
          <w:lang w:val="fr-FR"/>
        </w:rPr>
        <w:t xml:space="preserve">entreprise publique de transport par câble </w:t>
      </w:r>
      <w:r w:rsidR="00582980">
        <w:rPr>
          <w:rFonts w:eastAsia="Calibri"/>
          <w:noProof/>
          <w:lang w:val="fr-FR"/>
        </w:rPr>
        <w:t>« </w:t>
      </w:r>
      <w:r w:rsidRPr="00582980">
        <w:rPr>
          <w:rFonts w:eastAsia="Calibri"/>
          <w:noProof/>
          <w:lang w:val="fr-FR"/>
        </w:rPr>
        <w:t>Mi</w:t>
      </w:r>
      <w:r w:rsidR="003809BD" w:rsidRPr="00582980">
        <w:rPr>
          <w:rFonts w:eastAsia="Calibri"/>
          <w:noProof/>
          <w:lang w:val="fr-FR"/>
        </w:rPr>
        <w:t> </w:t>
      </w:r>
      <w:r w:rsidRPr="00582980">
        <w:rPr>
          <w:rFonts w:eastAsia="Calibri"/>
          <w:noProof/>
          <w:lang w:val="fr-FR"/>
        </w:rPr>
        <w:t>teleférico</w:t>
      </w:r>
      <w:r w:rsidR="00582980">
        <w:rPr>
          <w:rFonts w:eastAsia="Calibri"/>
          <w:noProof/>
          <w:lang w:val="fr-FR"/>
        </w:rPr>
        <w:t> »</w:t>
      </w:r>
      <w:r w:rsidRPr="00DF456A">
        <w:rPr>
          <w:rFonts w:eastAsia="Calibri"/>
          <w:noProof/>
          <w:lang w:val="fr-FR"/>
        </w:rPr>
        <w:t xml:space="preserve"> de la </w:t>
      </w:r>
      <w:r>
        <w:rPr>
          <w:rFonts w:eastAsia="Calibri"/>
          <w:noProof/>
          <w:lang w:val="fr-FR"/>
        </w:rPr>
        <w:t xml:space="preserve">ville de </w:t>
      </w:r>
      <w:r w:rsidRPr="00DF456A">
        <w:rPr>
          <w:rFonts w:eastAsia="Calibri"/>
          <w:noProof/>
          <w:lang w:val="fr-FR"/>
        </w:rPr>
        <w:t>La Paz</w:t>
      </w:r>
      <w:r w:rsidR="00370FFC">
        <w:rPr>
          <w:rFonts w:eastAsia="Calibri"/>
          <w:noProof/>
          <w:lang w:val="fr-FR"/>
        </w:rPr>
        <w:t> ;</w:t>
      </w:r>
    </w:p>
    <w:p w:rsidR="00614A7E" w:rsidRPr="00DF456A" w:rsidRDefault="00614A7E" w:rsidP="00370FFC">
      <w:pPr>
        <w:pStyle w:val="Bullet2G"/>
        <w:rPr>
          <w:rFonts w:eastAsia="Calibri"/>
          <w:noProof/>
          <w:lang w:val="fr-FR"/>
        </w:rPr>
      </w:pPr>
      <w:r w:rsidRPr="00DF456A">
        <w:rPr>
          <w:rFonts w:eastAsia="Calibri"/>
          <w:noProof/>
          <w:lang w:val="fr-FR"/>
        </w:rPr>
        <w:t>Spot publicita</w:t>
      </w:r>
      <w:r>
        <w:rPr>
          <w:rFonts w:eastAsia="Calibri"/>
          <w:noProof/>
          <w:lang w:val="fr-FR"/>
        </w:rPr>
        <w:t>ire télévisé, diffusé sur la chaîne</w:t>
      </w:r>
      <w:r w:rsidR="003809BD">
        <w:rPr>
          <w:rFonts w:eastAsia="Calibri"/>
          <w:noProof/>
          <w:lang w:val="fr-FR"/>
        </w:rPr>
        <w:t> </w:t>
      </w:r>
      <w:r w:rsidRPr="00DF456A">
        <w:rPr>
          <w:rFonts w:eastAsia="Calibri"/>
          <w:noProof/>
          <w:lang w:val="fr-FR"/>
        </w:rPr>
        <w:t xml:space="preserve">7 </w:t>
      </w:r>
      <w:r>
        <w:rPr>
          <w:rFonts w:eastAsia="Calibri"/>
          <w:noProof/>
          <w:lang w:val="fr-FR"/>
        </w:rPr>
        <w:t>nationale « </w:t>
      </w:r>
      <w:r w:rsidRPr="00DF456A">
        <w:rPr>
          <w:rFonts w:eastAsia="Calibri"/>
          <w:noProof/>
          <w:lang w:val="fr-FR"/>
        </w:rPr>
        <w:t>Bolivia TV</w:t>
      </w:r>
      <w:r>
        <w:rPr>
          <w:rFonts w:eastAsia="Calibri"/>
          <w:noProof/>
          <w:lang w:val="fr-FR"/>
        </w:rPr>
        <w:t> »</w:t>
      </w:r>
      <w:r w:rsidRPr="00DF456A">
        <w:rPr>
          <w:rFonts w:eastAsia="Calibri"/>
          <w:noProof/>
          <w:lang w:val="fr-FR"/>
        </w:rPr>
        <w:t>.</w:t>
      </w:r>
    </w:p>
    <w:p w:rsidR="00614A7E" w:rsidRPr="00DF456A" w:rsidRDefault="00614A7E" w:rsidP="00FC3327">
      <w:pPr>
        <w:pStyle w:val="H1G"/>
        <w:rPr>
          <w:noProof/>
          <w:lang w:val="fr-FR" w:eastAsia="es-BO"/>
        </w:rPr>
      </w:pPr>
      <w:r w:rsidRPr="00DF456A">
        <w:rPr>
          <w:noProof/>
          <w:lang w:val="fr-FR" w:eastAsia="es-BO"/>
        </w:rPr>
        <w:lastRenderedPageBreak/>
        <w:tab/>
      </w:r>
      <w:r w:rsidRPr="00DF456A">
        <w:rPr>
          <w:noProof/>
          <w:lang w:val="fr-FR" w:eastAsia="es-BO"/>
        </w:rPr>
        <w:tab/>
        <w:t>Publica</w:t>
      </w:r>
      <w:r>
        <w:rPr>
          <w:noProof/>
          <w:lang w:val="fr-FR" w:eastAsia="es-BO"/>
        </w:rPr>
        <w:t xml:space="preserve">tion </w:t>
      </w:r>
      <w:r w:rsidRPr="003809BD">
        <w:t>du</w:t>
      </w:r>
      <w:r>
        <w:rPr>
          <w:noProof/>
          <w:lang w:val="fr-FR" w:eastAsia="es-BO"/>
        </w:rPr>
        <w:t xml:space="preserve"> </w:t>
      </w:r>
      <w:r w:rsidRPr="00FC3327">
        <w:t>rapport</w:t>
      </w:r>
      <w:r>
        <w:rPr>
          <w:noProof/>
          <w:lang w:val="fr-FR" w:eastAsia="es-BO"/>
        </w:rPr>
        <w:t xml:space="preserve"> sur la visite effectuée par le </w:t>
      </w:r>
      <w:r w:rsidRPr="00E318DB">
        <w:rPr>
          <w:rFonts w:eastAsia="Times New Roman"/>
          <w:bCs/>
          <w:lang w:val="fr-FR" w:eastAsia="zh-CN"/>
        </w:rPr>
        <w:t xml:space="preserve">Sous-Comité </w:t>
      </w:r>
      <w:r w:rsidR="00FC3327">
        <w:rPr>
          <w:rFonts w:eastAsia="Times New Roman"/>
          <w:bCs/>
          <w:lang w:val="fr-FR" w:eastAsia="zh-CN"/>
        </w:rPr>
        <w:br/>
      </w:r>
      <w:r w:rsidRPr="00E318DB">
        <w:rPr>
          <w:rFonts w:eastAsia="Times New Roman"/>
          <w:bCs/>
          <w:lang w:val="fr-FR" w:eastAsia="zh-CN"/>
        </w:rPr>
        <w:t>pour la prévention de la torture</w:t>
      </w:r>
    </w:p>
    <w:p w:rsidR="00614A7E" w:rsidRPr="00DF456A" w:rsidRDefault="00614A7E" w:rsidP="00614A7E">
      <w:pPr>
        <w:pStyle w:val="SingleTxtG"/>
        <w:rPr>
          <w:noProof/>
          <w:lang w:val="fr-FR" w:eastAsia="es-BO"/>
        </w:rPr>
      </w:pPr>
      <w:r w:rsidRPr="00DF456A">
        <w:rPr>
          <w:noProof/>
          <w:lang w:val="fr-FR" w:eastAsia="es-BO"/>
        </w:rPr>
        <w:t>204.</w:t>
      </w:r>
      <w:r w:rsidRPr="00DF456A">
        <w:rPr>
          <w:noProof/>
          <w:lang w:val="fr-FR" w:eastAsia="es-BO"/>
        </w:rPr>
        <w:tab/>
      </w:r>
      <w:r>
        <w:rPr>
          <w:noProof/>
          <w:lang w:val="fr-FR" w:eastAsia="es-BO"/>
        </w:rPr>
        <w:t xml:space="preserve">Le Sous-Comité pour la prévention de la torture a effectué sa deuxième visite en Bolivie du </w:t>
      </w:r>
      <w:r w:rsidRPr="00DF456A">
        <w:rPr>
          <w:noProof/>
          <w:lang w:val="fr-FR" w:eastAsia="es-BO"/>
        </w:rPr>
        <w:t>2 a</w:t>
      </w:r>
      <w:r>
        <w:rPr>
          <w:noProof/>
          <w:lang w:val="fr-FR" w:eastAsia="es-BO"/>
        </w:rPr>
        <w:t>u</w:t>
      </w:r>
      <w:r w:rsidRPr="00DF456A">
        <w:rPr>
          <w:noProof/>
          <w:lang w:val="fr-FR" w:eastAsia="es-BO"/>
        </w:rPr>
        <w:t xml:space="preserve"> 11</w:t>
      </w:r>
      <w:r w:rsidR="003809BD">
        <w:rPr>
          <w:noProof/>
          <w:lang w:val="fr-FR" w:eastAsia="es-BO"/>
        </w:rPr>
        <w:t> </w:t>
      </w:r>
      <w:r w:rsidRPr="00DF456A">
        <w:rPr>
          <w:noProof/>
          <w:lang w:val="fr-FR" w:eastAsia="es-BO"/>
        </w:rPr>
        <w:t>ma</w:t>
      </w:r>
      <w:r>
        <w:rPr>
          <w:noProof/>
          <w:lang w:val="fr-FR" w:eastAsia="es-BO"/>
        </w:rPr>
        <w:t xml:space="preserve">i </w:t>
      </w:r>
      <w:r w:rsidRPr="00DF456A">
        <w:rPr>
          <w:noProof/>
          <w:lang w:val="fr-FR" w:eastAsia="es-BO"/>
        </w:rPr>
        <w:t xml:space="preserve">2017, </w:t>
      </w:r>
      <w:r>
        <w:rPr>
          <w:noProof/>
          <w:lang w:val="fr-FR" w:eastAsia="es-BO"/>
        </w:rPr>
        <w:t xml:space="preserve">au sujet de laquelle il a adopté un rapport assorti de </w:t>
      </w:r>
      <w:r w:rsidRPr="00DF456A">
        <w:rPr>
          <w:noProof/>
          <w:lang w:val="fr-FR" w:eastAsia="es-BO"/>
        </w:rPr>
        <w:t>recom</w:t>
      </w:r>
      <w:r>
        <w:rPr>
          <w:noProof/>
          <w:lang w:val="fr-FR" w:eastAsia="es-BO"/>
        </w:rPr>
        <w:t>ma</w:t>
      </w:r>
      <w:r w:rsidRPr="00DF456A">
        <w:rPr>
          <w:noProof/>
          <w:lang w:val="fr-FR" w:eastAsia="es-BO"/>
        </w:rPr>
        <w:t>nda</w:t>
      </w:r>
      <w:r>
        <w:rPr>
          <w:noProof/>
          <w:lang w:val="fr-FR" w:eastAsia="es-BO"/>
        </w:rPr>
        <w:t>tions, qui a été publié en 2018 à l</w:t>
      </w:r>
      <w:r w:rsidR="00FB1114">
        <w:rPr>
          <w:noProof/>
          <w:lang w:val="fr-FR" w:eastAsia="es-BO"/>
        </w:rPr>
        <w:t>’</w:t>
      </w:r>
      <w:r>
        <w:rPr>
          <w:noProof/>
          <w:lang w:val="fr-FR" w:eastAsia="es-BO"/>
        </w:rPr>
        <w:t>issue d</w:t>
      </w:r>
      <w:r w:rsidR="00FB1114">
        <w:rPr>
          <w:noProof/>
          <w:lang w:val="fr-FR" w:eastAsia="es-BO"/>
        </w:rPr>
        <w:t>’</w:t>
      </w:r>
      <w:r>
        <w:rPr>
          <w:noProof/>
          <w:lang w:val="fr-FR" w:eastAsia="es-BO"/>
        </w:rPr>
        <w:t>une coordination entre l</w:t>
      </w:r>
      <w:r w:rsidR="00FB1114">
        <w:rPr>
          <w:noProof/>
          <w:lang w:val="fr-FR" w:eastAsia="es-BO"/>
        </w:rPr>
        <w:t>’</w:t>
      </w:r>
      <w:r>
        <w:rPr>
          <w:noProof/>
          <w:lang w:val="fr-FR" w:eastAsia="es-BO"/>
        </w:rPr>
        <w:t xml:space="preserve">État bolivien et le Sous-Comité. Il est disponible </w:t>
      </w:r>
      <w:r w:rsidR="001F2105">
        <w:rPr>
          <w:noProof/>
          <w:lang w:val="fr-FR" w:eastAsia="es-BO"/>
        </w:rPr>
        <w:t xml:space="preserve">à </w:t>
      </w:r>
      <w:r>
        <w:rPr>
          <w:noProof/>
          <w:lang w:val="fr-FR" w:eastAsia="es-BO"/>
        </w:rPr>
        <w:t>l</w:t>
      </w:r>
      <w:r w:rsidR="00FB1114">
        <w:rPr>
          <w:noProof/>
          <w:lang w:val="fr-FR" w:eastAsia="es-BO"/>
        </w:rPr>
        <w:t>’</w:t>
      </w:r>
      <w:r>
        <w:rPr>
          <w:noProof/>
          <w:lang w:val="fr-FR" w:eastAsia="es-BO"/>
        </w:rPr>
        <w:t xml:space="preserve">adresse </w:t>
      </w:r>
      <w:hyperlink r:id="rId11" w:history="1">
        <w:r w:rsidRPr="00C12380">
          <w:rPr>
            <w:rStyle w:val="Lienhypertexte"/>
            <w:noProof/>
            <w:lang w:val="fr-FR"/>
          </w:rPr>
          <w:t>https://tbinternet.ohchr.org/_layouts/</w:t>
        </w:r>
        <w:r w:rsidR="003809BD">
          <w:rPr>
            <w:rStyle w:val="Lienhypertexte"/>
            <w:noProof/>
            <w:lang w:val="fr-FR"/>
          </w:rPr>
          <w:t xml:space="preserve"> </w:t>
        </w:r>
        <w:r w:rsidRPr="00C12380">
          <w:rPr>
            <w:rStyle w:val="Lienhypertexte"/>
            <w:noProof/>
            <w:lang w:val="fr-FR"/>
          </w:rPr>
          <w:t>treatybodyexternal/TBSearch.aspx?Lang=en</w:t>
        </w:r>
      </w:hyperlink>
      <w:r w:rsidRPr="00DF456A">
        <w:rPr>
          <w:noProof/>
          <w:lang w:val="fr-FR" w:eastAsia="es-BO"/>
        </w:rPr>
        <w:t>.</w:t>
      </w:r>
    </w:p>
    <w:p w:rsidR="00614A7E" w:rsidRPr="00DF456A" w:rsidRDefault="00614A7E" w:rsidP="00FC3327">
      <w:pPr>
        <w:pStyle w:val="H1G"/>
        <w:rPr>
          <w:noProof/>
          <w:lang w:val="fr-FR" w:eastAsia="es-BO"/>
        </w:rPr>
      </w:pPr>
      <w:r w:rsidRPr="00DF456A">
        <w:rPr>
          <w:noProof/>
          <w:lang w:val="fr-FR" w:eastAsia="es-BO"/>
        </w:rPr>
        <w:tab/>
      </w:r>
      <w:r w:rsidRPr="00DF456A">
        <w:rPr>
          <w:noProof/>
          <w:lang w:val="fr-FR" w:eastAsia="es-BO"/>
        </w:rPr>
        <w:tab/>
      </w:r>
      <w:r w:rsidRPr="00FC3327">
        <w:t>Formation</w:t>
      </w:r>
    </w:p>
    <w:p w:rsidR="00614A7E" w:rsidRPr="00DF456A" w:rsidRDefault="00614A7E" w:rsidP="00FC3327">
      <w:pPr>
        <w:pStyle w:val="H23G"/>
        <w:rPr>
          <w:noProof/>
          <w:lang w:val="fr-FR" w:eastAsia="es-BO"/>
        </w:rPr>
      </w:pPr>
      <w:r w:rsidRPr="00DF456A">
        <w:rPr>
          <w:noProof/>
          <w:lang w:val="fr-FR" w:eastAsia="es-BO"/>
        </w:rPr>
        <w:tab/>
      </w:r>
      <w:r w:rsidRPr="00DF456A">
        <w:rPr>
          <w:noProof/>
          <w:lang w:val="fr-FR" w:eastAsia="es-BO"/>
        </w:rPr>
        <w:tab/>
        <w:t>Recom</w:t>
      </w:r>
      <w:r>
        <w:rPr>
          <w:noProof/>
          <w:lang w:val="fr-FR" w:eastAsia="es-BO"/>
        </w:rPr>
        <w:t xml:space="preserve">mandation figurant au paragraphe </w:t>
      </w:r>
      <w:r w:rsidRPr="00DF456A">
        <w:rPr>
          <w:noProof/>
          <w:lang w:val="fr-FR" w:eastAsia="es-BO"/>
        </w:rPr>
        <w:t>22.a</w:t>
      </w:r>
    </w:p>
    <w:p w:rsidR="00614A7E" w:rsidRPr="00DF456A" w:rsidRDefault="00614A7E" w:rsidP="00614A7E">
      <w:pPr>
        <w:pStyle w:val="SingleTxtG"/>
        <w:rPr>
          <w:noProof/>
          <w:lang w:val="fr-FR" w:eastAsia="es-BO"/>
        </w:rPr>
      </w:pPr>
      <w:r w:rsidRPr="00DF456A">
        <w:rPr>
          <w:noProof/>
          <w:lang w:val="fr-FR" w:eastAsia="es-BO"/>
        </w:rPr>
        <w:t>205.</w:t>
      </w:r>
      <w:r w:rsidRPr="00DF456A">
        <w:rPr>
          <w:noProof/>
          <w:lang w:val="fr-FR" w:eastAsia="es-BO"/>
        </w:rPr>
        <w:tab/>
        <w:t>La P</w:t>
      </w:r>
      <w:r>
        <w:rPr>
          <w:noProof/>
          <w:lang w:val="fr-FR" w:eastAsia="es-BO"/>
        </w:rPr>
        <w:t>olice bolivienne a, par l</w:t>
      </w:r>
      <w:r w:rsidR="00FB1114">
        <w:rPr>
          <w:noProof/>
          <w:lang w:val="fr-FR" w:eastAsia="es-BO"/>
        </w:rPr>
        <w:t>’</w:t>
      </w:r>
      <w:r>
        <w:rPr>
          <w:noProof/>
          <w:lang w:val="fr-FR" w:eastAsia="es-BO"/>
        </w:rPr>
        <w:t>intermédiaire de la Direction nationale des droits de l</w:t>
      </w:r>
      <w:r w:rsidR="00FB1114">
        <w:rPr>
          <w:noProof/>
          <w:lang w:val="fr-FR" w:eastAsia="es-BO"/>
        </w:rPr>
        <w:t>’</w:t>
      </w:r>
      <w:r>
        <w:rPr>
          <w:noProof/>
          <w:lang w:val="fr-FR" w:eastAsia="es-BO"/>
        </w:rPr>
        <w:t xml:space="preserve">homme, dispensé aux fonctionnaires de police ou aux policiers employés par les </w:t>
      </w:r>
      <w:r w:rsidR="001F2105">
        <w:rPr>
          <w:noProof/>
          <w:lang w:val="fr-FR" w:eastAsia="es-BO"/>
        </w:rPr>
        <w:t>d</w:t>
      </w:r>
      <w:r>
        <w:rPr>
          <w:noProof/>
          <w:lang w:val="fr-FR" w:eastAsia="es-BO"/>
        </w:rPr>
        <w:t>irections nationales, les commandements départementaux, les unités opérationnelles et les postes de police centralisés au niveau national</w:t>
      </w:r>
      <w:r w:rsidRPr="00DF456A">
        <w:rPr>
          <w:noProof/>
          <w:lang w:val="fr-FR" w:eastAsia="es-BO"/>
        </w:rPr>
        <w:t xml:space="preserve"> </w:t>
      </w:r>
      <w:r>
        <w:rPr>
          <w:noProof/>
          <w:lang w:val="fr-FR" w:eastAsia="es-BO"/>
        </w:rPr>
        <w:t xml:space="preserve">des cours de formation aux questions liées à la prévention </w:t>
      </w:r>
      <w:r w:rsidRPr="00DF456A">
        <w:rPr>
          <w:noProof/>
          <w:lang w:val="fr-FR" w:eastAsia="es-BO"/>
        </w:rPr>
        <w:t>de la tortur</w:t>
      </w:r>
      <w:r>
        <w:rPr>
          <w:noProof/>
          <w:lang w:val="fr-FR" w:eastAsia="es-BO"/>
        </w:rPr>
        <w:t>e</w:t>
      </w:r>
      <w:r w:rsidRPr="00DF456A">
        <w:rPr>
          <w:noProof/>
          <w:lang w:val="fr-FR" w:eastAsia="es-BO"/>
        </w:rPr>
        <w:t xml:space="preserve">, </w:t>
      </w:r>
      <w:r>
        <w:rPr>
          <w:noProof/>
          <w:lang w:val="fr-FR" w:eastAsia="es-BO"/>
        </w:rPr>
        <w:t xml:space="preserve">à </w:t>
      </w:r>
      <w:r w:rsidRPr="00DF456A">
        <w:rPr>
          <w:noProof/>
          <w:lang w:val="fr-FR" w:eastAsia="es-BO"/>
        </w:rPr>
        <w:t>la Conven</w:t>
      </w:r>
      <w:r>
        <w:rPr>
          <w:noProof/>
          <w:lang w:val="fr-FR" w:eastAsia="es-BO"/>
        </w:rPr>
        <w:t>tion et au Code de conduite de la police. Elle a également dispensé des cours sur le maintien de l</w:t>
      </w:r>
      <w:r w:rsidR="00FB1114">
        <w:rPr>
          <w:noProof/>
          <w:lang w:val="fr-FR" w:eastAsia="es-BO"/>
        </w:rPr>
        <w:t>’</w:t>
      </w:r>
      <w:r>
        <w:rPr>
          <w:noProof/>
          <w:lang w:val="fr-FR" w:eastAsia="es-BO"/>
        </w:rPr>
        <w:t>ordre public et, à l</w:t>
      </w:r>
      <w:r w:rsidR="00FB1114">
        <w:rPr>
          <w:noProof/>
          <w:lang w:val="fr-FR" w:eastAsia="es-BO"/>
        </w:rPr>
        <w:t>’</w:t>
      </w:r>
      <w:r>
        <w:rPr>
          <w:noProof/>
          <w:lang w:val="fr-FR" w:eastAsia="es-BO"/>
        </w:rPr>
        <w:t>intention des instructrices et instructeurs, des cours de formation aux droits de la personne appliqués à la fonction policière</w:t>
      </w:r>
      <w:r w:rsidRPr="00DF456A">
        <w:rPr>
          <w:noProof/>
          <w:lang w:val="fr-FR" w:eastAsia="es-BO"/>
        </w:rPr>
        <w:t xml:space="preserve">, </w:t>
      </w:r>
      <w:r>
        <w:rPr>
          <w:noProof/>
          <w:lang w:val="fr-FR" w:eastAsia="es-BO"/>
        </w:rPr>
        <w:t xml:space="preserve">cours qui font une place à la question de la prévention de la torture </w:t>
      </w:r>
      <w:r w:rsidRPr="00DF456A">
        <w:rPr>
          <w:noProof/>
          <w:lang w:val="fr-FR" w:eastAsia="es-BO"/>
        </w:rPr>
        <w:t>(</w:t>
      </w:r>
      <w:r>
        <w:rPr>
          <w:noProof/>
          <w:lang w:val="fr-FR" w:eastAsia="es-BO"/>
        </w:rPr>
        <w:t>annexe</w:t>
      </w:r>
      <w:r w:rsidR="00C77D0C">
        <w:rPr>
          <w:noProof/>
          <w:lang w:val="fr-FR" w:eastAsia="es-BO"/>
        </w:rPr>
        <w:t> </w:t>
      </w:r>
      <w:r w:rsidRPr="00DF456A">
        <w:rPr>
          <w:noProof/>
          <w:lang w:val="fr-FR" w:eastAsia="es-BO"/>
        </w:rPr>
        <w:t>67).</w:t>
      </w:r>
    </w:p>
    <w:p w:rsidR="00614A7E" w:rsidRPr="00DF456A" w:rsidRDefault="00614A7E" w:rsidP="00614A7E">
      <w:pPr>
        <w:pStyle w:val="SingleTxtG"/>
        <w:rPr>
          <w:noProof/>
          <w:lang w:val="fr-FR" w:eastAsia="es-BO"/>
        </w:rPr>
      </w:pPr>
      <w:r w:rsidRPr="00DF456A">
        <w:rPr>
          <w:noProof/>
          <w:lang w:val="fr-FR" w:eastAsia="es-BO"/>
        </w:rPr>
        <w:t>206.</w:t>
      </w:r>
      <w:r w:rsidRPr="00DF456A">
        <w:rPr>
          <w:noProof/>
          <w:lang w:val="fr-FR" w:eastAsia="es-BO"/>
        </w:rPr>
        <w:tab/>
      </w:r>
      <w:r>
        <w:rPr>
          <w:noProof/>
          <w:lang w:val="fr-FR" w:eastAsia="es-BO"/>
        </w:rPr>
        <w:t xml:space="preserve">De même, </w:t>
      </w:r>
      <w:r w:rsidRPr="00DF456A">
        <w:rPr>
          <w:noProof/>
          <w:lang w:val="fr-FR" w:eastAsia="es-BO"/>
        </w:rPr>
        <w:t>la P</w:t>
      </w:r>
      <w:r>
        <w:rPr>
          <w:noProof/>
          <w:lang w:val="fr-FR" w:eastAsia="es-BO"/>
        </w:rPr>
        <w:t xml:space="preserve">olice bolivienne a confectionné des mallettes pédagogiques et des affiches relatives à la prévention de la torture. Ces matériels ont été distribués et installés dans </w:t>
      </w:r>
      <w:r w:rsidRPr="009D0284">
        <w:rPr>
          <w:noProof/>
          <w:lang w:val="fr-FR" w:eastAsia="es-BO"/>
        </w:rPr>
        <w:t xml:space="preserve">différents </w:t>
      </w:r>
      <w:r w:rsidRPr="009D0284">
        <w:rPr>
          <w:noProof/>
          <w:lang w:val="fr-FR"/>
        </w:rPr>
        <w:t>locaux de la police</w:t>
      </w:r>
      <w:r w:rsidRPr="009D0284">
        <w:rPr>
          <w:noProof/>
          <w:lang w:val="fr-FR" w:eastAsia="es-BO"/>
        </w:rPr>
        <w:t xml:space="preserve"> et autres lieux</w:t>
      </w:r>
      <w:r>
        <w:rPr>
          <w:noProof/>
          <w:lang w:val="fr-FR" w:eastAsia="es-BO"/>
        </w:rPr>
        <w:t xml:space="preserve"> du pays où des personnes sont placées en détention </w:t>
      </w:r>
      <w:r w:rsidRPr="00DF456A">
        <w:rPr>
          <w:noProof/>
          <w:lang w:val="fr-FR" w:eastAsia="es-BO"/>
        </w:rPr>
        <w:t>(</w:t>
      </w:r>
      <w:r>
        <w:rPr>
          <w:noProof/>
          <w:lang w:val="fr-FR" w:eastAsia="es-BO"/>
        </w:rPr>
        <w:t>annexe</w:t>
      </w:r>
      <w:r w:rsidR="00C77D0C">
        <w:rPr>
          <w:noProof/>
          <w:lang w:val="fr-FR" w:eastAsia="es-BO"/>
        </w:rPr>
        <w:t> </w:t>
      </w:r>
      <w:r w:rsidRPr="00DF456A">
        <w:rPr>
          <w:noProof/>
          <w:lang w:val="fr-FR" w:eastAsia="es-BO"/>
        </w:rPr>
        <w:t>68).</w:t>
      </w:r>
    </w:p>
    <w:p w:rsidR="00614A7E" w:rsidRPr="00DF456A" w:rsidRDefault="00614A7E" w:rsidP="00614A7E">
      <w:pPr>
        <w:pStyle w:val="SingleTxtG"/>
        <w:rPr>
          <w:noProof/>
          <w:lang w:val="fr-FR" w:eastAsia="es-BO"/>
        </w:rPr>
      </w:pPr>
      <w:r w:rsidRPr="00DF456A">
        <w:rPr>
          <w:noProof/>
          <w:lang w:val="fr-FR" w:eastAsia="es-BO"/>
        </w:rPr>
        <w:t>207.</w:t>
      </w:r>
      <w:r w:rsidRPr="00DF456A">
        <w:rPr>
          <w:noProof/>
          <w:lang w:val="fr-FR" w:eastAsia="es-BO"/>
        </w:rPr>
        <w:tab/>
        <w:t>Com</w:t>
      </w:r>
      <w:r>
        <w:rPr>
          <w:noProof/>
          <w:lang w:val="fr-FR" w:eastAsia="es-BO"/>
        </w:rPr>
        <w:t xml:space="preserve">me indiqué au </w:t>
      </w:r>
      <w:r w:rsidRPr="00DF456A">
        <w:rPr>
          <w:noProof/>
          <w:lang w:val="fr-FR" w:eastAsia="es-BO"/>
        </w:rPr>
        <w:t>p</w:t>
      </w:r>
      <w:r>
        <w:rPr>
          <w:noProof/>
          <w:lang w:val="fr-FR" w:eastAsia="es-BO"/>
        </w:rPr>
        <w:t>aragraphe</w:t>
      </w:r>
      <w:r w:rsidR="00C77D0C">
        <w:rPr>
          <w:noProof/>
          <w:lang w:val="fr-FR" w:eastAsia="es-BO"/>
        </w:rPr>
        <w:t> </w:t>
      </w:r>
      <w:r w:rsidRPr="00DF456A">
        <w:rPr>
          <w:noProof/>
          <w:lang w:val="fr-FR" w:eastAsia="es-BO"/>
        </w:rPr>
        <w:t xml:space="preserve">203, </w:t>
      </w:r>
      <w:r>
        <w:rPr>
          <w:noProof/>
          <w:lang w:val="fr-FR" w:eastAsia="es-BO"/>
        </w:rPr>
        <w:t xml:space="preserve">le </w:t>
      </w:r>
      <w:r w:rsidRPr="00535B3D">
        <w:rPr>
          <w:noProof/>
          <w:lang w:val="fr-FR"/>
        </w:rPr>
        <w:t>Service de prévention de la torture</w:t>
      </w:r>
      <w:r w:rsidRPr="00B5117C">
        <w:rPr>
          <w:lang w:val="fr-FR"/>
        </w:rPr>
        <w:t xml:space="preserve"> </w:t>
      </w:r>
      <w:r w:rsidRPr="0029705F">
        <w:rPr>
          <w:noProof/>
          <w:lang w:val="fr-FR"/>
        </w:rPr>
        <w:t>a organisé</w:t>
      </w:r>
      <w:r w:rsidRPr="00B5117C">
        <w:rPr>
          <w:lang w:val="fr-FR"/>
        </w:rPr>
        <w:t xml:space="preserve"> </w:t>
      </w:r>
      <w:r w:rsidRPr="008C51B5">
        <w:rPr>
          <w:noProof/>
          <w:lang w:val="fr-FR"/>
        </w:rPr>
        <w:t>à l</w:t>
      </w:r>
      <w:r w:rsidR="00FB1114">
        <w:rPr>
          <w:noProof/>
          <w:lang w:val="fr-FR"/>
        </w:rPr>
        <w:t>’</w:t>
      </w:r>
      <w:r w:rsidRPr="008C51B5">
        <w:rPr>
          <w:noProof/>
          <w:lang w:val="fr-FR"/>
        </w:rPr>
        <w:t>intention des fonctionnair</w:t>
      </w:r>
      <w:r>
        <w:rPr>
          <w:noProof/>
          <w:lang w:val="fr-FR"/>
        </w:rPr>
        <w:t>e</w:t>
      </w:r>
      <w:r w:rsidRPr="008C51B5">
        <w:rPr>
          <w:noProof/>
          <w:lang w:val="fr-FR"/>
        </w:rPr>
        <w:t>s</w:t>
      </w:r>
      <w:r w:rsidRPr="00B5117C">
        <w:rPr>
          <w:lang w:val="fr-FR"/>
        </w:rPr>
        <w:t xml:space="preserve"> </w:t>
      </w:r>
      <w:r w:rsidRPr="0029705F">
        <w:rPr>
          <w:noProof/>
          <w:lang w:val="fr-FR"/>
        </w:rPr>
        <w:t xml:space="preserve">des ateliers </w:t>
      </w:r>
      <w:r w:rsidRPr="00DF456A">
        <w:rPr>
          <w:noProof/>
          <w:lang w:val="fr-FR" w:eastAsia="es-BO"/>
        </w:rPr>
        <w:t>de p</w:t>
      </w:r>
      <w:r>
        <w:rPr>
          <w:noProof/>
          <w:lang w:val="fr-FR" w:eastAsia="es-BO"/>
        </w:rPr>
        <w:t>laidoyer, d</w:t>
      </w:r>
      <w:r w:rsidR="00FB1114">
        <w:rPr>
          <w:noProof/>
          <w:lang w:val="fr-FR" w:eastAsia="es-BO"/>
        </w:rPr>
        <w:t>’</w:t>
      </w:r>
      <w:r>
        <w:rPr>
          <w:noProof/>
          <w:lang w:val="fr-FR" w:eastAsia="es-BO"/>
        </w:rPr>
        <w:t>information et de formation sur le thème de la prévention de la torture</w:t>
      </w:r>
      <w:r w:rsidRPr="00DF456A">
        <w:rPr>
          <w:noProof/>
          <w:lang w:val="fr-FR" w:eastAsia="es-BO"/>
        </w:rPr>
        <w:t>.</w:t>
      </w:r>
    </w:p>
    <w:p w:rsidR="00614A7E" w:rsidRPr="00DF456A" w:rsidRDefault="00614A7E" w:rsidP="00614A7E">
      <w:pPr>
        <w:pStyle w:val="SingleTxtG"/>
        <w:rPr>
          <w:noProof/>
          <w:lang w:val="fr-FR" w:eastAsia="es-BO"/>
        </w:rPr>
      </w:pPr>
      <w:r w:rsidRPr="00DF456A">
        <w:rPr>
          <w:noProof/>
          <w:lang w:val="fr-FR" w:eastAsia="es-BO"/>
        </w:rPr>
        <w:t>208.</w:t>
      </w:r>
      <w:r w:rsidRPr="00DF456A">
        <w:rPr>
          <w:noProof/>
          <w:lang w:val="fr-FR" w:eastAsia="es-BO"/>
        </w:rPr>
        <w:tab/>
      </w:r>
      <w:r>
        <w:rPr>
          <w:noProof/>
          <w:lang w:val="fr-FR" w:eastAsia="es-BO"/>
        </w:rPr>
        <w:t>Pa</w:t>
      </w:r>
      <w:r w:rsidRPr="00DF456A">
        <w:rPr>
          <w:noProof/>
          <w:lang w:val="fr-FR" w:eastAsia="es-BO"/>
        </w:rPr>
        <w:t xml:space="preserve">r </w:t>
      </w:r>
      <w:r>
        <w:rPr>
          <w:noProof/>
          <w:lang w:val="fr-FR" w:eastAsia="es-BO"/>
        </w:rPr>
        <w:t>ailleurs</w:t>
      </w:r>
      <w:r w:rsidRPr="00DF456A">
        <w:rPr>
          <w:noProof/>
          <w:lang w:val="fr-FR" w:eastAsia="es-BO"/>
        </w:rPr>
        <w:t>, de</w:t>
      </w:r>
      <w:r>
        <w:rPr>
          <w:noProof/>
          <w:lang w:val="fr-FR" w:eastAsia="es-BO"/>
        </w:rPr>
        <w:t xml:space="preserve">puis </w:t>
      </w:r>
      <w:r w:rsidRPr="00DF456A">
        <w:rPr>
          <w:noProof/>
          <w:lang w:val="fr-FR" w:eastAsia="es-BO"/>
        </w:rPr>
        <w:t>2017</w:t>
      </w:r>
      <w:r>
        <w:rPr>
          <w:noProof/>
          <w:lang w:val="fr-FR" w:eastAsia="es-BO"/>
        </w:rPr>
        <w:t>, le</w:t>
      </w:r>
      <w:r w:rsidRPr="00DF456A">
        <w:rPr>
          <w:noProof/>
          <w:lang w:val="fr-FR" w:eastAsia="es-BO"/>
        </w:rPr>
        <w:t xml:space="preserve"> </w:t>
      </w:r>
      <w:r>
        <w:rPr>
          <w:noProof/>
          <w:lang w:val="fr-FR" w:eastAsia="es-BO"/>
        </w:rPr>
        <w:t xml:space="preserve">Service plurinational de défense publique a, conjointement avec le </w:t>
      </w:r>
      <w:r w:rsidRPr="00535B3D">
        <w:rPr>
          <w:noProof/>
          <w:lang w:val="fr-FR"/>
        </w:rPr>
        <w:t>Service de prévention de la torture</w:t>
      </w:r>
      <w:r>
        <w:rPr>
          <w:noProof/>
          <w:lang w:val="fr-FR"/>
        </w:rPr>
        <w:t xml:space="preserve">, organisé </w:t>
      </w:r>
      <w:r w:rsidRPr="00726BCB">
        <w:rPr>
          <w:noProof/>
          <w:lang w:val="fr-FR"/>
        </w:rPr>
        <w:t>en interne, au niveau national, des formations de base sur la prévention de la torture à l</w:t>
      </w:r>
      <w:r w:rsidR="00FB1114">
        <w:rPr>
          <w:noProof/>
          <w:lang w:val="fr-FR"/>
        </w:rPr>
        <w:t>’</w:t>
      </w:r>
      <w:r w:rsidRPr="00726BCB">
        <w:rPr>
          <w:noProof/>
          <w:lang w:val="fr-FR"/>
        </w:rPr>
        <w:t>intention de tous les fonctionnaires du Service plurinational de défense publique, afin de mettre en place des mécanismes de réception des plaintes déposées par les victimes d</w:t>
      </w:r>
      <w:r w:rsidR="00FB1114">
        <w:rPr>
          <w:noProof/>
          <w:lang w:val="fr-FR"/>
        </w:rPr>
        <w:t>’</w:t>
      </w:r>
      <w:r w:rsidRPr="00726BCB">
        <w:rPr>
          <w:noProof/>
          <w:lang w:val="fr-FR"/>
        </w:rPr>
        <w:t>actes de torture et d</w:t>
      </w:r>
      <w:r w:rsidR="00FB1114">
        <w:rPr>
          <w:noProof/>
          <w:lang w:val="fr-FR"/>
        </w:rPr>
        <w:t>’</w:t>
      </w:r>
      <w:r w:rsidRPr="00726BCB">
        <w:rPr>
          <w:noProof/>
          <w:lang w:val="fr-FR"/>
        </w:rPr>
        <w:t>autres peines ou traitements cruels, inhumains ou dégradants dans les centres de détention, les établissements pénitentiaires, les établissements spécialisés, les établissements pour adolescents pénalement responsables ou toute autre institution.</w:t>
      </w:r>
    </w:p>
    <w:p w:rsidR="00614A7E" w:rsidRPr="00DF456A" w:rsidRDefault="00614A7E" w:rsidP="00614A7E">
      <w:pPr>
        <w:pStyle w:val="SingleTxtG"/>
        <w:rPr>
          <w:noProof/>
          <w:lang w:val="fr-FR" w:eastAsia="es-BO"/>
        </w:rPr>
      </w:pPr>
      <w:r w:rsidRPr="00DF456A">
        <w:rPr>
          <w:noProof/>
          <w:lang w:val="fr-FR" w:eastAsia="es-BO"/>
        </w:rPr>
        <w:t>209.</w:t>
      </w:r>
      <w:r w:rsidRPr="00DF456A">
        <w:rPr>
          <w:noProof/>
          <w:lang w:val="fr-FR" w:eastAsia="es-BO"/>
        </w:rPr>
        <w:tab/>
        <w:t>L</w:t>
      </w:r>
      <w:r>
        <w:rPr>
          <w:noProof/>
          <w:lang w:val="fr-FR" w:eastAsia="es-BO"/>
        </w:rPr>
        <w:t>e</w:t>
      </w:r>
      <w:r w:rsidRPr="00DF456A">
        <w:rPr>
          <w:noProof/>
          <w:lang w:val="fr-FR" w:eastAsia="es-BO"/>
        </w:rPr>
        <w:t xml:space="preserve">s </w:t>
      </w:r>
      <w:r>
        <w:rPr>
          <w:noProof/>
          <w:lang w:val="fr-FR" w:eastAsia="es-BO"/>
        </w:rPr>
        <w:t>forces armées boliviennes s</w:t>
      </w:r>
      <w:r w:rsidR="00FB1114">
        <w:rPr>
          <w:noProof/>
          <w:lang w:val="fr-FR" w:eastAsia="es-BO"/>
        </w:rPr>
        <w:t>’</w:t>
      </w:r>
      <w:r>
        <w:rPr>
          <w:noProof/>
          <w:lang w:val="fr-FR" w:eastAsia="es-BO"/>
        </w:rPr>
        <w:t>appliquent à organiser en permanence à l</w:t>
      </w:r>
      <w:r w:rsidR="00FB1114">
        <w:rPr>
          <w:noProof/>
          <w:lang w:val="fr-FR" w:eastAsia="es-BO"/>
        </w:rPr>
        <w:t>’</w:t>
      </w:r>
      <w:r>
        <w:rPr>
          <w:noProof/>
          <w:lang w:val="fr-FR" w:eastAsia="es-BO"/>
        </w:rPr>
        <w:t>intention de leur personnel militaire et civil des cours, ateliers, séminaires et causeries sur les droits de la personne et l</w:t>
      </w:r>
      <w:r w:rsidR="00FB1114">
        <w:rPr>
          <w:noProof/>
          <w:lang w:val="fr-FR" w:eastAsia="es-BO"/>
        </w:rPr>
        <w:t>’</w:t>
      </w:r>
      <w:r>
        <w:rPr>
          <w:noProof/>
          <w:lang w:val="fr-FR" w:eastAsia="es-BO"/>
        </w:rPr>
        <w:t xml:space="preserve">interdiction des violences verbales et physiques et des traitements dégradants </w:t>
      </w:r>
      <w:r w:rsidRPr="00DF456A">
        <w:rPr>
          <w:noProof/>
          <w:lang w:val="fr-FR" w:eastAsia="es-BO"/>
        </w:rPr>
        <w:t>(</w:t>
      </w:r>
      <w:r>
        <w:rPr>
          <w:noProof/>
          <w:lang w:val="fr-FR" w:eastAsia="es-BO"/>
        </w:rPr>
        <w:t>annexe</w:t>
      </w:r>
      <w:r w:rsidR="00097BDA">
        <w:rPr>
          <w:noProof/>
          <w:lang w:val="fr-FR" w:eastAsia="es-BO"/>
        </w:rPr>
        <w:t> </w:t>
      </w:r>
      <w:r w:rsidRPr="00DF456A">
        <w:rPr>
          <w:noProof/>
          <w:lang w:val="fr-FR" w:eastAsia="es-BO"/>
        </w:rPr>
        <w:t xml:space="preserve">69). </w:t>
      </w:r>
      <w:r>
        <w:rPr>
          <w:noProof/>
          <w:lang w:val="fr-FR" w:eastAsia="es-BO"/>
        </w:rPr>
        <w:t>De même, l</w:t>
      </w:r>
      <w:r w:rsidR="00FB1114">
        <w:rPr>
          <w:noProof/>
          <w:lang w:val="fr-FR" w:eastAsia="es-BO"/>
        </w:rPr>
        <w:t>’</w:t>
      </w:r>
      <w:r w:rsidRPr="00DF456A">
        <w:rPr>
          <w:noProof/>
          <w:lang w:val="fr-FR" w:eastAsia="es-BO"/>
        </w:rPr>
        <w:t>Inspect</w:t>
      </w:r>
      <w:r>
        <w:rPr>
          <w:noProof/>
          <w:lang w:val="fr-FR" w:eastAsia="es-BO"/>
        </w:rPr>
        <w:t>ion des droits de la personne et du droit i</w:t>
      </w:r>
      <w:r w:rsidRPr="00DF456A">
        <w:rPr>
          <w:noProof/>
          <w:lang w:val="fr-FR" w:eastAsia="es-BO"/>
        </w:rPr>
        <w:t>nterna</w:t>
      </w:r>
      <w:r>
        <w:rPr>
          <w:noProof/>
          <w:lang w:val="fr-FR" w:eastAsia="es-BO"/>
        </w:rPr>
        <w:t>t</w:t>
      </w:r>
      <w:r w:rsidRPr="00DF456A">
        <w:rPr>
          <w:noProof/>
          <w:lang w:val="fr-FR" w:eastAsia="es-BO"/>
        </w:rPr>
        <w:t xml:space="preserve">ional </w:t>
      </w:r>
      <w:r>
        <w:rPr>
          <w:noProof/>
          <w:lang w:val="fr-FR" w:eastAsia="es-BO"/>
        </w:rPr>
        <w:t>h</w:t>
      </w:r>
      <w:r w:rsidRPr="00DF456A">
        <w:rPr>
          <w:noProof/>
          <w:lang w:val="fr-FR" w:eastAsia="es-BO"/>
        </w:rPr>
        <w:t>umanita</w:t>
      </w:r>
      <w:r>
        <w:rPr>
          <w:noProof/>
          <w:lang w:val="fr-FR" w:eastAsia="es-BO"/>
        </w:rPr>
        <w:t>ire des forces navales boliviennes a été créée pour veiller à ce que le personnel puisse jouir de ses droits et garanties</w:t>
      </w:r>
      <w:r w:rsidRPr="00DF456A">
        <w:rPr>
          <w:noProof/>
          <w:lang w:val="fr-FR" w:eastAsia="es-BO"/>
        </w:rPr>
        <w:t>.</w:t>
      </w:r>
    </w:p>
    <w:p w:rsidR="00614A7E" w:rsidRPr="00DF456A" w:rsidRDefault="00614A7E" w:rsidP="00614A7E">
      <w:pPr>
        <w:pStyle w:val="SingleTxtG"/>
        <w:rPr>
          <w:noProof/>
          <w:lang w:val="fr-FR" w:eastAsia="es-BO"/>
        </w:rPr>
      </w:pPr>
      <w:r w:rsidRPr="001F2105">
        <w:rPr>
          <w:noProof/>
          <w:lang w:val="fr-FR" w:eastAsia="es-BO"/>
        </w:rPr>
        <w:t>210.</w:t>
      </w:r>
      <w:r w:rsidRPr="001F2105">
        <w:rPr>
          <w:noProof/>
          <w:lang w:val="fr-FR" w:eastAsia="es-BO"/>
        </w:rPr>
        <w:tab/>
        <w:t>Le Ministère de la défense a adopté, à titre de mesure de prévention, l</w:t>
      </w:r>
      <w:r w:rsidR="00FB1114" w:rsidRPr="001F2105">
        <w:rPr>
          <w:noProof/>
          <w:lang w:val="fr-FR" w:eastAsia="es-BO"/>
        </w:rPr>
        <w:t>’</w:t>
      </w:r>
      <w:r w:rsidRPr="001F2105">
        <w:rPr>
          <w:noProof/>
          <w:lang w:val="fr-FR" w:eastAsia="es-BO"/>
        </w:rPr>
        <w:t xml:space="preserve">arrêté ministériel </w:t>
      </w:r>
      <w:r w:rsidR="00097BDA" w:rsidRPr="001F2105">
        <w:rPr>
          <w:rFonts w:eastAsia="MS Mincho"/>
          <w:noProof/>
          <w:szCs w:val="22"/>
          <w:lang w:val="fr-FR" w:eastAsia="es-BO"/>
        </w:rPr>
        <w:t>n</w:t>
      </w:r>
      <w:r w:rsidR="00097BDA" w:rsidRPr="001F2105">
        <w:rPr>
          <w:rFonts w:eastAsia="MS Mincho"/>
          <w:noProof/>
          <w:szCs w:val="22"/>
          <w:vertAlign w:val="superscript"/>
          <w:lang w:val="fr-FR" w:eastAsia="es-BO"/>
        </w:rPr>
        <w:t>o</w:t>
      </w:r>
      <w:r w:rsidR="00097BDA" w:rsidRPr="001F2105">
        <w:rPr>
          <w:noProof/>
          <w:lang w:val="fr-FR" w:eastAsia="es-BO"/>
        </w:rPr>
        <w:t> </w:t>
      </w:r>
      <w:r w:rsidRPr="001F2105">
        <w:rPr>
          <w:noProof/>
          <w:lang w:val="fr-FR" w:eastAsia="es-BO"/>
        </w:rPr>
        <w:t>840 du 23</w:t>
      </w:r>
      <w:r w:rsidR="00097BDA" w:rsidRPr="001F2105">
        <w:rPr>
          <w:noProof/>
          <w:lang w:val="fr-FR" w:eastAsia="es-BO"/>
        </w:rPr>
        <w:t> </w:t>
      </w:r>
      <w:r w:rsidRPr="001F2105">
        <w:rPr>
          <w:noProof/>
          <w:lang w:val="fr-FR" w:eastAsia="es-BO"/>
        </w:rPr>
        <w:t>novembre 2017, qui a institutionnalisé le Programme « Éducation et formation aux droits de la personne et au droit international humanitaire », qui vise principalement à sensibiliser le personnel militaire aux principes fondamentaux relatifs aux droits de la personne et au droit international humanitaire, ainsi qu</w:t>
      </w:r>
      <w:r w:rsidR="00FB1114" w:rsidRPr="001F2105">
        <w:rPr>
          <w:noProof/>
          <w:lang w:val="fr-FR" w:eastAsia="es-BO"/>
        </w:rPr>
        <w:t>’</w:t>
      </w:r>
      <w:r w:rsidRPr="001F2105">
        <w:rPr>
          <w:noProof/>
          <w:lang w:val="fr-FR" w:eastAsia="es-BO"/>
        </w:rPr>
        <w:t>à l</w:t>
      </w:r>
      <w:r w:rsidR="00FB1114" w:rsidRPr="001F2105">
        <w:rPr>
          <w:noProof/>
          <w:lang w:val="fr-FR" w:eastAsia="es-BO"/>
        </w:rPr>
        <w:t>’</w:t>
      </w:r>
      <w:r w:rsidRPr="001F2105">
        <w:rPr>
          <w:noProof/>
          <w:lang w:val="fr-FR" w:eastAsia="es-BO"/>
        </w:rPr>
        <w:t>importance du respect mutuel entre</w:t>
      </w:r>
      <w:r>
        <w:rPr>
          <w:noProof/>
          <w:lang w:val="fr-FR" w:eastAsia="es-BO"/>
        </w:rPr>
        <w:t xml:space="preserve"> tous les militaires, en favorisant </w:t>
      </w:r>
      <w:r w:rsidRPr="00545595">
        <w:rPr>
          <w:noProof/>
          <w:lang w:val="fr-FR" w:eastAsia="es-BO"/>
        </w:rPr>
        <w:t xml:space="preserve">la </w:t>
      </w:r>
      <w:r w:rsidRPr="00545595">
        <w:rPr>
          <w:noProof/>
          <w:lang w:val="fr-FR"/>
        </w:rPr>
        <w:t>décolonisation et la dépatriarcalisation au sein des forces armées</w:t>
      </w:r>
      <w:r w:rsidRPr="00545595">
        <w:rPr>
          <w:noProof/>
          <w:lang w:val="fr-FR" w:eastAsia="es-BO"/>
        </w:rPr>
        <w:t>,</w:t>
      </w:r>
      <w:r w:rsidRPr="00DF456A">
        <w:rPr>
          <w:noProof/>
          <w:lang w:val="fr-FR" w:eastAsia="es-BO"/>
        </w:rPr>
        <w:t xml:space="preserve"> afin d</w:t>
      </w:r>
      <w:r w:rsidR="00FB1114">
        <w:rPr>
          <w:noProof/>
          <w:lang w:val="fr-FR" w:eastAsia="es-BO"/>
        </w:rPr>
        <w:t>’</w:t>
      </w:r>
      <w:r>
        <w:rPr>
          <w:noProof/>
          <w:lang w:val="fr-FR" w:eastAsia="es-BO"/>
        </w:rPr>
        <w:t>en finir avec les atteintes aux droits de la personne, l</w:t>
      </w:r>
      <w:r w:rsidR="00FB1114">
        <w:rPr>
          <w:noProof/>
          <w:lang w:val="fr-FR" w:eastAsia="es-BO"/>
        </w:rPr>
        <w:t>’</w:t>
      </w:r>
      <w:r>
        <w:rPr>
          <w:noProof/>
          <w:lang w:val="fr-FR" w:eastAsia="es-BO"/>
        </w:rPr>
        <w:t xml:space="preserve">injustice </w:t>
      </w:r>
      <w:r w:rsidRPr="00DF456A">
        <w:rPr>
          <w:noProof/>
          <w:lang w:val="fr-FR" w:eastAsia="es-BO"/>
        </w:rPr>
        <w:t>social</w:t>
      </w:r>
      <w:r>
        <w:rPr>
          <w:noProof/>
          <w:lang w:val="fr-FR" w:eastAsia="es-BO"/>
        </w:rPr>
        <w:t>e</w:t>
      </w:r>
      <w:r w:rsidRPr="00DF456A">
        <w:rPr>
          <w:noProof/>
          <w:lang w:val="fr-FR" w:eastAsia="es-BO"/>
        </w:rPr>
        <w:t xml:space="preserve">, </w:t>
      </w:r>
      <w:r>
        <w:rPr>
          <w:noProof/>
          <w:lang w:val="fr-FR" w:eastAsia="es-BO"/>
        </w:rPr>
        <w:t>la violence fondée sur le genre et la violence entre générations, et en contribuant à mettre en œuvre les politiques d</w:t>
      </w:r>
      <w:r w:rsidR="00FB1114">
        <w:rPr>
          <w:noProof/>
          <w:lang w:val="fr-FR" w:eastAsia="es-BO"/>
        </w:rPr>
        <w:t>’</w:t>
      </w:r>
      <w:r>
        <w:rPr>
          <w:noProof/>
          <w:lang w:val="fr-FR" w:eastAsia="es-BO"/>
        </w:rPr>
        <w:t>égalité des chances de l</w:t>
      </w:r>
      <w:r w:rsidR="00FB1114">
        <w:rPr>
          <w:noProof/>
          <w:lang w:val="fr-FR" w:eastAsia="es-BO"/>
        </w:rPr>
        <w:t>’</w:t>
      </w:r>
      <w:r>
        <w:rPr>
          <w:noProof/>
          <w:lang w:val="fr-FR" w:eastAsia="es-BO"/>
        </w:rPr>
        <w:t>État plurinat</w:t>
      </w:r>
      <w:r w:rsidRPr="00DF456A">
        <w:rPr>
          <w:noProof/>
          <w:lang w:val="fr-FR" w:eastAsia="es-BO"/>
        </w:rPr>
        <w:t>ional de Bolivi</w:t>
      </w:r>
      <w:r>
        <w:rPr>
          <w:noProof/>
          <w:lang w:val="fr-FR" w:eastAsia="es-BO"/>
        </w:rPr>
        <w:t>e</w:t>
      </w:r>
      <w:r w:rsidRPr="00DF456A">
        <w:rPr>
          <w:noProof/>
          <w:lang w:val="fr-FR" w:eastAsia="es-BO"/>
        </w:rPr>
        <w:t xml:space="preserve"> (</w:t>
      </w:r>
      <w:r>
        <w:rPr>
          <w:noProof/>
          <w:lang w:val="fr-FR" w:eastAsia="es-BO"/>
        </w:rPr>
        <w:t>annexe</w:t>
      </w:r>
      <w:r w:rsidR="007C2AFA">
        <w:rPr>
          <w:noProof/>
          <w:lang w:val="fr-FR" w:eastAsia="es-BO"/>
        </w:rPr>
        <w:t> </w:t>
      </w:r>
      <w:r w:rsidRPr="00DF456A">
        <w:rPr>
          <w:noProof/>
          <w:lang w:val="fr-FR" w:eastAsia="es-BO"/>
        </w:rPr>
        <w:t>70).</w:t>
      </w:r>
    </w:p>
    <w:p w:rsidR="00614A7E" w:rsidRPr="00DF456A" w:rsidRDefault="00614A7E" w:rsidP="007C2AFA">
      <w:pPr>
        <w:pStyle w:val="H23G"/>
        <w:rPr>
          <w:noProof/>
          <w:lang w:val="fr-FR" w:eastAsia="es-BO"/>
        </w:rPr>
      </w:pPr>
      <w:r w:rsidRPr="00DF456A">
        <w:rPr>
          <w:noProof/>
          <w:lang w:val="fr-FR" w:eastAsia="es-BO"/>
        </w:rPr>
        <w:lastRenderedPageBreak/>
        <w:tab/>
      </w:r>
      <w:r w:rsidRPr="00DF456A">
        <w:rPr>
          <w:noProof/>
          <w:lang w:val="fr-FR" w:eastAsia="es-BO"/>
        </w:rPr>
        <w:tab/>
        <w:t>Recom</w:t>
      </w:r>
      <w:r>
        <w:rPr>
          <w:noProof/>
          <w:lang w:val="fr-FR" w:eastAsia="es-BO"/>
        </w:rPr>
        <w:t xml:space="preserve">mandations figurant aux paragraphes </w:t>
      </w:r>
      <w:r w:rsidRPr="00DF456A">
        <w:rPr>
          <w:noProof/>
          <w:lang w:val="fr-FR" w:eastAsia="es-BO"/>
        </w:rPr>
        <w:t xml:space="preserve">22.b </w:t>
      </w:r>
      <w:r>
        <w:rPr>
          <w:noProof/>
          <w:lang w:val="fr-FR" w:eastAsia="es-BO"/>
        </w:rPr>
        <w:t>et</w:t>
      </w:r>
      <w:r w:rsidRPr="00DF456A">
        <w:rPr>
          <w:noProof/>
          <w:lang w:val="fr-FR" w:eastAsia="es-BO"/>
        </w:rPr>
        <w:t xml:space="preserve"> 22.c</w:t>
      </w:r>
    </w:p>
    <w:p w:rsidR="00614A7E" w:rsidRPr="00DF456A" w:rsidRDefault="00614A7E" w:rsidP="00614A7E">
      <w:pPr>
        <w:pStyle w:val="SingleTxtG"/>
        <w:rPr>
          <w:noProof/>
          <w:lang w:val="fr-FR" w:eastAsia="es-BO"/>
        </w:rPr>
      </w:pPr>
      <w:r w:rsidRPr="00DF456A">
        <w:rPr>
          <w:noProof/>
          <w:lang w:val="fr-FR" w:eastAsia="es-BO"/>
        </w:rPr>
        <w:t>211.</w:t>
      </w:r>
      <w:r w:rsidRPr="00DF456A">
        <w:rPr>
          <w:noProof/>
          <w:lang w:val="fr-FR" w:eastAsia="es-BO"/>
        </w:rPr>
        <w:tab/>
      </w:r>
      <w:r>
        <w:rPr>
          <w:rFonts w:eastAsia="Calibri"/>
          <w:noProof/>
          <w:lang w:val="fr-FR" w:eastAsia="es-BO"/>
        </w:rPr>
        <w:t xml:space="preserve">Conformément à la directive </w:t>
      </w:r>
      <w:r w:rsidRPr="00DF456A">
        <w:rPr>
          <w:rFonts w:eastAsia="Calibri"/>
          <w:noProof/>
          <w:lang w:val="fr-FR" w:eastAsia="es-BO"/>
        </w:rPr>
        <w:t>FGE/RJGP-176/2017</w:t>
      </w:r>
      <w:r>
        <w:rPr>
          <w:rFonts w:eastAsia="Calibri"/>
          <w:noProof/>
          <w:lang w:val="fr-FR" w:eastAsia="es-BO"/>
        </w:rPr>
        <w:t>, il appartient à l</w:t>
      </w:r>
      <w:r w:rsidR="00FB1114">
        <w:rPr>
          <w:rFonts w:eastAsia="Calibri"/>
          <w:noProof/>
          <w:lang w:val="fr-FR" w:eastAsia="es-BO"/>
        </w:rPr>
        <w:t>’</w:t>
      </w:r>
      <w:r>
        <w:rPr>
          <w:rFonts w:eastAsia="Calibri"/>
          <w:noProof/>
          <w:lang w:val="fr-FR" w:eastAsia="es-BO"/>
        </w:rPr>
        <w:t>École nationale des procureurs</w:t>
      </w:r>
      <w:r w:rsidR="00E625A4">
        <w:rPr>
          <w:rFonts w:eastAsia="Calibri"/>
          <w:noProof/>
          <w:lang w:val="fr-FR" w:eastAsia="es-BO"/>
        </w:rPr>
        <w:t> </w:t>
      </w:r>
      <w:r w:rsidRPr="00DF456A">
        <w:rPr>
          <w:rFonts w:eastAsia="Calibri"/>
          <w:noProof/>
          <w:lang w:val="fr-FR" w:eastAsia="es-BO"/>
        </w:rPr>
        <w:t>:</w:t>
      </w:r>
    </w:p>
    <w:p w:rsidR="00614A7E" w:rsidRPr="00700A11" w:rsidRDefault="00614A7E" w:rsidP="00614A7E">
      <w:pPr>
        <w:pStyle w:val="SingleTxtG"/>
        <w:ind w:firstLine="567"/>
        <w:rPr>
          <w:rFonts w:eastAsia="Calibri"/>
          <w:noProof/>
          <w:lang w:val="fr-FR"/>
        </w:rPr>
      </w:pPr>
      <w:r w:rsidRPr="00700A11">
        <w:rPr>
          <w:rFonts w:eastAsia="Calibri"/>
          <w:noProof/>
          <w:lang w:val="fr-FR"/>
        </w:rPr>
        <w:t>a)</w:t>
      </w:r>
      <w:r w:rsidRPr="00700A11">
        <w:rPr>
          <w:rFonts w:eastAsia="Calibri"/>
          <w:noProof/>
          <w:lang w:val="fr-FR"/>
        </w:rPr>
        <w:tab/>
      </w:r>
      <w:r w:rsidRPr="00700A11">
        <w:rPr>
          <w:noProof/>
          <w:lang w:val="fr-FR"/>
        </w:rPr>
        <w:t>De mettre en œuvre, à l</w:t>
      </w:r>
      <w:r w:rsidR="00FB1114">
        <w:rPr>
          <w:noProof/>
          <w:lang w:val="fr-FR"/>
        </w:rPr>
        <w:t>’</w:t>
      </w:r>
      <w:r w:rsidRPr="00700A11">
        <w:rPr>
          <w:noProof/>
          <w:lang w:val="fr-FR"/>
        </w:rPr>
        <w:t>intention des procureurs, des membres du personnel d</w:t>
      </w:r>
      <w:r w:rsidR="00FB1114">
        <w:rPr>
          <w:noProof/>
          <w:lang w:val="fr-FR"/>
        </w:rPr>
        <w:t>’</w:t>
      </w:r>
      <w:r w:rsidRPr="00700A11">
        <w:rPr>
          <w:noProof/>
          <w:lang w:val="fr-FR"/>
        </w:rPr>
        <w:t>appui du ministère public et du personnel d</w:t>
      </w:r>
      <w:r w:rsidR="00FB1114">
        <w:rPr>
          <w:noProof/>
          <w:lang w:val="fr-FR"/>
        </w:rPr>
        <w:t>’</w:t>
      </w:r>
      <w:r w:rsidRPr="00700A11">
        <w:rPr>
          <w:noProof/>
          <w:lang w:val="fr-FR"/>
        </w:rPr>
        <w:t>appui des activités de l</w:t>
      </w:r>
      <w:r w:rsidR="00FB1114">
        <w:rPr>
          <w:noProof/>
          <w:lang w:val="fr-FR"/>
        </w:rPr>
        <w:t>’</w:t>
      </w:r>
      <w:r w:rsidRPr="00700A11">
        <w:rPr>
          <w:noProof/>
          <w:lang w:val="fr-FR"/>
        </w:rPr>
        <w:t>Institut de recherche médico</w:t>
      </w:r>
      <w:r w:rsidR="002E6DD8">
        <w:rPr>
          <w:noProof/>
          <w:lang w:val="fr-FR"/>
        </w:rPr>
        <w:t>-</w:t>
      </w:r>
      <w:r w:rsidRPr="00700A11">
        <w:rPr>
          <w:noProof/>
          <w:lang w:val="fr-FR"/>
        </w:rPr>
        <w:t>légale, un programme de formation sur le Protocole d</w:t>
      </w:r>
      <w:r w:rsidR="00FB1114">
        <w:rPr>
          <w:noProof/>
          <w:lang w:val="fr-FR"/>
        </w:rPr>
        <w:t>’</w:t>
      </w:r>
      <w:r w:rsidRPr="00700A11">
        <w:rPr>
          <w:noProof/>
          <w:lang w:val="fr-FR"/>
        </w:rPr>
        <w:t>Istanbul, l</w:t>
      </w:r>
      <w:r w:rsidR="00FB1114">
        <w:rPr>
          <w:noProof/>
          <w:lang w:val="fr-FR"/>
        </w:rPr>
        <w:t>’</w:t>
      </w:r>
      <w:r w:rsidRPr="00700A11">
        <w:rPr>
          <w:noProof/>
          <w:lang w:val="fr-FR"/>
        </w:rPr>
        <w:t>Ensemble de règles minima pour le traitement des détenus, les Règles de Tokyo et les Règles de Bangkok</w:t>
      </w:r>
      <w:r w:rsidR="00E625A4">
        <w:rPr>
          <w:noProof/>
          <w:lang w:val="fr-FR"/>
        </w:rPr>
        <w:t> </w:t>
      </w:r>
      <w:r w:rsidRPr="00700A11">
        <w:rPr>
          <w:rFonts w:eastAsia="Calibri"/>
          <w:noProof/>
          <w:lang w:val="fr-FR"/>
        </w:rPr>
        <w:t>;</w:t>
      </w:r>
    </w:p>
    <w:p w:rsidR="00614A7E" w:rsidRPr="00DF456A" w:rsidRDefault="00614A7E" w:rsidP="00614A7E">
      <w:pPr>
        <w:pStyle w:val="SingleTxtG"/>
        <w:ind w:firstLine="567"/>
        <w:rPr>
          <w:rFonts w:eastAsia="Calibri"/>
          <w:noProof/>
          <w:lang w:val="fr-FR"/>
        </w:rPr>
      </w:pPr>
      <w:r w:rsidRPr="00DF456A">
        <w:rPr>
          <w:rFonts w:eastAsia="Calibri"/>
          <w:noProof/>
          <w:lang w:val="fr-FR"/>
        </w:rPr>
        <w:t>b)</w:t>
      </w:r>
      <w:r w:rsidRPr="00DF456A">
        <w:rPr>
          <w:rFonts w:eastAsia="Calibri"/>
          <w:noProof/>
          <w:lang w:val="fr-FR"/>
        </w:rPr>
        <w:tab/>
      </w:r>
      <w:r w:rsidRPr="00700A11">
        <w:rPr>
          <w:noProof/>
          <w:lang w:val="fr-FR"/>
        </w:rPr>
        <w:t>De mettre en œuvre un programme de formation à l</w:t>
      </w:r>
      <w:r w:rsidR="00FB1114">
        <w:rPr>
          <w:noProof/>
          <w:lang w:val="fr-FR"/>
        </w:rPr>
        <w:t>’</w:t>
      </w:r>
      <w:r w:rsidRPr="00700A11">
        <w:rPr>
          <w:noProof/>
          <w:lang w:val="fr-FR"/>
        </w:rPr>
        <w:t>intention des procureurs et du personnel d</w:t>
      </w:r>
      <w:r w:rsidR="00FB1114">
        <w:rPr>
          <w:noProof/>
          <w:lang w:val="fr-FR"/>
        </w:rPr>
        <w:t>’</w:t>
      </w:r>
      <w:r w:rsidRPr="00700A11">
        <w:rPr>
          <w:noProof/>
          <w:lang w:val="fr-FR"/>
        </w:rPr>
        <w:t>appui du ministère public aux fins de la bonne application et interprétation des dispositions juridiques relatives aux mesures alternatives à la détention provisoire</w:t>
      </w:r>
      <w:r w:rsidRPr="00DF456A">
        <w:rPr>
          <w:rFonts w:eastAsia="Calibri"/>
          <w:noProof/>
          <w:lang w:val="fr-FR"/>
        </w:rPr>
        <w:t>.</w:t>
      </w:r>
    </w:p>
    <w:p w:rsidR="00614A7E" w:rsidRPr="00DF456A" w:rsidRDefault="00614A7E" w:rsidP="00614A7E">
      <w:pPr>
        <w:pStyle w:val="SingleTxtG"/>
        <w:rPr>
          <w:noProof/>
          <w:lang w:val="fr-FR" w:eastAsia="es-BO"/>
        </w:rPr>
      </w:pPr>
      <w:r w:rsidRPr="00DF456A">
        <w:rPr>
          <w:noProof/>
          <w:lang w:val="fr-FR" w:eastAsia="es-BO"/>
        </w:rPr>
        <w:t>212.</w:t>
      </w:r>
      <w:r w:rsidRPr="00DF456A">
        <w:rPr>
          <w:noProof/>
          <w:lang w:val="fr-FR" w:eastAsia="es-BO"/>
        </w:rPr>
        <w:tab/>
        <w:t>Com</w:t>
      </w:r>
      <w:r>
        <w:rPr>
          <w:noProof/>
          <w:lang w:val="fr-FR" w:eastAsia="es-BO"/>
        </w:rPr>
        <w:t>me indiqué au paragraphe</w:t>
      </w:r>
      <w:r w:rsidR="00E625A4">
        <w:rPr>
          <w:noProof/>
          <w:lang w:val="fr-FR" w:eastAsia="es-BO"/>
        </w:rPr>
        <w:t> </w:t>
      </w:r>
      <w:r>
        <w:rPr>
          <w:noProof/>
          <w:lang w:val="fr-FR" w:eastAsia="es-BO"/>
        </w:rPr>
        <w:t xml:space="preserve">158, </w:t>
      </w:r>
      <w:r>
        <w:rPr>
          <w:rFonts w:eastAsia="Calibri"/>
          <w:noProof/>
          <w:lang w:val="fr-FR" w:eastAsia="es-BO"/>
        </w:rPr>
        <w:t>l</w:t>
      </w:r>
      <w:r w:rsidR="00FB1114">
        <w:rPr>
          <w:rFonts w:eastAsia="Calibri"/>
          <w:noProof/>
          <w:lang w:val="fr-FR" w:eastAsia="es-BO"/>
        </w:rPr>
        <w:t>’</w:t>
      </w:r>
      <w:r>
        <w:rPr>
          <w:rFonts w:eastAsia="Calibri"/>
          <w:noProof/>
          <w:lang w:val="fr-FR" w:eastAsia="es-BO"/>
        </w:rPr>
        <w:t xml:space="preserve">École nationale des procureurs a dispensé le </w:t>
      </w:r>
      <w:r w:rsidR="001F2105">
        <w:rPr>
          <w:rFonts w:eastAsia="Calibri"/>
          <w:noProof/>
          <w:lang w:val="fr-FR" w:eastAsia="es-BO"/>
        </w:rPr>
        <w:t>p</w:t>
      </w:r>
      <w:r w:rsidRPr="00FB09CA">
        <w:rPr>
          <w:noProof/>
          <w:lang w:val="fr-FR"/>
        </w:rPr>
        <w:t>remier cours d</w:t>
      </w:r>
      <w:r w:rsidR="00FB1114">
        <w:rPr>
          <w:noProof/>
          <w:lang w:val="fr-FR"/>
        </w:rPr>
        <w:t>’</w:t>
      </w:r>
      <w:r w:rsidRPr="00FB09CA">
        <w:rPr>
          <w:noProof/>
          <w:lang w:val="fr-FR"/>
        </w:rPr>
        <w:t>initiation s</w:t>
      </w:r>
      <w:r w:rsidR="00FB1114">
        <w:rPr>
          <w:noProof/>
          <w:lang w:val="fr-FR"/>
        </w:rPr>
        <w:t>’</w:t>
      </w:r>
      <w:r w:rsidRPr="00FB09CA">
        <w:rPr>
          <w:noProof/>
          <w:lang w:val="fr-FR"/>
        </w:rPr>
        <w:t>adressant aux personnes désireuses de faire carrière dans la magistrature</w:t>
      </w:r>
      <w:r w:rsidRPr="00DF456A">
        <w:rPr>
          <w:noProof/>
          <w:lang w:val="fr-FR" w:eastAsia="es-BO"/>
        </w:rPr>
        <w:t>, qu</w:t>
      </w:r>
      <w:r>
        <w:rPr>
          <w:noProof/>
          <w:lang w:val="fr-FR" w:eastAsia="es-BO"/>
        </w:rPr>
        <w:t xml:space="preserve">i consistait en </w:t>
      </w:r>
      <w:r w:rsidRPr="00B5117C">
        <w:rPr>
          <w:lang w:val="fr-FR"/>
        </w:rPr>
        <w:t xml:space="preserve">un </w:t>
      </w:r>
      <w:r w:rsidRPr="0033280B">
        <w:rPr>
          <w:noProof/>
          <w:lang w:val="fr-FR"/>
        </w:rPr>
        <w:t xml:space="preserve">module portant sur les droits de </w:t>
      </w:r>
      <w:r>
        <w:rPr>
          <w:noProof/>
          <w:lang w:val="fr-FR"/>
        </w:rPr>
        <w:t>la personn</w:t>
      </w:r>
      <w:r w:rsidRPr="0033280B">
        <w:rPr>
          <w:noProof/>
          <w:lang w:val="fr-FR"/>
        </w:rPr>
        <w:t>e dans l</w:t>
      </w:r>
      <w:r w:rsidR="00FB1114">
        <w:rPr>
          <w:noProof/>
          <w:lang w:val="fr-FR"/>
        </w:rPr>
        <w:t>’</w:t>
      </w:r>
      <w:r w:rsidRPr="0033280B">
        <w:rPr>
          <w:noProof/>
          <w:lang w:val="fr-FR"/>
        </w:rPr>
        <w:t>exercice de la fonction de procureur et fournissant des éléments théoriques permettant de comprendre la pluralité conceptuelle de la notion de droits de la personne et les problèmes posés par cette catégorie</w:t>
      </w:r>
      <w:r w:rsidRPr="0033280B">
        <w:rPr>
          <w:noProof/>
          <w:lang w:val="fr-FR" w:eastAsia="es-BO"/>
        </w:rPr>
        <w:t xml:space="preserve"> (a</w:t>
      </w:r>
      <w:r>
        <w:rPr>
          <w:noProof/>
          <w:lang w:val="fr-FR" w:eastAsia="es-BO"/>
        </w:rPr>
        <w:t>nnexe</w:t>
      </w:r>
      <w:r w:rsidR="00E625A4">
        <w:rPr>
          <w:noProof/>
          <w:lang w:val="fr-FR" w:eastAsia="es-BO"/>
        </w:rPr>
        <w:t> </w:t>
      </w:r>
      <w:r w:rsidRPr="00DF456A">
        <w:rPr>
          <w:noProof/>
          <w:lang w:val="fr-FR" w:eastAsia="es-BO"/>
        </w:rPr>
        <w:t>71).</w:t>
      </w:r>
    </w:p>
    <w:p w:rsidR="00614A7E" w:rsidRPr="00DF456A" w:rsidRDefault="00614A7E" w:rsidP="00614A7E">
      <w:pPr>
        <w:pStyle w:val="SingleTxtG"/>
        <w:rPr>
          <w:noProof/>
          <w:lang w:val="fr-FR" w:eastAsia="es-BO"/>
        </w:rPr>
      </w:pPr>
      <w:r w:rsidRPr="00DF456A">
        <w:rPr>
          <w:noProof/>
          <w:lang w:val="fr-FR" w:eastAsia="es-BO"/>
        </w:rPr>
        <w:t>213.</w:t>
      </w:r>
      <w:r w:rsidRPr="00DF456A">
        <w:rPr>
          <w:noProof/>
          <w:lang w:val="fr-FR" w:eastAsia="es-BO"/>
        </w:rPr>
        <w:tab/>
        <w:t>E</w:t>
      </w:r>
      <w:r>
        <w:rPr>
          <w:noProof/>
          <w:lang w:val="fr-FR" w:eastAsia="es-BO"/>
        </w:rPr>
        <w:t>n</w:t>
      </w:r>
      <w:r w:rsidRPr="00DF456A">
        <w:rPr>
          <w:noProof/>
          <w:lang w:val="fr-FR" w:eastAsia="es-BO"/>
        </w:rPr>
        <w:t xml:space="preserve"> 2015, </w:t>
      </w:r>
      <w:r>
        <w:rPr>
          <w:noProof/>
          <w:lang w:val="fr-FR" w:eastAsia="es-BO"/>
        </w:rPr>
        <w:t>le ministère public a organisé à l</w:t>
      </w:r>
      <w:r w:rsidR="00FB1114">
        <w:rPr>
          <w:noProof/>
          <w:lang w:val="fr-FR" w:eastAsia="es-BO"/>
        </w:rPr>
        <w:t>’</w:t>
      </w:r>
      <w:r>
        <w:rPr>
          <w:noProof/>
          <w:lang w:val="fr-FR" w:eastAsia="es-BO"/>
        </w:rPr>
        <w:t>intention des procureurs et des assistants et auxiliaires juridiques le programme de formation intitulé « Principes fondamentaux régissant les enquêtes sur les disparitions forcées de personnes et le traitement intégral</w:t>
      </w:r>
      <w:r w:rsidRPr="00DF456A">
        <w:rPr>
          <w:noProof/>
          <w:lang w:val="fr-FR" w:eastAsia="es-BO"/>
        </w:rPr>
        <w:t xml:space="preserve"> </w:t>
      </w:r>
      <w:r>
        <w:rPr>
          <w:noProof/>
          <w:lang w:val="fr-FR" w:eastAsia="es-BO"/>
        </w:rPr>
        <w:t xml:space="preserve">des dossiers correspondants </w:t>
      </w:r>
      <w:r w:rsidR="00C34011">
        <w:rPr>
          <w:noProof/>
          <w:lang w:val="fr-FR" w:eastAsia="es-BO"/>
        </w:rPr>
        <w:t>−</w:t>
      </w:r>
      <w:r>
        <w:rPr>
          <w:noProof/>
          <w:lang w:val="fr-FR" w:eastAsia="es-BO"/>
        </w:rPr>
        <w:t xml:space="preserve"> Application des instruments internationaux relatifs aux droits de la personne</w:t>
      </w:r>
      <w:r w:rsidR="00B673BC">
        <w:rPr>
          <w:noProof/>
          <w:lang w:val="fr-FR" w:eastAsia="es-BO"/>
        </w:rPr>
        <w:t> »</w:t>
      </w:r>
      <w:r>
        <w:rPr>
          <w:noProof/>
          <w:lang w:val="fr-FR" w:eastAsia="es-BO"/>
        </w:rPr>
        <w:t xml:space="preserve"> </w:t>
      </w:r>
      <w:r w:rsidRPr="00DF456A">
        <w:rPr>
          <w:noProof/>
          <w:lang w:val="fr-FR" w:eastAsia="es-BO"/>
        </w:rPr>
        <w:t>(</w:t>
      </w:r>
      <w:r>
        <w:rPr>
          <w:noProof/>
          <w:lang w:val="fr-FR" w:eastAsia="es-BO"/>
        </w:rPr>
        <w:t>annexe</w:t>
      </w:r>
      <w:r w:rsidR="008C55C2">
        <w:rPr>
          <w:noProof/>
          <w:lang w:val="fr-FR" w:eastAsia="es-BO"/>
        </w:rPr>
        <w:t> </w:t>
      </w:r>
      <w:r w:rsidRPr="00DF456A">
        <w:rPr>
          <w:noProof/>
          <w:lang w:val="fr-FR" w:eastAsia="es-BO"/>
        </w:rPr>
        <w:t>72).</w:t>
      </w:r>
    </w:p>
    <w:p w:rsidR="00614A7E" w:rsidRPr="00B673BC" w:rsidRDefault="00614A7E" w:rsidP="00614A7E">
      <w:pPr>
        <w:pStyle w:val="SingleTxtG"/>
        <w:rPr>
          <w:noProof/>
          <w:lang w:val="fr-FR" w:eastAsia="es-BO"/>
        </w:rPr>
      </w:pPr>
      <w:r w:rsidRPr="00B673BC">
        <w:rPr>
          <w:noProof/>
          <w:lang w:val="fr-FR" w:eastAsia="es-BO"/>
        </w:rPr>
        <w:t>214.</w:t>
      </w:r>
      <w:r w:rsidRPr="00B673BC">
        <w:rPr>
          <w:noProof/>
          <w:lang w:val="fr-FR" w:eastAsia="es-BO"/>
        </w:rPr>
        <w:tab/>
        <w:t>En 2017, le ministère public a organisé la visioconférence intitulée Principes fondamentaux d</w:t>
      </w:r>
      <w:r w:rsidR="00FB1114" w:rsidRPr="00B673BC">
        <w:rPr>
          <w:noProof/>
          <w:lang w:val="fr-FR" w:eastAsia="es-BO"/>
        </w:rPr>
        <w:t>’</w:t>
      </w:r>
      <w:r w:rsidRPr="00B673BC">
        <w:rPr>
          <w:noProof/>
          <w:lang w:val="fr-FR" w:eastAsia="es-BO"/>
        </w:rPr>
        <w:t>anthropologie médico</w:t>
      </w:r>
      <w:r w:rsidR="008C55C2" w:rsidRPr="00B673BC">
        <w:rPr>
          <w:noProof/>
          <w:lang w:val="fr-FR" w:eastAsia="es-BO"/>
        </w:rPr>
        <w:t>-</w:t>
      </w:r>
      <w:r w:rsidRPr="00B673BC">
        <w:rPr>
          <w:noProof/>
          <w:lang w:val="fr-FR" w:eastAsia="es-BO"/>
        </w:rPr>
        <w:t>légale, de génétique médico</w:t>
      </w:r>
      <w:r w:rsidR="008C55C2" w:rsidRPr="00B673BC">
        <w:rPr>
          <w:noProof/>
          <w:lang w:val="fr-FR" w:eastAsia="es-BO"/>
        </w:rPr>
        <w:t>-</w:t>
      </w:r>
      <w:r w:rsidRPr="00B673BC">
        <w:rPr>
          <w:noProof/>
          <w:lang w:val="fr-FR" w:eastAsia="es-BO"/>
        </w:rPr>
        <w:t>légale et d</w:t>
      </w:r>
      <w:r w:rsidR="00FB1114" w:rsidRPr="00B673BC">
        <w:rPr>
          <w:noProof/>
          <w:lang w:val="fr-FR" w:eastAsia="es-BO"/>
        </w:rPr>
        <w:t>’</w:t>
      </w:r>
      <w:r w:rsidRPr="00B673BC">
        <w:rPr>
          <w:noProof/>
          <w:lang w:val="fr-FR" w:eastAsia="es-BO"/>
        </w:rPr>
        <w:t>archéologie à l</w:t>
      </w:r>
      <w:r w:rsidR="00FB1114" w:rsidRPr="00B673BC">
        <w:rPr>
          <w:noProof/>
          <w:lang w:val="fr-FR" w:eastAsia="es-BO"/>
        </w:rPr>
        <w:t>’</w:t>
      </w:r>
      <w:r w:rsidRPr="00B673BC">
        <w:rPr>
          <w:noProof/>
          <w:lang w:val="fr-FR" w:eastAsia="es-BO"/>
        </w:rPr>
        <w:t>intention des procureurs des unités chargées des atteintes à la vie et à l</w:t>
      </w:r>
      <w:r w:rsidR="00FB1114" w:rsidRPr="00B673BC">
        <w:rPr>
          <w:noProof/>
          <w:lang w:val="fr-FR" w:eastAsia="es-BO"/>
        </w:rPr>
        <w:t>’</w:t>
      </w:r>
      <w:r w:rsidRPr="00B673BC">
        <w:rPr>
          <w:noProof/>
          <w:lang w:val="fr-FR" w:eastAsia="es-BO"/>
        </w:rPr>
        <w:t xml:space="preserve">intégrité physique, des médecins légistes et des généticiens de </w:t>
      </w:r>
      <w:r w:rsidRPr="00B673BC">
        <w:rPr>
          <w:noProof/>
          <w:lang w:val="fr-FR"/>
        </w:rPr>
        <w:t>l</w:t>
      </w:r>
      <w:r w:rsidR="00FB1114" w:rsidRPr="00B673BC">
        <w:rPr>
          <w:noProof/>
          <w:lang w:val="fr-FR"/>
        </w:rPr>
        <w:t>’</w:t>
      </w:r>
      <w:r w:rsidRPr="00B673BC">
        <w:rPr>
          <w:noProof/>
          <w:lang w:val="fr-FR"/>
        </w:rPr>
        <w:t>Institut de recherche médico</w:t>
      </w:r>
      <w:r w:rsidR="008C55C2" w:rsidRPr="00B673BC">
        <w:rPr>
          <w:noProof/>
          <w:lang w:val="fr-FR"/>
        </w:rPr>
        <w:t>-</w:t>
      </w:r>
      <w:r w:rsidRPr="00B673BC">
        <w:rPr>
          <w:noProof/>
          <w:lang w:val="fr-FR"/>
        </w:rPr>
        <w:t>légale</w:t>
      </w:r>
      <w:r w:rsidR="008C55C2" w:rsidRPr="00B673BC">
        <w:rPr>
          <w:noProof/>
          <w:lang w:val="fr-FR"/>
        </w:rPr>
        <w:t xml:space="preserve"> </w:t>
      </w:r>
      <w:r w:rsidRPr="00B673BC">
        <w:rPr>
          <w:noProof/>
          <w:lang w:val="fr-FR" w:eastAsia="es-BO"/>
        </w:rPr>
        <w:t>(annexe 73).</w:t>
      </w:r>
    </w:p>
    <w:p w:rsidR="00614A7E" w:rsidRPr="00DF456A" w:rsidRDefault="00614A7E" w:rsidP="00614A7E">
      <w:pPr>
        <w:pStyle w:val="SingleTxtG"/>
        <w:rPr>
          <w:noProof/>
          <w:lang w:val="fr-FR" w:eastAsia="es-BO"/>
        </w:rPr>
      </w:pPr>
      <w:r w:rsidRPr="00DF456A">
        <w:rPr>
          <w:noProof/>
          <w:lang w:val="fr-FR" w:eastAsia="es-BO"/>
        </w:rPr>
        <w:t>215.</w:t>
      </w:r>
      <w:r w:rsidRPr="00DF456A">
        <w:rPr>
          <w:noProof/>
          <w:lang w:val="fr-FR" w:eastAsia="es-BO"/>
        </w:rPr>
        <w:tab/>
      </w:r>
      <w:r>
        <w:rPr>
          <w:rFonts w:eastAsia="Calibri"/>
          <w:noProof/>
          <w:lang w:val="fr-FR" w:eastAsia="es-BO"/>
        </w:rPr>
        <w:t>L</w:t>
      </w:r>
      <w:r w:rsidR="00FB1114">
        <w:rPr>
          <w:rFonts w:eastAsia="Calibri"/>
          <w:noProof/>
          <w:lang w:val="fr-FR" w:eastAsia="es-BO"/>
        </w:rPr>
        <w:t>’</w:t>
      </w:r>
      <w:r>
        <w:rPr>
          <w:rFonts w:eastAsia="Calibri"/>
          <w:noProof/>
          <w:lang w:val="fr-FR" w:eastAsia="es-BO"/>
        </w:rPr>
        <w:t>École nationale des procureurs</w:t>
      </w:r>
      <w:r w:rsidRPr="00DF456A">
        <w:rPr>
          <w:noProof/>
          <w:lang w:val="fr-FR" w:eastAsia="es-BO"/>
        </w:rPr>
        <w:t xml:space="preserve"> </w:t>
      </w:r>
      <w:r>
        <w:rPr>
          <w:noProof/>
          <w:lang w:val="fr-FR" w:eastAsia="es-BO"/>
        </w:rPr>
        <w:t>a, par l</w:t>
      </w:r>
      <w:r w:rsidR="00FB1114">
        <w:rPr>
          <w:noProof/>
          <w:lang w:val="fr-FR" w:eastAsia="es-BO"/>
        </w:rPr>
        <w:t>’</w:t>
      </w:r>
      <w:r>
        <w:rPr>
          <w:noProof/>
          <w:lang w:val="fr-FR" w:eastAsia="es-BO"/>
        </w:rPr>
        <w:t>intermédiaire de l</w:t>
      </w:r>
      <w:r w:rsidR="00FB1114">
        <w:rPr>
          <w:noProof/>
          <w:lang w:val="fr-FR" w:eastAsia="es-BO"/>
        </w:rPr>
        <w:t>’</w:t>
      </w:r>
      <w:r>
        <w:rPr>
          <w:noProof/>
          <w:lang w:val="fr-FR" w:eastAsia="es-BO"/>
        </w:rPr>
        <w:t xml:space="preserve">Unité de formation et de spécialisation, inscrit le thème de la torture et des autres peines ou traitements cruels, inhumains ou dégradants au programme des deux cours de formation et de spécialisation en droit commun </w:t>
      </w:r>
      <w:r w:rsidRPr="00DF456A">
        <w:rPr>
          <w:noProof/>
          <w:lang w:val="fr-FR" w:eastAsia="es-BO"/>
        </w:rPr>
        <w:t>(</w:t>
      </w:r>
      <w:r>
        <w:rPr>
          <w:noProof/>
          <w:lang w:val="fr-FR" w:eastAsia="es-BO"/>
        </w:rPr>
        <w:t>annexe</w:t>
      </w:r>
      <w:r w:rsidR="002F52AD">
        <w:rPr>
          <w:noProof/>
          <w:lang w:val="fr-FR" w:eastAsia="es-BO"/>
        </w:rPr>
        <w:t> </w:t>
      </w:r>
      <w:r w:rsidRPr="00DF456A">
        <w:rPr>
          <w:noProof/>
          <w:lang w:val="fr-FR" w:eastAsia="es-BO"/>
        </w:rPr>
        <w:t>74).</w:t>
      </w:r>
    </w:p>
    <w:p w:rsidR="00614A7E" w:rsidRPr="00DF456A" w:rsidRDefault="00614A7E" w:rsidP="00614A7E">
      <w:pPr>
        <w:pStyle w:val="SingleTxtG"/>
        <w:rPr>
          <w:noProof/>
          <w:lang w:val="fr-FR" w:eastAsia="es-BO"/>
        </w:rPr>
      </w:pPr>
      <w:r w:rsidRPr="00DF456A">
        <w:rPr>
          <w:noProof/>
          <w:lang w:val="fr-FR" w:eastAsia="es-BO"/>
        </w:rPr>
        <w:t>216.</w:t>
      </w:r>
      <w:r w:rsidRPr="00DF456A">
        <w:rPr>
          <w:noProof/>
          <w:lang w:val="fr-FR" w:eastAsia="es-BO"/>
        </w:rPr>
        <w:tab/>
      </w:r>
      <w:r>
        <w:rPr>
          <w:rFonts w:eastAsia="Calibri"/>
          <w:noProof/>
          <w:lang w:val="fr-FR" w:eastAsia="es-BO"/>
        </w:rPr>
        <w:t>L</w:t>
      </w:r>
      <w:r w:rsidR="00FB1114">
        <w:rPr>
          <w:rFonts w:eastAsia="Calibri"/>
          <w:noProof/>
          <w:lang w:val="fr-FR" w:eastAsia="es-BO"/>
        </w:rPr>
        <w:t>’</w:t>
      </w:r>
      <w:r>
        <w:rPr>
          <w:rFonts w:eastAsia="Calibri"/>
          <w:noProof/>
          <w:lang w:val="fr-FR" w:eastAsia="es-BO"/>
        </w:rPr>
        <w:t>École nationale des procureurs</w:t>
      </w:r>
      <w:r w:rsidRPr="00DF456A">
        <w:rPr>
          <w:noProof/>
          <w:lang w:val="fr-FR" w:eastAsia="es-BO"/>
        </w:rPr>
        <w:t xml:space="preserve"> </w:t>
      </w:r>
      <w:r>
        <w:rPr>
          <w:noProof/>
          <w:lang w:val="fr-FR" w:eastAsia="es-BO"/>
        </w:rPr>
        <w:t xml:space="preserve">a </w:t>
      </w:r>
      <w:r>
        <w:rPr>
          <w:rFonts w:eastAsia="Calibri"/>
          <w:noProof/>
          <w:lang w:val="fr-FR" w:eastAsia="es-BO"/>
        </w:rPr>
        <w:t>mis au point une méthode de suivi des processus de formation à partir d</w:t>
      </w:r>
      <w:r w:rsidR="00FB1114">
        <w:rPr>
          <w:rFonts w:eastAsia="Calibri"/>
          <w:noProof/>
          <w:lang w:val="fr-FR" w:eastAsia="es-BO"/>
        </w:rPr>
        <w:t>’</w:t>
      </w:r>
      <w:r>
        <w:rPr>
          <w:rFonts w:eastAsia="Calibri"/>
          <w:noProof/>
          <w:lang w:val="fr-FR" w:eastAsia="es-BO"/>
        </w:rPr>
        <w:t>une évaluation a posteriori d</w:t>
      </w:r>
      <w:r w:rsidR="00FB1114">
        <w:rPr>
          <w:rFonts w:eastAsia="Calibri"/>
          <w:noProof/>
          <w:lang w:val="fr-FR" w:eastAsia="es-BO"/>
        </w:rPr>
        <w:t>’</w:t>
      </w:r>
      <w:r>
        <w:rPr>
          <w:rFonts w:eastAsia="Calibri"/>
          <w:noProof/>
          <w:lang w:val="fr-FR" w:eastAsia="es-BO"/>
        </w:rPr>
        <w:t>autres programmes de formation permanente, afin d</w:t>
      </w:r>
      <w:r w:rsidR="00FB1114">
        <w:rPr>
          <w:rFonts w:eastAsia="Calibri"/>
          <w:noProof/>
          <w:lang w:val="fr-FR" w:eastAsia="es-BO"/>
        </w:rPr>
        <w:t>’</w:t>
      </w:r>
      <w:r>
        <w:rPr>
          <w:rFonts w:eastAsia="Calibri"/>
          <w:noProof/>
          <w:lang w:val="fr-FR" w:eastAsia="es-BO"/>
        </w:rPr>
        <w:t>améliorer les formations qui seront ultérieurement proposées en matière de prévention de la torture.</w:t>
      </w:r>
    </w:p>
    <w:p w:rsidR="00614A7E" w:rsidRPr="00DF456A" w:rsidRDefault="00614A7E" w:rsidP="00614A7E">
      <w:pPr>
        <w:pStyle w:val="H1G"/>
        <w:ind w:firstLine="0"/>
        <w:rPr>
          <w:noProof/>
          <w:lang w:val="fr-FR" w:eastAsia="es-BO"/>
        </w:rPr>
      </w:pPr>
      <w:r w:rsidRPr="00DF456A">
        <w:rPr>
          <w:noProof/>
          <w:lang w:val="fr-FR" w:eastAsia="es-BO"/>
        </w:rPr>
        <w:t>A</w:t>
      </w:r>
      <w:r>
        <w:rPr>
          <w:noProof/>
          <w:lang w:val="fr-FR" w:eastAsia="es-BO"/>
        </w:rPr>
        <w:t>vortements clandestins</w:t>
      </w:r>
    </w:p>
    <w:p w:rsidR="00614A7E" w:rsidRPr="00DF456A" w:rsidRDefault="00614A7E" w:rsidP="00614A7E">
      <w:pPr>
        <w:pStyle w:val="H23G"/>
        <w:rPr>
          <w:noProof/>
          <w:lang w:val="fr-FR" w:eastAsia="es-BO"/>
        </w:rPr>
      </w:pPr>
      <w:r w:rsidRPr="00DF456A">
        <w:rPr>
          <w:noProof/>
          <w:lang w:val="fr-FR" w:eastAsia="es-BO"/>
        </w:rPr>
        <w:tab/>
      </w:r>
      <w:r w:rsidRPr="00DF456A">
        <w:rPr>
          <w:noProof/>
          <w:lang w:val="fr-FR" w:eastAsia="es-BO"/>
        </w:rPr>
        <w:tab/>
        <w:t>Recom</w:t>
      </w:r>
      <w:r>
        <w:rPr>
          <w:noProof/>
          <w:lang w:val="fr-FR" w:eastAsia="es-BO"/>
        </w:rPr>
        <w:t xml:space="preserve">mandation figurant au paragraphe </w:t>
      </w:r>
      <w:r w:rsidRPr="00DF456A">
        <w:rPr>
          <w:noProof/>
          <w:lang w:val="fr-FR" w:eastAsia="es-BO"/>
        </w:rPr>
        <w:t>23</w:t>
      </w:r>
    </w:p>
    <w:p w:rsidR="00614A7E" w:rsidRPr="00DF456A" w:rsidRDefault="00614A7E" w:rsidP="00614A7E">
      <w:pPr>
        <w:pStyle w:val="SingleTxtG"/>
        <w:rPr>
          <w:noProof/>
          <w:lang w:val="fr-FR" w:eastAsia="es-BO"/>
        </w:rPr>
      </w:pPr>
      <w:r w:rsidRPr="00DF456A">
        <w:rPr>
          <w:noProof/>
          <w:lang w:val="fr-FR" w:eastAsia="es-BO"/>
        </w:rPr>
        <w:t>217.</w:t>
      </w:r>
      <w:r w:rsidRPr="00DF456A">
        <w:rPr>
          <w:noProof/>
          <w:lang w:val="fr-FR" w:eastAsia="es-BO"/>
        </w:rPr>
        <w:tab/>
        <w:t>L</w:t>
      </w:r>
      <w:r w:rsidR="00FB1114">
        <w:rPr>
          <w:noProof/>
          <w:lang w:val="fr-FR" w:eastAsia="es-BO"/>
        </w:rPr>
        <w:t>’</w:t>
      </w:r>
      <w:r>
        <w:rPr>
          <w:noProof/>
          <w:lang w:val="fr-FR" w:eastAsia="es-BO"/>
        </w:rPr>
        <w:t xml:space="preserve">arrêt du Tribunal constitutionnel </w:t>
      </w:r>
      <w:r w:rsidR="002F52AD" w:rsidRPr="00AD55D6">
        <w:rPr>
          <w:rFonts w:eastAsia="MS Mincho"/>
          <w:noProof/>
          <w:szCs w:val="22"/>
          <w:lang w:val="fr-FR" w:eastAsia="es-BO"/>
        </w:rPr>
        <w:t>n</w:t>
      </w:r>
      <w:r w:rsidR="002F52AD" w:rsidRPr="00AD55D6">
        <w:rPr>
          <w:rFonts w:eastAsia="MS Mincho"/>
          <w:noProof/>
          <w:szCs w:val="22"/>
          <w:vertAlign w:val="superscript"/>
          <w:lang w:val="fr-FR" w:eastAsia="es-BO"/>
        </w:rPr>
        <w:t>o</w:t>
      </w:r>
      <w:r w:rsidR="002F52AD">
        <w:rPr>
          <w:noProof/>
          <w:lang w:val="fr-FR" w:eastAsia="es-BO"/>
        </w:rPr>
        <w:t> </w:t>
      </w:r>
      <w:r w:rsidRPr="00DF456A">
        <w:rPr>
          <w:noProof/>
          <w:lang w:val="fr-FR" w:eastAsia="es-BO"/>
        </w:rPr>
        <w:t>0206/2014 d</w:t>
      </w:r>
      <w:r>
        <w:rPr>
          <w:noProof/>
          <w:lang w:val="fr-FR" w:eastAsia="es-BO"/>
        </w:rPr>
        <w:t>u</w:t>
      </w:r>
      <w:r w:rsidRPr="00DF456A">
        <w:rPr>
          <w:noProof/>
          <w:lang w:val="fr-FR" w:eastAsia="es-BO"/>
        </w:rPr>
        <w:t xml:space="preserve"> 5</w:t>
      </w:r>
      <w:r w:rsidR="002F52AD">
        <w:rPr>
          <w:noProof/>
          <w:lang w:val="fr-FR" w:eastAsia="es-BO"/>
        </w:rPr>
        <w:t> </w:t>
      </w:r>
      <w:r>
        <w:rPr>
          <w:noProof/>
          <w:lang w:val="fr-FR" w:eastAsia="es-BO"/>
        </w:rPr>
        <w:t>février 2014 concernant l</w:t>
      </w:r>
      <w:r w:rsidR="00FB1114">
        <w:rPr>
          <w:noProof/>
          <w:lang w:val="fr-FR" w:eastAsia="es-BO"/>
        </w:rPr>
        <w:t>’</w:t>
      </w:r>
      <w:r>
        <w:rPr>
          <w:noProof/>
          <w:lang w:val="fr-FR" w:eastAsia="es-BO"/>
        </w:rPr>
        <w:t>avortement légal déclare inconstitutionnels les membres de phrase</w:t>
      </w:r>
      <w:r w:rsidRPr="00DF456A">
        <w:rPr>
          <w:noProof/>
          <w:lang w:val="fr-FR" w:eastAsia="es-BO"/>
        </w:rPr>
        <w:t xml:space="preserve"> </w:t>
      </w:r>
      <w:r>
        <w:rPr>
          <w:noProof/>
          <w:lang w:val="fr-FR" w:eastAsia="es-BO"/>
        </w:rPr>
        <w:t>« dès lors que l</w:t>
      </w:r>
      <w:r w:rsidR="00FB1114">
        <w:rPr>
          <w:noProof/>
          <w:lang w:val="fr-FR" w:eastAsia="es-BO"/>
        </w:rPr>
        <w:t>’</w:t>
      </w:r>
      <w:r>
        <w:rPr>
          <w:noProof/>
          <w:lang w:val="fr-FR" w:eastAsia="es-BO"/>
        </w:rPr>
        <w:t>action publique a été engagée »</w:t>
      </w:r>
      <w:r w:rsidRPr="00DF456A">
        <w:rPr>
          <w:noProof/>
          <w:lang w:val="fr-FR" w:eastAsia="es-BO"/>
        </w:rPr>
        <w:t xml:space="preserve"> </w:t>
      </w:r>
      <w:r>
        <w:rPr>
          <w:noProof/>
          <w:lang w:val="fr-FR" w:eastAsia="es-BO"/>
        </w:rPr>
        <w:t>et « autorisation judiciaire, le cas échéant » dans l</w:t>
      </w:r>
      <w:r w:rsidR="00FB1114">
        <w:rPr>
          <w:noProof/>
          <w:lang w:val="fr-FR" w:eastAsia="es-BO"/>
        </w:rPr>
        <w:t>’</w:t>
      </w:r>
      <w:r>
        <w:rPr>
          <w:noProof/>
          <w:lang w:val="fr-FR" w:eastAsia="es-BO"/>
        </w:rPr>
        <w:t>article</w:t>
      </w:r>
      <w:r w:rsidR="00C4111F">
        <w:rPr>
          <w:noProof/>
          <w:lang w:val="fr-FR" w:eastAsia="es-BO"/>
        </w:rPr>
        <w:t> </w:t>
      </w:r>
      <w:r w:rsidRPr="00DF456A">
        <w:rPr>
          <w:noProof/>
          <w:lang w:val="fr-FR" w:eastAsia="es-BO"/>
        </w:rPr>
        <w:t xml:space="preserve">266 </w:t>
      </w:r>
      <w:r>
        <w:rPr>
          <w:noProof/>
          <w:lang w:val="fr-FR" w:eastAsia="es-BO"/>
        </w:rPr>
        <w:t xml:space="preserve">du Code de procédure pénale </w:t>
      </w:r>
      <w:r w:rsidRPr="00DF456A">
        <w:rPr>
          <w:noProof/>
          <w:lang w:val="fr-FR" w:eastAsia="es-BO"/>
        </w:rPr>
        <w:t>(</w:t>
      </w:r>
      <w:r>
        <w:rPr>
          <w:noProof/>
          <w:lang w:val="fr-FR" w:eastAsia="es-BO"/>
        </w:rPr>
        <w:t>annexe</w:t>
      </w:r>
      <w:r w:rsidR="00C4111F">
        <w:rPr>
          <w:noProof/>
          <w:lang w:val="fr-FR" w:eastAsia="es-BO"/>
        </w:rPr>
        <w:t> </w:t>
      </w:r>
      <w:r w:rsidRPr="00DF456A">
        <w:rPr>
          <w:noProof/>
          <w:lang w:val="fr-FR" w:eastAsia="es-BO"/>
        </w:rPr>
        <w:t>75).</w:t>
      </w:r>
    </w:p>
    <w:p w:rsidR="00614A7E" w:rsidRPr="00DF456A" w:rsidRDefault="00614A7E" w:rsidP="00614A7E">
      <w:pPr>
        <w:pStyle w:val="SingleTxtG"/>
        <w:rPr>
          <w:noProof/>
          <w:lang w:val="fr-FR" w:eastAsia="es-BO"/>
        </w:rPr>
      </w:pPr>
      <w:r w:rsidRPr="00DF456A">
        <w:rPr>
          <w:noProof/>
          <w:lang w:val="fr-FR" w:eastAsia="es-BO"/>
        </w:rPr>
        <w:t>218.</w:t>
      </w:r>
      <w:r w:rsidRPr="00DF456A">
        <w:rPr>
          <w:noProof/>
          <w:lang w:val="fr-FR" w:eastAsia="es-BO"/>
        </w:rPr>
        <w:tab/>
      </w:r>
      <w:r>
        <w:rPr>
          <w:noProof/>
          <w:lang w:val="fr-FR" w:eastAsia="es-BO"/>
        </w:rPr>
        <w:t>À cet égard, il supprime l</w:t>
      </w:r>
      <w:r w:rsidR="00FB1114">
        <w:rPr>
          <w:noProof/>
          <w:lang w:val="fr-FR" w:eastAsia="es-BO"/>
        </w:rPr>
        <w:t>’</w:t>
      </w:r>
      <w:r w:rsidRPr="00DF456A">
        <w:rPr>
          <w:noProof/>
          <w:lang w:val="fr-FR" w:eastAsia="es-BO"/>
        </w:rPr>
        <w:t>autori</w:t>
      </w:r>
      <w:r>
        <w:rPr>
          <w:noProof/>
          <w:lang w:val="fr-FR" w:eastAsia="es-BO"/>
        </w:rPr>
        <w:t>sation judiciaire pour avoir accès à un avortement légal dans les cas suivants : la grossesse fait suite à un viol, à un inceste ou à un enlèvement</w:t>
      </w:r>
      <w:r w:rsidR="001F2105">
        <w:rPr>
          <w:noProof/>
          <w:lang w:val="fr-FR" w:eastAsia="es-BO"/>
        </w:rPr>
        <w:t> </w:t>
      </w:r>
      <w:r w:rsidRPr="00DF456A">
        <w:rPr>
          <w:noProof/>
          <w:lang w:val="fr-FR" w:eastAsia="es-BO"/>
        </w:rPr>
        <w:t xml:space="preserve">; </w:t>
      </w:r>
      <w:r>
        <w:rPr>
          <w:noProof/>
          <w:lang w:val="fr-FR" w:eastAsia="es-BO"/>
        </w:rPr>
        <w:t xml:space="preserve">la grossesse met en danger la vie ou la santé de la femme : il suffit alors à celle-ci de </w:t>
      </w:r>
      <w:r w:rsidRPr="00DF456A">
        <w:rPr>
          <w:noProof/>
          <w:lang w:val="fr-FR" w:eastAsia="es-BO"/>
        </w:rPr>
        <w:t>pr</w:t>
      </w:r>
      <w:r>
        <w:rPr>
          <w:noProof/>
          <w:lang w:val="fr-FR" w:eastAsia="es-BO"/>
        </w:rPr>
        <w:t>é</w:t>
      </w:r>
      <w:r w:rsidRPr="00DF456A">
        <w:rPr>
          <w:noProof/>
          <w:lang w:val="fr-FR" w:eastAsia="es-BO"/>
        </w:rPr>
        <w:t>sent</w:t>
      </w:r>
      <w:r>
        <w:rPr>
          <w:noProof/>
          <w:lang w:val="fr-FR" w:eastAsia="es-BO"/>
        </w:rPr>
        <w:t>er une copie de la plainte déposée pour que le service de santé (public ou privé) procède à une interruption légale de grossesse</w:t>
      </w:r>
      <w:r w:rsidRPr="00DF456A">
        <w:rPr>
          <w:noProof/>
          <w:lang w:val="fr-FR" w:eastAsia="es-BO"/>
        </w:rPr>
        <w:t>.</w:t>
      </w:r>
    </w:p>
    <w:p w:rsidR="00614A7E" w:rsidRPr="00DF456A" w:rsidRDefault="00614A7E" w:rsidP="00614A7E">
      <w:pPr>
        <w:pStyle w:val="SingleTxtG"/>
        <w:rPr>
          <w:noProof/>
          <w:lang w:val="fr-FR" w:eastAsia="es-BO"/>
        </w:rPr>
      </w:pPr>
      <w:r w:rsidRPr="00DF456A">
        <w:rPr>
          <w:noProof/>
          <w:lang w:val="fr-FR" w:eastAsia="es-BO"/>
        </w:rPr>
        <w:t>219.</w:t>
      </w:r>
      <w:r w:rsidRPr="00DF456A">
        <w:rPr>
          <w:noProof/>
          <w:lang w:val="fr-FR" w:eastAsia="es-BO"/>
        </w:rPr>
        <w:tab/>
      </w:r>
      <w:r>
        <w:rPr>
          <w:noProof/>
          <w:lang w:val="fr-FR" w:eastAsia="es-BO"/>
        </w:rPr>
        <w:t>De même, le Ministère de la santé a mis au point la procédure technique relative à la prestation de services de santé dans le cadre de l</w:t>
      </w:r>
      <w:r w:rsidR="00FB1114">
        <w:rPr>
          <w:noProof/>
          <w:lang w:val="fr-FR" w:eastAsia="es-BO"/>
        </w:rPr>
        <w:t>’</w:t>
      </w:r>
      <w:r>
        <w:rPr>
          <w:noProof/>
          <w:lang w:val="fr-FR" w:eastAsia="es-BO"/>
        </w:rPr>
        <w:t xml:space="preserve">arrêt du Tribunal constitutionnel </w:t>
      </w:r>
      <w:r w:rsidR="00C4111F" w:rsidRPr="00AD55D6">
        <w:rPr>
          <w:rFonts w:eastAsia="MS Mincho"/>
          <w:noProof/>
          <w:szCs w:val="22"/>
          <w:lang w:val="fr-FR" w:eastAsia="es-BO"/>
        </w:rPr>
        <w:lastRenderedPageBreak/>
        <w:t>n</w:t>
      </w:r>
      <w:r w:rsidR="00C4111F" w:rsidRPr="00AD55D6">
        <w:rPr>
          <w:rFonts w:eastAsia="MS Mincho"/>
          <w:noProof/>
          <w:szCs w:val="22"/>
          <w:vertAlign w:val="superscript"/>
          <w:lang w:val="fr-FR" w:eastAsia="es-BO"/>
        </w:rPr>
        <w:t>o</w:t>
      </w:r>
      <w:r w:rsidR="00C4111F">
        <w:rPr>
          <w:noProof/>
          <w:lang w:val="fr-FR" w:eastAsia="es-BO"/>
        </w:rPr>
        <w:t> </w:t>
      </w:r>
      <w:r w:rsidRPr="00DF456A">
        <w:rPr>
          <w:noProof/>
          <w:lang w:val="fr-FR" w:eastAsia="es-BO"/>
        </w:rPr>
        <w:t>0206/2014</w:t>
      </w:r>
      <w:r w:rsidRPr="00DF456A">
        <w:rPr>
          <w:noProof/>
          <w:sz w:val="18"/>
          <w:szCs w:val="18"/>
          <w:vertAlign w:val="superscript"/>
          <w:lang w:val="fr-FR" w:eastAsia="es-BO"/>
        </w:rPr>
        <w:footnoteReference w:id="81"/>
      </w:r>
      <w:r w:rsidRPr="00DF456A">
        <w:rPr>
          <w:noProof/>
          <w:lang w:val="fr-FR" w:eastAsia="es-BO"/>
        </w:rPr>
        <w:t xml:space="preserve"> (</w:t>
      </w:r>
      <w:r>
        <w:rPr>
          <w:noProof/>
          <w:lang w:val="fr-FR" w:eastAsia="es-BO"/>
        </w:rPr>
        <w:t>annexe</w:t>
      </w:r>
      <w:r w:rsidR="00C4111F">
        <w:rPr>
          <w:noProof/>
          <w:lang w:val="fr-FR" w:eastAsia="es-BO"/>
        </w:rPr>
        <w:t> </w:t>
      </w:r>
      <w:r w:rsidRPr="00DF456A">
        <w:rPr>
          <w:noProof/>
          <w:lang w:val="fr-FR" w:eastAsia="es-BO"/>
        </w:rPr>
        <w:t>76), qu</w:t>
      </w:r>
      <w:r>
        <w:rPr>
          <w:noProof/>
          <w:lang w:val="fr-FR" w:eastAsia="es-BO"/>
        </w:rPr>
        <w:t xml:space="preserve">i régit la prestation </w:t>
      </w:r>
      <w:r w:rsidRPr="00DF456A">
        <w:rPr>
          <w:noProof/>
          <w:lang w:val="fr-FR" w:eastAsia="es-BO"/>
        </w:rPr>
        <w:t>des servic</w:t>
      </w:r>
      <w:r>
        <w:rPr>
          <w:noProof/>
          <w:lang w:val="fr-FR" w:eastAsia="es-BO"/>
        </w:rPr>
        <w:t>e</w:t>
      </w:r>
      <w:r w:rsidRPr="00DF456A">
        <w:rPr>
          <w:noProof/>
          <w:lang w:val="fr-FR" w:eastAsia="es-BO"/>
        </w:rPr>
        <w:t>s de sa</w:t>
      </w:r>
      <w:r>
        <w:rPr>
          <w:noProof/>
          <w:lang w:val="fr-FR" w:eastAsia="es-BO"/>
        </w:rPr>
        <w:t>nté dans le cas d</w:t>
      </w:r>
      <w:r w:rsidR="00FB1114">
        <w:rPr>
          <w:noProof/>
          <w:lang w:val="fr-FR" w:eastAsia="es-BO"/>
        </w:rPr>
        <w:t>’</w:t>
      </w:r>
      <w:r>
        <w:rPr>
          <w:noProof/>
          <w:lang w:val="fr-FR" w:eastAsia="es-BO"/>
        </w:rPr>
        <w:t>une interruption légale et sans risque de la grossesse</w:t>
      </w:r>
      <w:r w:rsidRPr="00DF456A">
        <w:rPr>
          <w:noProof/>
          <w:lang w:val="fr-FR" w:eastAsia="es-BO"/>
        </w:rPr>
        <w:t>, p</w:t>
      </w:r>
      <w:r>
        <w:rPr>
          <w:noProof/>
          <w:lang w:val="fr-FR" w:eastAsia="es-BO"/>
        </w:rPr>
        <w:t xml:space="preserve">our </w:t>
      </w:r>
      <w:r w:rsidRPr="00DF456A">
        <w:rPr>
          <w:noProof/>
          <w:lang w:val="fr-FR" w:eastAsia="es-BO"/>
        </w:rPr>
        <w:t xml:space="preserve">garantir </w:t>
      </w:r>
      <w:r>
        <w:rPr>
          <w:noProof/>
          <w:lang w:val="fr-FR" w:eastAsia="es-BO"/>
        </w:rPr>
        <w:t>le droit d</w:t>
      </w:r>
      <w:r w:rsidR="00FB1114">
        <w:rPr>
          <w:noProof/>
          <w:lang w:val="fr-FR" w:eastAsia="es-BO"/>
        </w:rPr>
        <w:t>’</w:t>
      </w:r>
      <w:r>
        <w:rPr>
          <w:noProof/>
          <w:lang w:val="fr-FR" w:eastAsia="es-BO"/>
        </w:rPr>
        <w:t>accès des femmes à des services de qualité fournis en temps voulu</w:t>
      </w:r>
      <w:r w:rsidRPr="00DF456A">
        <w:rPr>
          <w:noProof/>
          <w:lang w:val="fr-FR" w:eastAsia="es-BO"/>
        </w:rPr>
        <w:t>.</w:t>
      </w:r>
    </w:p>
    <w:p w:rsidR="00614A7E" w:rsidRPr="00B673BC" w:rsidRDefault="00614A7E" w:rsidP="00614A7E">
      <w:pPr>
        <w:pStyle w:val="SingleTxtG"/>
        <w:rPr>
          <w:noProof/>
          <w:lang w:val="fr-FR" w:eastAsia="es-BO"/>
        </w:rPr>
      </w:pPr>
      <w:r w:rsidRPr="00B673BC">
        <w:rPr>
          <w:noProof/>
          <w:lang w:val="fr-FR" w:eastAsia="es-BO"/>
        </w:rPr>
        <w:t>220.</w:t>
      </w:r>
      <w:r w:rsidRPr="00B673BC">
        <w:rPr>
          <w:noProof/>
          <w:lang w:val="fr-FR" w:eastAsia="es-BO"/>
        </w:rPr>
        <w:tab/>
        <w:t>Entre 2015 et 2017, le Ministère a travaillé à un plan de formation des personnels de santé à la gestion du Modèle de prise en charge des victimes de la violence sexuelle au regard de l</w:t>
      </w:r>
      <w:r w:rsidR="00FB1114" w:rsidRPr="00B673BC">
        <w:rPr>
          <w:noProof/>
          <w:lang w:val="fr-FR" w:eastAsia="es-BO"/>
        </w:rPr>
        <w:t>’</w:t>
      </w:r>
      <w:r w:rsidRPr="00B673BC">
        <w:rPr>
          <w:noProof/>
          <w:lang w:val="fr-FR" w:eastAsia="es-BO"/>
        </w:rPr>
        <w:t>arrêt du Tribunal constitutionnel susvisé.</w:t>
      </w:r>
    </w:p>
    <w:p w:rsidR="00614A7E" w:rsidRPr="00B673BC" w:rsidRDefault="00614A7E" w:rsidP="00614A7E">
      <w:pPr>
        <w:pStyle w:val="SingleTxtG"/>
        <w:rPr>
          <w:noProof/>
          <w:lang w:val="fr-FR" w:eastAsia="es-BO"/>
        </w:rPr>
      </w:pPr>
      <w:r w:rsidRPr="00B673BC">
        <w:rPr>
          <w:noProof/>
          <w:lang w:val="fr-FR" w:eastAsia="es-BO"/>
        </w:rPr>
        <w:t>221.</w:t>
      </w:r>
      <w:r w:rsidRPr="00B673BC">
        <w:rPr>
          <w:noProof/>
          <w:lang w:val="fr-FR" w:eastAsia="es-BO"/>
        </w:rPr>
        <w:tab/>
        <w:t>En ce qui concerne les recommandations figurant aux paragraphes</w:t>
      </w:r>
      <w:r w:rsidR="00C4111F" w:rsidRPr="00B673BC">
        <w:rPr>
          <w:noProof/>
          <w:lang w:val="fr-FR" w:eastAsia="es-BO"/>
        </w:rPr>
        <w:t> </w:t>
      </w:r>
      <w:r w:rsidRPr="00B673BC">
        <w:rPr>
          <w:noProof/>
          <w:lang w:val="fr-FR" w:eastAsia="es-BO"/>
        </w:rPr>
        <w:t xml:space="preserve">42 et 43 du document CEDAW/C/BOL/CO/4, le Ministère de la santé a adopté le Plan sectoriel de développement </w:t>
      </w:r>
      <w:r w:rsidRPr="00B673BC">
        <w:rPr>
          <w:noProof/>
          <w:lang w:val="fr-FR"/>
        </w:rPr>
        <w:t>complet «</w:t>
      </w:r>
      <w:r w:rsidR="00C4111F" w:rsidRPr="00B673BC">
        <w:rPr>
          <w:noProof/>
          <w:lang w:val="fr-FR"/>
        </w:rPr>
        <w:t> </w:t>
      </w:r>
      <w:r w:rsidRPr="00B673BC">
        <w:rPr>
          <w:noProof/>
          <w:lang w:val="fr-FR"/>
        </w:rPr>
        <w:t>Bien vivre</w:t>
      </w:r>
      <w:r w:rsidR="00C4111F" w:rsidRPr="00B673BC">
        <w:rPr>
          <w:noProof/>
          <w:lang w:val="fr-FR"/>
        </w:rPr>
        <w:t> </w:t>
      </w:r>
      <w:r w:rsidRPr="00B673BC">
        <w:rPr>
          <w:noProof/>
          <w:lang w:val="fr-FR"/>
        </w:rPr>
        <w:t>»</w:t>
      </w:r>
      <w:r w:rsidRPr="00B673BC">
        <w:rPr>
          <w:noProof/>
          <w:lang w:val="fr-FR" w:eastAsia="es-BO"/>
        </w:rPr>
        <w:t xml:space="preserve"> 2016-2020</w:t>
      </w:r>
      <w:r w:rsidRPr="00B673BC">
        <w:rPr>
          <w:noProof/>
          <w:sz w:val="18"/>
          <w:szCs w:val="18"/>
          <w:vertAlign w:val="superscript"/>
          <w:lang w:val="fr-FR" w:eastAsia="es-BO"/>
        </w:rPr>
        <w:footnoteReference w:id="82"/>
      </w:r>
      <w:r w:rsidRPr="00B673BC">
        <w:rPr>
          <w:noProof/>
          <w:lang w:val="fr-FR" w:eastAsia="es-BO"/>
        </w:rPr>
        <w:t xml:space="preserve"> dans le cadre du </w:t>
      </w:r>
      <w:r w:rsidRPr="00B673BC">
        <w:rPr>
          <w:noProof/>
          <w:lang w:val="fr-FR"/>
        </w:rPr>
        <w:t>Système de planification intégrée du développement en Bolivie</w:t>
      </w:r>
      <w:r w:rsidRPr="00B673BC">
        <w:rPr>
          <w:noProof/>
          <w:lang w:val="fr-FR" w:eastAsia="es-BO"/>
        </w:rPr>
        <w:t xml:space="preserve"> et des lignes directrices de l</w:t>
      </w:r>
      <w:r w:rsidR="00FB1114" w:rsidRPr="00B673BC">
        <w:rPr>
          <w:noProof/>
          <w:lang w:val="fr-FR" w:eastAsia="es-BO"/>
        </w:rPr>
        <w:t>’</w:t>
      </w:r>
      <w:r w:rsidRPr="00B673BC">
        <w:rPr>
          <w:noProof/>
          <w:lang w:val="fr-FR" w:eastAsia="es-BO"/>
        </w:rPr>
        <w:t>Agenda patriotique 2025, plan qui a pour objectif d</w:t>
      </w:r>
      <w:r w:rsidR="00FB1114" w:rsidRPr="00B673BC">
        <w:rPr>
          <w:noProof/>
          <w:lang w:val="fr-FR" w:eastAsia="es-BO"/>
        </w:rPr>
        <w:t>’</w:t>
      </w:r>
      <w:r w:rsidRPr="00B673BC">
        <w:rPr>
          <w:noProof/>
          <w:lang w:val="fr-FR" w:eastAsia="es-BO"/>
        </w:rPr>
        <w:t>« assurer à tous l</w:t>
      </w:r>
      <w:r w:rsidR="00FB1114" w:rsidRPr="00B673BC">
        <w:rPr>
          <w:noProof/>
          <w:lang w:val="fr-FR" w:eastAsia="es-BO"/>
        </w:rPr>
        <w:t>’</w:t>
      </w:r>
      <w:r w:rsidRPr="00B673BC">
        <w:rPr>
          <w:noProof/>
          <w:lang w:val="fr-FR" w:eastAsia="es-BO"/>
        </w:rPr>
        <w:t>accès gratuit et équitable aux services de santé d</w:t>
      </w:r>
      <w:r w:rsidR="00FB1114" w:rsidRPr="00B673BC">
        <w:rPr>
          <w:noProof/>
          <w:lang w:val="fr-FR" w:eastAsia="es-BO"/>
        </w:rPr>
        <w:t>’</w:t>
      </w:r>
      <w:r w:rsidRPr="00B673BC">
        <w:rPr>
          <w:noProof/>
          <w:lang w:val="fr-FR" w:eastAsia="es-BO"/>
        </w:rPr>
        <w:t>ici à 2020 ».</w:t>
      </w:r>
    </w:p>
    <w:p w:rsidR="00614A7E" w:rsidRPr="00B673BC" w:rsidRDefault="00614A7E" w:rsidP="00614A7E">
      <w:pPr>
        <w:pStyle w:val="SingleTxtG"/>
        <w:rPr>
          <w:noProof/>
          <w:lang w:val="fr-FR" w:eastAsia="es-BO"/>
        </w:rPr>
      </w:pPr>
      <w:r w:rsidRPr="00B673BC">
        <w:rPr>
          <w:noProof/>
          <w:lang w:val="fr-FR" w:eastAsia="es-BO"/>
        </w:rPr>
        <w:t>222.</w:t>
      </w:r>
      <w:r w:rsidRPr="00B673BC">
        <w:rPr>
          <w:noProof/>
          <w:lang w:val="fr-FR" w:eastAsia="es-BO"/>
        </w:rPr>
        <w:tab/>
        <w:t>De même, le Ministère de la santé a adopté le document intitulé Questions de genre et santé</w:t>
      </w:r>
      <w:r w:rsidR="00C4111F" w:rsidRPr="00B673BC">
        <w:rPr>
          <w:noProof/>
          <w:lang w:val="fr-FR" w:eastAsia="es-BO"/>
        </w:rPr>
        <w:t> </w:t>
      </w:r>
      <w:r w:rsidRPr="00B673BC">
        <w:rPr>
          <w:noProof/>
          <w:lang w:val="fr-FR" w:eastAsia="es-BO"/>
        </w:rPr>
        <w:t>: Orientations stratégiques pour 2012-2015</w:t>
      </w:r>
      <w:r w:rsidRPr="00B673BC">
        <w:rPr>
          <w:noProof/>
          <w:sz w:val="18"/>
          <w:szCs w:val="18"/>
          <w:vertAlign w:val="superscript"/>
          <w:lang w:val="fr-FR" w:eastAsia="es-BO"/>
        </w:rPr>
        <w:footnoteReference w:id="83"/>
      </w:r>
      <w:r w:rsidRPr="00B673BC">
        <w:rPr>
          <w:noProof/>
          <w:lang w:val="fr-FR" w:eastAsia="es-BO"/>
        </w:rPr>
        <w:t xml:space="preserve"> (annexe</w:t>
      </w:r>
      <w:r w:rsidR="00C4111F" w:rsidRPr="00B673BC">
        <w:rPr>
          <w:noProof/>
          <w:lang w:val="fr-FR" w:eastAsia="es-BO"/>
        </w:rPr>
        <w:t> </w:t>
      </w:r>
      <w:r w:rsidRPr="00B673BC">
        <w:rPr>
          <w:noProof/>
          <w:lang w:val="fr-FR" w:eastAsia="es-BO"/>
        </w:rPr>
        <w:t>77), qui vise à intégrer une perspective de genre dans les activités du secteur de la santé afin de mener des interventions pouvant répondre aux besoins de chaque genre, indépendamment de l</w:t>
      </w:r>
      <w:r w:rsidR="00FB1114" w:rsidRPr="00B673BC">
        <w:rPr>
          <w:noProof/>
          <w:lang w:val="fr-FR" w:eastAsia="es-BO"/>
        </w:rPr>
        <w:t>’</w:t>
      </w:r>
      <w:r w:rsidRPr="00B673BC">
        <w:rPr>
          <w:noProof/>
          <w:lang w:val="fr-FR" w:eastAsia="es-BO"/>
        </w:rPr>
        <w:t>âge, du sexe et de l</w:t>
      </w:r>
      <w:r w:rsidR="00FB1114" w:rsidRPr="00B673BC">
        <w:rPr>
          <w:noProof/>
          <w:lang w:val="fr-FR" w:eastAsia="es-BO"/>
        </w:rPr>
        <w:t>’</w:t>
      </w:r>
      <w:r w:rsidRPr="00B673BC">
        <w:rPr>
          <w:noProof/>
          <w:lang w:val="fr-FR" w:eastAsia="es-BO"/>
        </w:rPr>
        <w:t>orientation sexuelle, entre autres, et qui prend en compte les orientations stratégiques énumérées ci-après</w:t>
      </w:r>
      <w:r w:rsidR="006D5254" w:rsidRPr="00B673BC">
        <w:rPr>
          <w:noProof/>
          <w:lang w:val="fr-FR" w:eastAsia="es-BO"/>
        </w:rPr>
        <w:t> </w:t>
      </w:r>
      <w:r w:rsidRPr="00B673BC">
        <w:rPr>
          <w:noProof/>
          <w:lang w:val="fr-FR" w:eastAsia="es-BO"/>
        </w:rPr>
        <w:t>:</w:t>
      </w:r>
    </w:p>
    <w:p w:rsidR="00614A7E" w:rsidRPr="006D5254" w:rsidRDefault="00614A7E" w:rsidP="006D5254">
      <w:pPr>
        <w:pStyle w:val="Bullet1G"/>
      </w:pPr>
      <w:r>
        <w:rPr>
          <w:noProof/>
          <w:lang w:val="fr-FR"/>
        </w:rPr>
        <w:t xml:space="preserve">Renforcer le développement </w:t>
      </w:r>
      <w:r w:rsidRPr="006D5254">
        <w:t>institutionnel dans une perspective de genre</w:t>
      </w:r>
      <w:r w:rsidR="006D5254">
        <w:t> ;</w:t>
      </w:r>
    </w:p>
    <w:p w:rsidR="00614A7E" w:rsidRPr="006D5254" w:rsidRDefault="00614A7E" w:rsidP="006D5254">
      <w:pPr>
        <w:pStyle w:val="Bullet1G"/>
      </w:pPr>
      <w:r w:rsidRPr="006D5254">
        <w:t>Assurer des services de santé complets dans une perspective de genre, en contribuant à la qualité des soins</w:t>
      </w:r>
      <w:r w:rsidR="006D5254">
        <w:t> ;</w:t>
      </w:r>
    </w:p>
    <w:p w:rsidR="00614A7E" w:rsidRPr="006D5254" w:rsidRDefault="00614A7E" w:rsidP="006D5254">
      <w:pPr>
        <w:pStyle w:val="Bullet1G"/>
      </w:pPr>
      <w:r w:rsidRPr="006D5254">
        <w:t>Renforcer la production d</w:t>
      </w:r>
      <w:r w:rsidR="00FB1114">
        <w:t>’</w:t>
      </w:r>
      <w:r w:rsidRPr="006D5254">
        <w:t>informations et leur analyse dans une perspective de genre</w:t>
      </w:r>
      <w:r w:rsidR="006D5254">
        <w:t> ;</w:t>
      </w:r>
    </w:p>
    <w:p w:rsidR="00614A7E" w:rsidRPr="00DF456A" w:rsidRDefault="00614A7E" w:rsidP="006D5254">
      <w:pPr>
        <w:pStyle w:val="Bullet1G"/>
        <w:rPr>
          <w:noProof/>
          <w:lang w:val="fr-FR"/>
        </w:rPr>
      </w:pPr>
      <w:r w:rsidRPr="006D5254">
        <w:t>Promouvoir la participation de la communauté, des homme et des femmes, en mettant l</w:t>
      </w:r>
      <w:r w:rsidR="00FB1114">
        <w:t>’</w:t>
      </w:r>
      <w:r w:rsidRPr="006D5254">
        <w:t>accent sur la participation</w:t>
      </w:r>
      <w:r>
        <w:rPr>
          <w:noProof/>
          <w:lang w:val="fr-FR"/>
        </w:rPr>
        <w:t xml:space="preserve"> de ces dernières</w:t>
      </w:r>
      <w:r w:rsidRPr="00DF456A">
        <w:rPr>
          <w:noProof/>
          <w:lang w:val="fr-FR"/>
        </w:rPr>
        <w:t>.</w:t>
      </w:r>
    </w:p>
    <w:p w:rsidR="00614A7E" w:rsidRPr="0087167F" w:rsidRDefault="00614A7E" w:rsidP="00614A7E">
      <w:pPr>
        <w:pStyle w:val="SingleTxtG"/>
        <w:rPr>
          <w:noProof/>
          <w:lang w:val="fr-FR" w:eastAsia="es-BO"/>
        </w:rPr>
      </w:pPr>
      <w:r w:rsidRPr="0087167F">
        <w:rPr>
          <w:noProof/>
          <w:lang w:val="fr-FR" w:eastAsia="es-BO"/>
        </w:rPr>
        <w:t>223.</w:t>
      </w:r>
      <w:r w:rsidRPr="0087167F">
        <w:rPr>
          <w:noProof/>
          <w:lang w:val="fr-FR" w:eastAsia="es-BO"/>
        </w:rPr>
        <w:tab/>
      </w:r>
      <w:r>
        <w:rPr>
          <w:noProof/>
          <w:lang w:val="fr-FR" w:eastAsia="es-BO"/>
        </w:rPr>
        <w:t>L</w:t>
      </w:r>
      <w:r w:rsidR="00FB1114">
        <w:rPr>
          <w:noProof/>
          <w:lang w:val="fr-FR" w:eastAsia="es-BO"/>
        </w:rPr>
        <w:t>’</w:t>
      </w:r>
      <w:r>
        <w:rPr>
          <w:noProof/>
          <w:lang w:val="fr-FR" w:eastAsia="es-BO"/>
        </w:rPr>
        <w:t xml:space="preserve">adoption </w:t>
      </w:r>
      <w:r w:rsidRPr="00DF456A">
        <w:rPr>
          <w:noProof/>
          <w:lang w:val="fr-FR" w:eastAsia="es-BO"/>
        </w:rPr>
        <w:t xml:space="preserve">de la </w:t>
      </w:r>
      <w:r>
        <w:rPr>
          <w:noProof/>
          <w:lang w:val="fr-FR" w:eastAsia="es-BO"/>
        </w:rPr>
        <w:t xml:space="preserve">loi </w:t>
      </w:r>
      <w:r w:rsidR="006D5254" w:rsidRPr="00AD55D6">
        <w:rPr>
          <w:rFonts w:eastAsia="MS Mincho"/>
          <w:noProof/>
          <w:szCs w:val="22"/>
          <w:lang w:val="fr-FR" w:eastAsia="es-BO"/>
        </w:rPr>
        <w:t>n</w:t>
      </w:r>
      <w:r w:rsidR="006D5254" w:rsidRPr="00AD55D6">
        <w:rPr>
          <w:rFonts w:eastAsia="MS Mincho"/>
          <w:noProof/>
          <w:szCs w:val="22"/>
          <w:vertAlign w:val="superscript"/>
          <w:lang w:val="fr-FR" w:eastAsia="es-BO"/>
        </w:rPr>
        <w:t>o</w:t>
      </w:r>
      <w:r w:rsidR="006D5254">
        <w:rPr>
          <w:noProof/>
          <w:lang w:val="fr-FR" w:eastAsia="es-BO"/>
        </w:rPr>
        <w:t> </w:t>
      </w:r>
      <w:r>
        <w:rPr>
          <w:noProof/>
          <w:lang w:val="fr-FR" w:eastAsia="es-BO"/>
        </w:rPr>
        <w:t>475 du</w:t>
      </w:r>
      <w:r w:rsidRPr="00DF456A">
        <w:rPr>
          <w:noProof/>
          <w:lang w:val="fr-FR" w:eastAsia="es-BO"/>
        </w:rPr>
        <w:t xml:space="preserve"> 30</w:t>
      </w:r>
      <w:r w:rsidR="006D5254">
        <w:rPr>
          <w:noProof/>
          <w:lang w:val="fr-FR" w:eastAsia="es-BO"/>
        </w:rPr>
        <w:t> </w:t>
      </w:r>
      <w:r w:rsidRPr="00DF456A">
        <w:rPr>
          <w:noProof/>
          <w:lang w:val="fr-FR" w:eastAsia="es-BO"/>
        </w:rPr>
        <w:t>d</w:t>
      </w:r>
      <w:r>
        <w:rPr>
          <w:noProof/>
          <w:lang w:val="fr-FR" w:eastAsia="es-BO"/>
        </w:rPr>
        <w:t>é</w:t>
      </w:r>
      <w:r w:rsidRPr="00DF456A">
        <w:rPr>
          <w:noProof/>
          <w:lang w:val="fr-FR" w:eastAsia="es-BO"/>
        </w:rPr>
        <w:t xml:space="preserve">cembre 2013 </w:t>
      </w:r>
      <w:r w:rsidRPr="00B5117C">
        <w:rPr>
          <w:lang w:val="fr-FR"/>
        </w:rPr>
        <w:t xml:space="preserve">sur </w:t>
      </w:r>
      <w:r w:rsidR="000053A5">
        <w:rPr>
          <w:lang w:val="fr-FR"/>
        </w:rPr>
        <w:t xml:space="preserve">la prise en charge intégrale </w:t>
      </w:r>
      <w:r w:rsidR="0047481D">
        <w:rPr>
          <w:lang w:val="fr-FR"/>
        </w:rPr>
        <w:t>des services de santé</w:t>
      </w:r>
      <w:r w:rsidRPr="00DF456A">
        <w:rPr>
          <w:noProof/>
          <w:lang w:val="fr-FR" w:eastAsia="es-BO"/>
        </w:rPr>
        <w:t xml:space="preserve"> (</w:t>
      </w:r>
      <w:r>
        <w:rPr>
          <w:noProof/>
          <w:lang w:val="fr-FR" w:eastAsia="es-BO"/>
        </w:rPr>
        <w:t>annexe</w:t>
      </w:r>
      <w:r w:rsidR="006D5254">
        <w:rPr>
          <w:noProof/>
          <w:lang w:val="fr-FR" w:eastAsia="es-BO"/>
        </w:rPr>
        <w:t> </w:t>
      </w:r>
      <w:r w:rsidRPr="00DF456A">
        <w:rPr>
          <w:noProof/>
          <w:lang w:val="fr-FR" w:eastAsia="es-BO"/>
        </w:rPr>
        <w:t>78)</w:t>
      </w:r>
      <w:r>
        <w:rPr>
          <w:noProof/>
          <w:lang w:val="fr-FR" w:eastAsia="es-BO"/>
        </w:rPr>
        <w:t xml:space="preserve"> et du décret suprême </w:t>
      </w:r>
      <w:r w:rsidR="006D5254" w:rsidRPr="00AD55D6">
        <w:rPr>
          <w:rFonts w:eastAsia="MS Mincho"/>
          <w:noProof/>
          <w:szCs w:val="22"/>
          <w:lang w:val="fr-FR" w:eastAsia="es-BO"/>
        </w:rPr>
        <w:t>n</w:t>
      </w:r>
      <w:r w:rsidR="006D5254" w:rsidRPr="00AD55D6">
        <w:rPr>
          <w:rFonts w:eastAsia="MS Mincho"/>
          <w:noProof/>
          <w:szCs w:val="22"/>
          <w:vertAlign w:val="superscript"/>
          <w:lang w:val="fr-FR" w:eastAsia="es-BO"/>
        </w:rPr>
        <w:t>o</w:t>
      </w:r>
      <w:r w:rsidR="006D5254">
        <w:rPr>
          <w:noProof/>
          <w:lang w:val="fr-FR" w:eastAsia="es-BO"/>
        </w:rPr>
        <w:t> </w:t>
      </w:r>
      <w:r w:rsidRPr="00DF456A">
        <w:rPr>
          <w:noProof/>
          <w:lang w:val="fr-FR" w:eastAsia="es-BO"/>
        </w:rPr>
        <w:t>1984 d</w:t>
      </w:r>
      <w:r>
        <w:rPr>
          <w:noProof/>
          <w:lang w:val="fr-FR" w:eastAsia="es-BO"/>
        </w:rPr>
        <w:t>u</w:t>
      </w:r>
      <w:r w:rsidRPr="00DF456A">
        <w:rPr>
          <w:noProof/>
          <w:lang w:val="fr-FR" w:eastAsia="es-BO"/>
        </w:rPr>
        <w:t xml:space="preserve"> 30</w:t>
      </w:r>
      <w:r w:rsidR="006D5254">
        <w:rPr>
          <w:noProof/>
          <w:lang w:val="fr-FR" w:eastAsia="es-BO"/>
        </w:rPr>
        <w:t> </w:t>
      </w:r>
      <w:r w:rsidRPr="00DF456A">
        <w:rPr>
          <w:noProof/>
          <w:lang w:val="fr-FR" w:eastAsia="es-BO"/>
        </w:rPr>
        <w:t>a</w:t>
      </w:r>
      <w:r>
        <w:rPr>
          <w:noProof/>
          <w:lang w:val="fr-FR" w:eastAsia="es-BO"/>
        </w:rPr>
        <w:t>v</w:t>
      </w:r>
      <w:r w:rsidRPr="00DF456A">
        <w:rPr>
          <w:noProof/>
          <w:lang w:val="fr-FR" w:eastAsia="es-BO"/>
        </w:rPr>
        <w:t>ril 2014 (</w:t>
      </w:r>
      <w:r>
        <w:rPr>
          <w:noProof/>
          <w:lang w:val="fr-FR" w:eastAsia="es-BO"/>
        </w:rPr>
        <w:t>annexe</w:t>
      </w:r>
      <w:r w:rsidR="006D5254">
        <w:rPr>
          <w:noProof/>
          <w:lang w:val="fr-FR" w:eastAsia="es-BO"/>
        </w:rPr>
        <w:t> </w:t>
      </w:r>
      <w:r w:rsidRPr="00DF456A">
        <w:rPr>
          <w:noProof/>
          <w:lang w:val="fr-FR" w:eastAsia="es-BO"/>
        </w:rPr>
        <w:t xml:space="preserve">79) </w:t>
      </w:r>
      <w:r>
        <w:rPr>
          <w:noProof/>
          <w:lang w:val="fr-FR" w:eastAsia="es-BO"/>
        </w:rPr>
        <w:t xml:space="preserve">garantit </w:t>
      </w:r>
      <w:r w:rsidRPr="0087167F">
        <w:rPr>
          <w:noProof/>
          <w:lang w:val="fr-FR" w:eastAsia="es-BO"/>
        </w:rPr>
        <w:t>l</w:t>
      </w:r>
      <w:r w:rsidRPr="0087167F">
        <w:rPr>
          <w:noProof/>
          <w:lang w:val="fr-FR"/>
        </w:rPr>
        <w:t>a prise en charge intégrale de la santé et la protection financière de toutes les personnes se trouvant sur le territoire bolivien ou résidant en Bolivie que ne couvre pas l</w:t>
      </w:r>
      <w:r w:rsidR="00FB1114">
        <w:rPr>
          <w:noProof/>
          <w:lang w:val="fr-FR"/>
        </w:rPr>
        <w:t>’</w:t>
      </w:r>
      <w:r w:rsidRPr="0087167F">
        <w:rPr>
          <w:noProof/>
          <w:lang w:val="fr-FR"/>
        </w:rPr>
        <w:t>assurance sociale obligatoire à court terme</w:t>
      </w:r>
      <w:r w:rsidRPr="0087167F">
        <w:rPr>
          <w:noProof/>
          <w:lang w:val="fr-FR" w:eastAsia="es-BO"/>
        </w:rPr>
        <w:t xml:space="preserve"> et qui appartiennent aux groupes de population ci-après</w:t>
      </w:r>
      <w:r w:rsidR="006D5254">
        <w:rPr>
          <w:noProof/>
          <w:lang w:val="fr-FR" w:eastAsia="es-BO"/>
        </w:rPr>
        <w:t> </w:t>
      </w:r>
      <w:r w:rsidRPr="0087167F">
        <w:rPr>
          <w:noProof/>
          <w:lang w:val="fr-FR" w:eastAsia="es-BO"/>
        </w:rPr>
        <w:t>:</w:t>
      </w:r>
    </w:p>
    <w:p w:rsidR="00614A7E" w:rsidRPr="0087167F" w:rsidRDefault="00614A7E" w:rsidP="006D5254">
      <w:pPr>
        <w:pStyle w:val="Bullet1G"/>
        <w:rPr>
          <w:noProof/>
          <w:lang w:val="fr-FR"/>
        </w:rPr>
      </w:pPr>
      <w:r w:rsidRPr="0087167F">
        <w:rPr>
          <w:noProof/>
          <w:lang w:val="fr-FR"/>
        </w:rPr>
        <w:t>Les femmes enceintes, depuis le début de leur grossesse jusqu</w:t>
      </w:r>
      <w:r w:rsidR="00FB1114">
        <w:rPr>
          <w:noProof/>
          <w:lang w:val="fr-FR"/>
        </w:rPr>
        <w:t>’</w:t>
      </w:r>
      <w:r w:rsidRPr="0087167F">
        <w:rPr>
          <w:noProof/>
          <w:lang w:val="fr-FR"/>
        </w:rPr>
        <w:t>à six (6)</w:t>
      </w:r>
      <w:r w:rsidR="008A1C69">
        <w:rPr>
          <w:noProof/>
          <w:lang w:val="fr-FR"/>
        </w:rPr>
        <w:t> </w:t>
      </w:r>
      <w:r w:rsidRPr="0087167F">
        <w:rPr>
          <w:noProof/>
          <w:lang w:val="fr-FR"/>
        </w:rPr>
        <w:t>mois après l</w:t>
      </w:r>
      <w:r w:rsidR="00FB1114">
        <w:rPr>
          <w:noProof/>
          <w:lang w:val="fr-FR"/>
        </w:rPr>
        <w:t>’</w:t>
      </w:r>
      <w:r w:rsidRPr="0087167F">
        <w:rPr>
          <w:noProof/>
          <w:lang w:val="fr-FR"/>
        </w:rPr>
        <w:t>accouchement</w:t>
      </w:r>
      <w:r w:rsidR="006D5254">
        <w:rPr>
          <w:noProof/>
          <w:lang w:val="fr-FR"/>
        </w:rPr>
        <w:t> ;</w:t>
      </w:r>
    </w:p>
    <w:p w:rsidR="00614A7E" w:rsidRPr="00DF456A" w:rsidRDefault="00614A7E" w:rsidP="006D5254">
      <w:pPr>
        <w:pStyle w:val="Bullet1G"/>
        <w:rPr>
          <w:noProof/>
          <w:lang w:val="fr-FR"/>
        </w:rPr>
      </w:pPr>
      <w:r w:rsidRPr="0087167F">
        <w:rPr>
          <w:noProof/>
          <w:lang w:val="fr-FR"/>
        </w:rPr>
        <w:t>Les enfants de moins de cinq (5)</w:t>
      </w:r>
      <w:r w:rsidR="006D5254">
        <w:rPr>
          <w:noProof/>
          <w:lang w:val="fr-FR"/>
        </w:rPr>
        <w:t> </w:t>
      </w:r>
      <w:r w:rsidRPr="0087167F">
        <w:rPr>
          <w:noProof/>
          <w:lang w:val="fr-FR"/>
        </w:rPr>
        <w:t>ans</w:t>
      </w:r>
      <w:r w:rsidR="006D5254">
        <w:rPr>
          <w:noProof/>
          <w:lang w:val="fr-FR"/>
        </w:rPr>
        <w:t> ;</w:t>
      </w:r>
    </w:p>
    <w:p w:rsidR="00614A7E" w:rsidRPr="0087167F" w:rsidRDefault="00614A7E" w:rsidP="006D5254">
      <w:pPr>
        <w:pStyle w:val="Bullet1G"/>
        <w:rPr>
          <w:noProof/>
          <w:lang w:val="fr-FR"/>
        </w:rPr>
      </w:pPr>
      <w:r w:rsidRPr="0087167F">
        <w:rPr>
          <w:noProof/>
          <w:lang w:val="fr-FR"/>
        </w:rPr>
        <w:t>Les femmes et les hommes de soixante (60)</w:t>
      </w:r>
      <w:r w:rsidR="008A1C69">
        <w:rPr>
          <w:noProof/>
          <w:lang w:val="fr-FR"/>
        </w:rPr>
        <w:t> </w:t>
      </w:r>
      <w:r w:rsidRPr="0087167F">
        <w:rPr>
          <w:noProof/>
          <w:lang w:val="fr-FR"/>
        </w:rPr>
        <w:t>ans et plus</w:t>
      </w:r>
      <w:r w:rsidR="00EA07F5">
        <w:rPr>
          <w:noProof/>
          <w:lang w:val="fr-FR"/>
        </w:rPr>
        <w:t> ;</w:t>
      </w:r>
    </w:p>
    <w:p w:rsidR="00614A7E" w:rsidRPr="0087167F" w:rsidRDefault="00614A7E" w:rsidP="006D5254">
      <w:pPr>
        <w:pStyle w:val="Bullet1G"/>
        <w:rPr>
          <w:noProof/>
          <w:lang w:val="fr-FR"/>
        </w:rPr>
      </w:pPr>
      <w:r w:rsidRPr="0087167F">
        <w:rPr>
          <w:noProof/>
          <w:lang w:val="fr-FR"/>
        </w:rPr>
        <w:t>Les femmes en âge de procréer, pour les soins de santé sexuelle et procréative</w:t>
      </w:r>
      <w:r w:rsidR="00EA07F5">
        <w:rPr>
          <w:noProof/>
          <w:lang w:val="fr-FR"/>
        </w:rPr>
        <w:t> ;</w:t>
      </w:r>
    </w:p>
    <w:p w:rsidR="00614A7E" w:rsidRPr="0087167F" w:rsidRDefault="00614A7E" w:rsidP="006D5254">
      <w:pPr>
        <w:pStyle w:val="Bullet1G"/>
        <w:rPr>
          <w:noProof/>
          <w:lang w:val="fr-FR"/>
        </w:rPr>
      </w:pPr>
      <w:r w:rsidRPr="0087167F">
        <w:rPr>
          <w:noProof/>
          <w:lang w:val="fr-FR"/>
        </w:rPr>
        <w:t xml:space="preserve">Les personnes handicapées enregistrées par le système informatique du </w:t>
      </w:r>
      <w:r w:rsidRPr="0087167F">
        <w:rPr>
          <w:i/>
          <w:noProof/>
          <w:lang w:val="fr-FR"/>
        </w:rPr>
        <w:t>Programme relatif au registre national unique des personnes handicapées</w:t>
      </w:r>
      <w:r w:rsidR="00EA07F5">
        <w:rPr>
          <w:i/>
          <w:noProof/>
          <w:lang w:val="fr-FR"/>
        </w:rPr>
        <w:t> </w:t>
      </w:r>
      <w:r w:rsidR="00EA07F5">
        <w:rPr>
          <w:noProof/>
          <w:lang w:val="fr-FR"/>
        </w:rPr>
        <w:t>;</w:t>
      </w:r>
    </w:p>
    <w:p w:rsidR="00614A7E" w:rsidRPr="00DF456A" w:rsidRDefault="00614A7E" w:rsidP="006D5254">
      <w:pPr>
        <w:pStyle w:val="Bullet1G"/>
        <w:rPr>
          <w:noProof/>
          <w:lang w:val="fr-FR"/>
        </w:rPr>
      </w:pPr>
      <w:r w:rsidRPr="0087167F">
        <w:rPr>
          <w:noProof/>
          <w:lang w:val="fr-FR"/>
        </w:rPr>
        <w:t>Toute autre personne désignée par décision du Conseil de coordination de la santé</w:t>
      </w:r>
      <w:r w:rsidRPr="00DF456A">
        <w:rPr>
          <w:noProof/>
          <w:lang w:val="fr-FR"/>
        </w:rPr>
        <w:t>.</w:t>
      </w:r>
    </w:p>
    <w:p w:rsidR="00614A7E" w:rsidRPr="0087167F" w:rsidRDefault="00614A7E" w:rsidP="00614A7E">
      <w:pPr>
        <w:pStyle w:val="SingleTxtG"/>
        <w:rPr>
          <w:noProof/>
          <w:lang w:val="fr-FR" w:eastAsia="es-BO"/>
        </w:rPr>
      </w:pPr>
      <w:r w:rsidRPr="0087167F">
        <w:rPr>
          <w:noProof/>
          <w:lang w:val="fr-FR" w:eastAsia="es-BO"/>
        </w:rPr>
        <w:t>224.</w:t>
      </w:r>
      <w:r w:rsidRPr="0087167F">
        <w:rPr>
          <w:noProof/>
          <w:lang w:val="fr-FR" w:eastAsia="es-BO"/>
        </w:rPr>
        <w:tab/>
      </w:r>
      <w:r w:rsidRPr="00DF456A">
        <w:rPr>
          <w:noProof/>
          <w:lang w:val="fr-FR" w:eastAsia="es-BO"/>
        </w:rPr>
        <w:t xml:space="preserve">La </w:t>
      </w:r>
      <w:r>
        <w:rPr>
          <w:noProof/>
          <w:lang w:val="fr-FR" w:eastAsia="es-BO"/>
        </w:rPr>
        <w:t xml:space="preserve">prise en charge </w:t>
      </w:r>
      <w:r w:rsidRPr="00DF456A">
        <w:rPr>
          <w:noProof/>
          <w:lang w:val="fr-FR" w:eastAsia="es-BO"/>
        </w:rPr>
        <w:t>int</w:t>
      </w:r>
      <w:r>
        <w:rPr>
          <w:noProof/>
          <w:lang w:val="fr-FR" w:eastAsia="es-BO"/>
        </w:rPr>
        <w:t>é</w:t>
      </w:r>
      <w:r w:rsidRPr="00DF456A">
        <w:rPr>
          <w:noProof/>
          <w:lang w:val="fr-FR" w:eastAsia="es-BO"/>
        </w:rPr>
        <w:t>gral</w:t>
      </w:r>
      <w:r>
        <w:rPr>
          <w:noProof/>
          <w:lang w:val="fr-FR" w:eastAsia="es-BO"/>
        </w:rPr>
        <w:t>e</w:t>
      </w:r>
      <w:r w:rsidRPr="00DF456A">
        <w:rPr>
          <w:noProof/>
          <w:lang w:val="fr-FR" w:eastAsia="es-BO"/>
        </w:rPr>
        <w:t xml:space="preserve"> de </w:t>
      </w:r>
      <w:r>
        <w:rPr>
          <w:noProof/>
          <w:lang w:val="fr-FR" w:eastAsia="es-BO"/>
        </w:rPr>
        <w:t xml:space="preserve">la </w:t>
      </w:r>
      <w:r w:rsidRPr="0087167F">
        <w:rPr>
          <w:noProof/>
          <w:lang w:val="fr-FR" w:eastAsia="es-BO"/>
        </w:rPr>
        <w:t xml:space="preserve">santé </w:t>
      </w:r>
      <w:r w:rsidRPr="0087167F">
        <w:rPr>
          <w:noProof/>
          <w:lang w:val="fr-FR"/>
        </w:rPr>
        <w:t>comprend l</w:t>
      </w:r>
      <w:r w:rsidR="00FB1114">
        <w:rPr>
          <w:noProof/>
          <w:lang w:val="fr-FR"/>
        </w:rPr>
        <w:t>’</w:t>
      </w:r>
      <w:r w:rsidRPr="0087167F">
        <w:rPr>
          <w:noProof/>
          <w:lang w:val="fr-FR"/>
        </w:rPr>
        <w:t>accès à des mesures de promotion et de prévention, aux soins ambulatoires complets, à l</w:t>
      </w:r>
      <w:r w:rsidR="00FB1114">
        <w:rPr>
          <w:noProof/>
          <w:lang w:val="fr-FR"/>
        </w:rPr>
        <w:t>’</w:t>
      </w:r>
      <w:r w:rsidRPr="0087167F">
        <w:rPr>
          <w:noProof/>
          <w:lang w:val="fr-FR"/>
        </w:rPr>
        <w:t>hospitalisation, aux services complémentaires de diagnostic et de traitement médical, dentaire et chirurgical, aux médicaments essentiels, aux produits médicaux et aux produits naturels traditionnels</w:t>
      </w:r>
      <w:r w:rsidRPr="0087167F">
        <w:rPr>
          <w:noProof/>
          <w:lang w:val="fr-FR" w:eastAsia="es-BO"/>
        </w:rPr>
        <w:t>.</w:t>
      </w:r>
    </w:p>
    <w:p w:rsidR="00614A7E" w:rsidRPr="0047481D" w:rsidRDefault="00614A7E" w:rsidP="00614A7E">
      <w:pPr>
        <w:pStyle w:val="SingleTxtG"/>
        <w:rPr>
          <w:noProof/>
          <w:lang w:val="fr-FR" w:eastAsia="es-BO"/>
        </w:rPr>
      </w:pPr>
      <w:r w:rsidRPr="00DF456A">
        <w:rPr>
          <w:noProof/>
          <w:lang w:val="fr-FR" w:eastAsia="es-BO"/>
        </w:rPr>
        <w:t>225.</w:t>
      </w:r>
      <w:r w:rsidRPr="00DF456A">
        <w:rPr>
          <w:noProof/>
          <w:lang w:val="fr-FR" w:eastAsia="es-BO"/>
        </w:rPr>
        <w:tab/>
      </w:r>
      <w:r>
        <w:rPr>
          <w:noProof/>
          <w:lang w:val="fr-FR" w:eastAsia="es-BO"/>
        </w:rPr>
        <w:t>En ce qui concerne les mesures visant à réduire la mortalité maternelle, l</w:t>
      </w:r>
      <w:r w:rsidR="00FB1114">
        <w:rPr>
          <w:noProof/>
          <w:lang w:val="fr-FR" w:eastAsia="es-BO"/>
        </w:rPr>
        <w:t>’</w:t>
      </w:r>
      <w:r>
        <w:rPr>
          <w:noProof/>
          <w:lang w:val="fr-FR" w:eastAsia="es-BO"/>
        </w:rPr>
        <w:t xml:space="preserve">État a élaboré et met en œuvre des politiques et programmes de santé importants, comme </w:t>
      </w:r>
      <w:r w:rsidRPr="00DF456A">
        <w:rPr>
          <w:noProof/>
          <w:lang w:val="fr-FR" w:eastAsia="es-BO"/>
        </w:rPr>
        <w:t xml:space="preserve">la </w:t>
      </w:r>
      <w:r w:rsidR="003035D0">
        <w:rPr>
          <w:noProof/>
          <w:lang w:val="fr-FR"/>
        </w:rPr>
        <w:t>p</w:t>
      </w:r>
      <w:r w:rsidRPr="0087167F">
        <w:rPr>
          <w:noProof/>
          <w:lang w:val="fr-FR"/>
        </w:rPr>
        <w:t>olitique de santé familiale, communautaire et interculturelle, les bons Juana Azurduy</w:t>
      </w:r>
      <w:r w:rsidRPr="00B5117C">
        <w:rPr>
          <w:lang w:val="fr-FR"/>
        </w:rPr>
        <w:t xml:space="preserve"> et</w:t>
      </w:r>
      <w:r w:rsidRPr="00DF456A">
        <w:rPr>
          <w:noProof/>
          <w:lang w:val="fr-FR" w:eastAsia="es-BO"/>
        </w:rPr>
        <w:t xml:space="preserve"> </w:t>
      </w:r>
      <w:r>
        <w:rPr>
          <w:noProof/>
          <w:lang w:val="fr-FR" w:eastAsia="es-BO"/>
        </w:rPr>
        <w:t>l</w:t>
      </w:r>
      <w:r w:rsidR="00FB1114">
        <w:rPr>
          <w:noProof/>
          <w:lang w:val="fr-FR" w:eastAsia="es-BO"/>
        </w:rPr>
        <w:t>’</w:t>
      </w:r>
      <w:r>
        <w:rPr>
          <w:noProof/>
          <w:lang w:val="fr-FR" w:eastAsia="es-BO"/>
        </w:rPr>
        <w:t>allocation prénatale u</w:t>
      </w:r>
      <w:r w:rsidRPr="00DF456A">
        <w:rPr>
          <w:noProof/>
          <w:lang w:val="fr-FR" w:eastAsia="es-BO"/>
        </w:rPr>
        <w:t>nivers</w:t>
      </w:r>
      <w:r>
        <w:rPr>
          <w:noProof/>
          <w:lang w:val="fr-FR" w:eastAsia="es-BO"/>
        </w:rPr>
        <w:t>elle</w:t>
      </w:r>
      <w:r w:rsidRPr="00DF456A">
        <w:rPr>
          <w:noProof/>
          <w:lang w:val="fr-FR" w:eastAsia="es-BO"/>
        </w:rPr>
        <w:t>, qu</w:t>
      </w:r>
      <w:r>
        <w:rPr>
          <w:noProof/>
          <w:lang w:val="fr-FR" w:eastAsia="es-BO"/>
        </w:rPr>
        <w:t xml:space="preserve">i visent à donner effet à la disposition de la </w:t>
      </w:r>
      <w:r>
        <w:rPr>
          <w:noProof/>
          <w:lang w:val="fr-FR" w:eastAsia="es-BO"/>
        </w:rPr>
        <w:lastRenderedPageBreak/>
        <w:t>Constitution tendant à donner accès à des soins de qualité à toutes les Boliviennes et à tous les Boliviens</w:t>
      </w:r>
      <w:r w:rsidRPr="00DF456A">
        <w:rPr>
          <w:noProof/>
          <w:lang w:val="fr-FR" w:eastAsia="es-BO"/>
        </w:rPr>
        <w:t>.</w:t>
      </w:r>
    </w:p>
    <w:p w:rsidR="00614A7E" w:rsidRPr="00DF456A" w:rsidRDefault="00614A7E" w:rsidP="00614A7E">
      <w:pPr>
        <w:pStyle w:val="SingleTxtG"/>
        <w:rPr>
          <w:noProof/>
          <w:lang w:val="fr-FR" w:eastAsia="es-BO"/>
        </w:rPr>
      </w:pPr>
      <w:r w:rsidRPr="0047481D">
        <w:rPr>
          <w:noProof/>
          <w:lang w:val="fr-FR" w:eastAsia="es-BO"/>
        </w:rPr>
        <w:t>226.</w:t>
      </w:r>
      <w:r w:rsidRPr="0047481D">
        <w:rPr>
          <w:noProof/>
          <w:lang w:val="fr-FR" w:eastAsia="es-BO"/>
        </w:rPr>
        <w:tab/>
        <w:t>De même, le Ministère de la santé a élaboré le Plan de réduction accélérée de la m</w:t>
      </w:r>
      <w:r w:rsidRPr="0047481D">
        <w:rPr>
          <w:rFonts w:eastAsia="Calibri"/>
          <w:noProof/>
          <w:lang w:val="fr-FR" w:eastAsia="es-BO"/>
        </w:rPr>
        <w:t>ortalité maternelle et néonatale</w:t>
      </w:r>
      <w:r w:rsidRPr="0047481D">
        <w:rPr>
          <w:noProof/>
          <w:lang w:val="fr-FR" w:eastAsia="es-BO"/>
        </w:rPr>
        <w:t>, qui s</w:t>
      </w:r>
      <w:r w:rsidR="00FB1114" w:rsidRPr="0047481D">
        <w:rPr>
          <w:noProof/>
          <w:lang w:val="fr-FR" w:eastAsia="es-BO"/>
        </w:rPr>
        <w:t>’</w:t>
      </w:r>
      <w:r w:rsidRPr="0047481D">
        <w:rPr>
          <w:noProof/>
          <w:lang w:val="fr-FR" w:eastAsia="es-BO"/>
        </w:rPr>
        <w:t>articule autour d</w:t>
      </w:r>
      <w:r>
        <w:rPr>
          <w:noProof/>
          <w:lang w:val="fr-FR" w:eastAsia="es-BO"/>
        </w:rPr>
        <w:t>es axes stratégiques suivants</w:t>
      </w:r>
      <w:r w:rsidR="00840DFD">
        <w:rPr>
          <w:noProof/>
          <w:lang w:val="fr-FR" w:eastAsia="es-BO"/>
        </w:rPr>
        <w:t> </w:t>
      </w:r>
      <w:r w:rsidRPr="00DF456A">
        <w:rPr>
          <w:noProof/>
          <w:lang w:val="fr-FR" w:eastAsia="es-BO"/>
        </w:rPr>
        <w:t>:</w:t>
      </w:r>
    </w:p>
    <w:p w:rsidR="00614A7E" w:rsidRPr="00DF456A" w:rsidRDefault="00614A7E" w:rsidP="00840DFD">
      <w:pPr>
        <w:pStyle w:val="Bullet1G"/>
        <w:rPr>
          <w:noProof/>
          <w:lang w:val="fr-FR"/>
        </w:rPr>
      </w:pPr>
      <w:r w:rsidRPr="00DF456A">
        <w:rPr>
          <w:rFonts w:eastAsia="Calibri"/>
          <w:noProof/>
          <w:lang w:val="fr-FR"/>
        </w:rPr>
        <w:t>Tra</w:t>
      </w:r>
      <w:r>
        <w:rPr>
          <w:rFonts w:eastAsia="Calibri"/>
          <w:noProof/>
          <w:lang w:val="fr-FR"/>
        </w:rPr>
        <w:t>vailler avec la communauté pour atteindre les populations exclues</w:t>
      </w:r>
      <w:r w:rsidR="00840DFD">
        <w:rPr>
          <w:rFonts w:eastAsia="Calibri"/>
          <w:noProof/>
          <w:lang w:val="fr-FR"/>
        </w:rPr>
        <w:t> </w:t>
      </w:r>
      <w:r w:rsidR="00840DFD">
        <w:rPr>
          <w:noProof/>
          <w:lang w:val="fr-FR"/>
        </w:rPr>
        <w:t>;</w:t>
      </w:r>
    </w:p>
    <w:p w:rsidR="00614A7E" w:rsidRPr="00DF456A" w:rsidRDefault="00614A7E" w:rsidP="00840DFD">
      <w:pPr>
        <w:pStyle w:val="Bullet1G"/>
        <w:rPr>
          <w:noProof/>
          <w:lang w:val="fr-FR"/>
        </w:rPr>
      </w:pPr>
      <w:r>
        <w:rPr>
          <w:rFonts w:eastAsia="Calibri"/>
          <w:noProof/>
          <w:lang w:val="fr-FR"/>
        </w:rPr>
        <w:t>Mettre les soins obstétricaux et néonatals à la portée de toutes et tous</w:t>
      </w:r>
      <w:r w:rsidR="00840DFD">
        <w:rPr>
          <w:rFonts w:eastAsia="Calibri"/>
          <w:noProof/>
          <w:lang w:val="fr-FR"/>
        </w:rPr>
        <w:t> ;</w:t>
      </w:r>
    </w:p>
    <w:p w:rsidR="00614A7E" w:rsidRPr="00DF456A" w:rsidRDefault="00614A7E" w:rsidP="00840DFD">
      <w:pPr>
        <w:pStyle w:val="Bullet1G"/>
        <w:rPr>
          <w:noProof/>
          <w:lang w:val="fr-FR"/>
        </w:rPr>
      </w:pPr>
      <w:r w:rsidRPr="00DF456A">
        <w:rPr>
          <w:rFonts w:eastAsia="Calibri"/>
          <w:noProof/>
          <w:lang w:val="fr-FR"/>
        </w:rPr>
        <w:t>Transform</w:t>
      </w:r>
      <w:r>
        <w:rPr>
          <w:rFonts w:eastAsia="Calibri"/>
          <w:noProof/>
          <w:lang w:val="fr-FR"/>
        </w:rPr>
        <w:t>er les établissements de santé de façon qu</w:t>
      </w:r>
      <w:r w:rsidR="00FB1114">
        <w:rPr>
          <w:rFonts w:eastAsia="Calibri"/>
          <w:noProof/>
          <w:lang w:val="fr-FR"/>
        </w:rPr>
        <w:t>’</w:t>
      </w:r>
      <w:r>
        <w:rPr>
          <w:rFonts w:eastAsia="Calibri"/>
          <w:noProof/>
          <w:lang w:val="fr-FR"/>
        </w:rPr>
        <w:t>ils puissent offrir en temps voulu des services de qualité, attentifs et respectueux de la diversité culturelle</w:t>
      </w:r>
      <w:r w:rsidR="00840DFD">
        <w:rPr>
          <w:rFonts w:eastAsia="Calibri"/>
          <w:noProof/>
          <w:lang w:val="fr-FR"/>
        </w:rPr>
        <w:t> </w:t>
      </w:r>
      <w:r w:rsidR="00840DFD">
        <w:rPr>
          <w:noProof/>
          <w:lang w:val="fr-FR"/>
        </w:rPr>
        <w:t>;</w:t>
      </w:r>
    </w:p>
    <w:p w:rsidR="00614A7E" w:rsidRPr="00DF456A" w:rsidRDefault="00614A7E" w:rsidP="00840DFD">
      <w:pPr>
        <w:pStyle w:val="Bullet1G"/>
        <w:rPr>
          <w:noProof/>
          <w:lang w:val="fr-FR"/>
        </w:rPr>
      </w:pPr>
      <w:r w:rsidRPr="00DF456A">
        <w:rPr>
          <w:rFonts w:eastAsia="Calibri"/>
          <w:noProof/>
          <w:lang w:val="fr-FR"/>
        </w:rPr>
        <w:t>Garanti</w:t>
      </w:r>
      <w:r>
        <w:rPr>
          <w:rFonts w:eastAsia="Calibri"/>
          <w:noProof/>
          <w:lang w:val="fr-FR"/>
        </w:rPr>
        <w:t xml:space="preserve">r la </w:t>
      </w:r>
      <w:r w:rsidRPr="00DF456A">
        <w:rPr>
          <w:rFonts w:eastAsia="Calibri"/>
          <w:noProof/>
          <w:lang w:val="fr-FR"/>
        </w:rPr>
        <w:t>disponibili</w:t>
      </w:r>
      <w:r>
        <w:rPr>
          <w:rFonts w:eastAsia="Calibri"/>
          <w:noProof/>
          <w:lang w:val="fr-FR"/>
        </w:rPr>
        <w:t>té</w:t>
      </w:r>
      <w:r w:rsidRPr="00DF456A">
        <w:rPr>
          <w:rFonts w:eastAsia="Calibri"/>
          <w:noProof/>
          <w:lang w:val="fr-FR"/>
        </w:rPr>
        <w:t xml:space="preserve">, </w:t>
      </w:r>
      <w:r>
        <w:rPr>
          <w:rFonts w:eastAsia="Calibri"/>
          <w:noProof/>
          <w:lang w:val="fr-FR"/>
        </w:rPr>
        <w:t>l</w:t>
      </w:r>
      <w:r w:rsidR="00FB1114">
        <w:rPr>
          <w:rFonts w:eastAsia="Calibri"/>
          <w:noProof/>
          <w:lang w:val="fr-FR"/>
        </w:rPr>
        <w:t>’</w:t>
      </w:r>
      <w:r>
        <w:rPr>
          <w:rFonts w:eastAsia="Calibri"/>
          <w:noProof/>
          <w:lang w:val="fr-FR"/>
        </w:rPr>
        <w:t>accessibilité et l</w:t>
      </w:r>
      <w:r w:rsidR="00FB1114">
        <w:rPr>
          <w:rFonts w:eastAsia="Calibri"/>
          <w:noProof/>
          <w:lang w:val="fr-FR"/>
        </w:rPr>
        <w:t>’</w:t>
      </w:r>
      <w:r>
        <w:rPr>
          <w:rFonts w:eastAsia="Calibri"/>
          <w:noProof/>
          <w:lang w:val="fr-FR"/>
        </w:rPr>
        <w:t xml:space="preserve">utilisation rationnelle des </w:t>
      </w:r>
      <w:r w:rsidRPr="00DF456A">
        <w:rPr>
          <w:rFonts w:eastAsia="Calibri"/>
          <w:noProof/>
          <w:lang w:val="fr-FR"/>
        </w:rPr>
        <w:t>m</w:t>
      </w:r>
      <w:r>
        <w:rPr>
          <w:rFonts w:eastAsia="Calibri"/>
          <w:noProof/>
          <w:lang w:val="fr-FR"/>
        </w:rPr>
        <w:t>é</w:t>
      </w:r>
      <w:r w:rsidRPr="00DF456A">
        <w:rPr>
          <w:rFonts w:eastAsia="Calibri"/>
          <w:noProof/>
          <w:lang w:val="fr-FR"/>
        </w:rPr>
        <w:t xml:space="preserve">dicaments, </w:t>
      </w:r>
      <w:r>
        <w:rPr>
          <w:rFonts w:eastAsia="Calibri"/>
          <w:noProof/>
          <w:lang w:val="fr-FR"/>
        </w:rPr>
        <w:t xml:space="preserve">des vaccins, du </w:t>
      </w:r>
      <w:r w:rsidRPr="00DF456A">
        <w:rPr>
          <w:rFonts w:eastAsia="Calibri"/>
          <w:noProof/>
          <w:lang w:val="fr-FR"/>
        </w:rPr>
        <w:t>sang</w:t>
      </w:r>
      <w:r>
        <w:rPr>
          <w:rFonts w:eastAsia="Calibri"/>
          <w:noProof/>
          <w:lang w:val="fr-FR"/>
        </w:rPr>
        <w:t xml:space="preserve"> non contaminé et des autres moyens</w:t>
      </w:r>
      <w:r w:rsidR="00593789">
        <w:rPr>
          <w:rFonts w:eastAsia="Calibri"/>
          <w:noProof/>
          <w:lang w:val="fr-FR"/>
        </w:rPr>
        <w:t xml:space="preserve"> </w:t>
      </w:r>
      <w:r>
        <w:rPr>
          <w:rFonts w:eastAsia="Calibri"/>
          <w:noProof/>
          <w:lang w:val="fr-FR"/>
        </w:rPr>
        <w:t>nécessaires</w:t>
      </w:r>
      <w:r w:rsidR="00840DFD">
        <w:rPr>
          <w:rFonts w:eastAsia="Calibri"/>
          <w:noProof/>
          <w:lang w:val="fr-FR"/>
        </w:rPr>
        <w:t> ;</w:t>
      </w:r>
    </w:p>
    <w:p w:rsidR="00614A7E" w:rsidRPr="00DF456A" w:rsidRDefault="00614A7E" w:rsidP="00840DFD">
      <w:pPr>
        <w:pStyle w:val="Bullet1G"/>
        <w:rPr>
          <w:noProof/>
          <w:lang w:val="fr-FR"/>
        </w:rPr>
      </w:pPr>
      <w:r>
        <w:rPr>
          <w:rFonts w:eastAsia="Calibri"/>
          <w:noProof/>
          <w:lang w:val="fr-FR"/>
        </w:rPr>
        <w:t>Moderniser les infrastructures et les technologies au service de la santé</w:t>
      </w:r>
      <w:r w:rsidR="00840DFD">
        <w:rPr>
          <w:rFonts w:eastAsia="Calibri"/>
          <w:noProof/>
          <w:lang w:val="fr-FR"/>
        </w:rPr>
        <w:t> ;</w:t>
      </w:r>
    </w:p>
    <w:p w:rsidR="00614A7E" w:rsidRPr="003035D0" w:rsidRDefault="00614A7E" w:rsidP="00840DFD">
      <w:pPr>
        <w:pStyle w:val="Bullet1G"/>
        <w:rPr>
          <w:noProof/>
          <w:lang w:val="fr-FR"/>
        </w:rPr>
      </w:pPr>
      <w:r>
        <w:rPr>
          <w:rFonts w:eastAsia="Calibri"/>
          <w:noProof/>
          <w:lang w:val="fr-FR"/>
        </w:rPr>
        <w:t>Procéder à des évaluations périodiques pour suivre les progrès réalisés</w:t>
      </w:r>
      <w:r w:rsidRPr="00DF456A">
        <w:rPr>
          <w:rFonts w:eastAsia="Calibri"/>
          <w:noProof/>
          <w:lang w:val="fr-FR"/>
        </w:rPr>
        <w:t xml:space="preserve"> </w:t>
      </w:r>
      <w:r>
        <w:rPr>
          <w:rFonts w:eastAsia="Calibri"/>
          <w:noProof/>
          <w:lang w:val="fr-FR"/>
        </w:rPr>
        <w:t xml:space="preserve">et les </w:t>
      </w:r>
      <w:r w:rsidRPr="003035D0">
        <w:rPr>
          <w:rFonts w:eastAsia="Calibri"/>
          <w:noProof/>
          <w:lang w:val="fr-FR"/>
        </w:rPr>
        <w:t>décisions prises</w:t>
      </w:r>
      <w:r w:rsidRPr="003035D0">
        <w:rPr>
          <w:noProof/>
          <w:lang w:val="fr-FR"/>
        </w:rPr>
        <w:t>.</w:t>
      </w:r>
    </w:p>
    <w:p w:rsidR="00614A7E" w:rsidRPr="003035D0" w:rsidRDefault="00614A7E" w:rsidP="00614A7E">
      <w:pPr>
        <w:pStyle w:val="SingleTxtG"/>
        <w:rPr>
          <w:noProof/>
          <w:lang w:val="fr-FR" w:eastAsia="es-BO"/>
        </w:rPr>
      </w:pPr>
      <w:r w:rsidRPr="003035D0">
        <w:rPr>
          <w:noProof/>
          <w:lang w:val="fr-FR" w:eastAsia="es-BO"/>
        </w:rPr>
        <w:t>227.</w:t>
      </w:r>
      <w:r w:rsidRPr="003035D0">
        <w:rPr>
          <w:noProof/>
          <w:lang w:val="fr-FR" w:eastAsia="es-BO"/>
        </w:rPr>
        <w:tab/>
        <w:t>S</w:t>
      </w:r>
      <w:r w:rsidR="00FB1114" w:rsidRPr="003035D0">
        <w:rPr>
          <w:noProof/>
          <w:lang w:val="fr-FR" w:eastAsia="es-BO"/>
        </w:rPr>
        <w:t>’</w:t>
      </w:r>
      <w:r w:rsidRPr="003035D0">
        <w:rPr>
          <w:noProof/>
          <w:lang w:val="fr-FR" w:eastAsia="es-BO"/>
        </w:rPr>
        <w:t>agissant de l</w:t>
      </w:r>
      <w:r w:rsidR="00FB1114" w:rsidRPr="003035D0">
        <w:rPr>
          <w:noProof/>
          <w:lang w:val="fr-FR" w:eastAsia="es-BO"/>
        </w:rPr>
        <w:t>’</w:t>
      </w:r>
      <w:r w:rsidRPr="003035D0">
        <w:rPr>
          <w:noProof/>
          <w:lang w:val="fr-FR" w:eastAsia="es-BO"/>
        </w:rPr>
        <w:t>avortement thérapeutique, le système de santé bolivien met les Règles et protocoles cliniques relatifs à l</w:t>
      </w:r>
      <w:r w:rsidR="00FB1114" w:rsidRPr="003035D0">
        <w:rPr>
          <w:noProof/>
          <w:lang w:val="fr-FR" w:eastAsia="es-BO"/>
        </w:rPr>
        <w:t>’</w:t>
      </w:r>
      <w:r w:rsidRPr="003035D0">
        <w:rPr>
          <w:noProof/>
          <w:lang w:val="fr-FR" w:eastAsia="es-BO"/>
        </w:rPr>
        <w:t>utilisation du misoprostol en gynécologie</w:t>
      </w:r>
      <w:r w:rsidR="00840DFD" w:rsidRPr="003035D0">
        <w:rPr>
          <w:noProof/>
          <w:lang w:val="fr-FR" w:eastAsia="es-BO"/>
        </w:rPr>
        <w:noBreakHyphen/>
      </w:r>
      <w:r w:rsidRPr="003035D0">
        <w:rPr>
          <w:noProof/>
          <w:lang w:val="fr-FR" w:eastAsia="es-BO"/>
        </w:rPr>
        <w:t xml:space="preserve">obstétrique </w:t>
      </w:r>
      <w:r w:rsidRPr="003035D0">
        <w:rPr>
          <w:rFonts w:eastAsia="Calibri"/>
          <w:noProof/>
          <w:lang w:val="fr-FR" w:eastAsia="es-BO"/>
        </w:rPr>
        <w:t xml:space="preserve">à la disposition du personnel de santé </w:t>
      </w:r>
      <w:r w:rsidRPr="003035D0">
        <w:rPr>
          <w:noProof/>
          <w:lang w:val="fr-FR" w:eastAsia="es-BO"/>
        </w:rPr>
        <w:t xml:space="preserve">en tant que contribution </w:t>
      </w:r>
      <w:r w:rsidRPr="003035D0">
        <w:rPr>
          <w:rFonts w:eastAsia="Calibri"/>
          <w:noProof/>
          <w:lang w:val="fr-FR" w:eastAsia="es-BO"/>
        </w:rPr>
        <w:t>de la médicine factuelle à la prise en charge d</w:t>
      </w:r>
      <w:r w:rsidR="00FB1114" w:rsidRPr="003035D0">
        <w:rPr>
          <w:rFonts w:eastAsia="Calibri"/>
          <w:noProof/>
          <w:lang w:val="fr-FR" w:eastAsia="es-BO"/>
        </w:rPr>
        <w:t>’</w:t>
      </w:r>
      <w:r w:rsidRPr="003035D0">
        <w:rPr>
          <w:rFonts w:eastAsia="Calibri"/>
          <w:noProof/>
          <w:lang w:val="fr-FR" w:eastAsia="es-BO"/>
        </w:rPr>
        <w:t>un grand nombre de complications de la grossesse, qui sont souvent un facteur de décès précoce parmi les femmes</w:t>
      </w:r>
      <w:r w:rsidR="003035D0">
        <w:rPr>
          <w:rFonts w:eastAsia="Calibri"/>
          <w:noProof/>
          <w:lang w:val="fr-FR" w:eastAsia="es-BO"/>
        </w:rPr>
        <w:t> </w:t>
      </w:r>
      <w:r w:rsidRPr="003035D0">
        <w:rPr>
          <w:rFonts w:eastAsia="Calibri"/>
          <w:noProof/>
          <w:lang w:val="fr-FR" w:eastAsia="es-BO"/>
        </w:rPr>
        <w:t>; cette contribution est donc essentielle pour la réduction de la mortalité</w:t>
      </w:r>
      <w:r w:rsidRPr="003035D0">
        <w:rPr>
          <w:noProof/>
          <w:lang w:val="fr-FR" w:eastAsia="es-BO"/>
        </w:rPr>
        <w:t>. Lesdits règles et protocoles visent à générer une pratique médicale susceptible d</w:t>
      </w:r>
      <w:r w:rsidR="00FB1114" w:rsidRPr="003035D0">
        <w:rPr>
          <w:noProof/>
          <w:lang w:val="fr-FR" w:eastAsia="es-BO"/>
        </w:rPr>
        <w:t>’</w:t>
      </w:r>
      <w:r w:rsidRPr="003035D0">
        <w:rPr>
          <w:noProof/>
          <w:lang w:val="fr-FR" w:eastAsia="es-BO"/>
        </w:rPr>
        <w:t xml:space="preserve">améliorer la prise en charge de </w:t>
      </w:r>
      <w:r w:rsidRPr="003035D0">
        <w:rPr>
          <w:rFonts w:eastAsia="Calibri"/>
          <w:noProof/>
          <w:lang w:val="fr-FR" w:eastAsia="es-BO"/>
        </w:rPr>
        <w:t>la femme enceinte et de réduire le pourcentage de femmes enceintes qui meurent avant ou pendant l</w:t>
      </w:r>
      <w:r w:rsidR="00FB1114" w:rsidRPr="003035D0">
        <w:rPr>
          <w:rFonts w:eastAsia="Calibri"/>
          <w:noProof/>
          <w:lang w:val="fr-FR" w:eastAsia="es-BO"/>
        </w:rPr>
        <w:t>’</w:t>
      </w:r>
      <w:r w:rsidRPr="003035D0">
        <w:rPr>
          <w:rFonts w:eastAsia="Calibri"/>
          <w:noProof/>
          <w:lang w:val="fr-FR" w:eastAsia="es-BO"/>
        </w:rPr>
        <w:t>accouchement.</w:t>
      </w:r>
    </w:p>
    <w:p w:rsidR="00614A7E" w:rsidRPr="003035D0" w:rsidRDefault="00614A7E" w:rsidP="00614A7E">
      <w:pPr>
        <w:pStyle w:val="SingleTxtG"/>
        <w:rPr>
          <w:noProof/>
          <w:lang w:val="fr-FR" w:eastAsia="es-BO"/>
        </w:rPr>
      </w:pPr>
      <w:r w:rsidRPr="003035D0">
        <w:rPr>
          <w:noProof/>
          <w:lang w:val="fr-FR" w:eastAsia="es-BO"/>
        </w:rPr>
        <w:t>228.</w:t>
      </w:r>
      <w:r w:rsidRPr="003035D0">
        <w:rPr>
          <w:noProof/>
          <w:lang w:val="fr-FR" w:eastAsia="es-BO"/>
        </w:rPr>
        <w:tab/>
        <w:t>Enfin, la Norme nationale de soins cliniques est un guide et un cadre de référence général qui vise à harmoniser la prise en charge des pathologies depu</w:t>
      </w:r>
      <w:r w:rsidR="003035D0">
        <w:rPr>
          <w:noProof/>
          <w:lang w:val="fr-FR" w:eastAsia="es-BO"/>
        </w:rPr>
        <w:t>i</w:t>
      </w:r>
      <w:r w:rsidRPr="003035D0">
        <w:rPr>
          <w:noProof/>
          <w:lang w:val="fr-FR" w:eastAsia="es-BO"/>
        </w:rPr>
        <w:t>s le diagnostic et le traitement jusqu</w:t>
      </w:r>
      <w:r w:rsidR="00FB1114" w:rsidRPr="003035D0">
        <w:rPr>
          <w:noProof/>
          <w:lang w:val="fr-FR" w:eastAsia="es-BO"/>
        </w:rPr>
        <w:t>’</w:t>
      </w:r>
      <w:r w:rsidRPr="003035D0">
        <w:rPr>
          <w:noProof/>
          <w:lang w:val="fr-FR" w:eastAsia="es-BO"/>
        </w:rPr>
        <w:t>à la réadaptation et au suivi du processus thérapeutique.</w:t>
      </w:r>
    </w:p>
    <w:p w:rsidR="00614A7E" w:rsidRPr="003035D0" w:rsidRDefault="00840DFD" w:rsidP="00840DFD">
      <w:pPr>
        <w:pStyle w:val="H1G"/>
        <w:rPr>
          <w:noProof/>
          <w:lang w:val="fr-FR" w:eastAsia="es-BO"/>
        </w:rPr>
      </w:pPr>
      <w:r w:rsidRPr="003035D0">
        <w:rPr>
          <w:noProof/>
          <w:lang w:val="fr-FR" w:eastAsia="es-BO"/>
        </w:rPr>
        <w:tab/>
      </w:r>
      <w:r w:rsidRPr="003035D0">
        <w:rPr>
          <w:noProof/>
          <w:lang w:val="fr-FR" w:eastAsia="es-BO"/>
        </w:rPr>
        <w:tab/>
      </w:r>
      <w:r w:rsidR="00614A7E" w:rsidRPr="003035D0">
        <w:rPr>
          <w:noProof/>
          <w:lang w:val="fr-FR" w:eastAsia="es-BO"/>
        </w:rPr>
        <w:t>Travai forcé et servitude</w:t>
      </w:r>
    </w:p>
    <w:p w:rsidR="00614A7E" w:rsidRPr="00DF456A" w:rsidRDefault="00614A7E" w:rsidP="00614A7E">
      <w:pPr>
        <w:pStyle w:val="H23G"/>
        <w:rPr>
          <w:noProof/>
          <w:lang w:val="fr-FR" w:eastAsia="es-BO"/>
        </w:rPr>
      </w:pPr>
      <w:r w:rsidRPr="00DF456A">
        <w:rPr>
          <w:noProof/>
          <w:lang w:val="fr-FR" w:eastAsia="es-BO"/>
        </w:rPr>
        <w:tab/>
      </w:r>
      <w:r w:rsidRPr="00DF456A">
        <w:rPr>
          <w:noProof/>
          <w:lang w:val="fr-FR" w:eastAsia="es-BO"/>
        </w:rPr>
        <w:tab/>
        <w:t>Recom</w:t>
      </w:r>
      <w:r>
        <w:rPr>
          <w:noProof/>
          <w:lang w:val="fr-FR" w:eastAsia="es-BO"/>
        </w:rPr>
        <w:t xml:space="preserve">mandation figurant au paragraphe </w:t>
      </w:r>
      <w:r w:rsidRPr="00DF456A">
        <w:rPr>
          <w:noProof/>
          <w:lang w:val="fr-FR" w:eastAsia="es-BO"/>
        </w:rPr>
        <w:t>24</w:t>
      </w:r>
    </w:p>
    <w:p w:rsidR="00614A7E" w:rsidRPr="00DF456A" w:rsidRDefault="00614A7E" w:rsidP="00614A7E">
      <w:pPr>
        <w:pStyle w:val="SingleTxtG"/>
        <w:rPr>
          <w:noProof/>
          <w:lang w:val="fr-FR" w:eastAsia="es-BO"/>
        </w:rPr>
      </w:pPr>
      <w:r w:rsidRPr="00DF456A">
        <w:rPr>
          <w:noProof/>
          <w:lang w:val="fr-FR" w:eastAsia="es-BO"/>
        </w:rPr>
        <w:t>229.</w:t>
      </w:r>
      <w:r w:rsidRPr="00DF456A">
        <w:rPr>
          <w:noProof/>
          <w:lang w:val="fr-FR" w:eastAsia="es-BO"/>
        </w:rPr>
        <w:tab/>
      </w:r>
      <w:r>
        <w:rPr>
          <w:noProof/>
          <w:lang w:val="fr-FR" w:eastAsia="es-BO"/>
        </w:rPr>
        <w:t>L</w:t>
      </w:r>
      <w:r w:rsidR="00FB1114">
        <w:rPr>
          <w:noProof/>
          <w:lang w:val="fr-FR" w:eastAsia="es-BO"/>
        </w:rPr>
        <w:t>’</w:t>
      </w:r>
      <w:r>
        <w:rPr>
          <w:noProof/>
          <w:lang w:val="fr-FR" w:eastAsia="es-BO"/>
        </w:rPr>
        <w:t>État bolivien a adopté le « Plan i</w:t>
      </w:r>
      <w:r w:rsidRPr="00DF456A">
        <w:rPr>
          <w:noProof/>
          <w:lang w:val="fr-FR" w:eastAsia="es-BO"/>
        </w:rPr>
        <w:t>nterminist</w:t>
      </w:r>
      <w:r>
        <w:rPr>
          <w:noProof/>
          <w:lang w:val="fr-FR" w:eastAsia="es-BO"/>
        </w:rPr>
        <w:t xml:space="preserve">ériel provisoire </w:t>
      </w:r>
      <w:r w:rsidRPr="00DF456A">
        <w:rPr>
          <w:noProof/>
          <w:lang w:val="fr-FR" w:eastAsia="es-BO"/>
        </w:rPr>
        <w:t xml:space="preserve">2007-2008 </w:t>
      </w:r>
      <w:r>
        <w:rPr>
          <w:noProof/>
          <w:lang w:val="fr-FR" w:eastAsia="es-BO"/>
        </w:rPr>
        <w:t>en faveur du peuple guarani »</w:t>
      </w:r>
      <w:r w:rsidRPr="00DF456A">
        <w:rPr>
          <w:noProof/>
          <w:sz w:val="18"/>
          <w:szCs w:val="18"/>
          <w:vertAlign w:val="superscript"/>
          <w:lang w:val="fr-FR" w:eastAsia="es-BO"/>
        </w:rPr>
        <w:footnoteReference w:id="84"/>
      </w:r>
      <w:r>
        <w:rPr>
          <w:noProof/>
          <w:lang w:val="fr-FR" w:eastAsia="es-BO"/>
        </w:rPr>
        <w:t>, qui a été reconduit d</w:t>
      </w:r>
      <w:r w:rsidR="00FB1114">
        <w:rPr>
          <w:noProof/>
          <w:lang w:val="fr-FR" w:eastAsia="es-BO"/>
        </w:rPr>
        <w:t>’</w:t>
      </w:r>
      <w:r>
        <w:rPr>
          <w:noProof/>
          <w:lang w:val="fr-FR" w:eastAsia="es-BO"/>
        </w:rPr>
        <w:t xml:space="preserve">une année par le décret suprême </w:t>
      </w:r>
      <w:r w:rsidR="009F634C" w:rsidRPr="00AD55D6">
        <w:rPr>
          <w:rFonts w:eastAsia="MS Mincho"/>
          <w:noProof/>
          <w:szCs w:val="22"/>
          <w:lang w:val="fr-FR" w:eastAsia="es-BO"/>
        </w:rPr>
        <w:t>n</w:t>
      </w:r>
      <w:r w:rsidR="009F634C" w:rsidRPr="00AD55D6">
        <w:rPr>
          <w:rFonts w:eastAsia="MS Mincho"/>
          <w:noProof/>
          <w:szCs w:val="22"/>
          <w:vertAlign w:val="superscript"/>
          <w:lang w:val="fr-FR" w:eastAsia="es-BO"/>
        </w:rPr>
        <w:t>o</w:t>
      </w:r>
      <w:r w:rsidR="009F634C">
        <w:rPr>
          <w:noProof/>
          <w:lang w:val="fr-FR" w:eastAsia="es-BO"/>
        </w:rPr>
        <w:t> </w:t>
      </w:r>
      <w:r>
        <w:rPr>
          <w:noProof/>
          <w:lang w:val="fr-FR" w:eastAsia="es-BO"/>
        </w:rPr>
        <w:t>29794 du</w:t>
      </w:r>
      <w:r w:rsidRPr="00DF456A">
        <w:rPr>
          <w:noProof/>
          <w:lang w:val="fr-FR" w:eastAsia="es-BO"/>
        </w:rPr>
        <w:t xml:space="preserve"> 19</w:t>
      </w:r>
      <w:r w:rsidR="009F634C">
        <w:rPr>
          <w:noProof/>
          <w:lang w:val="fr-FR" w:eastAsia="es-BO"/>
        </w:rPr>
        <w:t> </w:t>
      </w:r>
      <w:r w:rsidRPr="00DF456A">
        <w:rPr>
          <w:noProof/>
          <w:lang w:val="fr-FR" w:eastAsia="es-BO"/>
        </w:rPr>
        <w:t>novembre 2008 (</w:t>
      </w:r>
      <w:r>
        <w:rPr>
          <w:noProof/>
          <w:lang w:val="fr-FR" w:eastAsia="es-BO"/>
        </w:rPr>
        <w:t>annexe</w:t>
      </w:r>
      <w:r w:rsidR="009F634C">
        <w:rPr>
          <w:noProof/>
          <w:lang w:val="fr-FR" w:eastAsia="es-BO"/>
        </w:rPr>
        <w:t> </w:t>
      </w:r>
      <w:r w:rsidRPr="00DF456A">
        <w:rPr>
          <w:noProof/>
          <w:lang w:val="fr-FR" w:eastAsia="es-BO"/>
        </w:rPr>
        <w:t>80).</w:t>
      </w:r>
    </w:p>
    <w:p w:rsidR="00614A7E" w:rsidRPr="00DF456A" w:rsidRDefault="00614A7E" w:rsidP="00614A7E">
      <w:pPr>
        <w:pStyle w:val="SingleTxtG"/>
        <w:rPr>
          <w:noProof/>
          <w:lang w:val="fr-FR" w:eastAsia="es-BO"/>
        </w:rPr>
      </w:pPr>
      <w:r w:rsidRPr="00DF456A">
        <w:rPr>
          <w:noProof/>
          <w:lang w:val="fr-FR" w:eastAsia="es-BO"/>
        </w:rPr>
        <w:t>230.</w:t>
      </w:r>
      <w:r w:rsidRPr="00DF456A">
        <w:rPr>
          <w:noProof/>
          <w:lang w:val="fr-FR" w:eastAsia="es-BO"/>
        </w:rPr>
        <w:tab/>
      </w:r>
      <w:r>
        <w:rPr>
          <w:noProof/>
          <w:lang w:val="fr-FR" w:eastAsia="es-BO"/>
        </w:rPr>
        <w:t xml:space="preserve">Ce </w:t>
      </w:r>
      <w:r w:rsidR="003035D0">
        <w:rPr>
          <w:noProof/>
          <w:lang w:val="fr-FR" w:eastAsia="es-BO"/>
        </w:rPr>
        <w:t>p</w:t>
      </w:r>
      <w:r>
        <w:rPr>
          <w:noProof/>
          <w:lang w:val="fr-FR" w:eastAsia="es-BO"/>
        </w:rPr>
        <w:t>lan i</w:t>
      </w:r>
      <w:r w:rsidRPr="00DF456A">
        <w:rPr>
          <w:noProof/>
          <w:lang w:val="fr-FR" w:eastAsia="es-BO"/>
        </w:rPr>
        <w:t>nterminist</w:t>
      </w:r>
      <w:r>
        <w:rPr>
          <w:noProof/>
          <w:lang w:val="fr-FR" w:eastAsia="es-BO"/>
        </w:rPr>
        <w:t xml:space="preserve">ériel provisoire a créé un </w:t>
      </w:r>
      <w:r w:rsidR="003035D0">
        <w:rPr>
          <w:noProof/>
          <w:lang w:val="fr-FR" w:eastAsia="es-BO"/>
        </w:rPr>
        <w:t>c</w:t>
      </w:r>
      <w:r>
        <w:rPr>
          <w:noProof/>
          <w:lang w:val="fr-FR" w:eastAsia="es-BO"/>
        </w:rPr>
        <w:t>onseil i</w:t>
      </w:r>
      <w:r w:rsidRPr="00DF456A">
        <w:rPr>
          <w:noProof/>
          <w:lang w:val="fr-FR" w:eastAsia="es-BO"/>
        </w:rPr>
        <w:t>nterminist</w:t>
      </w:r>
      <w:r>
        <w:rPr>
          <w:noProof/>
          <w:lang w:val="fr-FR" w:eastAsia="es-BO"/>
        </w:rPr>
        <w:t>é</w:t>
      </w:r>
      <w:r w:rsidRPr="00DF456A">
        <w:rPr>
          <w:noProof/>
          <w:lang w:val="fr-FR" w:eastAsia="es-BO"/>
        </w:rPr>
        <w:t>ri</w:t>
      </w:r>
      <w:r>
        <w:rPr>
          <w:noProof/>
          <w:lang w:val="fr-FR" w:eastAsia="es-BO"/>
        </w:rPr>
        <w:t>e</w:t>
      </w:r>
      <w:r w:rsidRPr="00DF456A">
        <w:rPr>
          <w:noProof/>
          <w:lang w:val="fr-FR" w:eastAsia="es-BO"/>
        </w:rPr>
        <w:t xml:space="preserve">l </w:t>
      </w:r>
      <w:r>
        <w:rPr>
          <w:noProof/>
          <w:lang w:val="fr-FR" w:eastAsia="es-BO"/>
        </w:rPr>
        <w:t>pour l</w:t>
      </w:r>
      <w:r w:rsidR="00FB1114">
        <w:rPr>
          <w:noProof/>
          <w:lang w:val="fr-FR" w:eastAsia="es-BO"/>
        </w:rPr>
        <w:t>’</w:t>
      </w:r>
      <w:r>
        <w:rPr>
          <w:noProof/>
          <w:lang w:val="fr-FR" w:eastAsia="es-BO"/>
        </w:rPr>
        <w:t>élimination du travail forcé, composé de représentants des ministères</w:t>
      </w:r>
      <w:r w:rsidRPr="00B5117C">
        <w:rPr>
          <w:lang w:val="fr-FR"/>
        </w:rPr>
        <w:t xml:space="preserve"> du </w:t>
      </w:r>
      <w:r w:rsidRPr="000D501D">
        <w:rPr>
          <w:noProof/>
          <w:lang w:val="fr-FR"/>
        </w:rPr>
        <w:t>travail, de l</w:t>
      </w:r>
      <w:r w:rsidR="00FB1114">
        <w:rPr>
          <w:noProof/>
          <w:lang w:val="fr-FR"/>
        </w:rPr>
        <w:t>’</w:t>
      </w:r>
      <w:r w:rsidRPr="000D501D">
        <w:rPr>
          <w:noProof/>
          <w:lang w:val="fr-FR"/>
        </w:rPr>
        <w:t>emploi et de la protection sociale</w:t>
      </w:r>
      <w:r>
        <w:rPr>
          <w:noProof/>
          <w:lang w:val="fr-FR" w:eastAsia="es-BO"/>
        </w:rPr>
        <w:t>, de la présidence, de la j</w:t>
      </w:r>
      <w:r w:rsidRPr="00DF456A">
        <w:rPr>
          <w:noProof/>
          <w:lang w:val="fr-FR" w:eastAsia="es-BO"/>
        </w:rPr>
        <w:t>ustic</w:t>
      </w:r>
      <w:r>
        <w:rPr>
          <w:noProof/>
          <w:lang w:val="fr-FR" w:eastAsia="es-BO"/>
        </w:rPr>
        <w:t>e, du développement rural et des terres,</w:t>
      </w:r>
      <w:r w:rsidRPr="00DF456A">
        <w:rPr>
          <w:noProof/>
          <w:lang w:val="fr-FR" w:eastAsia="es-BO"/>
        </w:rPr>
        <w:t xml:space="preserve"> </w:t>
      </w:r>
      <w:r>
        <w:rPr>
          <w:noProof/>
          <w:lang w:val="fr-FR" w:eastAsia="es-BO"/>
        </w:rPr>
        <w:t>du dévelopement de la production et de l</w:t>
      </w:r>
      <w:r w:rsidR="00FB1114">
        <w:rPr>
          <w:noProof/>
          <w:lang w:val="fr-FR" w:eastAsia="es-BO"/>
        </w:rPr>
        <w:t>’</w:t>
      </w:r>
      <w:r>
        <w:rPr>
          <w:noProof/>
          <w:lang w:val="fr-FR" w:eastAsia="es-BO"/>
        </w:rPr>
        <w:t>économie plurielle, et de la</w:t>
      </w:r>
      <w:r w:rsidRPr="00DF456A">
        <w:rPr>
          <w:noProof/>
          <w:lang w:val="fr-FR" w:eastAsia="es-BO"/>
        </w:rPr>
        <w:t xml:space="preserve"> </w:t>
      </w:r>
      <w:r>
        <w:rPr>
          <w:noProof/>
          <w:lang w:val="fr-FR" w:eastAsia="es-BO"/>
        </w:rPr>
        <w:t>p</w:t>
      </w:r>
      <w:r w:rsidRPr="00DF456A">
        <w:rPr>
          <w:noProof/>
          <w:lang w:val="fr-FR" w:eastAsia="es-BO"/>
        </w:rPr>
        <w:t>lanifica</w:t>
      </w:r>
      <w:r>
        <w:rPr>
          <w:noProof/>
          <w:lang w:val="fr-FR" w:eastAsia="es-BO"/>
        </w:rPr>
        <w:t>tion du développement</w:t>
      </w:r>
      <w:r w:rsidRPr="00DF456A">
        <w:rPr>
          <w:noProof/>
          <w:lang w:val="fr-FR" w:eastAsia="es-BO"/>
        </w:rPr>
        <w:t>.</w:t>
      </w:r>
    </w:p>
    <w:p w:rsidR="00614A7E" w:rsidRPr="00DF456A" w:rsidRDefault="00614A7E" w:rsidP="00614A7E">
      <w:pPr>
        <w:pStyle w:val="SingleTxtG"/>
        <w:rPr>
          <w:noProof/>
          <w:lang w:val="fr-FR" w:eastAsia="es-BO"/>
        </w:rPr>
      </w:pPr>
      <w:r w:rsidRPr="00DF456A">
        <w:rPr>
          <w:noProof/>
          <w:lang w:val="fr-FR" w:eastAsia="es-BO"/>
        </w:rPr>
        <w:t>231.</w:t>
      </w:r>
      <w:r w:rsidRPr="00DF456A">
        <w:rPr>
          <w:noProof/>
          <w:lang w:val="fr-FR" w:eastAsia="es-BO"/>
        </w:rPr>
        <w:tab/>
      </w:r>
      <w:r>
        <w:rPr>
          <w:noProof/>
          <w:lang w:val="fr-FR" w:eastAsia="es-BO"/>
        </w:rPr>
        <w:t xml:space="preserve">Ce </w:t>
      </w:r>
      <w:r w:rsidR="003035D0">
        <w:rPr>
          <w:noProof/>
          <w:lang w:val="fr-FR" w:eastAsia="es-BO"/>
        </w:rPr>
        <w:t>p</w:t>
      </w:r>
      <w:r>
        <w:rPr>
          <w:noProof/>
          <w:lang w:val="fr-FR" w:eastAsia="es-BO"/>
        </w:rPr>
        <w:t xml:space="preserve">lan poursuit les objectifs suivants : </w:t>
      </w:r>
      <w:r w:rsidRPr="000D501D">
        <w:rPr>
          <w:noProof/>
          <w:lang w:val="fr-FR" w:eastAsia="es-BO"/>
        </w:rPr>
        <w:t>« </w:t>
      </w:r>
      <w:r w:rsidRPr="000D501D">
        <w:rPr>
          <w:noProof/>
          <w:lang w:val="fr-FR"/>
        </w:rPr>
        <w:t>instaurer des conditions de vie dignes pour les familles guaranies recensées dans la région du Chaco bolivien, éliminer le travail forcé et promouvoir le dévelop</w:t>
      </w:r>
      <w:r>
        <w:rPr>
          <w:noProof/>
          <w:lang w:val="fr-FR"/>
        </w:rPr>
        <w:t>p</w:t>
      </w:r>
      <w:r w:rsidRPr="000D501D">
        <w:rPr>
          <w:noProof/>
          <w:lang w:val="fr-FR"/>
        </w:rPr>
        <w:t>ement social, culturel et économique, dans le cadre du processus de reconstitution territoriale du peuple guaran</w:t>
      </w:r>
      <w:r w:rsidR="00BD2278">
        <w:rPr>
          <w:noProof/>
          <w:lang w:val="fr-FR"/>
        </w:rPr>
        <w:t>i</w:t>
      </w:r>
      <w:r w:rsidRPr="000D501D">
        <w:rPr>
          <w:noProof/>
          <w:lang w:val="fr-FR"/>
        </w:rPr>
        <w:t xml:space="preserve"> et conformément au Plan national de développement « Une Bolivie digne, souveraine, productive et démocratique pour le bien</w:t>
      </w:r>
      <w:r w:rsidR="00DA529D">
        <w:rPr>
          <w:noProof/>
          <w:lang w:val="fr-FR"/>
        </w:rPr>
        <w:noBreakHyphen/>
      </w:r>
      <w:r w:rsidRPr="000D501D">
        <w:rPr>
          <w:noProof/>
          <w:lang w:val="fr-FR"/>
        </w:rPr>
        <w:t>vivre », et en réponse aux demandes du peuple guaran</w:t>
      </w:r>
      <w:r w:rsidR="00BD2278">
        <w:rPr>
          <w:noProof/>
          <w:lang w:val="fr-FR"/>
        </w:rPr>
        <w:t>i</w:t>
      </w:r>
      <w:r>
        <w:rPr>
          <w:noProof/>
          <w:lang w:val="fr-FR"/>
        </w:rPr>
        <w:t> ».</w:t>
      </w:r>
      <w:r w:rsidR="00593789">
        <w:rPr>
          <w:noProof/>
          <w:lang w:val="fr-FR"/>
        </w:rPr>
        <w:t xml:space="preserve"> </w:t>
      </w:r>
      <w:r>
        <w:rPr>
          <w:noProof/>
          <w:lang w:val="fr-FR" w:eastAsia="es-BO"/>
        </w:rPr>
        <w:t xml:space="preserve">Appliqué dans les </w:t>
      </w:r>
      <w:r w:rsidRPr="00DF456A">
        <w:rPr>
          <w:noProof/>
          <w:lang w:val="fr-FR" w:eastAsia="es-BO"/>
        </w:rPr>
        <w:t>com</w:t>
      </w:r>
      <w:r>
        <w:rPr>
          <w:noProof/>
          <w:lang w:val="fr-FR" w:eastAsia="es-BO"/>
        </w:rPr>
        <w:t xml:space="preserve">munautés autochtones </w:t>
      </w:r>
      <w:r w:rsidRPr="00DF456A">
        <w:rPr>
          <w:noProof/>
          <w:lang w:val="fr-FR" w:eastAsia="es-BO"/>
        </w:rPr>
        <w:t>guaran</w:t>
      </w:r>
      <w:r w:rsidR="00BF766B">
        <w:rPr>
          <w:noProof/>
          <w:lang w:val="fr-FR" w:eastAsia="es-BO"/>
        </w:rPr>
        <w:t>i</w:t>
      </w:r>
      <w:r w:rsidRPr="00DF456A">
        <w:rPr>
          <w:noProof/>
          <w:lang w:val="fr-FR" w:eastAsia="es-BO"/>
        </w:rPr>
        <w:t xml:space="preserve">es </w:t>
      </w:r>
      <w:r>
        <w:rPr>
          <w:noProof/>
          <w:lang w:val="fr-FR" w:eastAsia="es-BO"/>
        </w:rPr>
        <w:t xml:space="preserve">qui vivent dans les départements </w:t>
      </w:r>
      <w:r w:rsidRPr="00DF456A">
        <w:rPr>
          <w:noProof/>
          <w:lang w:val="fr-FR" w:eastAsia="es-BO"/>
        </w:rPr>
        <w:t xml:space="preserve">de Tarija, Chuquisaca </w:t>
      </w:r>
      <w:r>
        <w:rPr>
          <w:noProof/>
          <w:lang w:val="fr-FR" w:eastAsia="es-BO"/>
        </w:rPr>
        <w:t xml:space="preserve">et </w:t>
      </w:r>
      <w:r w:rsidRPr="00DF456A">
        <w:rPr>
          <w:noProof/>
          <w:lang w:val="fr-FR" w:eastAsia="es-BO"/>
        </w:rPr>
        <w:t>Santa Cr</w:t>
      </w:r>
      <w:r>
        <w:rPr>
          <w:noProof/>
          <w:lang w:val="fr-FR" w:eastAsia="es-BO"/>
        </w:rPr>
        <w:t>uz, ce Plan a prévu six composantes (annexe</w:t>
      </w:r>
      <w:r w:rsidRPr="00DF456A">
        <w:rPr>
          <w:noProof/>
          <w:lang w:val="fr-FR" w:eastAsia="es-BO"/>
        </w:rPr>
        <w:t xml:space="preserve"> 81).</w:t>
      </w:r>
    </w:p>
    <w:p w:rsidR="00614A7E" w:rsidRPr="00DF456A" w:rsidRDefault="00614A7E" w:rsidP="00614A7E">
      <w:pPr>
        <w:pStyle w:val="SingleTxtG"/>
        <w:rPr>
          <w:noProof/>
          <w:lang w:val="fr-FR" w:eastAsia="es-BO"/>
        </w:rPr>
      </w:pPr>
      <w:r w:rsidRPr="00DF456A">
        <w:rPr>
          <w:noProof/>
          <w:lang w:val="fr-FR" w:eastAsia="es-BO"/>
        </w:rPr>
        <w:t>232.</w:t>
      </w:r>
      <w:r w:rsidRPr="00DF456A">
        <w:rPr>
          <w:noProof/>
          <w:lang w:val="fr-FR" w:eastAsia="es-BO"/>
        </w:rPr>
        <w:tab/>
      </w:r>
      <w:r>
        <w:rPr>
          <w:noProof/>
          <w:lang w:val="fr-FR" w:eastAsia="es-BO"/>
        </w:rPr>
        <w:t>Le budget du Plan s</w:t>
      </w:r>
      <w:r w:rsidR="00FB1114">
        <w:rPr>
          <w:noProof/>
          <w:lang w:val="fr-FR" w:eastAsia="es-BO"/>
        </w:rPr>
        <w:t>’</w:t>
      </w:r>
      <w:r>
        <w:rPr>
          <w:noProof/>
          <w:lang w:val="fr-FR" w:eastAsia="es-BO"/>
        </w:rPr>
        <w:t>est établi à 2 000 300 dollars É</w:t>
      </w:r>
      <w:r w:rsidR="0047481D">
        <w:rPr>
          <w:noProof/>
          <w:lang w:val="fr-FR" w:eastAsia="es-BO"/>
        </w:rPr>
        <w:t>.-</w:t>
      </w:r>
      <w:r>
        <w:rPr>
          <w:noProof/>
          <w:lang w:val="fr-FR" w:eastAsia="es-BO"/>
        </w:rPr>
        <w:t>U</w:t>
      </w:r>
      <w:r w:rsidR="0047481D">
        <w:rPr>
          <w:noProof/>
          <w:lang w:val="fr-FR" w:eastAsia="es-BO"/>
        </w:rPr>
        <w:t>.</w:t>
      </w:r>
      <w:r>
        <w:rPr>
          <w:noProof/>
          <w:lang w:val="fr-FR" w:eastAsia="es-BO"/>
        </w:rPr>
        <w:t xml:space="preserve">, montant qui lui a été affecté par le décret suprême </w:t>
      </w:r>
      <w:r w:rsidR="00FE225F" w:rsidRPr="00AD55D6">
        <w:rPr>
          <w:rFonts w:eastAsia="MS Mincho"/>
          <w:noProof/>
          <w:szCs w:val="22"/>
          <w:lang w:val="fr-FR" w:eastAsia="es-BO"/>
        </w:rPr>
        <w:t>n</w:t>
      </w:r>
      <w:r w:rsidR="00FE225F" w:rsidRPr="00AD55D6">
        <w:rPr>
          <w:rFonts w:eastAsia="MS Mincho"/>
          <w:noProof/>
          <w:szCs w:val="22"/>
          <w:vertAlign w:val="superscript"/>
          <w:lang w:val="fr-FR" w:eastAsia="es-BO"/>
        </w:rPr>
        <w:t>o</w:t>
      </w:r>
      <w:r w:rsidR="00FE225F">
        <w:rPr>
          <w:noProof/>
          <w:lang w:val="fr-FR" w:eastAsia="es-BO"/>
        </w:rPr>
        <w:t> </w:t>
      </w:r>
      <w:r>
        <w:rPr>
          <w:noProof/>
          <w:lang w:val="fr-FR" w:eastAsia="es-BO"/>
        </w:rPr>
        <w:t xml:space="preserve">29388 du </w:t>
      </w:r>
      <w:r w:rsidRPr="00DF456A">
        <w:rPr>
          <w:noProof/>
          <w:lang w:val="fr-FR" w:eastAsia="es-BO"/>
        </w:rPr>
        <w:t>19</w:t>
      </w:r>
      <w:r w:rsidR="00FE225F">
        <w:rPr>
          <w:noProof/>
          <w:lang w:val="fr-FR" w:eastAsia="es-BO"/>
        </w:rPr>
        <w:t> </w:t>
      </w:r>
      <w:r w:rsidRPr="00DF456A">
        <w:rPr>
          <w:noProof/>
          <w:lang w:val="fr-FR" w:eastAsia="es-BO"/>
        </w:rPr>
        <w:t>d</w:t>
      </w:r>
      <w:r>
        <w:rPr>
          <w:noProof/>
          <w:lang w:val="fr-FR" w:eastAsia="es-BO"/>
        </w:rPr>
        <w:t>é</w:t>
      </w:r>
      <w:r w:rsidRPr="00DF456A">
        <w:rPr>
          <w:noProof/>
          <w:lang w:val="fr-FR" w:eastAsia="es-BO"/>
        </w:rPr>
        <w:t xml:space="preserve">cembre 2007. </w:t>
      </w:r>
      <w:r>
        <w:rPr>
          <w:noProof/>
          <w:lang w:val="fr-FR" w:eastAsia="es-BO"/>
        </w:rPr>
        <w:t xml:space="preserve">Ce </w:t>
      </w:r>
      <w:r w:rsidR="003035D0">
        <w:rPr>
          <w:noProof/>
          <w:lang w:val="fr-FR" w:eastAsia="es-BO"/>
        </w:rPr>
        <w:t>p</w:t>
      </w:r>
      <w:r>
        <w:rPr>
          <w:noProof/>
          <w:lang w:val="fr-FR" w:eastAsia="es-BO"/>
        </w:rPr>
        <w:t>lan a eu pour résultats</w:t>
      </w:r>
      <w:r w:rsidR="00FE225F">
        <w:rPr>
          <w:noProof/>
          <w:lang w:val="fr-FR" w:eastAsia="es-BO"/>
        </w:rPr>
        <w:t> </w:t>
      </w:r>
      <w:r w:rsidRPr="00DF456A">
        <w:rPr>
          <w:noProof/>
          <w:lang w:val="fr-FR" w:eastAsia="es-BO"/>
        </w:rPr>
        <w:t>:</w:t>
      </w:r>
    </w:p>
    <w:p w:rsidR="00614A7E" w:rsidRPr="00DF456A" w:rsidRDefault="00614A7E" w:rsidP="00FE225F">
      <w:pPr>
        <w:pStyle w:val="Bullet1G"/>
        <w:rPr>
          <w:noProof/>
          <w:lang w:val="fr-FR"/>
        </w:rPr>
      </w:pPr>
      <w:r w:rsidRPr="00DF456A">
        <w:rPr>
          <w:noProof/>
          <w:lang w:val="fr-FR"/>
        </w:rPr>
        <w:t xml:space="preserve">La </w:t>
      </w:r>
      <w:r>
        <w:rPr>
          <w:noProof/>
          <w:lang w:val="fr-FR"/>
        </w:rPr>
        <w:t xml:space="preserve">création de six </w:t>
      </w:r>
      <w:r w:rsidR="00681A56">
        <w:rPr>
          <w:noProof/>
          <w:lang w:val="fr-FR"/>
        </w:rPr>
        <w:t>i</w:t>
      </w:r>
      <w:r w:rsidRPr="00DF456A">
        <w:rPr>
          <w:noProof/>
          <w:lang w:val="fr-FR"/>
        </w:rPr>
        <w:t>nspect</w:t>
      </w:r>
      <w:r>
        <w:rPr>
          <w:noProof/>
          <w:lang w:val="fr-FR"/>
        </w:rPr>
        <w:t xml:space="preserve">ions régionales du travail dans les régions de </w:t>
      </w:r>
      <w:r w:rsidRPr="00DF456A">
        <w:rPr>
          <w:noProof/>
          <w:lang w:val="fr-FR"/>
        </w:rPr>
        <w:t xml:space="preserve">Carapari, Yacuiba, Entre Ríos, Huacareta </w:t>
      </w:r>
      <w:r>
        <w:rPr>
          <w:noProof/>
          <w:lang w:val="fr-FR"/>
        </w:rPr>
        <w:t>et</w:t>
      </w:r>
      <w:r w:rsidRPr="00DF456A">
        <w:rPr>
          <w:noProof/>
          <w:lang w:val="fr-FR"/>
        </w:rPr>
        <w:t xml:space="preserve"> Charagua</w:t>
      </w:r>
      <w:r w:rsidR="00FE225F">
        <w:rPr>
          <w:noProof/>
          <w:lang w:val="fr-FR"/>
        </w:rPr>
        <w:t> ;</w:t>
      </w:r>
    </w:p>
    <w:p w:rsidR="00614A7E" w:rsidRPr="00DF456A" w:rsidRDefault="00614A7E" w:rsidP="00FE225F">
      <w:pPr>
        <w:pStyle w:val="Bullet1G"/>
        <w:rPr>
          <w:noProof/>
          <w:lang w:val="fr-FR"/>
        </w:rPr>
      </w:pPr>
      <w:r w:rsidRPr="00DF456A">
        <w:rPr>
          <w:noProof/>
          <w:lang w:val="fr-FR"/>
        </w:rPr>
        <w:lastRenderedPageBreak/>
        <w:t>Pr</w:t>
      </w:r>
      <w:r>
        <w:rPr>
          <w:noProof/>
          <w:lang w:val="fr-FR"/>
        </w:rPr>
        <w:t>é</w:t>
      </w:r>
      <w:r w:rsidRPr="00DF456A">
        <w:rPr>
          <w:noProof/>
          <w:lang w:val="fr-FR"/>
        </w:rPr>
        <w:t>senc</w:t>
      </w:r>
      <w:r>
        <w:rPr>
          <w:noProof/>
          <w:lang w:val="fr-FR"/>
        </w:rPr>
        <w:t>e de l</w:t>
      </w:r>
      <w:r w:rsidR="00FB1114">
        <w:rPr>
          <w:noProof/>
          <w:lang w:val="fr-FR"/>
        </w:rPr>
        <w:t>’</w:t>
      </w:r>
      <w:r>
        <w:rPr>
          <w:noProof/>
          <w:lang w:val="fr-FR"/>
        </w:rPr>
        <w:t xml:space="preserve">État dans la </w:t>
      </w:r>
      <w:r w:rsidRPr="00DF456A">
        <w:rPr>
          <w:noProof/>
          <w:lang w:val="fr-FR"/>
        </w:rPr>
        <w:t>r</w:t>
      </w:r>
      <w:r>
        <w:rPr>
          <w:noProof/>
          <w:lang w:val="fr-FR"/>
        </w:rPr>
        <w:t>é</w:t>
      </w:r>
      <w:r w:rsidRPr="00DF456A">
        <w:rPr>
          <w:noProof/>
          <w:lang w:val="fr-FR"/>
        </w:rPr>
        <w:t>gi</w:t>
      </w:r>
      <w:r>
        <w:rPr>
          <w:noProof/>
          <w:lang w:val="fr-FR"/>
        </w:rPr>
        <w:t>o</w:t>
      </w:r>
      <w:r w:rsidRPr="00DF456A">
        <w:rPr>
          <w:noProof/>
          <w:lang w:val="fr-FR"/>
        </w:rPr>
        <w:t>n d</w:t>
      </w:r>
      <w:r>
        <w:rPr>
          <w:noProof/>
          <w:lang w:val="fr-FR"/>
        </w:rPr>
        <w:t>u</w:t>
      </w:r>
      <w:r w:rsidRPr="00DF456A">
        <w:rPr>
          <w:noProof/>
          <w:lang w:val="fr-FR"/>
        </w:rPr>
        <w:t xml:space="preserve"> Chaco </w:t>
      </w:r>
      <w:r>
        <w:rPr>
          <w:noProof/>
          <w:lang w:val="fr-FR"/>
        </w:rPr>
        <w:t>bolivien pour mettre en place entre</w:t>
      </w:r>
      <w:r w:rsidRPr="00DF456A">
        <w:rPr>
          <w:noProof/>
          <w:lang w:val="fr-FR"/>
        </w:rPr>
        <w:t xml:space="preserve"> empl</w:t>
      </w:r>
      <w:r>
        <w:rPr>
          <w:noProof/>
          <w:lang w:val="fr-FR"/>
        </w:rPr>
        <w:t>oyeurs et travailleurs des relations fondées sur le respect, et amélioration des revenus des travailleurs</w:t>
      </w:r>
      <w:r w:rsidR="00FE225F">
        <w:rPr>
          <w:noProof/>
          <w:lang w:val="fr-FR"/>
        </w:rPr>
        <w:t> ;</w:t>
      </w:r>
    </w:p>
    <w:p w:rsidR="00614A7E" w:rsidRPr="00681A56" w:rsidRDefault="00614A7E" w:rsidP="00FE225F">
      <w:pPr>
        <w:pStyle w:val="Bullet1G"/>
        <w:rPr>
          <w:noProof/>
          <w:lang w:val="fr-FR"/>
        </w:rPr>
      </w:pPr>
      <w:r>
        <w:rPr>
          <w:noProof/>
          <w:lang w:val="fr-FR"/>
        </w:rPr>
        <w:t xml:space="preserve">Présentation et diffusion des droits fondamentaux et, en particulier, des droits du </w:t>
      </w:r>
      <w:r w:rsidRPr="00681A56">
        <w:rPr>
          <w:noProof/>
          <w:lang w:val="fr-FR"/>
        </w:rPr>
        <w:t>travail</w:t>
      </w:r>
      <w:r w:rsidR="00FE225F" w:rsidRPr="00681A56">
        <w:rPr>
          <w:noProof/>
          <w:lang w:val="fr-FR"/>
        </w:rPr>
        <w:t> ;</w:t>
      </w:r>
    </w:p>
    <w:p w:rsidR="00614A7E" w:rsidRPr="00681A56" w:rsidRDefault="00614A7E" w:rsidP="00FE225F">
      <w:pPr>
        <w:pStyle w:val="Bullet1G"/>
        <w:rPr>
          <w:noProof/>
          <w:lang w:val="fr-FR"/>
        </w:rPr>
      </w:pPr>
      <w:r w:rsidRPr="00681A56">
        <w:rPr>
          <w:noProof/>
          <w:lang w:val="fr-FR"/>
        </w:rPr>
        <w:t>Élaboration et présentation du Plan de développement intégral pour le peuple guaran</w:t>
      </w:r>
      <w:r w:rsidR="00681A56">
        <w:rPr>
          <w:noProof/>
          <w:lang w:val="fr-FR"/>
        </w:rPr>
        <w:t>i</w:t>
      </w:r>
      <w:r w:rsidRPr="00681A56">
        <w:rPr>
          <w:noProof/>
          <w:lang w:val="fr-FR"/>
        </w:rPr>
        <w:t xml:space="preserve"> dans les capitaineries zonales et les communautés des trois départements susvisés</w:t>
      </w:r>
      <w:r w:rsidR="00FE225F" w:rsidRPr="00681A56">
        <w:rPr>
          <w:noProof/>
          <w:lang w:val="fr-FR"/>
        </w:rPr>
        <w:t> ;</w:t>
      </w:r>
    </w:p>
    <w:p w:rsidR="00614A7E" w:rsidRPr="00DF456A" w:rsidRDefault="00614A7E" w:rsidP="00FE225F">
      <w:pPr>
        <w:pStyle w:val="Bullet1G"/>
        <w:rPr>
          <w:noProof/>
          <w:lang w:val="fr-FR"/>
        </w:rPr>
      </w:pPr>
      <w:r w:rsidRPr="00DF456A">
        <w:rPr>
          <w:noProof/>
          <w:lang w:val="fr-FR"/>
        </w:rPr>
        <w:t>Ap</w:t>
      </w:r>
      <w:r>
        <w:rPr>
          <w:noProof/>
          <w:lang w:val="fr-FR"/>
        </w:rPr>
        <w:t xml:space="preserve">pui technique juridique aux organisations </w:t>
      </w:r>
      <w:r w:rsidRPr="00DF456A">
        <w:rPr>
          <w:noProof/>
          <w:lang w:val="fr-FR"/>
        </w:rPr>
        <w:t>guaran</w:t>
      </w:r>
      <w:r w:rsidR="00BF766B">
        <w:rPr>
          <w:noProof/>
          <w:lang w:val="fr-FR"/>
        </w:rPr>
        <w:t>i</w:t>
      </w:r>
      <w:r w:rsidRPr="00DF456A">
        <w:rPr>
          <w:noProof/>
          <w:lang w:val="fr-FR"/>
        </w:rPr>
        <w:t xml:space="preserve">es </w:t>
      </w:r>
      <w:r>
        <w:rPr>
          <w:noProof/>
          <w:lang w:val="fr-FR"/>
        </w:rPr>
        <w:t>sur des questions relatives à l</w:t>
      </w:r>
      <w:r w:rsidR="00FB1114">
        <w:rPr>
          <w:noProof/>
          <w:lang w:val="fr-FR"/>
        </w:rPr>
        <w:t>’</w:t>
      </w:r>
      <w:r>
        <w:rPr>
          <w:noProof/>
          <w:lang w:val="fr-FR"/>
        </w:rPr>
        <w:t>autonomie autochtone</w:t>
      </w:r>
      <w:r w:rsidR="00FE225F">
        <w:rPr>
          <w:noProof/>
          <w:lang w:val="fr-FR"/>
        </w:rPr>
        <w:t> ;</w:t>
      </w:r>
    </w:p>
    <w:p w:rsidR="00614A7E" w:rsidRPr="00DF456A" w:rsidRDefault="00614A7E" w:rsidP="00FE225F">
      <w:pPr>
        <w:pStyle w:val="Bullet1G"/>
        <w:rPr>
          <w:noProof/>
          <w:lang w:val="fr-FR"/>
        </w:rPr>
      </w:pPr>
      <w:r w:rsidRPr="00DF456A">
        <w:rPr>
          <w:noProof/>
          <w:lang w:val="fr-FR"/>
        </w:rPr>
        <w:t>Ap</w:t>
      </w:r>
      <w:r>
        <w:rPr>
          <w:noProof/>
          <w:lang w:val="fr-FR"/>
        </w:rPr>
        <w:t xml:space="preserve">pui technique à la population </w:t>
      </w:r>
      <w:r w:rsidRPr="00DF456A">
        <w:rPr>
          <w:noProof/>
          <w:lang w:val="fr-FR"/>
        </w:rPr>
        <w:t>guaran</w:t>
      </w:r>
      <w:r w:rsidR="00681A56">
        <w:rPr>
          <w:noProof/>
          <w:lang w:val="fr-FR"/>
        </w:rPr>
        <w:t>i</w:t>
      </w:r>
      <w:r>
        <w:rPr>
          <w:noProof/>
          <w:lang w:val="fr-FR"/>
        </w:rPr>
        <w:t>e amenée à se défendre contre des plaintes</w:t>
      </w:r>
      <w:r w:rsidR="00FE225F">
        <w:rPr>
          <w:noProof/>
          <w:lang w:val="fr-FR"/>
        </w:rPr>
        <w:t> ;</w:t>
      </w:r>
    </w:p>
    <w:p w:rsidR="00614A7E" w:rsidRPr="00DF456A" w:rsidRDefault="00614A7E" w:rsidP="00FE225F">
      <w:pPr>
        <w:pStyle w:val="Bullet1G"/>
        <w:rPr>
          <w:noProof/>
          <w:lang w:val="fr-FR"/>
        </w:rPr>
      </w:pPr>
      <w:r>
        <w:rPr>
          <w:noProof/>
          <w:lang w:val="fr-FR"/>
        </w:rPr>
        <w:t>Observations et demandes déposées auprès de l</w:t>
      </w:r>
      <w:r w:rsidR="00FB1114">
        <w:rPr>
          <w:noProof/>
          <w:lang w:val="fr-FR"/>
        </w:rPr>
        <w:t>’</w:t>
      </w:r>
      <w:r>
        <w:rPr>
          <w:noProof/>
          <w:lang w:val="fr-FR"/>
        </w:rPr>
        <w:t xml:space="preserve">Institut national de la réforme agraire </w:t>
      </w:r>
      <w:r w:rsidRPr="00DF456A">
        <w:rPr>
          <w:noProof/>
          <w:lang w:val="fr-FR"/>
        </w:rPr>
        <w:t xml:space="preserve">en </w:t>
      </w:r>
      <w:r>
        <w:rPr>
          <w:noProof/>
          <w:lang w:val="fr-FR"/>
        </w:rPr>
        <w:t>ce qui concerne l</w:t>
      </w:r>
      <w:r w:rsidR="00FB1114">
        <w:rPr>
          <w:noProof/>
          <w:lang w:val="fr-FR"/>
        </w:rPr>
        <w:t>’</w:t>
      </w:r>
      <w:r>
        <w:rPr>
          <w:noProof/>
          <w:lang w:val="fr-FR"/>
        </w:rPr>
        <w:t>assainissement des terres</w:t>
      </w:r>
      <w:r w:rsidR="00FE225F">
        <w:rPr>
          <w:noProof/>
          <w:lang w:val="fr-FR"/>
        </w:rPr>
        <w:t> ;</w:t>
      </w:r>
    </w:p>
    <w:p w:rsidR="00614A7E" w:rsidRPr="00DF456A" w:rsidRDefault="00614A7E" w:rsidP="00FE225F">
      <w:pPr>
        <w:pStyle w:val="Bullet1G"/>
        <w:rPr>
          <w:noProof/>
          <w:lang w:val="fr-FR"/>
        </w:rPr>
      </w:pPr>
      <w:r>
        <w:rPr>
          <w:noProof/>
          <w:lang w:val="fr-FR"/>
        </w:rPr>
        <w:t>Fourniture d</w:t>
      </w:r>
      <w:r w:rsidR="00FB1114">
        <w:rPr>
          <w:noProof/>
          <w:lang w:val="fr-FR"/>
        </w:rPr>
        <w:t>’</w:t>
      </w:r>
      <w:r>
        <w:rPr>
          <w:noProof/>
          <w:lang w:val="fr-FR"/>
        </w:rPr>
        <w:t>aliments et d</w:t>
      </w:r>
      <w:r w:rsidR="00FB1114">
        <w:rPr>
          <w:noProof/>
          <w:lang w:val="fr-FR"/>
        </w:rPr>
        <w:t>’</w:t>
      </w:r>
      <w:r>
        <w:rPr>
          <w:noProof/>
          <w:lang w:val="fr-FR"/>
        </w:rPr>
        <w:t>outils d</w:t>
      </w:r>
      <w:r w:rsidR="00FB1114">
        <w:rPr>
          <w:noProof/>
          <w:lang w:val="fr-FR"/>
        </w:rPr>
        <w:t>’</w:t>
      </w:r>
      <w:r>
        <w:rPr>
          <w:noProof/>
          <w:lang w:val="fr-FR"/>
        </w:rPr>
        <w:t>urgence dans la zone</w:t>
      </w:r>
      <w:r w:rsidRPr="00DF456A">
        <w:rPr>
          <w:noProof/>
          <w:lang w:val="fr-FR"/>
        </w:rPr>
        <w:t xml:space="preserve"> de</w:t>
      </w:r>
      <w:r>
        <w:rPr>
          <w:noProof/>
          <w:lang w:val="fr-FR"/>
        </w:rPr>
        <w:t>s</w:t>
      </w:r>
      <w:r w:rsidRPr="00DF456A">
        <w:rPr>
          <w:noProof/>
          <w:lang w:val="fr-FR"/>
        </w:rPr>
        <w:t xml:space="preserve"> com</w:t>
      </w:r>
      <w:r>
        <w:rPr>
          <w:noProof/>
          <w:lang w:val="fr-FR"/>
        </w:rPr>
        <w:t>munautés d</w:t>
      </w:r>
      <w:r w:rsidR="00FB1114">
        <w:rPr>
          <w:noProof/>
          <w:lang w:val="fr-FR"/>
        </w:rPr>
        <w:t>’</w:t>
      </w:r>
      <w:r w:rsidRPr="00DF456A">
        <w:rPr>
          <w:noProof/>
          <w:lang w:val="fr-FR"/>
        </w:rPr>
        <w:t>Alto Parapeti</w:t>
      </w:r>
      <w:r w:rsidR="00FE225F">
        <w:rPr>
          <w:noProof/>
          <w:lang w:val="fr-FR"/>
        </w:rPr>
        <w:t> ;</w:t>
      </w:r>
    </w:p>
    <w:p w:rsidR="00614A7E" w:rsidRPr="00DF456A" w:rsidRDefault="00614A7E" w:rsidP="00FE225F">
      <w:pPr>
        <w:pStyle w:val="Bullet1G"/>
        <w:rPr>
          <w:noProof/>
          <w:lang w:val="fr-FR"/>
        </w:rPr>
      </w:pPr>
      <w:r w:rsidRPr="00DF456A">
        <w:rPr>
          <w:noProof/>
          <w:lang w:val="fr-FR"/>
        </w:rPr>
        <w:t>Promulga</w:t>
      </w:r>
      <w:r>
        <w:rPr>
          <w:noProof/>
          <w:lang w:val="fr-FR"/>
        </w:rPr>
        <w:t>tion du décret s</w:t>
      </w:r>
      <w:r w:rsidRPr="00DF456A">
        <w:rPr>
          <w:noProof/>
          <w:lang w:val="fr-FR"/>
        </w:rPr>
        <w:t>upr</w:t>
      </w:r>
      <w:r>
        <w:rPr>
          <w:noProof/>
          <w:lang w:val="fr-FR"/>
        </w:rPr>
        <w:t>ê</w:t>
      </w:r>
      <w:r w:rsidRPr="00DF456A">
        <w:rPr>
          <w:noProof/>
          <w:lang w:val="fr-FR"/>
        </w:rPr>
        <w:t>m</w:t>
      </w:r>
      <w:r>
        <w:rPr>
          <w:noProof/>
          <w:lang w:val="fr-FR"/>
        </w:rPr>
        <w:t xml:space="preserve">e </w:t>
      </w:r>
      <w:r w:rsidR="00FE225F" w:rsidRPr="00AD55D6">
        <w:rPr>
          <w:rFonts w:eastAsia="MS Mincho"/>
          <w:noProof/>
          <w:szCs w:val="22"/>
          <w:lang w:val="fr-FR" w:eastAsia="es-BO"/>
        </w:rPr>
        <w:t>n</w:t>
      </w:r>
      <w:r w:rsidR="00FE225F" w:rsidRPr="00AD55D6">
        <w:rPr>
          <w:rFonts w:eastAsia="MS Mincho"/>
          <w:noProof/>
          <w:szCs w:val="22"/>
          <w:vertAlign w:val="superscript"/>
          <w:lang w:val="fr-FR" w:eastAsia="es-BO"/>
        </w:rPr>
        <w:t>o</w:t>
      </w:r>
      <w:r w:rsidR="00FE225F">
        <w:rPr>
          <w:noProof/>
          <w:lang w:val="fr-FR" w:eastAsia="es-BO"/>
        </w:rPr>
        <w:t> </w:t>
      </w:r>
      <w:r w:rsidRPr="00DF456A">
        <w:rPr>
          <w:noProof/>
          <w:lang w:val="fr-FR"/>
        </w:rPr>
        <w:t>29354 d</w:t>
      </w:r>
      <w:r>
        <w:rPr>
          <w:noProof/>
          <w:lang w:val="fr-FR"/>
        </w:rPr>
        <w:t>u</w:t>
      </w:r>
      <w:r w:rsidRPr="00DF456A">
        <w:rPr>
          <w:noProof/>
          <w:lang w:val="fr-FR"/>
        </w:rPr>
        <w:t xml:space="preserve"> 28</w:t>
      </w:r>
      <w:r w:rsidR="00FE225F">
        <w:rPr>
          <w:noProof/>
          <w:lang w:val="fr-FR"/>
        </w:rPr>
        <w:t> </w:t>
      </w:r>
      <w:r w:rsidRPr="00DF456A">
        <w:rPr>
          <w:noProof/>
          <w:lang w:val="fr-FR"/>
        </w:rPr>
        <w:t xml:space="preserve">novembre 2007, </w:t>
      </w:r>
      <w:r w:rsidRPr="00950495">
        <w:rPr>
          <w:noProof/>
          <w:lang w:val="fr-FR"/>
        </w:rPr>
        <w:t>qui définit les motifs d</w:t>
      </w:r>
      <w:r w:rsidR="00FB1114">
        <w:rPr>
          <w:noProof/>
          <w:lang w:val="fr-FR"/>
        </w:rPr>
        <w:t>’</w:t>
      </w:r>
      <w:r w:rsidRPr="00950495">
        <w:rPr>
          <w:noProof/>
          <w:lang w:val="fr-FR"/>
        </w:rPr>
        <w:t>expropriation pour cause d</w:t>
      </w:r>
      <w:r w:rsidR="00FB1114">
        <w:rPr>
          <w:noProof/>
          <w:lang w:val="fr-FR"/>
        </w:rPr>
        <w:t>’</w:t>
      </w:r>
      <w:r w:rsidRPr="00950495">
        <w:rPr>
          <w:noProof/>
          <w:lang w:val="fr-FR"/>
        </w:rPr>
        <w:t>utilité publique en vue du remembrement et de la redistribution de terres en faveur du peuple guarani du département de Chuquisaca</w:t>
      </w:r>
      <w:r w:rsidR="00FE225F">
        <w:rPr>
          <w:noProof/>
          <w:lang w:val="fr-FR"/>
        </w:rPr>
        <w:t> ;</w:t>
      </w:r>
    </w:p>
    <w:p w:rsidR="00614A7E" w:rsidRPr="00DF456A" w:rsidRDefault="00614A7E" w:rsidP="00FE225F">
      <w:pPr>
        <w:pStyle w:val="Bullet1G"/>
        <w:rPr>
          <w:noProof/>
          <w:lang w:val="fr-FR"/>
        </w:rPr>
      </w:pPr>
      <w:r>
        <w:rPr>
          <w:noProof/>
          <w:lang w:val="fr-FR"/>
        </w:rPr>
        <w:t>Délivrance du certificat d</w:t>
      </w:r>
      <w:r w:rsidR="00FB1114">
        <w:rPr>
          <w:noProof/>
          <w:lang w:val="fr-FR"/>
        </w:rPr>
        <w:t>’</w:t>
      </w:r>
      <w:r>
        <w:rPr>
          <w:noProof/>
          <w:lang w:val="fr-FR"/>
        </w:rPr>
        <w:t>enregistrement de la population autochtone d</w:t>
      </w:r>
      <w:r w:rsidR="00FB1114">
        <w:rPr>
          <w:noProof/>
          <w:lang w:val="fr-FR"/>
        </w:rPr>
        <w:t>’</w:t>
      </w:r>
      <w:r w:rsidRPr="00DF456A">
        <w:rPr>
          <w:noProof/>
          <w:lang w:val="fr-FR"/>
        </w:rPr>
        <w:t>Alto Parapeti</w:t>
      </w:r>
      <w:r w:rsidR="00FE225F">
        <w:rPr>
          <w:noProof/>
          <w:lang w:val="fr-FR"/>
        </w:rPr>
        <w:t> ;</w:t>
      </w:r>
    </w:p>
    <w:p w:rsidR="00614A7E" w:rsidRPr="00DF456A" w:rsidRDefault="00614A7E" w:rsidP="00FE225F">
      <w:pPr>
        <w:pStyle w:val="Bullet1G"/>
        <w:rPr>
          <w:noProof/>
          <w:lang w:val="fr-FR"/>
        </w:rPr>
      </w:pPr>
      <w:r>
        <w:rPr>
          <w:noProof/>
          <w:lang w:val="fr-FR"/>
        </w:rPr>
        <w:t>Mise au point d</w:t>
      </w:r>
      <w:r w:rsidR="00FB1114">
        <w:rPr>
          <w:noProof/>
          <w:lang w:val="fr-FR"/>
        </w:rPr>
        <w:t>’</w:t>
      </w:r>
      <w:r>
        <w:rPr>
          <w:noProof/>
          <w:lang w:val="fr-FR"/>
        </w:rPr>
        <w:t>une mallette d</w:t>
      </w:r>
      <w:r w:rsidR="00FB1114">
        <w:rPr>
          <w:noProof/>
          <w:lang w:val="fr-FR"/>
        </w:rPr>
        <w:t>’</w:t>
      </w:r>
      <w:r>
        <w:rPr>
          <w:noProof/>
          <w:lang w:val="fr-FR"/>
        </w:rPr>
        <w:t>information sur l</w:t>
      </w:r>
      <w:r w:rsidR="00FB1114">
        <w:rPr>
          <w:noProof/>
          <w:lang w:val="fr-FR"/>
        </w:rPr>
        <w:t>’</w:t>
      </w:r>
      <w:r>
        <w:rPr>
          <w:noProof/>
          <w:lang w:val="fr-FR"/>
        </w:rPr>
        <w:t>assainissement destinée aux petits propriétaires terriens</w:t>
      </w:r>
      <w:r w:rsidRPr="00DF456A">
        <w:rPr>
          <w:noProof/>
          <w:lang w:val="fr-FR"/>
        </w:rPr>
        <w:t>.</w:t>
      </w:r>
    </w:p>
    <w:p w:rsidR="00614A7E" w:rsidRPr="00DF456A" w:rsidRDefault="00614A7E" w:rsidP="00FE225F">
      <w:pPr>
        <w:pStyle w:val="Bullet1G"/>
        <w:rPr>
          <w:noProof/>
          <w:lang w:val="fr-FR"/>
        </w:rPr>
      </w:pPr>
      <w:r>
        <w:rPr>
          <w:noProof/>
          <w:lang w:val="fr-FR"/>
        </w:rPr>
        <w:t>Fourniture d</w:t>
      </w:r>
      <w:r w:rsidR="00FB1114">
        <w:rPr>
          <w:noProof/>
          <w:lang w:val="fr-FR"/>
        </w:rPr>
        <w:t>’</w:t>
      </w:r>
      <w:r>
        <w:rPr>
          <w:noProof/>
          <w:lang w:val="fr-FR"/>
        </w:rPr>
        <w:t xml:space="preserve">aliments à sept </w:t>
      </w:r>
      <w:r w:rsidRPr="00DF456A">
        <w:rPr>
          <w:noProof/>
          <w:lang w:val="fr-FR"/>
        </w:rPr>
        <w:t>com</w:t>
      </w:r>
      <w:r>
        <w:rPr>
          <w:noProof/>
          <w:lang w:val="fr-FR"/>
        </w:rPr>
        <w:t>munautés d</w:t>
      </w:r>
      <w:r w:rsidR="00FB1114">
        <w:rPr>
          <w:noProof/>
          <w:lang w:val="fr-FR"/>
        </w:rPr>
        <w:t>’</w:t>
      </w:r>
      <w:r w:rsidRPr="00DF456A">
        <w:rPr>
          <w:noProof/>
          <w:lang w:val="fr-FR"/>
        </w:rPr>
        <w:t>Alto Parapeti</w:t>
      </w:r>
      <w:r w:rsidR="00FE225F">
        <w:rPr>
          <w:noProof/>
          <w:lang w:val="fr-FR"/>
        </w:rPr>
        <w:t> ;</w:t>
      </w:r>
    </w:p>
    <w:p w:rsidR="00614A7E" w:rsidRPr="003917F7" w:rsidRDefault="00614A7E" w:rsidP="00FE225F">
      <w:pPr>
        <w:pStyle w:val="Bullet1G"/>
        <w:rPr>
          <w:noProof/>
          <w:lang w:val="fr-FR"/>
        </w:rPr>
      </w:pPr>
      <w:r w:rsidRPr="003917F7">
        <w:rPr>
          <w:noProof/>
          <w:lang w:val="fr-FR"/>
        </w:rPr>
        <w:t>Formation technique aux processus d</w:t>
      </w:r>
      <w:r w:rsidR="00FB1114" w:rsidRPr="003917F7">
        <w:rPr>
          <w:noProof/>
          <w:lang w:val="fr-FR"/>
        </w:rPr>
        <w:t>’</w:t>
      </w:r>
      <w:r w:rsidRPr="003917F7">
        <w:rPr>
          <w:noProof/>
          <w:lang w:val="fr-FR"/>
        </w:rPr>
        <w:t xml:space="preserve">élevage et de production de volailles. </w:t>
      </w:r>
    </w:p>
    <w:p w:rsidR="00614A7E" w:rsidRPr="003917F7" w:rsidRDefault="00614A7E" w:rsidP="00614A7E">
      <w:pPr>
        <w:pStyle w:val="SingleTxtG"/>
        <w:rPr>
          <w:noProof/>
          <w:lang w:val="fr-FR" w:eastAsia="es-BO"/>
        </w:rPr>
      </w:pPr>
      <w:r w:rsidRPr="003917F7">
        <w:rPr>
          <w:noProof/>
          <w:lang w:val="fr-FR" w:eastAsia="es-BO"/>
        </w:rPr>
        <w:t>233.</w:t>
      </w:r>
      <w:r w:rsidRPr="003917F7">
        <w:rPr>
          <w:noProof/>
          <w:lang w:val="fr-FR" w:eastAsia="es-BO"/>
        </w:rPr>
        <w:tab/>
        <w:t>Dans ce contexte, le Ministère</w:t>
      </w:r>
      <w:r w:rsidRPr="003917F7">
        <w:rPr>
          <w:lang w:val="fr-FR"/>
        </w:rPr>
        <w:t xml:space="preserve"> du </w:t>
      </w:r>
      <w:r w:rsidRPr="003917F7">
        <w:rPr>
          <w:noProof/>
          <w:lang w:val="fr-FR"/>
        </w:rPr>
        <w:t>travail, de l</w:t>
      </w:r>
      <w:r w:rsidR="00FB1114" w:rsidRPr="003917F7">
        <w:rPr>
          <w:noProof/>
          <w:lang w:val="fr-FR"/>
        </w:rPr>
        <w:t>’</w:t>
      </w:r>
      <w:r w:rsidRPr="003917F7">
        <w:rPr>
          <w:noProof/>
          <w:lang w:val="fr-FR"/>
        </w:rPr>
        <w:t xml:space="preserve">emploi et de la protection sociale a mené à bien des programmes et des projets en faveur du peuple </w:t>
      </w:r>
      <w:r w:rsidRPr="003917F7">
        <w:rPr>
          <w:noProof/>
          <w:lang w:val="fr-FR" w:eastAsia="es-BO"/>
        </w:rPr>
        <w:t>guaran</w:t>
      </w:r>
      <w:r w:rsidR="00681A56">
        <w:rPr>
          <w:noProof/>
          <w:lang w:val="fr-FR" w:eastAsia="es-BO"/>
        </w:rPr>
        <w:t>i</w:t>
      </w:r>
      <w:r w:rsidRPr="003917F7">
        <w:rPr>
          <w:noProof/>
          <w:lang w:val="fr-FR" w:eastAsia="es-BO"/>
        </w:rPr>
        <w:t xml:space="preserve"> et des populations et familles autochtones du Chaco, de l</w:t>
      </w:r>
      <w:r w:rsidR="00FB1114" w:rsidRPr="003917F7">
        <w:rPr>
          <w:noProof/>
          <w:lang w:val="fr-FR" w:eastAsia="es-BO"/>
        </w:rPr>
        <w:t>’</w:t>
      </w:r>
      <w:r w:rsidRPr="003917F7">
        <w:rPr>
          <w:noProof/>
          <w:lang w:val="fr-FR" w:eastAsia="es-BO"/>
        </w:rPr>
        <w:t>Amazonie et du nord de Santa Cruz, et notamment</w:t>
      </w:r>
      <w:r w:rsidR="00BD7F11" w:rsidRPr="003917F7">
        <w:rPr>
          <w:noProof/>
          <w:lang w:val="fr-FR" w:eastAsia="es-BO"/>
        </w:rPr>
        <w:t> </w:t>
      </w:r>
      <w:r w:rsidRPr="003917F7">
        <w:rPr>
          <w:noProof/>
          <w:lang w:val="fr-FR" w:eastAsia="es-BO"/>
        </w:rPr>
        <w:t>:</w:t>
      </w:r>
    </w:p>
    <w:p w:rsidR="00614A7E" w:rsidRPr="003917F7" w:rsidRDefault="00614A7E" w:rsidP="00614A7E">
      <w:pPr>
        <w:pStyle w:val="SingleTxtG"/>
        <w:ind w:firstLine="567"/>
        <w:rPr>
          <w:noProof/>
          <w:lang w:val="fr-FR" w:eastAsia="es-BO"/>
        </w:rPr>
      </w:pPr>
      <w:r w:rsidRPr="003917F7">
        <w:rPr>
          <w:noProof/>
          <w:lang w:val="fr-FR" w:eastAsia="es-BO"/>
        </w:rPr>
        <w:t>a)</w:t>
      </w:r>
      <w:r w:rsidRPr="003917F7">
        <w:rPr>
          <w:noProof/>
          <w:lang w:val="fr-FR" w:eastAsia="es-BO"/>
        </w:rPr>
        <w:tab/>
        <w:t>Entre 2010 et 2013</w:t>
      </w:r>
      <w:r w:rsidR="00581265" w:rsidRPr="003917F7">
        <w:rPr>
          <w:noProof/>
          <w:lang w:val="fr-FR" w:eastAsia="es-BO"/>
        </w:rPr>
        <w:t> </w:t>
      </w:r>
      <w:r w:rsidRPr="003917F7">
        <w:rPr>
          <w:noProof/>
          <w:lang w:val="fr-FR" w:eastAsia="es-BO"/>
        </w:rPr>
        <w:t>: le Programme de renforcement institutionnel dans le cadre d</w:t>
      </w:r>
      <w:r w:rsidR="00FB1114" w:rsidRPr="003917F7">
        <w:rPr>
          <w:noProof/>
          <w:lang w:val="fr-FR" w:eastAsia="es-BO"/>
        </w:rPr>
        <w:t>’</w:t>
      </w:r>
      <w:r w:rsidRPr="003917F7">
        <w:rPr>
          <w:noProof/>
          <w:lang w:val="fr-FR" w:eastAsia="es-BO"/>
        </w:rPr>
        <w:t>un accord subsidiaire spécifique conclu entre l</w:t>
      </w:r>
      <w:r w:rsidR="00FB1114" w:rsidRPr="003917F7">
        <w:rPr>
          <w:noProof/>
          <w:lang w:val="fr-FR" w:eastAsia="es-BO"/>
        </w:rPr>
        <w:t>’</w:t>
      </w:r>
      <w:r w:rsidRPr="003917F7">
        <w:rPr>
          <w:noProof/>
          <w:lang w:val="fr-FR" w:eastAsia="es-BO"/>
        </w:rPr>
        <w:t>État plurinational de Bolivie et le Gouvernement suisse au sujet de la composante</w:t>
      </w:r>
      <w:r w:rsidR="00581265" w:rsidRPr="003917F7">
        <w:rPr>
          <w:noProof/>
          <w:lang w:val="fr-FR" w:eastAsia="es-BO"/>
        </w:rPr>
        <w:t> </w:t>
      </w:r>
      <w:r w:rsidRPr="003917F7">
        <w:rPr>
          <w:noProof/>
          <w:lang w:val="fr-FR" w:eastAsia="es-BO"/>
        </w:rPr>
        <w:t>3 du Programme de renforcement institutionnel et signé le 20</w:t>
      </w:r>
      <w:r w:rsidR="00581265" w:rsidRPr="003917F7">
        <w:rPr>
          <w:noProof/>
          <w:lang w:val="fr-FR" w:eastAsia="es-BO"/>
        </w:rPr>
        <w:t> </w:t>
      </w:r>
      <w:r w:rsidRPr="003917F7">
        <w:rPr>
          <w:noProof/>
          <w:lang w:val="fr-FR" w:eastAsia="es-BO"/>
        </w:rPr>
        <w:t>décembre 2010 (annexe</w:t>
      </w:r>
      <w:r w:rsidR="00581265" w:rsidRPr="003917F7">
        <w:rPr>
          <w:noProof/>
          <w:lang w:val="fr-FR" w:eastAsia="es-BO"/>
        </w:rPr>
        <w:t> </w:t>
      </w:r>
      <w:r w:rsidRPr="003917F7">
        <w:rPr>
          <w:noProof/>
          <w:lang w:val="fr-FR" w:eastAsia="es-BO"/>
        </w:rPr>
        <w:t>82). Il s</w:t>
      </w:r>
      <w:r w:rsidR="00FB1114" w:rsidRPr="003917F7">
        <w:rPr>
          <w:noProof/>
          <w:lang w:val="fr-FR" w:eastAsia="es-BO"/>
        </w:rPr>
        <w:t>’</w:t>
      </w:r>
      <w:r w:rsidRPr="003917F7">
        <w:rPr>
          <w:noProof/>
          <w:lang w:val="fr-FR" w:eastAsia="es-BO"/>
        </w:rPr>
        <w:t>est agi de « faire reconnaître et garantir l</w:t>
      </w:r>
      <w:r w:rsidR="00FB1114" w:rsidRPr="003917F7">
        <w:rPr>
          <w:noProof/>
          <w:lang w:val="fr-FR" w:eastAsia="es-BO"/>
        </w:rPr>
        <w:t>’</w:t>
      </w:r>
      <w:r w:rsidRPr="003917F7">
        <w:rPr>
          <w:noProof/>
          <w:lang w:val="fr-FR" w:eastAsia="es-BO"/>
        </w:rPr>
        <w:t>exercice des droits du travail fondamentaux</w:t>
      </w:r>
      <w:r w:rsidR="00581265" w:rsidRPr="003917F7">
        <w:rPr>
          <w:noProof/>
          <w:lang w:val="fr-FR" w:eastAsia="es-BO"/>
        </w:rPr>
        <w:t> </w:t>
      </w:r>
      <w:r w:rsidRPr="003917F7">
        <w:rPr>
          <w:noProof/>
          <w:lang w:val="fr-FR" w:eastAsia="es-BO"/>
        </w:rPr>
        <w:t>», l</w:t>
      </w:r>
      <w:r w:rsidR="00FB1114" w:rsidRPr="003917F7">
        <w:rPr>
          <w:noProof/>
          <w:lang w:val="fr-FR" w:eastAsia="es-BO"/>
        </w:rPr>
        <w:t>’</w:t>
      </w:r>
      <w:r w:rsidRPr="003917F7">
        <w:rPr>
          <w:noProof/>
          <w:lang w:val="fr-FR" w:eastAsia="es-BO"/>
        </w:rPr>
        <w:t>objectif général étant de « mettre en œuvre des mesures qui contribuent à éliminer progressivement la servitude, le travail forcé et les autres formes analogues d</w:t>
      </w:r>
      <w:r w:rsidR="00FB1114" w:rsidRPr="003917F7">
        <w:rPr>
          <w:noProof/>
          <w:lang w:val="fr-FR" w:eastAsia="es-BO"/>
        </w:rPr>
        <w:t>’</w:t>
      </w:r>
      <w:r w:rsidRPr="003917F7">
        <w:rPr>
          <w:noProof/>
          <w:lang w:val="fr-FR" w:eastAsia="es-BO"/>
        </w:rPr>
        <w:t>exploitation du travail des travailleuses et travailleurs appartenant aux peuples autochtones et aux groupes particulièrement vulnérables, en garantissant la présence de l</w:t>
      </w:r>
      <w:r w:rsidR="00FB1114" w:rsidRPr="003917F7">
        <w:rPr>
          <w:noProof/>
          <w:lang w:val="fr-FR" w:eastAsia="es-BO"/>
        </w:rPr>
        <w:t>’</w:t>
      </w:r>
      <w:r w:rsidRPr="003917F7">
        <w:rPr>
          <w:noProof/>
          <w:lang w:val="fr-FR" w:eastAsia="es-BO"/>
        </w:rPr>
        <w:t>État par l</w:t>
      </w:r>
      <w:r w:rsidR="00FB1114" w:rsidRPr="003917F7">
        <w:rPr>
          <w:noProof/>
          <w:lang w:val="fr-FR" w:eastAsia="es-BO"/>
        </w:rPr>
        <w:t>’</w:t>
      </w:r>
      <w:r w:rsidRPr="003917F7">
        <w:rPr>
          <w:noProof/>
          <w:lang w:val="fr-FR" w:eastAsia="es-BO"/>
        </w:rPr>
        <w:t>intermédiaire du Ministère du travail, de l</w:t>
      </w:r>
      <w:r w:rsidR="00FB1114" w:rsidRPr="003917F7">
        <w:rPr>
          <w:noProof/>
          <w:lang w:val="fr-FR" w:eastAsia="es-BO"/>
        </w:rPr>
        <w:t>’</w:t>
      </w:r>
      <w:r w:rsidRPr="003917F7">
        <w:rPr>
          <w:noProof/>
          <w:lang w:val="fr-FR" w:eastAsia="es-BO"/>
        </w:rPr>
        <w:t xml:space="preserve">emploi et de la protection sociale, et en mettant en place des inspections dans les zones reculées du pays, afin de rétablir ces peuples et ces groupes dans leurs droits du travail et leurs droits sociaux. » Le budget de ce </w:t>
      </w:r>
      <w:r w:rsidR="003917F7">
        <w:rPr>
          <w:noProof/>
          <w:lang w:val="fr-FR" w:eastAsia="es-BO"/>
        </w:rPr>
        <w:t>p</w:t>
      </w:r>
      <w:r w:rsidRPr="003917F7">
        <w:rPr>
          <w:noProof/>
          <w:lang w:val="fr-FR" w:eastAsia="es-BO"/>
        </w:rPr>
        <w:t>rogramme, qui s</w:t>
      </w:r>
      <w:r w:rsidR="00FB1114" w:rsidRPr="003917F7">
        <w:rPr>
          <w:noProof/>
          <w:lang w:val="fr-FR" w:eastAsia="es-BO"/>
        </w:rPr>
        <w:t>’</w:t>
      </w:r>
      <w:r w:rsidRPr="003917F7">
        <w:rPr>
          <w:noProof/>
          <w:lang w:val="fr-FR" w:eastAsia="es-BO"/>
        </w:rPr>
        <w:t>est élevé à 2 170</w:t>
      </w:r>
      <w:r w:rsidR="00581265" w:rsidRPr="003917F7">
        <w:rPr>
          <w:noProof/>
          <w:lang w:val="fr-FR" w:eastAsia="es-BO"/>
        </w:rPr>
        <w:t> </w:t>
      </w:r>
      <w:r w:rsidRPr="003917F7">
        <w:rPr>
          <w:noProof/>
          <w:lang w:val="fr-FR" w:eastAsia="es-BO"/>
        </w:rPr>
        <w:t>006</w:t>
      </w:r>
      <w:r w:rsidR="00581265" w:rsidRPr="003917F7">
        <w:rPr>
          <w:noProof/>
          <w:lang w:val="fr-FR" w:eastAsia="es-BO"/>
        </w:rPr>
        <w:t> </w:t>
      </w:r>
      <w:r w:rsidRPr="003917F7">
        <w:rPr>
          <w:noProof/>
          <w:lang w:val="fr-FR" w:eastAsia="es-BO"/>
        </w:rPr>
        <w:t>bolivianos, a été financé par l</w:t>
      </w:r>
      <w:r w:rsidR="00FB1114" w:rsidRPr="003917F7">
        <w:rPr>
          <w:noProof/>
          <w:lang w:val="fr-FR" w:eastAsia="es-BO"/>
        </w:rPr>
        <w:t>’</w:t>
      </w:r>
      <w:r w:rsidRPr="003917F7">
        <w:rPr>
          <w:noProof/>
          <w:lang w:val="fr-FR" w:eastAsia="es-BO"/>
        </w:rPr>
        <w:t>État bolivien à hauteur de 29,62</w:t>
      </w:r>
      <w:r w:rsidR="00581265" w:rsidRPr="003917F7">
        <w:rPr>
          <w:noProof/>
          <w:lang w:val="fr-FR" w:eastAsia="es-BO"/>
        </w:rPr>
        <w:t> </w:t>
      </w:r>
      <w:r w:rsidRPr="003917F7">
        <w:rPr>
          <w:noProof/>
          <w:lang w:val="fr-FR" w:eastAsia="es-BO"/>
        </w:rPr>
        <w:t>% et par l</w:t>
      </w:r>
      <w:r w:rsidR="00FB1114" w:rsidRPr="003917F7">
        <w:rPr>
          <w:noProof/>
          <w:lang w:val="fr-FR" w:eastAsia="es-BO"/>
        </w:rPr>
        <w:t>’</w:t>
      </w:r>
      <w:r w:rsidRPr="003917F7">
        <w:rPr>
          <w:noProof/>
          <w:lang w:val="fr-FR" w:eastAsia="es-BO"/>
        </w:rPr>
        <w:t>État suisse pour 70,38</w:t>
      </w:r>
      <w:r w:rsidR="00581265" w:rsidRPr="003917F7">
        <w:rPr>
          <w:noProof/>
          <w:lang w:val="fr-FR" w:eastAsia="es-BO"/>
        </w:rPr>
        <w:t> </w:t>
      </w:r>
      <w:r w:rsidRPr="003917F7">
        <w:rPr>
          <w:noProof/>
          <w:lang w:val="fr-FR" w:eastAsia="es-BO"/>
        </w:rPr>
        <w:t>%. Entre 2010 et 2013, l</w:t>
      </w:r>
      <w:r w:rsidR="00FB1114" w:rsidRPr="003917F7">
        <w:rPr>
          <w:noProof/>
          <w:lang w:val="fr-FR" w:eastAsia="es-BO"/>
        </w:rPr>
        <w:t>’</w:t>
      </w:r>
      <w:r w:rsidRPr="003917F7">
        <w:rPr>
          <w:noProof/>
          <w:lang w:val="fr-FR" w:eastAsia="es-BO"/>
        </w:rPr>
        <w:t xml:space="preserve">exécution du </w:t>
      </w:r>
      <w:r w:rsidR="003917F7">
        <w:rPr>
          <w:noProof/>
          <w:lang w:val="fr-FR" w:eastAsia="es-BO"/>
        </w:rPr>
        <w:t>p</w:t>
      </w:r>
      <w:r w:rsidRPr="003917F7">
        <w:rPr>
          <w:noProof/>
          <w:lang w:val="fr-FR" w:eastAsia="es-BO"/>
        </w:rPr>
        <w:t>rogramme a donné les résultats suivants</w:t>
      </w:r>
      <w:r w:rsidR="000B475F" w:rsidRPr="003917F7">
        <w:rPr>
          <w:noProof/>
          <w:lang w:val="fr-FR" w:eastAsia="es-BO"/>
        </w:rPr>
        <w:t> </w:t>
      </w:r>
      <w:r w:rsidRPr="003917F7">
        <w:rPr>
          <w:noProof/>
          <w:lang w:val="fr-FR" w:eastAsia="es-BO"/>
        </w:rPr>
        <w:t>:</w:t>
      </w:r>
    </w:p>
    <w:p w:rsidR="00614A7E" w:rsidRPr="00E81692" w:rsidRDefault="00614A7E" w:rsidP="00A37AE2">
      <w:pPr>
        <w:pStyle w:val="Bullet2G"/>
        <w:rPr>
          <w:noProof/>
          <w:lang w:val="fr-FR" w:eastAsia="es-BO"/>
        </w:rPr>
      </w:pPr>
      <w:r w:rsidRPr="003917F7">
        <w:rPr>
          <w:noProof/>
          <w:lang w:val="fr-FR" w:eastAsia="es-BO"/>
        </w:rPr>
        <w:t>313</w:t>
      </w:r>
      <w:r w:rsidR="00DE3DA8" w:rsidRPr="003917F7">
        <w:rPr>
          <w:noProof/>
          <w:lang w:val="fr-FR" w:eastAsia="es-BO"/>
        </w:rPr>
        <w:t> </w:t>
      </w:r>
      <w:r w:rsidRPr="003917F7">
        <w:rPr>
          <w:noProof/>
          <w:lang w:val="fr-FR" w:eastAsia="es-BO"/>
        </w:rPr>
        <w:t>i</w:t>
      </w:r>
      <w:r w:rsidRPr="003917F7">
        <w:rPr>
          <w:noProof/>
          <w:lang w:val="fr-FR"/>
        </w:rPr>
        <w:t>nspections réalisées dans les haciendas et les élevages</w:t>
      </w:r>
      <w:r w:rsidRPr="00E81692">
        <w:rPr>
          <w:noProof/>
          <w:lang w:val="fr-FR"/>
        </w:rPr>
        <w:t xml:space="preserve"> du Chaco, de l</w:t>
      </w:r>
      <w:r w:rsidR="00FB1114">
        <w:rPr>
          <w:noProof/>
          <w:lang w:val="fr-FR"/>
        </w:rPr>
        <w:t>’</w:t>
      </w:r>
      <w:r w:rsidRPr="00E81692">
        <w:rPr>
          <w:noProof/>
          <w:lang w:val="fr-FR"/>
        </w:rPr>
        <w:t>Amazonie et du Nord intégré</w:t>
      </w:r>
      <w:r w:rsidR="00A37AE2">
        <w:rPr>
          <w:noProof/>
          <w:lang w:val="fr-FR"/>
        </w:rPr>
        <w:t> ;</w:t>
      </w:r>
    </w:p>
    <w:p w:rsidR="00614A7E" w:rsidRPr="00E81692" w:rsidRDefault="00614A7E" w:rsidP="00614A7E">
      <w:pPr>
        <w:pStyle w:val="Bullet2G"/>
        <w:numPr>
          <w:ilvl w:val="0"/>
          <w:numId w:val="0"/>
        </w:numPr>
        <w:tabs>
          <w:tab w:val="left" w:pos="2268"/>
        </w:tabs>
        <w:ind w:left="2268" w:hanging="170"/>
        <w:rPr>
          <w:noProof/>
          <w:lang w:val="fr-FR" w:eastAsia="es-BO"/>
        </w:rPr>
      </w:pPr>
      <w:r w:rsidRPr="00E81692">
        <w:rPr>
          <w:noProof/>
          <w:lang w:val="fr-FR" w:eastAsia="es-BO"/>
        </w:rPr>
        <w:t>•</w:t>
      </w:r>
      <w:r w:rsidRPr="00E81692">
        <w:rPr>
          <w:noProof/>
          <w:lang w:val="fr-FR" w:eastAsia="es-BO"/>
        </w:rPr>
        <w:tab/>
        <w:t>285</w:t>
      </w:r>
      <w:r w:rsidR="00DE3DA8">
        <w:rPr>
          <w:noProof/>
          <w:lang w:val="fr-FR" w:eastAsia="es-BO"/>
        </w:rPr>
        <w:t> </w:t>
      </w:r>
      <w:r w:rsidRPr="00E81692">
        <w:rPr>
          <w:noProof/>
          <w:lang w:val="fr-FR" w:eastAsia="es-BO"/>
        </w:rPr>
        <w:t>a</w:t>
      </w:r>
      <w:r w:rsidRPr="00E81692">
        <w:rPr>
          <w:noProof/>
          <w:lang w:val="fr-FR"/>
        </w:rPr>
        <w:t>udiences portant sur le règlement des litiges relatifs au licenciement</w:t>
      </w:r>
      <w:r w:rsidR="00A37AE2">
        <w:rPr>
          <w:noProof/>
          <w:lang w:val="fr-FR"/>
        </w:rPr>
        <w:t> </w:t>
      </w:r>
      <w:r w:rsidR="00A37AE2">
        <w:rPr>
          <w:noProof/>
          <w:lang w:val="fr-FR" w:eastAsia="es-BO"/>
        </w:rPr>
        <w:t>;</w:t>
      </w:r>
    </w:p>
    <w:p w:rsidR="00614A7E" w:rsidRPr="00E81692" w:rsidRDefault="00614A7E" w:rsidP="00614A7E">
      <w:pPr>
        <w:pStyle w:val="Bullet2G"/>
        <w:numPr>
          <w:ilvl w:val="0"/>
          <w:numId w:val="0"/>
        </w:numPr>
        <w:tabs>
          <w:tab w:val="left" w:pos="2268"/>
        </w:tabs>
        <w:ind w:left="2268" w:hanging="170"/>
        <w:rPr>
          <w:noProof/>
          <w:lang w:val="fr-FR" w:eastAsia="es-BO"/>
        </w:rPr>
      </w:pPr>
      <w:r w:rsidRPr="00E81692">
        <w:rPr>
          <w:noProof/>
          <w:lang w:val="fr-FR" w:eastAsia="es-BO"/>
        </w:rPr>
        <w:t>•</w:t>
      </w:r>
      <w:r w:rsidRPr="00E81692">
        <w:rPr>
          <w:noProof/>
          <w:lang w:val="fr-FR" w:eastAsia="es-BO"/>
        </w:rPr>
        <w:tab/>
        <w:t>1</w:t>
      </w:r>
      <w:r w:rsidR="008B375A">
        <w:rPr>
          <w:noProof/>
          <w:lang w:val="fr-FR" w:eastAsia="es-BO"/>
        </w:rPr>
        <w:t> </w:t>
      </w:r>
      <w:r w:rsidRPr="00E81692">
        <w:rPr>
          <w:noProof/>
          <w:lang w:val="fr-FR" w:eastAsia="es-BO"/>
        </w:rPr>
        <w:t>764</w:t>
      </w:r>
      <w:r w:rsidR="008B375A">
        <w:rPr>
          <w:noProof/>
          <w:lang w:val="fr-FR" w:eastAsia="es-BO"/>
        </w:rPr>
        <w:t> </w:t>
      </w:r>
      <w:r w:rsidRPr="00E81692">
        <w:rPr>
          <w:noProof/>
          <w:lang w:val="fr-FR" w:eastAsia="es-BO"/>
        </w:rPr>
        <w:t xml:space="preserve">travailleurs </w:t>
      </w:r>
      <w:r w:rsidRPr="00E81692">
        <w:rPr>
          <w:noProof/>
          <w:lang w:val="fr-FR"/>
        </w:rPr>
        <w:t>appartenant aux peuples autochtones originaires</w:t>
      </w:r>
      <w:r w:rsidRPr="00E81692">
        <w:rPr>
          <w:noProof/>
          <w:lang w:val="fr-FR" w:eastAsia="es-BO"/>
        </w:rPr>
        <w:t xml:space="preserve"> ont participé à des </w:t>
      </w:r>
      <w:r w:rsidRPr="00E81692">
        <w:rPr>
          <w:noProof/>
          <w:lang w:val="fr-FR"/>
        </w:rPr>
        <w:t>événements de présentation et de diffusion des droits sociaux et professionnels</w:t>
      </w:r>
      <w:r w:rsidR="00A37AE2">
        <w:rPr>
          <w:noProof/>
          <w:lang w:val="fr-FR"/>
        </w:rPr>
        <w:t> </w:t>
      </w:r>
      <w:r w:rsidR="00A37AE2">
        <w:rPr>
          <w:noProof/>
          <w:lang w:val="fr-FR" w:eastAsia="es-BO"/>
        </w:rPr>
        <w:t>;</w:t>
      </w:r>
    </w:p>
    <w:p w:rsidR="00614A7E" w:rsidRPr="00E81692" w:rsidRDefault="00614A7E" w:rsidP="00614A7E">
      <w:pPr>
        <w:pStyle w:val="Bullet2G"/>
        <w:numPr>
          <w:ilvl w:val="0"/>
          <w:numId w:val="0"/>
        </w:numPr>
        <w:tabs>
          <w:tab w:val="left" w:pos="2268"/>
        </w:tabs>
        <w:ind w:left="2268" w:hanging="170"/>
        <w:rPr>
          <w:noProof/>
          <w:lang w:val="fr-FR" w:eastAsia="es-BO"/>
        </w:rPr>
      </w:pPr>
      <w:r w:rsidRPr="00E81692">
        <w:rPr>
          <w:noProof/>
          <w:lang w:val="fr-FR" w:eastAsia="es-BO"/>
        </w:rPr>
        <w:t>•</w:t>
      </w:r>
      <w:r w:rsidRPr="00E81692">
        <w:rPr>
          <w:noProof/>
          <w:lang w:val="fr-FR" w:eastAsia="es-BO"/>
        </w:rPr>
        <w:tab/>
        <w:t>3</w:t>
      </w:r>
      <w:r w:rsidR="008B375A">
        <w:rPr>
          <w:noProof/>
          <w:lang w:val="fr-FR" w:eastAsia="es-BO"/>
        </w:rPr>
        <w:t> </w:t>
      </w:r>
      <w:r w:rsidRPr="00E81692">
        <w:rPr>
          <w:noProof/>
          <w:lang w:val="fr-FR" w:eastAsia="es-BO"/>
        </w:rPr>
        <w:t>925</w:t>
      </w:r>
      <w:r w:rsidR="008B375A">
        <w:rPr>
          <w:noProof/>
          <w:lang w:val="fr-FR" w:eastAsia="es-BO"/>
        </w:rPr>
        <w:t> </w:t>
      </w:r>
      <w:r w:rsidRPr="00E81692">
        <w:rPr>
          <w:noProof/>
          <w:lang w:val="fr-FR" w:eastAsia="es-BO"/>
        </w:rPr>
        <w:t xml:space="preserve">travailleurs </w:t>
      </w:r>
      <w:r w:rsidRPr="00E81692">
        <w:rPr>
          <w:noProof/>
          <w:lang w:val="fr-FR"/>
        </w:rPr>
        <w:t>pris en charge pour l</w:t>
      </w:r>
      <w:r w:rsidR="00FB1114">
        <w:rPr>
          <w:noProof/>
          <w:lang w:val="fr-FR"/>
        </w:rPr>
        <w:t>’</w:t>
      </w:r>
      <w:r w:rsidRPr="00E81692">
        <w:rPr>
          <w:noProof/>
          <w:lang w:val="fr-FR"/>
        </w:rPr>
        <w:t>exercice de leurs droits sociaux et professionnels</w:t>
      </w:r>
      <w:r w:rsidR="00A37AE2">
        <w:rPr>
          <w:noProof/>
          <w:lang w:val="fr-FR"/>
        </w:rPr>
        <w:t> </w:t>
      </w:r>
      <w:r w:rsidR="00A37AE2">
        <w:rPr>
          <w:noProof/>
          <w:lang w:val="fr-FR" w:eastAsia="es-BO"/>
        </w:rPr>
        <w:t>;</w:t>
      </w:r>
    </w:p>
    <w:p w:rsidR="00614A7E" w:rsidRPr="00E81692" w:rsidRDefault="00614A7E" w:rsidP="00614A7E">
      <w:pPr>
        <w:pStyle w:val="Bullet2G"/>
        <w:numPr>
          <w:ilvl w:val="0"/>
          <w:numId w:val="0"/>
        </w:numPr>
        <w:tabs>
          <w:tab w:val="left" w:pos="2268"/>
        </w:tabs>
        <w:ind w:left="2268" w:hanging="170"/>
        <w:rPr>
          <w:noProof/>
          <w:lang w:val="fr-FR" w:eastAsia="es-BO"/>
        </w:rPr>
      </w:pPr>
      <w:r w:rsidRPr="00E81692">
        <w:rPr>
          <w:noProof/>
          <w:lang w:val="fr-FR" w:eastAsia="es-BO"/>
        </w:rPr>
        <w:lastRenderedPageBreak/>
        <w:t>•</w:t>
      </w:r>
      <w:r w:rsidRPr="00E81692">
        <w:rPr>
          <w:noProof/>
          <w:lang w:val="fr-FR" w:eastAsia="es-BO"/>
        </w:rPr>
        <w:tab/>
        <w:t>Des indemnités d</w:t>
      </w:r>
      <w:r w:rsidR="00FB1114">
        <w:rPr>
          <w:noProof/>
          <w:lang w:val="fr-FR" w:eastAsia="es-BO"/>
        </w:rPr>
        <w:t>’</w:t>
      </w:r>
      <w:r w:rsidRPr="00E81692">
        <w:rPr>
          <w:noProof/>
          <w:lang w:val="fr-FR" w:eastAsia="es-BO"/>
        </w:rPr>
        <w:t>un montant de 2</w:t>
      </w:r>
      <w:r w:rsidR="00A37AE2">
        <w:rPr>
          <w:noProof/>
          <w:lang w:val="fr-FR" w:eastAsia="es-BO"/>
        </w:rPr>
        <w:t> </w:t>
      </w:r>
      <w:r w:rsidRPr="00E81692">
        <w:rPr>
          <w:noProof/>
          <w:lang w:val="fr-FR" w:eastAsia="es-BO"/>
        </w:rPr>
        <w:t>660</w:t>
      </w:r>
      <w:r w:rsidR="00A37AE2">
        <w:rPr>
          <w:noProof/>
          <w:lang w:val="fr-FR" w:eastAsia="es-BO"/>
        </w:rPr>
        <w:t> </w:t>
      </w:r>
      <w:r w:rsidRPr="00E81692">
        <w:rPr>
          <w:noProof/>
          <w:lang w:val="fr-FR" w:eastAsia="es-BO"/>
        </w:rPr>
        <w:t>032</w:t>
      </w:r>
      <w:r w:rsidR="00A37AE2">
        <w:rPr>
          <w:noProof/>
          <w:lang w:val="fr-FR" w:eastAsia="es-BO"/>
        </w:rPr>
        <w:t> </w:t>
      </w:r>
      <w:r w:rsidRPr="00E81692">
        <w:rPr>
          <w:noProof/>
          <w:lang w:val="fr-FR" w:eastAsia="es-BO"/>
        </w:rPr>
        <w:t>bolivianos ont été versées aux salariés</w:t>
      </w:r>
      <w:r w:rsidR="00A37AE2">
        <w:rPr>
          <w:noProof/>
          <w:lang w:val="fr-FR" w:eastAsia="es-BO"/>
        </w:rPr>
        <w:t> ;</w:t>
      </w:r>
    </w:p>
    <w:p w:rsidR="00614A7E" w:rsidRPr="00DF456A" w:rsidRDefault="00614A7E" w:rsidP="00614A7E">
      <w:pPr>
        <w:pStyle w:val="Bullet2G"/>
        <w:numPr>
          <w:ilvl w:val="0"/>
          <w:numId w:val="0"/>
        </w:numPr>
        <w:tabs>
          <w:tab w:val="left" w:pos="2268"/>
        </w:tabs>
        <w:ind w:left="2268" w:hanging="170"/>
        <w:rPr>
          <w:noProof/>
          <w:lang w:val="fr-FR" w:eastAsia="es-BO"/>
        </w:rPr>
      </w:pPr>
      <w:r w:rsidRPr="00DF456A">
        <w:rPr>
          <w:noProof/>
          <w:lang w:val="fr-FR" w:eastAsia="es-BO"/>
        </w:rPr>
        <w:t>•</w:t>
      </w:r>
      <w:r w:rsidRPr="00DF456A">
        <w:rPr>
          <w:noProof/>
          <w:lang w:val="fr-FR" w:eastAsia="es-BO"/>
        </w:rPr>
        <w:tab/>
      </w:r>
      <w:r w:rsidRPr="00E81692">
        <w:rPr>
          <w:noProof/>
          <w:lang w:val="fr-FR" w:eastAsia="es-BO"/>
        </w:rPr>
        <w:t>17</w:t>
      </w:r>
      <w:r w:rsidR="00A37AE2">
        <w:rPr>
          <w:noProof/>
          <w:lang w:val="fr-FR" w:eastAsia="es-BO"/>
        </w:rPr>
        <w:t> </w:t>
      </w:r>
      <w:r w:rsidRPr="00E81692">
        <w:rPr>
          <w:noProof/>
          <w:lang w:val="fr-FR" w:eastAsia="es-BO"/>
        </w:rPr>
        <w:t>entreprises agricoles inscrites au Registre obligatoire</w:t>
      </w:r>
      <w:r>
        <w:rPr>
          <w:noProof/>
          <w:lang w:val="fr-FR" w:eastAsia="es-BO"/>
        </w:rPr>
        <w:t xml:space="preserve"> des employeurs</w:t>
      </w:r>
      <w:r w:rsidRPr="00DF456A">
        <w:rPr>
          <w:noProof/>
          <w:lang w:val="fr-FR" w:eastAsia="es-BO"/>
        </w:rPr>
        <w:t>.</w:t>
      </w:r>
    </w:p>
    <w:p w:rsidR="00614A7E" w:rsidRPr="00DF456A" w:rsidRDefault="00614A7E" w:rsidP="00614A7E">
      <w:pPr>
        <w:pStyle w:val="SingleTxtG"/>
        <w:ind w:firstLine="567"/>
        <w:rPr>
          <w:noProof/>
          <w:lang w:val="fr-FR" w:eastAsia="es-BO"/>
        </w:rPr>
      </w:pPr>
      <w:r w:rsidRPr="00DF456A">
        <w:rPr>
          <w:noProof/>
          <w:lang w:val="fr-FR" w:eastAsia="es-BO"/>
        </w:rPr>
        <w:t>b)</w:t>
      </w:r>
      <w:r w:rsidRPr="00DF456A">
        <w:rPr>
          <w:noProof/>
          <w:lang w:val="fr-FR" w:eastAsia="es-BO"/>
        </w:rPr>
        <w:tab/>
      </w:r>
      <w:r w:rsidRPr="00DF456A">
        <w:rPr>
          <w:bCs/>
          <w:noProof/>
          <w:lang w:val="fr-FR" w:eastAsia="es-BO"/>
        </w:rPr>
        <w:t>Pro</w:t>
      </w:r>
      <w:r>
        <w:rPr>
          <w:bCs/>
          <w:noProof/>
          <w:lang w:val="fr-FR" w:eastAsia="es-BO"/>
        </w:rPr>
        <w:t xml:space="preserve">jet </w:t>
      </w:r>
      <w:r w:rsidRPr="00DF456A">
        <w:rPr>
          <w:bCs/>
          <w:noProof/>
          <w:lang w:val="fr-FR" w:eastAsia="es-BO"/>
        </w:rPr>
        <w:t>COSUDE</w:t>
      </w:r>
      <w:r>
        <w:rPr>
          <w:bCs/>
          <w:noProof/>
          <w:lang w:val="fr-FR" w:eastAsia="es-BO"/>
        </w:rPr>
        <w:t xml:space="preserve"> intitulé</w:t>
      </w:r>
      <w:r w:rsidRPr="00DF456A">
        <w:rPr>
          <w:bCs/>
          <w:noProof/>
          <w:lang w:val="fr-FR" w:eastAsia="es-BO"/>
        </w:rPr>
        <w:t xml:space="preserve"> </w:t>
      </w:r>
      <w:r w:rsidRPr="00AF19E6">
        <w:rPr>
          <w:bCs/>
          <w:noProof/>
          <w:lang w:val="fr-FR" w:eastAsia="es-BO"/>
        </w:rPr>
        <w:t>« Élimination progressive du travail forcé et d</w:t>
      </w:r>
      <w:r w:rsidR="00FB1114" w:rsidRPr="00AF19E6">
        <w:rPr>
          <w:bCs/>
          <w:noProof/>
          <w:lang w:val="fr-FR" w:eastAsia="es-BO"/>
        </w:rPr>
        <w:t>’</w:t>
      </w:r>
      <w:r w:rsidRPr="00AF19E6">
        <w:rPr>
          <w:bCs/>
          <w:noProof/>
          <w:lang w:val="fr-FR" w:eastAsia="es-BO"/>
        </w:rPr>
        <w:t>autres formes analogues d</w:t>
      </w:r>
      <w:r w:rsidR="00FB1114" w:rsidRPr="00AF19E6">
        <w:rPr>
          <w:bCs/>
          <w:noProof/>
          <w:lang w:val="fr-FR" w:eastAsia="es-BO"/>
        </w:rPr>
        <w:t>’</w:t>
      </w:r>
      <w:r w:rsidRPr="00AF19E6">
        <w:rPr>
          <w:bCs/>
          <w:noProof/>
          <w:lang w:val="fr-FR" w:eastAsia="es-BO"/>
        </w:rPr>
        <w:t xml:space="preserve">exploitation du travail parmi les familles autochtones du </w:t>
      </w:r>
      <w:r w:rsidRPr="00AF19E6">
        <w:rPr>
          <w:noProof/>
          <w:lang w:val="fr-FR" w:eastAsia="es-BO"/>
        </w:rPr>
        <w:t>Chaco, d</w:t>
      </w:r>
      <w:r w:rsidR="00FB1114" w:rsidRPr="00AF19E6">
        <w:rPr>
          <w:noProof/>
          <w:lang w:val="fr-FR" w:eastAsia="es-BO"/>
        </w:rPr>
        <w:t>’</w:t>
      </w:r>
      <w:r w:rsidRPr="00AF19E6">
        <w:rPr>
          <w:noProof/>
          <w:lang w:val="fr-FR" w:eastAsia="es-BO"/>
        </w:rPr>
        <w:t xml:space="preserve">Amazonie et du </w:t>
      </w:r>
      <w:r w:rsidR="00AF19E6" w:rsidRPr="00AF19E6">
        <w:rPr>
          <w:noProof/>
          <w:lang w:val="fr-FR" w:eastAsia="es-BO"/>
        </w:rPr>
        <w:t>Nord</w:t>
      </w:r>
      <w:r w:rsidRPr="00AF19E6">
        <w:rPr>
          <w:noProof/>
          <w:lang w:val="fr-FR" w:eastAsia="es-BO"/>
        </w:rPr>
        <w:t xml:space="preserve"> intégré de Santa Cruz », adopté</w:t>
      </w:r>
      <w:r>
        <w:rPr>
          <w:noProof/>
          <w:lang w:val="fr-FR" w:eastAsia="es-BO"/>
        </w:rPr>
        <w:t xml:space="preserve"> par l</w:t>
      </w:r>
      <w:r w:rsidR="00FB1114">
        <w:rPr>
          <w:noProof/>
          <w:lang w:val="fr-FR" w:eastAsia="es-BO"/>
        </w:rPr>
        <w:t>’</w:t>
      </w:r>
      <w:r>
        <w:rPr>
          <w:noProof/>
          <w:lang w:val="fr-FR" w:eastAsia="es-BO"/>
        </w:rPr>
        <w:t xml:space="preserve">arrêté ministériel </w:t>
      </w:r>
      <w:r w:rsidR="00A37AE2" w:rsidRPr="00AD55D6">
        <w:rPr>
          <w:rFonts w:eastAsia="MS Mincho"/>
          <w:noProof/>
          <w:szCs w:val="22"/>
          <w:lang w:val="fr-FR" w:eastAsia="es-BO"/>
        </w:rPr>
        <w:t>n</w:t>
      </w:r>
      <w:r w:rsidR="00A37AE2" w:rsidRPr="00AD55D6">
        <w:rPr>
          <w:rFonts w:eastAsia="MS Mincho"/>
          <w:noProof/>
          <w:szCs w:val="22"/>
          <w:vertAlign w:val="superscript"/>
          <w:lang w:val="fr-FR" w:eastAsia="es-BO"/>
        </w:rPr>
        <w:t>o</w:t>
      </w:r>
      <w:r w:rsidR="00A37AE2">
        <w:rPr>
          <w:noProof/>
          <w:lang w:val="fr-FR" w:eastAsia="es-BO"/>
        </w:rPr>
        <w:t> </w:t>
      </w:r>
      <w:r w:rsidRPr="00DF456A">
        <w:rPr>
          <w:noProof/>
          <w:lang w:val="fr-FR" w:eastAsia="es-BO"/>
        </w:rPr>
        <w:t>087/15</w:t>
      </w:r>
      <w:r>
        <w:rPr>
          <w:noProof/>
          <w:lang w:val="fr-FR" w:eastAsia="es-BO"/>
        </w:rPr>
        <w:t>, et signature de l</w:t>
      </w:r>
      <w:r w:rsidR="00FB1114">
        <w:rPr>
          <w:noProof/>
          <w:lang w:val="fr-FR" w:eastAsia="es-BO"/>
        </w:rPr>
        <w:t>’</w:t>
      </w:r>
      <w:r>
        <w:rPr>
          <w:noProof/>
          <w:lang w:val="fr-FR" w:eastAsia="es-BO"/>
        </w:rPr>
        <w:t xml:space="preserve">accord </w:t>
      </w:r>
      <w:r w:rsidR="00D97AFF" w:rsidRPr="00AD55D6">
        <w:rPr>
          <w:rFonts w:eastAsia="MS Mincho"/>
          <w:noProof/>
          <w:szCs w:val="22"/>
          <w:lang w:val="fr-FR" w:eastAsia="es-BO"/>
        </w:rPr>
        <w:t>n</w:t>
      </w:r>
      <w:r w:rsidR="00D97AFF" w:rsidRPr="00AD55D6">
        <w:rPr>
          <w:rFonts w:eastAsia="MS Mincho"/>
          <w:noProof/>
          <w:szCs w:val="22"/>
          <w:vertAlign w:val="superscript"/>
          <w:lang w:val="fr-FR" w:eastAsia="es-BO"/>
        </w:rPr>
        <w:t>o</w:t>
      </w:r>
      <w:r w:rsidR="00D97AFF">
        <w:rPr>
          <w:noProof/>
          <w:lang w:val="fr-FR" w:eastAsia="es-BO"/>
        </w:rPr>
        <w:t> </w:t>
      </w:r>
      <w:r w:rsidRPr="00DF456A">
        <w:rPr>
          <w:noProof/>
          <w:lang w:val="fr-FR" w:eastAsia="es-BO"/>
        </w:rPr>
        <w:t xml:space="preserve">81026161 </w:t>
      </w:r>
      <w:r>
        <w:rPr>
          <w:noProof/>
          <w:lang w:val="fr-FR" w:eastAsia="es-BO"/>
        </w:rPr>
        <w:t xml:space="preserve">conclu </w:t>
      </w:r>
      <w:r w:rsidRPr="00DF456A">
        <w:rPr>
          <w:noProof/>
          <w:lang w:val="fr-FR" w:eastAsia="es-BO"/>
        </w:rPr>
        <w:t xml:space="preserve">entre </w:t>
      </w:r>
      <w:r>
        <w:rPr>
          <w:noProof/>
          <w:lang w:val="fr-FR" w:eastAsia="es-BO"/>
        </w:rPr>
        <w:t xml:space="preserve">la Bolivie et le Gouvernement suisse, entré en vigueur le </w:t>
      </w:r>
      <w:r w:rsidRPr="00DF456A">
        <w:rPr>
          <w:noProof/>
          <w:lang w:val="fr-FR" w:eastAsia="es-BO"/>
        </w:rPr>
        <w:t>31</w:t>
      </w:r>
      <w:r w:rsidR="00436C5B">
        <w:rPr>
          <w:noProof/>
          <w:lang w:val="fr-FR" w:eastAsia="es-BO"/>
        </w:rPr>
        <w:t> </w:t>
      </w:r>
      <w:r w:rsidRPr="00DF456A">
        <w:rPr>
          <w:noProof/>
          <w:lang w:val="fr-FR" w:eastAsia="es-BO"/>
        </w:rPr>
        <w:t>d</w:t>
      </w:r>
      <w:r>
        <w:rPr>
          <w:noProof/>
          <w:lang w:val="fr-FR" w:eastAsia="es-BO"/>
        </w:rPr>
        <w:t>éc</w:t>
      </w:r>
      <w:r w:rsidRPr="00DF456A">
        <w:rPr>
          <w:noProof/>
          <w:lang w:val="fr-FR" w:eastAsia="es-BO"/>
        </w:rPr>
        <w:t>embre 2015 (</w:t>
      </w:r>
      <w:r>
        <w:rPr>
          <w:noProof/>
          <w:lang w:val="fr-FR" w:eastAsia="es-BO"/>
        </w:rPr>
        <w:t>annexe</w:t>
      </w:r>
      <w:r w:rsidR="00436C5B">
        <w:rPr>
          <w:noProof/>
          <w:lang w:val="fr-FR" w:eastAsia="es-BO"/>
        </w:rPr>
        <w:t> </w:t>
      </w:r>
      <w:r w:rsidRPr="00DF456A">
        <w:rPr>
          <w:noProof/>
          <w:lang w:val="fr-FR" w:eastAsia="es-BO"/>
        </w:rPr>
        <w:t>83)</w:t>
      </w:r>
      <w:r w:rsidR="00436C5B">
        <w:rPr>
          <w:noProof/>
          <w:lang w:val="fr-FR" w:eastAsia="es-BO"/>
        </w:rPr>
        <w:t> </w:t>
      </w:r>
      <w:r w:rsidRPr="00DF456A">
        <w:rPr>
          <w:noProof/>
          <w:lang w:val="fr-FR" w:eastAsia="es-BO"/>
        </w:rPr>
        <w:t xml:space="preserve">; </w:t>
      </w:r>
      <w:r>
        <w:rPr>
          <w:noProof/>
          <w:lang w:val="fr-FR" w:eastAsia="es-BO"/>
        </w:rPr>
        <w:t>le projet dispose pour son exécution d</w:t>
      </w:r>
      <w:r w:rsidR="00FB1114">
        <w:rPr>
          <w:noProof/>
          <w:lang w:val="fr-FR" w:eastAsia="es-BO"/>
        </w:rPr>
        <w:t>’</w:t>
      </w:r>
      <w:r>
        <w:rPr>
          <w:noProof/>
          <w:lang w:val="fr-FR" w:eastAsia="es-BO"/>
        </w:rPr>
        <w:t xml:space="preserve">un budget total de </w:t>
      </w:r>
      <w:r w:rsidRPr="00DF456A">
        <w:rPr>
          <w:noProof/>
          <w:lang w:val="fr-FR" w:eastAsia="es-BO"/>
        </w:rPr>
        <w:t>2</w:t>
      </w:r>
      <w:r w:rsidR="00436C5B">
        <w:rPr>
          <w:noProof/>
          <w:lang w:val="fr-FR" w:eastAsia="es-BO"/>
        </w:rPr>
        <w:t> </w:t>
      </w:r>
      <w:r w:rsidRPr="00DF456A">
        <w:rPr>
          <w:noProof/>
          <w:lang w:val="fr-FR" w:eastAsia="es-BO"/>
        </w:rPr>
        <w:t>147</w:t>
      </w:r>
      <w:r w:rsidR="00436C5B">
        <w:rPr>
          <w:noProof/>
          <w:lang w:val="fr-FR" w:eastAsia="es-BO"/>
        </w:rPr>
        <w:t> </w:t>
      </w:r>
      <w:r w:rsidRPr="00DF456A">
        <w:rPr>
          <w:noProof/>
          <w:lang w:val="fr-FR" w:eastAsia="es-BO"/>
        </w:rPr>
        <w:t>764,00</w:t>
      </w:r>
      <w:r w:rsidR="00436C5B">
        <w:rPr>
          <w:noProof/>
          <w:lang w:val="fr-FR" w:eastAsia="es-BO"/>
        </w:rPr>
        <w:t> </w:t>
      </w:r>
      <w:r>
        <w:rPr>
          <w:noProof/>
          <w:lang w:val="fr-FR" w:eastAsia="es-BO"/>
        </w:rPr>
        <w:t>bolivianos, financé par la Suisse à hauteur de</w:t>
      </w:r>
      <w:r w:rsidRPr="00DF456A">
        <w:rPr>
          <w:noProof/>
          <w:lang w:val="fr-FR" w:eastAsia="es-BO"/>
        </w:rPr>
        <w:t xml:space="preserve"> de 1</w:t>
      </w:r>
      <w:r w:rsidR="00436C5B">
        <w:rPr>
          <w:noProof/>
          <w:lang w:val="fr-FR" w:eastAsia="es-BO"/>
        </w:rPr>
        <w:t> </w:t>
      </w:r>
      <w:r w:rsidRPr="00DF456A">
        <w:rPr>
          <w:noProof/>
          <w:lang w:val="fr-FR" w:eastAsia="es-BO"/>
        </w:rPr>
        <w:t>450</w:t>
      </w:r>
      <w:r w:rsidR="00436C5B">
        <w:rPr>
          <w:noProof/>
          <w:lang w:val="fr-FR" w:eastAsia="es-BO"/>
        </w:rPr>
        <w:t> </w:t>
      </w:r>
      <w:r w:rsidRPr="00DF456A">
        <w:rPr>
          <w:noProof/>
          <w:lang w:val="fr-FR" w:eastAsia="es-BO"/>
        </w:rPr>
        <w:t>000,00</w:t>
      </w:r>
      <w:r w:rsidR="00436C5B">
        <w:rPr>
          <w:noProof/>
          <w:lang w:val="fr-FR" w:eastAsia="es-BO"/>
        </w:rPr>
        <w:t> </w:t>
      </w:r>
      <w:r>
        <w:rPr>
          <w:noProof/>
          <w:lang w:val="fr-FR" w:eastAsia="es-BO"/>
        </w:rPr>
        <w:t>bolivianos et par l</w:t>
      </w:r>
      <w:r w:rsidR="00FB1114">
        <w:rPr>
          <w:noProof/>
          <w:lang w:val="fr-FR" w:eastAsia="es-BO"/>
        </w:rPr>
        <w:t>’</w:t>
      </w:r>
      <w:r>
        <w:rPr>
          <w:noProof/>
          <w:lang w:val="fr-FR" w:eastAsia="es-BO"/>
        </w:rPr>
        <w:t xml:space="preserve">État bolivien pour </w:t>
      </w:r>
      <w:r w:rsidRPr="00DF456A">
        <w:rPr>
          <w:noProof/>
          <w:lang w:val="fr-FR" w:eastAsia="es-BO"/>
        </w:rPr>
        <w:t>697</w:t>
      </w:r>
      <w:r w:rsidR="00436C5B">
        <w:rPr>
          <w:noProof/>
          <w:lang w:val="fr-FR" w:eastAsia="es-BO"/>
        </w:rPr>
        <w:t> </w:t>
      </w:r>
      <w:r w:rsidRPr="00DF456A">
        <w:rPr>
          <w:noProof/>
          <w:lang w:val="fr-FR" w:eastAsia="es-BO"/>
        </w:rPr>
        <w:t>764,00</w:t>
      </w:r>
      <w:r w:rsidR="00436C5B">
        <w:rPr>
          <w:noProof/>
          <w:lang w:val="fr-FR" w:eastAsia="es-BO"/>
        </w:rPr>
        <w:t> </w:t>
      </w:r>
      <w:r>
        <w:rPr>
          <w:noProof/>
          <w:lang w:val="fr-FR" w:eastAsia="es-BO"/>
        </w:rPr>
        <w:t>bolivianos</w:t>
      </w:r>
      <w:r w:rsidRPr="00DF456A">
        <w:rPr>
          <w:noProof/>
          <w:lang w:val="fr-FR" w:eastAsia="es-BO"/>
        </w:rPr>
        <w:t xml:space="preserve">, </w:t>
      </w:r>
      <w:r>
        <w:rPr>
          <w:noProof/>
          <w:lang w:val="fr-FR" w:eastAsia="es-BO"/>
        </w:rPr>
        <w:t>et d</w:t>
      </w:r>
      <w:r w:rsidR="00FB1114">
        <w:rPr>
          <w:noProof/>
          <w:lang w:val="fr-FR" w:eastAsia="es-BO"/>
        </w:rPr>
        <w:t>’</w:t>
      </w:r>
      <w:r>
        <w:rPr>
          <w:noProof/>
          <w:lang w:val="fr-FR" w:eastAsia="es-BO"/>
        </w:rPr>
        <w:t xml:space="preserve">un budget supplémentaire de </w:t>
      </w:r>
      <w:r w:rsidRPr="00DF456A">
        <w:rPr>
          <w:noProof/>
          <w:lang w:val="fr-FR" w:eastAsia="es-BO"/>
        </w:rPr>
        <w:t>1</w:t>
      </w:r>
      <w:r w:rsidR="00436C5B">
        <w:rPr>
          <w:noProof/>
          <w:lang w:val="fr-FR" w:eastAsia="es-BO"/>
        </w:rPr>
        <w:t> </w:t>
      </w:r>
      <w:r w:rsidRPr="00DF456A">
        <w:rPr>
          <w:noProof/>
          <w:lang w:val="fr-FR" w:eastAsia="es-BO"/>
        </w:rPr>
        <w:t>232</w:t>
      </w:r>
      <w:r w:rsidR="00436C5B">
        <w:rPr>
          <w:noProof/>
          <w:lang w:val="fr-FR" w:eastAsia="es-BO"/>
        </w:rPr>
        <w:t> </w:t>
      </w:r>
      <w:r w:rsidRPr="00DF456A">
        <w:rPr>
          <w:noProof/>
          <w:lang w:val="fr-FR" w:eastAsia="es-BO"/>
        </w:rPr>
        <w:t>801,14</w:t>
      </w:r>
      <w:r w:rsidR="00436C5B">
        <w:rPr>
          <w:noProof/>
          <w:lang w:val="fr-FR" w:eastAsia="es-BO"/>
        </w:rPr>
        <w:t> </w:t>
      </w:r>
      <w:r>
        <w:rPr>
          <w:noProof/>
          <w:lang w:val="fr-FR" w:eastAsia="es-BO"/>
        </w:rPr>
        <w:t>bolivianos</w:t>
      </w:r>
      <w:r w:rsidRPr="00DF456A">
        <w:rPr>
          <w:noProof/>
          <w:lang w:val="fr-FR" w:eastAsia="es-BO"/>
        </w:rPr>
        <w:t xml:space="preserve">. </w:t>
      </w:r>
      <w:r>
        <w:rPr>
          <w:noProof/>
          <w:lang w:val="fr-FR" w:eastAsia="es-BO"/>
        </w:rPr>
        <w:t>Dans le cadre du pilier</w:t>
      </w:r>
      <w:r w:rsidR="00436C5B">
        <w:rPr>
          <w:noProof/>
          <w:lang w:val="fr-FR" w:eastAsia="es-BO"/>
        </w:rPr>
        <w:t> </w:t>
      </w:r>
      <w:r>
        <w:rPr>
          <w:noProof/>
          <w:lang w:val="fr-FR" w:eastAsia="es-BO"/>
        </w:rPr>
        <w:t>1</w:t>
      </w:r>
      <w:r w:rsidRPr="00DF456A">
        <w:rPr>
          <w:noProof/>
          <w:lang w:val="fr-FR" w:eastAsia="es-BO"/>
        </w:rPr>
        <w:t xml:space="preserve"> de l</w:t>
      </w:r>
      <w:r w:rsidR="00FB1114">
        <w:rPr>
          <w:noProof/>
          <w:lang w:val="fr-FR" w:eastAsia="es-BO"/>
        </w:rPr>
        <w:t>’</w:t>
      </w:r>
      <w:r w:rsidRPr="00DF456A">
        <w:rPr>
          <w:noProof/>
          <w:lang w:val="fr-FR" w:eastAsia="es-BO"/>
        </w:rPr>
        <w:t xml:space="preserve">Agenda </w:t>
      </w:r>
      <w:r>
        <w:rPr>
          <w:noProof/>
          <w:lang w:val="fr-FR" w:eastAsia="es-BO"/>
        </w:rPr>
        <w:t>p</w:t>
      </w:r>
      <w:r w:rsidRPr="00DF456A">
        <w:rPr>
          <w:noProof/>
          <w:lang w:val="fr-FR" w:eastAsia="es-BO"/>
        </w:rPr>
        <w:t>atri</w:t>
      </w:r>
      <w:r>
        <w:rPr>
          <w:noProof/>
          <w:lang w:val="fr-FR" w:eastAsia="es-BO"/>
        </w:rPr>
        <w:t xml:space="preserve">otique </w:t>
      </w:r>
      <w:r w:rsidRPr="00DF456A">
        <w:rPr>
          <w:noProof/>
          <w:lang w:val="fr-FR" w:eastAsia="es-BO"/>
        </w:rPr>
        <w:t>2025</w:t>
      </w:r>
      <w:r w:rsidRPr="00DF456A">
        <w:rPr>
          <w:noProof/>
          <w:sz w:val="18"/>
          <w:szCs w:val="18"/>
          <w:vertAlign w:val="superscript"/>
          <w:lang w:val="fr-FR" w:eastAsia="es-BO"/>
        </w:rPr>
        <w:footnoteReference w:id="85"/>
      </w:r>
      <w:r w:rsidRPr="00DF456A">
        <w:rPr>
          <w:noProof/>
          <w:lang w:val="fr-FR" w:eastAsia="es-BO"/>
        </w:rPr>
        <w:t xml:space="preserve">, </w:t>
      </w:r>
      <w:r>
        <w:rPr>
          <w:noProof/>
          <w:lang w:val="fr-FR" w:eastAsia="es-BO"/>
        </w:rPr>
        <w:t>le projet a trois lignes stratégiques</w:t>
      </w:r>
      <w:r w:rsidR="00436C5B">
        <w:rPr>
          <w:noProof/>
          <w:lang w:val="fr-FR" w:eastAsia="es-BO"/>
        </w:rPr>
        <w:t> </w:t>
      </w:r>
      <w:r w:rsidRPr="00DF456A">
        <w:rPr>
          <w:noProof/>
          <w:lang w:val="fr-FR" w:eastAsia="es-BO"/>
        </w:rPr>
        <w:t>:</w:t>
      </w:r>
      <w:r w:rsidR="00436C5B">
        <w:rPr>
          <w:noProof/>
          <w:lang w:val="fr-FR" w:eastAsia="es-BO"/>
        </w:rPr>
        <w:t xml:space="preserve"> </w:t>
      </w:r>
      <w:r w:rsidRPr="00DF456A">
        <w:rPr>
          <w:noProof/>
          <w:lang w:val="fr-FR" w:eastAsia="es-BO"/>
        </w:rPr>
        <w:t>1)</w:t>
      </w:r>
      <w:r w:rsidR="00436C5B">
        <w:rPr>
          <w:noProof/>
          <w:lang w:val="fr-FR" w:eastAsia="es-BO"/>
        </w:rPr>
        <w:t> </w:t>
      </w:r>
      <w:r>
        <w:rPr>
          <w:noProof/>
          <w:lang w:val="fr-FR" w:eastAsia="es-BO"/>
        </w:rPr>
        <w:t>présence de l</w:t>
      </w:r>
      <w:r w:rsidR="00FB1114">
        <w:rPr>
          <w:noProof/>
          <w:lang w:val="fr-FR" w:eastAsia="es-BO"/>
        </w:rPr>
        <w:t>’</w:t>
      </w:r>
      <w:r>
        <w:rPr>
          <w:noProof/>
          <w:lang w:val="fr-FR" w:eastAsia="es-BO"/>
        </w:rPr>
        <w:t>État</w:t>
      </w:r>
      <w:r w:rsidR="00436C5B">
        <w:rPr>
          <w:noProof/>
          <w:lang w:val="fr-FR" w:eastAsia="es-BO"/>
        </w:rPr>
        <w:t> ;</w:t>
      </w:r>
      <w:r w:rsidRPr="00DF456A">
        <w:rPr>
          <w:noProof/>
          <w:lang w:val="fr-FR" w:eastAsia="es-BO"/>
        </w:rPr>
        <w:t xml:space="preserve"> 2)</w:t>
      </w:r>
      <w:r w:rsidR="00436C5B">
        <w:rPr>
          <w:noProof/>
          <w:lang w:val="fr-FR" w:eastAsia="es-BO"/>
        </w:rPr>
        <w:t> </w:t>
      </w:r>
      <w:r>
        <w:rPr>
          <w:noProof/>
          <w:lang w:val="fr-FR" w:eastAsia="es-BO"/>
        </w:rPr>
        <w:t>droits de la personne fondamentaux</w:t>
      </w:r>
      <w:r w:rsidR="00436C5B">
        <w:rPr>
          <w:noProof/>
          <w:lang w:val="fr-FR" w:eastAsia="es-BO"/>
        </w:rPr>
        <w:t> ;</w:t>
      </w:r>
      <w:r w:rsidRPr="00DF456A">
        <w:rPr>
          <w:noProof/>
          <w:lang w:val="fr-FR" w:eastAsia="es-BO"/>
        </w:rPr>
        <w:t xml:space="preserve"> 3)</w:t>
      </w:r>
      <w:r w:rsidR="00436C5B">
        <w:rPr>
          <w:noProof/>
          <w:lang w:val="fr-FR" w:eastAsia="es-BO"/>
        </w:rPr>
        <w:t> </w:t>
      </w:r>
      <w:r>
        <w:rPr>
          <w:noProof/>
          <w:lang w:val="fr-FR" w:eastAsia="es-BO"/>
        </w:rPr>
        <w:t>renforcement institutionnel</w:t>
      </w:r>
      <w:r w:rsidRPr="00DF456A">
        <w:rPr>
          <w:noProof/>
          <w:lang w:val="fr-FR" w:eastAsia="es-BO"/>
        </w:rPr>
        <w:t xml:space="preserve">, </w:t>
      </w:r>
      <w:r>
        <w:rPr>
          <w:noProof/>
          <w:lang w:val="fr-FR" w:eastAsia="es-BO"/>
        </w:rPr>
        <w:t>axé sur le</w:t>
      </w:r>
      <w:r w:rsidRPr="00DF456A">
        <w:rPr>
          <w:noProof/>
          <w:lang w:val="fr-FR" w:eastAsia="es-BO"/>
        </w:rPr>
        <w:t xml:space="preserve"> </w:t>
      </w:r>
      <w:r>
        <w:rPr>
          <w:noProof/>
          <w:lang w:val="fr-FR" w:eastAsia="es-BO"/>
        </w:rPr>
        <w:t>Chaco, l</w:t>
      </w:r>
      <w:r w:rsidR="00FB1114">
        <w:rPr>
          <w:noProof/>
          <w:lang w:val="fr-FR" w:eastAsia="es-BO"/>
        </w:rPr>
        <w:t>’</w:t>
      </w:r>
      <w:r w:rsidRPr="00DF456A">
        <w:rPr>
          <w:noProof/>
          <w:lang w:val="fr-FR" w:eastAsia="es-BO"/>
        </w:rPr>
        <w:t>Amazon</w:t>
      </w:r>
      <w:r>
        <w:rPr>
          <w:noProof/>
          <w:lang w:val="fr-FR" w:eastAsia="es-BO"/>
        </w:rPr>
        <w:t xml:space="preserve">ie bolivienne et le Nord intégré de </w:t>
      </w:r>
      <w:r w:rsidRPr="00DF456A">
        <w:rPr>
          <w:noProof/>
          <w:lang w:val="fr-FR" w:eastAsia="es-BO"/>
        </w:rPr>
        <w:t xml:space="preserve">Santa Cruz. </w:t>
      </w:r>
      <w:r>
        <w:rPr>
          <w:noProof/>
          <w:lang w:val="fr-FR" w:eastAsia="es-BO"/>
        </w:rPr>
        <w:t>On indique ci-après les résultats obtenus dans le cadre de ce projet</w:t>
      </w:r>
      <w:r w:rsidR="00414638">
        <w:rPr>
          <w:noProof/>
          <w:lang w:val="fr-FR" w:eastAsia="es-BO"/>
        </w:rPr>
        <w:t> </w:t>
      </w:r>
      <w:r w:rsidRPr="00DF456A">
        <w:rPr>
          <w:noProof/>
          <w:lang w:val="fr-FR" w:eastAsia="es-BO"/>
        </w:rPr>
        <w:t>:</w:t>
      </w:r>
    </w:p>
    <w:p w:rsidR="00614A7E" w:rsidRPr="00E81692" w:rsidRDefault="00614A7E" w:rsidP="00414638">
      <w:pPr>
        <w:pStyle w:val="Bullet2G"/>
        <w:rPr>
          <w:noProof/>
          <w:lang w:val="fr-FR" w:eastAsia="es-BO"/>
        </w:rPr>
      </w:pPr>
      <w:r w:rsidRPr="00DF456A">
        <w:rPr>
          <w:noProof/>
          <w:lang w:val="fr-FR" w:eastAsia="es-BO"/>
        </w:rPr>
        <w:t>1</w:t>
      </w:r>
      <w:r w:rsidR="00A876DA">
        <w:rPr>
          <w:noProof/>
          <w:lang w:val="fr-FR" w:eastAsia="es-BO"/>
        </w:rPr>
        <w:t> </w:t>
      </w:r>
      <w:r w:rsidRPr="00DF456A">
        <w:rPr>
          <w:noProof/>
          <w:lang w:val="fr-FR" w:eastAsia="es-BO"/>
        </w:rPr>
        <w:t>081</w:t>
      </w:r>
      <w:r w:rsidR="00A876DA">
        <w:rPr>
          <w:noProof/>
          <w:lang w:val="fr-FR" w:eastAsia="es-BO"/>
        </w:rPr>
        <w:t> </w:t>
      </w:r>
      <w:r w:rsidRPr="00E81692">
        <w:rPr>
          <w:noProof/>
          <w:lang w:val="fr-FR" w:eastAsia="es-BO"/>
        </w:rPr>
        <w:t>i</w:t>
      </w:r>
      <w:r w:rsidRPr="00E81692">
        <w:rPr>
          <w:noProof/>
          <w:lang w:val="fr-FR"/>
        </w:rPr>
        <w:t>nspections réalisées dans les haciendas et les élevages du Chaco, de l</w:t>
      </w:r>
      <w:r w:rsidR="00FB1114">
        <w:rPr>
          <w:noProof/>
          <w:lang w:val="fr-FR"/>
        </w:rPr>
        <w:t>’</w:t>
      </w:r>
      <w:r w:rsidRPr="00E81692">
        <w:rPr>
          <w:noProof/>
          <w:lang w:val="fr-FR"/>
        </w:rPr>
        <w:t>Amazonie et du Nord intégré</w:t>
      </w:r>
      <w:r w:rsidR="00A876DA">
        <w:rPr>
          <w:noProof/>
          <w:lang w:val="fr-FR"/>
        </w:rPr>
        <w:t> </w:t>
      </w:r>
      <w:r w:rsidR="00A876DA">
        <w:rPr>
          <w:noProof/>
          <w:lang w:val="fr-FR" w:eastAsia="es-BO"/>
        </w:rPr>
        <w:t>;</w:t>
      </w:r>
    </w:p>
    <w:p w:rsidR="00614A7E" w:rsidRPr="00E81692" w:rsidRDefault="00614A7E" w:rsidP="00A876DA">
      <w:pPr>
        <w:pStyle w:val="Bullet2G"/>
        <w:rPr>
          <w:noProof/>
          <w:lang w:val="fr-FR" w:eastAsia="es-BO"/>
        </w:rPr>
      </w:pPr>
      <w:r w:rsidRPr="00E81692">
        <w:rPr>
          <w:noProof/>
          <w:lang w:val="fr-FR" w:eastAsia="es-BO"/>
        </w:rPr>
        <w:t>772</w:t>
      </w:r>
      <w:r w:rsidR="00A876DA">
        <w:rPr>
          <w:noProof/>
          <w:lang w:val="fr-FR" w:eastAsia="es-BO"/>
        </w:rPr>
        <w:t> </w:t>
      </w:r>
      <w:r w:rsidRPr="00E81692">
        <w:rPr>
          <w:noProof/>
          <w:lang w:val="fr-FR" w:eastAsia="es-BO"/>
        </w:rPr>
        <w:t>a</w:t>
      </w:r>
      <w:r w:rsidRPr="00E81692">
        <w:rPr>
          <w:noProof/>
          <w:lang w:val="fr-FR"/>
        </w:rPr>
        <w:t>udiences portant sur le règlement des litiges relatifs au licenciement</w:t>
      </w:r>
      <w:r w:rsidR="00A876DA">
        <w:rPr>
          <w:noProof/>
          <w:lang w:val="fr-FR"/>
        </w:rPr>
        <w:t> </w:t>
      </w:r>
      <w:r w:rsidR="00A876DA">
        <w:rPr>
          <w:noProof/>
          <w:lang w:val="fr-FR" w:eastAsia="es-BO"/>
        </w:rPr>
        <w:t>;</w:t>
      </w:r>
    </w:p>
    <w:p w:rsidR="00614A7E" w:rsidRPr="00E81692" w:rsidRDefault="00614A7E" w:rsidP="00A876DA">
      <w:pPr>
        <w:pStyle w:val="Bullet2G"/>
        <w:rPr>
          <w:noProof/>
          <w:lang w:val="fr-FR" w:eastAsia="es-BO"/>
        </w:rPr>
      </w:pPr>
      <w:r w:rsidRPr="00E81692">
        <w:rPr>
          <w:noProof/>
          <w:lang w:val="fr-FR" w:eastAsia="es-BO"/>
        </w:rPr>
        <w:t>2</w:t>
      </w:r>
      <w:r w:rsidR="00A876DA">
        <w:rPr>
          <w:noProof/>
          <w:lang w:val="fr-FR" w:eastAsia="es-BO"/>
        </w:rPr>
        <w:t> </w:t>
      </w:r>
      <w:r w:rsidRPr="00E81692">
        <w:rPr>
          <w:noProof/>
          <w:lang w:val="fr-FR" w:eastAsia="es-BO"/>
        </w:rPr>
        <w:t>757</w:t>
      </w:r>
      <w:r w:rsidR="00A876DA">
        <w:rPr>
          <w:noProof/>
          <w:lang w:val="fr-FR" w:eastAsia="es-BO"/>
        </w:rPr>
        <w:t> </w:t>
      </w:r>
      <w:r w:rsidRPr="00E81692">
        <w:rPr>
          <w:noProof/>
          <w:lang w:val="fr-FR" w:eastAsia="es-BO"/>
        </w:rPr>
        <w:t xml:space="preserve">travailleurs </w:t>
      </w:r>
      <w:r w:rsidRPr="00E81692">
        <w:rPr>
          <w:noProof/>
          <w:lang w:val="fr-FR"/>
        </w:rPr>
        <w:t>appartenant aux peuples autochtones originaires</w:t>
      </w:r>
      <w:r w:rsidRPr="00E81692">
        <w:rPr>
          <w:noProof/>
          <w:lang w:val="fr-FR" w:eastAsia="es-BO"/>
        </w:rPr>
        <w:t xml:space="preserve"> ont participé à des </w:t>
      </w:r>
      <w:r w:rsidRPr="00E81692">
        <w:rPr>
          <w:noProof/>
          <w:lang w:val="fr-FR"/>
        </w:rPr>
        <w:t>événements de présentation et de diffusion des droits sociaux et professionnels</w:t>
      </w:r>
      <w:r w:rsidR="00A876DA">
        <w:rPr>
          <w:noProof/>
          <w:lang w:val="fr-FR"/>
        </w:rPr>
        <w:t> ;</w:t>
      </w:r>
    </w:p>
    <w:p w:rsidR="00614A7E" w:rsidRPr="00E81692" w:rsidRDefault="00614A7E" w:rsidP="00A876DA">
      <w:pPr>
        <w:pStyle w:val="Bullet2G"/>
        <w:rPr>
          <w:noProof/>
          <w:lang w:val="fr-FR" w:eastAsia="es-BO"/>
        </w:rPr>
      </w:pPr>
      <w:r w:rsidRPr="00E81692">
        <w:rPr>
          <w:noProof/>
          <w:lang w:val="fr-FR" w:eastAsia="es-BO"/>
        </w:rPr>
        <w:t>1</w:t>
      </w:r>
      <w:r w:rsidR="00A876DA">
        <w:rPr>
          <w:noProof/>
          <w:lang w:val="fr-FR" w:eastAsia="es-BO"/>
        </w:rPr>
        <w:t> </w:t>
      </w:r>
      <w:r w:rsidRPr="00E81692">
        <w:rPr>
          <w:noProof/>
          <w:lang w:val="fr-FR" w:eastAsia="es-BO"/>
        </w:rPr>
        <w:t>675</w:t>
      </w:r>
      <w:r w:rsidR="00A876DA">
        <w:rPr>
          <w:noProof/>
          <w:lang w:val="fr-FR" w:eastAsia="es-BO"/>
        </w:rPr>
        <w:t> </w:t>
      </w:r>
      <w:r w:rsidRPr="00E81692">
        <w:rPr>
          <w:noProof/>
          <w:lang w:val="fr-FR" w:eastAsia="es-BO"/>
        </w:rPr>
        <w:t xml:space="preserve">travailleurs </w:t>
      </w:r>
      <w:r w:rsidRPr="00E81692">
        <w:rPr>
          <w:noProof/>
          <w:lang w:val="fr-FR"/>
        </w:rPr>
        <w:t>pris en charge pour l</w:t>
      </w:r>
      <w:r w:rsidR="00FB1114">
        <w:rPr>
          <w:noProof/>
          <w:lang w:val="fr-FR"/>
        </w:rPr>
        <w:t>’</w:t>
      </w:r>
      <w:r w:rsidRPr="00E81692">
        <w:rPr>
          <w:noProof/>
          <w:lang w:val="fr-FR"/>
        </w:rPr>
        <w:t>exercice de leurs droits sociaux et professionnels</w:t>
      </w:r>
      <w:r w:rsidR="00A876DA">
        <w:rPr>
          <w:noProof/>
          <w:lang w:val="fr-FR"/>
        </w:rPr>
        <w:t> ;</w:t>
      </w:r>
    </w:p>
    <w:p w:rsidR="00614A7E" w:rsidRPr="00E81692" w:rsidRDefault="00614A7E" w:rsidP="00A876DA">
      <w:pPr>
        <w:pStyle w:val="Bullet2G"/>
        <w:rPr>
          <w:noProof/>
          <w:lang w:val="fr-FR" w:eastAsia="es-BO"/>
        </w:rPr>
      </w:pPr>
      <w:r w:rsidRPr="00E81692">
        <w:rPr>
          <w:noProof/>
          <w:lang w:val="fr-FR" w:eastAsia="es-BO"/>
        </w:rPr>
        <w:t>Des indemnités d</w:t>
      </w:r>
      <w:r w:rsidR="00FB1114">
        <w:rPr>
          <w:noProof/>
          <w:lang w:val="fr-FR" w:eastAsia="es-BO"/>
        </w:rPr>
        <w:t>’</w:t>
      </w:r>
      <w:r w:rsidRPr="00E81692">
        <w:rPr>
          <w:noProof/>
          <w:lang w:val="fr-FR" w:eastAsia="es-BO"/>
        </w:rPr>
        <w:t>un montant de 4</w:t>
      </w:r>
      <w:r w:rsidR="00A876DA">
        <w:rPr>
          <w:noProof/>
          <w:lang w:val="fr-FR" w:eastAsia="es-BO"/>
        </w:rPr>
        <w:t> </w:t>
      </w:r>
      <w:r w:rsidRPr="00E81692">
        <w:rPr>
          <w:noProof/>
          <w:lang w:val="fr-FR" w:eastAsia="es-BO"/>
        </w:rPr>
        <w:t>388</w:t>
      </w:r>
      <w:r w:rsidR="00A876DA">
        <w:rPr>
          <w:noProof/>
          <w:lang w:val="fr-FR" w:eastAsia="es-BO"/>
        </w:rPr>
        <w:t> </w:t>
      </w:r>
      <w:r w:rsidRPr="00E81692">
        <w:rPr>
          <w:noProof/>
          <w:lang w:val="fr-FR" w:eastAsia="es-BO"/>
        </w:rPr>
        <w:t>103</w:t>
      </w:r>
      <w:r w:rsidR="00A876DA">
        <w:rPr>
          <w:noProof/>
          <w:lang w:val="fr-FR" w:eastAsia="es-BO"/>
        </w:rPr>
        <w:t> </w:t>
      </w:r>
      <w:r w:rsidRPr="00E81692">
        <w:rPr>
          <w:noProof/>
          <w:lang w:val="fr-FR" w:eastAsia="es-BO"/>
        </w:rPr>
        <w:t>bolivianos ont été versées aux salariés</w:t>
      </w:r>
      <w:r w:rsidR="00A876DA">
        <w:rPr>
          <w:noProof/>
          <w:lang w:val="fr-FR" w:eastAsia="es-BO"/>
        </w:rPr>
        <w:t> ;</w:t>
      </w:r>
    </w:p>
    <w:p w:rsidR="00614A7E" w:rsidRPr="00E81692" w:rsidRDefault="00614A7E" w:rsidP="00A876DA">
      <w:pPr>
        <w:pStyle w:val="Bullet2G"/>
        <w:rPr>
          <w:noProof/>
          <w:lang w:val="fr-FR" w:eastAsia="es-BO"/>
        </w:rPr>
      </w:pPr>
      <w:r w:rsidRPr="00E81692">
        <w:rPr>
          <w:noProof/>
          <w:lang w:val="fr-FR" w:eastAsia="es-BO"/>
        </w:rPr>
        <w:t>202</w:t>
      </w:r>
      <w:r w:rsidR="00A876DA">
        <w:rPr>
          <w:noProof/>
          <w:lang w:val="fr-FR" w:eastAsia="es-BO"/>
        </w:rPr>
        <w:t> </w:t>
      </w:r>
      <w:r w:rsidRPr="00E81692">
        <w:rPr>
          <w:noProof/>
          <w:lang w:val="fr-FR" w:eastAsia="es-BO"/>
        </w:rPr>
        <w:t>a</w:t>
      </w:r>
      <w:r w:rsidRPr="00E81692">
        <w:rPr>
          <w:noProof/>
          <w:lang w:val="fr-FR"/>
        </w:rPr>
        <w:t>ffaires renvoyées devant la juridiction du travail</w:t>
      </w:r>
      <w:r w:rsidR="00A876DA">
        <w:rPr>
          <w:noProof/>
          <w:lang w:val="fr-FR"/>
        </w:rPr>
        <w:t> </w:t>
      </w:r>
      <w:r w:rsidR="00A876DA">
        <w:rPr>
          <w:noProof/>
          <w:lang w:val="fr-FR" w:eastAsia="es-BO"/>
        </w:rPr>
        <w:t>;</w:t>
      </w:r>
    </w:p>
    <w:p w:rsidR="00614A7E" w:rsidRPr="00E81692" w:rsidRDefault="00614A7E" w:rsidP="00A876DA">
      <w:pPr>
        <w:pStyle w:val="Bullet2G"/>
        <w:rPr>
          <w:noProof/>
          <w:lang w:val="fr-FR" w:eastAsia="es-BO"/>
        </w:rPr>
      </w:pPr>
      <w:r w:rsidRPr="00E81692">
        <w:rPr>
          <w:noProof/>
          <w:lang w:val="fr-FR" w:eastAsia="es-BO"/>
        </w:rPr>
        <w:t>28</w:t>
      </w:r>
      <w:r w:rsidR="00A876DA">
        <w:rPr>
          <w:noProof/>
          <w:lang w:val="fr-FR" w:eastAsia="es-BO"/>
        </w:rPr>
        <w:t> </w:t>
      </w:r>
      <w:r w:rsidRPr="00E81692">
        <w:rPr>
          <w:noProof/>
          <w:lang w:val="fr-FR"/>
        </w:rPr>
        <w:t>affaires renvoyées devant l</w:t>
      </w:r>
      <w:r w:rsidR="00FB1114">
        <w:rPr>
          <w:noProof/>
          <w:lang w:val="fr-FR"/>
        </w:rPr>
        <w:t>’</w:t>
      </w:r>
      <w:r w:rsidRPr="00E81692">
        <w:rPr>
          <w:noProof/>
          <w:lang w:val="fr-FR"/>
        </w:rPr>
        <w:t>Institut national de la réforme agraire</w:t>
      </w:r>
      <w:r w:rsidR="00A876DA">
        <w:rPr>
          <w:noProof/>
          <w:lang w:val="fr-FR"/>
        </w:rPr>
        <w:t> ;</w:t>
      </w:r>
    </w:p>
    <w:p w:rsidR="00614A7E" w:rsidRPr="00DF456A" w:rsidRDefault="00614A7E" w:rsidP="00A876DA">
      <w:pPr>
        <w:pStyle w:val="Bullet2G"/>
        <w:rPr>
          <w:noProof/>
          <w:lang w:val="fr-FR" w:eastAsia="es-BO"/>
        </w:rPr>
      </w:pPr>
      <w:r w:rsidRPr="00E81692">
        <w:rPr>
          <w:noProof/>
          <w:lang w:val="fr-FR" w:eastAsia="es-BO"/>
        </w:rPr>
        <w:t>44</w:t>
      </w:r>
      <w:r w:rsidR="00A876DA">
        <w:rPr>
          <w:noProof/>
          <w:lang w:val="fr-FR" w:eastAsia="es-BO"/>
        </w:rPr>
        <w:t> </w:t>
      </w:r>
      <w:r w:rsidRPr="00E81692">
        <w:rPr>
          <w:noProof/>
          <w:lang w:val="fr-FR" w:eastAsia="es-BO"/>
        </w:rPr>
        <w:t>entreprises agricoles inscrites au Registre obligatoire des employeurs</w:t>
      </w:r>
      <w:r w:rsidRPr="00DF456A">
        <w:rPr>
          <w:noProof/>
          <w:lang w:val="fr-FR" w:eastAsia="es-BO"/>
        </w:rPr>
        <w:t>.</w:t>
      </w:r>
    </w:p>
    <w:p w:rsidR="00614A7E" w:rsidRPr="00DF456A" w:rsidRDefault="00614A7E" w:rsidP="00614A7E">
      <w:pPr>
        <w:pStyle w:val="SingleTxtG"/>
        <w:rPr>
          <w:noProof/>
          <w:lang w:val="fr-FR" w:eastAsia="es-BO"/>
        </w:rPr>
      </w:pPr>
      <w:r w:rsidRPr="00DF456A">
        <w:rPr>
          <w:noProof/>
          <w:lang w:val="fr-FR" w:eastAsia="es-BO"/>
        </w:rPr>
        <w:t>234.</w:t>
      </w:r>
      <w:r w:rsidRPr="00DF456A">
        <w:rPr>
          <w:noProof/>
          <w:lang w:val="fr-FR" w:eastAsia="es-BO"/>
        </w:rPr>
        <w:tab/>
      </w:r>
      <w:r>
        <w:rPr>
          <w:noProof/>
          <w:lang w:val="fr-FR" w:eastAsia="es-BO"/>
        </w:rPr>
        <w:t>De même</w:t>
      </w:r>
      <w:r w:rsidRPr="00DF456A">
        <w:rPr>
          <w:noProof/>
          <w:lang w:val="fr-FR" w:eastAsia="es-BO"/>
        </w:rPr>
        <w:t xml:space="preserve">, </w:t>
      </w:r>
      <w:r>
        <w:rPr>
          <w:noProof/>
          <w:lang w:val="fr-FR" w:eastAsia="es-BO"/>
        </w:rPr>
        <w:t>au Ministère</w:t>
      </w:r>
      <w:r w:rsidRPr="00B5117C">
        <w:rPr>
          <w:lang w:val="fr-FR"/>
        </w:rPr>
        <w:t xml:space="preserve"> du </w:t>
      </w:r>
      <w:r w:rsidRPr="000D501D">
        <w:rPr>
          <w:noProof/>
          <w:lang w:val="fr-FR"/>
        </w:rPr>
        <w:t>travail, de l</w:t>
      </w:r>
      <w:r w:rsidR="00FB1114">
        <w:rPr>
          <w:noProof/>
          <w:lang w:val="fr-FR"/>
        </w:rPr>
        <w:t>’</w:t>
      </w:r>
      <w:r w:rsidRPr="000D501D">
        <w:rPr>
          <w:noProof/>
          <w:lang w:val="fr-FR"/>
        </w:rPr>
        <w:t>emploi et de la protection sociale</w:t>
      </w:r>
      <w:r>
        <w:rPr>
          <w:noProof/>
          <w:lang w:val="fr-FR"/>
        </w:rPr>
        <w:t>, la Section des peuples autochtones et du travail forcé, qui relève du Service des droits fondamentaux</w:t>
      </w:r>
      <w:r>
        <w:rPr>
          <w:noProof/>
          <w:lang w:val="fr-FR" w:eastAsia="es-BO"/>
        </w:rPr>
        <w:t>, exerce les fonctions suivantes</w:t>
      </w:r>
      <w:r w:rsidR="00BC41F0">
        <w:rPr>
          <w:noProof/>
          <w:lang w:val="fr-FR" w:eastAsia="es-BO"/>
        </w:rPr>
        <w:t> </w:t>
      </w:r>
      <w:r w:rsidRPr="00DF456A">
        <w:rPr>
          <w:noProof/>
          <w:lang w:val="fr-FR" w:eastAsia="es-BO"/>
        </w:rPr>
        <w:t>:</w:t>
      </w:r>
    </w:p>
    <w:p w:rsidR="00614A7E" w:rsidRPr="00DF456A" w:rsidRDefault="00614A7E" w:rsidP="00614A7E">
      <w:pPr>
        <w:pStyle w:val="SingleTxtG"/>
        <w:ind w:firstLine="567"/>
        <w:rPr>
          <w:noProof/>
          <w:lang w:val="fr-FR" w:eastAsia="es-BO"/>
        </w:rPr>
      </w:pPr>
      <w:r w:rsidRPr="00DF456A">
        <w:rPr>
          <w:noProof/>
          <w:lang w:val="fr-FR" w:eastAsia="es-BO"/>
        </w:rPr>
        <w:t>a)</w:t>
      </w:r>
      <w:r w:rsidRPr="00DF456A">
        <w:rPr>
          <w:noProof/>
          <w:lang w:val="fr-FR" w:eastAsia="es-BO"/>
        </w:rPr>
        <w:tab/>
      </w:r>
      <w:r>
        <w:rPr>
          <w:noProof/>
          <w:lang w:val="fr-FR" w:eastAsia="es-BO"/>
        </w:rPr>
        <w:t xml:space="preserve">Étendre la </w:t>
      </w:r>
      <w:r w:rsidRPr="00DF456A">
        <w:rPr>
          <w:noProof/>
          <w:lang w:val="fr-FR" w:eastAsia="es-BO"/>
        </w:rPr>
        <w:t>pr</w:t>
      </w:r>
      <w:r>
        <w:rPr>
          <w:noProof/>
          <w:lang w:val="fr-FR" w:eastAsia="es-BO"/>
        </w:rPr>
        <w:t>é</w:t>
      </w:r>
      <w:r w:rsidRPr="00DF456A">
        <w:rPr>
          <w:noProof/>
          <w:lang w:val="fr-FR" w:eastAsia="es-BO"/>
        </w:rPr>
        <w:t>senc</w:t>
      </w:r>
      <w:r>
        <w:rPr>
          <w:noProof/>
          <w:lang w:val="fr-FR" w:eastAsia="es-BO"/>
        </w:rPr>
        <w:t>e des institutions publiques dans les relations de travail parmi les groupe</w:t>
      </w:r>
      <w:r w:rsidRPr="00B5117C">
        <w:rPr>
          <w:lang w:val="fr-FR"/>
        </w:rPr>
        <w:t xml:space="preserve">s </w:t>
      </w:r>
      <w:r w:rsidRPr="00E55B9C">
        <w:rPr>
          <w:noProof/>
          <w:lang w:val="fr-FR"/>
        </w:rPr>
        <w:t>socialement défavorisés ou vulnérables de la population</w:t>
      </w:r>
      <w:r w:rsidR="00BC41F0">
        <w:rPr>
          <w:noProof/>
          <w:lang w:val="fr-FR"/>
        </w:rPr>
        <w:t> </w:t>
      </w:r>
      <w:r w:rsidRPr="00DF456A">
        <w:rPr>
          <w:noProof/>
          <w:lang w:val="fr-FR" w:eastAsia="es-BO"/>
        </w:rPr>
        <w:t>;</w:t>
      </w:r>
    </w:p>
    <w:p w:rsidR="00614A7E" w:rsidRPr="00DF456A" w:rsidRDefault="00614A7E" w:rsidP="00614A7E">
      <w:pPr>
        <w:pStyle w:val="SingleTxtG"/>
        <w:ind w:firstLine="567"/>
        <w:rPr>
          <w:noProof/>
          <w:lang w:val="fr-FR" w:eastAsia="es-BO"/>
        </w:rPr>
      </w:pPr>
      <w:r w:rsidRPr="00DF456A">
        <w:rPr>
          <w:noProof/>
          <w:lang w:val="fr-FR" w:eastAsia="es-BO"/>
        </w:rPr>
        <w:t>b)</w:t>
      </w:r>
      <w:r w:rsidRPr="00DF456A">
        <w:rPr>
          <w:noProof/>
          <w:lang w:val="fr-FR" w:eastAsia="es-BO"/>
        </w:rPr>
        <w:tab/>
      </w:r>
      <w:r>
        <w:rPr>
          <w:noProof/>
          <w:lang w:val="fr-FR" w:eastAsia="es-BO"/>
        </w:rPr>
        <w:t>Rétablir les droits du travail fondamentaux</w:t>
      </w:r>
      <w:r w:rsidRPr="00DF456A">
        <w:rPr>
          <w:noProof/>
          <w:lang w:val="fr-FR" w:eastAsia="es-BO"/>
        </w:rPr>
        <w:t xml:space="preserve">, </w:t>
      </w:r>
      <w:r>
        <w:rPr>
          <w:noProof/>
          <w:lang w:val="fr-FR" w:eastAsia="es-BO"/>
        </w:rPr>
        <w:t>en créant, en promouvant et en contrôlant les instruments nécessaires à l</w:t>
      </w:r>
      <w:r w:rsidR="00FB1114">
        <w:rPr>
          <w:noProof/>
          <w:lang w:val="fr-FR" w:eastAsia="es-BO"/>
        </w:rPr>
        <w:t>’</w:t>
      </w:r>
      <w:r>
        <w:rPr>
          <w:noProof/>
          <w:lang w:val="fr-FR" w:eastAsia="es-BO"/>
        </w:rPr>
        <w:t xml:space="preserve">application </w:t>
      </w:r>
      <w:r w:rsidRPr="00DF456A">
        <w:rPr>
          <w:noProof/>
          <w:lang w:val="fr-FR" w:eastAsia="es-BO"/>
        </w:rPr>
        <w:t xml:space="preserve">de la </w:t>
      </w:r>
      <w:r>
        <w:rPr>
          <w:noProof/>
          <w:lang w:val="fr-FR" w:eastAsia="es-BO"/>
        </w:rPr>
        <w:t>réglementation du travail en vigueur</w:t>
      </w:r>
      <w:r w:rsidR="00BC41F0">
        <w:rPr>
          <w:noProof/>
          <w:lang w:val="fr-FR" w:eastAsia="es-BO"/>
        </w:rPr>
        <w:t> </w:t>
      </w:r>
      <w:r w:rsidRPr="00DF456A">
        <w:rPr>
          <w:noProof/>
          <w:lang w:val="fr-FR" w:eastAsia="es-BO"/>
        </w:rPr>
        <w:t>;</w:t>
      </w:r>
    </w:p>
    <w:p w:rsidR="00614A7E" w:rsidRPr="00DF456A" w:rsidRDefault="00614A7E" w:rsidP="00614A7E">
      <w:pPr>
        <w:pStyle w:val="SingleTxtG"/>
        <w:ind w:firstLine="567"/>
        <w:rPr>
          <w:noProof/>
          <w:lang w:val="fr-FR" w:eastAsia="es-BO"/>
        </w:rPr>
      </w:pPr>
      <w:r w:rsidRPr="00DF456A">
        <w:rPr>
          <w:noProof/>
          <w:lang w:val="fr-FR" w:eastAsia="es-BO"/>
        </w:rPr>
        <w:t>c)</w:t>
      </w:r>
      <w:r w:rsidRPr="00DF456A">
        <w:rPr>
          <w:noProof/>
          <w:lang w:val="fr-FR" w:eastAsia="es-BO"/>
        </w:rPr>
        <w:tab/>
      </w:r>
      <w:r>
        <w:rPr>
          <w:noProof/>
          <w:lang w:val="fr-FR" w:eastAsia="es-BO"/>
        </w:rPr>
        <w:t>É</w:t>
      </w:r>
      <w:r w:rsidRPr="00DF456A">
        <w:rPr>
          <w:noProof/>
          <w:lang w:val="fr-FR" w:eastAsia="es-BO"/>
        </w:rPr>
        <w:t>labor</w:t>
      </w:r>
      <w:r>
        <w:rPr>
          <w:noProof/>
          <w:lang w:val="fr-FR" w:eastAsia="es-BO"/>
        </w:rPr>
        <w:t>e</w:t>
      </w:r>
      <w:r w:rsidRPr="00DF456A">
        <w:rPr>
          <w:noProof/>
          <w:lang w:val="fr-FR" w:eastAsia="es-BO"/>
        </w:rPr>
        <w:t xml:space="preserve">r </w:t>
      </w:r>
      <w:r>
        <w:rPr>
          <w:noProof/>
          <w:lang w:val="fr-FR" w:eastAsia="es-BO"/>
        </w:rPr>
        <w:t xml:space="preserve">des </w:t>
      </w:r>
      <w:r w:rsidRPr="00DF456A">
        <w:rPr>
          <w:noProof/>
          <w:lang w:val="fr-FR" w:eastAsia="es-BO"/>
        </w:rPr>
        <w:t>plan</w:t>
      </w:r>
      <w:r>
        <w:rPr>
          <w:noProof/>
          <w:lang w:val="fr-FR" w:eastAsia="es-BO"/>
        </w:rPr>
        <w:t>s, instrument</w:t>
      </w:r>
      <w:r w:rsidRPr="00DF456A">
        <w:rPr>
          <w:noProof/>
          <w:lang w:val="fr-FR" w:eastAsia="es-BO"/>
        </w:rPr>
        <w:t>s, proces</w:t>
      </w:r>
      <w:r>
        <w:rPr>
          <w:noProof/>
          <w:lang w:val="fr-FR" w:eastAsia="es-BO"/>
        </w:rPr>
        <w:t>su</w:t>
      </w:r>
      <w:r w:rsidRPr="00DF456A">
        <w:rPr>
          <w:noProof/>
          <w:lang w:val="fr-FR" w:eastAsia="es-BO"/>
        </w:rPr>
        <w:t xml:space="preserve">s </w:t>
      </w:r>
      <w:r>
        <w:rPr>
          <w:noProof/>
          <w:lang w:val="fr-FR" w:eastAsia="es-BO"/>
        </w:rPr>
        <w:t>et des procédures de protection des droits fondamentaux</w:t>
      </w:r>
      <w:r w:rsidR="00BC41F0">
        <w:rPr>
          <w:noProof/>
          <w:lang w:val="fr-FR" w:eastAsia="es-BO"/>
        </w:rPr>
        <w:t> </w:t>
      </w:r>
      <w:r w:rsidRPr="00DF456A">
        <w:rPr>
          <w:noProof/>
          <w:lang w:val="fr-FR" w:eastAsia="es-BO"/>
        </w:rPr>
        <w:t>;</w:t>
      </w:r>
    </w:p>
    <w:p w:rsidR="00614A7E" w:rsidRPr="00DF456A" w:rsidRDefault="00614A7E" w:rsidP="00614A7E">
      <w:pPr>
        <w:pStyle w:val="SingleTxtG"/>
        <w:ind w:firstLine="567"/>
        <w:rPr>
          <w:noProof/>
          <w:lang w:val="fr-FR" w:eastAsia="es-BO"/>
        </w:rPr>
      </w:pPr>
      <w:r w:rsidRPr="00DF456A">
        <w:rPr>
          <w:noProof/>
          <w:lang w:val="fr-FR" w:eastAsia="es-BO"/>
        </w:rPr>
        <w:t>d)</w:t>
      </w:r>
      <w:r w:rsidRPr="00DF456A">
        <w:rPr>
          <w:noProof/>
          <w:lang w:val="fr-FR" w:eastAsia="es-BO"/>
        </w:rPr>
        <w:tab/>
        <w:t>G</w:t>
      </w:r>
      <w:r>
        <w:rPr>
          <w:noProof/>
          <w:lang w:val="fr-FR" w:eastAsia="es-BO"/>
        </w:rPr>
        <w:t>énérer un système d</w:t>
      </w:r>
      <w:r w:rsidR="00FB1114">
        <w:rPr>
          <w:noProof/>
          <w:lang w:val="fr-FR" w:eastAsia="es-BO"/>
        </w:rPr>
        <w:t>’</w:t>
      </w:r>
      <w:r>
        <w:rPr>
          <w:noProof/>
          <w:lang w:val="fr-FR" w:eastAsia="es-BO"/>
        </w:rPr>
        <w:t xml:space="preserve">informations </w:t>
      </w:r>
      <w:r w:rsidRPr="00DF456A">
        <w:rPr>
          <w:noProof/>
          <w:lang w:val="fr-FR" w:eastAsia="es-BO"/>
        </w:rPr>
        <w:t>socio</w:t>
      </w:r>
      <w:r>
        <w:rPr>
          <w:noProof/>
          <w:lang w:val="fr-FR" w:eastAsia="es-BO"/>
        </w:rPr>
        <w:t>professionnelles</w:t>
      </w:r>
      <w:r w:rsidRPr="00DF456A">
        <w:rPr>
          <w:noProof/>
          <w:lang w:val="fr-FR" w:eastAsia="es-BO"/>
        </w:rPr>
        <w:t xml:space="preserve"> </w:t>
      </w:r>
      <w:r>
        <w:rPr>
          <w:noProof/>
          <w:lang w:val="fr-FR" w:eastAsia="es-BO"/>
        </w:rPr>
        <w:t>sur les groupes vulnérables</w:t>
      </w:r>
      <w:r w:rsidRPr="00DF456A">
        <w:rPr>
          <w:noProof/>
          <w:lang w:val="fr-FR" w:eastAsia="es-BO"/>
        </w:rPr>
        <w:t>.</w:t>
      </w:r>
    </w:p>
    <w:p w:rsidR="00614A7E" w:rsidRPr="00DF456A" w:rsidRDefault="00614A7E" w:rsidP="00686A3C">
      <w:pPr>
        <w:pStyle w:val="SingleTxtG"/>
        <w:keepNext/>
        <w:rPr>
          <w:noProof/>
          <w:lang w:val="fr-FR" w:eastAsia="es-BO"/>
        </w:rPr>
      </w:pPr>
      <w:r w:rsidRPr="00DF456A">
        <w:rPr>
          <w:noProof/>
          <w:lang w:val="fr-FR" w:eastAsia="es-BO"/>
        </w:rPr>
        <w:t>235.</w:t>
      </w:r>
      <w:r w:rsidRPr="00DF456A">
        <w:rPr>
          <w:noProof/>
          <w:lang w:val="fr-FR" w:eastAsia="es-BO"/>
        </w:rPr>
        <w:tab/>
        <w:t xml:space="preserve">En 2016 </w:t>
      </w:r>
      <w:r>
        <w:rPr>
          <w:noProof/>
          <w:lang w:val="fr-FR" w:eastAsia="es-BO"/>
        </w:rPr>
        <w:t>et</w:t>
      </w:r>
      <w:r w:rsidRPr="00DF456A">
        <w:rPr>
          <w:noProof/>
          <w:lang w:val="fr-FR" w:eastAsia="es-BO"/>
        </w:rPr>
        <w:t xml:space="preserve"> 2017</w:t>
      </w:r>
      <w:r>
        <w:rPr>
          <w:noProof/>
          <w:lang w:val="fr-FR" w:eastAsia="es-BO"/>
        </w:rPr>
        <w:t>, les résultats ci-après ont été obtenus pour les travailleurs des zones rurales du pays</w:t>
      </w:r>
      <w:r w:rsidR="000559DC">
        <w:rPr>
          <w:noProof/>
          <w:lang w:val="fr-FR" w:eastAsia="es-BO"/>
        </w:rPr>
        <w:t> </w:t>
      </w:r>
      <w:r w:rsidRPr="00DF456A">
        <w:rPr>
          <w:noProof/>
          <w:lang w:val="fr-FR" w:eastAsia="es-BO"/>
        </w:rPr>
        <w:t>:</w:t>
      </w:r>
    </w:p>
    <w:p w:rsidR="00614A7E" w:rsidRPr="00936A9D" w:rsidRDefault="00614A7E" w:rsidP="00686A3C">
      <w:pPr>
        <w:pStyle w:val="Bullet1G"/>
        <w:rPr>
          <w:noProof/>
          <w:spacing w:val="-2"/>
          <w:lang w:val="fr-FR"/>
        </w:rPr>
      </w:pPr>
      <w:r w:rsidRPr="00936A9D">
        <w:rPr>
          <w:noProof/>
          <w:spacing w:val="-2"/>
          <w:lang w:val="fr-FR"/>
        </w:rPr>
        <w:t>Augmentation de l</w:t>
      </w:r>
      <w:r w:rsidR="00FB1114" w:rsidRPr="00936A9D">
        <w:rPr>
          <w:noProof/>
          <w:spacing w:val="-2"/>
          <w:lang w:val="fr-FR"/>
        </w:rPr>
        <w:t>’</w:t>
      </w:r>
      <w:r w:rsidRPr="00936A9D">
        <w:rPr>
          <w:noProof/>
          <w:spacing w:val="-2"/>
          <w:lang w:val="fr-FR"/>
        </w:rPr>
        <w:t>effectif du Service des droits fondamentaux (Bureaux du travail)</w:t>
      </w:r>
      <w:r w:rsidRPr="00936A9D">
        <w:rPr>
          <w:noProof/>
          <w:spacing w:val="-2"/>
          <w:sz w:val="18"/>
          <w:szCs w:val="18"/>
          <w:vertAlign w:val="superscript"/>
          <w:lang w:val="fr-FR"/>
        </w:rPr>
        <w:footnoteReference w:id="86"/>
      </w:r>
      <w:r w:rsidR="00686A3C" w:rsidRPr="00936A9D">
        <w:rPr>
          <w:noProof/>
          <w:spacing w:val="-2"/>
          <w:lang w:val="fr-FR"/>
        </w:rPr>
        <w:t> ;</w:t>
      </w:r>
    </w:p>
    <w:p w:rsidR="00614A7E" w:rsidRPr="00E81692" w:rsidRDefault="00614A7E" w:rsidP="00686A3C">
      <w:pPr>
        <w:pStyle w:val="Bullet1G"/>
        <w:rPr>
          <w:noProof/>
          <w:lang w:val="fr-FR"/>
        </w:rPr>
      </w:pPr>
      <w:r w:rsidRPr="00DF456A">
        <w:rPr>
          <w:noProof/>
          <w:lang w:val="fr-FR"/>
        </w:rPr>
        <w:t>1</w:t>
      </w:r>
      <w:r w:rsidR="00686A3C">
        <w:rPr>
          <w:noProof/>
          <w:lang w:val="fr-FR"/>
        </w:rPr>
        <w:t> </w:t>
      </w:r>
      <w:r w:rsidRPr="00DF456A">
        <w:rPr>
          <w:noProof/>
          <w:lang w:val="fr-FR"/>
        </w:rPr>
        <w:t>304</w:t>
      </w:r>
      <w:r w:rsidR="00686A3C">
        <w:rPr>
          <w:noProof/>
          <w:lang w:val="fr-FR"/>
        </w:rPr>
        <w:t> </w:t>
      </w:r>
      <w:r w:rsidRPr="00E81692">
        <w:rPr>
          <w:noProof/>
          <w:lang w:val="fr-FR" w:eastAsia="es-BO"/>
        </w:rPr>
        <w:t>i</w:t>
      </w:r>
      <w:r w:rsidRPr="00E81692">
        <w:rPr>
          <w:noProof/>
          <w:lang w:val="fr-FR"/>
        </w:rPr>
        <w:t>nspections réalisées dans les haciendas et les élevages du Chaco, de l</w:t>
      </w:r>
      <w:r w:rsidR="00FB1114">
        <w:rPr>
          <w:noProof/>
          <w:lang w:val="fr-FR"/>
        </w:rPr>
        <w:t>’</w:t>
      </w:r>
      <w:r w:rsidRPr="00E81692">
        <w:rPr>
          <w:noProof/>
          <w:lang w:val="fr-FR"/>
        </w:rPr>
        <w:t>Amazonie et du Nord intégré</w:t>
      </w:r>
      <w:r w:rsidR="00686A3C">
        <w:rPr>
          <w:noProof/>
          <w:lang w:val="fr-FR"/>
        </w:rPr>
        <w:t> ;</w:t>
      </w:r>
    </w:p>
    <w:p w:rsidR="00614A7E" w:rsidRPr="00E81692" w:rsidRDefault="00614A7E" w:rsidP="00686A3C">
      <w:pPr>
        <w:pStyle w:val="Bullet1G"/>
        <w:rPr>
          <w:noProof/>
          <w:lang w:val="fr-FR"/>
        </w:rPr>
      </w:pPr>
      <w:r w:rsidRPr="00E81692">
        <w:rPr>
          <w:noProof/>
          <w:lang w:val="fr-FR"/>
        </w:rPr>
        <w:lastRenderedPageBreak/>
        <w:t>1</w:t>
      </w:r>
      <w:r w:rsidR="00686A3C">
        <w:rPr>
          <w:noProof/>
          <w:lang w:val="fr-FR"/>
        </w:rPr>
        <w:t> </w:t>
      </w:r>
      <w:r w:rsidRPr="00E81692">
        <w:rPr>
          <w:noProof/>
          <w:lang w:val="fr-FR"/>
        </w:rPr>
        <w:t>235</w:t>
      </w:r>
      <w:r w:rsidR="00686A3C">
        <w:rPr>
          <w:noProof/>
          <w:lang w:val="fr-FR"/>
        </w:rPr>
        <w:t> </w:t>
      </w:r>
      <w:r w:rsidRPr="00E81692">
        <w:rPr>
          <w:noProof/>
          <w:lang w:val="fr-FR" w:eastAsia="es-BO"/>
        </w:rPr>
        <w:t>audiences portant sur le règlement des litiges concernant la suppression de prestations sociales auxquelles les travailleuses et travailleurs ont accès</w:t>
      </w:r>
      <w:r w:rsidR="00686A3C">
        <w:rPr>
          <w:noProof/>
          <w:lang w:val="fr-FR" w:eastAsia="es-BO"/>
        </w:rPr>
        <w:t> ;</w:t>
      </w:r>
    </w:p>
    <w:p w:rsidR="00614A7E" w:rsidRPr="00E81692" w:rsidRDefault="00614A7E" w:rsidP="00686A3C">
      <w:pPr>
        <w:pStyle w:val="Bullet1G"/>
        <w:rPr>
          <w:noProof/>
          <w:lang w:val="fr-FR"/>
        </w:rPr>
      </w:pPr>
      <w:r w:rsidRPr="00E81692">
        <w:rPr>
          <w:noProof/>
          <w:lang w:val="fr-FR"/>
        </w:rPr>
        <w:t>4</w:t>
      </w:r>
      <w:r w:rsidR="00686A3C">
        <w:rPr>
          <w:noProof/>
          <w:lang w:val="fr-FR"/>
        </w:rPr>
        <w:t> </w:t>
      </w:r>
      <w:r w:rsidRPr="00E81692">
        <w:rPr>
          <w:noProof/>
          <w:lang w:val="fr-FR"/>
        </w:rPr>
        <w:t>011</w:t>
      </w:r>
      <w:r w:rsidR="00686A3C">
        <w:rPr>
          <w:noProof/>
          <w:lang w:val="fr-FR"/>
        </w:rPr>
        <w:t> </w:t>
      </w:r>
      <w:r w:rsidRPr="00E81692">
        <w:rPr>
          <w:noProof/>
          <w:lang w:val="fr-FR" w:eastAsia="es-BO"/>
        </w:rPr>
        <w:t xml:space="preserve">travailleuses et travailleurs </w:t>
      </w:r>
      <w:r w:rsidRPr="00E81692">
        <w:rPr>
          <w:noProof/>
          <w:lang w:val="fr-FR"/>
        </w:rPr>
        <w:t xml:space="preserve">appartenant aux peuples autochtones </w:t>
      </w:r>
      <w:r w:rsidRPr="00E81692">
        <w:rPr>
          <w:noProof/>
          <w:lang w:val="fr-FR" w:eastAsia="es-BO"/>
        </w:rPr>
        <w:t xml:space="preserve">ont participé à des </w:t>
      </w:r>
      <w:r w:rsidRPr="00E81692">
        <w:rPr>
          <w:noProof/>
          <w:lang w:val="fr-FR"/>
        </w:rPr>
        <w:t>ateliers de présentation et de diffusion des droits sociaux et professionnels</w:t>
      </w:r>
      <w:r w:rsidR="00686A3C">
        <w:rPr>
          <w:noProof/>
          <w:lang w:val="fr-FR"/>
        </w:rPr>
        <w:t> ;</w:t>
      </w:r>
    </w:p>
    <w:p w:rsidR="00614A7E" w:rsidRPr="00E81692" w:rsidRDefault="00614A7E" w:rsidP="00686A3C">
      <w:pPr>
        <w:pStyle w:val="Bullet1G"/>
        <w:rPr>
          <w:noProof/>
          <w:lang w:val="fr-FR"/>
        </w:rPr>
      </w:pPr>
      <w:r w:rsidRPr="00E81692">
        <w:rPr>
          <w:noProof/>
          <w:lang w:val="fr-FR"/>
        </w:rPr>
        <w:t>5</w:t>
      </w:r>
      <w:r w:rsidR="00686A3C">
        <w:rPr>
          <w:noProof/>
          <w:lang w:val="fr-FR"/>
        </w:rPr>
        <w:t> </w:t>
      </w:r>
      <w:r w:rsidRPr="00E81692">
        <w:rPr>
          <w:noProof/>
          <w:lang w:val="fr-FR"/>
        </w:rPr>
        <w:t>585</w:t>
      </w:r>
      <w:r w:rsidR="00686A3C">
        <w:rPr>
          <w:noProof/>
          <w:lang w:val="fr-FR"/>
        </w:rPr>
        <w:t> </w:t>
      </w:r>
      <w:r w:rsidRPr="00E81692">
        <w:rPr>
          <w:noProof/>
          <w:lang w:val="fr-FR"/>
        </w:rPr>
        <w:t>cas traités d</w:t>
      </w:r>
      <w:r w:rsidR="00FB1114">
        <w:rPr>
          <w:noProof/>
          <w:lang w:val="fr-FR"/>
        </w:rPr>
        <w:t>’</w:t>
      </w:r>
      <w:r w:rsidRPr="00E81692">
        <w:rPr>
          <w:noProof/>
          <w:lang w:val="fr-FR"/>
        </w:rPr>
        <w:t xml:space="preserve">atteinte aux </w:t>
      </w:r>
      <w:r w:rsidRPr="00E81692">
        <w:rPr>
          <w:noProof/>
          <w:lang w:val="fr-FR" w:eastAsia="es-BO"/>
        </w:rPr>
        <w:t>droits sociaux et professionnels</w:t>
      </w:r>
      <w:r w:rsidR="00686A3C">
        <w:rPr>
          <w:noProof/>
          <w:lang w:val="fr-FR" w:eastAsia="es-BO"/>
        </w:rPr>
        <w:t> ;</w:t>
      </w:r>
    </w:p>
    <w:p w:rsidR="00614A7E" w:rsidRPr="00DF456A" w:rsidRDefault="00614A7E" w:rsidP="00686A3C">
      <w:pPr>
        <w:pStyle w:val="Bullet1G"/>
        <w:rPr>
          <w:noProof/>
          <w:lang w:val="fr-FR"/>
        </w:rPr>
      </w:pPr>
      <w:r w:rsidRPr="00E81692">
        <w:rPr>
          <w:noProof/>
          <w:lang w:val="fr-FR"/>
        </w:rPr>
        <w:t>Les audiences de règlement des conflits du travail ont permis</w:t>
      </w:r>
      <w:r>
        <w:rPr>
          <w:noProof/>
          <w:lang w:val="fr-FR"/>
        </w:rPr>
        <w:t xml:space="preserve"> de récupérer </w:t>
      </w:r>
      <w:r w:rsidRPr="00DF456A">
        <w:rPr>
          <w:noProof/>
          <w:lang w:val="fr-FR"/>
        </w:rPr>
        <w:t>5</w:t>
      </w:r>
      <w:r>
        <w:rPr>
          <w:noProof/>
          <w:lang w:val="fr-FR"/>
        </w:rPr>
        <w:t> </w:t>
      </w:r>
      <w:r w:rsidRPr="00DF456A">
        <w:rPr>
          <w:noProof/>
          <w:lang w:val="fr-FR"/>
        </w:rPr>
        <w:t>536</w:t>
      </w:r>
      <w:r w:rsidR="00686A3C">
        <w:rPr>
          <w:noProof/>
          <w:lang w:val="fr-FR"/>
        </w:rPr>
        <w:t> </w:t>
      </w:r>
      <w:r w:rsidRPr="00DF456A">
        <w:rPr>
          <w:noProof/>
          <w:lang w:val="fr-FR"/>
        </w:rPr>
        <w:t>653</w:t>
      </w:r>
      <w:r w:rsidR="00686A3C">
        <w:rPr>
          <w:noProof/>
          <w:lang w:val="fr-FR"/>
        </w:rPr>
        <w:t> </w:t>
      </w:r>
      <w:r>
        <w:rPr>
          <w:noProof/>
          <w:lang w:val="fr-FR"/>
        </w:rPr>
        <w:t>bolivianos</w:t>
      </w:r>
      <w:r w:rsidR="00686A3C">
        <w:rPr>
          <w:noProof/>
          <w:lang w:val="fr-FR"/>
        </w:rPr>
        <w:t> ;</w:t>
      </w:r>
    </w:p>
    <w:p w:rsidR="00614A7E" w:rsidRPr="00DF456A" w:rsidRDefault="00614A7E" w:rsidP="00686A3C">
      <w:pPr>
        <w:pStyle w:val="Bullet1G"/>
        <w:rPr>
          <w:noProof/>
          <w:lang w:val="fr-FR"/>
        </w:rPr>
      </w:pPr>
      <w:r w:rsidRPr="00DF456A">
        <w:rPr>
          <w:noProof/>
          <w:lang w:val="fr-FR"/>
        </w:rPr>
        <w:t>172</w:t>
      </w:r>
      <w:r w:rsidR="00686A3C">
        <w:rPr>
          <w:noProof/>
          <w:lang w:val="fr-FR"/>
        </w:rPr>
        <w:t> </w:t>
      </w:r>
      <w:r w:rsidRPr="00E81692">
        <w:rPr>
          <w:noProof/>
          <w:lang w:val="fr-FR" w:eastAsia="es-BO"/>
        </w:rPr>
        <w:t xml:space="preserve">affaires renvoyées </w:t>
      </w:r>
      <w:r w:rsidRPr="00E81692">
        <w:rPr>
          <w:noProof/>
          <w:lang w:val="fr-FR"/>
        </w:rPr>
        <w:t>devant la juridiction du travail</w:t>
      </w:r>
      <w:r w:rsidR="00686A3C">
        <w:rPr>
          <w:noProof/>
          <w:lang w:val="fr-FR"/>
        </w:rPr>
        <w:t> ;</w:t>
      </w:r>
    </w:p>
    <w:p w:rsidR="00614A7E" w:rsidRPr="00DF456A" w:rsidRDefault="00614A7E" w:rsidP="00686A3C">
      <w:pPr>
        <w:pStyle w:val="Bullet1G"/>
        <w:rPr>
          <w:noProof/>
          <w:lang w:val="fr-FR"/>
        </w:rPr>
      </w:pPr>
      <w:r w:rsidRPr="00DF456A">
        <w:rPr>
          <w:noProof/>
          <w:lang w:val="fr-FR"/>
        </w:rPr>
        <w:t>3</w:t>
      </w:r>
      <w:r w:rsidR="00686A3C">
        <w:rPr>
          <w:noProof/>
          <w:lang w:val="fr-FR"/>
        </w:rPr>
        <w:t> </w:t>
      </w:r>
      <w:r>
        <w:rPr>
          <w:noProof/>
          <w:lang w:val="fr-FR" w:eastAsia="es-BO"/>
        </w:rPr>
        <w:t xml:space="preserve">affaires renvoyées devant </w:t>
      </w:r>
      <w:r>
        <w:rPr>
          <w:noProof/>
          <w:lang w:val="fr-FR"/>
        </w:rPr>
        <w:t>l</w:t>
      </w:r>
      <w:r w:rsidR="00FB1114">
        <w:rPr>
          <w:noProof/>
          <w:lang w:val="fr-FR"/>
        </w:rPr>
        <w:t>’</w:t>
      </w:r>
      <w:r>
        <w:rPr>
          <w:noProof/>
          <w:lang w:val="fr-FR"/>
        </w:rPr>
        <w:t>Institut national de la réforme agraire</w:t>
      </w:r>
      <w:r w:rsidR="00686A3C">
        <w:rPr>
          <w:noProof/>
          <w:lang w:val="fr-FR"/>
        </w:rPr>
        <w:t> ;</w:t>
      </w:r>
    </w:p>
    <w:p w:rsidR="00614A7E" w:rsidRPr="00DF456A" w:rsidRDefault="00614A7E" w:rsidP="00686A3C">
      <w:pPr>
        <w:pStyle w:val="Bullet1G"/>
        <w:rPr>
          <w:noProof/>
          <w:lang w:val="fr-FR"/>
        </w:rPr>
      </w:pPr>
      <w:r w:rsidRPr="00DF456A">
        <w:rPr>
          <w:noProof/>
          <w:lang w:val="fr-FR"/>
        </w:rPr>
        <w:t>122</w:t>
      </w:r>
      <w:r w:rsidR="00686A3C">
        <w:rPr>
          <w:noProof/>
          <w:lang w:val="fr-FR"/>
        </w:rPr>
        <w:t> </w:t>
      </w:r>
      <w:r w:rsidRPr="00DF456A">
        <w:rPr>
          <w:noProof/>
          <w:lang w:val="fr-FR" w:eastAsia="es-BO"/>
        </w:rPr>
        <w:t>e</w:t>
      </w:r>
      <w:r>
        <w:rPr>
          <w:noProof/>
          <w:lang w:val="fr-FR" w:eastAsia="es-BO"/>
        </w:rPr>
        <w:t>ntreprises agricoles inscrites au Registre obligatoire des employeurs</w:t>
      </w:r>
      <w:r w:rsidR="00686A3C">
        <w:rPr>
          <w:noProof/>
          <w:lang w:val="fr-FR" w:eastAsia="es-BO"/>
        </w:rPr>
        <w:t> </w:t>
      </w:r>
      <w:r w:rsidR="00686A3C">
        <w:rPr>
          <w:noProof/>
          <w:lang w:val="fr-FR"/>
        </w:rPr>
        <w:t>;</w:t>
      </w:r>
    </w:p>
    <w:p w:rsidR="00614A7E" w:rsidRPr="00DF456A" w:rsidRDefault="00614A7E" w:rsidP="00686A3C">
      <w:pPr>
        <w:pStyle w:val="Bullet1G"/>
        <w:rPr>
          <w:noProof/>
          <w:lang w:val="fr-FR"/>
        </w:rPr>
      </w:pPr>
      <w:r w:rsidRPr="00DF456A">
        <w:rPr>
          <w:noProof/>
          <w:lang w:val="fr-FR"/>
        </w:rPr>
        <w:t>20</w:t>
      </w:r>
      <w:r w:rsidR="00686A3C">
        <w:rPr>
          <w:noProof/>
          <w:lang w:val="fr-FR"/>
        </w:rPr>
        <w:t> </w:t>
      </w:r>
      <w:r>
        <w:rPr>
          <w:noProof/>
          <w:lang w:val="fr-FR"/>
        </w:rPr>
        <w:t>bureaux mobiles intégraux mis en place et</w:t>
      </w:r>
      <w:r w:rsidRPr="00DF456A">
        <w:rPr>
          <w:noProof/>
          <w:lang w:val="fr-FR"/>
        </w:rPr>
        <w:t>.</w:t>
      </w:r>
    </w:p>
    <w:p w:rsidR="00614A7E" w:rsidRPr="00DF456A" w:rsidRDefault="00614A7E" w:rsidP="00614A7E">
      <w:pPr>
        <w:pStyle w:val="SingleTxtG"/>
        <w:rPr>
          <w:noProof/>
          <w:lang w:val="fr-FR" w:eastAsia="es-BO"/>
        </w:rPr>
      </w:pPr>
      <w:r w:rsidRPr="00DF456A">
        <w:rPr>
          <w:noProof/>
          <w:lang w:val="fr-FR" w:eastAsia="es-BO"/>
        </w:rPr>
        <w:t>236.</w:t>
      </w:r>
      <w:r w:rsidRPr="00DF456A">
        <w:rPr>
          <w:noProof/>
          <w:lang w:val="fr-FR" w:eastAsia="es-BO"/>
        </w:rPr>
        <w:tab/>
      </w:r>
      <w:r>
        <w:rPr>
          <w:noProof/>
          <w:lang w:val="fr-FR" w:eastAsia="es-BO"/>
        </w:rPr>
        <w:t>À l</w:t>
      </w:r>
      <w:r w:rsidR="00FB1114">
        <w:rPr>
          <w:noProof/>
          <w:lang w:val="fr-FR" w:eastAsia="es-BO"/>
        </w:rPr>
        <w:t>’</w:t>
      </w:r>
      <w:r>
        <w:rPr>
          <w:noProof/>
          <w:lang w:val="fr-FR" w:eastAsia="es-BO"/>
        </w:rPr>
        <w:t>heure actuelle, les activités conçues par l</w:t>
      </w:r>
      <w:r w:rsidR="00FB1114">
        <w:rPr>
          <w:noProof/>
          <w:lang w:val="fr-FR" w:eastAsia="es-BO"/>
        </w:rPr>
        <w:t>’</w:t>
      </w:r>
      <w:r>
        <w:rPr>
          <w:noProof/>
          <w:lang w:val="fr-FR" w:eastAsia="es-BO"/>
        </w:rPr>
        <w:t>État bolivien, exécutées à l</w:t>
      </w:r>
      <w:r w:rsidR="00FB1114">
        <w:rPr>
          <w:noProof/>
          <w:lang w:val="fr-FR" w:eastAsia="es-BO"/>
        </w:rPr>
        <w:t>’</w:t>
      </w:r>
      <w:r>
        <w:rPr>
          <w:noProof/>
          <w:lang w:val="fr-FR" w:eastAsia="es-BO"/>
        </w:rPr>
        <w:t>aide de ses propres ressources, visent à redonner la dignité aux salarié(e)s des zones rurales, qui appartiennent dans leur majorité aux peuples autochtones, exerçant ainsi le mandat confié par la Constitution et les instruments internationaux et exécutant l</w:t>
      </w:r>
      <w:r w:rsidR="00FB1114">
        <w:rPr>
          <w:noProof/>
          <w:lang w:val="fr-FR" w:eastAsia="es-BO"/>
        </w:rPr>
        <w:t>’</w:t>
      </w:r>
      <w:r>
        <w:rPr>
          <w:noProof/>
          <w:lang w:val="fr-FR" w:eastAsia="es-BO"/>
        </w:rPr>
        <w:t>obligation incombant à l</w:t>
      </w:r>
      <w:r w:rsidR="00FB1114">
        <w:rPr>
          <w:noProof/>
          <w:lang w:val="fr-FR" w:eastAsia="es-BO"/>
        </w:rPr>
        <w:t>’</w:t>
      </w:r>
      <w:r>
        <w:rPr>
          <w:noProof/>
          <w:lang w:val="fr-FR" w:eastAsia="es-BO"/>
        </w:rPr>
        <w:t>État de protéger et de rétablir les droits fondamentaux et les droits sociaux et professionnels</w:t>
      </w:r>
      <w:r w:rsidRPr="00DF456A">
        <w:rPr>
          <w:rFonts w:eastAsia="Calibri"/>
          <w:noProof/>
          <w:lang w:val="fr-FR" w:eastAsia="es-BO"/>
        </w:rPr>
        <w:t>.</w:t>
      </w:r>
    </w:p>
    <w:p w:rsidR="00614A7E" w:rsidRPr="00476CF2" w:rsidRDefault="00476CF2" w:rsidP="00476CF2">
      <w:pPr>
        <w:pStyle w:val="H1G"/>
      </w:pPr>
      <w:r>
        <w:rPr>
          <w:noProof/>
          <w:lang w:val="fr-FR" w:eastAsia="es-BO"/>
        </w:rPr>
        <w:tab/>
      </w:r>
      <w:r>
        <w:rPr>
          <w:noProof/>
          <w:lang w:val="fr-FR" w:eastAsia="es-BO"/>
        </w:rPr>
        <w:tab/>
      </w:r>
      <w:r w:rsidR="00614A7E">
        <w:rPr>
          <w:noProof/>
          <w:lang w:val="fr-FR" w:eastAsia="es-BO"/>
        </w:rPr>
        <w:t>Autres questions</w:t>
      </w:r>
    </w:p>
    <w:p w:rsidR="00614A7E" w:rsidRPr="00476CF2" w:rsidRDefault="00614A7E" w:rsidP="00476CF2">
      <w:pPr>
        <w:pStyle w:val="H23G"/>
      </w:pPr>
      <w:r w:rsidRPr="00DF456A">
        <w:rPr>
          <w:noProof/>
          <w:lang w:val="fr-FR" w:eastAsia="es-BO"/>
        </w:rPr>
        <w:tab/>
      </w:r>
      <w:r w:rsidRPr="00DF456A">
        <w:rPr>
          <w:noProof/>
          <w:lang w:val="fr-FR" w:eastAsia="es-BO"/>
        </w:rPr>
        <w:tab/>
        <w:t>Recom</w:t>
      </w:r>
      <w:r>
        <w:rPr>
          <w:noProof/>
          <w:lang w:val="fr-FR" w:eastAsia="es-BO"/>
        </w:rPr>
        <w:t xml:space="preserve">mandation figurant au paragraphe </w:t>
      </w:r>
      <w:r w:rsidRPr="00DF456A">
        <w:rPr>
          <w:noProof/>
          <w:lang w:val="fr-FR" w:eastAsia="es-BO"/>
        </w:rPr>
        <w:t>25</w:t>
      </w:r>
    </w:p>
    <w:p w:rsidR="00614A7E" w:rsidRPr="00DF456A" w:rsidRDefault="00614A7E" w:rsidP="00614A7E">
      <w:pPr>
        <w:pStyle w:val="SingleTxtG"/>
        <w:rPr>
          <w:noProof/>
          <w:lang w:val="fr-FR" w:eastAsia="es-BO"/>
        </w:rPr>
      </w:pPr>
      <w:r w:rsidRPr="00DF456A">
        <w:rPr>
          <w:noProof/>
          <w:lang w:val="fr-FR" w:eastAsia="es-BO"/>
        </w:rPr>
        <w:t>237.</w:t>
      </w:r>
      <w:r w:rsidRPr="00DF456A">
        <w:rPr>
          <w:noProof/>
          <w:lang w:val="fr-FR" w:eastAsia="es-BO"/>
        </w:rPr>
        <w:tab/>
      </w:r>
      <w:r>
        <w:rPr>
          <w:noProof/>
          <w:lang w:val="fr-FR" w:eastAsia="es-BO"/>
        </w:rPr>
        <w:t xml:space="preserve">Le </w:t>
      </w:r>
      <w:r w:rsidRPr="00DF456A">
        <w:rPr>
          <w:noProof/>
          <w:lang w:val="fr-FR" w:eastAsia="es-BO"/>
        </w:rPr>
        <w:t>27</w:t>
      </w:r>
      <w:r w:rsidR="00476CF2">
        <w:rPr>
          <w:noProof/>
          <w:lang w:val="fr-FR" w:eastAsia="es-BO"/>
        </w:rPr>
        <w:t> </w:t>
      </w:r>
      <w:r>
        <w:rPr>
          <w:noProof/>
          <w:lang w:val="fr-FR" w:eastAsia="es-BO"/>
        </w:rPr>
        <w:t xml:space="preserve">mai </w:t>
      </w:r>
      <w:r w:rsidRPr="00DF456A">
        <w:rPr>
          <w:noProof/>
          <w:lang w:val="fr-FR" w:eastAsia="es-BO"/>
        </w:rPr>
        <w:t xml:space="preserve">2013, </w:t>
      </w:r>
      <w:r>
        <w:rPr>
          <w:noProof/>
          <w:lang w:val="fr-FR" w:eastAsia="es-BO"/>
        </w:rPr>
        <w:t>l</w:t>
      </w:r>
      <w:r w:rsidR="00FB1114">
        <w:rPr>
          <w:noProof/>
          <w:lang w:val="fr-FR" w:eastAsia="es-BO"/>
        </w:rPr>
        <w:t>’</w:t>
      </w:r>
      <w:r>
        <w:rPr>
          <w:noProof/>
          <w:lang w:val="fr-FR" w:eastAsia="es-BO"/>
        </w:rPr>
        <w:t>État bolivien a adopté l</w:t>
      </w:r>
      <w:r w:rsidR="00FB1114">
        <w:rPr>
          <w:noProof/>
          <w:lang w:val="fr-FR" w:eastAsia="es-BO"/>
        </w:rPr>
        <w:t>’</w:t>
      </w:r>
      <w:r>
        <w:rPr>
          <w:noProof/>
          <w:lang w:val="fr-FR" w:eastAsia="es-BO"/>
        </w:rPr>
        <w:t>instrument</w:t>
      </w:r>
      <w:r w:rsidRPr="00DF456A">
        <w:rPr>
          <w:noProof/>
          <w:lang w:val="fr-FR" w:eastAsia="es-BO"/>
        </w:rPr>
        <w:t xml:space="preserve"> de ratifica</w:t>
      </w:r>
      <w:r>
        <w:rPr>
          <w:noProof/>
          <w:lang w:val="fr-FR" w:eastAsia="es-BO"/>
        </w:rPr>
        <w:t xml:space="preserve">tion du </w:t>
      </w:r>
      <w:r w:rsidRPr="00DF456A">
        <w:rPr>
          <w:noProof/>
          <w:lang w:val="fr-FR" w:eastAsia="es-BO"/>
        </w:rPr>
        <w:t>Protocol</w:t>
      </w:r>
      <w:r>
        <w:rPr>
          <w:noProof/>
          <w:lang w:val="fr-FR" w:eastAsia="es-BO"/>
        </w:rPr>
        <w:t xml:space="preserve">e facultatif </w:t>
      </w:r>
      <w:r>
        <w:rPr>
          <w:rFonts w:eastAsia="Times New Roman"/>
          <w:lang w:val="fr-FR" w:eastAsia="zh-CN"/>
        </w:rPr>
        <w:t>se rapportant au Pacte international relatif aux droits civils et politiques, visant à</w:t>
      </w:r>
      <w:r w:rsidRPr="00DF456A">
        <w:rPr>
          <w:noProof/>
          <w:lang w:val="fr-FR" w:eastAsia="es-BO"/>
        </w:rPr>
        <w:t xml:space="preserve"> </w:t>
      </w:r>
      <w:r>
        <w:rPr>
          <w:rFonts w:eastAsia="Times New Roman"/>
          <w:lang w:val="fr-FR" w:eastAsia="zh-CN"/>
        </w:rPr>
        <w:t>abolir la peine de mort</w:t>
      </w:r>
      <w:r w:rsidRPr="00DF456A">
        <w:rPr>
          <w:noProof/>
          <w:lang w:val="fr-FR" w:eastAsia="es-BO"/>
        </w:rPr>
        <w:t xml:space="preserve">, </w:t>
      </w:r>
      <w:r>
        <w:rPr>
          <w:noProof/>
          <w:lang w:val="fr-FR" w:eastAsia="es-BO"/>
        </w:rPr>
        <w:t>qui a été déposé le 12</w:t>
      </w:r>
      <w:r w:rsidR="00476CF2">
        <w:rPr>
          <w:noProof/>
          <w:lang w:val="fr-FR" w:eastAsia="es-BO"/>
        </w:rPr>
        <w:t> </w:t>
      </w:r>
      <w:r>
        <w:rPr>
          <w:noProof/>
          <w:lang w:val="fr-FR" w:eastAsia="es-BO"/>
        </w:rPr>
        <w:t xml:space="preserve">juillet de la même année </w:t>
      </w:r>
      <w:r w:rsidRPr="00DF456A">
        <w:rPr>
          <w:noProof/>
          <w:lang w:val="fr-FR" w:eastAsia="es-BO"/>
        </w:rPr>
        <w:t>(</w:t>
      </w:r>
      <w:r>
        <w:rPr>
          <w:noProof/>
          <w:lang w:val="fr-FR" w:eastAsia="es-BO"/>
        </w:rPr>
        <w:t>annexe</w:t>
      </w:r>
      <w:r w:rsidRPr="00DF456A">
        <w:rPr>
          <w:noProof/>
          <w:lang w:val="fr-FR" w:eastAsia="es-BO"/>
        </w:rPr>
        <w:t> 84).</w:t>
      </w:r>
    </w:p>
    <w:p w:rsidR="00614A7E" w:rsidRPr="00DF456A" w:rsidRDefault="00614A7E" w:rsidP="00614A7E">
      <w:pPr>
        <w:pStyle w:val="SingleTxtG"/>
        <w:rPr>
          <w:noProof/>
          <w:lang w:val="fr-FR" w:eastAsia="es-BO"/>
        </w:rPr>
      </w:pPr>
      <w:r w:rsidRPr="00DF456A">
        <w:rPr>
          <w:noProof/>
          <w:lang w:val="fr-FR" w:eastAsia="es-BO"/>
        </w:rPr>
        <w:t>238.</w:t>
      </w:r>
      <w:r w:rsidRPr="00DF456A">
        <w:rPr>
          <w:noProof/>
          <w:lang w:val="fr-FR" w:eastAsia="es-BO"/>
        </w:rPr>
        <w:tab/>
      </w:r>
      <w:r>
        <w:rPr>
          <w:noProof/>
          <w:lang w:val="fr-FR" w:eastAsia="es-BO"/>
        </w:rPr>
        <w:t>De même, dans le contexte interamé</w:t>
      </w:r>
      <w:r w:rsidRPr="00DF456A">
        <w:rPr>
          <w:noProof/>
          <w:lang w:val="fr-FR" w:eastAsia="es-BO"/>
        </w:rPr>
        <w:t>rica</w:t>
      </w:r>
      <w:r>
        <w:rPr>
          <w:noProof/>
          <w:lang w:val="fr-FR" w:eastAsia="es-BO"/>
        </w:rPr>
        <w:t>in</w:t>
      </w:r>
      <w:r w:rsidRPr="00DF456A">
        <w:rPr>
          <w:noProof/>
          <w:lang w:val="fr-FR" w:eastAsia="es-BO"/>
        </w:rPr>
        <w:t xml:space="preserve">, </w:t>
      </w:r>
      <w:r>
        <w:rPr>
          <w:noProof/>
          <w:lang w:val="fr-FR" w:eastAsia="es-BO"/>
        </w:rPr>
        <w:t xml:space="preserve">la Bolivie a, par la loi </w:t>
      </w:r>
      <w:r w:rsidR="0094262C" w:rsidRPr="00AD55D6">
        <w:rPr>
          <w:rFonts w:eastAsia="MS Mincho"/>
          <w:noProof/>
          <w:szCs w:val="22"/>
          <w:lang w:val="fr-FR" w:eastAsia="es-BO"/>
        </w:rPr>
        <w:t>n</w:t>
      </w:r>
      <w:r w:rsidR="0094262C" w:rsidRPr="00AD55D6">
        <w:rPr>
          <w:rFonts w:eastAsia="MS Mincho"/>
          <w:noProof/>
          <w:szCs w:val="22"/>
          <w:vertAlign w:val="superscript"/>
          <w:lang w:val="fr-FR" w:eastAsia="es-BO"/>
        </w:rPr>
        <w:t>o</w:t>
      </w:r>
      <w:r w:rsidR="0094262C">
        <w:rPr>
          <w:noProof/>
          <w:lang w:val="fr-FR" w:eastAsia="es-BO"/>
        </w:rPr>
        <w:t> </w:t>
      </w:r>
      <w:r>
        <w:rPr>
          <w:noProof/>
          <w:lang w:val="fr-FR" w:eastAsia="es-BO"/>
        </w:rPr>
        <w:t>1011 du</w:t>
      </w:r>
      <w:r w:rsidRPr="00DF456A">
        <w:rPr>
          <w:noProof/>
          <w:lang w:val="fr-FR" w:eastAsia="es-BO"/>
        </w:rPr>
        <w:t xml:space="preserve"> 26</w:t>
      </w:r>
      <w:r w:rsidR="0094262C">
        <w:rPr>
          <w:noProof/>
          <w:lang w:val="fr-FR" w:eastAsia="es-BO"/>
        </w:rPr>
        <w:t> </w:t>
      </w:r>
      <w:r w:rsidRPr="00DF456A">
        <w:rPr>
          <w:noProof/>
          <w:lang w:val="fr-FR" w:eastAsia="es-BO"/>
        </w:rPr>
        <w:t>d</w:t>
      </w:r>
      <w:r>
        <w:rPr>
          <w:noProof/>
          <w:lang w:val="fr-FR" w:eastAsia="es-BO"/>
        </w:rPr>
        <w:t>é</w:t>
      </w:r>
      <w:r w:rsidRPr="00DF456A">
        <w:rPr>
          <w:noProof/>
          <w:lang w:val="fr-FR" w:eastAsia="es-BO"/>
        </w:rPr>
        <w:t>cembre 2017, ratifi</w:t>
      </w:r>
      <w:r>
        <w:rPr>
          <w:noProof/>
          <w:lang w:val="fr-FR" w:eastAsia="es-BO"/>
        </w:rPr>
        <w:t>é le « </w:t>
      </w:r>
      <w:r w:rsidRPr="004978EA">
        <w:rPr>
          <w:noProof/>
          <w:lang w:val="fr-FR"/>
        </w:rPr>
        <w:t>Protocole additionnel à la Convention américaine relative aux droits de l</w:t>
      </w:r>
      <w:r w:rsidR="00FB1114">
        <w:rPr>
          <w:noProof/>
          <w:lang w:val="fr-FR"/>
        </w:rPr>
        <w:t>’</w:t>
      </w:r>
      <w:r w:rsidRPr="004978EA">
        <w:rPr>
          <w:noProof/>
          <w:lang w:val="fr-FR"/>
        </w:rPr>
        <w:t>homme traitant de l</w:t>
      </w:r>
      <w:r w:rsidR="00FB1114">
        <w:rPr>
          <w:noProof/>
          <w:lang w:val="fr-FR"/>
        </w:rPr>
        <w:t>’</w:t>
      </w:r>
      <w:r w:rsidRPr="004978EA">
        <w:rPr>
          <w:noProof/>
          <w:lang w:val="fr-FR"/>
        </w:rPr>
        <w:t>abolition de la peine de mort</w:t>
      </w:r>
      <w:r w:rsidR="0094262C">
        <w:rPr>
          <w:lang w:val="fr-FR"/>
        </w:rPr>
        <w:t> </w:t>
      </w:r>
      <w:r>
        <w:rPr>
          <w:noProof/>
          <w:lang w:val="fr-FR" w:eastAsia="es-BO"/>
        </w:rPr>
        <w:t>»</w:t>
      </w:r>
      <w:r w:rsidRPr="00DF456A">
        <w:rPr>
          <w:noProof/>
          <w:lang w:val="fr-FR" w:eastAsia="es-BO"/>
        </w:rPr>
        <w:t xml:space="preserve">, </w:t>
      </w:r>
      <w:r>
        <w:rPr>
          <w:noProof/>
          <w:lang w:val="fr-FR" w:eastAsia="es-BO"/>
        </w:rPr>
        <w:t>témoignant ainsi de la force de l</w:t>
      </w:r>
      <w:r w:rsidR="00FB1114">
        <w:rPr>
          <w:noProof/>
          <w:lang w:val="fr-FR" w:eastAsia="es-BO"/>
        </w:rPr>
        <w:t>’</w:t>
      </w:r>
      <w:r>
        <w:rPr>
          <w:noProof/>
          <w:lang w:val="fr-FR" w:eastAsia="es-BO"/>
        </w:rPr>
        <w:t>engagement de l</w:t>
      </w:r>
      <w:r w:rsidR="00FB1114">
        <w:rPr>
          <w:noProof/>
          <w:lang w:val="fr-FR" w:eastAsia="es-BO"/>
        </w:rPr>
        <w:t>’</w:t>
      </w:r>
      <w:r>
        <w:rPr>
          <w:noProof/>
          <w:lang w:val="fr-FR" w:eastAsia="es-BO"/>
        </w:rPr>
        <w:t>État à l</w:t>
      </w:r>
      <w:r w:rsidR="00FB1114">
        <w:rPr>
          <w:noProof/>
          <w:lang w:val="fr-FR" w:eastAsia="es-BO"/>
        </w:rPr>
        <w:t>’</w:t>
      </w:r>
      <w:r>
        <w:rPr>
          <w:noProof/>
          <w:lang w:val="fr-FR" w:eastAsia="es-BO"/>
        </w:rPr>
        <w:t xml:space="preserve">égard des droits de la personne </w:t>
      </w:r>
      <w:r w:rsidRPr="00DF456A">
        <w:rPr>
          <w:noProof/>
          <w:lang w:val="fr-FR" w:eastAsia="es-BO"/>
        </w:rPr>
        <w:t>(</w:t>
      </w:r>
      <w:r>
        <w:rPr>
          <w:noProof/>
          <w:lang w:val="fr-FR" w:eastAsia="es-BO"/>
        </w:rPr>
        <w:t>annexe</w:t>
      </w:r>
      <w:r w:rsidR="0094262C">
        <w:rPr>
          <w:noProof/>
          <w:lang w:val="fr-FR" w:eastAsia="es-BO"/>
        </w:rPr>
        <w:t> </w:t>
      </w:r>
      <w:r w:rsidRPr="00DF456A">
        <w:rPr>
          <w:noProof/>
          <w:lang w:val="fr-FR" w:eastAsia="es-BO"/>
        </w:rPr>
        <w:t>85).</w:t>
      </w:r>
    </w:p>
    <w:p w:rsidR="00614A7E" w:rsidRPr="00DF456A" w:rsidRDefault="00614A7E" w:rsidP="0094262C">
      <w:pPr>
        <w:pStyle w:val="H23G"/>
        <w:rPr>
          <w:noProof/>
          <w:lang w:val="fr-FR" w:eastAsia="es-BO"/>
        </w:rPr>
      </w:pPr>
      <w:r w:rsidRPr="00DF456A">
        <w:rPr>
          <w:noProof/>
          <w:lang w:val="fr-FR" w:eastAsia="es-BO"/>
        </w:rPr>
        <w:tab/>
      </w:r>
      <w:r w:rsidRPr="00DF456A">
        <w:rPr>
          <w:noProof/>
          <w:lang w:val="fr-FR" w:eastAsia="es-BO"/>
        </w:rPr>
        <w:tab/>
      </w:r>
      <w:r w:rsidRPr="0094262C">
        <w:t>Recommandation</w:t>
      </w:r>
      <w:r>
        <w:rPr>
          <w:noProof/>
          <w:lang w:val="fr-FR" w:eastAsia="es-BO"/>
        </w:rPr>
        <w:t xml:space="preserve"> figurant au paragraphe </w:t>
      </w:r>
      <w:r w:rsidRPr="00DF456A">
        <w:rPr>
          <w:noProof/>
          <w:lang w:val="fr-FR" w:eastAsia="es-BO"/>
        </w:rPr>
        <w:t>26</w:t>
      </w:r>
    </w:p>
    <w:p w:rsidR="00BA41F4" w:rsidRDefault="00614A7E" w:rsidP="00614A7E">
      <w:pPr>
        <w:pStyle w:val="SingleTxtG"/>
        <w:rPr>
          <w:noProof/>
          <w:lang w:val="fr-FR" w:eastAsia="es-BO"/>
        </w:rPr>
      </w:pPr>
      <w:r w:rsidRPr="00DF456A">
        <w:rPr>
          <w:noProof/>
          <w:lang w:val="fr-FR"/>
        </w:rPr>
        <w:t>239.</w:t>
      </w:r>
      <w:r w:rsidRPr="00DF456A">
        <w:rPr>
          <w:noProof/>
          <w:lang w:val="fr-FR"/>
        </w:rPr>
        <w:tab/>
      </w:r>
      <w:r w:rsidRPr="00DF456A">
        <w:rPr>
          <w:noProof/>
          <w:lang w:val="fr-FR" w:eastAsia="es-BO"/>
        </w:rPr>
        <w:t>L</w:t>
      </w:r>
      <w:r>
        <w:rPr>
          <w:noProof/>
          <w:lang w:val="fr-FR" w:eastAsia="es-BO"/>
        </w:rPr>
        <w:t>e</w:t>
      </w:r>
      <w:r w:rsidRPr="00DF456A">
        <w:rPr>
          <w:noProof/>
          <w:lang w:val="fr-FR" w:eastAsia="es-BO"/>
        </w:rPr>
        <w:t>s recom</w:t>
      </w:r>
      <w:r>
        <w:rPr>
          <w:noProof/>
          <w:lang w:val="fr-FR" w:eastAsia="es-BO"/>
        </w:rPr>
        <w:t xml:space="preserve">mandations figurant dans le rapport du Comité sont stockées dans le </w:t>
      </w:r>
      <w:r w:rsidRPr="00F145B0">
        <w:rPr>
          <w:noProof/>
          <w:lang w:val="fr-FR"/>
        </w:rPr>
        <w:t>Système plurinational de suivi, de contrôle et de statistique des recommandations relatives aux droits de la personne en Bolivie (SIPLUS Bolivia)</w:t>
      </w:r>
      <w:r w:rsidRPr="00F145B0">
        <w:rPr>
          <w:noProof/>
          <w:lang w:val="fr-FR" w:eastAsia="es-BO"/>
        </w:rPr>
        <w:t>, dont</w:t>
      </w:r>
      <w:r>
        <w:rPr>
          <w:noProof/>
          <w:lang w:val="fr-FR" w:eastAsia="es-BO"/>
        </w:rPr>
        <w:t xml:space="preserve"> on trouvera la page Web à l</w:t>
      </w:r>
      <w:r w:rsidR="00FB1114">
        <w:rPr>
          <w:noProof/>
          <w:lang w:val="fr-FR" w:eastAsia="es-BO"/>
        </w:rPr>
        <w:t>’</w:t>
      </w:r>
      <w:r>
        <w:rPr>
          <w:noProof/>
          <w:lang w:val="fr-FR" w:eastAsia="es-BO"/>
        </w:rPr>
        <w:t xml:space="preserve">adresse </w:t>
      </w:r>
      <w:hyperlink r:id="rId12" w:history="1">
        <w:r w:rsidRPr="008126AF">
          <w:rPr>
            <w:rStyle w:val="Lienhypertexte"/>
            <w:noProof/>
            <w:lang w:val="fr-FR" w:eastAsia="es-BO"/>
          </w:rPr>
          <w:t>http://www.siplusbolivia.gob.bo</w:t>
        </w:r>
      </w:hyperlink>
      <w:r>
        <w:rPr>
          <w:noProof/>
          <w:lang w:val="fr-FR" w:eastAsia="es-BO"/>
        </w:rPr>
        <w:t>.</w:t>
      </w:r>
      <w:r w:rsidRPr="00DF456A">
        <w:rPr>
          <w:noProof/>
          <w:lang w:val="fr-FR" w:eastAsia="es-BO"/>
        </w:rPr>
        <w:t xml:space="preserve"> </w:t>
      </w:r>
      <w:r>
        <w:rPr>
          <w:noProof/>
          <w:lang w:val="fr-FR" w:eastAsia="es-BO"/>
        </w:rPr>
        <w:t>Il s</w:t>
      </w:r>
      <w:r w:rsidR="00FB1114">
        <w:rPr>
          <w:noProof/>
          <w:lang w:val="fr-FR" w:eastAsia="es-BO"/>
        </w:rPr>
        <w:t>’</w:t>
      </w:r>
      <w:r>
        <w:rPr>
          <w:noProof/>
          <w:lang w:val="fr-FR" w:eastAsia="es-BO"/>
        </w:rPr>
        <w:t>agit d</w:t>
      </w:r>
      <w:r w:rsidR="00FB1114">
        <w:rPr>
          <w:noProof/>
          <w:lang w:val="fr-FR" w:eastAsia="es-BO"/>
        </w:rPr>
        <w:t>’</w:t>
      </w:r>
      <w:r>
        <w:rPr>
          <w:noProof/>
          <w:lang w:val="fr-FR" w:eastAsia="es-BO"/>
        </w:rPr>
        <w:t>un outil de recherche et de suivi des recommandations relatives aux droits de la personne formulées à l</w:t>
      </w:r>
      <w:r w:rsidR="00FB1114">
        <w:rPr>
          <w:noProof/>
          <w:lang w:val="fr-FR" w:eastAsia="es-BO"/>
        </w:rPr>
        <w:t>’</w:t>
      </w:r>
      <w:r>
        <w:rPr>
          <w:noProof/>
          <w:lang w:val="fr-FR" w:eastAsia="es-BO"/>
        </w:rPr>
        <w:t>intention de l</w:t>
      </w:r>
      <w:r w:rsidR="00FB1114">
        <w:rPr>
          <w:noProof/>
          <w:lang w:val="fr-FR" w:eastAsia="es-BO"/>
        </w:rPr>
        <w:t>’</w:t>
      </w:r>
      <w:r>
        <w:rPr>
          <w:noProof/>
          <w:lang w:val="fr-FR" w:eastAsia="es-BO"/>
        </w:rPr>
        <w:t>État bolivien par les différents mécanismes internationaux de protection des droits de la personne de l</w:t>
      </w:r>
      <w:r w:rsidR="00FB1114">
        <w:rPr>
          <w:noProof/>
          <w:lang w:val="fr-FR" w:eastAsia="es-BO"/>
        </w:rPr>
        <w:t>’</w:t>
      </w:r>
      <w:r>
        <w:rPr>
          <w:noProof/>
          <w:lang w:val="fr-FR" w:eastAsia="es-BO"/>
        </w:rPr>
        <w:t>Organisation des Nations Unies (organes conventionnels et Examen périodique universel).</w:t>
      </w:r>
      <w:bookmarkEnd w:id="0"/>
    </w:p>
    <w:p w:rsidR="00FB1114" w:rsidRPr="00FB1114" w:rsidRDefault="00FB1114" w:rsidP="00FB1114">
      <w:pPr>
        <w:pStyle w:val="SingleTxtG"/>
        <w:spacing w:before="240" w:after="0"/>
        <w:jc w:val="center"/>
        <w:rPr>
          <w:u w:val="single"/>
        </w:rPr>
      </w:pPr>
      <w:r>
        <w:rPr>
          <w:u w:val="single"/>
        </w:rPr>
        <w:tab/>
      </w:r>
      <w:r>
        <w:rPr>
          <w:u w:val="single"/>
        </w:rPr>
        <w:tab/>
      </w:r>
      <w:r>
        <w:rPr>
          <w:u w:val="single"/>
        </w:rPr>
        <w:tab/>
      </w:r>
    </w:p>
    <w:sectPr w:rsidR="00FB1114" w:rsidRPr="00FB1114" w:rsidSect="009604E9">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C75" w:rsidRPr="009C4D45" w:rsidRDefault="00F44C75" w:rsidP="009C4D45">
      <w:pPr>
        <w:pStyle w:val="Pieddepage"/>
      </w:pPr>
    </w:p>
  </w:endnote>
  <w:endnote w:type="continuationSeparator" w:id="0">
    <w:p w:rsidR="00F44C75" w:rsidRPr="009C4D45" w:rsidRDefault="00F44C75" w:rsidP="009C4D45">
      <w:pPr>
        <w:pStyle w:val="Pieddepage"/>
      </w:pPr>
    </w:p>
  </w:endnote>
  <w:endnote w:type="continuationNotice" w:id="1">
    <w:p w:rsidR="00F44C75" w:rsidRDefault="00F44C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ITC Goudy Sans Std Medium">
    <w:altName w:val="Segoe Print"/>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75" w:rsidRPr="009604E9" w:rsidRDefault="00F44C75" w:rsidP="009604E9">
    <w:pPr>
      <w:pStyle w:val="Pieddepage"/>
      <w:tabs>
        <w:tab w:val="right" w:pos="9638"/>
      </w:tabs>
    </w:pPr>
    <w:r w:rsidRPr="009604E9">
      <w:rPr>
        <w:b/>
        <w:sz w:val="18"/>
      </w:rPr>
      <w:fldChar w:fldCharType="begin"/>
    </w:r>
    <w:r w:rsidRPr="009604E9">
      <w:rPr>
        <w:b/>
        <w:sz w:val="18"/>
      </w:rPr>
      <w:instrText xml:space="preserve"> PAGE  \* MERGEFORMAT </w:instrText>
    </w:r>
    <w:r w:rsidRPr="009604E9">
      <w:rPr>
        <w:b/>
        <w:sz w:val="18"/>
      </w:rPr>
      <w:fldChar w:fldCharType="separate"/>
    </w:r>
    <w:r w:rsidRPr="009604E9">
      <w:rPr>
        <w:b/>
        <w:noProof/>
        <w:sz w:val="18"/>
      </w:rPr>
      <w:t>2</w:t>
    </w:r>
    <w:r w:rsidRPr="009604E9">
      <w:rPr>
        <w:b/>
        <w:sz w:val="18"/>
      </w:rPr>
      <w:fldChar w:fldCharType="end"/>
    </w:r>
    <w:r>
      <w:rPr>
        <w:b/>
        <w:sz w:val="18"/>
      </w:rPr>
      <w:tab/>
    </w:r>
    <w:r>
      <w:t>GE.19-04885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75" w:rsidRPr="009604E9" w:rsidRDefault="00F44C75" w:rsidP="009604E9">
    <w:pPr>
      <w:pStyle w:val="Pieddepage"/>
      <w:tabs>
        <w:tab w:val="right" w:pos="9638"/>
      </w:tabs>
      <w:rPr>
        <w:b/>
        <w:sz w:val="18"/>
      </w:rPr>
    </w:pPr>
    <w:r>
      <w:t>GE.19-04885</w:t>
    </w:r>
    <w:r>
      <w:tab/>
    </w:r>
    <w:r w:rsidRPr="009604E9">
      <w:rPr>
        <w:b/>
        <w:sz w:val="18"/>
      </w:rPr>
      <w:fldChar w:fldCharType="begin"/>
    </w:r>
    <w:r w:rsidRPr="009604E9">
      <w:rPr>
        <w:b/>
        <w:sz w:val="18"/>
      </w:rPr>
      <w:instrText xml:space="preserve"> PAGE  \* MERGEFORMAT </w:instrText>
    </w:r>
    <w:r w:rsidRPr="009604E9">
      <w:rPr>
        <w:b/>
        <w:sz w:val="18"/>
      </w:rPr>
      <w:fldChar w:fldCharType="separate"/>
    </w:r>
    <w:r w:rsidRPr="009604E9">
      <w:rPr>
        <w:b/>
        <w:noProof/>
        <w:sz w:val="18"/>
      </w:rPr>
      <w:t>3</w:t>
    </w:r>
    <w:r w:rsidRPr="009604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75" w:rsidRPr="009604E9" w:rsidRDefault="00F44C75" w:rsidP="009604E9">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19-04885  (F)    050819    091019</w:t>
    </w:r>
    <w:r>
      <w:rPr>
        <w:sz w:val="20"/>
      </w:rPr>
      <w:br/>
    </w:r>
    <w:r w:rsidRPr="009604E9">
      <w:rPr>
        <w:rFonts w:ascii="C39T30Lfz" w:hAnsi="C39T30Lfz"/>
        <w:sz w:val="56"/>
      </w:rPr>
      <w:t></w:t>
    </w:r>
    <w:r w:rsidRPr="009604E9">
      <w:rPr>
        <w:rFonts w:ascii="C39T30Lfz" w:hAnsi="C39T30Lfz"/>
        <w:sz w:val="56"/>
      </w:rPr>
      <w:t></w:t>
    </w:r>
    <w:r w:rsidRPr="009604E9">
      <w:rPr>
        <w:rFonts w:ascii="C39T30Lfz" w:hAnsi="C39T30Lfz"/>
        <w:sz w:val="56"/>
      </w:rPr>
      <w:t></w:t>
    </w:r>
    <w:r w:rsidRPr="009604E9">
      <w:rPr>
        <w:rFonts w:ascii="C39T30Lfz" w:hAnsi="C39T30Lfz"/>
        <w:sz w:val="56"/>
      </w:rPr>
      <w:t></w:t>
    </w:r>
    <w:r w:rsidRPr="009604E9">
      <w:rPr>
        <w:rFonts w:ascii="C39T30Lfz" w:hAnsi="C39T30Lfz"/>
        <w:sz w:val="56"/>
      </w:rPr>
      <w:t></w:t>
    </w:r>
    <w:r w:rsidRPr="009604E9">
      <w:rPr>
        <w:rFonts w:ascii="C39T30Lfz" w:hAnsi="C39T30Lfz"/>
        <w:sz w:val="56"/>
      </w:rPr>
      <w:t></w:t>
    </w:r>
    <w:r w:rsidRPr="009604E9">
      <w:rPr>
        <w:rFonts w:ascii="C39T30Lfz" w:hAnsi="C39T30Lfz"/>
        <w:sz w:val="56"/>
      </w:rPr>
      <w:t></w:t>
    </w:r>
    <w:r w:rsidRPr="009604E9">
      <w:rPr>
        <w:rFonts w:ascii="C39T30Lfz" w:hAnsi="C39T30Lfz"/>
        <w:sz w:val="56"/>
      </w:rPr>
      <w:t></w:t>
    </w:r>
    <w:r w:rsidRPr="009604E9">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BOL/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OL/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C75" w:rsidRPr="009C4D45" w:rsidRDefault="00F44C75" w:rsidP="009C4D45">
      <w:pPr>
        <w:pStyle w:val="Pieddepage"/>
        <w:tabs>
          <w:tab w:val="right" w:pos="2155"/>
        </w:tabs>
        <w:spacing w:after="80" w:line="240" w:lineRule="atLeast"/>
        <w:ind w:left="680"/>
        <w:rPr>
          <w:u w:val="single"/>
        </w:rPr>
      </w:pPr>
      <w:r>
        <w:rPr>
          <w:u w:val="single"/>
        </w:rPr>
        <w:tab/>
      </w:r>
    </w:p>
  </w:footnote>
  <w:footnote w:type="continuationSeparator" w:id="0">
    <w:p w:rsidR="00F44C75" w:rsidRPr="00035AE4" w:rsidRDefault="00F44C75" w:rsidP="00035AE4">
      <w:pPr>
        <w:pStyle w:val="Pieddepage"/>
        <w:tabs>
          <w:tab w:val="right" w:pos="2155"/>
        </w:tabs>
        <w:spacing w:after="80" w:line="240" w:lineRule="atLeast"/>
        <w:ind w:left="680"/>
        <w:rPr>
          <w:u w:val="single"/>
        </w:rPr>
      </w:pPr>
      <w:r>
        <w:rPr>
          <w:u w:val="single"/>
        </w:rPr>
        <w:tab/>
      </w:r>
    </w:p>
  </w:footnote>
  <w:footnote w:type="continuationNotice" w:id="1">
    <w:p w:rsidR="00F44C75" w:rsidRPr="00035AE4" w:rsidRDefault="00F44C75">
      <w:pPr>
        <w:spacing w:line="240" w:lineRule="auto"/>
        <w:rPr>
          <w:sz w:val="2"/>
          <w:szCs w:val="2"/>
        </w:rPr>
      </w:pPr>
    </w:p>
  </w:footnote>
  <w:footnote w:id="2">
    <w:p w:rsidR="00F44C75" w:rsidRPr="00A71461" w:rsidRDefault="00F44C75" w:rsidP="00FB1114">
      <w:pPr>
        <w:pStyle w:val="Notedebasdepage"/>
        <w:rPr>
          <w:noProof/>
          <w:szCs w:val="18"/>
          <w:lang w:val="fr-FR"/>
        </w:rPr>
      </w:pPr>
      <w:r w:rsidRPr="00325BF4">
        <w:rPr>
          <w:lang w:val="es-ES_tradnl"/>
        </w:rPr>
        <w:tab/>
      </w:r>
      <w:r w:rsidRPr="00CC1671">
        <w:rPr>
          <w:rStyle w:val="Appelnotedebasdep"/>
          <w:sz w:val="20"/>
          <w:vertAlign w:val="baseline"/>
          <w:lang w:val="fr-FR"/>
        </w:rPr>
        <w:t>*</w:t>
      </w:r>
      <w:r w:rsidRPr="00CC1671">
        <w:rPr>
          <w:lang w:val="fr-FR"/>
        </w:rPr>
        <w:tab/>
      </w:r>
      <w:r w:rsidRPr="00A71461">
        <w:rPr>
          <w:noProof/>
          <w:lang w:val="fr-FR"/>
        </w:rPr>
        <w:t>La version originale du présent document n</w:t>
      </w:r>
      <w:r>
        <w:rPr>
          <w:noProof/>
          <w:lang w:val="fr-FR"/>
        </w:rPr>
        <w:t>’</w:t>
      </w:r>
      <w:r w:rsidRPr="00A71461">
        <w:rPr>
          <w:noProof/>
          <w:lang w:val="fr-FR"/>
        </w:rPr>
        <w:t>a pas été revue par les services d</w:t>
      </w:r>
      <w:r>
        <w:rPr>
          <w:noProof/>
          <w:lang w:val="fr-FR"/>
        </w:rPr>
        <w:t>’</w:t>
      </w:r>
      <w:r w:rsidRPr="00A71461">
        <w:rPr>
          <w:noProof/>
          <w:lang w:val="fr-FR"/>
        </w:rPr>
        <w:t xml:space="preserve">édition. </w:t>
      </w:r>
    </w:p>
  </w:footnote>
  <w:footnote w:id="3">
    <w:p w:rsidR="00F44C75" w:rsidRPr="00A71461" w:rsidRDefault="00F44C75" w:rsidP="00FB1114">
      <w:pPr>
        <w:pStyle w:val="Notedebasdepage"/>
        <w:rPr>
          <w:noProof/>
          <w:lang w:val="fr-FR"/>
        </w:rPr>
      </w:pPr>
      <w:r w:rsidRPr="00CC1671">
        <w:rPr>
          <w:noProof/>
          <w:lang w:val="fr-FR"/>
        </w:rPr>
        <w:tab/>
      </w:r>
      <w:r w:rsidRPr="00CC1671">
        <w:rPr>
          <w:rStyle w:val="Appelnotedebasdep"/>
          <w:noProof/>
          <w:sz w:val="20"/>
          <w:vertAlign w:val="baseline"/>
          <w:lang w:val="fr-FR"/>
        </w:rPr>
        <w:t>**</w:t>
      </w:r>
      <w:r w:rsidRPr="00CC1671">
        <w:rPr>
          <w:noProof/>
          <w:lang w:val="fr-FR"/>
        </w:rPr>
        <w:tab/>
      </w:r>
      <w:r w:rsidRPr="00281A78">
        <w:rPr>
          <w:noProof/>
          <w:lang w:val="fr-FR"/>
        </w:rPr>
        <w:t xml:space="preserve">Le </w:t>
      </w:r>
      <w:r>
        <w:rPr>
          <w:noProof/>
          <w:lang w:val="fr-FR"/>
        </w:rPr>
        <w:t>deux</w:t>
      </w:r>
      <w:r w:rsidRPr="00281A78">
        <w:rPr>
          <w:noProof/>
          <w:lang w:val="fr-FR"/>
        </w:rPr>
        <w:t xml:space="preserve">ième </w:t>
      </w:r>
      <w:r>
        <w:rPr>
          <w:noProof/>
          <w:lang w:val="fr-FR"/>
        </w:rPr>
        <w:t xml:space="preserve">rapport périodique de l’État plurinational de Bolivie </w:t>
      </w:r>
      <w:r w:rsidRPr="00A71461">
        <w:rPr>
          <w:noProof/>
          <w:szCs w:val="18"/>
          <w:lang w:val="fr-FR"/>
        </w:rPr>
        <w:t xml:space="preserve">(CAT/C/BOL/2) </w:t>
      </w:r>
      <w:r>
        <w:rPr>
          <w:noProof/>
          <w:lang w:val="fr-FR"/>
        </w:rPr>
        <w:t xml:space="preserve">a été examiné par le Comité à ses </w:t>
      </w:r>
      <w:r w:rsidRPr="00A71461">
        <w:rPr>
          <w:noProof/>
          <w:szCs w:val="18"/>
          <w:lang w:val="fr-FR"/>
        </w:rPr>
        <w:t>1148</w:t>
      </w:r>
      <w:r w:rsidRPr="00A71461">
        <w:rPr>
          <w:noProof/>
          <w:szCs w:val="18"/>
          <w:vertAlign w:val="superscript"/>
          <w:lang w:val="fr-FR"/>
        </w:rPr>
        <w:t>e</w:t>
      </w:r>
      <w:r>
        <w:rPr>
          <w:noProof/>
          <w:szCs w:val="18"/>
          <w:lang w:val="fr-FR"/>
        </w:rPr>
        <w:t xml:space="preserve"> et </w:t>
      </w:r>
      <w:r w:rsidRPr="00A71461">
        <w:rPr>
          <w:noProof/>
          <w:szCs w:val="18"/>
          <w:lang w:val="fr-FR"/>
        </w:rPr>
        <w:t>1151</w:t>
      </w:r>
      <w:r w:rsidRPr="00A71461">
        <w:rPr>
          <w:noProof/>
          <w:szCs w:val="18"/>
          <w:vertAlign w:val="superscript"/>
          <w:lang w:val="fr-FR"/>
        </w:rPr>
        <w:t>e</w:t>
      </w:r>
      <w:r>
        <w:rPr>
          <w:noProof/>
          <w:szCs w:val="18"/>
          <w:lang w:val="fr-FR"/>
        </w:rPr>
        <w:t> séances</w:t>
      </w:r>
      <w:r w:rsidRPr="00A71461">
        <w:rPr>
          <w:noProof/>
          <w:szCs w:val="18"/>
          <w:lang w:val="fr-FR"/>
        </w:rPr>
        <w:t xml:space="preserve">, </w:t>
      </w:r>
      <w:r>
        <w:rPr>
          <w:noProof/>
          <w:szCs w:val="18"/>
          <w:lang w:val="fr-FR"/>
        </w:rPr>
        <w:t xml:space="preserve">les </w:t>
      </w:r>
      <w:r w:rsidRPr="00A71461">
        <w:rPr>
          <w:noProof/>
          <w:szCs w:val="18"/>
          <w:lang w:val="fr-FR"/>
        </w:rPr>
        <w:t xml:space="preserve">16 </w:t>
      </w:r>
      <w:r>
        <w:rPr>
          <w:noProof/>
          <w:szCs w:val="18"/>
          <w:lang w:val="fr-FR"/>
        </w:rPr>
        <w:t>et</w:t>
      </w:r>
      <w:r w:rsidRPr="00A71461">
        <w:rPr>
          <w:noProof/>
          <w:szCs w:val="18"/>
          <w:lang w:val="fr-FR"/>
        </w:rPr>
        <w:t xml:space="preserve"> 17</w:t>
      </w:r>
      <w:r>
        <w:rPr>
          <w:noProof/>
          <w:szCs w:val="18"/>
          <w:lang w:val="fr-FR"/>
        </w:rPr>
        <w:t xml:space="preserve"> mai </w:t>
      </w:r>
      <w:r w:rsidRPr="00A71461">
        <w:rPr>
          <w:noProof/>
          <w:szCs w:val="18"/>
          <w:lang w:val="fr-FR"/>
        </w:rPr>
        <w:t>2013 (CAT/C/SR.1165</w:t>
      </w:r>
      <w:r>
        <w:rPr>
          <w:noProof/>
          <w:szCs w:val="18"/>
          <w:lang w:val="fr-FR"/>
        </w:rPr>
        <w:t xml:space="preserve"> et</w:t>
      </w:r>
      <w:r w:rsidRPr="00A71461">
        <w:rPr>
          <w:noProof/>
          <w:szCs w:val="18"/>
          <w:lang w:val="fr-FR"/>
        </w:rPr>
        <w:t xml:space="preserve"> 1166). </w:t>
      </w:r>
      <w:r>
        <w:rPr>
          <w:noProof/>
          <w:szCs w:val="18"/>
          <w:lang w:val="fr-FR"/>
        </w:rPr>
        <w:t xml:space="preserve">Après avoir examiné le rapport, le </w:t>
      </w:r>
      <w:r w:rsidRPr="00A71461">
        <w:rPr>
          <w:noProof/>
          <w:szCs w:val="18"/>
          <w:lang w:val="fr-FR"/>
        </w:rPr>
        <w:t>Comité a</w:t>
      </w:r>
      <w:r>
        <w:rPr>
          <w:noProof/>
          <w:szCs w:val="18"/>
          <w:lang w:val="fr-FR"/>
        </w:rPr>
        <w:t xml:space="preserve"> adopté ses </w:t>
      </w:r>
      <w:r w:rsidRPr="00A71461">
        <w:rPr>
          <w:noProof/>
          <w:szCs w:val="18"/>
          <w:lang w:val="fr-FR"/>
        </w:rPr>
        <w:t>observa</w:t>
      </w:r>
      <w:r>
        <w:rPr>
          <w:noProof/>
          <w:szCs w:val="18"/>
          <w:lang w:val="fr-FR"/>
        </w:rPr>
        <w:t xml:space="preserve">tions </w:t>
      </w:r>
      <w:r w:rsidRPr="00A71461">
        <w:rPr>
          <w:noProof/>
          <w:szCs w:val="18"/>
          <w:lang w:val="fr-FR"/>
        </w:rPr>
        <w:t>finales (CAT/C/BOL/CO/2).</w:t>
      </w:r>
    </w:p>
  </w:footnote>
  <w:footnote w:id="4">
    <w:p w:rsidR="00F44C75" w:rsidRPr="00B5117C" w:rsidRDefault="00F44C75" w:rsidP="00FB1114">
      <w:pPr>
        <w:pStyle w:val="Notedebasdepage"/>
        <w:rPr>
          <w:lang w:val="fr-FR"/>
        </w:rPr>
      </w:pPr>
      <w:r w:rsidRPr="00CC1671">
        <w:rPr>
          <w:rStyle w:val="Appelnotedebasdep"/>
          <w:noProof/>
          <w:vertAlign w:val="baseline"/>
          <w:lang w:val="fr-FR"/>
        </w:rPr>
        <w:tab/>
      </w:r>
      <w:r w:rsidRPr="00CC1671">
        <w:rPr>
          <w:rStyle w:val="Appelnotedebasdep"/>
          <w:noProof/>
          <w:sz w:val="20"/>
          <w:vertAlign w:val="baseline"/>
          <w:lang w:val="fr-FR"/>
        </w:rPr>
        <w:t>***</w:t>
      </w:r>
      <w:r w:rsidRPr="00CC1671">
        <w:rPr>
          <w:rStyle w:val="Appelnotedebasdep"/>
          <w:noProof/>
          <w:sz w:val="20"/>
          <w:vertAlign w:val="baseline"/>
          <w:lang w:val="fr-FR"/>
        </w:rPr>
        <w:tab/>
      </w:r>
      <w:r w:rsidRPr="00D2582A">
        <w:rPr>
          <w:noProof/>
          <w:lang w:val="fr-FR"/>
        </w:rPr>
        <w:t>L</w:t>
      </w:r>
      <w:r>
        <w:rPr>
          <w:noProof/>
          <w:lang w:val="fr-FR"/>
        </w:rPr>
        <w:t xml:space="preserve">es </w:t>
      </w:r>
      <w:r w:rsidRPr="00D2582A">
        <w:rPr>
          <w:noProof/>
          <w:lang w:val="fr-FR"/>
        </w:rPr>
        <w:t>annexe</w:t>
      </w:r>
      <w:r>
        <w:rPr>
          <w:noProof/>
          <w:lang w:val="fr-FR"/>
        </w:rPr>
        <w:t>s</w:t>
      </w:r>
      <w:r w:rsidRPr="00D2582A">
        <w:rPr>
          <w:noProof/>
          <w:lang w:val="fr-FR"/>
        </w:rPr>
        <w:t xml:space="preserve"> au présent rapport </w:t>
      </w:r>
      <w:r>
        <w:rPr>
          <w:noProof/>
          <w:lang w:val="fr-FR"/>
        </w:rPr>
        <w:t xml:space="preserve">peuvent être obtenues auprès </w:t>
      </w:r>
      <w:r w:rsidRPr="00D2582A">
        <w:rPr>
          <w:noProof/>
          <w:lang w:val="fr-FR"/>
        </w:rPr>
        <w:t>du secrétariat. Elle</w:t>
      </w:r>
      <w:r>
        <w:rPr>
          <w:noProof/>
          <w:lang w:val="fr-FR"/>
        </w:rPr>
        <w:t xml:space="preserve">s sont </w:t>
      </w:r>
      <w:r w:rsidRPr="00D2582A">
        <w:rPr>
          <w:noProof/>
          <w:lang w:val="fr-FR"/>
        </w:rPr>
        <w:t>également accessible</w:t>
      </w:r>
      <w:r>
        <w:rPr>
          <w:noProof/>
          <w:lang w:val="fr-FR"/>
        </w:rPr>
        <w:t>s</w:t>
      </w:r>
      <w:r w:rsidRPr="00D2582A">
        <w:rPr>
          <w:noProof/>
          <w:lang w:val="fr-FR"/>
        </w:rPr>
        <w:t xml:space="preserve"> sur </w:t>
      </w:r>
      <w:r>
        <w:rPr>
          <w:noProof/>
          <w:lang w:val="fr-FR"/>
        </w:rPr>
        <w:t xml:space="preserve">la page Web </w:t>
      </w:r>
      <w:r w:rsidRPr="00D2582A">
        <w:rPr>
          <w:noProof/>
          <w:lang w:val="fr-FR"/>
        </w:rPr>
        <w:t xml:space="preserve">du Comité </w:t>
      </w:r>
      <w:r>
        <w:rPr>
          <w:noProof/>
          <w:lang w:val="fr-FR"/>
        </w:rPr>
        <w:t>contre la torture</w:t>
      </w:r>
      <w:r w:rsidRPr="00B5117C">
        <w:rPr>
          <w:lang w:val="fr-FR"/>
        </w:rPr>
        <w:t>.</w:t>
      </w:r>
    </w:p>
  </w:footnote>
  <w:footnote w:id="5">
    <w:p w:rsidR="00F44C75" w:rsidRPr="00281E95" w:rsidRDefault="00F44C75" w:rsidP="00FB1114">
      <w:pPr>
        <w:pStyle w:val="Notedebasdepage"/>
        <w:rPr>
          <w:noProof/>
          <w:lang w:val="fr-FR"/>
        </w:rPr>
      </w:pPr>
      <w:r w:rsidRPr="00B5117C">
        <w:rPr>
          <w:lang w:val="fr-FR"/>
        </w:rPr>
        <w:tab/>
      </w:r>
      <w:r w:rsidRPr="00FB1114">
        <w:rPr>
          <w:rStyle w:val="Appelnotedebasdep"/>
        </w:rPr>
        <w:footnoteRef/>
      </w:r>
      <w:r w:rsidRPr="00B5117C">
        <w:rPr>
          <w:lang w:val="fr-FR"/>
        </w:rPr>
        <w:tab/>
      </w:r>
      <w:r>
        <w:rPr>
          <w:noProof/>
          <w:lang w:val="fr-FR"/>
        </w:rPr>
        <w:t>Accord de c</w:t>
      </w:r>
      <w:r w:rsidRPr="00281E95">
        <w:rPr>
          <w:noProof/>
          <w:lang w:val="fr-FR"/>
        </w:rPr>
        <w:t>oop</w:t>
      </w:r>
      <w:r>
        <w:rPr>
          <w:noProof/>
          <w:lang w:val="fr-FR"/>
        </w:rPr>
        <w:t>é</w:t>
      </w:r>
      <w:r w:rsidRPr="00281E95">
        <w:rPr>
          <w:noProof/>
          <w:lang w:val="fr-FR"/>
        </w:rPr>
        <w:t>ra</w:t>
      </w:r>
      <w:r>
        <w:rPr>
          <w:noProof/>
          <w:lang w:val="fr-FR"/>
        </w:rPr>
        <w:t>tion i</w:t>
      </w:r>
      <w:r w:rsidRPr="00281E95">
        <w:rPr>
          <w:noProof/>
          <w:lang w:val="fr-FR"/>
        </w:rPr>
        <w:t>nterinstitu</w:t>
      </w:r>
      <w:r>
        <w:rPr>
          <w:noProof/>
          <w:lang w:val="fr-FR"/>
        </w:rPr>
        <w:t xml:space="preserve">tionnelle entre le </w:t>
      </w:r>
      <w:r w:rsidRPr="00DF456A">
        <w:rPr>
          <w:noProof/>
          <w:lang w:val="fr-FR" w:eastAsia="es-BO"/>
        </w:rPr>
        <w:t>Minist</w:t>
      </w:r>
      <w:r>
        <w:rPr>
          <w:noProof/>
          <w:lang w:val="fr-FR" w:eastAsia="es-BO"/>
        </w:rPr>
        <w:t>ère de la justice et de la t</w:t>
      </w:r>
      <w:r w:rsidRPr="00DF456A">
        <w:rPr>
          <w:noProof/>
          <w:lang w:val="fr-FR" w:eastAsia="es-BO"/>
        </w:rPr>
        <w:t>ransparenc</w:t>
      </w:r>
      <w:r>
        <w:rPr>
          <w:noProof/>
          <w:lang w:val="fr-FR" w:eastAsia="es-BO"/>
        </w:rPr>
        <w:t>e</w:t>
      </w:r>
      <w:r w:rsidRPr="00DF456A">
        <w:rPr>
          <w:noProof/>
          <w:lang w:val="fr-FR" w:eastAsia="es-BO"/>
        </w:rPr>
        <w:t xml:space="preserve"> </w:t>
      </w:r>
      <w:r>
        <w:rPr>
          <w:noProof/>
          <w:lang w:val="fr-FR" w:eastAsia="es-BO"/>
        </w:rPr>
        <w:t>i</w:t>
      </w:r>
      <w:r w:rsidRPr="00DF456A">
        <w:rPr>
          <w:noProof/>
          <w:lang w:val="fr-FR" w:eastAsia="es-BO"/>
        </w:rPr>
        <w:t>nstitu</w:t>
      </w:r>
      <w:r>
        <w:rPr>
          <w:noProof/>
          <w:lang w:val="fr-FR" w:eastAsia="es-BO"/>
        </w:rPr>
        <w:t>tionnelle</w:t>
      </w:r>
      <w:r w:rsidRPr="00DF456A">
        <w:rPr>
          <w:noProof/>
          <w:lang w:val="fr-FR" w:eastAsia="es-BO"/>
        </w:rPr>
        <w:t xml:space="preserve">, </w:t>
      </w:r>
      <w:r>
        <w:rPr>
          <w:noProof/>
          <w:lang w:val="fr-FR" w:eastAsia="es-BO"/>
        </w:rPr>
        <w:t xml:space="preserve">le Ministère des relations extérieures et le service </w:t>
      </w:r>
      <w:r w:rsidRPr="00CE305E">
        <w:rPr>
          <w:noProof/>
          <w:lang w:val="fr-FR"/>
        </w:rPr>
        <w:t>du Procureur général de l</w:t>
      </w:r>
      <w:r>
        <w:rPr>
          <w:noProof/>
          <w:lang w:val="fr-FR"/>
        </w:rPr>
        <w:t>’</w:t>
      </w:r>
      <w:r w:rsidRPr="00CE305E">
        <w:rPr>
          <w:noProof/>
          <w:lang w:val="fr-FR"/>
        </w:rPr>
        <w:t>État</w:t>
      </w:r>
      <w:r>
        <w:rPr>
          <w:noProof/>
          <w:lang w:val="fr-FR"/>
        </w:rPr>
        <w:t>, en</w:t>
      </w:r>
      <w:r w:rsidR="00C657F7">
        <w:rPr>
          <w:noProof/>
          <w:lang w:val="fr-FR"/>
        </w:rPr>
        <w:t> </w:t>
      </w:r>
      <w:r>
        <w:rPr>
          <w:noProof/>
          <w:lang w:val="fr-FR"/>
        </w:rPr>
        <w:t>date</w:t>
      </w:r>
      <w:r w:rsidRPr="00DF456A">
        <w:rPr>
          <w:noProof/>
          <w:lang w:val="fr-FR" w:eastAsia="es-BO"/>
        </w:rPr>
        <w:t xml:space="preserve"> </w:t>
      </w:r>
      <w:r w:rsidRPr="00281E95">
        <w:rPr>
          <w:noProof/>
          <w:lang w:val="fr-FR"/>
        </w:rPr>
        <w:t>d</w:t>
      </w:r>
      <w:r>
        <w:rPr>
          <w:noProof/>
          <w:lang w:val="fr-FR"/>
        </w:rPr>
        <w:t>u</w:t>
      </w:r>
      <w:r w:rsidRPr="00281E95">
        <w:rPr>
          <w:noProof/>
          <w:lang w:val="fr-FR"/>
        </w:rPr>
        <w:t xml:space="preserve"> 1</w:t>
      </w:r>
      <w:r w:rsidRPr="00CE305E">
        <w:rPr>
          <w:noProof/>
          <w:vertAlign w:val="superscript"/>
          <w:lang w:val="fr-FR"/>
        </w:rPr>
        <w:t>er</w:t>
      </w:r>
      <w:r>
        <w:rPr>
          <w:noProof/>
          <w:lang w:val="fr-FR"/>
        </w:rPr>
        <w:t xml:space="preserve"> décembre </w:t>
      </w:r>
      <w:r w:rsidRPr="00281E95">
        <w:rPr>
          <w:noProof/>
          <w:lang w:val="fr-FR"/>
        </w:rPr>
        <w:t>2015.</w:t>
      </w:r>
    </w:p>
  </w:footnote>
  <w:footnote w:id="6">
    <w:p w:rsidR="00F44C75" w:rsidRPr="00281E95" w:rsidRDefault="00F44C75" w:rsidP="00FB1114">
      <w:pPr>
        <w:pStyle w:val="Notedebasdepage"/>
        <w:rPr>
          <w:noProof/>
          <w:lang w:val="fr-FR"/>
        </w:rPr>
      </w:pPr>
      <w:r w:rsidRPr="00281E95">
        <w:rPr>
          <w:noProof/>
          <w:lang w:val="fr-FR"/>
        </w:rPr>
        <w:tab/>
      </w:r>
      <w:r w:rsidRPr="00FB1114">
        <w:rPr>
          <w:rStyle w:val="Appelnotedebasdep"/>
        </w:rPr>
        <w:footnoteRef/>
      </w:r>
      <w:r w:rsidRPr="00281E95">
        <w:rPr>
          <w:noProof/>
          <w:lang w:val="fr-FR"/>
        </w:rPr>
        <w:tab/>
        <w:t>Ratifi</w:t>
      </w:r>
      <w:r>
        <w:rPr>
          <w:noProof/>
          <w:lang w:val="fr-FR"/>
        </w:rPr>
        <w:t xml:space="preserve">ée par la Bolivie par la loi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xml:space="preserve"> 1939 du </w:t>
      </w:r>
      <w:r w:rsidRPr="00281E95">
        <w:rPr>
          <w:noProof/>
          <w:lang w:val="fr-FR"/>
        </w:rPr>
        <w:t>10</w:t>
      </w:r>
      <w:r>
        <w:rPr>
          <w:noProof/>
          <w:lang w:val="fr-FR"/>
        </w:rPr>
        <w:t xml:space="preserve"> février </w:t>
      </w:r>
      <w:r w:rsidRPr="00281E95">
        <w:rPr>
          <w:noProof/>
          <w:lang w:val="fr-FR"/>
        </w:rPr>
        <w:t>1999.</w:t>
      </w:r>
    </w:p>
  </w:footnote>
  <w:footnote w:id="7">
    <w:p w:rsidR="00F44C75" w:rsidRPr="00B5117C" w:rsidRDefault="00F44C75" w:rsidP="00FB1114">
      <w:pPr>
        <w:pStyle w:val="Notedebasdepage"/>
        <w:rPr>
          <w:lang w:val="fr-FR"/>
        </w:rPr>
      </w:pPr>
      <w:r w:rsidRPr="00281E95">
        <w:rPr>
          <w:noProof/>
          <w:lang w:val="fr-FR"/>
        </w:rPr>
        <w:tab/>
      </w:r>
      <w:r w:rsidRPr="00FB1114">
        <w:rPr>
          <w:rStyle w:val="Appelnotedebasdep"/>
        </w:rPr>
        <w:footnoteRef/>
      </w:r>
      <w:r w:rsidRPr="00281E95">
        <w:rPr>
          <w:noProof/>
          <w:lang w:val="fr-FR"/>
        </w:rPr>
        <w:tab/>
        <w:t>Ratifi</w:t>
      </w:r>
      <w:r>
        <w:rPr>
          <w:noProof/>
          <w:lang w:val="fr-FR"/>
        </w:rPr>
        <w:t xml:space="preserve">é par la Bolivie par la loi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3298 du</w:t>
      </w:r>
      <w:r w:rsidRPr="00281E95">
        <w:rPr>
          <w:noProof/>
          <w:lang w:val="fr-FR"/>
        </w:rPr>
        <w:t xml:space="preserve"> 12</w:t>
      </w:r>
      <w:r>
        <w:rPr>
          <w:noProof/>
          <w:lang w:val="fr-FR"/>
        </w:rPr>
        <w:t xml:space="preserve"> décembre </w:t>
      </w:r>
      <w:r w:rsidRPr="00281E95">
        <w:rPr>
          <w:noProof/>
          <w:lang w:val="fr-FR"/>
        </w:rPr>
        <w:t>2005.</w:t>
      </w:r>
    </w:p>
  </w:footnote>
  <w:footnote w:id="8">
    <w:p w:rsidR="00F44C75" w:rsidRPr="001E3B31" w:rsidRDefault="00F44C75" w:rsidP="00FB1114">
      <w:pPr>
        <w:pStyle w:val="Notedebasdepage"/>
        <w:rPr>
          <w:noProof/>
          <w:lang w:val="fr-FR"/>
        </w:rPr>
      </w:pPr>
      <w:r w:rsidRPr="00B5117C">
        <w:rPr>
          <w:lang w:val="fr-FR"/>
        </w:rPr>
        <w:tab/>
      </w:r>
      <w:r w:rsidRPr="00FB1114">
        <w:rPr>
          <w:rStyle w:val="Appelnotedebasdep"/>
        </w:rPr>
        <w:footnoteRef/>
      </w:r>
      <w:r w:rsidRPr="00B5117C">
        <w:rPr>
          <w:lang w:val="fr-FR"/>
        </w:rPr>
        <w:tab/>
      </w:r>
      <w:r w:rsidRPr="001E3B31">
        <w:rPr>
          <w:noProof/>
          <w:lang w:val="fr-FR"/>
        </w:rPr>
        <w:t>Art</w:t>
      </w:r>
      <w:r>
        <w:rPr>
          <w:noProof/>
          <w:lang w:val="fr-FR"/>
        </w:rPr>
        <w:t>. </w:t>
      </w:r>
      <w:r w:rsidRPr="001E3B31">
        <w:rPr>
          <w:noProof/>
          <w:lang w:val="fr-FR"/>
        </w:rPr>
        <w:t>22 de la C</w:t>
      </w:r>
      <w:r>
        <w:rPr>
          <w:noProof/>
          <w:lang w:val="fr-FR"/>
        </w:rPr>
        <w:t>onstitution</w:t>
      </w:r>
      <w:r w:rsidRPr="001E3B31">
        <w:rPr>
          <w:noProof/>
          <w:lang w:val="fr-FR"/>
        </w:rPr>
        <w:t>.</w:t>
      </w:r>
    </w:p>
  </w:footnote>
  <w:footnote w:id="9">
    <w:p w:rsidR="00F44C75" w:rsidRPr="001E3B31" w:rsidRDefault="00F44C75" w:rsidP="00FB1114">
      <w:pPr>
        <w:pStyle w:val="Notedebasdepage"/>
        <w:rPr>
          <w:bCs/>
          <w:noProof/>
          <w:lang w:val="fr-FR"/>
        </w:rPr>
      </w:pPr>
      <w:r w:rsidRPr="001E3B31">
        <w:rPr>
          <w:noProof/>
          <w:lang w:val="fr-FR"/>
        </w:rPr>
        <w:tab/>
      </w:r>
      <w:r w:rsidRPr="00FB1114">
        <w:rPr>
          <w:rStyle w:val="Appelnotedebasdep"/>
        </w:rPr>
        <w:footnoteRef/>
      </w:r>
      <w:r w:rsidRPr="001E3B31">
        <w:rPr>
          <w:noProof/>
          <w:lang w:val="fr-FR"/>
        </w:rPr>
        <w:tab/>
      </w:r>
      <w:r>
        <w:rPr>
          <w:noProof/>
          <w:lang w:val="fr-FR"/>
        </w:rPr>
        <w:t>Art. </w:t>
      </w:r>
      <w:r w:rsidRPr="001E3B31">
        <w:rPr>
          <w:noProof/>
          <w:lang w:val="fr-FR"/>
        </w:rPr>
        <w:t>23 de la C</w:t>
      </w:r>
      <w:r>
        <w:rPr>
          <w:noProof/>
          <w:lang w:val="fr-FR"/>
        </w:rPr>
        <w:t>onstitution</w:t>
      </w:r>
      <w:r w:rsidRPr="001E3B31">
        <w:rPr>
          <w:noProof/>
          <w:lang w:val="fr-FR"/>
        </w:rPr>
        <w:t>.</w:t>
      </w:r>
    </w:p>
  </w:footnote>
  <w:footnote w:id="10">
    <w:p w:rsidR="00F44C75" w:rsidRPr="001E3B31" w:rsidRDefault="00F44C75" w:rsidP="00FB1114">
      <w:pPr>
        <w:pStyle w:val="Notedebasdepage"/>
        <w:rPr>
          <w:noProof/>
          <w:lang w:val="fr-FR"/>
        </w:rPr>
      </w:pPr>
      <w:r w:rsidRPr="001E3B31">
        <w:rPr>
          <w:noProof/>
          <w:lang w:val="fr-FR"/>
        </w:rPr>
        <w:tab/>
      </w:r>
      <w:r w:rsidRPr="00FB1114">
        <w:rPr>
          <w:rStyle w:val="Appelnotedebasdep"/>
        </w:rPr>
        <w:footnoteRef/>
      </w:r>
      <w:r w:rsidRPr="001E3B31">
        <w:rPr>
          <w:noProof/>
          <w:lang w:val="fr-FR"/>
        </w:rPr>
        <w:tab/>
        <w:t>Art</w:t>
      </w:r>
      <w:r>
        <w:rPr>
          <w:noProof/>
          <w:lang w:val="fr-FR"/>
        </w:rPr>
        <w:t>. </w:t>
      </w:r>
      <w:r w:rsidRPr="001E3B31">
        <w:rPr>
          <w:noProof/>
          <w:lang w:val="fr-FR"/>
        </w:rPr>
        <w:t xml:space="preserve">4 de la </w:t>
      </w:r>
      <w:r>
        <w:rPr>
          <w:noProof/>
          <w:lang w:val="fr-FR"/>
        </w:rPr>
        <w:t>loi</w:t>
      </w:r>
      <w:r w:rsidRPr="001E3B31">
        <w:rPr>
          <w:noProof/>
          <w:lang w:val="fr-FR"/>
        </w:rPr>
        <w:t xml:space="preserve">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1E3B31">
        <w:rPr>
          <w:noProof/>
          <w:lang w:val="fr-FR"/>
        </w:rPr>
        <w:t>2298.</w:t>
      </w:r>
    </w:p>
  </w:footnote>
  <w:footnote w:id="11">
    <w:p w:rsidR="00F44C75" w:rsidRPr="001E3B31" w:rsidRDefault="00F44C75" w:rsidP="00FB1114">
      <w:pPr>
        <w:pStyle w:val="Notedebasdepage"/>
        <w:rPr>
          <w:noProof/>
          <w:lang w:val="fr-FR"/>
        </w:rPr>
      </w:pPr>
      <w:r w:rsidRPr="001E3B31">
        <w:rPr>
          <w:noProof/>
          <w:lang w:val="fr-FR"/>
        </w:rPr>
        <w:tab/>
      </w:r>
      <w:r w:rsidRPr="00FB1114">
        <w:rPr>
          <w:rStyle w:val="Appelnotedebasdep"/>
        </w:rPr>
        <w:footnoteRef/>
      </w:r>
      <w:r w:rsidRPr="001E3B31">
        <w:rPr>
          <w:noProof/>
          <w:lang w:val="fr-FR"/>
        </w:rPr>
        <w:tab/>
      </w:r>
      <w:r>
        <w:rPr>
          <w:noProof/>
          <w:lang w:val="fr-FR"/>
        </w:rPr>
        <w:t>Art. </w:t>
      </w:r>
      <w:r w:rsidRPr="001E3B31">
        <w:rPr>
          <w:noProof/>
          <w:lang w:val="fr-FR"/>
        </w:rPr>
        <w:t>73 de la C</w:t>
      </w:r>
      <w:r>
        <w:rPr>
          <w:noProof/>
          <w:lang w:val="fr-FR"/>
        </w:rPr>
        <w:t>onstitution</w:t>
      </w:r>
      <w:r w:rsidRPr="001E3B31">
        <w:rPr>
          <w:noProof/>
          <w:lang w:val="fr-FR"/>
        </w:rPr>
        <w:t>.</w:t>
      </w:r>
    </w:p>
  </w:footnote>
  <w:footnote w:id="12">
    <w:p w:rsidR="00F44C75" w:rsidRPr="001E3B31" w:rsidRDefault="00F44C75" w:rsidP="00FB1114">
      <w:pPr>
        <w:pStyle w:val="Notedebasdepage"/>
        <w:rPr>
          <w:noProof/>
          <w:lang w:val="fr-FR"/>
        </w:rPr>
      </w:pPr>
      <w:r w:rsidRPr="001E3B31">
        <w:rPr>
          <w:noProof/>
          <w:lang w:val="fr-FR"/>
        </w:rPr>
        <w:tab/>
      </w:r>
      <w:r w:rsidRPr="00FB1114">
        <w:rPr>
          <w:rStyle w:val="Appelnotedebasdep"/>
        </w:rPr>
        <w:footnoteRef/>
      </w:r>
      <w:r w:rsidRPr="001E3B31">
        <w:rPr>
          <w:noProof/>
          <w:lang w:val="fr-FR"/>
        </w:rPr>
        <w:tab/>
        <w:t>Art</w:t>
      </w:r>
      <w:r>
        <w:rPr>
          <w:noProof/>
          <w:lang w:val="fr-FR"/>
        </w:rPr>
        <w:t>. </w:t>
      </w:r>
      <w:r w:rsidRPr="001E3B31">
        <w:rPr>
          <w:noProof/>
          <w:lang w:val="fr-FR"/>
        </w:rPr>
        <w:t xml:space="preserve">5 de la </w:t>
      </w:r>
      <w:r>
        <w:rPr>
          <w:noProof/>
          <w:lang w:val="fr-FR"/>
        </w:rPr>
        <w:t xml:space="preserve">loi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1E3B31">
        <w:rPr>
          <w:noProof/>
          <w:lang w:val="fr-FR"/>
        </w:rPr>
        <w:t>2298.</w:t>
      </w:r>
    </w:p>
  </w:footnote>
  <w:footnote w:id="13">
    <w:p w:rsidR="00F44C75" w:rsidRPr="001E3B31" w:rsidRDefault="00F44C75" w:rsidP="00FB1114">
      <w:pPr>
        <w:pStyle w:val="Notedebasdepage"/>
        <w:rPr>
          <w:noProof/>
          <w:lang w:val="fr-FR"/>
        </w:rPr>
      </w:pPr>
      <w:r w:rsidRPr="001E3B31">
        <w:rPr>
          <w:noProof/>
          <w:lang w:val="fr-FR"/>
        </w:rPr>
        <w:tab/>
      </w:r>
      <w:r w:rsidRPr="00FB1114">
        <w:rPr>
          <w:rStyle w:val="Appelnotedebasdep"/>
        </w:rPr>
        <w:footnoteRef/>
      </w:r>
      <w:r w:rsidRPr="001E3B31">
        <w:rPr>
          <w:noProof/>
          <w:lang w:val="fr-FR"/>
        </w:rPr>
        <w:tab/>
      </w:r>
      <w:r>
        <w:rPr>
          <w:noProof/>
          <w:lang w:val="fr-FR"/>
        </w:rPr>
        <w:t>Art. 1</w:t>
      </w:r>
      <w:r w:rsidRPr="00493508">
        <w:rPr>
          <w:noProof/>
          <w:vertAlign w:val="superscript"/>
          <w:lang w:val="fr-FR"/>
        </w:rPr>
        <w:t>er</w:t>
      </w:r>
      <w:r>
        <w:rPr>
          <w:noProof/>
          <w:lang w:val="fr-FR"/>
        </w:rPr>
        <w:t xml:space="preserve"> </w:t>
      </w:r>
      <w:r w:rsidRPr="001E3B31">
        <w:rPr>
          <w:noProof/>
          <w:lang w:val="fr-FR"/>
        </w:rPr>
        <w:t xml:space="preserve">de la </w:t>
      </w:r>
      <w:r>
        <w:rPr>
          <w:noProof/>
          <w:lang w:val="fr-FR"/>
        </w:rPr>
        <w:t>loi</w:t>
      </w:r>
      <w:r w:rsidRPr="001E3B31">
        <w:rPr>
          <w:noProof/>
          <w:lang w:val="fr-FR"/>
        </w:rPr>
        <w:t xml:space="preserve">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1E3B31">
        <w:rPr>
          <w:noProof/>
          <w:lang w:val="fr-FR"/>
        </w:rPr>
        <w:t>586.</w:t>
      </w:r>
    </w:p>
  </w:footnote>
  <w:footnote w:id="14">
    <w:p w:rsidR="00F44C75" w:rsidRPr="00EF1178" w:rsidRDefault="00F44C75" w:rsidP="00FB1114">
      <w:pPr>
        <w:pStyle w:val="Notedebasdepage"/>
        <w:rPr>
          <w:noProof/>
          <w:lang w:val="fr-FR"/>
        </w:rPr>
      </w:pPr>
      <w:r w:rsidRPr="00B5117C">
        <w:rPr>
          <w:rFonts w:eastAsia="Calibri"/>
          <w:lang w:val="fr-FR"/>
        </w:rPr>
        <w:tab/>
      </w:r>
      <w:r w:rsidRPr="00FB1114">
        <w:rPr>
          <w:rStyle w:val="Appelnotedebasdep"/>
        </w:rPr>
        <w:footnoteRef/>
      </w:r>
      <w:r w:rsidRPr="00B5117C">
        <w:rPr>
          <w:rFonts w:eastAsia="Calibri"/>
          <w:lang w:val="fr-FR"/>
        </w:rPr>
        <w:tab/>
      </w:r>
      <w:r>
        <w:rPr>
          <w:rFonts w:eastAsia="Calibri"/>
          <w:noProof/>
          <w:lang w:val="fr-FR"/>
        </w:rPr>
        <w:t xml:space="preserve">Directive </w:t>
      </w:r>
      <w:r w:rsidRPr="00EF1178">
        <w:rPr>
          <w:rFonts w:eastAsia="Calibri"/>
          <w:noProof/>
          <w:lang w:val="fr-FR"/>
        </w:rPr>
        <w:t>FGE/RJGP-176/2017 d</w:t>
      </w:r>
      <w:r>
        <w:rPr>
          <w:rFonts w:eastAsia="Calibri"/>
          <w:noProof/>
          <w:lang w:val="fr-FR"/>
        </w:rPr>
        <w:t>u</w:t>
      </w:r>
      <w:r w:rsidRPr="00EF1178">
        <w:rPr>
          <w:rFonts w:eastAsia="Calibri"/>
          <w:noProof/>
          <w:lang w:val="fr-FR"/>
        </w:rPr>
        <w:t xml:space="preserve"> 16</w:t>
      </w:r>
      <w:r>
        <w:rPr>
          <w:rFonts w:eastAsia="Calibri"/>
          <w:noProof/>
          <w:lang w:val="fr-FR"/>
        </w:rPr>
        <w:t> octobre</w:t>
      </w:r>
      <w:r w:rsidRPr="00EF1178">
        <w:rPr>
          <w:rFonts w:eastAsia="Calibri"/>
          <w:noProof/>
          <w:lang w:val="fr-FR"/>
        </w:rPr>
        <w:t xml:space="preserve"> 2017 d</w:t>
      </w:r>
      <w:r>
        <w:rPr>
          <w:rFonts w:eastAsia="Calibri"/>
          <w:noProof/>
          <w:lang w:val="fr-FR"/>
        </w:rPr>
        <w:t>u Bureau du Procureur général de l’État</w:t>
      </w:r>
      <w:r w:rsidRPr="00EF1178">
        <w:rPr>
          <w:rFonts w:eastAsia="Calibri"/>
          <w:noProof/>
          <w:lang w:val="fr-FR"/>
        </w:rPr>
        <w:t>.</w:t>
      </w:r>
    </w:p>
  </w:footnote>
  <w:footnote w:id="15">
    <w:p w:rsidR="00F44C75" w:rsidRPr="00B5117C" w:rsidRDefault="00F44C75" w:rsidP="00FB1114">
      <w:pPr>
        <w:pStyle w:val="Notedebasdepage"/>
        <w:rPr>
          <w:lang w:val="fr-FR"/>
        </w:rPr>
      </w:pPr>
      <w:r w:rsidRPr="00EF1178">
        <w:rPr>
          <w:noProof/>
          <w:lang w:val="fr-FR"/>
        </w:rPr>
        <w:tab/>
      </w:r>
      <w:r w:rsidRPr="00FB1114">
        <w:rPr>
          <w:rStyle w:val="Appelnotedebasdep"/>
        </w:rPr>
        <w:footnoteRef/>
      </w:r>
      <w:r w:rsidRPr="00EF1178">
        <w:rPr>
          <w:noProof/>
          <w:lang w:val="fr-FR"/>
        </w:rPr>
        <w:tab/>
        <w:t>Art</w:t>
      </w:r>
      <w:r>
        <w:rPr>
          <w:noProof/>
          <w:lang w:val="fr-FR"/>
        </w:rPr>
        <w:t>. </w:t>
      </w:r>
      <w:r w:rsidRPr="00EF1178">
        <w:rPr>
          <w:noProof/>
          <w:lang w:val="fr-FR"/>
        </w:rPr>
        <w:t xml:space="preserve">239 </w:t>
      </w:r>
      <w:r>
        <w:rPr>
          <w:noProof/>
          <w:lang w:val="fr-FR"/>
        </w:rPr>
        <w:t>du Code de procédure pénale</w:t>
      </w:r>
      <w:r w:rsidRPr="00B5117C">
        <w:rPr>
          <w:lang w:val="fr-FR"/>
        </w:rPr>
        <w:t>.</w:t>
      </w:r>
    </w:p>
  </w:footnote>
  <w:footnote w:id="16">
    <w:p w:rsidR="00F44C75" w:rsidRPr="00586B23" w:rsidRDefault="00F44C75" w:rsidP="00FB1114">
      <w:pPr>
        <w:pStyle w:val="Notedebasdepage"/>
        <w:rPr>
          <w:noProof/>
          <w:lang w:val="fr-FR"/>
        </w:rPr>
      </w:pPr>
      <w:r w:rsidRPr="00B5117C">
        <w:rPr>
          <w:lang w:val="fr-FR"/>
        </w:rPr>
        <w:tab/>
      </w:r>
      <w:r w:rsidRPr="00FB1114">
        <w:rPr>
          <w:rStyle w:val="Appelnotedebasdep"/>
        </w:rPr>
        <w:footnoteRef/>
      </w:r>
      <w:r w:rsidRPr="00B5117C">
        <w:rPr>
          <w:lang w:val="fr-FR"/>
        </w:rPr>
        <w:tab/>
      </w:r>
      <w:r>
        <w:rPr>
          <w:noProof/>
          <w:lang w:val="fr-FR"/>
        </w:rPr>
        <w:t>Décision a</w:t>
      </w:r>
      <w:r w:rsidRPr="00586B23">
        <w:rPr>
          <w:noProof/>
          <w:lang w:val="fr-FR"/>
        </w:rPr>
        <w:t>dministrativ</w:t>
      </w:r>
      <w:r>
        <w:rPr>
          <w:noProof/>
          <w:lang w:val="fr-FR"/>
        </w:rPr>
        <w:t>e</w:t>
      </w:r>
      <w:r w:rsidRPr="00586B23">
        <w:rPr>
          <w:noProof/>
          <w:lang w:val="fr-FR"/>
        </w:rPr>
        <w:t xml:space="preserve">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039/2017 du</w:t>
      </w:r>
      <w:r w:rsidRPr="00586B23">
        <w:rPr>
          <w:noProof/>
          <w:lang w:val="fr-FR"/>
        </w:rPr>
        <w:t xml:space="preserve"> 27</w:t>
      </w:r>
      <w:r>
        <w:rPr>
          <w:noProof/>
          <w:lang w:val="fr-FR"/>
        </w:rPr>
        <w:t xml:space="preserve"> juillet </w:t>
      </w:r>
      <w:r w:rsidRPr="00586B23">
        <w:rPr>
          <w:noProof/>
          <w:lang w:val="fr-FR"/>
        </w:rPr>
        <w:t>2017.</w:t>
      </w:r>
    </w:p>
  </w:footnote>
  <w:footnote w:id="17">
    <w:p w:rsidR="00F44C75" w:rsidRPr="00586B23" w:rsidRDefault="00F44C75" w:rsidP="00FB1114">
      <w:pPr>
        <w:pStyle w:val="Notedebasdepage"/>
        <w:rPr>
          <w:noProof/>
          <w:lang w:val="fr-FR"/>
        </w:rPr>
      </w:pPr>
      <w:r w:rsidRPr="00586B23">
        <w:rPr>
          <w:noProof/>
          <w:lang w:val="fr-FR"/>
        </w:rPr>
        <w:tab/>
      </w:r>
      <w:r w:rsidRPr="00FB1114">
        <w:rPr>
          <w:rStyle w:val="Appelnotedebasdep"/>
        </w:rPr>
        <w:footnoteRef/>
      </w:r>
      <w:r w:rsidRPr="00586B23">
        <w:rPr>
          <w:noProof/>
          <w:lang w:val="fr-FR"/>
        </w:rPr>
        <w:tab/>
      </w:r>
      <w:r>
        <w:rPr>
          <w:noProof/>
          <w:lang w:val="fr-FR"/>
        </w:rPr>
        <w:t>Art. </w:t>
      </w:r>
      <w:r w:rsidRPr="00586B23">
        <w:rPr>
          <w:noProof/>
          <w:lang w:val="fr-FR"/>
        </w:rPr>
        <w:t>137 de la C</w:t>
      </w:r>
      <w:r>
        <w:rPr>
          <w:noProof/>
          <w:lang w:val="fr-FR"/>
        </w:rPr>
        <w:t>onstitution</w:t>
      </w:r>
      <w:r w:rsidRPr="00586B23">
        <w:rPr>
          <w:noProof/>
          <w:lang w:val="fr-FR"/>
        </w:rPr>
        <w:t>.</w:t>
      </w:r>
    </w:p>
  </w:footnote>
  <w:footnote w:id="18">
    <w:p w:rsidR="00F44C75" w:rsidRPr="00586B23" w:rsidRDefault="00F44C75" w:rsidP="00FB1114">
      <w:pPr>
        <w:pStyle w:val="Notedebasdepage"/>
        <w:rPr>
          <w:noProof/>
          <w:lang w:val="fr-FR"/>
        </w:rPr>
      </w:pPr>
      <w:r w:rsidRPr="00586B23">
        <w:rPr>
          <w:noProof/>
          <w:lang w:val="fr-FR"/>
        </w:rPr>
        <w:tab/>
      </w:r>
      <w:r w:rsidRPr="00FB1114">
        <w:rPr>
          <w:rStyle w:val="Appelnotedebasdep"/>
        </w:rPr>
        <w:footnoteRef/>
      </w:r>
      <w:r w:rsidRPr="00586B23">
        <w:rPr>
          <w:noProof/>
          <w:lang w:val="fr-FR"/>
        </w:rPr>
        <w:tab/>
        <w:t>Art</w:t>
      </w:r>
      <w:r>
        <w:rPr>
          <w:noProof/>
          <w:lang w:val="fr-FR"/>
        </w:rPr>
        <w:t>. </w:t>
      </w:r>
      <w:r w:rsidRPr="00586B23">
        <w:rPr>
          <w:noProof/>
          <w:lang w:val="fr-FR"/>
        </w:rPr>
        <w:t>139.II de la</w:t>
      </w:r>
      <w:r>
        <w:rPr>
          <w:noProof/>
          <w:lang w:val="fr-FR"/>
        </w:rPr>
        <w:t xml:space="preserve"> Constitution</w:t>
      </w:r>
      <w:r w:rsidRPr="00586B23">
        <w:rPr>
          <w:noProof/>
          <w:lang w:val="fr-FR"/>
        </w:rPr>
        <w:t>.</w:t>
      </w:r>
    </w:p>
  </w:footnote>
  <w:footnote w:id="19">
    <w:p w:rsidR="00F44C75" w:rsidRPr="00B5117C" w:rsidRDefault="00F44C75" w:rsidP="00FB1114">
      <w:pPr>
        <w:pStyle w:val="Notedebasdepage"/>
        <w:rPr>
          <w:rFonts w:eastAsia="Calibri"/>
          <w:lang w:val="fr-FR"/>
        </w:rPr>
      </w:pPr>
      <w:r w:rsidRPr="00586B23">
        <w:rPr>
          <w:rFonts w:eastAsia="Calibri"/>
          <w:noProof/>
          <w:lang w:val="fr-FR"/>
        </w:rPr>
        <w:tab/>
      </w:r>
      <w:r w:rsidRPr="00FB1114">
        <w:rPr>
          <w:rStyle w:val="Appelnotedebasdep"/>
        </w:rPr>
        <w:footnoteRef/>
      </w:r>
      <w:r>
        <w:rPr>
          <w:rFonts w:eastAsia="Calibri"/>
          <w:noProof/>
          <w:lang w:val="fr-FR"/>
        </w:rPr>
        <w:tab/>
        <w:t>Art. </w:t>
      </w:r>
      <w:r w:rsidRPr="00586B23">
        <w:rPr>
          <w:rFonts w:eastAsia="Calibri"/>
          <w:noProof/>
          <w:lang w:val="fr-FR"/>
        </w:rPr>
        <w:t xml:space="preserve">10.2 de la </w:t>
      </w:r>
      <w:r>
        <w:rPr>
          <w:rFonts w:eastAsia="Calibri"/>
          <w:noProof/>
          <w:lang w:val="fr-FR"/>
        </w:rPr>
        <w:t xml:space="preserve">décision suprême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586B23">
        <w:rPr>
          <w:rFonts w:eastAsia="Calibri"/>
          <w:noProof/>
          <w:lang w:val="fr-FR"/>
        </w:rPr>
        <w:t>181303 de 1976</w:t>
      </w:r>
      <w:r w:rsidRPr="00B5117C">
        <w:rPr>
          <w:rFonts w:eastAsia="Calibri"/>
          <w:lang w:val="fr-FR"/>
        </w:rPr>
        <w:t>.</w:t>
      </w:r>
    </w:p>
  </w:footnote>
  <w:footnote w:id="20">
    <w:p w:rsidR="00F44C75" w:rsidRPr="001C57C5" w:rsidRDefault="00F44C75" w:rsidP="00FB1114">
      <w:pPr>
        <w:pStyle w:val="Notedebasdepage"/>
        <w:rPr>
          <w:noProof/>
          <w:lang w:val="fr-FR"/>
        </w:rPr>
      </w:pPr>
      <w:r w:rsidRPr="00B5117C">
        <w:rPr>
          <w:lang w:val="fr-FR"/>
        </w:rPr>
        <w:tab/>
      </w:r>
      <w:r w:rsidRPr="00FB1114">
        <w:rPr>
          <w:rStyle w:val="Appelnotedebasdep"/>
        </w:rPr>
        <w:footnoteRef/>
      </w:r>
      <w:r w:rsidRPr="00B5117C">
        <w:rPr>
          <w:lang w:val="fr-FR"/>
        </w:rPr>
        <w:tab/>
      </w:r>
      <w:r w:rsidRPr="001C57C5">
        <w:rPr>
          <w:noProof/>
          <w:lang w:val="fr-FR"/>
        </w:rPr>
        <w:t>Art</w:t>
      </w:r>
      <w:r>
        <w:rPr>
          <w:noProof/>
          <w:lang w:val="fr-FR"/>
        </w:rPr>
        <w:t>. </w:t>
      </w:r>
      <w:r w:rsidRPr="001C57C5">
        <w:rPr>
          <w:noProof/>
          <w:lang w:val="fr-FR"/>
        </w:rPr>
        <w:t xml:space="preserve">14 de la </w:t>
      </w:r>
      <w:r>
        <w:rPr>
          <w:noProof/>
          <w:lang w:val="fr-FR"/>
        </w:rPr>
        <w:t xml:space="preserve">loi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1C57C5">
        <w:rPr>
          <w:noProof/>
          <w:spacing w:val="-2"/>
          <w:lang w:val="fr-FR"/>
        </w:rPr>
        <w:t>101</w:t>
      </w:r>
      <w:r w:rsidRPr="001C57C5">
        <w:rPr>
          <w:noProof/>
          <w:lang w:val="fr-FR"/>
        </w:rPr>
        <w:t>.</w:t>
      </w:r>
    </w:p>
  </w:footnote>
  <w:footnote w:id="21">
    <w:p w:rsidR="00F44C75" w:rsidRPr="001C57C5" w:rsidRDefault="00F44C75" w:rsidP="00FB1114">
      <w:pPr>
        <w:pStyle w:val="Notedebasdepage"/>
        <w:rPr>
          <w:noProof/>
          <w:lang w:val="fr-FR"/>
        </w:rPr>
      </w:pPr>
      <w:r w:rsidRPr="001C57C5">
        <w:rPr>
          <w:noProof/>
          <w:lang w:val="fr-FR"/>
        </w:rPr>
        <w:tab/>
      </w:r>
      <w:r w:rsidRPr="00FB1114">
        <w:rPr>
          <w:rStyle w:val="Appelnotedebasdep"/>
        </w:rPr>
        <w:footnoteRef/>
      </w:r>
      <w:r w:rsidRPr="001C57C5">
        <w:rPr>
          <w:noProof/>
          <w:lang w:val="fr-FR"/>
        </w:rPr>
        <w:tab/>
        <w:t>Art</w:t>
      </w:r>
      <w:r>
        <w:rPr>
          <w:noProof/>
          <w:lang w:val="fr-FR"/>
        </w:rPr>
        <w:t>. </w:t>
      </w:r>
      <w:r w:rsidRPr="001C57C5">
        <w:rPr>
          <w:noProof/>
          <w:lang w:val="fr-FR"/>
        </w:rPr>
        <w:t>110 de la C</w:t>
      </w:r>
      <w:r>
        <w:rPr>
          <w:noProof/>
          <w:lang w:val="fr-FR"/>
        </w:rPr>
        <w:t>onstitution</w:t>
      </w:r>
      <w:r w:rsidRPr="001C57C5">
        <w:rPr>
          <w:noProof/>
          <w:lang w:val="fr-FR"/>
        </w:rPr>
        <w:t>.</w:t>
      </w:r>
    </w:p>
  </w:footnote>
  <w:footnote w:id="22">
    <w:p w:rsidR="00F44C75" w:rsidRPr="001C57C5" w:rsidRDefault="00F44C75" w:rsidP="00FB1114">
      <w:pPr>
        <w:pStyle w:val="Notedebasdepage"/>
        <w:rPr>
          <w:noProof/>
          <w:lang w:val="fr-FR"/>
        </w:rPr>
      </w:pPr>
      <w:r w:rsidRPr="001C57C5">
        <w:rPr>
          <w:noProof/>
          <w:lang w:val="fr-FR"/>
        </w:rPr>
        <w:tab/>
      </w:r>
      <w:r w:rsidRPr="00FB1114">
        <w:rPr>
          <w:rStyle w:val="Appelnotedebasdep"/>
        </w:rPr>
        <w:footnoteRef/>
      </w:r>
      <w:r w:rsidRPr="001C57C5">
        <w:rPr>
          <w:noProof/>
          <w:lang w:val="fr-FR"/>
        </w:rPr>
        <w:tab/>
        <w:t>Art</w:t>
      </w:r>
      <w:r>
        <w:rPr>
          <w:noProof/>
          <w:lang w:val="fr-FR"/>
        </w:rPr>
        <w:t>. </w:t>
      </w:r>
      <w:r w:rsidRPr="001C57C5">
        <w:rPr>
          <w:noProof/>
          <w:lang w:val="fr-FR"/>
        </w:rPr>
        <w:t xml:space="preserve">37 de la </w:t>
      </w:r>
      <w:r>
        <w:rPr>
          <w:noProof/>
          <w:lang w:val="fr-FR"/>
        </w:rPr>
        <w:t xml:space="preserve">loi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1C57C5">
        <w:rPr>
          <w:noProof/>
          <w:lang w:val="fr-FR"/>
        </w:rPr>
        <w:t>370.</w:t>
      </w:r>
    </w:p>
  </w:footnote>
  <w:footnote w:id="23">
    <w:p w:rsidR="00F44C75" w:rsidRPr="001C57C5" w:rsidRDefault="00F44C75" w:rsidP="00FB1114">
      <w:pPr>
        <w:pStyle w:val="Notedebasdepage"/>
        <w:rPr>
          <w:noProof/>
          <w:lang w:val="fr-FR"/>
        </w:rPr>
      </w:pPr>
      <w:r w:rsidRPr="001C57C5">
        <w:rPr>
          <w:noProof/>
          <w:lang w:val="fr-FR"/>
        </w:rPr>
        <w:tab/>
      </w:r>
      <w:r w:rsidRPr="00FB1114">
        <w:rPr>
          <w:rStyle w:val="Appelnotedebasdep"/>
        </w:rPr>
        <w:footnoteRef/>
      </w:r>
      <w:r w:rsidRPr="001C57C5">
        <w:rPr>
          <w:noProof/>
          <w:lang w:val="fr-FR"/>
        </w:rPr>
        <w:tab/>
        <w:t>Art</w:t>
      </w:r>
      <w:r>
        <w:rPr>
          <w:noProof/>
          <w:lang w:val="fr-FR"/>
        </w:rPr>
        <w:t>. </w:t>
      </w:r>
      <w:r w:rsidRPr="001C57C5">
        <w:rPr>
          <w:noProof/>
          <w:lang w:val="fr-FR"/>
        </w:rPr>
        <w:t xml:space="preserve">4 de la </w:t>
      </w:r>
      <w:r>
        <w:rPr>
          <w:noProof/>
          <w:lang w:val="fr-FR"/>
        </w:rPr>
        <w:t xml:space="preserve">loi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1C57C5">
        <w:rPr>
          <w:noProof/>
          <w:lang w:val="fr-FR"/>
        </w:rPr>
        <w:t>251.</w:t>
      </w:r>
    </w:p>
  </w:footnote>
  <w:footnote w:id="24">
    <w:p w:rsidR="00F44C75" w:rsidRPr="001C57C5" w:rsidRDefault="00F44C75" w:rsidP="00FB1114">
      <w:pPr>
        <w:pStyle w:val="Notedebasdepage"/>
        <w:rPr>
          <w:noProof/>
          <w:lang w:val="fr-FR"/>
        </w:rPr>
      </w:pPr>
      <w:r w:rsidRPr="001C57C5">
        <w:rPr>
          <w:noProof/>
          <w:lang w:val="fr-FR"/>
        </w:rPr>
        <w:tab/>
      </w:r>
      <w:r w:rsidRPr="00FB1114">
        <w:rPr>
          <w:rStyle w:val="Appelnotedebasdep"/>
        </w:rPr>
        <w:footnoteRef/>
      </w:r>
      <w:r w:rsidRPr="001C57C5">
        <w:rPr>
          <w:noProof/>
          <w:lang w:val="fr-FR"/>
        </w:rPr>
        <w:tab/>
        <w:t>Art</w:t>
      </w:r>
      <w:r>
        <w:rPr>
          <w:noProof/>
          <w:lang w:val="fr-FR"/>
        </w:rPr>
        <w:t>. </w:t>
      </w:r>
      <w:r w:rsidRPr="001C57C5">
        <w:rPr>
          <w:noProof/>
          <w:lang w:val="fr-FR"/>
        </w:rPr>
        <w:t xml:space="preserve">6 de la </w:t>
      </w:r>
      <w:r>
        <w:rPr>
          <w:noProof/>
          <w:lang w:val="fr-FR"/>
        </w:rPr>
        <w:t xml:space="preserve">loi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1C57C5">
        <w:rPr>
          <w:noProof/>
          <w:lang w:val="fr-FR"/>
        </w:rPr>
        <w:t>251.</w:t>
      </w:r>
    </w:p>
  </w:footnote>
  <w:footnote w:id="25">
    <w:p w:rsidR="00F44C75" w:rsidRPr="001C57C5" w:rsidRDefault="00F44C75" w:rsidP="00FB1114">
      <w:pPr>
        <w:pStyle w:val="Notedebasdepage"/>
        <w:rPr>
          <w:noProof/>
          <w:lang w:val="fr-FR"/>
        </w:rPr>
      </w:pPr>
      <w:r w:rsidRPr="001C57C5">
        <w:rPr>
          <w:noProof/>
          <w:lang w:val="fr-FR"/>
        </w:rPr>
        <w:tab/>
      </w:r>
      <w:r w:rsidRPr="00FB1114">
        <w:rPr>
          <w:rStyle w:val="Appelnotedebasdep"/>
        </w:rPr>
        <w:footnoteRef/>
      </w:r>
      <w:r w:rsidRPr="001C57C5">
        <w:rPr>
          <w:noProof/>
          <w:lang w:val="fr-FR"/>
        </w:rPr>
        <w:tab/>
        <w:t>Art</w:t>
      </w:r>
      <w:r>
        <w:rPr>
          <w:noProof/>
          <w:lang w:val="fr-FR"/>
        </w:rPr>
        <w:t>. </w:t>
      </w:r>
      <w:r w:rsidRPr="001C57C5">
        <w:rPr>
          <w:noProof/>
          <w:lang w:val="fr-FR"/>
        </w:rPr>
        <w:t>6 d</w:t>
      </w:r>
      <w:r>
        <w:rPr>
          <w:noProof/>
          <w:lang w:val="fr-FR"/>
        </w:rPr>
        <w:t xml:space="preserve">u décret suprême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1C57C5">
        <w:rPr>
          <w:noProof/>
          <w:lang w:val="fr-FR"/>
        </w:rPr>
        <w:t>1440.</w:t>
      </w:r>
    </w:p>
  </w:footnote>
  <w:footnote w:id="26">
    <w:p w:rsidR="00F44C75" w:rsidRPr="001C57C5" w:rsidRDefault="00F44C75" w:rsidP="00FB1114">
      <w:pPr>
        <w:pStyle w:val="Notedebasdepage"/>
        <w:rPr>
          <w:noProof/>
          <w:lang w:val="fr-FR"/>
        </w:rPr>
      </w:pPr>
      <w:r w:rsidRPr="001C57C5">
        <w:rPr>
          <w:noProof/>
          <w:lang w:val="fr-FR"/>
        </w:rPr>
        <w:tab/>
      </w:r>
      <w:r w:rsidRPr="00FB1114">
        <w:rPr>
          <w:rStyle w:val="Appelnotedebasdep"/>
        </w:rPr>
        <w:footnoteRef/>
      </w:r>
      <w:r w:rsidRPr="001C57C5">
        <w:rPr>
          <w:noProof/>
          <w:lang w:val="fr-FR"/>
        </w:rPr>
        <w:tab/>
        <w:t>Art</w:t>
      </w:r>
      <w:r>
        <w:rPr>
          <w:noProof/>
          <w:lang w:val="fr-FR"/>
        </w:rPr>
        <w:t>. </w:t>
      </w:r>
      <w:r w:rsidRPr="001C57C5">
        <w:rPr>
          <w:noProof/>
          <w:lang w:val="fr-FR"/>
        </w:rPr>
        <w:t xml:space="preserve">5 de la </w:t>
      </w:r>
      <w:r>
        <w:rPr>
          <w:noProof/>
          <w:lang w:val="fr-FR"/>
        </w:rPr>
        <w:t xml:space="preserve">loi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1C57C5">
        <w:rPr>
          <w:noProof/>
          <w:lang w:val="fr-FR"/>
        </w:rPr>
        <w:t>251.</w:t>
      </w:r>
    </w:p>
  </w:footnote>
  <w:footnote w:id="27">
    <w:p w:rsidR="00F44C75" w:rsidRPr="009602E7" w:rsidRDefault="00F44C75" w:rsidP="00FB1114">
      <w:pPr>
        <w:pStyle w:val="Notedebasdepage"/>
        <w:rPr>
          <w:noProof/>
          <w:lang w:val="fr-FR"/>
        </w:rPr>
      </w:pPr>
      <w:r w:rsidRPr="00B5117C">
        <w:rPr>
          <w:lang w:val="fr-FR"/>
        </w:rPr>
        <w:tab/>
      </w:r>
      <w:r w:rsidRPr="00FB1114">
        <w:rPr>
          <w:rStyle w:val="Appelnotedebasdep"/>
        </w:rPr>
        <w:footnoteRef/>
      </w:r>
      <w:r w:rsidRPr="00B5117C">
        <w:rPr>
          <w:lang w:val="fr-FR"/>
        </w:rPr>
        <w:tab/>
      </w:r>
      <w:r>
        <w:rPr>
          <w:noProof/>
          <w:lang w:val="fr-FR"/>
        </w:rPr>
        <w:t>Art. 1</w:t>
      </w:r>
      <w:r w:rsidRPr="005673A3">
        <w:rPr>
          <w:noProof/>
          <w:vertAlign w:val="superscript"/>
          <w:lang w:val="fr-FR"/>
        </w:rPr>
        <w:t>er</w:t>
      </w:r>
      <w:r>
        <w:rPr>
          <w:noProof/>
          <w:lang w:val="fr-FR"/>
        </w:rPr>
        <w:t> du Code pénal</w:t>
      </w:r>
      <w:r w:rsidRPr="009602E7">
        <w:rPr>
          <w:noProof/>
          <w:lang w:val="fr-FR"/>
        </w:rPr>
        <w:t>.</w:t>
      </w:r>
    </w:p>
  </w:footnote>
  <w:footnote w:id="28">
    <w:p w:rsidR="00F44C75" w:rsidRPr="009602E7" w:rsidRDefault="00F44C75" w:rsidP="00FB1114">
      <w:pPr>
        <w:pStyle w:val="Notedebasdepage"/>
        <w:rPr>
          <w:noProof/>
          <w:lang w:val="fr-FR"/>
        </w:rPr>
      </w:pPr>
      <w:r w:rsidRPr="009602E7">
        <w:rPr>
          <w:noProof/>
          <w:lang w:val="fr-FR"/>
        </w:rPr>
        <w:tab/>
      </w:r>
      <w:r w:rsidRPr="00FB1114">
        <w:rPr>
          <w:rStyle w:val="Appelnotedebasdep"/>
        </w:rPr>
        <w:footnoteRef/>
      </w:r>
      <w:r>
        <w:rPr>
          <w:noProof/>
          <w:lang w:val="fr-FR"/>
        </w:rPr>
        <w:tab/>
        <w:t>Art. </w:t>
      </w:r>
      <w:r w:rsidRPr="009602E7">
        <w:rPr>
          <w:noProof/>
          <w:lang w:val="fr-FR"/>
        </w:rPr>
        <w:t xml:space="preserve">15 de la </w:t>
      </w:r>
      <w:r>
        <w:rPr>
          <w:noProof/>
          <w:lang w:val="fr-FR"/>
        </w:rPr>
        <w:t xml:space="preserve">loi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9602E7">
        <w:rPr>
          <w:noProof/>
          <w:lang w:val="fr-FR"/>
        </w:rPr>
        <w:t>370.</w:t>
      </w:r>
    </w:p>
  </w:footnote>
  <w:footnote w:id="29">
    <w:p w:rsidR="00F44C75" w:rsidRPr="00B5117C" w:rsidRDefault="00F44C75" w:rsidP="00FB1114">
      <w:pPr>
        <w:pStyle w:val="Notedebasdepage"/>
        <w:rPr>
          <w:color w:val="333333"/>
          <w:lang w:val="fr-FR"/>
        </w:rPr>
      </w:pPr>
      <w:r w:rsidRPr="009602E7">
        <w:rPr>
          <w:noProof/>
          <w:lang w:val="fr-FR"/>
        </w:rPr>
        <w:tab/>
      </w:r>
      <w:r w:rsidRPr="00FB1114">
        <w:rPr>
          <w:rStyle w:val="Appelnotedebasdep"/>
        </w:rPr>
        <w:footnoteRef/>
      </w:r>
      <w:r w:rsidRPr="009602E7">
        <w:rPr>
          <w:noProof/>
          <w:lang w:val="fr-FR"/>
        </w:rPr>
        <w:tab/>
      </w:r>
      <w:r>
        <w:rPr>
          <w:noProof/>
          <w:lang w:val="fr-FR"/>
        </w:rPr>
        <w:t>Art. </w:t>
      </w:r>
      <w:r w:rsidRPr="009602E7">
        <w:rPr>
          <w:noProof/>
          <w:lang w:val="fr-FR"/>
        </w:rPr>
        <w:t xml:space="preserve">49.5 de la </w:t>
      </w:r>
      <w:r>
        <w:rPr>
          <w:noProof/>
          <w:lang w:val="fr-FR"/>
        </w:rPr>
        <w:t xml:space="preserve">loi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9602E7">
        <w:rPr>
          <w:noProof/>
          <w:lang w:val="fr-FR"/>
        </w:rPr>
        <w:t>370</w:t>
      </w:r>
      <w:r w:rsidRPr="00B5117C">
        <w:rPr>
          <w:lang w:val="fr-FR"/>
        </w:rPr>
        <w:t>.</w:t>
      </w:r>
    </w:p>
  </w:footnote>
  <w:footnote w:id="30">
    <w:p w:rsidR="00F44C75" w:rsidRPr="00386E50" w:rsidRDefault="00F44C75" w:rsidP="00FB1114">
      <w:pPr>
        <w:pStyle w:val="Notedebasdepage"/>
        <w:rPr>
          <w:noProof/>
          <w:lang w:val="fr-FR"/>
        </w:rPr>
      </w:pPr>
      <w:r w:rsidRPr="00B5117C">
        <w:rPr>
          <w:rFonts w:eastAsia="Calibri"/>
          <w:lang w:val="fr-FR"/>
        </w:rPr>
        <w:tab/>
      </w:r>
      <w:r w:rsidRPr="00FB1114">
        <w:rPr>
          <w:rStyle w:val="Appelnotedebasdep"/>
        </w:rPr>
        <w:footnoteRef/>
      </w:r>
      <w:r w:rsidRPr="00B5117C">
        <w:rPr>
          <w:rFonts w:eastAsia="Calibri"/>
          <w:lang w:val="fr-FR"/>
        </w:rPr>
        <w:tab/>
      </w:r>
      <w:r>
        <w:rPr>
          <w:rFonts w:eastAsia="Calibri"/>
          <w:noProof/>
          <w:lang w:val="fr-FR"/>
        </w:rPr>
        <w:t>Art. </w:t>
      </w:r>
      <w:r w:rsidRPr="00386E50">
        <w:rPr>
          <w:noProof/>
          <w:lang w:val="fr-FR"/>
        </w:rPr>
        <w:t xml:space="preserve">158 </w:t>
      </w:r>
      <w:r>
        <w:rPr>
          <w:noProof/>
          <w:lang w:val="fr-FR"/>
        </w:rPr>
        <w:t>du Code de procédure pénale</w:t>
      </w:r>
      <w:r w:rsidRPr="00386E50">
        <w:rPr>
          <w:noProof/>
          <w:lang w:val="fr-FR"/>
        </w:rPr>
        <w:t>.</w:t>
      </w:r>
    </w:p>
  </w:footnote>
  <w:footnote w:id="31">
    <w:p w:rsidR="00F44C75" w:rsidRPr="00386E50" w:rsidRDefault="00F44C75" w:rsidP="00FB1114">
      <w:pPr>
        <w:pStyle w:val="Notedebasdepage"/>
        <w:rPr>
          <w:noProof/>
          <w:lang w:val="fr-FR"/>
        </w:rPr>
      </w:pPr>
      <w:r w:rsidRPr="00386E50">
        <w:rPr>
          <w:noProof/>
          <w:lang w:val="fr-FR"/>
        </w:rPr>
        <w:tab/>
      </w:r>
      <w:r w:rsidRPr="00FB1114">
        <w:rPr>
          <w:rStyle w:val="Appelnotedebasdep"/>
        </w:rPr>
        <w:footnoteRef/>
      </w:r>
      <w:r w:rsidRPr="00386E50">
        <w:rPr>
          <w:noProof/>
          <w:lang w:val="fr-FR"/>
        </w:rPr>
        <w:tab/>
        <w:t>Art</w:t>
      </w:r>
      <w:r>
        <w:rPr>
          <w:noProof/>
          <w:lang w:val="fr-FR"/>
        </w:rPr>
        <w:t>. </w:t>
      </w:r>
      <w:r w:rsidRPr="00386E50">
        <w:rPr>
          <w:noProof/>
          <w:lang w:val="fr-FR"/>
        </w:rPr>
        <w:t xml:space="preserve">149 </w:t>
      </w:r>
      <w:r>
        <w:rPr>
          <w:noProof/>
          <w:lang w:val="fr-FR"/>
        </w:rPr>
        <w:t>du Code de procédure pénale</w:t>
      </w:r>
      <w:r w:rsidRPr="00386E50">
        <w:rPr>
          <w:noProof/>
          <w:lang w:val="fr-FR"/>
        </w:rPr>
        <w:t>.</w:t>
      </w:r>
    </w:p>
  </w:footnote>
  <w:footnote w:id="32">
    <w:p w:rsidR="00F44C75" w:rsidRPr="00386E50" w:rsidRDefault="00F44C75" w:rsidP="00FB1114">
      <w:pPr>
        <w:pStyle w:val="Notedebasdepage"/>
        <w:rPr>
          <w:noProof/>
          <w:lang w:val="fr-FR"/>
        </w:rPr>
      </w:pPr>
      <w:r w:rsidRPr="00386E50">
        <w:rPr>
          <w:noProof/>
          <w:lang w:val="fr-FR"/>
        </w:rPr>
        <w:tab/>
      </w:r>
      <w:r w:rsidRPr="00FB1114">
        <w:rPr>
          <w:rStyle w:val="Appelnotedebasdep"/>
        </w:rPr>
        <w:footnoteRef/>
      </w:r>
      <w:r w:rsidRPr="00386E50">
        <w:rPr>
          <w:noProof/>
          <w:lang w:val="fr-FR"/>
        </w:rPr>
        <w:tab/>
      </w:r>
      <w:r>
        <w:rPr>
          <w:noProof/>
          <w:lang w:val="fr-FR"/>
        </w:rPr>
        <w:t xml:space="preserve">Directive </w:t>
      </w:r>
      <w:r w:rsidRPr="00386E50">
        <w:rPr>
          <w:noProof/>
          <w:lang w:val="fr-FR"/>
        </w:rPr>
        <w:t>MG-DGRP 25/2017 d</w:t>
      </w:r>
      <w:r>
        <w:rPr>
          <w:noProof/>
          <w:lang w:val="fr-FR"/>
        </w:rPr>
        <w:t>u</w:t>
      </w:r>
      <w:r w:rsidRPr="00386E50">
        <w:rPr>
          <w:noProof/>
          <w:lang w:val="fr-FR"/>
        </w:rPr>
        <w:t xml:space="preserve"> 20</w:t>
      </w:r>
      <w:r>
        <w:rPr>
          <w:noProof/>
          <w:lang w:val="fr-FR"/>
        </w:rPr>
        <w:t> septembre</w:t>
      </w:r>
      <w:r w:rsidRPr="00386E50">
        <w:rPr>
          <w:noProof/>
          <w:lang w:val="fr-FR"/>
        </w:rPr>
        <w:t xml:space="preserve"> 2017.</w:t>
      </w:r>
    </w:p>
  </w:footnote>
  <w:footnote w:id="33">
    <w:p w:rsidR="00F44C75" w:rsidRPr="00386E50" w:rsidRDefault="00F44C75" w:rsidP="00FB1114">
      <w:pPr>
        <w:pStyle w:val="Notedebasdepage"/>
        <w:rPr>
          <w:noProof/>
          <w:lang w:val="fr-FR"/>
        </w:rPr>
      </w:pPr>
      <w:r w:rsidRPr="00386E50">
        <w:rPr>
          <w:noProof/>
          <w:lang w:val="fr-FR"/>
        </w:rPr>
        <w:tab/>
      </w:r>
      <w:r w:rsidRPr="00FB1114">
        <w:rPr>
          <w:rStyle w:val="Appelnotedebasdep"/>
        </w:rPr>
        <w:footnoteRef/>
      </w:r>
      <w:r w:rsidRPr="00386E50">
        <w:rPr>
          <w:noProof/>
          <w:lang w:val="fr-FR"/>
        </w:rPr>
        <w:tab/>
        <w:t>Circula</w:t>
      </w:r>
      <w:r>
        <w:rPr>
          <w:noProof/>
          <w:lang w:val="fr-FR"/>
        </w:rPr>
        <w:t>i</w:t>
      </w:r>
      <w:r w:rsidRPr="00386E50">
        <w:rPr>
          <w:noProof/>
          <w:lang w:val="fr-FR"/>
        </w:rPr>
        <w:t>r</w:t>
      </w:r>
      <w:r>
        <w:rPr>
          <w:noProof/>
          <w:lang w:val="fr-FR"/>
        </w:rPr>
        <w:t>e</w:t>
      </w:r>
      <w:r w:rsidRPr="00386E50">
        <w:rPr>
          <w:noProof/>
          <w:lang w:val="fr-FR"/>
        </w:rPr>
        <w:t xml:space="preserve"> </w:t>
      </w:r>
      <w:r w:rsidRPr="00870A5B">
        <w:rPr>
          <w:rFonts w:eastAsia="MS Mincho"/>
          <w:noProof/>
          <w:szCs w:val="22"/>
          <w:lang w:val="fr-FR"/>
        </w:rPr>
        <w:t>n</w:t>
      </w:r>
      <w:r w:rsidRPr="00870A5B">
        <w:rPr>
          <w:rFonts w:eastAsia="MS Mincho"/>
          <w:noProof/>
          <w:szCs w:val="22"/>
          <w:vertAlign w:val="superscript"/>
          <w:lang w:val="fr-FR"/>
        </w:rPr>
        <w:t>o</w:t>
      </w:r>
      <w:r>
        <w:rPr>
          <w:noProof/>
          <w:lang w:val="fr-FR"/>
        </w:rPr>
        <w:t> </w:t>
      </w:r>
      <w:r w:rsidRPr="00386E50">
        <w:rPr>
          <w:noProof/>
          <w:lang w:val="fr-FR"/>
        </w:rPr>
        <w:t>144/2017 d</w:t>
      </w:r>
      <w:r>
        <w:rPr>
          <w:noProof/>
          <w:lang w:val="fr-FR"/>
        </w:rPr>
        <w:t>u</w:t>
      </w:r>
      <w:r w:rsidRPr="00386E50">
        <w:rPr>
          <w:noProof/>
          <w:lang w:val="fr-FR"/>
        </w:rPr>
        <w:t xml:space="preserve"> 22</w:t>
      </w:r>
      <w:r>
        <w:rPr>
          <w:noProof/>
          <w:lang w:val="fr-FR"/>
        </w:rPr>
        <w:t> sept</w:t>
      </w:r>
      <w:r w:rsidRPr="00386E50">
        <w:rPr>
          <w:noProof/>
          <w:lang w:val="fr-FR"/>
        </w:rPr>
        <w:t>embre 2017.</w:t>
      </w:r>
    </w:p>
  </w:footnote>
  <w:footnote w:id="34">
    <w:p w:rsidR="00F44C75" w:rsidRPr="00386E50" w:rsidRDefault="00F44C75" w:rsidP="00FB1114">
      <w:pPr>
        <w:pStyle w:val="Notedebasdepage"/>
        <w:rPr>
          <w:rFonts w:eastAsia="Calibri"/>
          <w:noProof/>
          <w:lang w:val="fr-FR"/>
        </w:rPr>
      </w:pPr>
      <w:r w:rsidRPr="00386E50">
        <w:rPr>
          <w:noProof/>
          <w:lang w:val="fr-FR"/>
        </w:rPr>
        <w:tab/>
      </w:r>
      <w:r w:rsidRPr="00FB1114">
        <w:rPr>
          <w:rStyle w:val="Appelnotedebasdep"/>
        </w:rPr>
        <w:footnoteRef/>
      </w:r>
      <w:r w:rsidRPr="00386E50">
        <w:rPr>
          <w:noProof/>
          <w:lang w:val="fr-FR"/>
        </w:rPr>
        <w:tab/>
        <w:t>D</w:t>
      </w:r>
      <w:r>
        <w:rPr>
          <w:noProof/>
          <w:lang w:val="fr-FR"/>
        </w:rPr>
        <w:t>é</w:t>
      </w:r>
      <w:r w:rsidRPr="00386E50">
        <w:rPr>
          <w:noProof/>
          <w:lang w:val="fr-FR"/>
        </w:rPr>
        <w:t>clara</w:t>
      </w:r>
      <w:r>
        <w:rPr>
          <w:noProof/>
          <w:lang w:val="fr-FR"/>
        </w:rPr>
        <w:t>tion universelle des droits de l’homme</w:t>
      </w:r>
      <w:r w:rsidRPr="00386E50">
        <w:rPr>
          <w:noProof/>
          <w:lang w:val="fr-FR"/>
        </w:rPr>
        <w:t xml:space="preserve">, </w:t>
      </w:r>
      <w:r>
        <w:rPr>
          <w:noProof/>
          <w:lang w:val="fr-FR"/>
        </w:rPr>
        <w:t>art. </w:t>
      </w:r>
      <w:r w:rsidRPr="00386E50">
        <w:rPr>
          <w:rFonts w:eastAsia="Calibri"/>
          <w:noProof/>
          <w:lang w:val="fr-FR"/>
        </w:rPr>
        <w:t>5</w:t>
      </w:r>
      <w:r w:rsidRPr="00386E50">
        <w:rPr>
          <w:noProof/>
          <w:lang w:val="fr-FR"/>
        </w:rPr>
        <w:t>.</w:t>
      </w:r>
    </w:p>
  </w:footnote>
  <w:footnote w:id="35">
    <w:p w:rsidR="00F44C75" w:rsidRPr="00386E50" w:rsidRDefault="00F44C75" w:rsidP="00FB1114">
      <w:pPr>
        <w:pStyle w:val="Notedebasdepage"/>
        <w:rPr>
          <w:noProof/>
          <w:lang w:val="fr-FR"/>
        </w:rPr>
      </w:pPr>
      <w:r w:rsidRPr="00386E50">
        <w:rPr>
          <w:noProof/>
          <w:lang w:val="fr-FR"/>
        </w:rPr>
        <w:tab/>
      </w:r>
      <w:r w:rsidRPr="00FB1114">
        <w:rPr>
          <w:rStyle w:val="Appelnotedebasdep"/>
        </w:rPr>
        <w:footnoteRef/>
      </w:r>
      <w:r w:rsidRPr="00386E50">
        <w:rPr>
          <w:noProof/>
          <w:lang w:val="fr-FR"/>
        </w:rPr>
        <w:tab/>
        <w:t>A</w:t>
      </w:r>
      <w:r>
        <w:rPr>
          <w:noProof/>
          <w:lang w:val="fr-FR"/>
        </w:rPr>
        <w:t xml:space="preserve">pprouvé par la décision administrative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386E50">
        <w:rPr>
          <w:noProof/>
          <w:lang w:val="fr-FR"/>
        </w:rPr>
        <w:t>242/15 d</w:t>
      </w:r>
      <w:r>
        <w:rPr>
          <w:noProof/>
          <w:lang w:val="fr-FR"/>
        </w:rPr>
        <w:t>u</w:t>
      </w:r>
      <w:r w:rsidRPr="00386E50">
        <w:rPr>
          <w:noProof/>
          <w:lang w:val="fr-FR"/>
        </w:rPr>
        <w:t xml:space="preserve"> 14</w:t>
      </w:r>
      <w:r>
        <w:rPr>
          <w:noProof/>
          <w:lang w:val="fr-FR"/>
        </w:rPr>
        <w:t xml:space="preserve"> juillet </w:t>
      </w:r>
      <w:r w:rsidRPr="00386E50">
        <w:rPr>
          <w:noProof/>
          <w:lang w:val="fr-FR"/>
        </w:rPr>
        <w:t xml:space="preserve">2015 </w:t>
      </w:r>
      <w:r>
        <w:rPr>
          <w:noProof/>
          <w:lang w:val="fr-FR"/>
        </w:rPr>
        <w:t>du commandement général de la Police bolivienne</w:t>
      </w:r>
      <w:r w:rsidRPr="00386E50">
        <w:rPr>
          <w:noProof/>
          <w:lang w:val="fr-FR"/>
        </w:rPr>
        <w:t>.</w:t>
      </w:r>
    </w:p>
  </w:footnote>
  <w:footnote w:id="36">
    <w:p w:rsidR="00F44C75" w:rsidRPr="00B5117C" w:rsidRDefault="00F44C75" w:rsidP="00FB1114">
      <w:pPr>
        <w:pStyle w:val="Notedebasdepage"/>
        <w:rPr>
          <w:lang w:val="fr-FR"/>
        </w:rPr>
      </w:pPr>
      <w:r w:rsidRPr="00386E50">
        <w:rPr>
          <w:noProof/>
          <w:lang w:val="fr-FR"/>
        </w:rPr>
        <w:tab/>
      </w:r>
      <w:r w:rsidRPr="00FB1114">
        <w:rPr>
          <w:rStyle w:val="Appelnotedebasdep"/>
        </w:rPr>
        <w:footnoteRef/>
      </w:r>
      <w:r w:rsidRPr="00386E50">
        <w:rPr>
          <w:noProof/>
          <w:lang w:val="fr-FR"/>
        </w:rPr>
        <w:tab/>
        <w:t>Art</w:t>
      </w:r>
      <w:r>
        <w:rPr>
          <w:noProof/>
          <w:lang w:val="fr-FR"/>
        </w:rPr>
        <w:t>. </w:t>
      </w:r>
      <w:r w:rsidRPr="00386E50">
        <w:rPr>
          <w:noProof/>
          <w:lang w:val="fr-FR"/>
        </w:rPr>
        <w:t xml:space="preserve">8.I de la </w:t>
      </w:r>
      <w:r>
        <w:rPr>
          <w:noProof/>
          <w:lang w:val="fr-FR"/>
        </w:rPr>
        <w:t xml:space="preserve">loi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386E50">
        <w:rPr>
          <w:noProof/>
          <w:lang w:val="fr-FR"/>
        </w:rPr>
        <w:t>260</w:t>
      </w:r>
      <w:r w:rsidRPr="00B5117C">
        <w:rPr>
          <w:lang w:val="fr-FR"/>
        </w:rPr>
        <w:t>.</w:t>
      </w:r>
    </w:p>
  </w:footnote>
  <w:footnote w:id="37">
    <w:p w:rsidR="00F44C75" w:rsidRPr="00E65FBB" w:rsidRDefault="00F44C75" w:rsidP="00FB1114">
      <w:pPr>
        <w:pStyle w:val="Notedebasdepage"/>
        <w:rPr>
          <w:rFonts w:eastAsia="Calibri"/>
          <w:noProof/>
          <w:lang w:val="fr-FR"/>
        </w:rPr>
      </w:pPr>
      <w:r w:rsidRPr="00B5117C">
        <w:rPr>
          <w:rFonts w:eastAsia="Calibri"/>
          <w:lang w:val="fr-FR"/>
        </w:rPr>
        <w:tab/>
      </w:r>
      <w:r w:rsidRPr="00FB1114">
        <w:rPr>
          <w:rStyle w:val="Appelnotedebasdep"/>
        </w:rPr>
        <w:footnoteRef/>
      </w:r>
      <w:r w:rsidRPr="00B5117C">
        <w:rPr>
          <w:rFonts w:eastAsia="Calibri"/>
          <w:lang w:val="fr-FR"/>
        </w:rPr>
        <w:tab/>
      </w:r>
      <w:r>
        <w:rPr>
          <w:rFonts w:eastAsia="Calibri"/>
          <w:noProof/>
          <w:lang w:val="fr-FR"/>
        </w:rPr>
        <w:t xml:space="preserve">Directive </w:t>
      </w:r>
      <w:r w:rsidRPr="00E65FBB">
        <w:rPr>
          <w:rFonts w:eastAsia="Calibri"/>
          <w:noProof/>
          <w:lang w:val="fr-FR"/>
        </w:rPr>
        <w:t>FGE/ RJGP-392/2015 d</w:t>
      </w:r>
      <w:r>
        <w:rPr>
          <w:rFonts w:eastAsia="Calibri"/>
          <w:noProof/>
          <w:lang w:val="fr-FR"/>
        </w:rPr>
        <w:t>u</w:t>
      </w:r>
      <w:r w:rsidRPr="00E65FBB">
        <w:rPr>
          <w:rFonts w:eastAsia="Calibri"/>
          <w:noProof/>
          <w:lang w:val="fr-FR"/>
        </w:rPr>
        <w:t xml:space="preserve"> 7</w:t>
      </w:r>
      <w:r>
        <w:rPr>
          <w:rFonts w:eastAsia="Calibri"/>
          <w:noProof/>
          <w:lang w:val="fr-FR"/>
        </w:rPr>
        <w:t xml:space="preserve"> décembre </w:t>
      </w:r>
      <w:r w:rsidRPr="00E65FBB">
        <w:rPr>
          <w:rFonts w:eastAsia="Calibri"/>
          <w:noProof/>
          <w:lang w:val="fr-FR"/>
        </w:rPr>
        <w:t>2015.</w:t>
      </w:r>
    </w:p>
  </w:footnote>
  <w:footnote w:id="38">
    <w:p w:rsidR="00F44C75" w:rsidRPr="00E65FBB" w:rsidRDefault="00F44C75" w:rsidP="00FB1114">
      <w:pPr>
        <w:pStyle w:val="Notedebasdepage"/>
        <w:rPr>
          <w:noProof/>
          <w:lang w:val="fr-FR"/>
        </w:rPr>
      </w:pPr>
      <w:r w:rsidRPr="00E65FBB">
        <w:rPr>
          <w:noProof/>
          <w:lang w:val="fr-FR"/>
        </w:rPr>
        <w:tab/>
      </w:r>
      <w:r w:rsidRPr="00FB1114">
        <w:rPr>
          <w:rStyle w:val="Appelnotedebasdep"/>
        </w:rPr>
        <w:footnoteRef/>
      </w:r>
      <w:r w:rsidRPr="00E65FBB">
        <w:rPr>
          <w:noProof/>
          <w:lang w:val="fr-FR"/>
        </w:rPr>
        <w:tab/>
      </w:r>
      <w:r>
        <w:rPr>
          <w:noProof/>
          <w:lang w:val="fr-FR"/>
        </w:rPr>
        <w:t>Art. </w:t>
      </w:r>
      <w:r w:rsidRPr="00E65FBB">
        <w:rPr>
          <w:noProof/>
          <w:lang w:val="fr-FR"/>
        </w:rPr>
        <w:t xml:space="preserve">11 de la </w:t>
      </w:r>
      <w:r>
        <w:rPr>
          <w:noProof/>
          <w:lang w:val="fr-FR"/>
        </w:rPr>
        <w:t xml:space="preserve">loi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E65FBB">
        <w:rPr>
          <w:noProof/>
          <w:lang w:val="fr-FR"/>
        </w:rPr>
        <w:t>260.</w:t>
      </w:r>
    </w:p>
  </w:footnote>
  <w:footnote w:id="39">
    <w:p w:rsidR="00F44C75" w:rsidRPr="00B5117C" w:rsidRDefault="00F44C75" w:rsidP="00FB1114">
      <w:pPr>
        <w:pStyle w:val="Notedebasdepage"/>
        <w:rPr>
          <w:rFonts w:ascii="Segoe UI" w:hAnsi="Segoe UI" w:cs="Segoe UI"/>
          <w:sz w:val="12"/>
          <w:szCs w:val="12"/>
          <w:lang w:val="fr-FR"/>
        </w:rPr>
      </w:pPr>
      <w:r w:rsidRPr="00E65FBB">
        <w:rPr>
          <w:noProof/>
          <w:lang w:val="fr-FR"/>
        </w:rPr>
        <w:tab/>
      </w:r>
      <w:r w:rsidRPr="00FB1114">
        <w:rPr>
          <w:rStyle w:val="Appelnotedebasdep"/>
        </w:rPr>
        <w:footnoteRef/>
      </w:r>
      <w:r w:rsidRPr="00E65FBB">
        <w:rPr>
          <w:noProof/>
          <w:lang w:val="fr-FR"/>
        </w:rPr>
        <w:tab/>
      </w:r>
      <w:r>
        <w:rPr>
          <w:noProof/>
          <w:lang w:val="fr-FR"/>
        </w:rPr>
        <w:t xml:space="preserve">Rapport </w:t>
      </w:r>
      <w:r w:rsidRPr="00E65FBB">
        <w:rPr>
          <w:noProof/>
          <w:lang w:val="fr-FR"/>
        </w:rPr>
        <w:t>CED/C/BOL/1.</w:t>
      </w:r>
    </w:p>
  </w:footnote>
  <w:footnote w:id="40">
    <w:p w:rsidR="00F44C75" w:rsidRPr="000624A7" w:rsidRDefault="00F44C75" w:rsidP="00FB1114">
      <w:pPr>
        <w:pStyle w:val="Notedebasdepage"/>
        <w:rPr>
          <w:noProof/>
          <w:lang w:val="fr-FR"/>
        </w:rPr>
      </w:pPr>
      <w:r w:rsidRPr="00B5117C">
        <w:rPr>
          <w:lang w:val="fr-FR"/>
        </w:rPr>
        <w:tab/>
      </w:r>
      <w:r w:rsidRPr="00FB1114">
        <w:rPr>
          <w:rStyle w:val="Appelnotedebasdep"/>
        </w:rPr>
        <w:footnoteRef/>
      </w:r>
      <w:r w:rsidRPr="00B5117C">
        <w:rPr>
          <w:lang w:val="fr-FR"/>
        </w:rPr>
        <w:tab/>
      </w:r>
      <w:r w:rsidRPr="000624A7">
        <w:rPr>
          <w:noProof/>
          <w:lang w:val="fr-FR"/>
        </w:rPr>
        <w:t>Art</w:t>
      </w:r>
      <w:r>
        <w:rPr>
          <w:noProof/>
          <w:lang w:val="fr-FR"/>
        </w:rPr>
        <w:t>. </w:t>
      </w:r>
      <w:r w:rsidRPr="000624A7">
        <w:rPr>
          <w:noProof/>
          <w:lang w:val="fr-FR"/>
        </w:rPr>
        <w:t>115.</w:t>
      </w:r>
      <w:r w:rsidRPr="000624A7">
        <w:rPr>
          <w:bCs/>
          <w:noProof/>
          <w:lang w:val="fr-FR"/>
        </w:rPr>
        <w:t xml:space="preserve">II de la </w:t>
      </w:r>
      <w:r w:rsidRPr="000624A7">
        <w:rPr>
          <w:noProof/>
          <w:lang w:val="fr-FR"/>
        </w:rPr>
        <w:t>C</w:t>
      </w:r>
      <w:r>
        <w:rPr>
          <w:noProof/>
          <w:lang w:val="fr-FR"/>
        </w:rPr>
        <w:t>onstitution</w:t>
      </w:r>
      <w:r w:rsidRPr="000624A7">
        <w:rPr>
          <w:noProof/>
          <w:lang w:val="fr-FR"/>
        </w:rPr>
        <w:t>.</w:t>
      </w:r>
    </w:p>
  </w:footnote>
  <w:footnote w:id="41">
    <w:p w:rsidR="00F44C75" w:rsidRPr="000624A7" w:rsidRDefault="00F44C75" w:rsidP="00FB1114">
      <w:pPr>
        <w:pStyle w:val="Notedebasdepage"/>
        <w:rPr>
          <w:noProof/>
          <w:lang w:val="fr-FR"/>
        </w:rPr>
      </w:pPr>
      <w:r w:rsidRPr="000624A7">
        <w:rPr>
          <w:rFonts w:eastAsia="Calibri"/>
          <w:noProof/>
          <w:spacing w:val="-2"/>
          <w:lang w:val="fr-FR"/>
        </w:rPr>
        <w:tab/>
      </w:r>
      <w:r w:rsidRPr="00FB1114">
        <w:rPr>
          <w:rStyle w:val="Appelnotedebasdep"/>
        </w:rPr>
        <w:footnoteRef/>
      </w:r>
      <w:r w:rsidRPr="000624A7">
        <w:rPr>
          <w:rFonts w:eastAsia="Calibri"/>
          <w:noProof/>
          <w:spacing w:val="-2"/>
          <w:lang w:val="fr-FR"/>
        </w:rPr>
        <w:tab/>
      </w:r>
      <w:r w:rsidRPr="000624A7">
        <w:rPr>
          <w:noProof/>
          <w:lang w:val="fr-FR"/>
        </w:rPr>
        <w:t>Art</w:t>
      </w:r>
      <w:r>
        <w:rPr>
          <w:noProof/>
          <w:lang w:val="fr-FR"/>
        </w:rPr>
        <w:t>. </w:t>
      </w:r>
      <w:r w:rsidRPr="000624A7">
        <w:rPr>
          <w:noProof/>
          <w:lang w:val="fr-FR"/>
        </w:rPr>
        <w:t xml:space="preserve">296 </w:t>
      </w:r>
      <w:r>
        <w:rPr>
          <w:noProof/>
          <w:lang w:val="fr-FR"/>
        </w:rPr>
        <w:t>du Code de procédure pénale</w:t>
      </w:r>
      <w:r w:rsidRPr="000624A7">
        <w:rPr>
          <w:rFonts w:eastAsia="Calibri"/>
          <w:noProof/>
          <w:spacing w:val="-2"/>
          <w:lang w:val="fr-FR"/>
        </w:rPr>
        <w:t>.</w:t>
      </w:r>
    </w:p>
  </w:footnote>
  <w:footnote w:id="42">
    <w:p w:rsidR="00F44C75" w:rsidRPr="000624A7" w:rsidRDefault="00F44C75" w:rsidP="00FB1114">
      <w:pPr>
        <w:pStyle w:val="Notedebasdepage"/>
        <w:rPr>
          <w:noProof/>
          <w:highlight w:val="yellow"/>
          <w:lang w:val="fr-FR"/>
        </w:rPr>
      </w:pPr>
      <w:r w:rsidRPr="000624A7">
        <w:rPr>
          <w:noProof/>
          <w:lang w:val="fr-FR"/>
        </w:rPr>
        <w:tab/>
      </w:r>
      <w:r w:rsidRPr="00FB1114">
        <w:rPr>
          <w:rStyle w:val="Appelnotedebasdep"/>
        </w:rPr>
        <w:footnoteRef/>
      </w:r>
      <w:r w:rsidRPr="000624A7">
        <w:rPr>
          <w:noProof/>
          <w:lang w:val="fr-FR"/>
        </w:rPr>
        <w:tab/>
        <w:t>Art</w:t>
      </w:r>
      <w:r>
        <w:rPr>
          <w:noProof/>
          <w:lang w:val="fr-FR"/>
        </w:rPr>
        <w:t>. </w:t>
      </w:r>
      <w:r w:rsidRPr="000624A7">
        <w:rPr>
          <w:noProof/>
          <w:lang w:val="fr-FR"/>
        </w:rPr>
        <w:t xml:space="preserve">21 de la </w:t>
      </w:r>
      <w:r>
        <w:rPr>
          <w:noProof/>
          <w:lang w:val="fr-FR"/>
        </w:rPr>
        <w:t xml:space="preserve">loi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0624A7">
        <w:rPr>
          <w:noProof/>
          <w:lang w:val="fr-FR"/>
        </w:rPr>
        <w:t>2298.</w:t>
      </w:r>
    </w:p>
  </w:footnote>
  <w:footnote w:id="43">
    <w:p w:rsidR="00F44C75" w:rsidRPr="000624A7" w:rsidRDefault="00F44C75" w:rsidP="00FB1114">
      <w:pPr>
        <w:pStyle w:val="Notedebasdepage"/>
        <w:rPr>
          <w:noProof/>
          <w:sz w:val="16"/>
          <w:szCs w:val="16"/>
          <w:lang w:val="fr-FR"/>
        </w:rPr>
      </w:pPr>
      <w:r w:rsidRPr="000624A7">
        <w:rPr>
          <w:noProof/>
          <w:sz w:val="16"/>
          <w:szCs w:val="16"/>
          <w:lang w:val="fr-FR"/>
        </w:rPr>
        <w:tab/>
      </w:r>
      <w:r w:rsidRPr="00FB1114">
        <w:rPr>
          <w:rStyle w:val="Appelnotedebasdep"/>
        </w:rPr>
        <w:footnoteRef/>
      </w:r>
      <w:r w:rsidRPr="000624A7">
        <w:rPr>
          <w:noProof/>
          <w:sz w:val="16"/>
          <w:szCs w:val="16"/>
          <w:lang w:val="fr-FR"/>
        </w:rPr>
        <w:tab/>
      </w:r>
      <w:r w:rsidRPr="000624A7">
        <w:rPr>
          <w:noProof/>
          <w:lang w:val="fr-FR"/>
        </w:rPr>
        <w:t>Art</w:t>
      </w:r>
      <w:r>
        <w:rPr>
          <w:noProof/>
          <w:lang w:val="fr-FR"/>
        </w:rPr>
        <w:t>. </w:t>
      </w:r>
      <w:r w:rsidRPr="000624A7">
        <w:rPr>
          <w:rStyle w:val="NotedebasdepageCar"/>
          <w:noProof/>
          <w:lang w:val="fr-FR"/>
        </w:rPr>
        <w:t xml:space="preserve">105 de la </w:t>
      </w:r>
      <w:r>
        <w:rPr>
          <w:noProof/>
          <w:lang w:val="fr-FR"/>
        </w:rPr>
        <w:t xml:space="preserve">loi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0624A7">
        <w:rPr>
          <w:rStyle w:val="NotedebasdepageCar"/>
          <w:noProof/>
          <w:lang w:val="fr-FR"/>
        </w:rPr>
        <w:t>2298.</w:t>
      </w:r>
    </w:p>
  </w:footnote>
  <w:footnote w:id="44">
    <w:p w:rsidR="00F44C75" w:rsidRPr="000624A7" w:rsidRDefault="00F44C75" w:rsidP="00FB1114">
      <w:pPr>
        <w:pStyle w:val="Notedebasdepage"/>
        <w:rPr>
          <w:noProof/>
          <w:sz w:val="16"/>
          <w:szCs w:val="16"/>
          <w:lang w:val="fr-FR"/>
        </w:rPr>
      </w:pPr>
      <w:r w:rsidRPr="000624A7">
        <w:rPr>
          <w:bCs/>
          <w:noProof/>
          <w:sz w:val="16"/>
          <w:szCs w:val="16"/>
          <w:lang w:val="fr-FR"/>
        </w:rPr>
        <w:tab/>
      </w:r>
      <w:r w:rsidRPr="00FB1114">
        <w:rPr>
          <w:rStyle w:val="Appelnotedebasdep"/>
        </w:rPr>
        <w:footnoteRef/>
      </w:r>
      <w:r w:rsidRPr="000624A7">
        <w:rPr>
          <w:bCs/>
          <w:noProof/>
          <w:sz w:val="16"/>
          <w:szCs w:val="16"/>
          <w:lang w:val="fr-FR"/>
        </w:rPr>
        <w:tab/>
      </w:r>
      <w:r w:rsidRPr="000624A7">
        <w:rPr>
          <w:noProof/>
          <w:lang w:val="fr-FR"/>
        </w:rPr>
        <w:t>Art</w:t>
      </w:r>
      <w:r>
        <w:rPr>
          <w:noProof/>
          <w:lang w:val="fr-FR"/>
        </w:rPr>
        <w:t>. </w:t>
      </w:r>
      <w:r w:rsidRPr="000624A7">
        <w:rPr>
          <w:rStyle w:val="NotedebasdepageCar"/>
          <w:noProof/>
          <w:lang w:val="fr-FR"/>
        </w:rPr>
        <w:t xml:space="preserve">103 de la </w:t>
      </w:r>
      <w:r>
        <w:rPr>
          <w:noProof/>
          <w:lang w:val="fr-FR"/>
        </w:rPr>
        <w:t xml:space="preserve">loi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0624A7">
        <w:rPr>
          <w:rStyle w:val="NotedebasdepageCar"/>
          <w:noProof/>
          <w:lang w:val="fr-FR"/>
        </w:rPr>
        <w:t>2298.</w:t>
      </w:r>
    </w:p>
  </w:footnote>
  <w:footnote w:id="45">
    <w:p w:rsidR="00F44C75" w:rsidRPr="000624A7" w:rsidRDefault="00F44C75" w:rsidP="00FB1114">
      <w:pPr>
        <w:pStyle w:val="Notedebasdepage"/>
        <w:rPr>
          <w:noProof/>
          <w:sz w:val="16"/>
          <w:szCs w:val="16"/>
          <w:lang w:val="fr-FR"/>
        </w:rPr>
      </w:pPr>
      <w:r w:rsidRPr="000624A7">
        <w:rPr>
          <w:bCs/>
          <w:noProof/>
          <w:sz w:val="16"/>
          <w:szCs w:val="16"/>
          <w:lang w:val="fr-FR"/>
        </w:rPr>
        <w:tab/>
      </w:r>
      <w:r w:rsidRPr="00FB1114">
        <w:rPr>
          <w:rStyle w:val="Appelnotedebasdep"/>
        </w:rPr>
        <w:footnoteRef/>
      </w:r>
      <w:r w:rsidRPr="000624A7">
        <w:rPr>
          <w:bCs/>
          <w:noProof/>
          <w:sz w:val="16"/>
          <w:szCs w:val="16"/>
          <w:lang w:val="fr-FR"/>
        </w:rPr>
        <w:tab/>
      </w:r>
      <w:r w:rsidRPr="000624A7">
        <w:rPr>
          <w:noProof/>
          <w:lang w:val="fr-FR"/>
        </w:rPr>
        <w:t>Art</w:t>
      </w:r>
      <w:r>
        <w:rPr>
          <w:noProof/>
          <w:lang w:val="fr-FR"/>
        </w:rPr>
        <w:t>. </w:t>
      </w:r>
      <w:r w:rsidRPr="000624A7">
        <w:rPr>
          <w:rStyle w:val="NotedebasdepageCar"/>
          <w:noProof/>
          <w:lang w:val="fr-FR"/>
        </w:rPr>
        <w:t xml:space="preserve">106 de la </w:t>
      </w:r>
      <w:r>
        <w:rPr>
          <w:noProof/>
          <w:lang w:val="fr-FR"/>
        </w:rPr>
        <w:t xml:space="preserve">loi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0624A7">
        <w:rPr>
          <w:rStyle w:val="NotedebasdepageCar"/>
          <w:noProof/>
          <w:lang w:val="fr-FR"/>
        </w:rPr>
        <w:t>2298.</w:t>
      </w:r>
    </w:p>
  </w:footnote>
  <w:footnote w:id="46">
    <w:p w:rsidR="00F44C75" w:rsidRPr="000624A7" w:rsidRDefault="00F44C75" w:rsidP="00FB1114">
      <w:pPr>
        <w:pStyle w:val="Notedebasdepage"/>
        <w:rPr>
          <w:noProof/>
          <w:sz w:val="16"/>
          <w:szCs w:val="16"/>
          <w:lang w:val="fr-FR"/>
        </w:rPr>
      </w:pPr>
      <w:r w:rsidRPr="000624A7">
        <w:rPr>
          <w:bCs/>
          <w:noProof/>
          <w:sz w:val="16"/>
          <w:szCs w:val="16"/>
          <w:lang w:val="fr-FR"/>
        </w:rPr>
        <w:tab/>
      </w:r>
      <w:r w:rsidRPr="00FB1114">
        <w:rPr>
          <w:rStyle w:val="Appelnotedebasdep"/>
        </w:rPr>
        <w:footnoteRef/>
      </w:r>
      <w:r w:rsidRPr="000624A7">
        <w:rPr>
          <w:bCs/>
          <w:noProof/>
          <w:sz w:val="16"/>
          <w:szCs w:val="16"/>
          <w:lang w:val="fr-FR"/>
        </w:rPr>
        <w:tab/>
      </w:r>
      <w:r w:rsidRPr="000624A7">
        <w:rPr>
          <w:noProof/>
          <w:lang w:val="fr-FR"/>
        </w:rPr>
        <w:t>Art</w:t>
      </w:r>
      <w:r>
        <w:rPr>
          <w:noProof/>
          <w:lang w:val="fr-FR"/>
        </w:rPr>
        <w:t>. </w:t>
      </w:r>
      <w:r w:rsidRPr="000624A7">
        <w:rPr>
          <w:rStyle w:val="NotedebasdepageCar"/>
          <w:noProof/>
          <w:lang w:val="fr-FR"/>
        </w:rPr>
        <w:t xml:space="preserve">43 de la </w:t>
      </w:r>
      <w:r>
        <w:rPr>
          <w:noProof/>
          <w:lang w:val="fr-FR"/>
        </w:rPr>
        <w:t xml:space="preserve">loi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0624A7">
        <w:rPr>
          <w:rStyle w:val="NotedebasdepageCar"/>
          <w:noProof/>
          <w:lang w:val="fr-FR"/>
        </w:rPr>
        <w:t>2298.</w:t>
      </w:r>
    </w:p>
  </w:footnote>
  <w:footnote w:id="47">
    <w:p w:rsidR="00F44C75" w:rsidRPr="00B5117C" w:rsidRDefault="00F44C75" w:rsidP="00FB1114">
      <w:pPr>
        <w:pStyle w:val="Notedebasdepage"/>
        <w:rPr>
          <w:sz w:val="16"/>
          <w:szCs w:val="16"/>
          <w:lang w:val="fr-FR"/>
        </w:rPr>
      </w:pPr>
      <w:r w:rsidRPr="000624A7">
        <w:rPr>
          <w:noProof/>
          <w:sz w:val="16"/>
          <w:szCs w:val="16"/>
          <w:lang w:val="fr-FR"/>
        </w:rPr>
        <w:tab/>
      </w:r>
      <w:r w:rsidRPr="00FB1114">
        <w:rPr>
          <w:rStyle w:val="Appelnotedebasdep"/>
        </w:rPr>
        <w:footnoteRef/>
      </w:r>
      <w:r w:rsidRPr="000624A7">
        <w:rPr>
          <w:noProof/>
          <w:sz w:val="16"/>
          <w:szCs w:val="16"/>
          <w:lang w:val="fr-FR"/>
        </w:rPr>
        <w:tab/>
      </w:r>
      <w:r w:rsidRPr="000624A7">
        <w:rPr>
          <w:noProof/>
          <w:lang w:val="fr-FR"/>
        </w:rPr>
        <w:t>Art</w:t>
      </w:r>
      <w:r>
        <w:rPr>
          <w:noProof/>
          <w:lang w:val="fr-FR"/>
        </w:rPr>
        <w:t>. </w:t>
      </w:r>
      <w:r w:rsidRPr="000624A7">
        <w:rPr>
          <w:rStyle w:val="NotedebasdepageCar"/>
          <w:noProof/>
          <w:lang w:val="fr-FR"/>
        </w:rPr>
        <w:t xml:space="preserve">23 de la </w:t>
      </w:r>
      <w:r>
        <w:rPr>
          <w:noProof/>
          <w:lang w:val="fr-FR"/>
        </w:rPr>
        <w:t xml:space="preserve">loi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0624A7">
        <w:rPr>
          <w:rStyle w:val="NotedebasdepageCar"/>
          <w:noProof/>
          <w:lang w:val="fr-FR"/>
        </w:rPr>
        <w:t>2298</w:t>
      </w:r>
      <w:r w:rsidRPr="00B5117C">
        <w:rPr>
          <w:rStyle w:val="NotedebasdepageCar"/>
          <w:lang w:val="fr-FR"/>
        </w:rPr>
        <w:t>.</w:t>
      </w:r>
    </w:p>
  </w:footnote>
  <w:footnote w:id="48">
    <w:p w:rsidR="00F44C75" w:rsidRPr="00B5117C" w:rsidRDefault="00F44C75" w:rsidP="00FB1114">
      <w:pPr>
        <w:pStyle w:val="Notedebasdepage"/>
        <w:rPr>
          <w:lang w:val="fr-FR"/>
        </w:rPr>
      </w:pPr>
      <w:r w:rsidRPr="00B5117C">
        <w:rPr>
          <w:lang w:val="fr-FR"/>
        </w:rPr>
        <w:tab/>
      </w:r>
      <w:r w:rsidRPr="00FB1114">
        <w:rPr>
          <w:rStyle w:val="Appelnotedebasdep"/>
        </w:rPr>
        <w:footnoteRef/>
      </w:r>
      <w:r w:rsidRPr="00B5117C">
        <w:rPr>
          <w:lang w:val="fr-FR"/>
        </w:rPr>
        <w:tab/>
      </w:r>
      <w:r>
        <w:rPr>
          <w:noProof/>
          <w:lang w:val="fr-FR"/>
        </w:rPr>
        <w:t xml:space="preserve">Directive </w:t>
      </w:r>
      <w:r w:rsidRPr="00370121">
        <w:rPr>
          <w:noProof/>
          <w:lang w:val="fr-FR"/>
        </w:rPr>
        <w:t>SEPDEP/DNDP</w:t>
      </w:r>
      <w:r>
        <w:rPr>
          <w:noProof/>
          <w:lang w:val="fr-FR"/>
        </w:rPr>
        <w:t>/DSC-116/2017 du</w:t>
      </w:r>
      <w:r w:rsidRPr="00370121">
        <w:rPr>
          <w:noProof/>
          <w:lang w:val="fr-FR"/>
        </w:rPr>
        <w:t xml:space="preserve"> 26</w:t>
      </w:r>
      <w:r>
        <w:rPr>
          <w:noProof/>
          <w:lang w:val="fr-FR"/>
        </w:rPr>
        <w:t xml:space="preserve"> septembre </w:t>
      </w:r>
      <w:r w:rsidRPr="00370121">
        <w:rPr>
          <w:noProof/>
          <w:lang w:val="fr-FR"/>
        </w:rPr>
        <w:t>2017</w:t>
      </w:r>
      <w:r w:rsidRPr="00B5117C">
        <w:rPr>
          <w:lang w:val="fr-FR"/>
        </w:rPr>
        <w:t>.</w:t>
      </w:r>
    </w:p>
  </w:footnote>
  <w:footnote w:id="49">
    <w:p w:rsidR="00F44C75" w:rsidRPr="00BC4D2E" w:rsidRDefault="00F44C75" w:rsidP="00FB1114">
      <w:pPr>
        <w:pStyle w:val="Notedebasdepage"/>
        <w:rPr>
          <w:noProof/>
          <w:lang w:val="fr-FR"/>
        </w:rPr>
      </w:pPr>
      <w:r w:rsidRPr="00B5117C">
        <w:rPr>
          <w:rFonts w:eastAsia="Calibri"/>
          <w:lang w:val="fr-FR"/>
        </w:rPr>
        <w:tab/>
      </w:r>
      <w:r w:rsidRPr="00FB1114">
        <w:rPr>
          <w:rStyle w:val="Appelnotedebasdep"/>
        </w:rPr>
        <w:footnoteRef/>
      </w:r>
      <w:r w:rsidRPr="00B5117C">
        <w:rPr>
          <w:rFonts w:eastAsia="Calibri"/>
          <w:lang w:val="fr-FR"/>
        </w:rPr>
        <w:tab/>
      </w:r>
      <w:r w:rsidRPr="00BC4D2E">
        <w:rPr>
          <w:rFonts w:eastAsia="Calibri"/>
          <w:noProof/>
          <w:lang w:val="fr-FR"/>
        </w:rPr>
        <w:t xml:space="preserve">La </w:t>
      </w:r>
      <w:r>
        <w:rPr>
          <w:rFonts w:eastAsia="Calibri"/>
          <w:noProof/>
          <w:lang w:val="fr-FR"/>
        </w:rPr>
        <w:t xml:space="preserve">loi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BC4D2E">
        <w:rPr>
          <w:rFonts w:eastAsia="Calibri"/>
          <w:noProof/>
          <w:lang w:val="fr-FR"/>
        </w:rPr>
        <w:t>548</w:t>
      </w:r>
      <w:r>
        <w:rPr>
          <w:rFonts w:eastAsia="Calibri"/>
          <w:noProof/>
          <w:lang w:val="fr-FR"/>
        </w:rPr>
        <w:t xml:space="preserve"> dispose que sont pénalement responsables les adolescents âgés de 14 à 18 ans, ce qui est conforme aux normes internationales</w:t>
      </w:r>
      <w:r w:rsidRPr="00BC4D2E">
        <w:rPr>
          <w:rFonts w:eastAsia="Calibri"/>
          <w:noProof/>
          <w:lang w:val="fr-FR"/>
        </w:rPr>
        <w:t>.</w:t>
      </w:r>
    </w:p>
  </w:footnote>
  <w:footnote w:id="50">
    <w:p w:rsidR="00F44C75" w:rsidRPr="00BC4D2E" w:rsidRDefault="00F44C75" w:rsidP="00FB1114">
      <w:pPr>
        <w:pStyle w:val="Notedebasdepage"/>
        <w:rPr>
          <w:noProof/>
          <w:lang w:val="fr-FR"/>
        </w:rPr>
      </w:pPr>
      <w:r w:rsidRPr="00BC4D2E">
        <w:rPr>
          <w:noProof/>
          <w:lang w:val="fr-FR"/>
        </w:rPr>
        <w:tab/>
      </w:r>
      <w:r w:rsidRPr="00FB1114">
        <w:rPr>
          <w:rStyle w:val="Appelnotedebasdep"/>
        </w:rPr>
        <w:footnoteRef/>
      </w:r>
      <w:r w:rsidRPr="00BC4D2E">
        <w:rPr>
          <w:noProof/>
          <w:lang w:val="fr-FR"/>
        </w:rPr>
        <w:tab/>
        <w:t>Art</w:t>
      </w:r>
      <w:r>
        <w:rPr>
          <w:noProof/>
          <w:lang w:val="fr-FR"/>
        </w:rPr>
        <w:t>. </w:t>
      </w:r>
      <w:r w:rsidRPr="00BC4D2E">
        <w:rPr>
          <w:noProof/>
          <w:lang w:val="fr-FR"/>
        </w:rPr>
        <w:t xml:space="preserve">14.5 de la </w:t>
      </w:r>
      <w:r>
        <w:rPr>
          <w:noProof/>
          <w:lang w:val="fr-FR"/>
        </w:rPr>
        <w:t xml:space="preserve">loi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BC4D2E">
        <w:rPr>
          <w:noProof/>
          <w:lang w:val="fr-FR"/>
        </w:rPr>
        <w:t>101.</w:t>
      </w:r>
    </w:p>
  </w:footnote>
  <w:footnote w:id="51">
    <w:p w:rsidR="00F44C75" w:rsidRPr="00BC4D2E" w:rsidRDefault="00F44C75" w:rsidP="00FB1114">
      <w:pPr>
        <w:pStyle w:val="Notedebasdepage"/>
        <w:rPr>
          <w:noProof/>
          <w:lang w:val="fr-FR"/>
        </w:rPr>
      </w:pPr>
      <w:r w:rsidRPr="00BC4D2E">
        <w:rPr>
          <w:noProof/>
          <w:lang w:val="fr-FR"/>
        </w:rPr>
        <w:tab/>
      </w:r>
      <w:r w:rsidRPr="00FB1114">
        <w:rPr>
          <w:rStyle w:val="Appelnotedebasdep"/>
        </w:rPr>
        <w:footnoteRef/>
      </w:r>
      <w:r w:rsidRPr="00BC4D2E">
        <w:rPr>
          <w:noProof/>
          <w:lang w:val="fr-FR"/>
        </w:rPr>
        <w:tab/>
      </w:r>
      <w:r>
        <w:rPr>
          <w:noProof/>
          <w:lang w:val="fr-FR"/>
        </w:rPr>
        <w:t xml:space="preserve">Directive </w:t>
      </w:r>
      <w:r w:rsidRPr="00BC4D2E">
        <w:rPr>
          <w:noProof/>
          <w:lang w:val="fr-FR"/>
        </w:rPr>
        <w:t>MG-DGRP-28/2017 d</w:t>
      </w:r>
      <w:r>
        <w:rPr>
          <w:noProof/>
          <w:lang w:val="fr-FR"/>
        </w:rPr>
        <w:t>u</w:t>
      </w:r>
      <w:r w:rsidRPr="00BC4D2E">
        <w:rPr>
          <w:noProof/>
          <w:lang w:val="fr-FR"/>
        </w:rPr>
        <w:t xml:space="preserve"> 20</w:t>
      </w:r>
      <w:r>
        <w:rPr>
          <w:noProof/>
          <w:lang w:val="fr-FR"/>
        </w:rPr>
        <w:t xml:space="preserve"> septembre </w:t>
      </w:r>
      <w:r w:rsidRPr="00BC4D2E">
        <w:rPr>
          <w:noProof/>
          <w:lang w:val="fr-FR"/>
        </w:rPr>
        <w:t>2017.</w:t>
      </w:r>
    </w:p>
  </w:footnote>
  <w:footnote w:id="52">
    <w:p w:rsidR="00F44C75" w:rsidRPr="00B2082B" w:rsidRDefault="00F44C75" w:rsidP="00FB1114">
      <w:pPr>
        <w:pStyle w:val="Notedebasdepage"/>
        <w:rPr>
          <w:noProof/>
          <w:lang w:val="fr-FR"/>
        </w:rPr>
      </w:pPr>
      <w:r w:rsidRPr="00B5117C">
        <w:rPr>
          <w:lang w:val="fr-FR"/>
        </w:rPr>
        <w:tab/>
      </w:r>
      <w:r w:rsidRPr="00FB1114">
        <w:rPr>
          <w:rStyle w:val="Appelnotedebasdep"/>
        </w:rPr>
        <w:footnoteRef/>
      </w:r>
      <w:r w:rsidRPr="00B5117C">
        <w:rPr>
          <w:lang w:val="fr-FR"/>
        </w:rPr>
        <w:tab/>
      </w:r>
      <w:r w:rsidRPr="000C4089">
        <w:rPr>
          <w:noProof/>
          <w:lang w:val="fr-FR"/>
        </w:rPr>
        <w:t>Art</w:t>
      </w:r>
      <w:r>
        <w:rPr>
          <w:noProof/>
          <w:lang w:val="fr-FR"/>
        </w:rPr>
        <w:t>. </w:t>
      </w:r>
      <w:r w:rsidRPr="000C4089">
        <w:rPr>
          <w:noProof/>
          <w:lang w:val="fr-FR"/>
        </w:rPr>
        <w:t>10.8 d</w:t>
      </w:r>
      <w:r>
        <w:rPr>
          <w:noProof/>
          <w:lang w:val="fr-FR"/>
        </w:rPr>
        <w:t>u</w:t>
      </w:r>
      <w:r w:rsidRPr="000C4089">
        <w:rPr>
          <w:noProof/>
          <w:lang w:val="fr-FR"/>
        </w:rPr>
        <w:t xml:space="preserve"> </w:t>
      </w:r>
      <w:r w:rsidRPr="00B2082B">
        <w:rPr>
          <w:noProof/>
          <w:lang w:val="fr-FR"/>
        </w:rPr>
        <w:t xml:space="preserve">Règlement militaire </w:t>
      </w:r>
      <w:r w:rsidRPr="004E561C">
        <w:rPr>
          <w:rFonts w:eastAsia="MS Mincho"/>
          <w:noProof/>
          <w:szCs w:val="22"/>
          <w:lang w:val="fr-FR"/>
        </w:rPr>
        <w:t>n</w:t>
      </w:r>
      <w:r w:rsidRPr="004E561C">
        <w:rPr>
          <w:rFonts w:eastAsia="MS Mincho"/>
          <w:noProof/>
          <w:szCs w:val="22"/>
          <w:vertAlign w:val="superscript"/>
          <w:lang w:val="fr-FR"/>
        </w:rPr>
        <w:t>o</w:t>
      </w:r>
      <w:r>
        <w:rPr>
          <w:noProof/>
          <w:lang w:val="fr-FR"/>
        </w:rPr>
        <w:t> </w:t>
      </w:r>
      <w:r w:rsidRPr="00B2082B">
        <w:rPr>
          <w:noProof/>
          <w:lang w:val="fr-FR"/>
        </w:rPr>
        <w:t>23 relatif aux fautes disciplinaires et à leurs sanctions.</w:t>
      </w:r>
    </w:p>
  </w:footnote>
  <w:footnote w:id="53">
    <w:p w:rsidR="00F44C75" w:rsidRPr="00B5117C" w:rsidRDefault="00F44C75" w:rsidP="00FB1114">
      <w:pPr>
        <w:pStyle w:val="Notedebasdepage"/>
        <w:rPr>
          <w:lang w:val="fr-FR"/>
        </w:rPr>
      </w:pPr>
      <w:r w:rsidRPr="00B5117C">
        <w:rPr>
          <w:lang w:val="fr-FR"/>
        </w:rPr>
        <w:tab/>
      </w:r>
      <w:r w:rsidRPr="00FB1114">
        <w:rPr>
          <w:rStyle w:val="Appelnotedebasdep"/>
        </w:rPr>
        <w:footnoteRef/>
      </w:r>
      <w:r w:rsidRPr="009A35D4">
        <w:rPr>
          <w:lang w:val="fr-FR"/>
        </w:rPr>
        <w:tab/>
      </w:r>
      <w:r w:rsidRPr="002B6A88">
        <w:rPr>
          <w:noProof/>
          <w:lang w:val="fr-FR"/>
        </w:rPr>
        <w:t xml:space="preserve">Arrêté </w:t>
      </w:r>
      <w:r w:rsidRPr="002B6A88">
        <w:rPr>
          <w:rFonts w:eastAsia="MS Mincho"/>
          <w:noProof/>
          <w:szCs w:val="22"/>
          <w:lang w:val="fr-FR"/>
        </w:rPr>
        <w:t>n</w:t>
      </w:r>
      <w:r w:rsidRPr="002B6A88">
        <w:rPr>
          <w:rFonts w:eastAsia="MS Mincho"/>
          <w:noProof/>
          <w:szCs w:val="22"/>
          <w:vertAlign w:val="superscript"/>
          <w:lang w:val="fr-FR"/>
        </w:rPr>
        <w:t>o</w:t>
      </w:r>
      <w:r>
        <w:rPr>
          <w:noProof/>
          <w:lang w:val="fr-FR"/>
        </w:rPr>
        <w:t> </w:t>
      </w:r>
      <w:r w:rsidRPr="002B6A88">
        <w:rPr>
          <w:noProof/>
          <w:lang w:val="fr-FR"/>
        </w:rPr>
        <w:t>0747 du Ministère de la défense en</w:t>
      </w:r>
      <w:r>
        <w:rPr>
          <w:noProof/>
          <w:lang w:val="fr-FR"/>
        </w:rPr>
        <w:t xml:space="preserve"> date du </w:t>
      </w:r>
      <w:r w:rsidRPr="00B2082B">
        <w:rPr>
          <w:noProof/>
          <w:lang w:val="fr-FR"/>
        </w:rPr>
        <w:t>13</w:t>
      </w:r>
      <w:r>
        <w:rPr>
          <w:noProof/>
          <w:lang w:val="fr-FR"/>
        </w:rPr>
        <w:t xml:space="preserve"> août </w:t>
      </w:r>
      <w:r w:rsidRPr="00B2082B">
        <w:rPr>
          <w:noProof/>
          <w:lang w:val="fr-FR"/>
        </w:rPr>
        <w:t>2013.</w:t>
      </w:r>
    </w:p>
  </w:footnote>
  <w:footnote w:id="54">
    <w:p w:rsidR="00F44C75" w:rsidRPr="00981403" w:rsidRDefault="00F44C75" w:rsidP="00FB1114">
      <w:pPr>
        <w:pStyle w:val="Notedebasdepage"/>
        <w:rPr>
          <w:noProof/>
          <w:lang w:val="fr-FR"/>
        </w:rPr>
      </w:pPr>
      <w:r w:rsidRPr="00B5117C">
        <w:rPr>
          <w:lang w:val="fr-FR"/>
        </w:rPr>
        <w:tab/>
      </w:r>
      <w:r w:rsidRPr="00FB1114">
        <w:rPr>
          <w:rStyle w:val="Appelnotedebasdep"/>
        </w:rPr>
        <w:footnoteRef/>
      </w:r>
      <w:r w:rsidRPr="00B5117C">
        <w:rPr>
          <w:lang w:val="fr-FR"/>
        </w:rPr>
        <w:tab/>
      </w:r>
      <w:r>
        <w:rPr>
          <w:noProof/>
          <w:lang w:val="fr-FR"/>
        </w:rPr>
        <w:t xml:space="preserve">Arrêté </w:t>
      </w:r>
      <w:r w:rsidRPr="00CB6489">
        <w:rPr>
          <w:rFonts w:eastAsia="MS Mincho"/>
          <w:noProof/>
          <w:szCs w:val="22"/>
          <w:lang w:val="fr-FR"/>
        </w:rPr>
        <w:t>n</w:t>
      </w:r>
      <w:r w:rsidRPr="00CB6489">
        <w:rPr>
          <w:rFonts w:eastAsia="MS Mincho"/>
          <w:noProof/>
          <w:szCs w:val="22"/>
          <w:vertAlign w:val="superscript"/>
          <w:lang w:val="fr-FR"/>
        </w:rPr>
        <w:t>o</w:t>
      </w:r>
      <w:r>
        <w:rPr>
          <w:noProof/>
          <w:lang w:val="fr-FR"/>
        </w:rPr>
        <w:t xml:space="preserve"> 920 </w:t>
      </w:r>
      <w:r w:rsidRPr="00981403">
        <w:rPr>
          <w:noProof/>
          <w:lang w:val="fr-FR"/>
        </w:rPr>
        <w:t>d</w:t>
      </w:r>
      <w:r>
        <w:rPr>
          <w:noProof/>
          <w:lang w:val="fr-FR"/>
        </w:rPr>
        <w:t>u Ministère de la défense</w:t>
      </w:r>
      <w:r w:rsidR="00A03F9B">
        <w:rPr>
          <w:noProof/>
          <w:lang w:val="fr-FR"/>
        </w:rPr>
        <w:t xml:space="preserve"> en date </w:t>
      </w:r>
      <w:r w:rsidR="00A03F9B">
        <w:rPr>
          <w:noProof/>
          <w:lang w:val="fr-FR"/>
        </w:rPr>
        <w:t>du</w:t>
      </w:r>
      <w:r w:rsidR="00A03F9B" w:rsidRPr="00981403">
        <w:rPr>
          <w:noProof/>
          <w:lang w:val="fr-FR"/>
        </w:rPr>
        <w:t xml:space="preserve"> 21</w:t>
      </w:r>
      <w:r w:rsidR="00A03F9B">
        <w:rPr>
          <w:noProof/>
          <w:lang w:val="fr-FR"/>
        </w:rPr>
        <w:t xml:space="preserve"> décembre </w:t>
      </w:r>
      <w:r w:rsidR="00A03F9B" w:rsidRPr="00981403">
        <w:rPr>
          <w:noProof/>
          <w:lang w:val="fr-FR"/>
        </w:rPr>
        <w:t>2017</w:t>
      </w:r>
      <w:r w:rsidRPr="00981403">
        <w:rPr>
          <w:noProof/>
          <w:lang w:val="fr-FR"/>
        </w:rPr>
        <w:t>.</w:t>
      </w:r>
    </w:p>
  </w:footnote>
  <w:footnote w:id="55">
    <w:p w:rsidR="00F44C75" w:rsidRPr="00981403" w:rsidRDefault="00F44C75" w:rsidP="00FB1114">
      <w:pPr>
        <w:pStyle w:val="Notedebasdepage"/>
        <w:rPr>
          <w:noProof/>
          <w:lang w:val="fr-FR"/>
        </w:rPr>
      </w:pPr>
      <w:r w:rsidRPr="00981403">
        <w:rPr>
          <w:noProof/>
          <w:lang w:val="fr-FR"/>
        </w:rPr>
        <w:tab/>
      </w:r>
      <w:r w:rsidRPr="00FB1114">
        <w:rPr>
          <w:rStyle w:val="Appelnotedebasdep"/>
        </w:rPr>
        <w:footnoteRef/>
      </w:r>
      <w:r w:rsidRPr="00981403">
        <w:rPr>
          <w:noProof/>
          <w:lang w:val="fr-FR"/>
        </w:rPr>
        <w:tab/>
      </w:r>
      <w:r>
        <w:rPr>
          <w:noProof/>
          <w:lang w:val="fr-FR"/>
        </w:rPr>
        <w:t>Arrêté</w:t>
      </w:r>
      <w:r w:rsidRPr="00981403">
        <w:rPr>
          <w:noProof/>
          <w:lang w:val="fr-FR"/>
        </w:rPr>
        <w:t xml:space="preserve"> </w:t>
      </w:r>
      <w:r>
        <w:rPr>
          <w:noProof/>
          <w:lang w:val="fr-FR"/>
        </w:rPr>
        <w:t>b</w:t>
      </w:r>
      <w:r w:rsidRPr="00981403">
        <w:rPr>
          <w:noProof/>
          <w:lang w:val="fr-FR"/>
        </w:rPr>
        <w:t>i</w:t>
      </w:r>
      <w:r>
        <w:rPr>
          <w:noProof/>
          <w:lang w:val="fr-FR"/>
        </w:rPr>
        <w:t>m</w:t>
      </w:r>
      <w:r w:rsidRPr="00981403">
        <w:rPr>
          <w:noProof/>
          <w:lang w:val="fr-FR"/>
        </w:rPr>
        <w:t>inist</w:t>
      </w:r>
      <w:r>
        <w:rPr>
          <w:noProof/>
          <w:lang w:val="fr-FR"/>
        </w:rPr>
        <w:t>é</w:t>
      </w:r>
      <w:r w:rsidRPr="00981403">
        <w:rPr>
          <w:noProof/>
          <w:lang w:val="fr-FR"/>
        </w:rPr>
        <w:t>ri</w:t>
      </w:r>
      <w:r>
        <w:rPr>
          <w:noProof/>
          <w:lang w:val="fr-FR"/>
        </w:rPr>
        <w:t>e</w:t>
      </w:r>
      <w:r w:rsidRPr="00981403">
        <w:rPr>
          <w:noProof/>
          <w:lang w:val="fr-FR"/>
        </w:rPr>
        <w:t>l</w:t>
      </w:r>
      <w:r>
        <w:rPr>
          <w:noProof/>
          <w:lang w:val="fr-FR"/>
        </w:rPr>
        <w:t xml:space="preserve">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981403">
        <w:rPr>
          <w:noProof/>
          <w:lang w:val="fr-FR"/>
        </w:rPr>
        <w:t>001 d</w:t>
      </w:r>
      <w:r>
        <w:rPr>
          <w:noProof/>
          <w:lang w:val="fr-FR"/>
        </w:rPr>
        <w:t>u</w:t>
      </w:r>
      <w:r w:rsidRPr="00981403">
        <w:rPr>
          <w:noProof/>
          <w:lang w:val="fr-FR"/>
        </w:rPr>
        <w:t xml:space="preserve"> 21</w:t>
      </w:r>
      <w:r>
        <w:rPr>
          <w:noProof/>
          <w:lang w:val="fr-FR"/>
        </w:rPr>
        <w:t> janvier 2015 du Ministère de la santé et du Ministère de la défense</w:t>
      </w:r>
      <w:r w:rsidRPr="00981403">
        <w:rPr>
          <w:noProof/>
          <w:lang w:val="fr-FR"/>
        </w:rPr>
        <w:t>.</w:t>
      </w:r>
    </w:p>
  </w:footnote>
  <w:footnote w:id="56">
    <w:p w:rsidR="00F44C75" w:rsidRPr="00981403" w:rsidRDefault="00F44C75" w:rsidP="00FB1114">
      <w:pPr>
        <w:pStyle w:val="Notedebasdepage"/>
        <w:rPr>
          <w:noProof/>
          <w:lang w:val="fr-FR"/>
        </w:rPr>
      </w:pPr>
      <w:r w:rsidRPr="00981403">
        <w:rPr>
          <w:noProof/>
          <w:lang w:val="fr-FR"/>
        </w:rPr>
        <w:tab/>
      </w:r>
      <w:r w:rsidRPr="00FB1114">
        <w:rPr>
          <w:rStyle w:val="Appelnotedebasdep"/>
        </w:rPr>
        <w:footnoteRef/>
      </w:r>
      <w:r w:rsidRPr="00981403">
        <w:rPr>
          <w:noProof/>
          <w:lang w:val="fr-FR"/>
        </w:rPr>
        <w:tab/>
      </w:r>
      <w:r>
        <w:rPr>
          <w:noProof/>
          <w:lang w:val="fr-FR"/>
        </w:rPr>
        <w:t>Dé</w:t>
      </w:r>
      <w:r w:rsidRPr="00981403">
        <w:rPr>
          <w:noProof/>
          <w:lang w:val="fr-FR"/>
        </w:rPr>
        <w:t>cret</w:t>
      </w:r>
      <w:r>
        <w:rPr>
          <w:noProof/>
          <w:lang w:val="fr-FR"/>
        </w:rPr>
        <w:t xml:space="preserve"> suprême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1875 du</w:t>
      </w:r>
      <w:r w:rsidRPr="00981403">
        <w:rPr>
          <w:noProof/>
          <w:lang w:val="fr-FR"/>
        </w:rPr>
        <w:t xml:space="preserve"> 23</w:t>
      </w:r>
      <w:r>
        <w:rPr>
          <w:noProof/>
          <w:lang w:val="fr-FR"/>
        </w:rPr>
        <w:t xml:space="preserve"> janvier </w:t>
      </w:r>
      <w:r w:rsidRPr="00981403">
        <w:rPr>
          <w:noProof/>
          <w:lang w:val="fr-FR"/>
        </w:rPr>
        <w:t>2014.</w:t>
      </w:r>
    </w:p>
  </w:footnote>
  <w:footnote w:id="57">
    <w:p w:rsidR="00F44C75" w:rsidRPr="00B5117C" w:rsidRDefault="00F44C75" w:rsidP="00FB1114">
      <w:pPr>
        <w:pStyle w:val="Notedebasdepage"/>
        <w:rPr>
          <w:lang w:val="fr-FR"/>
        </w:rPr>
      </w:pPr>
      <w:r w:rsidRPr="00981403">
        <w:rPr>
          <w:noProof/>
          <w:lang w:val="fr-FR"/>
        </w:rPr>
        <w:tab/>
      </w:r>
      <w:r w:rsidRPr="00FB1114">
        <w:rPr>
          <w:rStyle w:val="Appelnotedebasdep"/>
        </w:rPr>
        <w:footnoteRef/>
      </w:r>
      <w:r w:rsidRPr="00981403">
        <w:rPr>
          <w:noProof/>
          <w:lang w:val="fr-FR"/>
        </w:rPr>
        <w:tab/>
        <w:t>D</w:t>
      </w:r>
      <w:r>
        <w:rPr>
          <w:noProof/>
          <w:lang w:val="fr-FR"/>
        </w:rPr>
        <w:t>é</w:t>
      </w:r>
      <w:r w:rsidRPr="00981403">
        <w:rPr>
          <w:noProof/>
          <w:lang w:val="fr-FR"/>
        </w:rPr>
        <w:t>cret</w:t>
      </w:r>
      <w:r>
        <w:rPr>
          <w:noProof/>
          <w:lang w:val="fr-FR"/>
        </w:rPr>
        <w:t xml:space="preserve"> suprême </w:t>
      </w:r>
      <w:r w:rsidRPr="001E44CC">
        <w:rPr>
          <w:rFonts w:eastAsia="MS Mincho"/>
          <w:noProof/>
          <w:szCs w:val="22"/>
          <w:lang w:val="fr-FR"/>
        </w:rPr>
        <w:t>n</w:t>
      </w:r>
      <w:r w:rsidRPr="001E44CC">
        <w:rPr>
          <w:rFonts w:eastAsia="MS Mincho"/>
          <w:noProof/>
          <w:szCs w:val="22"/>
          <w:vertAlign w:val="superscript"/>
          <w:lang w:val="fr-FR"/>
        </w:rPr>
        <w:t>o</w:t>
      </w:r>
      <w:r>
        <w:rPr>
          <w:noProof/>
          <w:lang w:val="fr-FR"/>
        </w:rPr>
        <w:t> </w:t>
      </w:r>
      <w:r w:rsidRPr="00981403">
        <w:rPr>
          <w:noProof/>
          <w:lang w:val="fr-FR"/>
        </w:rPr>
        <w:t>3314</w:t>
      </w:r>
      <w:r>
        <w:rPr>
          <w:noProof/>
          <w:lang w:val="fr-FR"/>
        </w:rPr>
        <w:t xml:space="preserve"> portant création de </w:t>
      </w:r>
      <w:r w:rsidRPr="00981403">
        <w:rPr>
          <w:noProof/>
          <w:lang w:val="fr-FR"/>
        </w:rPr>
        <w:t>la Direc</w:t>
      </w:r>
      <w:r>
        <w:rPr>
          <w:noProof/>
          <w:lang w:val="fr-FR"/>
        </w:rPr>
        <w:t>tion faisant office de Secrétariat technique de la Commission de la verité</w:t>
      </w:r>
      <w:r w:rsidRPr="00981403">
        <w:rPr>
          <w:noProof/>
          <w:lang w:val="fr-FR"/>
        </w:rPr>
        <w:t>.</w:t>
      </w:r>
    </w:p>
  </w:footnote>
  <w:footnote w:id="58">
    <w:p w:rsidR="00F44C75" w:rsidRPr="00B5117C" w:rsidRDefault="00F44C75" w:rsidP="00FB1114">
      <w:pPr>
        <w:pStyle w:val="Notedebasdepage"/>
        <w:rPr>
          <w:lang w:val="fr-FR"/>
        </w:rPr>
      </w:pPr>
      <w:r w:rsidRPr="00B5117C">
        <w:rPr>
          <w:lang w:val="fr-FR"/>
        </w:rPr>
        <w:tab/>
      </w:r>
      <w:r w:rsidRPr="00FB1114">
        <w:rPr>
          <w:rStyle w:val="Appelnotedebasdep"/>
        </w:rPr>
        <w:footnoteRef/>
      </w:r>
      <w:r w:rsidRPr="00B5117C">
        <w:rPr>
          <w:lang w:val="fr-FR"/>
        </w:rPr>
        <w:tab/>
      </w:r>
      <w:r w:rsidRPr="00433C5D">
        <w:rPr>
          <w:noProof/>
          <w:lang w:val="fr-FR"/>
        </w:rPr>
        <w:t>Art</w:t>
      </w:r>
      <w:r>
        <w:rPr>
          <w:noProof/>
          <w:lang w:val="fr-FR"/>
        </w:rPr>
        <w:t>. </w:t>
      </w:r>
      <w:r w:rsidRPr="00433C5D">
        <w:rPr>
          <w:noProof/>
          <w:lang w:val="fr-FR"/>
        </w:rPr>
        <w:t xml:space="preserve">61 de la </w:t>
      </w:r>
      <w:r>
        <w:rPr>
          <w:noProof/>
          <w:lang w:val="fr-FR"/>
        </w:rPr>
        <w:t xml:space="preserve">loi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433C5D">
        <w:rPr>
          <w:noProof/>
          <w:lang w:val="fr-FR"/>
        </w:rPr>
        <w:t>348</w:t>
      </w:r>
      <w:r w:rsidRPr="00B5117C">
        <w:rPr>
          <w:lang w:val="fr-FR"/>
        </w:rPr>
        <w:t>.</w:t>
      </w:r>
    </w:p>
  </w:footnote>
  <w:footnote w:id="59">
    <w:p w:rsidR="00F44C75" w:rsidRPr="00B5117C" w:rsidRDefault="00F44C75" w:rsidP="00FB1114">
      <w:pPr>
        <w:pStyle w:val="Notedebasdepage"/>
        <w:rPr>
          <w:lang w:val="fr-FR"/>
        </w:rPr>
      </w:pPr>
      <w:r w:rsidRPr="00B5117C">
        <w:rPr>
          <w:lang w:val="fr-FR"/>
        </w:rPr>
        <w:tab/>
      </w:r>
      <w:r w:rsidRPr="00FB1114">
        <w:rPr>
          <w:rStyle w:val="Appelnotedebasdep"/>
        </w:rPr>
        <w:footnoteRef/>
      </w:r>
      <w:r w:rsidRPr="00B5117C">
        <w:rPr>
          <w:lang w:val="fr-FR"/>
        </w:rPr>
        <w:tab/>
      </w:r>
      <w:r>
        <w:rPr>
          <w:noProof/>
          <w:lang w:val="fr-FR"/>
        </w:rPr>
        <w:t xml:space="preserve">Arrêté ministériel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xml:space="preserve"> 180/2016 du </w:t>
      </w:r>
      <w:r w:rsidRPr="001306E7">
        <w:rPr>
          <w:noProof/>
          <w:lang w:val="fr-FR"/>
        </w:rPr>
        <w:t>29</w:t>
      </w:r>
      <w:r>
        <w:rPr>
          <w:noProof/>
          <w:lang w:val="fr-FR"/>
        </w:rPr>
        <w:t> septembre 2016 du Ministère de la justice et de la transparence institutionnelle</w:t>
      </w:r>
      <w:r w:rsidRPr="001306E7">
        <w:rPr>
          <w:noProof/>
          <w:lang w:val="fr-FR"/>
        </w:rPr>
        <w:t>.</w:t>
      </w:r>
    </w:p>
  </w:footnote>
  <w:footnote w:id="60">
    <w:p w:rsidR="00F44C75" w:rsidRPr="00B5117C" w:rsidRDefault="00F44C75" w:rsidP="00FB1114">
      <w:pPr>
        <w:pStyle w:val="Notedebasdepage"/>
        <w:rPr>
          <w:lang w:val="fr-FR"/>
        </w:rPr>
      </w:pPr>
      <w:r w:rsidRPr="00B5117C">
        <w:rPr>
          <w:lang w:val="fr-FR"/>
        </w:rPr>
        <w:tab/>
      </w:r>
      <w:r w:rsidRPr="00FB1114">
        <w:rPr>
          <w:rStyle w:val="Appelnotedebasdep"/>
        </w:rPr>
        <w:footnoteRef/>
      </w:r>
      <w:r w:rsidRPr="00B5117C">
        <w:rPr>
          <w:lang w:val="fr-FR"/>
        </w:rPr>
        <w:tab/>
      </w:r>
      <w:r w:rsidRPr="0077081D">
        <w:rPr>
          <w:noProof/>
          <w:lang w:val="fr-FR"/>
        </w:rPr>
        <w:t>Art</w:t>
      </w:r>
      <w:r>
        <w:rPr>
          <w:noProof/>
          <w:lang w:val="fr-FR"/>
        </w:rPr>
        <w:t>. </w:t>
      </w:r>
      <w:r w:rsidRPr="0077081D">
        <w:rPr>
          <w:noProof/>
          <w:lang w:val="fr-FR"/>
        </w:rPr>
        <w:t>1</w:t>
      </w:r>
      <w:r w:rsidRPr="009D091F">
        <w:rPr>
          <w:noProof/>
          <w:vertAlign w:val="superscript"/>
          <w:lang w:val="fr-FR"/>
        </w:rPr>
        <w:t>er</w:t>
      </w:r>
      <w:r>
        <w:rPr>
          <w:noProof/>
          <w:lang w:val="fr-FR"/>
        </w:rPr>
        <w:t xml:space="preserve"> </w:t>
      </w:r>
      <w:r w:rsidRPr="0077081D">
        <w:rPr>
          <w:noProof/>
          <w:lang w:val="fr-FR"/>
        </w:rPr>
        <w:t xml:space="preserve">de la </w:t>
      </w:r>
      <w:r>
        <w:rPr>
          <w:noProof/>
          <w:lang w:val="fr-FR"/>
        </w:rPr>
        <w:t xml:space="preserve">loi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77081D">
        <w:rPr>
          <w:noProof/>
          <w:lang w:val="fr-FR"/>
        </w:rPr>
        <w:t>464</w:t>
      </w:r>
      <w:r w:rsidRPr="00B5117C">
        <w:rPr>
          <w:lang w:val="fr-FR"/>
        </w:rPr>
        <w:t>.</w:t>
      </w:r>
    </w:p>
  </w:footnote>
  <w:footnote w:id="61">
    <w:p w:rsidR="00F44C75" w:rsidRPr="003D6F1E" w:rsidRDefault="00F44C75" w:rsidP="00FB1114">
      <w:pPr>
        <w:pStyle w:val="Notedebasdepage"/>
        <w:rPr>
          <w:noProof/>
          <w:lang w:val="fr-FR"/>
        </w:rPr>
      </w:pPr>
      <w:r w:rsidRPr="00B5117C">
        <w:rPr>
          <w:lang w:val="fr-FR"/>
        </w:rPr>
        <w:tab/>
      </w:r>
      <w:r w:rsidRPr="00FB1114">
        <w:rPr>
          <w:rStyle w:val="Appelnotedebasdep"/>
        </w:rPr>
        <w:footnoteRef/>
      </w:r>
      <w:r w:rsidRPr="00B5117C">
        <w:rPr>
          <w:lang w:val="fr-FR"/>
        </w:rPr>
        <w:tab/>
      </w:r>
      <w:r>
        <w:rPr>
          <w:noProof/>
          <w:lang w:val="fr-FR"/>
        </w:rPr>
        <w:t xml:space="preserve">Adopté par l’arrêté ministériel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1508 du</w:t>
      </w:r>
      <w:r w:rsidRPr="003D6F1E">
        <w:rPr>
          <w:noProof/>
          <w:lang w:val="fr-FR"/>
        </w:rPr>
        <w:t xml:space="preserve"> 24</w:t>
      </w:r>
      <w:r>
        <w:rPr>
          <w:noProof/>
          <w:lang w:val="fr-FR"/>
        </w:rPr>
        <w:t> novembre</w:t>
      </w:r>
      <w:r w:rsidRPr="003D6F1E">
        <w:rPr>
          <w:noProof/>
          <w:lang w:val="fr-FR"/>
        </w:rPr>
        <w:t xml:space="preserve"> 2015 d</w:t>
      </w:r>
      <w:r>
        <w:rPr>
          <w:noProof/>
          <w:lang w:val="fr-FR"/>
        </w:rPr>
        <w:t>u ministère public</w:t>
      </w:r>
      <w:r w:rsidRPr="003D6F1E">
        <w:rPr>
          <w:noProof/>
          <w:lang w:val="fr-FR"/>
        </w:rPr>
        <w:t>.</w:t>
      </w:r>
    </w:p>
  </w:footnote>
  <w:footnote w:id="62">
    <w:p w:rsidR="00F44C75" w:rsidRPr="00B5117C" w:rsidRDefault="00F44C75" w:rsidP="00FB1114">
      <w:pPr>
        <w:pStyle w:val="Notedebasdepage"/>
        <w:rPr>
          <w:lang w:val="fr-FR"/>
        </w:rPr>
      </w:pPr>
      <w:r w:rsidRPr="00B5117C">
        <w:rPr>
          <w:rFonts w:eastAsia="Calibri"/>
          <w:lang w:val="fr-FR"/>
        </w:rPr>
        <w:tab/>
      </w:r>
      <w:r w:rsidRPr="00FB1114">
        <w:rPr>
          <w:rStyle w:val="Appelnotedebasdep"/>
        </w:rPr>
        <w:footnoteRef/>
      </w:r>
      <w:r w:rsidRPr="00B5117C">
        <w:rPr>
          <w:rFonts w:eastAsia="Calibri"/>
          <w:lang w:val="fr-FR"/>
        </w:rPr>
        <w:tab/>
      </w:r>
      <w:r w:rsidRPr="00B92057">
        <w:rPr>
          <w:rFonts w:eastAsia="Calibri"/>
          <w:noProof/>
          <w:lang w:val="fr-FR"/>
        </w:rPr>
        <w:t>Co</w:t>
      </w:r>
      <w:r>
        <w:rPr>
          <w:rFonts w:eastAsia="Calibri"/>
          <w:noProof/>
          <w:lang w:val="fr-FR"/>
        </w:rPr>
        <w:t>mposée des représentants des Ministères de la justice et de la transparence institutionnelle, de l’éducation, de la santé, de la communication, de l’intérieur</w:t>
      </w:r>
      <w:r w:rsidRPr="00B92057">
        <w:rPr>
          <w:rFonts w:eastAsia="Calibri"/>
          <w:noProof/>
          <w:lang w:val="fr-FR"/>
        </w:rPr>
        <w:t xml:space="preserve">, </w:t>
      </w:r>
      <w:r>
        <w:rPr>
          <w:rFonts w:eastAsia="Calibri"/>
          <w:noProof/>
          <w:lang w:val="fr-FR"/>
        </w:rPr>
        <w:t>des cultures et du tourisme</w:t>
      </w:r>
      <w:r w:rsidRPr="00B92057">
        <w:rPr>
          <w:rFonts w:eastAsia="Calibri"/>
          <w:noProof/>
          <w:lang w:val="fr-FR"/>
        </w:rPr>
        <w:t xml:space="preserve">, </w:t>
      </w:r>
      <w:r>
        <w:rPr>
          <w:rFonts w:eastAsia="Calibri"/>
          <w:noProof/>
          <w:lang w:val="fr-FR"/>
        </w:rPr>
        <w:t xml:space="preserve">et </w:t>
      </w:r>
      <w:r w:rsidRPr="00A90098">
        <w:rPr>
          <w:noProof/>
          <w:lang w:val="fr-FR"/>
        </w:rPr>
        <w:t>du travail, de l</w:t>
      </w:r>
      <w:r>
        <w:rPr>
          <w:noProof/>
          <w:lang w:val="fr-FR"/>
        </w:rPr>
        <w:t>’</w:t>
      </w:r>
      <w:r w:rsidRPr="00A90098">
        <w:rPr>
          <w:noProof/>
          <w:lang w:val="fr-FR"/>
        </w:rPr>
        <w:t>emploi et de la protection sociale</w:t>
      </w:r>
      <w:r>
        <w:rPr>
          <w:rFonts w:eastAsia="Calibri"/>
          <w:noProof/>
          <w:lang w:val="fr-FR"/>
        </w:rPr>
        <w:t xml:space="preserve"> (a</w:t>
      </w:r>
      <w:r w:rsidRPr="00B92057">
        <w:rPr>
          <w:rFonts w:eastAsia="Calibri"/>
          <w:noProof/>
          <w:lang w:val="fr-FR"/>
        </w:rPr>
        <w:t>rt</w:t>
      </w:r>
      <w:r>
        <w:rPr>
          <w:rFonts w:eastAsia="Calibri"/>
          <w:noProof/>
          <w:lang w:val="fr-FR"/>
        </w:rPr>
        <w:t>. </w:t>
      </w:r>
      <w:r w:rsidRPr="00B92057">
        <w:rPr>
          <w:rFonts w:eastAsia="Calibri"/>
          <w:noProof/>
          <w:lang w:val="fr-FR"/>
        </w:rPr>
        <w:t>3 d</w:t>
      </w:r>
      <w:r>
        <w:rPr>
          <w:rFonts w:eastAsia="Calibri"/>
          <w:noProof/>
          <w:lang w:val="fr-FR"/>
        </w:rPr>
        <w:t xml:space="preserve">u décret suprême </w:t>
      </w:r>
      <w:r w:rsidRPr="00857F6E">
        <w:rPr>
          <w:rFonts w:eastAsia="MS Mincho"/>
          <w:noProof/>
          <w:szCs w:val="22"/>
          <w:lang w:val="fr-FR"/>
        </w:rPr>
        <w:t>n</w:t>
      </w:r>
      <w:r w:rsidRPr="00857F6E">
        <w:rPr>
          <w:rFonts w:eastAsia="MS Mincho"/>
          <w:noProof/>
          <w:szCs w:val="22"/>
          <w:vertAlign w:val="superscript"/>
          <w:lang w:val="fr-FR"/>
        </w:rPr>
        <w:t>o</w:t>
      </w:r>
      <w:r>
        <w:rPr>
          <w:noProof/>
          <w:lang w:val="fr-FR"/>
        </w:rPr>
        <w:t> </w:t>
      </w:r>
      <w:r w:rsidRPr="00B92057">
        <w:rPr>
          <w:rFonts w:eastAsia="Calibri"/>
          <w:noProof/>
          <w:lang w:val="fr-FR"/>
        </w:rPr>
        <w:t>3106 d</w:t>
      </w:r>
      <w:r>
        <w:rPr>
          <w:rFonts w:eastAsia="Calibri"/>
          <w:noProof/>
          <w:lang w:val="fr-FR"/>
        </w:rPr>
        <w:t>u</w:t>
      </w:r>
      <w:r w:rsidRPr="00B92057">
        <w:rPr>
          <w:rFonts w:eastAsia="Calibri"/>
          <w:noProof/>
          <w:lang w:val="fr-FR"/>
        </w:rPr>
        <w:t xml:space="preserve"> 8</w:t>
      </w:r>
      <w:r>
        <w:rPr>
          <w:rFonts w:eastAsia="Calibri"/>
          <w:noProof/>
          <w:lang w:val="fr-FR"/>
        </w:rPr>
        <w:t xml:space="preserve"> mars </w:t>
      </w:r>
      <w:r w:rsidRPr="00B92057">
        <w:rPr>
          <w:rFonts w:eastAsia="Calibri"/>
          <w:noProof/>
          <w:lang w:val="fr-FR"/>
        </w:rPr>
        <w:t>2017).</w:t>
      </w:r>
    </w:p>
  </w:footnote>
  <w:footnote w:id="63">
    <w:p w:rsidR="00F44C75" w:rsidRPr="00571BBF" w:rsidRDefault="00F44C75" w:rsidP="00FB1114">
      <w:pPr>
        <w:pStyle w:val="Notedebasdepage"/>
        <w:rPr>
          <w:noProof/>
          <w:lang w:val="fr-FR"/>
        </w:rPr>
      </w:pPr>
      <w:r w:rsidRPr="00B5117C">
        <w:rPr>
          <w:lang w:val="fr-FR"/>
        </w:rPr>
        <w:tab/>
      </w:r>
      <w:r w:rsidRPr="00FB1114">
        <w:rPr>
          <w:rStyle w:val="Appelnotedebasdep"/>
        </w:rPr>
        <w:footnoteRef/>
      </w:r>
      <w:r w:rsidRPr="00B5117C">
        <w:rPr>
          <w:lang w:val="fr-FR"/>
        </w:rPr>
        <w:tab/>
      </w:r>
      <w:r w:rsidRPr="00571BBF">
        <w:rPr>
          <w:noProof/>
          <w:lang w:val="fr-FR"/>
        </w:rPr>
        <w:t>Art</w:t>
      </w:r>
      <w:r>
        <w:rPr>
          <w:noProof/>
          <w:lang w:val="fr-FR"/>
        </w:rPr>
        <w:t>. </w:t>
      </w:r>
      <w:r w:rsidRPr="00571BBF">
        <w:rPr>
          <w:noProof/>
          <w:lang w:val="fr-FR"/>
        </w:rPr>
        <w:t>61.</w:t>
      </w:r>
      <w:r w:rsidRPr="00571BBF">
        <w:rPr>
          <w:bCs/>
          <w:noProof/>
          <w:lang w:val="fr-FR"/>
        </w:rPr>
        <w:t xml:space="preserve">I de la </w:t>
      </w:r>
      <w:r w:rsidRPr="00571BBF">
        <w:rPr>
          <w:noProof/>
          <w:lang w:val="fr-FR"/>
        </w:rPr>
        <w:t>C</w:t>
      </w:r>
      <w:r>
        <w:rPr>
          <w:noProof/>
          <w:lang w:val="fr-FR"/>
        </w:rPr>
        <w:t>onstitution</w:t>
      </w:r>
      <w:r w:rsidRPr="00571BBF">
        <w:rPr>
          <w:bCs/>
          <w:noProof/>
          <w:lang w:val="fr-FR"/>
        </w:rPr>
        <w:t>.</w:t>
      </w:r>
    </w:p>
  </w:footnote>
  <w:footnote w:id="64">
    <w:p w:rsidR="00F44C75" w:rsidRPr="00B5117C" w:rsidRDefault="00F44C75" w:rsidP="00FB1114">
      <w:pPr>
        <w:pStyle w:val="Notedebasdepage"/>
        <w:rPr>
          <w:lang w:val="fr-FR"/>
        </w:rPr>
      </w:pPr>
      <w:r w:rsidRPr="00571BBF">
        <w:rPr>
          <w:noProof/>
          <w:lang w:val="fr-FR"/>
        </w:rPr>
        <w:tab/>
      </w:r>
      <w:r w:rsidRPr="00FB1114">
        <w:rPr>
          <w:rStyle w:val="Appelnotedebasdep"/>
        </w:rPr>
        <w:footnoteRef/>
      </w:r>
      <w:r w:rsidRPr="00571BBF">
        <w:rPr>
          <w:noProof/>
          <w:lang w:val="fr-FR"/>
        </w:rPr>
        <w:tab/>
      </w:r>
      <w:r>
        <w:rPr>
          <w:noProof/>
          <w:lang w:val="fr-FR"/>
        </w:rPr>
        <w:t xml:space="preserve">Adopté par l’arrêté ministériel </w:t>
      </w:r>
      <w:r w:rsidRPr="00AD55D6">
        <w:rPr>
          <w:rFonts w:eastAsia="MS Mincho"/>
          <w:noProof/>
          <w:szCs w:val="22"/>
          <w:lang w:val="fr-FR" w:eastAsia="es-BO"/>
        </w:rPr>
        <w:t>n</w:t>
      </w:r>
      <w:r w:rsidRPr="00AD55D6">
        <w:rPr>
          <w:rFonts w:eastAsia="MS Mincho"/>
          <w:noProof/>
          <w:szCs w:val="22"/>
          <w:vertAlign w:val="superscript"/>
          <w:lang w:val="fr-FR" w:eastAsia="es-BO"/>
        </w:rPr>
        <w:t>o</w:t>
      </w:r>
      <w:r>
        <w:rPr>
          <w:noProof/>
          <w:lang w:val="fr-FR" w:eastAsia="es-BO"/>
        </w:rPr>
        <w:t> </w:t>
      </w:r>
      <w:r w:rsidRPr="00571BBF">
        <w:rPr>
          <w:noProof/>
          <w:lang w:val="fr-FR"/>
        </w:rPr>
        <w:t>72/2017 d</w:t>
      </w:r>
      <w:r>
        <w:rPr>
          <w:noProof/>
          <w:lang w:val="fr-FR"/>
        </w:rPr>
        <w:t>u</w:t>
      </w:r>
      <w:r w:rsidRPr="00571BBF">
        <w:rPr>
          <w:noProof/>
          <w:lang w:val="fr-FR"/>
        </w:rPr>
        <w:t xml:space="preserve"> 8</w:t>
      </w:r>
      <w:r>
        <w:rPr>
          <w:noProof/>
          <w:lang w:val="fr-FR"/>
        </w:rPr>
        <w:t xml:space="preserve"> mai </w:t>
      </w:r>
      <w:r w:rsidRPr="00571BBF">
        <w:rPr>
          <w:noProof/>
          <w:lang w:val="fr-FR"/>
        </w:rPr>
        <w:t>2017 d</w:t>
      </w:r>
      <w:r>
        <w:rPr>
          <w:noProof/>
          <w:lang w:val="fr-FR"/>
        </w:rPr>
        <w:t>u Ministère de la justice et de la transparence institutionnelle.</w:t>
      </w:r>
    </w:p>
  </w:footnote>
  <w:footnote w:id="65">
    <w:p w:rsidR="00F44C75" w:rsidRPr="00B5117C" w:rsidRDefault="00F44C75" w:rsidP="00FB1114">
      <w:pPr>
        <w:pStyle w:val="Notedebasdepage"/>
        <w:rPr>
          <w:lang w:val="fr-FR"/>
        </w:rPr>
      </w:pPr>
      <w:r w:rsidRPr="00B5117C">
        <w:rPr>
          <w:lang w:val="fr-FR"/>
        </w:rPr>
        <w:tab/>
      </w:r>
      <w:r w:rsidRPr="00FB1114">
        <w:rPr>
          <w:rStyle w:val="Appelnotedebasdep"/>
        </w:rPr>
        <w:footnoteRef/>
      </w:r>
      <w:r w:rsidRPr="00B5117C">
        <w:rPr>
          <w:lang w:val="fr-FR"/>
        </w:rPr>
        <w:tab/>
      </w:r>
      <w:r w:rsidRPr="00CB2F83">
        <w:rPr>
          <w:noProof/>
          <w:lang w:val="fr-FR"/>
        </w:rPr>
        <w:t>Art</w:t>
      </w:r>
      <w:r>
        <w:rPr>
          <w:noProof/>
          <w:lang w:val="fr-FR"/>
        </w:rPr>
        <w:t>. </w:t>
      </w:r>
      <w:r w:rsidRPr="00CB2F83">
        <w:rPr>
          <w:noProof/>
          <w:lang w:val="fr-FR"/>
        </w:rPr>
        <w:t xml:space="preserve">155.I de la </w:t>
      </w:r>
      <w:r>
        <w:rPr>
          <w:noProof/>
          <w:lang w:val="fr-FR"/>
        </w:rPr>
        <w:t xml:space="preserve">loi </w:t>
      </w:r>
      <w:r w:rsidRPr="00AD55D6">
        <w:rPr>
          <w:rFonts w:eastAsia="MS Mincho"/>
          <w:noProof/>
          <w:szCs w:val="22"/>
          <w:lang w:val="fr-FR" w:eastAsia="es-BO"/>
        </w:rPr>
        <w:t>n</w:t>
      </w:r>
      <w:r w:rsidRPr="00AD55D6">
        <w:rPr>
          <w:rFonts w:eastAsia="MS Mincho"/>
          <w:noProof/>
          <w:szCs w:val="22"/>
          <w:vertAlign w:val="superscript"/>
          <w:lang w:val="fr-FR" w:eastAsia="es-BO"/>
        </w:rPr>
        <w:t>o</w:t>
      </w:r>
      <w:r>
        <w:rPr>
          <w:noProof/>
          <w:lang w:val="fr-FR" w:eastAsia="es-BO"/>
        </w:rPr>
        <w:t> </w:t>
      </w:r>
      <w:r w:rsidRPr="00CB2F83">
        <w:rPr>
          <w:rFonts w:eastAsia="Calibri"/>
          <w:noProof/>
          <w:spacing w:val="-2"/>
          <w:lang w:val="fr-FR"/>
        </w:rPr>
        <w:t>548</w:t>
      </w:r>
      <w:r w:rsidRPr="00CB2F83">
        <w:rPr>
          <w:noProof/>
          <w:lang w:val="fr-FR"/>
        </w:rPr>
        <w:t>.</w:t>
      </w:r>
    </w:p>
  </w:footnote>
  <w:footnote w:id="66">
    <w:p w:rsidR="00F44C75" w:rsidRPr="00C34011" w:rsidRDefault="00F44C75" w:rsidP="00FB1114">
      <w:pPr>
        <w:pStyle w:val="Notedebasdepage"/>
        <w:rPr>
          <w:bCs/>
          <w:noProof/>
          <w:lang w:val="fr-FR"/>
        </w:rPr>
      </w:pPr>
      <w:r w:rsidRPr="00B5117C">
        <w:rPr>
          <w:lang w:val="fr-FR"/>
        </w:rPr>
        <w:tab/>
      </w:r>
      <w:r w:rsidRPr="00FB1114">
        <w:rPr>
          <w:rStyle w:val="Appelnotedebasdep"/>
        </w:rPr>
        <w:footnoteRef/>
      </w:r>
      <w:r w:rsidRPr="00B5117C">
        <w:rPr>
          <w:lang w:val="fr-FR"/>
        </w:rPr>
        <w:tab/>
      </w:r>
      <w:r w:rsidRPr="00F20F64">
        <w:rPr>
          <w:noProof/>
          <w:lang w:val="fr-FR"/>
        </w:rPr>
        <w:t>Art</w:t>
      </w:r>
      <w:r>
        <w:rPr>
          <w:noProof/>
          <w:lang w:val="fr-FR"/>
        </w:rPr>
        <w:t>. </w:t>
      </w:r>
      <w:r w:rsidRPr="00F20F64">
        <w:rPr>
          <w:noProof/>
          <w:lang w:val="fr-FR"/>
        </w:rPr>
        <w:t xml:space="preserve">36 </w:t>
      </w:r>
      <w:r>
        <w:rPr>
          <w:noProof/>
          <w:lang w:val="fr-FR"/>
        </w:rPr>
        <w:t>et</w:t>
      </w:r>
      <w:r w:rsidRPr="00F20F64">
        <w:rPr>
          <w:noProof/>
          <w:lang w:val="fr-FR"/>
        </w:rPr>
        <w:t xml:space="preserve"> 37.4 de la </w:t>
      </w:r>
      <w:r>
        <w:rPr>
          <w:noProof/>
          <w:lang w:val="fr-FR"/>
        </w:rPr>
        <w:t xml:space="preserve">loi </w:t>
      </w:r>
      <w:r w:rsidRPr="00AD55D6">
        <w:rPr>
          <w:rFonts w:eastAsia="MS Mincho"/>
          <w:noProof/>
          <w:szCs w:val="22"/>
          <w:lang w:val="fr-FR" w:eastAsia="es-BO"/>
        </w:rPr>
        <w:t>n</w:t>
      </w:r>
      <w:r w:rsidRPr="00AD55D6">
        <w:rPr>
          <w:rFonts w:eastAsia="MS Mincho"/>
          <w:noProof/>
          <w:szCs w:val="22"/>
          <w:vertAlign w:val="superscript"/>
          <w:lang w:val="fr-FR" w:eastAsia="es-BO"/>
        </w:rPr>
        <w:t>o</w:t>
      </w:r>
      <w:r>
        <w:rPr>
          <w:noProof/>
          <w:lang w:val="fr-FR" w:eastAsia="es-BO"/>
        </w:rPr>
        <w:t> </w:t>
      </w:r>
      <w:r w:rsidRPr="00F20F64">
        <w:rPr>
          <w:bCs/>
          <w:noProof/>
          <w:lang w:val="fr-FR"/>
        </w:rPr>
        <w:t>464</w:t>
      </w:r>
      <w:r w:rsidRPr="00F20F64">
        <w:rPr>
          <w:noProof/>
          <w:lang w:val="fr-FR"/>
        </w:rPr>
        <w:t>.</w:t>
      </w:r>
    </w:p>
  </w:footnote>
  <w:footnote w:id="67">
    <w:p w:rsidR="00F44C75" w:rsidRPr="00F775A4" w:rsidRDefault="00F44C75" w:rsidP="00FB1114">
      <w:pPr>
        <w:pStyle w:val="Notedebasdepage"/>
        <w:rPr>
          <w:noProof/>
          <w:lang w:val="fr-FR"/>
        </w:rPr>
      </w:pPr>
      <w:r w:rsidRPr="00B5117C">
        <w:rPr>
          <w:rFonts w:eastAsia="Calibri"/>
          <w:lang w:val="fr-FR"/>
        </w:rPr>
        <w:tab/>
      </w:r>
      <w:r w:rsidRPr="00FB1114">
        <w:rPr>
          <w:rStyle w:val="Appelnotedebasdep"/>
        </w:rPr>
        <w:footnoteRef/>
      </w:r>
      <w:r w:rsidRPr="00B5117C">
        <w:rPr>
          <w:rFonts w:eastAsia="Calibri"/>
          <w:lang w:val="fr-FR"/>
        </w:rPr>
        <w:tab/>
      </w:r>
      <w:r w:rsidRPr="00F775A4">
        <w:rPr>
          <w:rFonts w:eastAsia="Calibri"/>
          <w:noProof/>
          <w:lang w:val="fr-FR"/>
        </w:rPr>
        <w:t>Décision FGE/RJGP/IDIF/DGFSE/029/2013 d</w:t>
      </w:r>
      <w:r>
        <w:rPr>
          <w:rFonts w:eastAsia="Calibri"/>
          <w:noProof/>
          <w:lang w:val="fr-FR"/>
        </w:rPr>
        <w:t>u</w:t>
      </w:r>
      <w:r w:rsidRPr="00F775A4">
        <w:rPr>
          <w:rFonts w:eastAsia="Calibri"/>
          <w:noProof/>
          <w:lang w:val="fr-FR"/>
        </w:rPr>
        <w:t xml:space="preserve"> 24</w:t>
      </w:r>
      <w:r>
        <w:rPr>
          <w:rFonts w:eastAsia="Calibri"/>
          <w:noProof/>
          <w:lang w:val="fr-FR"/>
        </w:rPr>
        <w:t xml:space="preserve"> juin </w:t>
      </w:r>
      <w:r w:rsidRPr="00F775A4">
        <w:rPr>
          <w:rFonts w:eastAsia="Calibri"/>
          <w:noProof/>
          <w:lang w:val="fr-FR"/>
        </w:rPr>
        <w:t>2013 d</w:t>
      </w:r>
      <w:r>
        <w:rPr>
          <w:rFonts w:eastAsia="Calibri"/>
          <w:noProof/>
          <w:lang w:val="fr-FR"/>
        </w:rPr>
        <w:t>u Bureau du Procureur général de l’État.</w:t>
      </w:r>
    </w:p>
  </w:footnote>
  <w:footnote w:id="68">
    <w:p w:rsidR="00F44C75" w:rsidRPr="00B5117C" w:rsidRDefault="00F44C75" w:rsidP="00FB1114">
      <w:pPr>
        <w:pStyle w:val="Notedebasdepage"/>
        <w:rPr>
          <w:lang w:val="fr-FR"/>
        </w:rPr>
      </w:pPr>
      <w:r w:rsidRPr="00F775A4">
        <w:rPr>
          <w:noProof/>
          <w:lang w:val="fr-FR"/>
        </w:rPr>
        <w:tab/>
      </w:r>
      <w:r w:rsidRPr="00FB1114">
        <w:rPr>
          <w:rStyle w:val="Appelnotedebasdep"/>
        </w:rPr>
        <w:footnoteRef/>
      </w:r>
      <w:r w:rsidRPr="00F775A4">
        <w:rPr>
          <w:noProof/>
          <w:lang w:val="fr-FR"/>
        </w:rPr>
        <w:tab/>
      </w:r>
      <w:r>
        <w:rPr>
          <w:rFonts w:eastAsia="Calibri"/>
          <w:noProof/>
          <w:lang w:val="fr-FR"/>
        </w:rPr>
        <w:t xml:space="preserve">Dispensé entre le </w:t>
      </w:r>
      <w:r w:rsidRPr="00F775A4">
        <w:rPr>
          <w:rFonts w:eastAsia="Calibri"/>
          <w:noProof/>
          <w:lang w:val="fr-FR"/>
        </w:rPr>
        <w:t>17</w:t>
      </w:r>
      <w:r>
        <w:rPr>
          <w:rFonts w:eastAsia="Calibri"/>
          <w:noProof/>
          <w:lang w:val="fr-FR"/>
        </w:rPr>
        <w:t xml:space="preserve"> octobre </w:t>
      </w:r>
      <w:r w:rsidRPr="00F775A4">
        <w:rPr>
          <w:rFonts w:eastAsia="Calibri"/>
          <w:noProof/>
          <w:lang w:val="fr-FR"/>
        </w:rPr>
        <w:t xml:space="preserve">2016 </w:t>
      </w:r>
      <w:r>
        <w:rPr>
          <w:rFonts w:eastAsia="Calibri"/>
          <w:noProof/>
          <w:lang w:val="fr-FR"/>
        </w:rPr>
        <w:t xml:space="preserve">et le </w:t>
      </w:r>
      <w:r w:rsidRPr="00F775A4">
        <w:rPr>
          <w:rFonts w:eastAsia="Calibri"/>
          <w:noProof/>
          <w:lang w:val="fr-FR"/>
        </w:rPr>
        <w:t>28</w:t>
      </w:r>
      <w:r>
        <w:rPr>
          <w:rFonts w:eastAsia="Calibri"/>
          <w:noProof/>
          <w:lang w:val="fr-FR"/>
        </w:rPr>
        <w:t xml:space="preserve"> janvier </w:t>
      </w:r>
      <w:r w:rsidRPr="00F775A4">
        <w:rPr>
          <w:rFonts w:eastAsia="Calibri"/>
          <w:noProof/>
          <w:lang w:val="fr-FR"/>
        </w:rPr>
        <w:t>2017</w:t>
      </w:r>
      <w:r w:rsidRPr="00B5117C">
        <w:rPr>
          <w:rFonts w:eastAsia="Calibri"/>
          <w:lang w:val="fr-FR"/>
        </w:rPr>
        <w:t>.</w:t>
      </w:r>
    </w:p>
  </w:footnote>
  <w:footnote w:id="69">
    <w:p w:rsidR="00F44C75" w:rsidRPr="000550B1" w:rsidRDefault="00F44C75" w:rsidP="00FB1114">
      <w:pPr>
        <w:pStyle w:val="Notedebasdepage"/>
        <w:rPr>
          <w:rFonts w:eastAsia="Calibri"/>
          <w:noProof/>
          <w:lang w:val="fr-FR"/>
        </w:rPr>
      </w:pPr>
      <w:r w:rsidRPr="00B5117C">
        <w:rPr>
          <w:rFonts w:eastAsia="Calibri"/>
          <w:lang w:val="fr-FR"/>
        </w:rPr>
        <w:tab/>
      </w:r>
      <w:r w:rsidRPr="00FB1114">
        <w:rPr>
          <w:rStyle w:val="Appelnotedebasdep"/>
        </w:rPr>
        <w:footnoteRef/>
      </w:r>
      <w:r w:rsidRPr="00B5117C">
        <w:rPr>
          <w:rFonts w:eastAsia="Calibri"/>
          <w:lang w:val="fr-FR"/>
        </w:rPr>
        <w:tab/>
      </w:r>
      <w:r w:rsidRPr="000550B1">
        <w:rPr>
          <w:rFonts w:eastAsia="Calibri"/>
          <w:noProof/>
          <w:lang w:val="fr-FR"/>
        </w:rPr>
        <w:t>Art</w:t>
      </w:r>
      <w:r>
        <w:rPr>
          <w:rFonts w:eastAsia="Calibri"/>
          <w:noProof/>
          <w:lang w:val="fr-FR"/>
        </w:rPr>
        <w:t>. </w:t>
      </w:r>
      <w:r w:rsidRPr="000550B1">
        <w:rPr>
          <w:rFonts w:eastAsia="Calibri"/>
          <w:noProof/>
          <w:lang w:val="fr-FR"/>
        </w:rPr>
        <w:t xml:space="preserve">2 </w:t>
      </w:r>
      <w:r>
        <w:rPr>
          <w:rFonts w:eastAsia="Calibri"/>
          <w:noProof/>
          <w:lang w:val="fr-FR"/>
        </w:rPr>
        <w:t>et</w:t>
      </w:r>
      <w:r w:rsidRPr="000550B1">
        <w:rPr>
          <w:rFonts w:eastAsia="Calibri"/>
          <w:noProof/>
          <w:lang w:val="fr-FR"/>
        </w:rPr>
        <w:t xml:space="preserve"> 3 d</w:t>
      </w:r>
      <w:r>
        <w:rPr>
          <w:rFonts w:eastAsia="Calibri"/>
          <w:noProof/>
          <w:lang w:val="fr-FR"/>
        </w:rPr>
        <w:t>u</w:t>
      </w:r>
      <w:r w:rsidRPr="000550B1">
        <w:rPr>
          <w:rFonts w:eastAsia="Calibri"/>
          <w:noProof/>
          <w:lang w:val="fr-FR"/>
        </w:rPr>
        <w:t xml:space="preserve"> </w:t>
      </w:r>
      <w:r>
        <w:rPr>
          <w:rFonts w:eastAsia="Calibri"/>
          <w:noProof/>
          <w:lang w:val="fr-FR"/>
        </w:rPr>
        <w:t xml:space="preserve">décret suprême </w:t>
      </w:r>
      <w:r w:rsidRPr="00AD55D6">
        <w:rPr>
          <w:rFonts w:eastAsia="MS Mincho"/>
          <w:noProof/>
          <w:szCs w:val="22"/>
          <w:lang w:val="fr-FR" w:eastAsia="es-BO"/>
        </w:rPr>
        <w:t>n</w:t>
      </w:r>
      <w:r w:rsidRPr="00AD55D6">
        <w:rPr>
          <w:rFonts w:eastAsia="MS Mincho"/>
          <w:noProof/>
          <w:szCs w:val="22"/>
          <w:vertAlign w:val="superscript"/>
          <w:lang w:val="fr-FR" w:eastAsia="es-BO"/>
        </w:rPr>
        <w:t>o</w:t>
      </w:r>
      <w:r>
        <w:rPr>
          <w:noProof/>
          <w:lang w:val="fr-FR" w:eastAsia="es-BO"/>
        </w:rPr>
        <w:t> </w:t>
      </w:r>
      <w:r w:rsidRPr="000550B1">
        <w:rPr>
          <w:bCs/>
          <w:noProof/>
          <w:lang w:val="fr-FR"/>
        </w:rPr>
        <w:t>1302</w:t>
      </w:r>
      <w:r w:rsidRPr="000550B1">
        <w:rPr>
          <w:rFonts w:eastAsia="Calibri"/>
          <w:noProof/>
          <w:lang w:val="fr-FR"/>
        </w:rPr>
        <w:t>.</w:t>
      </w:r>
    </w:p>
  </w:footnote>
  <w:footnote w:id="70">
    <w:p w:rsidR="00F44C75" w:rsidRPr="000550B1" w:rsidRDefault="00F44C75" w:rsidP="00FB1114">
      <w:pPr>
        <w:pStyle w:val="Notedebasdepage"/>
        <w:rPr>
          <w:noProof/>
          <w:lang w:val="fr-FR"/>
        </w:rPr>
      </w:pPr>
      <w:r w:rsidRPr="000550B1">
        <w:rPr>
          <w:rStyle w:val="lev"/>
          <w:noProof/>
          <w:sz w:val="16"/>
          <w:szCs w:val="16"/>
          <w:lang w:val="fr-FR"/>
        </w:rPr>
        <w:tab/>
      </w:r>
      <w:r w:rsidRPr="00FB1114">
        <w:rPr>
          <w:rStyle w:val="Appelnotedebasdep"/>
        </w:rPr>
        <w:footnoteRef/>
      </w:r>
      <w:r w:rsidRPr="000550B1">
        <w:rPr>
          <w:rStyle w:val="lev"/>
          <w:noProof/>
          <w:sz w:val="16"/>
          <w:szCs w:val="16"/>
          <w:lang w:val="fr-FR"/>
        </w:rPr>
        <w:tab/>
      </w:r>
      <w:r>
        <w:rPr>
          <w:noProof/>
          <w:lang w:val="fr-FR"/>
        </w:rPr>
        <w:t xml:space="preserve">Article unique du décret suprême </w:t>
      </w:r>
      <w:r w:rsidRPr="00AD55D6">
        <w:rPr>
          <w:rFonts w:eastAsia="MS Mincho"/>
          <w:noProof/>
          <w:szCs w:val="22"/>
          <w:lang w:val="fr-FR" w:eastAsia="es-BO"/>
        </w:rPr>
        <w:t>n</w:t>
      </w:r>
      <w:r w:rsidRPr="00AD55D6">
        <w:rPr>
          <w:rFonts w:eastAsia="MS Mincho"/>
          <w:noProof/>
          <w:szCs w:val="22"/>
          <w:vertAlign w:val="superscript"/>
          <w:lang w:val="fr-FR" w:eastAsia="es-BO"/>
        </w:rPr>
        <w:t>o</w:t>
      </w:r>
      <w:r>
        <w:rPr>
          <w:noProof/>
          <w:lang w:val="fr-FR" w:eastAsia="es-BO"/>
        </w:rPr>
        <w:t> </w:t>
      </w:r>
      <w:r w:rsidRPr="000550B1">
        <w:rPr>
          <w:noProof/>
          <w:lang w:val="fr-FR"/>
        </w:rPr>
        <w:t>1320.</w:t>
      </w:r>
    </w:p>
  </w:footnote>
  <w:footnote w:id="71">
    <w:p w:rsidR="00F44C75" w:rsidRPr="000550B1" w:rsidRDefault="00F44C75" w:rsidP="00FB1114">
      <w:pPr>
        <w:pStyle w:val="Notedebasdepage"/>
        <w:rPr>
          <w:noProof/>
          <w:lang w:val="fr-FR"/>
        </w:rPr>
      </w:pPr>
      <w:r w:rsidRPr="000550B1">
        <w:rPr>
          <w:noProof/>
          <w:lang w:val="fr-FR"/>
        </w:rPr>
        <w:tab/>
      </w:r>
      <w:r w:rsidRPr="00FB1114">
        <w:rPr>
          <w:rStyle w:val="Appelnotedebasdep"/>
        </w:rPr>
        <w:footnoteRef/>
      </w:r>
      <w:r w:rsidRPr="000550B1">
        <w:rPr>
          <w:noProof/>
          <w:lang w:val="fr-FR"/>
        </w:rPr>
        <w:tab/>
      </w:r>
      <w:r>
        <w:rPr>
          <w:noProof/>
          <w:lang w:val="fr-FR"/>
        </w:rPr>
        <w:t xml:space="preserve">Arrêté ministériel </w:t>
      </w:r>
      <w:r w:rsidRPr="00AD55D6">
        <w:rPr>
          <w:rFonts w:eastAsia="MS Mincho"/>
          <w:noProof/>
          <w:szCs w:val="22"/>
          <w:lang w:val="fr-FR" w:eastAsia="es-BO"/>
        </w:rPr>
        <w:t>n</w:t>
      </w:r>
      <w:r w:rsidRPr="00AD55D6">
        <w:rPr>
          <w:rFonts w:eastAsia="MS Mincho"/>
          <w:noProof/>
          <w:szCs w:val="22"/>
          <w:vertAlign w:val="superscript"/>
          <w:lang w:val="fr-FR" w:eastAsia="es-BO"/>
        </w:rPr>
        <w:t>o</w:t>
      </w:r>
      <w:r>
        <w:rPr>
          <w:noProof/>
          <w:lang w:val="fr-FR" w:eastAsia="es-BO"/>
        </w:rPr>
        <w:t> </w:t>
      </w:r>
      <w:r w:rsidRPr="000550B1">
        <w:rPr>
          <w:noProof/>
          <w:lang w:val="fr-FR"/>
        </w:rPr>
        <w:t>2412/2017 d</w:t>
      </w:r>
      <w:r>
        <w:rPr>
          <w:noProof/>
          <w:lang w:val="fr-FR"/>
        </w:rPr>
        <w:t>u</w:t>
      </w:r>
      <w:r w:rsidRPr="000550B1">
        <w:rPr>
          <w:noProof/>
          <w:lang w:val="fr-FR"/>
        </w:rPr>
        <w:t xml:space="preserve"> 20</w:t>
      </w:r>
      <w:r>
        <w:rPr>
          <w:noProof/>
          <w:lang w:val="fr-FR"/>
        </w:rPr>
        <w:t xml:space="preserve"> juillet </w:t>
      </w:r>
      <w:r w:rsidRPr="000550B1">
        <w:rPr>
          <w:noProof/>
          <w:lang w:val="fr-FR"/>
        </w:rPr>
        <w:t xml:space="preserve">2017 </w:t>
      </w:r>
      <w:r>
        <w:rPr>
          <w:noProof/>
          <w:lang w:val="fr-FR"/>
        </w:rPr>
        <w:t>du Ministère de l’éducation</w:t>
      </w:r>
      <w:r w:rsidRPr="000550B1">
        <w:rPr>
          <w:noProof/>
          <w:lang w:val="fr-FR"/>
        </w:rPr>
        <w:t>.</w:t>
      </w:r>
    </w:p>
  </w:footnote>
  <w:footnote w:id="72">
    <w:p w:rsidR="00F44C75" w:rsidRPr="000550B1" w:rsidRDefault="00F44C75" w:rsidP="00FB1114">
      <w:pPr>
        <w:pStyle w:val="Notedebasdepage"/>
        <w:rPr>
          <w:noProof/>
          <w:lang w:val="fr-FR"/>
        </w:rPr>
      </w:pPr>
      <w:r w:rsidRPr="000550B1">
        <w:rPr>
          <w:noProof/>
          <w:lang w:val="fr-FR"/>
        </w:rPr>
        <w:tab/>
      </w:r>
      <w:r w:rsidRPr="00FB1114">
        <w:rPr>
          <w:rStyle w:val="Appelnotedebasdep"/>
        </w:rPr>
        <w:footnoteRef/>
      </w:r>
      <w:r w:rsidRPr="000550B1">
        <w:rPr>
          <w:noProof/>
          <w:lang w:val="fr-FR"/>
        </w:rPr>
        <w:tab/>
        <w:t>Informa</w:t>
      </w:r>
      <w:r>
        <w:rPr>
          <w:noProof/>
          <w:lang w:val="fr-FR"/>
        </w:rPr>
        <w:t xml:space="preserve">tion communiquée par le Tribunal pénal </w:t>
      </w:r>
      <w:r w:rsidRPr="00AD55D6">
        <w:rPr>
          <w:rFonts w:eastAsia="MS Mincho"/>
          <w:noProof/>
          <w:szCs w:val="22"/>
          <w:lang w:val="fr-FR" w:eastAsia="es-BO"/>
        </w:rPr>
        <w:t>n</w:t>
      </w:r>
      <w:r w:rsidRPr="00AD55D6">
        <w:rPr>
          <w:rFonts w:eastAsia="MS Mincho"/>
          <w:noProof/>
          <w:szCs w:val="22"/>
          <w:vertAlign w:val="superscript"/>
          <w:lang w:val="fr-FR" w:eastAsia="es-BO"/>
        </w:rPr>
        <w:t>o</w:t>
      </w:r>
      <w:r>
        <w:rPr>
          <w:noProof/>
          <w:lang w:val="fr-FR" w:eastAsia="es-BO"/>
        </w:rPr>
        <w:t> </w:t>
      </w:r>
      <w:r>
        <w:rPr>
          <w:noProof/>
          <w:lang w:val="fr-FR"/>
        </w:rPr>
        <w:t xml:space="preserve">8 </w:t>
      </w:r>
      <w:r w:rsidRPr="000550B1">
        <w:rPr>
          <w:noProof/>
          <w:lang w:val="fr-FR"/>
        </w:rPr>
        <w:t>de La Paz.</w:t>
      </w:r>
    </w:p>
  </w:footnote>
  <w:footnote w:id="73">
    <w:p w:rsidR="00F44C75" w:rsidRPr="000550B1" w:rsidRDefault="00F44C75" w:rsidP="00FB1114">
      <w:pPr>
        <w:pStyle w:val="Notedebasdepage"/>
        <w:rPr>
          <w:noProof/>
          <w:lang w:val="fr-FR"/>
        </w:rPr>
      </w:pPr>
      <w:r w:rsidRPr="000550B1">
        <w:rPr>
          <w:noProof/>
          <w:lang w:val="fr-FR"/>
        </w:rPr>
        <w:tab/>
      </w:r>
      <w:r w:rsidRPr="00FB1114">
        <w:rPr>
          <w:rStyle w:val="Appelnotedebasdep"/>
        </w:rPr>
        <w:footnoteRef/>
      </w:r>
      <w:r w:rsidRPr="000550B1">
        <w:rPr>
          <w:noProof/>
          <w:lang w:val="fr-FR"/>
        </w:rPr>
        <w:tab/>
      </w:r>
      <w:r>
        <w:rPr>
          <w:noProof/>
          <w:lang w:val="fr-FR"/>
        </w:rPr>
        <w:t>Art. </w:t>
      </w:r>
      <w:r w:rsidRPr="000550B1">
        <w:rPr>
          <w:noProof/>
          <w:lang w:val="fr-FR"/>
        </w:rPr>
        <w:t xml:space="preserve">4 de la </w:t>
      </w:r>
      <w:r>
        <w:rPr>
          <w:noProof/>
          <w:lang w:val="fr-FR"/>
        </w:rPr>
        <w:t xml:space="preserve">loi </w:t>
      </w:r>
      <w:r w:rsidRPr="00AD55D6">
        <w:rPr>
          <w:rFonts w:eastAsia="MS Mincho"/>
          <w:noProof/>
          <w:szCs w:val="22"/>
          <w:lang w:val="fr-FR" w:eastAsia="es-BO"/>
        </w:rPr>
        <w:t>n</w:t>
      </w:r>
      <w:r w:rsidRPr="00AD55D6">
        <w:rPr>
          <w:rFonts w:eastAsia="MS Mincho"/>
          <w:noProof/>
          <w:szCs w:val="22"/>
          <w:vertAlign w:val="superscript"/>
          <w:lang w:val="fr-FR" w:eastAsia="es-BO"/>
        </w:rPr>
        <w:t>o</w:t>
      </w:r>
      <w:r>
        <w:rPr>
          <w:noProof/>
          <w:lang w:val="fr-FR" w:eastAsia="es-BO"/>
        </w:rPr>
        <w:t> </w:t>
      </w:r>
      <w:r w:rsidRPr="000550B1">
        <w:rPr>
          <w:noProof/>
          <w:lang w:val="fr-FR"/>
        </w:rPr>
        <w:t>251.</w:t>
      </w:r>
    </w:p>
  </w:footnote>
  <w:footnote w:id="74">
    <w:p w:rsidR="00F44C75" w:rsidRPr="00B5117C" w:rsidRDefault="00F44C75" w:rsidP="00FB1114">
      <w:pPr>
        <w:pStyle w:val="Notedebasdepage"/>
        <w:rPr>
          <w:lang w:val="fr-FR"/>
        </w:rPr>
      </w:pPr>
      <w:r w:rsidRPr="000550B1">
        <w:rPr>
          <w:noProof/>
          <w:lang w:val="fr-FR"/>
        </w:rPr>
        <w:tab/>
      </w:r>
      <w:r w:rsidRPr="00FB1114">
        <w:rPr>
          <w:rStyle w:val="Appelnotedebasdep"/>
        </w:rPr>
        <w:footnoteRef/>
      </w:r>
      <w:r w:rsidRPr="000550B1">
        <w:rPr>
          <w:noProof/>
          <w:lang w:val="fr-FR"/>
        </w:rPr>
        <w:tab/>
        <w:t>Art</w:t>
      </w:r>
      <w:r>
        <w:rPr>
          <w:noProof/>
          <w:lang w:val="fr-FR"/>
        </w:rPr>
        <w:t>. </w:t>
      </w:r>
      <w:r w:rsidRPr="000550B1">
        <w:rPr>
          <w:noProof/>
          <w:lang w:val="fr-FR"/>
        </w:rPr>
        <w:t xml:space="preserve">5 de la </w:t>
      </w:r>
      <w:r>
        <w:rPr>
          <w:noProof/>
          <w:lang w:val="fr-FR"/>
        </w:rPr>
        <w:t xml:space="preserve">loi </w:t>
      </w:r>
      <w:r w:rsidRPr="00AD55D6">
        <w:rPr>
          <w:rFonts w:eastAsia="MS Mincho"/>
          <w:noProof/>
          <w:szCs w:val="22"/>
          <w:lang w:val="fr-FR" w:eastAsia="es-BO"/>
        </w:rPr>
        <w:t>n</w:t>
      </w:r>
      <w:r w:rsidRPr="00AD55D6">
        <w:rPr>
          <w:rFonts w:eastAsia="MS Mincho"/>
          <w:noProof/>
          <w:szCs w:val="22"/>
          <w:vertAlign w:val="superscript"/>
          <w:lang w:val="fr-FR" w:eastAsia="es-BO"/>
        </w:rPr>
        <w:t>o</w:t>
      </w:r>
      <w:r>
        <w:rPr>
          <w:noProof/>
          <w:lang w:val="fr-FR" w:eastAsia="es-BO"/>
        </w:rPr>
        <w:t> </w:t>
      </w:r>
      <w:r w:rsidRPr="000550B1">
        <w:rPr>
          <w:noProof/>
          <w:lang w:val="fr-FR"/>
        </w:rPr>
        <w:t>251</w:t>
      </w:r>
      <w:r w:rsidRPr="00B5117C">
        <w:rPr>
          <w:lang w:val="fr-FR"/>
        </w:rPr>
        <w:t>.</w:t>
      </w:r>
    </w:p>
  </w:footnote>
  <w:footnote w:id="75">
    <w:p w:rsidR="00F44C75" w:rsidRPr="00B5117C" w:rsidRDefault="00F44C75" w:rsidP="00FB1114">
      <w:pPr>
        <w:pStyle w:val="Notedebasdepage"/>
        <w:rPr>
          <w:lang w:val="fr-FR"/>
        </w:rPr>
      </w:pPr>
      <w:r w:rsidRPr="00B5117C">
        <w:rPr>
          <w:lang w:val="fr-FR"/>
        </w:rPr>
        <w:tab/>
      </w:r>
      <w:r w:rsidRPr="00FB1114">
        <w:rPr>
          <w:rStyle w:val="Appelnotedebasdep"/>
        </w:rPr>
        <w:footnoteRef/>
      </w:r>
      <w:r w:rsidRPr="00B5117C">
        <w:rPr>
          <w:lang w:val="fr-FR"/>
        </w:rPr>
        <w:tab/>
      </w:r>
      <w:r w:rsidRPr="00C50CD0">
        <w:rPr>
          <w:noProof/>
          <w:lang w:val="fr-FR"/>
        </w:rPr>
        <w:t>Art</w:t>
      </w:r>
      <w:r>
        <w:rPr>
          <w:noProof/>
          <w:lang w:val="fr-FR"/>
        </w:rPr>
        <w:t>. </w:t>
      </w:r>
      <w:r w:rsidRPr="00C50CD0">
        <w:rPr>
          <w:bCs/>
          <w:noProof/>
          <w:lang w:val="fr-FR"/>
        </w:rPr>
        <w:t xml:space="preserve">6 de la </w:t>
      </w:r>
      <w:r>
        <w:rPr>
          <w:bCs/>
          <w:noProof/>
          <w:lang w:val="fr-FR"/>
        </w:rPr>
        <w:t xml:space="preserve">loi </w:t>
      </w:r>
      <w:r w:rsidRPr="00AD55D6">
        <w:rPr>
          <w:rFonts w:eastAsia="MS Mincho"/>
          <w:noProof/>
          <w:szCs w:val="22"/>
          <w:lang w:val="fr-FR" w:eastAsia="es-BO"/>
        </w:rPr>
        <w:t>n</w:t>
      </w:r>
      <w:r w:rsidRPr="00AD55D6">
        <w:rPr>
          <w:rFonts w:eastAsia="MS Mincho"/>
          <w:noProof/>
          <w:szCs w:val="22"/>
          <w:vertAlign w:val="superscript"/>
          <w:lang w:val="fr-FR" w:eastAsia="es-BO"/>
        </w:rPr>
        <w:t>o</w:t>
      </w:r>
      <w:r>
        <w:rPr>
          <w:noProof/>
          <w:lang w:val="fr-FR" w:eastAsia="es-BO"/>
        </w:rPr>
        <w:t> </w:t>
      </w:r>
      <w:r w:rsidRPr="00C50CD0">
        <w:rPr>
          <w:noProof/>
          <w:lang w:val="fr-FR"/>
        </w:rPr>
        <w:t>251</w:t>
      </w:r>
      <w:r w:rsidRPr="00B5117C">
        <w:rPr>
          <w:lang w:val="fr-FR"/>
        </w:rPr>
        <w:t>.</w:t>
      </w:r>
    </w:p>
  </w:footnote>
  <w:footnote w:id="76">
    <w:p w:rsidR="00F44C75" w:rsidRPr="00B5117C" w:rsidRDefault="00F44C75" w:rsidP="00FB1114">
      <w:pPr>
        <w:pStyle w:val="Notedebasdepage"/>
        <w:rPr>
          <w:lang w:val="fr-FR"/>
        </w:rPr>
      </w:pPr>
      <w:r w:rsidRPr="00B5117C">
        <w:rPr>
          <w:lang w:val="fr-FR"/>
        </w:rPr>
        <w:tab/>
      </w:r>
      <w:r w:rsidRPr="00FB1114">
        <w:rPr>
          <w:rStyle w:val="Appelnotedebasdep"/>
        </w:rPr>
        <w:footnoteRef/>
      </w:r>
      <w:r w:rsidRPr="00B5117C">
        <w:rPr>
          <w:lang w:val="fr-FR"/>
        </w:rPr>
        <w:tab/>
      </w:r>
      <w:r>
        <w:rPr>
          <w:noProof/>
          <w:lang w:val="fr-FR"/>
        </w:rPr>
        <w:t xml:space="preserve">Décision administrative </w:t>
      </w:r>
      <w:r w:rsidRPr="00AD55D6">
        <w:rPr>
          <w:rFonts w:eastAsia="MS Mincho"/>
          <w:noProof/>
          <w:szCs w:val="22"/>
          <w:lang w:val="fr-FR" w:eastAsia="es-BO"/>
        </w:rPr>
        <w:t>n</w:t>
      </w:r>
      <w:r w:rsidRPr="00AD55D6">
        <w:rPr>
          <w:rFonts w:eastAsia="MS Mincho"/>
          <w:noProof/>
          <w:szCs w:val="22"/>
          <w:vertAlign w:val="superscript"/>
          <w:lang w:val="fr-FR" w:eastAsia="es-BO"/>
        </w:rPr>
        <w:t>o</w:t>
      </w:r>
      <w:r>
        <w:rPr>
          <w:noProof/>
          <w:lang w:val="fr-FR" w:eastAsia="es-BO"/>
        </w:rPr>
        <w:t> </w:t>
      </w:r>
      <w:r w:rsidRPr="003D7B26">
        <w:rPr>
          <w:noProof/>
          <w:lang w:val="fr-FR"/>
        </w:rPr>
        <w:t>62/2015 d</w:t>
      </w:r>
      <w:r>
        <w:rPr>
          <w:noProof/>
          <w:lang w:val="fr-FR"/>
        </w:rPr>
        <w:t>u</w:t>
      </w:r>
      <w:r w:rsidRPr="003D7B26">
        <w:rPr>
          <w:noProof/>
          <w:lang w:val="fr-FR"/>
        </w:rPr>
        <w:t xml:space="preserve"> 5</w:t>
      </w:r>
      <w:r>
        <w:rPr>
          <w:noProof/>
          <w:lang w:val="fr-FR"/>
        </w:rPr>
        <w:t xml:space="preserve"> août </w:t>
      </w:r>
      <w:r w:rsidRPr="003D7B26">
        <w:rPr>
          <w:noProof/>
          <w:lang w:val="fr-FR"/>
        </w:rPr>
        <w:t xml:space="preserve">2015, </w:t>
      </w:r>
      <w:r>
        <w:rPr>
          <w:noProof/>
          <w:lang w:val="fr-FR"/>
        </w:rPr>
        <w:t xml:space="preserve">approuvée par l’arrêté ministériel </w:t>
      </w:r>
      <w:r w:rsidRPr="00AD55D6">
        <w:rPr>
          <w:rFonts w:eastAsia="MS Mincho"/>
          <w:noProof/>
          <w:szCs w:val="22"/>
          <w:lang w:val="fr-FR" w:eastAsia="es-BO"/>
        </w:rPr>
        <w:t>n</w:t>
      </w:r>
      <w:r w:rsidRPr="00AD55D6">
        <w:rPr>
          <w:rFonts w:eastAsia="MS Mincho"/>
          <w:noProof/>
          <w:szCs w:val="22"/>
          <w:vertAlign w:val="superscript"/>
          <w:lang w:val="fr-FR" w:eastAsia="es-BO"/>
        </w:rPr>
        <w:t>o</w:t>
      </w:r>
      <w:r>
        <w:rPr>
          <w:noProof/>
          <w:lang w:val="fr-FR" w:eastAsia="es-BO"/>
        </w:rPr>
        <w:t> </w:t>
      </w:r>
      <w:r w:rsidRPr="003D7B26">
        <w:rPr>
          <w:noProof/>
          <w:lang w:val="fr-FR"/>
        </w:rPr>
        <w:t>242/2015 d</w:t>
      </w:r>
      <w:r>
        <w:rPr>
          <w:noProof/>
          <w:lang w:val="fr-FR"/>
        </w:rPr>
        <w:t>u</w:t>
      </w:r>
      <w:r w:rsidRPr="003D7B26">
        <w:rPr>
          <w:noProof/>
          <w:lang w:val="fr-FR"/>
        </w:rPr>
        <w:t xml:space="preserve"> 7</w:t>
      </w:r>
      <w:r>
        <w:rPr>
          <w:noProof/>
          <w:lang w:val="fr-FR"/>
        </w:rPr>
        <w:t xml:space="preserve"> août </w:t>
      </w:r>
      <w:r w:rsidRPr="003D7B26">
        <w:rPr>
          <w:noProof/>
          <w:lang w:val="fr-FR"/>
        </w:rPr>
        <w:t>2015</w:t>
      </w:r>
      <w:r w:rsidRPr="00B5117C">
        <w:rPr>
          <w:lang w:val="fr-FR"/>
        </w:rPr>
        <w:t>.</w:t>
      </w:r>
    </w:p>
  </w:footnote>
  <w:footnote w:id="77">
    <w:p w:rsidR="00F44C75" w:rsidRPr="006B7FD3" w:rsidRDefault="00F44C75" w:rsidP="00FB1114">
      <w:pPr>
        <w:pStyle w:val="Notedebasdepage"/>
        <w:rPr>
          <w:noProof/>
          <w:lang w:val="fr-FR"/>
        </w:rPr>
      </w:pPr>
      <w:r w:rsidRPr="00B5117C">
        <w:rPr>
          <w:lang w:val="fr-FR"/>
        </w:rPr>
        <w:tab/>
      </w:r>
      <w:r w:rsidRPr="00FB1114">
        <w:rPr>
          <w:rStyle w:val="Appelnotedebasdep"/>
        </w:rPr>
        <w:footnoteRef/>
      </w:r>
      <w:r w:rsidRPr="00B5117C">
        <w:rPr>
          <w:lang w:val="fr-FR"/>
        </w:rPr>
        <w:tab/>
      </w:r>
      <w:r>
        <w:rPr>
          <w:noProof/>
          <w:lang w:val="fr-FR"/>
        </w:rPr>
        <w:t xml:space="preserve">Circulaire </w:t>
      </w:r>
      <w:r w:rsidRPr="00AD55D6">
        <w:rPr>
          <w:rFonts w:eastAsia="MS Mincho"/>
          <w:noProof/>
          <w:szCs w:val="22"/>
          <w:lang w:val="fr-FR" w:eastAsia="es-BO"/>
        </w:rPr>
        <w:t>n</w:t>
      </w:r>
      <w:r w:rsidRPr="00AD55D6">
        <w:rPr>
          <w:rFonts w:eastAsia="MS Mincho"/>
          <w:noProof/>
          <w:szCs w:val="22"/>
          <w:vertAlign w:val="superscript"/>
          <w:lang w:val="fr-FR" w:eastAsia="es-BO"/>
        </w:rPr>
        <w:t>o</w:t>
      </w:r>
      <w:r>
        <w:rPr>
          <w:noProof/>
          <w:lang w:val="fr-FR" w:eastAsia="es-BO"/>
        </w:rPr>
        <w:t> </w:t>
      </w:r>
      <w:r w:rsidRPr="006B7FD3">
        <w:rPr>
          <w:noProof/>
          <w:lang w:val="fr-FR"/>
        </w:rPr>
        <w:t>033/2018 d</w:t>
      </w:r>
      <w:r>
        <w:rPr>
          <w:noProof/>
          <w:lang w:val="fr-FR"/>
        </w:rPr>
        <w:t>u</w:t>
      </w:r>
      <w:r w:rsidRPr="006B7FD3">
        <w:rPr>
          <w:noProof/>
          <w:lang w:val="fr-FR"/>
        </w:rPr>
        <w:t xml:space="preserve"> 1</w:t>
      </w:r>
      <w:r w:rsidRPr="006B7FD3">
        <w:rPr>
          <w:noProof/>
          <w:vertAlign w:val="superscript"/>
          <w:lang w:val="fr-FR"/>
        </w:rPr>
        <w:t>er</w:t>
      </w:r>
      <w:r>
        <w:rPr>
          <w:noProof/>
          <w:lang w:val="fr-FR"/>
        </w:rPr>
        <w:t xml:space="preserve"> mars </w:t>
      </w:r>
      <w:r w:rsidRPr="006B7FD3">
        <w:rPr>
          <w:noProof/>
          <w:lang w:val="fr-FR"/>
        </w:rPr>
        <w:t>2018 de la Force spéciale de lutte contre le trafic de stupéfiants.</w:t>
      </w:r>
    </w:p>
  </w:footnote>
  <w:footnote w:id="78">
    <w:p w:rsidR="00F44C75" w:rsidRPr="00B11DCE" w:rsidRDefault="00F44C75" w:rsidP="00FB1114">
      <w:pPr>
        <w:pStyle w:val="Notedebasdepage"/>
        <w:rPr>
          <w:lang w:val="fr-FR"/>
        </w:rPr>
      </w:pPr>
      <w:r w:rsidRPr="006B7FD3">
        <w:rPr>
          <w:noProof/>
          <w:lang w:val="fr-FR"/>
        </w:rPr>
        <w:tab/>
      </w:r>
      <w:r w:rsidRPr="00FB1114">
        <w:rPr>
          <w:rStyle w:val="Appelnotedebasdep"/>
        </w:rPr>
        <w:footnoteRef/>
      </w:r>
      <w:r w:rsidRPr="006B7FD3">
        <w:rPr>
          <w:noProof/>
          <w:lang w:val="fr-FR"/>
        </w:rPr>
        <w:t xml:space="preserve"> </w:t>
      </w:r>
      <w:r w:rsidRPr="006B7FD3">
        <w:rPr>
          <w:noProof/>
          <w:lang w:val="fr-FR"/>
        </w:rPr>
        <w:tab/>
      </w:r>
      <w:r>
        <w:rPr>
          <w:noProof/>
          <w:lang w:val="fr-FR"/>
        </w:rPr>
        <w:t>Art. </w:t>
      </w:r>
      <w:r w:rsidRPr="006B7FD3">
        <w:rPr>
          <w:noProof/>
          <w:lang w:val="fr-FR"/>
        </w:rPr>
        <w:t xml:space="preserve">5 de la </w:t>
      </w:r>
      <w:r>
        <w:rPr>
          <w:noProof/>
          <w:lang w:val="fr-FR"/>
        </w:rPr>
        <w:t xml:space="preserve">loi </w:t>
      </w:r>
      <w:r w:rsidRPr="00AD55D6">
        <w:rPr>
          <w:rFonts w:eastAsia="MS Mincho"/>
          <w:noProof/>
          <w:szCs w:val="22"/>
          <w:lang w:val="fr-FR" w:eastAsia="es-BO"/>
        </w:rPr>
        <w:t>n</w:t>
      </w:r>
      <w:r w:rsidRPr="00AD55D6">
        <w:rPr>
          <w:rFonts w:eastAsia="MS Mincho"/>
          <w:noProof/>
          <w:szCs w:val="22"/>
          <w:vertAlign w:val="superscript"/>
          <w:lang w:val="fr-FR" w:eastAsia="es-BO"/>
        </w:rPr>
        <w:t>o</w:t>
      </w:r>
      <w:r>
        <w:rPr>
          <w:noProof/>
          <w:lang w:val="fr-FR" w:eastAsia="es-BO"/>
        </w:rPr>
        <w:t> </w:t>
      </w:r>
      <w:r w:rsidRPr="006B7FD3">
        <w:rPr>
          <w:noProof/>
          <w:lang w:val="fr-FR"/>
        </w:rPr>
        <w:t>870</w:t>
      </w:r>
      <w:r w:rsidRPr="00B5117C">
        <w:rPr>
          <w:lang w:val="fr-FR"/>
        </w:rPr>
        <w:t>.</w:t>
      </w:r>
    </w:p>
  </w:footnote>
  <w:footnote w:id="79">
    <w:p w:rsidR="00F44C75" w:rsidRPr="00DA6D51" w:rsidRDefault="00F44C75" w:rsidP="00FB1114">
      <w:pPr>
        <w:pStyle w:val="Notedebasdepage"/>
        <w:rPr>
          <w:noProof/>
          <w:lang w:val="fr-FR"/>
        </w:rPr>
      </w:pPr>
      <w:r w:rsidRPr="00B5117C">
        <w:rPr>
          <w:lang w:val="fr-FR"/>
        </w:rPr>
        <w:tab/>
      </w:r>
      <w:r w:rsidRPr="00FB1114">
        <w:rPr>
          <w:rStyle w:val="Appelnotedebasdep"/>
        </w:rPr>
        <w:footnoteRef/>
      </w:r>
      <w:r w:rsidRPr="00B5117C">
        <w:rPr>
          <w:lang w:val="fr-FR"/>
        </w:rPr>
        <w:t xml:space="preserve"> </w:t>
      </w:r>
      <w:r w:rsidRPr="00B5117C">
        <w:rPr>
          <w:lang w:val="fr-FR"/>
        </w:rPr>
        <w:tab/>
      </w:r>
      <w:r>
        <w:rPr>
          <w:noProof/>
          <w:lang w:val="fr-FR"/>
        </w:rPr>
        <w:t>Art. </w:t>
      </w:r>
      <w:r w:rsidRPr="00DA6D51">
        <w:rPr>
          <w:noProof/>
          <w:lang w:val="fr-FR"/>
        </w:rPr>
        <w:t xml:space="preserve">32 </w:t>
      </w:r>
      <w:r>
        <w:rPr>
          <w:noProof/>
          <w:lang w:val="fr-FR"/>
        </w:rPr>
        <w:t xml:space="preserve">du décret suprême </w:t>
      </w:r>
      <w:r w:rsidRPr="00AD55D6">
        <w:rPr>
          <w:rFonts w:eastAsia="MS Mincho"/>
          <w:noProof/>
          <w:szCs w:val="22"/>
          <w:lang w:val="fr-FR" w:eastAsia="es-BO"/>
        </w:rPr>
        <w:t>n</w:t>
      </w:r>
      <w:r w:rsidRPr="00AD55D6">
        <w:rPr>
          <w:rFonts w:eastAsia="MS Mincho"/>
          <w:noProof/>
          <w:szCs w:val="22"/>
          <w:vertAlign w:val="superscript"/>
          <w:lang w:val="fr-FR" w:eastAsia="es-BO"/>
        </w:rPr>
        <w:t>o</w:t>
      </w:r>
      <w:r>
        <w:rPr>
          <w:noProof/>
          <w:lang w:val="fr-FR" w:eastAsia="es-BO"/>
        </w:rPr>
        <w:t> </w:t>
      </w:r>
      <w:r w:rsidRPr="00DA6D51">
        <w:rPr>
          <w:noProof/>
          <w:lang w:val="fr-FR"/>
        </w:rPr>
        <w:t>28631.</w:t>
      </w:r>
    </w:p>
  </w:footnote>
  <w:footnote w:id="80">
    <w:p w:rsidR="00F44C75" w:rsidRPr="00B5117C" w:rsidRDefault="00F44C75" w:rsidP="00FB1114">
      <w:pPr>
        <w:pStyle w:val="Notedebasdepage"/>
        <w:rPr>
          <w:lang w:val="fr-FR"/>
        </w:rPr>
      </w:pPr>
      <w:r w:rsidRPr="00DA6D51">
        <w:rPr>
          <w:noProof/>
          <w:lang w:val="fr-FR"/>
        </w:rPr>
        <w:tab/>
      </w:r>
      <w:r w:rsidRPr="00FB1114">
        <w:rPr>
          <w:rStyle w:val="Appelnotedebasdep"/>
        </w:rPr>
        <w:footnoteRef/>
      </w:r>
      <w:r w:rsidRPr="00DA6D51">
        <w:rPr>
          <w:noProof/>
          <w:lang w:val="fr-FR"/>
        </w:rPr>
        <w:t xml:space="preserve"> </w:t>
      </w:r>
      <w:r w:rsidRPr="00DA6D51">
        <w:rPr>
          <w:noProof/>
          <w:lang w:val="fr-FR"/>
        </w:rPr>
        <w:tab/>
        <w:t>Disposi</w:t>
      </w:r>
      <w:r>
        <w:rPr>
          <w:noProof/>
          <w:lang w:val="fr-FR"/>
        </w:rPr>
        <w:t xml:space="preserve">tion finale première </w:t>
      </w:r>
      <w:r w:rsidRPr="00DA6D51">
        <w:rPr>
          <w:noProof/>
          <w:lang w:val="fr-FR"/>
        </w:rPr>
        <w:t xml:space="preserve">de la </w:t>
      </w:r>
      <w:r>
        <w:rPr>
          <w:noProof/>
          <w:lang w:val="fr-FR"/>
        </w:rPr>
        <w:t xml:space="preserve">loi </w:t>
      </w:r>
      <w:r w:rsidRPr="00AD55D6">
        <w:rPr>
          <w:rFonts w:eastAsia="MS Mincho"/>
          <w:noProof/>
          <w:szCs w:val="22"/>
          <w:lang w:val="fr-FR" w:eastAsia="es-BO"/>
        </w:rPr>
        <w:t>n</w:t>
      </w:r>
      <w:r w:rsidRPr="00AD55D6">
        <w:rPr>
          <w:rFonts w:eastAsia="MS Mincho"/>
          <w:noProof/>
          <w:szCs w:val="22"/>
          <w:vertAlign w:val="superscript"/>
          <w:lang w:val="fr-FR" w:eastAsia="es-BO"/>
        </w:rPr>
        <w:t>o</w:t>
      </w:r>
      <w:r>
        <w:rPr>
          <w:noProof/>
          <w:lang w:val="fr-FR" w:eastAsia="es-BO"/>
        </w:rPr>
        <w:t> </w:t>
      </w:r>
      <w:r w:rsidRPr="00DA6D51">
        <w:rPr>
          <w:noProof/>
          <w:lang w:val="fr-FR"/>
        </w:rPr>
        <w:t>474</w:t>
      </w:r>
      <w:r w:rsidRPr="00B5117C">
        <w:rPr>
          <w:lang w:val="fr-FR"/>
        </w:rPr>
        <w:t>.</w:t>
      </w:r>
    </w:p>
  </w:footnote>
  <w:footnote w:id="81">
    <w:p w:rsidR="00F44C75" w:rsidRPr="003929CE" w:rsidRDefault="00F44C75" w:rsidP="00FB1114">
      <w:pPr>
        <w:pStyle w:val="Notedebasdepage"/>
        <w:rPr>
          <w:noProof/>
          <w:lang w:val="fr-FR"/>
        </w:rPr>
      </w:pPr>
      <w:r w:rsidRPr="00B5117C">
        <w:rPr>
          <w:lang w:val="fr-FR"/>
        </w:rPr>
        <w:tab/>
      </w:r>
      <w:r w:rsidRPr="00FB1114">
        <w:rPr>
          <w:rStyle w:val="Appelnotedebasdep"/>
        </w:rPr>
        <w:footnoteRef/>
      </w:r>
      <w:r w:rsidRPr="00B5117C">
        <w:rPr>
          <w:lang w:val="fr-FR"/>
        </w:rPr>
        <w:tab/>
      </w:r>
      <w:r>
        <w:rPr>
          <w:noProof/>
          <w:lang w:val="fr-FR"/>
        </w:rPr>
        <w:t xml:space="preserve">Arrêté ministériel </w:t>
      </w:r>
      <w:r w:rsidRPr="00AD55D6">
        <w:rPr>
          <w:rFonts w:eastAsia="MS Mincho"/>
          <w:noProof/>
          <w:szCs w:val="22"/>
          <w:lang w:val="fr-FR" w:eastAsia="es-BO"/>
        </w:rPr>
        <w:t>n</w:t>
      </w:r>
      <w:r w:rsidRPr="00AD55D6">
        <w:rPr>
          <w:rFonts w:eastAsia="MS Mincho"/>
          <w:noProof/>
          <w:szCs w:val="22"/>
          <w:vertAlign w:val="superscript"/>
          <w:lang w:val="fr-FR" w:eastAsia="es-BO"/>
        </w:rPr>
        <w:t>o</w:t>
      </w:r>
      <w:r>
        <w:rPr>
          <w:noProof/>
          <w:lang w:val="fr-FR" w:eastAsia="es-BO"/>
        </w:rPr>
        <w:t> </w:t>
      </w:r>
      <w:r w:rsidRPr="003929CE">
        <w:rPr>
          <w:noProof/>
          <w:lang w:val="fr-FR"/>
        </w:rPr>
        <w:t>0027 d</w:t>
      </w:r>
      <w:r>
        <w:rPr>
          <w:noProof/>
          <w:lang w:val="fr-FR"/>
        </w:rPr>
        <w:t>u</w:t>
      </w:r>
      <w:r w:rsidRPr="003929CE">
        <w:rPr>
          <w:noProof/>
          <w:lang w:val="fr-FR"/>
        </w:rPr>
        <w:t xml:space="preserve"> 29</w:t>
      </w:r>
      <w:r>
        <w:rPr>
          <w:noProof/>
          <w:lang w:val="fr-FR"/>
        </w:rPr>
        <w:t xml:space="preserve"> janvier </w:t>
      </w:r>
      <w:r w:rsidRPr="003929CE">
        <w:rPr>
          <w:noProof/>
          <w:lang w:val="fr-FR"/>
        </w:rPr>
        <w:t>2015.</w:t>
      </w:r>
    </w:p>
  </w:footnote>
  <w:footnote w:id="82">
    <w:p w:rsidR="00F44C75" w:rsidRPr="003929CE" w:rsidRDefault="00F44C75" w:rsidP="00FB1114">
      <w:pPr>
        <w:pStyle w:val="Notedebasdepage"/>
        <w:rPr>
          <w:noProof/>
          <w:lang w:val="fr-FR"/>
        </w:rPr>
      </w:pPr>
      <w:r w:rsidRPr="003929CE">
        <w:rPr>
          <w:noProof/>
          <w:lang w:val="fr-FR"/>
        </w:rPr>
        <w:tab/>
      </w:r>
      <w:r w:rsidRPr="00FB1114">
        <w:rPr>
          <w:rStyle w:val="Appelnotedebasdep"/>
        </w:rPr>
        <w:footnoteRef/>
      </w:r>
      <w:r w:rsidRPr="003929CE">
        <w:rPr>
          <w:noProof/>
          <w:lang w:val="fr-FR"/>
        </w:rPr>
        <w:tab/>
      </w:r>
      <w:r>
        <w:rPr>
          <w:noProof/>
          <w:lang w:val="fr-FR"/>
        </w:rPr>
        <w:t xml:space="preserve">Arrêté ministériel </w:t>
      </w:r>
      <w:r w:rsidRPr="00AD55D6">
        <w:rPr>
          <w:rFonts w:eastAsia="MS Mincho"/>
          <w:noProof/>
          <w:szCs w:val="22"/>
          <w:lang w:val="fr-FR" w:eastAsia="es-BO"/>
        </w:rPr>
        <w:t>n</w:t>
      </w:r>
      <w:r w:rsidRPr="00AD55D6">
        <w:rPr>
          <w:rFonts w:eastAsia="MS Mincho"/>
          <w:noProof/>
          <w:szCs w:val="22"/>
          <w:vertAlign w:val="superscript"/>
          <w:lang w:val="fr-FR" w:eastAsia="es-BO"/>
        </w:rPr>
        <w:t>o</w:t>
      </w:r>
      <w:r>
        <w:rPr>
          <w:noProof/>
          <w:lang w:val="fr-FR" w:eastAsia="es-BO"/>
        </w:rPr>
        <w:t> </w:t>
      </w:r>
      <w:r w:rsidRPr="003929CE">
        <w:rPr>
          <w:noProof/>
          <w:lang w:val="fr-FR"/>
        </w:rPr>
        <w:t>0908 d</w:t>
      </w:r>
      <w:r>
        <w:rPr>
          <w:noProof/>
          <w:lang w:val="fr-FR"/>
        </w:rPr>
        <w:t>u</w:t>
      </w:r>
      <w:r w:rsidRPr="003929CE">
        <w:rPr>
          <w:noProof/>
          <w:lang w:val="fr-FR"/>
        </w:rPr>
        <w:t xml:space="preserve"> 9</w:t>
      </w:r>
      <w:r>
        <w:rPr>
          <w:noProof/>
          <w:lang w:val="fr-FR"/>
        </w:rPr>
        <w:t xml:space="preserve"> septembre </w:t>
      </w:r>
      <w:r w:rsidRPr="003929CE">
        <w:rPr>
          <w:noProof/>
          <w:lang w:val="fr-FR"/>
        </w:rPr>
        <w:t>2016 d</w:t>
      </w:r>
      <w:r>
        <w:rPr>
          <w:noProof/>
          <w:lang w:val="fr-FR"/>
        </w:rPr>
        <w:t>u Ministère de la santé</w:t>
      </w:r>
      <w:r w:rsidRPr="003929CE">
        <w:rPr>
          <w:noProof/>
          <w:lang w:val="fr-FR"/>
        </w:rPr>
        <w:t>.</w:t>
      </w:r>
    </w:p>
  </w:footnote>
  <w:footnote w:id="83">
    <w:p w:rsidR="00F44C75" w:rsidRPr="00B5117C" w:rsidRDefault="00F44C75" w:rsidP="00FB1114">
      <w:pPr>
        <w:pStyle w:val="Notedebasdepage"/>
        <w:rPr>
          <w:lang w:val="fr-FR"/>
        </w:rPr>
      </w:pPr>
      <w:r w:rsidRPr="003929CE">
        <w:rPr>
          <w:noProof/>
          <w:lang w:val="fr-FR"/>
        </w:rPr>
        <w:tab/>
      </w:r>
      <w:r w:rsidRPr="00FB1114">
        <w:rPr>
          <w:rStyle w:val="Appelnotedebasdep"/>
        </w:rPr>
        <w:footnoteRef/>
      </w:r>
      <w:r w:rsidRPr="003929CE">
        <w:rPr>
          <w:noProof/>
          <w:lang w:val="fr-FR"/>
        </w:rPr>
        <w:tab/>
      </w:r>
      <w:r>
        <w:rPr>
          <w:noProof/>
          <w:lang w:val="fr-FR"/>
        </w:rPr>
        <w:t xml:space="preserve">Arrêté ministériel </w:t>
      </w:r>
      <w:r w:rsidRPr="00AD55D6">
        <w:rPr>
          <w:rFonts w:eastAsia="MS Mincho"/>
          <w:noProof/>
          <w:szCs w:val="22"/>
          <w:lang w:val="fr-FR" w:eastAsia="es-BO"/>
        </w:rPr>
        <w:t>n</w:t>
      </w:r>
      <w:r w:rsidRPr="00AD55D6">
        <w:rPr>
          <w:rFonts w:eastAsia="MS Mincho"/>
          <w:noProof/>
          <w:szCs w:val="22"/>
          <w:vertAlign w:val="superscript"/>
          <w:lang w:val="fr-FR" w:eastAsia="es-BO"/>
        </w:rPr>
        <w:t>o</w:t>
      </w:r>
      <w:r>
        <w:rPr>
          <w:noProof/>
          <w:lang w:val="fr-FR" w:eastAsia="es-BO"/>
        </w:rPr>
        <w:t> </w:t>
      </w:r>
      <w:r>
        <w:rPr>
          <w:noProof/>
          <w:lang w:val="fr-FR"/>
        </w:rPr>
        <w:t>0500 du</w:t>
      </w:r>
      <w:r w:rsidRPr="003929CE">
        <w:rPr>
          <w:noProof/>
          <w:lang w:val="fr-FR"/>
        </w:rPr>
        <w:t xml:space="preserve"> 10</w:t>
      </w:r>
      <w:r>
        <w:rPr>
          <w:noProof/>
          <w:lang w:val="fr-FR"/>
        </w:rPr>
        <w:t xml:space="preserve"> mai </w:t>
      </w:r>
      <w:r w:rsidRPr="003929CE">
        <w:rPr>
          <w:noProof/>
          <w:lang w:val="fr-FR"/>
        </w:rPr>
        <w:t>2012 d</w:t>
      </w:r>
      <w:r>
        <w:rPr>
          <w:noProof/>
          <w:lang w:val="fr-FR"/>
        </w:rPr>
        <w:t>u Ministère de la santé</w:t>
      </w:r>
      <w:r w:rsidRPr="00B5117C">
        <w:rPr>
          <w:lang w:val="fr-FR"/>
        </w:rPr>
        <w:t>.</w:t>
      </w:r>
    </w:p>
  </w:footnote>
  <w:footnote w:id="84">
    <w:p w:rsidR="00F44C75" w:rsidRPr="00B5117C" w:rsidRDefault="00F44C75" w:rsidP="00FB1114">
      <w:pPr>
        <w:pStyle w:val="Notedebasdepage"/>
        <w:rPr>
          <w:lang w:val="fr-FR"/>
        </w:rPr>
      </w:pPr>
      <w:r w:rsidRPr="00B5117C">
        <w:rPr>
          <w:lang w:val="fr-FR"/>
        </w:rPr>
        <w:tab/>
      </w:r>
      <w:r w:rsidRPr="00FB1114">
        <w:rPr>
          <w:rStyle w:val="Appelnotedebasdep"/>
        </w:rPr>
        <w:footnoteRef/>
      </w:r>
      <w:r w:rsidRPr="00B5117C">
        <w:rPr>
          <w:lang w:val="fr-FR"/>
        </w:rPr>
        <w:tab/>
      </w:r>
      <w:r w:rsidRPr="000D501D">
        <w:rPr>
          <w:noProof/>
          <w:lang w:val="fr-FR"/>
        </w:rPr>
        <w:t>D</w:t>
      </w:r>
      <w:r>
        <w:rPr>
          <w:noProof/>
          <w:lang w:val="fr-FR"/>
        </w:rPr>
        <w:t xml:space="preserve">écret suprême </w:t>
      </w:r>
      <w:r w:rsidRPr="00AD55D6">
        <w:rPr>
          <w:rFonts w:eastAsia="MS Mincho"/>
          <w:noProof/>
          <w:szCs w:val="22"/>
          <w:lang w:val="fr-FR" w:eastAsia="es-BO"/>
        </w:rPr>
        <w:t>n</w:t>
      </w:r>
      <w:r w:rsidRPr="00AD55D6">
        <w:rPr>
          <w:rFonts w:eastAsia="MS Mincho"/>
          <w:noProof/>
          <w:szCs w:val="22"/>
          <w:vertAlign w:val="superscript"/>
          <w:lang w:val="fr-FR" w:eastAsia="es-BO"/>
        </w:rPr>
        <w:t>o</w:t>
      </w:r>
      <w:r>
        <w:rPr>
          <w:noProof/>
          <w:lang w:val="fr-FR" w:eastAsia="es-BO"/>
        </w:rPr>
        <w:t> </w:t>
      </w:r>
      <w:r>
        <w:rPr>
          <w:noProof/>
          <w:lang w:val="fr-FR"/>
        </w:rPr>
        <w:t>29292 du</w:t>
      </w:r>
      <w:r w:rsidRPr="000D501D">
        <w:rPr>
          <w:noProof/>
          <w:lang w:val="fr-FR"/>
        </w:rPr>
        <w:t xml:space="preserve"> 3</w:t>
      </w:r>
      <w:r>
        <w:rPr>
          <w:noProof/>
          <w:lang w:val="fr-FR"/>
        </w:rPr>
        <w:t xml:space="preserve"> octobre </w:t>
      </w:r>
      <w:r w:rsidRPr="000D501D">
        <w:rPr>
          <w:noProof/>
          <w:lang w:val="fr-FR"/>
        </w:rPr>
        <w:t>2007</w:t>
      </w:r>
      <w:r w:rsidRPr="00B5117C">
        <w:rPr>
          <w:lang w:val="fr-FR"/>
        </w:rPr>
        <w:t>.</w:t>
      </w:r>
    </w:p>
  </w:footnote>
  <w:footnote w:id="85">
    <w:p w:rsidR="00F44C75" w:rsidRPr="00B5117C" w:rsidRDefault="00F44C75" w:rsidP="00FB1114">
      <w:pPr>
        <w:pStyle w:val="Notedebasdepage"/>
        <w:rPr>
          <w:lang w:val="fr-FR"/>
        </w:rPr>
      </w:pPr>
      <w:r w:rsidRPr="00B5117C">
        <w:rPr>
          <w:lang w:val="fr-FR"/>
        </w:rPr>
        <w:tab/>
      </w:r>
      <w:r w:rsidRPr="00FB1114">
        <w:rPr>
          <w:rStyle w:val="Appelnotedebasdep"/>
        </w:rPr>
        <w:footnoteRef/>
      </w:r>
      <w:r w:rsidRPr="00B5117C">
        <w:rPr>
          <w:lang w:val="fr-FR"/>
        </w:rPr>
        <w:tab/>
      </w:r>
      <w:r w:rsidRPr="00E55B9C">
        <w:rPr>
          <w:noProof/>
          <w:lang w:val="fr-FR"/>
        </w:rPr>
        <w:t>Pil</w:t>
      </w:r>
      <w:r>
        <w:rPr>
          <w:noProof/>
          <w:lang w:val="fr-FR"/>
        </w:rPr>
        <w:t>ier</w:t>
      </w:r>
      <w:r w:rsidRPr="00E55B9C">
        <w:rPr>
          <w:noProof/>
          <w:lang w:val="fr-FR"/>
        </w:rPr>
        <w:t xml:space="preserve"> 1, Agenda </w:t>
      </w:r>
      <w:r>
        <w:rPr>
          <w:noProof/>
          <w:lang w:val="fr-FR"/>
        </w:rPr>
        <w:t>p</w:t>
      </w:r>
      <w:r w:rsidRPr="00E55B9C">
        <w:rPr>
          <w:noProof/>
          <w:lang w:val="fr-FR"/>
        </w:rPr>
        <w:t>atri</w:t>
      </w:r>
      <w:r>
        <w:rPr>
          <w:noProof/>
          <w:lang w:val="fr-FR"/>
        </w:rPr>
        <w:t xml:space="preserve">otique </w:t>
      </w:r>
      <w:r w:rsidRPr="00E55B9C">
        <w:rPr>
          <w:noProof/>
          <w:lang w:val="fr-FR"/>
        </w:rPr>
        <w:t>2025</w:t>
      </w:r>
      <w:r>
        <w:rPr>
          <w:noProof/>
          <w:lang w:val="fr-FR"/>
        </w:rPr>
        <w:t xml:space="preserve"> </w:t>
      </w:r>
      <w:r w:rsidRPr="00E55B9C">
        <w:rPr>
          <w:noProof/>
          <w:lang w:val="fr-FR"/>
        </w:rPr>
        <w:t xml:space="preserve">: </w:t>
      </w:r>
      <w:r>
        <w:rPr>
          <w:noProof/>
          <w:lang w:val="fr-FR"/>
        </w:rPr>
        <w:t>Élimination de l’extrême pauvreté</w:t>
      </w:r>
      <w:r w:rsidRPr="00B5117C">
        <w:rPr>
          <w:lang w:val="fr-FR"/>
        </w:rPr>
        <w:t>.</w:t>
      </w:r>
    </w:p>
  </w:footnote>
  <w:footnote w:id="86">
    <w:p w:rsidR="00F44C75" w:rsidRPr="00B5117C" w:rsidRDefault="00F44C75" w:rsidP="00FB1114">
      <w:pPr>
        <w:pStyle w:val="Notedebasdepage"/>
        <w:rPr>
          <w:lang w:val="fr-FR"/>
        </w:rPr>
      </w:pPr>
      <w:r w:rsidRPr="00B5117C">
        <w:rPr>
          <w:lang w:val="fr-FR"/>
        </w:rPr>
        <w:tab/>
      </w:r>
      <w:r w:rsidRPr="00FB1114">
        <w:rPr>
          <w:rStyle w:val="Appelnotedebasdep"/>
        </w:rPr>
        <w:footnoteRef/>
      </w:r>
      <w:r w:rsidRPr="00B5117C">
        <w:rPr>
          <w:lang w:val="fr-FR"/>
        </w:rPr>
        <w:tab/>
      </w:r>
      <w:r>
        <w:rPr>
          <w:noProof/>
          <w:lang w:val="fr-FR"/>
        </w:rPr>
        <w:t>L’arrêté</w:t>
      </w:r>
      <w:r w:rsidRPr="00981403">
        <w:rPr>
          <w:noProof/>
          <w:lang w:val="fr-FR"/>
        </w:rPr>
        <w:t xml:space="preserve"> </w:t>
      </w:r>
      <w:r>
        <w:rPr>
          <w:noProof/>
          <w:lang w:val="fr-FR"/>
        </w:rPr>
        <w:t>b</w:t>
      </w:r>
      <w:r w:rsidRPr="00981403">
        <w:rPr>
          <w:noProof/>
          <w:lang w:val="fr-FR"/>
        </w:rPr>
        <w:t>i</w:t>
      </w:r>
      <w:r>
        <w:rPr>
          <w:noProof/>
          <w:lang w:val="fr-FR"/>
        </w:rPr>
        <w:t>m</w:t>
      </w:r>
      <w:r w:rsidRPr="00981403">
        <w:rPr>
          <w:noProof/>
          <w:lang w:val="fr-FR"/>
        </w:rPr>
        <w:t>inist</w:t>
      </w:r>
      <w:r>
        <w:rPr>
          <w:noProof/>
          <w:lang w:val="fr-FR"/>
        </w:rPr>
        <w:t>é</w:t>
      </w:r>
      <w:r w:rsidRPr="00981403">
        <w:rPr>
          <w:noProof/>
          <w:lang w:val="fr-FR"/>
        </w:rPr>
        <w:t>ri</w:t>
      </w:r>
      <w:r>
        <w:rPr>
          <w:noProof/>
          <w:lang w:val="fr-FR"/>
        </w:rPr>
        <w:t>e</w:t>
      </w:r>
      <w:r w:rsidRPr="00981403">
        <w:rPr>
          <w:noProof/>
          <w:lang w:val="fr-FR"/>
        </w:rPr>
        <w:t>l</w:t>
      </w:r>
      <w:r>
        <w:rPr>
          <w:noProof/>
          <w:lang w:val="fr-FR"/>
        </w:rPr>
        <w:t xml:space="preserve"> </w:t>
      </w:r>
      <w:r w:rsidRPr="00AD55D6">
        <w:rPr>
          <w:rFonts w:eastAsia="MS Mincho"/>
          <w:noProof/>
          <w:szCs w:val="22"/>
          <w:lang w:val="fr-FR" w:eastAsia="es-BO"/>
        </w:rPr>
        <w:t>n</w:t>
      </w:r>
      <w:r w:rsidRPr="00AD55D6">
        <w:rPr>
          <w:rFonts w:eastAsia="MS Mincho"/>
          <w:noProof/>
          <w:szCs w:val="22"/>
          <w:vertAlign w:val="superscript"/>
          <w:lang w:val="fr-FR" w:eastAsia="es-BO"/>
        </w:rPr>
        <w:t>o</w:t>
      </w:r>
      <w:r>
        <w:rPr>
          <w:noProof/>
          <w:lang w:val="fr-FR" w:eastAsia="es-BO"/>
        </w:rPr>
        <w:t> </w:t>
      </w:r>
      <w:r w:rsidRPr="00CC581D">
        <w:rPr>
          <w:noProof/>
          <w:lang w:val="fr-FR"/>
        </w:rPr>
        <w:t>1049 d</w:t>
      </w:r>
      <w:r>
        <w:rPr>
          <w:noProof/>
          <w:lang w:val="fr-FR"/>
        </w:rPr>
        <w:t>u</w:t>
      </w:r>
      <w:r w:rsidRPr="00CC581D">
        <w:rPr>
          <w:noProof/>
          <w:lang w:val="fr-FR"/>
        </w:rPr>
        <w:t xml:space="preserve"> 8</w:t>
      </w:r>
      <w:r>
        <w:rPr>
          <w:noProof/>
          <w:lang w:val="fr-FR"/>
        </w:rPr>
        <w:t xml:space="preserve"> novembre </w:t>
      </w:r>
      <w:r w:rsidRPr="00CC581D">
        <w:rPr>
          <w:noProof/>
          <w:lang w:val="fr-FR"/>
        </w:rPr>
        <w:t xml:space="preserve">2016 </w:t>
      </w:r>
      <w:r>
        <w:rPr>
          <w:noProof/>
          <w:lang w:val="fr-FR"/>
        </w:rPr>
        <w:t>a affecté quatre postes à l’</w:t>
      </w:r>
      <w:r w:rsidRPr="00CC581D">
        <w:rPr>
          <w:noProof/>
          <w:lang w:val="fr-FR"/>
        </w:rPr>
        <w:t>APITF</w:t>
      </w:r>
      <w:r>
        <w:rPr>
          <w:noProof/>
          <w:lang w:val="fr-FR"/>
        </w:rPr>
        <w:t> </w:t>
      </w:r>
      <w:r w:rsidRPr="00CC581D">
        <w:rPr>
          <w:noProof/>
          <w:lang w:val="fr-FR"/>
        </w:rPr>
        <w:t xml:space="preserve">: </w:t>
      </w:r>
      <w:r>
        <w:rPr>
          <w:noProof/>
          <w:lang w:val="fr-FR"/>
        </w:rPr>
        <w:t>2</w:t>
      </w:r>
      <w:r w:rsidRPr="00CC581D">
        <w:rPr>
          <w:noProof/>
          <w:lang w:val="fr-FR"/>
        </w:rPr>
        <w:t xml:space="preserve"> </w:t>
      </w:r>
      <w:r>
        <w:rPr>
          <w:noProof/>
          <w:lang w:val="fr-FR"/>
        </w:rPr>
        <w:t>i</w:t>
      </w:r>
      <w:r w:rsidRPr="00CC581D">
        <w:rPr>
          <w:noProof/>
          <w:lang w:val="fr-FR"/>
        </w:rPr>
        <w:t>nspect</w:t>
      </w:r>
      <w:r>
        <w:rPr>
          <w:noProof/>
          <w:lang w:val="fr-FR"/>
        </w:rPr>
        <w:t>eu</w:t>
      </w:r>
      <w:r w:rsidRPr="00CC581D">
        <w:rPr>
          <w:noProof/>
          <w:lang w:val="fr-FR"/>
        </w:rPr>
        <w:t xml:space="preserve">rs </w:t>
      </w:r>
      <w:r>
        <w:rPr>
          <w:noProof/>
          <w:lang w:val="fr-FR"/>
        </w:rPr>
        <w:t xml:space="preserve">au Bureau régional du travail de </w:t>
      </w:r>
      <w:r w:rsidRPr="00CC581D">
        <w:rPr>
          <w:noProof/>
          <w:lang w:val="fr-FR"/>
        </w:rPr>
        <w:t xml:space="preserve">Montero, </w:t>
      </w:r>
      <w:r>
        <w:rPr>
          <w:noProof/>
          <w:lang w:val="fr-FR"/>
        </w:rPr>
        <w:t>1</w:t>
      </w:r>
      <w:r w:rsidRPr="00CC581D">
        <w:rPr>
          <w:noProof/>
          <w:lang w:val="fr-FR"/>
        </w:rPr>
        <w:t xml:space="preserve"> </w:t>
      </w:r>
      <w:r>
        <w:rPr>
          <w:noProof/>
          <w:lang w:val="fr-FR"/>
        </w:rPr>
        <w:t>i</w:t>
      </w:r>
      <w:r w:rsidRPr="00CC581D">
        <w:rPr>
          <w:noProof/>
          <w:lang w:val="fr-FR"/>
        </w:rPr>
        <w:t>nspect</w:t>
      </w:r>
      <w:r>
        <w:rPr>
          <w:noProof/>
          <w:lang w:val="fr-FR"/>
        </w:rPr>
        <w:t>eu</w:t>
      </w:r>
      <w:r w:rsidRPr="00CC581D">
        <w:rPr>
          <w:noProof/>
          <w:lang w:val="fr-FR"/>
        </w:rPr>
        <w:t>r</w:t>
      </w:r>
      <w:r>
        <w:rPr>
          <w:noProof/>
          <w:lang w:val="fr-FR"/>
        </w:rPr>
        <w:t xml:space="preserve"> au Bureau départemental du travail </w:t>
      </w:r>
      <w:r w:rsidRPr="00CC581D">
        <w:rPr>
          <w:noProof/>
          <w:lang w:val="fr-FR"/>
        </w:rPr>
        <w:t xml:space="preserve">de Beni-Trinidad </w:t>
      </w:r>
      <w:r>
        <w:rPr>
          <w:noProof/>
          <w:lang w:val="fr-FR"/>
        </w:rPr>
        <w:t>et 1</w:t>
      </w:r>
      <w:r w:rsidRPr="00CC581D">
        <w:rPr>
          <w:noProof/>
          <w:lang w:val="fr-FR"/>
        </w:rPr>
        <w:t xml:space="preserve"> </w:t>
      </w:r>
      <w:r>
        <w:rPr>
          <w:noProof/>
          <w:lang w:val="fr-FR"/>
        </w:rPr>
        <w:t>i</w:t>
      </w:r>
      <w:r w:rsidRPr="00CC581D">
        <w:rPr>
          <w:noProof/>
          <w:lang w:val="fr-FR"/>
        </w:rPr>
        <w:t>nspect</w:t>
      </w:r>
      <w:r>
        <w:rPr>
          <w:noProof/>
          <w:lang w:val="fr-FR"/>
        </w:rPr>
        <w:t>eu</w:t>
      </w:r>
      <w:r w:rsidRPr="00CC581D">
        <w:rPr>
          <w:noProof/>
          <w:lang w:val="fr-FR"/>
        </w:rPr>
        <w:t>r d</w:t>
      </w:r>
      <w:r>
        <w:rPr>
          <w:noProof/>
          <w:lang w:val="fr-FR"/>
        </w:rPr>
        <w:t xml:space="preserve">u travail forcé au Bureau départemental </w:t>
      </w:r>
      <w:r w:rsidRPr="00CC581D">
        <w:rPr>
          <w:noProof/>
          <w:lang w:val="fr-FR"/>
        </w:rPr>
        <w:t>de Pando</w:t>
      </w:r>
      <w:r>
        <w:rPr>
          <w:noProof/>
          <w:lang w:val="fr-FR"/>
        </w:rPr>
        <w:t>-</w:t>
      </w:r>
      <w:r w:rsidRPr="00CC581D">
        <w:rPr>
          <w:noProof/>
          <w:lang w:val="fr-FR"/>
        </w:rPr>
        <w:t>Cobija</w:t>
      </w:r>
      <w:r w:rsidRPr="00B5117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75" w:rsidRPr="009604E9" w:rsidRDefault="00F44C75">
    <w:pPr>
      <w:pStyle w:val="En-tte"/>
    </w:pPr>
    <w:fldSimple w:instr=" TITLE  \* MERGEFORMAT ">
      <w:r>
        <w:t>CAT/C/BOL/3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75" w:rsidRPr="009604E9" w:rsidRDefault="00F44C75" w:rsidP="009604E9">
    <w:pPr>
      <w:pStyle w:val="En-tte"/>
      <w:jc w:val="right"/>
    </w:pPr>
    <w:fldSimple w:instr=" TITLE  \* MERGEFORMAT ">
      <w:r>
        <w:t>CAT/C/BOL/3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9DC3D89"/>
    <w:multiLevelType w:val="multilevel"/>
    <w:tmpl w:val="0C0A001F"/>
    <w:styleLink w:val="111111"/>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224"/>
        </w:tabs>
        <w:ind w:left="1224" w:hanging="504"/>
      </w:pPr>
    </w:lvl>
    <w:lvl w:ilvl="3">
      <w:start w:val="1"/>
      <w:numFmt w:val="decimal"/>
      <w:pStyle w:val="Titre4"/>
      <w:lvlText w:val="%1.%2.%3.%4."/>
      <w:lvlJc w:val="left"/>
      <w:pPr>
        <w:tabs>
          <w:tab w:val="num" w:pos="1728"/>
        </w:tabs>
        <w:ind w:left="1728" w:hanging="648"/>
      </w:pPr>
    </w:lvl>
    <w:lvl w:ilvl="4">
      <w:start w:val="1"/>
      <w:numFmt w:val="decimal"/>
      <w:pStyle w:val="Titre5"/>
      <w:lvlText w:val="%1.%2.%3.%4.%5."/>
      <w:lvlJc w:val="left"/>
      <w:pPr>
        <w:tabs>
          <w:tab w:val="num" w:pos="2232"/>
        </w:tabs>
        <w:ind w:left="2232" w:hanging="792"/>
      </w:pPr>
    </w:lvl>
    <w:lvl w:ilvl="5">
      <w:start w:val="1"/>
      <w:numFmt w:val="decimal"/>
      <w:pStyle w:val="Titre6"/>
      <w:lvlText w:val="%1.%2.%3.%4.%5.%6."/>
      <w:lvlJc w:val="left"/>
      <w:pPr>
        <w:tabs>
          <w:tab w:val="num" w:pos="2736"/>
        </w:tabs>
        <w:ind w:left="2736" w:hanging="936"/>
      </w:pPr>
    </w:lvl>
    <w:lvl w:ilvl="6">
      <w:start w:val="1"/>
      <w:numFmt w:val="decimal"/>
      <w:pStyle w:val="Titre7"/>
      <w:lvlText w:val="%1.%2.%3.%4.%5.%6.%7."/>
      <w:lvlJc w:val="left"/>
      <w:pPr>
        <w:tabs>
          <w:tab w:val="num" w:pos="3240"/>
        </w:tabs>
        <w:ind w:left="3240" w:hanging="1080"/>
      </w:pPr>
    </w:lvl>
    <w:lvl w:ilvl="7">
      <w:start w:val="1"/>
      <w:numFmt w:val="decimal"/>
      <w:pStyle w:val="Titre8"/>
      <w:lvlText w:val="%1.%2.%3.%4.%5.%6.%7.%8."/>
      <w:lvlJc w:val="left"/>
      <w:pPr>
        <w:tabs>
          <w:tab w:val="num" w:pos="3744"/>
        </w:tabs>
        <w:ind w:left="3744" w:hanging="1224"/>
      </w:pPr>
    </w:lvl>
    <w:lvl w:ilvl="8">
      <w:start w:val="1"/>
      <w:numFmt w:val="decimal"/>
      <w:pStyle w:val="Titre9"/>
      <w:lvlText w:val="%1.%2.%3.%4.%5.%6.%7.%8.%9."/>
      <w:lvlJc w:val="left"/>
      <w:pPr>
        <w:tabs>
          <w:tab w:val="num" w:pos="4320"/>
        </w:tabs>
        <w:ind w:left="4320" w:hanging="1440"/>
      </w:p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10366"/>
    <w:rsid w:val="00000FBC"/>
    <w:rsid w:val="0000425C"/>
    <w:rsid w:val="000053A5"/>
    <w:rsid w:val="0002107C"/>
    <w:rsid w:val="00022F7E"/>
    <w:rsid w:val="00023842"/>
    <w:rsid w:val="00026806"/>
    <w:rsid w:val="00035AE4"/>
    <w:rsid w:val="00037DF1"/>
    <w:rsid w:val="00050A35"/>
    <w:rsid w:val="000559DC"/>
    <w:rsid w:val="0007796D"/>
    <w:rsid w:val="00097BDA"/>
    <w:rsid w:val="000B475F"/>
    <w:rsid w:val="000D37AA"/>
    <w:rsid w:val="000D4FE1"/>
    <w:rsid w:val="000F0699"/>
    <w:rsid w:val="00101756"/>
    <w:rsid w:val="00105564"/>
    <w:rsid w:val="00111F2F"/>
    <w:rsid w:val="00133583"/>
    <w:rsid w:val="001357C8"/>
    <w:rsid w:val="0014365E"/>
    <w:rsid w:val="00147804"/>
    <w:rsid w:val="001500C6"/>
    <w:rsid w:val="00157F9D"/>
    <w:rsid w:val="00173FFB"/>
    <w:rsid w:val="00176178"/>
    <w:rsid w:val="001777E2"/>
    <w:rsid w:val="00184625"/>
    <w:rsid w:val="001943ED"/>
    <w:rsid w:val="001A0A83"/>
    <w:rsid w:val="001A2BA4"/>
    <w:rsid w:val="001B2E3D"/>
    <w:rsid w:val="001B37F7"/>
    <w:rsid w:val="001D0F19"/>
    <w:rsid w:val="001D78C4"/>
    <w:rsid w:val="001E44CC"/>
    <w:rsid w:val="001F2105"/>
    <w:rsid w:val="001F525A"/>
    <w:rsid w:val="00227DCD"/>
    <w:rsid w:val="002319E5"/>
    <w:rsid w:val="00232FA7"/>
    <w:rsid w:val="00243517"/>
    <w:rsid w:val="00243B67"/>
    <w:rsid w:val="002440D2"/>
    <w:rsid w:val="0024497C"/>
    <w:rsid w:val="0025098C"/>
    <w:rsid w:val="002601DF"/>
    <w:rsid w:val="00260BC9"/>
    <w:rsid w:val="00263E53"/>
    <w:rsid w:val="00264969"/>
    <w:rsid w:val="002720B0"/>
    <w:rsid w:val="00275B19"/>
    <w:rsid w:val="002908F3"/>
    <w:rsid w:val="002B6A88"/>
    <w:rsid w:val="002C6990"/>
    <w:rsid w:val="002D3C74"/>
    <w:rsid w:val="002E6DD8"/>
    <w:rsid w:val="002E7705"/>
    <w:rsid w:val="002F12F4"/>
    <w:rsid w:val="002F52AD"/>
    <w:rsid w:val="00301EC7"/>
    <w:rsid w:val="003035D0"/>
    <w:rsid w:val="0031266E"/>
    <w:rsid w:val="003162BD"/>
    <w:rsid w:val="003166BD"/>
    <w:rsid w:val="0032537B"/>
    <w:rsid w:val="003319CD"/>
    <w:rsid w:val="00345AC0"/>
    <w:rsid w:val="003557EC"/>
    <w:rsid w:val="0036360B"/>
    <w:rsid w:val="00370FFC"/>
    <w:rsid w:val="0037558F"/>
    <w:rsid w:val="003809BD"/>
    <w:rsid w:val="003917F7"/>
    <w:rsid w:val="00391F85"/>
    <w:rsid w:val="0039350D"/>
    <w:rsid w:val="003A6E53"/>
    <w:rsid w:val="003B609B"/>
    <w:rsid w:val="003C3CE1"/>
    <w:rsid w:val="003D5908"/>
    <w:rsid w:val="003E396B"/>
    <w:rsid w:val="003E46C7"/>
    <w:rsid w:val="003E52B3"/>
    <w:rsid w:val="00403D63"/>
    <w:rsid w:val="004129AC"/>
    <w:rsid w:val="00414638"/>
    <w:rsid w:val="00415B96"/>
    <w:rsid w:val="00420DB9"/>
    <w:rsid w:val="0042274E"/>
    <w:rsid w:val="00425D51"/>
    <w:rsid w:val="0043652E"/>
    <w:rsid w:val="00436C5B"/>
    <w:rsid w:val="00443FA7"/>
    <w:rsid w:val="00446FE5"/>
    <w:rsid w:val="00460C8D"/>
    <w:rsid w:val="0047481D"/>
    <w:rsid w:val="00475D71"/>
    <w:rsid w:val="00476CF2"/>
    <w:rsid w:val="00493508"/>
    <w:rsid w:val="004A0AFD"/>
    <w:rsid w:val="004A53F7"/>
    <w:rsid w:val="004B204C"/>
    <w:rsid w:val="004B4981"/>
    <w:rsid w:val="004D58F4"/>
    <w:rsid w:val="004D6539"/>
    <w:rsid w:val="004D7085"/>
    <w:rsid w:val="004E561C"/>
    <w:rsid w:val="004F046A"/>
    <w:rsid w:val="004F1AAA"/>
    <w:rsid w:val="004F3C87"/>
    <w:rsid w:val="0050797F"/>
    <w:rsid w:val="00510A73"/>
    <w:rsid w:val="00512772"/>
    <w:rsid w:val="00524527"/>
    <w:rsid w:val="00550EFB"/>
    <w:rsid w:val="00553A1F"/>
    <w:rsid w:val="005673A3"/>
    <w:rsid w:val="00571486"/>
    <w:rsid w:val="00573BE5"/>
    <w:rsid w:val="00580114"/>
    <w:rsid w:val="00581265"/>
    <w:rsid w:val="00582980"/>
    <w:rsid w:val="00586ED3"/>
    <w:rsid w:val="00587A52"/>
    <w:rsid w:val="00593789"/>
    <w:rsid w:val="00594499"/>
    <w:rsid w:val="005970D5"/>
    <w:rsid w:val="00597369"/>
    <w:rsid w:val="005A102E"/>
    <w:rsid w:val="005A16E9"/>
    <w:rsid w:val="005A51D3"/>
    <w:rsid w:val="005B4E23"/>
    <w:rsid w:val="005C440C"/>
    <w:rsid w:val="005E19A0"/>
    <w:rsid w:val="005E6D49"/>
    <w:rsid w:val="005F0AF5"/>
    <w:rsid w:val="005F1A2B"/>
    <w:rsid w:val="005F4F55"/>
    <w:rsid w:val="00600D92"/>
    <w:rsid w:val="0060143A"/>
    <w:rsid w:val="00606A3E"/>
    <w:rsid w:val="00610366"/>
    <w:rsid w:val="00614A7E"/>
    <w:rsid w:val="00621144"/>
    <w:rsid w:val="0063687A"/>
    <w:rsid w:val="00652120"/>
    <w:rsid w:val="00654D93"/>
    <w:rsid w:val="006577F6"/>
    <w:rsid w:val="0067234F"/>
    <w:rsid w:val="00681232"/>
    <w:rsid w:val="00681A56"/>
    <w:rsid w:val="00686A3C"/>
    <w:rsid w:val="00691650"/>
    <w:rsid w:val="00694D43"/>
    <w:rsid w:val="006952D1"/>
    <w:rsid w:val="006A6A14"/>
    <w:rsid w:val="006A7034"/>
    <w:rsid w:val="006B2D16"/>
    <w:rsid w:val="006B42FC"/>
    <w:rsid w:val="006B7EC3"/>
    <w:rsid w:val="006D502C"/>
    <w:rsid w:val="006D5254"/>
    <w:rsid w:val="006D5339"/>
    <w:rsid w:val="00701C03"/>
    <w:rsid w:val="007115FA"/>
    <w:rsid w:val="0071601D"/>
    <w:rsid w:val="0072494E"/>
    <w:rsid w:val="00727A0A"/>
    <w:rsid w:val="00733066"/>
    <w:rsid w:val="00741073"/>
    <w:rsid w:val="007432FB"/>
    <w:rsid w:val="00755E5F"/>
    <w:rsid w:val="0076450B"/>
    <w:rsid w:val="00773837"/>
    <w:rsid w:val="00784F4E"/>
    <w:rsid w:val="00785C01"/>
    <w:rsid w:val="007967AA"/>
    <w:rsid w:val="007C025C"/>
    <w:rsid w:val="007C0300"/>
    <w:rsid w:val="007C2AFA"/>
    <w:rsid w:val="007D226A"/>
    <w:rsid w:val="007E1FB1"/>
    <w:rsid w:val="007E2EE2"/>
    <w:rsid w:val="007F69EF"/>
    <w:rsid w:val="007F6ADF"/>
    <w:rsid w:val="007F6F12"/>
    <w:rsid w:val="0080684C"/>
    <w:rsid w:val="00807D21"/>
    <w:rsid w:val="008126AF"/>
    <w:rsid w:val="00826D11"/>
    <w:rsid w:val="00840C6C"/>
    <w:rsid w:val="00840DFD"/>
    <w:rsid w:val="0085359F"/>
    <w:rsid w:val="00857F6E"/>
    <w:rsid w:val="00870A5B"/>
    <w:rsid w:val="00871C75"/>
    <w:rsid w:val="00874A62"/>
    <w:rsid w:val="008776DC"/>
    <w:rsid w:val="008A1C69"/>
    <w:rsid w:val="008A6C06"/>
    <w:rsid w:val="008B375A"/>
    <w:rsid w:val="008C0BBE"/>
    <w:rsid w:val="008C55C2"/>
    <w:rsid w:val="008E6D00"/>
    <w:rsid w:val="00901374"/>
    <w:rsid w:val="00903148"/>
    <w:rsid w:val="009133F1"/>
    <w:rsid w:val="00921D18"/>
    <w:rsid w:val="009326B5"/>
    <w:rsid w:val="00936A9D"/>
    <w:rsid w:val="0094262C"/>
    <w:rsid w:val="009565F3"/>
    <w:rsid w:val="009604E9"/>
    <w:rsid w:val="009705C8"/>
    <w:rsid w:val="009720B0"/>
    <w:rsid w:val="009A1CCE"/>
    <w:rsid w:val="009A35D4"/>
    <w:rsid w:val="009B0EF2"/>
    <w:rsid w:val="009B7927"/>
    <w:rsid w:val="009C4D45"/>
    <w:rsid w:val="009C6A5A"/>
    <w:rsid w:val="009D091F"/>
    <w:rsid w:val="009D70FB"/>
    <w:rsid w:val="009E0047"/>
    <w:rsid w:val="009E24F8"/>
    <w:rsid w:val="009F531E"/>
    <w:rsid w:val="009F634C"/>
    <w:rsid w:val="00A03F9B"/>
    <w:rsid w:val="00A05770"/>
    <w:rsid w:val="00A07761"/>
    <w:rsid w:val="00A35462"/>
    <w:rsid w:val="00A37AE2"/>
    <w:rsid w:val="00A37C92"/>
    <w:rsid w:val="00A41DF8"/>
    <w:rsid w:val="00A6052D"/>
    <w:rsid w:val="00A704A8"/>
    <w:rsid w:val="00A80902"/>
    <w:rsid w:val="00A876DA"/>
    <w:rsid w:val="00AA0CD3"/>
    <w:rsid w:val="00AA1512"/>
    <w:rsid w:val="00AA304F"/>
    <w:rsid w:val="00AB1B55"/>
    <w:rsid w:val="00AC74AB"/>
    <w:rsid w:val="00AD47B7"/>
    <w:rsid w:val="00AD55D6"/>
    <w:rsid w:val="00AD7872"/>
    <w:rsid w:val="00AE323C"/>
    <w:rsid w:val="00AE7076"/>
    <w:rsid w:val="00AF19E6"/>
    <w:rsid w:val="00AF7705"/>
    <w:rsid w:val="00B05CB3"/>
    <w:rsid w:val="00B11DCE"/>
    <w:rsid w:val="00B425C8"/>
    <w:rsid w:val="00B636BA"/>
    <w:rsid w:val="00B673BC"/>
    <w:rsid w:val="00B83A1B"/>
    <w:rsid w:val="00B87033"/>
    <w:rsid w:val="00BA0B74"/>
    <w:rsid w:val="00BA41F4"/>
    <w:rsid w:val="00BA4E7A"/>
    <w:rsid w:val="00BB1F9C"/>
    <w:rsid w:val="00BB2B48"/>
    <w:rsid w:val="00BC41F0"/>
    <w:rsid w:val="00BD2278"/>
    <w:rsid w:val="00BD54B1"/>
    <w:rsid w:val="00BD7F11"/>
    <w:rsid w:val="00BE7CEB"/>
    <w:rsid w:val="00BF766B"/>
    <w:rsid w:val="00C02897"/>
    <w:rsid w:val="00C2530B"/>
    <w:rsid w:val="00C3315A"/>
    <w:rsid w:val="00C34011"/>
    <w:rsid w:val="00C4111F"/>
    <w:rsid w:val="00C52462"/>
    <w:rsid w:val="00C6417A"/>
    <w:rsid w:val="00C657F7"/>
    <w:rsid w:val="00C77D0C"/>
    <w:rsid w:val="00C932EC"/>
    <w:rsid w:val="00C96608"/>
    <w:rsid w:val="00CA5CE1"/>
    <w:rsid w:val="00CB0D64"/>
    <w:rsid w:val="00CB6489"/>
    <w:rsid w:val="00CC1671"/>
    <w:rsid w:val="00CC36B2"/>
    <w:rsid w:val="00CD326D"/>
    <w:rsid w:val="00CD5BE7"/>
    <w:rsid w:val="00CE57C1"/>
    <w:rsid w:val="00CF6C83"/>
    <w:rsid w:val="00D11905"/>
    <w:rsid w:val="00D17E7B"/>
    <w:rsid w:val="00D200C0"/>
    <w:rsid w:val="00D21531"/>
    <w:rsid w:val="00D21E12"/>
    <w:rsid w:val="00D23DAE"/>
    <w:rsid w:val="00D87708"/>
    <w:rsid w:val="00D91801"/>
    <w:rsid w:val="00D954B8"/>
    <w:rsid w:val="00D97AFF"/>
    <w:rsid w:val="00DA2C93"/>
    <w:rsid w:val="00DA529D"/>
    <w:rsid w:val="00DB12E2"/>
    <w:rsid w:val="00DB1831"/>
    <w:rsid w:val="00DB5145"/>
    <w:rsid w:val="00DD3BFD"/>
    <w:rsid w:val="00DD5661"/>
    <w:rsid w:val="00DE3966"/>
    <w:rsid w:val="00DE3DA8"/>
    <w:rsid w:val="00DE753C"/>
    <w:rsid w:val="00DF3104"/>
    <w:rsid w:val="00DF677A"/>
    <w:rsid w:val="00E26533"/>
    <w:rsid w:val="00E31482"/>
    <w:rsid w:val="00E31B0D"/>
    <w:rsid w:val="00E347A9"/>
    <w:rsid w:val="00E36FB3"/>
    <w:rsid w:val="00E45FB2"/>
    <w:rsid w:val="00E519AD"/>
    <w:rsid w:val="00E554A4"/>
    <w:rsid w:val="00E625A4"/>
    <w:rsid w:val="00E62955"/>
    <w:rsid w:val="00E744E3"/>
    <w:rsid w:val="00E93D2C"/>
    <w:rsid w:val="00EA07F5"/>
    <w:rsid w:val="00EA0D23"/>
    <w:rsid w:val="00EA3F83"/>
    <w:rsid w:val="00ED0ACE"/>
    <w:rsid w:val="00ED3ED9"/>
    <w:rsid w:val="00EE3C5D"/>
    <w:rsid w:val="00EE5B03"/>
    <w:rsid w:val="00EE6EA3"/>
    <w:rsid w:val="00EF6CE5"/>
    <w:rsid w:val="00F13B66"/>
    <w:rsid w:val="00F145B0"/>
    <w:rsid w:val="00F239C0"/>
    <w:rsid w:val="00F346B9"/>
    <w:rsid w:val="00F434F2"/>
    <w:rsid w:val="00F44C75"/>
    <w:rsid w:val="00F51E56"/>
    <w:rsid w:val="00F660DF"/>
    <w:rsid w:val="00F95C08"/>
    <w:rsid w:val="00F96DA2"/>
    <w:rsid w:val="00FB1114"/>
    <w:rsid w:val="00FC085E"/>
    <w:rsid w:val="00FC3327"/>
    <w:rsid w:val="00FE225F"/>
    <w:rsid w:val="00FE74D3"/>
    <w:rsid w:val="00FF356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75DDE2"/>
  <w15:docId w15:val="{BB0ACD44-13A0-46EE-ADEC-49020D00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4D6539"/>
    <w:pPr>
      <w:keepNext/>
      <w:keepLines/>
      <w:numPr>
        <w:numId w:val="4"/>
      </w:numPr>
      <w:spacing w:after="0" w:line="240" w:lineRule="auto"/>
      <w:ind w:right="0"/>
      <w:jc w:val="left"/>
      <w:outlineLvl w:val="0"/>
    </w:pPr>
  </w:style>
  <w:style w:type="paragraph" w:styleId="Titre2">
    <w:name w:val="heading 2"/>
    <w:basedOn w:val="Normal"/>
    <w:next w:val="Normal"/>
    <w:link w:val="Titre2Car"/>
    <w:semiHidden/>
    <w:qFormat/>
    <w:rsid w:val="007432FB"/>
    <w:pPr>
      <w:numPr>
        <w:ilvl w:val="1"/>
        <w:numId w:val="4"/>
      </w:numPr>
      <w:outlineLvl w:val="1"/>
    </w:pPr>
  </w:style>
  <w:style w:type="paragraph" w:styleId="Titre3">
    <w:name w:val="heading 3"/>
    <w:basedOn w:val="Normal"/>
    <w:next w:val="Normal"/>
    <w:link w:val="Titre3Car"/>
    <w:qFormat/>
    <w:rsid w:val="007432FB"/>
    <w:pPr>
      <w:numPr>
        <w:ilvl w:val="2"/>
        <w:numId w:val="4"/>
      </w:numPr>
      <w:outlineLvl w:val="2"/>
    </w:pPr>
  </w:style>
  <w:style w:type="paragraph" w:styleId="Titre4">
    <w:name w:val="heading 4"/>
    <w:basedOn w:val="Normal"/>
    <w:next w:val="Normal"/>
    <w:link w:val="Titre4Car"/>
    <w:semiHidden/>
    <w:qFormat/>
    <w:rsid w:val="007432FB"/>
    <w:pPr>
      <w:numPr>
        <w:ilvl w:val="3"/>
        <w:numId w:val="4"/>
      </w:numPr>
      <w:outlineLvl w:val="3"/>
    </w:pPr>
  </w:style>
  <w:style w:type="paragraph" w:styleId="Titre5">
    <w:name w:val="heading 5"/>
    <w:basedOn w:val="Normal"/>
    <w:next w:val="Normal"/>
    <w:link w:val="Titre5Car"/>
    <w:qFormat/>
    <w:rsid w:val="007432FB"/>
    <w:pPr>
      <w:numPr>
        <w:ilvl w:val="4"/>
        <w:numId w:val="4"/>
      </w:numPr>
      <w:outlineLvl w:val="4"/>
    </w:pPr>
  </w:style>
  <w:style w:type="paragraph" w:styleId="Titre6">
    <w:name w:val="heading 6"/>
    <w:basedOn w:val="Normal"/>
    <w:next w:val="Normal"/>
    <w:link w:val="Titre6Car"/>
    <w:semiHidden/>
    <w:qFormat/>
    <w:rsid w:val="007432FB"/>
    <w:pPr>
      <w:numPr>
        <w:ilvl w:val="5"/>
        <w:numId w:val="4"/>
      </w:numPr>
      <w:outlineLvl w:val="5"/>
    </w:pPr>
  </w:style>
  <w:style w:type="paragraph" w:styleId="Titre7">
    <w:name w:val="heading 7"/>
    <w:basedOn w:val="Normal"/>
    <w:next w:val="Normal"/>
    <w:link w:val="Titre7Car"/>
    <w:semiHidden/>
    <w:qFormat/>
    <w:rsid w:val="007432FB"/>
    <w:pPr>
      <w:numPr>
        <w:ilvl w:val="6"/>
        <w:numId w:val="4"/>
      </w:numPr>
      <w:outlineLvl w:val="6"/>
    </w:pPr>
  </w:style>
  <w:style w:type="paragraph" w:styleId="Titre8">
    <w:name w:val="heading 8"/>
    <w:basedOn w:val="Normal"/>
    <w:next w:val="Normal"/>
    <w:link w:val="Titre8Car"/>
    <w:semiHidden/>
    <w:qFormat/>
    <w:rsid w:val="007432FB"/>
    <w:pPr>
      <w:numPr>
        <w:ilvl w:val="7"/>
        <w:numId w:val="4"/>
      </w:numPr>
      <w:outlineLvl w:val="7"/>
    </w:pPr>
  </w:style>
  <w:style w:type="paragraph" w:styleId="Titre9">
    <w:name w:val="heading 9"/>
    <w:basedOn w:val="Normal"/>
    <w:next w:val="Normal"/>
    <w:link w:val="Titre9Car"/>
    <w:semiHidden/>
    <w:qFormat/>
    <w:rsid w:val="007432FB"/>
    <w:pPr>
      <w:numPr>
        <w:ilvl w:val="8"/>
        <w:numId w:val="4"/>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
      </w:numPr>
      <w:spacing w:after="120"/>
      <w:ind w:right="1134"/>
      <w:jc w:val="both"/>
    </w:pPr>
  </w:style>
  <w:style w:type="paragraph" w:customStyle="1" w:styleId="Bullet2G">
    <w:name w:val="_Bullet 2_G"/>
    <w:basedOn w:val="Normal"/>
    <w:qFormat/>
    <w:rsid w:val="004D6539"/>
    <w:pPr>
      <w:numPr>
        <w:numId w:val="2"/>
      </w:numPr>
      <w:spacing w:after="120"/>
      <w:ind w:right="1134"/>
      <w:jc w:val="both"/>
    </w:pPr>
  </w:style>
  <w:style w:type="paragraph" w:customStyle="1" w:styleId="ParNoG">
    <w:name w:val="_ParNo_G"/>
    <w:basedOn w:val="Normal"/>
    <w:qFormat/>
    <w:rsid w:val="004D6539"/>
    <w:pPr>
      <w:numPr>
        <w:numId w:val="3"/>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Cuadro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HMGChar">
    <w:name w:val="_ H __M_G Char"/>
    <w:link w:val="HMG"/>
    <w:rsid w:val="00CC1671"/>
    <w:rPr>
      <w:rFonts w:ascii="Times New Roman" w:eastAsiaTheme="minorHAnsi" w:hAnsi="Times New Roman" w:cs="Times New Roman"/>
      <w:b/>
      <w:sz w:val="34"/>
      <w:szCs w:val="20"/>
      <w:lang w:eastAsia="en-US"/>
    </w:rPr>
  </w:style>
  <w:style w:type="numbering" w:styleId="111111">
    <w:name w:val="Outline List 2"/>
    <w:basedOn w:val="Aucuneliste"/>
    <w:semiHidden/>
    <w:rsid w:val="00614A7E"/>
    <w:pPr>
      <w:numPr>
        <w:numId w:val="4"/>
      </w:numPr>
    </w:pPr>
  </w:style>
  <w:style w:type="numbering" w:styleId="1ai">
    <w:name w:val="Outline List 1"/>
    <w:basedOn w:val="Aucuneliste"/>
    <w:semiHidden/>
    <w:rsid w:val="00614A7E"/>
    <w:pPr>
      <w:numPr>
        <w:numId w:val="5"/>
      </w:numPr>
    </w:pPr>
  </w:style>
  <w:style w:type="character" w:styleId="AcronymeHTML">
    <w:name w:val="HTML Acronym"/>
    <w:semiHidden/>
    <w:rsid w:val="00614A7E"/>
  </w:style>
  <w:style w:type="numbering" w:styleId="ArticleSection">
    <w:name w:val="Outline List 3"/>
    <w:basedOn w:val="Aucuneliste"/>
    <w:semiHidden/>
    <w:rsid w:val="00614A7E"/>
    <w:pPr>
      <w:numPr>
        <w:numId w:val="6"/>
      </w:numPr>
    </w:pPr>
  </w:style>
  <w:style w:type="paragraph" w:styleId="Formuledepolitesse">
    <w:name w:val="Closing"/>
    <w:basedOn w:val="Normal"/>
    <w:link w:val="FormuledepolitesseCar"/>
    <w:semiHidden/>
    <w:rsid w:val="00614A7E"/>
    <w:pPr>
      <w:suppressAutoHyphens w:val="0"/>
      <w:kinsoku/>
      <w:overflowPunct/>
      <w:autoSpaceDE/>
      <w:autoSpaceDN/>
      <w:adjustRightInd/>
      <w:snapToGrid/>
      <w:ind w:left="4252"/>
    </w:pPr>
    <w:rPr>
      <w:rFonts w:eastAsia="SimSun"/>
      <w:lang w:val="es-ES" w:eastAsia="es-ES"/>
    </w:rPr>
  </w:style>
  <w:style w:type="character" w:customStyle="1" w:styleId="FormuledepolitesseCar">
    <w:name w:val="Formule de politesse Car"/>
    <w:basedOn w:val="Policepardfaut"/>
    <w:link w:val="Formuledepolitesse"/>
    <w:semiHidden/>
    <w:rsid w:val="00614A7E"/>
    <w:rPr>
      <w:rFonts w:ascii="Times New Roman" w:eastAsia="SimSun" w:hAnsi="Times New Roman" w:cs="Times New Roman"/>
      <w:sz w:val="20"/>
      <w:szCs w:val="20"/>
      <w:lang w:val="es-ES" w:eastAsia="es-ES"/>
    </w:rPr>
  </w:style>
  <w:style w:type="character" w:styleId="CitationHTML">
    <w:name w:val="HTML Cite"/>
    <w:semiHidden/>
    <w:rsid w:val="00614A7E"/>
    <w:rPr>
      <w:i/>
      <w:iCs/>
    </w:rPr>
  </w:style>
  <w:style w:type="character" w:styleId="CodeHTML">
    <w:name w:val="HTML Code"/>
    <w:semiHidden/>
    <w:rsid w:val="00614A7E"/>
    <w:rPr>
      <w:rFonts w:ascii="Courier New" w:hAnsi="Courier New" w:cs="Courier New"/>
      <w:sz w:val="20"/>
      <w:szCs w:val="20"/>
    </w:rPr>
  </w:style>
  <w:style w:type="paragraph" w:styleId="Listecontinue">
    <w:name w:val="List Continue"/>
    <w:basedOn w:val="Normal"/>
    <w:semiHidden/>
    <w:rsid w:val="00614A7E"/>
    <w:pPr>
      <w:suppressAutoHyphens w:val="0"/>
      <w:kinsoku/>
      <w:overflowPunct/>
      <w:autoSpaceDE/>
      <w:autoSpaceDN/>
      <w:adjustRightInd/>
      <w:snapToGrid/>
      <w:spacing w:after="120"/>
      <w:ind w:left="283"/>
    </w:pPr>
    <w:rPr>
      <w:rFonts w:eastAsia="SimSun"/>
      <w:lang w:val="es-ES" w:eastAsia="es-ES"/>
    </w:rPr>
  </w:style>
  <w:style w:type="paragraph" w:styleId="Listecontinue2">
    <w:name w:val="List Continue 2"/>
    <w:basedOn w:val="Normal"/>
    <w:semiHidden/>
    <w:rsid w:val="00614A7E"/>
    <w:pPr>
      <w:suppressAutoHyphens w:val="0"/>
      <w:kinsoku/>
      <w:overflowPunct/>
      <w:autoSpaceDE/>
      <w:autoSpaceDN/>
      <w:adjustRightInd/>
      <w:snapToGrid/>
      <w:spacing w:after="120"/>
      <w:ind w:left="566"/>
    </w:pPr>
    <w:rPr>
      <w:rFonts w:eastAsia="SimSun"/>
      <w:lang w:val="es-ES" w:eastAsia="es-ES"/>
    </w:rPr>
  </w:style>
  <w:style w:type="paragraph" w:styleId="Listecontinue3">
    <w:name w:val="List Continue 3"/>
    <w:basedOn w:val="Normal"/>
    <w:semiHidden/>
    <w:rsid w:val="00614A7E"/>
    <w:pPr>
      <w:suppressAutoHyphens w:val="0"/>
      <w:kinsoku/>
      <w:overflowPunct/>
      <w:autoSpaceDE/>
      <w:autoSpaceDN/>
      <w:adjustRightInd/>
      <w:snapToGrid/>
      <w:spacing w:after="120"/>
      <w:ind w:left="849"/>
    </w:pPr>
    <w:rPr>
      <w:rFonts w:eastAsia="SimSun"/>
      <w:lang w:val="es-ES" w:eastAsia="es-ES"/>
    </w:rPr>
  </w:style>
  <w:style w:type="paragraph" w:styleId="Listecontinue4">
    <w:name w:val="List Continue 4"/>
    <w:basedOn w:val="Normal"/>
    <w:semiHidden/>
    <w:rsid w:val="00614A7E"/>
    <w:pPr>
      <w:suppressAutoHyphens w:val="0"/>
      <w:kinsoku/>
      <w:overflowPunct/>
      <w:autoSpaceDE/>
      <w:autoSpaceDN/>
      <w:adjustRightInd/>
      <w:snapToGrid/>
      <w:spacing w:after="120"/>
      <w:ind w:left="1132"/>
    </w:pPr>
    <w:rPr>
      <w:rFonts w:eastAsia="SimSun"/>
      <w:lang w:val="es-ES" w:eastAsia="es-ES"/>
    </w:rPr>
  </w:style>
  <w:style w:type="paragraph" w:styleId="Listecontinue5">
    <w:name w:val="List Continue 5"/>
    <w:basedOn w:val="Normal"/>
    <w:semiHidden/>
    <w:rsid w:val="00614A7E"/>
    <w:pPr>
      <w:suppressAutoHyphens w:val="0"/>
      <w:kinsoku/>
      <w:overflowPunct/>
      <w:autoSpaceDE/>
      <w:autoSpaceDN/>
      <w:adjustRightInd/>
      <w:snapToGrid/>
      <w:spacing w:after="120"/>
      <w:ind w:left="1415"/>
    </w:pPr>
    <w:rPr>
      <w:rFonts w:eastAsia="SimSun"/>
      <w:lang w:val="es-ES" w:eastAsia="es-ES"/>
    </w:rPr>
  </w:style>
  <w:style w:type="character" w:styleId="DfinitionHTML">
    <w:name w:val="HTML Definition"/>
    <w:semiHidden/>
    <w:rsid w:val="00614A7E"/>
    <w:rPr>
      <w:i/>
      <w:iCs/>
    </w:rPr>
  </w:style>
  <w:style w:type="paragraph" w:styleId="AdresseHTML">
    <w:name w:val="HTML Address"/>
    <w:basedOn w:val="Normal"/>
    <w:link w:val="AdresseHTMLCar"/>
    <w:semiHidden/>
    <w:rsid w:val="00614A7E"/>
    <w:pPr>
      <w:suppressAutoHyphens w:val="0"/>
      <w:kinsoku/>
      <w:overflowPunct/>
      <w:autoSpaceDE/>
      <w:autoSpaceDN/>
      <w:adjustRightInd/>
      <w:snapToGrid/>
    </w:pPr>
    <w:rPr>
      <w:rFonts w:eastAsia="SimSun"/>
      <w:i/>
      <w:iCs/>
      <w:lang w:val="es-ES" w:eastAsia="es-ES"/>
    </w:rPr>
  </w:style>
  <w:style w:type="character" w:customStyle="1" w:styleId="AdresseHTMLCar">
    <w:name w:val="Adresse HTML Car"/>
    <w:basedOn w:val="Policepardfaut"/>
    <w:link w:val="AdresseHTML"/>
    <w:semiHidden/>
    <w:rsid w:val="00614A7E"/>
    <w:rPr>
      <w:rFonts w:ascii="Times New Roman" w:eastAsia="SimSun" w:hAnsi="Times New Roman" w:cs="Times New Roman"/>
      <w:i/>
      <w:iCs/>
      <w:sz w:val="20"/>
      <w:szCs w:val="20"/>
      <w:lang w:val="es-ES" w:eastAsia="es-ES"/>
    </w:rPr>
  </w:style>
  <w:style w:type="paragraph" w:styleId="Adressedestinataire">
    <w:name w:val="envelope address"/>
    <w:basedOn w:val="Normal"/>
    <w:semiHidden/>
    <w:rsid w:val="00614A7E"/>
    <w:pPr>
      <w:framePr w:w="7920" w:h="1980" w:hRule="exact" w:hSpace="141" w:wrap="auto" w:hAnchor="page" w:xAlign="center" w:yAlign="bottom"/>
      <w:suppressAutoHyphens w:val="0"/>
      <w:kinsoku/>
      <w:overflowPunct/>
      <w:autoSpaceDE/>
      <w:autoSpaceDN/>
      <w:adjustRightInd/>
      <w:snapToGrid/>
      <w:ind w:left="2880"/>
    </w:pPr>
    <w:rPr>
      <w:rFonts w:ascii="Arial" w:eastAsia="SimSun" w:hAnsi="Arial" w:cs="Arial"/>
      <w:sz w:val="24"/>
      <w:szCs w:val="24"/>
      <w:lang w:val="es-ES" w:eastAsia="es-ES"/>
    </w:rPr>
  </w:style>
  <w:style w:type="character" w:styleId="ExempleHTML">
    <w:name w:val="HTML Sample"/>
    <w:semiHidden/>
    <w:rsid w:val="00614A7E"/>
    <w:rPr>
      <w:rFonts w:ascii="Courier New" w:hAnsi="Courier New" w:cs="Courier New"/>
    </w:rPr>
  </w:style>
  <w:style w:type="paragraph" w:styleId="En-ttedemessage">
    <w:name w:val="Message Header"/>
    <w:basedOn w:val="Normal"/>
    <w:link w:val="En-ttedemessageCar"/>
    <w:semiHidden/>
    <w:rsid w:val="00614A7E"/>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ind w:left="1134" w:hanging="1134"/>
    </w:pPr>
    <w:rPr>
      <w:rFonts w:ascii="Arial" w:eastAsia="SimSun" w:hAnsi="Arial" w:cs="Arial"/>
      <w:sz w:val="24"/>
      <w:szCs w:val="24"/>
      <w:lang w:val="es-ES" w:eastAsia="es-ES"/>
    </w:rPr>
  </w:style>
  <w:style w:type="character" w:customStyle="1" w:styleId="En-ttedemessageCar">
    <w:name w:val="En-tête de message Car"/>
    <w:basedOn w:val="Policepardfaut"/>
    <w:link w:val="En-ttedemessage"/>
    <w:semiHidden/>
    <w:rsid w:val="00614A7E"/>
    <w:rPr>
      <w:rFonts w:ascii="Arial" w:eastAsia="SimSun" w:hAnsi="Arial" w:cs="Arial"/>
      <w:sz w:val="24"/>
      <w:szCs w:val="24"/>
      <w:shd w:val="pct20" w:color="auto" w:fill="auto"/>
      <w:lang w:val="es-ES" w:eastAsia="es-ES"/>
    </w:rPr>
  </w:style>
  <w:style w:type="paragraph" w:styleId="Titredenote">
    <w:name w:val="Note Heading"/>
    <w:basedOn w:val="Normal"/>
    <w:next w:val="Normal"/>
    <w:link w:val="TitredenoteCar"/>
    <w:semiHidden/>
    <w:rsid w:val="00614A7E"/>
    <w:pPr>
      <w:suppressAutoHyphens w:val="0"/>
      <w:kinsoku/>
      <w:overflowPunct/>
      <w:autoSpaceDE/>
      <w:autoSpaceDN/>
      <w:adjustRightInd/>
      <w:snapToGrid/>
    </w:pPr>
    <w:rPr>
      <w:rFonts w:eastAsia="SimSun"/>
      <w:lang w:val="es-ES" w:eastAsia="es-ES"/>
    </w:rPr>
  </w:style>
  <w:style w:type="character" w:customStyle="1" w:styleId="TitredenoteCar">
    <w:name w:val="Titre de note Car"/>
    <w:basedOn w:val="Policepardfaut"/>
    <w:link w:val="Titredenote"/>
    <w:semiHidden/>
    <w:rsid w:val="00614A7E"/>
    <w:rPr>
      <w:rFonts w:ascii="Times New Roman" w:eastAsia="SimSun" w:hAnsi="Times New Roman" w:cs="Times New Roman"/>
      <w:sz w:val="20"/>
      <w:szCs w:val="20"/>
      <w:lang w:val="es-ES" w:eastAsia="es-ES"/>
    </w:rPr>
  </w:style>
  <w:style w:type="character" w:styleId="Accentuation">
    <w:name w:val="Emphasis"/>
    <w:semiHidden/>
    <w:rsid w:val="00614A7E"/>
    <w:rPr>
      <w:i/>
      <w:iCs/>
    </w:rPr>
  </w:style>
  <w:style w:type="paragraph" w:styleId="Date">
    <w:name w:val="Date"/>
    <w:basedOn w:val="Normal"/>
    <w:next w:val="Normal"/>
    <w:link w:val="DateCar"/>
    <w:semiHidden/>
    <w:rsid w:val="00614A7E"/>
    <w:pPr>
      <w:suppressAutoHyphens w:val="0"/>
      <w:kinsoku/>
      <w:overflowPunct/>
      <w:autoSpaceDE/>
      <w:autoSpaceDN/>
      <w:adjustRightInd/>
      <w:snapToGrid/>
    </w:pPr>
    <w:rPr>
      <w:rFonts w:eastAsia="SimSun"/>
      <w:lang w:val="es-ES" w:eastAsia="es-ES"/>
    </w:rPr>
  </w:style>
  <w:style w:type="character" w:customStyle="1" w:styleId="DateCar">
    <w:name w:val="Date Car"/>
    <w:basedOn w:val="Policepardfaut"/>
    <w:link w:val="Date"/>
    <w:semiHidden/>
    <w:rsid w:val="00614A7E"/>
    <w:rPr>
      <w:rFonts w:ascii="Times New Roman" w:eastAsia="SimSun" w:hAnsi="Times New Roman" w:cs="Times New Roman"/>
      <w:sz w:val="20"/>
      <w:szCs w:val="20"/>
      <w:lang w:val="es-ES" w:eastAsia="es-ES"/>
    </w:rPr>
  </w:style>
  <w:style w:type="paragraph" w:styleId="Signature">
    <w:name w:val="Signature"/>
    <w:basedOn w:val="Normal"/>
    <w:link w:val="SignatureCar"/>
    <w:semiHidden/>
    <w:rsid w:val="00614A7E"/>
    <w:pPr>
      <w:suppressAutoHyphens w:val="0"/>
      <w:kinsoku/>
      <w:overflowPunct/>
      <w:autoSpaceDE/>
      <w:autoSpaceDN/>
      <w:adjustRightInd/>
      <w:snapToGrid/>
      <w:ind w:left="4252"/>
    </w:pPr>
    <w:rPr>
      <w:rFonts w:eastAsia="SimSun"/>
      <w:lang w:val="es-ES" w:eastAsia="es-ES"/>
    </w:rPr>
  </w:style>
  <w:style w:type="character" w:customStyle="1" w:styleId="SignatureCar">
    <w:name w:val="Signature Car"/>
    <w:basedOn w:val="Policepardfaut"/>
    <w:link w:val="Signature"/>
    <w:semiHidden/>
    <w:rsid w:val="00614A7E"/>
    <w:rPr>
      <w:rFonts w:ascii="Times New Roman" w:eastAsia="SimSun" w:hAnsi="Times New Roman" w:cs="Times New Roman"/>
      <w:sz w:val="20"/>
      <w:szCs w:val="20"/>
      <w:lang w:val="es-ES" w:eastAsia="es-ES"/>
    </w:rPr>
  </w:style>
  <w:style w:type="paragraph" w:styleId="Signaturelectronique">
    <w:name w:val="E-mail Signature"/>
    <w:basedOn w:val="Normal"/>
    <w:link w:val="SignaturelectroniqueCar"/>
    <w:semiHidden/>
    <w:rsid w:val="00614A7E"/>
    <w:pPr>
      <w:suppressAutoHyphens w:val="0"/>
      <w:kinsoku/>
      <w:overflowPunct/>
      <w:autoSpaceDE/>
      <w:autoSpaceDN/>
      <w:adjustRightInd/>
      <w:snapToGrid/>
    </w:pPr>
    <w:rPr>
      <w:rFonts w:eastAsia="SimSun"/>
      <w:lang w:val="es-ES" w:eastAsia="es-ES"/>
    </w:rPr>
  </w:style>
  <w:style w:type="character" w:customStyle="1" w:styleId="SignaturelectroniqueCar">
    <w:name w:val="Signature électronique Car"/>
    <w:basedOn w:val="Policepardfaut"/>
    <w:link w:val="Signaturelectronique"/>
    <w:semiHidden/>
    <w:rsid w:val="00614A7E"/>
    <w:rPr>
      <w:rFonts w:ascii="Times New Roman" w:eastAsia="SimSun" w:hAnsi="Times New Roman" w:cs="Times New Roman"/>
      <w:sz w:val="20"/>
      <w:szCs w:val="20"/>
      <w:lang w:val="es-ES" w:eastAsia="es-ES"/>
    </w:rPr>
  </w:style>
  <w:style w:type="paragraph" w:styleId="PrformatHTML">
    <w:name w:val="HTML Preformatted"/>
    <w:basedOn w:val="Normal"/>
    <w:link w:val="PrformatHTMLCar"/>
    <w:semiHidden/>
    <w:rsid w:val="00614A7E"/>
    <w:pPr>
      <w:suppressAutoHyphens w:val="0"/>
      <w:kinsoku/>
      <w:overflowPunct/>
      <w:autoSpaceDE/>
      <w:autoSpaceDN/>
      <w:adjustRightInd/>
      <w:snapToGrid/>
    </w:pPr>
    <w:rPr>
      <w:rFonts w:ascii="Courier New" w:eastAsia="SimSun" w:hAnsi="Courier New" w:cs="Courier New"/>
      <w:lang w:val="es-ES" w:eastAsia="es-ES"/>
    </w:rPr>
  </w:style>
  <w:style w:type="character" w:customStyle="1" w:styleId="PrformatHTMLCar">
    <w:name w:val="Préformaté HTML Car"/>
    <w:basedOn w:val="Policepardfaut"/>
    <w:link w:val="PrformatHTML"/>
    <w:semiHidden/>
    <w:rsid w:val="00614A7E"/>
    <w:rPr>
      <w:rFonts w:ascii="Courier New" w:eastAsia="SimSun" w:hAnsi="Courier New" w:cs="Courier New"/>
      <w:sz w:val="20"/>
      <w:szCs w:val="20"/>
      <w:lang w:val="es-ES" w:eastAsia="es-ES"/>
    </w:rPr>
  </w:style>
  <w:style w:type="paragraph" w:styleId="Liste">
    <w:name w:val="List"/>
    <w:basedOn w:val="Normal"/>
    <w:semiHidden/>
    <w:rsid w:val="00614A7E"/>
    <w:pPr>
      <w:suppressAutoHyphens w:val="0"/>
      <w:kinsoku/>
      <w:overflowPunct/>
      <w:autoSpaceDE/>
      <w:autoSpaceDN/>
      <w:adjustRightInd/>
      <w:snapToGrid/>
      <w:ind w:left="283" w:hanging="283"/>
    </w:pPr>
    <w:rPr>
      <w:rFonts w:eastAsia="SimSun"/>
      <w:lang w:val="es-ES" w:eastAsia="es-ES"/>
    </w:rPr>
  </w:style>
  <w:style w:type="paragraph" w:styleId="Liste2">
    <w:name w:val="List 2"/>
    <w:basedOn w:val="Normal"/>
    <w:semiHidden/>
    <w:rsid w:val="00614A7E"/>
    <w:pPr>
      <w:suppressAutoHyphens w:val="0"/>
      <w:kinsoku/>
      <w:overflowPunct/>
      <w:autoSpaceDE/>
      <w:autoSpaceDN/>
      <w:adjustRightInd/>
      <w:snapToGrid/>
      <w:ind w:left="566" w:hanging="283"/>
    </w:pPr>
    <w:rPr>
      <w:rFonts w:eastAsia="SimSun"/>
      <w:lang w:val="es-ES" w:eastAsia="es-ES"/>
    </w:rPr>
  </w:style>
  <w:style w:type="paragraph" w:styleId="Liste3">
    <w:name w:val="List 3"/>
    <w:basedOn w:val="Normal"/>
    <w:semiHidden/>
    <w:rsid w:val="00614A7E"/>
    <w:pPr>
      <w:suppressAutoHyphens w:val="0"/>
      <w:kinsoku/>
      <w:overflowPunct/>
      <w:autoSpaceDE/>
      <w:autoSpaceDN/>
      <w:adjustRightInd/>
      <w:snapToGrid/>
      <w:ind w:left="849" w:hanging="283"/>
    </w:pPr>
    <w:rPr>
      <w:rFonts w:eastAsia="SimSun"/>
      <w:lang w:val="es-ES" w:eastAsia="es-ES"/>
    </w:rPr>
  </w:style>
  <w:style w:type="paragraph" w:styleId="Liste4">
    <w:name w:val="List 4"/>
    <w:basedOn w:val="Normal"/>
    <w:semiHidden/>
    <w:rsid w:val="00614A7E"/>
    <w:pPr>
      <w:suppressAutoHyphens w:val="0"/>
      <w:kinsoku/>
      <w:overflowPunct/>
      <w:autoSpaceDE/>
      <w:autoSpaceDN/>
      <w:adjustRightInd/>
      <w:snapToGrid/>
      <w:ind w:left="1132" w:hanging="283"/>
    </w:pPr>
    <w:rPr>
      <w:rFonts w:eastAsia="SimSun"/>
      <w:lang w:val="es-ES" w:eastAsia="es-ES"/>
    </w:rPr>
  </w:style>
  <w:style w:type="paragraph" w:styleId="Liste5">
    <w:name w:val="List 5"/>
    <w:basedOn w:val="Normal"/>
    <w:semiHidden/>
    <w:rsid w:val="00614A7E"/>
    <w:pPr>
      <w:suppressAutoHyphens w:val="0"/>
      <w:kinsoku/>
      <w:overflowPunct/>
      <w:autoSpaceDE/>
      <w:autoSpaceDN/>
      <w:adjustRightInd/>
      <w:snapToGrid/>
      <w:ind w:left="1415" w:hanging="283"/>
    </w:pPr>
    <w:rPr>
      <w:rFonts w:eastAsia="SimSun"/>
      <w:lang w:val="es-ES" w:eastAsia="es-ES"/>
    </w:rPr>
  </w:style>
  <w:style w:type="paragraph" w:styleId="Listenumros">
    <w:name w:val="List Number"/>
    <w:basedOn w:val="Normal"/>
    <w:semiHidden/>
    <w:rsid w:val="00614A7E"/>
    <w:pPr>
      <w:tabs>
        <w:tab w:val="num" w:pos="360"/>
      </w:tabs>
      <w:suppressAutoHyphens w:val="0"/>
      <w:kinsoku/>
      <w:overflowPunct/>
      <w:autoSpaceDE/>
      <w:autoSpaceDN/>
      <w:adjustRightInd/>
      <w:snapToGrid/>
      <w:ind w:left="360" w:hanging="360"/>
    </w:pPr>
    <w:rPr>
      <w:rFonts w:eastAsia="SimSun"/>
      <w:lang w:val="es-ES" w:eastAsia="es-ES"/>
    </w:rPr>
  </w:style>
  <w:style w:type="paragraph" w:styleId="Listenumros2">
    <w:name w:val="List Number 2"/>
    <w:basedOn w:val="Normal"/>
    <w:semiHidden/>
    <w:rsid w:val="00614A7E"/>
    <w:pPr>
      <w:tabs>
        <w:tab w:val="num" w:pos="643"/>
      </w:tabs>
      <w:suppressAutoHyphens w:val="0"/>
      <w:kinsoku/>
      <w:overflowPunct/>
      <w:autoSpaceDE/>
      <w:autoSpaceDN/>
      <w:adjustRightInd/>
      <w:snapToGrid/>
      <w:ind w:left="643" w:hanging="360"/>
    </w:pPr>
    <w:rPr>
      <w:rFonts w:eastAsia="SimSun"/>
      <w:lang w:val="es-ES" w:eastAsia="es-ES"/>
    </w:rPr>
  </w:style>
  <w:style w:type="paragraph" w:styleId="Listenumros3">
    <w:name w:val="List Number 3"/>
    <w:basedOn w:val="Normal"/>
    <w:semiHidden/>
    <w:rsid w:val="00614A7E"/>
    <w:pPr>
      <w:tabs>
        <w:tab w:val="num" w:pos="926"/>
      </w:tabs>
      <w:suppressAutoHyphens w:val="0"/>
      <w:kinsoku/>
      <w:overflowPunct/>
      <w:autoSpaceDE/>
      <w:autoSpaceDN/>
      <w:adjustRightInd/>
      <w:snapToGrid/>
      <w:ind w:left="926" w:hanging="360"/>
    </w:pPr>
    <w:rPr>
      <w:rFonts w:eastAsia="SimSun"/>
      <w:lang w:val="es-ES" w:eastAsia="es-ES"/>
    </w:rPr>
  </w:style>
  <w:style w:type="paragraph" w:styleId="Listenumros4">
    <w:name w:val="List Number 4"/>
    <w:basedOn w:val="Normal"/>
    <w:semiHidden/>
    <w:rsid w:val="00614A7E"/>
    <w:pPr>
      <w:tabs>
        <w:tab w:val="num" w:pos="1209"/>
      </w:tabs>
      <w:suppressAutoHyphens w:val="0"/>
      <w:kinsoku/>
      <w:overflowPunct/>
      <w:autoSpaceDE/>
      <w:autoSpaceDN/>
      <w:adjustRightInd/>
      <w:snapToGrid/>
      <w:ind w:left="1209" w:hanging="360"/>
    </w:pPr>
    <w:rPr>
      <w:rFonts w:eastAsia="SimSun"/>
      <w:lang w:val="es-ES" w:eastAsia="es-ES"/>
    </w:rPr>
  </w:style>
  <w:style w:type="paragraph" w:styleId="Listenumros5">
    <w:name w:val="List Number 5"/>
    <w:basedOn w:val="Normal"/>
    <w:semiHidden/>
    <w:rsid w:val="00614A7E"/>
    <w:pPr>
      <w:tabs>
        <w:tab w:val="num" w:pos="1492"/>
      </w:tabs>
      <w:suppressAutoHyphens w:val="0"/>
      <w:kinsoku/>
      <w:overflowPunct/>
      <w:autoSpaceDE/>
      <w:autoSpaceDN/>
      <w:adjustRightInd/>
      <w:snapToGrid/>
      <w:ind w:left="1492" w:hanging="360"/>
    </w:pPr>
    <w:rPr>
      <w:rFonts w:eastAsia="SimSun"/>
      <w:lang w:val="es-ES" w:eastAsia="es-ES"/>
    </w:rPr>
  </w:style>
  <w:style w:type="paragraph" w:styleId="Listepuces">
    <w:name w:val="List Bullet"/>
    <w:basedOn w:val="Normal"/>
    <w:semiHidden/>
    <w:rsid w:val="00614A7E"/>
    <w:pPr>
      <w:tabs>
        <w:tab w:val="num" w:pos="360"/>
      </w:tabs>
      <w:suppressAutoHyphens w:val="0"/>
      <w:kinsoku/>
      <w:overflowPunct/>
      <w:autoSpaceDE/>
      <w:autoSpaceDN/>
      <w:adjustRightInd/>
      <w:snapToGrid/>
      <w:ind w:left="360" w:hanging="360"/>
    </w:pPr>
    <w:rPr>
      <w:rFonts w:eastAsia="SimSun"/>
      <w:lang w:val="es-ES" w:eastAsia="es-ES"/>
    </w:rPr>
  </w:style>
  <w:style w:type="paragraph" w:styleId="Listepuces2">
    <w:name w:val="List Bullet 2"/>
    <w:basedOn w:val="Normal"/>
    <w:semiHidden/>
    <w:rsid w:val="00614A7E"/>
    <w:pPr>
      <w:tabs>
        <w:tab w:val="num" w:pos="643"/>
      </w:tabs>
      <w:suppressAutoHyphens w:val="0"/>
      <w:kinsoku/>
      <w:overflowPunct/>
      <w:autoSpaceDE/>
      <w:autoSpaceDN/>
      <w:adjustRightInd/>
      <w:snapToGrid/>
      <w:ind w:left="643" w:hanging="360"/>
    </w:pPr>
    <w:rPr>
      <w:rFonts w:eastAsia="SimSun"/>
      <w:lang w:val="es-ES" w:eastAsia="es-ES"/>
    </w:rPr>
  </w:style>
  <w:style w:type="paragraph" w:styleId="Listepuces3">
    <w:name w:val="List Bullet 3"/>
    <w:basedOn w:val="Normal"/>
    <w:semiHidden/>
    <w:rsid w:val="00614A7E"/>
    <w:pPr>
      <w:tabs>
        <w:tab w:val="num" w:pos="926"/>
      </w:tabs>
      <w:suppressAutoHyphens w:val="0"/>
      <w:kinsoku/>
      <w:overflowPunct/>
      <w:autoSpaceDE/>
      <w:autoSpaceDN/>
      <w:adjustRightInd/>
      <w:snapToGrid/>
      <w:ind w:left="926" w:hanging="360"/>
    </w:pPr>
    <w:rPr>
      <w:rFonts w:eastAsia="SimSun"/>
      <w:lang w:val="es-ES" w:eastAsia="es-ES"/>
    </w:rPr>
  </w:style>
  <w:style w:type="paragraph" w:styleId="Listepuces4">
    <w:name w:val="List Bullet 4"/>
    <w:basedOn w:val="Normal"/>
    <w:semiHidden/>
    <w:rsid w:val="00614A7E"/>
    <w:pPr>
      <w:tabs>
        <w:tab w:val="num" w:pos="1209"/>
      </w:tabs>
      <w:suppressAutoHyphens w:val="0"/>
      <w:kinsoku/>
      <w:overflowPunct/>
      <w:autoSpaceDE/>
      <w:autoSpaceDN/>
      <w:adjustRightInd/>
      <w:snapToGrid/>
      <w:ind w:left="1209" w:hanging="360"/>
    </w:pPr>
    <w:rPr>
      <w:rFonts w:eastAsia="SimSun"/>
      <w:lang w:val="es-ES" w:eastAsia="es-ES"/>
    </w:rPr>
  </w:style>
  <w:style w:type="paragraph" w:styleId="Listepuces5">
    <w:name w:val="List Bullet 5"/>
    <w:basedOn w:val="Normal"/>
    <w:semiHidden/>
    <w:rsid w:val="00614A7E"/>
    <w:pPr>
      <w:tabs>
        <w:tab w:val="num" w:pos="1492"/>
      </w:tabs>
      <w:suppressAutoHyphens w:val="0"/>
      <w:kinsoku/>
      <w:overflowPunct/>
      <w:autoSpaceDE/>
      <w:autoSpaceDN/>
      <w:adjustRightInd/>
      <w:snapToGrid/>
      <w:ind w:left="1492" w:hanging="360"/>
    </w:pPr>
    <w:rPr>
      <w:rFonts w:eastAsia="SimSun"/>
      <w:lang w:val="es-ES" w:eastAsia="es-ES"/>
    </w:rPr>
  </w:style>
  <w:style w:type="character" w:styleId="MachinecrireHTML">
    <w:name w:val="HTML Typewriter"/>
    <w:semiHidden/>
    <w:rsid w:val="00614A7E"/>
    <w:rPr>
      <w:rFonts w:ascii="Courier New" w:hAnsi="Courier New" w:cs="Courier New"/>
      <w:sz w:val="20"/>
      <w:szCs w:val="20"/>
    </w:rPr>
  </w:style>
  <w:style w:type="paragraph" w:styleId="NormalWeb">
    <w:name w:val="Normal (Web)"/>
    <w:basedOn w:val="Normal"/>
    <w:rsid w:val="00614A7E"/>
    <w:pPr>
      <w:suppressAutoHyphens w:val="0"/>
      <w:kinsoku/>
      <w:overflowPunct/>
      <w:autoSpaceDE/>
      <w:autoSpaceDN/>
      <w:adjustRightInd/>
      <w:snapToGrid/>
    </w:pPr>
    <w:rPr>
      <w:rFonts w:eastAsia="SimSun"/>
      <w:sz w:val="24"/>
      <w:szCs w:val="24"/>
      <w:lang w:val="es-ES" w:eastAsia="es-ES"/>
    </w:rPr>
  </w:style>
  <w:style w:type="character" w:styleId="Numrodeligne">
    <w:name w:val="line number"/>
    <w:semiHidden/>
    <w:rsid w:val="00614A7E"/>
  </w:style>
  <w:style w:type="paragraph" w:styleId="Adresseexpditeur">
    <w:name w:val="envelope return"/>
    <w:basedOn w:val="Normal"/>
    <w:semiHidden/>
    <w:rsid w:val="00614A7E"/>
    <w:pPr>
      <w:suppressAutoHyphens w:val="0"/>
      <w:kinsoku/>
      <w:overflowPunct/>
      <w:autoSpaceDE/>
      <w:autoSpaceDN/>
      <w:adjustRightInd/>
      <w:snapToGrid/>
    </w:pPr>
    <w:rPr>
      <w:rFonts w:ascii="Arial" w:eastAsia="SimSun" w:hAnsi="Arial" w:cs="Arial"/>
      <w:lang w:val="es-ES" w:eastAsia="es-ES"/>
    </w:rPr>
  </w:style>
  <w:style w:type="paragraph" w:styleId="Salutations">
    <w:name w:val="Salutation"/>
    <w:basedOn w:val="Normal"/>
    <w:next w:val="Normal"/>
    <w:link w:val="SalutationsCar"/>
    <w:semiHidden/>
    <w:rsid w:val="00614A7E"/>
    <w:pPr>
      <w:suppressAutoHyphens w:val="0"/>
      <w:kinsoku/>
      <w:overflowPunct/>
      <w:autoSpaceDE/>
      <w:autoSpaceDN/>
      <w:adjustRightInd/>
      <w:snapToGrid/>
    </w:pPr>
    <w:rPr>
      <w:rFonts w:eastAsia="SimSun"/>
      <w:lang w:val="es-ES" w:eastAsia="es-ES"/>
    </w:rPr>
  </w:style>
  <w:style w:type="character" w:customStyle="1" w:styleId="SalutationsCar">
    <w:name w:val="Salutations Car"/>
    <w:basedOn w:val="Policepardfaut"/>
    <w:link w:val="Salutations"/>
    <w:semiHidden/>
    <w:rsid w:val="00614A7E"/>
    <w:rPr>
      <w:rFonts w:ascii="Times New Roman" w:eastAsia="SimSun" w:hAnsi="Times New Roman" w:cs="Times New Roman"/>
      <w:sz w:val="20"/>
      <w:szCs w:val="20"/>
      <w:lang w:val="es-ES" w:eastAsia="es-ES"/>
    </w:rPr>
  </w:style>
  <w:style w:type="paragraph" w:styleId="Retraitcorpsdetexte2">
    <w:name w:val="Body Text Indent 2"/>
    <w:basedOn w:val="Normal"/>
    <w:link w:val="Retraitcorpsdetexte2Car"/>
    <w:semiHidden/>
    <w:rsid w:val="00614A7E"/>
    <w:pPr>
      <w:suppressAutoHyphens w:val="0"/>
      <w:kinsoku/>
      <w:overflowPunct/>
      <w:autoSpaceDE/>
      <w:autoSpaceDN/>
      <w:adjustRightInd/>
      <w:snapToGrid/>
      <w:spacing w:after="120" w:line="480" w:lineRule="auto"/>
      <w:ind w:left="283"/>
    </w:pPr>
    <w:rPr>
      <w:rFonts w:eastAsia="SimSun"/>
      <w:lang w:val="es-ES" w:eastAsia="es-ES"/>
    </w:rPr>
  </w:style>
  <w:style w:type="character" w:customStyle="1" w:styleId="Retraitcorpsdetexte2Car">
    <w:name w:val="Retrait corps de texte 2 Car"/>
    <w:basedOn w:val="Policepardfaut"/>
    <w:link w:val="Retraitcorpsdetexte2"/>
    <w:semiHidden/>
    <w:rsid w:val="00614A7E"/>
    <w:rPr>
      <w:rFonts w:ascii="Times New Roman" w:eastAsia="SimSun" w:hAnsi="Times New Roman" w:cs="Times New Roman"/>
      <w:sz w:val="20"/>
      <w:szCs w:val="20"/>
      <w:lang w:val="es-ES" w:eastAsia="es-ES"/>
    </w:rPr>
  </w:style>
  <w:style w:type="paragraph" w:styleId="Retraitcorpsdetexte3">
    <w:name w:val="Body Text Indent 3"/>
    <w:basedOn w:val="Normal"/>
    <w:link w:val="Retraitcorpsdetexte3Car"/>
    <w:semiHidden/>
    <w:rsid w:val="00614A7E"/>
    <w:pPr>
      <w:suppressAutoHyphens w:val="0"/>
      <w:kinsoku/>
      <w:overflowPunct/>
      <w:autoSpaceDE/>
      <w:autoSpaceDN/>
      <w:adjustRightInd/>
      <w:snapToGrid/>
      <w:spacing w:after="120"/>
      <w:ind w:left="283"/>
    </w:pPr>
    <w:rPr>
      <w:rFonts w:eastAsia="SimSun"/>
      <w:sz w:val="16"/>
      <w:szCs w:val="16"/>
      <w:lang w:val="es-ES" w:eastAsia="es-ES"/>
    </w:rPr>
  </w:style>
  <w:style w:type="character" w:customStyle="1" w:styleId="Retraitcorpsdetexte3Car">
    <w:name w:val="Retrait corps de texte 3 Car"/>
    <w:basedOn w:val="Policepardfaut"/>
    <w:link w:val="Retraitcorpsdetexte3"/>
    <w:semiHidden/>
    <w:rsid w:val="00614A7E"/>
    <w:rPr>
      <w:rFonts w:ascii="Times New Roman" w:eastAsia="SimSun" w:hAnsi="Times New Roman" w:cs="Times New Roman"/>
      <w:sz w:val="16"/>
      <w:szCs w:val="16"/>
      <w:lang w:val="es-ES" w:eastAsia="es-ES"/>
    </w:rPr>
  </w:style>
  <w:style w:type="paragraph" w:styleId="Retraitcorpsdetexte">
    <w:name w:val="Body Text Indent"/>
    <w:basedOn w:val="Normal"/>
    <w:link w:val="RetraitcorpsdetexteCar"/>
    <w:semiHidden/>
    <w:rsid w:val="00614A7E"/>
    <w:pPr>
      <w:suppressAutoHyphens w:val="0"/>
      <w:kinsoku/>
      <w:overflowPunct/>
      <w:autoSpaceDE/>
      <w:autoSpaceDN/>
      <w:adjustRightInd/>
      <w:snapToGrid/>
      <w:spacing w:after="120"/>
      <w:ind w:left="283"/>
    </w:pPr>
    <w:rPr>
      <w:rFonts w:eastAsia="SimSun"/>
      <w:lang w:val="es-ES" w:eastAsia="es-ES"/>
    </w:rPr>
  </w:style>
  <w:style w:type="character" w:customStyle="1" w:styleId="RetraitcorpsdetexteCar">
    <w:name w:val="Retrait corps de texte Car"/>
    <w:basedOn w:val="Policepardfaut"/>
    <w:link w:val="Retraitcorpsdetexte"/>
    <w:semiHidden/>
    <w:rsid w:val="00614A7E"/>
    <w:rPr>
      <w:rFonts w:ascii="Times New Roman" w:eastAsia="SimSun" w:hAnsi="Times New Roman" w:cs="Times New Roman"/>
      <w:sz w:val="20"/>
      <w:szCs w:val="20"/>
      <w:lang w:val="es-ES" w:eastAsia="es-ES"/>
    </w:rPr>
  </w:style>
  <w:style w:type="paragraph" w:styleId="Retraitnormal">
    <w:name w:val="Normal Indent"/>
    <w:basedOn w:val="Normal"/>
    <w:semiHidden/>
    <w:rsid w:val="00614A7E"/>
    <w:pPr>
      <w:suppressAutoHyphens w:val="0"/>
      <w:kinsoku/>
      <w:overflowPunct/>
      <w:autoSpaceDE/>
      <w:autoSpaceDN/>
      <w:adjustRightInd/>
      <w:snapToGrid/>
      <w:ind w:left="567"/>
    </w:pPr>
    <w:rPr>
      <w:rFonts w:eastAsia="SimSun"/>
      <w:lang w:val="es-ES" w:eastAsia="es-ES"/>
    </w:rPr>
  </w:style>
  <w:style w:type="paragraph" w:styleId="Sous-titre">
    <w:name w:val="Subtitle"/>
    <w:basedOn w:val="Normal"/>
    <w:link w:val="Sous-titreCar"/>
    <w:semiHidden/>
    <w:rsid w:val="00614A7E"/>
    <w:pPr>
      <w:suppressAutoHyphens w:val="0"/>
      <w:kinsoku/>
      <w:overflowPunct/>
      <w:autoSpaceDE/>
      <w:autoSpaceDN/>
      <w:adjustRightInd/>
      <w:snapToGrid/>
      <w:spacing w:after="60"/>
      <w:jc w:val="center"/>
      <w:outlineLvl w:val="1"/>
    </w:pPr>
    <w:rPr>
      <w:rFonts w:ascii="Arial" w:eastAsia="SimSun" w:hAnsi="Arial" w:cs="Arial"/>
      <w:sz w:val="24"/>
      <w:szCs w:val="24"/>
      <w:lang w:val="es-ES" w:eastAsia="es-ES"/>
    </w:rPr>
  </w:style>
  <w:style w:type="character" w:customStyle="1" w:styleId="Sous-titreCar">
    <w:name w:val="Sous-titre Car"/>
    <w:basedOn w:val="Policepardfaut"/>
    <w:link w:val="Sous-titre"/>
    <w:semiHidden/>
    <w:rsid w:val="00614A7E"/>
    <w:rPr>
      <w:rFonts w:ascii="Arial" w:eastAsia="SimSun" w:hAnsi="Arial" w:cs="Arial"/>
      <w:sz w:val="24"/>
      <w:szCs w:val="24"/>
      <w:lang w:val="es-ES" w:eastAsia="es-ES"/>
    </w:rPr>
  </w:style>
  <w:style w:type="table" w:styleId="Tableausimple1">
    <w:name w:val="Table Simple 1"/>
    <w:basedOn w:val="TableauNormal"/>
    <w:semiHidden/>
    <w:rsid w:val="00614A7E"/>
    <w:pPr>
      <w:spacing w:after="0" w:line="240" w:lineRule="atLeast"/>
    </w:pPr>
    <w:rPr>
      <w:rFonts w:ascii="Times New Roman" w:eastAsia="SimSu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614A7E"/>
    <w:pPr>
      <w:spacing w:after="0" w:line="240" w:lineRule="atLeast"/>
    </w:pPr>
    <w:rPr>
      <w:rFonts w:ascii="Times New Roman" w:eastAsia="SimSu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614A7E"/>
    <w:pPr>
      <w:spacing w:after="0"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614A7E"/>
    <w:pPr>
      <w:spacing w:after="0" w:line="240" w:lineRule="atLeast"/>
    </w:pPr>
    <w:rPr>
      <w:rFonts w:ascii="Times New Roman" w:eastAsia="SimSu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614A7E"/>
    <w:pPr>
      <w:spacing w:after="0" w:line="240" w:lineRule="atLeast"/>
    </w:pPr>
    <w:rPr>
      <w:rFonts w:ascii="Times New Roman" w:eastAsia="SimSu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614A7E"/>
    <w:pPr>
      <w:spacing w:after="0" w:line="240" w:lineRule="atLeast"/>
    </w:pPr>
    <w:rPr>
      <w:rFonts w:ascii="Times New Roman" w:eastAsia="SimSu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614A7E"/>
    <w:pPr>
      <w:spacing w:after="0" w:line="240" w:lineRule="atLeast"/>
    </w:pPr>
    <w:rPr>
      <w:rFonts w:ascii="Times New Roman" w:eastAsia="SimSu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614A7E"/>
    <w:pPr>
      <w:spacing w:after="0" w:line="240" w:lineRule="atLeast"/>
    </w:pPr>
    <w:rPr>
      <w:rFonts w:ascii="Times New Roman" w:eastAsia="SimSu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614A7E"/>
    <w:pPr>
      <w:spacing w:after="0" w:line="240" w:lineRule="atLeast"/>
    </w:pPr>
    <w:rPr>
      <w:rFonts w:ascii="Times New Roman" w:eastAsia="SimSu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614A7E"/>
    <w:pPr>
      <w:spacing w:after="0" w:line="240" w:lineRule="atLeast"/>
    </w:pPr>
    <w:rPr>
      <w:rFonts w:ascii="Times New Roman" w:eastAsia="SimSu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614A7E"/>
    <w:pPr>
      <w:spacing w:after="0" w:line="240" w:lineRule="atLeast"/>
    </w:pPr>
    <w:rPr>
      <w:rFonts w:ascii="Times New Roman" w:eastAsia="SimSu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614A7E"/>
    <w:pPr>
      <w:spacing w:after="0" w:line="240" w:lineRule="atLeast"/>
    </w:pPr>
    <w:rPr>
      <w:rFonts w:ascii="Times New Roman" w:eastAsia="SimSu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614A7E"/>
    <w:pPr>
      <w:spacing w:after="0" w:line="240" w:lineRule="atLeast"/>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614A7E"/>
    <w:pPr>
      <w:spacing w:after="0" w:line="240" w:lineRule="atLeast"/>
    </w:pPr>
    <w:rPr>
      <w:rFonts w:ascii="Times New Roman" w:eastAsia="SimSu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614A7E"/>
    <w:pPr>
      <w:spacing w:after="0" w:line="240" w:lineRule="atLeast"/>
    </w:pPr>
    <w:rPr>
      <w:rFonts w:ascii="Times New Roman" w:eastAsia="SimSu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614A7E"/>
    <w:pPr>
      <w:spacing w:after="0" w:line="240" w:lineRule="atLeast"/>
    </w:pPr>
    <w:rPr>
      <w:rFonts w:ascii="Times New Roman" w:eastAsia="SimSu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614A7E"/>
    <w:pPr>
      <w:spacing w:after="0"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614A7E"/>
    <w:pPr>
      <w:spacing w:after="0"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614A7E"/>
    <w:pPr>
      <w:spacing w:after="0" w:line="240" w:lineRule="atLeast"/>
    </w:pPr>
    <w:rPr>
      <w:rFonts w:ascii="Times New Roman" w:eastAsia="SimSu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614A7E"/>
    <w:pPr>
      <w:spacing w:after="0" w:line="240" w:lineRule="atLeast"/>
    </w:pPr>
    <w:rPr>
      <w:rFonts w:ascii="Times New Roman" w:eastAsia="SimSu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614A7E"/>
    <w:pPr>
      <w:spacing w:after="0" w:line="240" w:lineRule="atLeast"/>
    </w:pPr>
    <w:rPr>
      <w:rFonts w:ascii="Times New Roman" w:eastAsia="SimSu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614A7E"/>
    <w:pPr>
      <w:spacing w:after="0" w:line="240" w:lineRule="atLeast"/>
    </w:pPr>
    <w:rPr>
      <w:rFonts w:ascii="Times New Roman" w:eastAsia="SimSu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614A7E"/>
    <w:pPr>
      <w:spacing w:after="0" w:line="240" w:lineRule="atLeast"/>
    </w:pPr>
    <w:rPr>
      <w:rFonts w:ascii="Times New Roman" w:eastAsia="SimSu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614A7E"/>
    <w:pPr>
      <w:spacing w:after="0" w:line="240" w:lineRule="atLeast"/>
    </w:pPr>
    <w:rPr>
      <w:rFonts w:ascii="Times New Roman" w:eastAsia="SimSu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614A7E"/>
    <w:pPr>
      <w:spacing w:after="0" w:line="240" w:lineRule="atLeast"/>
    </w:pPr>
    <w:rPr>
      <w:rFonts w:ascii="Times New Roman" w:eastAsia="SimSu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614A7E"/>
    <w:pPr>
      <w:spacing w:after="0" w:line="240" w:lineRule="atLeast"/>
    </w:pPr>
    <w:rPr>
      <w:rFonts w:ascii="Times New Roman" w:eastAsia="SimSu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614A7E"/>
    <w:pPr>
      <w:spacing w:after="0"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614A7E"/>
    <w:pPr>
      <w:spacing w:after="0" w:line="240" w:lineRule="atLeast"/>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614A7E"/>
    <w:pPr>
      <w:spacing w:after="0" w:line="240" w:lineRule="atLeast"/>
    </w:pPr>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614A7E"/>
    <w:pPr>
      <w:spacing w:after="0" w:line="240" w:lineRule="atLeast"/>
    </w:pPr>
    <w:rPr>
      <w:rFonts w:ascii="Times New Roman" w:eastAsia="SimSu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614A7E"/>
    <w:pPr>
      <w:spacing w:after="0" w:line="240" w:lineRule="atLeast"/>
    </w:pPr>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614A7E"/>
    <w:pPr>
      <w:spacing w:after="0" w:line="240" w:lineRule="atLeast"/>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614A7E"/>
    <w:pPr>
      <w:spacing w:after="0" w:line="240" w:lineRule="atLeast"/>
    </w:pPr>
    <w:rPr>
      <w:rFonts w:ascii="Times New Roman" w:eastAsia="SimSu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614A7E"/>
    <w:pPr>
      <w:spacing w:after="0" w:line="240" w:lineRule="atLeast"/>
    </w:pPr>
    <w:rPr>
      <w:rFonts w:ascii="Times New Roman" w:eastAsia="SimSu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614A7E"/>
    <w:pPr>
      <w:spacing w:after="0" w:line="240" w:lineRule="atLeast"/>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614A7E"/>
    <w:pPr>
      <w:spacing w:after="0" w:line="240" w:lineRule="atLeast"/>
    </w:pPr>
    <w:rPr>
      <w:rFonts w:ascii="Times New Roman" w:eastAsia="SimSu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614A7E"/>
    <w:pPr>
      <w:spacing w:after="0" w:line="240" w:lineRule="atLeast"/>
    </w:pPr>
    <w:rPr>
      <w:rFonts w:ascii="Times New Roman" w:eastAsia="SimSu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614A7E"/>
    <w:pPr>
      <w:spacing w:after="0" w:line="240" w:lineRule="atLeast"/>
    </w:pPr>
    <w:rPr>
      <w:rFonts w:ascii="Times New Roman" w:eastAsia="SimSu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614A7E"/>
    <w:pPr>
      <w:spacing w:after="0" w:line="240" w:lineRule="atLeast"/>
    </w:pPr>
    <w:rPr>
      <w:rFonts w:ascii="Times New Roman" w:eastAsia="SimSu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614A7E"/>
    <w:pPr>
      <w:spacing w:after="0" w:line="240" w:lineRule="atLeast"/>
    </w:pPr>
    <w:rPr>
      <w:rFonts w:ascii="Times New Roman" w:eastAsia="SimSu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614A7E"/>
    <w:pPr>
      <w:spacing w:after="0" w:line="240" w:lineRule="atLeast"/>
    </w:pPr>
    <w:rPr>
      <w:rFonts w:ascii="Times New Roman" w:eastAsia="SimSu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614A7E"/>
    <w:pPr>
      <w:spacing w:after="0" w:line="240" w:lineRule="atLeast"/>
    </w:pPr>
    <w:rPr>
      <w:rFonts w:ascii="Times New Roman" w:eastAsia="SimSu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614A7E"/>
    <w:pPr>
      <w:spacing w:after="0" w:line="240" w:lineRule="atLeast"/>
    </w:pPr>
    <w:rPr>
      <w:rFonts w:ascii="Times New Roman" w:eastAsia="SimSu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lavierHTML">
    <w:name w:val="HTML Keyboard"/>
    <w:semiHidden/>
    <w:rsid w:val="00614A7E"/>
    <w:rPr>
      <w:rFonts w:ascii="Courier New" w:hAnsi="Courier New" w:cs="Courier New"/>
      <w:sz w:val="20"/>
      <w:szCs w:val="20"/>
    </w:rPr>
  </w:style>
  <w:style w:type="paragraph" w:styleId="Normalcentr">
    <w:name w:val="Block Text"/>
    <w:basedOn w:val="Normal"/>
    <w:semiHidden/>
    <w:rsid w:val="00614A7E"/>
    <w:pPr>
      <w:suppressAutoHyphens w:val="0"/>
      <w:kinsoku/>
      <w:overflowPunct/>
      <w:autoSpaceDE/>
      <w:autoSpaceDN/>
      <w:adjustRightInd/>
      <w:snapToGrid/>
      <w:spacing w:after="120"/>
      <w:ind w:left="1440" w:right="1440"/>
    </w:pPr>
    <w:rPr>
      <w:rFonts w:eastAsia="SimSun"/>
      <w:lang w:val="es-ES" w:eastAsia="es-ES"/>
    </w:rPr>
  </w:style>
  <w:style w:type="character" w:styleId="lev">
    <w:name w:val="Strong"/>
    <w:rsid w:val="00614A7E"/>
    <w:rPr>
      <w:b/>
      <w:bCs/>
    </w:rPr>
  </w:style>
  <w:style w:type="paragraph" w:styleId="Corpsdetexte">
    <w:name w:val="Body Text"/>
    <w:basedOn w:val="Normal"/>
    <w:link w:val="CorpsdetexteCar"/>
    <w:rsid w:val="00614A7E"/>
    <w:pPr>
      <w:suppressAutoHyphens w:val="0"/>
      <w:kinsoku/>
      <w:overflowPunct/>
      <w:autoSpaceDE/>
      <w:autoSpaceDN/>
      <w:adjustRightInd/>
      <w:snapToGrid/>
      <w:spacing w:after="120"/>
    </w:pPr>
    <w:rPr>
      <w:rFonts w:eastAsia="SimSun"/>
      <w:lang w:val="es-ES" w:eastAsia="es-ES"/>
    </w:rPr>
  </w:style>
  <w:style w:type="character" w:customStyle="1" w:styleId="CorpsdetexteCar">
    <w:name w:val="Corps de texte Car"/>
    <w:basedOn w:val="Policepardfaut"/>
    <w:link w:val="Corpsdetexte"/>
    <w:rsid w:val="00614A7E"/>
    <w:rPr>
      <w:rFonts w:ascii="Times New Roman" w:eastAsia="SimSun" w:hAnsi="Times New Roman" w:cs="Times New Roman"/>
      <w:sz w:val="20"/>
      <w:szCs w:val="20"/>
      <w:lang w:val="es-ES" w:eastAsia="es-ES"/>
    </w:rPr>
  </w:style>
  <w:style w:type="paragraph" w:styleId="Corpsdetexte2">
    <w:name w:val="Body Text 2"/>
    <w:basedOn w:val="Normal"/>
    <w:link w:val="Corpsdetexte2Car"/>
    <w:semiHidden/>
    <w:rsid w:val="00614A7E"/>
    <w:pPr>
      <w:suppressAutoHyphens w:val="0"/>
      <w:kinsoku/>
      <w:overflowPunct/>
      <w:autoSpaceDE/>
      <w:autoSpaceDN/>
      <w:adjustRightInd/>
      <w:snapToGrid/>
      <w:spacing w:after="120" w:line="480" w:lineRule="auto"/>
    </w:pPr>
    <w:rPr>
      <w:rFonts w:eastAsia="SimSun"/>
      <w:lang w:val="es-ES" w:eastAsia="es-ES"/>
    </w:rPr>
  </w:style>
  <w:style w:type="character" w:customStyle="1" w:styleId="Corpsdetexte2Car">
    <w:name w:val="Corps de texte 2 Car"/>
    <w:basedOn w:val="Policepardfaut"/>
    <w:link w:val="Corpsdetexte2"/>
    <w:semiHidden/>
    <w:rsid w:val="00614A7E"/>
    <w:rPr>
      <w:rFonts w:ascii="Times New Roman" w:eastAsia="SimSun" w:hAnsi="Times New Roman" w:cs="Times New Roman"/>
      <w:sz w:val="20"/>
      <w:szCs w:val="20"/>
      <w:lang w:val="es-ES" w:eastAsia="es-ES"/>
    </w:rPr>
  </w:style>
  <w:style w:type="paragraph" w:styleId="Corpsdetexte3">
    <w:name w:val="Body Text 3"/>
    <w:basedOn w:val="Normal"/>
    <w:link w:val="Corpsdetexte3Car"/>
    <w:semiHidden/>
    <w:rsid w:val="00614A7E"/>
    <w:pPr>
      <w:suppressAutoHyphens w:val="0"/>
      <w:kinsoku/>
      <w:overflowPunct/>
      <w:autoSpaceDE/>
      <w:autoSpaceDN/>
      <w:adjustRightInd/>
      <w:snapToGrid/>
      <w:spacing w:after="120"/>
    </w:pPr>
    <w:rPr>
      <w:rFonts w:eastAsia="SimSun"/>
      <w:sz w:val="16"/>
      <w:szCs w:val="16"/>
      <w:lang w:val="es-ES" w:eastAsia="es-ES"/>
    </w:rPr>
  </w:style>
  <w:style w:type="character" w:customStyle="1" w:styleId="Corpsdetexte3Car">
    <w:name w:val="Corps de texte 3 Car"/>
    <w:basedOn w:val="Policepardfaut"/>
    <w:link w:val="Corpsdetexte3"/>
    <w:semiHidden/>
    <w:rsid w:val="00614A7E"/>
    <w:rPr>
      <w:rFonts w:ascii="Times New Roman" w:eastAsia="SimSun" w:hAnsi="Times New Roman" w:cs="Times New Roman"/>
      <w:sz w:val="16"/>
      <w:szCs w:val="16"/>
      <w:lang w:val="es-ES" w:eastAsia="es-ES"/>
    </w:rPr>
  </w:style>
  <w:style w:type="paragraph" w:styleId="Retrait1religne">
    <w:name w:val="Body Text First Indent"/>
    <w:basedOn w:val="Corpsdetexte"/>
    <w:link w:val="Retrait1religneCar"/>
    <w:semiHidden/>
    <w:rsid w:val="00614A7E"/>
    <w:pPr>
      <w:ind w:firstLine="210"/>
    </w:pPr>
  </w:style>
  <w:style w:type="character" w:customStyle="1" w:styleId="Retrait1religneCar">
    <w:name w:val="Retrait 1re ligne Car"/>
    <w:basedOn w:val="CorpsdetexteCar"/>
    <w:link w:val="Retrait1religne"/>
    <w:semiHidden/>
    <w:rsid w:val="00614A7E"/>
    <w:rPr>
      <w:rFonts w:ascii="Times New Roman" w:eastAsia="SimSun" w:hAnsi="Times New Roman" w:cs="Times New Roman"/>
      <w:sz w:val="20"/>
      <w:szCs w:val="20"/>
      <w:lang w:val="es-ES" w:eastAsia="es-ES"/>
    </w:rPr>
  </w:style>
  <w:style w:type="paragraph" w:styleId="Retraitcorpset1relig">
    <w:name w:val="Body Text First Indent 2"/>
    <w:basedOn w:val="Retraitcorpsdetexte"/>
    <w:link w:val="Retraitcorpset1religCar"/>
    <w:semiHidden/>
    <w:rsid w:val="00614A7E"/>
    <w:pPr>
      <w:ind w:firstLine="210"/>
    </w:pPr>
  </w:style>
  <w:style w:type="character" w:customStyle="1" w:styleId="Retraitcorpset1religCar">
    <w:name w:val="Retrait corps et 1re lig. Car"/>
    <w:basedOn w:val="RetraitcorpsdetexteCar"/>
    <w:link w:val="Retraitcorpset1relig"/>
    <w:semiHidden/>
    <w:rsid w:val="00614A7E"/>
    <w:rPr>
      <w:rFonts w:ascii="Times New Roman" w:eastAsia="SimSun" w:hAnsi="Times New Roman" w:cs="Times New Roman"/>
      <w:sz w:val="20"/>
      <w:szCs w:val="20"/>
      <w:lang w:val="es-ES" w:eastAsia="es-ES"/>
    </w:rPr>
  </w:style>
  <w:style w:type="paragraph" w:styleId="Textebrut">
    <w:name w:val="Plain Text"/>
    <w:basedOn w:val="Normal"/>
    <w:link w:val="TextebrutCar"/>
    <w:semiHidden/>
    <w:rsid w:val="00614A7E"/>
    <w:pPr>
      <w:suppressAutoHyphens w:val="0"/>
      <w:kinsoku/>
      <w:overflowPunct/>
      <w:autoSpaceDE/>
      <w:autoSpaceDN/>
      <w:adjustRightInd/>
      <w:snapToGrid/>
    </w:pPr>
    <w:rPr>
      <w:rFonts w:ascii="Courier New" w:eastAsia="SimSun" w:hAnsi="Courier New" w:cs="Courier New"/>
      <w:lang w:val="es-ES" w:eastAsia="es-ES"/>
    </w:rPr>
  </w:style>
  <w:style w:type="character" w:customStyle="1" w:styleId="TextebrutCar">
    <w:name w:val="Texte brut Car"/>
    <w:basedOn w:val="Policepardfaut"/>
    <w:link w:val="Textebrut"/>
    <w:semiHidden/>
    <w:rsid w:val="00614A7E"/>
    <w:rPr>
      <w:rFonts w:ascii="Courier New" w:eastAsia="SimSun" w:hAnsi="Courier New" w:cs="Courier New"/>
      <w:sz w:val="20"/>
      <w:szCs w:val="20"/>
      <w:lang w:val="es-ES" w:eastAsia="es-ES"/>
    </w:rPr>
  </w:style>
  <w:style w:type="paragraph" w:styleId="Titre">
    <w:name w:val="Title"/>
    <w:basedOn w:val="Normal"/>
    <w:link w:val="TitreCar"/>
    <w:semiHidden/>
    <w:rsid w:val="00614A7E"/>
    <w:pPr>
      <w:suppressAutoHyphens w:val="0"/>
      <w:kinsoku/>
      <w:overflowPunct/>
      <w:autoSpaceDE/>
      <w:autoSpaceDN/>
      <w:adjustRightInd/>
      <w:snapToGrid/>
      <w:spacing w:before="240" w:after="60"/>
      <w:jc w:val="center"/>
      <w:outlineLvl w:val="0"/>
    </w:pPr>
    <w:rPr>
      <w:rFonts w:ascii="Arial" w:eastAsia="SimSun" w:hAnsi="Arial" w:cs="Arial"/>
      <w:b/>
      <w:bCs/>
      <w:kern w:val="28"/>
      <w:sz w:val="32"/>
      <w:szCs w:val="32"/>
      <w:lang w:val="es-ES" w:eastAsia="es-ES"/>
    </w:rPr>
  </w:style>
  <w:style w:type="character" w:customStyle="1" w:styleId="TitreCar">
    <w:name w:val="Titre Car"/>
    <w:basedOn w:val="Policepardfaut"/>
    <w:link w:val="Titre"/>
    <w:semiHidden/>
    <w:rsid w:val="00614A7E"/>
    <w:rPr>
      <w:rFonts w:ascii="Arial" w:eastAsia="SimSun" w:hAnsi="Arial" w:cs="Arial"/>
      <w:b/>
      <w:bCs/>
      <w:kern w:val="28"/>
      <w:sz w:val="32"/>
      <w:szCs w:val="32"/>
      <w:lang w:val="es-ES" w:eastAsia="es-ES"/>
    </w:rPr>
  </w:style>
  <w:style w:type="character" w:styleId="VariableHTML">
    <w:name w:val="HTML Variable"/>
    <w:semiHidden/>
    <w:rsid w:val="00614A7E"/>
    <w:rPr>
      <w:i/>
      <w:iCs/>
    </w:rPr>
  </w:style>
  <w:style w:type="numbering" w:customStyle="1" w:styleId="NoList1">
    <w:name w:val="No List1"/>
    <w:next w:val="Aucuneliste"/>
    <w:uiPriority w:val="99"/>
    <w:semiHidden/>
    <w:unhideWhenUsed/>
    <w:rsid w:val="00614A7E"/>
  </w:style>
  <w:style w:type="paragraph" w:customStyle="1" w:styleId="Default">
    <w:name w:val="Default"/>
    <w:rsid w:val="00614A7E"/>
    <w:pPr>
      <w:autoSpaceDE w:val="0"/>
      <w:autoSpaceDN w:val="0"/>
      <w:adjustRightInd w:val="0"/>
      <w:spacing w:after="0" w:line="240" w:lineRule="auto"/>
    </w:pPr>
    <w:rPr>
      <w:rFonts w:ascii="Times New Roman" w:eastAsia="Times New Roman" w:hAnsi="Times New Roman" w:cs="Times New Roman"/>
      <w:color w:val="000000"/>
      <w:sz w:val="24"/>
      <w:szCs w:val="24"/>
      <w:lang w:val="es-BO" w:eastAsia="es-BO"/>
    </w:rPr>
  </w:style>
  <w:style w:type="paragraph" w:styleId="Paragraphedeliste">
    <w:name w:val="List Paragraph"/>
    <w:aliases w:val="BULLET Liste,Superíndice,titulo 5"/>
    <w:basedOn w:val="Normal"/>
    <w:link w:val="ParagraphedelisteCar"/>
    <w:uiPriority w:val="34"/>
    <w:qFormat/>
    <w:rsid w:val="00614A7E"/>
    <w:pPr>
      <w:suppressAutoHyphens w:val="0"/>
      <w:kinsoku/>
      <w:overflowPunct/>
      <w:autoSpaceDE/>
      <w:autoSpaceDN/>
      <w:adjustRightInd/>
      <w:snapToGrid/>
      <w:spacing w:after="200" w:line="276" w:lineRule="auto"/>
      <w:ind w:left="720"/>
      <w:contextualSpacing/>
    </w:pPr>
    <w:rPr>
      <w:rFonts w:ascii="Calibri" w:eastAsia="SimSun" w:hAnsi="Calibri"/>
      <w:sz w:val="22"/>
      <w:szCs w:val="22"/>
      <w:lang w:val="es-BO" w:eastAsia="es-BO"/>
    </w:rPr>
  </w:style>
  <w:style w:type="character" w:styleId="Marquedecommentaire">
    <w:name w:val="annotation reference"/>
    <w:uiPriority w:val="99"/>
    <w:semiHidden/>
    <w:unhideWhenUsed/>
    <w:rsid w:val="00614A7E"/>
    <w:rPr>
      <w:sz w:val="16"/>
      <w:szCs w:val="16"/>
    </w:rPr>
  </w:style>
  <w:style w:type="paragraph" w:styleId="Commentaire">
    <w:name w:val="annotation text"/>
    <w:basedOn w:val="Normal"/>
    <w:link w:val="CommentaireCar"/>
    <w:uiPriority w:val="99"/>
    <w:semiHidden/>
    <w:unhideWhenUsed/>
    <w:rsid w:val="00614A7E"/>
    <w:pPr>
      <w:suppressAutoHyphens w:val="0"/>
      <w:kinsoku/>
      <w:overflowPunct/>
      <w:autoSpaceDE/>
      <w:autoSpaceDN/>
      <w:adjustRightInd/>
      <w:snapToGrid/>
      <w:spacing w:after="200" w:line="240" w:lineRule="auto"/>
    </w:pPr>
    <w:rPr>
      <w:rFonts w:ascii="Calibri" w:eastAsia="SimSun" w:hAnsi="Calibri"/>
      <w:lang w:val="es-BO" w:eastAsia="es-BO"/>
    </w:rPr>
  </w:style>
  <w:style w:type="character" w:customStyle="1" w:styleId="CommentaireCar">
    <w:name w:val="Commentaire Car"/>
    <w:basedOn w:val="Policepardfaut"/>
    <w:link w:val="Commentaire"/>
    <w:uiPriority w:val="99"/>
    <w:semiHidden/>
    <w:rsid w:val="00614A7E"/>
    <w:rPr>
      <w:rFonts w:ascii="Calibri" w:eastAsia="SimSun" w:hAnsi="Calibri" w:cs="Times New Roman"/>
      <w:sz w:val="20"/>
      <w:szCs w:val="20"/>
      <w:lang w:val="es-BO" w:eastAsia="es-BO"/>
    </w:rPr>
  </w:style>
  <w:style w:type="paragraph" w:styleId="Objetducommentaire">
    <w:name w:val="annotation subject"/>
    <w:basedOn w:val="Commentaire"/>
    <w:next w:val="Commentaire"/>
    <w:link w:val="ObjetducommentaireCar"/>
    <w:uiPriority w:val="99"/>
    <w:semiHidden/>
    <w:unhideWhenUsed/>
    <w:rsid w:val="00614A7E"/>
    <w:rPr>
      <w:b/>
      <w:bCs/>
    </w:rPr>
  </w:style>
  <w:style w:type="character" w:customStyle="1" w:styleId="ObjetducommentaireCar">
    <w:name w:val="Objet du commentaire Car"/>
    <w:basedOn w:val="CommentaireCar"/>
    <w:link w:val="Objetducommentaire"/>
    <w:uiPriority w:val="99"/>
    <w:semiHidden/>
    <w:rsid w:val="00614A7E"/>
    <w:rPr>
      <w:rFonts w:ascii="Calibri" w:eastAsia="SimSun" w:hAnsi="Calibri" w:cs="Times New Roman"/>
      <w:b/>
      <w:bCs/>
      <w:sz w:val="20"/>
      <w:szCs w:val="20"/>
      <w:lang w:val="es-BO" w:eastAsia="es-BO"/>
    </w:rPr>
  </w:style>
  <w:style w:type="character" w:customStyle="1" w:styleId="ParagraphedelisteCar">
    <w:name w:val="Paragraphe de liste Car"/>
    <w:aliases w:val="BULLET Liste Car,Superíndice Car,titulo 5 Car"/>
    <w:link w:val="Paragraphedeliste"/>
    <w:uiPriority w:val="34"/>
    <w:locked/>
    <w:rsid w:val="00614A7E"/>
    <w:rPr>
      <w:rFonts w:ascii="Calibri" w:eastAsia="SimSun" w:hAnsi="Calibri" w:cs="Times New Roman"/>
      <w:lang w:val="es-BO" w:eastAsia="es-BO"/>
    </w:rPr>
  </w:style>
  <w:style w:type="character" w:customStyle="1" w:styleId="apple-converted-space">
    <w:name w:val="apple-converted-space"/>
    <w:basedOn w:val="Policepardfaut"/>
    <w:rsid w:val="00614A7E"/>
  </w:style>
  <w:style w:type="table" w:customStyle="1" w:styleId="Cuadrculaclara-nfasis11">
    <w:name w:val="Cuadrícula clara - Énfasis 11"/>
    <w:basedOn w:val="TableauNormal"/>
    <w:uiPriority w:val="62"/>
    <w:rsid w:val="00614A7E"/>
    <w:pPr>
      <w:spacing w:after="0" w:line="240" w:lineRule="auto"/>
    </w:pPr>
    <w:rPr>
      <w:rFonts w:ascii="Calibri" w:eastAsia="Times New Roman" w:hAnsi="Calibri" w:cs="Times New Roman"/>
      <w:lang w:val="es-BO"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gende">
    <w:name w:val="caption"/>
    <w:basedOn w:val="Normal"/>
    <w:next w:val="Normal"/>
    <w:unhideWhenUsed/>
    <w:qFormat/>
    <w:rsid w:val="00614A7E"/>
    <w:pPr>
      <w:suppressAutoHyphens w:val="0"/>
      <w:kinsoku/>
      <w:overflowPunct/>
      <w:autoSpaceDE/>
      <w:autoSpaceDN/>
      <w:adjustRightInd/>
      <w:snapToGrid/>
      <w:spacing w:before="240" w:after="200" w:line="240" w:lineRule="auto"/>
    </w:pPr>
    <w:rPr>
      <w:rFonts w:ascii="Calibri" w:eastAsia="SimSun" w:hAnsi="Calibri"/>
      <w:b/>
      <w:bCs/>
      <w:color w:val="4F81BD"/>
      <w:sz w:val="18"/>
      <w:szCs w:val="18"/>
      <w:lang w:val="es-BO" w:eastAsia="es-ES"/>
    </w:rPr>
  </w:style>
  <w:style w:type="table" w:customStyle="1" w:styleId="Sombreadomedio1-nfasis11">
    <w:name w:val="Sombreado medio 1 - Énfasis 11"/>
    <w:basedOn w:val="TableauNormal"/>
    <w:uiPriority w:val="63"/>
    <w:rsid w:val="00614A7E"/>
    <w:pPr>
      <w:spacing w:after="0" w:line="240" w:lineRule="auto"/>
    </w:pPr>
    <w:rPr>
      <w:rFonts w:ascii="Calibri" w:eastAsia="Times New Roman" w:hAnsi="Calibri" w:cs="Times New Roman"/>
      <w:lang w:val="es-BO" w:eastAsia="es-B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auNormal"/>
    <w:next w:val="Grilledutableau"/>
    <w:uiPriority w:val="39"/>
    <w:rsid w:val="00614A7E"/>
    <w:pPr>
      <w:spacing w:after="0" w:line="240" w:lineRule="auto"/>
    </w:pPr>
    <w:rPr>
      <w:rFonts w:ascii="Calibri" w:eastAsia="Times New Roman" w:hAnsi="Calibri" w:cs="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99"/>
    <w:qFormat/>
    <w:rsid w:val="00614A7E"/>
    <w:pPr>
      <w:spacing w:after="0" w:line="240" w:lineRule="auto"/>
    </w:pPr>
    <w:rPr>
      <w:rFonts w:ascii="Calibri" w:eastAsia="Times New Roman" w:hAnsi="Calibri" w:cs="Times New Roman"/>
      <w:lang w:val="es-BO" w:eastAsia="es-BO"/>
    </w:rPr>
  </w:style>
  <w:style w:type="character" w:customStyle="1" w:styleId="st">
    <w:name w:val="st"/>
    <w:basedOn w:val="Policepardfaut"/>
    <w:rsid w:val="00614A7E"/>
  </w:style>
  <w:style w:type="character" w:customStyle="1" w:styleId="SansinterligneCar">
    <w:name w:val="Sans interligne Car"/>
    <w:link w:val="Sansinterligne"/>
    <w:uiPriority w:val="99"/>
    <w:rsid w:val="00614A7E"/>
    <w:rPr>
      <w:rFonts w:ascii="Calibri" w:eastAsia="Times New Roman" w:hAnsi="Calibri" w:cs="Times New Roman"/>
      <w:lang w:val="es-BO" w:eastAsia="es-BO"/>
    </w:rPr>
  </w:style>
  <w:style w:type="character" w:customStyle="1" w:styleId="A5">
    <w:name w:val="A5"/>
    <w:uiPriority w:val="99"/>
    <w:unhideWhenUsed/>
    <w:rsid w:val="00614A7E"/>
    <w:rPr>
      <w:rFonts w:hint="default"/>
      <w:i/>
      <w:sz w:val="19"/>
    </w:rPr>
  </w:style>
  <w:style w:type="paragraph" w:customStyle="1" w:styleId="Pa10">
    <w:name w:val="Pa10"/>
    <w:basedOn w:val="Default"/>
    <w:next w:val="Default"/>
    <w:uiPriority w:val="99"/>
    <w:unhideWhenUsed/>
    <w:rsid w:val="00614A7E"/>
    <w:pPr>
      <w:widowControl w:val="0"/>
      <w:spacing w:line="211" w:lineRule="atLeast"/>
    </w:pPr>
    <w:rPr>
      <w:rFonts w:ascii="ITC Goudy Sans Std Medium" w:eastAsia="ITC Goudy Sans Std Medium" w:hAnsi="ITC Goudy Sans Std Medium"/>
      <w:szCs w:val="20"/>
      <w:lang w:eastAsia="es-ES"/>
    </w:rPr>
  </w:style>
  <w:style w:type="character" w:customStyle="1" w:styleId="highlight">
    <w:name w:val="highlight"/>
    <w:basedOn w:val="Policepardfaut"/>
    <w:rsid w:val="00614A7E"/>
  </w:style>
  <w:style w:type="paragraph" w:customStyle="1" w:styleId="Style2">
    <w:name w:val="Style 2"/>
    <w:basedOn w:val="Normal"/>
    <w:rsid w:val="00614A7E"/>
    <w:pPr>
      <w:widowControl w:val="0"/>
      <w:suppressAutoHyphens w:val="0"/>
      <w:kinsoku/>
      <w:overflowPunct/>
      <w:adjustRightInd/>
      <w:snapToGrid/>
      <w:spacing w:before="324" w:line="240" w:lineRule="auto"/>
      <w:ind w:right="648"/>
      <w:jc w:val="both"/>
    </w:pPr>
    <w:rPr>
      <w:rFonts w:ascii="Tahoma" w:eastAsia="SimSun" w:hAnsi="Tahoma" w:cs="Tahoma"/>
      <w:sz w:val="21"/>
      <w:szCs w:val="21"/>
      <w:lang w:val="es-BO" w:eastAsia="es-ES"/>
    </w:rPr>
  </w:style>
  <w:style w:type="character" w:customStyle="1" w:styleId="CharacterStyle1">
    <w:name w:val="Character Style 1"/>
    <w:rsid w:val="00614A7E"/>
    <w:rPr>
      <w:rFonts w:ascii="Tahoma" w:hAnsi="Tahoma"/>
      <w:sz w:val="21"/>
    </w:rPr>
  </w:style>
  <w:style w:type="paragraph" w:customStyle="1" w:styleId="ecxmsonormal">
    <w:name w:val="ecxmsonormal"/>
    <w:basedOn w:val="Normal"/>
    <w:rsid w:val="00614A7E"/>
    <w:pPr>
      <w:suppressAutoHyphens w:val="0"/>
      <w:kinsoku/>
      <w:overflowPunct/>
      <w:autoSpaceDE/>
      <w:autoSpaceDN/>
      <w:adjustRightInd/>
      <w:snapToGrid/>
      <w:spacing w:after="324" w:line="240" w:lineRule="auto"/>
    </w:pPr>
    <w:rPr>
      <w:rFonts w:eastAsia="SimSun"/>
      <w:sz w:val="24"/>
      <w:szCs w:val="24"/>
      <w:lang w:val="es-BO" w:eastAsia="es-ES"/>
    </w:rPr>
  </w:style>
  <w:style w:type="paragraph" w:customStyle="1" w:styleId="ecxmsolistparagraph">
    <w:name w:val="ecxmsolistparagraph"/>
    <w:basedOn w:val="Normal"/>
    <w:rsid w:val="00614A7E"/>
    <w:pPr>
      <w:suppressAutoHyphens w:val="0"/>
      <w:kinsoku/>
      <w:overflowPunct/>
      <w:autoSpaceDE/>
      <w:autoSpaceDN/>
      <w:adjustRightInd/>
      <w:snapToGrid/>
      <w:spacing w:before="100" w:beforeAutospacing="1" w:after="100" w:afterAutospacing="1" w:line="240" w:lineRule="auto"/>
    </w:pPr>
    <w:rPr>
      <w:rFonts w:eastAsia="SimSun"/>
      <w:sz w:val="24"/>
      <w:szCs w:val="24"/>
      <w:lang w:val="es-BO" w:eastAsia="es-ES"/>
    </w:rPr>
  </w:style>
  <w:style w:type="paragraph" w:customStyle="1" w:styleId="Pa20">
    <w:name w:val="Pa20"/>
    <w:basedOn w:val="Default"/>
    <w:next w:val="Default"/>
    <w:uiPriority w:val="99"/>
    <w:rsid w:val="00614A7E"/>
    <w:pPr>
      <w:spacing w:line="221" w:lineRule="atLeast"/>
    </w:pPr>
    <w:rPr>
      <w:rFonts w:ascii="Cambria" w:hAnsi="Cambria"/>
      <w:color w:val="auto"/>
    </w:rPr>
  </w:style>
  <w:style w:type="paragraph" w:customStyle="1" w:styleId="text-align-justify">
    <w:name w:val="text-align-justify"/>
    <w:basedOn w:val="Normal"/>
    <w:rsid w:val="00614A7E"/>
    <w:pPr>
      <w:suppressAutoHyphens w:val="0"/>
      <w:kinsoku/>
      <w:overflowPunct/>
      <w:autoSpaceDE/>
      <w:autoSpaceDN/>
      <w:adjustRightInd/>
      <w:snapToGrid/>
      <w:spacing w:before="100" w:beforeAutospacing="1" w:after="100" w:afterAutospacing="1" w:line="240" w:lineRule="auto"/>
    </w:pPr>
    <w:rPr>
      <w:rFonts w:eastAsia="SimSun"/>
      <w:sz w:val="24"/>
      <w:szCs w:val="24"/>
      <w:lang w:val="es-BO" w:eastAsia="es-ES"/>
    </w:rPr>
  </w:style>
  <w:style w:type="character" w:customStyle="1" w:styleId="apple-tab-span">
    <w:name w:val="apple-tab-span"/>
    <w:basedOn w:val="Policepardfaut"/>
    <w:rsid w:val="00614A7E"/>
  </w:style>
  <w:style w:type="paragraph" w:styleId="Citationintense">
    <w:name w:val="Intense Quote"/>
    <w:basedOn w:val="Normal"/>
    <w:next w:val="Normal"/>
    <w:link w:val="CitationintenseCar"/>
    <w:uiPriority w:val="30"/>
    <w:semiHidden/>
    <w:rsid w:val="00614A7E"/>
    <w:pPr>
      <w:pBdr>
        <w:bottom w:val="single" w:sz="4" w:space="4" w:color="4F81BD"/>
      </w:pBdr>
      <w:suppressAutoHyphens w:val="0"/>
      <w:kinsoku/>
      <w:overflowPunct/>
      <w:autoSpaceDE/>
      <w:autoSpaceDN/>
      <w:adjustRightInd/>
      <w:snapToGrid/>
      <w:spacing w:before="200" w:after="280"/>
      <w:ind w:left="936" w:right="936"/>
    </w:pPr>
    <w:rPr>
      <w:rFonts w:eastAsia="SimSun"/>
      <w:b/>
      <w:bCs/>
      <w:i/>
      <w:iCs/>
      <w:color w:val="4F81BD"/>
      <w:lang w:val="es-ES" w:eastAsia="es-ES"/>
    </w:rPr>
  </w:style>
  <w:style w:type="character" w:customStyle="1" w:styleId="CitationintenseCar">
    <w:name w:val="Citation intense Car"/>
    <w:basedOn w:val="Policepardfaut"/>
    <w:link w:val="Citationintense"/>
    <w:uiPriority w:val="30"/>
    <w:semiHidden/>
    <w:rsid w:val="00614A7E"/>
    <w:rPr>
      <w:rFonts w:ascii="Times New Roman" w:eastAsia="SimSun" w:hAnsi="Times New Roman" w:cs="Times New Roman"/>
      <w:b/>
      <w:bCs/>
      <w:i/>
      <w:iCs/>
      <w:color w:val="4F81BD"/>
      <w:sz w:val="20"/>
      <w:szCs w:val="20"/>
      <w:lang w:val="es-ES" w:eastAsia="es-ES"/>
    </w:rPr>
  </w:style>
  <w:style w:type="character" w:styleId="Accentuationintense">
    <w:name w:val="Intense Emphasis"/>
    <w:uiPriority w:val="21"/>
    <w:semiHidden/>
    <w:rsid w:val="00614A7E"/>
    <w:rPr>
      <w:b/>
      <w:bCs/>
      <w:i/>
      <w:iCs/>
      <w:color w:val="4F81BD"/>
    </w:rPr>
  </w:style>
  <w:style w:type="character" w:styleId="Mentionnonrsolue">
    <w:name w:val="Unresolved Mention"/>
    <w:basedOn w:val="Policepardfaut"/>
    <w:uiPriority w:val="99"/>
    <w:semiHidden/>
    <w:unhideWhenUsed/>
    <w:rsid w:val="009D0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ocs.org/fr/http://www.siplusbolivia.gob.b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treatybodyexternal/TBSearch.aspx?Lang=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xivox.org/norms/BO-L-N7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docs.org/fr/http://sippase.justicia.gob.bo"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4D983-C43B-40E0-9CFA-ED39A77E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42</Pages>
  <Words>21874</Words>
  <Characters>120307</Characters>
  <Application>Microsoft Office Word</Application>
  <DocSecurity>0</DocSecurity>
  <Lines>1002</Lines>
  <Paragraphs>283</Paragraphs>
  <ScaleCrop>false</ScaleCrop>
  <HeadingPairs>
    <vt:vector size="2" baseType="variant">
      <vt:variant>
        <vt:lpstr>Titre</vt:lpstr>
      </vt:variant>
      <vt:variant>
        <vt:i4>1</vt:i4>
      </vt:variant>
    </vt:vector>
  </HeadingPairs>
  <TitlesOfParts>
    <vt:vector size="1" baseType="lpstr">
      <vt:lpstr>CAT/C/BOL/3</vt:lpstr>
    </vt:vector>
  </TitlesOfParts>
  <Company>DCM</Company>
  <LinksUpToDate>false</LinksUpToDate>
  <CharactersWithSpaces>141898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CAT/C/BOL/3</dc:title>
  <dc:subject/>
  <dc:creator>Corinne ROBERT</dc:creator>
  <cp:keywords/>
  <cp:lastModifiedBy>Corinne Robert</cp:lastModifiedBy>
  <cp:revision>2</cp:revision>
  <cp:lastPrinted>2019-10-07T10:28:00Z</cp:lastPrinted>
  <dcterms:created xsi:type="dcterms:W3CDTF">2019-10-09T13:37:00Z</dcterms:created>
  <dcterms:modified xsi:type="dcterms:W3CDTF">2019-10-09T13:37:00Z</dcterms:modified>
</cp:coreProperties>
</file>