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1561A6" w14:paraId="381EC25B" w14:textId="77777777" w:rsidTr="00A704A8">
        <w:trPr>
          <w:trHeight w:hRule="exact" w:val="851"/>
        </w:trPr>
        <w:tc>
          <w:tcPr>
            <w:tcW w:w="1276" w:type="dxa"/>
            <w:tcBorders>
              <w:bottom w:val="single" w:sz="4" w:space="0" w:color="auto"/>
            </w:tcBorders>
          </w:tcPr>
          <w:p w14:paraId="33B708EC" w14:textId="77777777" w:rsidR="00807D21" w:rsidRPr="001561A6" w:rsidRDefault="00807D21" w:rsidP="00995201"/>
        </w:tc>
        <w:tc>
          <w:tcPr>
            <w:tcW w:w="2268" w:type="dxa"/>
            <w:tcBorders>
              <w:bottom w:val="single" w:sz="4" w:space="0" w:color="auto"/>
            </w:tcBorders>
            <w:vAlign w:val="bottom"/>
          </w:tcPr>
          <w:p w14:paraId="0FDE2246" w14:textId="77777777" w:rsidR="00807D21" w:rsidRPr="001561A6" w:rsidRDefault="00807D21" w:rsidP="00A704A8">
            <w:pPr>
              <w:spacing w:after="80" w:line="300" w:lineRule="exact"/>
              <w:rPr>
                <w:sz w:val="28"/>
              </w:rPr>
            </w:pPr>
            <w:r w:rsidRPr="001561A6">
              <w:rPr>
                <w:sz w:val="28"/>
              </w:rPr>
              <w:t>Nations Unies</w:t>
            </w:r>
          </w:p>
        </w:tc>
        <w:tc>
          <w:tcPr>
            <w:tcW w:w="6095" w:type="dxa"/>
            <w:gridSpan w:val="2"/>
            <w:tcBorders>
              <w:bottom w:val="single" w:sz="4" w:space="0" w:color="auto"/>
            </w:tcBorders>
            <w:vAlign w:val="bottom"/>
          </w:tcPr>
          <w:p w14:paraId="57D5976B" w14:textId="77777777" w:rsidR="00807D21" w:rsidRPr="001561A6" w:rsidRDefault="00995201" w:rsidP="00995201">
            <w:pPr>
              <w:jc w:val="right"/>
            </w:pPr>
            <w:r w:rsidRPr="001561A6">
              <w:rPr>
                <w:sz w:val="40"/>
              </w:rPr>
              <w:t>CAT</w:t>
            </w:r>
            <w:r w:rsidRPr="001561A6">
              <w:t>/C/BOL/RQ/3</w:t>
            </w:r>
          </w:p>
        </w:tc>
      </w:tr>
      <w:tr w:rsidR="00807D21" w:rsidRPr="001561A6" w14:paraId="0E374B5B" w14:textId="77777777" w:rsidTr="00A704A8">
        <w:trPr>
          <w:trHeight w:hRule="exact" w:val="2835"/>
        </w:trPr>
        <w:tc>
          <w:tcPr>
            <w:tcW w:w="1276" w:type="dxa"/>
            <w:tcBorders>
              <w:top w:val="single" w:sz="4" w:space="0" w:color="auto"/>
              <w:bottom w:val="single" w:sz="12" w:space="0" w:color="auto"/>
            </w:tcBorders>
          </w:tcPr>
          <w:p w14:paraId="0F12F8C6" w14:textId="77777777" w:rsidR="00807D21" w:rsidRPr="001561A6" w:rsidRDefault="00807D21" w:rsidP="00A704A8">
            <w:pPr>
              <w:spacing w:before="120"/>
              <w:jc w:val="center"/>
            </w:pPr>
            <w:r w:rsidRPr="001561A6">
              <w:rPr>
                <w:noProof/>
                <w:lang w:eastAsia="fr-CH"/>
              </w:rPr>
              <w:drawing>
                <wp:inline distT="0" distB="0" distL="0" distR="0" wp14:anchorId="37BD6366" wp14:editId="779B08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DE83FE" w14:textId="77777777" w:rsidR="00807D21" w:rsidRPr="001561A6" w:rsidRDefault="00807D21" w:rsidP="00A704A8">
            <w:pPr>
              <w:spacing w:before="120" w:line="380" w:lineRule="exact"/>
              <w:rPr>
                <w:b/>
                <w:sz w:val="40"/>
                <w:szCs w:val="40"/>
              </w:rPr>
            </w:pPr>
            <w:r w:rsidRPr="001561A6">
              <w:rPr>
                <w:b/>
                <w:sz w:val="34"/>
                <w:szCs w:val="34"/>
              </w:rPr>
              <w:t>Convention contre</w:t>
            </w:r>
            <w:r w:rsidRPr="001561A6">
              <w:rPr>
                <w:b/>
                <w:sz w:val="34"/>
                <w:szCs w:val="34"/>
              </w:rPr>
              <w:br/>
              <w:t>la torture et autres peines</w:t>
            </w:r>
            <w:r w:rsidRPr="001561A6">
              <w:rPr>
                <w:b/>
                <w:sz w:val="34"/>
                <w:szCs w:val="34"/>
              </w:rPr>
              <w:br/>
              <w:t>ou traitements cruels,</w:t>
            </w:r>
            <w:r w:rsidRPr="001561A6">
              <w:rPr>
                <w:b/>
                <w:sz w:val="34"/>
                <w:szCs w:val="34"/>
              </w:rPr>
              <w:br/>
              <w:t>inhumains ou dégradants</w:t>
            </w:r>
          </w:p>
        </w:tc>
        <w:tc>
          <w:tcPr>
            <w:tcW w:w="2835" w:type="dxa"/>
            <w:tcBorders>
              <w:top w:val="single" w:sz="4" w:space="0" w:color="auto"/>
              <w:bottom w:val="single" w:sz="12" w:space="0" w:color="auto"/>
            </w:tcBorders>
          </w:tcPr>
          <w:p w14:paraId="247A8CBA" w14:textId="77777777" w:rsidR="00807D21" w:rsidRPr="001561A6" w:rsidRDefault="00995201" w:rsidP="00A704A8">
            <w:pPr>
              <w:spacing w:before="240"/>
            </w:pPr>
            <w:proofErr w:type="spellStart"/>
            <w:r w:rsidRPr="001561A6">
              <w:t>Distr</w:t>
            </w:r>
            <w:proofErr w:type="spellEnd"/>
            <w:r w:rsidRPr="001561A6">
              <w:t>. générale</w:t>
            </w:r>
          </w:p>
          <w:p w14:paraId="0C75932A" w14:textId="77777777" w:rsidR="00995201" w:rsidRPr="001561A6" w:rsidRDefault="00995201" w:rsidP="00995201">
            <w:pPr>
              <w:spacing w:line="240" w:lineRule="exact"/>
            </w:pPr>
            <w:r w:rsidRPr="001561A6">
              <w:t>2 octobre 2020</w:t>
            </w:r>
          </w:p>
          <w:p w14:paraId="159B72B3" w14:textId="77777777" w:rsidR="00995201" w:rsidRPr="001561A6" w:rsidRDefault="00995201" w:rsidP="00995201">
            <w:pPr>
              <w:spacing w:line="240" w:lineRule="exact"/>
            </w:pPr>
            <w:r w:rsidRPr="001561A6">
              <w:t>Français</w:t>
            </w:r>
          </w:p>
          <w:p w14:paraId="078BF899" w14:textId="77777777" w:rsidR="00995201" w:rsidRPr="001561A6" w:rsidRDefault="00995201" w:rsidP="00995201">
            <w:pPr>
              <w:spacing w:line="240" w:lineRule="exact"/>
            </w:pPr>
            <w:r w:rsidRPr="001561A6">
              <w:t>Original : espagnol</w:t>
            </w:r>
          </w:p>
          <w:p w14:paraId="1FCCC892" w14:textId="77777777" w:rsidR="00995201" w:rsidRPr="001561A6" w:rsidRDefault="00995201" w:rsidP="00995201">
            <w:pPr>
              <w:spacing w:line="240" w:lineRule="exact"/>
            </w:pPr>
            <w:r w:rsidRPr="001561A6">
              <w:t>Anglais, espagnol et français seulement</w:t>
            </w:r>
          </w:p>
        </w:tc>
      </w:tr>
    </w:tbl>
    <w:p w14:paraId="7A528C04" w14:textId="77777777" w:rsidR="00EA3F83" w:rsidRPr="001561A6" w:rsidRDefault="00EA3F83" w:rsidP="00EA3F83">
      <w:pPr>
        <w:spacing w:before="120" w:line="240" w:lineRule="exact"/>
        <w:rPr>
          <w:b/>
          <w:sz w:val="24"/>
          <w:szCs w:val="24"/>
        </w:rPr>
      </w:pPr>
      <w:r w:rsidRPr="001561A6">
        <w:rPr>
          <w:b/>
          <w:sz w:val="24"/>
          <w:szCs w:val="24"/>
        </w:rPr>
        <w:t>Comité contre la torture</w:t>
      </w:r>
    </w:p>
    <w:p w14:paraId="4BD26ADE" w14:textId="77777777" w:rsidR="00995201" w:rsidRPr="001561A6" w:rsidRDefault="00995201" w:rsidP="00995201">
      <w:pPr>
        <w:rPr>
          <w:b/>
        </w:rPr>
      </w:pPr>
      <w:r w:rsidRPr="001561A6">
        <w:rPr>
          <w:b/>
          <w:bCs/>
        </w:rPr>
        <w:t>Soixante et onzième session</w:t>
      </w:r>
    </w:p>
    <w:p w14:paraId="625A9266" w14:textId="77777777" w:rsidR="00995201" w:rsidRPr="001561A6" w:rsidRDefault="00995201" w:rsidP="00995201">
      <w:r w:rsidRPr="001561A6">
        <w:t>26 avril-21 mai 2021</w:t>
      </w:r>
    </w:p>
    <w:p w14:paraId="47AF4565" w14:textId="77777777" w:rsidR="00995201" w:rsidRPr="001561A6" w:rsidRDefault="00995201" w:rsidP="00995201">
      <w:pPr>
        <w:rPr>
          <w:b/>
          <w:bCs/>
        </w:rPr>
      </w:pPr>
      <w:r w:rsidRPr="001561A6">
        <w:rPr>
          <w:b/>
          <w:bCs/>
        </w:rPr>
        <w:t xml:space="preserve">Examen des rapports soumis par les États parties </w:t>
      </w:r>
      <w:r w:rsidRPr="001561A6">
        <w:rPr>
          <w:b/>
          <w:bCs/>
        </w:rPr>
        <w:br/>
        <w:t>en application de l</w:t>
      </w:r>
      <w:r w:rsidR="009258E3">
        <w:rPr>
          <w:b/>
          <w:bCs/>
        </w:rPr>
        <w:t>’</w:t>
      </w:r>
      <w:r w:rsidRPr="001561A6">
        <w:rPr>
          <w:b/>
          <w:bCs/>
        </w:rPr>
        <w:t>article 19 de la Convention</w:t>
      </w:r>
    </w:p>
    <w:p w14:paraId="2A061493" w14:textId="77777777" w:rsidR="00995201" w:rsidRPr="001561A6" w:rsidRDefault="00995201" w:rsidP="00995201">
      <w:pPr>
        <w:pStyle w:val="HMG"/>
      </w:pPr>
      <w:r w:rsidRPr="001561A6">
        <w:tab/>
      </w:r>
      <w:r w:rsidRPr="001561A6">
        <w:tab/>
        <w:t>Réponses de l</w:t>
      </w:r>
      <w:r w:rsidR="009258E3">
        <w:t>’</w:t>
      </w:r>
      <w:r w:rsidRPr="001561A6">
        <w:t xml:space="preserve">État plurinational de Bolivie </w:t>
      </w:r>
      <w:r w:rsidRPr="001561A6">
        <w:br/>
        <w:t>à la liste de points concernant son troisième rapport périodique</w:t>
      </w:r>
      <w:r w:rsidRPr="001561A6">
        <w:rPr>
          <w:rStyle w:val="Appelnotedebasdep"/>
          <w:b w:val="0"/>
          <w:sz w:val="20"/>
          <w:vertAlign w:val="baseline"/>
        </w:rPr>
        <w:footnoteReference w:customMarkFollows="1" w:id="2"/>
        <w:t>*</w:t>
      </w:r>
    </w:p>
    <w:p w14:paraId="46501FEC" w14:textId="77777777" w:rsidR="00995201" w:rsidRPr="001561A6" w:rsidRDefault="00995201" w:rsidP="00995201">
      <w:pPr>
        <w:spacing w:line="240" w:lineRule="exact"/>
        <w:jc w:val="right"/>
      </w:pPr>
      <w:r w:rsidRPr="001561A6">
        <w:t>[Date de réception : 7 septembre 2020]</w:t>
      </w:r>
    </w:p>
    <w:p w14:paraId="0AE57662" w14:textId="77777777" w:rsidR="00995201" w:rsidRPr="001561A6" w:rsidRDefault="00995201">
      <w:pPr>
        <w:suppressAutoHyphens w:val="0"/>
        <w:kinsoku/>
        <w:overflowPunct/>
        <w:autoSpaceDE/>
        <w:autoSpaceDN/>
        <w:adjustRightInd/>
        <w:snapToGrid/>
        <w:spacing w:after="200" w:line="276" w:lineRule="auto"/>
      </w:pPr>
      <w:r w:rsidRPr="001561A6">
        <w:br w:type="page"/>
      </w:r>
    </w:p>
    <w:p w14:paraId="1FFB3252" w14:textId="77777777" w:rsidR="001960EC" w:rsidRPr="001561A6" w:rsidRDefault="001960EC" w:rsidP="009C68D5">
      <w:pPr>
        <w:pStyle w:val="H1G"/>
      </w:pPr>
      <w:r w:rsidRPr="001561A6">
        <w:lastRenderedPageBreak/>
        <w:tab/>
      </w:r>
      <w:r w:rsidRPr="001561A6">
        <w:tab/>
        <w:t>Liste des abréviations</w:t>
      </w:r>
    </w:p>
    <w:p w14:paraId="02C6276B" w14:textId="77777777" w:rsidR="001960EC" w:rsidRPr="001561A6" w:rsidRDefault="001960EC" w:rsidP="00376438">
      <w:pPr>
        <w:pStyle w:val="SingleTxtG"/>
      </w:pPr>
      <w:r w:rsidRPr="001561A6">
        <w:t>Sans objet en français</w:t>
      </w:r>
      <w:r w:rsidR="009C68D5" w:rsidRPr="001561A6">
        <w:t>.</w:t>
      </w:r>
    </w:p>
    <w:p w14:paraId="06E2ED1F" w14:textId="77777777" w:rsidR="001960EC" w:rsidRPr="001561A6" w:rsidRDefault="001960EC" w:rsidP="001960EC">
      <w:pPr>
        <w:suppressAutoHyphens w:val="0"/>
        <w:kinsoku/>
        <w:overflowPunct/>
        <w:autoSpaceDE/>
        <w:autoSpaceDN/>
        <w:adjustRightInd/>
        <w:snapToGrid/>
        <w:spacing w:after="200" w:line="276" w:lineRule="auto"/>
      </w:pPr>
      <w:r w:rsidRPr="001561A6">
        <w:br w:type="page"/>
      </w:r>
    </w:p>
    <w:p w14:paraId="4AAF690C" w14:textId="77777777" w:rsidR="001960EC" w:rsidRPr="001561A6" w:rsidRDefault="001960EC" w:rsidP="001960EC">
      <w:pPr>
        <w:pStyle w:val="HChG"/>
      </w:pPr>
      <w:r w:rsidRPr="001561A6">
        <w:tab/>
        <w:t>I.</w:t>
      </w:r>
      <w:r w:rsidRPr="001561A6">
        <w:tab/>
        <w:t>Introduction</w:t>
      </w:r>
    </w:p>
    <w:p w14:paraId="465DD754" w14:textId="77777777" w:rsidR="001960EC" w:rsidRPr="001561A6" w:rsidRDefault="001960EC" w:rsidP="001960EC">
      <w:pPr>
        <w:pStyle w:val="SingleTxtG"/>
      </w:pPr>
      <w:r w:rsidRPr="001561A6">
        <w:t>1.</w:t>
      </w:r>
      <w:r w:rsidRPr="001561A6">
        <w:tab/>
        <w:t>Conformément au paragraphe 1 de l</w:t>
      </w:r>
      <w:r w:rsidR="009258E3">
        <w:t>’</w:t>
      </w:r>
      <w:r w:rsidRPr="001561A6">
        <w:t>article 19 de la Convention contre la torture et autres peines ou traitements cruels, inhumains ou dégradants (« la Convention »), l</w:t>
      </w:r>
      <w:r w:rsidR="009258E3">
        <w:t>’</w:t>
      </w:r>
      <w:r w:rsidRPr="001561A6">
        <w:t>État plurinational de Bolivie (« l</w:t>
      </w:r>
      <w:r w:rsidR="009258E3">
        <w:t>’</w:t>
      </w:r>
      <w:r w:rsidRPr="001561A6">
        <w:t>État », « la Bolivie », « l</w:t>
      </w:r>
      <w:r w:rsidR="009258E3">
        <w:t>’</w:t>
      </w:r>
      <w:r w:rsidRPr="001561A6">
        <w:t>État bolivien ») a présenté au Comité contre la torture (« le Comité ») son troisième rapport périodique (CAT/C/BOL/3) en 2019, après avoir reçu la liste des points (CAT/C/BOL/Q/3) qui seront traités lors de l</w:t>
      </w:r>
      <w:r w:rsidR="009258E3">
        <w:t>’</w:t>
      </w:r>
      <w:r w:rsidRPr="001561A6">
        <w:t>examen de ce rapport.</w:t>
      </w:r>
    </w:p>
    <w:p w14:paraId="191A843D" w14:textId="7465F5E9" w:rsidR="001960EC" w:rsidRPr="001561A6" w:rsidRDefault="001960EC" w:rsidP="001960EC">
      <w:pPr>
        <w:pStyle w:val="SingleTxtG"/>
      </w:pPr>
      <w:r w:rsidRPr="001561A6">
        <w:t>2.</w:t>
      </w:r>
      <w:r w:rsidRPr="001561A6">
        <w:tab/>
        <w:t>Le présent rapport a été élaboré par le Ministère de la justice et de la transparence institutionnelle dans le cadre de la coordination interinstitutionnelle</w:t>
      </w:r>
      <w:r w:rsidR="00F972E7">
        <w:rPr>
          <w:rStyle w:val="Appelnotedebasdep"/>
        </w:rPr>
        <w:footnoteReference w:id="3"/>
      </w:r>
      <w:r w:rsidRPr="001561A6">
        <w:t>, à partir d</w:t>
      </w:r>
      <w:r w:rsidR="009258E3">
        <w:t>’</w:t>
      </w:r>
      <w:r w:rsidRPr="001561A6">
        <w:t>informations fournies par les institutions nationales de protection et de promotion des droits de l</w:t>
      </w:r>
      <w:r w:rsidR="009258E3">
        <w:t>’</w:t>
      </w:r>
      <w:r w:rsidRPr="001561A6">
        <w:t>homme.</w:t>
      </w:r>
    </w:p>
    <w:p w14:paraId="294FE005" w14:textId="77777777" w:rsidR="001960EC" w:rsidRPr="001561A6" w:rsidRDefault="001960EC" w:rsidP="001960EC">
      <w:pPr>
        <w:pStyle w:val="HChG"/>
      </w:pPr>
      <w:r w:rsidRPr="001561A6">
        <w:tab/>
        <w:t>II.</w:t>
      </w:r>
      <w:r w:rsidRPr="001561A6">
        <w:tab/>
        <w:t>Réponses aux questions du Comité</w:t>
      </w:r>
    </w:p>
    <w:p w14:paraId="7851DAB5" w14:textId="77777777" w:rsidR="001960EC" w:rsidRPr="001561A6" w:rsidRDefault="001960EC" w:rsidP="001960EC">
      <w:pPr>
        <w:pStyle w:val="H1G"/>
      </w:pPr>
      <w:r w:rsidRPr="001561A6">
        <w:tab/>
        <w:t>A.</w:t>
      </w:r>
      <w:r w:rsidRPr="001561A6">
        <w:tab/>
        <w:t>Renseignements sur la suite donnée à certaines des recommandations figurant dans les précédentes observations finales du Comité</w:t>
      </w:r>
    </w:p>
    <w:p w14:paraId="7740491D" w14:textId="77777777" w:rsidR="001960EC" w:rsidRPr="001561A6" w:rsidRDefault="001960EC" w:rsidP="001960EC">
      <w:pPr>
        <w:pStyle w:val="H23G"/>
      </w:pPr>
      <w:r w:rsidRPr="001561A6">
        <w:tab/>
      </w:r>
      <w:r w:rsidRPr="001561A6">
        <w:tab/>
        <w:t>Articles 1</w:t>
      </w:r>
      <w:r w:rsidRPr="001561A6">
        <w:rPr>
          <w:vertAlign w:val="superscript"/>
        </w:rPr>
        <w:t>er</w:t>
      </w:r>
      <w:r w:rsidRPr="001561A6">
        <w:t xml:space="preserve"> et 4</w:t>
      </w:r>
    </w:p>
    <w:p w14:paraId="7841C502" w14:textId="77777777" w:rsidR="001960EC" w:rsidRPr="001561A6" w:rsidRDefault="001960EC" w:rsidP="001960EC">
      <w:pPr>
        <w:pStyle w:val="H23G"/>
      </w:pPr>
      <w:r w:rsidRPr="001561A6">
        <w:tab/>
      </w:r>
      <w:r w:rsidRPr="001561A6">
        <w:tab/>
        <w:t>Réponse à la question posée au paragraphe 2 de la liste de points (CAT/C/BOL/Q/3)</w:t>
      </w:r>
    </w:p>
    <w:p w14:paraId="0E2FD816" w14:textId="77777777" w:rsidR="001960EC" w:rsidRPr="001561A6" w:rsidRDefault="001960EC" w:rsidP="001960EC">
      <w:pPr>
        <w:pStyle w:val="H4G"/>
      </w:pPr>
      <w:r w:rsidRPr="001561A6">
        <w:tab/>
      </w:r>
      <w:r w:rsidRPr="001561A6">
        <w:tab/>
        <w:t>Mesures législatives</w:t>
      </w:r>
    </w:p>
    <w:p w14:paraId="5C818F4B" w14:textId="77777777" w:rsidR="001960EC" w:rsidRPr="001561A6" w:rsidRDefault="001960EC" w:rsidP="001960EC">
      <w:pPr>
        <w:pStyle w:val="SingleTxtG"/>
      </w:pPr>
      <w:r w:rsidRPr="001561A6">
        <w:t>3.</w:t>
      </w:r>
      <w:r w:rsidRPr="001561A6">
        <w:tab/>
        <w:t>L</w:t>
      </w:r>
      <w:r w:rsidR="009258E3">
        <w:t>’</w:t>
      </w:r>
      <w:r w:rsidRPr="001561A6">
        <w:t>État bolivien procède actuellement à la modification du Code pénal en vue d</w:t>
      </w:r>
      <w:r w:rsidR="009258E3">
        <w:t>’</w:t>
      </w:r>
      <w:r w:rsidRPr="001561A6">
        <w:t>y inscrire une définition de la torture qui soit conforme aux dispositions des articles premier et 4 de la Convention.</w:t>
      </w:r>
    </w:p>
    <w:p w14:paraId="71631F23" w14:textId="77777777" w:rsidR="001960EC" w:rsidRPr="001561A6" w:rsidRDefault="001960EC" w:rsidP="001960EC">
      <w:pPr>
        <w:pStyle w:val="SingleTxtG"/>
      </w:pPr>
      <w:r w:rsidRPr="001561A6">
        <w:t>4.</w:t>
      </w:r>
      <w:r w:rsidRPr="001561A6">
        <w:tab/>
        <w:t>En outre, dans le cadre des compétences qui lui sont conférées par la loi, le Service de prévention de la torture est habilité à faire des propositions législatives sur les questions relevant de sa compétence, l</w:t>
      </w:r>
      <w:r w:rsidR="009258E3">
        <w:t>’</w:t>
      </w:r>
      <w:r w:rsidRPr="001561A6">
        <w:t>Assemblée législative plurinationale étant, en vertu de la Constitution, le seul organe habilité à approuver et à adopter des lois qui s</w:t>
      </w:r>
      <w:r w:rsidR="009258E3">
        <w:t>’</w:t>
      </w:r>
      <w:r w:rsidRPr="001561A6">
        <w:t>appliquent à l</w:t>
      </w:r>
      <w:r w:rsidR="009258E3">
        <w:t>’</w:t>
      </w:r>
      <w:r w:rsidRPr="001561A6">
        <w:t>ensemble du territoire bolivien</w:t>
      </w:r>
      <w:r w:rsidRPr="001561A6">
        <w:rPr>
          <w:rStyle w:val="Appelnotedebasdep"/>
        </w:rPr>
        <w:footnoteReference w:id="4"/>
      </w:r>
      <w:r w:rsidRPr="001561A6">
        <w:t>.</w:t>
      </w:r>
    </w:p>
    <w:p w14:paraId="02AE7B54" w14:textId="77777777" w:rsidR="001960EC" w:rsidRPr="001561A6" w:rsidRDefault="001960EC" w:rsidP="001960EC">
      <w:pPr>
        <w:pStyle w:val="SingleTxtG"/>
      </w:pPr>
      <w:r w:rsidRPr="001561A6">
        <w:t>5.</w:t>
      </w:r>
      <w:r w:rsidRPr="001561A6">
        <w:tab/>
        <w:t>C</w:t>
      </w:r>
      <w:r w:rsidR="009258E3">
        <w:t>’</w:t>
      </w:r>
      <w:r w:rsidRPr="001561A6">
        <w:t>est pourquoi le Service de prévention de la torture a proposé diverses modifications d</w:t>
      </w:r>
      <w:r w:rsidR="009258E3">
        <w:t>’</w:t>
      </w:r>
      <w:r w:rsidRPr="001561A6">
        <w:t>ordre législatif, parmi lesquelles :</w:t>
      </w:r>
    </w:p>
    <w:p w14:paraId="7ABDF17F" w14:textId="77777777" w:rsidR="001960EC" w:rsidRPr="001561A6" w:rsidRDefault="001960EC" w:rsidP="001960EC">
      <w:pPr>
        <w:pStyle w:val="Bullet1G"/>
        <w:numPr>
          <w:ilvl w:val="0"/>
          <w:numId w:val="1"/>
        </w:numPr>
      </w:pPr>
      <w:r w:rsidRPr="001561A6">
        <w:t>L</w:t>
      </w:r>
      <w:r w:rsidR="009258E3">
        <w:t>’</w:t>
      </w:r>
      <w:r w:rsidRPr="001561A6">
        <w:t>harmonisation de la définition de l</w:t>
      </w:r>
      <w:r w:rsidR="009258E3">
        <w:t>’</w:t>
      </w:r>
      <w:r w:rsidRPr="001561A6">
        <w:t>infraction de torture avec celle qui figure à l</w:t>
      </w:r>
      <w:r w:rsidR="009258E3">
        <w:t>’</w:t>
      </w:r>
      <w:r w:rsidRPr="001561A6">
        <w:t>article premier de la Convention</w:t>
      </w:r>
      <w:r w:rsidR="00A82A3F" w:rsidRPr="001561A6">
        <w:t> ;</w:t>
      </w:r>
    </w:p>
    <w:p w14:paraId="63E686E1" w14:textId="77777777" w:rsidR="001960EC" w:rsidRPr="001561A6" w:rsidRDefault="001960EC" w:rsidP="001960EC">
      <w:pPr>
        <w:pStyle w:val="Bullet1G"/>
        <w:numPr>
          <w:ilvl w:val="0"/>
          <w:numId w:val="1"/>
        </w:numPr>
        <w:rPr>
          <w:i/>
        </w:rPr>
      </w:pPr>
      <w:r w:rsidRPr="001561A6">
        <w:t>L</w:t>
      </w:r>
      <w:r w:rsidR="009258E3">
        <w:t>’</w:t>
      </w:r>
      <w:r w:rsidRPr="001561A6">
        <w:t>ajout à l</w:t>
      </w:r>
      <w:r w:rsidR="009258E3">
        <w:t>’</w:t>
      </w:r>
      <w:r w:rsidRPr="001561A6">
        <w:t>article 206 du Code de procédure pénale d</w:t>
      </w:r>
      <w:r w:rsidR="009258E3">
        <w:t>’</w:t>
      </w:r>
      <w:r w:rsidRPr="001561A6">
        <w:t>un deuxième paragraphe prévoyant que le Service de prévention de la torture, en tant que mécanisme national de prévention de la torture, soit désigné comme étant le mécanisme responsable des examens médico-légaux et des expertises psychologiques, puisqu</w:t>
      </w:r>
      <w:r w:rsidR="009258E3">
        <w:t>’</w:t>
      </w:r>
      <w:r w:rsidRPr="001561A6">
        <w:t>il se compose de médecins légistes et de psychologues, et ce, dans le respect de la Constitution et des règles de procédure pénale</w:t>
      </w:r>
      <w:r w:rsidR="00A82A3F" w:rsidRPr="001561A6">
        <w:t> ;</w:t>
      </w:r>
    </w:p>
    <w:p w14:paraId="1DD14C51" w14:textId="77777777" w:rsidR="001960EC" w:rsidRPr="001561A6" w:rsidRDefault="001960EC" w:rsidP="001960EC">
      <w:pPr>
        <w:pStyle w:val="Bullet1G"/>
        <w:numPr>
          <w:ilvl w:val="0"/>
          <w:numId w:val="1"/>
        </w:numPr>
        <w:rPr>
          <w:i/>
        </w:rPr>
      </w:pPr>
      <w:r w:rsidRPr="001561A6">
        <w:t>La présentation d</w:t>
      </w:r>
      <w:r w:rsidR="009258E3">
        <w:t>’</w:t>
      </w:r>
      <w:r w:rsidRPr="001561A6">
        <w:t>un avant-projet de loi portant modification de la loi relative au suivi de l</w:t>
      </w:r>
      <w:r w:rsidR="009258E3">
        <w:t>’</w:t>
      </w:r>
      <w:r w:rsidRPr="001561A6">
        <w:t>exécution des peines</w:t>
      </w:r>
      <w:r w:rsidRPr="001561A6">
        <w:rPr>
          <w:rStyle w:val="Appelnotedebasdep"/>
        </w:rPr>
        <w:footnoteReference w:id="5"/>
      </w:r>
      <w:r w:rsidRPr="001561A6">
        <w:t>, notamment de l</w:t>
      </w:r>
      <w:r w:rsidR="009258E3">
        <w:t>’</w:t>
      </w:r>
      <w:r w:rsidRPr="001561A6">
        <w:t>article 58 relatif aux directeurs d</w:t>
      </w:r>
      <w:r w:rsidR="009258E3">
        <w:t>’</w:t>
      </w:r>
      <w:r w:rsidRPr="001561A6">
        <w:t>établissements pénitentiaires</w:t>
      </w:r>
      <w:r w:rsidR="00A82A3F" w:rsidRPr="001561A6">
        <w:t> ;</w:t>
      </w:r>
    </w:p>
    <w:p w14:paraId="01698C75" w14:textId="77777777" w:rsidR="001960EC" w:rsidRPr="001561A6" w:rsidRDefault="001960EC" w:rsidP="001960EC">
      <w:pPr>
        <w:pStyle w:val="Bullet1G"/>
        <w:numPr>
          <w:ilvl w:val="0"/>
          <w:numId w:val="1"/>
        </w:numPr>
        <w:rPr>
          <w:i/>
        </w:rPr>
      </w:pPr>
      <w:r w:rsidRPr="001561A6">
        <w:tab/>
        <w:t>La proposition d</w:t>
      </w:r>
      <w:r w:rsidR="009258E3">
        <w:t>’</w:t>
      </w:r>
      <w:r w:rsidRPr="001561A6">
        <w:t>ajouter dans la législation pénale deux articles relatifs : a) au caractère pénal de la torture et des autres peines ou traitements cruels, inhumains ou dégradants ; et b) à l</w:t>
      </w:r>
      <w:r w:rsidR="009258E3">
        <w:t>’</w:t>
      </w:r>
      <w:r w:rsidRPr="001561A6">
        <w:t>examen médical des personnes arrêtées ou détenues</w:t>
      </w:r>
      <w:r w:rsidR="00A82A3F" w:rsidRPr="001561A6">
        <w:t> ;</w:t>
      </w:r>
    </w:p>
    <w:p w14:paraId="493E0D7D" w14:textId="77777777" w:rsidR="001960EC" w:rsidRPr="001561A6" w:rsidRDefault="001960EC" w:rsidP="001960EC">
      <w:pPr>
        <w:pStyle w:val="Bullet1G"/>
        <w:numPr>
          <w:ilvl w:val="0"/>
          <w:numId w:val="1"/>
        </w:numPr>
        <w:rPr>
          <w:i/>
        </w:rPr>
      </w:pPr>
      <w:r w:rsidRPr="001561A6">
        <w:tab/>
        <w:t>Dans le cadre du projet de loi sur la réduction de la durée des procédures pénales et sur le recensement de la population carcérale de 2019, le Service de prévention de la torture a soumis au Ministère de la justice et de la transparence institutionnelle deux libellés d</w:t>
      </w:r>
      <w:r w:rsidR="009258E3">
        <w:t>’</w:t>
      </w:r>
      <w:r w:rsidRPr="001561A6">
        <w:t>articles qu</w:t>
      </w:r>
      <w:r w:rsidR="009258E3">
        <w:t>’</w:t>
      </w:r>
      <w:r w:rsidRPr="001561A6">
        <w:t>il propose d</w:t>
      </w:r>
      <w:r w:rsidR="009258E3">
        <w:t>’</w:t>
      </w:r>
      <w:r w:rsidRPr="001561A6">
        <w:t>ajouter audit projet, concernant la création d</w:t>
      </w:r>
      <w:r w:rsidR="009258E3">
        <w:t>’</w:t>
      </w:r>
      <w:r w:rsidRPr="001561A6">
        <w:t>un système informatisé d</w:t>
      </w:r>
      <w:r w:rsidR="009258E3">
        <w:t>’</w:t>
      </w:r>
      <w:r w:rsidRPr="001561A6">
        <w:t>enregistrement des détenus, l</w:t>
      </w:r>
      <w:r w:rsidR="009258E3">
        <w:t>’</w:t>
      </w:r>
      <w:r w:rsidRPr="001561A6">
        <w:t>examen médical des personnes privées de liberté, la remise en liberté immédiate, les tribunaux de simple police, les politiques, plans et programmes pénitentiaires, l</w:t>
      </w:r>
      <w:r w:rsidR="009258E3">
        <w:t>’</w:t>
      </w:r>
      <w:r w:rsidRPr="001561A6">
        <w:t>interdiction de sanctions légales et la mise en place d</w:t>
      </w:r>
      <w:r w:rsidR="009258E3">
        <w:t>’</w:t>
      </w:r>
      <w:r w:rsidRPr="001561A6">
        <w:t>un registre des lieux de privation de liberté</w:t>
      </w:r>
      <w:r w:rsidR="00A82A3F" w:rsidRPr="001561A6">
        <w:t> ;</w:t>
      </w:r>
    </w:p>
    <w:p w14:paraId="6C985BF6" w14:textId="77777777" w:rsidR="001960EC" w:rsidRPr="001561A6" w:rsidRDefault="001960EC" w:rsidP="001960EC">
      <w:pPr>
        <w:pStyle w:val="Bullet1G"/>
        <w:numPr>
          <w:ilvl w:val="0"/>
          <w:numId w:val="1"/>
        </w:numPr>
        <w:rPr>
          <w:i/>
        </w:rPr>
      </w:pPr>
      <w:r w:rsidRPr="001561A6">
        <w:tab/>
        <w:t>La proposition relative à l</w:t>
      </w:r>
      <w:r w:rsidR="009258E3">
        <w:t>’</w:t>
      </w:r>
      <w:r w:rsidRPr="001561A6">
        <w:t xml:space="preserve">avant-projet de loi sur le </w:t>
      </w:r>
      <w:r w:rsidR="00A82A3F" w:rsidRPr="001561A6">
        <w:t>C</w:t>
      </w:r>
      <w:r w:rsidRPr="001561A6">
        <w:t>ode d</w:t>
      </w:r>
      <w:r w:rsidR="009258E3">
        <w:t>’</w:t>
      </w:r>
      <w:r w:rsidRPr="001561A6">
        <w:t>application des peines, qui reprend les travaux du Comité et du Sous-Comité pour la prévention de la torture et autres peines ou traitements cruels, inhumains ou dégradants, ainsi que les mesures mises en œuvre par le Service de prévention de la torture entre 2016 et 2019, et traite des questions relatives aux droits des personnes privées de liberté et à l</w:t>
      </w:r>
      <w:r w:rsidR="009258E3">
        <w:t>’</w:t>
      </w:r>
      <w:r w:rsidRPr="001561A6">
        <w:t>administration pénitentiaire</w:t>
      </w:r>
      <w:r w:rsidR="00A82A3F" w:rsidRPr="001561A6">
        <w:t> ;</w:t>
      </w:r>
    </w:p>
    <w:p w14:paraId="2C0CD2B9" w14:textId="77777777" w:rsidR="001960EC" w:rsidRPr="001561A6" w:rsidRDefault="001960EC" w:rsidP="001960EC">
      <w:pPr>
        <w:pStyle w:val="Bullet1G"/>
        <w:numPr>
          <w:ilvl w:val="0"/>
          <w:numId w:val="1"/>
        </w:numPr>
        <w:rPr>
          <w:i/>
        </w:rPr>
      </w:pPr>
      <w:r w:rsidRPr="001561A6">
        <w:tab/>
        <w:t>La présentation d</w:t>
      </w:r>
      <w:r w:rsidR="009258E3">
        <w:t>’</w:t>
      </w:r>
      <w:r w:rsidRPr="001561A6">
        <w:t>un avant-projet de loi portant modification de l</w:t>
      </w:r>
      <w:r w:rsidR="009258E3">
        <w:t>’</w:t>
      </w:r>
      <w:r w:rsidRPr="001561A6">
        <w:t>article du Code pénal relatif à la torture, qui inscrirait dans la législation pénale une définition de la torture comprenant tous les éléments visés à l</w:t>
      </w:r>
      <w:r w:rsidR="009258E3">
        <w:t>’</w:t>
      </w:r>
      <w:r w:rsidRPr="001561A6">
        <w:t>article premier de la Convention.</w:t>
      </w:r>
    </w:p>
    <w:p w14:paraId="02FCBB7B" w14:textId="77777777" w:rsidR="001960EC" w:rsidRPr="001561A6" w:rsidRDefault="001960EC" w:rsidP="001960EC">
      <w:pPr>
        <w:pStyle w:val="Bullet1G"/>
        <w:numPr>
          <w:ilvl w:val="0"/>
          <w:numId w:val="1"/>
        </w:numPr>
        <w:rPr>
          <w:spacing w:val="-2"/>
        </w:rPr>
      </w:pPr>
      <w:r w:rsidRPr="001561A6">
        <w:rPr>
          <w:spacing w:val="-2"/>
        </w:rPr>
        <w:tab/>
        <w:t>La présentation d</w:t>
      </w:r>
      <w:r w:rsidR="009258E3">
        <w:rPr>
          <w:spacing w:val="-2"/>
        </w:rPr>
        <w:t>’</w:t>
      </w:r>
      <w:r w:rsidRPr="001561A6">
        <w:rPr>
          <w:spacing w:val="-2"/>
        </w:rPr>
        <w:t>un avant-projet de loi sur le régime pénitentiaire ayant pour objet de mettre en place des mécanismes et des procédures destinés à favoriser la réinsertion sociale des personnes privées de liberté par le travail et l</w:t>
      </w:r>
      <w:r w:rsidR="009258E3">
        <w:rPr>
          <w:spacing w:val="-2"/>
        </w:rPr>
        <w:t>’</w:t>
      </w:r>
      <w:r w:rsidRPr="001561A6">
        <w:rPr>
          <w:spacing w:val="-2"/>
        </w:rPr>
        <w:t>enseignement dans les établissements pénitentiaires dans le cadre de l</w:t>
      </w:r>
      <w:r w:rsidR="009258E3">
        <w:rPr>
          <w:spacing w:val="-2"/>
        </w:rPr>
        <w:t>’</w:t>
      </w:r>
      <w:r w:rsidRPr="001561A6">
        <w:rPr>
          <w:spacing w:val="-2"/>
        </w:rPr>
        <w:t>instauration d</w:t>
      </w:r>
      <w:r w:rsidR="009258E3">
        <w:rPr>
          <w:spacing w:val="-2"/>
        </w:rPr>
        <w:t>’</w:t>
      </w:r>
      <w:r w:rsidRPr="001561A6">
        <w:rPr>
          <w:spacing w:val="-2"/>
        </w:rPr>
        <w:t>un développement productif et d</w:t>
      </w:r>
      <w:r w:rsidR="009258E3">
        <w:rPr>
          <w:spacing w:val="-2"/>
        </w:rPr>
        <w:t>’</w:t>
      </w:r>
      <w:r w:rsidRPr="001561A6">
        <w:rPr>
          <w:spacing w:val="-2"/>
        </w:rPr>
        <w:t>une économie plurielle qui soient conformes à la Constitution et à la loi.</w:t>
      </w:r>
    </w:p>
    <w:p w14:paraId="34B120F8" w14:textId="77777777" w:rsidR="001960EC" w:rsidRPr="001561A6" w:rsidRDefault="001960EC" w:rsidP="001960EC">
      <w:pPr>
        <w:pStyle w:val="H23G"/>
      </w:pPr>
      <w:r w:rsidRPr="001561A6">
        <w:tab/>
      </w:r>
      <w:r w:rsidRPr="001561A6">
        <w:tab/>
        <w:t>Réponse à la question posée au paragraphe 3 de la liste de points</w:t>
      </w:r>
    </w:p>
    <w:p w14:paraId="0A4AA849" w14:textId="77777777" w:rsidR="001960EC" w:rsidRPr="001561A6" w:rsidRDefault="001960EC" w:rsidP="001960EC">
      <w:pPr>
        <w:pStyle w:val="H23G"/>
      </w:pPr>
      <w:r w:rsidRPr="001561A6">
        <w:tab/>
      </w:r>
      <w:r w:rsidRPr="001561A6">
        <w:tab/>
        <w:t>Article 2</w:t>
      </w:r>
    </w:p>
    <w:p w14:paraId="6D26A8FF" w14:textId="77777777" w:rsidR="001960EC" w:rsidRPr="001561A6" w:rsidRDefault="001960EC" w:rsidP="001960EC">
      <w:pPr>
        <w:pStyle w:val="H4G"/>
      </w:pPr>
      <w:r w:rsidRPr="001561A6">
        <w:tab/>
      </w:r>
      <w:r w:rsidRPr="001561A6">
        <w:tab/>
        <w:t>Garanties juridiques</w:t>
      </w:r>
    </w:p>
    <w:p w14:paraId="7F2E2C7A" w14:textId="77777777" w:rsidR="001960EC" w:rsidRPr="001561A6" w:rsidRDefault="001960EC" w:rsidP="001960EC">
      <w:pPr>
        <w:pStyle w:val="SingleTxtG"/>
      </w:pPr>
      <w:r w:rsidRPr="001561A6">
        <w:t>6.</w:t>
      </w:r>
      <w:r w:rsidRPr="001561A6">
        <w:tab/>
        <w:t>La Constitution politique de l</w:t>
      </w:r>
      <w:r w:rsidR="009258E3">
        <w:t>’</w:t>
      </w:r>
      <w:r w:rsidRPr="001561A6">
        <w:t>État plurinational de Bolivie dispose au paragraphe I de son article 115 que quiconque exerce ses droits et fait valoir ses intérêts légitimes jouit chaque fois que cela est nécessaire de la protection effective des juges et des tribunaux, et au paragraphe II</w:t>
      </w:r>
      <w:r w:rsidRPr="001561A6">
        <w:rPr>
          <w:i/>
          <w:iCs/>
        </w:rPr>
        <w:t xml:space="preserve"> </w:t>
      </w:r>
      <w:r w:rsidRPr="001561A6">
        <w:t>que l</w:t>
      </w:r>
      <w:r w:rsidR="009258E3">
        <w:t>’</w:t>
      </w:r>
      <w:r w:rsidRPr="001561A6">
        <w:t>État garantit le droit à une procédure régulière, le droit de la défense et le droit à une justice plurielle, diligente, gratuite, transparente et sans retard</w:t>
      </w:r>
      <w:r w:rsidRPr="001561A6">
        <w:rPr>
          <w:i/>
          <w:iCs/>
        </w:rPr>
        <w:t>.</w:t>
      </w:r>
    </w:p>
    <w:p w14:paraId="296D4F9D" w14:textId="77777777" w:rsidR="001960EC" w:rsidRPr="001561A6" w:rsidRDefault="001960EC" w:rsidP="001960EC">
      <w:pPr>
        <w:pStyle w:val="SingleTxtG"/>
      </w:pPr>
      <w:r w:rsidRPr="001561A6">
        <w:t>7.</w:t>
      </w:r>
      <w:r w:rsidRPr="001561A6">
        <w:tab/>
        <w:t>À cet égard, l</w:t>
      </w:r>
      <w:r w:rsidR="009258E3">
        <w:t>’</w:t>
      </w:r>
      <w:r w:rsidRPr="001561A6">
        <w:t>article 167 du Code de procédure pénale prévoit une protection juridique contre les vices de procédure, et l</w:t>
      </w:r>
      <w:r w:rsidR="009258E3">
        <w:t>’</w:t>
      </w:r>
      <w:r w:rsidRPr="001561A6">
        <w:t>article 168 énonce les conditions justifiant la correction d</w:t>
      </w:r>
      <w:r w:rsidR="009258E3">
        <w:t>’</w:t>
      </w:r>
      <w:r w:rsidRPr="001561A6">
        <w:t>office ou à la demande d</w:t>
      </w:r>
      <w:r w:rsidR="009258E3">
        <w:t>’</w:t>
      </w:r>
      <w:r w:rsidRPr="001561A6">
        <w:t>une partie d</w:t>
      </w:r>
      <w:r w:rsidR="009258E3">
        <w:t>’</w:t>
      </w:r>
      <w:r w:rsidRPr="001561A6">
        <w:t>actes pouvant être modifiés.</w:t>
      </w:r>
    </w:p>
    <w:p w14:paraId="61940749" w14:textId="77777777" w:rsidR="001960EC" w:rsidRPr="001561A6" w:rsidRDefault="001960EC" w:rsidP="001960EC">
      <w:pPr>
        <w:pStyle w:val="SingleTxtG"/>
      </w:pPr>
      <w:r w:rsidRPr="001561A6">
        <w:t>8.</w:t>
      </w:r>
      <w:r w:rsidRPr="001561A6">
        <w:tab/>
        <w:t>Les articles 169 et 170 de ce même code portent respectivement sur les faits qualifiés de vice de procédure absolu et de vice de procédure relatif, aux fins de la correction des actes de procédure viciés qui peuvent porter atteinte aux droits fondamentaux. Les articles 314 et 315 encadrent les procédures relatives aux exceptions et aux incidents qui, en cas de vice de procédure, constituent des mécanismes de défense exprès, efficaces, appropriés et opportuns permettant de saisir le juge en charge d</w:t>
      </w:r>
      <w:r w:rsidR="009258E3">
        <w:t>’</w:t>
      </w:r>
      <w:r w:rsidRPr="001561A6">
        <w:t>une affaire d</w:t>
      </w:r>
      <w:r w:rsidR="009258E3">
        <w:t>’</w:t>
      </w:r>
      <w:r w:rsidRPr="001561A6">
        <w:t>une demande de protection des droits fondamentaux auxquels il a pu être porté atteinte au cours de la procédure.</w:t>
      </w:r>
    </w:p>
    <w:p w14:paraId="06E85FC7" w14:textId="1B1EDBE4" w:rsidR="001960EC" w:rsidRPr="001561A6" w:rsidRDefault="001960EC" w:rsidP="001960EC">
      <w:pPr>
        <w:pStyle w:val="SingleTxtG"/>
      </w:pPr>
      <w:r w:rsidRPr="001561A6">
        <w:t>9.</w:t>
      </w:r>
      <w:r w:rsidRPr="001561A6">
        <w:tab/>
        <w:t>Le droit de produire des preuves contraires est quant à lui garanti par l</w:t>
      </w:r>
      <w:r w:rsidR="009258E3">
        <w:t>’</w:t>
      </w:r>
      <w:r w:rsidRPr="001561A6">
        <w:t>article 180.II de la Constitution</w:t>
      </w:r>
      <w:r w:rsidR="003731A3">
        <w:rPr>
          <w:rStyle w:val="Appelnotedebasdep"/>
        </w:rPr>
        <w:footnoteReference w:id="6"/>
      </w:r>
      <w:r w:rsidRPr="001561A6">
        <w:t>, de telle sorte que toute personne peut former les recours judiciaires qu</w:t>
      </w:r>
      <w:r w:rsidR="009258E3">
        <w:t>’</w:t>
      </w:r>
      <w:r w:rsidRPr="001561A6">
        <w:t>elle juge pertinents.</w:t>
      </w:r>
    </w:p>
    <w:p w14:paraId="1BAF0A1F" w14:textId="77777777" w:rsidR="001960EC" w:rsidRPr="001561A6" w:rsidRDefault="001960EC" w:rsidP="001960EC">
      <w:pPr>
        <w:pStyle w:val="SingleTxtG"/>
      </w:pPr>
      <w:r w:rsidRPr="001561A6">
        <w:t>10.</w:t>
      </w:r>
      <w:r w:rsidRPr="001561A6">
        <w:tab/>
        <w:t>De même, toute personne qui estime que sa vie est en danger ou qu</w:t>
      </w:r>
      <w:r w:rsidR="009258E3">
        <w:t>’</w:t>
      </w:r>
      <w:r w:rsidRPr="001561A6">
        <w:t>elle est illégalement poursuivie ou indûment jugée ou privée de sa liberté individuelle a la possibilité d</w:t>
      </w:r>
      <w:r w:rsidR="009258E3">
        <w:t>’</w:t>
      </w:r>
      <w:r w:rsidRPr="001561A6">
        <w:t>interjeter appel auprès de la juridiction constitutionnelle pour faire une demande de mise en liberté</w:t>
      </w:r>
      <w:r w:rsidRPr="001561A6">
        <w:rPr>
          <w:rStyle w:val="Appelnotedebasdep"/>
        </w:rPr>
        <w:footnoteReference w:id="7"/>
      </w:r>
      <w:r w:rsidRPr="001561A6">
        <w:t xml:space="preserve"> prévue par la Constitution. L</w:t>
      </w:r>
      <w:r w:rsidR="009258E3">
        <w:t>’</w:t>
      </w:r>
      <w:r w:rsidRPr="001561A6">
        <w:t>article 46 du Code de procédure constitutionnelle</w:t>
      </w:r>
      <w:r w:rsidRPr="001561A6">
        <w:rPr>
          <w:rStyle w:val="Appelnotedebasdep"/>
        </w:rPr>
        <w:footnoteReference w:id="8"/>
      </w:r>
      <w:r w:rsidRPr="001561A6">
        <w:t xml:space="preserve"> vise quant à lui à garantir, protéger et sauvegarder les droits à la vie, à l</w:t>
      </w:r>
      <w:r w:rsidR="009258E3">
        <w:t>’</w:t>
      </w:r>
      <w:r w:rsidRPr="001561A6">
        <w:t>intégrité physique, à la liberté individuelle et à la liberté de circulation de toute personne qui s</w:t>
      </w:r>
      <w:r w:rsidR="009258E3">
        <w:t>’</w:t>
      </w:r>
      <w:r w:rsidRPr="001561A6">
        <w:t>estime indûment ou illégalement persécutée, détenue, jugée, emprisonnée ou qui considère que sa vie ou son intégrité physique est en danger. La procédure correspondante est encadrée par l</w:t>
      </w:r>
      <w:r w:rsidR="009258E3">
        <w:t>’</w:t>
      </w:r>
      <w:r w:rsidRPr="001561A6">
        <w:t>article 49 du Code de procédure constitutionnelle.</w:t>
      </w:r>
    </w:p>
    <w:p w14:paraId="2523FCEA" w14:textId="77777777" w:rsidR="001960EC" w:rsidRPr="001561A6" w:rsidRDefault="001960EC" w:rsidP="001960EC">
      <w:pPr>
        <w:pStyle w:val="SingleTxtG"/>
      </w:pPr>
      <w:r w:rsidRPr="001561A6">
        <w:t>11.</w:t>
      </w:r>
      <w:r w:rsidRPr="001561A6">
        <w:tab/>
        <w:t>L</w:t>
      </w:r>
      <w:r w:rsidR="009258E3">
        <w:t>’</w:t>
      </w:r>
      <w:r w:rsidRPr="001561A6">
        <w:t>article 73.II de la Constitution dispose que toute personne privée de liberté a le droit de communiquer librement avec son conseil, son interprète, les membres de sa famille et ses proches. La mise au secret est interdite. Le droit de communiquer ne peut être restreint que dans le cadre d</w:t>
      </w:r>
      <w:r w:rsidR="009258E3">
        <w:t>’</w:t>
      </w:r>
      <w:r w:rsidRPr="001561A6">
        <w:t>une enquête pénale, et pour une durée n</w:t>
      </w:r>
      <w:r w:rsidR="009258E3">
        <w:t>’</w:t>
      </w:r>
      <w:r w:rsidRPr="001561A6">
        <w:t>excédant pas vingt-quatre heures.</w:t>
      </w:r>
    </w:p>
    <w:p w14:paraId="70AA5294" w14:textId="77777777" w:rsidR="001960EC" w:rsidRPr="001561A6" w:rsidRDefault="001960EC" w:rsidP="001960EC">
      <w:pPr>
        <w:pStyle w:val="SingleTxtG"/>
      </w:pPr>
      <w:r w:rsidRPr="001561A6">
        <w:t>12.</w:t>
      </w:r>
      <w:r w:rsidRPr="001561A6">
        <w:tab/>
        <w:t>La Constitution interdit également la mise au secret des personnes privées de liberté, et garantit la protection efficace et en temps utile de ce droit par les juges et les tribunaux. Cela étant, la même norme constitutionnelle prévoit la possibilité de restreindre à titre exceptionnel l</w:t>
      </w:r>
      <w:r w:rsidR="009258E3">
        <w:t>’</w:t>
      </w:r>
      <w:r w:rsidRPr="001561A6">
        <w:t>exercice du droit de communiquer, dans le cadre d</w:t>
      </w:r>
      <w:r w:rsidR="009258E3">
        <w:t>’</w:t>
      </w:r>
      <w:r w:rsidRPr="001561A6">
        <w:t>une enquête pénale et pour une durée maximale de vingt-quatre heures, conformément à l</w:t>
      </w:r>
      <w:r w:rsidR="009258E3">
        <w:t>’</w:t>
      </w:r>
      <w:r w:rsidRPr="001561A6">
        <w:t>article 231 du Code de procédure pénale, qui dispose que la mise au secret ne peut être imposée que dans les cas extrêmement graves, lorsqu</w:t>
      </w:r>
      <w:r w:rsidR="009258E3">
        <w:t>’</w:t>
      </w:r>
      <w:r w:rsidRPr="001561A6">
        <w:t>il y a des raisons de craindre que l</w:t>
      </w:r>
      <w:r w:rsidR="009258E3">
        <w:t>’</w:t>
      </w:r>
      <w:r w:rsidRPr="001561A6">
        <w:t>accusé fasse obstruction à la manifestation de la vérité. La mise au secret ne peut en aucun cas excéder vingt-quatre heures et n</w:t>
      </w:r>
      <w:r w:rsidR="009258E3">
        <w:t>’</w:t>
      </w:r>
      <w:r w:rsidRPr="001561A6">
        <w:t>empêche pas que l</w:t>
      </w:r>
      <w:r w:rsidR="009258E3">
        <w:t>’</w:t>
      </w:r>
      <w:r w:rsidRPr="001561A6">
        <w:t>accusé puisse être représenté par son conseil pour tout acte nécessitant qu</w:t>
      </w:r>
      <w:r w:rsidR="009258E3">
        <w:t>’</w:t>
      </w:r>
      <w:r w:rsidRPr="001561A6">
        <w:t>il intervienne à titre personnel. La mise au secret est décidée par le procureur chargé de l</w:t>
      </w:r>
      <w:r w:rsidR="009258E3">
        <w:t>’</w:t>
      </w:r>
      <w:r w:rsidRPr="001561A6">
        <w:t>enquête sur le fondement des motifs énoncés à l</w:t>
      </w:r>
      <w:r w:rsidR="009258E3">
        <w:t>’</w:t>
      </w:r>
      <w:r w:rsidRPr="001561A6">
        <w:t>article 235 du Code de procédure pénale, décision que le procureur communique immédiatement au juge d</w:t>
      </w:r>
      <w:r w:rsidR="009258E3">
        <w:t>’</w:t>
      </w:r>
      <w:r w:rsidRPr="001561A6">
        <w:t>instruction pour approbation ou annulation. La personne mise au secret est autorisée à avoir des livres et de quoi écrire, et elle peut également accomplir les actes civils qui ne peuvent être reportés et qui ne portent pas préjudice à l</w:t>
      </w:r>
      <w:r w:rsidR="009258E3">
        <w:t>’</w:t>
      </w:r>
      <w:r w:rsidRPr="001561A6">
        <w:t>enquête.</w:t>
      </w:r>
    </w:p>
    <w:p w14:paraId="512EF319" w14:textId="77777777" w:rsidR="001960EC" w:rsidRPr="001561A6" w:rsidRDefault="001960EC" w:rsidP="001960EC">
      <w:pPr>
        <w:pStyle w:val="SingleTxtG"/>
      </w:pPr>
      <w:r w:rsidRPr="001561A6">
        <w:t>13.</w:t>
      </w:r>
      <w:r w:rsidRPr="001561A6">
        <w:tab/>
        <w:t>En ce qui concerne la représentation en justice, l</w:t>
      </w:r>
      <w:r w:rsidR="009258E3">
        <w:t>’</w:t>
      </w:r>
      <w:r w:rsidRPr="001561A6">
        <w:t>article 9 du Code de procédure pénale dispose que toute personne mise en cause a le droit de se faire assister d</w:t>
      </w:r>
      <w:r w:rsidR="009258E3">
        <w:t>’</w:t>
      </w:r>
      <w:r w:rsidRPr="001561A6">
        <w:t>un défenseur et de bénéficier des services d</w:t>
      </w:r>
      <w:r w:rsidR="009258E3">
        <w:t>’</w:t>
      </w:r>
      <w:r w:rsidRPr="001561A6">
        <w:t>un avocat depuis le début de la procédure jusqu</w:t>
      </w:r>
      <w:r w:rsidR="009258E3">
        <w:t>’</w:t>
      </w:r>
      <w:r w:rsidRPr="001561A6">
        <w:t>à l</w:t>
      </w:r>
      <w:r w:rsidR="009258E3">
        <w:t>’</w:t>
      </w:r>
      <w:r w:rsidRPr="001561A6">
        <w:t>exécution du jugement. Ce droit est inaliénable.</w:t>
      </w:r>
    </w:p>
    <w:p w14:paraId="1130DF53" w14:textId="77777777" w:rsidR="001960EC" w:rsidRPr="001561A6" w:rsidRDefault="001960EC" w:rsidP="001960EC">
      <w:pPr>
        <w:pStyle w:val="SingleTxtG"/>
      </w:pPr>
      <w:r w:rsidRPr="001561A6">
        <w:t>14.</w:t>
      </w:r>
      <w:r w:rsidRPr="001561A6">
        <w:tab/>
        <w:t>L</w:t>
      </w:r>
      <w:r w:rsidR="009258E3">
        <w:t>’</w:t>
      </w:r>
      <w:r w:rsidRPr="001561A6">
        <w:t>article 296 (par.</w:t>
      </w:r>
      <w:r w:rsidR="0064636D" w:rsidRPr="001561A6">
        <w:t> </w:t>
      </w:r>
      <w:r w:rsidRPr="001561A6">
        <w:t>7) de ce même Code, qui fixe les règles de conduite applicables aux forces de police, prévoit que, lorsqu</w:t>
      </w:r>
      <w:r w:rsidR="009258E3">
        <w:t>’</w:t>
      </w:r>
      <w:r w:rsidRPr="001561A6">
        <w:t>ils procèdent à une arrestation, les policiers boliviens doivent informer les membres de la famille et les proches de l</w:t>
      </w:r>
      <w:r w:rsidR="009258E3">
        <w:t>’</w:t>
      </w:r>
      <w:r w:rsidRPr="001561A6">
        <w:t>intéressé de son arrestation et du lieu où il sera conduit.</w:t>
      </w:r>
    </w:p>
    <w:p w14:paraId="1AF43372" w14:textId="77777777" w:rsidR="001960EC" w:rsidRPr="001561A6" w:rsidRDefault="001960EC" w:rsidP="001960EC">
      <w:pPr>
        <w:pStyle w:val="SingleTxtG"/>
      </w:pPr>
      <w:r w:rsidRPr="001561A6">
        <w:t>15.</w:t>
      </w:r>
      <w:r w:rsidRPr="001561A6">
        <w:tab/>
        <w:t>L</w:t>
      </w:r>
      <w:r w:rsidR="009258E3">
        <w:t>’</w:t>
      </w:r>
      <w:r w:rsidRPr="001561A6">
        <w:t>article 8 de la loi sur le suivi de l</w:t>
      </w:r>
      <w:r w:rsidR="009258E3">
        <w:t>’</w:t>
      </w:r>
      <w:r w:rsidRPr="001561A6">
        <w:t>exécution des peines garantit à tout détenu le droit d</w:t>
      </w:r>
      <w:r w:rsidR="009258E3">
        <w:t>’</w:t>
      </w:r>
      <w:r w:rsidRPr="001561A6">
        <w:t>exercer sa défense matérielle et technique sans restriction. À cette fin, il a le droit de s</w:t>
      </w:r>
      <w:r w:rsidR="009258E3">
        <w:t>’</w:t>
      </w:r>
      <w:r w:rsidRPr="001561A6">
        <w:t>entretenir avec son conseil, sans limite de temps ni aucune autre restriction. Cette disposition prévoit en outre l</w:t>
      </w:r>
      <w:r w:rsidR="009258E3">
        <w:t>’</w:t>
      </w:r>
      <w:r w:rsidRPr="001561A6">
        <w:t>accès des détenus à l</w:t>
      </w:r>
      <w:r w:rsidR="009258E3">
        <w:t>’</w:t>
      </w:r>
      <w:r w:rsidRPr="001561A6">
        <w:t>aide judiciaire dans les établissements pénitentiaires. Ce service est assuré par le Service plurinational de défense publique, qui doit fournir des conseils juridiques.</w:t>
      </w:r>
    </w:p>
    <w:p w14:paraId="25664A0C" w14:textId="77777777" w:rsidR="001960EC" w:rsidRPr="001561A6" w:rsidRDefault="001960EC" w:rsidP="001960EC">
      <w:pPr>
        <w:pStyle w:val="SingleTxtG"/>
      </w:pPr>
      <w:r w:rsidRPr="001561A6">
        <w:t>16.</w:t>
      </w:r>
      <w:r w:rsidRPr="001561A6">
        <w:tab/>
        <w:t>Il convient également de préciser que le Service plurinational de défense publique, qui est présent dans l</w:t>
      </w:r>
      <w:r w:rsidR="009258E3">
        <w:t>’</w:t>
      </w:r>
      <w:r w:rsidRPr="001561A6">
        <w:t>ensemble du pays, est chargé de la défense publique des personnes visées par une plainte pénale, inculpées ou faisant l</w:t>
      </w:r>
      <w:r w:rsidR="009258E3">
        <w:t>’</w:t>
      </w:r>
      <w:r w:rsidRPr="001561A6">
        <w:t>objet de poursuites pénales. Cette institution a pour mission de garantir l</w:t>
      </w:r>
      <w:r w:rsidR="009258E3">
        <w:t>’</w:t>
      </w:r>
      <w:r w:rsidRPr="001561A6">
        <w:t>inviolabilité du droit à la défense et l</w:t>
      </w:r>
      <w:r w:rsidR="009258E3">
        <w:t>’</w:t>
      </w:r>
      <w:r w:rsidRPr="001561A6">
        <w:t>accès à une justice appropriée et gratuite, en fournissant des services d</w:t>
      </w:r>
      <w:r w:rsidR="009258E3">
        <w:t>’</w:t>
      </w:r>
      <w:r w:rsidRPr="001561A6">
        <w:t>assistance technique et de défense pénale à toute personne visée par une plainte pénale, inculpée ou faisant l</w:t>
      </w:r>
      <w:r w:rsidR="009258E3">
        <w:t>’</w:t>
      </w:r>
      <w:r w:rsidRPr="001561A6">
        <w:t>objet de poursuites pénales et dépourvue de ressources financières ou à qui un avocat n</w:t>
      </w:r>
      <w:r w:rsidR="009258E3">
        <w:t>’</w:t>
      </w:r>
      <w:r w:rsidRPr="001561A6">
        <w:t>a pas été commis d</w:t>
      </w:r>
      <w:r w:rsidR="009258E3">
        <w:t>’</w:t>
      </w:r>
      <w:r w:rsidRPr="001561A6">
        <w:t>office.</w:t>
      </w:r>
    </w:p>
    <w:p w14:paraId="60337996" w14:textId="77777777" w:rsidR="001960EC" w:rsidRPr="001561A6" w:rsidRDefault="001960EC" w:rsidP="001960EC">
      <w:pPr>
        <w:pStyle w:val="SingleTxtG"/>
        <w:rPr>
          <w:spacing w:val="-1"/>
        </w:rPr>
      </w:pPr>
      <w:r w:rsidRPr="001561A6">
        <w:rPr>
          <w:spacing w:val="-1"/>
        </w:rPr>
        <w:t>17.</w:t>
      </w:r>
      <w:r w:rsidRPr="001561A6">
        <w:rPr>
          <w:spacing w:val="-1"/>
        </w:rPr>
        <w:tab/>
        <w:t>Ainsi, dès le début de la procédure, la personne privée de liberté ou soupçonnée d</w:t>
      </w:r>
      <w:r w:rsidR="009258E3">
        <w:rPr>
          <w:spacing w:val="-1"/>
        </w:rPr>
        <w:t>’</w:t>
      </w:r>
      <w:r w:rsidRPr="001561A6">
        <w:rPr>
          <w:spacing w:val="-1"/>
        </w:rPr>
        <w:t>avoir commis un fait délictueux jouit du droit inaliénable d</w:t>
      </w:r>
      <w:r w:rsidR="009258E3">
        <w:rPr>
          <w:spacing w:val="-1"/>
        </w:rPr>
        <w:t>’</w:t>
      </w:r>
      <w:r w:rsidRPr="001561A6">
        <w:rPr>
          <w:spacing w:val="-1"/>
        </w:rPr>
        <w:t xml:space="preserve">être assistée et défendue </w:t>
      </w:r>
      <w:r w:rsidR="00D52115" w:rsidRPr="001561A6">
        <w:rPr>
          <w:spacing w:val="-1"/>
        </w:rPr>
        <w:t>−</w:t>
      </w:r>
      <w:r w:rsidRPr="001561A6">
        <w:rPr>
          <w:spacing w:val="-1"/>
        </w:rPr>
        <w:t xml:space="preserve"> que ce soit par une personne exerçant à son compte ou par un défenseur public. Elle jouit également du droit d</w:t>
      </w:r>
      <w:r w:rsidR="009258E3">
        <w:rPr>
          <w:spacing w:val="-1"/>
        </w:rPr>
        <w:t>’</w:t>
      </w:r>
      <w:r w:rsidRPr="001561A6">
        <w:rPr>
          <w:spacing w:val="-1"/>
        </w:rPr>
        <w:t>entrer en relation et de communiquer avec ses proches, conformément aux articles</w:t>
      </w:r>
      <w:r w:rsidR="00DB7943" w:rsidRPr="001561A6">
        <w:rPr>
          <w:spacing w:val="-1"/>
        </w:rPr>
        <w:t> </w:t>
      </w:r>
      <w:r w:rsidRPr="001561A6">
        <w:rPr>
          <w:spacing w:val="-1"/>
        </w:rPr>
        <w:t>103.2 (visites), 104.2 (entretiens), 105.2 (visites du conseil), 106.2 (visites du conjoint) et 156.2 (droits de la personne en détention provisoire) de la loi sur le suivi de l</w:t>
      </w:r>
      <w:r w:rsidR="009258E3">
        <w:rPr>
          <w:spacing w:val="-1"/>
        </w:rPr>
        <w:t>’</w:t>
      </w:r>
      <w:r w:rsidRPr="001561A6">
        <w:rPr>
          <w:spacing w:val="-1"/>
        </w:rPr>
        <w:t>exécution des peines.</w:t>
      </w:r>
    </w:p>
    <w:p w14:paraId="31CC576B" w14:textId="77777777" w:rsidR="001960EC" w:rsidRPr="001561A6" w:rsidRDefault="001960EC" w:rsidP="001960EC">
      <w:pPr>
        <w:pStyle w:val="SingleTxtG"/>
      </w:pPr>
      <w:r w:rsidRPr="001561A6">
        <w:t>18.</w:t>
      </w:r>
      <w:r w:rsidRPr="001561A6">
        <w:tab/>
        <w:t>La Constitution impose également d</w:t>
      </w:r>
      <w:r w:rsidR="009258E3">
        <w:t>’</w:t>
      </w:r>
      <w:r w:rsidRPr="001561A6">
        <w:t>informer les détenus des motifs de leur détention (art.</w:t>
      </w:r>
      <w:r w:rsidR="0064636D" w:rsidRPr="001561A6">
        <w:t> </w:t>
      </w:r>
      <w:r w:rsidRPr="001561A6">
        <w:t>23), et les responsables des centres de détention tiennent un registre des personnes privées de liberté, ce qui leur interdit d</w:t>
      </w:r>
      <w:r w:rsidR="009258E3">
        <w:t>’</w:t>
      </w:r>
      <w:r w:rsidRPr="001561A6">
        <w:t>admettre quiconque dans leur établissement en l</w:t>
      </w:r>
      <w:r w:rsidR="009258E3">
        <w:t>’</w:t>
      </w:r>
      <w:r w:rsidRPr="001561A6">
        <w:t>absence d</w:t>
      </w:r>
      <w:r w:rsidR="009258E3">
        <w:t>’</w:t>
      </w:r>
      <w:r w:rsidRPr="001561A6">
        <w:t>une décision de justice, faute de quoi ils s</w:t>
      </w:r>
      <w:r w:rsidR="009258E3">
        <w:t>’</w:t>
      </w:r>
      <w:r w:rsidRPr="001561A6">
        <w:t>exposeraient à des poursuites et à des sanctions, conformément à l</w:t>
      </w:r>
      <w:r w:rsidR="009258E3">
        <w:t>’</w:t>
      </w:r>
      <w:r w:rsidRPr="001561A6">
        <w:t>article 21 de la loi sur le suivi de l</w:t>
      </w:r>
      <w:r w:rsidR="009258E3">
        <w:t>’</w:t>
      </w:r>
      <w:r w:rsidRPr="001561A6">
        <w:t>exécution des peines, qui prévoit lui aussi que l</w:t>
      </w:r>
      <w:r w:rsidR="009258E3">
        <w:t>’</w:t>
      </w:r>
      <w:r w:rsidRPr="001561A6">
        <w:t>accès au dossier d</w:t>
      </w:r>
      <w:r w:rsidR="009258E3">
        <w:t>’</w:t>
      </w:r>
      <w:r w:rsidRPr="001561A6">
        <w:t>une personne privée de liberté n</w:t>
      </w:r>
      <w:r w:rsidR="009258E3">
        <w:t>’</w:t>
      </w:r>
      <w:r w:rsidRPr="001561A6">
        <w:t>est possible que sur décision de justice.</w:t>
      </w:r>
    </w:p>
    <w:p w14:paraId="07427B3E" w14:textId="77777777" w:rsidR="001960EC" w:rsidRPr="001561A6" w:rsidRDefault="001960EC" w:rsidP="001960EC">
      <w:pPr>
        <w:pStyle w:val="SingleTxtG"/>
      </w:pPr>
      <w:r w:rsidRPr="001561A6">
        <w:t>19.</w:t>
      </w:r>
      <w:r w:rsidRPr="001561A6">
        <w:tab/>
        <w:t>Conformément à l</w:t>
      </w:r>
      <w:r w:rsidR="009258E3">
        <w:t>’</w:t>
      </w:r>
      <w:r w:rsidRPr="001561A6">
        <w:t>article 2 de la loi sur le suivi de l</w:t>
      </w:r>
      <w:r w:rsidR="009258E3">
        <w:t>’</w:t>
      </w:r>
      <w:r w:rsidRPr="001561A6">
        <w:t>exécution des peines, la Direction générale du système pénitentiaire veille, par l</w:t>
      </w:r>
      <w:r w:rsidR="009258E3">
        <w:t>’</w:t>
      </w:r>
      <w:r w:rsidRPr="001561A6">
        <w:t>intermédiaire des directeurs des établissements pénitentiaires et autres lieux de détention placés sous son autorité, à ce que le placement en détention soit subordonné à la présentation d</w:t>
      </w:r>
      <w:r w:rsidR="009258E3">
        <w:t>’</w:t>
      </w:r>
      <w:r w:rsidRPr="001561A6">
        <w:t>une ordonnance signée par l</w:t>
      </w:r>
      <w:r w:rsidR="009258E3">
        <w:t>’</w:t>
      </w:r>
      <w:r w:rsidRPr="001561A6">
        <w:t>autorité judiciaire compétente.</w:t>
      </w:r>
    </w:p>
    <w:p w14:paraId="1C7EA50F" w14:textId="77777777" w:rsidR="001960EC" w:rsidRPr="001561A6" w:rsidRDefault="001960EC" w:rsidP="001960EC">
      <w:pPr>
        <w:pStyle w:val="SingleTxtG"/>
      </w:pPr>
      <w:r w:rsidRPr="001561A6">
        <w:t>20.</w:t>
      </w:r>
      <w:r w:rsidRPr="001561A6">
        <w:tab/>
        <w:t>Conformément à la loi sur le suivi de l</w:t>
      </w:r>
      <w:r w:rsidR="009258E3">
        <w:t>’</w:t>
      </w:r>
      <w:r w:rsidRPr="001561A6">
        <w:t>exécution des peines et à son décret réglementaire</w:t>
      </w:r>
      <w:r w:rsidRPr="001561A6">
        <w:rPr>
          <w:rStyle w:val="Appelnotedebasdep"/>
        </w:rPr>
        <w:footnoteReference w:id="9"/>
      </w:r>
      <w:r w:rsidRPr="001561A6">
        <w:t>, le transfert de détenus doit être organisé dans des conditions garantissant le strict respect des droits fondamentaux.</w:t>
      </w:r>
    </w:p>
    <w:p w14:paraId="418EF861" w14:textId="77777777" w:rsidR="001960EC" w:rsidRPr="001561A6" w:rsidRDefault="001960EC" w:rsidP="001960EC">
      <w:pPr>
        <w:pStyle w:val="SingleTxtG"/>
      </w:pPr>
      <w:r w:rsidRPr="001561A6">
        <w:t>21.</w:t>
      </w:r>
      <w:r w:rsidRPr="001561A6">
        <w:tab/>
        <w:t>En ce qui concerne l</w:t>
      </w:r>
      <w:r w:rsidR="009258E3">
        <w:t>’</w:t>
      </w:r>
      <w:r w:rsidRPr="001561A6">
        <w:t>assistance consulaire aux étrangers, la Convention de Vienne sur les relations consulaires du 24</w:t>
      </w:r>
      <w:r w:rsidR="0064636D" w:rsidRPr="001561A6">
        <w:t> </w:t>
      </w:r>
      <w:r w:rsidRPr="001561A6">
        <w:t>avril 1963 encadre le droit de communication avec les autorités consulaires de tout étranger interpellé, arrêté ou détenu dans le pays, et le ministère public a l</w:t>
      </w:r>
      <w:r w:rsidR="009258E3">
        <w:t>’</w:t>
      </w:r>
      <w:r w:rsidRPr="001561A6">
        <w:t>obligation de faire respecter les dispositions de ce texte, notamment celles qui ont trait au fait d</w:t>
      </w:r>
      <w:r w:rsidR="009258E3">
        <w:t>’</w:t>
      </w:r>
      <w:r w:rsidRPr="001561A6">
        <w:t>informer officiellement les représentations diplomatiques ou consulaires du placement en détention de tout citoyen étranger sur le territoire bolivien ou de poursuites engagées contre lui. L</w:t>
      </w:r>
      <w:r w:rsidR="009258E3">
        <w:t>’</w:t>
      </w:r>
      <w:r w:rsidRPr="001561A6">
        <w:t xml:space="preserve">instruction </w:t>
      </w:r>
      <w:r w:rsidRPr="001561A6">
        <w:rPr>
          <w:rFonts w:eastAsia="MS Mincho"/>
          <w:szCs w:val="22"/>
        </w:rPr>
        <w:t>n</w:t>
      </w:r>
      <w:r w:rsidRPr="001561A6">
        <w:rPr>
          <w:rFonts w:eastAsia="MS Mincho"/>
          <w:szCs w:val="22"/>
          <w:vertAlign w:val="superscript"/>
        </w:rPr>
        <w:t>o</w:t>
      </w:r>
      <w:r w:rsidRPr="001561A6">
        <w:t> 270/15 du Bureau du Procureur général de l</w:t>
      </w:r>
      <w:r w:rsidR="009258E3">
        <w:t>’</w:t>
      </w:r>
      <w:r w:rsidRPr="001561A6">
        <w:t>État, qui est en vigueur, dispose que les personnes interpellées, arrêtées ou détenues dont on sait qu</w:t>
      </w:r>
      <w:r w:rsidR="009258E3">
        <w:t>’</w:t>
      </w:r>
      <w:r w:rsidRPr="001561A6">
        <w:t>elles sont de nationalité étrangère doivent être expressément informées par le Procureur en charge de l</w:t>
      </w:r>
      <w:r w:rsidR="009258E3">
        <w:t>’</w:t>
      </w:r>
      <w:r w:rsidRPr="001561A6">
        <w:t>affaire de leur droit de signaler leur situation à la mission diplomatique de leur pays (ambassade ou consulat), ainsi que de leur droit de s</w:t>
      </w:r>
      <w:r w:rsidR="009258E3">
        <w:t>’</w:t>
      </w:r>
      <w:r w:rsidRPr="001561A6">
        <w:t>opposer expressément à ce qu</w:t>
      </w:r>
      <w:r w:rsidR="009258E3">
        <w:t>’</w:t>
      </w:r>
      <w:r w:rsidRPr="001561A6">
        <w:t>un fonctionnaire consulaire intervienne dans leur affaire, cette information devant être consignée dans le procès-verbal d</w:t>
      </w:r>
      <w:r w:rsidR="009258E3">
        <w:t>’</w:t>
      </w:r>
      <w:r w:rsidRPr="001561A6">
        <w:t>enquête.</w:t>
      </w:r>
    </w:p>
    <w:p w14:paraId="24DB8977" w14:textId="77777777" w:rsidR="001960EC" w:rsidRPr="001561A6" w:rsidRDefault="001960EC" w:rsidP="001960EC">
      <w:pPr>
        <w:pStyle w:val="SingleTxtG"/>
      </w:pPr>
      <w:r w:rsidRPr="001561A6">
        <w:t>22.</w:t>
      </w:r>
      <w:r w:rsidRPr="001561A6">
        <w:tab/>
        <w:t>Enfin, l</w:t>
      </w:r>
      <w:r w:rsidR="009258E3">
        <w:t>’</w:t>
      </w:r>
      <w:r w:rsidRPr="001561A6">
        <w:t xml:space="preserve">instruction </w:t>
      </w:r>
      <w:r w:rsidRPr="001561A6">
        <w:rPr>
          <w:rFonts w:eastAsia="MS Mincho"/>
          <w:szCs w:val="22"/>
        </w:rPr>
        <w:t>n</w:t>
      </w:r>
      <w:r w:rsidRPr="001561A6">
        <w:rPr>
          <w:rFonts w:eastAsia="MS Mincho"/>
          <w:szCs w:val="22"/>
          <w:vertAlign w:val="superscript"/>
        </w:rPr>
        <w:t>o</w:t>
      </w:r>
      <w:r w:rsidRPr="001561A6">
        <w:t> 002/2014 du Bureau du Procureur général de l</w:t>
      </w:r>
      <w:r w:rsidR="009258E3">
        <w:t>’</w:t>
      </w:r>
      <w:r w:rsidRPr="001561A6">
        <w:t>État précise les modalités concrètes à mettre en place pour faciliter l</w:t>
      </w:r>
      <w:r w:rsidR="009258E3">
        <w:t>’</w:t>
      </w:r>
      <w:r w:rsidRPr="001561A6">
        <w:t>accès des fonctionnaires diplomatiques et consulaires aux informations relatives à leurs ressortissants faisant l</w:t>
      </w:r>
      <w:r w:rsidR="009258E3">
        <w:t>’</w:t>
      </w:r>
      <w:r w:rsidRPr="001561A6">
        <w:t>objet d</w:t>
      </w:r>
      <w:r w:rsidR="009258E3">
        <w:t>’</w:t>
      </w:r>
      <w:r w:rsidRPr="001561A6">
        <w:t>une enquête sur le territoire bolivien.</w:t>
      </w:r>
    </w:p>
    <w:p w14:paraId="1535671C" w14:textId="77777777" w:rsidR="001960EC" w:rsidRPr="001561A6" w:rsidRDefault="001960EC" w:rsidP="001960EC">
      <w:pPr>
        <w:pStyle w:val="H23G"/>
      </w:pPr>
      <w:r w:rsidRPr="001561A6">
        <w:tab/>
      </w:r>
      <w:r w:rsidRPr="001561A6">
        <w:tab/>
        <w:t>Réponse à la question posée au paragraphe 4 de la liste de points</w:t>
      </w:r>
    </w:p>
    <w:p w14:paraId="3CC15E96" w14:textId="77777777" w:rsidR="001960EC" w:rsidRPr="001561A6" w:rsidRDefault="001960EC" w:rsidP="001960EC">
      <w:pPr>
        <w:pStyle w:val="H4G"/>
      </w:pPr>
      <w:r w:rsidRPr="001561A6">
        <w:tab/>
      </w:r>
      <w:r w:rsidRPr="001561A6">
        <w:tab/>
        <w:t>Service de prévention de la torture</w:t>
      </w:r>
    </w:p>
    <w:p w14:paraId="615669EC" w14:textId="77777777" w:rsidR="001960EC" w:rsidRPr="001561A6" w:rsidRDefault="001960EC" w:rsidP="001960EC">
      <w:pPr>
        <w:pStyle w:val="SingleTxtG"/>
      </w:pPr>
      <w:r w:rsidRPr="001561A6">
        <w:t>23.</w:t>
      </w:r>
      <w:r w:rsidRPr="001561A6">
        <w:tab/>
        <w:t>Comme indiqué au paragraphe 198 du troisième rapport périodique, le Service de prévention de la torture</w:t>
      </w:r>
      <w:r w:rsidRPr="001561A6">
        <w:rPr>
          <w:rStyle w:val="Appelnotedebasdep"/>
        </w:rPr>
        <w:footnoteReference w:id="10"/>
      </w:r>
      <w:r w:rsidRPr="001561A6">
        <w:t xml:space="preserve"> est une institution publique décentralisée d</w:t>
      </w:r>
      <w:r w:rsidR="009258E3">
        <w:t>’</w:t>
      </w:r>
      <w:r w:rsidRPr="001561A6">
        <w:t>envergure nationale, qui jouit d</w:t>
      </w:r>
      <w:r w:rsidR="009258E3">
        <w:t>’</w:t>
      </w:r>
      <w:r w:rsidRPr="001561A6">
        <w:t>une autonomie de gestion administrative, financière, juridique et technique. Il dispose de ressources humaines et financières qui lui permettent de fonctionner de manière indépendante. Par conséquent, la création du mécanisme national de prévention de la torture et autres peines ou traitements cruels, inhumains, dégradants ou humiliants de l</w:t>
      </w:r>
      <w:r w:rsidR="009258E3">
        <w:t>’</w:t>
      </w:r>
      <w:r w:rsidRPr="001561A6">
        <w:t>État plurinational de Bolivie, en tant qu</w:t>
      </w:r>
      <w:r w:rsidR="009258E3">
        <w:t>’</w:t>
      </w:r>
      <w:r w:rsidRPr="001561A6">
        <w:t>institution décentralisée, a tenu compte de la portée de l</w:t>
      </w:r>
      <w:r w:rsidR="009258E3">
        <w:t>’</w:t>
      </w:r>
      <w:r w:rsidRPr="001561A6">
        <w:t>article 17 du Protocole facultatif se rapportant à la Convention.</w:t>
      </w:r>
    </w:p>
    <w:p w14:paraId="4B2A5CDF" w14:textId="77777777" w:rsidR="001960EC" w:rsidRPr="001561A6" w:rsidRDefault="001960EC" w:rsidP="001960EC">
      <w:pPr>
        <w:pStyle w:val="SingleTxtG"/>
      </w:pPr>
      <w:r w:rsidRPr="001561A6">
        <w:t>24.</w:t>
      </w:r>
      <w:r w:rsidRPr="001561A6">
        <w:tab/>
        <w:t xml:space="preserve">Le décret suprême </w:t>
      </w:r>
      <w:r w:rsidRPr="001561A6">
        <w:rPr>
          <w:rFonts w:eastAsia="MS Mincho"/>
          <w:szCs w:val="22"/>
        </w:rPr>
        <w:t>n</w:t>
      </w:r>
      <w:r w:rsidRPr="001561A6">
        <w:rPr>
          <w:rFonts w:eastAsia="MS Mincho"/>
          <w:szCs w:val="22"/>
          <w:vertAlign w:val="superscript"/>
        </w:rPr>
        <w:t>o</w:t>
      </w:r>
      <w:r w:rsidRPr="001561A6">
        <w:t> 2082 du 21 août 2014 réglemente la structure et le fonctionnement du Service de prévention de la torture, dont le champ de compétence s</w:t>
      </w:r>
      <w:r w:rsidR="009258E3">
        <w:t>’</w:t>
      </w:r>
      <w:r w:rsidRPr="001561A6">
        <w:t>étend aux centres de détention, établissements pénitentiaires, établissements spécialisés, établissements pour mineurs pénalement responsables (système pénal pour adolescents), pénitenciers militaires, centres de formation de la police et de l</w:t>
      </w:r>
      <w:r w:rsidR="009258E3">
        <w:t>’</w:t>
      </w:r>
      <w:r w:rsidRPr="001561A6">
        <w:t>armée, casernes et toute autre institution, sans exercer aucune forme de discrimination</w:t>
      </w:r>
      <w:r w:rsidR="00DB7943" w:rsidRPr="001561A6">
        <w:t>,</w:t>
      </w:r>
      <w:r w:rsidRPr="001561A6">
        <w:t xml:space="preserve"> et ce, sur l</w:t>
      </w:r>
      <w:r w:rsidR="009258E3">
        <w:t>’</w:t>
      </w:r>
      <w:r w:rsidRPr="001561A6">
        <w:t>ensemble du territoire bolivien.</w:t>
      </w:r>
    </w:p>
    <w:p w14:paraId="3339C48F" w14:textId="77777777" w:rsidR="001960EC" w:rsidRPr="001561A6" w:rsidRDefault="001960EC" w:rsidP="001960EC">
      <w:pPr>
        <w:pStyle w:val="SingleTxtG"/>
      </w:pPr>
      <w:r w:rsidRPr="001561A6">
        <w:t>25.</w:t>
      </w:r>
      <w:r w:rsidRPr="001561A6">
        <w:tab/>
        <w:t xml:space="preserve">En ce qui concerne les ressources nécessaires, la première disposition finale de la loi relative au Service de prévention de la torture (loi </w:t>
      </w:r>
      <w:r w:rsidRPr="001561A6">
        <w:rPr>
          <w:rFonts w:eastAsia="MS Mincho"/>
          <w:szCs w:val="22"/>
        </w:rPr>
        <w:t>n</w:t>
      </w:r>
      <w:r w:rsidRPr="001561A6">
        <w:rPr>
          <w:rFonts w:eastAsia="MS Mincho"/>
          <w:szCs w:val="22"/>
          <w:vertAlign w:val="superscript"/>
        </w:rPr>
        <w:t>o</w:t>
      </w:r>
      <w:r w:rsidRPr="001561A6">
        <w:t> 474) prévoit que le Ministère de l</w:t>
      </w:r>
      <w:r w:rsidR="009258E3">
        <w:t>’</w:t>
      </w:r>
      <w:r w:rsidRPr="001561A6">
        <w:t>économie et des finances publiques alloue les ressources économiques nécessaires. Sur la base de cet accord, la demande d</w:t>
      </w:r>
      <w:r w:rsidR="009258E3">
        <w:t>’</w:t>
      </w:r>
      <w:r w:rsidRPr="001561A6">
        <w:t>allocation de ressources économiques a été faite au moment du lancement des activités du Service de prévention de la torture le 1</w:t>
      </w:r>
      <w:r w:rsidRPr="001561A6">
        <w:rPr>
          <w:vertAlign w:val="superscript"/>
        </w:rPr>
        <w:t>er</w:t>
      </w:r>
      <w:r w:rsidR="0064636D" w:rsidRPr="001561A6">
        <w:t> </w:t>
      </w:r>
      <w:r w:rsidRPr="001561A6">
        <w:t>juillet 2016.</w:t>
      </w:r>
    </w:p>
    <w:p w14:paraId="4A366ADB" w14:textId="77777777" w:rsidR="001960EC" w:rsidRPr="001561A6" w:rsidRDefault="001960EC" w:rsidP="001960EC">
      <w:pPr>
        <w:pStyle w:val="SingleTxtG"/>
      </w:pPr>
      <w:r w:rsidRPr="001561A6">
        <w:t>26.</w:t>
      </w:r>
      <w:r w:rsidRPr="001561A6">
        <w:tab/>
        <w:t>En 2019, le personnel temporaire du Service de prévention de la torture a été titularisé, en application de l</w:t>
      </w:r>
      <w:r w:rsidR="009258E3">
        <w:t>’</w:t>
      </w:r>
      <w:r w:rsidRPr="001561A6">
        <w:t xml:space="preserve">arrêté </w:t>
      </w:r>
      <w:proofErr w:type="spellStart"/>
      <w:r w:rsidRPr="001561A6">
        <w:t>biministériel</w:t>
      </w:r>
      <w:proofErr w:type="spellEnd"/>
      <w:r w:rsidRPr="001561A6">
        <w:t xml:space="preserve"> </w:t>
      </w:r>
      <w:r w:rsidRPr="001561A6">
        <w:rPr>
          <w:rFonts w:eastAsia="MS Mincho"/>
          <w:szCs w:val="22"/>
        </w:rPr>
        <w:t>n</w:t>
      </w:r>
      <w:r w:rsidRPr="001561A6">
        <w:rPr>
          <w:rFonts w:eastAsia="MS Mincho"/>
          <w:szCs w:val="22"/>
          <w:vertAlign w:val="superscript"/>
        </w:rPr>
        <w:t>o</w:t>
      </w:r>
      <w:r w:rsidRPr="001561A6">
        <w:t> 31 du 28 décembre 2018 portant approbation de la structure organisationnelle, du barème des traitements et du calendrier budgétaire, composé de huit postes et de sept niveaux de rémunération pour un montant annuel de 769</w:t>
      </w:r>
      <w:r w:rsidR="0093563D" w:rsidRPr="001561A6">
        <w:t> </w:t>
      </w:r>
      <w:r w:rsidRPr="001561A6">
        <w:t>836</w:t>
      </w:r>
      <w:r w:rsidR="0093563D" w:rsidRPr="001561A6">
        <w:t xml:space="preserve"> </w:t>
      </w:r>
      <w:r w:rsidRPr="001561A6">
        <w:t>(sept</w:t>
      </w:r>
      <w:r w:rsidR="0093563D" w:rsidRPr="001561A6">
        <w:t> </w:t>
      </w:r>
      <w:r w:rsidRPr="001561A6">
        <w:t>cent soixante-neuf mille huit cent trente-six) bolivianos, financé par le Trésor public.</w:t>
      </w:r>
    </w:p>
    <w:p w14:paraId="24AE2349" w14:textId="77777777" w:rsidR="001960EC" w:rsidRPr="001561A6" w:rsidRDefault="001960EC" w:rsidP="001960EC">
      <w:pPr>
        <w:pStyle w:val="H23G"/>
      </w:pPr>
      <w:r w:rsidRPr="001561A6">
        <w:tab/>
      </w:r>
      <w:r w:rsidRPr="001561A6">
        <w:tab/>
        <w:t>Réponse à la question posée au paragraphe 5 de la liste de points</w:t>
      </w:r>
    </w:p>
    <w:p w14:paraId="478C652F" w14:textId="77777777" w:rsidR="001960EC" w:rsidRPr="001561A6" w:rsidRDefault="001960EC" w:rsidP="001960EC">
      <w:pPr>
        <w:pStyle w:val="H4G"/>
      </w:pPr>
      <w:r w:rsidRPr="001561A6">
        <w:tab/>
      </w:r>
      <w:r w:rsidRPr="001561A6">
        <w:tab/>
        <w:t>Lutte contre la violence fondée sur le genre</w:t>
      </w:r>
    </w:p>
    <w:p w14:paraId="7012A8B8" w14:textId="77777777" w:rsidR="001960EC" w:rsidRPr="001561A6" w:rsidRDefault="001960EC" w:rsidP="001960EC">
      <w:pPr>
        <w:pStyle w:val="SingleTxtG"/>
      </w:pPr>
      <w:r w:rsidRPr="001561A6">
        <w:t>27.</w:t>
      </w:r>
      <w:r w:rsidRPr="001561A6">
        <w:tab/>
        <w:t>Pour poursuivre la lutte contre la violence fondée sur le genre, le Cabinet spécial de lutte contre la violence à l</w:t>
      </w:r>
      <w:r w:rsidR="009258E3">
        <w:t>’</w:t>
      </w:r>
      <w:r w:rsidRPr="001561A6">
        <w:t>égard des femmes a été constitué en 2019, et le Service plurinational pour l</w:t>
      </w:r>
      <w:r w:rsidR="009258E3">
        <w:t>’</w:t>
      </w:r>
      <w:r w:rsidRPr="001561A6">
        <w:t>élimination des schémas patriarcaux et l</w:t>
      </w:r>
      <w:r w:rsidR="009258E3">
        <w:t>’</w:t>
      </w:r>
      <w:r w:rsidRPr="001561A6">
        <w:t>avancement des droits des femmes, dit « Ana María Romero », a été créé</w:t>
      </w:r>
      <w:r w:rsidRPr="001561A6">
        <w:rPr>
          <w:rStyle w:val="Appelnotedebasdep"/>
        </w:rPr>
        <w:footnoteReference w:id="11"/>
      </w:r>
      <w:r w:rsidRPr="001561A6">
        <w:t>. Celui-ci est chargé de suivre et d</w:t>
      </w:r>
      <w:r w:rsidR="009258E3">
        <w:t>’</w:t>
      </w:r>
      <w:r w:rsidRPr="001561A6">
        <w:t>évaluer l</w:t>
      </w:r>
      <w:r w:rsidR="009258E3">
        <w:t>’</w:t>
      </w:r>
      <w:r w:rsidRPr="001561A6">
        <w:t>application des politiques publiques en faveur de l</w:t>
      </w:r>
      <w:r w:rsidR="009258E3">
        <w:t>’</w:t>
      </w:r>
      <w:r w:rsidRPr="001561A6">
        <w:t>élimination des schémas patriarcaux et de l</w:t>
      </w:r>
      <w:r w:rsidR="009258E3">
        <w:t>’</w:t>
      </w:r>
      <w:r w:rsidRPr="001561A6">
        <w:t>exercice effectif de leurs droits par les femmes, ainsi que de contribuer à l</w:t>
      </w:r>
      <w:r w:rsidR="009258E3">
        <w:t>’</w:t>
      </w:r>
      <w:r w:rsidRPr="001561A6">
        <w:t>élimination de toutes les formes de violence et de discrimination à l</w:t>
      </w:r>
      <w:r w:rsidR="009258E3">
        <w:t>’</w:t>
      </w:r>
      <w:r w:rsidRPr="001561A6">
        <w:t>égard des femmes.</w:t>
      </w:r>
    </w:p>
    <w:p w14:paraId="16DF8339" w14:textId="77777777" w:rsidR="001960EC" w:rsidRPr="001561A6" w:rsidRDefault="001960EC" w:rsidP="001960EC">
      <w:pPr>
        <w:pStyle w:val="SingleTxtG"/>
      </w:pPr>
      <w:r w:rsidRPr="001561A6">
        <w:t>28.</w:t>
      </w:r>
      <w:r w:rsidRPr="001561A6">
        <w:tab/>
        <w:t>Le Cabinet a adopté le décalogue, qui a érigé en priorité nationale la lutte contre le féminicide et la violence à l</w:t>
      </w:r>
      <w:r w:rsidR="009258E3">
        <w:t>’</w:t>
      </w:r>
      <w:r w:rsidRPr="001561A6">
        <w:t>égard des femmes ainsi que le Plan d</w:t>
      </w:r>
      <w:r w:rsidR="009258E3">
        <w:t>’</w:t>
      </w:r>
      <w:r w:rsidRPr="001561A6">
        <w:t>action contre les féminicides et la violence machiste, comme pour répondre de manière stratégique aux taux élevés de violence.</w:t>
      </w:r>
    </w:p>
    <w:p w14:paraId="17B9D63C" w14:textId="77777777" w:rsidR="001960EC" w:rsidRPr="001561A6" w:rsidRDefault="001960EC" w:rsidP="001960EC">
      <w:pPr>
        <w:pStyle w:val="SingleTxtG"/>
      </w:pPr>
      <w:r w:rsidRPr="001561A6">
        <w:t>29.</w:t>
      </w:r>
      <w:r w:rsidRPr="001561A6">
        <w:tab/>
        <w:t>Les résultats suivants ont été enregistrés en 2019 :</w:t>
      </w:r>
    </w:p>
    <w:p w14:paraId="4F5C7BEF" w14:textId="77777777" w:rsidR="001960EC" w:rsidRPr="001561A6" w:rsidRDefault="001960EC" w:rsidP="001960EC">
      <w:pPr>
        <w:pStyle w:val="Bullet1G"/>
        <w:numPr>
          <w:ilvl w:val="0"/>
          <w:numId w:val="1"/>
        </w:numPr>
      </w:pPr>
      <w:r w:rsidRPr="001561A6">
        <w:tab/>
        <w:t xml:space="preserve">Promulgation du décret suprême </w:t>
      </w:r>
      <w:r w:rsidRPr="001561A6">
        <w:rPr>
          <w:rFonts w:eastAsia="MS Mincho"/>
          <w:szCs w:val="22"/>
        </w:rPr>
        <w:t>n</w:t>
      </w:r>
      <w:r w:rsidRPr="001561A6">
        <w:rPr>
          <w:rFonts w:eastAsia="MS Mincho"/>
          <w:szCs w:val="22"/>
          <w:vertAlign w:val="superscript"/>
        </w:rPr>
        <w:t>o</w:t>
      </w:r>
      <w:r w:rsidRPr="001561A6">
        <w:t> 4012 portant modification du décret réglementaire</w:t>
      </w:r>
      <w:r w:rsidRPr="001561A6">
        <w:rPr>
          <w:rStyle w:val="Appelnotedebasdep"/>
        </w:rPr>
        <w:footnoteReference w:id="12"/>
      </w:r>
      <w:r w:rsidRPr="001561A6">
        <w:t xml:space="preserve"> de la loi </w:t>
      </w:r>
      <w:r w:rsidRPr="001561A6">
        <w:rPr>
          <w:rFonts w:eastAsia="MS Mincho"/>
          <w:szCs w:val="22"/>
        </w:rPr>
        <w:t>n</w:t>
      </w:r>
      <w:r w:rsidRPr="001561A6">
        <w:rPr>
          <w:rFonts w:eastAsia="MS Mincho"/>
          <w:szCs w:val="22"/>
          <w:vertAlign w:val="superscript"/>
        </w:rPr>
        <w:t>o</w:t>
      </w:r>
      <w:r w:rsidRPr="001561A6">
        <w:t> 348</w:t>
      </w:r>
      <w:r w:rsidRPr="001561A6">
        <w:rPr>
          <w:rStyle w:val="Appelnotedebasdep"/>
        </w:rPr>
        <w:footnoteReference w:id="13"/>
      </w:r>
      <w:r w:rsidRPr="001561A6">
        <w:t xml:space="preserve"> prévoyant, entre autres, l</w:t>
      </w:r>
      <w:r w:rsidR="009258E3">
        <w:t>’</w:t>
      </w:r>
      <w:r w:rsidRPr="001561A6">
        <w:t>utilisation des ressources des entités territoriales autonomes pour financer des activités de prévention de la violence à l</w:t>
      </w:r>
      <w:r w:rsidR="009258E3">
        <w:t>’</w:t>
      </w:r>
      <w:r w:rsidRPr="001561A6">
        <w:t>égard des femmes, des enfants et des adolescents des deux sexes, la construction et l</w:t>
      </w:r>
      <w:r w:rsidR="009258E3">
        <w:t>’</w:t>
      </w:r>
      <w:r w:rsidRPr="001561A6">
        <w:t>entretien de foyers d</w:t>
      </w:r>
      <w:r w:rsidR="009258E3">
        <w:t>’</w:t>
      </w:r>
      <w:r w:rsidRPr="001561A6">
        <w:t>accueil et de refuges temporaires et la création de services juridiques municipaux</w:t>
      </w:r>
      <w:r w:rsidR="0093563D" w:rsidRPr="001561A6">
        <w:t> ;</w:t>
      </w:r>
    </w:p>
    <w:p w14:paraId="2A0B6C3F" w14:textId="77777777" w:rsidR="001960EC" w:rsidRPr="001561A6" w:rsidRDefault="001960EC" w:rsidP="001960EC">
      <w:pPr>
        <w:pStyle w:val="Bullet1G"/>
        <w:numPr>
          <w:ilvl w:val="0"/>
          <w:numId w:val="1"/>
        </w:numPr>
      </w:pPr>
      <w:r w:rsidRPr="001561A6">
        <w:tab/>
        <w:t>Adoption de l</w:t>
      </w:r>
      <w:r w:rsidR="009258E3">
        <w:t>’</w:t>
      </w:r>
      <w:r w:rsidRPr="001561A6">
        <w:t xml:space="preserve">arrêté ministériel </w:t>
      </w:r>
      <w:r w:rsidRPr="001561A6">
        <w:rPr>
          <w:rFonts w:eastAsia="MS Mincho"/>
          <w:szCs w:val="22"/>
        </w:rPr>
        <w:t>n</w:t>
      </w:r>
      <w:r w:rsidRPr="001561A6">
        <w:rPr>
          <w:rFonts w:eastAsia="MS Mincho"/>
          <w:szCs w:val="22"/>
          <w:vertAlign w:val="superscript"/>
        </w:rPr>
        <w:t>o</w:t>
      </w:r>
      <w:r w:rsidRPr="001561A6">
        <w:t> 0854/2019 du Ministère de l</w:t>
      </w:r>
      <w:r w:rsidR="009258E3">
        <w:t>’</w:t>
      </w:r>
      <w:r w:rsidRPr="001561A6">
        <w:t>éducation, qui établit que le 25 de chaque mois seront organisées des journées de prévention de la violence physique, psychologique et sexuelle en milieu scolaire</w:t>
      </w:r>
      <w:r w:rsidR="0093563D" w:rsidRPr="001561A6">
        <w:t> ;</w:t>
      </w:r>
    </w:p>
    <w:p w14:paraId="1344805C" w14:textId="77777777" w:rsidR="001960EC" w:rsidRPr="001561A6" w:rsidRDefault="001960EC" w:rsidP="001960EC">
      <w:pPr>
        <w:pStyle w:val="Bullet1G"/>
        <w:numPr>
          <w:ilvl w:val="0"/>
          <w:numId w:val="1"/>
        </w:numPr>
      </w:pPr>
      <w:r w:rsidRPr="001561A6">
        <w:tab/>
        <w:t>Accord interinstitutionnel pour l</w:t>
      </w:r>
      <w:r w:rsidR="009258E3">
        <w:t>’</w:t>
      </w:r>
      <w:r w:rsidRPr="001561A6">
        <w:t>élimination de l</w:t>
      </w:r>
      <w:r w:rsidR="009258E3">
        <w:t>’</w:t>
      </w:r>
      <w:r w:rsidRPr="001561A6">
        <w:t>impunité, signé par le Ministère de la justice et de la transparence institutionnelle, le Ministère de l</w:t>
      </w:r>
      <w:r w:rsidR="009258E3">
        <w:t>’</w:t>
      </w:r>
      <w:r w:rsidRPr="001561A6">
        <w:t>intérieur, le Service plurinational pour l</w:t>
      </w:r>
      <w:r w:rsidR="009258E3">
        <w:t>’</w:t>
      </w:r>
      <w:r w:rsidRPr="001561A6">
        <w:t>élimination des schémas patriarcaux et l</w:t>
      </w:r>
      <w:r w:rsidR="009258E3">
        <w:t>’</w:t>
      </w:r>
      <w:r w:rsidRPr="001561A6">
        <w:t>avancement des droits des femmes, le Tribunal suprême de justice, le Conseil de la magistrature, le ministère public et la police bolivienne</w:t>
      </w:r>
      <w:r w:rsidR="0093563D" w:rsidRPr="001561A6">
        <w:t> ;</w:t>
      </w:r>
    </w:p>
    <w:p w14:paraId="45FD0A3C" w14:textId="77777777" w:rsidR="001960EC" w:rsidRPr="001561A6" w:rsidRDefault="001960EC" w:rsidP="001960EC">
      <w:pPr>
        <w:pStyle w:val="Bullet1G"/>
        <w:numPr>
          <w:ilvl w:val="0"/>
          <w:numId w:val="1"/>
        </w:numPr>
      </w:pPr>
      <w:r w:rsidRPr="001561A6">
        <w:tab/>
        <w:t>Conclusion d</w:t>
      </w:r>
      <w:r w:rsidR="009258E3">
        <w:t>’</w:t>
      </w:r>
      <w:r w:rsidRPr="001561A6">
        <w:t xml:space="preserve">un accord entre les autorités et les </w:t>
      </w:r>
      <w:proofErr w:type="spellStart"/>
      <w:r w:rsidRPr="001561A6">
        <w:t>médias</w:t>
      </w:r>
      <w:proofErr w:type="spellEnd"/>
      <w:r w:rsidRPr="001561A6">
        <w:t xml:space="preserve"> portant sur la diffusion de messages de prévention de la violence et le contrôle de leurs contenus</w:t>
      </w:r>
      <w:r w:rsidR="0093563D" w:rsidRPr="001561A6">
        <w:t> ;</w:t>
      </w:r>
    </w:p>
    <w:p w14:paraId="177E7E36" w14:textId="77777777" w:rsidR="001960EC" w:rsidRPr="001561A6" w:rsidRDefault="001960EC" w:rsidP="001960EC">
      <w:pPr>
        <w:pStyle w:val="Bullet1G"/>
        <w:numPr>
          <w:ilvl w:val="0"/>
          <w:numId w:val="1"/>
        </w:numPr>
      </w:pPr>
      <w:r w:rsidRPr="001561A6">
        <w:tab/>
        <w:t>Protocole interinstitutionnel relatif à la prise en charge et à la protection des enfants et des adolescents des deux sexes et des femmes victimes de violence</w:t>
      </w:r>
      <w:r w:rsidRPr="001561A6">
        <w:rPr>
          <w:rStyle w:val="Appelnotedebasdep"/>
        </w:rPr>
        <w:footnoteReference w:id="14"/>
      </w:r>
      <w:r w:rsidRPr="001561A6">
        <w:t>.</w:t>
      </w:r>
    </w:p>
    <w:p w14:paraId="6ABC8BFF" w14:textId="77777777" w:rsidR="001960EC" w:rsidRPr="001561A6" w:rsidRDefault="001960EC" w:rsidP="001960EC">
      <w:pPr>
        <w:pStyle w:val="SingleTxtG"/>
      </w:pPr>
      <w:r w:rsidRPr="001561A6">
        <w:t>30.</w:t>
      </w:r>
      <w:r w:rsidRPr="001561A6">
        <w:tab/>
        <w:t>Entre autres avancées législatives qui garantissent l</w:t>
      </w:r>
      <w:r w:rsidR="009258E3">
        <w:t>’</w:t>
      </w:r>
      <w:r w:rsidRPr="001561A6">
        <w:t>accès à la justice, on peut citer la promulgation de la loi relative à l</w:t>
      </w:r>
      <w:r w:rsidR="009258E3">
        <w:t>’</w:t>
      </w:r>
      <w:r w:rsidRPr="001561A6">
        <w:t>accélération des procédures et au renforcement de la lutte globale contre la violence à l</w:t>
      </w:r>
      <w:r w:rsidR="009258E3">
        <w:t>’</w:t>
      </w:r>
      <w:r w:rsidRPr="001561A6">
        <w:t xml:space="preserve">égard des femmes, des adolescents et des enfants (loi </w:t>
      </w:r>
      <w:r w:rsidRPr="001561A6">
        <w:rPr>
          <w:rFonts w:eastAsia="MS Mincho"/>
          <w:szCs w:val="22"/>
        </w:rPr>
        <w:t>n</w:t>
      </w:r>
      <w:r w:rsidRPr="001561A6">
        <w:rPr>
          <w:rFonts w:eastAsia="MS Mincho"/>
          <w:szCs w:val="22"/>
          <w:vertAlign w:val="superscript"/>
        </w:rPr>
        <w:t>o</w:t>
      </w:r>
      <w:r w:rsidRPr="001561A6">
        <w:t> 1173)</w:t>
      </w:r>
      <w:r w:rsidRPr="001561A6">
        <w:rPr>
          <w:rStyle w:val="Appelnotedebasdep"/>
        </w:rPr>
        <w:footnoteReference w:id="15"/>
      </w:r>
      <w:r w:rsidRPr="001561A6">
        <w:t>, dont le but est d</w:t>
      </w:r>
      <w:r w:rsidR="009258E3">
        <w:t>’</w:t>
      </w:r>
      <w:r w:rsidRPr="001561A6">
        <w:t>aboutir à des jugements rapides et en temps voulu en matière pénale, d</w:t>
      </w:r>
      <w:r w:rsidR="009258E3">
        <w:t>’</w:t>
      </w:r>
      <w:r w:rsidRPr="001561A6">
        <w:t>offrir une protection aux victimes de violence (femmes, enfants et adolescents), d</w:t>
      </w:r>
      <w:r w:rsidR="009258E3">
        <w:t>’</w:t>
      </w:r>
      <w:r w:rsidRPr="001561A6">
        <w:t>éviter une double victimisation, de réduire le nombre de placements en détention provisoire et d</w:t>
      </w:r>
      <w:r w:rsidR="009258E3">
        <w:t>’</w:t>
      </w:r>
      <w:r w:rsidRPr="001561A6">
        <w:t>assurer une protection aux femmes enceintes, aux mères allaitantes ayant un enfant de moins d</w:t>
      </w:r>
      <w:r w:rsidR="009258E3">
        <w:t>’</w:t>
      </w:r>
      <w:r w:rsidRPr="001561A6">
        <w:t>un an ou un enfant handicapé de moins de 6</w:t>
      </w:r>
      <w:r w:rsidR="0064636D" w:rsidRPr="001561A6">
        <w:t> </w:t>
      </w:r>
      <w:r w:rsidRPr="001561A6">
        <w:t>ans à leur charge ainsi qu</w:t>
      </w:r>
      <w:r w:rsidR="009258E3">
        <w:t>’</w:t>
      </w:r>
      <w:r w:rsidRPr="001561A6">
        <w:t>aux personnes âgées ; le droit à l</w:t>
      </w:r>
      <w:r w:rsidR="009258E3">
        <w:t>’</w:t>
      </w:r>
      <w:r w:rsidRPr="001561A6">
        <w:t>accès à la technologie constitue une autre de ces avancées législatives.</w:t>
      </w:r>
    </w:p>
    <w:p w14:paraId="5E53A02F" w14:textId="77777777" w:rsidR="001960EC" w:rsidRPr="001561A6" w:rsidRDefault="001960EC" w:rsidP="001960EC">
      <w:pPr>
        <w:pStyle w:val="SingleTxtG"/>
      </w:pPr>
      <w:r w:rsidRPr="001561A6">
        <w:t>31.</w:t>
      </w:r>
      <w:r w:rsidRPr="001561A6">
        <w:tab/>
        <w:t>De plus, pour donner effet au dispositif de l</w:t>
      </w:r>
      <w:r w:rsidR="009258E3">
        <w:t>’</w:t>
      </w:r>
      <w:r w:rsidRPr="001561A6">
        <w:t>arrêt pris par la Cour interaméricaine des droits de l</w:t>
      </w:r>
      <w:r w:rsidR="009258E3">
        <w:t>’</w:t>
      </w:r>
      <w:r w:rsidRPr="001561A6">
        <w:t>homme en 2016 dans l</w:t>
      </w:r>
      <w:r w:rsidR="009258E3">
        <w:t>’</w:t>
      </w:r>
      <w:r w:rsidRPr="001561A6">
        <w:t xml:space="preserve">affaire </w:t>
      </w:r>
      <w:r w:rsidRPr="001561A6">
        <w:rPr>
          <w:i/>
          <w:iCs/>
        </w:rPr>
        <w:t>I. V. c. Bolivie</w:t>
      </w:r>
      <w:r w:rsidRPr="001561A6">
        <w:t>, 38</w:t>
      </w:r>
      <w:r w:rsidR="00B76216" w:rsidRPr="001561A6">
        <w:t> </w:t>
      </w:r>
      <w:r w:rsidRPr="001561A6">
        <w:t>000 dépliants et brochures contenant des informations sur le consentement éclairé et les droits en matière de sexualité et de procréation ont été élaborés et distribués au niveau national.</w:t>
      </w:r>
    </w:p>
    <w:p w14:paraId="49351027" w14:textId="77777777" w:rsidR="001960EC" w:rsidRPr="001561A6" w:rsidRDefault="001960EC" w:rsidP="001960EC">
      <w:pPr>
        <w:pStyle w:val="SingleTxtG"/>
      </w:pPr>
      <w:r w:rsidRPr="001561A6">
        <w:t>32.</w:t>
      </w:r>
      <w:r w:rsidRPr="001561A6">
        <w:tab/>
        <w:t>En ce qui concerne les données relatives aux cas de violence à l</w:t>
      </w:r>
      <w:r w:rsidR="009258E3">
        <w:t>’</w:t>
      </w:r>
      <w:r w:rsidRPr="001561A6">
        <w:t>égard des femmes, le Conseil de la magistrature dispose des données suivantes.</w:t>
      </w:r>
    </w:p>
    <w:p w14:paraId="13B98349" w14:textId="77777777" w:rsidR="001D14FC" w:rsidRPr="001561A6" w:rsidRDefault="001960EC" w:rsidP="001960EC">
      <w:pPr>
        <w:pStyle w:val="H23G"/>
      </w:pPr>
      <w:r w:rsidRPr="001561A6">
        <w:tab/>
      </w:r>
      <w:r w:rsidRPr="001561A6">
        <w:tab/>
        <w:t>Chambres d</w:t>
      </w:r>
      <w:r w:rsidR="009258E3">
        <w:t>’</w:t>
      </w:r>
      <w:r w:rsidRPr="001561A6">
        <w:t xml:space="preserve">instruction pénale et/ou chambres chargées des affaires de violence </w:t>
      </w:r>
      <w:r w:rsidRPr="001561A6">
        <w:br/>
        <w:t>à l</w:t>
      </w:r>
      <w:r w:rsidR="009258E3">
        <w:t>’</w:t>
      </w:r>
      <w:r w:rsidRPr="001561A6">
        <w:t>égard des femmes et chambres spécialisées dans la lutte contre la corruption</w:t>
      </w:r>
    </w:p>
    <w:p w14:paraId="4EEE3633" w14:textId="77777777" w:rsidR="001960EC" w:rsidRPr="001561A6" w:rsidRDefault="001960EC" w:rsidP="001960EC">
      <w:pPr>
        <w:pStyle w:val="H23G"/>
      </w:pPr>
      <w:r w:rsidRPr="001561A6">
        <w:tab/>
      </w:r>
      <w:r w:rsidRPr="001561A6">
        <w:tab/>
        <w:t>Infractions violentes à l</w:t>
      </w:r>
      <w:r w:rsidR="009258E3">
        <w:t>’</w:t>
      </w:r>
      <w:r w:rsidRPr="001561A6">
        <w:t>égard des femmes</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9"/>
        <w:gridCol w:w="1239"/>
        <w:gridCol w:w="1343"/>
        <w:gridCol w:w="1358"/>
        <w:gridCol w:w="1287"/>
        <w:gridCol w:w="1464"/>
      </w:tblGrid>
      <w:tr w:rsidR="009258E3" w:rsidRPr="003731A3" w14:paraId="6A447A3E" w14:textId="77777777" w:rsidTr="003731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1" w:type="pct"/>
            <w:tcBorders>
              <w:top w:val="single" w:sz="4" w:space="0" w:color="auto"/>
              <w:left w:val="none" w:sz="0" w:space="0" w:color="auto"/>
              <w:bottom w:val="single" w:sz="12" w:space="0" w:color="auto"/>
              <w:right w:val="none" w:sz="0" w:space="0" w:color="auto"/>
            </w:tcBorders>
            <w:shd w:val="clear" w:color="auto" w:fill="auto"/>
            <w:vAlign w:val="bottom"/>
            <w:hideMark/>
          </w:tcPr>
          <w:p w14:paraId="23A22296" w14:textId="77777777" w:rsidR="001960EC" w:rsidRPr="003731A3" w:rsidRDefault="001960EC" w:rsidP="003731A3">
            <w:pPr>
              <w:suppressAutoHyphens w:val="0"/>
              <w:spacing w:before="80" w:after="80" w:line="200" w:lineRule="exact"/>
              <w:rPr>
                <w:b w:val="0"/>
                <w:i/>
                <w:color w:val="auto"/>
                <w:sz w:val="16"/>
                <w:lang w:val="fr-CH"/>
              </w:rPr>
            </w:pPr>
            <w:r w:rsidRPr="003731A3">
              <w:rPr>
                <w:b w:val="0"/>
                <w:i/>
                <w:color w:val="auto"/>
                <w:sz w:val="16"/>
                <w:lang w:val="fr-CH"/>
              </w:rPr>
              <w:t>Année</w:t>
            </w:r>
          </w:p>
        </w:tc>
        <w:tc>
          <w:tcPr>
            <w:tcW w:w="841" w:type="pct"/>
            <w:tcBorders>
              <w:top w:val="single" w:sz="4" w:space="0" w:color="auto"/>
              <w:left w:val="none" w:sz="0" w:space="0" w:color="auto"/>
              <w:bottom w:val="single" w:sz="12" w:space="0" w:color="auto"/>
              <w:right w:val="none" w:sz="0" w:space="0" w:color="auto"/>
            </w:tcBorders>
            <w:shd w:val="clear" w:color="auto" w:fill="auto"/>
            <w:vAlign w:val="bottom"/>
            <w:hideMark/>
          </w:tcPr>
          <w:p w14:paraId="1E15A917" w14:textId="77777777" w:rsidR="001960EC" w:rsidRPr="003731A3" w:rsidRDefault="009258E3"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Affaires restées</w:t>
            </w:r>
            <w:r w:rsidRPr="003731A3">
              <w:rPr>
                <w:b w:val="0"/>
                <w:i/>
                <w:color w:val="auto"/>
                <w:sz w:val="16"/>
                <w:lang w:val="fr-CH"/>
              </w:rPr>
              <w:br/>
              <w:t>en suspens</w:t>
            </w:r>
          </w:p>
        </w:tc>
        <w:tc>
          <w:tcPr>
            <w:tcW w:w="911" w:type="pct"/>
            <w:tcBorders>
              <w:top w:val="single" w:sz="4" w:space="0" w:color="auto"/>
              <w:left w:val="none" w:sz="0" w:space="0" w:color="auto"/>
              <w:bottom w:val="single" w:sz="12" w:space="0" w:color="auto"/>
              <w:right w:val="none" w:sz="0" w:space="0" w:color="auto"/>
            </w:tcBorders>
            <w:shd w:val="clear" w:color="auto" w:fill="auto"/>
            <w:vAlign w:val="bottom"/>
            <w:hideMark/>
          </w:tcPr>
          <w:p w14:paraId="40048D9B" w14:textId="77777777" w:rsidR="001960EC" w:rsidRPr="003731A3" w:rsidRDefault="009258E3"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Nouvelles affaires</w:t>
            </w:r>
            <w:r w:rsidR="001960EC" w:rsidRPr="003731A3">
              <w:rPr>
                <w:b w:val="0"/>
                <w:i/>
                <w:color w:val="auto"/>
                <w:sz w:val="16"/>
                <w:lang w:val="fr-CH"/>
              </w:rPr>
              <w:t xml:space="preserve"> </w:t>
            </w:r>
          </w:p>
        </w:tc>
        <w:tc>
          <w:tcPr>
            <w:tcW w:w="921" w:type="pct"/>
            <w:tcBorders>
              <w:top w:val="single" w:sz="4" w:space="0" w:color="auto"/>
              <w:left w:val="none" w:sz="0" w:space="0" w:color="auto"/>
              <w:bottom w:val="single" w:sz="12" w:space="0" w:color="auto"/>
              <w:right w:val="none" w:sz="0" w:space="0" w:color="auto"/>
            </w:tcBorders>
            <w:shd w:val="clear" w:color="auto" w:fill="auto"/>
            <w:vAlign w:val="bottom"/>
            <w:hideMark/>
          </w:tcPr>
          <w:p w14:paraId="09B93A45" w14:textId="77777777" w:rsidR="001960EC" w:rsidRPr="003731A3" w:rsidRDefault="001960EC"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Nombre</w:t>
            </w:r>
            <w:r w:rsidR="009258E3" w:rsidRPr="003731A3">
              <w:rPr>
                <w:b w:val="0"/>
                <w:i/>
                <w:color w:val="auto"/>
                <w:sz w:val="16"/>
                <w:lang w:val="fr-CH"/>
              </w:rPr>
              <w:t xml:space="preserve"> </w:t>
            </w:r>
            <w:r w:rsidRPr="003731A3">
              <w:rPr>
                <w:b w:val="0"/>
                <w:i/>
                <w:color w:val="auto"/>
                <w:sz w:val="16"/>
                <w:lang w:val="fr-CH"/>
              </w:rPr>
              <w:t>total</w:t>
            </w:r>
            <w:r w:rsidRPr="003731A3">
              <w:rPr>
                <w:b w:val="0"/>
                <w:i/>
                <w:color w:val="auto"/>
                <w:sz w:val="16"/>
                <w:lang w:val="fr-CH"/>
              </w:rPr>
              <w:br/>
              <w:t>d</w:t>
            </w:r>
            <w:r w:rsidR="009258E3" w:rsidRPr="003731A3">
              <w:rPr>
                <w:b w:val="0"/>
                <w:i/>
                <w:color w:val="auto"/>
                <w:sz w:val="16"/>
                <w:lang w:val="fr-CH"/>
              </w:rPr>
              <w:t>’</w:t>
            </w:r>
            <w:r w:rsidRPr="003731A3">
              <w:rPr>
                <w:b w:val="0"/>
                <w:i/>
                <w:color w:val="auto"/>
                <w:sz w:val="16"/>
                <w:lang w:val="fr-CH"/>
              </w:rPr>
              <w:t xml:space="preserve">affaires traitées </w:t>
            </w:r>
          </w:p>
        </w:tc>
        <w:tc>
          <w:tcPr>
            <w:tcW w:w="873" w:type="pct"/>
            <w:tcBorders>
              <w:top w:val="single" w:sz="4" w:space="0" w:color="auto"/>
              <w:left w:val="none" w:sz="0" w:space="0" w:color="auto"/>
              <w:bottom w:val="single" w:sz="12" w:space="0" w:color="auto"/>
              <w:right w:val="none" w:sz="0" w:space="0" w:color="auto"/>
            </w:tcBorders>
            <w:shd w:val="clear" w:color="auto" w:fill="auto"/>
            <w:vAlign w:val="bottom"/>
            <w:hideMark/>
          </w:tcPr>
          <w:p w14:paraId="21FD1D12" w14:textId="77777777" w:rsidR="001960EC" w:rsidRPr="003731A3" w:rsidRDefault="009258E3"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Affaires résolues</w:t>
            </w:r>
          </w:p>
        </w:tc>
        <w:tc>
          <w:tcPr>
            <w:tcW w:w="993" w:type="pct"/>
            <w:tcBorders>
              <w:top w:val="single" w:sz="4" w:space="0" w:color="auto"/>
              <w:left w:val="none" w:sz="0" w:space="0" w:color="auto"/>
              <w:bottom w:val="single" w:sz="12" w:space="0" w:color="auto"/>
              <w:right w:val="none" w:sz="0" w:space="0" w:color="auto"/>
            </w:tcBorders>
            <w:shd w:val="clear" w:color="auto" w:fill="auto"/>
            <w:vAlign w:val="bottom"/>
            <w:hideMark/>
          </w:tcPr>
          <w:p w14:paraId="0650F144" w14:textId="77777777" w:rsidR="001960EC" w:rsidRPr="003731A3" w:rsidRDefault="009258E3"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Affaires à résoudre</w:t>
            </w:r>
          </w:p>
        </w:tc>
      </w:tr>
      <w:tr w:rsidR="009258E3" w:rsidRPr="003731A3" w14:paraId="1FE363E1"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pct"/>
            <w:tcBorders>
              <w:top w:val="single" w:sz="12" w:space="0" w:color="auto"/>
            </w:tcBorders>
            <w:shd w:val="clear" w:color="auto" w:fill="auto"/>
            <w:hideMark/>
          </w:tcPr>
          <w:p w14:paraId="601293BC" w14:textId="77777777" w:rsidR="001960EC" w:rsidRPr="003731A3" w:rsidRDefault="001960EC" w:rsidP="003731A3">
            <w:pPr>
              <w:suppressAutoHyphens w:val="0"/>
              <w:spacing w:before="40" w:after="40" w:line="220" w:lineRule="exact"/>
              <w:rPr>
                <w:bCs w:val="0"/>
                <w:sz w:val="18"/>
                <w:lang w:val="fr-CH"/>
              </w:rPr>
            </w:pPr>
            <w:r w:rsidRPr="003731A3">
              <w:rPr>
                <w:sz w:val="18"/>
                <w:lang w:val="fr-CH"/>
              </w:rPr>
              <w:t>2016</w:t>
            </w:r>
          </w:p>
        </w:tc>
        <w:tc>
          <w:tcPr>
            <w:tcW w:w="841" w:type="pct"/>
            <w:tcBorders>
              <w:top w:val="single" w:sz="12" w:space="0" w:color="auto"/>
            </w:tcBorders>
            <w:shd w:val="clear" w:color="auto" w:fill="auto"/>
            <w:vAlign w:val="bottom"/>
            <w:hideMark/>
          </w:tcPr>
          <w:p w14:paraId="43BA6CC3"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29 101</w:t>
            </w:r>
          </w:p>
        </w:tc>
        <w:tc>
          <w:tcPr>
            <w:tcW w:w="911" w:type="pct"/>
            <w:tcBorders>
              <w:top w:val="single" w:sz="12" w:space="0" w:color="auto"/>
            </w:tcBorders>
            <w:shd w:val="clear" w:color="auto" w:fill="auto"/>
            <w:vAlign w:val="bottom"/>
            <w:hideMark/>
          </w:tcPr>
          <w:p w14:paraId="61EB4A08"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28 818</w:t>
            </w:r>
          </w:p>
        </w:tc>
        <w:tc>
          <w:tcPr>
            <w:tcW w:w="921" w:type="pct"/>
            <w:tcBorders>
              <w:top w:val="single" w:sz="12" w:space="0" w:color="auto"/>
            </w:tcBorders>
            <w:shd w:val="clear" w:color="auto" w:fill="auto"/>
            <w:vAlign w:val="bottom"/>
            <w:hideMark/>
          </w:tcPr>
          <w:p w14:paraId="1A8402E7"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57 919</w:t>
            </w:r>
          </w:p>
        </w:tc>
        <w:tc>
          <w:tcPr>
            <w:tcW w:w="873" w:type="pct"/>
            <w:tcBorders>
              <w:top w:val="single" w:sz="12" w:space="0" w:color="auto"/>
            </w:tcBorders>
            <w:shd w:val="clear" w:color="auto" w:fill="auto"/>
            <w:vAlign w:val="bottom"/>
            <w:hideMark/>
          </w:tcPr>
          <w:p w14:paraId="55702445"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17 710</w:t>
            </w:r>
          </w:p>
        </w:tc>
        <w:tc>
          <w:tcPr>
            <w:tcW w:w="993" w:type="pct"/>
            <w:tcBorders>
              <w:top w:val="single" w:sz="12" w:space="0" w:color="auto"/>
            </w:tcBorders>
            <w:shd w:val="clear" w:color="auto" w:fill="auto"/>
            <w:vAlign w:val="bottom"/>
            <w:hideMark/>
          </w:tcPr>
          <w:p w14:paraId="4A2C486D"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40 209</w:t>
            </w:r>
          </w:p>
        </w:tc>
      </w:tr>
      <w:tr w:rsidR="009258E3" w:rsidRPr="003731A3" w14:paraId="7A5CE232" w14:textId="77777777" w:rsidTr="003731A3">
        <w:tc>
          <w:tcPr>
            <w:cnfStyle w:val="001000000000" w:firstRow="0" w:lastRow="0" w:firstColumn="1" w:lastColumn="0" w:oddVBand="0" w:evenVBand="0" w:oddHBand="0" w:evenHBand="0" w:firstRowFirstColumn="0" w:firstRowLastColumn="0" w:lastRowFirstColumn="0" w:lastRowLastColumn="0"/>
            <w:tcW w:w="461" w:type="pct"/>
            <w:shd w:val="clear" w:color="auto" w:fill="auto"/>
            <w:hideMark/>
          </w:tcPr>
          <w:p w14:paraId="717B5FE3" w14:textId="77777777" w:rsidR="001960EC" w:rsidRPr="003731A3" w:rsidRDefault="001960EC" w:rsidP="003731A3">
            <w:pPr>
              <w:suppressAutoHyphens w:val="0"/>
              <w:spacing w:before="40" w:after="40" w:line="220" w:lineRule="exact"/>
              <w:rPr>
                <w:bCs w:val="0"/>
                <w:sz w:val="18"/>
                <w:lang w:val="fr-CH"/>
              </w:rPr>
            </w:pPr>
            <w:r w:rsidRPr="003731A3">
              <w:rPr>
                <w:sz w:val="18"/>
                <w:lang w:val="fr-CH"/>
              </w:rPr>
              <w:t>2017</w:t>
            </w:r>
          </w:p>
        </w:tc>
        <w:tc>
          <w:tcPr>
            <w:tcW w:w="841" w:type="pct"/>
            <w:shd w:val="clear" w:color="auto" w:fill="auto"/>
            <w:vAlign w:val="bottom"/>
            <w:hideMark/>
          </w:tcPr>
          <w:p w14:paraId="251A8DAA" w14:textId="77777777" w:rsidR="001960EC" w:rsidRPr="003731A3" w:rsidRDefault="001960EC"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36 733</w:t>
            </w:r>
          </w:p>
        </w:tc>
        <w:tc>
          <w:tcPr>
            <w:tcW w:w="911" w:type="pct"/>
            <w:shd w:val="clear" w:color="auto" w:fill="auto"/>
            <w:vAlign w:val="bottom"/>
            <w:hideMark/>
          </w:tcPr>
          <w:p w14:paraId="06B97287" w14:textId="77777777" w:rsidR="001960EC" w:rsidRPr="003731A3" w:rsidRDefault="001960EC"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38 488</w:t>
            </w:r>
          </w:p>
        </w:tc>
        <w:tc>
          <w:tcPr>
            <w:tcW w:w="921" w:type="pct"/>
            <w:shd w:val="clear" w:color="auto" w:fill="auto"/>
            <w:vAlign w:val="bottom"/>
            <w:hideMark/>
          </w:tcPr>
          <w:p w14:paraId="136B4843" w14:textId="77777777" w:rsidR="001960EC" w:rsidRPr="003731A3" w:rsidRDefault="001960EC"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75 221</w:t>
            </w:r>
          </w:p>
        </w:tc>
        <w:tc>
          <w:tcPr>
            <w:tcW w:w="873" w:type="pct"/>
            <w:shd w:val="clear" w:color="auto" w:fill="auto"/>
            <w:vAlign w:val="bottom"/>
            <w:hideMark/>
          </w:tcPr>
          <w:p w14:paraId="15BFF40E" w14:textId="77777777" w:rsidR="001960EC" w:rsidRPr="003731A3" w:rsidRDefault="001960EC"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30 500</w:t>
            </w:r>
          </w:p>
        </w:tc>
        <w:tc>
          <w:tcPr>
            <w:tcW w:w="993" w:type="pct"/>
            <w:shd w:val="clear" w:color="auto" w:fill="auto"/>
            <w:vAlign w:val="bottom"/>
            <w:hideMark/>
          </w:tcPr>
          <w:p w14:paraId="00027C08" w14:textId="77777777" w:rsidR="001960EC" w:rsidRPr="003731A3" w:rsidRDefault="001960EC"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44 721</w:t>
            </w:r>
          </w:p>
        </w:tc>
      </w:tr>
      <w:tr w:rsidR="009258E3" w:rsidRPr="003731A3" w14:paraId="28B56C8C"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pct"/>
            <w:tcBorders>
              <w:bottom w:val="single" w:sz="12" w:space="0" w:color="auto"/>
            </w:tcBorders>
            <w:shd w:val="clear" w:color="auto" w:fill="auto"/>
            <w:hideMark/>
          </w:tcPr>
          <w:p w14:paraId="585E8735" w14:textId="77777777" w:rsidR="001960EC" w:rsidRPr="003731A3" w:rsidRDefault="001960EC" w:rsidP="003731A3">
            <w:pPr>
              <w:suppressAutoHyphens w:val="0"/>
              <w:spacing w:before="40" w:after="40" w:line="220" w:lineRule="exact"/>
              <w:rPr>
                <w:bCs w:val="0"/>
                <w:sz w:val="18"/>
                <w:lang w:val="fr-CH"/>
              </w:rPr>
            </w:pPr>
            <w:r w:rsidRPr="003731A3">
              <w:rPr>
                <w:sz w:val="18"/>
                <w:lang w:val="fr-CH"/>
              </w:rPr>
              <w:t>2018</w:t>
            </w:r>
          </w:p>
        </w:tc>
        <w:tc>
          <w:tcPr>
            <w:tcW w:w="841" w:type="pct"/>
            <w:tcBorders>
              <w:bottom w:val="single" w:sz="12" w:space="0" w:color="auto"/>
            </w:tcBorders>
            <w:shd w:val="clear" w:color="auto" w:fill="auto"/>
            <w:vAlign w:val="bottom"/>
            <w:hideMark/>
          </w:tcPr>
          <w:p w14:paraId="3D75EB5F"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48 064</w:t>
            </w:r>
          </w:p>
        </w:tc>
        <w:tc>
          <w:tcPr>
            <w:tcW w:w="911" w:type="pct"/>
            <w:tcBorders>
              <w:bottom w:val="single" w:sz="12" w:space="0" w:color="auto"/>
            </w:tcBorders>
            <w:shd w:val="clear" w:color="auto" w:fill="auto"/>
            <w:vAlign w:val="bottom"/>
            <w:hideMark/>
          </w:tcPr>
          <w:p w14:paraId="6FD383A9"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39 285</w:t>
            </w:r>
          </w:p>
        </w:tc>
        <w:tc>
          <w:tcPr>
            <w:tcW w:w="921" w:type="pct"/>
            <w:tcBorders>
              <w:bottom w:val="single" w:sz="12" w:space="0" w:color="auto"/>
            </w:tcBorders>
            <w:shd w:val="clear" w:color="auto" w:fill="auto"/>
            <w:vAlign w:val="bottom"/>
            <w:hideMark/>
          </w:tcPr>
          <w:p w14:paraId="206ED6AB"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87 349</w:t>
            </w:r>
          </w:p>
        </w:tc>
        <w:tc>
          <w:tcPr>
            <w:tcW w:w="873" w:type="pct"/>
            <w:tcBorders>
              <w:bottom w:val="single" w:sz="12" w:space="0" w:color="auto"/>
            </w:tcBorders>
            <w:shd w:val="clear" w:color="auto" w:fill="auto"/>
            <w:vAlign w:val="bottom"/>
            <w:hideMark/>
          </w:tcPr>
          <w:p w14:paraId="572E23BA"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36 151</w:t>
            </w:r>
          </w:p>
        </w:tc>
        <w:tc>
          <w:tcPr>
            <w:tcW w:w="993" w:type="pct"/>
            <w:tcBorders>
              <w:bottom w:val="single" w:sz="12" w:space="0" w:color="auto"/>
            </w:tcBorders>
            <w:shd w:val="clear" w:color="auto" w:fill="auto"/>
            <w:vAlign w:val="bottom"/>
            <w:hideMark/>
          </w:tcPr>
          <w:p w14:paraId="201D8CF6" w14:textId="77777777" w:rsidR="001960EC" w:rsidRPr="003731A3" w:rsidRDefault="001960EC"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51 198</w:t>
            </w:r>
          </w:p>
        </w:tc>
      </w:tr>
    </w:tbl>
    <w:p w14:paraId="5311ECA8" w14:textId="77777777" w:rsidR="001960EC" w:rsidRPr="001561A6" w:rsidRDefault="001960EC" w:rsidP="001960EC">
      <w:pPr>
        <w:pStyle w:val="SingleTxtG"/>
        <w:spacing w:before="120" w:after="240"/>
        <w:ind w:firstLine="170"/>
        <w:rPr>
          <w:sz w:val="18"/>
          <w:szCs w:val="18"/>
        </w:rPr>
      </w:pPr>
      <w:r w:rsidRPr="001561A6">
        <w:rPr>
          <w:i/>
          <w:iCs/>
          <w:sz w:val="18"/>
          <w:szCs w:val="18"/>
        </w:rPr>
        <w:t>Source</w:t>
      </w:r>
      <w:r w:rsidRPr="001561A6">
        <w:rPr>
          <w:sz w:val="18"/>
          <w:szCs w:val="18"/>
        </w:rPr>
        <w:t xml:space="preserve"> : Conseil de la magistrature.</w:t>
      </w:r>
    </w:p>
    <w:p w14:paraId="71B0D2E7" w14:textId="77777777" w:rsidR="001960EC" w:rsidRPr="001561A6" w:rsidRDefault="001960EC" w:rsidP="001960EC">
      <w:pPr>
        <w:pStyle w:val="SingleTxtG"/>
      </w:pPr>
      <w:r w:rsidRPr="001561A6">
        <w:t>33.</w:t>
      </w:r>
      <w:r w:rsidRPr="001561A6">
        <w:tab/>
        <w:t>En outre, conformément au paragraphe 116 du troisième rapport périodique, le Service intégré de justice plurinationale a, par l</w:t>
      </w:r>
      <w:r w:rsidR="009258E3">
        <w:t>’</w:t>
      </w:r>
      <w:r w:rsidRPr="001561A6">
        <w:t>intermédiaire de ses 27 bureaux répartis dans tout le pays, prodigué des conseils juridiques dans le cadre de 258 affaires relatives à des violences faites aux femmes au cours de l</w:t>
      </w:r>
      <w:r w:rsidR="009258E3">
        <w:t>’</w:t>
      </w:r>
      <w:r w:rsidRPr="001561A6">
        <w:t>année 2015 ; en 2016, 4</w:t>
      </w:r>
      <w:r w:rsidR="00B76216" w:rsidRPr="001561A6">
        <w:t> </w:t>
      </w:r>
      <w:r w:rsidRPr="001561A6">
        <w:t>167 demandes ont été déposées ; en 2017, 4 877 affaires ont été traitées, tandis qu</w:t>
      </w:r>
      <w:r w:rsidR="009258E3">
        <w:t>’</w:t>
      </w:r>
      <w:r w:rsidRPr="001561A6">
        <w:t>en 2018, le nombre de ces affaires a presque doublé, atteignant 8 940 au niveau national.</w:t>
      </w:r>
    </w:p>
    <w:p w14:paraId="2797DB02" w14:textId="77777777" w:rsidR="001960EC" w:rsidRPr="001561A6" w:rsidRDefault="001960EC" w:rsidP="001960EC">
      <w:pPr>
        <w:pStyle w:val="SingleTxtG"/>
      </w:pPr>
      <w:r w:rsidRPr="001561A6">
        <w:t>34.</w:t>
      </w:r>
      <w:r w:rsidRPr="001561A6">
        <w:tab/>
        <w:t>Une aide juridictionnelle a été mise en place dans le cadre de 517 affaires en 2015, 2 926 affaires ont été traitées en 2016, 2 813 en 2017 et 2 637 en 2018.</w:t>
      </w:r>
    </w:p>
    <w:p w14:paraId="07B9B592" w14:textId="77777777" w:rsidR="001960EC" w:rsidRPr="001561A6" w:rsidRDefault="001960EC" w:rsidP="001960EC">
      <w:pPr>
        <w:pStyle w:val="SingleTxtG"/>
        <w:rPr>
          <w:spacing w:val="-1"/>
        </w:rPr>
      </w:pPr>
      <w:r w:rsidRPr="001561A6">
        <w:rPr>
          <w:spacing w:val="-1"/>
        </w:rPr>
        <w:t>35.</w:t>
      </w:r>
      <w:r w:rsidRPr="001561A6">
        <w:rPr>
          <w:spacing w:val="-1"/>
        </w:rPr>
        <w:tab/>
        <w:t>En outre, depuis mars 2013</w:t>
      </w:r>
      <w:r w:rsidRPr="001561A6">
        <w:rPr>
          <w:rStyle w:val="Appelnotedebasdep"/>
        </w:rPr>
        <w:footnoteReference w:id="16"/>
      </w:r>
      <w:r w:rsidRPr="001561A6">
        <w:rPr>
          <w:spacing w:val="-1"/>
        </w:rPr>
        <w:t>, les cas de féminicide sont consignés dans un registre, tout comme les procédures pénales en cours, au stade de l</w:t>
      </w:r>
      <w:r w:rsidR="009258E3">
        <w:rPr>
          <w:spacing w:val="-1"/>
        </w:rPr>
        <w:t>’</w:t>
      </w:r>
      <w:r w:rsidRPr="001561A6">
        <w:rPr>
          <w:spacing w:val="-1"/>
        </w:rPr>
        <w:t>enquête (préliminaire et préparatoire) et du jugement. Depuis 2015, la police bolivienne consigne quant à elle le nombre de plaintes pour violence à l</w:t>
      </w:r>
      <w:r w:rsidR="009258E3">
        <w:rPr>
          <w:spacing w:val="-1"/>
        </w:rPr>
        <w:t>’</w:t>
      </w:r>
      <w:r w:rsidRPr="001561A6">
        <w:rPr>
          <w:spacing w:val="-1"/>
        </w:rPr>
        <w:t>égard des femmes au niveau national, ventilées par année et par âge, ainsi que le nombre de plaintes pour féminicide, ventilées par année et par âge.</w:t>
      </w:r>
    </w:p>
    <w:p w14:paraId="7A774D58" w14:textId="77777777" w:rsidR="001960EC" w:rsidRPr="001561A6" w:rsidRDefault="001960EC" w:rsidP="001960EC">
      <w:pPr>
        <w:pStyle w:val="H4G"/>
      </w:pPr>
      <w:r w:rsidRPr="001561A6">
        <w:tab/>
      </w:r>
      <w:r w:rsidRPr="001561A6">
        <w:tab/>
        <w:t>Juridictions et foyers d</w:t>
      </w:r>
      <w:r w:rsidR="009258E3">
        <w:t>’</w:t>
      </w:r>
      <w:r w:rsidRPr="001561A6">
        <w:t>accueil</w:t>
      </w:r>
    </w:p>
    <w:p w14:paraId="4DDF28B9" w14:textId="77777777" w:rsidR="001960EC" w:rsidRPr="001561A6" w:rsidRDefault="001960EC" w:rsidP="001960EC">
      <w:pPr>
        <w:pStyle w:val="SingleTxtG"/>
      </w:pPr>
      <w:r w:rsidRPr="001561A6">
        <w:t>36.</w:t>
      </w:r>
      <w:r w:rsidRPr="001561A6">
        <w:tab/>
      </w:r>
      <w:r w:rsidR="009258E3">
        <w:rPr>
          <w:lang w:val="fr-FR"/>
        </w:rPr>
        <w:t xml:space="preserve">En application de la loi </w:t>
      </w:r>
      <w:r w:rsidR="009258E3" w:rsidRPr="009258E3">
        <w:rPr>
          <w:rFonts w:eastAsia="MS Mincho"/>
          <w:szCs w:val="22"/>
          <w:lang w:val="fr-FR"/>
        </w:rPr>
        <w:t>n</w:t>
      </w:r>
      <w:r w:rsidR="009258E3" w:rsidRPr="009258E3">
        <w:rPr>
          <w:rFonts w:eastAsia="MS Mincho"/>
          <w:szCs w:val="22"/>
          <w:vertAlign w:val="superscript"/>
          <w:lang w:val="fr-FR"/>
        </w:rPr>
        <w:t>o</w:t>
      </w:r>
      <w:r w:rsidR="009258E3">
        <w:rPr>
          <w:lang w:val="fr-FR"/>
        </w:rPr>
        <w:t> 348 ont été créés des juridictions chargées des affaires de violence à l’égard des femmes, financées sur les fonds propres de l’autorité judiciaire, 18 chambres d’instruction, deux juridictions du premier degré et un tribunal d’instance. En 2019, six chambres supplémentaires ont été créées sur les ressources du Trésor public, ce qui porte à 27 le nombre de chambres et de tribunaux spécialisés dans les affaires de violence et la lutte contre la corruption.</w:t>
      </w:r>
    </w:p>
    <w:p w14:paraId="052A0F83" w14:textId="77777777" w:rsidR="001960EC" w:rsidRPr="001561A6" w:rsidRDefault="001960EC" w:rsidP="00D45607">
      <w:pPr>
        <w:pStyle w:val="H23G"/>
      </w:pPr>
      <w:r w:rsidRPr="001561A6">
        <w:tab/>
      </w:r>
      <w:r w:rsidRPr="001561A6">
        <w:tab/>
        <w:t>Chambres et tribunaux spécialisés dans la violence à l</w:t>
      </w:r>
      <w:r w:rsidR="009258E3">
        <w:t>’</w:t>
      </w:r>
      <w:r w:rsidRPr="001561A6">
        <w:t>égard des femmes et la lutte contre la corruption, créés au cours de la période 2013-2019</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62"/>
        <w:gridCol w:w="517"/>
        <w:gridCol w:w="540"/>
        <w:gridCol w:w="541"/>
        <w:gridCol w:w="542"/>
        <w:gridCol w:w="542"/>
        <w:gridCol w:w="542"/>
        <w:gridCol w:w="542"/>
        <w:gridCol w:w="642"/>
      </w:tblGrid>
      <w:tr w:rsidR="00D45607" w:rsidRPr="003731A3" w14:paraId="7263F5E7" w14:textId="77777777" w:rsidTr="003731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2"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39A1C0F3" w14:textId="77777777" w:rsidR="00D45607" w:rsidRPr="003731A3" w:rsidRDefault="009258E3" w:rsidP="003731A3">
            <w:pPr>
              <w:suppressAutoHyphens w:val="0"/>
              <w:spacing w:before="80" w:after="80" w:line="200" w:lineRule="exact"/>
              <w:rPr>
                <w:b w:val="0"/>
                <w:i/>
                <w:color w:val="auto"/>
                <w:sz w:val="16"/>
                <w:highlight w:val="yellow"/>
                <w:lang w:val="fr-CH"/>
              </w:rPr>
            </w:pPr>
            <w:r w:rsidRPr="003731A3">
              <w:rPr>
                <w:b w:val="0"/>
                <w:i/>
                <w:color w:val="auto"/>
                <w:sz w:val="16"/>
                <w:lang w:val="fr-CH"/>
              </w:rPr>
              <w:t>Juridictions</w:t>
            </w:r>
          </w:p>
        </w:tc>
        <w:tc>
          <w:tcPr>
            <w:tcW w:w="517" w:type="dxa"/>
            <w:tcBorders>
              <w:top w:val="single" w:sz="4" w:space="0" w:color="auto"/>
              <w:left w:val="none" w:sz="0" w:space="0" w:color="auto"/>
              <w:bottom w:val="single" w:sz="12" w:space="0" w:color="auto"/>
              <w:right w:val="none" w:sz="0" w:space="0" w:color="auto"/>
            </w:tcBorders>
            <w:shd w:val="clear" w:color="auto" w:fill="auto"/>
            <w:vAlign w:val="bottom"/>
            <w:hideMark/>
          </w:tcPr>
          <w:p w14:paraId="0D73F223" w14:textId="77777777" w:rsidR="00D45607" w:rsidRPr="003731A3" w:rsidRDefault="00D45607"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2013</w:t>
            </w:r>
          </w:p>
        </w:tc>
        <w:tc>
          <w:tcPr>
            <w:tcW w:w="540"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341CE39C" w14:textId="77777777" w:rsidR="00D45607" w:rsidRPr="003731A3" w:rsidRDefault="00D45607"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2014</w:t>
            </w:r>
          </w:p>
        </w:tc>
        <w:tc>
          <w:tcPr>
            <w:tcW w:w="541"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5354A8AB" w14:textId="77777777" w:rsidR="00D45607" w:rsidRPr="003731A3" w:rsidRDefault="00D45607"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2015</w:t>
            </w:r>
          </w:p>
        </w:tc>
        <w:tc>
          <w:tcPr>
            <w:tcW w:w="542"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71D78F85" w14:textId="77777777" w:rsidR="00D45607" w:rsidRPr="003731A3" w:rsidRDefault="00D45607"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2016</w:t>
            </w:r>
          </w:p>
        </w:tc>
        <w:tc>
          <w:tcPr>
            <w:tcW w:w="542"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75A9D4A1" w14:textId="77777777" w:rsidR="00D45607" w:rsidRPr="003731A3" w:rsidRDefault="00D45607"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2017</w:t>
            </w:r>
          </w:p>
        </w:tc>
        <w:tc>
          <w:tcPr>
            <w:tcW w:w="542"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0F4F134F" w14:textId="77777777" w:rsidR="00D45607" w:rsidRPr="003731A3" w:rsidRDefault="00D45607"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2018</w:t>
            </w:r>
          </w:p>
        </w:tc>
        <w:tc>
          <w:tcPr>
            <w:tcW w:w="542"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67A48A0D" w14:textId="77777777" w:rsidR="00D45607" w:rsidRPr="003731A3" w:rsidRDefault="00D45607"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2019</w:t>
            </w:r>
          </w:p>
        </w:tc>
        <w:tc>
          <w:tcPr>
            <w:tcW w:w="642"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2E50F216" w14:textId="77777777" w:rsidR="00D45607" w:rsidRPr="003731A3" w:rsidRDefault="00D45607"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Total</w:t>
            </w:r>
          </w:p>
        </w:tc>
      </w:tr>
      <w:tr w:rsidR="00D45607" w:rsidRPr="003731A3" w14:paraId="36EB194E"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Borders>
              <w:top w:val="single" w:sz="12" w:space="0" w:color="auto"/>
            </w:tcBorders>
            <w:shd w:val="clear" w:color="auto" w:fill="auto"/>
            <w:hideMark/>
          </w:tcPr>
          <w:p w14:paraId="7FDD9CCB" w14:textId="77777777" w:rsidR="00D45607" w:rsidRPr="003731A3" w:rsidRDefault="00D45607" w:rsidP="003731A3">
            <w:pPr>
              <w:suppressAutoHyphens w:val="0"/>
              <w:spacing w:before="40" w:after="40" w:line="220" w:lineRule="exact"/>
              <w:rPr>
                <w:sz w:val="18"/>
                <w:szCs w:val="18"/>
                <w:lang w:val="fr-CH"/>
              </w:rPr>
            </w:pPr>
            <w:r w:rsidRPr="003731A3">
              <w:rPr>
                <w:sz w:val="18"/>
                <w:szCs w:val="18"/>
                <w:lang w:val="fr-CH"/>
              </w:rPr>
              <w:t>Chambres d</w:t>
            </w:r>
            <w:r w:rsidR="009258E3" w:rsidRPr="003731A3">
              <w:rPr>
                <w:sz w:val="18"/>
                <w:szCs w:val="18"/>
                <w:lang w:val="fr-CH"/>
              </w:rPr>
              <w:t>’</w:t>
            </w:r>
            <w:r w:rsidRPr="003731A3">
              <w:rPr>
                <w:sz w:val="18"/>
                <w:szCs w:val="18"/>
                <w:lang w:val="fr-CH"/>
              </w:rPr>
              <w:t>instruction spécialisées dans les affaires de violence à l</w:t>
            </w:r>
            <w:r w:rsidR="009258E3" w:rsidRPr="003731A3">
              <w:rPr>
                <w:sz w:val="18"/>
                <w:szCs w:val="18"/>
                <w:lang w:val="fr-CH"/>
              </w:rPr>
              <w:t>’</w:t>
            </w:r>
            <w:r w:rsidRPr="003731A3">
              <w:rPr>
                <w:sz w:val="18"/>
                <w:szCs w:val="18"/>
                <w:lang w:val="fr-CH"/>
              </w:rPr>
              <w:t>égard des femmes et chambres spécialisées dans la lutte contre la corruption</w:t>
            </w:r>
          </w:p>
        </w:tc>
        <w:tc>
          <w:tcPr>
            <w:tcW w:w="517" w:type="dxa"/>
            <w:tcBorders>
              <w:top w:val="single" w:sz="12" w:space="0" w:color="auto"/>
            </w:tcBorders>
            <w:shd w:val="clear" w:color="auto" w:fill="auto"/>
            <w:vAlign w:val="bottom"/>
            <w:hideMark/>
          </w:tcPr>
          <w:p w14:paraId="73D51DF1"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0</w:t>
            </w:r>
          </w:p>
        </w:tc>
        <w:tc>
          <w:tcPr>
            <w:tcW w:w="540" w:type="dxa"/>
            <w:tcBorders>
              <w:top w:val="single" w:sz="12" w:space="0" w:color="auto"/>
            </w:tcBorders>
            <w:shd w:val="clear" w:color="auto" w:fill="auto"/>
            <w:noWrap/>
            <w:vAlign w:val="bottom"/>
            <w:hideMark/>
          </w:tcPr>
          <w:p w14:paraId="51EA8CAD"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4</w:t>
            </w:r>
          </w:p>
        </w:tc>
        <w:tc>
          <w:tcPr>
            <w:tcW w:w="541" w:type="dxa"/>
            <w:tcBorders>
              <w:top w:val="single" w:sz="12" w:space="0" w:color="auto"/>
            </w:tcBorders>
            <w:shd w:val="clear" w:color="auto" w:fill="auto"/>
            <w:noWrap/>
            <w:vAlign w:val="bottom"/>
            <w:hideMark/>
          </w:tcPr>
          <w:p w14:paraId="2E23B8DE"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w:t>
            </w:r>
          </w:p>
        </w:tc>
        <w:tc>
          <w:tcPr>
            <w:tcW w:w="542" w:type="dxa"/>
            <w:tcBorders>
              <w:top w:val="single" w:sz="12" w:space="0" w:color="auto"/>
            </w:tcBorders>
            <w:shd w:val="clear" w:color="auto" w:fill="auto"/>
            <w:noWrap/>
            <w:vAlign w:val="bottom"/>
            <w:hideMark/>
          </w:tcPr>
          <w:p w14:paraId="2B77E555"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w:t>
            </w:r>
          </w:p>
        </w:tc>
        <w:tc>
          <w:tcPr>
            <w:tcW w:w="542" w:type="dxa"/>
            <w:tcBorders>
              <w:top w:val="single" w:sz="12" w:space="0" w:color="auto"/>
            </w:tcBorders>
            <w:shd w:val="clear" w:color="auto" w:fill="auto"/>
            <w:noWrap/>
            <w:vAlign w:val="bottom"/>
            <w:hideMark/>
          </w:tcPr>
          <w:p w14:paraId="31A5A8B3"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3</w:t>
            </w:r>
          </w:p>
        </w:tc>
        <w:tc>
          <w:tcPr>
            <w:tcW w:w="542" w:type="dxa"/>
            <w:tcBorders>
              <w:top w:val="single" w:sz="12" w:space="0" w:color="auto"/>
            </w:tcBorders>
            <w:shd w:val="clear" w:color="auto" w:fill="auto"/>
            <w:noWrap/>
            <w:vAlign w:val="bottom"/>
            <w:hideMark/>
          </w:tcPr>
          <w:p w14:paraId="3B45A50F"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8</w:t>
            </w:r>
          </w:p>
        </w:tc>
        <w:tc>
          <w:tcPr>
            <w:tcW w:w="542" w:type="dxa"/>
            <w:tcBorders>
              <w:top w:val="single" w:sz="12" w:space="0" w:color="auto"/>
            </w:tcBorders>
            <w:shd w:val="clear" w:color="auto" w:fill="auto"/>
            <w:noWrap/>
            <w:vAlign w:val="bottom"/>
            <w:hideMark/>
          </w:tcPr>
          <w:p w14:paraId="79D9F59B"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7</w:t>
            </w:r>
          </w:p>
        </w:tc>
        <w:tc>
          <w:tcPr>
            <w:tcW w:w="642" w:type="dxa"/>
            <w:tcBorders>
              <w:top w:val="single" w:sz="12" w:space="0" w:color="auto"/>
            </w:tcBorders>
            <w:shd w:val="clear" w:color="auto" w:fill="auto"/>
            <w:noWrap/>
            <w:vAlign w:val="bottom"/>
            <w:hideMark/>
          </w:tcPr>
          <w:p w14:paraId="39B02E40"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24</w:t>
            </w:r>
          </w:p>
        </w:tc>
      </w:tr>
      <w:tr w:rsidR="00D45607" w:rsidRPr="003731A3" w14:paraId="59159C37" w14:textId="77777777" w:rsidTr="003731A3">
        <w:tc>
          <w:tcPr>
            <w:cnfStyle w:val="001000000000" w:firstRow="0" w:lastRow="0" w:firstColumn="1" w:lastColumn="0" w:oddVBand="0" w:evenVBand="0" w:oddHBand="0" w:evenHBand="0" w:firstRowFirstColumn="0" w:firstRowLastColumn="0" w:lastRowFirstColumn="0" w:lastRowLastColumn="0"/>
            <w:tcW w:w="2962" w:type="dxa"/>
            <w:shd w:val="clear" w:color="auto" w:fill="auto"/>
            <w:hideMark/>
          </w:tcPr>
          <w:p w14:paraId="743686D2" w14:textId="77777777" w:rsidR="00D45607" w:rsidRPr="003731A3" w:rsidRDefault="00D45607" w:rsidP="003731A3">
            <w:pPr>
              <w:suppressAutoHyphens w:val="0"/>
              <w:spacing w:before="40" w:after="40" w:line="220" w:lineRule="exact"/>
              <w:rPr>
                <w:sz w:val="18"/>
                <w:szCs w:val="18"/>
                <w:lang w:val="fr-CH"/>
              </w:rPr>
            </w:pPr>
            <w:r w:rsidRPr="003731A3">
              <w:rPr>
                <w:sz w:val="18"/>
                <w:szCs w:val="18"/>
                <w:lang w:val="fr-CH"/>
              </w:rPr>
              <w:t>Juridictions de premier degré spécialisées dans les affaires de violence à l</w:t>
            </w:r>
            <w:r w:rsidR="009258E3" w:rsidRPr="003731A3">
              <w:rPr>
                <w:sz w:val="18"/>
                <w:szCs w:val="18"/>
                <w:lang w:val="fr-CH"/>
              </w:rPr>
              <w:t>’</w:t>
            </w:r>
            <w:r w:rsidRPr="003731A3">
              <w:rPr>
                <w:sz w:val="18"/>
                <w:szCs w:val="18"/>
                <w:lang w:val="fr-CH"/>
              </w:rPr>
              <w:t>égard des femmes et dans la lutte contre la corruption</w:t>
            </w:r>
          </w:p>
        </w:tc>
        <w:tc>
          <w:tcPr>
            <w:tcW w:w="517" w:type="dxa"/>
            <w:shd w:val="clear" w:color="auto" w:fill="auto"/>
            <w:vAlign w:val="bottom"/>
            <w:hideMark/>
          </w:tcPr>
          <w:p w14:paraId="6ADF1D0C" w14:textId="77777777" w:rsidR="00D45607" w:rsidRPr="003731A3" w:rsidRDefault="00D45607"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0</w:t>
            </w:r>
          </w:p>
        </w:tc>
        <w:tc>
          <w:tcPr>
            <w:tcW w:w="540" w:type="dxa"/>
            <w:shd w:val="clear" w:color="auto" w:fill="auto"/>
            <w:noWrap/>
            <w:vAlign w:val="bottom"/>
            <w:hideMark/>
          </w:tcPr>
          <w:p w14:paraId="0C6A51D2" w14:textId="77777777" w:rsidR="00D45607" w:rsidRPr="003731A3" w:rsidRDefault="00D45607"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2</w:t>
            </w:r>
          </w:p>
        </w:tc>
        <w:tc>
          <w:tcPr>
            <w:tcW w:w="541" w:type="dxa"/>
            <w:shd w:val="clear" w:color="auto" w:fill="auto"/>
            <w:noWrap/>
            <w:vAlign w:val="bottom"/>
            <w:hideMark/>
          </w:tcPr>
          <w:p w14:paraId="65D18D86" w14:textId="77777777" w:rsidR="00D45607" w:rsidRPr="003731A3" w:rsidRDefault="00D45607"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p>
        </w:tc>
        <w:tc>
          <w:tcPr>
            <w:tcW w:w="542" w:type="dxa"/>
            <w:shd w:val="clear" w:color="auto" w:fill="auto"/>
            <w:noWrap/>
            <w:vAlign w:val="bottom"/>
            <w:hideMark/>
          </w:tcPr>
          <w:p w14:paraId="332F3C46" w14:textId="77777777" w:rsidR="00D45607" w:rsidRPr="003731A3" w:rsidRDefault="00D45607"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p>
        </w:tc>
        <w:tc>
          <w:tcPr>
            <w:tcW w:w="542" w:type="dxa"/>
            <w:shd w:val="clear" w:color="auto" w:fill="auto"/>
            <w:noWrap/>
            <w:vAlign w:val="bottom"/>
            <w:hideMark/>
          </w:tcPr>
          <w:p w14:paraId="3628272A" w14:textId="77777777" w:rsidR="00D45607" w:rsidRPr="003731A3" w:rsidRDefault="00D45607"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p>
        </w:tc>
        <w:tc>
          <w:tcPr>
            <w:tcW w:w="542" w:type="dxa"/>
            <w:shd w:val="clear" w:color="auto" w:fill="auto"/>
            <w:noWrap/>
            <w:vAlign w:val="bottom"/>
            <w:hideMark/>
          </w:tcPr>
          <w:p w14:paraId="3D735904" w14:textId="77777777" w:rsidR="00D45607" w:rsidRPr="003731A3" w:rsidRDefault="00D45607"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p>
        </w:tc>
        <w:tc>
          <w:tcPr>
            <w:tcW w:w="542" w:type="dxa"/>
            <w:shd w:val="clear" w:color="auto" w:fill="auto"/>
            <w:noWrap/>
            <w:vAlign w:val="bottom"/>
            <w:hideMark/>
          </w:tcPr>
          <w:p w14:paraId="0D2AB15E" w14:textId="77777777" w:rsidR="00D45607" w:rsidRPr="003731A3" w:rsidRDefault="00D45607"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p>
        </w:tc>
        <w:tc>
          <w:tcPr>
            <w:tcW w:w="642" w:type="dxa"/>
            <w:shd w:val="clear" w:color="auto" w:fill="auto"/>
            <w:noWrap/>
            <w:vAlign w:val="bottom"/>
            <w:hideMark/>
          </w:tcPr>
          <w:p w14:paraId="39E31E7E" w14:textId="77777777" w:rsidR="00D45607" w:rsidRPr="003731A3" w:rsidRDefault="00D45607"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2</w:t>
            </w:r>
          </w:p>
        </w:tc>
      </w:tr>
      <w:tr w:rsidR="00D45607" w:rsidRPr="003731A3" w14:paraId="25F34187" w14:textId="77777777" w:rsidTr="00B51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Borders>
              <w:bottom w:val="single" w:sz="4" w:space="0" w:color="auto"/>
            </w:tcBorders>
            <w:shd w:val="clear" w:color="auto" w:fill="auto"/>
            <w:hideMark/>
          </w:tcPr>
          <w:p w14:paraId="2D16DF05" w14:textId="77777777" w:rsidR="00D45607" w:rsidRPr="003731A3" w:rsidRDefault="00D45607" w:rsidP="003731A3">
            <w:pPr>
              <w:suppressAutoHyphens w:val="0"/>
              <w:spacing w:before="40" w:after="40" w:line="220" w:lineRule="exact"/>
              <w:rPr>
                <w:sz w:val="18"/>
                <w:szCs w:val="18"/>
                <w:lang w:val="fr-CH"/>
              </w:rPr>
            </w:pPr>
            <w:r w:rsidRPr="003731A3">
              <w:rPr>
                <w:sz w:val="18"/>
                <w:szCs w:val="18"/>
                <w:lang w:val="fr-CH"/>
              </w:rPr>
              <w:t>Tribunaux de première instance chargés des affaires de violence à l</w:t>
            </w:r>
            <w:r w:rsidR="009258E3" w:rsidRPr="003731A3">
              <w:rPr>
                <w:sz w:val="18"/>
                <w:szCs w:val="18"/>
                <w:lang w:val="fr-CH"/>
              </w:rPr>
              <w:t>’</w:t>
            </w:r>
            <w:r w:rsidRPr="003731A3">
              <w:rPr>
                <w:sz w:val="18"/>
                <w:szCs w:val="18"/>
                <w:lang w:val="fr-CH"/>
              </w:rPr>
              <w:t>égard des femmes</w:t>
            </w:r>
          </w:p>
        </w:tc>
        <w:tc>
          <w:tcPr>
            <w:tcW w:w="517" w:type="dxa"/>
            <w:tcBorders>
              <w:bottom w:val="single" w:sz="4" w:space="0" w:color="auto"/>
            </w:tcBorders>
            <w:shd w:val="clear" w:color="auto" w:fill="auto"/>
            <w:vAlign w:val="bottom"/>
            <w:hideMark/>
          </w:tcPr>
          <w:p w14:paraId="61769204"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0</w:t>
            </w:r>
          </w:p>
        </w:tc>
        <w:tc>
          <w:tcPr>
            <w:tcW w:w="540" w:type="dxa"/>
            <w:tcBorders>
              <w:bottom w:val="single" w:sz="4" w:space="0" w:color="auto"/>
            </w:tcBorders>
            <w:shd w:val="clear" w:color="auto" w:fill="auto"/>
            <w:noWrap/>
            <w:vAlign w:val="bottom"/>
            <w:hideMark/>
          </w:tcPr>
          <w:p w14:paraId="1CCC7D12"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w:t>
            </w:r>
          </w:p>
        </w:tc>
        <w:tc>
          <w:tcPr>
            <w:tcW w:w="541" w:type="dxa"/>
            <w:tcBorders>
              <w:bottom w:val="single" w:sz="4" w:space="0" w:color="auto"/>
            </w:tcBorders>
            <w:shd w:val="clear" w:color="auto" w:fill="auto"/>
            <w:noWrap/>
            <w:vAlign w:val="bottom"/>
            <w:hideMark/>
          </w:tcPr>
          <w:p w14:paraId="6BE6D84E"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p>
        </w:tc>
        <w:tc>
          <w:tcPr>
            <w:tcW w:w="542" w:type="dxa"/>
            <w:tcBorders>
              <w:bottom w:val="single" w:sz="4" w:space="0" w:color="auto"/>
            </w:tcBorders>
            <w:shd w:val="clear" w:color="auto" w:fill="auto"/>
            <w:noWrap/>
            <w:vAlign w:val="bottom"/>
            <w:hideMark/>
          </w:tcPr>
          <w:p w14:paraId="12050E17"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p>
        </w:tc>
        <w:tc>
          <w:tcPr>
            <w:tcW w:w="542" w:type="dxa"/>
            <w:tcBorders>
              <w:bottom w:val="single" w:sz="4" w:space="0" w:color="auto"/>
            </w:tcBorders>
            <w:shd w:val="clear" w:color="auto" w:fill="auto"/>
            <w:noWrap/>
            <w:vAlign w:val="bottom"/>
            <w:hideMark/>
          </w:tcPr>
          <w:p w14:paraId="66FA559B"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p>
        </w:tc>
        <w:tc>
          <w:tcPr>
            <w:tcW w:w="542" w:type="dxa"/>
            <w:tcBorders>
              <w:bottom w:val="single" w:sz="4" w:space="0" w:color="auto"/>
            </w:tcBorders>
            <w:shd w:val="clear" w:color="auto" w:fill="auto"/>
            <w:noWrap/>
            <w:vAlign w:val="bottom"/>
            <w:hideMark/>
          </w:tcPr>
          <w:p w14:paraId="2CB2FF90"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p>
        </w:tc>
        <w:tc>
          <w:tcPr>
            <w:tcW w:w="542" w:type="dxa"/>
            <w:tcBorders>
              <w:bottom w:val="single" w:sz="4" w:space="0" w:color="auto"/>
            </w:tcBorders>
            <w:shd w:val="clear" w:color="auto" w:fill="auto"/>
            <w:noWrap/>
            <w:vAlign w:val="bottom"/>
            <w:hideMark/>
          </w:tcPr>
          <w:p w14:paraId="6A03127F"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p>
        </w:tc>
        <w:tc>
          <w:tcPr>
            <w:tcW w:w="642" w:type="dxa"/>
            <w:tcBorders>
              <w:bottom w:val="single" w:sz="4" w:space="0" w:color="auto"/>
            </w:tcBorders>
            <w:shd w:val="clear" w:color="auto" w:fill="auto"/>
            <w:noWrap/>
            <w:vAlign w:val="bottom"/>
            <w:hideMark/>
          </w:tcPr>
          <w:p w14:paraId="12E99484" w14:textId="77777777" w:rsidR="00D45607" w:rsidRPr="003731A3" w:rsidRDefault="00D45607"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w:t>
            </w:r>
          </w:p>
        </w:tc>
      </w:tr>
      <w:tr w:rsidR="00D45607" w:rsidRPr="00B51884" w14:paraId="371B92C8" w14:textId="77777777" w:rsidTr="00B51884">
        <w:tc>
          <w:tcPr>
            <w:cnfStyle w:val="001000000000" w:firstRow="0" w:lastRow="0" w:firstColumn="1" w:lastColumn="0" w:oddVBand="0" w:evenVBand="0" w:oddHBand="0" w:evenHBand="0" w:firstRowFirstColumn="0" w:firstRowLastColumn="0" w:lastRowFirstColumn="0" w:lastRowLastColumn="0"/>
            <w:tcW w:w="2962" w:type="dxa"/>
            <w:tcBorders>
              <w:top w:val="single" w:sz="4" w:space="0" w:color="auto"/>
              <w:bottom w:val="single" w:sz="12" w:space="0" w:color="auto"/>
            </w:tcBorders>
            <w:shd w:val="clear" w:color="auto" w:fill="auto"/>
            <w:noWrap/>
            <w:hideMark/>
          </w:tcPr>
          <w:p w14:paraId="0025AD04" w14:textId="77777777" w:rsidR="00D45607" w:rsidRPr="00B51884" w:rsidRDefault="00D45607" w:rsidP="00B51884">
            <w:pPr>
              <w:suppressAutoHyphens w:val="0"/>
              <w:spacing w:before="80" w:after="80" w:line="220" w:lineRule="exact"/>
              <w:ind w:left="283"/>
              <w:rPr>
                <w:sz w:val="18"/>
                <w:lang w:val="fr-CH"/>
              </w:rPr>
            </w:pPr>
            <w:r w:rsidRPr="00B51884">
              <w:rPr>
                <w:sz w:val="18"/>
                <w:lang w:val="fr-CH"/>
              </w:rPr>
              <w:t>Total</w:t>
            </w:r>
          </w:p>
        </w:tc>
        <w:tc>
          <w:tcPr>
            <w:tcW w:w="517" w:type="dxa"/>
            <w:tcBorders>
              <w:top w:val="single" w:sz="4" w:space="0" w:color="auto"/>
              <w:bottom w:val="single" w:sz="12" w:space="0" w:color="auto"/>
            </w:tcBorders>
            <w:shd w:val="clear" w:color="auto" w:fill="auto"/>
            <w:vAlign w:val="bottom"/>
            <w:hideMark/>
          </w:tcPr>
          <w:p w14:paraId="406B252E" w14:textId="77777777" w:rsidR="00D45607" w:rsidRPr="00B51884" w:rsidRDefault="00D45607"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0</w:t>
            </w:r>
          </w:p>
        </w:tc>
        <w:tc>
          <w:tcPr>
            <w:tcW w:w="540" w:type="dxa"/>
            <w:tcBorders>
              <w:top w:val="single" w:sz="4" w:space="0" w:color="auto"/>
              <w:bottom w:val="single" w:sz="12" w:space="0" w:color="auto"/>
            </w:tcBorders>
            <w:shd w:val="clear" w:color="auto" w:fill="auto"/>
            <w:noWrap/>
            <w:vAlign w:val="bottom"/>
            <w:hideMark/>
          </w:tcPr>
          <w:p w14:paraId="697E2E6D" w14:textId="77777777" w:rsidR="00D45607" w:rsidRPr="00B51884" w:rsidRDefault="00D45607"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7</w:t>
            </w:r>
          </w:p>
        </w:tc>
        <w:tc>
          <w:tcPr>
            <w:tcW w:w="541" w:type="dxa"/>
            <w:tcBorders>
              <w:top w:val="single" w:sz="4" w:space="0" w:color="auto"/>
              <w:bottom w:val="single" w:sz="12" w:space="0" w:color="auto"/>
            </w:tcBorders>
            <w:shd w:val="clear" w:color="auto" w:fill="auto"/>
            <w:noWrap/>
            <w:vAlign w:val="bottom"/>
            <w:hideMark/>
          </w:tcPr>
          <w:p w14:paraId="28C7F639" w14:textId="77777777" w:rsidR="00D45607" w:rsidRPr="00B51884" w:rsidRDefault="00D45607"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1</w:t>
            </w:r>
          </w:p>
        </w:tc>
        <w:tc>
          <w:tcPr>
            <w:tcW w:w="542" w:type="dxa"/>
            <w:tcBorders>
              <w:top w:val="single" w:sz="4" w:space="0" w:color="auto"/>
              <w:bottom w:val="single" w:sz="12" w:space="0" w:color="auto"/>
            </w:tcBorders>
            <w:shd w:val="clear" w:color="auto" w:fill="auto"/>
            <w:noWrap/>
            <w:vAlign w:val="bottom"/>
            <w:hideMark/>
          </w:tcPr>
          <w:p w14:paraId="1A3DAE65" w14:textId="77777777" w:rsidR="00D45607" w:rsidRPr="00B51884" w:rsidRDefault="00D45607"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1</w:t>
            </w:r>
          </w:p>
        </w:tc>
        <w:tc>
          <w:tcPr>
            <w:tcW w:w="542" w:type="dxa"/>
            <w:tcBorders>
              <w:top w:val="single" w:sz="4" w:space="0" w:color="auto"/>
              <w:bottom w:val="single" w:sz="12" w:space="0" w:color="auto"/>
            </w:tcBorders>
            <w:shd w:val="clear" w:color="auto" w:fill="auto"/>
            <w:noWrap/>
            <w:vAlign w:val="bottom"/>
            <w:hideMark/>
          </w:tcPr>
          <w:p w14:paraId="4B580952" w14:textId="77777777" w:rsidR="00D45607" w:rsidRPr="00B51884" w:rsidRDefault="00D45607"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3</w:t>
            </w:r>
          </w:p>
        </w:tc>
        <w:tc>
          <w:tcPr>
            <w:tcW w:w="542" w:type="dxa"/>
            <w:tcBorders>
              <w:top w:val="single" w:sz="4" w:space="0" w:color="auto"/>
              <w:bottom w:val="single" w:sz="12" w:space="0" w:color="auto"/>
            </w:tcBorders>
            <w:shd w:val="clear" w:color="auto" w:fill="auto"/>
            <w:noWrap/>
            <w:vAlign w:val="bottom"/>
            <w:hideMark/>
          </w:tcPr>
          <w:p w14:paraId="0B6A6436" w14:textId="77777777" w:rsidR="00D45607" w:rsidRPr="00B51884" w:rsidRDefault="00D45607"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8</w:t>
            </w:r>
          </w:p>
        </w:tc>
        <w:tc>
          <w:tcPr>
            <w:tcW w:w="542" w:type="dxa"/>
            <w:tcBorders>
              <w:top w:val="single" w:sz="4" w:space="0" w:color="auto"/>
              <w:bottom w:val="single" w:sz="12" w:space="0" w:color="auto"/>
            </w:tcBorders>
            <w:shd w:val="clear" w:color="auto" w:fill="auto"/>
            <w:noWrap/>
            <w:vAlign w:val="bottom"/>
            <w:hideMark/>
          </w:tcPr>
          <w:p w14:paraId="0B9321CB" w14:textId="77777777" w:rsidR="00D45607" w:rsidRPr="00B51884" w:rsidRDefault="00D45607"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7</w:t>
            </w:r>
          </w:p>
        </w:tc>
        <w:tc>
          <w:tcPr>
            <w:tcW w:w="642" w:type="dxa"/>
            <w:tcBorders>
              <w:top w:val="single" w:sz="4" w:space="0" w:color="auto"/>
              <w:bottom w:val="single" w:sz="12" w:space="0" w:color="auto"/>
            </w:tcBorders>
            <w:shd w:val="clear" w:color="auto" w:fill="auto"/>
            <w:noWrap/>
            <w:vAlign w:val="bottom"/>
            <w:hideMark/>
          </w:tcPr>
          <w:p w14:paraId="268428BD" w14:textId="77777777" w:rsidR="00D45607" w:rsidRPr="00B51884" w:rsidRDefault="00D45607"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27</w:t>
            </w:r>
          </w:p>
        </w:tc>
      </w:tr>
    </w:tbl>
    <w:p w14:paraId="37DADE5F" w14:textId="77777777" w:rsidR="00D45607" w:rsidRPr="001561A6" w:rsidRDefault="00D45607" w:rsidP="00D45607">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Conseil de la magistrature.</w:t>
      </w:r>
    </w:p>
    <w:p w14:paraId="6291A293" w14:textId="77777777" w:rsidR="00D45607" w:rsidRPr="001561A6" w:rsidRDefault="00D45607" w:rsidP="00D45607">
      <w:pPr>
        <w:pStyle w:val="SingleTxtG"/>
      </w:pPr>
      <w:r w:rsidRPr="001561A6">
        <w:t>37.</w:t>
      </w:r>
      <w:r w:rsidRPr="001561A6">
        <w:tab/>
        <w:t>Nombre de foyers d</w:t>
      </w:r>
      <w:r w:rsidR="009258E3">
        <w:t>’</w:t>
      </w:r>
      <w:r w:rsidRPr="001561A6">
        <w:t>accueil pour les victimes de violence familiale, et informations détaillées sur ces foyers</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5"/>
        <w:gridCol w:w="4905"/>
      </w:tblGrid>
      <w:tr w:rsidR="00CB3B41" w:rsidRPr="00A94A4B" w14:paraId="25CE739C" w14:textId="77777777" w:rsidTr="00A94A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2" w:type="pct"/>
            <w:tcBorders>
              <w:top w:val="single" w:sz="4" w:space="0" w:color="auto"/>
              <w:left w:val="none" w:sz="0" w:space="0" w:color="auto"/>
              <w:bottom w:val="single" w:sz="12" w:space="0" w:color="auto"/>
              <w:right w:val="none" w:sz="0" w:space="0" w:color="auto"/>
            </w:tcBorders>
            <w:shd w:val="clear" w:color="auto" w:fill="auto"/>
            <w:vAlign w:val="bottom"/>
            <w:hideMark/>
          </w:tcPr>
          <w:p w14:paraId="0816C6DC" w14:textId="77777777" w:rsidR="00CB3B41" w:rsidRPr="00A94A4B" w:rsidRDefault="00CB3B41" w:rsidP="00A94A4B">
            <w:pPr>
              <w:spacing w:before="80" w:after="80" w:line="200" w:lineRule="exact"/>
              <w:ind w:right="113"/>
              <w:rPr>
                <w:b w:val="0"/>
                <w:i/>
                <w:color w:val="auto"/>
                <w:sz w:val="16"/>
                <w:lang w:val="fr-CH"/>
              </w:rPr>
            </w:pPr>
            <w:r w:rsidRPr="00A94A4B">
              <w:rPr>
                <w:b w:val="0"/>
                <w:i/>
                <w:color w:val="auto"/>
                <w:sz w:val="16"/>
                <w:lang w:val="fr-CH"/>
              </w:rPr>
              <w:t>Département</w:t>
            </w:r>
          </w:p>
        </w:tc>
        <w:tc>
          <w:tcPr>
            <w:tcW w:w="3328" w:type="pct"/>
            <w:tcBorders>
              <w:top w:val="single" w:sz="4" w:space="0" w:color="auto"/>
              <w:left w:val="none" w:sz="0" w:space="0" w:color="auto"/>
              <w:bottom w:val="single" w:sz="12" w:space="0" w:color="auto"/>
              <w:right w:val="none" w:sz="0" w:space="0" w:color="auto"/>
            </w:tcBorders>
            <w:shd w:val="clear" w:color="auto" w:fill="auto"/>
            <w:vAlign w:val="bottom"/>
            <w:hideMark/>
          </w:tcPr>
          <w:p w14:paraId="6CD79726" w14:textId="77777777" w:rsidR="00CB3B41" w:rsidRPr="00A94A4B" w:rsidRDefault="00CB3B41" w:rsidP="00A94A4B">
            <w:pPr>
              <w:spacing w:before="80" w:after="80" w:line="200" w:lineRule="exact"/>
              <w:ind w:right="113"/>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94A4B">
              <w:rPr>
                <w:b w:val="0"/>
                <w:i/>
                <w:color w:val="auto"/>
                <w:sz w:val="16"/>
                <w:lang w:val="fr-CH"/>
              </w:rPr>
              <w:t>Nombre de foyers d</w:t>
            </w:r>
            <w:r w:rsidR="009258E3" w:rsidRPr="00A94A4B">
              <w:rPr>
                <w:b w:val="0"/>
                <w:i/>
                <w:color w:val="auto"/>
                <w:sz w:val="16"/>
                <w:lang w:val="fr-CH"/>
              </w:rPr>
              <w:t>’</w:t>
            </w:r>
            <w:r w:rsidRPr="00A94A4B">
              <w:rPr>
                <w:b w:val="0"/>
                <w:i/>
                <w:color w:val="auto"/>
                <w:sz w:val="16"/>
                <w:lang w:val="fr-CH"/>
              </w:rPr>
              <w:t>accueil</w:t>
            </w:r>
          </w:p>
        </w:tc>
      </w:tr>
      <w:tr w:rsidR="00A94A4B" w:rsidRPr="00A94A4B" w14:paraId="2FA05E10" w14:textId="77777777" w:rsidTr="00A94A4B">
        <w:trPr>
          <w:cnfStyle w:val="100000000000" w:firstRow="1" w:lastRow="0" w:firstColumn="0" w:lastColumn="0" w:oddVBand="0" w:evenVBand="0" w:oddHBand="0" w:evenHBand="0" w:firstRowFirstColumn="0" w:firstRowLastColumn="0" w:lastRowFirstColumn="0" w:lastRowLastColumn="0"/>
          <w:trHeight w:hRule="exact" w:val="113"/>
          <w:tblHeader/>
        </w:trPr>
        <w:tc>
          <w:tcPr>
            <w:cnfStyle w:val="001000000000" w:firstRow="0" w:lastRow="0" w:firstColumn="1" w:lastColumn="0" w:oddVBand="0" w:evenVBand="0" w:oddHBand="0" w:evenHBand="0" w:firstRowFirstColumn="0" w:firstRowLastColumn="0" w:lastRowFirstColumn="0" w:lastRowLastColumn="0"/>
            <w:tcW w:w="1672" w:type="pct"/>
            <w:tcBorders>
              <w:top w:val="single" w:sz="12" w:space="0" w:color="auto"/>
              <w:bottom w:val="none" w:sz="0" w:space="0" w:color="auto"/>
            </w:tcBorders>
            <w:shd w:val="clear" w:color="auto" w:fill="auto"/>
          </w:tcPr>
          <w:p w14:paraId="640E7F7E" w14:textId="77777777" w:rsidR="00A94A4B" w:rsidRPr="00A94A4B" w:rsidRDefault="00A94A4B" w:rsidP="00A94A4B">
            <w:pPr>
              <w:spacing w:before="40" w:after="120"/>
              <w:ind w:right="113"/>
              <w:rPr>
                <w:color w:val="auto"/>
              </w:rPr>
            </w:pPr>
          </w:p>
        </w:tc>
        <w:tc>
          <w:tcPr>
            <w:tcW w:w="3328" w:type="pct"/>
            <w:tcBorders>
              <w:top w:val="single" w:sz="12" w:space="0" w:color="auto"/>
              <w:bottom w:val="none" w:sz="0" w:space="0" w:color="auto"/>
            </w:tcBorders>
            <w:shd w:val="clear" w:color="auto" w:fill="auto"/>
          </w:tcPr>
          <w:p w14:paraId="1B3DDEFD" w14:textId="77777777" w:rsidR="00A94A4B" w:rsidRPr="00A94A4B" w:rsidRDefault="00A94A4B" w:rsidP="00A94A4B">
            <w:pPr>
              <w:spacing w:before="40" w:after="120"/>
              <w:ind w:right="113"/>
              <w:cnfStyle w:val="100000000000" w:firstRow="1" w:lastRow="0" w:firstColumn="0" w:lastColumn="0" w:oddVBand="0" w:evenVBand="0" w:oddHBand="0" w:evenHBand="0" w:firstRowFirstColumn="0" w:firstRowLastColumn="0" w:lastRowFirstColumn="0" w:lastRowLastColumn="0"/>
              <w:rPr>
                <w:color w:val="auto"/>
              </w:rPr>
            </w:pPr>
          </w:p>
        </w:tc>
      </w:tr>
      <w:tr w:rsidR="00CB3B41" w:rsidRPr="00A94A4B" w14:paraId="13B8997D" w14:textId="77777777" w:rsidTr="00A94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pct"/>
            <w:shd w:val="clear" w:color="auto" w:fill="auto"/>
          </w:tcPr>
          <w:p w14:paraId="22F9C8FC" w14:textId="77777777" w:rsidR="00CB3B41" w:rsidRPr="00A94A4B" w:rsidRDefault="00CB3B41" w:rsidP="00A94A4B">
            <w:pPr>
              <w:spacing w:before="40" w:after="120"/>
              <w:ind w:right="113"/>
              <w:rPr>
                <w:lang w:val="fr-CH"/>
              </w:rPr>
            </w:pPr>
            <w:r w:rsidRPr="00A94A4B">
              <w:rPr>
                <w:lang w:val="fr-CH"/>
              </w:rPr>
              <w:t>Santa Cruz</w:t>
            </w:r>
          </w:p>
        </w:tc>
        <w:tc>
          <w:tcPr>
            <w:tcW w:w="3328" w:type="pct"/>
            <w:shd w:val="clear" w:color="auto" w:fill="auto"/>
            <w:hideMark/>
          </w:tcPr>
          <w:p w14:paraId="63A0325A" w14:textId="77777777" w:rsidR="00CB3B41" w:rsidRPr="00A94A4B" w:rsidRDefault="00CB3B41" w:rsidP="00A94A4B">
            <w:pPr>
              <w:spacing w:before="40" w:after="120"/>
              <w:ind w:right="113"/>
              <w:cnfStyle w:val="000000100000" w:firstRow="0" w:lastRow="0" w:firstColumn="0" w:lastColumn="0" w:oddVBand="0" w:evenVBand="0" w:oddHBand="1" w:evenHBand="0" w:firstRowFirstColumn="0" w:firstRowLastColumn="0" w:lastRowFirstColumn="0" w:lastRowLastColumn="0"/>
              <w:rPr>
                <w:lang w:val="fr-CH"/>
              </w:rPr>
            </w:pPr>
            <w:r w:rsidRPr="00A94A4B">
              <w:rPr>
                <w:lang w:val="fr-CH"/>
              </w:rPr>
              <w:t xml:space="preserve">Quatre centres de prise en charge intégrale ouverts aux femmes et aux familles, qui fournissent également une aide </w:t>
            </w:r>
            <w:proofErr w:type="spellStart"/>
            <w:r w:rsidRPr="00A94A4B">
              <w:rPr>
                <w:lang w:val="fr-CH"/>
              </w:rPr>
              <w:t>psychosociale</w:t>
            </w:r>
            <w:proofErr w:type="spellEnd"/>
            <w:r w:rsidRPr="00A94A4B">
              <w:rPr>
                <w:lang w:val="fr-CH"/>
              </w:rPr>
              <w:t xml:space="preserve"> et des conseils juridiques aux femmes victimes de violence</w:t>
            </w:r>
          </w:p>
        </w:tc>
      </w:tr>
      <w:tr w:rsidR="00CB3B41" w:rsidRPr="00A94A4B" w14:paraId="046219CD" w14:textId="77777777" w:rsidTr="00A94A4B">
        <w:tc>
          <w:tcPr>
            <w:cnfStyle w:val="001000000000" w:firstRow="0" w:lastRow="0" w:firstColumn="1" w:lastColumn="0" w:oddVBand="0" w:evenVBand="0" w:oddHBand="0" w:evenHBand="0" w:firstRowFirstColumn="0" w:firstRowLastColumn="0" w:lastRowFirstColumn="0" w:lastRowLastColumn="0"/>
            <w:tcW w:w="1672" w:type="pct"/>
            <w:shd w:val="clear" w:color="auto" w:fill="auto"/>
          </w:tcPr>
          <w:p w14:paraId="2BE50E61" w14:textId="77777777" w:rsidR="00CB3B41" w:rsidRPr="00A94A4B" w:rsidRDefault="00CB3B41" w:rsidP="00A94A4B">
            <w:pPr>
              <w:spacing w:before="40" w:after="120"/>
              <w:ind w:right="113"/>
              <w:rPr>
                <w:lang w:val="fr-CH"/>
              </w:rPr>
            </w:pPr>
            <w:r w:rsidRPr="00A94A4B">
              <w:rPr>
                <w:lang w:val="fr-CH"/>
              </w:rPr>
              <w:t>Potosí</w:t>
            </w:r>
          </w:p>
        </w:tc>
        <w:tc>
          <w:tcPr>
            <w:tcW w:w="3328" w:type="pct"/>
            <w:shd w:val="clear" w:color="auto" w:fill="auto"/>
            <w:hideMark/>
          </w:tcPr>
          <w:p w14:paraId="0D655B09" w14:textId="77777777" w:rsidR="00CB3B41" w:rsidRPr="00A94A4B" w:rsidRDefault="00CB3B41" w:rsidP="00A94A4B">
            <w:pPr>
              <w:spacing w:before="40" w:after="120"/>
              <w:ind w:right="113"/>
              <w:cnfStyle w:val="000000000000" w:firstRow="0" w:lastRow="0" w:firstColumn="0" w:lastColumn="0" w:oddVBand="0" w:evenVBand="0" w:oddHBand="0" w:evenHBand="0" w:firstRowFirstColumn="0" w:firstRowLastColumn="0" w:lastRowFirstColumn="0" w:lastRowLastColumn="0"/>
              <w:rPr>
                <w:lang w:val="fr-CH"/>
              </w:rPr>
            </w:pPr>
            <w:r w:rsidRPr="00A94A4B">
              <w:rPr>
                <w:lang w:val="fr-CH"/>
              </w:rPr>
              <w:t>Un foyer d</w:t>
            </w:r>
            <w:r w:rsidR="009258E3" w:rsidRPr="00A94A4B">
              <w:rPr>
                <w:lang w:val="fr-CH"/>
              </w:rPr>
              <w:t>’</w:t>
            </w:r>
            <w:r w:rsidRPr="00A94A4B">
              <w:rPr>
                <w:lang w:val="fr-CH"/>
              </w:rPr>
              <w:t xml:space="preserve">accueil temporaire pour les victimes de violence dans la région de </w:t>
            </w:r>
            <w:proofErr w:type="spellStart"/>
            <w:r w:rsidRPr="00A94A4B">
              <w:rPr>
                <w:lang w:val="fr-CH"/>
              </w:rPr>
              <w:t>Cantumarca</w:t>
            </w:r>
            <w:proofErr w:type="spellEnd"/>
          </w:p>
        </w:tc>
      </w:tr>
      <w:tr w:rsidR="00CB3B41" w:rsidRPr="00A94A4B" w14:paraId="40A0EF30" w14:textId="77777777" w:rsidTr="00A94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pct"/>
            <w:shd w:val="clear" w:color="auto" w:fill="auto"/>
          </w:tcPr>
          <w:p w14:paraId="4284836C" w14:textId="77777777" w:rsidR="00CB3B41" w:rsidRPr="00A94A4B" w:rsidRDefault="00CB3B41" w:rsidP="00A94A4B">
            <w:pPr>
              <w:spacing w:before="40" w:after="120"/>
              <w:ind w:right="113"/>
              <w:rPr>
                <w:lang w:val="fr-CH"/>
              </w:rPr>
            </w:pPr>
            <w:r w:rsidRPr="00A94A4B">
              <w:rPr>
                <w:lang w:val="fr-CH"/>
              </w:rPr>
              <w:t>Beni</w:t>
            </w:r>
          </w:p>
        </w:tc>
        <w:tc>
          <w:tcPr>
            <w:tcW w:w="3328" w:type="pct"/>
            <w:shd w:val="clear" w:color="auto" w:fill="auto"/>
            <w:hideMark/>
          </w:tcPr>
          <w:p w14:paraId="70B297AE" w14:textId="77777777" w:rsidR="00CB3B41" w:rsidRPr="00A94A4B" w:rsidRDefault="00CB3B41" w:rsidP="00A94A4B">
            <w:pPr>
              <w:spacing w:before="40" w:after="120"/>
              <w:ind w:right="113"/>
              <w:cnfStyle w:val="000000100000" w:firstRow="0" w:lastRow="0" w:firstColumn="0" w:lastColumn="0" w:oddVBand="0" w:evenVBand="0" w:oddHBand="1" w:evenHBand="0" w:firstRowFirstColumn="0" w:firstRowLastColumn="0" w:lastRowFirstColumn="0" w:lastRowLastColumn="0"/>
              <w:rPr>
                <w:lang w:val="fr-CH"/>
              </w:rPr>
            </w:pPr>
            <w:r w:rsidRPr="00A94A4B">
              <w:rPr>
                <w:lang w:val="fr-CH"/>
              </w:rPr>
              <w:t>La ville de Trinidad a été dotée d</w:t>
            </w:r>
            <w:r w:rsidR="009258E3" w:rsidRPr="00A94A4B">
              <w:rPr>
                <w:lang w:val="fr-CH"/>
              </w:rPr>
              <w:t>’</w:t>
            </w:r>
            <w:r w:rsidRPr="00A94A4B">
              <w:rPr>
                <w:lang w:val="fr-CH"/>
              </w:rPr>
              <w:t>un terrain, en cours d</w:t>
            </w:r>
            <w:r w:rsidR="009258E3" w:rsidRPr="00A94A4B">
              <w:rPr>
                <w:lang w:val="fr-CH"/>
              </w:rPr>
              <w:t>’</w:t>
            </w:r>
            <w:r w:rsidRPr="00A94A4B">
              <w:rPr>
                <w:lang w:val="fr-CH"/>
              </w:rPr>
              <w:t>enregistrement, dans le cadre du programme de soutien à l</w:t>
            </w:r>
            <w:r w:rsidR="009258E3" w:rsidRPr="00A94A4B">
              <w:rPr>
                <w:lang w:val="fr-CH"/>
              </w:rPr>
              <w:t>’</w:t>
            </w:r>
            <w:r w:rsidRPr="00A94A4B">
              <w:rPr>
                <w:lang w:val="fr-CH"/>
              </w:rPr>
              <w:t>amélioration des institutions publiques et des systèmes de gestion (programme SIGMA) du Gouvernement</w:t>
            </w:r>
          </w:p>
          <w:p w14:paraId="0E71D910" w14:textId="77777777" w:rsidR="00CB3B41" w:rsidRPr="00A94A4B" w:rsidRDefault="00CB3B41" w:rsidP="00A94A4B">
            <w:pPr>
              <w:spacing w:before="40" w:after="120"/>
              <w:ind w:right="113"/>
              <w:cnfStyle w:val="000000100000" w:firstRow="0" w:lastRow="0" w:firstColumn="0" w:lastColumn="0" w:oddVBand="0" w:evenVBand="0" w:oddHBand="1" w:evenHBand="0" w:firstRowFirstColumn="0" w:firstRowLastColumn="0" w:lastRowFirstColumn="0" w:lastRowLastColumn="0"/>
              <w:rPr>
                <w:lang w:val="fr-CH"/>
              </w:rPr>
            </w:pPr>
            <w:r w:rsidRPr="00A94A4B">
              <w:rPr>
                <w:lang w:val="fr-CH"/>
              </w:rPr>
              <w:t>La ville de Riberalta est elle-aussi en train de s</w:t>
            </w:r>
            <w:r w:rsidR="009258E3" w:rsidRPr="00A94A4B">
              <w:rPr>
                <w:lang w:val="fr-CH"/>
              </w:rPr>
              <w:t>’</w:t>
            </w:r>
            <w:r w:rsidRPr="00A94A4B">
              <w:rPr>
                <w:lang w:val="fr-CH"/>
              </w:rPr>
              <w:t>équiper</w:t>
            </w:r>
          </w:p>
        </w:tc>
      </w:tr>
      <w:tr w:rsidR="00CB3B41" w:rsidRPr="00A94A4B" w14:paraId="5A0D758D" w14:textId="77777777" w:rsidTr="00A94A4B">
        <w:tc>
          <w:tcPr>
            <w:cnfStyle w:val="001000000000" w:firstRow="0" w:lastRow="0" w:firstColumn="1" w:lastColumn="0" w:oddVBand="0" w:evenVBand="0" w:oddHBand="0" w:evenHBand="0" w:firstRowFirstColumn="0" w:firstRowLastColumn="0" w:lastRowFirstColumn="0" w:lastRowLastColumn="0"/>
            <w:tcW w:w="1672" w:type="pct"/>
            <w:shd w:val="clear" w:color="auto" w:fill="auto"/>
          </w:tcPr>
          <w:p w14:paraId="7904DD00" w14:textId="77777777" w:rsidR="00CB3B41" w:rsidRPr="00A94A4B" w:rsidRDefault="00CB3B41" w:rsidP="00A94A4B">
            <w:pPr>
              <w:spacing w:before="40" w:after="120"/>
              <w:ind w:right="113"/>
              <w:rPr>
                <w:lang w:val="fr-CH"/>
              </w:rPr>
            </w:pPr>
            <w:r w:rsidRPr="00A94A4B">
              <w:rPr>
                <w:lang w:val="fr-CH"/>
              </w:rPr>
              <w:t>Oruro</w:t>
            </w:r>
          </w:p>
        </w:tc>
        <w:tc>
          <w:tcPr>
            <w:tcW w:w="3328" w:type="pct"/>
            <w:shd w:val="clear" w:color="auto" w:fill="auto"/>
            <w:hideMark/>
          </w:tcPr>
          <w:p w14:paraId="4A9F3DAA" w14:textId="77777777" w:rsidR="00CB3B41" w:rsidRPr="00A94A4B" w:rsidRDefault="00CB3B41" w:rsidP="00A94A4B">
            <w:pPr>
              <w:spacing w:before="40" w:after="120"/>
              <w:ind w:right="113"/>
              <w:cnfStyle w:val="000000000000" w:firstRow="0" w:lastRow="0" w:firstColumn="0" w:lastColumn="0" w:oddVBand="0" w:evenVBand="0" w:oddHBand="0" w:evenHBand="0" w:firstRowFirstColumn="0" w:firstRowLastColumn="0" w:lastRowFirstColumn="0" w:lastRowLastColumn="0"/>
              <w:rPr>
                <w:lang w:val="fr-CH"/>
              </w:rPr>
            </w:pPr>
            <w:r w:rsidRPr="00A94A4B">
              <w:rPr>
                <w:lang w:val="fr-CH"/>
              </w:rPr>
              <w:t>Actuellement, une étude de préinvestissement portant sur la conception technique, à laquelle participe le personnel du Secrétariat départemental du développement social et de la sécurité alimentaire, est en cours</w:t>
            </w:r>
          </w:p>
        </w:tc>
      </w:tr>
      <w:tr w:rsidR="00CB3B41" w:rsidRPr="00A94A4B" w14:paraId="49DDBF87" w14:textId="77777777" w:rsidTr="00A94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pct"/>
            <w:shd w:val="clear" w:color="auto" w:fill="auto"/>
          </w:tcPr>
          <w:p w14:paraId="51639769" w14:textId="77777777" w:rsidR="00CB3B41" w:rsidRPr="00A94A4B" w:rsidRDefault="00CB3B41" w:rsidP="00A94A4B">
            <w:pPr>
              <w:spacing w:before="40" w:after="120"/>
              <w:ind w:right="113"/>
              <w:rPr>
                <w:lang w:val="fr-CH"/>
              </w:rPr>
            </w:pPr>
            <w:r w:rsidRPr="00A94A4B">
              <w:rPr>
                <w:lang w:val="fr-CH"/>
              </w:rPr>
              <w:t>Cochabamba</w:t>
            </w:r>
          </w:p>
        </w:tc>
        <w:tc>
          <w:tcPr>
            <w:tcW w:w="3328" w:type="pct"/>
            <w:shd w:val="clear" w:color="auto" w:fill="auto"/>
            <w:hideMark/>
          </w:tcPr>
          <w:p w14:paraId="74B47447" w14:textId="77777777" w:rsidR="00CB3B41" w:rsidRPr="00A94A4B" w:rsidRDefault="00CB3B41" w:rsidP="00A94A4B">
            <w:pPr>
              <w:spacing w:before="40" w:after="120"/>
              <w:ind w:right="113"/>
              <w:cnfStyle w:val="000000100000" w:firstRow="0" w:lastRow="0" w:firstColumn="0" w:lastColumn="0" w:oddVBand="0" w:evenVBand="0" w:oddHBand="1" w:evenHBand="0" w:firstRowFirstColumn="0" w:firstRowLastColumn="0" w:lastRowFirstColumn="0" w:lastRowLastColumn="0"/>
              <w:rPr>
                <w:lang w:val="fr-CH"/>
              </w:rPr>
            </w:pPr>
            <w:r w:rsidRPr="00A94A4B">
              <w:rPr>
                <w:lang w:val="fr-CH"/>
              </w:rPr>
              <w:t>Un foyer d</w:t>
            </w:r>
            <w:r w:rsidR="009258E3" w:rsidRPr="00A94A4B">
              <w:rPr>
                <w:lang w:val="fr-CH"/>
              </w:rPr>
              <w:t>’</w:t>
            </w:r>
            <w:r w:rsidRPr="00A94A4B">
              <w:rPr>
                <w:lang w:val="fr-CH"/>
              </w:rPr>
              <w:t>accueil nommé « </w:t>
            </w:r>
            <w:proofErr w:type="spellStart"/>
            <w:r w:rsidRPr="00A94A4B">
              <w:rPr>
                <w:lang w:val="fr-CH"/>
              </w:rPr>
              <w:t>Programa</w:t>
            </w:r>
            <w:proofErr w:type="spellEnd"/>
            <w:r w:rsidRPr="00A94A4B">
              <w:rPr>
                <w:lang w:val="fr-CH"/>
              </w:rPr>
              <w:t xml:space="preserve"> Esperanza ». Il s</w:t>
            </w:r>
            <w:r w:rsidR="009258E3" w:rsidRPr="00A94A4B">
              <w:rPr>
                <w:lang w:val="fr-CH"/>
              </w:rPr>
              <w:t>’</w:t>
            </w:r>
            <w:r w:rsidRPr="00A94A4B">
              <w:rPr>
                <w:lang w:val="fr-CH"/>
              </w:rPr>
              <w:t>agit d</w:t>
            </w:r>
            <w:r w:rsidR="009258E3" w:rsidRPr="00A94A4B">
              <w:rPr>
                <w:lang w:val="fr-CH"/>
              </w:rPr>
              <w:t>’</w:t>
            </w:r>
            <w:r w:rsidRPr="00A94A4B">
              <w:rPr>
                <w:lang w:val="fr-CH"/>
              </w:rPr>
              <w:t>un lieu qui offre aux victimes de violence et à leurs enfants une protection et une prise en charge, et leur permet d</w:t>
            </w:r>
            <w:r w:rsidR="009258E3" w:rsidRPr="00A94A4B">
              <w:rPr>
                <w:lang w:val="fr-CH"/>
              </w:rPr>
              <w:t>’</w:t>
            </w:r>
            <w:r w:rsidRPr="00A94A4B">
              <w:rPr>
                <w:lang w:val="fr-CH"/>
              </w:rPr>
              <w:t>accéder à des services de réadaptation et de formation professionnelle</w:t>
            </w:r>
          </w:p>
        </w:tc>
      </w:tr>
      <w:tr w:rsidR="00CB3B41" w:rsidRPr="00A94A4B" w14:paraId="2AD5BE98" w14:textId="77777777" w:rsidTr="00A94A4B">
        <w:tc>
          <w:tcPr>
            <w:cnfStyle w:val="001000000000" w:firstRow="0" w:lastRow="0" w:firstColumn="1" w:lastColumn="0" w:oddVBand="0" w:evenVBand="0" w:oddHBand="0" w:evenHBand="0" w:firstRowFirstColumn="0" w:firstRowLastColumn="0" w:lastRowFirstColumn="0" w:lastRowLastColumn="0"/>
            <w:tcW w:w="1672" w:type="pct"/>
            <w:shd w:val="clear" w:color="auto" w:fill="auto"/>
            <w:hideMark/>
          </w:tcPr>
          <w:p w14:paraId="5B098212" w14:textId="77777777" w:rsidR="00CB3B41" w:rsidRPr="00A94A4B" w:rsidRDefault="00CB3B41" w:rsidP="00A94A4B">
            <w:pPr>
              <w:spacing w:before="40" w:after="120"/>
              <w:ind w:right="113"/>
              <w:rPr>
                <w:lang w:val="fr-CH"/>
              </w:rPr>
            </w:pPr>
            <w:r w:rsidRPr="00A94A4B">
              <w:rPr>
                <w:lang w:val="fr-CH"/>
              </w:rPr>
              <w:t>La Paz</w:t>
            </w:r>
          </w:p>
        </w:tc>
        <w:tc>
          <w:tcPr>
            <w:tcW w:w="3328" w:type="pct"/>
            <w:shd w:val="clear" w:color="auto" w:fill="auto"/>
            <w:hideMark/>
          </w:tcPr>
          <w:p w14:paraId="16CFD930" w14:textId="77777777" w:rsidR="00CB3B41" w:rsidRPr="00A94A4B" w:rsidRDefault="00CB3B41" w:rsidP="00A94A4B">
            <w:pPr>
              <w:spacing w:before="40" w:after="120"/>
              <w:ind w:right="113"/>
              <w:cnfStyle w:val="000000000000" w:firstRow="0" w:lastRow="0" w:firstColumn="0" w:lastColumn="0" w:oddVBand="0" w:evenVBand="0" w:oddHBand="0" w:evenHBand="0" w:firstRowFirstColumn="0" w:firstRowLastColumn="0" w:lastRowFirstColumn="0" w:lastRowLastColumn="0"/>
              <w:rPr>
                <w:lang w:val="fr-CH"/>
              </w:rPr>
            </w:pPr>
            <w:r w:rsidRPr="00A94A4B">
              <w:rPr>
                <w:lang w:val="fr-CH"/>
              </w:rPr>
              <w:t>Centre d</w:t>
            </w:r>
            <w:r w:rsidR="009258E3" w:rsidRPr="00A94A4B">
              <w:rPr>
                <w:lang w:val="fr-CH"/>
              </w:rPr>
              <w:t>’</w:t>
            </w:r>
            <w:r w:rsidRPr="00A94A4B">
              <w:rPr>
                <w:lang w:val="fr-CH"/>
              </w:rPr>
              <w:t>accueil temporaire des victimes, nommé « </w:t>
            </w:r>
            <w:proofErr w:type="spellStart"/>
            <w:r w:rsidRPr="00A94A4B">
              <w:rPr>
                <w:lang w:val="fr-CH"/>
              </w:rPr>
              <w:t>Refugio</w:t>
            </w:r>
            <w:proofErr w:type="spellEnd"/>
            <w:r w:rsidRPr="00A94A4B">
              <w:rPr>
                <w:lang w:val="fr-CH"/>
              </w:rPr>
              <w:t xml:space="preserve"> </w:t>
            </w:r>
            <w:proofErr w:type="spellStart"/>
            <w:r w:rsidRPr="00A94A4B">
              <w:rPr>
                <w:lang w:val="fr-CH"/>
              </w:rPr>
              <w:t>Dignidad</w:t>
            </w:r>
            <w:proofErr w:type="spellEnd"/>
            <w:r w:rsidRPr="00A94A4B">
              <w:rPr>
                <w:lang w:val="fr-CH"/>
              </w:rPr>
              <w:t> »</w:t>
            </w:r>
          </w:p>
          <w:p w14:paraId="3ECBC873" w14:textId="77777777" w:rsidR="00CB3B41" w:rsidRPr="00A94A4B" w:rsidRDefault="00CB3B41" w:rsidP="00A94A4B">
            <w:pPr>
              <w:spacing w:before="40" w:after="120"/>
              <w:ind w:right="113"/>
              <w:cnfStyle w:val="000000000000" w:firstRow="0" w:lastRow="0" w:firstColumn="0" w:lastColumn="0" w:oddVBand="0" w:evenVBand="0" w:oddHBand="0" w:evenHBand="0" w:firstRowFirstColumn="0" w:firstRowLastColumn="0" w:lastRowFirstColumn="0" w:lastRowLastColumn="0"/>
              <w:rPr>
                <w:lang w:val="fr-CH"/>
              </w:rPr>
            </w:pPr>
            <w:r w:rsidRPr="00A94A4B">
              <w:rPr>
                <w:lang w:val="fr-CH"/>
              </w:rPr>
              <w:t>De même, la prise en charge se met progressivement en place au niveau provincial par l</w:t>
            </w:r>
            <w:r w:rsidR="009258E3" w:rsidRPr="00A94A4B">
              <w:rPr>
                <w:lang w:val="fr-CH"/>
              </w:rPr>
              <w:t>’</w:t>
            </w:r>
            <w:r w:rsidRPr="00A94A4B">
              <w:rPr>
                <w:lang w:val="fr-CH"/>
              </w:rPr>
              <w:t>intermédiaire du Foyer d</w:t>
            </w:r>
            <w:r w:rsidR="009258E3" w:rsidRPr="00A94A4B">
              <w:rPr>
                <w:lang w:val="fr-CH"/>
              </w:rPr>
              <w:t>’</w:t>
            </w:r>
            <w:r w:rsidRPr="00A94A4B">
              <w:rPr>
                <w:lang w:val="fr-CH"/>
              </w:rPr>
              <w:t>accueil interprovincial pour les femmes victimes de violence, situé dans le quartier de Los Andes de la ville d</w:t>
            </w:r>
            <w:r w:rsidR="00DE3CE5" w:rsidRPr="00A94A4B">
              <w:rPr>
                <w:lang w:val="fr-CH"/>
              </w:rPr>
              <w:t xml:space="preserve">e </w:t>
            </w:r>
            <w:r w:rsidRPr="00A94A4B">
              <w:rPr>
                <w:lang w:val="fr-CH"/>
              </w:rPr>
              <w:t>El Alto</w:t>
            </w:r>
          </w:p>
        </w:tc>
      </w:tr>
      <w:tr w:rsidR="00CB3B41" w:rsidRPr="00A94A4B" w14:paraId="04977253" w14:textId="77777777" w:rsidTr="00A94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pct"/>
            <w:shd w:val="clear" w:color="auto" w:fill="auto"/>
          </w:tcPr>
          <w:p w14:paraId="64FD8663" w14:textId="77777777" w:rsidR="00CB3B41" w:rsidRPr="00A94A4B" w:rsidRDefault="00CB3B41" w:rsidP="00A94A4B">
            <w:pPr>
              <w:spacing w:before="40" w:after="120"/>
              <w:ind w:right="113"/>
              <w:rPr>
                <w:lang w:val="fr-CH"/>
              </w:rPr>
            </w:pPr>
            <w:r w:rsidRPr="00A94A4B">
              <w:rPr>
                <w:lang w:val="fr-CH"/>
              </w:rPr>
              <w:t>Tarija</w:t>
            </w:r>
          </w:p>
        </w:tc>
        <w:tc>
          <w:tcPr>
            <w:tcW w:w="3328" w:type="pct"/>
            <w:shd w:val="clear" w:color="auto" w:fill="auto"/>
            <w:hideMark/>
          </w:tcPr>
          <w:p w14:paraId="6D197481" w14:textId="77777777" w:rsidR="00CB3B41" w:rsidRPr="00A94A4B" w:rsidRDefault="0064636D" w:rsidP="00A94A4B">
            <w:pPr>
              <w:spacing w:before="40" w:after="120"/>
              <w:ind w:right="113"/>
              <w:cnfStyle w:val="000000100000" w:firstRow="0" w:lastRow="0" w:firstColumn="0" w:lastColumn="0" w:oddVBand="0" w:evenVBand="0" w:oddHBand="1" w:evenHBand="0" w:firstRowFirstColumn="0" w:firstRowLastColumn="0" w:lastRowFirstColumn="0" w:lastRowLastColumn="0"/>
              <w:rPr>
                <w:lang w:val="fr-CH"/>
              </w:rPr>
            </w:pPr>
            <w:r w:rsidRPr="00A94A4B">
              <w:rPr>
                <w:lang w:val="fr-CH"/>
              </w:rPr>
              <w:t>Deux</w:t>
            </w:r>
            <w:r w:rsidR="00CB3B41" w:rsidRPr="00A94A4B">
              <w:rPr>
                <w:lang w:val="fr-CH"/>
              </w:rPr>
              <w:t xml:space="preserve"> foyers d</w:t>
            </w:r>
            <w:r w:rsidR="009258E3" w:rsidRPr="00A94A4B">
              <w:rPr>
                <w:lang w:val="fr-CH"/>
              </w:rPr>
              <w:t>’</w:t>
            </w:r>
            <w:r w:rsidR="00CB3B41" w:rsidRPr="00A94A4B">
              <w:rPr>
                <w:lang w:val="fr-CH"/>
              </w:rPr>
              <w:t xml:space="preserve">accueil temporaire dans la province de </w:t>
            </w:r>
            <w:proofErr w:type="spellStart"/>
            <w:r w:rsidR="00CB3B41" w:rsidRPr="00A94A4B">
              <w:rPr>
                <w:lang w:val="fr-CH"/>
              </w:rPr>
              <w:t>Cercado</w:t>
            </w:r>
            <w:proofErr w:type="spellEnd"/>
          </w:p>
        </w:tc>
      </w:tr>
      <w:tr w:rsidR="00CB3B41" w:rsidRPr="00A94A4B" w14:paraId="1E2D1894" w14:textId="77777777" w:rsidTr="00A94A4B">
        <w:tc>
          <w:tcPr>
            <w:cnfStyle w:val="001000000000" w:firstRow="0" w:lastRow="0" w:firstColumn="1" w:lastColumn="0" w:oddVBand="0" w:evenVBand="0" w:oddHBand="0" w:evenHBand="0" w:firstRowFirstColumn="0" w:firstRowLastColumn="0" w:lastRowFirstColumn="0" w:lastRowLastColumn="0"/>
            <w:tcW w:w="1672" w:type="pct"/>
            <w:shd w:val="clear" w:color="auto" w:fill="auto"/>
            <w:hideMark/>
          </w:tcPr>
          <w:p w14:paraId="41099E90" w14:textId="77777777" w:rsidR="00CB3B41" w:rsidRPr="00A94A4B" w:rsidRDefault="00CB3B41" w:rsidP="00A94A4B">
            <w:pPr>
              <w:spacing w:before="40" w:after="120"/>
              <w:ind w:right="113"/>
              <w:rPr>
                <w:lang w:val="fr-CH"/>
              </w:rPr>
            </w:pPr>
            <w:r w:rsidRPr="00A94A4B">
              <w:rPr>
                <w:lang w:val="fr-CH"/>
              </w:rPr>
              <w:t>Pando</w:t>
            </w:r>
          </w:p>
        </w:tc>
        <w:tc>
          <w:tcPr>
            <w:tcW w:w="3328" w:type="pct"/>
            <w:shd w:val="clear" w:color="auto" w:fill="auto"/>
            <w:hideMark/>
          </w:tcPr>
          <w:p w14:paraId="2914CDEF" w14:textId="77777777" w:rsidR="00CB3B41" w:rsidRPr="00A94A4B" w:rsidRDefault="00CB3B41" w:rsidP="00A94A4B">
            <w:pPr>
              <w:spacing w:before="40" w:after="120"/>
              <w:ind w:right="113"/>
              <w:cnfStyle w:val="000000000000" w:firstRow="0" w:lastRow="0" w:firstColumn="0" w:lastColumn="0" w:oddVBand="0" w:evenVBand="0" w:oddHBand="0" w:evenHBand="0" w:firstRowFirstColumn="0" w:firstRowLastColumn="0" w:lastRowFirstColumn="0" w:lastRowLastColumn="0"/>
              <w:rPr>
                <w:lang w:val="fr-CH"/>
              </w:rPr>
            </w:pPr>
            <w:r w:rsidRPr="00A94A4B">
              <w:rPr>
                <w:lang w:val="fr-CH"/>
              </w:rPr>
              <w:t>Foyer d</w:t>
            </w:r>
            <w:r w:rsidR="009258E3" w:rsidRPr="00A94A4B">
              <w:rPr>
                <w:lang w:val="fr-CH"/>
              </w:rPr>
              <w:t>’</w:t>
            </w:r>
            <w:r w:rsidRPr="00A94A4B">
              <w:rPr>
                <w:lang w:val="fr-CH"/>
              </w:rPr>
              <w:t xml:space="preserve">accueil pour femmes situé dans la communauté de </w:t>
            </w:r>
            <w:proofErr w:type="spellStart"/>
            <w:r w:rsidRPr="00A94A4B">
              <w:rPr>
                <w:lang w:val="fr-CH"/>
              </w:rPr>
              <w:t>Loma</w:t>
            </w:r>
            <w:proofErr w:type="spellEnd"/>
            <w:r w:rsidRPr="00A94A4B">
              <w:rPr>
                <w:lang w:val="fr-CH"/>
              </w:rPr>
              <w:t xml:space="preserve"> Alta, municipalité de Villa </w:t>
            </w:r>
            <w:proofErr w:type="spellStart"/>
            <w:r w:rsidRPr="00A94A4B">
              <w:rPr>
                <w:lang w:val="fr-CH"/>
              </w:rPr>
              <w:t>Nueva</w:t>
            </w:r>
            <w:proofErr w:type="spellEnd"/>
          </w:p>
        </w:tc>
      </w:tr>
      <w:tr w:rsidR="00CB3B41" w:rsidRPr="00A94A4B" w14:paraId="25EB5FEA" w14:textId="77777777" w:rsidTr="00A94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pct"/>
            <w:tcBorders>
              <w:bottom w:val="single" w:sz="12" w:space="0" w:color="auto"/>
            </w:tcBorders>
            <w:shd w:val="clear" w:color="auto" w:fill="auto"/>
          </w:tcPr>
          <w:p w14:paraId="43149592" w14:textId="77777777" w:rsidR="00CB3B41" w:rsidRPr="00A94A4B" w:rsidRDefault="00CB3B41" w:rsidP="00A94A4B">
            <w:pPr>
              <w:spacing w:before="40" w:after="120"/>
              <w:ind w:right="113"/>
              <w:rPr>
                <w:lang w:val="fr-CH"/>
              </w:rPr>
            </w:pPr>
            <w:r w:rsidRPr="00A94A4B">
              <w:rPr>
                <w:lang w:val="fr-CH"/>
              </w:rPr>
              <w:t>Chuquisaca</w:t>
            </w:r>
          </w:p>
        </w:tc>
        <w:tc>
          <w:tcPr>
            <w:tcW w:w="3328" w:type="pct"/>
            <w:tcBorders>
              <w:bottom w:val="single" w:sz="12" w:space="0" w:color="auto"/>
            </w:tcBorders>
            <w:shd w:val="clear" w:color="auto" w:fill="auto"/>
            <w:hideMark/>
          </w:tcPr>
          <w:p w14:paraId="07BAD789" w14:textId="77777777" w:rsidR="00CB3B41" w:rsidRPr="00A94A4B" w:rsidRDefault="00CB3B41" w:rsidP="00A94A4B">
            <w:pPr>
              <w:spacing w:before="40" w:after="120"/>
              <w:ind w:right="113"/>
              <w:cnfStyle w:val="000000100000" w:firstRow="0" w:lastRow="0" w:firstColumn="0" w:lastColumn="0" w:oddVBand="0" w:evenVBand="0" w:oddHBand="1" w:evenHBand="0" w:firstRowFirstColumn="0" w:firstRowLastColumn="0" w:lastRowFirstColumn="0" w:lastRowLastColumn="0"/>
              <w:rPr>
                <w:lang w:val="fr-CH"/>
              </w:rPr>
            </w:pPr>
            <w:r w:rsidRPr="00A94A4B">
              <w:rPr>
                <w:lang w:val="fr-CH"/>
              </w:rPr>
              <w:t>Un foyer d</w:t>
            </w:r>
            <w:r w:rsidR="009258E3" w:rsidRPr="00A94A4B">
              <w:rPr>
                <w:lang w:val="fr-CH"/>
              </w:rPr>
              <w:t>’</w:t>
            </w:r>
            <w:r w:rsidRPr="00A94A4B">
              <w:rPr>
                <w:lang w:val="fr-CH"/>
              </w:rPr>
              <w:t>accueil d</w:t>
            </w:r>
            <w:r w:rsidR="009258E3" w:rsidRPr="00A94A4B">
              <w:rPr>
                <w:lang w:val="fr-CH"/>
              </w:rPr>
              <w:t>’</w:t>
            </w:r>
            <w:r w:rsidRPr="00A94A4B">
              <w:rPr>
                <w:lang w:val="fr-CH"/>
              </w:rPr>
              <w:t>une capacité de 60 personnes</w:t>
            </w:r>
          </w:p>
        </w:tc>
      </w:tr>
    </w:tbl>
    <w:p w14:paraId="51CB4FE0" w14:textId="77777777" w:rsidR="00CB3B41" w:rsidRPr="001561A6" w:rsidRDefault="00CB3B41" w:rsidP="00CB3B41">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w:t>
      </w:r>
      <w:proofErr w:type="spellStart"/>
      <w:r w:rsidRPr="001561A6">
        <w:rPr>
          <w:sz w:val="18"/>
          <w:szCs w:val="18"/>
        </w:rPr>
        <w:t>Vice-Ministère</w:t>
      </w:r>
      <w:proofErr w:type="spellEnd"/>
      <w:r w:rsidRPr="001561A6">
        <w:rPr>
          <w:sz w:val="18"/>
          <w:szCs w:val="18"/>
        </w:rPr>
        <w:t xml:space="preserve"> pour l</w:t>
      </w:r>
      <w:r w:rsidR="009258E3">
        <w:rPr>
          <w:sz w:val="18"/>
          <w:szCs w:val="18"/>
        </w:rPr>
        <w:t>’</w:t>
      </w:r>
      <w:r w:rsidRPr="001561A6">
        <w:rPr>
          <w:sz w:val="18"/>
          <w:szCs w:val="18"/>
        </w:rPr>
        <w:t>égalité des chances.</w:t>
      </w:r>
    </w:p>
    <w:p w14:paraId="7FC4233B" w14:textId="77777777" w:rsidR="00CB3B41" w:rsidRPr="001561A6" w:rsidRDefault="00CB3B41" w:rsidP="00CB3B41">
      <w:pPr>
        <w:pStyle w:val="H4G"/>
      </w:pPr>
      <w:r w:rsidRPr="001561A6">
        <w:tab/>
      </w:r>
      <w:r w:rsidRPr="001561A6">
        <w:tab/>
        <w:t>Programmes de formation</w:t>
      </w:r>
    </w:p>
    <w:p w14:paraId="22888CFD" w14:textId="77777777" w:rsidR="00CB3B41" w:rsidRPr="001561A6" w:rsidRDefault="00CB3B41" w:rsidP="00CB3B41">
      <w:pPr>
        <w:pStyle w:val="SingleTxtG"/>
      </w:pPr>
      <w:r w:rsidRPr="001561A6">
        <w:t>38.</w:t>
      </w:r>
      <w:r w:rsidRPr="001561A6">
        <w:tab/>
        <w:t xml:space="preserve">Le décret suprême </w:t>
      </w:r>
      <w:r w:rsidRPr="001561A6">
        <w:rPr>
          <w:rFonts w:eastAsia="MS Mincho"/>
          <w:szCs w:val="22"/>
        </w:rPr>
        <w:t>n</w:t>
      </w:r>
      <w:r w:rsidRPr="001561A6">
        <w:rPr>
          <w:rFonts w:eastAsia="MS Mincho"/>
          <w:szCs w:val="22"/>
          <w:vertAlign w:val="superscript"/>
        </w:rPr>
        <w:t>o</w:t>
      </w:r>
      <w:r w:rsidRPr="001561A6">
        <w:t> 3981 du 15 juillet 2019 a mis en place les journées de sensibilisation à la prévention de la violence et a consacré l</w:t>
      </w:r>
      <w:r w:rsidR="009258E3">
        <w:t>’</w:t>
      </w:r>
      <w:r w:rsidRPr="001561A6">
        <w:t>obligation, pour les fonctionnaires, les militaires, les policiers et les employés des entreprises publiques, de suivre une formation sur la violence à l</w:t>
      </w:r>
      <w:r w:rsidR="009258E3">
        <w:t>’</w:t>
      </w:r>
      <w:r w:rsidRPr="001561A6">
        <w:t>égard des femmes.</w:t>
      </w:r>
    </w:p>
    <w:p w14:paraId="6B9597CE" w14:textId="77777777" w:rsidR="00747B6F" w:rsidRPr="001561A6" w:rsidRDefault="00747B6F" w:rsidP="00747B6F">
      <w:pPr>
        <w:pStyle w:val="H23G"/>
      </w:pPr>
      <w:r w:rsidRPr="001561A6">
        <w:tab/>
      </w:r>
      <w:r w:rsidRPr="001561A6">
        <w:tab/>
        <w:t>Réponse à la question posée au paragraphe 6 de la liste de points</w:t>
      </w:r>
    </w:p>
    <w:p w14:paraId="64EDA821" w14:textId="77777777" w:rsidR="00747B6F" w:rsidRPr="001561A6" w:rsidRDefault="00747B6F" w:rsidP="00747B6F">
      <w:pPr>
        <w:pStyle w:val="H4G"/>
      </w:pPr>
      <w:r w:rsidRPr="001561A6">
        <w:tab/>
      </w:r>
      <w:r w:rsidRPr="001561A6">
        <w:tab/>
        <w:t>Abus et violences sexuels commis sur des mineurs</w:t>
      </w:r>
    </w:p>
    <w:p w14:paraId="0C57E238" w14:textId="77777777" w:rsidR="00747B6F" w:rsidRPr="001561A6" w:rsidRDefault="00747B6F" w:rsidP="00747B6F">
      <w:pPr>
        <w:pStyle w:val="SingleTxtG"/>
      </w:pPr>
      <w:r w:rsidRPr="001561A6">
        <w:t>39.</w:t>
      </w:r>
      <w:r w:rsidRPr="001561A6">
        <w:tab/>
        <w:t>Les données du Bureau du Procureur général de l</w:t>
      </w:r>
      <w:r w:rsidR="009258E3">
        <w:t>’</w:t>
      </w:r>
      <w:r w:rsidRPr="001561A6">
        <w:t>État sont les suivantes :</w:t>
      </w:r>
    </w:p>
    <w:p w14:paraId="228E24DC" w14:textId="77777777" w:rsidR="00747B6F" w:rsidRPr="001561A6" w:rsidRDefault="00747B6F" w:rsidP="00747B6F">
      <w:pPr>
        <w:pStyle w:val="H23G"/>
      </w:pPr>
      <w:r w:rsidRPr="001561A6">
        <w:tab/>
      </w:r>
      <w:r w:rsidRPr="001561A6">
        <w:tab/>
        <w:t>Nombre de victimes, par âge et par sexe − 2018</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9"/>
        <w:gridCol w:w="909"/>
        <w:gridCol w:w="1113"/>
        <w:gridCol w:w="1113"/>
        <w:gridCol w:w="1113"/>
        <w:gridCol w:w="853"/>
      </w:tblGrid>
      <w:tr w:rsidR="00086B52" w:rsidRPr="003731A3" w14:paraId="626235EF" w14:textId="77777777" w:rsidTr="003731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none" w:sz="0" w:space="0" w:color="auto"/>
              <w:bottom w:val="single" w:sz="12" w:space="0" w:color="auto"/>
              <w:right w:val="none" w:sz="0" w:space="0" w:color="auto"/>
            </w:tcBorders>
            <w:shd w:val="clear" w:color="auto" w:fill="auto"/>
            <w:vAlign w:val="bottom"/>
            <w:hideMark/>
          </w:tcPr>
          <w:p w14:paraId="4228CD56" w14:textId="77777777" w:rsidR="00747B6F" w:rsidRPr="003731A3" w:rsidRDefault="00747B6F" w:rsidP="003731A3">
            <w:pPr>
              <w:suppressAutoHyphens w:val="0"/>
              <w:spacing w:before="80" w:after="80" w:line="200" w:lineRule="exact"/>
              <w:rPr>
                <w:b w:val="0"/>
                <w:i/>
                <w:color w:val="auto"/>
                <w:sz w:val="16"/>
                <w:lang w:val="fr-CH"/>
              </w:rPr>
            </w:pPr>
            <w:r w:rsidRPr="003731A3">
              <w:rPr>
                <w:b w:val="0"/>
                <w:i/>
                <w:color w:val="auto"/>
                <w:sz w:val="16"/>
                <w:lang w:val="fr-CH"/>
              </w:rPr>
              <w:t>Type d</w:t>
            </w:r>
            <w:r w:rsidR="009258E3" w:rsidRPr="003731A3">
              <w:rPr>
                <w:b w:val="0"/>
                <w:i/>
                <w:color w:val="auto"/>
                <w:sz w:val="16"/>
                <w:lang w:val="fr-CH"/>
              </w:rPr>
              <w:t>’</w:t>
            </w:r>
            <w:r w:rsidRPr="003731A3">
              <w:rPr>
                <w:b w:val="0"/>
                <w:i/>
                <w:color w:val="auto"/>
                <w:sz w:val="16"/>
                <w:lang w:val="fr-CH"/>
              </w:rPr>
              <w:t>infraction</w:t>
            </w:r>
          </w:p>
        </w:tc>
        <w:tc>
          <w:tcPr>
            <w:tcW w:w="909" w:type="dxa"/>
            <w:tcBorders>
              <w:top w:val="single" w:sz="4" w:space="0" w:color="auto"/>
              <w:left w:val="none" w:sz="0" w:space="0" w:color="auto"/>
              <w:bottom w:val="single" w:sz="12" w:space="0" w:color="auto"/>
              <w:right w:val="none" w:sz="0" w:space="0" w:color="auto"/>
            </w:tcBorders>
            <w:shd w:val="clear" w:color="auto" w:fill="auto"/>
            <w:vAlign w:val="bottom"/>
            <w:hideMark/>
          </w:tcPr>
          <w:p w14:paraId="325A25AC"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Filles</w:t>
            </w:r>
            <w:r w:rsidRPr="003731A3">
              <w:rPr>
                <w:b w:val="0"/>
                <w:i/>
                <w:color w:val="auto"/>
                <w:sz w:val="16"/>
                <w:lang w:val="fr-CH"/>
              </w:rPr>
              <w:br/>
              <w:t>de 0 à 11 ans</w:t>
            </w:r>
          </w:p>
        </w:tc>
        <w:tc>
          <w:tcPr>
            <w:tcW w:w="1113" w:type="dxa"/>
            <w:tcBorders>
              <w:top w:val="single" w:sz="4" w:space="0" w:color="auto"/>
              <w:left w:val="none" w:sz="0" w:space="0" w:color="auto"/>
              <w:bottom w:val="single" w:sz="12" w:space="0" w:color="auto"/>
              <w:right w:val="none" w:sz="0" w:space="0" w:color="auto"/>
            </w:tcBorders>
            <w:shd w:val="clear" w:color="auto" w:fill="auto"/>
            <w:vAlign w:val="bottom"/>
            <w:hideMark/>
          </w:tcPr>
          <w:p w14:paraId="4764119F"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Garçons</w:t>
            </w:r>
            <w:r w:rsidRPr="003731A3">
              <w:rPr>
                <w:b w:val="0"/>
                <w:i/>
                <w:color w:val="auto"/>
                <w:sz w:val="16"/>
                <w:lang w:val="fr-CH"/>
              </w:rPr>
              <w:br/>
              <w:t>de 0 à 11 ans</w:t>
            </w:r>
          </w:p>
        </w:tc>
        <w:tc>
          <w:tcPr>
            <w:tcW w:w="1113" w:type="dxa"/>
            <w:tcBorders>
              <w:top w:val="single" w:sz="4" w:space="0" w:color="auto"/>
              <w:left w:val="none" w:sz="0" w:space="0" w:color="auto"/>
              <w:bottom w:val="single" w:sz="12" w:space="0" w:color="auto"/>
              <w:right w:val="none" w:sz="0" w:space="0" w:color="auto"/>
            </w:tcBorders>
            <w:shd w:val="clear" w:color="auto" w:fill="auto"/>
            <w:vAlign w:val="bottom"/>
            <w:hideMark/>
          </w:tcPr>
          <w:p w14:paraId="6504EE4E"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 xml:space="preserve">Adolescentes </w:t>
            </w:r>
            <w:r w:rsidRPr="003731A3">
              <w:rPr>
                <w:b w:val="0"/>
                <w:i/>
                <w:color w:val="auto"/>
                <w:sz w:val="16"/>
                <w:lang w:val="fr-CH"/>
              </w:rPr>
              <w:br/>
              <w:t>de 12 à 17 ans</w:t>
            </w:r>
          </w:p>
        </w:tc>
        <w:tc>
          <w:tcPr>
            <w:tcW w:w="1113" w:type="dxa"/>
            <w:tcBorders>
              <w:top w:val="single" w:sz="4" w:space="0" w:color="auto"/>
              <w:left w:val="none" w:sz="0" w:space="0" w:color="auto"/>
              <w:bottom w:val="single" w:sz="12" w:space="0" w:color="auto"/>
              <w:right w:val="none" w:sz="0" w:space="0" w:color="auto"/>
            </w:tcBorders>
            <w:shd w:val="clear" w:color="auto" w:fill="auto"/>
            <w:vAlign w:val="bottom"/>
            <w:hideMark/>
          </w:tcPr>
          <w:p w14:paraId="0937159C"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 xml:space="preserve">Adolescents </w:t>
            </w:r>
            <w:r w:rsidRPr="003731A3">
              <w:rPr>
                <w:b w:val="0"/>
                <w:i/>
                <w:color w:val="auto"/>
                <w:sz w:val="16"/>
                <w:lang w:val="fr-CH"/>
              </w:rPr>
              <w:br/>
              <w:t>de 12 à 17 ans</w:t>
            </w:r>
          </w:p>
        </w:tc>
        <w:tc>
          <w:tcPr>
            <w:tcW w:w="853" w:type="dxa"/>
            <w:tcBorders>
              <w:top w:val="single" w:sz="4" w:space="0" w:color="auto"/>
              <w:left w:val="none" w:sz="0" w:space="0" w:color="auto"/>
              <w:bottom w:val="single" w:sz="12" w:space="0" w:color="auto"/>
              <w:right w:val="none" w:sz="0" w:space="0" w:color="auto"/>
            </w:tcBorders>
            <w:shd w:val="clear" w:color="auto" w:fill="auto"/>
            <w:vAlign w:val="bottom"/>
            <w:hideMark/>
          </w:tcPr>
          <w:p w14:paraId="2144AB09"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Total</w:t>
            </w:r>
          </w:p>
        </w:tc>
      </w:tr>
      <w:tr w:rsidR="00086B52" w:rsidRPr="003731A3" w14:paraId="5363666B"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12" w:space="0" w:color="auto"/>
            </w:tcBorders>
            <w:shd w:val="clear" w:color="auto" w:fill="auto"/>
            <w:hideMark/>
          </w:tcPr>
          <w:p w14:paraId="6CBBFE78" w14:textId="77777777" w:rsidR="00747B6F" w:rsidRPr="003731A3" w:rsidRDefault="00747B6F" w:rsidP="003731A3">
            <w:pPr>
              <w:suppressAutoHyphens w:val="0"/>
              <w:spacing w:before="40" w:after="40" w:line="220" w:lineRule="exact"/>
              <w:rPr>
                <w:sz w:val="18"/>
                <w:szCs w:val="18"/>
                <w:lang w:val="fr-CH"/>
              </w:rPr>
            </w:pPr>
            <w:r w:rsidRPr="003731A3">
              <w:rPr>
                <w:sz w:val="18"/>
                <w:szCs w:val="18"/>
                <w:lang w:val="fr-CH"/>
              </w:rPr>
              <w:t>Abus sexuels</w:t>
            </w:r>
          </w:p>
        </w:tc>
        <w:tc>
          <w:tcPr>
            <w:tcW w:w="909" w:type="dxa"/>
            <w:tcBorders>
              <w:top w:val="single" w:sz="12" w:space="0" w:color="auto"/>
            </w:tcBorders>
            <w:shd w:val="clear" w:color="auto" w:fill="auto"/>
            <w:vAlign w:val="bottom"/>
            <w:hideMark/>
          </w:tcPr>
          <w:p w14:paraId="031E29F9"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145</w:t>
            </w:r>
          </w:p>
        </w:tc>
        <w:tc>
          <w:tcPr>
            <w:tcW w:w="1113" w:type="dxa"/>
            <w:tcBorders>
              <w:top w:val="single" w:sz="12" w:space="0" w:color="auto"/>
            </w:tcBorders>
            <w:shd w:val="clear" w:color="auto" w:fill="auto"/>
            <w:vAlign w:val="bottom"/>
            <w:hideMark/>
          </w:tcPr>
          <w:p w14:paraId="373CE9FC"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16</w:t>
            </w:r>
          </w:p>
        </w:tc>
        <w:tc>
          <w:tcPr>
            <w:tcW w:w="1113" w:type="dxa"/>
            <w:tcBorders>
              <w:top w:val="single" w:sz="12" w:space="0" w:color="auto"/>
            </w:tcBorders>
            <w:shd w:val="clear" w:color="auto" w:fill="auto"/>
            <w:vAlign w:val="bottom"/>
            <w:hideMark/>
          </w:tcPr>
          <w:p w14:paraId="36E928B0"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99</w:t>
            </w:r>
          </w:p>
        </w:tc>
        <w:tc>
          <w:tcPr>
            <w:tcW w:w="1113" w:type="dxa"/>
            <w:tcBorders>
              <w:top w:val="single" w:sz="12" w:space="0" w:color="auto"/>
            </w:tcBorders>
            <w:shd w:val="clear" w:color="auto" w:fill="auto"/>
            <w:vAlign w:val="bottom"/>
            <w:hideMark/>
          </w:tcPr>
          <w:p w14:paraId="29CAC500"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8</w:t>
            </w:r>
          </w:p>
        </w:tc>
        <w:tc>
          <w:tcPr>
            <w:tcW w:w="853" w:type="dxa"/>
            <w:tcBorders>
              <w:top w:val="single" w:sz="12" w:space="0" w:color="auto"/>
            </w:tcBorders>
            <w:shd w:val="clear" w:color="auto" w:fill="auto"/>
            <w:vAlign w:val="bottom"/>
            <w:hideMark/>
          </w:tcPr>
          <w:p w14:paraId="62F45B67"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268</w:t>
            </w:r>
          </w:p>
        </w:tc>
      </w:tr>
      <w:tr w:rsidR="00086B52" w:rsidRPr="003731A3" w14:paraId="76E85327" w14:textId="77777777" w:rsidTr="003731A3">
        <w:tc>
          <w:tcPr>
            <w:cnfStyle w:val="001000000000" w:firstRow="0" w:lastRow="0" w:firstColumn="1" w:lastColumn="0" w:oddVBand="0" w:evenVBand="0" w:oddHBand="0" w:evenHBand="0" w:firstRowFirstColumn="0" w:firstRowLastColumn="0" w:lastRowFirstColumn="0" w:lastRowLastColumn="0"/>
            <w:tcW w:w="2269" w:type="dxa"/>
            <w:shd w:val="clear" w:color="auto" w:fill="auto"/>
            <w:hideMark/>
          </w:tcPr>
          <w:p w14:paraId="275CF535" w14:textId="77777777" w:rsidR="00747B6F" w:rsidRPr="003731A3" w:rsidRDefault="00747B6F" w:rsidP="003731A3">
            <w:pPr>
              <w:suppressAutoHyphens w:val="0"/>
              <w:spacing w:before="40" w:after="40" w:line="220" w:lineRule="exact"/>
              <w:rPr>
                <w:sz w:val="18"/>
                <w:szCs w:val="18"/>
                <w:lang w:val="fr-CH"/>
              </w:rPr>
            </w:pPr>
            <w:r w:rsidRPr="003731A3">
              <w:rPr>
                <w:sz w:val="18"/>
                <w:szCs w:val="18"/>
                <w:lang w:val="fr-CH"/>
              </w:rPr>
              <w:t>Harcèlement sexuel</w:t>
            </w:r>
          </w:p>
        </w:tc>
        <w:tc>
          <w:tcPr>
            <w:tcW w:w="909" w:type="dxa"/>
            <w:shd w:val="clear" w:color="auto" w:fill="auto"/>
            <w:vAlign w:val="bottom"/>
            <w:hideMark/>
          </w:tcPr>
          <w:p w14:paraId="3437C008"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5</w:t>
            </w:r>
          </w:p>
        </w:tc>
        <w:tc>
          <w:tcPr>
            <w:tcW w:w="1113" w:type="dxa"/>
            <w:shd w:val="clear" w:color="auto" w:fill="auto"/>
            <w:vAlign w:val="bottom"/>
            <w:hideMark/>
          </w:tcPr>
          <w:p w14:paraId="59CEBB36"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0</w:t>
            </w:r>
          </w:p>
        </w:tc>
        <w:tc>
          <w:tcPr>
            <w:tcW w:w="1113" w:type="dxa"/>
            <w:shd w:val="clear" w:color="auto" w:fill="auto"/>
            <w:vAlign w:val="bottom"/>
            <w:hideMark/>
          </w:tcPr>
          <w:p w14:paraId="6AF0EB52"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18</w:t>
            </w:r>
          </w:p>
        </w:tc>
        <w:tc>
          <w:tcPr>
            <w:tcW w:w="1113" w:type="dxa"/>
            <w:shd w:val="clear" w:color="auto" w:fill="auto"/>
            <w:vAlign w:val="bottom"/>
            <w:hideMark/>
          </w:tcPr>
          <w:p w14:paraId="3780876D"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0</w:t>
            </w:r>
          </w:p>
        </w:tc>
        <w:tc>
          <w:tcPr>
            <w:tcW w:w="853" w:type="dxa"/>
            <w:shd w:val="clear" w:color="auto" w:fill="auto"/>
            <w:vAlign w:val="bottom"/>
            <w:hideMark/>
          </w:tcPr>
          <w:p w14:paraId="58D823F5"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23</w:t>
            </w:r>
          </w:p>
        </w:tc>
      </w:tr>
      <w:tr w:rsidR="00086B52" w:rsidRPr="003731A3" w14:paraId="5BCEFC7E"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hideMark/>
          </w:tcPr>
          <w:p w14:paraId="49CB079D" w14:textId="77777777" w:rsidR="00747B6F" w:rsidRPr="003731A3" w:rsidRDefault="00747B6F" w:rsidP="003731A3">
            <w:pPr>
              <w:suppressAutoHyphens w:val="0"/>
              <w:spacing w:before="40" w:after="40" w:line="220" w:lineRule="exact"/>
              <w:rPr>
                <w:sz w:val="18"/>
                <w:szCs w:val="18"/>
                <w:lang w:val="fr-CH"/>
              </w:rPr>
            </w:pPr>
            <w:r w:rsidRPr="003731A3">
              <w:rPr>
                <w:sz w:val="18"/>
                <w:szCs w:val="18"/>
                <w:lang w:val="fr-CH"/>
              </w:rPr>
              <w:t>Atteinte sexuelle sur mineur</w:t>
            </w:r>
          </w:p>
        </w:tc>
        <w:tc>
          <w:tcPr>
            <w:tcW w:w="909" w:type="dxa"/>
            <w:shd w:val="clear" w:color="auto" w:fill="auto"/>
            <w:vAlign w:val="bottom"/>
            <w:hideMark/>
          </w:tcPr>
          <w:p w14:paraId="0CEFE309"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w:t>
            </w:r>
          </w:p>
        </w:tc>
        <w:tc>
          <w:tcPr>
            <w:tcW w:w="1113" w:type="dxa"/>
            <w:shd w:val="clear" w:color="auto" w:fill="auto"/>
            <w:vAlign w:val="bottom"/>
            <w:hideMark/>
          </w:tcPr>
          <w:p w14:paraId="69E5914E"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0</w:t>
            </w:r>
          </w:p>
        </w:tc>
        <w:tc>
          <w:tcPr>
            <w:tcW w:w="1113" w:type="dxa"/>
            <w:shd w:val="clear" w:color="auto" w:fill="auto"/>
            <w:vAlign w:val="bottom"/>
            <w:hideMark/>
          </w:tcPr>
          <w:p w14:paraId="270450A7"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187</w:t>
            </w:r>
          </w:p>
        </w:tc>
        <w:tc>
          <w:tcPr>
            <w:tcW w:w="1113" w:type="dxa"/>
            <w:shd w:val="clear" w:color="auto" w:fill="auto"/>
            <w:vAlign w:val="bottom"/>
            <w:hideMark/>
          </w:tcPr>
          <w:p w14:paraId="6B96DF0C"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5</w:t>
            </w:r>
          </w:p>
        </w:tc>
        <w:tc>
          <w:tcPr>
            <w:tcW w:w="853" w:type="dxa"/>
            <w:shd w:val="clear" w:color="auto" w:fill="auto"/>
            <w:vAlign w:val="bottom"/>
            <w:hideMark/>
          </w:tcPr>
          <w:p w14:paraId="15F7BB09"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193</w:t>
            </w:r>
          </w:p>
        </w:tc>
      </w:tr>
      <w:tr w:rsidR="00086B52" w:rsidRPr="003731A3" w14:paraId="26B7864F" w14:textId="77777777" w:rsidTr="003731A3">
        <w:tc>
          <w:tcPr>
            <w:cnfStyle w:val="001000000000" w:firstRow="0" w:lastRow="0" w:firstColumn="1" w:lastColumn="0" w:oddVBand="0" w:evenVBand="0" w:oddHBand="0" w:evenHBand="0" w:firstRowFirstColumn="0" w:firstRowLastColumn="0" w:lastRowFirstColumn="0" w:lastRowLastColumn="0"/>
            <w:tcW w:w="2269" w:type="dxa"/>
            <w:shd w:val="clear" w:color="auto" w:fill="auto"/>
            <w:hideMark/>
          </w:tcPr>
          <w:p w14:paraId="2EB95EC4" w14:textId="77777777" w:rsidR="00747B6F" w:rsidRPr="003731A3" w:rsidRDefault="00747B6F" w:rsidP="003731A3">
            <w:pPr>
              <w:suppressAutoHyphens w:val="0"/>
              <w:spacing w:before="40" w:after="40" w:line="220" w:lineRule="exact"/>
              <w:rPr>
                <w:sz w:val="18"/>
                <w:szCs w:val="18"/>
                <w:lang w:val="fr-CH"/>
              </w:rPr>
            </w:pPr>
            <w:r w:rsidRPr="003731A3">
              <w:rPr>
                <w:sz w:val="18"/>
                <w:szCs w:val="18"/>
                <w:lang w:val="fr-CH"/>
              </w:rPr>
              <w:t>Viol commis sur un nourrisson, un(e) enfant ou un(e) adolescent(e)</w:t>
            </w:r>
          </w:p>
        </w:tc>
        <w:tc>
          <w:tcPr>
            <w:tcW w:w="909" w:type="dxa"/>
            <w:shd w:val="clear" w:color="auto" w:fill="auto"/>
            <w:vAlign w:val="bottom"/>
            <w:hideMark/>
          </w:tcPr>
          <w:p w14:paraId="18755BBF"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73</w:t>
            </w:r>
          </w:p>
        </w:tc>
        <w:tc>
          <w:tcPr>
            <w:tcW w:w="1113" w:type="dxa"/>
            <w:shd w:val="clear" w:color="auto" w:fill="auto"/>
            <w:vAlign w:val="bottom"/>
            <w:hideMark/>
          </w:tcPr>
          <w:p w14:paraId="694D805B"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6</w:t>
            </w:r>
          </w:p>
        </w:tc>
        <w:tc>
          <w:tcPr>
            <w:tcW w:w="1113" w:type="dxa"/>
            <w:shd w:val="clear" w:color="auto" w:fill="auto"/>
            <w:vAlign w:val="bottom"/>
            <w:hideMark/>
          </w:tcPr>
          <w:p w14:paraId="5D421852"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151</w:t>
            </w:r>
          </w:p>
        </w:tc>
        <w:tc>
          <w:tcPr>
            <w:tcW w:w="1113" w:type="dxa"/>
            <w:shd w:val="clear" w:color="auto" w:fill="auto"/>
            <w:vAlign w:val="bottom"/>
            <w:hideMark/>
          </w:tcPr>
          <w:p w14:paraId="4BABE5E5"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5</w:t>
            </w:r>
          </w:p>
        </w:tc>
        <w:tc>
          <w:tcPr>
            <w:tcW w:w="853" w:type="dxa"/>
            <w:shd w:val="clear" w:color="auto" w:fill="auto"/>
            <w:vAlign w:val="bottom"/>
            <w:hideMark/>
          </w:tcPr>
          <w:p w14:paraId="1C9F4F72"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3731A3">
              <w:rPr>
                <w:sz w:val="18"/>
                <w:szCs w:val="18"/>
                <w:lang w:val="fr-CH"/>
              </w:rPr>
              <w:t>235</w:t>
            </w:r>
          </w:p>
        </w:tc>
      </w:tr>
      <w:tr w:rsidR="00086B52" w:rsidRPr="003731A3" w14:paraId="610DA75D" w14:textId="77777777" w:rsidTr="00B51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bottom w:val="single" w:sz="4" w:space="0" w:color="auto"/>
            </w:tcBorders>
            <w:shd w:val="clear" w:color="auto" w:fill="auto"/>
            <w:hideMark/>
          </w:tcPr>
          <w:p w14:paraId="69A83985" w14:textId="77777777" w:rsidR="00747B6F" w:rsidRPr="003731A3" w:rsidRDefault="00747B6F" w:rsidP="003731A3">
            <w:pPr>
              <w:suppressAutoHyphens w:val="0"/>
              <w:spacing w:before="40" w:after="40" w:line="220" w:lineRule="exact"/>
              <w:rPr>
                <w:sz w:val="18"/>
                <w:szCs w:val="18"/>
                <w:lang w:val="fr-CH"/>
              </w:rPr>
            </w:pPr>
            <w:r w:rsidRPr="003731A3">
              <w:rPr>
                <w:sz w:val="18"/>
                <w:szCs w:val="18"/>
                <w:lang w:val="fr-CH"/>
              </w:rPr>
              <w:t>Viol</w:t>
            </w:r>
          </w:p>
        </w:tc>
        <w:tc>
          <w:tcPr>
            <w:tcW w:w="909" w:type="dxa"/>
            <w:tcBorders>
              <w:bottom w:val="single" w:sz="4" w:space="0" w:color="auto"/>
            </w:tcBorders>
            <w:shd w:val="clear" w:color="auto" w:fill="auto"/>
            <w:vAlign w:val="bottom"/>
            <w:hideMark/>
          </w:tcPr>
          <w:p w14:paraId="75B3A5B0"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6</w:t>
            </w:r>
          </w:p>
        </w:tc>
        <w:tc>
          <w:tcPr>
            <w:tcW w:w="1113" w:type="dxa"/>
            <w:tcBorders>
              <w:bottom w:val="single" w:sz="4" w:space="0" w:color="auto"/>
            </w:tcBorders>
            <w:shd w:val="clear" w:color="auto" w:fill="auto"/>
            <w:vAlign w:val="bottom"/>
            <w:hideMark/>
          </w:tcPr>
          <w:p w14:paraId="07E8533E"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w:t>
            </w:r>
          </w:p>
        </w:tc>
        <w:tc>
          <w:tcPr>
            <w:tcW w:w="1113" w:type="dxa"/>
            <w:tcBorders>
              <w:bottom w:val="single" w:sz="4" w:space="0" w:color="auto"/>
            </w:tcBorders>
            <w:shd w:val="clear" w:color="auto" w:fill="auto"/>
            <w:vAlign w:val="bottom"/>
            <w:hideMark/>
          </w:tcPr>
          <w:p w14:paraId="76CE2033"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172</w:t>
            </w:r>
          </w:p>
        </w:tc>
        <w:tc>
          <w:tcPr>
            <w:tcW w:w="1113" w:type="dxa"/>
            <w:tcBorders>
              <w:bottom w:val="single" w:sz="4" w:space="0" w:color="auto"/>
            </w:tcBorders>
            <w:shd w:val="clear" w:color="auto" w:fill="auto"/>
            <w:vAlign w:val="bottom"/>
            <w:hideMark/>
          </w:tcPr>
          <w:p w14:paraId="5CB64AF3"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w:t>
            </w:r>
          </w:p>
        </w:tc>
        <w:tc>
          <w:tcPr>
            <w:tcW w:w="853" w:type="dxa"/>
            <w:tcBorders>
              <w:bottom w:val="single" w:sz="4" w:space="0" w:color="auto"/>
            </w:tcBorders>
            <w:shd w:val="clear" w:color="auto" w:fill="auto"/>
            <w:vAlign w:val="bottom"/>
            <w:hideMark/>
          </w:tcPr>
          <w:p w14:paraId="58662105"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3731A3">
              <w:rPr>
                <w:sz w:val="18"/>
                <w:szCs w:val="18"/>
                <w:lang w:val="fr-CH"/>
              </w:rPr>
              <w:t>180</w:t>
            </w:r>
          </w:p>
        </w:tc>
      </w:tr>
      <w:tr w:rsidR="00086B52" w:rsidRPr="00B51884" w14:paraId="20331A0B" w14:textId="77777777" w:rsidTr="00B51884">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bottom w:val="single" w:sz="12" w:space="0" w:color="auto"/>
            </w:tcBorders>
            <w:shd w:val="clear" w:color="auto" w:fill="auto"/>
            <w:hideMark/>
          </w:tcPr>
          <w:p w14:paraId="63DA7FDD" w14:textId="77777777" w:rsidR="00747B6F" w:rsidRPr="00B51884" w:rsidRDefault="00747B6F" w:rsidP="00B51884">
            <w:pPr>
              <w:suppressAutoHyphens w:val="0"/>
              <w:spacing w:before="80" w:after="80" w:line="220" w:lineRule="exact"/>
              <w:ind w:left="283"/>
              <w:rPr>
                <w:bCs w:val="0"/>
                <w:sz w:val="18"/>
                <w:szCs w:val="18"/>
                <w:lang w:val="fr-CH"/>
              </w:rPr>
            </w:pPr>
            <w:r w:rsidRPr="00B51884">
              <w:rPr>
                <w:bCs w:val="0"/>
                <w:sz w:val="18"/>
                <w:szCs w:val="18"/>
                <w:lang w:val="fr-CH"/>
              </w:rPr>
              <w:t>Total</w:t>
            </w:r>
          </w:p>
        </w:tc>
        <w:tc>
          <w:tcPr>
            <w:tcW w:w="909" w:type="dxa"/>
            <w:tcBorders>
              <w:top w:val="single" w:sz="4" w:space="0" w:color="auto"/>
              <w:bottom w:val="single" w:sz="12" w:space="0" w:color="auto"/>
            </w:tcBorders>
            <w:shd w:val="clear" w:color="auto" w:fill="auto"/>
            <w:vAlign w:val="bottom"/>
            <w:hideMark/>
          </w:tcPr>
          <w:p w14:paraId="50681C66"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230</w:t>
            </w:r>
          </w:p>
        </w:tc>
        <w:tc>
          <w:tcPr>
            <w:tcW w:w="1113" w:type="dxa"/>
            <w:tcBorders>
              <w:top w:val="single" w:sz="4" w:space="0" w:color="auto"/>
              <w:bottom w:val="single" w:sz="12" w:space="0" w:color="auto"/>
            </w:tcBorders>
            <w:shd w:val="clear" w:color="auto" w:fill="auto"/>
            <w:vAlign w:val="bottom"/>
            <w:hideMark/>
          </w:tcPr>
          <w:p w14:paraId="45164A19"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23</w:t>
            </w:r>
          </w:p>
        </w:tc>
        <w:tc>
          <w:tcPr>
            <w:tcW w:w="1113" w:type="dxa"/>
            <w:tcBorders>
              <w:top w:val="single" w:sz="4" w:space="0" w:color="auto"/>
              <w:bottom w:val="single" w:sz="12" w:space="0" w:color="auto"/>
            </w:tcBorders>
            <w:shd w:val="clear" w:color="auto" w:fill="auto"/>
            <w:vAlign w:val="bottom"/>
            <w:hideMark/>
          </w:tcPr>
          <w:p w14:paraId="03258125"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627</w:t>
            </w:r>
          </w:p>
        </w:tc>
        <w:tc>
          <w:tcPr>
            <w:tcW w:w="1113" w:type="dxa"/>
            <w:tcBorders>
              <w:top w:val="single" w:sz="4" w:space="0" w:color="auto"/>
              <w:bottom w:val="single" w:sz="12" w:space="0" w:color="auto"/>
            </w:tcBorders>
            <w:shd w:val="clear" w:color="auto" w:fill="auto"/>
            <w:vAlign w:val="bottom"/>
            <w:hideMark/>
          </w:tcPr>
          <w:p w14:paraId="50D816AC"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19</w:t>
            </w:r>
          </w:p>
        </w:tc>
        <w:tc>
          <w:tcPr>
            <w:tcW w:w="853" w:type="dxa"/>
            <w:tcBorders>
              <w:top w:val="single" w:sz="4" w:space="0" w:color="auto"/>
              <w:bottom w:val="single" w:sz="12" w:space="0" w:color="auto"/>
            </w:tcBorders>
            <w:shd w:val="clear" w:color="auto" w:fill="auto"/>
            <w:vAlign w:val="bottom"/>
            <w:hideMark/>
          </w:tcPr>
          <w:p w14:paraId="0CEAA11A"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B51884">
              <w:rPr>
                <w:b/>
                <w:sz w:val="18"/>
                <w:szCs w:val="18"/>
                <w:lang w:val="fr-CH"/>
              </w:rPr>
              <w:t>899</w:t>
            </w:r>
          </w:p>
        </w:tc>
      </w:tr>
    </w:tbl>
    <w:p w14:paraId="637AE94B" w14:textId="77777777" w:rsidR="00747B6F" w:rsidRPr="001561A6" w:rsidRDefault="00747B6F" w:rsidP="00747B6F">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Bureau du Procureur général de l</w:t>
      </w:r>
      <w:r w:rsidR="009258E3">
        <w:rPr>
          <w:sz w:val="18"/>
          <w:szCs w:val="18"/>
        </w:rPr>
        <w:t>’</w:t>
      </w:r>
      <w:r w:rsidRPr="001561A6">
        <w:rPr>
          <w:sz w:val="18"/>
          <w:szCs w:val="18"/>
        </w:rPr>
        <w:t>État, données recueillies jusqu</w:t>
      </w:r>
      <w:r w:rsidR="009258E3">
        <w:rPr>
          <w:sz w:val="18"/>
          <w:szCs w:val="18"/>
        </w:rPr>
        <w:t>’</w:t>
      </w:r>
      <w:r w:rsidRPr="001561A6">
        <w:rPr>
          <w:sz w:val="18"/>
          <w:szCs w:val="18"/>
        </w:rPr>
        <w:t>à janvier 2019.</w:t>
      </w:r>
    </w:p>
    <w:p w14:paraId="7D54BF27" w14:textId="77777777" w:rsidR="00747B6F" w:rsidRPr="001561A6" w:rsidRDefault="00747B6F" w:rsidP="00747B6F">
      <w:pPr>
        <w:pStyle w:val="H23G"/>
      </w:pPr>
      <w:r w:rsidRPr="001561A6">
        <w:tab/>
      </w:r>
      <w:r w:rsidRPr="001561A6">
        <w:tab/>
        <w:t>Nombre de victimes, par département − 2018</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3"/>
        <w:gridCol w:w="1304"/>
        <w:gridCol w:w="1304"/>
        <w:gridCol w:w="1304"/>
        <w:gridCol w:w="1304"/>
        <w:gridCol w:w="851"/>
      </w:tblGrid>
      <w:tr w:rsidR="003653BD" w:rsidRPr="003731A3" w14:paraId="26D759F7" w14:textId="77777777" w:rsidTr="003731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left w:val="none" w:sz="0" w:space="0" w:color="auto"/>
              <w:bottom w:val="single" w:sz="12" w:space="0" w:color="auto"/>
              <w:right w:val="none" w:sz="0" w:space="0" w:color="auto"/>
            </w:tcBorders>
            <w:shd w:val="clear" w:color="auto" w:fill="auto"/>
            <w:vAlign w:val="bottom"/>
            <w:hideMark/>
          </w:tcPr>
          <w:p w14:paraId="3736445D" w14:textId="77777777" w:rsidR="00747B6F" w:rsidRPr="003731A3" w:rsidRDefault="00747B6F" w:rsidP="003731A3">
            <w:pPr>
              <w:suppressAutoHyphens w:val="0"/>
              <w:spacing w:before="80" w:after="80" w:line="200" w:lineRule="exact"/>
              <w:rPr>
                <w:b w:val="0"/>
                <w:i/>
                <w:color w:val="auto"/>
                <w:sz w:val="16"/>
                <w:lang w:val="fr-CH"/>
              </w:rPr>
            </w:pPr>
            <w:r w:rsidRPr="003731A3">
              <w:rPr>
                <w:b w:val="0"/>
                <w:i/>
                <w:color w:val="auto"/>
                <w:sz w:val="16"/>
                <w:lang w:val="fr-CH"/>
              </w:rPr>
              <w:t>Département</w:t>
            </w:r>
          </w:p>
        </w:tc>
        <w:tc>
          <w:tcPr>
            <w:tcW w:w="1304" w:type="dxa"/>
            <w:tcBorders>
              <w:top w:val="single" w:sz="4" w:space="0" w:color="auto"/>
              <w:left w:val="none" w:sz="0" w:space="0" w:color="auto"/>
              <w:bottom w:val="single" w:sz="12" w:space="0" w:color="auto"/>
              <w:right w:val="none" w:sz="0" w:space="0" w:color="auto"/>
            </w:tcBorders>
            <w:shd w:val="clear" w:color="auto" w:fill="auto"/>
            <w:vAlign w:val="bottom"/>
            <w:hideMark/>
          </w:tcPr>
          <w:p w14:paraId="37E96DBD"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Filles</w:t>
            </w:r>
            <w:r w:rsidRPr="003731A3">
              <w:rPr>
                <w:b w:val="0"/>
                <w:i/>
                <w:color w:val="auto"/>
                <w:sz w:val="16"/>
                <w:lang w:val="fr-CH"/>
              </w:rPr>
              <w:br/>
              <w:t>de 0 à 11 ans</w:t>
            </w:r>
          </w:p>
        </w:tc>
        <w:tc>
          <w:tcPr>
            <w:tcW w:w="1304" w:type="dxa"/>
            <w:tcBorders>
              <w:top w:val="single" w:sz="4" w:space="0" w:color="auto"/>
              <w:left w:val="none" w:sz="0" w:space="0" w:color="auto"/>
              <w:bottom w:val="single" w:sz="12" w:space="0" w:color="auto"/>
              <w:right w:val="none" w:sz="0" w:space="0" w:color="auto"/>
            </w:tcBorders>
            <w:shd w:val="clear" w:color="auto" w:fill="auto"/>
            <w:vAlign w:val="bottom"/>
            <w:hideMark/>
          </w:tcPr>
          <w:p w14:paraId="1123D038"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Garçons</w:t>
            </w:r>
            <w:r w:rsidRPr="003731A3">
              <w:rPr>
                <w:b w:val="0"/>
                <w:i/>
                <w:color w:val="auto"/>
                <w:sz w:val="16"/>
                <w:lang w:val="fr-CH"/>
              </w:rPr>
              <w:br/>
              <w:t>de 0 à 11 ans</w:t>
            </w:r>
          </w:p>
        </w:tc>
        <w:tc>
          <w:tcPr>
            <w:tcW w:w="1304" w:type="dxa"/>
            <w:tcBorders>
              <w:top w:val="single" w:sz="4" w:space="0" w:color="auto"/>
              <w:left w:val="none" w:sz="0" w:space="0" w:color="auto"/>
              <w:bottom w:val="single" w:sz="12" w:space="0" w:color="auto"/>
              <w:right w:val="none" w:sz="0" w:space="0" w:color="auto"/>
            </w:tcBorders>
            <w:shd w:val="clear" w:color="auto" w:fill="auto"/>
            <w:vAlign w:val="bottom"/>
            <w:hideMark/>
          </w:tcPr>
          <w:p w14:paraId="25F79EAE"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 xml:space="preserve">Adolescentes </w:t>
            </w:r>
            <w:r w:rsidRPr="003731A3">
              <w:rPr>
                <w:b w:val="0"/>
                <w:i/>
                <w:color w:val="auto"/>
                <w:sz w:val="16"/>
                <w:lang w:val="fr-CH"/>
              </w:rPr>
              <w:br/>
              <w:t>de 12 à 17 ans</w:t>
            </w:r>
          </w:p>
        </w:tc>
        <w:tc>
          <w:tcPr>
            <w:tcW w:w="1304" w:type="dxa"/>
            <w:tcBorders>
              <w:top w:val="single" w:sz="4" w:space="0" w:color="auto"/>
              <w:left w:val="none" w:sz="0" w:space="0" w:color="auto"/>
              <w:bottom w:val="single" w:sz="12" w:space="0" w:color="auto"/>
              <w:right w:val="none" w:sz="0" w:space="0" w:color="auto"/>
            </w:tcBorders>
            <w:shd w:val="clear" w:color="auto" w:fill="auto"/>
            <w:vAlign w:val="bottom"/>
            <w:hideMark/>
          </w:tcPr>
          <w:p w14:paraId="278F44BE"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 xml:space="preserve">Adolescents </w:t>
            </w:r>
            <w:r w:rsidRPr="003731A3">
              <w:rPr>
                <w:b w:val="0"/>
                <w:i/>
                <w:color w:val="auto"/>
                <w:sz w:val="16"/>
                <w:lang w:val="fr-CH"/>
              </w:rPr>
              <w:br/>
              <w:t>de 12 à 17 ans</w:t>
            </w:r>
          </w:p>
        </w:tc>
        <w:tc>
          <w:tcPr>
            <w:tcW w:w="851" w:type="dxa"/>
            <w:tcBorders>
              <w:top w:val="single" w:sz="4" w:space="0" w:color="auto"/>
              <w:left w:val="none" w:sz="0" w:space="0" w:color="auto"/>
              <w:bottom w:val="single" w:sz="12" w:space="0" w:color="auto"/>
              <w:right w:val="none" w:sz="0" w:space="0" w:color="auto"/>
            </w:tcBorders>
            <w:shd w:val="clear" w:color="auto" w:fill="auto"/>
            <w:vAlign w:val="bottom"/>
            <w:hideMark/>
          </w:tcPr>
          <w:p w14:paraId="3E4CE419"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Total</w:t>
            </w:r>
          </w:p>
        </w:tc>
      </w:tr>
      <w:tr w:rsidR="003653BD" w:rsidRPr="003731A3" w14:paraId="7447DF26"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tcBorders>
            <w:shd w:val="clear" w:color="auto" w:fill="auto"/>
            <w:hideMark/>
          </w:tcPr>
          <w:p w14:paraId="2EA32C21" w14:textId="77777777" w:rsidR="00747B6F" w:rsidRPr="003731A3" w:rsidRDefault="00747B6F" w:rsidP="003731A3">
            <w:pPr>
              <w:suppressAutoHyphens w:val="0"/>
              <w:spacing w:before="40" w:after="40" w:line="220" w:lineRule="exact"/>
              <w:rPr>
                <w:sz w:val="18"/>
                <w:lang w:val="fr-CH"/>
              </w:rPr>
            </w:pPr>
            <w:r w:rsidRPr="003731A3">
              <w:rPr>
                <w:sz w:val="18"/>
                <w:lang w:val="fr-CH"/>
              </w:rPr>
              <w:t>Beni</w:t>
            </w:r>
          </w:p>
        </w:tc>
        <w:tc>
          <w:tcPr>
            <w:tcW w:w="1304" w:type="dxa"/>
            <w:tcBorders>
              <w:top w:val="single" w:sz="12" w:space="0" w:color="auto"/>
            </w:tcBorders>
            <w:shd w:val="clear" w:color="auto" w:fill="auto"/>
            <w:vAlign w:val="bottom"/>
            <w:hideMark/>
          </w:tcPr>
          <w:p w14:paraId="44E0A7D5"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9</w:t>
            </w:r>
          </w:p>
        </w:tc>
        <w:tc>
          <w:tcPr>
            <w:tcW w:w="1304" w:type="dxa"/>
            <w:tcBorders>
              <w:top w:val="single" w:sz="12" w:space="0" w:color="auto"/>
            </w:tcBorders>
            <w:shd w:val="clear" w:color="auto" w:fill="auto"/>
            <w:vAlign w:val="bottom"/>
            <w:hideMark/>
          </w:tcPr>
          <w:p w14:paraId="799378E8"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0</w:t>
            </w:r>
          </w:p>
        </w:tc>
        <w:tc>
          <w:tcPr>
            <w:tcW w:w="1304" w:type="dxa"/>
            <w:tcBorders>
              <w:top w:val="single" w:sz="12" w:space="0" w:color="auto"/>
            </w:tcBorders>
            <w:shd w:val="clear" w:color="auto" w:fill="auto"/>
            <w:vAlign w:val="bottom"/>
            <w:hideMark/>
          </w:tcPr>
          <w:p w14:paraId="29925704"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25</w:t>
            </w:r>
          </w:p>
        </w:tc>
        <w:tc>
          <w:tcPr>
            <w:tcW w:w="1304" w:type="dxa"/>
            <w:tcBorders>
              <w:top w:val="single" w:sz="12" w:space="0" w:color="auto"/>
            </w:tcBorders>
            <w:shd w:val="clear" w:color="auto" w:fill="auto"/>
            <w:vAlign w:val="bottom"/>
            <w:hideMark/>
          </w:tcPr>
          <w:p w14:paraId="6E20FC4F"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0</w:t>
            </w:r>
          </w:p>
        </w:tc>
        <w:tc>
          <w:tcPr>
            <w:tcW w:w="851" w:type="dxa"/>
            <w:tcBorders>
              <w:top w:val="single" w:sz="12" w:space="0" w:color="auto"/>
            </w:tcBorders>
            <w:shd w:val="clear" w:color="auto" w:fill="auto"/>
            <w:vAlign w:val="bottom"/>
            <w:hideMark/>
          </w:tcPr>
          <w:p w14:paraId="027C43F6"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34</w:t>
            </w:r>
          </w:p>
        </w:tc>
      </w:tr>
      <w:tr w:rsidR="003653BD" w:rsidRPr="003731A3" w14:paraId="304FFE3B" w14:textId="77777777" w:rsidTr="003731A3">
        <w:tc>
          <w:tcPr>
            <w:cnfStyle w:val="001000000000" w:firstRow="0" w:lastRow="0" w:firstColumn="1" w:lastColumn="0" w:oddVBand="0" w:evenVBand="0" w:oddHBand="0" w:evenHBand="0" w:firstRowFirstColumn="0" w:firstRowLastColumn="0" w:lastRowFirstColumn="0" w:lastRowLastColumn="0"/>
            <w:tcW w:w="1303" w:type="dxa"/>
            <w:shd w:val="clear" w:color="auto" w:fill="auto"/>
            <w:hideMark/>
          </w:tcPr>
          <w:p w14:paraId="0448AA26" w14:textId="77777777" w:rsidR="00747B6F" w:rsidRPr="003731A3" w:rsidRDefault="00747B6F" w:rsidP="003731A3">
            <w:pPr>
              <w:suppressAutoHyphens w:val="0"/>
              <w:spacing w:before="40" w:after="40" w:line="220" w:lineRule="exact"/>
              <w:rPr>
                <w:sz w:val="18"/>
                <w:lang w:val="fr-CH"/>
              </w:rPr>
            </w:pPr>
            <w:r w:rsidRPr="003731A3">
              <w:rPr>
                <w:sz w:val="18"/>
                <w:lang w:val="fr-CH"/>
              </w:rPr>
              <w:t>Chuquisaca</w:t>
            </w:r>
          </w:p>
        </w:tc>
        <w:tc>
          <w:tcPr>
            <w:tcW w:w="1304" w:type="dxa"/>
            <w:shd w:val="clear" w:color="auto" w:fill="auto"/>
            <w:vAlign w:val="bottom"/>
            <w:hideMark/>
          </w:tcPr>
          <w:p w14:paraId="72B4293A"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w:t>
            </w:r>
          </w:p>
        </w:tc>
        <w:tc>
          <w:tcPr>
            <w:tcW w:w="1304" w:type="dxa"/>
            <w:shd w:val="clear" w:color="auto" w:fill="auto"/>
            <w:vAlign w:val="bottom"/>
            <w:hideMark/>
          </w:tcPr>
          <w:p w14:paraId="049E8378"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0</w:t>
            </w:r>
          </w:p>
        </w:tc>
        <w:tc>
          <w:tcPr>
            <w:tcW w:w="1304" w:type="dxa"/>
            <w:shd w:val="clear" w:color="auto" w:fill="auto"/>
            <w:vAlign w:val="bottom"/>
            <w:hideMark/>
          </w:tcPr>
          <w:p w14:paraId="50264D90"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15</w:t>
            </w:r>
          </w:p>
        </w:tc>
        <w:tc>
          <w:tcPr>
            <w:tcW w:w="1304" w:type="dxa"/>
            <w:shd w:val="clear" w:color="auto" w:fill="auto"/>
            <w:vAlign w:val="bottom"/>
            <w:hideMark/>
          </w:tcPr>
          <w:p w14:paraId="687A6547"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w:t>
            </w:r>
          </w:p>
        </w:tc>
        <w:tc>
          <w:tcPr>
            <w:tcW w:w="851" w:type="dxa"/>
            <w:shd w:val="clear" w:color="auto" w:fill="auto"/>
            <w:vAlign w:val="bottom"/>
            <w:hideMark/>
          </w:tcPr>
          <w:p w14:paraId="3A8C3813"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17</w:t>
            </w:r>
          </w:p>
        </w:tc>
      </w:tr>
      <w:tr w:rsidR="003653BD" w:rsidRPr="003731A3" w14:paraId="599AC2B4"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hideMark/>
          </w:tcPr>
          <w:p w14:paraId="07D8E24C" w14:textId="77777777" w:rsidR="00747B6F" w:rsidRPr="003731A3" w:rsidRDefault="00747B6F" w:rsidP="003731A3">
            <w:pPr>
              <w:suppressAutoHyphens w:val="0"/>
              <w:spacing w:before="40" w:after="40" w:line="220" w:lineRule="exact"/>
              <w:rPr>
                <w:sz w:val="18"/>
                <w:lang w:val="fr-CH"/>
              </w:rPr>
            </w:pPr>
            <w:r w:rsidRPr="003731A3">
              <w:rPr>
                <w:sz w:val="18"/>
                <w:lang w:val="fr-CH"/>
              </w:rPr>
              <w:t>Cochabamba</w:t>
            </w:r>
          </w:p>
        </w:tc>
        <w:tc>
          <w:tcPr>
            <w:tcW w:w="1304" w:type="dxa"/>
            <w:shd w:val="clear" w:color="auto" w:fill="auto"/>
            <w:vAlign w:val="bottom"/>
            <w:hideMark/>
          </w:tcPr>
          <w:p w14:paraId="266E2E51"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15</w:t>
            </w:r>
          </w:p>
        </w:tc>
        <w:tc>
          <w:tcPr>
            <w:tcW w:w="1304" w:type="dxa"/>
            <w:shd w:val="clear" w:color="auto" w:fill="auto"/>
            <w:vAlign w:val="bottom"/>
            <w:hideMark/>
          </w:tcPr>
          <w:p w14:paraId="6BF38F72"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0</w:t>
            </w:r>
          </w:p>
        </w:tc>
        <w:tc>
          <w:tcPr>
            <w:tcW w:w="1304" w:type="dxa"/>
            <w:shd w:val="clear" w:color="auto" w:fill="auto"/>
            <w:vAlign w:val="bottom"/>
            <w:hideMark/>
          </w:tcPr>
          <w:p w14:paraId="79D30731"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45</w:t>
            </w:r>
          </w:p>
        </w:tc>
        <w:tc>
          <w:tcPr>
            <w:tcW w:w="1304" w:type="dxa"/>
            <w:shd w:val="clear" w:color="auto" w:fill="auto"/>
            <w:vAlign w:val="bottom"/>
            <w:hideMark/>
          </w:tcPr>
          <w:p w14:paraId="2FC7C987"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3</w:t>
            </w:r>
          </w:p>
        </w:tc>
        <w:tc>
          <w:tcPr>
            <w:tcW w:w="851" w:type="dxa"/>
            <w:shd w:val="clear" w:color="auto" w:fill="auto"/>
            <w:vAlign w:val="bottom"/>
            <w:hideMark/>
          </w:tcPr>
          <w:p w14:paraId="1E8B1B15"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61</w:t>
            </w:r>
          </w:p>
        </w:tc>
      </w:tr>
      <w:tr w:rsidR="003653BD" w:rsidRPr="003731A3" w14:paraId="64BD1852" w14:textId="77777777" w:rsidTr="003731A3">
        <w:tc>
          <w:tcPr>
            <w:cnfStyle w:val="001000000000" w:firstRow="0" w:lastRow="0" w:firstColumn="1" w:lastColumn="0" w:oddVBand="0" w:evenVBand="0" w:oddHBand="0" w:evenHBand="0" w:firstRowFirstColumn="0" w:firstRowLastColumn="0" w:lastRowFirstColumn="0" w:lastRowLastColumn="0"/>
            <w:tcW w:w="1303" w:type="dxa"/>
            <w:shd w:val="clear" w:color="auto" w:fill="auto"/>
            <w:hideMark/>
          </w:tcPr>
          <w:p w14:paraId="212C5792" w14:textId="77777777" w:rsidR="00747B6F" w:rsidRPr="003731A3" w:rsidRDefault="00747B6F" w:rsidP="003731A3">
            <w:pPr>
              <w:suppressAutoHyphens w:val="0"/>
              <w:spacing w:before="40" w:after="40" w:line="220" w:lineRule="exact"/>
              <w:rPr>
                <w:sz w:val="18"/>
                <w:lang w:val="fr-CH"/>
              </w:rPr>
            </w:pPr>
            <w:r w:rsidRPr="003731A3">
              <w:rPr>
                <w:sz w:val="18"/>
                <w:lang w:val="fr-CH"/>
              </w:rPr>
              <w:t>La Paz</w:t>
            </w:r>
          </w:p>
        </w:tc>
        <w:tc>
          <w:tcPr>
            <w:tcW w:w="1304" w:type="dxa"/>
            <w:shd w:val="clear" w:color="auto" w:fill="auto"/>
            <w:vAlign w:val="bottom"/>
            <w:hideMark/>
          </w:tcPr>
          <w:p w14:paraId="3D285042"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45</w:t>
            </w:r>
          </w:p>
        </w:tc>
        <w:tc>
          <w:tcPr>
            <w:tcW w:w="1304" w:type="dxa"/>
            <w:shd w:val="clear" w:color="auto" w:fill="auto"/>
            <w:vAlign w:val="bottom"/>
            <w:hideMark/>
          </w:tcPr>
          <w:p w14:paraId="4E9BD41C"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5</w:t>
            </w:r>
          </w:p>
        </w:tc>
        <w:tc>
          <w:tcPr>
            <w:tcW w:w="1304" w:type="dxa"/>
            <w:shd w:val="clear" w:color="auto" w:fill="auto"/>
            <w:vAlign w:val="bottom"/>
            <w:hideMark/>
          </w:tcPr>
          <w:p w14:paraId="4B2511BC"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157</w:t>
            </w:r>
          </w:p>
        </w:tc>
        <w:tc>
          <w:tcPr>
            <w:tcW w:w="1304" w:type="dxa"/>
            <w:shd w:val="clear" w:color="auto" w:fill="auto"/>
            <w:vAlign w:val="bottom"/>
            <w:hideMark/>
          </w:tcPr>
          <w:p w14:paraId="682631C9"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3</w:t>
            </w:r>
          </w:p>
        </w:tc>
        <w:tc>
          <w:tcPr>
            <w:tcW w:w="851" w:type="dxa"/>
            <w:shd w:val="clear" w:color="auto" w:fill="auto"/>
            <w:vAlign w:val="bottom"/>
            <w:hideMark/>
          </w:tcPr>
          <w:p w14:paraId="1C50D9B8"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210</w:t>
            </w:r>
          </w:p>
        </w:tc>
      </w:tr>
      <w:tr w:rsidR="003653BD" w:rsidRPr="003731A3" w14:paraId="096EB436"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hideMark/>
          </w:tcPr>
          <w:p w14:paraId="455AEFA2" w14:textId="77777777" w:rsidR="00747B6F" w:rsidRPr="003731A3" w:rsidRDefault="00747B6F" w:rsidP="003731A3">
            <w:pPr>
              <w:suppressAutoHyphens w:val="0"/>
              <w:spacing w:before="40" w:after="40" w:line="220" w:lineRule="exact"/>
              <w:rPr>
                <w:sz w:val="18"/>
                <w:lang w:val="fr-CH"/>
              </w:rPr>
            </w:pPr>
            <w:r w:rsidRPr="003731A3">
              <w:rPr>
                <w:sz w:val="18"/>
                <w:lang w:val="fr-CH"/>
              </w:rPr>
              <w:t>Oruro</w:t>
            </w:r>
          </w:p>
        </w:tc>
        <w:tc>
          <w:tcPr>
            <w:tcW w:w="1304" w:type="dxa"/>
            <w:shd w:val="clear" w:color="auto" w:fill="auto"/>
            <w:vAlign w:val="bottom"/>
            <w:hideMark/>
          </w:tcPr>
          <w:p w14:paraId="4CA7FEA1"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3</w:t>
            </w:r>
          </w:p>
        </w:tc>
        <w:tc>
          <w:tcPr>
            <w:tcW w:w="1304" w:type="dxa"/>
            <w:shd w:val="clear" w:color="auto" w:fill="auto"/>
            <w:vAlign w:val="bottom"/>
            <w:hideMark/>
          </w:tcPr>
          <w:p w14:paraId="63E04C17"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0</w:t>
            </w:r>
          </w:p>
        </w:tc>
        <w:tc>
          <w:tcPr>
            <w:tcW w:w="1304" w:type="dxa"/>
            <w:shd w:val="clear" w:color="auto" w:fill="auto"/>
            <w:vAlign w:val="bottom"/>
            <w:hideMark/>
          </w:tcPr>
          <w:p w14:paraId="2ED3F3E2"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23</w:t>
            </w:r>
          </w:p>
        </w:tc>
        <w:tc>
          <w:tcPr>
            <w:tcW w:w="1304" w:type="dxa"/>
            <w:shd w:val="clear" w:color="auto" w:fill="auto"/>
            <w:vAlign w:val="bottom"/>
            <w:hideMark/>
          </w:tcPr>
          <w:p w14:paraId="144003AA"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0</w:t>
            </w:r>
          </w:p>
        </w:tc>
        <w:tc>
          <w:tcPr>
            <w:tcW w:w="851" w:type="dxa"/>
            <w:shd w:val="clear" w:color="auto" w:fill="auto"/>
            <w:vAlign w:val="bottom"/>
            <w:hideMark/>
          </w:tcPr>
          <w:p w14:paraId="76D94D12"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26</w:t>
            </w:r>
          </w:p>
        </w:tc>
      </w:tr>
      <w:tr w:rsidR="003653BD" w:rsidRPr="003731A3" w14:paraId="4682F8FC" w14:textId="77777777" w:rsidTr="003731A3">
        <w:tc>
          <w:tcPr>
            <w:cnfStyle w:val="001000000000" w:firstRow="0" w:lastRow="0" w:firstColumn="1" w:lastColumn="0" w:oddVBand="0" w:evenVBand="0" w:oddHBand="0" w:evenHBand="0" w:firstRowFirstColumn="0" w:firstRowLastColumn="0" w:lastRowFirstColumn="0" w:lastRowLastColumn="0"/>
            <w:tcW w:w="1303" w:type="dxa"/>
            <w:shd w:val="clear" w:color="auto" w:fill="auto"/>
            <w:hideMark/>
          </w:tcPr>
          <w:p w14:paraId="77043B14" w14:textId="77777777" w:rsidR="00747B6F" w:rsidRPr="003731A3" w:rsidRDefault="00747B6F" w:rsidP="003731A3">
            <w:pPr>
              <w:suppressAutoHyphens w:val="0"/>
              <w:spacing w:before="40" w:after="40" w:line="220" w:lineRule="exact"/>
              <w:rPr>
                <w:sz w:val="18"/>
                <w:lang w:val="fr-CH"/>
              </w:rPr>
            </w:pPr>
            <w:r w:rsidRPr="003731A3">
              <w:rPr>
                <w:sz w:val="18"/>
                <w:lang w:val="fr-CH"/>
              </w:rPr>
              <w:t>Pando</w:t>
            </w:r>
          </w:p>
        </w:tc>
        <w:tc>
          <w:tcPr>
            <w:tcW w:w="1304" w:type="dxa"/>
            <w:shd w:val="clear" w:color="auto" w:fill="auto"/>
            <w:vAlign w:val="bottom"/>
            <w:hideMark/>
          </w:tcPr>
          <w:p w14:paraId="785B68B2"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13</w:t>
            </w:r>
          </w:p>
        </w:tc>
        <w:tc>
          <w:tcPr>
            <w:tcW w:w="1304" w:type="dxa"/>
            <w:shd w:val="clear" w:color="auto" w:fill="auto"/>
            <w:vAlign w:val="bottom"/>
            <w:hideMark/>
          </w:tcPr>
          <w:p w14:paraId="65CC6D5F"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0</w:t>
            </w:r>
          </w:p>
        </w:tc>
        <w:tc>
          <w:tcPr>
            <w:tcW w:w="1304" w:type="dxa"/>
            <w:shd w:val="clear" w:color="auto" w:fill="auto"/>
            <w:vAlign w:val="bottom"/>
            <w:hideMark/>
          </w:tcPr>
          <w:p w14:paraId="6E8CC753"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36</w:t>
            </w:r>
          </w:p>
        </w:tc>
        <w:tc>
          <w:tcPr>
            <w:tcW w:w="1304" w:type="dxa"/>
            <w:shd w:val="clear" w:color="auto" w:fill="auto"/>
            <w:vAlign w:val="bottom"/>
            <w:hideMark/>
          </w:tcPr>
          <w:p w14:paraId="29C7B7FC"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0</w:t>
            </w:r>
          </w:p>
        </w:tc>
        <w:tc>
          <w:tcPr>
            <w:tcW w:w="851" w:type="dxa"/>
            <w:shd w:val="clear" w:color="auto" w:fill="auto"/>
            <w:vAlign w:val="bottom"/>
            <w:hideMark/>
          </w:tcPr>
          <w:p w14:paraId="6DEA09B3"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46</w:t>
            </w:r>
          </w:p>
        </w:tc>
      </w:tr>
      <w:tr w:rsidR="003653BD" w:rsidRPr="003731A3" w14:paraId="594C32C5"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shd w:val="clear" w:color="auto" w:fill="auto"/>
            <w:hideMark/>
          </w:tcPr>
          <w:p w14:paraId="2996B730" w14:textId="77777777" w:rsidR="00747B6F" w:rsidRPr="003731A3" w:rsidRDefault="00747B6F" w:rsidP="003731A3">
            <w:pPr>
              <w:suppressAutoHyphens w:val="0"/>
              <w:spacing w:before="40" w:after="40" w:line="220" w:lineRule="exact"/>
              <w:rPr>
                <w:sz w:val="18"/>
                <w:lang w:val="fr-CH"/>
              </w:rPr>
            </w:pPr>
            <w:r w:rsidRPr="003731A3">
              <w:rPr>
                <w:sz w:val="18"/>
                <w:lang w:val="fr-CH"/>
              </w:rPr>
              <w:t>Potosí</w:t>
            </w:r>
          </w:p>
        </w:tc>
        <w:tc>
          <w:tcPr>
            <w:tcW w:w="1304" w:type="dxa"/>
            <w:shd w:val="clear" w:color="auto" w:fill="auto"/>
            <w:vAlign w:val="bottom"/>
            <w:hideMark/>
          </w:tcPr>
          <w:p w14:paraId="15FE6589"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6</w:t>
            </w:r>
          </w:p>
        </w:tc>
        <w:tc>
          <w:tcPr>
            <w:tcW w:w="1304" w:type="dxa"/>
            <w:shd w:val="clear" w:color="auto" w:fill="auto"/>
            <w:vAlign w:val="bottom"/>
            <w:hideMark/>
          </w:tcPr>
          <w:p w14:paraId="5B89FBFB"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0</w:t>
            </w:r>
          </w:p>
        </w:tc>
        <w:tc>
          <w:tcPr>
            <w:tcW w:w="1304" w:type="dxa"/>
            <w:shd w:val="clear" w:color="auto" w:fill="auto"/>
            <w:vAlign w:val="bottom"/>
            <w:hideMark/>
          </w:tcPr>
          <w:p w14:paraId="5794A366"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17</w:t>
            </w:r>
          </w:p>
        </w:tc>
        <w:tc>
          <w:tcPr>
            <w:tcW w:w="1304" w:type="dxa"/>
            <w:shd w:val="clear" w:color="auto" w:fill="auto"/>
            <w:vAlign w:val="bottom"/>
            <w:hideMark/>
          </w:tcPr>
          <w:p w14:paraId="7C4D6A60"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1</w:t>
            </w:r>
          </w:p>
        </w:tc>
        <w:tc>
          <w:tcPr>
            <w:tcW w:w="851" w:type="dxa"/>
            <w:shd w:val="clear" w:color="auto" w:fill="auto"/>
            <w:vAlign w:val="bottom"/>
            <w:hideMark/>
          </w:tcPr>
          <w:p w14:paraId="40F6DB69"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24</w:t>
            </w:r>
          </w:p>
        </w:tc>
      </w:tr>
      <w:tr w:rsidR="003653BD" w:rsidRPr="003731A3" w14:paraId="79DD43ED" w14:textId="77777777" w:rsidTr="003731A3">
        <w:tc>
          <w:tcPr>
            <w:cnfStyle w:val="001000000000" w:firstRow="0" w:lastRow="0" w:firstColumn="1" w:lastColumn="0" w:oddVBand="0" w:evenVBand="0" w:oddHBand="0" w:evenHBand="0" w:firstRowFirstColumn="0" w:firstRowLastColumn="0" w:lastRowFirstColumn="0" w:lastRowLastColumn="0"/>
            <w:tcW w:w="1303" w:type="dxa"/>
            <w:shd w:val="clear" w:color="auto" w:fill="auto"/>
            <w:hideMark/>
          </w:tcPr>
          <w:p w14:paraId="5B44916C" w14:textId="77777777" w:rsidR="00747B6F" w:rsidRPr="003731A3" w:rsidRDefault="00747B6F" w:rsidP="003731A3">
            <w:pPr>
              <w:suppressAutoHyphens w:val="0"/>
              <w:spacing w:before="40" w:after="40" w:line="220" w:lineRule="exact"/>
              <w:rPr>
                <w:sz w:val="18"/>
                <w:lang w:val="fr-CH"/>
              </w:rPr>
            </w:pPr>
            <w:r w:rsidRPr="003731A3">
              <w:rPr>
                <w:sz w:val="18"/>
                <w:lang w:val="fr-CH"/>
              </w:rPr>
              <w:t>Santa Cruz</w:t>
            </w:r>
          </w:p>
        </w:tc>
        <w:tc>
          <w:tcPr>
            <w:tcW w:w="1304" w:type="dxa"/>
            <w:shd w:val="clear" w:color="auto" w:fill="auto"/>
            <w:vAlign w:val="bottom"/>
            <w:hideMark/>
          </w:tcPr>
          <w:p w14:paraId="708BBE9D"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133</w:t>
            </w:r>
          </w:p>
        </w:tc>
        <w:tc>
          <w:tcPr>
            <w:tcW w:w="1304" w:type="dxa"/>
            <w:shd w:val="clear" w:color="auto" w:fill="auto"/>
            <w:vAlign w:val="bottom"/>
            <w:hideMark/>
          </w:tcPr>
          <w:p w14:paraId="3C1C79D5"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17</w:t>
            </w:r>
          </w:p>
        </w:tc>
        <w:tc>
          <w:tcPr>
            <w:tcW w:w="1304" w:type="dxa"/>
            <w:shd w:val="clear" w:color="auto" w:fill="auto"/>
            <w:vAlign w:val="bottom"/>
            <w:hideMark/>
          </w:tcPr>
          <w:p w14:paraId="2B7AB054"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297</w:t>
            </w:r>
          </w:p>
        </w:tc>
        <w:tc>
          <w:tcPr>
            <w:tcW w:w="1304" w:type="dxa"/>
            <w:shd w:val="clear" w:color="auto" w:fill="auto"/>
            <w:vAlign w:val="bottom"/>
            <w:hideMark/>
          </w:tcPr>
          <w:p w14:paraId="1CCB5917"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11</w:t>
            </w:r>
          </w:p>
        </w:tc>
        <w:tc>
          <w:tcPr>
            <w:tcW w:w="851" w:type="dxa"/>
            <w:shd w:val="clear" w:color="auto" w:fill="auto"/>
            <w:vAlign w:val="bottom"/>
            <w:hideMark/>
          </w:tcPr>
          <w:p w14:paraId="40258146"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458</w:t>
            </w:r>
          </w:p>
        </w:tc>
      </w:tr>
      <w:tr w:rsidR="003653BD" w:rsidRPr="003731A3" w14:paraId="5BE931E6" w14:textId="77777777" w:rsidTr="00B51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shd w:val="clear" w:color="auto" w:fill="auto"/>
            <w:hideMark/>
          </w:tcPr>
          <w:p w14:paraId="3883D1B6" w14:textId="77777777" w:rsidR="00747B6F" w:rsidRPr="003731A3" w:rsidRDefault="00747B6F" w:rsidP="003731A3">
            <w:pPr>
              <w:suppressAutoHyphens w:val="0"/>
              <w:spacing w:before="40" w:after="40" w:line="220" w:lineRule="exact"/>
              <w:rPr>
                <w:sz w:val="18"/>
                <w:lang w:val="fr-CH"/>
              </w:rPr>
            </w:pPr>
            <w:r w:rsidRPr="003731A3">
              <w:rPr>
                <w:sz w:val="18"/>
                <w:lang w:val="fr-CH"/>
              </w:rPr>
              <w:t>Tarija</w:t>
            </w:r>
          </w:p>
        </w:tc>
        <w:tc>
          <w:tcPr>
            <w:tcW w:w="1304" w:type="dxa"/>
            <w:tcBorders>
              <w:bottom w:val="single" w:sz="4" w:space="0" w:color="auto"/>
            </w:tcBorders>
            <w:shd w:val="clear" w:color="auto" w:fill="auto"/>
            <w:vAlign w:val="bottom"/>
            <w:hideMark/>
          </w:tcPr>
          <w:p w14:paraId="3410FB46"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5</w:t>
            </w:r>
          </w:p>
        </w:tc>
        <w:tc>
          <w:tcPr>
            <w:tcW w:w="1304" w:type="dxa"/>
            <w:tcBorders>
              <w:bottom w:val="single" w:sz="4" w:space="0" w:color="auto"/>
            </w:tcBorders>
            <w:shd w:val="clear" w:color="auto" w:fill="auto"/>
            <w:vAlign w:val="bottom"/>
            <w:hideMark/>
          </w:tcPr>
          <w:p w14:paraId="0A848333"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1</w:t>
            </w:r>
          </w:p>
        </w:tc>
        <w:tc>
          <w:tcPr>
            <w:tcW w:w="1304" w:type="dxa"/>
            <w:tcBorders>
              <w:bottom w:val="single" w:sz="4" w:space="0" w:color="auto"/>
            </w:tcBorders>
            <w:shd w:val="clear" w:color="auto" w:fill="auto"/>
            <w:vAlign w:val="bottom"/>
            <w:hideMark/>
          </w:tcPr>
          <w:p w14:paraId="18A9FC0B"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14</w:t>
            </w:r>
          </w:p>
        </w:tc>
        <w:tc>
          <w:tcPr>
            <w:tcW w:w="1304" w:type="dxa"/>
            <w:tcBorders>
              <w:bottom w:val="single" w:sz="4" w:space="0" w:color="auto"/>
            </w:tcBorders>
            <w:shd w:val="clear" w:color="auto" w:fill="auto"/>
            <w:vAlign w:val="bottom"/>
            <w:hideMark/>
          </w:tcPr>
          <w:p w14:paraId="4C36F488"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0</w:t>
            </w:r>
          </w:p>
        </w:tc>
        <w:tc>
          <w:tcPr>
            <w:tcW w:w="851" w:type="dxa"/>
            <w:tcBorders>
              <w:bottom w:val="single" w:sz="4" w:space="0" w:color="auto"/>
            </w:tcBorders>
            <w:shd w:val="clear" w:color="auto" w:fill="auto"/>
            <w:vAlign w:val="bottom"/>
            <w:hideMark/>
          </w:tcPr>
          <w:p w14:paraId="734FEAA2"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20</w:t>
            </w:r>
          </w:p>
        </w:tc>
      </w:tr>
      <w:tr w:rsidR="003653BD" w:rsidRPr="00B51884" w14:paraId="02DC44A1" w14:textId="77777777" w:rsidTr="00B51884">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12" w:space="0" w:color="auto"/>
            </w:tcBorders>
            <w:shd w:val="clear" w:color="auto" w:fill="auto"/>
            <w:hideMark/>
          </w:tcPr>
          <w:p w14:paraId="1C2C37DF" w14:textId="77777777" w:rsidR="00747B6F" w:rsidRPr="00B51884" w:rsidRDefault="00747B6F" w:rsidP="00B51884">
            <w:pPr>
              <w:suppressAutoHyphens w:val="0"/>
              <w:spacing w:before="80" w:after="80" w:line="220" w:lineRule="exact"/>
              <w:ind w:left="283"/>
              <w:rPr>
                <w:bCs w:val="0"/>
                <w:sz w:val="18"/>
                <w:lang w:val="fr-CH"/>
              </w:rPr>
            </w:pPr>
            <w:r w:rsidRPr="00B51884">
              <w:rPr>
                <w:bCs w:val="0"/>
                <w:sz w:val="18"/>
                <w:lang w:val="fr-CH"/>
              </w:rPr>
              <w:t>Total</w:t>
            </w:r>
          </w:p>
        </w:tc>
        <w:tc>
          <w:tcPr>
            <w:tcW w:w="1304" w:type="dxa"/>
            <w:tcBorders>
              <w:top w:val="single" w:sz="4" w:space="0" w:color="auto"/>
              <w:bottom w:val="single" w:sz="12" w:space="0" w:color="auto"/>
            </w:tcBorders>
            <w:shd w:val="clear" w:color="auto" w:fill="auto"/>
            <w:vAlign w:val="bottom"/>
            <w:hideMark/>
          </w:tcPr>
          <w:p w14:paraId="67682E64"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B51884">
              <w:rPr>
                <w:b/>
                <w:sz w:val="18"/>
                <w:lang w:val="fr-CH"/>
              </w:rPr>
              <w:t>230</w:t>
            </w:r>
          </w:p>
        </w:tc>
        <w:tc>
          <w:tcPr>
            <w:tcW w:w="1304" w:type="dxa"/>
            <w:tcBorders>
              <w:top w:val="single" w:sz="4" w:space="0" w:color="auto"/>
              <w:bottom w:val="single" w:sz="12" w:space="0" w:color="auto"/>
            </w:tcBorders>
            <w:shd w:val="clear" w:color="auto" w:fill="auto"/>
            <w:vAlign w:val="bottom"/>
            <w:hideMark/>
          </w:tcPr>
          <w:p w14:paraId="22C89E01"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B51884">
              <w:rPr>
                <w:b/>
                <w:sz w:val="18"/>
                <w:lang w:val="fr-CH"/>
              </w:rPr>
              <w:t>23</w:t>
            </w:r>
          </w:p>
        </w:tc>
        <w:tc>
          <w:tcPr>
            <w:tcW w:w="1304" w:type="dxa"/>
            <w:tcBorders>
              <w:top w:val="single" w:sz="4" w:space="0" w:color="auto"/>
              <w:bottom w:val="single" w:sz="12" w:space="0" w:color="auto"/>
            </w:tcBorders>
            <w:shd w:val="clear" w:color="auto" w:fill="auto"/>
            <w:vAlign w:val="bottom"/>
            <w:hideMark/>
          </w:tcPr>
          <w:p w14:paraId="05624084"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B51884">
              <w:rPr>
                <w:b/>
                <w:sz w:val="18"/>
                <w:lang w:val="fr-CH"/>
              </w:rPr>
              <w:t>627</w:t>
            </w:r>
          </w:p>
        </w:tc>
        <w:tc>
          <w:tcPr>
            <w:tcW w:w="1304" w:type="dxa"/>
            <w:tcBorders>
              <w:top w:val="single" w:sz="4" w:space="0" w:color="auto"/>
              <w:bottom w:val="single" w:sz="12" w:space="0" w:color="auto"/>
            </w:tcBorders>
            <w:shd w:val="clear" w:color="auto" w:fill="auto"/>
            <w:vAlign w:val="bottom"/>
            <w:hideMark/>
          </w:tcPr>
          <w:p w14:paraId="2551CB9E"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B51884">
              <w:rPr>
                <w:b/>
                <w:sz w:val="18"/>
                <w:lang w:val="fr-CH"/>
              </w:rPr>
              <w:t>19</w:t>
            </w:r>
          </w:p>
        </w:tc>
        <w:tc>
          <w:tcPr>
            <w:tcW w:w="851" w:type="dxa"/>
            <w:tcBorders>
              <w:top w:val="single" w:sz="4" w:space="0" w:color="auto"/>
              <w:bottom w:val="single" w:sz="12" w:space="0" w:color="auto"/>
            </w:tcBorders>
            <w:shd w:val="clear" w:color="auto" w:fill="auto"/>
            <w:vAlign w:val="bottom"/>
            <w:hideMark/>
          </w:tcPr>
          <w:p w14:paraId="4DFD20B3" w14:textId="77777777" w:rsidR="00747B6F" w:rsidRPr="00B51884" w:rsidRDefault="00747B6F" w:rsidP="00B5188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B51884">
              <w:rPr>
                <w:b/>
                <w:sz w:val="18"/>
                <w:lang w:val="fr-CH"/>
              </w:rPr>
              <w:t>899</w:t>
            </w:r>
          </w:p>
        </w:tc>
      </w:tr>
    </w:tbl>
    <w:p w14:paraId="5741808C" w14:textId="77777777" w:rsidR="00747B6F" w:rsidRPr="001561A6" w:rsidRDefault="00747B6F" w:rsidP="00747B6F">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Bureau du Procureur général de l</w:t>
      </w:r>
      <w:r w:rsidR="009258E3">
        <w:rPr>
          <w:sz w:val="18"/>
          <w:szCs w:val="18"/>
        </w:rPr>
        <w:t>’</w:t>
      </w:r>
      <w:r w:rsidRPr="001561A6">
        <w:rPr>
          <w:sz w:val="18"/>
          <w:szCs w:val="18"/>
        </w:rPr>
        <w:t>État, données recueillies jusqu</w:t>
      </w:r>
      <w:r w:rsidR="009258E3">
        <w:rPr>
          <w:sz w:val="18"/>
          <w:szCs w:val="18"/>
        </w:rPr>
        <w:t>’</w:t>
      </w:r>
      <w:r w:rsidRPr="001561A6">
        <w:rPr>
          <w:sz w:val="18"/>
          <w:szCs w:val="18"/>
        </w:rPr>
        <w:t>à janvier 2019.</w:t>
      </w:r>
    </w:p>
    <w:p w14:paraId="06ED4D36" w14:textId="77777777" w:rsidR="00747B6F" w:rsidRPr="001561A6" w:rsidRDefault="00747B6F" w:rsidP="00747B6F">
      <w:pPr>
        <w:pStyle w:val="H23G"/>
      </w:pPr>
      <w:r w:rsidRPr="001561A6">
        <w:tab/>
      </w:r>
      <w:r w:rsidRPr="001561A6">
        <w:tab/>
        <w:t>Nombre de cas enregistrés, par infraction − 2018</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7"/>
        <w:gridCol w:w="4961"/>
        <w:gridCol w:w="712"/>
      </w:tblGrid>
      <w:tr w:rsidR="00747B6F" w:rsidRPr="003731A3" w14:paraId="5ABA872F" w14:textId="77777777" w:rsidTr="003731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1" w:type="pct"/>
            <w:tcBorders>
              <w:top w:val="single" w:sz="4" w:space="0" w:color="auto"/>
              <w:left w:val="none" w:sz="0" w:space="0" w:color="auto"/>
              <w:bottom w:val="single" w:sz="12" w:space="0" w:color="auto"/>
              <w:right w:val="none" w:sz="0" w:space="0" w:color="auto"/>
            </w:tcBorders>
            <w:shd w:val="clear" w:color="auto" w:fill="auto"/>
            <w:vAlign w:val="bottom"/>
            <w:hideMark/>
          </w:tcPr>
          <w:p w14:paraId="58B7CCA2" w14:textId="77777777" w:rsidR="00747B6F" w:rsidRPr="003731A3" w:rsidRDefault="00747B6F" w:rsidP="003731A3">
            <w:pPr>
              <w:suppressAutoHyphens w:val="0"/>
              <w:spacing w:before="80" w:after="80" w:line="200" w:lineRule="exact"/>
              <w:rPr>
                <w:b w:val="0"/>
                <w:i/>
                <w:color w:val="auto"/>
                <w:sz w:val="16"/>
                <w:lang w:val="fr-CH"/>
              </w:rPr>
            </w:pPr>
            <w:r w:rsidRPr="003731A3">
              <w:rPr>
                <w:b w:val="0"/>
                <w:i/>
                <w:color w:val="auto"/>
                <w:sz w:val="16"/>
                <w:lang w:val="fr-CH"/>
              </w:rPr>
              <w:t xml:space="preserve">Département </w:t>
            </w:r>
          </w:p>
        </w:tc>
        <w:tc>
          <w:tcPr>
            <w:tcW w:w="3366" w:type="pct"/>
            <w:tcBorders>
              <w:top w:val="single" w:sz="4" w:space="0" w:color="auto"/>
              <w:left w:val="none" w:sz="0" w:space="0" w:color="auto"/>
              <w:bottom w:val="single" w:sz="12" w:space="0" w:color="auto"/>
              <w:right w:val="none" w:sz="0" w:space="0" w:color="auto"/>
            </w:tcBorders>
            <w:shd w:val="clear" w:color="auto" w:fill="auto"/>
            <w:vAlign w:val="bottom"/>
            <w:hideMark/>
          </w:tcPr>
          <w:p w14:paraId="1E324FA6" w14:textId="77777777" w:rsidR="00747B6F" w:rsidRPr="003731A3" w:rsidRDefault="00747B6F" w:rsidP="000F5DF4">
            <w:pPr>
              <w:suppressAutoHyphens w:val="0"/>
              <w:spacing w:before="80" w:after="80" w:line="200" w:lineRule="exac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Infraction</w:t>
            </w:r>
          </w:p>
        </w:tc>
        <w:tc>
          <w:tcPr>
            <w:tcW w:w="483" w:type="pct"/>
            <w:tcBorders>
              <w:top w:val="single" w:sz="4" w:space="0" w:color="auto"/>
              <w:left w:val="none" w:sz="0" w:space="0" w:color="auto"/>
              <w:bottom w:val="single" w:sz="12" w:space="0" w:color="auto"/>
              <w:right w:val="none" w:sz="0" w:space="0" w:color="auto"/>
            </w:tcBorders>
            <w:shd w:val="clear" w:color="auto" w:fill="auto"/>
            <w:vAlign w:val="bottom"/>
            <w:hideMark/>
          </w:tcPr>
          <w:p w14:paraId="0B266342" w14:textId="77777777" w:rsidR="00747B6F" w:rsidRPr="003731A3" w:rsidRDefault="00747B6F"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Nombre</w:t>
            </w:r>
            <w:r w:rsidR="00E82F47" w:rsidRPr="003731A3">
              <w:rPr>
                <w:b w:val="0"/>
                <w:i/>
                <w:color w:val="auto"/>
                <w:sz w:val="16"/>
                <w:lang w:val="fr-CH"/>
              </w:rPr>
              <w:br/>
            </w:r>
            <w:r w:rsidRPr="003731A3">
              <w:rPr>
                <w:b w:val="0"/>
                <w:i/>
                <w:color w:val="auto"/>
                <w:sz w:val="16"/>
                <w:lang w:val="fr-CH"/>
              </w:rPr>
              <w:t xml:space="preserve">de </w:t>
            </w:r>
            <w:proofErr w:type="spellStart"/>
            <w:r w:rsidRPr="003731A3">
              <w:rPr>
                <w:b w:val="0"/>
                <w:i/>
                <w:color w:val="auto"/>
                <w:sz w:val="16"/>
                <w:lang w:val="fr-CH"/>
              </w:rPr>
              <w:t>kardex</w:t>
            </w:r>
            <w:proofErr w:type="spellEnd"/>
          </w:p>
        </w:tc>
      </w:tr>
      <w:tr w:rsidR="00747B6F" w:rsidRPr="003731A3" w14:paraId="4349C978"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34C7AC9F" w14:textId="77777777" w:rsidR="00747B6F" w:rsidRPr="003731A3" w:rsidRDefault="00747B6F" w:rsidP="003731A3">
            <w:pPr>
              <w:suppressAutoHyphens w:val="0"/>
              <w:spacing w:before="40" w:after="40" w:line="220" w:lineRule="exact"/>
              <w:rPr>
                <w:sz w:val="18"/>
                <w:lang w:val="fr-CH"/>
              </w:rPr>
            </w:pPr>
            <w:r w:rsidRPr="003731A3">
              <w:rPr>
                <w:sz w:val="18"/>
                <w:lang w:val="fr-CH"/>
              </w:rPr>
              <w:t>Beni</w:t>
            </w:r>
          </w:p>
        </w:tc>
        <w:tc>
          <w:tcPr>
            <w:tcW w:w="3366" w:type="pct"/>
            <w:shd w:val="clear" w:color="auto" w:fill="auto"/>
            <w:vAlign w:val="bottom"/>
            <w:hideMark/>
          </w:tcPr>
          <w:p w14:paraId="6B362255" w14:textId="77777777" w:rsidR="00747B6F" w:rsidRPr="003731A3" w:rsidRDefault="00747B6F" w:rsidP="000F5DF4">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Viol commis sur un nourrisson de sexe féminin, une enfant ou une adolescente</w:t>
            </w:r>
          </w:p>
        </w:tc>
        <w:tc>
          <w:tcPr>
            <w:tcW w:w="483" w:type="pct"/>
            <w:shd w:val="clear" w:color="auto" w:fill="auto"/>
            <w:vAlign w:val="bottom"/>
            <w:hideMark/>
          </w:tcPr>
          <w:p w14:paraId="16CFF72A"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21</w:t>
            </w:r>
          </w:p>
        </w:tc>
      </w:tr>
      <w:tr w:rsidR="00747B6F" w:rsidRPr="003731A3" w14:paraId="5EB04C22" w14:textId="77777777" w:rsidTr="003731A3">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00C2D7D1" w14:textId="77777777" w:rsidR="00747B6F" w:rsidRPr="003731A3" w:rsidRDefault="00747B6F" w:rsidP="003731A3">
            <w:pPr>
              <w:suppressAutoHyphens w:val="0"/>
              <w:spacing w:before="40" w:after="40" w:line="220" w:lineRule="exact"/>
              <w:rPr>
                <w:sz w:val="18"/>
                <w:lang w:val="fr-CH"/>
              </w:rPr>
            </w:pPr>
            <w:r w:rsidRPr="003731A3">
              <w:rPr>
                <w:sz w:val="18"/>
                <w:lang w:val="fr-CH"/>
              </w:rPr>
              <w:t>Chuquisaca</w:t>
            </w:r>
          </w:p>
        </w:tc>
        <w:tc>
          <w:tcPr>
            <w:tcW w:w="3366" w:type="pct"/>
            <w:shd w:val="clear" w:color="auto" w:fill="auto"/>
            <w:vAlign w:val="bottom"/>
            <w:hideMark/>
          </w:tcPr>
          <w:p w14:paraId="4DDE0A86" w14:textId="77777777" w:rsidR="00747B6F" w:rsidRPr="003731A3" w:rsidRDefault="00747B6F" w:rsidP="000F5DF4">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Corruption d</w:t>
            </w:r>
            <w:r w:rsidR="009258E3" w:rsidRPr="003731A3">
              <w:rPr>
                <w:sz w:val="18"/>
                <w:lang w:val="fr-CH"/>
              </w:rPr>
              <w:t>’</w:t>
            </w:r>
            <w:r w:rsidRPr="003731A3">
              <w:rPr>
                <w:sz w:val="18"/>
                <w:lang w:val="fr-CH"/>
              </w:rPr>
              <w:t>enfant ou d</w:t>
            </w:r>
            <w:r w:rsidR="009258E3" w:rsidRPr="003731A3">
              <w:rPr>
                <w:sz w:val="18"/>
                <w:lang w:val="fr-CH"/>
              </w:rPr>
              <w:t>’</w:t>
            </w:r>
            <w:r w:rsidRPr="003731A3">
              <w:rPr>
                <w:sz w:val="18"/>
                <w:lang w:val="fr-CH"/>
              </w:rPr>
              <w:t>adolescent(e)</w:t>
            </w:r>
          </w:p>
        </w:tc>
        <w:tc>
          <w:tcPr>
            <w:tcW w:w="483" w:type="pct"/>
            <w:shd w:val="clear" w:color="auto" w:fill="auto"/>
            <w:vAlign w:val="bottom"/>
            <w:hideMark/>
          </w:tcPr>
          <w:p w14:paraId="5A4686DA"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6</w:t>
            </w:r>
          </w:p>
        </w:tc>
      </w:tr>
      <w:tr w:rsidR="00747B6F" w:rsidRPr="003731A3" w14:paraId="3CD06CA9"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2C65A69E" w14:textId="77777777" w:rsidR="00747B6F" w:rsidRPr="003731A3" w:rsidRDefault="00747B6F" w:rsidP="003731A3">
            <w:pPr>
              <w:suppressAutoHyphens w:val="0"/>
              <w:spacing w:before="40" w:after="40" w:line="220" w:lineRule="exact"/>
              <w:rPr>
                <w:sz w:val="18"/>
                <w:lang w:val="fr-CH"/>
              </w:rPr>
            </w:pPr>
            <w:r w:rsidRPr="003731A3">
              <w:rPr>
                <w:sz w:val="18"/>
                <w:lang w:val="fr-CH"/>
              </w:rPr>
              <w:t>Chuquisaca</w:t>
            </w:r>
          </w:p>
        </w:tc>
        <w:tc>
          <w:tcPr>
            <w:tcW w:w="3366" w:type="pct"/>
            <w:shd w:val="clear" w:color="auto" w:fill="auto"/>
            <w:vAlign w:val="bottom"/>
            <w:hideMark/>
          </w:tcPr>
          <w:p w14:paraId="52B5D550" w14:textId="77777777" w:rsidR="00747B6F" w:rsidRPr="003731A3" w:rsidRDefault="00747B6F" w:rsidP="000F5DF4">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Viol commis sur un nourrisson, un(e) enfant ou un(e) adolescent(e)</w:t>
            </w:r>
          </w:p>
        </w:tc>
        <w:tc>
          <w:tcPr>
            <w:tcW w:w="483" w:type="pct"/>
            <w:shd w:val="clear" w:color="auto" w:fill="auto"/>
            <w:vAlign w:val="bottom"/>
            <w:hideMark/>
          </w:tcPr>
          <w:p w14:paraId="24C536B4"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87</w:t>
            </w:r>
          </w:p>
        </w:tc>
      </w:tr>
      <w:tr w:rsidR="00747B6F" w:rsidRPr="003731A3" w14:paraId="5C9C2B5B" w14:textId="77777777" w:rsidTr="003731A3">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22E55DFF" w14:textId="77777777" w:rsidR="00747B6F" w:rsidRPr="003731A3" w:rsidRDefault="00747B6F" w:rsidP="003731A3">
            <w:pPr>
              <w:suppressAutoHyphens w:val="0"/>
              <w:spacing w:before="40" w:after="40" w:line="220" w:lineRule="exact"/>
              <w:rPr>
                <w:sz w:val="18"/>
                <w:lang w:val="fr-CH"/>
              </w:rPr>
            </w:pPr>
            <w:r w:rsidRPr="003731A3">
              <w:rPr>
                <w:sz w:val="18"/>
                <w:lang w:val="fr-CH"/>
              </w:rPr>
              <w:t>Cochabamba</w:t>
            </w:r>
          </w:p>
        </w:tc>
        <w:tc>
          <w:tcPr>
            <w:tcW w:w="3366" w:type="pct"/>
            <w:shd w:val="clear" w:color="auto" w:fill="auto"/>
            <w:vAlign w:val="bottom"/>
            <w:hideMark/>
          </w:tcPr>
          <w:p w14:paraId="5453C7DE" w14:textId="77777777" w:rsidR="00747B6F" w:rsidRPr="003731A3" w:rsidRDefault="00747B6F" w:rsidP="000F5DF4">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Pornographie</w:t>
            </w:r>
          </w:p>
        </w:tc>
        <w:tc>
          <w:tcPr>
            <w:tcW w:w="483" w:type="pct"/>
            <w:shd w:val="clear" w:color="auto" w:fill="auto"/>
            <w:vAlign w:val="bottom"/>
            <w:hideMark/>
          </w:tcPr>
          <w:p w14:paraId="2D276D63"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w:t>
            </w:r>
          </w:p>
        </w:tc>
      </w:tr>
      <w:tr w:rsidR="00747B6F" w:rsidRPr="003731A3" w14:paraId="410C00F0"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6E382B55" w14:textId="77777777" w:rsidR="00747B6F" w:rsidRPr="003731A3" w:rsidRDefault="00747B6F" w:rsidP="003731A3">
            <w:pPr>
              <w:suppressAutoHyphens w:val="0"/>
              <w:spacing w:before="40" w:after="40" w:line="220" w:lineRule="exact"/>
              <w:rPr>
                <w:sz w:val="18"/>
                <w:lang w:val="fr-CH"/>
              </w:rPr>
            </w:pPr>
            <w:r w:rsidRPr="003731A3">
              <w:rPr>
                <w:sz w:val="18"/>
                <w:lang w:val="fr-CH"/>
              </w:rPr>
              <w:t>Cochabamba</w:t>
            </w:r>
          </w:p>
        </w:tc>
        <w:tc>
          <w:tcPr>
            <w:tcW w:w="3366" w:type="pct"/>
            <w:shd w:val="clear" w:color="auto" w:fill="auto"/>
            <w:vAlign w:val="bottom"/>
            <w:hideMark/>
          </w:tcPr>
          <w:p w14:paraId="7BE33D95" w14:textId="77777777" w:rsidR="00747B6F" w:rsidRPr="003731A3" w:rsidRDefault="00747B6F" w:rsidP="000F5DF4">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Viol commis sur un nourrisson de sexe féminin, une enfant ou une adolescente</w:t>
            </w:r>
          </w:p>
        </w:tc>
        <w:tc>
          <w:tcPr>
            <w:tcW w:w="483" w:type="pct"/>
            <w:shd w:val="clear" w:color="auto" w:fill="auto"/>
            <w:vAlign w:val="bottom"/>
            <w:hideMark/>
          </w:tcPr>
          <w:p w14:paraId="57BE77EF"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102</w:t>
            </w:r>
          </w:p>
        </w:tc>
      </w:tr>
      <w:tr w:rsidR="00747B6F" w:rsidRPr="003731A3" w14:paraId="6B646ECD" w14:textId="77777777" w:rsidTr="003731A3">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048CCD5C" w14:textId="77777777" w:rsidR="00747B6F" w:rsidRPr="003731A3" w:rsidRDefault="00747B6F" w:rsidP="003731A3">
            <w:pPr>
              <w:suppressAutoHyphens w:val="0"/>
              <w:spacing w:before="40" w:after="40" w:line="220" w:lineRule="exact"/>
              <w:rPr>
                <w:sz w:val="18"/>
                <w:lang w:val="fr-CH"/>
              </w:rPr>
            </w:pPr>
            <w:r w:rsidRPr="003731A3">
              <w:rPr>
                <w:sz w:val="18"/>
                <w:lang w:val="fr-CH"/>
              </w:rPr>
              <w:t>La Paz</w:t>
            </w:r>
          </w:p>
        </w:tc>
        <w:tc>
          <w:tcPr>
            <w:tcW w:w="3366" w:type="pct"/>
            <w:shd w:val="clear" w:color="auto" w:fill="auto"/>
            <w:vAlign w:val="bottom"/>
            <w:hideMark/>
          </w:tcPr>
          <w:p w14:paraId="28AEF18E" w14:textId="77777777" w:rsidR="00747B6F" w:rsidRPr="003731A3" w:rsidRDefault="00747B6F" w:rsidP="000F5DF4">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Viol commis sur un nourrisson de sexe féminin, une enfant ou une adolescente</w:t>
            </w:r>
          </w:p>
        </w:tc>
        <w:tc>
          <w:tcPr>
            <w:tcW w:w="483" w:type="pct"/>
            <w:shd w:val="clear" w:color="auto" w:fill="auto"/>
            <w:vAlign w:val="bottom"/>
            <w:hideMark/>
          </w:tcPr>
          <w:p w14:paraId="5A7591BA"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143</w:t>
            </w:r>
          </w:p>
        </w:tc>
      </w:tr>
      <w:tr w:rsidR="00747B6F" w:rsidRPr="003731A3" w14:paraId="4F0B36AE"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06FB8D56" w14:textId="77777777" w:rsidR="00747B6F" w:rsidRPr="003731A3" w:rsidRDefault="00747B6F" w:rsidP="003731A3">
            <w:pPr>
              <w:suppressAutoHyphens w:val="0"/>
              <w:spacing w:before="40" w:after="40" w:line="220" w:lineRule="exact"/>
              <w:rPr>
                <w:sz w:val="18"/>
                <w:lang w:val="fr-CH"/>
              </w:rPr>
            </w:pPr>
            <w:r w:rsidRPr="003731A3">
              <w:rPr>
                <w:sz w:val="18"/>
                <w:lang w:val="fr-CH"/>
              </w:rPr>
              <w:t>Oruro</w:t>
            </w:r>
          </w:p>
        </w:tc>
        <w:tc>
          <w:tcPr>
            <w:tcW w:w="3366" w:type="pct"/>
            <w:shd w:val="clear" w:color="auto" w:fill="auto"/>
            <w:vAlign w:val="bottom"/>
            <w:hideMark/>
          </w:tcPr>
          <w:p w14:paraId="7B69CE37" w14:textId="77777777" w:rsidR="00747B6F" w:rsidRPr="003731A3" w:rsidRDefault="00747B6F" w:rsidP="000F5DF4">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Viol commis sur un nourrisson de sexe féminin, une enfant ou une adolescente</w:t>
            </w:r>
          </w:p>
        </w:tc>
        <w:tc>
          <w:tcPr>
            <w:tcW w:w="483" w:type="pct"/>
            <w:shd w:val="clear" w:color="auto" w:fill="auto"/>
            <w:vAlign w:val="bottom"/>
            <w:hideMark/>
          </w:tcPr>
          <w:p w14:paraId="25191A1B"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40</w:t>
            </w:r>
          </w:p>
        </w:tc>
      </w:tr>
      <w:tr w:rsidR="00747B6F" w:rsidRPr="003731A3" w14:paraId="2C2B5CBC" w14:textId="77777777" w:rsidTr="003731A3">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7C3D85E0" w14:textId="77777777" w:rsidR="00747B6F" w:rsidRPr="003731A3" w:rsidRDefault="00747B6F" w:rsidP="003731A3">
            <w:pPr>
              <w:suppressAutoHyphens w:val="0"/>
              <w:spacing w:before="40" w:after="40" w:line="220" w:lineRule="exact"/>
              <w:rPr>
                <w:sz w:val="18"/>
                <w:lang w:val="fr-CH"/>
              </w:rPr>
            </w:pPr>
            <w:r w:rsidRPr="003731A3">
              <w:rPr>
                <w:sz w:val="18"/>
                <w:lang w:val="fr-CH"/>
              </w:rPr>
              <w:t>Pando</w:t>
            </w:r>
          </w:p>
        </w:tc>
        <w:tc>
          <w:tcPr>
            <w:tcW w:w="3366" w:type="pct"/>
            <w:shd w:val="clear" w:color="auto" w:fill="auto"/>
            <w:vAlign w:val="bottom"/>
            <w:hideMark/>
          </w:tcPr>
          <w:p w14:paraId="5F45EC51" w14:textId="77777777" w:rsidR="00747B6F" w:rsidRPr="003731A3" w:rsidRDefault="00747B6F" w:rsidP="000F5DF4">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Corruption d</w:t>
            </w:r>
            <w:r w:rsidR="009258E3" w:rsidRPr="003731A3">
              <w:rPr>
                <w:sz w:val="18"/>
                <w:lang w:val="fr-CH"/>
              </w:rPr>
              <w:t>’</w:t>
            </w:r>
            <w:r w:rsidRPr="003731A3">
              <w:rPr>
                <w:sz w:val="18"/>
                <w:lang w:val="fr-CH"/>
              </w:rPr>
              <w:t>enfant ou d</w:t>
            </w:r>
            <w:r w:rsidR="009258E3" w:rsidRPr="003731A3">
              <w:rPr>
                <w:sz w:val="18"/>
                <w:lang w:val="fr-CH"/>
              </w:rPr>
              <w:t>’</w:t>
            </w:r>
            <w:r w:rsidRPr="003731A3">
              <w:rPr>
                <w:sz w:val="18"/>
                <w:lang w:val="fr-CH"/>
              </w:rPr>
              <w:t>adolescent(e)</w:t>
            </w:r>
          </w:p>
        </w:tc>
        <w:tc>
          <w:tcPr>
            <w:tcW w:w="483" w:type="pct"/>
            <w:shd w:val="clear" w:color="auto" w:fill="auto"/>
            <w:vAlign w:val="bottom"/>
            <w:hideMark/>
          </w:tcPr>
          <w:p w14:paraId="1887C8B4"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2</w:t>
            </w:r>
          </w:p>
        </w:tc>
      </w:tr>
      <w:tr w:rsidR="00747B6F" w:rsidRPr="003731A3" w14:paraId="31923FB0"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16916CBE" w14:textId="77777777" w:rsidR="00747B6F" w:rsidRPr="003731A3" w:rsidRDefault="00747B6F" w:rsidP="003731A3">
            <w:pPr>
              <w:suppressAutoHyphens w:val="0"/>
              <w:spacing w:before="40" w:after="40" w:line="220" w:lineRule="exact"/>
              <w:rPr>
                <w:sz w:val="18"/>
                <w:lang w:val="fr-CH"/>
              </w:rPr>
            </w:pPr>
            <w:r w:rsidRPr="003731A3">
              <w:rPr>
                <w:sz w:val="18"/>
                <w:lang w:val="fr-CH"/>
              </w:rPr>
              <w:t>Pando</w:t>
            </w:r>
          </w:p>
        </w:tc>
        <w:tc>
          <w:tcPr>
            <w:tcW w:w="3366" w:type="pct"/>
            <w:shd w:val="clear" w:color="auto" w:fill="auto"/>
            <w:vAlign w:val="bottom"/>
            <w:hideMark/>
          </w:tcPr>
          <w:p w14:paraId="640583B2" w14:textId="77777777" w:rsidR="00747B6F" w:rsidRPr="003731A3" w:rsidRDefault="00747B6F" w:rsidP="000F5DF4">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Viol commis sur un nourrisson, un(e) enfant ou un(e) adolescent(e)</w:t>
            </w:r>
          </w:p>
        </w:tc>
        <w:tc>
          <w:tcPr>
            <w:tcW w:w="483" w:type="pct"/>
            <w:shd w:val="clear" w:color="auto" w:fill="auto"/>
            <w:vAlign w:val="bottom"/>
            <w:hideMark/>
          </w:tcPr>
          <w:p w14:paraId="429A393A"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15</w:t>
            </w:r>
          </w:p>
        </w:tc>
      </w:tr>
      <w:tr w:rsidR="00747B6F" w:rsidRPr="003731A3" w14:paraId="262EB4D1" w14:textId="77777777" w:rsidTr="003731A3">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52A1FFB4" w14:textId="77777777" w:rsidR="00747B6F" w:rsidRPr="003731A3" w:rsidRDefault="00747B6F" w:rsidP="003731A3">
            <w:pPr>
              <w:suppressAutoHyphens w:val="0"/>
              <w:spacing w:before="40" w:after="40" w:line="220" w:lineRule="exact"/>
              <w:rPr>
                <w:sz w:val="18"/>
                <w:lang w:val="fr-CH"/>
              </w:rPr>
            </w:pPr>
            <w:r w:rsidRPr="003731A3">
              <w:rPr>
                <w:sz w:val="18"/>
                <w:lang w:val="fr-CH"/>
              </w:rPr>
              <w:t>Potosí</w:t>
            </w:r>
          </w:p>
        </w:tc>
        <w:tc>
          <w:tcPr>
            <w:tcW w:w="3366" w:type="pct"/>
            <w:shd w:val="clear" w:color="auto" w:fill="auto"/>
            <w:vAlign w:val="bottom"/>
            <w:hideMark/>
          </w:tcPr>
          <w:p w14:paraId="2BDB8225" w14:textId="77777777" w:rsidR="00747B6F" w:rsidRPr="003731A3" w:rsidRDefault="00747B6F" w:rsidP="000F5DF4">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Corruption d</w:t>
            </w:r>
            <w:r w:rsidR="009258E3" w:rsidRPr="003731A3">
              <w:rPr>
                <w:sz w:val="18"/>
                <w:lang w:val="fr-CH"/>
              </w:rPr>
              <w:t>’</w:t>
            </w:r>
            <w:r w:rsidRPr="003731A3">
              <w:rPr>
                <w:sz w:val="18"/>
                <w:lang w:val="fr-CH"/>
              </w:rPr>
              <w:t>enfant ou d</w:t>
            </w:r>
            <w:r w:rsidR="009258E3" w:rsidRPr="003731A3">
              <w:rPr>
                <w:sz w:val="18"/>
                <w:lang w:val="fr-CH"/>
              </w:rPr>
              <w:t>’</w:t>
            </w:r>
            <w:r w:rsidRPr="003731A3">
              <w:rPr>
                <w:sz w:val="18"/>
                <w:lang w:val="fr-CH"/>
              </w:rPr>
              <w:t>adolescent(e)</w:t>
            </w:r>
          </w:p>
        </w:tc>
        <w:tc>
          <w:tcPr>
            <w:tcW w:w="483" w:type="pct"/>
            <w:shd w:val="clear" w:color="auto" w:fill="auto"/>
            <w:vAlign w:val="bottom"/>
            <w:hideMark/>
          </w:tcPr>
          <w:p w14:paraId="1F1C928C"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w:t>
            </w:r>
          </w:p>
        </w:tc>
      </w:tr>
      <w:tr w:rsidR="00747B6F" w:rsidRPr="003731A3" w14:paraId="26DBDC91"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68DB72FD" w14:textId="77777777" w:rsidR="00747B6F" w:rsidRPr="003731A3" w:rsidRDefault="00747B6F" w:rsidP="003731A3">
            <w:pPr>
              <w:suppressAutoHyphens w:val="0"/>
              <w:spacing w:before="40" w:after="40" w:line="220" w:lineRule="exact"/>
              <w:rPr>
                <w:sz w:val="18"/>
                <w:lang w:val="fr-CH"/>
              </w:rPr>
            </w:pPr>
            <w:r w:rsidRPr="003731A3">
              <w:rPr>
                <w:sz w:val="18"/>
                <w:lang w:val="fr-CH"/>
              </w:rPr>
              <w:t>Potosí</w:t>
            </w:r>
          </w:p>
        </w:tc>
        <w:tc>
          <w:tcPr>
            <w:tcW w:w="3366" w:type="pct"/>
            <w:shd w:val="clear" w:color="auto" w:fill="auto"/>
            <w:vAlign w:val="bottom"/>
            <w:hideMark/>
          </w:tcPr>
          <w:p w14:paraId="45D75589" w14:textId="77777777" w:rsidR="00747B6F" w:rsidRPr="003731A3" w:rsidRDefault="00747B6F" w:rsidP="000F5DF4">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Viol commis sur un nourrisson, un(e) enfant ou un(e) adolescent(e)</w:t>
            </w:r>
          </w:p>
        </w:tc>
        <w:tc>
          <w:tcPr>
            <w:tcW w:w="483" w:type="pct"/>
            <w:shd w:val="clear" w:color="auto" w:fill="auto"/>
            <w:vAlign w:val="bottom"/>
            <w:hideMark/>
          </w:tcPr>
          <w:p w14:paraId="70F94BBF"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52</w:t>
            </w:r>
          </w:p>
        </w:tc>
      </w:tr>
      <w:tr w:rsidR="00747B6F" w:rsidRPr="003731A3" w14:paraId="63CD1203" w14:textId="77777777" w:rsidTr="003731A3">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5BA97C05" w14:textId="77777777" w:rsidR="00747B6F" w:rsidRPr="003731A3" w:rsidRDefault="00747B6F" w:rsidP="003731A3">
            <w:pPr>
              <w:suppressAutoHyphens w:val="0"/>
              <w:spacing w:before="40" w:after="40" w:line="220" w:lineRule="exact"/>
              <w:rPr>
                <w:sz w:val="18"/>
                <w:lang w:val="fr-CH"/>
              </w:rPr>
            </w:pPr>
            <w:r w:rsidRPr="003731A3">
              <w:rPr>
                <w:sz w:val="18"/>
                <w:lang w:val="fr-CH"/>
              </w:rPr>
              <w:t>Santa Cruz</w:t>
            </w:r>
          </w:p>
        </w:tc>
        <w:tc>
          <w:tcPr>
            <w:tcW w:w="3366" w:type="pct"/>
            <w:shd w:val="clear" w:color="auto" w:fill="auto"/>
            <w:vAlign w:val="bottom"/>
            <w:hideMark/>
          </w:tcPr>
          <w:p w14:paraId="1007A163" w14:textId="77777777" w:rsidR="00747B6F" w:rsidRPr="003731A3" w:rsidRDefault="00747B6F" w:rsidP="000F5DF4">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Corruption d</w:t>
            </w:r>
            <w:r w:rsidR="009258E3" w:rsidRPr="003731A3">
              <w:rPr>
                <w:sz w:val="18"/>
                <w:lang w:val="fr-CH"/>
              </w:rPr>
              <w:t>’</w:t>
            </w:r>
            <w:r w:rsidRPr="003731A3">
              <w:rPr>
                <w:sz w:val="18"/>
                <w:lang w:val="fr-CH"/>
              </w:rPr>
              <w:t>enfant ou d</w:t>
            </w:r>
            <w:r w:rsidR="009258E3" w:rsidRPr="003731A3">
              <w:rPr>
                <w:sz w:val="18"/>
                <w:lang w:val="fr-CH"/>
              </w:rPr>
              <w:t>’</w:t>
            </w:r>
            <w:r w:rsidRPr="003731A3">
              <w:rPr>
                <w:sz w:val="18"/>
                <w:lang w:val="fr-CH"/>
              </w:rPr>
              <w:t>adolescent</w:t>
            </w:r>
          </w:p>
        </w:tc>
        <w:tc>
          <w:tcPr>
            <w:tcW w:w="483" w:type="pct"/>
            <w:shd w:val="clear" w:color="auto" w:fill="auto"/>
            <w:vAlign w:val="bottom"/>
            <w:hideMark/>
          </w:tcPr>
          <w:p w14:paraId="0FC71714"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3</w:t>
            </w:r>
          </w:p>
        </w:tc>
      </w:tr>
      <w:tr w:rsidR="00747B6F" w:rsidRPr="003731A3" w14:paraId="7BD3ECD8"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4D38DC53" w14:textId="77777777" w:rsidR="00747B6F" w:rsidRPr="003731A3" w:rsidRDefault="00747B6F" w:rsidP="003731A3">
            <w:pPr>
              <w:suppressAutoHyphens w:val="0"/>
              <w:spacing w:before="40" w:after="40" w:line="220" w:lineRule="exact"/>
              <w:rPr>
                <w:sz w:val="18"/>
                <w:lang w:val="fr-CH"/>
              </w:rPr>
            </w:pPr>
            <w:r w:rsidRPr="003731A3">
              <w:rPr>
                <w:sz w:val="18"/>
                <w:lang w:val="fr-CH"/>
              </w:rPr>
              <w:t>Santa Cruz</w:t>
            </w:r>
          </w:p>
        </w:tc>
        <w:tc>
          <w:tcPr>
            <w:tcW w:w="3366" w:type="pct"/>
            <w:shd w:val="clear" w:color="auto" w:fill="auto"/>
            <w:vAlign w:val="bottom"/>
            <w:hideMark/>
          </w:tcPr>
          <w:p w14:paraId="196930D3" w14:textId="77777777" w:rsidR="00747B6F" w:rsidRPr="003731A3" w:rsidRDefault="00747B6F" w:rsidP="000F5DF4">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Pornographie</w:t>
            </w:r>
          </w:p>
        </w:tc>
        <w:tc>
          <w:tcPr>
            <w:tcW w:w="483" w:type="pct"/>
            <w:shd w:val="clear" w:color="auto" w:fill="auto"/>
            <w:vAlign w:val="bottom"/>
            <w:hideMark/>
          </w:tcPr>
          <w:p w14:paraId="7382CBDE"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1</w:t>
            </w:r>
          </w:p>
        </w:tc>
      </w:tr>
      <w:tr w:rsidR="00747B6F" w:rsidRPr="003731A3" w14:paraId="599C4D6F" w14:textId="77777777" w:rsidTr="003731A3">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0C321B93" w14:textId="77777777" w:rsidR="00747B6F" w:rsidRPr="003731A3" w:rsidRDefault="00747B6F" w:rsidP="003731A3">
            <w:pPr>
              <w:suppressAutoHyphens w:val="0"/>
              <w:spacing w:before="40" w:after="40" w:line="220" w:lineRule="exact"/>
              <w:rPr>
                <w:sz w:val="18"/>
                <w:lang w:val="fr-CH"/>
              </w:rPr>
            </w:pPr>
            <w:r w:rsidRPr="003731A3">
              <w:rPr>
                <w:sz w:val="18"/>
                <w:lang w:val="fr-CH"/>
              </w:rPr>
              <w:t>Santa Cruz</w:t>
            </w:r>
          </w:p>
        </w:tc>
        <w:tc>
          <w:tcPr>
            <w:tcW w:w="3366" w:type="pct"/>
            <w:shd w:val="clear" w:color="auto" w:fill="auto"/>
            <w:vAlign w:val="bottom"/>
            <w:hideMark/>
          </w:tcPr>
          <w:p w14:paraId="795888AD" w14:textId="77777777" w:rsidR="00747B6F" w:rsidRPr="003731A3" w:rsidRDefault="00747B6F" w:rsidP="000F5DF4">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Viol commis sur un nourrisson, un(e) enfant ou un(e) adolescent(e)</w:t>
            </w:r>
          </w:p>
        </w:tc>
        <w:tc>
          <w:tcPr>
            <w:tcW w:w="483" w:type="pct"/>
            <w:shd w:val="clear" w:color="auto" w:fill="auto"/>
            <w:vAlign w:val="bottom"/>
            <w:hideMark/>
          </w:tcPr>
          <w:p w14:paraId="5480507A"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200</w:t>
            </w:r>
          </w:p>
        </w:tc>
      </w:tr>
      <w:tr w:rsidR="00747B6F" w:rsidRPr="003731A3" w14:paraId="3F59FB7C"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shd w:val="clear" w:color="auto" w:fill="auto"/>
            <w:hideMark/>
          </w:tcPr>
          <w:p w14:paraId="5C53717E" w14:textId="77777777" w:rsidR="00747B6F" w:rsidRPr="003731A3" w:rsidRDefault="00747B6F" w:rsidP="003731A3">
            <w:pPr>
              <w:suppressAutoHyphens w:val="0"/>
              <w:spacing w:before="40" w:after="40" w:line="220" w:lineRule="exact"/>
              <w:rPr>
                <w:sz w:val="18"/>
                <w:lang w:val="fr-CH"/>
              </w:rPr>
            </w:pPr>
            <w:r w:rsidRPr="003731A3">
              <w:rPr>
                <w:sz w:val="18"/>
                <w:lang w:val="fr-CH"/>
              </w:rPr>
              <w:t>Tarija</w:t>
            </w:r>
          </w:p>
        </w:tc>
        <w:tc>
          <w:tcPr>
            <w:tcW w:w="3366" w:type="pct"/>
            <w:shd w:val="clear" w:color="auto" w:fill="auto"/>
            <w:vAlign w:val="bottom"/>
            <w:hideMark/>
          </w:tcPr>
          <w:p w14:paraId="0835C445" w14:textId="77777777" w:rsidR="00747B6F" w:rsidRPr="003731A3" w:rsidRDefault="00747B6F" w:rsidP="000F5DF4">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Corruption d</w:t>
            </w:r>
            <w:r w:rsidR="009258E3" w:rsidRPr="003731A3">
              <w:rPr>
                <w:sz w:val="18"/>
                <w:lang w:val="fr-CH"/>
              </w:rPr>
              <w:t>’</w:t>
            </w:r>
            <w:r w:rsidRPr="003731A3">
              <w:rPr>
                <w:sz w:val="18"/>
                <w:lang w:val="fr-CH"/>
              </w:rPr>
              <w:t>enfant ou d</w:t>
            </w:r>
            <w:r w:rsidR="009258E3" w:rsidRPr="003731A3">
              <w:rPr>
                <w:sz w:val="18"/>
                <w:lang w:val="fr-CH"/>
              </w:rPr>
              <w:t>’</w:t>
            </w:r>
            <w:r w:rsidRPr="003731A3">
              <w:rPr>
                <w:sz w:val="18"/>
                <w:lang w:val="fr-CH"/>
              </w:rPr>
              <w:t>adolescent(e)</w:t>
            </w:r>
          </w:p>
        </w:tc>
        <w:tc>
          <w:tcPr>
            <w:tcW w:w="483" w:type="pct"/>
            <w:shd w:val="clear" w:color="auto" w:fill="auto"/>
            <w:vAlign w:val="bottom"/>
            <w:hideMark/>
          </w:tcPr>
          <w:p w14:paraId="11B74836" w14:textId="77777777" w:rsidR="00747B6F" w:rsidRPr="003731A3" w:rsidRDefault="00747B6F"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3731A3">
              <w:rPr>
                <w:sz w:val="18"/>
                <w:lang w:val="fr-CH"/>
              </w:rPr>
              <w:t>9</w:t>
            </w:r>
          </w:p>
        </w:tc>
      </w:tr>
      <w:tr w:rsidR="00747B6F" w:rsidRPr="003731A3" w14:paraId="1EF3867E" w14:textId="77777777" w:rsidTr="000F5DF4">
        <w:tc>
          <w:tcPr>
            <w:cnfStyle w:val="001000000000" w:firstRow="0" w:lastRow="0" w:firstColumn="1" w:lastColumn="0" w:oddVBand="0" w:evenVBand="0" w:oddHBand="0" w:evenHBand="0" w:firstRowFirstColumn="0" w:firstRowLastColumn="0" w:lastRowFirstColumn="0" w:lastRowLastColumn="0"/>
            <w:tcW w:w="1151" w:type="pct"/>
            <w:tcBorders>
              <w:bottom w:val="single" w:sz="4" w:space="0" w:color="auto"/>
            </w:tcBorders>
            <w:shd w:val="clear" w:color="auto" w:fill="auto"/>
            <w:hideMark/>
          </w:tcPr>
          <w:p w14:paraId="7A11A2E7" w14:textId="77777777" w:rsidR="00747B6F" w:rsidRPr="003731A3" w:rsidRDefault="00747B6F" w:rsidP="003731A3">
            <w:pPr>
              <w:suppressAutoHyphens w:val="0"/>
              <w:spacing w:before="40" w:after="40" w:line="220" w:lineRule="exact"/>
              <w:rPr>
                <w:sz w:val="18"/>
                <w:lang w:val="fr-CH"/>
              </w:rPr>
            </w:pPr>
            <w:r w:rsidRPr="003731A3">
              <w:rPr>
                <w:sz w:val="18"/>
                <w:lang w:val="fr-CH"/>
              </w:rPr>
              <w:t>T</w:t>
            </w:r>
            <w:r w:rsidR="00506908" w:rsidRPr="003731A3">
              <w:rPr>
                <w:sz w:val="18"/>
                <w:lang w:val="fr-CH"/>
              </w:rPr>
              <w:t>arija</w:t>
            </w:r>
          </w:p>
        </w:tc>
        <w:tc>
          <w:tcPr>
            <w:tcW w:w="3366" w:type="pct"/>
            <w:tcBorders>
              <w:bottom w:val="single" w:sz="4" w:space="0" w:color="auto"/>
            </w:tcBorders>
            <w:shd w:val="clear" w:color="auto" w:fill="auto"/>
            <w:vAlign w:val="bottom"/>
            <w:hideMark/>
          </w:tcPr>
          <w:p w14:paraId="11A3767A" w14:textId="77777777" w:rsidR="00747B6F" w:rsidRPr="003731A3" w:rsidRDefault="00747B6F" w:rsidP="000F5DF4">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Viol commis sur un nourrisson, un(e) enfant ou un(e) adolescent(e)</w:t>
            </w:r>
          </w:p>
        </w:tc>
        <w:tc>
          <w:tcPr>
            <w:tcW w:w="483" w:type="pct"/>
            <w:tcBorders>
              <w:bottom w:val="single" w:sz="4" w:space="0" w:color="auto"/>
            </w:tcBorders>
            <w:shd w:val="clear" w:color="auto" w:fill="auto"/>
            <w:vAlign w:val="bottom"/>
            <w:hideMark/>
          </w:tcPr>
          <w:p w14:paraId="4704D1DB" w14:textId="77777777" w:rsidR="00747B6F" w:rsidRPr="003731A3" w:rsidRDefault="00747B6F"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3731A3">
              <w:rPr>
                <w:sz w:val="18"/>
                <w:lang w:val="fr-CH"/>
              </w:rPr>
              <w:t>164</w:t>
            </w:r>
          </w:p>
        </w:tc>
      </w:tr>
      <w:tr w:rsidR="00747B6F" w:rsidRPr="000F5DF4" w14:paraId="07217287" w14:textId="77777777" w:rsidTr="000F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pct"/>
            <w:tcBorders>
              <w:top w:val="single" w:sz="4" w:space="0" w:color="auto"/>
              <w:bottom w:val="single" w:sz="12" w:space="0" w:color="auto"/>
            </w:tcBorders>
            <w:shd w:val="clear" w:color="auto" w:fill="auto"/>
          </w:tcPr>
          <w:p w14:paraId="7F7B51A2" w14:textId="77777777" w:rsidR="00747B6F" w:rsidRPr="000F5DF4" w:rsidRDefault="00747B6F" w:rsidP="000F5DF4">
            <w:pPr>
              <w:suppressAutoHyphens w:val="0"/>
              <w:spacing w:before="80" w:after="80" w:line="220" w:lineRule="exact"/>
              <w:ind w:left="283"/>
              <w:rPr>
                <w:bCs w:val="0"/>
                <w:sz w:val="18"/>
                <w:lang w:val="fr-CH"/>
              </w:rPr>
            </w:pPr>
            <w:r w:rsidRPr="000F5DF4">
              <w:rPr>
                <w:bCs w:val="0"/>
                <w:sz w:val="18"/>
                <w:lang w:val="fr-CH"/>
              </w:rPr>
              <w:t>Total</w:t>
            </w:r>
          </w:p>
        </w:tc>
        <w:tc>
          <w:tcPr>
            <w:tcW w:w="3366" w:type="pct"/>
            <w:tcBorders>
              <w:top w:val="single" w:sz="4" w:space="0" w:color="auto"/>
              <w:bottom w:val="single" w:sz="12" w:space="0" w:color="auto"/>
            </w:tcBorders>
            <w:shd w:val="clear" w:color="auto" w:fill="auto"/>
            <w:vAlign w:val="bottom"/>
            <w:hideMark/>
          </w:tcPr>
          <w:p w14:paraId="38F7A718" w14:textId="77777777" w:rsidR="00747B6F" w:rsidRPr="000F5DF4" w:rsidRDefault="00747B6F" w:rsidP="000F5DF4">
            <w:pPr>
              <w:suppressAutoHyphens w:val="0"/>
              <w:spacing w:before="80" w:after="80" w:line="220" w:lineRule="exact"/>
              <w:cnfStyle w:val="000000100000" w:firstRow="0" w:lastRow="0" w:firstColumn="0" w:lastColumn="0" w:oddVBand="0" w:evenVBand="0" w:oddHBand="1" w:evenHBand="0" w:firstRowFirstColumn="0" w:firstRowLastColumn="0" w:lastRowFirstColumn="0" w:lastRowLastColumn="0"/>
              <w:rPr>
                <w:b/>
                <w:sz w:val="18"/>
                <w:lang w:val="fr-CH"/>
              </w:rPr>
            </w:pPr>
          </w:p>
        </w:tc>
        <w:tc>
          <w:tcPr>
            <w:tcW w:w="483" w:type="pct"/>
            <w:tcBorders>
              <w:top w:val="single" w:sz="4" w:space="0" w:color="auto"/>
              <w:bottom w:val="single" w:sz="12" w:space="0" w:color="auto"/>
            </w:tcBorders>
            <w:shd w:val="clear" w:color="auto" w:fill="auto"/>
            <w:vAlign w:val="bottom"/>
            <w:hideMark/>
          </w:tcPr>
          <w:p w14:paraId="0FD20549" w14:textId="77777777" w:rsidR="00747B6F" w:rsidRPr="000F5DF4" w:rsidRDefault="00747B6F" w:rsidP="000F5DF4">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b/>
                <w:sz w:val="18"/>
                <w:lang w:val="fr-CH"/>
              </w:rPr>
            </w:pPr>
            <w:r w:rsidRPr="000F5DF4">
              <w:rPr>
                <w:b/>
                <w:sz w:val="18"/>
                <w:lang w:val="fr-CH"/>
              </w:rPr>
              <w:t>847</w:t>
            </w:r>
          </w:p>
        </w:tc>
      </w:tr>
    </w:tbl>
    <w:p w14:paraId="29335094" w14:textId="77777777" w:rsidR="00747B6F" w:rsidRPr="001561A6" w:rsidRDefault="00747B6F" w:rsidP="00747B6F">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Bureau du Procureur général de l</w:t>
      </w:r>
      <w:r w:rsidR="009258E3">
        <w:rPr>
          <w:sz w:val="18"/>
          <w:szCs w:val="18"/>
        </w:rPr>
        <w:t>’</w:t>
      </w:r>
      <w:r w:rsidRPr="001561A6">
        <w:rPr>
          <w:sz w:val="18"/>
          <w:szCs w:val="18"/>
        </w:rPr>
        <w:t>État, données recueillies jusqu</w:t>
      </w:r>
      <w:r w:rsidR="009258E3">
        <w:rPr>
          <w:sz w:val="18"/>
          <w:szCs w:val="18"/>
        </w:rPr>
        <w:t>’</w:t>
      </w:r>
      <w:r w:rsidRPr="001561A6">
        <w:rPr>
          <w:sz w:val="18"/>
          <w:szCs w:val="18"/>
        </w:rPr>
        <w:t>à janvier 2019.</w:t>
      </w:r>
    </w:p>
    <w:p w14:paraId="30A705B3" w14:textId="77777777" w:rsidR="00747B6F" w:rsidRPr="001561A6" w:rsidRDefault="00747B6F" w:rsidP="00747B6F">
      <w:pPr>
        <w:pStyle w:val="SingleTxtG"/>
      </w:pPr>
      <w:r w:rsidRPr="001561A6">
        <w:t>40.</w:t>
      </w:r>
      <w:r w:rsidRPr="001561A6">
        <w:tab/>
        <w:t>Comme indiqué aux paragraphes 138 à 167 du troisième rapport périodique, l</w:t>
      </w:r>
      <w:r w:rsidR="009258E3">
        <w:t>’</w:t>
      </w:r>
      <w:r w:rsidRPr="001561A6">
        <w:t>État bolivien a pris diverses mesures pour prévenir et éliminer la violence et les abus sexuels commis sur des enfants et des adolescents. À cet égard, le Ministère de la justice et de la transparence institutionnelle a mis au point les outils spécifiques suivants :</w:t>
      </w:r>
    </w:p>
    <w:p w14:paraId="129265E4" w14:textId="77777777" w:rsidR="00747B6F" w:rsidRPr="001561A6" w:rsidRDefault="00747B6F" w:rsidP="00747B6F">
      <w:pPr>
        <w:pStyle w:val="Bullet1G"/>
        <w:numPr>
          <w:ilvl w:val="0"/>
          <w:numId w:val="1"/>
        </w:numPr>
      </w:pPr>
      <w:r w:rsidRPr="001561A6">
        <w:t xml:space="preserve">Le </w:t>
      </w:r>
      <w:r w:rsidR="00506908" w:rsidRPr="001561A6">
        <w:t>P</w:t>
      </w:r>
      <w:r w:rsidRPr="001561A6">
        <w:t>rotocole pour la prévention et la répression de toutes les formes d</w:t>
      </w:r>
      <w:r w:rsidR="009258E3">
        <w:t>’</w:t>
      </w:r>
      <w:r w:rsidRPr="001561A6">
        <w:t>atteintes à l</w:t>
      </w:r>
      <w:r w:rsidR="009258E3">
        <w:t>’</w:t>
      </w:r>
      <w:r w:rsidRPr="001561A6">
        <w:t>intégrité sexuelle des enfants et des adolescents et la prise en charge des victimes</w:t>
      </w:r>
      <w:r w:rsidR="00506908" w:rsidRPr="001561A6">
        <w:t> ;</w:t>
      </w:r>
    </w:p>
    <w:p w14:paraId="155BA8B5" w14:textId="77777777" w:rsidR="00747B6F" w:rsidRPr="001561A6" w:rsidRDefault="00747B6F" w:rsidP="00747B6F">
      <w:pPr>
        <w:pStyle w:val="Bullet1G"/>
        <w:numPr>
          <w:ilvl w:val="0"/>
          <w:numId w:val="1"/>
        </w:numPr>
      </w:pPr>
      <w:r w:rsidRPr="001561A6">
        <w:tab/>
        <w:t>La feuille de route urgente pour la lutte contre les violences sexuelles commises sur des enfants et des adolescents</w:t>
      </w:r>
      <w:r w:rsidR="00506908" w:rsidRPr="001561A6">
        <w:t> ;</w:t>
      </w:r>
    </w:p>
    <w:p w14:paraId="7863E92A" w14:textId="77777777" w:rsidR="00747B6F" w:rsidRPr="001561A6" w:rsidRDefault="00747B6F" w:rsidP="00747B6F">
      <w:pPr>
        <w:pStyle w:val="Bullet1G"/>
        <w:numPr>
          <w:ilvl w:val="0"/>
          <w:numId w:val="1"/>
        </w:numPr>
      </w:pPr>
      <w:r w:rsidRPr="001561A6">
        <w:t>Données de référence sur les violences sexuelles commises sur des enfants et des adolescents dans les régions d</w:t>
      </w:r>
      <w:r w:rsidR="009258E3">
        <w:t>’</w:t>
      </w:r>
      <w:r w:rsidRPr="001561A6">
        <w:t>Altiplano, de Valle et d</w:t>
      </w:r>
      <w:r w:rsidR="009258E3">
        <w:t>’</w:t>
      </w:r>
      <w:r w:rsidRPr="001561A6">
        <w:t>Oriente</w:t>
      </w:r>
      <w:r w:rsidR="00506908" w:rsidRPr="001561A6">
        <w:t>.</w:t>
      </w:r>
    </w:p>
    <w:p w14:paraId="2BF4E00D" w14:textId="77777777" w:rsidR="00747B6F" w:rsidRPr="001561A6" w:rsidRDefault="00747B6F" w:rsidP="00747B6F">
      <w:pPr>
        <w:pStyle w:val="SingleTxtG"/>
      </w:pPr>
      <w:r w:rsidRPr="001561A6">
        <w:t>41.</w:t>
      </w:r>
      <w:r w:rsidRPr="001561A6">
        <w:tab/>
        <w:t>De même, le Ministère de la justice et de la transparence institutionnelle, qui dirige le Système plurinational intégré de l</w:t>
      </w:r>
      <w:r w:rsidR="009258E3">
        <w:t>’</w:t>
      </w:r>
      <w:r w:rsidRPr="001561A6">
        <w:t>enfance et de l</w:t>
      </w:r>
      <w:r w:rsidR="009258E3">
        <w:t>’</w:t>
      </w:r>
      <w:r w:rsidRPr="001561A6">
        <w:t>adolescence, a mis en œuvre le Plan plurinational pour l</w:t>
      </w:r>
      <w:r w:rsidR="009258E3">
        <w:t>’</w:t>
      </w:r>
      <w:r w:rsidRPr="001561A6">
        <w:t>enfance et l</w:t>
      </w:r>
      <w:r w:rsidR="009258E3">
        <w:t>’</w:t>
      </w:r>
      <w:r w:rsidRPr="001561A6">
        <w:t xml:space="preserve">adolescence, lui-même composé du </w:t>
      </w:r>
      <w:r w:rsidR="007C38DF" w:rsidRPr="001561A6">
        <w:t>P</w:t>
      </w:r>
      <w:r w:rsidRPr="001561A6">
        <w:t>rogramme intégré de lutte contre les violences sexuelles commises sur des enfants et des adolescents, qui a pour objectif de :</w:t>
      </w:r>
    </w:p>
    <w:p w14:paraId="6C442CDC" w14:textId="77777777" w:rsidR="00747B6F" w:rsidRPr="001561A6" w:rsidRDefault="00747B6F" w:rsidP="00747B6F">
      <w:pPr>
        <w:pStyle w:val="Bullet1G"/>
        <w:numPr>
          <w:ilvl w:val="0"/>
          <w:numId w:val="1"/>
        </w:numPr>
      </w:pPr>
      <w:r w:rsidRPr="001561A6">
        <w:t>Promouvoir la mise en œuvre de mesures, de procédures et d</w:t>
      </w:r>
      <w:r w:rsidR="009258E3">
        <w:t>’</w:t>
      </w:r>
      <w:r w:rsidRPr="001561A6">
        <w:t>outils de prévention, de protection et de prise en charge intégrée des enfants et des adolescents victimes de violences sexuelles</w:t>
      </w:r>
      <w:r w:rsidR="00EB22FF" w:rsidRPr="001561A6">
        <w:t> ;</w:t>
      </w:r>
    </w:p>
    <w:p w14:paraId="0E79E178" w14:textId="77777777" w:rsidR="00747B6F" w:rsidRPr="001561A6" w:rsidRDefault="00747B6F" w:rsidP="00747B6F">
      <w:pPr>
        <w:pStyle w:val="Bullet1G"/>
        <w:numPr>
          <w:ilvl w:val="0"/>
          <w:numId w:val="1"/>
        </w:numPr>
      </w:pPr>
      <w:r w:rsidRPr="001561A6">
        <w:tab/>
        <w:t>Renforcer la spécialisation des professionnels travaillant dans ce domaine</w:t>
      </w:r>
      <w:r w:rsidR="00EB22FF" w:rsidRPr="001561A6">
        <w:t> ;</w:t>
      </w:r>
    </w:p>
    <w:p w14:paraId="74CB81A5" w14:textId="77777777" w:rsidR="00747B6F" w:rsidRPr="001561A6" w:rsidRDefault="00747B6F" w:rsidP="00747B6F">
      <w:pPr>
        <w:pStyle w:val="Bullet1G"/>
        <w:numPr>
          <w:ilvl w:val="0"/>
          <w:numId w:val="1"/>
        </w:numPr>
      </w:pPr>
      <w:r w:rsidRPr="001561A6">
        <w:tab/>
        <w:t>Produire des informations officielles actualisées sur les violences sexuelles commises sur des enfants et des adolescents</w:t>
      </w:r>
      <w:r w:rsidR="00EB22FF" w:rsidRPr="001561A6">
        <w:t> ;</w:t>
      </w:r>
    </w:p>
    <w:p w14:paraId="3E399AF7" w14:textId="77777777" w:rsidR="00747B6F" w:rsidRPr="001561A6" w:rsidRDefault="00747B6F" w:rsidP="00747B6F">
      <w:pPr>
        <w:pStyle w:val="Bullet1G"/>
        <w:numPr>
          <w:ilvl w:val="0"/>
          <w:numId w:val="1"/>
        </w:numPr>
      </w:pPr>
      <w:r w:rsidRPr="001561A6">
        <w:tab/>
        <w:t>Concevoir et mettre en œuvre un système national d</w:t>
      </w:r>
      <w:r w:rsidR="009258E3">
        <w:t>’</w:t>
      </w:r>
      <w:r w:rsidRPr="001561A6">
        <w:t>enregistrement et de surveillance des personnes ayant fait l</w:t>
      </w:r>
      <w:r w:rsidR="009258E3">
        <w:t>’</w:t>
      </w:r>
      <w:r w:rsidRPr="001561A6">
        <w:t>objet d</w:t>
      </w:r>
      <w:r w:rsidR="009258E3">
        <w:t>’</w:t>
      </w:r>
      <w:r w:rsidRPr="001561A6">
        <w:t>un jugement condamnatoire exécutoire pour avoir commis une infraction portant atteinte à la liberté sexuelle des enfants et des adolescents, par mesure de sécurité.</w:t>
      </w:r>
    </w:p>
    <w:p w14:paraId="42FAD1AB" w14:textId="77777777" w:rsidR="00747B6F" w:rsidRPr="001561A6" w:rsidRDefault="00747B6F" w:rsidP="00747B6F">
      <w:pPr>
        <w:pStyle w:val="SingleTxtG"/>
      </w:pPr>
      <w:r w:rsidRPr="001561A6">
        <w:t>42.</w:t>
      </w:r>
      <w:r w:rsidRPr="001561A6">
        <w:tab/>
        <w:t xml:space="preserve">À cette fin, la mise en œuvre du </w:t>
      </w:r>
      <w:r w:rsidR="00EB22FF" w:rsidRPr="001561A6">
        <w:t>p</w:t>
      </w:r>
      <w:r w:rsidRPr="001561A6">
        <w:t>rogramme intégré susmentionné a fait l</w:t>
      </w:r>
      <w:r w:rsidR="009258E3">
        <w:t>’</w:t>
      </w:r>
      <w:r w:rsidRPr="001561A6">
        <w:t>objet d</w:t>
      </w:r>
      <w:r w:rsidR="009258E3">
        <w:t>’</w:t>
      </w:r>
      <w:r w:rsidRPr="001561A6">
        <w:t>un suivi, selon lequel les résultats suivants ont été atteints aux niveaux départemental et municipal :</w:t>
      </w:r>
    </w:p>
    <w:p w14:paraId="2B4A6217" w14:textId="77777777" w:rsidR="00747B6F" w:rsidRPr="001561A6" w:rsidRDefault="00747B6F" w:rsidP="00747B6F">
      <w:pPr>
        <w:pStyle w:val="Bullet1G"/>
        <w:numPr>
          <w:ilvl w:val="0"/>
          <w:numId w:val="1"/>
        </w:numPr>
      </w:pPr>
      <w:r w:rsidRPr="001561A6">
        <w:tab/>
        <w:t>Prise en charge de 232 enfants et adolescents, femmes et personnes âgées victimes de violences sexuelles dans le Département autonome de Potosí</w:t>
      </w:r>
      <w:r w:rsidR="002E35E3" w:rsidRPr="001561A6">
        <w:t> ;</w:t>
      </w:r>
    </w:p>
    <w:p w14:paraId="5FA1E572" w14:textId="77777777" w:rsidR="00747B6F" w:rsidRPr="001561A6" w:rsidRDefault="00747B6F" w:rsidP="00747B6F">
      <w:pPr>
        <w:pStyle w:val="Bullet1G"/>
        <w:numPr>
          <w:ilvl w:val="0"/>
          <w:numId w:val="1"/>
        </w:numPr>
      </w:pPr>
      <w:r w:rsidRPr="001561A6">
        <w:tab/>
        <w:t>Prise en charge de 229 enfants et adolescents victimes de violences sexuelles de quelque nature que ce soit et prise en charge thérapeutique de 123 personnes dans le Département autonome de La Paz</w:t>
      </w:r>
      <w:r w:rsidR="002E35E3" w:rsidRPr="001561A6">
        <w:t> ;</w:t>
      </w:r>
    </w:p>
    <w:p w14:paraId="60EC1F21" w14:textId="77777777" w:rsidR="00747B6F" w:rsidRPr="001561A6" w:rsidRDefault="00747B6F" w:rsidP="00747B6F">
      <w:pPr>
        <w:pStyle w:val="Bullet1G"/>
        <w:numPr>
          <w:ilvl w:val="0"/>
          <w:numId w:val="1"/>
        </w:numPr>
      </w:pPr>
      <w:r w:rsidRPr="001561A6">
        <w:tab/>
        <w:t>Prise en charge de plus de 792 enfants et adolescents victimes de violences sexuelles de quelque nature que ce soit dans le Département autonome de Tarija</w:t>
      </w:r>
      <w:r w:rsidR="002E35E3" w:rsidRPr="001561A6">
        <w:t> ;</w:t>
      </w:r>
    </w:p>
    <w:p w14:paraId="5D731139" w14:textId="77777777" w:rsidR="00747B6F" w:rsidRPr="001561A6" w:rsidRDefault="00747B6F" w:rsidP="00747B6F">
      <w:pPr>
        <w:pStyle w:val="Bullet1G"/>
        <w:numPr>
          <w:ilvl w:val="0"/>
          <w:numId w:val="1"/>
        </w:numPr>
      </w:pPr>
      <w:r w:rsidRPr="001561A6">
        <w:tab/>
        <w:t>Prise en charge thérapeutique de 52 patients, 14 affaires enregistrées, 18 affaires classées, 17 affaires en suspens. De la même façon, en 2019, plus de 792 enfants et adolescents victimes de violences sexuelles de quelque nature que ce soit ont été pris en charge dans le Département autonome de Beni</w:t>
      </w:r>
      <w:r w:rsidR="002E35E3" w:rsidRPr="001561A6">
        <w:t> ;</w:t>
      </w:r>
    </w:p>
    <w:p w14:paraId="2268A88D" w14:textId="77777777" w:rsidR="00747B6F" w:rsidRPr="001561A6" w:rsidRDefault="00747B6F" w:rsidP="00747B6F">
      <w:pPr>
        <w:pStyle w:val="Bullet1G"/>
        <w:numPr>
          <w:ilvl w:val="0"/>
          <w:numId w:val="1"/>
        </w:numPr>
      </w:pPr>
      <w:r w:rsidRPr="001561A6">
        <w:t>Prise en charge de plus de 24 enfants et adolescents victimes de violences sexuelles de quelque nature que ce soit dans le Département autonome de Pando</w:t>
      </w:r>
      <w:r w:rsidR="002E35E3" w:rsidRPr="001561A6">
        <w:t> ;</w:t>
      </w:r>
    </w:p>
    <w:p w14:paraId="2416F1D5" w14:textId="77777777" w:rsidR="00747B6F" w:rsidRPr="001561A6" w:rsidRDefault="00747B6F" w:rsidP="00747B6F">
      <w:pPr>
        <w:pStyle w:val="Bullet1G"/>
        <w:numPr>
          <w:ilvl w:val="0"/>
          <w:numId w:val="1"/>
        </w:numPr>
      </w:pPr>
      <w:r w:rsidRPr="001561A6">
        <w:tab/>
        <w:t>Prise en charge de 1 258 enfants et adolescents victimes de violences sexuelles de quelque nature que ce soit dans le Département autonome de Santa Cruz</w:t>
      </w:r>
      <w:r w:rsidR="002E35E3" w:rsidRPr="001561A6">
        <w:t> ;</w:t>
      </w:r>
    </w:p>
    <w:p w14:paraId="1F482C3B" w14:textId="77777777" w:rsidR="00747B6F" w:rsidRPr="001561A6" w:rsidRDefault="00747B6F" w:rsidP="00747B6F">
      <w:pPr>
        <w:pStyle w:val="Bullet1G"/>
        <w:numPr>
          <w:ilvl w:val="0"/>
          <w:numId w:val="1"/>
        </w:numPr>
      </w:pPr>
      <w:r w:rsidRPr="001561A6">
        <w:tab/>
        <w:t>Prises en charge des victimes et conclusion d</w:t>
      </w:r>
      <w:r w:rsidR="009258E3">
        <w:t>’</w:t>
      </w:r>
      <w:r w:rsidRPr="001561A6">
        <w:t>accords de coopération interinstitutionnelle</w:t>
      </w:r>
      <w:r w:rsidRPr="001561A6">
        <w:rPr>
          <w:rStyle w:val="Appelnotedebasdep"/>
        </w:rPr>
        <w:footnoteReference w:id="17"/>
      </w:r>
      <w:r w:rsidRPr="001561A6">
        <w:t xml:space="preserve"> permettant de renforcer les mesures de prévention dans les établissements scolaires de la </w:t>
      </w:r>
      <w:r w:rsidR="002E35E3" w:rsidRPr="001561A6">
        <w:t>m</w:t>
      </w:r>
      <w:r w:rsidRPr="001561A6">
        <w:t>unicipalité d</w:t>
      </w:r>
      <w:r w:rsidR="00DE3CE5">
        <w:t xml:space="preserve">e </w:t>
      </w:r>
      <w:r w:rsidRPr="001561A6">
        <w:t>El Alto</w:t>
      </w:r>
      <w:r w:rsidR="00646E3D" w:rsidRPr="001561A6">
        <w:t> ;</w:t>
      </w:r>
    </w:p>
    <w:p w14:paraId="2ED5A196" w14:textId="77777777" w:rsidR="00747B6F" w:rsidRPr="001561A6" w:rsidRDefault="00747B6F" w:rsidP="00747B6F">
      <w:pPr>
        <w:pStyle w:val="Bullet1G"/>
        <w:numPr>
          <w:ilvl w:val="0"/>
          <w:numId w:val="1"/>
        </w:numPr>
      </w:pPr>
      <w:r w:rsidRPr="001561A6">
        <w:tab/>
        <w:t xml:space="preserve">Prise en charge de 150 enfants et adolescents victimes de violences sexuelles dans la </w:t>
      </w:r>
      <w:r w:rsidR="00646E3D" w:rsidRPr="001561A6">
        <w:t>m</w:t>
      </w:r>
      <w:r w:rsidRPr="001561A6">
        <w:t>unicipalité de Trinidad</w:t>
      </w:r>
      <w:r w:rsidR="00646E3D" w:rsidRPr="001561A6">
        <w:t> ;</w:t>
      </w:r>
    </w:p>
    <w:p w14:paraId="54A4BC47" w14:textId="77777777" w:rsidR="00747B6F" w:rsidRPr="001561A6" w:rsidRDefault="00747B6F" w:rsidP="00747B6F">
      <w:pPr>
        <w:pStyle w:val="Bullet1G"/>
        <w:numPr>
          <w:ilvl w:val="0"/>
          <w:numId w:val="1"/>
        </w:numPr>
      </w:pPr>
      <w:r w:rsidRPr="001561A6">
        <w:t xml:space="preserve">426 881 </w:t>
      </w:r>
      <w:r w:rsidR="00646E3D" w:rsidRPr="001561A6">
        <w:t>p</w:t>
      </w:r>
      <w:r w:rsidRPr="001561A6">
        <w:t>rise</w:t>
      </w:r>
      <w:r w:rsidR="00646E3D" w:rsidRPr="001561A6">
        <w:t>s</w:t>
      </w:r>
      <w:r w:rsidRPr="001561A6">
        <w:t xml:space="preserve"> en charge d</w:t>
      </w:r>
      <w:r w:rsidR="009258E3">
        <w:t>’</w:t>
      </w:r>
      <w:r w:rsidRPr="001561A6">
        <w:t>enfants et d</w:t>
      </w:r>
      <w:r w:rsidR="009258E3">
        <w:t>’</w:t>
      </w:r>
      <w:r w:rsidRPr="001561A6">
        <w:t xml:space="preserve">adolescents victimes de violences sexuelles dans la </w:t>
      </w:r>
      <w:r w:rsidR="00646E3D" w:rsidRPr="001561A6">
        <w:t>m</w:t>
      </w:r>
      <w:r w:rsidRPr="001561A6">
        <w:t>unicipalité de Santa Cruz</w:t>
      </w:r>
      <w:r w:rsidR="00646E3D" w:rsidRPr="001561A6">
        <w:t> ;</w:t>
      </w:r>
    </w:p>
    <w:p w14:paraId="4ED7BFE4" w14:textId="77777777" w:rsidR="00747B6F" w:rsidRPr="001561A6" w:rsidRDefault="00747B6F" w:rsidP="00747B6F">
      <w:pPr>
        <w:pStyle w:val="Bullet1G"/>
        <w:numPr>
          <w:ilvl w:val="0"/>
          <w:numId w:val="1"/>
        </w:numPr>
      </w:pPr>
      <w:r w:rsidRPr="001561A6">
        <w:t>5 613 adolescents formés à la prévention de la violence à l</w:t>
      </w:r>
      <w:r w:rsidR="009258E3">
        <w:t>’</w:t>
      </w:r>
      <w:r w:rsidRPr="001561A6">
        <w:t xml:space="preserve">égard des femmes et des violences sexuelles dans la </w:t>
      </w:r>
      <w:r w:rsidR="00646E3D" w:rsidRPr="001561A6">
        <w:t>m</w:t>
      </w:r>
      <w:r w:rsidRPr="001561A6">
        <w:t>unicipalité de La Paz.</w:t>
      </w:r>
    </w:p>
    <w:p w14:paraId="45E96E56" w14:textId="77777777" w:rsidR="00747B6F" w:rsidRPr="001561A6" w:rsidRDefault="00747B6F" w:rsidP="00747B6F">
      <w:pPr>
        <w:pStyle w:val="SingleTxtG"/>
      </w:pPr>
      <w:r w:rsidRPr="001561A6">
        <w:t>43.</w:t>
      </w:r>
      <w:r w:rsidRPr="001561A6">
        <w:tab/>
        <w:t xml:space="preserve">En outre, les parquets départementaux en lien avec les </w:t>
      </w:r>
      <w:r w:rsidR="00646E3D" w:rsidRPr="001561A6">
        <w:t>s</w:t>
      </w:r>
      <w:r w:rsidRPr="001561A6">
        <w:t>ervices de protection des victimes et des témoins sont composés d</w:t>
      </w:r>
      <w:r w:rsidR="009258E3">
        <w:t>’</w:t>
      </w:r>
      <w:r w:rsidRPr="001561A6">
        <w:t>équipes multidisciplinaires permettant une prise en charge immédiate, rapide et spécialisée</w:t>
      </w:r>
      <w:r w:rsidRPr="001561A6">
        <w:rPr>
          <w:rStyle w:val="Appelnotedebasdep"/>
        </w:rPr>
        <w:footnoteReference w:id="18"/>
      </w:r>
      <w:r w:rsidRPr="001561A6">
        <w:t>.</w:t>
      </w:r>
    </w:p>
    <w:p w14:paraId="273AB149" w14:textId="77777777" w:rsidR="0074345D" w:rsidRPr="001561A6" w:rsidRDefault="0074345D" w:rsidP="0074345D">
      <w:pPr>
        <w:pStyle w:val="H23G"/>
      </w:pPr>
      <w:r w:rsidRPr="001561A6">
        <w:tab/>
      </w:r>
      <w:r w:rsidRPr="001561A6">
        <w:tab/>
        <w:t>Réponse à la question posée au paragraphe 7 de la liste de points</w:t>
      </w:r>
    </w:p>
    <w:p w14:paraId="11B00168" w14:textId="77777777" w:rsidR="0074345D" w:rsidRPr="001561A6" w:rsidRDefault="0074345D" w:rsidP="0074345D">
      <w:pPr>
        <w:pStyle w:val="H4G"/>
      </w:pPr>
      <w:r w:rsidRPr="001561A6">
        <w:tab/>
      </w:r>
      <w:r w:rsidRPr="001561A6">
        <w:tab/>
        <w:t>Traite et trafic illicite des personnes</w:t>
      </w:r>
    </w:p>
    <w:p w14:paraId="2832BBFD" w14:textId="77777777" w:rsidR="00D45607" w:rsidRPr="001561A6" w:rsidRDefault="0074345D" w:rsidP="0074345D">
      <w:pPr>
        <w:pStyle w:val="SingleTxtG"/>
      </w:pPr>
      <w:r w:rsidRPr="001561A6">
        <w:t>44.</w:t>
      </w:r>
      <w:r w:rsidRPr="001561A6">
        <w:tab/>
        <w:t>L</w:t>
      </w:r>
      <w:r w:rsidR="009258E3">
        <w:t>’</w:t>
      </w:r>
      <w:r w:rsidRPr="001561A6">
        <w:t>État, par l</w:t>
      </w:r>
      <w:r w:rsidR="009258E3">
        <w:t>’</w:t>
      </w:r>
      <w:r w:rsidRPr="001561A6">
        <w:t>intermédiaire du système JL1 du Bureau du Procureur général de l</w:t>
      </w:r>
      <w:r w:rsidR="009258E3">
        <w:t>’</w:t>
      </w:r>
      <w:r w:rsidRPr="001561A6">
        <w:t>État, s</w:t>
      </w:r>
      <w:r w:rsidR="009258E3">
        <w:t>’</w:t>
      </w:r>
      <w:r w:rsidRPr="001561A6">
        <w:t>est doté d</w:t>
      </w:r>
      <w:r w:rsidR="009258E3">
        <w:t>’</w:t>
      </w:r>
      <w:r w:rsidRPr="001561A6">
        <w:t>un registre dans lequel ont été consignées 3 325 plaintes, dont on trouvera le détail ci-dessous.</w:t>
      </w:r>
    </w:p>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827"/>
        <w:gridCol w:w="853"/>
        <w:gridCol w:w="756"/>
        <w:gridCol w:w="783"/>
        <w:gridCol w:w="771"/>
        <w:gridCol w:w="769"/>
        <w:gridCol w:w="768"/>
      </w:tblGrid>
      <w:tr w:rsidR="001F0E9B" w:rsidRPr="003731A3" w14:paraId="08E454C7" w14:textId="77777777" w:rsidTr="003731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none" w:sz="0" w:space="0" w:color="auto"/>
              <w:bottom w:val="single" w:sz="12" w:space="0" w:color="auto"/>
              <w:right w:val="none" w:sz="0" w:space="0" w:color="auto"/>
            </w:tcBorders>
            <w:shd w:val="clear" w:color="auto" w:fill="auto"/>
            <w:vAlign w:val="bottom"/>
            <w:hideMark/>
          </w:tcPr>
          <w:p w14:paraId="3D629E25" w14:textId="77777777" w:rsidR="0074345D" w:rsidRPr="003731A3" w:rsidRDefault="0074345D" w:rsidP="003731A3">
            <w:pPr>
              <w:suppressAutoHyphens w:val="0"/>
              <w:spacing w:before="80" w:after="80" w:line="200" w:lineRule="exact"/>
              <w:rPr>
                <w:b w:val="0"/>
                <w:i/>
                <w:color w:val="auto"/>
                <w:sz w:val="16"/>
                <w:lang w:val="fr-CH"/>
              </w:rPr>
            </w:pPr>
            <w:r w:rsidRPr="003731A3">
              <w:rPr>
                <w:b w:val="0"/>
                <w:i/>
                <w:color w:val="auto"/>
                <w:sz w:val="16"/>
                <w:lang w:val="fr-CH"/>
              </w:rPr>
              <w:t>Département</w:t>
            </w:r>
          </w:p>
        </w:tc>
        <w:tc>
          <w:tcPr>
            <w:tcW w:w="561" w:type="pct"/>
            <w:tcBorders>
              <w:top w:val="single" w:sz="4" w:space="0" w:color="auto"/>
              <w:left w:val="none" w:sz="0" w:space="0" w:color="auto"/>
              <w:bottom w:val="single" w:sz="12" w:space="0" w:color="auto"/>
              <w:right w:val="none" w:sz="0" w:space="0" w:color="auto"/>
            </w:tcBorders>
            <w:shd w:val="clear" w:color="auto" w:fill="auto"/>
            <w:vAlign w:val="bottom"/>
            <w:hideMark/>
          </w:tcPr>
          <w:p w14:paraId="0B59C4FD" w14:textId="77777777" w:rsidR="0074345D" w:rsidRPr="003731A3" w:rsidRDefault="0074345D"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2014</w:t>
            </w:r>
          </w:p>
        </w:tc>
        <w:tc>
          <w:tcPr>
            <w:tcW w:w="579" w:type="pct"/>
            <w:tcBorders>
              <w:top w:val="single" w:sz="4" w:space="0" w:color="auto"/>
              <w:left w:val="none" w:sz="0" w:space="0" w:color="auto"/>
              <w:bottom w:val="single" w:sz="12" w:space="0" w:color="auto"/>
              <w:right w:val="none" w:sz="0" w:space="0" w:color="auto"/>
            </w:tcBorders>
            <w:shd w:val="clear" w:color="auto" w:fill="auto"/>
            <w:vAlign w:val="bottom"/>
            <w:hideMark/>
          </w:tcPr>
          <w:p w14:paraId="0DE6E5B2" w14:textId="77777777" w:rsidR="0074345D" w:rsidRPr="003731A3" w:rsidRDefault="0074345D"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2015</w:t>
            </w:r>
          </w:p>
        </w:tc>
        <w:tc>
          <w:tcPr>
            <w:tcW w:w="513" w:type="pct"/>
            <w:tcBorders>
              <w:top w:val="single" w:sz="4" w:space="0" w:color="auto"/>
              <w:left w:val="none" w:sz="0" w:space="0" w:color="auto"/>
              <w:bottom w:val="single" w:sz="12" w:space="0" w:color="auto"/>
              <w:right w:val="none" w:sz="0" w:space="0" w:color="auto"/>
            </w:tcBorders>
            <w:shd w:val="clear" w:color="auto" w:fill="auto"/>
            <w:vAlign w:val="bottom"/>
            <w:hideMark/>
          </w:tcPr>
          <w:p w14:paraId="6E069196" w14:textId="77777777" w:rsidR="0074345D" w:rsidRPr="003731A3" w:rsidRDefault="0074345D"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2016</w:t>
            </w:r>
          </w:p>
        </w:tc>
        <w:tc>
          <w:tcPr>
            <w:tcW w:w="531" w:type="pct"/>
            <w:tcBorders>
              <w:top w:val="single" w:sz="4" w:space="0" w:color="auto"/>
              <w:left w:val="none" w:sz="0" w:space="0" w:color="auto"/>
              <w:bottom w:val="single" w:sz="12" w:space="0" w:color="auto"/>
              <w:right w:val="none" w:sz="0" w:space="0" w:color="auto"/>
            </w:tcBorders>
            <w:shd w:val="clear" w:color="auto" w:fill="auto"/>
            <w:vAlign w:val="bottom"/>
            <w:hideMark/>
          </w:tcPr>
          <w:p w14:paraId="0D0C22FA" w14:textId="77777777" w:rsidR="0074345D" w:rsidRPr="003731A3" w:rsidRDefault="0074345D"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2017</w:t>
            </w:r>
          </w:p>
        </w:tc>
        <w:tc>
          <w:tcPr>
            <w:tcW w:w="523" w:type="pct"/>
            <w:tcBorders>
              <w:top w:val="single" w:sz="4" w:space="0" w:color="auto"/>
              <w:left w:val="none" w:sz="0" w:space="0" w:color="auto"/>
              <w:bottom w:val="single" w:sz="12" w:space="0" w:color="auto"/>
              <w:right w:val="none" w:sz="0" w:space="0" w:color="auto"/>
            </w:tcBorders>
            <w:shd w:val="clear" w:color="auto" w:fill="auto"/>
            <w:vAlign w:val="bottom"/>
            <w:hideMark/>
          </w:tcPr>
          <w:p w14:paraId="25A6917C" w14:textId="77777777" w:rsidR="0074345D" w:rsidRPr="003731A3" w:rsidRDefault="0074345D"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2018</w:t>
            </w:r>
          </w:p>
        </w:tc>
        <w:tc>
          <w:tcPr>
            <w:tcW w:w="522" w:type="pct"/>
            <w:tcBorders>
              <w:top w:val="single" w:sz="4" w:space="0" w:color="auto"/>
              <w:left w:val="none" w:sz="0" w:space="0" w:color="auto"/>
              <w:bottom w:val="single" w:sz="12" w:space="0" w:color="auto"/>
              <w:right w:val="none" w:sz="0" w:space="0" w:color="auto"/>
            </w:tcBorders>
            <w:shd w:val="clear" w:color="auto" w:fill="auto"/>
            <w:vAlign w:val="bottom"/>
            <w:hideMark/>
          </w:tcPr>
          <w:p w14:paraId="02281286" w14:textId="77777777" w:rsidR="0074345D" w:rsidRPr="003731A3" w:rsidRDefault="0074345D"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2019</w:t>
            </w:r>
          </w:p>
        </w:tc>
        <w:tc>
          <w:tcPr>
            <w:tcW w:w="521" w:type="pct"/>
            <w:tcBorders>
              <w:top w:val="single" w:sz="4" w:space="0" w:color="auto"/>
              <w:left w:val="none" w:sz="0" w:space="0" w:color="auto"/>
              <w:bottom w:val="single" w:sz="12" w:space="0" w:color="auto"/>
              <w:right w:val="none" w:sz="0" w:space="0" w:color="auto"/>
            </w:tcBorders>
            <w:shd w:val="clear" w:color="auto" w:fill="auto"/>
            <w:vAlign w:val="bottom"/>
            <w:hideMark/>
          </w:tcPr>
          <w:p w14:paraId="565B554D" w14:textId="77777777" w:rsidR="0074345D" w:rsidRPr="003731A3" w:rsidRDefault="0074345D" w:rsidP="003731A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3731A3">
              <w:rPr>
                <w:b w:val="0"/>
                <w:i/>
                <w:color w:val="auto"/>
                <w:sz w:val="16"/>
                <w:lang w:val="fr-CH"/>
              </w:rPr>
              <w:t xml:space="preserve">Total </w:t>
            </w:r>
            <w:r w:rsidRPr="003731A3">
              <w:rPr>
                <w:b w:val="0"/>
                <w:i/>
                <w:color w:val="auto"/>
                <w:sz w:val="16"/>
                <w:lang w:val="fr-CH"/>
              </w:rPr>
              <w:br/>
              <w:t>g</w:t>
            </w:r>
            <w:r w:rsidR="00381A66" w:rsidRPr="003731A3">
              <w:rPr>
                <w:b w:val="0"/>
                <w:i/>
                <w:color w:val="auto"/>
                <w:sz w:val="16"/>
                <w:lang w:val="fr-CH"/>
              </w:rPr>
              <w:t>énér</w:t>
            </w:r>
            <w:r w:rsidRPr="003731A3">
              <w:rPr>
                <w:b w:val="0"/>
                <w:i/>
                <w:color w:val="auto"/>
                <w:sz w:val="16"/>
                <w:lang w:val="fr-CH"/>
              </w:rPr>
              <w:t xml:space="preserve">al </w:t>
            </w:r>
          </w:p>
        </w:tc>
      </w:tr>
      <w:tr w:rsidR="00595364" w:rsidRPr="003731A3" w14:paraId="714235ED"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12" w:space="0" w:color="auto"/>
              <w:left w:val="none" w:sz="0" w:space="0" w:color="auto"/>
            </w:tcBorders>
            <w:shd w:val="clear" w:color="auto" w:fill="auto"/>
          </w:tcPr>
          <w:p w14:paraId="3A950CB1"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Beni</w:t>
            </w:r>
          </w:p>
        </w:tc>
        <w:tc>
          <w:tcPr>
            <w:tcW w:w="561" w:type="pct"/>
            <w:tcBorders>
              <w:top w:val="single" w:sz="12" w:space="0" w:color="auto"/>
            </w:tcBorders>
            <w:shd w:val="clear" w:color="auto" w:fill="auto"/>
            <w:vAlign w:val="bottom"/>
          </w:tcPr>
          <w:p w14:paraId="0314B73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10</w:t>
            </w:r>
          </w:p>
        </w:tc>
        <w:tc>
          <w:tcPr>
            <w:tcW w:w="579" w:type="pct"/>
            <w:tcBorders>
              <w:top w:val="single" w:sz="12" w:space="0" w:color="auto"/>
            </w:tcBorders>
            <w:shd w:val="clear" w:color="auto" w:fill="auto"/>
            <w:vAlign w:val="bottom"/>
          </w:tcPr>
          <w:p w14:paraId="4CC4CB4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18</w:t>
            </w:r>
          </w:p>
        </w:tc>
        <w:tc>
          <w:tcPr>
            <w:tcW w:w="513" w:type="pct"/>
            <w:tcBorders>
              <w:top w:val="single" w:sz="12" w:space="0" w:color="auto"/>
            </w:tcBorders>
            <w:shd w:val="clear" w:color="auto" w:fill="auto"/>
            <w:vAlign w:val="bottom"/>
          </w:tcPr>
          <w:p w14:paraId="34B78C5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15</w:t>
            </w:r>
          </w:p>
        </w:tc>
        <w:tc>
          <w:tcPr>
            <w:tcW w:w="531" w:type="pct"/>
            <w:tcBorders>
              <w:top w:val="single" w:sz="12" w:space="0" w:color="auto"/>
            </w:tcBorders>
            <w:shd w:val="clear" w:color="auto" w:fill="auto"/>
            <w:vAlign w:val="bottom"/>
          </w:tcPr>
          <w:p w14:paraId="009071E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23</w:t>
            </w:r>
          </w:p>
        </w:tc>
        <w:tc>
          <w:tcPr>
            <w:tcW w:w="523" w:type="pct"/>
            <w:tcBorders>
              <w:top w:val="single" w:sz="12" w:space="0" w:color="auto"/>
            </w:tcBorders>
            <w:shd w:val="clear" w:color="auto" w:fill="auto"/>
            <w:vAlign w:val="bottom"/>
          </w:tcPr>
          <w:p w14:paraId="406F560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35</w:t>
            </w:r>
          </w:p>
        </w:tc>
        <w:tc>
          <w:tcPr>
            <w:tcW w:w="522" w:type="pct"/>
            <w:tcBorders>
              <w:top w:val="single" w:sz="12" w:space="0" w:color="auto"/>
            </w:tcBorders>
            <w:shd w:val="clear" w:color="auto" w:fill="auto"/>
            <w:vAlign w:val="bottom"/>
          </w:tcPr>
          <w:p w14:paraId="0A444EF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22</w:t>
            </w:r>
          </w:p>
        </w:tc>
        <w:tc>
          <w:tcPr>
            <w:tcW w:w="521" w:type="pct"/>
            <w:tcBorders>
              <w:top w:val="single" w:sz="12" w:space="0" w:color="auto"/>
            </w:tcBorders>
            <w:shd w:val="clear" w:color="auto" w:fill="auto"/>
            <w:vAlign w:val="bottom"/>
          </w:tcPr>
          <w:p w14:paraId="7995574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123</w:t>
            </w:r>
          </w:p>
        </w:tc>
      </w:tr>
      <w:tr w:rsidR="00595364" w:rsidRPr="003731A3" w14:paraId="1B9A298E"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41BBE1C"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cours</w:t>
            </w:r>
          </w:p>
        </w:tc>
        <w:tc>
          <w:tcPr>
            <w:tcW w:w="561" w:type="pct"/>
            <w:shd w:val="clear" w:color="auto" w:fill="auto"/>
            <w:vAlign w:val="bottom"/>
            <w:hideMark/>
          </w:tcPr>
          <w:p w14:paraId="0758F92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hideMark/>
          </w:tcPr>
          <w:p w14:paraId="7B5A79B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tcPr>
          <w:p w14:paraId="58FB948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p>
        </w:tc>
        <w:tc>
          <w:tcPr>
            <w:tcW w:w="531" w:type="pct"/>
            <w:shd w:val="clear" w:color="auto" w:fill="auto"/>
            <w:vAlign w:val="bottom"/>
            <w:hideMark/>
          </w:tcPr>
          <w:p w14:paraId="467DEA6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23" w:type="pct"/>
            <w:shd w:val="clear" w:color="auto" w:fill="auto"/>
            <w:vAlign w:val="bottom"/>
            <w:hideMark/>
          </w:tcPr>
          <w:p w14:paraId="6796C98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8</w:t>
            </w:r>
          </w:p>
        </w:tc>
        <w:tc>
          <w:tcPr>
            <w:tcW w:w="522" w:type="pct"/>
            <w:shd w:val="clear" w:color="auto" w:fill="auto"/>
            <w:vAlign w:val="bottom"/>
            <w:hideMark/>
          </w:tcPr>
          <w:p w14:paraId="1EBD7AB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15</w:t>
            </w:r>
          </w:p>
        </w:tc>
        <w:tc>
          <w:tcPr>
            <w:tcW w:w="521" w:type="pct"/>
            <w:shd w:val="clear" w:color="auto" w:fill="auto"/>
            <w:vAlign w:val="bottom"/>
            <w:hideMark/>
          </w:tcPr>
          <w:p w14:paraId="661A577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29</w:t>
            </w:r>
          </w:p>
        </w:tc>
      </w:tr>
      <w:tr w:rsidR="00595364" w:rsidRPr="003731A3" w14:paraId="38148923"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438DE58"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Procédure abrégée</w:t>
            </w:r>
          </w:p>
        </w:tc>
        <w:tc>
          <w:tcPr>
            <w:tcW w:w="561" w:type="pct"/>
            <w:shd w:val="clear" w:color="auto" w:fill="auto"/>
            <w:vAlign w:val="bottom"/>
          </w:tcPr>
          <w:p w14:paraId="14B67A7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3784C5F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7BAAE73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hideMark/>
          </w:tcPr>
          <w:p w14:paraId="6676524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hideMark/>
          </w:tcPr>
          <w:p w14:paraId="643F20F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tcPr>
          <w:p w14:paraId="64E0A64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1956F57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2AE0EABB"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6DDDD8F"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Clôture (autre)</w:t>
            </w:r>
          </w:p>
        </w:tc>
        <w:tc>
          <w:tcPr>
            <w:tcW w:w="561" w:type="pct"/>
            <w:shd w:val="clear" w:color="auto" w:fill="auto"/>
            <w:vAlign w:val="bottom"/>
            <w:hideMark/>
          </w:tcPr>
          <w:p w14:paraId="0889624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79" w:type="pct"/>
            <w:shd w:val="clear" w:color="auto" w:fill="auto"/>
            <w:vAlign w:val="bottom"/>
          </w:tcPr>
          <w:p w14:paraId="198B575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11A37F6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485A51A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4BFA597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5E470B1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66822C0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7CF065AA"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199D304"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w:t>
            </w:r>
            <w:r w:rsidR="00595364" w:rsidRPr="003731A3">
              <w:rPr>
                <w:rFonts w:eastAsia="SimSun"/>
                <w:color w:val="auto"/>
                <w:sz w:val="18"/>
                <w:lang w:val="fr-CH"/>
              </w:rPr>
              <w:t>ondamnation</w:t>
            </w:r>
          </w:p>
        </w:tc>
        <w:tc>
          <w:tcPr>
            <w:tcW w:w="561" w:type="pct"/>
            <w:shd w:val="clear" w:color="auto" w:fill="auto"/>
            <w:vAlign w:val="bottom"/>
            <w:hideMark/>
          </w:tcPr>
          <w:p w14:paraId="5540F41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hideMark/>
          </w:tcPr>
          <w:p w14:paraId="37E082E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tcPr>
          <w:p w14:paraId="3B099C8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7AC68FA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2E81E4B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4831163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1E2E9AA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23AF6C18"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2D7918E7"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Exception d</w:t>
            </w:r>
            <w:r w:rsidR="009258E3" w:rsidRPr="003731A3">
              <w:rPr>
                <w:rFonts w:eastAsia="SimSun"/>
                <w:color w:val="auto"/>
                <w:sz w:val="18"/>
                <w:lang w:val="fr-CH"/>
              </w:rPr>
              <w:t>’</w:t>
            </w:r>
            <w:r w:rsidRPr="003731A3">
              <w:rPr>
                <w:rFonts w:eastAsia="SimSun"/>
                <w:color w:val="auto"/>
                <w:sz w:val="18"/>
                <w:lang w:val="fr-CH"/>
              </w:rPr>
              <w:t>incompétence</w:t>
            </w:r>
          </w:p>
        </w:tc>
        <w:tc>
          <w:tcPr>
            <w:tcW w:w="561" w:type="pct"/>
            <w:shd w:val="clear" w:color="auto" w:fill="auto"/>
            <w:vAlign w:val="bottom"/>
          </w:tcPr>
          <w:p w14:paraId="19BD305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09F4F61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1592955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33773C0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tcPr>
          <w:p w14:paraId="0046150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1BA1BAD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268A536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746621A9"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BD292FD"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Désistement</w:t>
            </w:r>
          </w:p>
        </w:tc>
        <w:tc>
          <w:tcPr>
            <w:tcW w:w="561" w:type="pct"/>
            <w:shd w:val="clear" w:color="auto" w:fill="auto"/>
            <w:vAlign w:val="bottom"/>
          </w:tcPr>
          <w:p w14:paraId="785DA53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3B97F66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4FD411D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15BDA28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3" w:type="pct"/>
            <w:shd w:val="clear" w:color="auto" w:fill="auto"/>
            <w:vAlign w:val="bottom"/>
          </w:tcPr>
          <w:p w14:paraId="2710CFB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4AFD5B9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74AEE3C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23A37B8A"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D2649B5"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Rejet</w:t>
            </w:r>
          </w:p>
        </w:tc>
        <w:tc>
          <w:tcPr>
            <w:tcW w:w="561" w:type="pct"/>
            <w:shd w:val="clear" w:color="auto" w:fill="auto"/>
            <w:vAlign w:val="bottom"/>
            <w:hideMark/>
          </w:tcPr>
          <w:p w14:paraId="10E65B3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w:t>
            </w:r>
          </w:p>
        </w:tc>
        <w:tc>
          <w:tcPr>
            <w:tcW w:w="579" w:type="pct"/>
            <w:shd w:val="clear" w:color="auto" w:fill="auto"/>
            <w:vAlign w:val="bottom"/>
            <w:hideMark/>
          </w:tcPr>
          <w:p w14:paraId="70469BE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13</w:t>
            </w:r>
          </w:p>
        </w:tc>
        <w:tc>
          <w:tcPr>
            <w:tcW w:w="513" w:type="pct"/>
            <w:shd w:val="clear" w:color="auto" w:fill="auto"/>
            <w:vAlign w:val="bottom"/>
            <w:hideMark/>
          </w:tcPr>
          <w:p w14:paraId="5FD8EDD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13</w:t>
            </w:r>
          </w:p>
        </w:tc>
        <w:tc>
          <w:tcPr>
            <w:tcW w:w="531" w:type="pct"/>
            <w:shd w:val="clear" w:color="auto" w:fill="auto"/>
            <w:vAlign w:val="bottom"/>
            <w:hideMark/>
          </w:tcPr>
          <w:p w14:paraId="202894F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11</w:t>
            </w:r>
          </w:p>
        </w:tc>
        <w:tc>
          <w:tcPr>
            <w:tcW w:w="523" w:type="pct"/>
            <w:shd w:val="clear" w:color="auto" w:fill="auto"/>
            <w:vAlign w:val="bottom"/>
            <w:hideMark/>
          </w:tcPr>
          <w:p w14:paraId="4FE69A7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24</w:t>
            </w:r>
          </w:p>
        </w:tc>
        <w:tc>
          <w:tcPr>
            <w:tcW w:w="522" w:type="pct"/>
            <w:shd w:val="clear" w:color="auto" w:fill="auto"/>
            <w:vAlign w:val="bottom"/>
            <w:hideMark/>
          </w:tcPr>
          <w:p w14:paraId="5CC1D5C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7</w:t>
            </w:r>
          </w:p>
        </w:tc>
        <w:tc>
          <w:tcPr>
            <w:tcW w:w="521" w:type="pct"/>
            <w:shd w:val="clear" w:color="auto" w:fill="auto"/>
            <w:vAlign w:val="bottom"/>
            <w:hideMark/>
          </w:tcPr>
          <w:p w14:paraId="1332EC6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74</w:t>
            </w:r>
          </w:p>
        </w:tc>
      </w:tr>
      <w:tr w:rsidR="00595364" w:rsidRPr="003731A3" w14:paraId="6834DB77"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51C73459"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Remise de peine</w:t>
            </w:r>
          </w:p>
        </w:tc>
        <w:tc>
          <w:tcPr>
            <w:tcW w:w="561" w:type="pct"/>
            <w:shd w:val="clear" w:color="auto" w:fill="auto"/>
            <w:vAlign w:val="bottom"/>
          </w:tcPr>
          <w:p w14:paraId="623024A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6BFB113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19CFDF5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56B8ED2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tcPr>
          <w:p w14:paraId="0F6E6FA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1ABEDB0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26E632B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417E7671"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ED45286" w14:textId="77777777" w:rsidR="00595364" w:rsidRPr="003731A3" w:rsidRDefault="00E90973" w:rsidP="003731A3">
            <w:pPr>
              <w:suppressAutoHyphens w:val="0"/>
              <w:spacing w:before="40" w:after="40" w:line="220" w:lineRule="exact"/>
              <w:rPr>
                <w:rFonts w:eastAsia="SimSun"/>
                <w:bCs w:val="0"/>
                <w:color w:val="auto"/>
                <w:sz w:val="18"/>
                <w:lang w:val="fr-CH"/>
              </w:rPr>
            </w:pPr>
            <w:r w:rsidRPr="003731A3">
              <w:rPr>
                <w:rFonts w:eastAsia="SimSun"/>
                <w:bCs w:val="0"/>
                <w:color w:val="auto"/>
                <w:sz w:val="18"/>
                <w:lang w:val="fr-CH"/>
              </w:rPr>
              <w:t>Non-lieu</w:t>
            </w:r>
          </w:p>
        </w:tc>
        <w:tc>
          <w:tcPr>
            <w:tcW w:w="561" w:type="pct"/>
            <w:shd w:val="clear" w:color="auto" w:fill="auto"/>
            <w:vAlign w:val="bottom"/>
          </w:tcPr>
          <w:p w14:paraId="426EC6E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2ED17F2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hideMark/>
          </w:tcPr>
          <w:p w14:paraId="3608094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hideMark/>
          </w:tcPr>
          <w:p w14:paraId="6D59E52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23" w:type="pct"/>
            <w:shd w:val="clear" w:color="auto" w:fill="auto"/>
            <w:vAlign w:val="bottom"/>
            <w:hideMark/>
          </w:tcPr>
          <w:p w14:paraId="2CB7FD2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22" w:type="pct"/>
            <w:shd w:val="clear" w:color="auto" w:fill="auto"/>
            <w:vAlign w:val="bottom"/>
          </w:tcPr>
          <w:p w14:paraId="2976A23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473B1AC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7</w:t>
            </w:r>
          </w:p>
        </w:tc>
      </w:tr>
      <w:tr w:rsidR="00595364" w:rsidRPr="003731A3" w14:paraId="1E84AB50"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2B92B175"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 xml:space="preserve">Chuquisaca </w:t>
            </w:r>
          </w:p>
        </w:tc>
        <w:tc>
          <w:tcPr>
            <w:tcW w:w="561" w:type="pct"/>
            <w:shd w:val="clear" w:color="auto" w:fill="auto"/>
            <w:vAlign w:val="bottom"/>
            <w:hideMark/>
          </w:tcPr>
          <w:p w14:paraId="35AE984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24</w:t>
            </w:r>
          </w:p>
        </w:tc>
        <w:tc>
          <w:tcPr>
            <w:tcW w:w="579" w:type="pct"/>
            <w:shd w:val="clear" w:color="auto" w:fill="auto"/>
            <w:vAlign w:val="bottom"/>
            <w:hideMark/>
          </w:tcPr>
          <w:p w14:paraId="06143C7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16</w:t>
            </w:r>
          </w:p>
        </w:tc>
        <w:tc>
          <w:tcPr>
            <w:tcW w:w="513" w:type="pct"/>
            <w:shd w:val="clear" w:color="auto" w:fill="auto"/>
            <w:vAlign w:val="bottom"/>
            <w:hideMark/>
          </w:tcPr>
          <w:p w14:paraId="5160CAA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7</w:t>
            </w:r>
          </w:p>
        </w:tc>
        <w:tc>
          <w:tcPr>
            <w:tcW w:w="531" w:type="pct"/>
            <w:shd w:val="clear" w:color="auto" w:fill="auto"/>
            <w:vAlign w:val="bottom"/>
            <w:hideMark/>
          </w:tcPr>
          <w:p w14:paraId="094AE9D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8</w:t>
            </w:r>
          </w:p>
        </w:tc>
        <w:tc>
          <w:tcPr>
            <w:tcW w:w="523" w:type="pct"/>
            <w:shd w:val="clear" w:color="auto" w:fill="auto"/>
            <w:vAlign w:val="bottom"/>
            <w:hideMark/>
          </w:tcPr>
          <w:p w14:paraId="19FABFE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10</w:t>
            </w:r>
          </w:p>
        </w:tc>
        <w:tc>
          <w:tcPr>
            <w:tcW w:w="522" w:type="pct"/>
            <w:shd w:val="clear" w:color="auto" w:fill="auto"/>
            <w:vAlign w:val="bottom"/>
            <w:hideMark/>
          </w:tcPr>
          <w:p w14:paraId="43A06A4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8</w:t>
            </w:r>
          </w:p>
        </w:tc>
        <w:tc>
          <w:tcPr>
            <w:tcW w:w="521" w:type="pct"/>
            <w:shd w:val="clear" w:color="auto" w:fill="auto"/>
            <w:vAlign w:val="bottom"/>
            <w:hideMark/>
          </w:tcPr>
          <w:p w14:paraId="7C1A784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33</w:t>
            </w:r>
          </w:p>
        </w:tc>
      </w:tr>
      <w:tr w:rsidR="00595364" w:rsidRPr="003731A3" w14:paraId="1011AE2C"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2ACD109"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cours</w:t>
            </w:r>
          </w:p>
        </w:tc>
        <w:tc>
          <w:tcPr>
            <w:tcW w:w="561" w:type="pct"/>
            <w:shd w:val="clear" w:color="auto" w:fill="auto"/>
            <w:vAlign w:val="bottom"/>
            <w:hideMark/>
          </w:tcPr>
          <w:p w14:paraId="1ADC303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79" w:type="pct"/>
            <w:shd w:val="clear" w:color="auto" w:fill="auto"/>
            <w:vAlign w:val="bottom"/>
            <w:hideMark/>
          </w:tcPr>
          <w:p w14:paraId="0C32A80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hideMark/>
          </w:tcPr>
          <w:p w14:paraId="0E655D5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hideMark/>
          </w:tcPr>
          <w:p w14:paraId="61BB17B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hideMark/>
          </w:tcPr>
          <w:p w14:paraId="618AA9E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22" w:type="pct"/>
            <w:shd w:val="clear" w:color="auto" w:fill="auto"/>
            <w:vAlign w:val="bottom"/>
            <w:hideMark/>
          </w:tcPr>
          <w:p w14:paraId="1FA46FD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w:t>
            </w:r>
          </w:p>
        </w:tc>
        <w:tc>
          <w:tcPr>
            <w:tcW w:w="521" w:type="pct"/>
            <w:shd w:val="clear" w:color="auto" w:fill="auto"/>
            <w:vAlign w:val="bottom"/>
            <w:hideMark/>
          </w:tcPr>
          <w:p w14:paraId="02624C3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13</w:t>
            </w:r>
          </w:p>
        </w:tc>
      </w:tr>
      <w:tr w:rsidR="00595364" w:rsidRPr="003731A3" w14:paraId="5D26059F"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1539493"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Procédure a</w:t>
            </w:r>
            <w:r w:rsidR="00595364" w:rsidRPr="003731A3">
              <w:rPr>
                <w:rFonts w:eastAsia="SimSun"/>
                <w:color w:val="auto"/>
                <w:sz w:val="18"/>
                <w:lang w:val="fr-CH"/>
              </w:rPr>
              <w:t>brégé</w:t>
            </w:r>
            <w:r w:rsidRPr="003731A3">
              <w:rPr>
                <w:rFonts w:eastAsia="SimSun"/>
                <w:color w:val="auto"/>
                <w:sz w:val="18"/>
                <w:lang w:val="fr-CH"/>
              </w:rPr>
              <w:t>e</w:t>
            </w:r>
          </w:p>
        </w:tc>
        <w:tc>
          <w:tcPr>
            <w:tcW w:w="561" w:type="pct"/>
            <w:shd w:val="clear" w:color="auto" w:fill="auto"/>
            <w:vAlign w:val="bottom"/>
          </w:tcPr>
          <w:p w14:paraId="4E77739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579942F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tcPr>
          <w:p w14:paraId="2DA9D30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67122F6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3FB062A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6CC6306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0A3CE4E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0FFEE56C"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6B29C33"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w:t>
            </w:r>
            <w:r w:rsidR="00595364" w:rsidRPr="003731A3">
              <w:rPr>
                <w:rFonts w:eastAsia="SimSun"/>
                <w:color w:val="auto"/>
                <w:sz w:val="18"/>
                <w:lang w:val="fr-CH"/>
              </w:rPr>
              <w:t>ondamnation</w:t>
            </w:r>
          </w:p>
        </w:tc>
        <w:tc>
          <w:tcPr>
            <w:tcW w:w="561" w:type="pct"/>
            <w:shd w:val="clear" w:color="auto" w:fill="auto"/>
            <w:vAlign w:val="bottom"/>
          </w:tcPr>
          <w:p w14:paraId="5D1F188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0CFD089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5</w:t>
            </w:r>
          </w:p>
        </w:tc>
        <w:tc>
          <w:tcPr>
            <w:tcW w:w="513" w:type="pct"/>
            <w:shd w:val="clear" w:color="auto" w:fill="auto"/>
            <w:vAlign w:val="bottom"/>
          </w:tcPr>
          <w:p w14:paraId="623FC4B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4369EF2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52097D9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5125024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13D5E6A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5</w:t>
            </w:r>
          </w:p>
        </w:tc>
      </w:tr>
      <w:tr w:rsidR="00595364" w:rsidRPr="003731A3" w14:paraId="6DA4F07F"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0B415A9"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Classement</w:t>
            </w:r>
          </w:p>
        </w:tc>
        <w:tc>
          <w:tcPr>
            <w:tcW w:w="561" w:type="pct"/>
            <w:shd w:val="clear" w:color="auto" w:fill="auto"/>
            <w:vAlign w:val="bottom"/>
          </w:tcPr>
          <w:p w14:paraId="57AFBB6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0BB625E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hideMark/>
          </w:tcPr>
          <w:p w14:paraId="65D9F36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755C7FE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hideMark/>
          </w:tcPr>
          <w:p w14:paraId="78A2A81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tcPr>
          <w:p w14:paraId="1316590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5B62856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76CB9B2D"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BAB32CB"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Action é</w:t>
            </w:r>
            <w:r w:rsidR="001561A6" w:rsidRPr="003731A3">
              <w:rPr>
                <w:rFonts w:eastAsia="SimSun"/>
                <w:color w:val="auto"/>
                <w:sz w:val="18"/>
                <w:lang w:val="fr-CH"/>
              </w:rPr>
              <w:t>teinte</w:t>
            </w:r>
          </w:p>
        </w:tc>
        <w:tc>
          <w:tcPr>
            <w:tcW w:w="561" w:type="pct"/>
            <w:shd w:val="clear" w:color="auto" w:fill="auto"/>
            <w:vAlign w:val="bottom"/>
          </w:tcPr>
          <w:p w14:paraId="21C87CE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236D483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tcPr>
          <w:p w14:paraId="3278680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503CC78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46BED20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218CC79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30D1AC4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493A93C3"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7C0CF6B2" w14:textId="77777777" w:rsidR="00595364" w:rsidRPr="003731A3" w:rsidRDefault="001561A6"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Rejet</w:t>
            </w:r>
          </w:p>
        </w:tc>
        <w:tc>
          <w:tcPr>
            <w:tcW w:w="561" w:type="pct"/>
            <w:shd w:val="clear" w:color="auto" w:fill="auto"/>
            <w:vAlign w:val="bottom"/>
            <w:hideMark/>
          </w:tcPr>
          <w:p w14:paraId="1860F37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20</w:t>
            </w:r>
          </w:p>
        </w:tc>
        <w:tc>
          <w:tcPr>
            <w:tcW w:w="579" w:type="pct"/>
            <w:shd w:val="clear" w:color="auto" w:fill="auto"/>
            <w:vAlign w:val="bottom"/>
            <w:hideMark/>
          </w:tcPr>
          <w:p w14:paraId="5A69E0B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7</w:t>
            </w:r>
          </w:p>
        </w:tc>
        <w:tc>
          <w:tcPr>
            <w:tcW w:w="513" w:type="pct"/>
            <w:shd w:val="clear" w:color="auto" w:fill="auto"/>
            <w:vAlign w:val="bottom"/>
            <w:hideMark/>
          </w:tcPr>
          <w:p w14:paraId="2ADFCD2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31" w:type="pct"/>
            <w:shd w:val="clear" w:color="auto" w:fill="auto"/>
            <w:vAlign w:val="bottom"/>
            <w:hideMark/>
          </w:tcPr>
          <w:p w14:paraId="66CE8C9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w:t>
            </w:r>
          </w:p>
        </w:tc>
        <w:tc>
          <w:tcPr>
            <w:tcW w:w="523" w:type="pct"/>
            <w:shd w:val="clear" w:color="auto" w:fill="auto"/>
            <w:vAlign w:val="bottom"/>
            <w:hideMark/>
          </w:tcPr>
          <w:p w14:paraId="1CF3550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w:t>
            </w:r>
          </w:p>
        </w:tc>
        <w:tc>
          <w:tcPr>
            <w:tcW w:w="522" w:type="pct"/>
            <w:shd w:val="clear" w:color="auto" w:fill="auto"/>
            <w:vAlign w:val="bottom"/>
            <w:hideMark/>
          </w:tcPr>
          <w:p w14:paraId="3E11591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21" w:type="pct"/>
            <w:shd w:val="clear" w:color="auto" w:fill="auto"/>
            <w:vAlign w:val="bottom"/>
            <w:hideMark/>
          </w:tcPr>
          <w:p w14:paraId="3A938AA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44</w:t>
            </w:r>
          </w:p>
        </w:tc>
      </w:tr>
      <w:tr w:rsidR="00595364" w:rsidRPr="003731A3" w14:paraId="68240EDD"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743860A"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 xml:space="preserve">Cochabamba </w:t>
            </w:r>
          </w:p>
        </w:tc>
        <w:tc>
          <w:tcPr>
            <w:tcW w:w="561" w:type="pct"/>
            <w:shd w:val="clear" w:color="auto" w:fill="auto"/>
            <w:vAlign w:val="bottom"/>
            <w:hideMark/>
          </w:tcPr>
          <w:p w14:paraId="247A248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111</w:t>
            </w:r>
          </w:p>
        </w:tc>
        <w:tc>
          <w:tcPr>
            <w:tcW w:w="579" w:type="pct"/>
            <w:shd w:val="clear" w:color="auto" w:fill="auto"/>
            <w:vAlign w:val="bottom"/>
            <w:hideMark/>
          </w:tcPr>
          <w:p w14:paraId="7CD8CC7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40</w:t>
            </w:r>
          </w:p>
        </w:tc>
        <w:tc>
          <w:tcPr>
            <w:tcW w:w="513" w:type="pct"/>
            <w:shd w:val="clear" w:color="auto" w:fill="auto"/>
            <w:vAlign w:val="bottom"/>
            <w:hideMark/>
          </w:tcPr>
          <w:p w14:paraId="24283D7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85</w:t>
            </w:r>
          </w:p>
        </w:tc>
        <w:tc>
          <w:tcPr>
            <w:tcW w:w="531" w:type="pct"/>
            <w:shd w:val="clear" w:color="auto" w:fill="auto"/>
            <w:vAlign w:val="bottom"/>
            <w:hideMark/>
          </w:tcPr>
          <w:p w14:paraId="36CA77B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76</w:t>
            </w:r>
          </w:p>
        </w:tc>
        <w:tc>
          <w:tcPr>
            <w:tcW w:w="523" w:type="pct"/>
            <w:shd w:val="clear" w:color="auto" w:fill="auto"/>
            <w:vAlign w:val="bottom"/>
            <w:hideMark/>
          </w:tcPr>
          <w:p w14:paraId="105F628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66</w:t>
            </w:r>
          </w:p>
        </w:tc>
        <w:tc>
          <w:tcPr>
            <w:tcW w:w="522" w:type="pct"/>
            <w:shd w:val="clear" w:color="auto" w:fill="auto"/>
            <w:vAlign w:val="bottom"/>
            <w:hideMark/>
          </w:tcPr>
          <w:p w14:paraId="36538D9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65</w:t>
            </w:r>
          </w:p>
        </w:tc>
        <w:tc>
          <w:tcPr>
            <w:tcW w:w="521" w:type="pct"/>
            <w:shd w:val="clear" w:color="auto" w:fill="auto"/>
            <w:vAlign w:val="bottom"/>
            <w:hideMark/>
          </w:tcPr>
          <w:p w14:paraId="3E6C9F3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443</w:t>
            </w:r>
          </w:p>
        </w:tc>
      </w:tr>
      <w:tr w:rsidR="00595364" w:rsidRPr="003731A3" w14:paraId="697BB725"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A5B1BFC"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cours</w:t>
            </w:r>
          </w:p>
        </w:tc>
        <w:tc>
          <w:tcPr>
            <w:tcW w:w="561" w:type="pct"/>
            <w:shd w:val="clear" w:color="auto" w:fill="auto"/>
            <w:vAlign w:val="bottom"/>
            <w:hideMark/>
          </w:tcPr>
          <w:p w14:paraId="244D7B6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7</w:t>
            </w:r>
          </w:p>
        </w:tc>
        <w:tc>
          <w:tcPr>
            <w:tcW w:w="579" w:type="pct"/>
            <w:shd w:val="clear" w:color="auto" w:fill="auto"/>
            <w:vAlign w:val="bottom"/>
            <w:hideMark/>
          </w:tcPr>
          <w:p w14:paraId="4B82C9C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hideMark/>
          </w:tcPr>
          <w:p w14:paraId="738377B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8</w:t>
            </w:r>
          </w:p>
        </w:tc>
        <w:tc>
          <w:tcPr>
            <w:tcW w:w="531" w:type="pct"/>
            <w:shd w:val="clear" w:color="auto" w:fill="auto"/>
            <w:vAlign w:val="bottom"/>
            <w:hideMark/>
          </w:tcPr>
          <w:p w14:paraId="15955A1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13</w:t>
            </w:r>
          </w:p>
        </w:tc>
        <w:tc>
          <w:tcPr>
            <w:tcW w:w="523" w:type="pct"/>
            <w:shd w:val="clear" w:color="auto" w:fill="auto"/>
            <w:vAlign w:val="bottom"/>
            <w:hideMark/>
          </w:tcPr>
          <w:p w14:paraId="1DADE25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11</w:t>
            </w:r>
          </w:p>
        </w:tc>
        <w:tc>
          <w:tcPr>
            <w:tcW w:w="522" w:type="pct"/>
            <w:shd w:val="clear" w:color="auto" w:fill="auto"/>
            <w:vAlign w:val="bottom"/>
            <w:hideMark/>
          </w:tcPr>
          <w:p w14:paraId="32D045F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39</w:t>
            </w:r>
          </w:p>
        </w:tc>
        <w:tc>
          <w:tcPr>
            <w:tcW w:w="521" w:type="pct"/>
            <w:shd w:val="clear" w:color="auto" w:fill="auto"/>
            <w:vAlign w:val="bottom"/>
            <w:hideMark/>
          </w:tcPr>
          <w:p w14:paraId="7B182CC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80</w:t>
            </w:r>
          </w:p>
        </w:tc>
      </w:tr>
      <w:tr w:rsidR="00595364" w:rsidRPr="003731A3" w14:paraId="39080729"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A2DFE40"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Procédure a</w:t>
            </w:r>
            <w:r w:rsidR="001561A6" w:rsidRPr="003731A3">
              <w:rPr>
                <w:rFonts w:eastAsia="SimSun"/>
                <w:color w:val="auto"/>
                <w:sz w:val="18"/>
                <w:lang w:val="fr-CH"/>
              </w:rPr>
              <w:t>brégé</w:t>
            </w:r>
            <w:r w:rsidRPr="003731A3">
              <w:rPr>
                <w:rFonts w:eastAsia="SimSun"/>
                <w:color w:val="auto"/>
                <w:sz w:val="18"/>
                <w:lang w:val="fr-CH"/>
              </w:rPr>
              <w:t>e</w:t>
            </w:r>
          </w:p>
        </w:tc>
        <w:tc>
          <w:tcPr>
            <w:tcW w:w="561" w:type="pct"/>
            <w:shd w:val="clear" w:color="auto" w:fill="auto"/>
            <w:vAlign w:val="bottom"/>
          </w:tcPr>
          <w:p w14:paraId="617FC81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7E2C41A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tcPr>
          <w:p w14:paraId="02E02E1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6D55E51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tcPr>
          <w:p w14:paraId="1342023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665CC42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0FDD54B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1BDDC0E6"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4079474"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Clôture (autre)</w:t>
            </w:r>
          </w:p>
        </w:tc>
        <w:tc>
          <w:tcPr>
            <w:tcW w:w="561" w:type="pct"/>
            <w:shd w:val="clear" w:color="auto" w:fill="auto"/>
            <w:vAlign w:val="bottom"/>
            <w:hideMark/>
          </w:tcPr>
          <w:p w14:paraId="31D6D07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tcPr>
          <w:p w14:paraId="1908A3D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7B82994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6</w:t>
            </w:r>
          </w:p>
        </w:tc>
        <w:tc>
          <w:tcPr>
            <w:tcW w:w="531" w:type="pct"/>
            <w:shd w:val="clear" w:color="auto" w:fill="auto"/>
            <w:vAlign w:val="bottom"/>
            <w:hideMark/>
          </w:tcPr>
          <w:p w14:paraId="5C3EB2F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w:t>
            </w:r>
          </w:p>
        </w:tc>
        <w:tc>
          <w:tcPr>
            <w:tcW w:w="523" w:type="pct"/>
            <w:shd w:val="clear" w:color="auto" w:fill="auto"/>
            <w:vAlign w:val="bottom"/>
            <w:hideMark/>
          </w:tcPr>
          <w:p w14:paraId="6C63E7D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2" w:type="pct"/>
            <w:shd w:val="clear" w:color="auto" w:fill="auto"/>
            <w:vAlign w:val="bottom"/>
          </w:tcPr>
          <w:p w14:paraId="4FC1516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p>
        </w:tc>
        <w:tc>
          <w:tcPr>
            <w:tcW w:w="521" w:type="pct"/>
            <w:shd w:val="clear" w:color="auto" w:fill="auto"/>
            <w:vAlign w:val="bottom"/>
            <w:hideMark/>
          </w:tcPr>
          <w:p w14:paraId="465DE9C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15</w:t>
            </w:r>
          </w:p>
        </w:tc>
      </w:tr>
      <w:tr w:rsidR="00595364" w:rsidRPr="003731A3" w14:paraId="0E05931E"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253DEFFA"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Acquittement</w:t>
            </w:r>
          </w:p>
        </w:tc>
        <w:tc>
          <w:tcPr>
            <w:tcW w:w="561" w:type="pct"/>
            <w:shd w:val="clear" w:color="auto" w:fill="auto"/>
            <w:vAlign w:val="bottom"/>
          </w:tcPr>
          <w:p w14:paraId="542C1B0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3B164AF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6145C02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4BE8EE9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4215AB3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5457063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299681F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184C73FB"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6E98EF7"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w:t>
            </w:r>
            <w:r w:rsidR="001561A6" w:rsidRPr="003731A3">
              <w:rPr>
                <w:rFonts w:eastAsia="SimSun"/>
                <w:color w:val="auto"/>
                <w:sz w:val="18"/>
                <w:lang w:val="fr-CH"/>
              </w:rPr>
              <w:t>ondamnation</w:t>
            </w:r>
          </w:p>
        </w:tc>
        <w:tc>
          <w:tcPr>
            <w:tcW w:w="561" w:type="pct"/>
            <w:shd w:val="clear" w:color="auto" w:fill="auto"/>
            <w:vAlign w:val="bottom"/>
            <w:hideMark/>
          </w:tcPr>
          <w:p w14:paraId="491E3B8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79" w:type="pct"/>
            <w:shd w:val="clear" w:color="auto" w:fill="auto"/>
            <w:vAlign w:val="bottom"/>
          </w:tcPr>
          <w:p w14:paraId="27DE5A7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1840AE4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046B35C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1FFB1EE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7FDCAD2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4FEB7DF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2F578211"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80A1257" w14:textId="77777777" w:rsidR="00595364" w:rsidRPr="003731A3" w:rsidRDefault="00E90973" w:rsidP="003731A3">
            <w:pPr>
              <w:suppressAutoHyphens w:val="0"/>
              <w:spacing w:before="40" w:after="40" w:line="220" w:lineRule="exact"/>
              <w:rPr>
                <w:rFonts w:eastAsia="SimSun"/>
                <w:color w:val="auto"/>
                <w:sz w:val="18"/>
                <w:lang w:val="fr-CH"/>
              </w:rPr>
            </w:pPr>
            <w:bookmarkStart w:id="0" w:name="_Hlk57908260"/>
            <w:r w:rsidRPr="003731A3">
              <w:rPr>
                <w:rFonts w:eastAsia="SimSun"/>
                <w:color w:val="auto"/>
                <w:sz w:val="18"/>
                <w:lang w:val="fr-CH"/>
              </w:rPr>
              <w:t>Connexité ou cumul</w:t>
            </w:r>
            <w:r w:rsidR="00595364" w:rsidRPr="003731A3">
              <w:rPr>
                <w:rFonts w:eastAsia="SimSun"/>
                <w:color w:val="auto"/>
                <w:sz w:val="18"/>
                <w:lang w:val="fr-CH"/>
              </w:rPr>
              <w:t xml:space="preserve"> </w:t>
            </w:r>
          </w:p>
        </w:tc>
        <w:tc>
          <w:tcPr>
            <w:tcW w:w="561" w:type="pct"/>
            <w:shd w:val="clear" w:color="auto" w:fill="auto"/>
            <w:vAlign w:val="bottom"/>
          </w:tcPr>
          <w:p w14:paraId="456E694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37C8875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tcPr>
          <w:p w14:paraId="22FC7B8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4B1AE37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61956A1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3C145CC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74384FB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3E3E1E49"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B258471"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Exception d’incompétence</w:t>
            </w:r>
          </w:p>
        </w:tc>
        <w:tc>
          <w:tcPr>
            <w:tcW w:w="561" w:type="pct"/>
            <w:shd w:val="clear" w:color="auto" w:fill="auto"/>
            <w:vAlign w:val="bottom"/>
          </w:tcPr>
          <w:p w14:paraId="7956BAB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0F45EC4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hideMark/>
          </w:tcPr>
          <w:p w14:paraId="0885312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6</w:t>
            </w:r>
          </w:p>
        </w:tc>
        <w:tc>
          <w:tcPr>
            <w:tcW w:w="531" w:type="pct"/>
            <w:shd w:val="clear" w:color="auto" w:fill="auto"/>
            <w:vAlign w:val="bottom"/>
            <w:hideMark/>
          </w:tcPr>
          <w:p w14:paraId="78BAD60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9</w:t>
            </w:r>
          </w:p>
        </w:tc>
        <w:tc>
          <w:tcPr>
            <w:tcW w:w="523" w:type="pct"/>
            <w:shd w:val="clear" w:color="auto" w:fill="auto"/>
            <w:vAlign w:val="bottom"/>
            <w:hideMark/>
          </w:tcPr>
          <w:p w14:paraId="32B2450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22" w:type="pct"/>
            <w:shd w:val="clear" w:color="auto" w:fill="auto"/>
            <w:vAlign w:val="bottom"/>
            <w:hideMark/>
          </w:tcPr>
          <w:p w14:paraId="7C0F001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1" w:type="pct"/>
            <w:shd w:val="clear" w:color="auto" w:fill="auto"/>
            <w:vAlign w:val="bottom"/>
            <w:hideMark/>
          </w:tcPr>
          <w:p w14:paraId="6682AD4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24</w:t>
            </w:r>
          </w:p>
        </w:tc>
      </w:tr>
      <w:bookmarkEnd w:id="0"/>
      <w:tr w:rsidR="00595364" w:rsidRPr="003731A3" w14:paraId="7FE3CC5D"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701CB7C6"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Classement</w:t>
            </w:r>
          </w:p>
        </w:tc>
        <w:tc>
          <w:tcPr>
            <w:tcW w:w="561" w:type="pct"/>
            <w:shd w:val="clear" w:color="auto" w:fill="auto"/>
            <w:vAlign w:val="bottom"/>
          </w:tcPr>
          <w:p w14:paraId="18C31E4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106DE45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hideMark/>
          </w:tcPr>
          <w:p w14:paraId="62DE715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w:t>
            </w:r>
          </w:p>
        </w:tc>
        <w:tc>
          <w:tcPr>
            <w:tcW w:w="531" w:type="pct"/>
            <w:shd w:val="clear" w:color="auto" w:fill="auto"/>
            <w:vAlign w:val="bottom"/>
            <w:hideMark/>
          </w:tcPr>
          <w:p w14:paraId="0AAF013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9</w:t>
            </w:r>
          </w:p>
        </w:tc>
        <w:tc>
          <w:tcPr>
            <w:tcW w:w="523" w:type="pct"/>
            <w:shd w:val="clear" w:color="auto" w:fill="auto"/>
            <w:vAlign w:val="bottom"/>
            <w:hideMark/>
          </w:tcPr>
          <w:p w14:paraId="76CEFA1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w:t>
            </w:r>
          </w:p>
        </w:tc>
        <w:tc>
          <w:tcPr>
            <w:tcW w:w="522" w:type="pct"/>
            <w:shd w:val="clear" w:color="auto" w:fill="auto"/>
            <w:vAlign w:val="bottom"/>
            <w:hideMark/>
          </w:tcPr>
          <w:p w14:paraId="7D5E27E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21" w:type="pct"/>
            <w:shd w:val="clear" w:color="auto" w:fill="auto"/>
            <w:vAlign w:val="bottom"/>
            <w:hideMark/>
          </w:tcPr>
          <w:p w14:paraId="202D2B5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24</w:t>
            </w:r>
          </w:p>
        </w:tc>
      </w:tr>
      <w:tr w:rsidR="00595364" w:rsidRPr="003731A3" w14:paraId="2E7334FC"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1241B59"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Action éteinte</w:t>
            </w:r>
          </w:p>
        </w:tc>
        <w:tc>
          <w:tcPr>
            <w:tcW w:w="561" w:type="pct"/>
            <w:shd w:val="clear" w:color="auto" w:fill="auto"/>
            <w:vAlign w:val="bottom"/>
          </w:tcPr>
          <w:p w14:paraId="413A001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69218B1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46E2591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748159E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21626E0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5824A3B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tcPr>
          <w:p w14:paraId="10A8954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r>
      <w:tr w:rsidR="00595364" w:rsidRPr="003731A3" w14:paraId="4CE32D57"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4C474E0"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Rejet</w:t>
            </w:r>
          </w:p>
        </w:tc>
        <w:tc>
          <w:tcPr>
            <w:tcW w:w="561" w:type="pct"/>
            <w:shd w:val="clear" w:color="auto" w:fill="auto"/>
            <w:vAlign w:val="bottom"/>
            <w:hideMark/>
          </w:tcPr>
          <w:p w14:paraId="4FC47A3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94</w:t>
            </w:r>
          </w:p>
        </w:tc>
        <w:tc>
          <w:tcPr>
            <w:tcW w:w="579" w:type="pct"/>
            <w:shd w:val="clear" w:color="auto" w:fill="auto"/>
            <w:vAlign w:val="bottom"/>
            <w:hideMark/>
          </w:tcPr>
          <w:p w14:paraId="3F9226D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30</w:t>
            </w:r>
          </w:p>
        </w:tc>
        <w:tc>
          <w:tcPr>
            <w:tcW w:w="513" w:type="pct"/>
            <w:shd w:val="clear" w:color="auto" w:fill="auto"/>
            <w:vAlign w:val="bottom"/>
            <w:hideMark/>
          </w:tcPr>
          <w:p w14:paraId="64E9C8A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60</w:t>
            </w:r>
          </w:p>
        </w:tc>
        <w:tc>
          <w:tcPr>
            <w:tcW w:w="531" w:type="pct"/>
            <w:shd w:val="clear" w:color="auto" w:fill="auto"/>
            <w:vAlign w:val="bottom"/>
            <w:hideMark/>
          </w:tcPr>
          <w:p w14:paraId="77C446E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42</w:t>
            </w:r>
          </w:p>
        </w:tc>
        <w:tc>
          <w:tcPr>
            <w:tcW w:w="523" w:type="pct"/>
            <w:shd w:val="clear" w:color="auto" w:fill="auto"/>
            <w:vAlign w:val="bottom"/>
            <w:hideMark/>
          </w:tcPr>
          <w:p w14:paraId="3FE0CC4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43</w:t>
            </w:r>
          </w:p>
        </w:tc>
        <w:tc>
          <w:tcPr>
            <w:tcW w:w="522" w:type="pct"/>
            <w:shd w:val="clear" w:color="auto" w:fill="auto"/>
            <w:vAlign w:val="bottom"/>
            <w:hideMark/>
          </w:tcPr>
          <w:p w14:paraId="2E09C13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22</w:t>
            </w:r>
          </w:p>
        </w:tc>
        <w:tc>
          <w:tcPr>
            <w:tcW w:w="521" w:type="pct"/>
            <w:shd w:val="clear" w:color="auto" w:fill="auto"/>
            <w:vAlign w:val="bottom"/>
            <w:hideMark/>
          </w:tcPr>
          <w:p w14:paraId="4745693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291</w:t>
            </w:r>
          </w:p>
        </w:tc>
      </w:tr>
      <w:tr w:rsidR="00595364" w:rsidRPr="003731A3" w14:paraId="3C172B19"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24F36D3" w14:textId="77777777" w:rsidR="00595364" w:rsidRPr="003731A3" w:rsidRDefault="00E90973" w:rsidP="003731A3">
            <w:pPr>
              <w:suppressAutoHyphens w:val="0"/>
              <w:spacing w:before="40" w:after="40" w:line="220" w:lineRule="exact"/>
              <w:rPr>
                <w:rFonts w:eastAsia="SimSun"/>
                <w:bCs w:val="0"/>
                <w:color w:val="auto"/>
                <w:sz w:val="18"/>
                <w:lang w:val="fr-CH"/>
              </w:rPr>
            </w:pPr>
            <w:r w:rsidRPr="003731A3">
              <w:rPr>
                <w:rFonts w:eastAsia="SimSun"/>
                <w:bCs w:val="0"/>
                <w:color w:val="auto"/>
                <w:sz w:val="18"/>
                <w:lang w:val="fr-CH"/>
              </w:rPr>
              <w:t>Non-lieu</w:t>
            </w:r>
          </w:p>
        </w:tc>
        <w:tc>
          <w:tcPr>
            <w:tcW w:w="561" w:type="pct"/>
            <w:shd w:val="clear" w:color="auto" w:fill="auto"/>
            <w:vAlign w:val="bottom"/>
            <w:hideMark/>
          </w:tcPr>
          <w:p w14:paraId="73F71CC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7</w:t>
            </w:r>
          </w:p>
        </w:tc>
        <w:tc>
          <w:tcPr>
            <w:tcW w:w="579" w:type="pct"/>
            <w:shd w:val="clear" w:color="auto" w:fill="auto"/>
            <w:vAlign w:val="bottom"/>
            <w:hideMark/>
          </w:tcPr>
          <w:p w14:paraId="6A18269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hideMark/>
          </w:tcPr>
          <w:p w14:paraId="3B8CFAC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31" w:type="pct"/>
            <w:shd w:val="clear" w:color="auto" w:fill="auto"/>
            <w:vAlign w:val="bottom"/>
            <w:hideMark/>
          </w:tcPr>
          <w:p w14:paraId="2A7D2CD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w:t>
            </w:r>
          </w:p>
        </w:tc>
        <w:tc>
          <w:tcPr>
            <w:tcW w:w="523" w:type="pct"/>
            <w:shd w:val="clear" w:color="auto" w:fill="auto"/>
            <w:vAlign w:val="bottom"/>
            <w:hideMark/>
          </w:tcPr>
          <w:p w14:paraId="1F2DDC5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tcPr>
          <w:p w14:paraId="3D6AE43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p>
        </w:tc>
        <w:tc>
          <w:tcPr>
            <w:tcW w:w="521" w:type="pct"/>
            <w:shd w:val="clear" w:color="auto" w:fill="auto"/>
            <w:vAlign w:val="bottom"/>
            <w:hideMark/>
          </w:tcPr>
          <w:p w14:paraId="48C1564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18</w:t>
            </w:r>
          </w:p>
        </w:tc>
      </w:tr>
      <w:tr w:rsidR="00595364" w:rsidRPr="003731A3" w14:paraId="529FF052"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5FDD20FE"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 xml:space="preserve">La Paz </w:t>
            </w:r>
          </w:p>
        </w:tc>
        <w:tc>
          <w:tcPr>
            <w:tcW w:w="561" w:type="pct"/>
            <w:shd w:val="clear" w:color="auto" w:fill="auto"/>
            <w:vAlign w:val="bottom"/>
            <w:hideMark/>
          </w:tcPr>
          <w:p w14:paraId="414791F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228</w:t>
            </w:r>
          </w:p>
        </w:tc>
        <w:tc>
          <w:tcPr>
            <w:tcW w:w="579" w:type="pct"/>
            <w:shd w:val="clear" w:color="auto" w:fill="auto"/>
            <w:vAlign w:val="bottom"/>
            <w:hideMark/>
          </w:tcPr>
          <w:p w14:paraId="71B81EA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248</w:t>
            </w:r>
          </w:p>
        </w:tc>
        <w:tc>
          <w:tcPr>
            <w:tcW w:w="513" w:type="pct"/>
            <w:shd w:val="clear" w:color="auto" w:fill="auto"/>
            <w:vAlign w:val="bottom"/>
            <w:hideMark/>
          </w:tcPr>
          <w:p w14:paraId="3F7BD52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347</w:t>
            </w:r>
          </w:p>
        </w:tc>
        <w:tc>
          <w:tcPr>
            <w:tcW w:w="531" w:type="pct"/>
            <w:shd w:val="clear" w:color="auto" w:fill="auto"/>
            <w:vAlign w:val="bottom"/>
            <w:hideMark/>
          </w:tcPr>
          <w:p w14:paraId="0CAD7B9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343</w:t>
            </w:r>
          </w:p>
        </w:tc>
        <w:tc>
          <w:tcPr>
            <w:tcW w:w="523" w:type="pct"/>
            <w:shd w:val="clear" w:color="auto" w:fill="auto"/>
            <w:vAlign w:val="bottom"/>
            <w:hideMark/>
          </w:tcPr>
          <w:p w14:paraId="766BD0D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228</w:t>
            </w:r>
          </w:p>
        </w:tc>
        <w:tc>
          <w:tcPr>
            <w:tcW w:w="522" w:type="pct"/>
            <w:shd w:val="clear" w:color="auto" w:fill="auto"/>
            <w:vAlign w:val="bottom"/>
            <w:hideMark/>
          </w:tcPr>
          <w:p w14:paraId="213862D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323</w:t>
            </w:r>
          </w:p>
        </w:tc>
        <w:tc>
          <w:tcPr>
            <w:tcW w:w="521" w:type="pct"/>
            <w:shd w:val="clear" w:color="auto" w:fill="auto"/>
            <w:vAlign w:val="bottom"/>
            <w:hideMark/>
          </w:tcPr>
          <w:p w14:paraId="0B3385C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1 717</w:t>
            </w:r>
          </w:p>
        </w:tc>
      </w:tr>
      <w:tr w:rsidR="00595364" w:rsidRPr="003731A3" w14:paraId="5FF9D92F"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5CD34923"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cours</w:t>
            </w:r>
          </w:p>
        </w:tc>
        <w:tc>
          <w:tcPr>
            <w:tcW w:w="561" w:type="pct"/>
            <w:shd w:val="clear" w:color="auto" w:fill="auto"/>
            <w:vAlign w:val="bottom"/>
            <w:hideMark/>
          </w:tcPr>
          <w:p w14:paraId="30A9AB4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41</w:t>
            </w:r>
          </w:p>
        </w:tc>
        <w:tc>
          <w:tcPr>
            <w:tcW w:w="579" w:type="pct"/>
            <w:shd w:val="clear" w:color="auto" w:fill="auto"/>
            <w:vAlign w:val="bottom"/>
            <w:hideMark/>
          </w:tcPr>
          <w:p w14:paraId="781C2A9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46</w:t>
            </w:r>
          </w:p>
        </w:tc>
        <w:tc>
          <w:tcPr>
            <w:tcW w:w="513" w:type="pct"/>
            <w:shd w:val="clear" w:color="auto" w:fill="auto"/>
            <w:vAlign w:val="bottom"/>
            <w:hideMark/>
          </w:tcPr>
          <w:p w14:paraId="6B9AC95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66</w:t>
            </w:r>
          </w:p>
        </w:tc>
        <w:tc>
          <w:tcPr>
            <w:tcW w:w="531" w:type="pct"/>
            <w:shd w:val="clear" w:color="auto" w:fill="auto"/>
            <w:vAlign w:val="bottom"/>
            <w:hideMark/>
          </w:tcPr>
          <w:p w14:paraId="2C2B947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66</w:t>
            </w:r>
          </w:p>
        </w:tc>
        <w:tc>
          <w:tcPr>
            <w:tcW w:w="523" w:type="pct"/>
            <w:shd w:val="clear" w:color="auto" w:fill="auto"/>
            <w:vAlign w:val="bottom"/>
            <w:hideMark/>
          </w:tcPr>
          <w:p w14:paraId="1EEC063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103</w:t>
            </w:r>
          </w:p>
        </w:tc>
        <w:tc>
          <w:tcPr>
            <w:tcW w:w="522" w:type="pct"/>
            <w:shd w:val="clear" w:color="auto" w:fill="auto"/>
            <w:vAlign w:val="bottom"/>
            <w:hideMark/>
          </w:tcPr>
          <w:p w14:paraId="5FB7CD3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262</w:t>
            </w:r>
          </w:p>
        </w:tc>
        <w:tc>
          <w:tcPr>
            <w:tcW w:w="521" w:type="pct"/>
            <w:shd w:val="clear" w:color="auto" w:fill="auto"/>
            <w:vAlign w:val="bottom"/>
            <w:hideMark/>
          </w:tcPr>
          <w:p w14:paraId="2948914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584</w:t>
            </w:r>
          </w:p>
        </w:tc>
      </w:tr>
      <w:tr w:rsidR="00595364" w:rsidRPr="003731A3" w14:paraId="32C4FCF4"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F0DC71B"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Procédure abrégée</w:t>
            </w:r>
          </w:p>
        </w:tc>
        <w:tc>
          <w:tcPr>
            <w:tcW w:w="561" w:type="pct"/>
            <w:shd w:val="clear" w:color="auto" w:fill="auto"/>
            <w:vAlign w:val="bottom"/>
            <w:hideMark/>
          </w:tcPr>
          <w:p w14:paraId="1E9C00E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hideMark/>
          </w:tcPr>
          <w:p w14:paraId="61DC145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hideMark/>
          </w:tcPr>
          <w:p w14:paraId="5305D0D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31" w:type="pct"/>
            <w:shd w:val="clear" w:color="auto" w:fill="auto"/>
            <w:vAlign w:val="bottom"/>
            <w:hideMark/>
          </w:tcPr>
          <w:p w14:paraId="212A4DA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tcPr>
          <w:p w14:paraId="6EF2EA2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780E6B4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5C36862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5</w:t>
            </w:r>
          </w:p>
        </w:tc>
      </w:tr>
      <w:tr w:rsidR="00595364" w:rsidRPr="003731A3" w14:paraId="1007792A"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A28E95E"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Clôture (autre)</w:t>
            </w:r>
            <w:r w:rsidR="00595364" w:rsidRPr="003731A3">
              <w:rPr>
                <w:rFonts w:eastAsia="SimSun"/>
                <w:color w:val="auto"/>
                <w:sz w:val="18"/>
                <w:lang w:val="fr-CH"/>
              </w:rPr>
              <w:t xml:space="preserve"> </w:t>
            </w:r>
          </w:p>
        </w:tc>
        <w:tc>
          <w:tcPr>
            <w:tcW w:w="561" w:type="pct"/>
            <w:shd w:val="clear" w:color="auto" w:fill="auto"/>
            <w:vAlign w:val="bottom"/>
            <w:hideMark/>
          </w:tcPr>
          <w:p w14:paraId="1E8D94F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11</w:t>
            </w:r>
          </w:p>
        </w:tc>
        <w:tc>
          <w:tcPr>
            <w:tcW w:w="579" w:type="pct"/>
            <w:shd w:val="clear" w:color="auto" w:fill="auto"/>
            <w:vAlign w:val="bottom"/>
            <w:hideMark/>
          </w:tcPr>
          <w:p w14:paraId="38997F9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13" w:type="pct"/>
            <w:shd w:val="clear" w:color="auto" w:fill="auto"/>
            <w:vAlign w:val="bottom"/>
          </w:tcPr>
          <w:p w14:paraId="73C0508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p>
        </w:tc>
        <w:tc>
          <w:tcPr>
            <w:tcW w:w="531" w:type="pct"/>
            <w:shd w:val="clear" w:color="auto" w:fill="auto"/>
            <w:vAlign w:val="bottom"/>
            <w:hideMark/>
          </w:tcPr>
          <w:p w14:paraId="33DDCC8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hideMark/>
          </w:tcPr>
          <w:p w14:paraId="5EFCBC3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hideMark/>
          </w:tcPr>
          <w:p w14:paraId="20CEAF3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342524F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18</w:t>
            </w:r>
          </w:p>
        </w:tc>
      </w:tr>
      <w:tr w:rsidR="00595364" w:rsidRPr="003731A3" w14:paraId="34BFB92F"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9BFEF8B"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Condamnation</w:t>
            </w:r>
            <w:r w:rsidR="00595364" w:rsidRPr="003731A3">
              <w:rPr>
                <w:rFonts w:eastAsia="SimSun"/>
                <w:color w:val="auto"/>
                <w:sz w:val="18"/>
                <w:lang w:val="fr-CH"/>
              </w:rPr>
              <w:t xml:space="preserve"> </w:t>
            </w:r>
          </w:p>
        </w:tc>
        <w:tc>
          <w:tcPr>
            <w:tcW w:w="561" w:type="pct"/>
            <w:shd w:val="clear" w:color="auto" w:fill="auto"/>
            <w:vAlign w:val="bottom"/>
          </w:tcPr>
          <w:p w14:paraId="23554C3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1A598D9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hideMark/>
          </w:tcPr>
          <w:p w14:paraId="789A52E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536BD28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6A78075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19BF6CD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5FBEC60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38EE47F4"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A301438"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Connexité ou cumul</w:t>
            </w:r>
          </w:p>
        </w:tc>
        <w:tc>
          <w:tcPr>
            <w:tcW w:w="561" w:type="pct"/>
            <w:shd w:val="clear" w:color="auto" w:fill="auto"/>
            <w:vAlign w:val="bottom"/>
          </w:tcPr>
          <w:p w14:paraId="6184818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336937E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6692BDC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2686ACB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179BEDC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53FCA45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1E3A2D7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2A7A0297"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284B37CE"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Exception d’incompétence</w:t>
            </w:r>
            <w:r w:rsidR="00595364" w:rsidRPr="003731A3">
              <w:rPr>
                <w:rFonts w:eastAsia="SimSun"/>
                <w:color w:val="auto"/>
                <w:sz w:val="18"/>
                <w:lang w:val="fr-CH"/>
              </w:rPr>
              <w:t xml:space="preserve"> </w:t>
            </w:r>
          </w:p>
        </w:tc>
        <w:tc>
          <w:tcPr>
            <w:tcW w:w="561" w:type="pct"/>
            <w:shd w:val="clear" w:color="auto" w:fill="auto"/>
            <w:vAlign w:val="bottom"/>
          </w:tcPr>
          <w:p w14:paraId="68A89D5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27A92C0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200C154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0A99898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hideMark/>
          </w:tcPr>
          <w:p w14:paraId="3F3EE5F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tcPr>
          <w:p w14:paraId="6B09760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6502761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7B965C12"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25C21C58" w14:textId="77777777" w:rsidR="00595364" w:rsidRPr="003731A3" w:rsidRDefault="001569E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Classement</w:t>
            </w:r>
          </w:p>
        </w:tc>
        <w:tc>
          <w:tcPr>
            <w:tcW w:w="561" w:type="pct"/>
            <w:shd w:val="clear" w:color="auto" w:fill="auto"/>
            <w:vAlign w:val="bottom"/>
          </w:tcPr>
          <w:p w14:paraId="22C62C5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27A0E82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hideMark/>
          </w:tcPr>
          <w:p w14:paraId="62F7812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31" w:type="pct"/>
            <w:shd w:val="clear" w:color="auto" w:fill="auto"/>
            <w:vAlign w:val="bottom"/>
            <w:hideMark/>
          </w:tcPr>
          <w:p w14:paraId="4C23871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28</w:t>
            </w:r>
          </w:p>
        </w:tc>
        <w:tc>
          <w:tcPr>
            <w:tcW w:w="523" w:type="pct"/>
            <w:shd w:val="clear" w:color="auto" w:fill="auto"/>
            <w:vAlign w:val="bottom"/>
            <w:hideMark/>
          </w:tcPr>
          <w:p w14:paraId="0A02853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hideMark/>
          </w:tcPr>
          <w:p w14:paraId="1DBCDB6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21" w:type="pct"/>
            <w:shd w:val="clear" w:color="auto" w:fill="auto"/>
            <w:vAlign w:val="bottom"/>
            <w:hideMark/>
          </w:tcPr>
          <w:p w14:paraId="713AE5F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35</w:t>
            </w:r>
          </w:p>
        </w:tc>
      </w:tr>
      <w:tr w:rsidR="00595364" w:rsidRPr="003731A3" w14:paraId="2015E8D5"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5257293B"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Action éteinte</w:t>
            </w:r>
          </w:p>
        </w:tc>
        <w:tc>
          <w:tcPr>
            <w:tcW w:w="561" w:type="pct"/>
            <w:shd w:val="clear" w:color="auto" w:fill="auto"/>
            <w:vAlign w:val="bottom"/>
            <w:hideMark/>
          </w:tcPr>
          <w:p w14:paraId="74D59EA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tcPr>
          <w:p w14:paraId="4234BE9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7C818BB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10DAB16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30D5351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7E63217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3C0828E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0CD2FD01"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391EEBA"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Rejet</w:t>
            </w:r>
          </w:p>
        </w:tc>
        <w:tc>
          <w:tcPr>
            <w:tcW w:w="561" w:type="pct"/>
            <w:shd w:val="clear" w:color="auto" w:fill="auto"/>
            <w:vAlign w:val="bottom"/>
            <w:hideMark/>
          </w:tcPr>
          <w:p w14:paraId="108003A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166</w:t>
            </w:r>
          </w:p>
        </w:tc>
        <w:tc>
          <w:tcPr>
            <w:tcW w:w="579" w:type="pct"/>
            <w:shd w:val="clear" w:color="auto" w:fill="auto"/>
            <w:vAlign w:val="bottom"/>
            <w:hideMark/>
          </w:tcPr>
          <w:p w14:paraId="1A18EC5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187</w:t>
            </w:r>
          </w:p>
        </w:tc>
        <w:tc>
          <w:tcPr>
            <w:tcW w:w="513" w:type="pct"/>
            <w:shd w:val="clear" w:color="auto" w:fill="auto"/>
            <w:vAlign w:val="bottom"/>
            <w:hideMark/>
          </w:tcPr>
          <w:p w14:paraId="492FBB2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263</w:t>
            </w:r>
          </w:p>
        </w:tc>
        <w:tc>
          <w:tcPr>
            <w:tcW w:w="531" w:type="pct"/>
            <w:shd w:val="clear" w:color="auto" w:fill="auto"/>
            <w:vAlign w:val="bottom"/>
            <w:hideMark/>
          </w:tcPr>
          <w:p w14:paraId="472C3A3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219</w:t>
            </w:r>
          </w:p>
        </w:tc>
        <w:tc>
          <w:tcPr>
            <w:tcW w:w="523" w:type="pct"/>
            <w:shd w:val="clear" w:color="auto" w:fill="auto"/>
            <w:vAlign w:val="bottom"/>
            <w:hideMark/>
          </w:tcPr>
          <w:p w14:paraId="06C2F2E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107</w:t>
            </w:r>
          </w:p>
        </w:tc>
        <w:tc>
          <w:tcPr>
            <w:tcW w:w="522" w:type="pct"/>
            <w:shd w:val="clear" w:color="auto" w:fill="auto"/>
            <w:vAlign w:val="bottom"/>
            <w:hideMark/>
          </w:tcPr>
          <w:p w14:paraId="7FEE53D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53</w:t>
            </w:r>
          </w:p>
        </w:tc>
        <w:tc>
          <w:tcPr>
            <w:tcW w:w="521" w:type="pct"/>
            <w:shd w:val="clear" w:color="auto" w:fill="auto"/>
            <w:vAlign w:val="bottom"/>
            <w:hideMark/>
          </w:tcPr>
          <w:p w14:paraId="75139F4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995</w:t>
            </w:r>
          </w:p>
        </w:tc>
      </w:tr>
      <w:tr w:rsidR="00595364" w:rsidRPr="003731A3" w14:paraId="1EDF3FAA"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540D37A"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Suspension ou accord</w:t>
            </w:r>
            <w:r w:rsidR="00595364" w:rsidRPr="003731A3">
              <w:rPr>
                <w:rFonts w:eastAsia="SimSun"/>
                <w:color w:val="auto"/>
                <w:sz w:val="18"/>
                <w:lang w:val="fr-CH"/>
              </w:rPr>
              <w:t xml:space="preserve"> </w:t>
            </w:r>
          </w:p>
        </w:tc>
        <w:tc>
          <w:tcPr>
            <w:tcW w:w="561" w:type="pct"/>
            <w:shd w:val="clear" w:color="auto" w:fill="auto"/>
            <w:vAlign w:val="bottom"/>
          </w:tcPr>
          <w:p w14:paraId="72FDA71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07FF166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tcPr>
          <w:p w14:paraId="600B8EE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3675850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hideMark/>
          </w:tcPr>
          <w:p w14:paraId="557CA92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tcPr>
          <w:p w14:paraId="2A72B1B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0D194E5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w:t>
            </w:r>
          </w:p>
        </w:tc>
      </w:tr>
      <w:tr w:rsidR="00595364" w:rsidRPr="003731A3" w14:paraId="5AE25CCC"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759A3159"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Non-lieu</w:t>
            </w:r>
          </w:p>
        </w:tc>
        <w:tc>
          <w:tcPr>
            <w:tcW w:w="561" w:type="pct"/>
            <w:shd w:val="clear" w:color="auto" w:fill="auto"/>
            <w:vAlign w:val="bottom"/>
            <w:hideMark/>
          </w:tcPr>
          <w:p w14:paraId="3764264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8</w:t>
            </w:r>
          </w:p>
        </w:tc>
        <w:tc>
          <w:tcPr>
            <w:tcW w:w="579" w:type="pct"/>
            <w:shd w:val="clear" w:color="auto" w:fill="auto"/>
            <w:vAlign w:val="bottom"/>
            <w:hideMark/>
          </w:tcPr>
          <w:p w14:paraId="181E6BA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w:t>
            </w:r>
          </w:p>
        </w:tc>
        <w:tc>
          <w:tcPr>
            <w:tcW w:w="513" w:type="pct"/>
            <w:shd w:val="clear" w:color="auto" w:fill="auto"/>
            <w:vAlign w:val="bottom"/>
            <w:hideMark/>
          </w:tcPr>
          <w:p w14:paraId="6214E66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12</w:t>
            </w:r>
          </w:p>
        </w:tc>
        <w:tc>
          <w:tcPr>
            <w:tcW w:w="531" w:type="pct"/>
            <w:shd w:val="clear" w:color="auto" w:fill="auto"/>
            <w:vAlign w:val="bottom"/>
            <w:hideMark/>
          </w:tcPr>
          <w:p w14:paraId="56D78CC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27</w:t>
            </w:r>
          </w:p>
        </w:tc>
        <w:tc>
          <w:tcPr>
            <w:tcW w:w="523" w:type="pct"/>
            <w:shd w:val="clear" w:color="auto" w:fill="auto"/>
            <w:vAlign w:val="bottom"/>
            <w:hideMark/>
          </w:tcPr>
          <w:p w14:paraId="2640913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15</w:t>
            </w:r>
          </w:p>
        </w:tc>
        <w:tc>
          <w:tcPr>
            <w:tcW w:w="522" w:type="pct"/>
            <w:shd w:val="clear" w:color="auto" w:fill="auto"/>
            <w:vAlign w:val="bottom"/>
            <w:hideMark/>
          </w:tcPr>
          <w:p w14:paraId="160F226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w:t>
            </w:r>
          </w:p>
        </w:tc>
        <w:tc>
          <w:tcPr>
            <w:tcW w:w="521" w:type="pct"/>
            <w:shd w:val="clear" w:color="auto" w:fill="auto"/>
            <w:vAlign w:val="bottom"/>
            <w:hideMark/>
          </w:tcPr>
          <w:p w14:paraId="5DA6965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71</w:t>
            </w:r>
          </w:p>
        </w:tc>
      </w:tr>
      <w:tr w:rsidR="00595364" w:rsidRPr="003731A3" w14:paraId="70AE13F0"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90EEC1B"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Oruro</w:t>
            </w:r>
          </w:p>
        </w:tc>
        <w:tc>
          <w:tcPr>
            <w:tcW w:w="561" w:type="pct"/>
            <w:shd w:val="clear" w:color="auto" w:fill="auto"/>
            <w:vAlign w:val="bottom"/>
            <w:hideMark/>
          </w:tcPr>
          <w:p w14:paraId="0C84942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8</w:t>
            </w:r>
          </w:p>
        </w:tc>
        <w:tc>
          <w:tcPr>
            <w:tcW w:w="579" w:type="pct"/>
            <w:shd w:val="clear" w:color="auto" w:fill="auto"/>
            <w:vAlign w:val="bottom"/>
            <w:hideMark/>
          </w:tcPr>
          <w:p w14:paraId="5534C64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21</w:t>
            </w:r>
          </w:p>
        </w:tc>
        <w:tc>
          <w:tcPr>
            <w:tcW w:w="513" w:type="pct"/>
            <w:shd w:val="clear" w:color="auto" w:fill="auto"/>
            <w:vAlign w:val="bottom"/>
            <w:hideMark/>
          </w:tcPr>
          <w:p w14:paraId="64A691E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22</w:t>
            </w:r>
          </w:p>
        </w:tc>
        <w:tc>
          <w:tcPr>
            <w:tcW w:w="531" w:type="pct"/>
            <w:shd w:val="clear" w:color="auto" w:fill="auto"/>
            <w:vAlign w:val="bottom"/>
            <w:hideMark/>
          </w:tcPr>
          <w:p w14:paraId="6537AF5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43</w:t>
            </w:r>
          </w:p>
        </w:tc>
        <w:tc>
          <w:tcPr>
            <w:tcW w:w="523" w:type="pct"/>
            <w:shd w:val="clear" w:color="auto" w:fill="auto"/>
            <w:vAlign w:val="bottom"/>
            <w:hideMark/>
          </w:tcPr>
          <w:p w14:paraId="244EA2C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21</w:t>
            </w:r>
          </w:p>
        </w:tc>
        <w:tc>
          <w:tcPr>
            <w:tcW w:w="522" w:type="pct"/>
            <w:shd w:val="clear" w:color="auto" w:fill="auto"/>
            <w:vAlign w:val="bottom"/>
            <w:hideMark/>
          </w:tcPr>
          <w:p w14:paraId="77C8788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46</w:t>
            </w:r>
          </w:p>
        </w:tc>
        <w:tc>
          <w:tcPr>
            <w:tcW w:w="521" w:type="pct"/>
            <w:shd w:val="clear" w:color="auto" w:fill="auto"/>
            <w:vAlign w:val="bottom"/>
            <w:hideMark/>
          </w:tcPr>
          <w:p w14:paraId="60C495A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161</w:t>
            </w:r>
          </w:p>
        </w:tc>
      </w:tr>
      <w:tr w:rsidR="00595364" w:rsidRPr="003731A3" w14:paraId="23E795A0"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13FCA15"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cours</w:t>
            </w:r>
            <w:r w:rsidR="001561A6" w:rsidRPr="003731A3">
              <w:rPr>
                <w:rFonts w:eastAsia="SimSun"/>
                <w:color w:val="auto"/>
                <w:sz w:val="18"/>
                <w:lang w:val="fr-CH"/>
              </w:rPr>
              <w:t xml:space="preserve"> </w:t>
            </w:r>
          </w:p>
        </w:tc>
        <w:tc>
          <w:tcPr>
            <w:tcW w:w="561" w:type="pct"/>
            <w:shd w:val="clear" w:color="auto" w:fill="auto"/>
            <w:vAlign w:val="bottom"/>
            <w:hideMark/>
          </w:tcPr>
          <w:p w14:paraId="6738770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79" w:type="pct"/>
            <w:shd w:val="clear" w:color="auto" w:fill="auto"/>
            <w:vAlign w:val="bottom"/>
            <w:hideMark/>
          </w:tcPr>
          <w:p w14:paraId="7C3BE50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hideMark/>
          </w:tcPr>
          <w:p w14:paraId="20CDCC9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31" w:type="pct"/>
            <w:shd w:val="clear" w:color="auto" w:fill="auto"/>
            <w:vAlign w:val="bottom"/>
            <w:hideMark/>
          </w:tcPr>
          <w:p w14:paraId="122F1D6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hideMark/>
          </w:tcPr>
          <w:p w14:paraId="348853C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22" w:type="pct"/>
            <w:shd w:val="clear" w:color="auto" w:fill="auto"/>
            <w:vAlign w:val="bottom"/>
            <w:hideMark/>
          </w:tcPr>
          <w:p w14:paraId="6D04000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31</w:t>
            </w:r>
          </w:p>
        </w:tc>
        <w:tc>
          <w:tcPr>
            <w:tcW w:w="521" w:type="pct"/>
            <w:shd w:val="clear" w:color="auto" w:fill="auto"/>
            <w:vAlign w:val="bottom"/>
            <w:hideMark/>
          </w:tcPr>
          <w:p w14:paraId="4D8289A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47</w:t>
            </w:r>
          </w:p>
        </w:tc>
      </w:tr>
      <w:tr w:rsidR="00595364" w:rsidRPr="003731A3" w14:paraId="3E90005E"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663D952"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Procédure abrégée</w:t>
            </w:r>
            <w:r w:rsidR="00595364" w:rsidRPr="003731A3">
              <w:rPr>
                <w:rFonts w:eastAsia="SimSun"/>
                <w:color w:val="auto"/>
                <w:sz w:val="18"/>
                <w:lang w:val="fr-CH"/>
              </w:rPr>
              <w:t xml:space="preserve"> </w:t>
            </w:r>
          </w:p>
        </w:tc>
        <w:tc>
          <w:tcPr>
            <w:tcW w:w="561" w:type="pct"/>
            <w:shd w:val="clear" w:color="auto" w:fill="auto"/>
            <w:vAlign w:val="bottom"/>
          </w:tcPr>
          <w:p w14:paraId="3F94C92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49F49C2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tcPr>
          <w:p w14:paraId="4817619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44083E3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0B46B13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3208AB6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11A33E0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5B7AEE67"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56ADDDB"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Acquittement</w:t>
            </w:r>
          </w:p>
        </w:tc>
        <w:tc>
          <w:tcPr>
            <w:tcW w:w="561" w:type="pct"/>
            <w:shd w:val="clear" w:color="auto" w:fill="auto"/>
            <w:vAlign w:val="bottom"/>
          </w:tcPr>
          <w:p w14:paraId="5FCDEDE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7A2BA9F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hideMark/>
          </w:tcPr>
          <w:p w14:paraId="7824C27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3545701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43EA6EA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13A5163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3F52831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15257EED"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618CD59"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Condamnation</w:t>
            </w:r>
          </w:p>
        </w:tc>
        <w:tc>
          <w:tcPr>
            <w:tcW w:w="561" w:type="pct"/>
            <w:shd w:val="clear" w:color="auto" w:fill="auto"/>
            <w:vAlign w:val="bottom"/>
          </w:tcPr>
          <w:p w14:paraId="508A805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6C6A352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tcPr>
          <w:p w14:paraId="41856E0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36DA2AF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tcPr>
          <w:p w14:paraId="6AAE9F8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482A72B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1F80395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638C3212"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5A831147"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Classement</w:t>
            </w:r>
          </w:p>
        </w:tc>
        <w:tc>
          <w:tcPr>
            <w:tcW w:w="561" w:type="pct"/>
            <w:shd w:val="clear" w:color="auto" w:fill="auto"/>
            <w:vAlign w:val="bottom"/>
          </w:tcPr>
          <w:p w14:paraId="713AC00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75E6F58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38666CC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31" w:type="pct"/>
            <w:shd w:val="clear" w:color="auto" w:fill="auto"/>
            <w:vAlign w:val="bottom"/>
          </w:tcPr>
          <w:p w14:paraId="4C68BAD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hideMark/>
          </w:tcPr>
          <w:p w14:paraId="68D4465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2" w:type="pct"/>
            <w:shd w:val="clear" w:color="auto" w:fill="auto"/>
            <w:vAlign w:val="bottom"/>
            <w:hideMark/>
          </w:tcPr>
          <w:p w14:paraId="329C0E1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27D64E7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6</w:t>
            </w:r>
          </w:p>
        </w:tc>
      </w:tr>
      <w:tr w:rsidR="00595364" w:rsidRPr="003731A3" w14:paraId="1A7943B6"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469C165"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Rejet</w:t>
            </w:r>
          </w:p>
        </w:tc>
        <w:tc>
          <w:tcPr>
            <w:tcW w:w="561" w:type="pct"/>
            <w:shd w:val="clear" w:color="auto" w:fill="auto"/>
            <w:vAlign w:val="bottom"/>
            <w:hideMark/>
          </w:tcPr>
          <w:p w14:paraId="382D05E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79" w:type="pct"/>
            <w:shd w:val="clear" w:color="auto" w:fill="auto"/>
            <w:vAlign w:val="bottom"/>
            <w:hideMark/>
          </w:tcPr>
          <w:p w14:paraId="324829F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15</w:t>
            </w:r>
          </w:p>
        </w:tc>
        <w:tc>
          <w:tcPr>
            <w:tcW w:w="513" w:type="pct"/>
            <w:shd w:val="clear" w:color="auto" w:fill="auto"/>
            <w:vAlign w:val="bottom"/>
            <w:hideMark/>
          </w:tcPr>
          <w:p w14:paraId="157EA14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11</w:t>
            </w:r>
          </w:p>
        </w:tc>
        <w:tc>
          <w:tcPr>
            <w:tcW w:w="531" w:type="pct"/>
            <w:shd w:val="clear" w:color="auto" w:fill="auto"/>
            <w:vAlign w:val="bottom"/>
            <w:hideMark/>
          </w:tcPr>
          <w:p w14:paraId="35FEE62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41</w:t>
            </w:r>
          </w:p>
        </w:tc>
        <w:tc>
          <w:tcPr>
            <w:tcW w:w="523" w:type="pct"/>
            <w:shd w:val="clear" w:color="auto" w:fill="auto"/>
            <w:vAlign w:val="bottom"/>
            <w:hideMark/>
          </w:tcPr>
          <w:p w14:paraId="0ECF740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12</w:t>
            </w:r>
          </w:p>
        </w:tc>
        <w:tc>
          <w:tcPr>
            <w:tcW w:w="522" w:type="pct"/>
            <w:shd w:val="clear" w:color="auto" w:fill="auto"/>
            <w:vAlign w:val="bottom"/>
            <w:hideMark/>
          </w:tcPr>
          <w:p w14:paraId="47A3FE6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12</w:t>
            </w:r>
          </w:p>
        </w:tc>
        <w:tc>
          <w:tcPr>
            <w:tcW w:w="521" w:type="pct"/>
            <w:shd w:val="clear" w:color="auto" w:fill="auto"/>
            <w:vAlign w:val="bottom"/>
            <w:hideMark/>
          </w:tcPr>
          <w:p w14:paraId="79645E0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94</w:t>
            </w:r>
          </w:p>
        </w:tc>
      </w:tr>
      <w:tr w:rsidR="00595364" w:rsidRPr="003731A3" w14:paraId="1382EB3D"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9276413"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Suspension ou accord</w:t>
            </w:r>
          </w:p>
        </w:tc>
        <w:tc>
          <w:tcPr>
            <w:tcW w:w="561" w:type="pct"/>
            <w:shd w:val="clear" w:color="auto" w:fill="auto"/>
            <w:vAlign w:val="bottom"/>
          </w:tcPr>
          <w:p w14:paraId="3737074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551E97C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tcPr>
          <w:p w14:paraId="11B2034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7534FEB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0D1D256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32308F6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0BFA11A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209AC31E"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20873AE9"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Non-lieu</w:t>
            </w:r>
          </w:p>
        </w:tc>
        <w:tc>
          <w:tcPr>
            <w:tcW w:w="561" w:type="pct"/>
            <w:shd w:val="clear" w:color="auto" w:fill="auto"/>
            <w:vAlign w:val="bottom"/>
            <w:hideMark/>
          </w:tcPr>
          <w:p w14:paraId="7EEBB58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tcPr>
          <w:p w14:paraId="339F5DA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03D7807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w:t>
            </w:r>
          </w:p>
        </w:tc>
        <w:tc>
          <w:tcPr>
            <w:tcW w:w="531" w:type="pct"/>
            <w:shd w:val="clear" w:color="auto" w:fill="auto"/>
            <w:vAlign w:val="bottom"/>
          </w:tcPr>
          <w:p w14:paraId="7D69328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hideMark/>
          </w:tcPr>
          <w:p w14:paraId="47C4F75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22" w:type="pct"/>
            <w:shd w:val="clear" w:color="auto" w:fill="auto"/>
            <w:vAlign w:val="bottom"/>
            <w:hideMark/>
          </w:tcPr>
          <w:p w14:paraId="6A52377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6F26050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8</w:t>
            </w:r>
          </w:p>
        </w:tc>
      </w:tr>
      <w:tr w:rsidR="00595364" w:rsidRPr="003731A3" w14:paraId="374597CC"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C3C21F3"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Pando</w:t>
            </w:r>
          </w:p>
        </w:tc>
        <w:tc>
          <w:tcPr>
            <w:tcW w:w="561" w:type="pct"/>
            <w:shd w:val="clear" w:color="auto" w:fill="auto"/>
            <w:vAlign w:val="bottom"/>
            <w:hideMark/>
          </w:tcPr>
          <w:p w14:paraId="59EF4F2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79" w:type="pct"/>
            <w:shd w:val="clear" w:color="auto" w:fill="auto"/>
            <w:vAlign w:val="bottom"/>
            <w:hideMark/>
          </w:tcPr>
          <w:p w14:paraId="4CBB758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13" w:type="pct"/>
            <w:shd w:val="clear" w:color="auto" w:fill="auto"/>
            <w:vAlign w:val="bottom"/>
            <w:hideMark/>
          </w:tcPr>
          <w:p w14:paraId="4E98ECB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12</w:t>
            </w:r>
          </w:p>
        </w:tc>
        <w:tc>
          <w:tcPr>
            <w:tcW w:w="531" w:type="pct"/>
            <w:shd w:val="clear" w:color="auto" w:fill="auto"/>
            <w:vAlign w:val="bottom"/>
            <w:hideMark/>
          </w:tcPr>
          <w:p w14:paraId="5BBE5AE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6</w:t>
            </w:r>
          </w:p>
        </w:tc>
        <w:tc>
          <w:tcPr>
            <w:tcW w:w="523" w:type="pct"/>
            <w:shd w:val="clear" w:color="auto" w:fill="auto"/>
            <w:vAlign w:val="bottom"/>
            <w:hideMark/>
          </w:tcPr>
          <w:p w14:paraId="30B17C9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13</w:t>
            </w:r>
          </w:p>
        </w:tc>
        <w:tc>
          <w:tcPr>
            <w:tcW w:w="522" w:type="pct"/>
            <w:shd w:val="clear" w:color="auto" w:fill="auto"/>
            <w:vAlign w:val="bottom"/>
            <w:hideMark/>
          </w:tcPr>
          <w:p w14:paraId="2405D40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1" w:type="pct"/>
            <w:shd w:val="clear" w:color="auto" w:fill="auto"/>
            <w:vAlign w:val="bottom"/>
            <w:hideMark/>
          </w:tcPr>
          <w:p w14:paraId="0EA3A6E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40</w:t>
            </w:r>
          </w:p>
        </w:tc>
      </w:tr>
      <w:tr w:rsidR="00595364" w:rsidRPr="003731A3" w14:paraId="24179A64"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3DD3E56"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cours</w:t>
            </w:r>
          </w:p>
        </w:tc>
        <w:tc>
          <w:tcPr>
            <w:tcW w:w="561" w:type="pct"/>
            <w:shd w:val="clear" w:color="auto" w:fill="auto"/>
            <w:vAlign w:val="bottom"/>
          </w:tcPr>
          <w:p w14:paraId="59AD18D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609E173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tcPr>
          <w:p w14:paraId="2BEE6F0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752640A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hideMark/>
          </w:tcPr>
          <w:p w14:paraId="578B09B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22" w:type="pct"/>
            <w:shd w:val="clear" w:color="auto" w:fill="auto"/>
            <w:vAlign w:val="bottom"/>
          </w:tcPr>
          <w:p w14:paraId="0C01144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20742E0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6656942B"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88AB6DC"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Condamnation</w:t>
            </w:r>
            <w:r w:rsidR="00595364" w:rsidRPr="003731A3">
              <w:rPr>
                <w:rFonts w:eastAsia="SimSun"/>
                <w:color w:val="auto"/>
                <w:sz w:val="18"/>
                <w:lang w:val="fr-CH"/>
              </w:rPr>
              <w:t xml:space="preserve"> </w:t>
            </w:r>
          </w:p>
        </w:tc>
        <w:tc>
          <w:tcPr>
            <w:tcW w:w="561" w:type="pct"/>
            <w:shd w:val="clear" w:color="auto" w:fill="auto"/>
            <w:vAlign w:val="bottom"/>
          </w:tcPr>
          <w:p w14:paraId="3C95E92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5E1EE8E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62D95D9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47E8B09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44CA796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26A120C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0E72D4B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1DCA4E73"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227F17DB"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Classement</w:t>
            </w:r>
          </w:p>
        </w:tc>
        <w:tc>
          <w:tcPr>
            <w:tcW w:w="561" w:type="pct"/>
            <w:shd w:val="clear" w:color="auto" w:fill="auto"/>
            <w:vAlign w:val="bottom"/>
          </w:tcPr>
          <w:p w14:paraId="00C2E50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4FDA224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7E61CF9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31" w:type="pct"/>
            <w:shd w:val="clear" w:color="auto" w:fill="auto"/>
            <w:vAlign w:val="bottom"/>
            <w:hideMark/>
          </w:tcPr>
          <w:p w14:paraId="0966ACD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23" w:type="pct"/>
            <w:shd w:val="clear" w:color="auto" w:fill="auto"/>
            <w:vAlign w:val="bottom"/>
            <w:hideMark/>
          </w:tcPr>
          <w:p w14:paraId="4300FEF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w:t>
            </w:r>
          </w:p>
        </w:tc>
        <w:tc>
          <w:tcPr>
            <w:tcW w:w="522" w:type="pct"/>
            <w:shd w:val="clear" w:color="auto" w:fill="auto"/>
            <w:vAlign w:val="bottom"/>
            <w:hideMark/>
          </w:tcPr>
          <w:p w14:paraId="1842C55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5499727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12</w:t>
            </w:r>
          </w:p>
        </w:tc>
      </w:tr>
      <w:tr w:rsidR="00595364" w:rsidRPr="003731A3" w14:paraId="55BEB9E4"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75306339"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Rejet</w:t>
            </w:r>
          </w:p>
        </w:tc>
        <w:tc>
          <w:tcPr>
            <w:tcW w:w="561" w:type="pct"/>
            <w:shd w:val="clear" w:color="auto" w:fill="auto"/>
            <w:vAlign w:val="bottom"/>
            <w:hideMark/>
          </w:tcPr>
          <w:p w14:paraId="5C5B6C8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79" w:type="pct"/>
            <w:shd w:val="clear" w:color="auto" w:fill="auto"/>
            <w:vAlign w:val="bottom"/>
            <w:hideMark/>
          </w:tcPr>
          <w:p w14:paraId="3A605E5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hideMark/>
          </w:tcPr>
          <w:p w14:paraId="1E0F6EB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8</w:t>
            </w:r>
          </w:p>
        </w:tc>
        <w:tc>
          <w:tcPr>
            <w:tcW w:w="531" w:type="pct"/>
            <w:shd w:val="clear" w:color="auto" w:fill="auto"/>
            <w:vAlign w:val="bottom"/>
            <w:hideMark/>
          </w:tcPr>
          <w:p w14:paraId="5117572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3" w:type="pct"/>
            <w:shd w:val="clear" w:color="auto" w:fill="auto"/>
            <w:vAlign w:val="bottom"/>
            <w:hideMark/>
          </w:tcPr>
          <w:p w14:paraId="0776F92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w:t>
            </w:r>
          </w:p>
        </w:tc>
        <w:tc>
          <w:tcPr>
            <w:tcW w:w="522" w:type="pct"/>
            <w:shd w:val="clear" w:color="auto" w:fill="auto"/>
            <w:vAlign w:val="bottom"/>
            <w:hideMark/>
          </w:tcPr>
          <w:p w14:paraId="7A41881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21" w:type="pct"/>
            <w:shd w:val="clear" w:color="auto" w:fill="auto"/>
            <w:vAlign w:val="bottom"/>
            <w:hideMark/>
          </w:tcPr>
          <w:p w14:paraId="3F0FA1C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22</w:t>
            </w:r>
          </w:p>
        </w:tc>
      </w:tr>
      <w:tr w:rsidR="00595364" w:rsidRPr="003731A3" w14:paraId="49C69824"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0EE552B"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Non-lieu</w:t>
            </w:r>
          </w:p>
        </w:tc>
        <w:tc>
          <w:tcPr>
            <w:tcW w:w="561" w:type="pct"/>
            <w:shd w:val="clear" w:color="auto" w:fill="auto"/>
            <w:vAlign w:val="bottom"/>
          </w:tcPr>
          <w:p w14:paraId="2246175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75F9E10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hideMark/>
          </w:tcPr>
          <w:p w14:paraId="0E39EE5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5F79F0C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6417B6D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7CCE7C8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188BE46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11DE37CC"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2C76A8D"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 xml:space="preserve">Potosí </w:t>
            </w:r>
          </w:p>
        </w:tc>
        <w:tc>
          <w:tcPr>
            <w:tcW w:w="561" w:type="pct"/>
            <w:shd w:val="clear" w:color="auto" w:fill="auto"/>
            <w:vAlign w:val="bottom"/>
            <w:hideMark/>
          </w:tcPr>
          <w:p w14:paraId="174F9C6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8</w:t>
            </w:r>
          </w:p>
        </w:tc>
        <w:tc>
          <w:tcPr>
            <w:tcW w:w="579" w:type="pct"/>
            <w:shd w:val="clear" w:color="auto" w:fill="auto"/>
            <w:vAlign w:val="bottom"/>
            <w:hideMark/>
          </w:tcPr>
          <w:p w14:paraId="642F2A6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17</w:t>
            </w:r>
          </w:p>
        </w:tc>
        <w:tc>
          <w:tcPr>
            <w:tcW w:w="513" w:type="pct"/>
            <w:shd w:val="clear" w:color="auto" w:fill="auto"/>
            <w:vAlign w:val="bottom"/>
            <w:hideMark/>
          </w:tcPr>
          <w:p w14:paraId="007B74B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10</w:t>
            </w:r>
          </w:p>
        </w:tc>
        <w:tc>
          <w:tcPr>
            <w:tcW w:w="531" w:type="pct"/>
            <w:shd w:val="clear" w:color="auto" w:fill="auto"/>
            <w:vAlign w:val="bottom"/>
            <w:hideMark/>
          </w:tcPr>
          <w:p w14:paraId="1B3A21A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14</w:t>
            </w:r>
          </w:p>
        </w:tc>
        <w:tc>
          <w:tcPr>
            <w:tcW w:w="523" w:type="pct"/>
            <w:shd w:val="clear" w:color="auto" w:fill="auto"/>
            <w:vAlign w:val="bottom"/>
            <w:hideMark/>
          </w:tcPr>
          <w:p w14:paraId="202A810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21</w:t>
            </w:r>
          </w:p>
        </w:tc>
        <w:tc>
          <w:tcPr>
            <w:tcW w:w="522" w:type="pct"/>
            <w:shd w:val="clear" w:color="auto" w:fill="auto"/>
            <w:vAlign w:val="bottom"/>
            <w:hideMark/>
          </w:tcPr>
          <w:p w14:paraId="19A3C73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18</w:t>
            </w:r>
          </w:p>
        </w:tc>
        <w:tc>
          <w:tcPr>
            <w:tcW w:w="521" w:type="pct"/>
            <w:shd w:val="clear" w:color="auto" w:fill="auto"/>
            <w:vAlign w:val="bottom"/>
            <w:hideMark/>
          </w:tcPr>
          <w:p w14:paraId="3B1E3B8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88</w:t>
            </w:r>
          </w:p>
        </w:tc>
      </w:tr>
      <w:tr w:rsidR="00595364" w:rsidRPr="003731A3" w14:paraId="61BA9A17"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50F3A12"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cours</w:t>
            </w:r>
          </w:p>
        </w:tc>
        <w:tc>
          <w:tcPr>
            <w:tcW w:w="561" w:type="pct"/>
            <w:shd w:val="clear" w:color="auto" w:fill="auto"/>
            <w:vAlign w:val="bottom"/>
          </w:tcPr>
          <w:p w14:paraId="0433776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4579042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tcPr>
          <w:p w14:paraId="4EA16CE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21DB320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w:t>
            </w:r>
          </w:p>
        </w:tc>
        <w:tc>
          <w:tcPr>
            <w:tcW w:w="523" w:type="pct"/>
            <w:shd w:val="clear" w:color="auto" w:fill="auto"/>
            <w:vAlign w:val="bottom"/>
            <w:hideMark/>
          </w:tcPr>
          <w:p w14:paraId="711C2B0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w:t>
            </w:r>
          </w:p>
        </w:tc>
        <w:tc>
          <w:tcPr>
            <w:tcW w:w="522" w:type="pct"/>
            <w:shd w:val="clear" w:color="auto" w:fill="auto"/>
            <w:vAlign w:val="bottom"/>
            <w:hideMark/>
          </w:tcPr>
          <w:p w14:paraId="60AAE97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w:t>
            </w:r>
          </w:p>
        </w:tc>
        <w:tc>
          <w:tcPr>
            <w:tcW w:w="521" w:type="pct"/>
            <w:shd w:val="clear" w:color="auto" w:fill="auto"/>
            <w:vAlign w:val="bottom"/>
            <w:hideMark/>
          </w:tcPr>
          <w:p w14:paraId="17CAFF8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17</w:t>
            </w:r>
          </w:p>
        </w:tc>
      </w:tr>
      <w:tr w:rsidR="00595364" w:rsidRPr="003731A3" w14:paraId="2E45AD4C"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EB64457"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Procédure abrégée</w:t>
            </w:r>
            <w:r w:rsidR="00595364" w:rsidRPr="003731A3">
              <w:rPr>
                <w:rFonts w:eastAsia="SimSun"/>
                <w:color w:val="auto"/>
                <w:sz w:val="18"/>
                <w:lang w:val="fr-CH"/>
              </w:rPr>
              <w:t xml:space="preserve"> </w:t>
            </w:r>
          </w:p>
        </w:tc>
        <w:tc>
          <w:tcPr>
            <w:tcW w:w="561" w:type="pct"/>
            <w:shd w:val="clear" w:color="auto" w:fill="auto"/>
            <w:vAlign w:val="bottom"/>
          </w:tcPr>
          <w:p w14:paraId="41688B3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62B2372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69FB333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64E82FC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3A7DAF9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hideMark/>
          </w:tcPr>
          <w:p w14:paraId="02C747C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321A193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0D9B0A01"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215F914"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Clôture (autre)</w:t>
            </w:r>
          </w:p>
        </w:tc>
        <w:tc>
          <w:tcPr>
            <w:tcW w:w="561" w:type="pct"/>
            <w:shd w:val="clear" w:color="auto" w:fill="auto"/>
            <w:vAlign w:val="bottom"/>
            <w:hideMark/>
          </w:tcPr>
          <w:p w14:paraId="60013E2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hideMark/>
          </w:tcPr>
          <w:p w14:paraId="2AB9EF0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tcPr>
          <w:p w14:paraId="3A13B45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20FB1EF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5CDEBE2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68316CE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4B2CB7F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65FBA9BC"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FDB7878"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Condamnation</w:t>
            </w:r>
            <w:r w:rsidR="00595364" w:rsidRPr="003731A3">
              <w:rPr>
                <w:rFonts w:eastAsia="SimSun"/>
                <w:color w:val="auto"/>
                <w:sz w:val="18"/>
                <w:lang w:val="fr-CH"/>
              </w:rPr>
              <w:t xml:space="preserve"> </w:t>
            </w:r>
          </w:p>
        </w:tc>
        <w:tc>
          <w:tcPr>
            <w:tcW w:w="561" w:type="pct"/>
            <w:shd w:val="clear" w:color="auto" w:fill="auto"/>
            <w:vAlign w:val="bottom"/>
            <w:hideMark/>
          </w:tcPr>
          <w:p w14:paraId="71A95E9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tcPr>
          <w:p w14:paraId="099EE69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300185A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45720E9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43A7BC4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14EE094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0AE7498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665BDB7C"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2AB8344"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Exception d’incompétence</w:t>
            </w:r>
            <w:r w:rsidR="00595364" w:rsidRPr="003731A3">
              <w:rPr>
                <w:rFonts w:eastAsia="SimSun"/>
                <w:color w:val="auto"/>
                <w:sz w:val="18"/>
                <w:lang w:val="fr-CH"/>
              </w:rPr>
              <w:t xml:space="preserve"> </w:t>
            </w:r>
          </w:p>
        </w:tc>
        <w:tc>
          <w:tcPr>
            <w:tcW w:w="561" w:type="pct"/>
            <w:shd w:val="clear" w:color="auto" w:fill="auto"/>
            <w:vAlign w:val="bottom"/>
          </w:tcPr>
          <w:p w14:paraId="08D785B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4F32B32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670FA39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5E02DC5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hideMark/>
          </w:tcPr>
          <w:p w14:paraId="2ECD1B8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tcPr>
          <w:p w14:paraId="0DA5DCE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2F18D2C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22F01ED2"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D001C28" w14:textId="77777777" w:rsidR="00595364" w:rsidRPr="003731A3" w:rsidRDefault="001569E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Classement</w:t>
            </w:r>
            <w:r w:rsidR="00595364" w:rsidRPr="003731A3">
              <w:rPr>
                <w:rFonts w:eastAsia="SimSun"/>
                <w:color w:val="auto"/>
                <w:sz w:val="18"/>
                <w:lang w:val="fr-CH"/>
              </w:rPr>
              <w:t xml:space="preserve"> </w:t>
            </w:r>
          </w:p>
        </w:tc>
        <w:tc>
          <w:tcPr>
            <w:tcW w:w="561" w:type="pct"/>
            <w:shd w:val="clear" w:color="auto" w:fill="auto"/>
            <w:vAlign w:val="bottom"/>
          </w:tcPr>
          <w:p w14:paraId="38450AE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4BBF971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hideMark/>
          </w:tcPr>
          <w:p w14:paraId="1013DAB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31" w:type="pct"/>
            <w:shd w:val="clear" w:color="auto" w:fill="auto"/>
            <w:vAlign w:val="bottom"/>
            <w:hideMark/>
          </w:tcPr>
          <w:p w14:paraId="64B99EE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3" w:type="pct"/>
            <w:shd w:val="clear" w:color="auto" w:fill="auto"/>
            <w:vAlign w:val="bottom"/>
          </w:tcPr>
          <w:p w14:paraId="4010EAC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hideMark/>
          </w:tcPr>
          <w:p w14:paraId="640B308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1" w:type="pct"/>
            <w:shd w:val="clear" w:color="auto" w:fill="auto"/>
            <w:vAlign w:val="bottom"/>
            <w:hideMark/>
          </w:tcPr>
          <w:p w14:paraId="1C5278C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10</w:t>
            </w:r>
          </w:p>
        </w:tc>
      </w:tr>
      <w:tr w:rsidR="00595364" w:rsidRPr="003731A3" w14:paraId="385AC4AE"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70DB1E6D" w14:textId="77777777" w:rsidR="00595364" w:rsidRPr="003731A3" w:rsidRDefault="001569E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Rejet</w:t>
            </w:r>
          </w:p>
        </w:tc>
        <w:tc>
          <w:tcPr>
            <w:tcW w:w="561" w:type="pct"/>
            <w:shd w:val="clear" w:color="auto" w:fill="auto"/>
            <w:vAlign w:val="bottom"/>
            <w:hideMark/>
          </w:tcPr>
          <w:p w14:paraId="212B280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w:t>
            </w:r>
          </w:p>
        </w:tc>
        <w:tc>
          <w:tcPr>
            <w:tcW w:w="579" w:type="pct"/>
            <w:shd w:val="clear" w:color="auto" w:fill="auto"/>
            <w:vAlign w:val="bottom"/>
            <w:hideMark/>
          </w:tcPr>
          <w:p w14:paraId="0FAB1B5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13</w:t>
            </w:r>
          </w:p>
        </w:tc>
        <w:tc>
          <w:tcPr>
            <w:tcW w:w="513" w:type="pct"/>
            <w:shd w:val="clear" w:color="auto" w:fill="auto"/>
            <w:vAlign w:val="bottom"/>
            <w:hideMark/>
          </w:tcPr>
          <w:p w14:paraId="3245869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7</w:t>
            </w:r>
          </w:p>
        </w:tc>
        <w:tc>
          <w:tcPr>
            <w:tcW w:w="531" w:type="pct"/>
            <w:shd w:val="clear" w:color="auto" w:fill="auto"/>
            <w:vAlign w:val="bottom"/>
            <w:hideMark/>
          </w:tcPr>
          <w:p w14:paraId="304842F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7</w:t>
            </w:r>
          </w:p>
        </w:tc>
        <w:tc>
          <w:tcPr>
            <w:tcW w:w="523" w:type="pct"/>
            <w:shd w:val="clear" w:color="auto" w:fill="auto"/>
            <w:vAlign w:val="bottom"/>
            <w:hideMark/>
          </w:tcPr>
          <w:p w14:paraId="5F3DD2D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12</w:t>
            </w:r>
          </w:p>
        </w:tc>
        <w:tc>
          <w:tcPr>
            <w:tcW w:w="522" w:type="pct"/>
            <w:shd w:val="clear" w:color="auto" w:fill="auto"/>
            <w:vAlign w:val="bottom"/>
            <w:hideMark/>
          </w:tcPr>
          <w:p w14:paraId="61CEB5D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8</w:t>
            </w:r>
          </w:p>
        </w:tc>
        <w:tc>
          <w:tcPr>
            <w:tcW w:w="521" w:type="pct"/>
            <w:shd w:val="clear" w:color="auto" w:fill="auto"/>
            <w:vAlign w:val="bottom"/>
            <w:hideMark/>
          </w:tcPr>
          <w:p w14:paraId="5223896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53</w:t>
            </w:r>
          </w:p>
        </w:tc>
      </w:tr>
      <w:tr w:rsidR="00595364" w:rsidRPr="003731A3" w14:paraId="363F200D"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D380AA6"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Non-lieu</w:t>
            </w:r>
            <w:r w:rsidR="00595364" w:rsidRPr="003731A3">
              <w:rPr>
                <w:rFonts w:eastAsia="SimSun"/>
                <w:color w:val="auto"/>
                <w:sz w:val="18"/>
                <w:lang w:val="fr-CH"/>
              </w:rPr>
              <w:t xml:space="preserve"> </w:t>
            </w:r>
          </w:p>
        </w:tc>
        <w:tc>
          <w:tcPr>
            <w:tcW w:w="561" w:type="pct"/>
            <w:shd w:val="clear" w:color="auto" w:fill="auto"/>
            <w:vAlign w:val="bottom"/>
          </w:tcPr>
          <w:p w14:paraId="39FD481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44C26BC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13" w:type="pct"/>
            <w:shd w:val="clear" w:color="auto" w:fill="auto"/>
            <w:vAlign w:val="bottom"/>
          </w:tcPr>
          <w:p w14:paraId="71AD5C3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22B7F9F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hideMark/>
          </w:tcPr>
          <w:p w14:paraId="06FDF50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22" w:type="pct"/>
            <w:shd w:val="clear" w:color="auto" w:fill="auto"/>
            <w:vAlign w:val="bottom"/>
          </w:tcPr>
          <w:p w14:paraId="57AD645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31EEEE7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3101EAD1"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2EBD5DE1"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 xml:space="preserve">Santa Cruz </w:t>
            </w:r>
          </w:p>
        </w:tc>
        <w:tc>
          <w:tcPr>
            <w:tcW w:w="561" w:type="pct"/>
            <w:shd w:val="clear" w:color="auto" w:fill="auto"/>
            <w:vAlign w:val="bottom"/>
            <w:hideMark/>
          </w:tcPr>
          <w:p w14:paraId="31C73B5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103</w:t>
            </w:r>
          </w:p>
        </w:tc>
        <w:tc>
          <w:tcPr>
            <w:tcW w:w="579" w:type="pct"/>
            <w:shd w:val="clear" w:color="auto" w:fill="auto"/>
            <w:vAlign w:val="bottom"/>
            <w:hideMark/>
          </w:tcPr>
          <w:p w14:paraId="433C075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118</w:t>
            </w:r>
          </w:p>
        </w:tc>
        <w:tc>
          <w:tcPr>
            <w:tcW w:w="513" w:type="pct"/>
            <w:shd w:val="clear" w:color="auto" w:fill="auto"/>
            <w:vAlign w:val="bottom"/>
            <w:hideMark/>
          </w:tcPr>
          <w:p w14:paraId="70F372A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93</w:t>
            </w:r>
          </w:p>
        </w:tc>
        <w:tc>
          <w:tcPr>
            <w:tcW w:w="531" w:type="pct"/>
            <w:shd w:val="clear" w:color="auto" w:fill="auto"/>
            <w:vAlign w:val="bottom"/>
            <w:hideMark/>
          </w:tcPr>
          <w:p w14:paraId="4682FBF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62</w:t>
            </w:r>
          </w:p>
        </w:tc>
        <w:tc>
          <w:tcPr>
            <w:tcW w:w="523" w:type="pct"/>
            <w:shd w:val="clear" w:color="auto" w:fill="auto"/>
            <w:vAlign w:val="bottom"/>
            <w:hideMark/>
          </w:tcPr>
          <w:p w14:paraId="2A07FCB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55</w:t>
            </w:r>
          </w:p>
        </w:tc>
        <w:tc>
          <w:tcPr>
            <w:tcW w:w="522" w:type="pct"/>
            <w:shd w:val="clear" w:color="auto" w:fill="auto"/>
            <w:vAlign w:val="bottom"/>
            <w:hideMark/>
          </w:tcPr>
          <w:p w14:paraId="0F7763E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54</w:t>
            </w:r>
          </w:p>
        </w:tc>
        <w:tc>
          <w:tcPr>
            <w:tcW w:w="521" w:type="pct"/>
            <w:shd w:val="clear" w:color="auto" w:fill="auto"/>
            <w:vAlign w:val="bottom"/>
            <w:hideMark/>
          </w:tcPr>
          <w:p w14:paraId="72408A2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485</w:t>
            </w:r>
          </w:p>
        </w:tc>
      </w:tr>
      <w:tr w:rsidR="00595364" w:rsidRPr="003731A3" w14:paraId="09BC411F"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19A212E"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cours</w:t>
            </w:r>
          </w:p>
        </w:tc>
        <w:tc>
          <w:tcPr>
            <w:tcW w:w="561" w:type="pct"/>
            <w:shd w:val="clear" w:color="auto" w:fill="auto"/>
            <w:vAlign w:val="bottom"/>
            <w:hideMark/>
          </w:tcPr>
          <w:p w14:paraId="00F79F9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32</w:t>
            </w:r>
          </w:p>
        </w:tc>
        <w:tc>
          <w:tcPr>
            <w:tcW w:w="579" w:type="pct"/>
            <w:shd w:val="clear" w:color="auto" w:fill="auto"/>
            <w:vAlign w:val="bottom"/>
            <w:hideMark/>
          </w:tcPr>
          <w:p w14:paraId="36B2B22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20</w:t>
            </w:r>
          </w:p>
        </w:tc>
        <w:tc>
          <w:tcPr>
            <w:tcW w:w="513" w:type="pct"/>
            <w:shd w:val="clear" w:color="auto" w:fill="auto"/>
            <w:vAlign w:val="bottom"/>
            <w:hideMark/>
          </w:tcPr>
          <w:p w14:paraId="00689E5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14</w:t>
            </w:r>
          </w:p>
        </w:tc>
        <w:tc>
          <w:tcPr>
            <w:tcW w:w="531" w:type="pct"/>
            <w:shd w:val="clear" w:color="auto" w:fill="auto"/>
            <w:vAlign w:val="bottom"/>
            <w:hideMark/>
          </w:tcPr>
          <w:p w14:paraId="48903D3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16</w:t>
            </w:r>
          </w:p>
        </w:tc>
        <w:tc>
          <w:tcPr>
            <w:tcW w:w="523" w:type="pct"/>
            <w:shd w:val="clear" w:color="auto" w:fill="auto"/>
            <w:vAlign w:val="bottom"/>
            <w:hideMark/>
          </w:tcPr>
          <w:p w14:paraId="6088276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24</w:t>
            </w:r>
          </w:p>
        </w:tc>
        <w:tc>
          <w:tcPr>
            <w:tcW w:w="522" w:type="pct"/>
            <w:shd w:val="clear" w:color="auto" w:fill="auto"/>
            <w:vAlign w:val="bottom"/>
            <w:hideMark/>
          </w:tcPr>
          <w:p w14:paraId="625BFE1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34</w:t>
            </w:r>
          </w:p>
        </w:tc>
        <w:tc>
          <w:tcPr>
            <w:tcW w:w="521" w:type="pct"/>
            <w:shd w:val="clear" w:color="auto" w:fill="auto"/>
            <w:vAlign w:val="bottom"/>
            <w:hideMark/>
          </w:tcPr>
          <w:p w14:paraId="7E2FC59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140</w:t>
            </w:r>
          </w:p>
        </w:tc>
      </w:tr>
      <w:tr w:rsidR="00595364" w:rsidRPr="003731A3" w14:paraId="5D34398E"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61B0121"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Procédure abrégée</w:t>
            </w:r>
          </w:p>
        </w:tc>
        <w:tc>
          <w:tcPr>
            <w:tcW w:w="561" w:type="pct"/>
            <w:shd w:val="clear" w:color="auto" w:fill="auto"/>
            <w:vAlign w:val="bottom"/>
            <w:hideMark/>
          </w:tcPr>
          <w:p w14:paraId="250711A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tcPr>
          <w:p w14:paraId="1B3DE6A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30C64F1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42D5D91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20F5FAC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17A1AF2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30CA553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2293B4FA"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790F239"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Clôture (autre)</w:t>
            </w:r>
          </w:p>
        </w:tc>
        <w:tc>
          <w:tcPr>
            <w:tcW w:w="561" w:type="pct"/>
            <w:shd w:val="clear" w:color="auto" w:fill="auto"/>
            <w:vAlign w:val="bottom"/>
            <w:hideMark/>
          </w:tcPr>
          <w:p w14:paraId="4EA9554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hideMark/>
          </w:tcPr>
          <w:p w14:paraId="5139D6E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13</w:t>
            </w:r>
          </w:p>
        </w:tc>
        <w:tc>
          <w:tcPr>
            <w:tcW w:w="513" w:type="pct"/>
            <w:shd w:val="clear" w:color="auto" w:fill="auto"/>
            <w:vAlign w:val="bottom"/>
            <w:hideMark/>
          </w:tcPr>
          <w:p w14:paraId="32F5CEF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31" w:type="pct"/>
            <w:shd w:val="clear" w:color="auto" w:fill="auto"/>
            <w:vAlign w:val="bottom"/>
            <w:hideMark/>
          </w:tcPr>
          <w:p w14:paraId="1B11569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3" w:type="pct"/>
            <w:shd w:val="clear" w:color="auto" w:fill="auto"/>
            <w:vAlign w:val="bottom"/>
            <w:hideMark/>
          </w:tcPr>
          <w:p w14:paraId="03337A3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hideMark/>
          </w:tcPr>
          <w:p w14:paraId="68E4023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21" w:type="pct"/>
            <w:shd w:val="clear" w:color="auto" w:fill="auto"/>
            <w:vAlign w:val="bottom"/>
            <w:hideMark/>
          </w:tcPr>
          <w:p w14:paraId="0E3501D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25</w:t>
            </w:r>
          </w:p>
        </w:tc>
      </w:tr>
      <w:tr w:rsidR="00595364" w:rsidRPr="003731A3" w14:paraId="762642AF"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17928C93"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Acquittement</w:t>
            </w:r>
          </w:p>
        </w:tc>
        <w:tc>
          <w:tcPr>
            <w:tcW w:w="561" w:type="pct"/>
            <w:shd w:val="clear" w:color="auto" w:fill="auto"/>
            <w:vAlign w:val="bottom"/>
            <w:hideMark/>
          </w:tcPr>
          <w:p w14:paraId="6C27AE4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hideMark/>
          </w:tcPr>
          <w:p w14:paraId="4954DF0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tcPr>
          <w:p w14:paraId="57FE2E9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4D4D750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2F8E524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01F80A8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23B8732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4DE4F148"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4D9282A"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Condamnation</w:t>
            </w:r>
            <w:r w:rsidR="00595364" w:rsidRPr="003731A3">
              <w:rPr>
                <w:rFonts w:eastAsia="SimSun"/>
                <w:color w:val="auto"/>
                <w:sz w:val="18"/>
                <w:lang w:val="fr-CH"/>
              </w:rPr>
              <w:t xml:space="preserve"> </w:t>
            </w:r>
          </w:p>
        </w:tc>
        <w:tc>
          <w:tcPr>
            <w:tcW w:w="561" w:type="pct"/>
            <w:shd w:val="clear" w:color="auto" w:fill="auto"/>
            <w:vAlign w:val="bottom"/>
            <w:hideMark/>
          </w:tcPr>
          <w:p w14:paraId="09E69F0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79" w:type="pct"/>
            <w:shd w:val="clear" w:color="auto" w:fill="auto"/>
            <w:vAlign w:val="bottom"/>
            <w:hideMark/>
          </w:tcPr>
          <w:p w14:paraId="6F6F021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w:t>
            </w:r>
          </w:p>
        </w:tc>
        <w:tc>
          <w:tcPr>
            <w:tcW w:w="513" w:type="pct"/>
            <w:shd w:val="clear" w:color="auto" w:fill="auto"/>
            <w:vAlign w:val="bottom"/>
            <w:hideMark/>
          </w:tcPr>
          <w:p w14:paraId="10AF271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2A7A3F0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2ED1659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hideMark/>
          </w:tcPr>
          <w:p w14:paraId="3233D8A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0A0A72D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10</w:t>
            </w:r>
          </w:p>
        </w:tc>
      </w:tr>
      <w:tr w:rsidR="00595364" w:rsidRPr="003731A3" w14:paraId="7685E024"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3093A0F"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Exception d’incompétence</w:t>
            </w:r>
            <w:r w:rsidR="00595364" w:rsidRPr="003731A3">
              <w:rPr>
                <w:rFonts w:eastAsia="SimSun"/>
                <w:color w:val="auto"/>
                <w:sz w:val="18"/>
                <w:lang w:val="fr-CH"/>
              </w:rPr>
              <w:t xml:space="preserve"> </w:t>
            </w:r>
          </w:p>
        </w:tc>
        <w:tc>
          <w:tcPr>
            <w:tcW w:w="561" w:type="pct"/>
            <w:shd w:val="clear" w:color="auto" w:fill="auto"/>
            <w:vAlign w:val="bottom"/>
          </w:tcPr>
          <w:p w14:paraId="740548A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09C154D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58E1514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56F7734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hideMark/>
          </w:tcPr>
          <w:p w14:paraId="6E0E088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tcPr>
          <w:p w14:paraId="2B6A743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2DFA4DC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0EB3F55A"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8F4CF06"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Classement</w:t>
            </w:r>
            <w:r w:rsidR="00595364" w:rsidRPr="003731A3">
              <w:rPr>
                <w:rFonts w:eastAsia="SimSun"/>
                <w:color w:val="auto"/>
                <w:sz w:val="18"/>
                <w:lang w:val="fr-CH"/>
              </w:rPr>
              <w:t xml:space="preserve"> </w:t>
            </w:r>
          </w:p>
        </w:tc>
        <w:tc>
          <w:tcPr>
            <w:tcW w:w="561" w:type="pct"/>
            <w:shd w:val="clear" w:color="auto" w:fill="auto"/>
            <w:vAlign w:val="bottom"/>
          </w:tcPr>
          <w:p w14:paraId="32B6DC1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2C26401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52747A4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598304A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16</w:t>
            </w:r>
          </w:p>
        </w:tc>
        <w:tc>
          <w:tcPr>
            <w:tcW w:w="523" w:type="pct"/>
            <w:shd w:val="clear" w:color="auto" w:fill="auto"/>
            <w:vAlign w:val="bottom"/>
            <w:hideMark/>
          </w:tcPr>
          <w:p w14:paraId="125649D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13</w:t>
            </w:r>
          </w:p>
        </w:tc>
        <w:tc>
          <w:tcPr>
            <w:tcW w:w="522" w:type="pct"/>
            <w:shd w:val="clear" w:color="auto" w:fill="auto"/>
            <w:vAlign w:val="bottom"/>
            <w:hideMark/>
          </w:tcPr>
          <w:p w14:paraId="135CA34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5</w:t>
            </w:r>
          </w:p>
        </w:tc>
        <w:tc>
          <w:tcPr>
            <w:tcW w:w="521" w:type="pct"/>
            <w:shd w:val="clear" w:color="auto" w:fill="auto"/>
            <w:vAlign w:val="bottom"/>
            <w:hideMark/>
          </w:tcPr>
          <w:p w14:paraId="63F0247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34</w:t>
            </w:r>
          </w:p>
        </w:tc>
      </w:tr>
      <w:tr w:rsidR="00595364" w:rsidRPr="003731A3" w14:paraId="496687AB"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28D8246F"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Rejet</w:t>
            </w:r>
            <w:r w:rsidR="00595364" w:rsidRPr="003731A3">
              <w:rPr>
                <w:rFonts w:eastAsia="SimSun"/>
                <w:color w:val="auto"/>
                <w:sz w:val="18"/>
                <w:lang w:val="fr-CH"/>
              </w:rPr>
              <w:t xml:space="preserve"> </w:t>
            </w:r>
          </w:p>
        </w:tc>
        <w:tc>
          <w:tcPr>
            <w:tcW w:w="561" w:type="pct"/>
            <w:shd w:val="clear" w:color="auto" w:fill="auto"/>
            <w:vAlign w:val="bottom"/>
            <w:hideMark/>
          </w:tcPr>
          <w:p w14:paraId="06FA8CA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59</w:t>
            </w:r>
          </w:p>
        </w:tc>
        <w:tc>
          <w:tcPr>
            <w:tcW w:w="579" w:type="pct"/>
            <w:shd w:val="clear" w:color="auto" w:fill="auto"/>
            <w:vAlign w:val="bottom"/>
            <w:hideMark/>
          </w:tcPr>
          <w:p w14:paraId="54F2530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67</w:t>
            </w:r>
          </w:p>
        </w:tc>
        <w:tc>
          <w:tcPr>
            <w:tcW w:w="513" w:type="pct"/>
            <w:shd w:val="clear" w:color="auto" w:fill="auto"/>
            <w:vAlign w:val="bottom"/>
            <w:hideMark/>
          </w:tcPr>
          <w:p w14:paraId="6F674EF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71</w:t>
            </w:r>
          </w:p>
        </w:tc>
        <w:tc>
          <w:tcPr>
            <w:tcW w:w="531" w:type="pct"/>
            <w:shd w:val="clear" w:color="auto" w:fill="auto"/>
            <w:vAlign w:val="bottom"/>
            <w:hideMark/>
          </w:tcPr>
          <w:p w14:paraId="694E22E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24</w:t>
            </w:r>
          </w:p>
        </w:tc>
        <w:tc>
          <w:tcPr>
            <w:tcW w:w="523" w:type="pct"/>
            <w:shd w:val="clear" w:color="auto" w:fill="auto"/>
            <w:vAlign w:val="bottom"/>
            <w:hideMark/>
          </w:tcPr>
          <w:p w14:paraId="759D5CB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12</w:t>
            </w:r>
          </w:p>
        </w:tc>
        <w:tc>
          <w:tcPr>
            <w:tcW w:w="522" w:type="pct"/>
            <w:shd w:val="clear" w:color="auto" w:fill="auto"/>
            <w:vAlign w:val="bottom"/>
            <w:hideMark/>
          </w:tcPr>
          <w:p w14:paraId="30FADB28"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9</w:t>
            </w:r>
          </w:p>
        </w:tc>
        <w:tc>
          <w:tcPr>
            <w:tcW w:w="521" w:type="pct"/>
            <w:shd w:val="clear" w:color="auto" w:fill="auto"/>
            <w:vAlign w:val="bottom"/>
            <w:hideMark/>
          </w:tcPr>
          <w:p w14:paraId="22B65EF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242</w:t>
            </w:r>
          </w:p>
        </w:tc>
      </w:tr>
      <w:tr w:rsidR="00595364" w:rsidRPr="003731A3" w14:paraId="6DC59BD9"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7D6F85B5"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Suspension ou accord</w:t>
            </w:r>
          </w:p>
        </w:tc>
        <w:tc>
          <w:tcPr>
            <w:tcW w:w="561" w:type="pct"/>
            <w:shd w:val="clear" w:color="auto" w:fill="auto"/>
            <w:vAlign w:val="bottom"/>
            <w:hideMark/>
          </w:tcPr>
          <w:p w14:paraId="3A6961B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tcPr>
          <w:p w14:paraId="77D7B2E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28F8266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52E73F5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0C77118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hideMark/>
          </w:tcPr>
          <w:p w14:paraId="4EE9399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6453613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68F04DC6"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50F8D35C"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Non-lieu</w:t>
            </w:r>
            <w:r w:rsidR="00595364" w:rsidRPr="003731A3">
              <w:rPr>
                <w:rFonts w:eastAsia="SimSun"/>
                <w:color w:val="auto"/>
                <w:sz w:val="18"/>
                <w:lang w:val="fr-CH"/>
              </w:rPr>
              <w:t xml:space="preserve"> </w:t>
            </w:r>
          </w:p>
        </w:tc>
        <w:tc>
          <w:tcPr>
            <w:tcW w:w="561" w:type="pct"/>
            <w:shd w:val="clear" w:color="auto" w:fill="auto"/>
            <w:vAlign w:val="bottom"/>
            <w:hideMark/>
          </w:tcPr>
          <w:p w14:paraId="74D1504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5</w:t>
            </w:r>
          </w:p>
        </w:tc>
        <w:tc>
          <w:tcPr>
            <w:tcW w:w="579" w:type="pct"/>
            <w:shd w:val="clear" w:color="auto" w:fill="auto"/>
            <w:vAlign w:val="bottom"/>
            <w:hideMark/>
          </w:tcPr>
          <w:p w14:paraId="1D00B3A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11</w:t>
            </w:r>
          </w:p>
        </w:tc>
        <w:tc>
          <w:tcPr>
            <w:tcW w:w="513" w:type="pct"/>
            <w:shd w:val="clear" w:color="auto" w:fill="auto"/>
            <w:vAlign w:val="bottom"/>
            <w:hideMark/>
          </w:tcPr>
          <w:p w14:paraId="3EF969E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31" w:type="pct"/>
            <w:shd w:val="clear" w:color="auto" w:fill="auto"/>
            <w:vAlign w:val="bottom"/>
            <w:hideMark/>
          </w:tcPr>
          <w:p w14:paraId="015FD6E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23" w:type="pct"/>
            <w:shd w:val="clear" w:color="auto" w:fill="auto"/>
            <w:vAlign w:val="bottom"/>
            <w:hideMark/>
          </w:tcPr>
          <w:p w14:paraId="54C305B2"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w:t>
            </w:r>
          </w:p>
        </w:tc>
        <w:tc>
          <w:tcPr>
            <w:tcW w:w="522" w:type="pct"/>
            <w:shd w:val="clear" w:color="auto" w:fill="auto"/>
            <w:vAlign w:val="bottom"/>
            <w:hideMark/>
          </w:tcPr>
          <w:p w14:paraId="58BE71F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1D267F5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26</w:t>
            </w:r>
          </w:p>
        </w:tc>
      </w:tr>
      <w:tr w:rsidR="00595364" w:rsidRPr="003731A3" w14:paraId="46EB8EEE"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5E499F7"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 xml:space="preserve">Tarija </w:t>
            </w:r>
          </w:p>
        </w:tc>
        <w:tc>
          <w:tcPr>
            <w:tcW w:w="561" w:type="pct"/>
            <w:shd w:val="clear" w:color="auto" w:fill="auto"/>
            <w:vAlign w:val="bottom"/>
            <w:hideMark/>
          </w:tcPr>
          <w:p w14:paraId="0DF38E4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47</w:t>
            </w:r>
          </w:p>
        </w:tc>
        <w:tc>
          <w:tcPr>
            <w:tcW w:w="579" w:type="pct"/>
            <w:shd w:val="clear" w:color="auto" w:fill="auto"/>
            <w:vAlign w:val="bottom"/>
            <w:hideMark/>
          </w:tcPr>
          <w:p w14:paraId="53A6ACD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30</w:t>
            </w:r>
          </w:p>
        </w:tc>
        <w:tc>
          <w:tcPr>
            <w:tcW w:w="513" w:type="pct"/>
            <w:shd w:val="clear" w:color="auto" w:fill="auto"/>
            <w:vAlign w:val="bottom"/>
            <w:hideMark/>
          </w:tcPr>
          <w:p w14:paraId="3C42570D"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31</w:t>
            </w:r>
          </w:p>
        </w:tc>
        <w:tc>
          <w:tcPr>
            <w:tcW w:w="531" w:type="pct"/>
            <w:shd w:val="clear" w:color="auto" w:fill="auto"/>
            <w:vAlign w:val="bottom"/>
            <w:hideMark/>
          </w:tcPr>
          <w:p w14:paraId="58127379"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26</w:t>
            </w:r>
          </w:p>
        </w:tc>
        <w:tc>
          <w:tcPr>
            <w:tcW w:w="523" w:type="pct"/>
            <w:shd w:val="clear" w:color="auto" w:fill="auto"/>
            <w:vAlign w:val="bottom"/>
            <w:hideMark/>
          </w:tcPr>
          <w:p w14:paraId="56E4DC6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27</w:t>
            </w:r>
          </w:p>
        </w:tc>
        <w:tc>
          <w:tcPr>
            <w:tcW w:w="522" w:type="pct"/>
            <w:shd w:val="clear" w:color="auto" w:fill="auto"/>
            <w:vAlign w:val="bottom"/>
            <w:hideMark/>
          </w:tcPr>
          <w:p w14:paraId="24E8F18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33</w:t>
            </w:r>
          </w:p>
        </w:tc>
        <w:tc>
          <w:tcPr>
            <w:tcW w:w="521" w:type="pct"/>
            <w:shd w:val="clear" w:color="auto" w:fill="auto"/>
            <w:vAlign w:val="bottom"/>
            <w:hideMark/>
          </w:tcPr>
          <w:p w14:paraId="178791A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194</w:t>
            </w:r>
          </w:p>
        </w:tc>
      </w:tr>
      <w:tr w:rsidR="00595364" w:rsidRPr="003731A3" w14:paraId="7FDA1A63"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55D72371"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cours</w:t>
            </w:r>
          </w:p>
        </w:tc>
        <w:tc>
          <w:tcPr>
            <w:tcW w:w="561" w:type="pct"/>
            <w:shd w:val="clear" w:color="auto" w:fill="auto"/>
            <w:vAlign w:val="bottom"/>
            <w:hideMark/>
          </w:tcPr>
          <w:p w14:paraId="39777DD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7</w:t>
            </w:r>
          </w:p>
        </w:tc>
        <w:tc>
          <w:tcPr>
            <w:tcW w:w="579" w:type="pct"/>
            <w:shd w:val="clear" w:color="auto" w:fill="auto"/>
            <w:vAlign w:val="bottom"/>
            <w:hideMark/>
          </w:tcPr>
          <w:p w14:paraId="382482F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hideMark/>
          </w:tcPr>
          <w:p w14:paraId="6BC21FD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hideMark/>
          </w:tcPr>
          <w:p w14:paraId="114C659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hideMark/>
          </w:tcPr>
          <w:p w14:paraId="3AE1BCF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22" w:type="pct"/>
            <w:shd w:val="clear" w:color="auto" w:fill="auto"/>
            <w:vAlign w:val="bottom"/>
            <w:hideMark/>
          </w:tcPr>
          <w:p w14:paraId="011A9C7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w:t>
            </w:r>
          </w:p>
        </w:tc>
        <w:tc>
          <w:tcPr>
            <w:tcW w:w="521" w:type="pct"/>
            <w:shd w:val="clear" w:color="auto" w:fill="auto"/>
            <w:vAlign w:val="bottom"/>
            <w:hideMark/>
          </w:tcPr>
          <w:p w14:paraId="74F1EB3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17</w:t>
            </w:r>
          </w:p>
        </w:tc>
      </w:tr>
      <w:tr w:rsidR="00595364" w:rsidRPr="003731A3" w14:paraId="76F503B7"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D33392E"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Procédure abrégée</w:t>
            </w:r>
          </w:p>
        </w:tc>
        <w:tc>
          <w:tcPr>
            <w:tcW w:w="561" w:type="pct"/>
            <w:shd w:val="clear" w:color="auto" w:fill="auto"/>
            <w:vAlign w:val="bottom"/>
            <w:hideMark/>
          </w:tcPr>
          <w:p w14:paraId="6125853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79" w:type="pct"/>
            <w:shd w:val="clear" w:color="auto" w:fill="auto"/>
            <w:vAlign w:val="bottom"/>
          </w:tcPr>
          <w:p w14:paraId="77751B7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62AADDA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5005FF3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111DFAD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462CD39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40BEE8C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2725BBD3"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09C7320"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Clôture (autre)</w:t>
            </w:r>
          </w:p>
        </w:tc>
        <w:tc>
          <w:tcPr>
            <w:tcW w:w="561" w:type="pct"/>
            <w:shd w:val="clear" w:color="auto" w:fill="auto"/>
            <w:vAlign w:val="bottom"/>
            <w:hideMark/>
          </w:tcPr>
          <w:p w14:paraId="7CF95EF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79" w:type="pct"/>
            <w:shd w:val="clear" w:color="auto" w:fill="auto"/>
            <w:vAlign w:val="bottom"/>
          </w:tcPr>
          <w:p w14:paraId="05BD7A2F"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51051D2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4C3BAD2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286F223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4A80586B"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38CCE2C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293EFCE3"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DA34FF6"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Acquittement</w:t>
            </w:r>
          </w:p>
        </w:tc>
        <w:tc>
          <w:tcPr>
            <w:tcW w:w="561" w:type="pct"/>
            <w:shd w:val="clear" w:color="auto" w:fill="auto"/>
            <w:vAlign w:val="bottom"/>
          </w:tcPr>
          <w:p w14:paraId="2D3F870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792CF322"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c>
          <w:tcPr>
            <w:tcW w:w="513" w:type="pct"/>
            <w:shd w:val="clear" w:color="auto" w:fill="auto"/>
            <w:vAlign w:val="bottom"/>
          </w:tcPr>
          <w:p w14:paraId="4C78516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3ED754D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65DEFBC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366DA6D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27A6134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59AF5522"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707865BB" w14:textId="77777777" w:rsidR="00595364" w:rsidRPr="003731A3" w:rsidRDefault="00E90973"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Condamnation</w:t>
            </w:r>
          </w:p>
        </w:tc>
        <w:tc>
          <w:tcPr>
            <w:tcW w:w="561" w:type="pct"/>
            <w:shd w:val="clear" w:color="auto" w:fill="auto"/>
            <w:vAlign w:val="bottom"/>
            <w:hideMark/>
          </w:tcPr>
          <w:p w14:paraId="55E3ABE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79" w:type="pct"/>
            <w:shd w:val="clear" w:color="auto" w:fill="auto"/>
            <w:vAlign w:val="bottom"/>
          </w:tcPr>
          <w:p w14:paraId="1A465ED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18B202A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hideMark/>
          </w:tcPr>
          <w:p w14:paraId="001B92C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hideMark/>
          </w:tcPr>
          <w:p w14:paraId="3CDA062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tcPr>
          <w:p w14:paraId="1329D7D0"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474914C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w:t>
            </w:r>
          </w:p>
        </w:tc>
      </w:tr>
      <w:tr w:rsidR="00595364" w:rsidRPr="003731A3" w14:paraId="13BAE006"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661EBB1"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Exception d’incompétence</w:t>
            </w:r>
          </w:p>
        </w:tc>
        <w:tc>
          <w:tcPr>
            <w:tcW w:w="561" w:type="pct"/>
            <w:shd w:val="clear" w:color="auto" w:fill="auto"/>
            <w:vAlign w:val="bottom"/>
          </w:tcPr>
          <w:p w14:paraId="659BC62E"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240ECD98"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hideMark/>
          </w:tcPr>
          <w:p w14:paraId="66F215D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31" w:type="pct"/>
            <w:shd w:val="clear" w:color="auto" w:fill="auto"/>
            <w:vAlign w:val="bottom"/>
          </w:tcPr>
          <w:p w14:paraId="703D8A5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hideMark/>
          </w:tcPr>
          <w:p w14:paraId="03F1EBC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hideMark/>
          </w:tcPr>
          <w:p w14:paraId="72EEEA9C"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52AB612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r>
      <w:tr w:rsidR="00595364" w:rsidRPr="003731A3" w14:paraId="4A459CB8"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3310B45"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Classement</w:t>
            </w:r>
          </w:p>
        </w:tc>
        <w:tc>
          <w:tcPr>
            <w:tcW w:w="561" w:type="pct"/>
            <w:shd w:val="clear" w:color="auto" w:fill="auto"/>
            <w:vAlign w:val="bottom"/>
          </w:tcPr>
          <w:p w14:paraId="0B89F55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hideMark/>
          </w:tcPr>
          <w:p w14:paraId="4694CE1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4</w:t>
            </w:r>
          </w:p>
        </w:tc>
        <w:tc>
          <w:tcPr>
            <w:tcW w:w="513" w:type="pct"/>
            <w:shd w:val="clear" w:color="auto" w:fill="auto"/>
            <w:vAlign w:val="bottom"/>
            <w:hideMark/>
          </w:tcPr>
          <w:p w14:paraId="55B3128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3</w:t>
            </w:r>
          </w:p>
        </w:tc>
        <w:tc>
          <w:tcPr>
            <w:tcW w:w="531" w:type="pct"/>
            <w:shd w:val="clear" w:color="auto" w:fill="auto"/>
            <w:vAlign w:val="bottom"/>
          </w:tcPr>
          <w:p w14:paraId="51DA88DA"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hideMark/>
          </w:tcPr>
          <w:p w14:paraId="47C0FBC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2" w:type="pct"/>
            <w:shd w:val="clear" w:color="auto" w:fill="auto"/>
            <w:vAlign w:val="bottom"/>
            <w:hideMark/>
          </w:tcPr>
          <w:p w14:paraId="51888A77"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7E34CA6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9</w:t>
            </w:r>
          </w:p>
        </w:tc>
      </w:tr>
      <w:tr w:rsidR="00595364" w:rsidRPr="003731A3" w14:paraId="796511E7"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6B9A2DCF"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Rejet</w:t>
            </w:r>
          </w:p>
        </w:tc>
        <w:tc>
          <w:tcPr>
            <w:tcW w:w="561" w:type="pct"/>
            <w:shd w:val="clear" w:color="auto" w:fill="auto"/>
            <w:vAlign w:val="bottom"/>
            <w:hideMark/>
          </w:tcPr>
          <w:p w14:paraId="14DC5EC7"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28</w:t>
            </w:r>
          </w:p>
        </w:tc>
        <w:tc>
          <w:tcPr>
            <w:tcW w:w="579" w:type="pct"/>
            <w:shd w:val="clear" w:color="auto" w:fill="auto"/>
            <w:vAlign w:val="bottom"/>
            <w:hideMark/>
          </w:tcPr>
          <w:p w14:paraId="652CC67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18</w:t>
            </w:r>
          </w:p>
        </w:tc>
        <w:tc>
          <w:tcPr>
            <w:tcW w:w="513" w:type="pct"/>
            <w:shd w:val="clear" w:color="auto" w:fill="auto"/>
            <w:vAlign w:val="bottom"/>
            <w:hideMark/>
          </w:tcPr>
          <w:p w14:paraId="01C5C834"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22</w:t>
            </w:r>
          </w:p>
        </w:tc>
        <w:tc>
          <w:tcPr>
            <w:tcW w:w="531" w:type="pct"/>
            <w:shd w:val="clear" w:color="auto" w:fill="auto"/>
            <w:vAlign w:val="bottom"/>
            <w:hideMark/>
          </w:tcPr>
          <w:p w14:paraId="1B9E1CA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23</w:t>
            </w:r>
          </w:p>
        </w:tc>
        <w:tc>
          <w:tcPr>
            <w:tcW w:w="523" w:type="pct"/>
            <w:shd w:val="clear" w:color="auto" w:fill="auto"/>
            <w:vAlign w:val="bottom"/>
            <w:hideMark/>
          </w:tcPr>
          <w:p w14:paraId="1BBD06A3"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22</w:t>
            </w:r>
          </w:p>
        </w:tc>
        <w:tc>
          <w:tcPr>
            <w:tcW w:w="522" w:type="pct"/>
            <w:shd w:val="clear" w:color="auto" w:fill="auto"/>
            <w:vAlign w:val="bottom"/>
            <w:hideMark/>
          </w:tcPr>
          <w:p w14:paraId="3DB463E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16</w:t>
            </w:r>
          </w:p>
        </w:tc>
        <w:tc>
          <w:tcPr>
            <w:tcW w:w="521" w:type="pct"/>
            <w:shd w:val="clear" w:color="auto" w:fill="auto"/>
            <w:vAlign w:val="bottom"/>
            <w:hideMark/>
          </w:tcPr>
          <w:p w14:paraId="4C69295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139</w:t>
            </w:r>
          </w:p>
        </w:tc>
      </w:tr>
      <w:tr w:rsidR="00595364" w:rsidRPr="003731A3" w14:paraId="388797A5"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356CB671"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Suspension ou accord</w:t>
            </w:r>
          </w:p>
        </w:tc>
        <w:tc>
          <w:tcPr>
            <w:tcW w:w="561" w:type="pct"/>
            <w:shd w:val="clear" w:color="auto" w:fill="auto"/>
            <w:vAlign w:val="bottom"/>
            <w:hideMark/>
          </w:tcPr>
          <w:p w14:paraId="269FD9B4"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c>
          <w:tcPr>
            <w:tcW w:w="579" w:type="pct"/>
            <w:shd w:val="clear" w:color="auto" w:fill="auto"/>
            <w:vAlign w:val="bottom"/>
          </w:tcPr>
          <w:p w14:paraId="5D6FA14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1E8A5D2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tcPr>
          <w:p w14:paraId="3D23BA5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3" w:type="pct"/>
            <w:shd w:val="clear" w:color="auto" w:fill="auto"/>
            <w:vAlign w:val="bottom"/>
          </w:tcPr>
          <w:p w14:paraId="1EB179E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199E268D"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6339B953"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2</w:t>
            </w:r>
          </w:p>
        </w:tc>
      </w:tr>
      <w:tr w:rsidR="00595364" w:rsidRPr="003731A3" w14:paraId="15DE3F64" w14:textId="77777777" w:rsidTr="003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44D15D66"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Non-lieu</w:t>
            </w:r>
          </w:p>
        </w:tc>
        <w:tc>
          <w:tcPr>
            <w:tcW w:w="561" w:type="pct"/>
            <w:shd w:val="clear" w:color="auto" w:fill="auto"/>
            <w:vAlign w:val="bottom"/>
            <w:hideMark/>
          </w:tcPr>
          <w:p w14:paraId="2EF8DE5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79" w:type="pct"/>
            <w:shd w:val="clear" w:color="auto" w:fill="auto"/>
            <w:vAlign w:val="bottom"/>
            <w:hideMark/>
          </w:tcPr>
          <w:p w14:paraId="1C76394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4</w:t>
            </w:r>
          </w:p>
        </w:tc>
        <w:tc>
          <w:tcPr>
            <w:tcW w:w="513" w:type="pct"/>
            <w:shd w:val="clear" w:color="auto" w:fill="auto"/>
            <w:vAlign w:val="bottom"/>
            <w:hideMark/>
          </w:tcPr>
          <w:p w14:paraId="7E7FF67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3</w:t>
            </w:r>
          </w:p>
        </w:tc>
        <w:tc>
          <w:tcPr>
            <w:tcW w:w="531" w:type="pct"/>
            <w:shd w:val="clear" w:color="auto" w:fill="auto"/>
            <w:vAlign w:val="bottom"/>
            <w:hideMark/>
          </w:tcPr>
          <w:p w14:paraId="0E1F0A6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tcPr>
          <w:p w14:paraId="57DDC1F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hideMark/>
          </w:tcPr>
          <w:p w14:paraId="716615D0"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1" w:type="pct"/>
            <w:shd w:val="clear" w:color="auto" w:fill="auto"/>
            <w:vAlign w:val="bottom"/>
            <w:hideMark/>
          </w:tcPr>
          <w:p w14:paraId="745FAF8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13</w:t>
            </w:r>
          </w:p>
        </w:tc>
      </w:tr>
      <w:tr w:rsidR="00595364" w:rsidRPr="003731A3" w14:paraId="3BAB6D1B" w14:textId="77777777" w:rsidTr="003731A3">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tcBorders>
            <w:shd w:val="clear" w:color="auto" w:fill="auto"/>
            <w:hideMark/>
          </w:tcPr>
          <w:p w14:paraId="0A32955B" w14:textId="77777777" w:rsidR="00595364" w:rsidRPr="003731A3" w:rsidRDefault="0059536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(En blanc)</w:t>
            </w:r>
          </w:p>
        </w:tc>
        <w:tc>
          <w:tcPr>
            <w:tcW w:w="561" w:type="pct"/>
            <w:shd w:val="clear" w:color="auto" w:fill="auto"/>
            <w:vAlign w:val="bottom"/>
          </w:tcPr>
          <w:p w14:paraId="5198761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79" w:type="pct"/>
            <w:shd w:val="clear" w:color="auto" w:fill="auto"/>
            <w:vAlign w:val="bottom"/>
          </w:tcPr>
          <w:p w14:paraId="60F7F6E6"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13" w:type="pct"/>
            <w:shd w:val="clear" w:color="auto" w:fill="auto"/>
            <w:vAlign w:val="bottom"/>
          </w:tcPr>
          <w:p w14:paraId="23C7B085"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31" w:type="pct"/>
            <w:shd w:val="clear" w:color="auto" w:fill="auto"/>
            <w:vAlign w:val="bottom"/>
            <w:hideMark/>
          </w:tcPr>
          <w:p w14:paraId="3ECBA56C"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c>
          <w:tcPr>
            <w:tcW w:w="523" w:type="pct"/>
            <w:shd w:val="clear" w:color="auto" w:fill="auto"/>
            <w:vAlign w:val="bottom"/>
          </w:tcPr>
          <w:p w14:paraId="25960889"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2" w:type="pct"/>
            <w:shd w:val="clear" w:color="auto" w:fill="auto"/>
            <w:vAlign w:val="bottom"/>
          </w:tcPr>
          <w:p w14:paraId="07D2439E"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w:t>
            </w:r>
          </w:p>
        </w:tc>
        <w:tc>
          <w:tcPr>
            <w:tcW w:w="521" w:type="pct"/>
            <w:shd w:val="clear" w:color="auto" w:fill="auto"/>
            <w:vAlign w:val="bottom"/>
            <w:hideMark/>
          </w:tcPr>
          <w:p w14:paraId="2878C1B1" w14:textId="77777777" w:rsidR="00595364" w:rsidRPr="003731A3" w:rsidRDefault="00595364" w:rsidP="003731A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22"/>
                <w:lang w:val="fr-CH"/>
              </w:rPr>
            </w:pPr>
            <w:r w:rsidRPr="003731A3">
              <w:rPr>
                <w:sz w:val="18"/>
                <w:szCs w:val="22"/>
                <w:lang w:val="fr-CH"/>
              </w:rPr>
              <w:t>1</w:t>
            </w:r>
          </w:p>
        </w:tc>
      </w:tr>
      <w:tr w:rsidR="00595364" w:rsidRPr="003731A3" w14:paraId="68F6E184" w14:textId="77777777" w:rsidTr="000F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left w:val="none" w:sz="0" w:space="0" w:color="auto"/>
              <w:bottom w:val="single" w:sz="4" w:space="0" w:color="auto"/>
            </w:tcBorders>
            <w:shd w:val="clear" w:color="auto" w:fill="auto"/>
            <w:hideMark/>
          </w:tcPr>
          <w:p w14:paraId="3A857B6D" w14:textId="77777777" w:rsidR="00595364" w:rsidRPr="003731A3" w:rsidRDefault="007A4A24" w:rsidP="003731A3">
            <w:pPr>
              <w:suppressAutoHyphens w:val="0"/>
              <w:spacing w:before="40" w:after="40" w:line="220" w:lineRule="exact"/>
              <w:rPr>
                <w:rFonts w:eastAsia="SimSun"/>
                <w:color w:val="auto"/>
                <w:sz w:val="18"/>
                <w:lang w:val="fr-CH"/>
              </w:rPr>
            </w:pPr>
            <w:r w:rsidRPr="003731A3">
              <w:rPr>
                <w:rFonts w:eastAsia="SimSun"/>
                <w:color w:val="auto"/>
                <w:sz w:val="18"/>
                <w:lang w:val="fr-CH"/>
              </w:rPr>
              <w:t>Non-lieu</w:t>
            </w:r>
          </w:p>
        </w:tc>
        <w:tc>
          <w:tcPr>
            <w:tcW w:w="561" w:type="pct"/>
            <w:tcBorders>
              <w:bottom w:val="single" w:sz="4" w:space="0" w:color="auto"/>
            </w:tcBorders>
            <w:shd w:val="clear" w:color="auto" w:fill="auto"/>
            <w:vAlign w:val="bottom"/>
          </w:tcPr>
          <w:p w14:paraId="2DDCDD8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79" w:type="pct"/>
            <w:tcBorders>
              <w:bottom w:val="single" w:sz="4" w:space="0" w:color="auto"/>
            </w:tcBorders>
            <w:shd w:val="clear" w:color="auto" w:fill="auto"/>
            <w:vAlign w:val="bottom"/>
          </w:tcPr>
          <w:p w14:paraId="0D2BC1EA"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p>
        </w:tc>
        <w:tc>
          <w:tcPr>
            <w:tcW w:w="513" w:type="pct"/>
            <w:tcBorders>
              <w:bottom w:val="single" w:sz="4" w:space="0" w:color="auto"/>
            </w:tcBorders>
            <w:shd w:val="clear" w:color="auto" w:fill="auto"/>
            <w:vAlign w:val="bottom"/>
          </w:tcPr>
          <w:p w14:paraId="62BAEC1F"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31" w:type="pct"/>
            <w:tcBorders>
              <w:bottom w:val="single" w:sz="4" w:space="0" w:color="auto"/>
            </w:tcBorders>
            <w:shd w:val="clear" w:color="auto" w:fill="auto"/>
            <w:vAlign w:val="bottom"/>
            <w:hideMark/>
          </w:tcPr>
          <w:p w14:paraId="3801515B"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c>
          <w:tcPr>
            <w:tcW w:w="523" w:type="pct"/>
            <w:tcBorders>
              <w:bottom w:val="single" w:sz="4" w:space="0" w:color="auto"/>
            </w:tcBorders>
            <w:shd w:val="clear" w:color="auto" w:fill="auto"/>
            <w:vAlign w:val="bottom"/>
          </w:tcPr>
          <w:p w14:paraId="259ADFB6"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2" w:type="pct"/>
            <w:tcBorders>
              <w:bottom w:val="single" w:sz="4" w:space="0" w:color="auto"/>
            </w:tcBorders>
            <w:shd w:val="clear" w:color="auto" w:fill="auto"/>
            <w:vAlign w:val="bottom"/>
          </w:tcPr>
          <w:p w14:paraId="4184FFD1"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w:t>
            </w:r>
          </w:p>
        </w:tc>
        <w:tc>
          <w:tcPr>
            <w:tcW w:w="521" w:type="pct"/>
            <w:tcBorders>
              <w:bottom w:val="single" w:sz="4" w:space="0" w:color="auto"/>
            </w:tcBorders>
            <w:shd w:val="clear" w:color="auto" w:fill="auto"/>
            <w:vAlign w:val="bottom"/>
            <w:hideMark/>
          </w:tcPr>
          <w:p w14:paraId="2656BF55" w14:textId="77777777" w:rsidR="00595364" w:rsidRPr="003731A3" w:rsidRDefault="00595364" w:rsidP="003731A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22"/>
                <w:lang w:val="fr-CH"/>
              </w:rPr>
            </w:pPr>
            <w:r w:rsidRPr="003731A3">
              <w:rPr>
                <w:sz w:val="18"/>
                <w:szCs w:val="22"/>
                <w:lang w:val="fr-CH"/>
              </w:rPr>
              <w:t>1</w:t>
            </w:r>
          </w:p>
        </w:tc>
      </w:tr>
      <w:tr w:rsidR="001F0E9B" w:rsidRPr="000F5DF4" w14:paraId="519085F6" w14:textId="77777777" w:rsidTr="000F5DF4">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auto"/>
              <w:left w:val="none" w:sz="0" w:space="0" w:color="auto"/>
              <w:bottom w:val="single" w:sz="12" w:space="0" w:color="auto"/>
            </w:tcBorders>
            <w:shd w:val="clear" w:color="auto" w:fill="auto"/>
            <w:hideMark/>
          </w:tcPr>
          <w:p w14:paraId="62366349" w14:textId="77777777" w:rsidR="001F0E9B" w:rsidRPr="000F5DF4" w:rsidRDefault="001F0E9B" w:rsidP="000F5DF4">
            <w:pPr>
              <w:suppressAutoHyphens w:val="0"/>
              <w:spacing w:before="80" w:after="80" w:line="220" w:lineRule="exact"/>
              <w:ind w:left="283"/>
              <w:rPr>
                <w:color w:val="auto"/>
                <w:sz w:val="18"/>
                <w:szCs w:val="22"/>
                <w:lang w:val="fr-CH"/>
              </w:rPr>
            </w:pPr>
            <w:r w:rsidRPr="000F5DF4">
              <w:rPr>
                <w:bCs w:val="0"/>
                <w:color w:val="auto"/>
                <w:sz w:val="18"/>
                <w:szCs w:val="22"/>
                <w:lang w:val="fr-CH"/>
              </w:rPr>
              <w:t>Total</w:t>
            </w:r>
          </w:p>
        </w:tc>
        <w:tc>
          <w:tcPr>
            <w:tcW w:w="561" w:type="pct"/>
            <w:tcBorders>
              <w:top w:val="single" w:sz="4" w:space="0" w:color="auto"/>
              <w:bottom w:val="single" w:sz="12" w:space="0" w:color="auto"/>
            </w:tcBorders>
            <w:shd w:val="clear" w:color="auto" w:fill="auto"/>
            <w:vAlign w:val="bottom"/>
            <w:hideMark/>
          </w:tcPr>
          <w:p w14:paraId="5B8BDBA8" w14:textId="77777777" w:rsidR="001F0E9B" w:rsidRPr="000F5DF4" w:rsidRDefault="001F0E9B" w:rsidP="000F5DF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22"/>
                <w:lang w:val="fr-CH"/>
              </w:rPr>
            </w:pPr>
            <w:r w:rsidRPr="000F5DF4">
              <w:rPr>
                <w:b/>
                <w:sz w:val="18"/>
                <w:szCs w:val="22"/>
                <w:lang w:val="fr-CH"/>
              </w:rPr>
              <w:t>541</w:t>
            </w:r>
          </w:p>
        </w:tc>
        <w:tc>
          <w:tcPr>
            <w:tcW w:w="579" w:type="pct"/>
            <w:tcBorders>
              <w:top w:val="single" w:sz="4" w:space="0" w:color="auto"/>
              <w:bottom w:val="single" w:sz="12" w:space="0" w:color="auto"/>
            </w:tcBorders>
            <w:shd w:val="clear" w:color="auto" w:fill="auto"/>
            <w:vAlign w:val="bottom"/>
            <w:hideMark/>
          </w:tcPr>
          <w:p w14:paraId="1F76AAB4" w14:textId="77777777" w:rsidR="001F0E9B" w:rsidRPr="000F5DF4" w:rsidRDefault="001F0E9B" w:rsidP="000F5DF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22"/>
                <w:lang w:val="fr-CH"/>
              </w:rPr>
            </w:pPr>
            <w:r w:rsidRPr="000F5DF4">
              <w:rPr>
                <w:b/>
                <w:sz w:val="18"/>
                <w:szCs w:val="22"/>
                <w:lang w:val="fr-CH"/>
              </w:rPr>
              <w:t>512</w:t>
            </w:r>
          </w:p>
        </w:tc>
        <w:tc>
          <w:tcPr>
            <w:tcW w:w="513" w:type="pct"/>
            <w:tcBorders>
              <w:top w:val="single" w:sz="4" w:space="0" w:color="auto"/>
              <w:bottom w:val="single" w:sz="12" w:space="0" w:color="auto"/>
            </w:tcBorders>
            <w:shd w:val="clear" w:color="auto" w:fill="auto"/>
            <w:vAlign w:val="bottom"/>
            <w:hideMark/>
          </w:tcPr>
          <w:p w14:paraId="267F79BC" w14:textId="77777777" w:rsidR="001F0E9B" w:rsidRPr="000F5DF4" w:rsidRDefault="001F0E9B" w:rsidP="000F5DF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22"/>
                <w:lang w:val="fr-CH"/>
              </w:rPr>
            </w:pPr>
            <w:r w:rsidRPr="000F5DF4">
              <w:rPr>
                <w:b/>
                <w:sz w:val="18"/>
                <w:szCs w:val="22"/>
                <w:lang w:val="fr-CH"/>
              </w:rPr>
              <w:t>622</w:t>
            </w:r>
          </w:p>
        </w:tc>
        <w:tc>
          <w:tcPr>
            <w:tcW w:w="531" w:type="pct"/>
            <w:tcBorders>
              <w:top w:val="single" w:sz="4" w:space="0" w:color="auto"/>
              <w:bottom w:val="single" w:sz="12" w:space="0" w:color="auto"/>
            </w:tcBorders>
            <w:shd w:val="clear" w:color="auto" w:fill="auto"/>
            <w:vAlign w:val="bottom"/>
            <w:hideMark/>
          </w:tcPr>
          <w:p w14:paraId="036DD992" w14:textId="77777777" w:rsidR="001F0E9B" w:rsidRPr="000F5DF4" w:rsidRDefault="001F0E9B" w:rsidP="000F5DF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22"/>
                <w:lang w:val="fr-CH"/>
              </w:rPr>
            </w:pPr>
            <w:r w:rsidRPr="000F5DF4">
              <w:rPr>
                <w:b/>
                <w:sz w:val="18"/>
                <w:szCs w:val="22"/>
                <w:lang w:val="fr-CH"/>
              </w:rPr>
              <w:t>602</w:t>
            </w:r>
          </w:p>
        </w:tc>
        <w:tc>
          <w:tcPr>
            <w:tcW w:w="523" w:type="pct"/>
            <w:tcBorders>
              <w:top w:val="single" w:sz="4" w:space="0" w:color="auto"/>
              <w:bottom w:val="single" w:sz="12" w:space="0" w:color="auto"/>
            </w:tcBorders>
            <w:shd w:val="clear" w:color="auto" w:fill="auto"/>
            <w:vAlign w:val="bottom"/>
            <w:hideMark/>
          </w:tcPr>
          <w:p w14:paraId="28407954" w14:textId="77777777" w:rsidR="001F0E9B" w:rsidRPr="000F5DF4" w:rsidRDefault="001F0E9B" w:rsidP="000F5DF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22"/>
                <w:lang w:val="fr-CH"/>
              </w:rPr>
            </w:pPr>
            <w:r w:rsidRPr="000F5DF4">
              <w:rPr>
                <w:b/>
                <w:sz w:val="18"/>
                <w:szCs w:val="22"/>
                <w:lang w:val="fr-CH"/>
              </w:rPr>
              <w:t>476</w:t>
            </w:r>
          </w:p>
        </w:tc>
        <w:tc>
          <w:tcPr>
            <w:tcW w:w="522" w:type="pct"/>
            <w:tcBorders>
              <w:top w:val="single" w:sz="4" w:space="0" w:color="auto"/>
              <w:bottom w:val="single" w:sz="12" w:space="0" w:color="auto"/>
            </w:tcBorders>
            <w:shd w:val="clear" w:color="auto" w:fill="auto"/>
            <w:vAlign w:val="bottom"/>
            <w:hideMark/>
          </w:tcPr>
          <w:p w14:paraId="4C7B4356" w14:textId="77777777" w:rsidR="001F0E9B" w:rsidRPr="000F5DF4" w:rsidRDefault="001F0E9B" w:rsidP="000F5DF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22"/>
                <w:lang w:val="fr-CH"/>
              </w:rPr>
            </w:pPr>
            <w:r w:rsidRPr="000F5DF4">
              <w:rPr>
                <w:b/>
                <w:sz w:val="18"/>
                <w:szCs w:val="22"/>
                <w:lang w:val="fr-CH"/>
              </w:rPr>
              <w:t>572</w:t>
            </w:r>
          </w:p>
        </w:tc>
        <w:tc>
          <w:tcPr>
            <w:tcW w:w="521" w:type="pct"/>
            <w:tcBorders>
              <w:top w:val="single" w:sz="4" w:space="0" w:color="auto"/>
              <w:bottom w:val="single" w:sz="12" w:space="0" w:color="auto"/>
            </w:tcBorders>
            <w:shd w:val="clear" w:color="auto" w:fill="auto"/>
            <w:vAlign w:val="bottom"/>
            <w:hideMark/>
          </w:tcPr>
          <w:p w14:paraId="2FD32072" w14:textId="77777777" w:rsidR="001F0E9B" w:rsidRPr="000F5DF4" w:rsidRDefault="001F0E9B" w:rsidP="000F5DF4">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22"/>
                <w:lang w:val="fr-CH"/>
              </w:rPr>
            </w:pPr>
            <w:r w:rsidRPr="000F5DF4">
              <w:rPr>
                <w:b/>
                <w:sz w:val="18"/>
                <w:szCs w:val="22"/>
                <w:lang w:val="fr-CH"/>
              </w:rPr>
              <w:t>3 325</w:t>
            </w:r>
          </w:p>
        </w:tc>
      </w:tr>
    </w:tbl>
    <w:p w14:paraId="30701253" w14:textId="77777777" w:rsidR="009D00C8" w:rsidRPr="001561A6" w:rsidRDefault="009D00C8" w:rsidP="009D00C8">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Bureau du Procureur général de l</w:t>
      </w:r>
      <w:r w:rsidR="009258E3">
        <w:rPr>
          <w:sz w:val="18"/>
          <w:szCs w:val="18"/>
        </w:rPr>
        <w:t>’</w:t>
      </w:r>
      <w:r w:rsidRPr="001561A6">
        <w:rPr>
          <w:sz w:val="18"/>
          <w:szCs w:val="18"/>
        </w:rPr>
        <w:t>État − Système JL1 13/08/2020 (Données relatives à la période allant du 1</w:t>
      </w:r>
      <w:r w:rsidRPr="001561A6">
        <w:rPr>
          <w:sz w:val="18"/>
          <w:szCs w:val="18"/>
          <w:vertAlign w:val="superscript"/>
        </w:rPr>
        <w:t>er</w:t>
      </w:r>
      <w:r w:rsidR="00FB5DA9" w:rsidRPr="001561A6">
        <w:rPr>
          <w:sz w:val="18"/>
          <w:szCs w:val="18"/>
        </w:rPr>
        <w:t> </w:t>
      </w:r>
      <w:r w:rsidRPr="001561A6">
        <w:rPr>
          <w:sz w:val="18"/>
          <w:szCs w:val="18"/>
        </w:rPr>
        <w:t>janvier au 31 décembre 2019).</w:t>
      </w:r>
    </w:p>
    <w:p w14:paraId="567BB977" w14:textId="77777777" w:rsidR="0074345D" w:rsidRPr="001561A6" w:rsidRDefault="009D00C8" w:rsidP="009D00C8">
      <w:pPr>
        <w:pStyle w:val="SingleTxtG"/>
      </w:pPr>
      <w:r w:rsidRPr="001561A6">
        <w:t>45.</w:t>
      </w:r>
      <w:r w:rsidRPr="001561A6">
        <w:tab/>
        <w:t>De la même façon, le système JL1 a enregistré 415 victimes de la traite, prises en charge en 2019, qui se répartissent comme suit.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8"/>
        <w:gridCol w:w="1130"/>
        <w:gridCol w:w="1302"/>
        <w:gridCol w:w="1287"/>
        <w:gridCol w:w="1120"/>
        <w:gridCol w:w="1113"/>
      </w:tblGrid>
      <w:tr w:rsidR="00331B60" w:rsidRPr="001561A6" w14:paraId="5709E7C8" w14:textId="77777777" w:rsidTr="00FB5DA9">
        <w:trPr>
          <w:tblHeader/>
        </w:trPr>
        <w:tc>
          <w:tcPr>
            <w:tcW w:w="1418" w:type="dxa"/>
            <w:vMerge w:val="restart"/>
            <w:tcBorders>
              <w:top w:val="single" w:sz="4" w:space="0" w:color="auto"/>
            </w:tcBorders>
            <w:shd w:val="clear" w:color="auto" w:fill="auto"/>
            <w:vAlign w:val="bottom"/>
          </w:tcPr>
          <w:p w14:paraId="6386F6BA" w14:textId="77777777" w:rsidR="00331B60" w:rsidRPr="001561A6" w:rsidRDefault="00331B60" w:rsidP="00FB5DA9">
            <w:pPr>
              <w:spacing w:before="80" w:after="80" w:line="200" w:lineRule="exact"/>
              <w:rPr>
                <w:i/>
                <w:sz w:val="16"/>
              </w:rPr>
            </w:pPr>
            <w:r w:rsidRPr="001561A6">
              <w:rPr>
                <w:i/>
                <w:sz w:val="16"/>
              </w:rPr>
              <w:t>Département</w:t>
            </w:r>
          </w:p>
        </w:tc>
        <w:tc>
          <w:tcPr>
            <w:tcW w:w="5952" w:type="dxa"/>
            <w:gridSpan w:val="5"/>
            <w:tcBorders>
              <w:top w:val="single" w:sz="4" w:space="0" w:color="auto"/>
              <w:bottom w:val="single" w:sz="4" w:space="0" w:color="auto"/>
            </w:tcBorders>
            <w:shd w:val="clear" w:color="auto" w:fill="auto"/>
            <w:vAlign w:val="bottom"/>
          </w:tcPr>
          <w:p w14:paraId="4BB41802" w14:textId="77777777" w:rsidR="00331B60" w:rsidRPr="001561A6" w:rsidRDefault="00FB5DA9" w:rsidP="00FB5DA9">
            <w:pPr>
              <w:spacing w:before="80" w:after="80" w:line="200" w:lineRule="exact"/>
              <w:jc w:val="center"/>
              <w:rPr>
                <w:bCs/>
                <w:i/>
                <w:sz w:val="16"/>
              </w:rPr>
            </w:pPr>
            <w:r w:rsidRPr="001561A6">
              <w:rPr>
                <w:bCs/>
                <w:i/>
                <w:sz w:val="16"/>
              </w:rPr>
              <w:t>Victimes de la traite des personnes</w:t>
            </w:r>
          </w:p>
        </w:tc>
      </w:tr>
      <w:tr w:rsidR="00331B60" w:rsidRPr="001561A6" w14:paraId="1B7643D8" w14:textId="77777777" w:rsidTr="003D677B">
        <w:trPr>
          <w:tblHeader/>
        </w:trPr>
        <w:tc>
          <w:tcPr>
            <w:tcW w:w="1418" w:type="dxa"/>
            <w:vMerge/>
            <w:tcBorders>
              <w:bottom w:val="single" w:sz="12" w:space="0" w:color="auto"/>
            </w:tcBorders>
            <w:shd w:val="clear" w:color="auto" w:fill="auto"/>
            <w:vAlign w:val="bottom"/>
          </w:tcPr>
          <w:p w14:paraId="320DC271" w14:textId="77777777" w:rsidR="00331B60" w:rsidRPr="001561A6" w:rsidRDefault="00331B60" w:rsidP="00FB5DA9">
            <w:pPr>
              <w:spacing w:before="80" w:after="80" w:line="200" w:lineRule="exact"/>
              <w:rPr>
                <w:i/>
                <w:sz w:val="16"/>
              </w:rPr>
            </w:pPr>
          </w:p>
        </w:tc>
        <w:tc>
          <w:tcPr>
            <w:tcW w:w="1130" w:type="dxa"/>
            <w:tcBorders>
              <w:top w:val="single" w:sz="4" w:space="0" w:color="auto"/>
              <w:bottom w:val="single" w:sz="12" w:space="0" w:color="auto"/>
            </w:tcBorders>
            <w:shd w:val="clear" w:color="auto" w:fill="auto"/>
            <w:vAlign w:val="bottom"/>
          </w:tcPr>
          <w:p w14:paraId="54E93A46" w14:textId="77777777" w:rsidR="00331B60" w:rsidRPr="001561A6" w:rsidRDefault="00331B60" w:rsidP="00FB5DA9">
            <w:pPr>
              <w:suppressAutoHyphens w:val="0"/>
              <w:spacing w:before="80" w:after="80" w:line="200" w:lineRule="exact"/>
              <w:jc w:val="right"/>
              <w:rPr>
                <w:bCs/>
                <w:i/>
                <w:sz w:val="16"/>
              </w:rPr>
            </w:pPr>
            <w:r w:rsidRPr="001561A6">
              <w:rPr>
                <w:bCs/>
                <w:i/>
                <w:sz w:val="16"/>
              </w:rPr>
              <w:t>0 à 12 ans</w:t>
            </w:r>
          </w:p>
        </w:tc>
        <w:tc>
          <w:tcPr>
            <w:tcW w:w="1302" w:type="dxa"/>
            <w:tcBorders>
              <w:top w:val="single" w:sz="4" w:space="0" w:color="auto"/>
              <w:bottom w:val="single" w:sz="12" w:space="0" w:color="auto"/>
            </w:tcBorders>
            <w:shd w:val="clear" w:color="auto" w:fill="auto"/>
            <w:vAlign w:val="bottom"/>
          </w:tcPr>
          <w:p w14:paraId="126D6560" w14:textId="77777777" w:rsidR="00331B60" w:rsidRPr="001561A6" w:rsidRDefault="00331B60" w:rsidP="00FB5DA9">
            <w:pPr>
              <w:suppressAutoHyphens w:val="0"/>
              <w:spacing w:before="80" w:after="80" w:line="200" w:lineRule="exact"/>
              <w:jc w:val="right"/>
              <w:rPr>
                <w:bCs/>
                <w:i/>
                <w:sz w:val="16"/>
              </w:rPr>
            </w:pPr>
            <w:r w:rsidRPr="001561A6">
              <w:rPr>
                <w:bCs/>
                <w:i/>
                <w:sz w:val="16"/>
              </w:rPr>
              <w:t>12 à 18 ans</w:t>
            </w:r>
          </w:p>
        </w:tc>
        <w:tc>
          <w:tcPr>
            <w:tcW w:w="1287" w:type="dxa"/>
            <w:tcBorders>
              <w:top w:val="single" w:sz="4" w:space="0" w:color="auto"/>
              <w:bottom w:val="single" w:sz="12" w:space="0" w:color="auto"/>
            </w:tcBorders>
            <w:shd w:val="clear" w:color="auto" w:fill="auto"/>
            <w:vAlign w:val="bottom"/>
          </w:tcPr>
          <w:p w14:paraId="09D6D478" w14:textId="77777777" w:rsidR="00331B60" w:rsidRPr="001561A6" w:rsidRDefault="00331B60" w:rsidP="00FB5DA9">
            <w:pPr>
              <w:suppressAutoHyphens w:val="0"/>
              <w:spacing w:before="80" w:after="80" w:line="200" w:lineRule="exact"/>
              <w:jc w:val="right"/>
              <w:rPr>
                <w:bCs/>
                <w:i/>
                <w:sz w:val="16"/>
              </w:rPr>
            </w:pPr>
            <w:r w:rsidRPr="001561A6">
              <w:rPr>
                <w:bCs/>
                <w:i/>
                <w:sz w:val="16"/>
              </w:rPr>
              <w:t>18 ans et plus</w:t>
            </w:r>
          </w:p>
        </w:tc>
        <w:tc>
          <w:tcPr>
            <w:tcW w:w="1120" w:type="dxa"/>
            <w:tcBorders>
              <w:top w:val="single" w:sz="4" w:space="0" w:color="auto"/>
              <w:bottom w:val="single" w:sz="12" w:space="0" w:color="auto"/>
            </w:tcBorders>
            <w:shd w:val="clear" w:color="auto" w:fill="auto"/>
            <w:vAlign w:val="bottom"/>
          </w:tcPr>
          <w:p w14:paraId="11A1A2BD" w14:textId="77777777" w:rsidR="00331B60" w:rsidRPr="001561A6" w:rsidRDefault="009258E3" w:rsidP="00FB5DA9">
            <w:pPr>
              <w:suppressAutoHyphens w:val="0"/>
              <w:spacing w:before="80" w:after="80" w:line="200" w:lineRule="exact"/>
              <w:jc w:val="right"/>
              <w:rPr>
                <w:bCs/>
                <w:i/>
                <w:sz w:val="16"/>
              </w:rPr>
            </w:pPr>
            <w:proofErr w:type="spellStart"/>
            <w:r>
              <w:rPr>
                <w:bCs/>
                <w:i/>
                <w:sz w:val="16"/>
              </w:rPr>
              <w:t>n.</w:t>
            </w:r>
            <w:r w:rsidR="00E8410E">
              <w:rPr>
                <w:bCs/>
                <w:i/>
                <w:sz w:val="16"/>
              </w:rPr>
              <w:t>d</w:t>
            </w:r>
            <w:proofErr w:type="spellEnd"/>
            <w:r>
              <w:rPr>
                <w:bCs/>
                <w:i/>
                <w:sz w:val="16"/>
              </w:rPr>
              <w:t>.</w:t>
            </w:r>
          </w:p>
        </w:tc>
        <w:tc>
          <w:tcPr>
            <w:tcW w:w="1113" w:type="dxa"/>
            <w:tcBorders>
              <w:top w:val="single" w:sz="4" w:space="0" w:color="auto"/>
              <w:bottom w:val="single" w:sz="12" w:space="0" w:color="auto"/>
            </w:tcBorders>
            <w:shd w:val="clear" w:color="auto" w:fill="auto"/>
            <w:vAlign w:val="bottom"/>
          </w:tcPr>
          <w:p w14:paraId="00ECE768" w14:textId="77777777" w:rsidR="00331B60" w:rsidRPr="001561A6" w:rsidRDefault="00331B60" w:rsidP="00FB5DA9">
            <w:pPr>
              <w:suppressAutoHyphens w:val="0"/>
              <w:spacing w:before="80" w:after="80" w:line="200" w:lineRule="exact"/>
              <w:jc w:val="right"/>
              <w:rPr>
                <w:bCs/>
                <w:i/>
                <w:sz w:val="16"/>
              </w:rPr>
            </w:pPr>
            <w:r w:rsidRPr="001561A6">
              <w:rPr>
                <w:bCs/>
                <w:i/>
                <w:sz w:val="16"/>
              </w:rPr>
              <w:t>Total général</w:t>
            </w:r>
          </w:p>
        </w:tc>
      </w:tr>
      <w:tr w:rsidR="00FB5DA9" w:rsidRPr="001561A6" w14:paraId="2DD1E2FA" w14:textId="77777777" w:rsidTr="003D677B">
        <w:tc>
          <w:tcPr>
            <w:tcW w:w="1418" w:type="dxa"/>
            <w:tcBorders>
              <w:top w:val="single" w:sz="12" w:space="0" w:color="auto"/>
            </w:tcBorders>
            <w:shd w:val="clear" w:color="auto" w:fill="auto"/>
            <w:vAlign w:val="bottom"/>
          </w:tcPr>
          <w:p w14:paraId="23157EC0" w14:textId="77777777" w:rsidR="00FB5DA9" w:rsidRPr="001561A6" w:rsidRDefault="00FB5DA9" w:rsidP="00FB5DA9">
            <w:pPr>
              <w:suppressAutoHyphens w:val="0"/>
              <w:spacing w:before="40" w:after="40" w:line="220" w:lineRule="exact"/>
              <w:rPr>
                <w:b/>
                <w:bCs/>
                <w:sz w:val="18"/>
              </w:rPr>
            </w:pPr>
            <w:r w:rsidRPr="001561A6">
              <w:rPr>
                <w:b/>
                <w:bCs/>
                <w:sz w:val="18"/>
              </w:rPr>
              <w:t>Beni</w:t>
            </w:r>
          </w:p>
        </w:tc>
        <w:tc>
          <w:tcPr>
            <w:tcW w:w="1130" w:type="dxa"/>
            <w:tcBorders>
              <w:top w:val="single" w:sz="12" w:space="0" w:color="auto"/>
            </w:tcBorders>
            <w:shd w:val="clear" w:color="auto" w:fill="auto"/>
            <w:vAlign w:val="bottom"/>
          </w:tcPr>
          <w:p w14:paraId="0AAC6375"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302" w:type="dxa"/>
            <w:tcBorders>
              <w:top w:val="single" w:sz="12" w:space="0" w:color="auto"/>
            </w:tcBorders>
            <w:shd w:val="clear" w:color="auto" w:fill="auto"/>
            <w:vAlign w:val="bottom"/>
          </w:tcPr>
          <w:p w14:paraId="12703737" w14:textId="77777777" w:rsidR="00FB5DA9" w:rsidRPr="001561A6" w:rsidRDefault="00FB5DA9" w:rsidP="00FB5DA9">
            <w:pPr>
              <w:suppressAutoHyphens w:val="0"/>
              <w:spacing w:before="40" w:after="40" w:line="220" w:lineRule="exact"/>
              <w:jc w:val="right"/>
              <w:rPr>
                <w:sz w:val="18"/>
              </w:rPr>
            </w:pPr>
            <w:r w:rsidRPr="001561A6">
              <w:rPr>
                <w:sz w:val="18"/>
              </w:rPr>
              <w:t>3</w:t>
            </w:r>
          </w:p>
        </w:tc>
        <w:tc>
          <w:tcPr>
            <w:tcW w:w="1287" w:type="dxa"/>
            <w:tcBorders>
              <w:top w:val="single" w:sz="12" w:space="0" w:color="auto"/>
            </w:tcBorders>
            <w:shd w:val="clear" w:color="auto" w:fill="auto"/>
            <w:vAlign w:val="bottom"/>
          </w:tcPr>
          <w:p w14:paraId="7603018C"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120" w:type="dxa"/>
            <w:tcBorders>
              <w:top w:val="single" w:sz="12" w:space="0" w:color="auto"/>
            </w:tcBorders>
            <w:shd w:val="clear" w:color="auto" w:fill="auto"/>
            <w:vAlign w:val="bottom"/>
          </w:tcPr>
          <w:p w14:paraId="6C5F41C5" w14:textId="77777777" w:rsidR="00FB5DA9" w:rsidRPr="001561A6" w:rsidRDefault="00FB5DA9" w:rsidP="00FB5DA9">
            <w:pPr>
              <w:suppressAutoHyphens w:val="0"/>
              <w:spacing w:before="40" w:after="40" w:line="220" w:lineRule="exact"/>
              <w:jc w:val="right"/>
              <w:rPr>
                <w:sz w:val="18"/>
              </w:rPr>
            </w:pPr>
            <w:r w:rsidRPr="001561A6">
              <w:rPr>
                <w:sz w:val="18"/>
              </w:rPr>
              <w:t>4</w:t>
            </w:r>
          </w:p>
        </w:tc>
        <w:tc>
          <w:tcPr>
            <w:tcW w:w="1113" w:type="dxa"/>
            <w:tcBorders>
              <w:top w:val="single" w:sz="12" w:space="0" w:color="auto"/>
            </w:tcBorders>
            <w:shd w:val="clear" w:color="auto" w:fill="auto"/>
            <w:vAlign w:val="bottom"/>
          </w:tcPr>
          <w:p w14:paraId="1D6B0600" w14:textId="77777777" w:rsidR="00FB5DA9" w:rsidRPr="001561A6" w:rsidRDefault="00FB5DA9" w:rsidP="00FB5DA9">
            <w:pPr>
              <w:suppressAutoHyphens w:val="0"/>
              <w:spacing w:before="40" w:after="40" w:line="220" w:lineRule="exact"/>
              <w:jc w:val="right"/>
              <w:rPr>
                <w:sz w:val="18"/>
              </w:rPr>
            </w:pPr>
            <w:r w:rsidRPr="001561A6">
              <w:rPr>
                <w:sz w:val="18"/>
              </w:rPr>
              <w:t>7</w:t>
            </w:r>
          </w:p>
        </w:tc>
      </w:tr>
      <w:tr w:rsidR="00FB5DA9" w:rsidRPr="001561A6" w14:paraId="04F5D4E1" w14:textId="77777777" w:rsidTr="003D677B">
        <w:tc>
          <w:tcPr>
            <w:tcW w:w="1418" w:type="dxa"/>
            <w:shd w:val="clear" w:color="auto" w:fill="auto"/>
            <w:vAlign w:val="bottom"/>
          </w:tcPr>
          <w:p w14:paraId="67FD5467" w14:textId="77777777" w:rsidR="00FB5DA9" w:rsidRPr="001561A6" w:rsidRDefault="00FB5DA9" w:rsidP="00FB5DA9">
            <w:pPr>
              <w:suppressAutoHyphens w:val="0"/>
              <w:spacing w:before="40" w:after="40" w:line="220" w:lineRule="exact"/>
              <w:rPr>
                <w:b/>
                <w:bCs/>
                <w:sz w:val="18"/>
              </w:rPr>
            </w:pPr>
            <w:r w:rsidRPr="001561A6">
              <w:rPr>
                <w:b/>
                <w:bCs/>
                <w:sz w:val="18"/>
              </w:rPr>
              <w:t>Chuquisaca</w:t>
            </w:r>
          </w:p>
        </w:tc>
        <w:tc>
          <w:tcPr>
            <w:tcW w:w="1130" w:type="dxa"/>
            <w:shd w:val="clear" w:color="auto" w:fill="auto"/>
            <w:vAlign w:val="bottom"/>
          </w:tcPr>
          <w:p w14:paraId="7C9BED79"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302" w:type="dxa"/>
            <w:shd w:val="clear" w:color="auto" w:fill="auto"/>
            <w:vAlign w:val="bottom"/>
          </w:tcPr>
          <w:p w14:paraId="04F2370B" w14:textId="77777777" w:rsidR="00FB5DA9" w:rsidRPr="001561A6" w:rsidRDefault="00FB5DA9" w:rsidP="00FB5DA9">
            <w:pPr>
              <w:suppressAutoHyphens w:val="0"/>
              <w:spacing w:before="40" w:after="40" w:line="220" w:lineRule="exact"/>
              <w:jc w:val="right"/>
              <w:rPr>
                <w:sz w:val="18"/>
              </w:rPr>
            </w:pPr>
            <w:r w:rsidRPr="001561A6">
              <w:rPr>
                <w:sz w:val="18"/>
              </w:rPr>
              <w:t>1</w:t>
            </w:r>
          </w:p>
        </w:tc>
        <w:tc>
          <w:tcPr>
            <w:tcW w:w="1287" w:type="dxa"/>
            <w:shd w:val="clear" w:color="auto" w:fill="auto"/>
            <w:vAlign w:val="bottom"/>
          </w:tcPr>
          <w:p w14:paraId="5B364CAE"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120" w:type="dxa"/>
            <w:shd w:val="clear" w:color="auto" w:fill="auto"/>
            <w:vAlign w:val="bottom"/>
          </w:tcPr>
          <w:p w14:paraId="4D288514" w14:textId="77777777" w:rsidR="00FB5DA9" w:rsidRPr="001561A6" w:rsidRDefault="00FB5DA9" w:rsidP="00FB5DA9">
            <w:pPr>
              <w:suppressAutoHyphens w:val="0"/>
              <w:spacing w:before="40" w:after="40" w:line="220" w:lineRule="exact"/>
              <w:jc w:val="right"/>
              <w:rPr>
                <w:sz w:val="18"/>
              </w:rPr>
            </w:pPr>
            <w:r w:rsidRPr="001561A6">
              <w:rPr>
                <w:sz w:val="18"/>
              </w:rPr>
              <w:t>2</w:t>
            </w:r>
          </w:p>
        </w:tc>
        <w:tc>
          <w:tcPr>
            <w:tcW w:w="1113" w:type="dxa"/>
            <w:shd w:val="clear" w:color="auto" w:fill="auto"/>
            <w:vAlign w:val="bottom"/>
          </w:tcPr>
          <w:p w14:paraId="26863040" w14:textId="77777777" w:rsidR="00FB5DA9" w:rsidRPr="001561A6" w:rsidRDefault="00FB5DA9" w:rsidP="00FB5DA9">
            <w:pPr>
              <w:suppressAutoHyphens w:val="0"/>
              <w:spacing w:before="40" w:after="40" w:line="220" w:lineRule="exact"/>
              <w:jc w:val="right"/>
              <w:rPr>
                <w:sz w:val="18"/>
              </w:rPr>
            </w:pPr>
            <w:r w:rsidRPr="001561A6">
              <w:rPr>
                <w:sz w:val="18"/>
              </w:rPr>
              <w:t>3</w:t>
            </w:r>
          </w:p>
        </w:tc>
      </w:tr>
      <w:tr w:rsidR="00FB5DA9" w:rsidRPr="001561A6" w14:paraId="1562F308" w14:textId="77777777" w:rsidTr="003D677B">
        <w:tc>
          <w:tcPr>
            <w:tcW w:w="1418" w:type="dxa"/>
            <w:shd w:val="clear" w:color="auto" w:fill="auto"/>
            <w:vAlign w:val="bottom"/>
          </w:tcPr>
          <w:p w14:paraId="65F4761B" w14:textId="77777777" w:rsidR="00FB5DA9" w:rsidRPr="001561A6" w:rsidRDefault="00FB5DA9" w:rsidP="00FB5DA9">
            <w:pPr>
              <w:suppressAutoHyphens w:val="0"/>
              <w:spacing w:before="40" w:after="40" w:line="220" w:lineRule="exact"/>
              <w:rPr>
                <w:b/>
                <w:bCs/>
                <w:sz w:val="18"/>
              </w:rPr>
            </w:pPr>
            <w:r w:rsidRPr="001561A6">
              <w:rPr>
                <w:b/>
                <w:bCs/>
                <w:sz w:val="18"/>
              </w:rPr>
              <w:t>Cochabamba</w:t>
            </w:r>
          </w:p>
        </w:tc>
        <w:tc>
          <w:tcPr>
            <w:tcW w:w="1130" w:type="dxa"/>
            <w:shd w:val="clear" w:color="auto" w:fill="auto"/>
            <w:vAlign w:val="bottom"/>
          </w:tcPr>
          <w:p w14:paraId="6E63D6C0"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302" w:type="dxa"/>
            <w:shd w:val="clear" w:color="auto" w:fill="auto"/>
            <w:vAlign w:val="bottom"/>
          </w:tcPr>
          <w:p w14:paraId="07328801" w14:textId="77777777" w:rsidR="00FB5DA9" w:rsidRPr="001561A6" w:rsidRDefault="00FB5DA9" w:rsidP="00FB5DA9">
            <w:pPr>
              <w:suppressAutoHyphens w:val="0"/>
              <w:spacing w:before="40" w:after="40" w:line="220" w:lineRule="exact"/>
              <w:jc w:val="right"/>
              <w:rPr>
                <w:sz w:val="18"/>
              </w:rPr>
            </w:pPr>
            <w:r w:rsidRPr="001561A6">
              <w:rPr>
                <w:sz w:val="18"/>
              </w:rPr>
              <w:t>4</w:t>
            </w:r>
          </w:p>
        </w:tc>
        <w:tc>
          <w:tcPr>
            <w:tcW w:w="1287" w:type="dxa"/>
            <w:shd w:val="clear" w:color="auto" w:fill="auto"/>
            <w:vAlign w:val="bottom"/>
          </w:tcPr>
          <w:p w14:paraId="38983268" w14:textId="77777777" w:rsidR="00FB5DA9" w:rsidRPr="001561A6" w:rsidRDefault="00FB5DA9" w:rsidP="00FB5DA9">
            <w:pPr>
              <w:suppressAutoHyphens w:val="0"/>
              <w:spacing w:before="40" w:after="40" w:line="220" w:lineRule="exact"/>
              <w:jc w:val="right"/>
              <w:rPr>
                <w:sz w:val="18"/>
              </w:rPr>
            </w:pPr>
            <w:r w:rsidRPr="001561A6">
              <w:rPr>
                <w:sz w:val="18"/>
              </w:rPr>
              <w:t>9</w:t>
            </w:r>
          </w:p>
        </w:tc>
        <w:tc>
          <w:tcPr>
            <w:tcW w:w="1120" w:type="dxa"/>
            <w:shd w:val="clear" w:color="auto" w:fill="auto"/>
            <w:vAlign w:val="bottom"/>
          </w:tcPr>
          <w:p w14:paraId="41D2816B" w14:textId="77777777" w:rsidR="00FB5DA9" w:rsidRPr="001561A6" w:rsidRDefault="00FB5DA9" w:rsidP="00FB5DA9">
            <w:pPr>
              <w:suppressAutoHyphens w:val="0"/>
              <w:spacing w:before="40" w:after="40" w:line="220" w:lineRule="exact"/>
              <w:jc w:val="right"/>
              <w:rPr>
                <w:sz w:val="18"/>
              </w:rPr>
            </w:pPr>
            <w:r w:rsidRPr="001561A6">
              <w:rPr>
                <w:sz w:val="18"/>
              </w:rPr>
              <w:t>22</w:t>
            </w:r>
          </w:p>
        </w:tc>
        <w:tc>
          <w:tcPr>
            <w:tcW w:w="1113" w:type="dxa"/>
            <w:shd w:val="clear" w:color="auto" w:fill="auto"/>
            <w:vAlign w:val="bottom"/>
          </w:tcPr>
          <w:p w14:paraId="43BBC435" w14:textId="77777777" w:rsidR="00FB5DA9" w:rsidRPr="001561A6" w:rsidRDefault="00FB5DA9" w:rsidP="00FB5DA9">
            <w:pPr>
              <w:suppressAutoHyphens w:val="0"/>
              <w:spacing w:before="40" w:after="40" w:line="220" w:lineRule="exact"/>
              <w:jc w:val="right"/>
              <w:rPr>
                <w:sz w:val="18"/>
              </w:rPr>
            </w:pPr>
            <w:r w:rsidRPr="001561A6">
              <w:rPr>
                <w:sz w:val="18"/>
              </w:rPr>
              <w:t>35</w:t>
            </w:r>
          </w:p>
        </w:tc>
      </w:tr>
      <w:tr w:rsidR="00FB5DA9" w:rsidRPr="001561A6" w14:paraId="56EEA1A0" w14:textId="77777777" w:rsidTr="003D677B">
        <w:tc>
          <w:tcPr>
            <w:tcW w:w="1418" w:type="dxa"/>
            <w:shd w:val="clear" w:color="auto" w:fill="auto"/>
            <w:vAlign w:val="bottom"/>
          </w:tcPr>
          <w:p w14:paraId="10124237" w14:textId="77777777" w:rsidR="00FB5DA9" w:rsidRPr="001561A6" w:rsidRDefault="00FB5DA9" w:rsidP="00FB5DA9">
            <w:pPr>
              <w:suppressAutoHyphens w:val="0"/>
              <w:spacing w:before="40" w:after="40" w:line="220" w:lineRule="exact"/>
              <w:rPr>
                <w:b/>
                <w:bCs/>
                <w:sz w:val="18"/>
              </w:rPr>
            </w:pPr>
            <w:r w:rsidRPr="001561A6">
              <w:rPr>
                <w:b/>
                <w:bCs/>
                <w:sz w:val="18"/>
              </w:rPr>
              <w:t>La Paz</w:t>
            </w:r>
          </w:p>
        </w:tc>
        <w:tc>
          <w:tcPr>
            <w:tcW w:w="1130" w:type="dxa"/>
            <w:shd w:val="clear" w:color="auto" w:fill="auto"/>
            <w:vAlign w:val="bottom"/>
          </w:tcPr>
          <w:p w14:paraId="2782F653" w14:textId="77777777" w:rsidR="00FB5DA9" w:rsidRPr="001561A6" w:rsidRDefault="00FB5DA9" w:rsidP="00FB5DA9">
            <w:pPr>
              <w:suppressAutoHyphens w:val="0"/>
              <w:spacing w:before="40" w:after="40" w:line="220" w:lineRule="exact"/>
              <w:jc w:val="right"/>
              <w:rPr>
                <w:sz w:val="18"/>
              </w:rPr>
            </w:pPr>
            <w:r w:rsidRPr="001561A6">
              <w:rPr>
                <w:sz w:val="18"/>
              </w:rPr>
              <w:t>8</w:t>
            </w:r>
          </w:p>
        </w:tc>
        <w:tc>
          <w:tcPr>
            <w:tcW w:w="1302" w:type="dxa"/>
            <w:shd w:val="clear" w:color="auto" w:fill="auto"/>
            <w:vAlign w:val="bottom"/>
          </w:tcPr>
          <w:p w14:paraId="6630866C" w14:textId="77777777" w:rsidR="00FB5DA9" w:rsidRPr="001561A6" w:rsidRDefault="00FB5DA9" w:rsidP="00FB5DA9">
            <w:pPr>
              <w:suppressAutoHyphens w:val="0"/>
              <w:spacing w:before="40" w:after="40" w:line="220" w:lineRule="exact"/>
              <w:jc w:val="right"/>
              <w:rPr>
                <w:sz w:val="18"/>
              </w:rPr>
            </w:pPr>
            <w:r w:rsidRPr="001561A6">
              <w:rPr>
                <w:sz w:val="18"/>
              </w:rPr>
              <w:t>61</w:t>
            </w:r>
          </w:p>
        </w:tc>
        <w:tc>
          <w:tcPr>
            <w:tcW w:w="1287" w:type="dxa"/>
            <w:shd w:val="clear" w:color="auto" w:fill="auto"/>
            <w:vAlign w:val="bottom"/>
          </w:tcPr>
          <w:p w14:paraId="6EA1C6E1" w14:textId="77777777" w:rsidR="00FB5DA9" w:rsidRPr="001561A6" w:rsidRDefault="00FB5DA9" w:rsidP="00FB5DA9">
            <w:pPr>
              <w:suppressAutoHyphens w:val="0"/>
              <w:spacing w:before="40" w:after="40" w:line="220" w:lineRule="exact"/>
              <w:jc w:val="right"/>
              <w:rPr>
                <w:sz w:val="18"/>
              </w:rPr>
            </w:pPr>
            <w:r w:rsidRPr="001561A6">
              <w:rPr>
                <w:sz w:val="18"/>
              </w:rPr>
              <w:t>82</w:t>
            </w:r>
          </w:p>
        </w:tc>
        <w:tc>
          <w:tcPr>
            <w:tcW w:w="1120" w:type="dxa"/>
            <w:shd w:val="clear" w:color="auto" w:fill="auto"/>
            <w:vAlign w:val="bottom"/>
          </w:tcPr>
          <w:p w14:paraId="4F57AA49" w14:textId="77777777" w:rsidR="00FB5DA9" w:rsidRPr="001561A6" w:rsidRDefault="00FB5DA9" w:rsidP="00FB5DA9">
            <w:pPr>
              <w:suppressAutoHyphens w:val="0"/>
              <w:spacing w:before="40" w:after="40" w:line="220" w:lineRule="exact"/>
              <w:jc w:val="right"/>
              <w:rPr>
                <w:sz w:val="18"/>
              </w:rPr>
            </w:pPr>
            <w:r w:rsidRPr="001561A6">
              <w:rPr>
                <w:sz w:val="18"/>
              </w:rPr>
              <w:t>149</w:t>
            </w:r>
          </w:p>
        </w:tc>
        <w:tc>
          <w:tcPr>
            <w:tcW w:w="1113" w:type="dxa"/>
            <w:shd w:val="clear" w:color="auto" w:fill="auto"/>
            <w:vAlign w:val="bottom"/>
          </w:tcPr>
          <w:p w14:paraId="712C98CB" w14:textId="77777777" w:rsidR="00FB5DA9" w:rsidRPr="001561A6" w:rsidRDefault="00FB5DA9" w:rsidP="00FB5DA9">
            <w:pPr>
              <w:suppressAutoHyphens w:val="0"/>
              <w:spacing w:before="40" w:after="40" w:line="220" w:lineRule="exact"/>
              <w:jc w:val="right"/>
              <w:rPr>
                <w:sz w:val="18"/>
              </w:rPr>
            </w:pPr>
            <w:r w:rsidRPr="001561A6">
              <w:rPr>
                <w:sz w:val="18"/>
              </w:rPr>
              <w:t>300</w:t>
            </w:r>
          </w:p>
        </w:tc>
      </w:tr>
      <w:tr w:rsidR="00FB5DA9" w:rsidRPr="001561A6" w14:paraId="7101FD00" w14:textId="77777777" w:rsidTr="003D677B">
        <w:tc>
          <w:tcPr>
            <w:tcW w:w="1418" w:type="dxa"/>
            <w:shd w:val="clear" w:color="auto" w:fill="auto"/>
            <w:vAlign w:val="bottom"/>
          </w:tcPr>
          <w:p w14:paraId="1BBB56F6" w14:textId="77777777" w:rsidR="00FB5DA9" w:rsidRPr="001561A6" w:rsidRDefault="00FB5DA9" w:rsidP="00FB5DA9">
            <w:pPr>
              <w:suppressAutoHyphens w:val="0"/>
              <w:spacing w:before="40" w:after="40" w:line="220" w:lineRule="exact"/>
              <w:rPr>
                <w:b/>
                <w:bCs/>
                <w:sz w:val="18"/>
              </w:rPr>
            </w:pPr>
            <w:r w:rsidRPr="001561A6">
              <w:rPr>
                <w:b/>
                <w:bCs/>
                <w:sz w:val="18"/>
              </w:rPr>
              <w:t>Oruro</w:t>
            </w:r>
          </w:p>
        </w:tc>
        <w:tc>
          <w:tcPr>
            <w:tcW w:w="1130" w:type="dxa"/>
            <w:shd w:val="clear" w:color="auto" w:fill="auto"/>
            <w:vAlign w:val="bottom"/>
          </w:tcPr>
          <w:p w14:paraId="7D03DB0E"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302" w:type="dxa"/>
            <w:shd w:val="clear" w:color="auto" w:fill="auto"/>
            <w:vAlign w:val="bottom"/>
          </w:tcPr>
          <w:p w14:paraId="17F79110" w14:textId="77777777" w:rsidR="00FB5DA9" w:rsidRPr="001561A6" w:rsidRDefault="00FB5DA9" w:rsidP="00FB5DA9">
            <w:pPr>
              <w:suppressAutoHyphens w:val="0"/>
              <w:spacing w:before="40" w:after="40" w:line="220" w:lineRule="exact"/>
              <w:jc w:val="right"/>
              <w:rPr>
                <w:sz w:val="18"/>
              </w:rPr>
            </w:pPr>
            <w:r w:rsidRPr="001561A6">
              <w:rPr>
                <w:sz w:val="18"/>
              </w:rPr>
              <w:t>1</w:t>
            </w:r>
          </w:p>
        </w:tc>
        <w:tc>
          <w:tcPr>
            <w:tcW w:w="1287" w:type="dxa"/>
            <w:shd w:val="clear" w:color="auto" w:fill="auto"/>
            <w:vAlign w:val="bottom"/>
          </w:tcPr>
          <w:p w14:paraId="0F84D8B9" w14:textId="77777777" w:rsidR="00FB5DA9" w:rsidRPr="001561A6" w:rsidRDefault="00FB5DA9" w:rsidP="00FB5DA9">
            <w:pPr>
              <w:suppressAutoHyphens w:val="0"/>
              <w:spacing w:before="40" w:after="40" w:line="220" w:lineRule="exact"/>
              <w:jc w:val="right"/>
              <w:rPr>
                <w:sz w:val="18"/>
              </w:rPr>
            </w:pPr>
            <w:r w:rsidRPr="001561A6">
              <w:rPr>
                <w:sz w:val="18"/>
              </w:rPr>
              <w:t>2</w:t>
            </w:r>
          </w:p>
        </w:tc>
        <w:tc>
          <w:tcPr>
            <w:tcW w:w="1120" w:type="dxa"/>
            <w:shd w:val="clear" w:color="auto" w:fill="auto"/>
            <w:vAlign w:val="bottom"/>
          </w:tcPr>
          <w:p w14:paraId="767AF6BD" w14:textId="77777777" w:rsidR="00FB5DA9" w:rsidRPr="001561A6" w:rsidRDefault="00FB5DA9" w:rsidP="00FB5DA9">
            <w:pPr>
              <w:suppressAutoHyphens w:val="0"/>
              <w:spacing w:before="40" w:after="40" w:line="220" w:lineRule="exact"/>
              <w:jc w:val="right"/>
              <w:rPr>
                <w:sz w:val="18"/>
              </w:rPr>
            </w:pPr>
            <w:r w:rsidRPr="001561A6">
              <w:rPr>
                <w:sz w:val="18"/>
              </w:rPr>
              <w:t>22</w:t>
            </w:r>
          </w:p>
        </w:tc>
        <w:tc>
          <w:tcPr>
            <w:tcW w:w="1113" w:type="dxa"/>
            <w:shd w:val="clear" w:color="auto" w:fill="auto"/>
            <w:vAlign w:val="bottom"/>
          </w:tcPr>
          <w:p w14:paraId="6658A014" w14:textId="77777777" w:rsidR="00FB5DA9" w:rsidRPr="001561A6" w:rsidRDefault="00FB5DA9" w:rsidP="00FB5DA9">
            <w:pPr>
              <w:suppressAutoHyphens w:val="0"/>
              <w:spacing w:before="40" w:after="40" w:line="220" w:lineRule="exact"/>
              <w:jc w:val="right"/>
              <w:rPr>
                <w:sz w:val="18"/>
              </w:rPr>
            </w:pPr>
            <w:r w:rsidRPr="001561A6">
              <w:rPr>
                <w:sz w:val="18"/>
              </w:rPr>
              <w:t>25</w:t>
            </w:r>
          </w:p>
        </w:tc>
      </w:tr>
      <w:tr w:rsidR="00FB5DA9" w:rsidRPr="001561A6" w14:paraId="72156ECD" w14:textId="77777777" w:rsidTr="003D677B">
        <w:tc>
          <w:tcPr>
            <w:tcW w:w="1418" w:type="dxa"/>
            <w:shd w:val="clear" w:color="auto" w:fill="auto"/>
            <w:vAlign w:val="bottom"/>
          </w:tcPr>
          <w:p w14:paraId="7453CBC1" w14:textId="77777777" w:rsidR="00FB5DA9" w:rsidRPr="001561A6" w:rsidRDefault="00FB5DA9" w:rsidP="00FB5DA9">
            <w:pPr>
              <w:suppressAutoHyphens w:val="0"/>
              <w:spacing w:before="40" w:after="40" w:line="220" w:lineRule="exact"/>
              <w:rPr>
                <w:b/>
                <w:bCs/>
                <w:sz w:val="18"/>
              </w:rPr>
            </w:pPr>
            <w:r w:rsidRPr="001561A6">
              <w:rPr>
                <w:b/>
                <w:bCs/>
                <w:sz w:val="18"/>
              </w:rPr>
              <w:t>Pando</w:t>
            </w:r>
          </w:p>
        </w:tc>
        <w:tc>
          <w:tcPr>
            <w:tcW w:w="1130" w:type="dxa"/>
            <w:shd w:val="clear" w:color="auto" w:fill="auto"/>
            <w:vAlign w:val="bottom"/>
          </w:tcPr>
          <w:p w14:paraId="4DBC9489"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302" w:type="dxa"/>
            <w:shd w:val="clear" w:color="auto" w:fill="auto"/>
            <w:vAlign w:val="bottom"/>
          </w:tcPr>
          <w:p w14:paraId="569B3B7D"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287" w:type="dxa"/>
            <w:shd w:val="clear" w:color="auto" w:fill="auto"/>
            <w:vAlign w:val="bottom"/>
          </w:tcPr>
          <w:p w14:paraId="1C45FD95" w14:textId="77777777" w:rsidR="00FB5DA9" w:rsidRPr="001561A6" w:rsidRDefault="00FB5DA9" w:rsidP="00FB5DA9">
            <w:pPr>
              <w:suppressAutoHyphens w:val="0"/>
              <w:spacing w:before="40" w:after="40" w:line="220" w:lineRule="exact"/>
              <w:jc w:val="right"/>
              <w:rPr>
                <w:sz w:val="18"/>
              </w:rPr>
            </w:pPr>
            <w:r w:rsidRPr="001561A6">
              <w:rPr>
                <w:sz w:val="18"/>
              </w:rPr>
              <w:t>1</w:t>
            </w:r>
          </w:p>
        </w:tc>
        <w:tc>
          <w:tcPr>
            <w:tcW w:w="1120" w:type="dxa"/>
            <w:shd w:val="clear" w:color="auto" w:fill="auto"/>
            <w:vAlign w:val="bottom"/>
          </w:tcPr>
          <w:p w14:paraId="441E086F" w14:textId="77777777" w:rsidR="00FB5DA9" w:rsidRPr="001561A6" w:rsidRDefault="00FB5DA9" w:rsidP="00FB5DA9">
            <w:pPr>
              <w:suppressAutoHyphens w:val="0"/>
              <w:spacing w:before="40" w:after="40" w:line="220" w:lineRule="exact"/>
              <w:jc w:val="right"/>
              <w:rPr>
                <w:sz w:val="18"/>
              </w:rPr>
            </w:pPr>
            <w:r w:rsidRPr="001561A6">
              <w:rPr>
                <w:sz w:val="18"/>
              </w:rPr>
              <w:t>3</w:t>
            </w:r>
          </w:p>
        </w:tc>
        <w:tc>
          <w:tcPr>
            <w:tcW w:w="1113" w:type="dxa"/>
            <w:shd w:val="clear" w:color="auto" w:fill="auto"/>
            <w:vAlign w:val="bottom"/>
          </w:tcPr>
          <w:p w14:paraId="4F3652DB" w14:textId="77777777" w:rsidR="00FB5DA9" w:rsidRPr="001561A6" w:rsidRDefault="00FB5DA9" w:rsidP="00FB5DA9">
            <w:pPr>
              <w:suppressAutoHyphens w:val="0"/>
              <w:spacing w:before="40" w:after="40" w:line="220" w:lineRule="exact"/>
              <w:jc w:val="right"/>
              <w:rPr>
                <w:sz w:val="18"/>
              </w:rPr>
            </w:pPr>
            <w:r w:rsidRPr="001561A6">
              <w:rPr>
                <w:sz w:val="18"/>
              </w:rPr>
              <w:t>4</w:t>
            </w:r>
          </w:p>
        </w:tc>
      </w:tr>
      <w:tr w:rsidR="00FB5DA9" w:rsidRPr="001561A6" w14:paraId="27F4BD80" w14:textId="77777777" w:rsidTr="003D677B">
        <w:tc>
          <w:tcPr>
            <w:tcW w:w="1418" w:type="dxa"/>
            <w:shd w:val="clear" w:color="auto" w:fill="auto"/>
            <w:vAlign w:val="bottom"/>
          </w:tcPr>
          <w:p w14:paraId="3B48A71C" w14:textId="77777777" w:rsidR="00FB5DA9" w:rsidRPr="001561A6" w:rsidRDefault="00FB5DA9" w:rsidP="00FB5DA9">
            <w:pPr>
              <w:suppressAutoHyphens w:val="0"/>
              <w:spacing w:before="40" w:after="40" w:line="220" w:lineRule="exact"/>
              <w:rPr>
                <w:b/>
                <w:bCs/>
                <w:sz w:val="18"/>
              </w:rPr>
            </w:pPr>
            <w:r w:rsidRPr="001561A6">
              <w:rPr>
                <w:b/>
                <w:bCs/>
                <w:sz w:val="18"/>
              </w:rPr>
              <w:t>Potosí</w:t>
            </w:r>
          </w:p>
        </w:tc>
        <w:tc>
          <w:tcPr>
            <w:tcW w:w="1130" w:type="dxa"/>
            <w:shd w:val="clear" w:color="auto" w:fill="auto"/>
            <w:vAlign w:val="bottom"/>
          </w:tcPr>
          <w:p w14:paraId="6D3FA1BB"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302" w:type="dxa"/>
            <w:shd w:val="clear" w:color="auto" w:fill="auto"/>
            <w:vAlign w:val="bottom"/>
          </w:tcPr>
          <w:p w14:paraId="3D2C647E" w14:textId="77777777" w:rsidR="00FB5DA9" w:rsidRPr="001561A6" w:rsidRDefault="00FB5DA9" w:rsidP="00FB5DA9">
            <w:pPr>
              <w:suppressAutoHyphens w:val="0"/>
              <w:spacing w:before="40" w:after="40" w:line="220" w:lineRule="exact"/>
              <w:jc w:val="right"/>
              <w:rPr>
                <w:sz w:val="18"/>
              </w:rPr>
            </w:pPr>
            <w:r w:rsidRPr="001561A6">
              <w:rPr>
                <w:sz w:val="18"/>
              </w:rPr>
              <w:t>2</w:t>
            </w:r>
          </w:p>
        </w:tc>
        <w:tc>
          <w:tcPr>
            <w:tcW w:w="1287" w:type="dxa"/>
            <w:shd w:val="clear" w:color="auto" w:fill="auto"/>
            <w:vAlign w:val="bottom"/>
          </w:tcPr>
          <w:p w14:paraId="6B17FC6E"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120" w:type="dxa"/>
            <w:shd w:val="clear" w:color="auto" w:fill="auto"/>
            <w:vAlign w:val="bottom"/>
          </w:tcPr>
          <w:p w14:paraId="123BECD1" w14:textId="77777777" w:rsidR="00FB5DA9" w:rsidRPr="001561A6" w:rsidRDefault="00FB5DA9" w:rsidP="00FB5DA9">
            <w:pPr>
              <w:suppressAutoHyphens w:val="0"/>
              <w:spacing w:before="40" w:after="40" w:line="220" w:lineRule="exact"/>
              <w:jc w:val="right"/>
              <w:rPr>
                <w:sz w:val="18"/>
              </w:rPr>
            </w:pPr>
            <w:r w:rsidRPr="001561A6">
              <w:rPr>
                <w:sz w:val="18"/>
              </w:rPr>
              <w:t>5</w:t>
            </w:r>
          </w:p>
        </w:tc>
        <w:tc>
          <w:tcPr>
            <w:tcW w:w="1113" w:type="dxa"/>
            <w:shd w:val="clear" w:color="auto" w:fill="auto"/>
            <w:vAlign w:val="bottom"/>
          </w:tcPr>
          <w:p w14:paraId="1FF8D449" w14:textId="77777777" w:rsidR="00FB5DA9" w:rsidRPr="001561A6" w:rsidRDefault="00FB5DA9" w:rsidP="00FB5DA9">
            <w:pPr>
              <w:suppressAutoHyphens w:val="0"/>
              <w:spacing w:before="40" w:after="40" w:line="220" w:lineRule="exact"/>
              <w:jc w:val="right"/>
              <w:rPr>
                <w:sz w:val="18"/>
              </w:rPr>
            </w:pPr>
            <w:r w:rsidRPr="001561A6">
              <w:rPr>
                <w:sz w:val="18"/>
              </w:rPr>
              <w:t>7</w:t>
            </w:r>
          </w:p>
        </w:tc>
      </w:tr>
      <w:tr w:rsidR="00FB5DA9" w:rsidRPr="001561A6" w14:paraId="1DEC8342" w14:textId="77777777" w:rsidTr="003D677B">
        <w:tc>
          <w:tcPr>
            <w:tcW w:w="1418" w:type="dxa"/>
            <w:shd w:val="clear" w:color="auto" w:fill="auto"/>
            <w:vAlign w:val="bottom"/>
          </w:tcPr>
          <w:p w14:paraId="7316AE30" w14:textId="77777777" w:rsidR="00FB5DA9" w:rsidRPr="001561A6" w:rsidRDefault="00FB5DA9" w:rsidP="00FB5DA9">
            <w:pPr>
              <w:suppressAutoHyphens w:val="0"/>
              <w:spacing w:before="40" w:after="40" w:line="220" w:lineRule="exact"/>
              <w:rPr>
                <w:b/>
                <w:bCs/>
                <w:sz w:val="18"/>
              </w:rPr>
            </w:pPr>
            <w:r w:rsidRPr="001561A6">
              <w:rPr>
                <w:b/>
                <w:bCs/>
                <w:sz w:val="18"/>
              </w:rPr>
              <w:t>Santa Cruz</w:t>
            </w:r>
          </w:p>
        </w:tc>
        <w:tc>
          <w:tcPr>
            <w:tcW w:w="1130" w:type="dxa"/>
            <w:shd w:val="clear" w:color="auto" w:fill="auto"/>
            <w:vAlign w:val="bottom"/>
          </w:tcPr>
          <w:p w14:paraId="48256DB5"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302" w:type="dxa"/>
            <w:shd w:val="clear" w:color="auto" w:fill="auto"/>
            <w:vAlign w:val="bottom"/>
          </w:tcPr>
          <w:p w14:paraId="5EEEA5C6" w14:textId="77777777" w:rsidR="00FB5DA9" w:rsidRPr="001561A6" w:rsidRDefault="00FB5DA9" w:rsidP="00FB5DA9">
            <w:pPr>
              <w:suppressAutoHyphens w:val="0"/>
              <w:spacing w:before="40" w:after="40" w:line="220" w:lineRule="exact"/>
              <w:jc w:val="right"/>
              <w:rPr>
                <w:sz w:val="18"/>
              </w:rPr>
            </w:pPr>
            <w:r w:rsidRPr="001561A6">
              <w:rPr>
                <w:sz w:val="18"/>
              </w:rPr>
              <w:t>7</w:t>
            </w:r>
          </w:p>
        </w:tc>
        <w:tc>
          <w:tcPr>
            <w:tcW w:w="1287" w:type="dxa"/>
            <w:shd w:val="clear" w:color="auto" w:fill="auto"/>
            <w:vAlign w:val="bottom"/>
          </w:tcPr>
          <w:p w14:paraId="045A81CA" w14:textId="77777777" w:rsidR="00FB5DA9" w:rsidRPr="001561A6" w:rsidRDefault="00FB5DA9" w:rsidP="00FB5DA9">
            <w:pPr>
              <w:suppressAutoHyphens w:val="0"/>
              <w:spacing w:before="40" w:after="40" w:line="220" w:lineRule="exact"/>
              <w:jc w:val="right"/>
              <w:rPr>
                <w:sz w:val="18"/>
              </w:rPr>
            </w:pPr>
            <w:r w:rsidRPr="001561A6">
              <w:rPr>
                <w:sz w:val="18"/>
              </w:rPr>
              <w:t>10</w:t>
            </w:r>
          </w:p>
        </w:tc>
        <w:tc>
          <w:tcPr>
            <w:tcW w:w="1120" w:type="dxa"/>
            <w:shd w:val="clear" w:color="auto" w:fill="auto"/>
            <w:vAlign w:val="bottom"/>
          </w:tcPr>
          <w:p w14:paraId="1F31C23B" w14:textId="77777777" w:rsidR="00FB5DA9" w:rsidRPr="001561A6" w:rsidRDefault="00FB5DA9" w:rsidP="00FB5DA9">
            <w:pPr>
              <w:suppressAutoHyphens w:val="0"/>
              <w:spacing w:before="40" w:after="40" w:line="220" w:lineRule="exact"/>
              <w:jc w:val="right"/>
              <w:rPr>
                <w:sz w:val="18"/>
              </w:rPr>
            </w:pPr>
            <w:r w:rsidRPr="001561A6">
              <w:rPr>
                <w:sz w:val="18"/>
              </w:rPr>
              <w:t>11</w:t>
            </w:r>
          </w:p>
        </w:tc>
        <w:tc>
          <w:tcPr>
            <w:tcW w:w="1113" w:type="dxa"/>
            <w:shd w:val="clear" w:color="auto" w:fill="auto"/>
            <w:vAlign w:val="bottom"/>
          </w:tcPr>
          <w:p w14:paraId="52F50C7A" w14:textId="77777777" w:rsidR="00FB5DA9" w:rsidRPr="001561A6" w:rsidRDefault="00FB5DA9" w:rsidP="00FB5DA9">
            <w:pPr>
              <w:suppressAutoHyphens w:val="0"/>
              <w:spacing w:before="40" w:after="40" w:line="220" w:lineRule="exact"/>
              <w:jc w:val="right"/>
              <w:rPr>
                <w:sz w:val="18"/>
              </w:rPr>
            </w:pPr>
            <w:r w:rsidRPr="001561A6">
              <w:rPr>
                <w:sz w:val="18"/>
              </w:rPr>
              <w:t>28</w:t>
            </w:r>
          </w:p>
        </w:tc>
      </w:tr>
      <w:tr w:rsidR="003D677B" w:rsidRPr="001561A6" w14:paraId="4D35866E" w14:textId="77777777" w:rsidTr="003D677B">
        <w:tc>
          <w:tcPr>
            <w:tcW w:w="1418" w:type="dxa"/>
            <w:tcBorders>
              <w:bottom w:val="single" w:sz="4" w:space="0" w:color="auto"/>
            </w:tcBorders>
            <w:shd w:val="clear" w:color="auto" w:fill="auto"/>
            <w:vAlign w:val="bottom"/>
          </w:tcPr>
          <w:p w14:paraId="157433C6" w14:textId="77777777" w:rsidR="00FB5DA9" w:rsidRPr="001561A6" w:rsidRDefault="00FB5DA9" w:rsidP="00FB5DA9">
            <w:pPr>
              <w:suppressAutoHyphens w:val="0"/>
              <w:spacing w:before="40" w:after="40" w:line="220" w:lineRule="exact"/>
              <w:rPr>
                <w:b/>
                <w:bCs/>
                <w:sz w:val="18"/>
              </w:rPr>
            </w:pPr>
            <w:r w:rsidRPr="001561A6">
              <w:rPr>
                <w:b/>
                <w:bCs/>
                <w:sz w:val="18"/>
              </w:rPr>
              <w:t>Tarija</w:t>
            </w:r>
          </w:p>
        </w:tc>
        <w:tc>
          <w:tcPr>
            <w:tcW w:w="1130" w:type="dxa"/>
            <w:tcBorders>
              <w:bottom w:val="single" w:sz="4" w:space="0" w:color="auto"/>
            </w:tcBorders>
            <w:shd w:val="clear" w:color="auto" w:fill="auto"/>
            <w:vAlign w:val="bottom"/>
          </w:tcPr>
          <w:p w14:paraId="25F300A2"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302" w:type="dxa"/>
            <w:tcBorders>
              <w:bottom w:val="single" w:sz="4" w:space="0" w:color="auto"/>
            </w:tcBorders>
            <w:shd w:val="clear" w:color="auto" w:fill="auto"/>
            <w:vAlign w:val="bottom"/>
          </w:tcPr>
          <w:p w14:paraId="766C0830" w14:textId="77777777" w:rsidR="00FB5DA9" w:rsidRPr="001561A6" w:rsidRDefault="00FB5DA9" w:rsidP="00FB5DA9">
            <w:pPr>
              <w:suppressAutoHyphens w:val="0"/>
              <w:spacing w:before="40" w:after="40" w:line="220" w:lineRule="exact"/>
              <w:jc w:val="right"/>
              <w:rPr>
                <w:sz w:val="18"/>
              </w:rPr>
            </w:pPr>
            <w:r w:rsidRPr="001561A6">
              <w:rPr>
                <w:sz w:val="18"/>
              </w:rPr>
              <w:t>0</w:t>
            </w:r>
          </w:p>
        </w:tc>
        <w:tc>
          <w:tcPr>
            <w:tcW w:w="1287" w:type="dxa"/>
            <w:tcBorders>
              <w:bottom w:val="single" w:sz="4" w:space="0" w:color="auto"/>
            </w:tcBorders>
            <w:shd w:val="clear" w:color="auto" w:fill="auto"/>
            <w:vAlign w:val="bottom"/>
          </w:tcPr>
          <w:p w14:paraId="29830244" w14:textId="77777777" w:rsidR="00FB5DA9" w:rsidRPr="001561A6" w:rsidRDefault="00FB5DA9" w:rsidP="00FB5DA9">
            <w:pPr>
              <w:suppressAutoHyphens w:val="0"/>
              <w:spacing w:before="40" w:after="40" w:line="220" w:lineRule="exact"/>
              <w:jc w:val="right"/>
              <w:rPr>
                <w:sz w:val="18"/>
              </w:rPr>
            </w:pPr>
            <w:r w:rsidRPr="001561A6">
              <w:rPr>
                <w:sz w:val="18"/>
              </w:rPr>
              <w:t>3</w:t>
            </w:r>
          </w:p>
        </w:tc>
        <w:tc>
          <w:tcPr>
            <w:tcW w:w="1120" w:type="dxa"/>
            <w:tcBorders>
              <w:bottom w:val="single" w:sz="4" w:space="0" w:color="auto"/>
            </w:tcBorders>
            <w:shd w:val="clear" w:color="auto" w:fill="auto"/>
            <w:vAlign w:val="bottom"/>
          </w:tcPr>
          <w:p w14:paraId="21FAA2AD" w14:textId="77777777" w:rsidR="00FB5DA9" w:rsidRPr="001561A6" w:rsidRDefault="00FB5DA9" w:rsidP="00FB5DA9">
            <w:pPr>
              <w:suppressAutoHyphens w:val="0"/>
              <w:spacing w:before="40" w:after="40" w:line="220" w:lineRule="exact"/>
              <w:jc w:val="right"/>
              <w:rPr>
                <w:sz w:val="18"/>
              </w:rPr>
            </w:pPr>
            <w:r w:rsidRPr="001561A6">
              <w:rPr>
                <w:sz w:val="18"/>
              </w:rPr>
              <w:t>3</w:t>
            </w:r>
          </w:p>
        </w:tc>
        <w:tc>
          <w:tcPr>
            <w:tcW w:w="1113" w:type="dxa"/>
            <w:tcBorders>
              <w:bottom w:val="single" w:sz="4" w:space="0" w:color="auto"/>
            </w:tcBorders>
            <w:shd w:val="clear" w:color="auto" w:fill="auto"/>
            <w:vAlign w:val="bottom"/>
          </w:tcPr>
          <w:p w14:paraId="273F94A0" w14:textId="77777777" w:rsidR="00FB5DA9" w:rsidRPr="001561A6" w:rsidRDefault="00FB5DA9" w:rsidP="00FB5DA9">
            <w:pPr>
              <w:suppressAutoHyphens w:val="0"/>
              <w:spacing w:before="40" w:after="40" w:line="220" w:lineRule="exact"/>
              <w:jc w:val="right"/>
              <w:rPr>
                <w:sz w:val="18"/>
              </w:rPr>
            </w:pPr>
            <w:r w:rsidRPr="001561A6">
              <w:rPr>
                <w:sz w:val="18"/>
              </w:rPr>
              <w:t>6</w:t>
            </w:r>
          </w:p>
        </w:tc>
      </w:tr>
      <w:tr w:rsidR="00FB5DA9" w:rsidRPr="001561A6" w14:paraId="2DFF6E11" w14:textId="77777777" w:rsidTr="003D677B">
        <w:tc>
          <w:tcPr>
            <w:tcW w:w="1418" w:type="dxa"/>
            <w:tcBorders>
              <w:top w:val="single" w:sz="4" w:space="0" w:color="auto"/>
              <w:bottom w:val="single" w:sz="12" w:space="0" w:color="auto"/>
            </w:tcBorders>
            <w:shd w:val="clear" w:color="auto" w:fill="auto"/>
            <w:vAlign w:val="bottom"/>
          </w:tcPr>
          <w:p w14:paraId="19730EAB" w14:textId="77777777" w:rsidR="00FB5DA9" w:rsidRPr="001561A6" w:rsidRDefault="00FB5DA9" w:rsidP="00FB5DA9">
            <w:pPr>
              <w:suppressAutoHyphens w:val="0"/>
              <w:spacing w:before="80" w:after="80" w:line="220" w:lineRule="exact"/>
              <w:ind w:left="283"/>
              <w:rPr>
                <w:b/>
                <w:sz w:val="18"/>
              </w:rPr>
            </w:pPr>
            <w:r w:rsidRPr="001561A6">
              <w:rPr>
                <w:b/>
                <w:sz w:val="18"/>
              </w:rPr>
              <w:t>Total général</w:t>
            </w:r>
          </w:p>
        </w:tc>
        <w:tc>
          <w:tcPr>
            <w:tcW w:w="1130" w:type="dxa"/>
            <w:tcBorders>
              <w:top w:val="single" w:sz="4" w:space="0" w:color="auto"/>
              <w:bottom w:val="single" w:sz="12" w:space="0" w:color="auto"/>
            </w:tcBorders>
            <w:shd w:val="clear" w:color="auto" w:fill="auto"/>
            <w:vAlign w:val="bottom"/>
          </w:tcPr>
          <w:p w14:paraId="6E066E64" w14:textId="77777777" w:rsidR="00FB5DA9" w:rsidRPr="001561A6" w:rsidRDefault="00FB5DA9" w:rsidP="00FB5DA9">
            <w:pPr>
              <w:suppressAutoHyphens w:val="0"/>
              <w:spacing w:before="80" w:after="80" w:line="220" w:lineRule="exact"/>
              <w:jc w:val="right"/>
              <w:rPr>
                <w:b/>
                <w:sz w:val="18"/>
              </w:rPr>
            </w:pPr>
            <w:r w:rsidRPr="001561A6">
              <w:rPr>
                <w:b/>
                <w:sz w:val="18"/>
              </w:rPr>
              <w:t>8</w:t>
            </w:r>
          </w:p>
        </w:tc>
        <w:tc>
          <w:tcPr>
            <w:tcW w:w="1302" w:type="dxa"/>
            <w:tcBorders>
              <w:top w:val="single" w:sz="4" w:space="0" w:color="auto"/>
              <w:bottom w:val="single" w:sz="12" w:space="0" w:color="auto"/>
            </w:tcBorders>
            <w:shd w:val="clear" w:color="auto" w:fill="auto"/>
            <w:vAlign w:val="bottom"/>
          </w:tcPr>
          <w:p w14:paraId="07C5DBFB" w14:textId="77777777" w:rsidR="00FB5DA9" w:rsidRPr="001561A6" w:rsidRDefault="00FB5DA9" w:rsidP="00FB5DA9">
            <w:pPr>
              <w:suppressAutoHyphens w:val="0"/>
              <w:spacing w:before="80" w:after="80" w:line="220" w:lineRule="exact"/>
              <w:jc w:val="right"/>
              <w:rPr>
                <w:b/>
                <w:sz w:val="18"/>
              </w:rPr>
            </w:pPr>
            <w:r w:rsidRPr="001561A6">
              <w:rPr>
                <w:b/>
                <w:sz w:val="18"/>
              </w:rPr>
              <w:t>79</w:t>
            </w:r>
          </w:p>
        </w:tc>
        <w:tc>
          <w:tcPr>
            <w:tcW w:w="1287" w:type="dxa"/>
            <w:tcBorders>
              <w:top w:val="single" w:sz="4" w:space="0" w:color="auto"/>
              <w:bottom w:val="single" w:sz="12" w:space="0" w:color="auto"/>
            </w:tcBorders>
            <w:shd w:val="clear" w:color="auto" w:fill="auto"/>
            <w:vAlign w:val="bottom"/>
          </w:tcPr>
          <w:p w14:paraId="4C94E428" w14:textId="77777777" w:rsidR="00FB5DA9" w:rsidRPr="001561A6" w:rsidRDefault="00FB5DA9" w:rsidP="00FB5DA9">
            <w:pPr>
              <w:suppressAutoHyphens w:val="0"/>
              <w:spacing w:before="80" w:after="80" w:line="220" w:lineRule="exact"/>
              <w:jc w:val="right"/>
              <w:rPr>
                <w:b/>
                <w:sz w:val="18"/>
              </w:rPr>
            </w:pPr>
            <w:r w:rsidRPr="001561A6">
              <w:rPr>
                <w:b/>
                <w:sz w:val="18"/>
              </w:rPr>
              <w:t>107</w:t>
            </w:r>
          </w:p>
        </w:tc>
        <w:tc>
          <w:tcPr>
            <w:tcW w:w="1120" w:type="dxa"/>
            <w:tcBorders>
              <w:top w:val="single" w:sz="4" w:space="0" w:color="auto"/>
              <w:bottom w:val="single" w:sz="12" w:space="0" w:color="auto"/>
            </w:tcBorders>
            <w:shd w:val="clear" w:color="auto" w:fill="auto"/>
            <w:vAlign w:val="bottom"/>
          </w:tcPr>
          <w:p w14:paraId="0701A050" w14:textId="77777777" w:rsidR="00FB5DA9" w:rsidRPr="001561A6" w:rsidRDefault="00FB5DA9" w:rsidP="00FB5DA9">
            <w:pPr>
              <w:suppressAutoHyphens w:val="0"/>
              <w:spacing w:before="80" w:after="80" w:line="220" w:lineRule="exact"/>
              <w:jc w:val="right"/>
              <w:rPr>
                <w:b/>
                <w:sz w:val="18"/>
              </w:rPr>
            </w:pPr>
            <w:r w:rsidRPr="001561A6">
              <w:rPr>
                <w:b/>
                <w:sz w:val="18"/>
              </w:rPr>
              <w:t>221</w:t>
            </w:r>
          </w:p>
        </w:tc>
        <w:tc>
          <w:tcPr>
            <w:tcW w:w="1113" w:type="dxa"/>
            <w:tcBorders>
              <w:top w:val="single" w:sz="4" w:space="0" w:color="auto"/>
              <w:bottom w:val="single" w:sz="12" w:space="0" w:color="auto"/>
            </w:tcBorders>
            <w:shd w:val="clear" w:color="auto" w:fill="auto"/>
            <w:vAlign w:val="bottom"/>
          </w:tcPr>
          <w:p w14:paraId="646FBF01" w14:textId="77777777" w:rsidR="00FB5DA9" w:rsidRPr="001561A6" w:rsidRDefault="00FB5DA9" w:rsidP="00FB5DA9">
            <w:pPr>
              <w:suppressAutoHyphens w:val="0"/>
              <w:spacing w:before="80" w:after="80" w:line="220" w:lineRule="exact"/>
              <w:jc w:val="right"/>
              <w:rPr>
                <w:b/>
                <w:sz w:val="18"/>
              </w:rPr>
            </w:pPr>
            <w:r w:rsidRPr="001561A6">
              <w:rPr>
                <w:b/>
                <w:sz w:val="18"/>
              </w:rPr>
              <w:t>415</w:t>
            </w:r>
          </w:p>
        </w:tc>
      </w:tr>
    </w:tbl>
    <w:p w14:paraId="3B2E60D0" w14:textId="77777777" w:rsidR="009D00C8" w:rsidRPr="001561A6" w:rsidRDefault="009D00C8" w:rsidP="009D00C8">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Bureau du Procureur général de l</w:t>
      </w:r>
      <w:r w:rsidR="009258E3">
        <w:rPr>
          <w:sz w:val="18"/>
          <w:szCs w:val="18"/>
        </w:rPr>
        <w:t>’</w:t>
      </w:r>
      <w:r w:rsidRPr="001561A6">
        <w:rPr>
          <w:sz w:val="18"/>
          <w:szCs w:val="18"/>
        </w:rPr>
        <w:t>État − Système JL1 13/08/2020 (Données relatives à la période allant du 1</w:t>
      </w:r>
      <w:r w:rsidRPr="001561A6">
        <w:rPr>
          <w:sz w:val="18"/>
          <w:szCs w:val="18"/>
          <w:vertAlign w:val="superscript"/>
        </w:rPr>
        <w:t>er</w:t>
      </w:r>
      <w:r w:rsidRPr="001561A6">
        <w:rPr>
          <w:sz w:val="18"/>
          <w:szCs w:val="18"/>
        </w:rPr>
        <w:t> janvier au 31 décembre 2019).</w:t>
      </w:r>
    </w:p>
    <w:p w14:paraId="7D44CED8" w14:textId="77777777" w:rsidR="009D00C8" w:rsidRPr="001561A6" w:rsidRDefault="009D00C8" w:rsidP="009D00C8">
      <w:pPr>
        <w:pStyle w:val="SingleTxtG"/>
      </w:pPr>
      <w:r w:rsidRPr="001561A6">
        <w:t>46.</w:t>
      </w:r>
      <w:r w:rsidRPr="001561A6">
        <w:tab/>
        <w:t>En ce qui concerne la traite des personnes, le système JL1 a enregistré 184 victimes en 2019, qui se répartissent comme suit :</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418"/>
        <w:gridCol w:w="1130"/>
        <w:gridCol w:w="1302"/>
        <w:gridCol w:w="1287"/>
        <w:gridCol w:w="1120"/>
        <w:gridCol w:w="1113"/>
      </w:tblGrid>
      <w:tr w:rsidR="00292483" w:rsidRPr="001561A6" w14:paraId="22EBC174" w14:textId="77777777" w:rsidTr="001F0E9B">
        <w:trPr>
          <w:tblHeader/>
        </w:trPr>
        <w:tc>
          <w:tcPr>
            <w:tcW w:w="1418" w:type="dxa"/>
            <w:vMerge w:val="restart"/>
            <w:tcBorders>
              <w:top w:val="single" w:sz="4" w:space="0" w:color="auto"/>
            </w:tcBorders>
            <w:shd w:val="clear" w:color="auto" w:fill="auto"/>
            <w:vAlign w:val="bottom"/>
          </w:tcPr>
          <w:p w14:paraId="53C03904" w14:textId="77777777" w:rsidR="00292483" w:rsidRPr="001561A6" w:rsidRDefault="00292483" w:rsidP="001F0E9B">
            <w:pPr>
              <w:spacing w:before="80" w:after="80" w:line="200" w:lineRule="exact"/>
              <w:rPr>
                <w:i/>
                <w:sz w:val="16"/>
              </w:rPr>
            </w:pPr>
            <w:r w:rsidRPr="001561A6">
              <w:rPr>
                <w:i/>
                <w:sz w:val="16"/>
              </w:rPr>
              <w:t>Département</w:t>
            </w:r>
          </w:p>
        </w:tc>
        <w:tc>
          <w:tcPr>
            <w:tcW w:w="5952" w:type="dxa"/>
            <w:gridSpan w:val="5"/>
            <w:tcBorders>
              <w:top w:val="single" w:sz="4" w:space="0" w:color="auto"/>
              <w:bottom w:val="single" w:sz="4" w:space="0" w:color="auto"/>
            </w:tcBorders>
            <w:shd w:val="clear" w:color="auto" w:fill="auto"/>
            <w:vAlign w:val="bottom"/>
          </w:tcPr>
          <w:p w14:paraId="105834BC" w14:textId="77777777" w:rsidR="00292483" w:rsidRPr="001561A6" w:rsidRDefault="00FB5DA9" w:rsidP="001F0E9B">
            <w:pPr>
              <w:spacing w:before="80" w:after="80" w:line="200" w:lineRule="exact"/>
              <w:jc w:val="center"/>
              <w:rPr>
                <w:bCs/>
                <w:i/>
                <w:sz w:val="16"/>
              </w:rPr>
            </w:pPr>
            <w:r w:rsidRPr="001561A6">
              <w:rPr>
                <w:bCs/>
                <w:i/>
                <w:sz w:val="16"/>
              </w:rPr>
              <w:t>Victimes</w:t>
            </w:r>
            <w:r w:rsidR="00292483" w:rsidRPr="001561A6">
              <w:rPr>
                <w:bCs/>
                <w:i/>
                <w:sz w:val="16"/>
              </w:rPr>
              <w:t xml:space="preserve"> − trafic illicite de</w:t>
            </w:r>
            <w:r w:rsidRPr="001561A6">
              <w:rPr>
                <w:bCs/>
                <w:i/>
                <w:sz w:val="16"/>
              </w:rPr>
              <w:t>s personnes</w:t>
            </w:r>
          </w:p>
        </w:tc>
      </w:tr>
      <w:tr w:rsidR="00292483" w:rsidRPr="001561A6" w14:paraId="7ACB6607" w14:textId="77777777" w:rsidTr="001F0E9B">
        <w:trPr>
          <w:tblHeader/>
        </w:trPr>
        <w:tc>
          <w:tcPr>
            <w:tcW w:w="1418" w:type="dxa"/>
            <w:vMerge/>
            <w:tcBorders>
              <w:bottom w:val="single" w:sz="12" w:space="0" w:color="auto"/>
            </w:tcBorders>
            <w:shd w:val="clear" w:color="auto" w:fill="auto"/>
            <w:vAlign w:val="bottom"/>
          </w:tcPr>
          <w:p w14:paraId="4969389C" w14:textId="77777777" w:rsidR="00292483" w:rsidRPr="001561A6" w:rsidRDefault="00292483" w:rsidP="001F0E9B">
            <w:pPr>
              <w:spacing w:before="80" w:after="80" w:line="200" w:lineRule="exact"/>
              <w:rPr>
                <w:i/>
                <w:sz w:val="16"/>
              </w:rPr>
            </w:pPr>
          </w:p>
        </w:tc>
        <w:tc>
          <w:tcPr>
            <w:tcW w:w="1130" w:type="dxa"/>
            <w:tcBorders>
              <w:top w:val="single" w:sz="4" w:space="0" w:color="auto"/>
              <w:bottom w:val="single" w:sz="12" w:space="0" w:color="auto"/>
            </w:tcBorders>
            <w:shd w:val="clear" w:color="auto" w:fill="auto"/>
            <w:vAlign w:val="bottom"/>
          </w:tcPr>
          <w:p w14:paraId="64AD9EB9" w14:textId="77777777" w:rsidR="00292483" w:rsidRPr="001561A6" w:rsidRDefault="00292483" w:rsidP="001F0E9B">
            <w:pPr>
              <w:suppressAutoHyphens w:val="0"/>
              <w:spacing w:before="80" w:after="80" w:line="200" w:lineRule="exact"/>
              <w:jc w:val="right"/>
              <w:rPr>
                <w:bCs/>
                <w:i/>
                <w:sz w:val="16"/>
              </w:rPr>
            </w:pPr>
            <w:r w:rsidRPr="001561A6">
              <w:rPr>
                <w:bCs/>
                <w:i/>
                <w:sz w:val="16"/>
              </w:rPr>
              <w:t>0 à 12 ans</w:t>
            </w:r>
          </w:p>
        </w:tc>
        <w:tc>
          <w:tcPr>
            <w:tcW w:w="1302" w:type="dxa"/>
            <w:tcBorders>
              <w:top w:val="single" w:sz="4" w:space="0" w:color="auto"/>
              <w:bottom w:val="single" w:sz="12" w:space="0" w:color="auto"/>
            </w:tcBorders>
            <w:shd w:val="clear" w:color="auto" w:fill="auto"/>
            <w:vAlign w:val="bottom"/>
          </w:tcPr>
          <w:p w14:paraId="73AF082E" w14:textId="77777777" w:rsidR="00292483" w:rsidRPr="001561A6" w:rsidRDefault="00292483" w:rsidP="001F0E9B">
            <w:pPr>
              <w:suppressAutoHyphens w:val="0"/>
              <w:spacing w:before="80" w:after="80" w:line="200" w:lineRule="exact"/>
              <w:jc w:val="right"/>
              <w:rPr>
                <w:bCs/>
                <w:i/>
                <w:sz w:val="16"/>
              </w:rPr>
            </w:pPr>
            <w:r w:rsidRPr="001561A6">
              <w:rPr>
                <w:bCs/>
                <w:i/>
                <w:sz w:val="16"/>
              </w:rPr>
              <w:t>12 à 18 ans</w:t>
            </w:r>
          </w:p>
        </w:tc>
        <w:tc>
          <w:tcPr>
            <w:tcW w:w="1287" w:type="dxa"/>
            <w:tcBorders>
              <w:top w:val="single" w:sz="4" w:space="0" w:color="auto"/>
              <w:bottom w:val="single" w:sz="12" w:space="0" w:color="auto"/>
            </w:tcBorders>
            <w:shd w:val="clear" w:color="auto" w:fill="auto"/>
            <w:vAlign w:val="bottom"/>
          </w:tcPr>
          <w:p w14:paraId="1CD9B8E9" w14:textId="77777777" w:rsidR="00292483" w:rsidRPr="001561A6" w:rsidRDefault="00292483" w:rsidP="001F0E9B">
            <w:pPr>
              <w:suppressAutoHyphens w:val="0"/>
              <w:spacing w:before="80" w:after="80" w:line="200" w:lineRule="exact"/>
              <w:jc w:val="right"/>
              <w:rPr>
                <w:bCs/>
                <w:i/>
                <w:sz w:val="16"/>
              </w:rPr>
            </w:pPr>
            <w:r w:rsidRPr="001561A6">
              <w:rPr>
                <w:bCs/>
                <w:i/>
                <w:sz w:val="16"/>
              </w:rPr>
              <w:t>18 ans et plus</w:t>
            </w:r>
          </w:p>
        </w:tc>
        <w:tc>
          <w:tcPr>
            <w:tcW w:w="1120" w:type="dxa"/>
            <w:tcBorders>
              <w:top w:val="single" w:sz="4" w:space="0" w:color="auto"/>
              <w:bottom w:val="single" w:sz="12" w:space="0" w:color="auto"/>
            </w:tcBorders>
            <w:shd w:val="clear" w:color="auto" w:fill="auto"/>
            <w:vAlign w:val="bottom"/>
          </w:tcPr>
          <w:p w14:paraId="67978135" w14:textId="77777777" w:rsidR="00292483" w:rsidRPr="001561A6" w:rsidRDefault="00E8410E" w:rsidP="001F0E9B">
            <w:pPr>
              <w:suppressAutoHyphens w:val="0"/>
              <w:spacing w:before="80" w:after="80" w:line="200" w:lineRule="exact"/>
              <w:jc w:val="right"/>
              <w:rPr>
                <w:bCs/>
                <w:i/>
                <w:sz w:val="16"/>
              </w:rPr>
            </w:pPr>
            <w:proofErr w:type="spellStart"/>
            <w:r>
              <w:rPr>
                <w:bCs/>
                <w:i/>
                <w:sz w:val="16"/>
              </w:rPr>
              <w:t>n.d</w:t>
            </w:r>
            <w:proofErr w:type="spellEnd"/>
            <w:r>
              <w:rPr>
                <w:bCs/>
                <w:i/>
                <w:sz w:val="16"/>
              </w:rPr>
              <w:t>.</w:t>
            </w:r>
          </w:p>
        </w:tc>
        <w:tc>
          <w:tcPr>
            <w:tcW w:w="1113" w:type="dxa"/>
            <w:tcBorders>
              <w:top w:val="single" w:sz="4" w:space="0" w:color="auto"/>
              <w:bottom w:val="single" w:sz="12" w:space="0" w:color="auto"/>
            </w:tcBorders>
            <w:shd w:val="clear" w:color="auto" w:fill="auto"/>
            <w:vAlign w:val="bottom"/>
          </w:tcPr>
          <w:p w14:paraId="3A44C1CB" w14:textId="77777777" w:rsidR="00292483" w:rsidRPr="001561A6" w:rsidRDefault="00292483" w:rsidP="001F0E9B">
            <w:pPr>
              <w:suppressAutoHyphens w:val="0"/>
              <w:spacing w:before="80" w:after="80" w:line="200" w:lineRule="exact"/>
              <w:jc w:val="right"/>
              <w:rPr>
                <w:bCs/>
                <w:i/>
                <w:sz w:val="16"/>
              </w:rPr>
            </w:pPr>
            <w:r w:rsidRPr="001561A6">
              <w:rPr>
                <w:bCs/>
                <w:i/>
                <w:sz w:val="16"/>
              </w:rPr>
              <w:t>Total général</w:t>
            </w:r>
          </w:p>
        </w:tc>
      </w:tr>
      <w:tr w:rsidR="00292483" w:rsidRPr="001561A6" w14:paraId="014F187A" w14:textId="77777777" w:rsidTr="001F0E9B">
        <w:tc>
          <w:tcPr>
            <w:tcW w:w="1418" w:type="dxa"/>
            <w:tcBorders>
              <w:top w:val="single" w:sz="12" w:space="0" w:color="auto"/>
            </w:tcBorders>
            <w:shd w:val="clear" w:color="auto" w:fill="auto"/>
            <w:vAlign w:val="bottom"/>
          </w:tcPr>
          <w:p w14:paraId="68162037" w14:textId="77777777" w:rsidR="00292483" w:rsidRPr="001561A6" w:rsidRDefault="00292483" w:rsidP="00292483">
            <w:pPr>
              <w:suppressAutoHyphens w:val="0"/>
              <w:spacing w:before="40" w:after="40" w:line="220" w:lineRule="exact"/>
              <w:rPr>
                <w:b/>
                <w:bCs/>
                <w:sz w:val="18"/>
              </w:rPr>
            </w:pPr>
            <w:r w:rsidRPr="001561A6">
              <w:rPr>
                <w:b/>
                <w:bCs/>
                <w:sz w:val="18"/>
              </w:rPr>
              <w:t>Beni</w:t>
            </w:r>
          </w:p>
        </w:tc>
        <w:tc>
          <w:tcPr>
            <w:tcW w:w="1130" w:type="dxa"/>
            <w:tcBorders>
              <w:top w:val="single" w:sz="12" w:space="0" w:color="auto"/>
            </w:tcBorders>
            <w:shd w:val="clear" w:color="auto" w:fill="auto"/>
            <w:vAlign w:val="bottom"/>
          </w:tcPr>
          <w:p w14:paraId="33DEB99E" w14:textId="77777777" w:rsidR="00292483" w:rsidRPr="001561A6" w:rsidRDefault="00292483" w:rsidP="00292483">
            <w:pPr>
              <w:spacing w:before="40" w:after="40" w:line="220" w:lineRule="exact"/>
              <w:ind w:left="113"/>
              <w:jc w:val="right"/>
              <w:rPr>
                <w:rFonts w:eastAsia="Times New Roman"/>
                <w:sz w:val="18"/>
              </w:rPr>
            </w:pPr>
            <w:r w:rsidRPr="001561A6">
              <w:t>0</w:t>
            </w:r>
          </w:p>
        </w:tc>
        <w:tc>
          <w:tcPr>
            <w:tcW w:w="1302" w:type="dxa"/>
            <w:tcBorders>
              <w:top w:val="single" w:sz="12" w:space="0" w:color="auto"/>
            </w:tcBorders>
            <w:shd w:val="clear" w:color="auto" w:fill="auto"/>
            <w:vAlign w:val="bottom"/>
          </w:tcPr>
          <w:p w14:paraId="0283C1DC" w14:textId="77777777" w:rsidR="00292483" w:rsidRPr="001561A6" w:rsidRDefault="00292483" w:rsidP="00292483">
            <w:pPr>
              <w:spacing w:before="40" w:after="40" w:line="220" w:lineRule="exact"/>
              <w:ind w:left="113"/>
              <w:jc w:val="right"/>
              <w:rPr>
                <w:b/>
                <w:bCs/>
                <w:color w:val="FFFFFF"/>
                <w:sz w:val="18"/>
              </w:rPr>
            </w:pPr>
            <w:r w:rsidRPr="001561A6">
              <w:t>0</w:t>
            </w:r>
          </w:p>
        </w:tc>
        <w:tc>
          <w:tcPr>
            <w:tcW w:w="1287" w:type="dxa"/>
            <w:tcBorders>
              <w:top w:val="single" w:sz="12" w:space="0" w:color="auto"/>
            </w:tcBorders>
            <w:shd w:val="clear" w:color="auto" w:fill="auto"/>
            <w:vAlign w:val="bottom"/>
          </w:tcPr>
          <w:p w14:paraId="13B0D823" w14:textId="77777777" w:rsidR="00292483" w:rsidRPr="001561A6" w:rsidRDefault="00292483" w:rsidP="00292483">
            <w:pPr>
              <w:spacing w:before="40" w:after="40" w:line="220" w:lineRule="exact"/>
              <w:ind w:left="113"/>
              <w:jc w:val="right"/>
              <w:rPr>
                <w:sz w:val="18"/>
              </w:rPr>
            </w:pPr>
            <w:r w:rsidRPr="001561A6">
              <w:t>0</w:t>
            </w:r>
          </w:p>
        </w:tc>
        <w:tc>
          <w:tcPr>
            <w:tcW w:w="1120" w:type="dxa"/>
            <w:tcBorders>
              <w:top w:val="single" w:sz="12" w:space="0" w:color="auto"/>
            </w:tcBorders>
            <w:shd w:val="clear" w:color="auto" w:fill="auto"/>
            <w:vAlign w:val="bottom"/>
          </w:tcPr>
          <w:p w14:paraId="02606793" w14:textId="77777777" w:rsidR="00292483" w:rsidRPr="001561A6" w:rsidRDefault="00292483" w:rsidP="00292483">
            <w:pPr>
              <w:spacing w:before="40" w:after="40" w:line="220" w:lineRule="exact"/>
              <w:ind w:left="113"/>
              <w:jc w:val="right"/>
              <w:rPr>
                <w:sz w:val="18"/>
              </w:rPr>
            </w:pPr>
            <w:r w:rsidRPr="001561A6">
              <w:t>3</w:t>
            </w:r>
          </w:p>
        </w:tc>
        <w:tc>
          <w:tcPr>
            <w:tcW w:w="1113" w:type="dxa"/>
            <w:tcBorders>
              <w:top w:val="single" w:sz="12" w:space="0" w:color="auto"/>
            </w:tcBorders>
            <w:shd w:val="clear" w:color="auto" w:fill="auto"/>
            <w:vAlign w:val="bottom"/>
          </w:tcPr>
          <w:p w14:paraId="47722700" w14:textId="77777777" w:rsidR="00292483" w:rsidRPr="001561A6" w:rsidRDefault="00292483" w:rsidP="00292483">
            <w:pPr>
              <w:spacing w:before="40" w:after="40" w:line="220" w:lineRule="exact"/>
              <w:ind w:left="113"/>
              <w:jc w:val="right"/>
              <w:rPr>
                <w:sz w:val="18"/>
              </w:rPr>
            </w:pPr>
            <w:r w:rsidRPr="001561A6">
              <w:t>3</w:t>
            </w:r>
          </w:p>
        </w:tc>
      </w:tr>
      <w:tr w:rsidR="00292483" w:rsidRPr="001561A6" w14:paraId="14780CD9" w14:textId="77777777" w:rsidTr="001F0E9B">
        <w:tc>
          <w:tcPr>
            <w:tcW w:w="1418" w:type="dxa"/>
            <w:shd w:val="clear" w:color="auto" w:fill="auto"/>
            <w:vAlign w:val="bottom"/>
          </w:tcPr>
          <w:p w14:paraId="526AB2E5" w14:textId="77777777" w:rsidR="00292483" w:rsidRPr="001561A6" w:rsidRDefault="00292483" w:rsidP="00292483">
            <w:pPr>
              <w:suppressAutoHyphens w:val="0"/>
              <w:spacing w:before="40" w:after="40" w:line="220" w:lineRule="exact"/>
              <w:rPr>
                <w:b/>
                <w:bCs/>
                <w:sz w:val="18"/>
              </w:rPr>
            </w:pPr>
            <w:r w:rsidRPr="001561A6">
              <w:rPr>
                <w:b/>
                <w:bCs/>
                <w:sz w:val="18"/>
              </w:rPr>
              <w:t>Chuquisaca</w:t>
            </w:r>
          </w:p>
        </w:tc>
        <w:tc>
          <w:tcPr>
            <w:tcW w:w="1130" w:type="dxa"/>
            <w:shd w:val="clear" w:color="auto" w:fill="auto"/>
            <w:vAlign w:val="bottom"/>
          </w:tcPr>
          <w:p w14:paraId="625DEC55" w14:textId="77777777" w:rsidR="00292483" w:rsidRPr="001561A6" w:rsidRDefault="00292483" w:rsidP="00292483">
            <w:pPr>
              <w:spacing w:before="40" w:after="40" w:line="220" w:lineRule="exact"/>
              <w:ind w:left="113"/>
              <w:jc w:val="right"/>
              <w:rPr>
                <w:sz w:val="18"/>
              </w:rPr>
            </w:pPr>
            <w:r w:rsidRPr="001561A6">
              <w:t>0</w:t>
            </w:r>
          </w:p>
        </w:tc>
        <w:tc>
          <w:tcPr>
            <w:tcW w:w="1302" w:type="dxa"/>
            <w:shd w:val="clear" w:color="auto" w:fill="auto"/>
            <w:vAlign w:val="bottom"/>
          </w:tcPr>
          <w:p w14:paraId="484068D2" w14:textId="77777777" w:rsidR="00292483" w:rsidRPr="001561A6" w:rsidRDefault="00292483" w:rsidP="00292483">
            <w:pPr>
              <w:spacing w:before="40" w:after="40" w:line="220" w:lineRule="exact"/>
              <w:ind w:left="113"/>
              <w:jc w:val="right"/>
              <w:rPr>
                <w:sz w:val="18"/>
              </w:rPr>
            </w:pPr>
            <w:r w:rsidRPr="001561A6">
              <w:t>0</w:t>
            </w:r>
          </w:p>
        </w:tc>
        <w:tc>
          <w:tcPr>
            <w:tcW w:w="1287" w:type="dxa"/>
            <w:shd w:val="clear" w:color="auto" w:fill="auto"/>
            <w:vAlign w:val="bottom"/>
          </w:tcPr>
          <w:p w14:paraId="6A02285D" w14:textId="77777777" w:rsidR="00292483" w:rsidRPr="001561A6" w:rsidRDefault="00292483" w:rsidP="00292483">
            <w:pPr>
              <w:spacing w:before="40" w:after="40" w:line="220" w:lineRule="exact"/>
              <w:ind w:left="113"/>
              <w:jc w:val="right"/>
              <w:rPr>
                <w:sz w:val="18"/>
              </w:rPr>
            </w:pPr>
            <w:r w:rsidRPr="001561A6">
              <w:t>0</w:t>
            </w:r>
          </w:p>
        </w:tc>
        <w:tc>
          <w:tcPr>
            <w:tcW w:w="1120" w:type="dxa"/>
            <w:shd w:val="clear" w:color="auto" w:fill="auto"/>
            <w:vAlign w:val="bottom"/>
          </w:tcPr>
          <w:p w14:paraId="6FD35D16" w14:textId="77777777" w:rsidR="00292483" w:rsidRPr="001561A6" w:rsidRDefault="00292483" w:rsidP="00292483">
            <w:pPr>
              <w:spacing w:before="40" w:after="40" w:line="220" w:lineRule="exact"/>
              <w:ind w:left="113"/>
              <w:jc w:val="right"/>
              <w:rPr>
                <w:sz w:val="18"/>
              </w:rPr>
            </w:pPr>
            <w:r w:rsidRPr="001561A6">
              <w:t>1</w:t>
            </w:r>
          </w:p>
        </w:tc>
        <w:tc>
          <w:tcPr>
            <w:tcW w:w="1113" w:type="dxa"/>
            <w:shd w:val="clear" w:color="auto" w:fill="auto"/>
            <w:vAlign w:val="bottom"/>
          </w:tcPr>
          <w:p w14:paraId="1AA70503" w14:textId="77777777" w:rsidR="00292483" w:rsidRPr="001561A6" w:rsidRDefault="00292483" w:rsidP="00292483">
            <w:pPr>
              <w:spacing w:before="40" w:after="40" w:line="220" w:lineRule="exact"/>
              <w:ind w:left="113"/>
              <w:jc w:val="right"/>
              <w:rPr>
                <w:sz w:val="18"/>
              </w:rPr>
            </w:pPr>
            <w:r w:rsidRPr="001561A6">
              <w:t>1</w:t>
            </w:r>
          </w:p>
        </w:tc>
      </w:tr>
      <w:tr w:rsidR="00292483" w:rsidRPr="001561A6" w14:paraId="42577B5A" w14:textId="77777777" w:rsidTr="001F0E9B">
        <w:tc>
          <w:tcPr>
            <w:tcW w:w="1418" w:type="dxa"/>
            <w:shd w:val="clear" w:color="auto" w:fill="auto"/>
            <w:vAlign w:val="bottom"/>
          </w:tcPr>
          <w:p w14:paraId="5C91A29E" w14:textId="77777777" w:rsidR="00292483" w:rsidRPr="001561A6" w:rsidRDefault="00292483" w:rsidP="00292483">
            <w:pPr>
              <w:suppressAutoHyphens w:val="0"/>
              <w:spacing w:before="40" w:after="40" w:line="220" w:lineRule="exact"/>
              <w:rPr>
                <w:b/>
                <w:bCs/>
                <w:sz w:val="18"/>
              </w:rPr>
            </w:pPr>
            <w:r w:rsidRPr="001561A6">
              <w:rPr>
                <w:b/>
                <w:bCs/>
                <w:sz w:val="18"/>
              </w:rPr>
              <w:t>Cochabamba</w:t>
            </w:r>
          </w:p>
        </w:tc>
        <w:tc>
          <w:tcPr>
            <w:tcW w:w="1130" w:type="dxa"/>
            <w:shd w:val="clear" w:color="auto" w:fill="auto"/>
            <w:vAlign w:val="bottom"/>
          </w:tcPr>
          <w:p w14:paraId="5A1873AB" w14:textId="77777777" w:rsidR="00292483" w:rsidRPr="001561A6" w:rsidRDefault="00292483" w:rsidP="00292483">
            <w:pPr>
              <w:spacing w:before="40" w:after="40" w:line="220" w:lineRule="exact"/>
              <w:ind w:left="113"/>
              <w:jc w:val="right"/>
              <w:rPr>
                <w:sz w:val="18"/>
              </w:rPr>
            </w:pPr>
            <w:r w:rsidRPr="001561A6">
              <w:t>0</w:t>
            </w:r>
          </w:p>
        </w:tc>
        <w:tc>
          <w:tcPr>
            <w:tcW w:w="1302" w:type="dxa"/>
            <w:shd w:val="clear" w:color="auto" w:fill="auto"/>
            <w:vAlign w:val="bottom"/>
          </w:tcPr>
          <w:p w14:paraId="771A5304" w14:textId="77777777" w:rsidR="00292483" w:rsidRPr="001561A6" w:rsidRDefault="00292483" w:rsidP="00292483">
            <w:pPr>
              <w:spacing w:before="40" w:after="40" w:line="220" w:lineRule="exact"/>
              <w:ind w:left="113"/>
              <w:jc w:val="right"/>
              <w:rPr>
                <w:sz w:val="18"/>
              </w:rPr>
            </w:pPr>
            <w:r w:rsidRPr="001561A6">
              <w:t>3</w:t>
            </w:r>
          </w:p>
        </w:tc>
        <w:tc>
          <w:tcPr>
            <w:tcW w:w="1287" w:type="dxa"/>
            <w:shd w:val="clear" w:color="auto" w:fill="auto"/>
            <w:vAlign w:val="bottom"/>
          </w:tcPr>
          <w:p w14:paraId="47EFAFDF" w14:textId="77777777" w:rsidR="00292483" w:rsidRPr="001561A6" w:rsidRDefault="00292483" w:rsidP="00292483">
            <w:pPr>
              <w:spacing w:before="40" w:after="40" w:line="220" w:lineRule="exact"/>
              <w:ind w:left="113"/>
              <w:jc w:val="right"/>
              <w:rPr>
                <w:sz w:val="18"/>
              </w:rPr>
            </w:pPr>
            <w:r w:rsidRPr="001561A6">
              <w:t>6</w:t>
            </w:r>
          </w:p>
        </w:tc>
        <w:tc>
          <w:tcPr>
            <w:tcW w:w="1120" w:type="dxa"/>
            <w:shd w:val="clear" w:color="auto" w:fill="auto"/>
            <w:vAlign w:val="bottom"/>
          </w:tcPr>
          <w:p w14:paraId="513ADBBF" w14:textId="77777777" w:rsidR="00292483" w:rsidRPr="001561A6" w:rsidRDefault="00292483" w:rsidP="00292483">
            <w:pPr>
              <w:spacing w:before="40" w:after="40" w:line="220" w:lineRule="exact"/>
              <w:ind w:left="113"/>
              <w:jc w:val="right"/>
              <w:rPr>
                <w:sz w:val="18"/>
              </w:rPr>
            </w:pPr>
            <w:r w:rsidRPr="001561A6">
              <w:t>20</w:t>
            </w:r>
          </w:p>
        </w:tc>
        <w:tc>
          <w:tcPr>
            <w:tcW w:w="1113" w:type="dxa"/>
            <w:shd w:val="clear" w:color="auto" w:fill="auto"/>
            <w:vAlign w:val="bottom"/>
          </w:tcPr>
          <w:p w14:paraId="5A0D1124" w14:textId="77777777" w:rsidR="00292483" w:rsidRPr="001561A6" w:rsidRDefault="00292483" w:rsidP="00292483">
            <w:pPr>
              <w:spacing w:before="40" w:after="40" w:line="220" w:lineRule="exact"/>
              <w:ind w:left="113"/>
              <w:jc w:val="right"/>
              <w:rPr>
                <w:sz w:val="18"/>
              </w:rPr>
            </w:pPr>
            <w:r w:rsidRPr="001561A6">
              <w:t>29</w:t>
            </w:r>
          </w:p>
        </w:tc>
      </w:tr>
      <w:tr w:rsidR="00292483" w:rsidRPr="001561A6" w14:paraId="4486B2D8" w14:textId="77777777" w:rsidTr="001F0E9B">
        <w:tc>
          <w:tcPr>
            <w:tcW w:w="1418" w:type="dxa"/>
            <w:shd w:val="clear" w:color="auto" w:fill="auto"/>
            <w:vAlign w:val="bottom"/>
          </w:tcPr>
          <w:p w14:paraId="31240D67" w14:textId="77777777" w:rsidR="00292483" w:rsidRPr="001561A6" w:rsidRDefault="00292483" w:rsidP="00292483">
            <w:pPr>
              <w:suppressAutoHyphens w:val="0"/>
              <w:spacing w:before="40" w:after="40" w:line="220" w:lineRule="exact"/>
              <w:rPr>
                <w:b/>
                <w:bCs/>
                <w:sz w:val="18"/>
              </w:rPr>
            </w:pPr>
            <w:r w:rsidRPr="001561A6">
              <w:rPr>
                <w:b/>
                <w:bCs/>
                <w:sz w:val="18"/>
              </w:rPr>
              <w:t>La Paz</w:t>
            </w:r>
          </w:p>
        </w:tc>
        <w:tc>
          <w:tcPr>
            <w:tcW w:w="1130" w:type="dxa"/>
            <w:shd w:val="clear" w:color="auto" w:fill="auto"/>
            <w:vAlign w:val="bottom"/>
          </w:tcPr>
          <w:p w14:paraId="4F22FCDD" w14:textId="77777777" w:rsidR="00292483" w:rsidRPr="001561A6" w:rsidRDefault="00292483" w:rsidP="00292483">
            <w:pPr>
              <w:spacing w:before="40" w:after="40" w:line="220" w:lineRule="exact"/>
              <w:ind w:left="113"/>
              <w:jc w:val="right"/>
              <w:rPr>
                <w:sz w:val="18"/>
              </w:rPr>
            </w:pPr>
            <w:r w:rsidRPr="001561A6">
              <w:t>2</w:t>
            </w:r>
          </w:p>
        </w:tc>
        <w:tc>
          <w:tcPr>
            <w:tcW w:w="1302" w:type="dxa"/>
            <w:shd w:val="clear" w:color="auto" w:fill="auto"/>
            <w:vAlign w:val="bottom"/>
          </w:tcPr>
          <w:p w14:paraId="0C4B78F7" w14:textId="77777777" w:rsidR="00292483" w:rsidRPr="001561A6" w:rsidRDefault="00292483" w:rsidP="00292483">
            <w:pPr>
              <w:spacing w:before="40" w:after="40" w:line="220" w:lineRule="exact"/>
              <w:ind w:left="113"/>
              <w:jc w:val="right"/>
              <w:rPr>
                <w:sz w:val="18"/>
              </w:rPr>
            </w:pPr>
            <w:r w:rsidRPr="001561A6">
              <w:t>29</w:t>
            </w:r>
          </w:p>
        </w:tc>
        <w:tc>
          <w:tcPr>
            <w:tcW w:w="1287" w:type="dxa"/>
            <w:shd w:val="clear" w:color="auto" w:fill="auto"/>
            <w:vAlign w:val="bottom"/>
          </w:tcPr>
          <w:p w14:paraId="466C4491" w14:textId="77777777" w:rsidR="00292483" w:rsidRPr="001561A6" w:rsidRDefault="00292483" w:rsidP="00292483">
            <w:pPr>
              <w:spacing w:before="40" w:after="40" w:line="220" w:lineRule="exact"/>
              <w:ind w:left="113"/>
              <w:jc w:val="right"/>
              <w:rPr>
                <w:sz w:val="18"/>
              </w:rPr>
            </w:pPr>
            <w:r w:rsidRPr="001561A6">
              <w:t>30</w:t>
            </w:r>
          </w:p>
        </w:tc>
        <w:tc>
          <w:tcPr>
            <w:tcW w:w="1120" w:type="dxa"/>
            <w:shd w:val="clear" w:color="auto" w:fill="auto"/>
            <w:vAlign w:val="bottom"/>
          </w:tcPr>
          <w:p w14:paraId="428F484A" w14:textId="77777777" w:rsidR="00292483" w:rsidRPr="001561A6" w:rsidRDefault="00292483" w:rsidP="00292483">
            <w:pPr>
              <w:spacing w:before="40" w:after="40" w:line="220" w:lineRule="exact"/>
              <w:ind w:left="113"/>
              <w:jc w:val="right"/>
              <w:rPr>
                <w:sz w:val="18"/>
              </w:rPr>
            </w:pPr>
            <w:r w:rsidRPr="001561A6">
              <w:t>24</w:t>
            </w:r>
          </w:p>
        </w:tc>
        <w:tc>
          <w:tcPr>
            <w:tcW w:w="1113" w:type="dxa"/>
            <w:shd w:val="clear" w:color="auto" w:fill="auto"/>
            <w:vAlign w:val="bottom"/>
          </w:tcPr>
          <w:p w14:paraId="0DD52204" w14:textId="77777777" w:rsidR="00292483" w:rsidRPr="001561A6" w:rsidRDefault="00292483" w:rsidP="00292483">
            <w:pPr>
              <w:spacing w:before="40" w:after="40" w:line="220" w:lineRule="exact"/>
              <w:ind w:left="113"/>
              <w:jc w:val="right"/>
              <w:rPr>
                <w:sz w:val="18"/>
              </w:rPr>
            </w:pPr>
            <w:r w:rsidRPr="001561A6">
              <w:t>85</w:t>
            </w:r>
          </w:p>
        </w:tc>
      </w:tr>
      <w:tr w:rsidR="00292483" w:rsidRPr="001561A6" w14:paraId="3A3BCEB2" w14:textId="77777777" w:rsidTr="001F0E9B">
        <w:tc>
          <w:tcPr>
            <w:tcW w:w="1418" w:type="dxa"/>
            <w:shd w:val="clear" w:color="auto" w:fill="auto"/>
            <w:vAlign w:val="bottom"/>
          </w:tcPr>
          <w:p w14:paraId="7E87D591" w14:textId="77777777" w:rsidR="00292483" w:rsidRPr="001561A6" w:rsidRDefault="00292483" w:rsidP="00292483">
            <w:pPr>
              <w:suppressAutoHyphens w:val="0"/>
              <w:spacing w:before="40" w:after="40" w:line="220" w:lineRule="exact"/>
              <w:rPr>
                <w:b/>
                <w:bCs/>
                <w:sz w:val="18"/>
              </w:rPr>
            </w:pPr>
            <w:r w:rsidRPr="001561A6">
              <w:rPr>
                <w:b/>
                <w:bCs/>
                <w:sz w:val="18"/>
              </w:rPr>
              <w:t>Oruro</w:t>
            </w:r>
          </w:p>
        </w:tc>
        <w:tc>
          <w:tcPr>
            <w:tcW w:w="1130" w:type="dxa"/>
            <w:shd w:val="clear" w:color="auto" w:fill="auto"/>
            <w:vAlign w:val="bottom"/>
          </w:tcPr>
          <w:p w14:paraId="3C19185B" w14:textId="77777777" w:rsidR="00292483" w:rsidRPr="001561A6" w:rsidRDefault="00292483" w:rsidP="00292483">
            <w:pPr>
              <w:spacing w:before="40" w:after="40" w:line="220" w:lineRule="exact"/>
              <w:ind w:left="113"/>
              <w:jc w:val="right"/>
              <w:rPr>
                <w:sz w:val="18"/>
              </w:rPr>
            </w:pPr>
            <w:r w:rsidRPr="001561A6">
              <w:t>0</w:t>
            </w:r>
          </w:p>
        </w:tc>
        <w:tc>
          <w:tcPr>
            <w:tcW w:w="1302" w:type="dxa"/>
            <w:shd w:val="clear" w:color="auto" w:fill="auto"/>
            <w:vAlign w:val="bottom"/>
          </w:tcPr>
          <w:p w14:paraId="29C83E7D" w14:textId="77777777" w:rsidR="00292483" w:rsidRPr="001561A6" w:rsidRDefault="00292483" w:rsidP="00292483">
            <w:pPr>
              <w:spacing w:before="40" w:after="40" w:line="220" w:lineRule="exact"/>
              <w:ind w:left="113"/>
              <w:jc w:val="right"/>
              <w:rPr>
                <w:sz w:val="18"/>
              </w:rPr>
            </w:pPr>
            <w:r w:rsidRPr="001561A6">
              <w:t>2</w:t>
            </w:r>
          </w:p>
        </w:tc>
        <w:tc>
          <w:tcPr>
            <w:tcW w:w="1287" w:type="dxa"/>
            <w:shd w:val="clear" w:color="auto" w:fill="auto"/>
            <w:vAlign w:val="bottom"/>
          </w:tcPr>
          <w:p w14:paraId="02121CAD" w14:textId="77777777" w:rsidR="00292483" w:rsidRPr="001561A6" w:rsidRDefault="00292483" w:rsidP="00292483">
            <w:pPr>
              <w:spacing w:before="40" w:after="40" w:line="220" w:lineRule="exact"/>
              <w:ind w:left="113"/>
              <w:jc w:val="right"/>
              <w:rPr>
                <w:sz w:val="18"/>
              </w:rPr>
            </w:pPr>
            <w:r w:rsidRPr="001561A6">
              <w:t>6</w:t>
            </w:r>
          </w:p>
        </w:tc>
        <w:tc>
          <w:tcPr>
            <w:tcW w:w="1120" w:type="dxa"/>
            <w:shd w:val="clear" w:color="auto" w:fill="auto"/>
            <w:vAlign w:val="bottom"/>
          </w:tcPr>
          <w:p w14:paraId="0BE2D578" w14:textId="77777777" w:rsidR="00292483" w:rsidRPr="001561A6" w:rsidRDefault="00292483" w:rsidP="00292483">
            <w:pPr>
              <w:spacing w:before="40" w:after="40" w:line="220" w:lineRule="exact"/>
              <w:ind w:left="113"/>
              <w:jc w:val="right"/>
              <w:rPr>
                <w:sz w:val="18"/>
              </w:rPr>
            </w:pPr>
            <w:r w:rsidRPr="001561A6">
              <w:t>17</w:t>
            </w:r>
          </w:p>
        </w:tc>
        <w:tc>
          <w:tcPr>
            <w:tcW w:w="1113" w:type="dxa"/>
            <w:shd w:val="clear" w:color="auto" w:fill="auto"/>
            <w:vAlign w:val="bottom"/>
          </w:tcPr>
          <w:p w14:paraId="18240E0D" w14:textId="77777777" w:rsidR="00292483" w:rsidRPr="001561A6" w:rsidRDefault="00292483" w:rsidP="00292483">
            <w:pPr>
              <w:spacing w:before="40" w:after="40" w:line="220" w:lineRule="exact"/>
              <w:ind w:left="113"/>
              <w:jc w:val="right"/>
              <w:rPr>
                <w:sz w:val="18"/>
              </w:rPr>
            </w:pPr>
            <w:r w:rsidRPr="001561A6">
              <w:t>25</w:t>
            </w:r>
          </w:p>
        </w:tc>
      </w:tr>
      <w:tr w:rsidR="00292483" w:rsidRPr="001561A6" w14:paraId="7257B38B" w14:textId="77777777" w:rsidTr="001F0E9B">
        <w:tc>
          <w:tcPr>
            <w:tcW w:w="1418" w:type="dxa"/>
            <w:shd w:val="clear" w:color="auto" w:fill="auto"/>
            <w:vAlign w:val="bottom"/>
          </w:tcPr>
          <w:p w14:paraId="23756649" w14:textId="77777777" w:rsidR="00292483" w:rsidRPr="001561A6" w:rsidRDefault="00292483" w:rsidP="00292483">
            <w:pPr>
              <w:suppressAutoHyphens w:val="0"/>
              <w:spacing w:before="40" w:after="40" w:line="220" w:lineRule="exact"/>
              <w:rPr>
                <w:b/>
                <w:bCs/>
                <w:sz w:val="18"/>
              </w:rPr>
            </w:pPr>
            <w:r w:rsidRPr="001561A6">
              <w:rPr>
                <w:b/>
                <w:bCs/>
                <w:sz w:val="18"/>
              </w:rPr>
              <w:t>Potosí</w:t>
            </w:r>
          </w:p>
        </w:tc>
        <w:tc>
          <w:tcPr>
            <w:tcW w:w="1130" w:type="dxa"/>
            <w:shd w:val="clear" w:color="auto" w:fill="auto"/>
            <w:vAlign w:val="bottom"/>
          </w:tcPr>
          <w:p w14:paraId="69E1B19E" w14:textId="77777777" w:rsidR="00292483" w:rsidRPr="001561A6" w:rsidRDefault="00292483" w:rsidP="00292483">
            <w:pPr>
              <w:spacing w:before="40" w:after="40" w:line="220" w:lineRule="exact"/>
              <w:ind w:left="113"/>
              <w:jc w:val="right"/>
              <w:rPr>
                <w:sz w:val="18"/>
              </w:rPr>
            </w:pPr>
            <w:r w:rsidRPr="001561A6">
              <w:t>0</w:t>
            </w:r>
          </w:p>
        </w:tc>
        <w:tc>
          <w:tcPr>
            <w:tcW w:w="1302" w:type="dxa"/>
            <w:shd w:val="clear" w:color="auto" w:fill="auto"/>
            <w:vAlign w:val="bottom"/>
          </w:tcPr>
          <w:p w14:paraId="1267F5F5" w14:textId="77777777" w:rsidR="00292483" w:rsidRPr="001561A6" w:rsidRDefault="00292483" w:rsidP="00292483">
            <w:pPr>
              <w:spacing w:before="40" w:after="40" w:line="220" w:lineRule="exact"/>
              <w:ind w:left="113"/>
              <w:jc w:val="right"/>
              <w:rPr>
                <w:sz w:val="18"/>
              </w:rPr>
            </w:pPr>
            <w:r w:rsidRPr="001561A6">
              <w:t>0</w:t>
            </w:r>
          </w:p>
        </w:tc>
        <w:tc>
          <w:tcPr>
            <w:tcW w:w="1287" w:type="dxa"/>
            <w:shd w:val="clear" w:color="auto" w:fill="auto"/>
            <w:vAlign w:val="bottom"/>
          </w:tcPr>
          <w:p w14:paraId="39537FA3" w14:textId="77777777" w:rsidR="00292483" w:rsidRPr="001561A6" w:rsidRDefault="00292483" w:rsidP="00292483">
            <w:pPr>
              <w:spacing w:before="40" w:after="40" w:line="220" w:lineRule="exact"/>
              <w:ind w:left="113"/>
              <w:jc w:val="right"/>
              <w:rPr>
                <w:sz w:val="18"/>
              </w:rPr>
            </w:pPr>
            <w:r w:rsidRPr="001561A6">
              <w:t>0</w:t>
            </w:r>
          </w:p>
        </w:tc>
        <w:tc>
          <w:tcPr>
            <w:tcW w:w="1120" w:type="dxa"/>
            <w:shd w:val="clear" w:color="auto" w:fill="auto"/>
            <w:vAlign w:val="bottom"/>
          </w:tcPr>
          <w:p w14:paraId="53545C91" w14:textId="77777777" w:rsidR="00292483" w:rsidRPr="001561A6" w:rsidRDefault="00292483" w:rsidP="00292483">
            <w:pPr>
              <w:spacing w:before="40" w:after="40" w:line="220" w:lineRule="exact"/>
              <w:ind w:left="113"/>
              <w:jc w:val="right"/>
              <w:rPr>
                <w:sz w:val="18"/>
              </w:rPr>
            </w:pPr>
            <w:r w:rsidRPr="001561A6">
              <w:t>11</w:t>
            </w:r>
          </w:p>
        </w:tc>
        <w:tc>
          <w:tcPr>
            <w:tcW w:w="1113" w:type="dxa"/>
            <w:shd w:val="clear" w:color="auto" w:fill="auto"/>
            <w:vAlign w:val="bottom"/>
          </w:tcPr>
          <w:p w14:paraId="66700409" w14:textId="77777777" w:rsidR="00292483" w:rsidRPr="001561A6" w:rsidRDefault="00292483" w:rsidP="00292483">
            <w:pPr>
              <w:spacing w:before="40" w:after="40" w:line="220" w:lineRule="exact"/>
              <w:ind w:left="113"/>
              <w:jc w:val="right"/>
              <w:rPr>
                <w:sz w:val="18"/>
              </w:rPr>
            </w:pPr>
            <w:r w:rsidRPr="001561A6">
              <w:t>11</w:t>
            </w:r>
          </w:p>
        </w:tc>
      </w:tr>
      <w:tr w:rsidR="00292483" w:rsidRPr="001561A6" w14:paraId="7DDCA7EF" w14:textId="77777777" w:rsidTr="001F0E9B">
        <w:tc>
          <w:tcPr>
            <w:tcW w:w="1418" w:type="dxa"/>
            <w:shd w:val="clear" w:color="auto" w:fill="auto"/>
            <w:vAlign w:val="bottom"/>
          </w:tcPr>
          <w:p w14:paraId="298FD961" w14:textId="77777777" w:rsidR="00292483" w:rsidRPr="001561A6" w:rsidRDefault="00292483" w:rsidP="00292483">
            <w:pPr>
              <w:suppressAutoHyphens w:val="0"/>
              <w:spacing w:before="40" w:after="40" w:line="220" w:lineRule="exact"/>
              <w:rPr>
                <w:b/>
                <w:bCs/>
                <w:sz w:val="18"/>
              </w:rPr>
            </w:pPr>
            <w:r w:rsidRPr="001561A6">
              <w:rPr>
                <w:b/>
                <w:bCs/>
                <w:sz w:val="18"/>
              </w:rPr>
              <w:t>Santa Cruz</w:t>
            </w:r>
          </w:p>
        </w:tc>
        <w:tc>
          <w:tcPr>
            <w:tcW w:w="1130" w:type="dxa"/>
            <w:shd w:val="clear" w:color="auto" w:fill="auto"/>
            <w:vAlign w:val="bottom"/>
          </w:tcPr>
          <w:p w14:paraId="0E9317B6" w14:textId="77777777" w:rsidR="00292483" w:rsidRPr="001561A6" w:rsidRDefault="00292483" w:rsidP="00292483">
            <w:pPr>
              <w:spacing w:before="40" w:after="40" w:line="220" w:lineRule="exact"/>
              <w:ind w:left="113"/>
              <w:jc w:val="right"/>
              <w:rPr>
                <w:sz w:val="18"/>
              </w:rPr>
            </w:pPr>
            <w:r w:rsidRPr="001561A6">
              <w:t>1</w:t>
            </w:r>
          </w:p>
        </w:tc>
        <w:tc>
          <w:tcPr>
            <w:tcW w:w="1302" w:type="dxa"/>
            <w:shd w:val="clear" w:color="auto" w:fill="auto"/>
            <w:vAlign w:val="bottom"/>
          </w:tcPr>
          <w:p w14:paraId="3C0160CF" w14:textId="77777777" w:rsidR="00292483" w:rsidRPr="001561A6" w:rsidRDefault="00292483" w:rsidP="00292483">
            <w:pPr>
              <w:spacing w:before="40" w:after="40" w:line="220" w:lineRule="exact"/>
              <w:ind w:left="113"/>
              <w:jc w:val="right"/>
              <w:rPr>
                <w:sz w:val="18"/>
              </w:rPr>
            </w:pPr>
            <w:r w:rsidRPr="001561A6">
              <w:t>1</w:t>
            </w:r>
          </w:p>
        </w:tc>
        <w:tc>
          <w:tcPr>
            <w:tcW w:w="1287" w:type="dxa"/>
            <w:shd w:val="clear" w:color="auto" w:fill="auto"/>
            <w:vAlign w:val="bottom"/>
          </w:tcPr>
          <w:p w14:paraId="1BEBA7D0" w14:textId="77777777" w:rsidR="00292483" w:rsidRPr="001561A6" w:rsidRDefault="00292483" w:rsidP="00292483">
            <w:pPr>
              <w:spacing w:before="40" w:after="40" w:line="220" w:lineRule="exact"/>
              <w:ind w:left="113"/>
              <w:jc w:val="right"/>
              <w:rPr>
                <w:sz w:val="18"/>
              </w:rPr>
            </w:pPr>
            <w:r w:rsidRPr="001561A6">
              <w:t>2</w:t>
            </w:r>
          </w:p>
        </w:tc>
        <w:tc>
          <w:tcPr>
            <w:tcW w:w="1120" w:type="dxa"/>
            <w:shd w:val="clear" w:color="auto" w:fill="auto"/>
            <w:vAlign w:val="bottom"/>
          </w:tcPr>
          <w:p w14:paraId="3A919C65" w14:textId="77777777" w:rsidR="00292483" w:rsidRPr="001561A6" w:rsidRDefault="00292483" w:rsidP="00292483">
            <w:pPr>
              <w:spacing w:before="40" w:after="40" w:line="220" w:lineRule="exact"/>
              <w:ind w:left="113"/>
              <w:jc w:val="right"/>
              <w:rPr>
                <w:sz w:val="18"/>
              </w:rPr>
            </w:pPr>
            <w:r w:rsidRPr="001561A6">
              <w:t>4</w:t>
            </w:r>
          </w:p>
        </w:tc>
        <w:tc>
          <w:tcPr>
            <w:tcW w:w="1113" w:type="dxa"/>
            <w:shd w:val="clear" w:color="auto" w:fill="auto"/>
            <w:vAlign w:val="bottom"/>
          </w:tcPr>
          <w:p w14:paraId="7F29B39E" w14:textId="77777777" w:rsidR="00292483" w:rsidRPr="001561A6" w:rsidRDefault="00292483" w:rsidP="00292483">
            <w:pPr>
              <w:spacing w:before="40" w:after="40" w:line="220" w:lineRule="exact"/>
              <w:ind w:left="113"/>
              <w:jc w:val="right"/>
              <w:rPr>
                <w:sz w:val="18"/>
              </w:rPr>
            </w:pPr>
            <w:r w:rsidRPr="001561A6">
              <w:t>8</w:t>
            </w:r>
          </w:p>
        </w:tc>
      </w:tr>
      <w:tr w:rsidR="00292483" w:rsidRPr="001561A6" w14:paraId="5F438923" w14:textId="77777777" w:rsidTr="00292483">
        <w:tc>
          <w:tcPr>
            <w:tcW w:w="1418" w:type="dxa"/>
            <w:tcBorders>
              <w:bottom w:val="single" w:sz="4" w:space="0" w:color="auto"/>
            </w:tcBorders>
            <w:shd w:val="clear" w:color="auto" w:fill="auto"/>
            <w:vAlign w:val="bottom"/>
          </w:tcPr>
          <w:p w14:paraId="15237FA0" w14:textId="77777777" w:rsidR="00292483" w:rsidRPr="001561A6" w:rsidRDefault="00292483" w:rsidP="00292483">
            <w:pPr>
              <w:suppressAutoHyphens w:val="0"/>
              <w:spacing w:before="40" w:after="40" w:line="220" w:lineRule="exact"/>
              <w:rPr>
                <w:b/>
                <w:bCs/>
                <w:sz w:val="18"/>
              </w:rPr>
            </w:pPr>
            <w:r w:rsidRPr="001561A6">
              <w:rPr>
                <w:b/>
                <w:bCs/>
                <w:sz w:val="18"/>
              </w:rPr>
              <w:t>Tarija</w:t>
            </w:r>
          </w:p>
        </w:tc>
        <w:tc>
          <w:tcPr>
            <w:tcW w:w="1130" w:type="dxa"/>
            <w:tcBorders>
              <w:bottom w:val="single" w:sz="4" w:space="0" w:color="auto"/>
            </w:tcBorders>
            <w:shd w:val="clear" w:color="auto" w:fill="auto"/>
            <w:vAlign w:val="bottom"/>
          </w:tcPr>
          <w:p w14:paraId="0DE3E416" w14:textId="77777777" w:rsidR="00292483" w:rsidRPr="001561A6" w:rsidRDefault="00292483" w:rsidP="00292483">
            <w:pPr>
              <w:spacing w:before="40" w:after="40" w:line="220" w:lineRule="exact"/>
              <w:ind w:left="113"/>
              <w:jc w:val="right"/>
              <w:rPr>
                <w:sz w:val="18"/>
              </w:rPr>
            </w:pPr>
            <w:r w:rsidRPr="001561A6">
              <w:t>0</w:t>
            </w:r>
          </w:p>
        </w:tc>
        <w:tc>
          <w:tcPr>
            <w:tcW w:w="1302" w:type="dxa"/>
            <w:tcBorders>
              <w:bottom w:val="single" w:sz="4" w:space="0" w:color="auto"/>
            </w:tcBorders>
            <w:shd w:val="clear" w:color="auto" w:fill="auto"/>
            <w:vAlign w:val="bottom"/>
          </w:tcPr>
          <w:p w14:paraId="7AB1D3FD" w14:textId="77777777" w:rsidR="00292483" w:rsidRPr="001561A6" w:rsidRDefault="00292483" w:rsidP="00292483">
            <w:pPr>
              <w:spacing w:before="40" w:after="40" w:line="220" w:lineRule="exact"/>
              <w:ind w:left="113"/>
              <w:jc w:val="right"/>
              <w:rPr>
                <w:sz w:val="18"/>
              </w:rPr>
            </w:pPr>
            <w:r w:rsidRPr="001561A6">
              <w:t>1</w:t>
            </w:r>
          </w:p>
        </w:tc>
        <w:tc>
          <w:tcPr>
            <w:tcW w:w="1287" w:type="dxa"/>
            <w:tcBorders>
              <w:bottom w:val="single" w:sz="4" w:space="0" w:color="auto"/>
            </w:tcBorders>
            <w:shd w:val="clear" w:color="auto" w:fill="auto"/>
            <w:vAlign w:val="bottom"/>
          </w:tcPr>
          <w:p w14:paraId="131E935D" w14:textId="77777777" w:rsidR="00292483" w:rsidRPr="001561A6" w:rsidRDefault="00292483" w:rsidP="00292483">
            <w:pPr>
              <w:spacing w:before="40" w:after="40" w:line="220" w:lineRule="exact"/>
              <w:ind w:left="113"/>
              <w:jc w:val="right"/>
              <w:rPr>
                <w:sz w:val="18"/>
              </w:rPr>
            </w:pPr>
            <w:r w:rsidRPr="001561A6">
              <w:t>4</w:t>
            </w:r>
          </w:p>
        </w:tc>
        <w:tc>
          <w:tcPr>
            <w:tcW w:w="1120" w:type="dxa"/>
            <w:tcBorders>
              <w:bottom w:val="single" w:sz="4" w:space="0" w:color="auto"/>
            </w:tcBorders>
            <w:shd w:val="clear" w:color="auto" w:fill="auto"/>
            <w:vAlign w:val="bottom"/>
          </w:tcPr>
          <w:p w14:paraId="17081368" w14:textId="77777777" w:rsidR="00292483" w:rsidRPr="001561A6" w:rsidRDefault="00292483" w:rsidP="00292483">
            <w:pPr>
              <w:spacing w:before="40" w:after="40" w:line="220" w:lineRule="exact"/>
              <w:ind w:left="113"/>
              <w:jc w:val="right"/>
              <w:rPr>
                <w:sz w:val="18"/>
              </w:rPr>
            </w:pPr>
            <w:r w:rsidRPr="001561A6">
              <w:t>17</w:t>
            </w:r>
          </w:p>
        </w:tc>
        <w:tc>
          <w:tcPr>
            <w:tcW w:w="1113" w:type="dxa"/>
            <w:tcBorders>
              <w:bottom w:val="single" w:sz="4" w:space="0" w:color="auto"/>
            </w:tcBorders>
            <w:shd w:val="clear" w:color="auto" w:fill="auto"/>
            <w:vAlign w:val="bottom"/>
          </w:tcPr>
          <w:p w14:paraId="2BDD2E3C" w14:textId="77777777" w:rsidR="00292483" w:rsidRPr="001561A6" w:rsidRDefault="00292483" w:rsidP="00292483">
            <w:pPr>
              <w:spacing w:before="40" w:after="40" w:line="220" w:lineRule="exact"/>
              <w:ind w:left="113"/>
              <w:jc w:val="right"/>
              <w:rPr>
                <w:sz w:val="18"/>
              </w:rPr>
            </w:pPr>
            <w:r w:rsidRPr="001561A6">
              <w:t>22</w:t>
            </w:r>
          </w:p>
        </w:tc>
      </w:tr>
      <w:tr w:rsidR="00292483" w:rsidRPr="001561A6" w14:paraId="58039164" w14:textId="77777777" w:rsidTr="001F0E9B">
        <w:tc>
          <w:tcPr>
            <w:tcW w:w="1418" w:type="dxa"/>
            <w:tcBorders>
              <w:top w:val="single" w:sz="4" w:space="0" w:color="auto"/>
              <w:bottom w:val="single" w:sz="12" w:space="0" w:color="auto"/>
            </w:tcBorders>
            <w:shd w:val="clear" w:color="auto" w:fill="auto"/>
            <w:vAlign w:val="bottom"/>
          </w:tcPr>
          <w:p w14:paraId="3CF0FFA6" w14:textId="77777777" w:rsidR="00292483" w:rsidRPr="001561A6" w:rsidRDefault="00292483" w:rsidP="00292483">
            <w:pPr>
              <w:suppressAutoHyphens w:val="0"/>
              <w:spacing w:before="80" w:after="80" w:line="220" w:lineRule="exact"/>
              <w:ind w:left="283"/>
              <w:rPr>
                <w:b/>
                <w:sz w:val="18"/>
              </w:rPr>
            </w:pPr>
            <w:r w:rsidRPr="001561A6">
              <w:rPr>
                <w:b/>
                <w:sz w:val="18"/>
              </w:rPr>
              <w:t>Total général</w:t>
            </w:r>
          </w:p>
        </w:tc>
        <w:tc>
          <w:tcPr>
            <w:tcW w:w="1130" w:type="dxa"/>
            <w:tcBorders>
              <w:top w:val="single" w:sz="4" w:space="0" w:color="auto"/>
              <w:bottom w:val="single" w:sz="12" w:space="0" w:color="auto"/>
            </w:tcBorders>
            <w:shd w:val="clear" w:color="auto" w:fill="auto"/>
            <w:vAlign w:val="bottom"/>
          </w:tcPr>
          <w:p w14:paraId="048C476B" w14:textId="77777777" w:rsidR="00292483" w:rsidRPr="001561A6" w:rsidRDefault="00292483" w:rsidP="00292483">
            <w:pPr>
              <w:spacing w:before="80" w:after="80" w:line="220" w:lineRule="exact"/>
              <w:jc w:val="right"/>
              <w:rPr>
                <w:b/>
                <w:sz w:val="18"/>
              </w:rPr>
            </w:pPr>
            <w:r w:rsidRPr="001561A6">
              <w:rPr>
                <w:b/>
              </w:rPr>
              <w:t>3</w:t>
            </w:r>
          </w:p>
        </w:tc>
        <w:tc>
          <w:tcPr>
            <w:tcW w:w="1302" w:type="dxa"/>
            <w:tcBorders>
              <w:top w:val="single" w:sz="4" w:space="0" w:color="auto"/>
              <w:bottom w:val="single" w:sz="12" w:space="0" w:color="auto"/>
            </w:tcBorders>
            <w:shd w:val="clear" w:color="auto" w:fill="auto"/>
            <w:vAlign w:val="bottom"/>
          </w:tcPr>
          <w:p w14:paraId="149C8B9F" w14:textId="77777777" w:rsidR="00292483" w:rsidRPr="001561A6" w:rsidRDefault="00292483" w:rsidP="00292483">
            <w:pPr>
              <w:spacing w:before="80" w:after="80" w:line="220" w:lineRule="exact"/>
              <w:jc w:val="right"/>
              <w:rPr>
                <w:b/>
                <w:sz w:val="18"/>
              </w:rPr>
            </w:pPr>
            <w:r w:rsidRPr="001561A6">
              <w:rPr>
                <w:b/>
              </w:rPr>
              <w:t>36</w:t>
            </w:r>
          </w:p>
        </w:tc>
        <w:tc>
          <w:tcPr>
            <w:tcW w:w="1287" w:type="dxa"/>
            <w:tcBorders>
              <w:top w:val="single" w:sz="4" w:space="0" w:color="auto"/>
              <w:bottom w:val="single" w:sz="12" w:space="0" w:color="auto"/>
            </w:tcBorders>
            <w:shd w:val="clear" w:color="auto" w:fill="auto"/>
            <w:vAlign w:val="bottom"/>
          </w:tcPr>
          <w:p w14:paraId="54A50BA2" w14:textId="77777777" w:rsidR="00292483" w:rsidRPr="001561A6" w:rsidRDefault="00292483" w:rsidP="00292483">
            <w:pPr>
              <w:spacing w:before="80" w:after="80" w:line="220" w:lineRule="exact"/>
              <w:jc w:val="right"/>
              <w:rPr>
                <w:b/>
                <w:sz w:val="18"/>
              </w:rPr>
            </w:pPr>
            <w:r w:rsidRPr="001561A6">
              <w:rPr>
                <w:b/>
              </w:rPr>
              <w:t>48</w:t>
            </w:r>
          </w:p>
        </w:tc>
        <w:tc>
          <w:tcPr>
            <w:tcW w:w="1120" w:type="dxa"/>
            <w:tcBorders>
              <w:top w:val="single" w:sz="4" w:space="0" w:color="auto"/>
              <w:bottom w:val="single" w:sz="12" w:space="0" w:color="auto"/>
            </w:tcBorders>
            <w:shd w:val="clear" w:color="auto" w:fill="auto"/>
            <w:vAlign w:val="bottom"/>
          </w:tcPr>
          <w:p w14:paraId="5ABC1A85" w14:textId="77777777" w:rsidR="00292483" w:rsidRPr="001561A6" w:rsidRDefault="00292483" w:rsidP="00292483">
            <w:pPr>
              <w:spacing w:before="80" w:after="80" w:line="220" w:lineRule="exact"/>
              <w:jc w:val="right"/>
              <w:rPr>
                <w:b/>
                <w:sz w:val="18"/>
              </w:rPr>
            </w:pPr>
            <w:r w:rsidRPr="001561A6">
              <w:rPr>
                <w:b/>
              </w:rPr>
              <w:t>97</w:t>
            </w:r>
          </w:p>
        </w:tc>
        <w:tc>
          <w:tcPr>
            <w:tcW w:w="1113" w:type="dxa"/>
            <w:tcBorders>
              <w:top w:val="single" w:sz="4" w:space="0" w:color="auto"/>
              <w:bottom w:val="single" w:sz="12" w:space="0" w:color="auto"/>
            </w:tcBorders>
            <w:shd w:val="clear" w:color="auto" w:fill="auto"/>
            <w:vAlign w:val="bottom"/>
          </w:tcPr>
          <w:p w14:paraId="7D5243E5" w14:textId="77777777" w:rsidR="00292483" w:rsidRPr="001561A6" w:rsidRDefault="00292483" w:rsidP="00292483">
            <w:pPr>
              <w:spacing w:before="80" w:after="80" w:line="220" w:lineRule="exact"/>
              <w:jc w:val="right"/>
              <w:rPr>
                <w:b/>
                <w:sz w:val="18"/>
              </w:rPr>
            </w:pPr>
            <w:r w:rsidRPr="001561A6">
              <w:rPr>
                <w:b/>
              </w:rPr>
              <w:t>184</w:t>
            </w:r>
          </w:p>
        </w:tc>
      </w:tr>
    </w:tbl>
    <w:p w14:paraId="1BED8412" w14:textId="77777777" w:rsidR="009D00C8" w:rsidRPr="001561A6" w:rsidRDefault="009D00C8" w:rsidP="009D00C8">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Bureau du Procureur général de l</w:t>
      </w:r>
      <w:r w:rsidR="009258E3">
        <w:rPr>
          <w:sz w:val="18"/>
          <w:szCs w:val="18"/>
        </w:rPr>
        <w:t>’</w:t>
      </w:r>
      <w:r w:rsidRPr="001561A6">
        <w:rPr>
          <w:sz w:val="18"/>
          <w:szCs w:val="18"/>
        </w:rPr>
        <w:t xml:space="preserve">État </w:t>
      </w:r>
      <w:r w:rsidR="00E8410E">
        <w:rPr>
          <w:sz w:val="18"/>
          <w:szCs w:val="18"/>
        </w:rPr>
        <w:t>−</w:t>
      </w:r>
      <w:r w:rsidRPr="001561A6">
        <w:rPr>
          <w:sz w:val="18"/>
          <w:szCs w:val="18"/>
        </w:rPr>
        <w:t xml:space="preserve"> Système JL1 13/08/2020 (Données relatives à la période allant du 1</w:t>
      </w:r>
      <w:r w:rsidRPr="001561A6">
        <w:rPr>
          <w:sz w:val="18"/>
          <w:szCs w:val="18"/>
          <w:vertAlign w:val="superscript"/>
        </w:rPr>
        <w:t>er</w:t>
      </w:r>
      <w:r w:rsidR="00EE2041" w:rsidRPr="001561A6">
        <w:rPr>
          <w:sz w:val="18"/>
          <w:szCs w:val="18"/>
        </w:rPr>
        <w:t> </w:t>
      </w:r>
      <w:r w:rsidRPr="001561A6">
        <w:rPr>
          <w:sz w:val="18"/>
          <w:szCs w:val="18"/>
        </w:rPr>
        <w:t>janvier au 31 décembre 2019).</w:t>
      </w:r>
    </w:p>
    <w:p w14:paraId="01F058BF" w14:textId="77777777" w:rsidR="009D00C8" w:rsidRPr="001561A6" w:rsidRDefault="009D00C8" w:rsidP="009D00C8">
      <w:pPr>
        <w:pStyle w:val="SingleTxtG"/>
      </w:pPr>
      <w:r w:rsidRPr="001561A6">
        <w:t>47.</w:t>
      </w:r>
      <w:r w:rsidRPr="001561A6">
        <w:tab/>
        <w:t>En ce qui concerne les victimes d</w:t>
      </w:r>
      <w:r w:rsidR="009258E3">
        <w:t>’</w:t>
      </w:r>
      <w:r w:rsidRPr="001561A6">
        <w:t>infractions connexes qui ont bénéficié d</w:t>
      </w:r>
      <w:r w:rsidR="009258E3">
        <w:t>’</w:t>
      </w:r>
      <w:r w:rsidRPr="001561A6">
        <w:t>une prise en charge , le système JL1 en a enregistré 184 en 2019, dont on trouvera le détail ci-dessous.</w:t>
      </w:r>
    </w:p>
    <w:tbl>
      <w:tblPr>
        <w:tblStyle w:val="TableauGrille5Fonc-Accentuation6"/>
        <w:tblW w:w="850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6"/>
        <w:gridCol w:w="714"/>
        <w:gridCol w:w="770"/>
        <w:gridCol w:w="630"/>
        <w:gridCol w:w="812"/>
        <w:gridCol w:w="741"/>
        <w:gridCol w:w="602"/>
        <w:gridCol w:w="798"/>
        <w:gridCol w:w="784"/>
        <w:gridCol w:w="565"/>
        <w:gridCol w:w="773"/>
      </w:tblGrid>
      <w:tr w:rsidR="009D00C8" w:rsidRPr="001561A6" w14:paraId="64F2CE76" w14:textId="77777777" w:rsidTr="002924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6" w:type="dxa"/>
            <w:vMerge w:val="restart"/>
            <w:tcBorders>
              <w:top w:val="single" w:sz="4" w:space="0" w:color="auto"/>
              <w:bottom w:val="single" w:sz="12" w:space="0" w:color="auto"/>
            </w:tcBorders>
            <w:shd w:val="clear" w:color="auto" w:fill="auto"/>
            <w:noWrap/>
            <w:vAlign w:val="bottom"/>
          </w:tcPr>
          <w:p w14:paraId="7C893F52" w14:textId="77777777" w:rsidR="009D00C8" w:rsidRPr="001561A6" w:rsidRDefault="009D00C8" w:rsidP="00F35858">
            <w:pPr>
              <w:suppressAutoHyphens w:val="0"/>
              <w:spacing w:before="80" w:after="80" w:line="200" w:lineRule="exact"/>
              <w:rPr>
                <w:b w:val="0"/>
                <w:i/>
                <w:color w:val="auto"/>
                <w:sz w:val="16"/>
                <w:lang w:val="fr-CH"/>
              </w:rPr>
            </w:pPr>
            <w:r w:rsidRPr="001561A6">
              <w:rPr>
                <w:b w:val="0"/>
                <w:i/>
                <w:color w:val="auto"/>
                <w:sz w:val="16"/>
                <w:lang w:val="fr-CH"/>
              </w:rPr>
              <w:t>Département</w:t>
            </w:r>
          </w:p>
        </w:tc>
        <w:tc>
          <w:tcPr>
            <w:tcW w:w="2114" w:type="dxa"/>
            <w:gridSpan w:val="3"/>
            <w:tcBorders>
              <w:top w:val="single" w:sz="4" w:space="0" w:color="auto"/>
              <w:bottom w:val="single" w:sz="4" w:space="0" w:color="auto"/>
            </w:tcBorders>
            <w:shd w:val="clear" w:color="auto" w:fill="auto"/>
            <w:noWrap/>
            <w:vAlign w:val="bottom"/>
          </w:tcPr>
          <w:p w14:paraId="384F25E0" w14:textId="77777777" w:rsidR="009D00C8" w:rsidRPr="001561A6" w:rsidRDefault="009D00C8" w:rsidP="00F35858">
            <w:pPr>
              <w:suppressAutoHyphens w:val="0"/>
              <w:spacing w:before="80" w:after="80" w:line="200" w:lineRule="exact"/>
              <w:jc w:val="center"/>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iCs/>
                <w:color w:val="auto"/>
                <w:sz w:val="16"/>
                <w:lang w:val="fr-CH"/>
              </w:rPr>
              <w:t xml:space="preserve">Pornographie, art. 323 </w:t>
            </w:r>
            <w:r w:rsidRPr="001561A6">
              <w:rPr>
                <w:b w:val="0"/>
                <w:color w:val="auto"/>
                <w:sz w:val="16"/>
                <w:lang w:val="fr-CH"/>
              </w:rPr>
              <w:t>bis</w:t>
            </w:r>
          </w:p>
        </w:tc>
        <w:tc>
          <w:tcPr>
            <w:tcW w:w="2155" w:type="dxa"/>
            <w:gridSpan w:val="3"/>
            <w:tcBorders>
              <w:top w:val="single" w:sz="4" w:space="0" w:color="auto"/>
              <w:bottom w:val="single" w:sz="4" w:space="0" w:color="auto"/>
            </w:tcBorders>
            <w:shd w:val="clear" w:color="auto" w:fill="auto"/>
            <w:noWrap/>
            <w:vAlign w:val="bottom"/>
          </w:tcPr>
          <w:p w14:paraId="4F6CE14F" w14:textId="77777777" w:rsidR="009D00C8" w:rsidRPr="001561A6" w:rsidRDefault="009D00C8" w:rsidP="00F35858">
            <w:pPr>
              <w:suppressAutoHyphens w:val="0"/>
              <w:spacing w:before="80" w:after="80" w:line="200" w:lineRule="exact"/>
              <w:jc w:val="center"/>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iCs/>
                <w:color w:val="auto"/>
                <w:sz w:val="16"/>
                <w:lang w:val="fr-CH"/>
              </w:rPr>
              <w:t>Proxénétisme, art. 321</w:t>
            </w:r>
          </w:p>
        </w:tc>
        <w:tc>
          <w:tcPr>
            <w:tcW w:w="2147" w:type="dxa"/>
            <w:gridSpan w:val="3"/>
            <w:tcBorders>
              <w:top w:val="single" w:sz="4" w:space="0" w:color="auto"/>
              <w:bottom w:val="single" w:sz="4" w:space="0" w:color="auto"/>
            </w:tcBorders>
            <w:shd w:val="clear" w:color="auto" w:fill="auto"/>
            <w:noWrap/>
            <w:vAlign w:val="bottom"/>
          </w:tcPr>
          <w:p w14:paraId="1F0C72DC" w14:textId="77777777" w:rsidR="009D00C8" w:rsidRPr="001561A6" w:rsidRDefault="009D00C8" w:rsidP="00F35858">
            <w:pPr>
              <w:suppressAutoHyphens w:val="0"/>
              <w:spacing w:before="80" w:after="80" w:line="200" w:lineRule="exact"/>
              <w:jc w:val="center"/>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iCs/>
                <w:color w:val="auto"/>
                <w:sz w:val="16"/>
                <w:lang w:val="fr-CH"/>
              </w:rPr>
              <w:t>Violences sexuelles à des fins commerciales, art. 322</w:t>
            </w:r>
          </w:p>
        </w:tc>
        <w:tc>
          <w:tcPr>
            <w:tcW w:w="773" w:type="dxa"/>
            <w:vMerge w:val="restart"/>
            <w:tcBorders>
              <w:top w:val="single" w:sz="4" w:space="0" w:color="auto"/>
              <w:bottom w:val="single" w:sz="12" w:space="0" w:color="auto"/>
            </w:tcBorders>
            <w:shd w:val="clear" w:color="auto" w:fill="auto"/>
            <w:noWrap/>
            <w:vAlign w:val="bottom"/>
          </w:tcPr>
          <w:p w14:paraId="3B9F2FA0" w14:textId="77777777" w:rsidR="009D00C8" w:rsidRPr="001561A6" w:rsidRDefault="009D00C8" w:rsidP="00F35858">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color w:val="auto"/>
                <w:sz w:val="16"/>
                <w:lang w:val="fr-CH"/>
              </w:rPr>
              <w:t>Total général</w:t>
            </w:r>
          </w:p>
        </w:tc>
      </w:tr>
      <w:tr w:rsidR="009258E3" w:rsidRPr="001561A6" w14:paraId="04F55B15" w14:textId="77777777" w:rsidTr="002924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6" w:type="dxa"/>
            <w:vMerge/>
            <w:tcBorders>
              <w:top w:val="single" w:sz="12" w:space="0" w:color="auto"/>
              <w:bottom w:val="single" w:sz="12" w:space="0" w:color="auto"/>
            </w:tcBorders>
            <w:shd w:val="clear" w:color="auto" w:fill="auto"/>
            <w:vAlign w:val="bottom"/>
            <w:hideMark/>
          </w:tcPr>
          <w:p w14:paraId="51E76DB1" w14:textId="77777777" w:rsidR="009258E3" w:rsidRPr="001561A6" w:rsidRDefault="009258E3" w:rsidP="009258E3">
            <w:pPr>
              <w:suppressAutoHyphens w:val="0"/>
              <w:spacing w:before="40" w:after="40" w:line="220" w:lineRule="exact"/>
              <w:rPr>
                <w:color w:val="auto"/>
                <w:sz w:val="18"/>
                <w:lang w:val="fr-CH"/>
              </w:rPr>
            </w:pPr>
          </w:p>
        </w:tc>
        <w:tc>
          <w:tcPr>
            <w:tcW w:w="714" w:type="dxa"/>
            <w:tcBorders>
              <w:top w:val="single" w:sz="4" w:space="0" w:color="auto"/>
              <w:bottom w:val="single" w:sz="12" w:space="0" w:color="auto"/>
            </w:tcBorders>
            <w:shd w:val="clear" w:color="auto" w:fill="auto"/>
            <w:noWrap/>
            <w:vAlign w:val="bottom"/>
            <w:hideMark/>
          </w:tcPr>
          <w:p w14:paraId="3667FD90"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color w:val="auto"/>
                <w:sz w:val="16"/>
                <w:lang w:val="fr-CH"/>
              </w:rPr>
            </w:pPr>
            <w:r w:rsidRPr="001561A6">
              <w:rPr>
                <w:b w:val="0"/>
                <w:i/>
                <w:iCs/>
                <w:color w:val="auto"/>
                <w:sz w:val="16"/>
                <w:lang w:val="fr-CH"/>
              </w:rPr>
              <w:t xml:space="preserve">12 </w:t>
            </w:r>
            <w:r w:rsidRPr="001561A6">
              <w:rPr>
                <w:b w:val="0"/>
                <w:i/>
                <w:iCs/>
                <w:color w:val="auto"/>
                <w:sz w:val="16"/>
                <w:lang w:val="fr-CH"/>
              </w:rPr>
              <w:br/>
              <w:t>à 18 ans</w:t>
            </w:r>
          </w:p>
        </w:tc>
        <w:tc>
          <w:tcPr>
            <w:tcW w:w="770" w:type="dxa"/>
            <w:tcBorders>
              <w:top w:val="single" w:sz="4" w:space="0" w:color="auto"/>
              <w:bottom w:val="single" w:sz="12" w:space="0" w:color="auto"/>
            </w:tcBorders>
            <w:shd w:val="clear" w:color="auto" w:fill="auto"/>
            <w:noWrap/>
            <w:vAlign w:val="bottom"/>
            <w:hideMark/>
          </w:tcPr>
          <w:p w14:paraId="4E77441F"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color w:val="auto"/>
                <w:sz w:val="16"/>
                <w:lang w:val="fr-CH"/>
              </w:rPr>
            </w:pPr>
            <w:r w:rsidRPr="001561A6">
              <w:rPr>
                <w:b w:val="0"/>
                <w:i/>
                <w:iCs/>
                <w:color w:val="auto"/>
                <w:sz w:val="16"/>
                <w:lang w:val="fr-CH"/>
              </w:rPr>
              <w:t>18 ans</w:t>
            </w:r>
            <w:r w:rsidRPr="001561A6">
              <w:rPr>
                <w:b w:val="0"/>
                <w:i/>
                <w:iCs/>
                <w:color w:val="auto"/>
                <w:sz w:val="16"/>
                <w:lang w:val="fr-CH"/>
              </w:rPr>
              <w:br/>
              <w:t>et plus</w:t>
            </w:r>
          </w:p>
        </w:tc>
        <w:tc>
          <w:tcPr>
            <w:tcW w:w="630" w:type="dxa"/>
            <w:tcBorders>
              <w:top w:val="single" w:sz="4" w:space="0" w:color="auto"/>
              <w:bottom w:val="single" w:sz="12" w:space="0" w:color="auto"/>
            </w:tcBorders>
            <w:shd w:val="clear" w:color="auto" w:fill="auto"/>
            <w:noWrap/>
            <w:vAlign w:val="bottom"/>
            <w:hideMark/>
          </w:tcPr>
          <w:p w14:paraId="507D25B0"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color w:val="auto"/>
                <w:sz w:val="16"/>
                <w:lang w:val="fr-CH"/>
              </w:rPr>
            </w:pPr>
            <w:proofErr w:type="spellStart"/>
            <w:r>
              <w:rPr>
                <w:b w:val="0"/>
                <w:i/>
                <w:iCs/>
                <w:color w:val="auto"/>
                <w:sz w:val="16"/>
                <w:lang w:val="fr-CH"/>
              </w:rPr>
              <w:t>n.</w:t>
            </w:r>
            <w:r w:rsidR="00E8410E">
              <w:rPr>
                <w:b w:val="0"/>
                <w:i/>
                <w:iCs/>
                <w:color w:val="auto"/>
                <w:sz w:val="16"/>
                <w:lang w:val="fr-CH"/>
              </w:rPr>
              <w:t>d</w:t>
            </w:r>
            <w:proofErr w:type="spellEnd"/>
            <w:r>
              <w:rPr>
                <w:b w:val="0"/>
                <w:i/>
                <w:iCs/>
                <w:color w:val="auto"/>
                <w:sz w:val="16"/>
                <w:lang w:val="fr-CH"/>
              </w:rPr>
              <w:t>.</w:t>
            </w:r>
          </w:p>
        </w:tc>
        <w:tc>
          <w:tcPr>
            <w:tcW w:w="812" w:type="dxa"/>
            <w:tcBorders>
              <w:top w:val="single" w:sz="4" w:space="0" w:color="auto"/>
              <w:bottom w:val="single" w:sz="12" w:space="0" w:color="auto"/>
            </w:tcBorders>
            <w:shd w:val="clear" w:color="auto" w:fill="auto"/>
            <w:noWrap/>
            <w:vAlign w:val="bottom"/>
            <w:hideMark/>
          </w:tcPr>
          <w:p w14:paraId="6C1BB544"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color w:val="auto"/>
                <w:sz w:val="16"/>
                <w:lang w:val="fr-CH"/>
              </w:rPr>
            </w:pPr>
            <w:r w:rsidRPr="001561A6">
              <w:rPr>
                <w:b w:val="0"/>
                <w:i/>
                <w:iCs/>
                <w:color w:val="auto"/>
                <w:sz w:val="16"/>
                <w:lang w:val="fr-CH"/>
              </w:rPr>
              <w:t xml:space="preserve">12 </w:t>
            </w:r>
            <w:r w:rsidRPr="001561A6">
              <w:rPr>
                <w:b w:val="0"/>
                <w:i/>
                <w:iCs/>
                <w:color w:val="auto"/>
                <w:sz w:val="16"/>
                <w:lang w:val="fr-CH"/>
              </w:rPr>
              <w:br/>
              <w:t>à 18 ans</w:t>
            </w:r>
          </w:p>
        </w:tc>
        <w:tc>
          <w:tcPr>
            <w:tcW w:w="741" w:type="dxa"/>
            <w:tcBorders>
              <w:top w:val="single" w:sz="4" w:space="0" w:color="auto"/>
              <w:bottom w:val="single" w:sz="12" w:space="0" w:color="auto"/>
            </w:tcBorders>
            <w:shd w:val="clear" w:color="auto" w:fill="auto"/>
            <w:noWrap/>
            <w:vAlign w:val="bottom"/>
            <w:hideMark/>
          </w:tcPr>
          <w:p w14:paraId="7E05D3DB"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color w:val="auto"/>
                <w:sz w:val="16"/>
                <w:lang w:val="fr-CH"/>
              </w:rPr>
            </w:pPr>
            <w:r w:rsidRPr="001561A6">
              <w:rPr>
                <w:b w:val="0"/>
                <w:i/>
                <w:iCs/>
                <w:color w:val="auto"/>
                <w:sz w:val="16"/>
                <w:lang w:val="fr-CH"/>
              </w:rPr>
              <w:t>18 ans</w:t>
            </w:r>
            <w:r w:rsidRPr="001561A6">
              <w:rPr>
                <w:b w:val="0"/>
                <w:i/>
                <w:iCs/>
                <w:color w:val="auto"/>
                <w:sz w:val="16"/>
                <w:lang w:val="fr-CH"/>
              </w:rPr>
              <w:br/>
              <w:t>et plus</w:t>
            </w:r>
          </w:p>
        </w:tc>
        <w:tc>
          <w:tcPr>
            <w:tcW w:w="602" w:type="dxa"/>
            <w:tcBorders>
              <w:top w:val="single" w:sz="4" w:space="0" w:color="auto"/>
              <w:bottom w:val="single" w:sz="12" w:space="0" w:color="auto"/>
            </w:tcBorders>
            <w:shd w:val="clear" w:color="auto" w:fill="auto"/>
            <w:noWrap/>
            <w:vAlign w:val="bottom"/>
            <w:hideMark/>
          </w:tcPr>
          <w:p w14:paraId="409D76F7"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color w:val="auto"/>
                <w:sz w:val="16"/>
                <w:lang w:val="fr-CH"/>
              </w:rPr>
            </w:pPr>
            <w:proofErr w:type="spellStart"/>
            <w:r>
              <w:rPr>
                <w:b w:val="0"/>
                <w:i/>
                <w:iCs/>
                <w:color w:val="auto"/>
                <w:sz w:val="16"/>
                <w:lang w:val="fr-CH"/>
              </w:rPr>
              <w:t>n.</w:t>
            </w:r>
            <w:r w:rsidR="00E8410E">
              <w:rPr>
                <w:b w:val="0"/>
                <w:i/>
                <w:iCs/>
                <w:color w:val="auto"/>
                <w:sz w:val="16"/>
                <w:lang w:val="fr-CH"/>
              </w:rPr>
              <w:t>d</w:t>
            </w:r>
            <w:proofErr w:type="spellEnd"/>
            <w:r>
              <w:rPr>
                <w:b w:val="0"/>
                <w:i/>
                <w:iCs/>
                <w:color w:val="auto"/>
                <w:sz w:val="16"/>
                <w:lang w:val="fr-CH"/>
              </w:rPr>
              <w:t>.</w:t>
            </w:r>
          </w:p>
        </w:tc>
        <w:tc>
          <w:tcPr>
            <w:tcW w:w="798" w:type="dxa"/>
            <w:tcBorders>
              <w:top w:val="single" w:sz="4" w:space="0" w:color="auto"/>
              <w:bottom w:val="single" w:sz="12" w:space="0" w:color="auto"/>
            </w:tcBorders>
            <w:shd w:val="clear" w:color="auto" w:fill="auto"/>
            <w:noWrap/>
            <w:vAlign w:val="bottom"/>
            <w:hideMark/>
          </w:tcPr>
          <w:p w14:paraId="73E9A5B0"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color w:val="auto"/>
                <w:sz w:val="16"/>
                <w:lang w:val="fr-CH"/>
              </w:rPr>
            </w:pPr>
            <w:r w:rsidRPr="001561A6">
              <w:rPr>
                <w:b w:val="0"/>
                <w:i/>
                <w:iCs/>
                <w:color w:val="auto"/>
                <w:sz w:val="16"/>
                <w:lang w:val="fr-CH"/>
              </w:rPr>
              <w:t xml:space="preserve">12 </w:t>
            </w:r>
            <w:r w:rsidRPr="001561A6">
              <w:rPr>
                <w:b w:val="0"/>
                <w:i/>
                <w:iCs/>
                <w:color w:val="auto"/>
                <w:sz w:val="16"/>
                <w:lang w:val="fr-CH"/>
              </w:rPr>
              <w:br/>
              <w:t>à 18 ans</w:t>
            </w:r>
          </w:p>
        </w:tc>
        <w:tc>
          <w:tcPr>
            <w:tcW w:w="784" w:type="dxa"/>
            <w:tcBorders>
              <w:top w:val="single" w:sz="4" w:space="0" w:color="auto"/>
              <w:bottom w:val="single" w:sz="12" w:space="0" w:color="auto"/>
            </w:tcBorders>
            <w:shd w:val="clear" w:color="auto" w:fill="auto"/>
            <w:noWrap/>
            <w:vAlign w:val="bottom"/>
            <w:hideMark/>
          </w:tcPr>
          <w:p w14:paraId="65864779"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color w:val="auto"/>
                <w:sz w:val="16"/>
                <w:lang w:val="fr-CH"/>
              </w:rPr>
            </w:pPr>
            <w:r w:rsidRPr="001561A6">
              <w:rPr>
                <w:b w:val="0"/>
                <w:i/>
                <w:iCs/>
                <w:color w:val="auto"/>
                <w:sz w:val="16"/>
                <w:lang w:val="fr-CH"/>
              </w:rPr>
              <w:t>18 ans</w:t>
            </w:r>
            <w:r w:rsidRPr="001561A6">
              <w:rPr>
                <w:b w:val="0"/>
                <w:i/>
                <w:iCs/>
                <w:color w:val="auto"/>
                <w:sz w:val="16"/>
                <w:lang w:val="fr-CH"/>
              </w:rPr>
              <w:br/>
              <w:t>et plus</w:t>
            </w:r>
          </w:p>
        </w:tc>
        <w:tc>
          <w:tcPr>
            <w:tcW w:w="565" w:type="dxa"/>
            <w:tcBorders>
              <w:top w:val="single" w:sz="4" w:space="0" w:color="auto"/>
              <w:bottom w:val="single" w:sz="12" w:space="0" w:color="auto"/>
            </w:tcBorders>
            <w:shd w:val="clear" w:color="auto" w:fill="auto"/>
            <w:noWrap/>
            <w:vAlign w:val="bottom"/>
            <w:hideMark/>
          </w:tcPr>
          <w:p w14:paraId="6B70D495"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i/>
                <w:iCs/>
                <w:color w:val="auto"/>
                <w:sz w:val="16"/>
                <w:lang w:val="fr-CH"/>
              </w:rPr>
            </w:pPr>
            <w:proofErr w:type="spellStart"/>
            <w:r>
              <w:rPr>
                <w:b w:val="0"/>
                <w:i/>
                <w:iCs/>
                <w:color w:val="auto"/>
                <w:sz w:val="16"/>
                <w:lang w:val="fr-CH"/>
              </w:rPr>
              <w:t>n.</w:t>
            </w:r>
            <w:r w:rsidR="00E8410E">
              <w:rPr>
                <w:b w:val="0"/>
                <w:i/>
                <w:iCs/>
                <w:color w:val="auto"/>
                <w:sz w:val="16"/>
                <w:lang w:val="fr-CH"/>
              </w:rPr>
              <w:t>d</w:t>
            </w:r>
            <w:proofErr w:type="spellEnd"/>
            <w:r>
              <w:rPr>
                <w:b w:val="0"/>
                <w:i/>
                <w:iCs/>
                <w:color w:val="auto"/>
                <w:sz w:val="16"/>
                <w:lang w:val="fr-CH"/>
              </w:rPr>
              <w:t>.</w:t>
            </w:r>
          </w:p>
        </w:tc>
        <w:tc>
          <w:tcPr>
            <w:tcW w:w="773" w:type="dxa"/>
            <w:vMerge/>
            <w:tcBorders>
              <w:top w:val="single" w:sz="12" w:space="0" w:color="auto"/>
              <w:bottom w:val="single" w:sz="12" w:space="0" w:color="auto"/>
            </w:tcBorders>
            <w:shd w:val="clear" w:color="auto" w:fill="auto"/>
            <w:vAlign w:val="bottom"/>
            <w:hideMark/>
          </w:tcPr>
          <w:p w14:paraId="629839FC" w14:textId="77777777" w:rsidR="009258E3" w:rsidRPr="001561A6" w:rsidRDefault="009258E3" w:rsidP="009258E3">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color w:val="auto"/>
                <w:sz w:val="18"/>
                <w:highlight w:val="green"/>
                <w:lang w:val="fr-CH"/>
              </w:rPr>
            </w:pPr>
          </w:p>
        </w:tc>
      </w:tr>
      <w:tr w:rsidR="009258E3" w:rsidRPr="001561A6" w14:paraId="5DCB4017" w14:textId="77777777" w:rsidTr="0029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single" w:sz="12" w:space="0" w:color="auto"/>
            </w:tcBorders>
            <w:shd w:val="clear" w:color="auto" w:fill="auto"/>
            <w:noWrap/>
            <w:hideMark/>
          </w:tcPr>
          <w:p w14:paraId="53B3E2A2" w14:textId="77777777" w:rsidR="009258E3" w:rsidRPr="001561A6" w:rsidRDefault="009258E3" w:rsidP="009258E3">
            <w:pPr>
              <w:suppressAutoHyphens w:val="0"/>
              <w:spacing w:before="40" w:after="40" w:line="220" w:lineRule="exact"/>
              <w:rPr>
                <w:bCs w:val="0"/>
                <w:color w:val="auto"/>
                <w:sz w:val="18"/>
                <w:szCs w:val="18"/>
                <w:lang w:val="fr-CH"/>
              </w:rPr>
            </w:pPr>
            <w:r w:rsidRPr="001561A6">
              <w:rPr>
                <w:color w:val="auto"/>
                <w:sz w:val="18"/>
                <w:szCs w:val="18"/>
                <w:lang w:val="fr-CH"/>
              </w:rPr>
              <w:t>Beni</w:t>
            </w:r>
          </w:p>
        </w:tc>
        <w:tc>
          <w:tcPr>
            <w:tcW w:w="714" w:type="dxa"/>
            <w:tcBorders>
              <w:top w:val="single" w:sz="12" w:space="0" w:color="auto"/>
            </w:tcBorders>
            <w:shd w:val="clear" w:color="auto" w:fill="auto"/>
            <w:noWrap/>
            <w:vAlign w:val="bottom"/>
            <w:hideMark/>
          </w:tcPr>
          <w:p w14:paraId="370A4EEC"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70" w:type="dxa"/>
            <w:tcBorders>
              <w:top w:val="single" w:sz="12" w:space="0" w:color="auto"/>
            </w:tcBorders>
            <w:shd w:val="clear" w:color="auto" w:fill="auto"/>
            <w:noWrap/>
            <w:vAlign w:val="bottom"/>
            <w:hideMark/>
          </w:tcPr>
          <w:p w14:paraId="2182870F"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4</w:t>
            </w:r>
          </w:p>
        </w:tc>
        <w:tc>
          <w:tcPr>
            <w:tcW w:w="630" w:type="dxa"/>
            <w:tcBorders>
              <w:top w:val="single" w:sz="12" w:space="0" w:color="auto"/>
            </w:tcBorders>
            <w:shd w:val="clear" w:color="auto" w:fill="auto"/>
            <w:noWrap/>
            <w:vAlign w:val="bottom"/>
            <w:hideMark/>
          </w:tcPr>
          <w:p w14:paraId="2783FD54"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4</w:t>
            </w:r>
          </w:p>
        </w:tc>
        <w:tc>
          <w:tcPr>
            <w:tcW w:w="812" w:type="dxa"/>
            <w:tcBorders>
              <w:top w:val="single" w:sz="12" w:space="0" w:color="auto"/>
            </w:tcBorders>
            <w:shd w:val="clear" w:color="auto" w:fill="auto"/>
            <w:noWrap/>
            <w:vAlign w:val="bottom"/>
            <w:hideMark/>
          </w:tcPr>
          <w:p w14:paraId="0D9A3FCF"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41" w:type="dxa"/>
            <w:tcBorders>
              <w:top w:val="single" w:sz="12" w:space="0" w:color="auto"/>
            </w:tcBorders>
            <w:shd w:val="clear" w:color="auto" w:fill="auto"/>
            <w:noWrap/>
            <w:vAlign w:val="bottom"/>
            <w:hideMark/>
          </w:tcPr>
          <w:p w14:paraId="718E95D4"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602" w:type="dxa"/>
            <w:tcBorders>
              <w:top w:val="single" w:sz="12" w:space="0" w:color="auto"/>
            </w:tcBorders>
            <w:shd w:val="clear" w:color="auto" w:fill="auto"/>
            <w:noWrap/>
            <w:vAlign w:val="bottom"/>
            <w:hideMark/>
          </w:tcPr>
          <w:p w14:paraId="0616D79C"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1</w:t>
            </w:r>
          </w:p>
        </w:tc>
        <w:tc>
          <w:tcPr>
            <w:tcW w:w="798" w:type="dxa"/>
            <w:tcBorders>
              <w:top w:val="single" w:sz="12" w:space="0" w:color="auto"/>
            </w:tcBorders>
            <w:shd w:val="clear" w:color="auto" w:fill="auto"/>
            <w:noWrap/>
            <w:vAlign w:val="bottom"/>
            <w:hideMark/>
          </w:tcPr>
          <w:p w14:paraId="355A3D3C"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84" w:type="dxa"/>
            <w:tcBorders>
              <w:top w:val="single" w:sz="12" w:space="0" w:color="auto"/>
            </w:tcBorders>
            <w:shd w:val="clear" w:color="auto" w:fill="auto"/>
            <w:noWrap/>
            <w:vAlign w:val="bottom"/>
            <w:hideMark/>
          </w:tcPr>
          <w:p w14:paraId="61EBFE29"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565" w:type="dxa"/>
            <w:tcBorders>
              <w:top w:val="single" w:sz="12" w:space="0" w:color="auto"/>
            </w:tcBorders>
            <w:shd w:val="clear" w:color="auto" w:fill="auto"/>
            <w:noWrap/>
            <w:vAlign w:val="bottom"/>
            <w:hideMark/>
          </w:tcPr>
          <w:p w14:paraId="35826328"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73" w:type="dxa"/>
            <w:tcBorders>
              <w:top w:val="single" w:sz="12" w:space="0" w:color="auto"/>
            </w:tcBorders>
            <w:shd w:val="clear" w:color="auto" w:fill="auto"/>
            <w:noWrap/>
            <w:vAlign w:val="bottom"/>
            <w:hideMark/>
          </w:tcPr>
          <w:p w14:paraId="6622BD76"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9</w:t>
            </w:r>
          </w:p>
        </w:tc>
      </w:tr>
      <w:tr w:rsidR="009258E3" w:rsidRPr="001561A6" w14:paraId="3DACDE59" w14:textId="77777777" w:rsidTr="00292483">
        <w:tc>
          <w:tcPr>
            <w:cnfStyle w:val="001000000000" w:firstRow="0" w:lastRow="0" w:firstColumn="1" w:lastColumn="0" w:oddVBand="0" w:evenVBand="0" w:oddHBand="0" w:evenHBand="0" w:firstRowFirstColumn="0" w:firstRowLastColumn="0" w:lastRowFirstColumn="0" w:lastRowLastColumn="0"/>
            <w:tcW w:w="1316" w:type="dxa"/>
            <w:shd w:val="clear" w:color="auto" w:fill="auto"/>
            <w:noWrap/>
            <w:hideMark/>
          </w:tcPr>
          <w:p w14:paraId="5966A598" w14:textId="77777777" w:rsidR="009258E3" w:rsidRPr="001561A6" w:rsidRDefault="009258E3" w:rsidP="009258E3">
            <w:pPr>
              <w:suppressAutoHyphens w:val="0"/>
              <w:spacing w:before="40" w:after="40" w:line="220" w:lineRule="exact"/>
              <w:rPr>
                <w:bCs w:val="0"/>
                <w:color w:val="auto"/>
                <w:sz w:val="18"/>
                <w:szCs w:val="18"/>
                <w:lang w:val="fr-CH"/>
              </w:rPr>
            </w:pPr>
            <w:r w:rsidRPr="001561A6">
              <w:rPr>
                <w:color w:val="auto"/>
                <w:sz w:val="18"/>
                <w:szCs w:val="18"/>
                <w:lang w:val="fr-CH"/>
              </w:rPr>
              <w:t>Chuquisaca</w:t>
            </w:r>
          </w:p>
        </w:tc>
        <w:tc>
          <w:tcPr>
            <w:tcW w:w="714" w:type="dxa"/>
            <w:shd w:val="clear" w:color="auto" w:fill="auto"/>
            <w:noWrap/>
            <w:vAlign w:val="bottom"/>
            <w:hideMark/>
          </w:tcPr>
          <w:p w14:paraId="51EB9FFE"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70" w:type="dxa"/>
            <w:shd w:val="clear" w:color="auto" w:fill="auto"/>
            <w:noWrap/>
            <w:vAlign w:val="bottom"/>
            <w:hideMark/>
          </w:tcPr>
          <w:p w14:paraId="5765C311"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7</w:t>
            </w:r>
          </w:p>
        </w:tc>
        <w:tc>
          <w:tcPr>
            <w:tcW w:w="630" w:type="dxa"/>
            <w:shd w:val="clear" w:color="auto" w:fill="auto"/>
            <w:noWrap/>
            <w:vAlign w:val="bottom"/>
            <w:hideMark/>
          </w:tcPr>
          <w:p w14:paraId="75F93D50"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4</w:t>
            </w:r>
          </w:p>
        </w:tc>
        <w:tc>
          <w:tcPr>
            <w:tcW w:w="812" w:type="dxa"/>
            <w:shd w:val="clear" w:color="auto" w:fill="auto"/>
            <w:noWrap/>
            <w:vAlign w:val="bottom"/>
            <w:hideMark/>
          </w:tcPr>
          <w:p w14:paraId="75B2139B"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41" w:type="dxa"/>
            <w:shd w:val="clear" w:color="auto" w:fill="auto"/>
            <w:noWrap/>
            <w:vAlign w:val="bottom"/>
            <w:hideMark/>
          </w:tcPr>
          <w:p w14:paraId="4BA710BA"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602" w:type="dxa"/>
            <w:shd w:val="clear" w:color="auto" w:fill="auto"/>
            <w:noWrap/>
            <w:vAlign w:val="bottom"/>
            <w:hideMark/>
          </w:tcPr>
          <w:p w14:paraId="63398D4E"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98" w:type="dxa"/>
            <w:shd w:val="clear" w:color="auto" w:fill="auto"/>
            <w:noWrap/>
            <w:vAlign w:val="bottom"/>
            <w:hideMark/>
          </w:tcPr>
          <w:p w14:paraId="31EECC18"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84" w:type="dxa"/>
            <w:shd w:val="clear" w:color="auto" w:fill="auto"/>
            <w:noWrap/>
            <w:vAlign w:val="bottom"/>
            <w:hideMark/>
          </w:tcPr>
          <w:p w14:paraId="311877A2"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1</w:t>
            </w:r>
          </w:p>
        </w:tc>
        <w:tc>
          <w:tcPr>
            <w:tcW w:w="565" w:type="dxa"/>
            <w:shd w:val="clear" w:color="auto" w:fill="auto"/>
            <w:noWrap/>
            <w:vAlign w:val="bottom"/>
            <w:hideMark/>
          </w:tcPr>
          <w:p w14:paraId="12B23D33"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73" w:type="dxa"/>
            <w:shd w:val="clear" w:color="auto" w:fill="auto"/>
            <w:noWrap/>
            <w:vAlign w:val="bottom"/>
            <w:hideMark/>
          </w:tcPr>
          <w:p w14:paraId="5AE27B9B"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12</w:t>
            </w:r>
          </w:p>
        </w:tc>
      </w:tr>
      <w:tr w:rsidR="009258E3" w:rsidRPr="001561A6" w14:paraId="4498FA6B" w14:textId="77777777" w:rsidTr="0029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shd w:val="clear" w:color="auto" w:fill="auto"/>
            <w:noWrap/>
            <w:hideMark/>
          </w:tcPr>
          <w:p w14:paraId="2BDACB88" w14:textId="77777777" w:rsidR="009258E3" w:rsidRPr="001561A6" w:rsidRDefault="009258E3" w:rsidP="009258E3">
            <w:pPr>
              <w:suppressAutoHyphens w:val="0"/>
              <w:spacing w:before="40" w:after="40" w:line="220" w:lineRule="exact"/>
              <w:rPr>
                <w:bCs w:val="0"/>
                <w:color w:val="auto"/>
                <w:sz w:val="18"/>
                <w:szCs w:val="18"/>
                <w:lang w:val="fr-CH"/>
              </w:rPr>
            </w:pPr>
            <w:r w:rsidRPr="001561A6">
              <w:rPr>
                <w:color w:val="auto"/>
                <w:sz w:val="18"/>
                <w:szCs w:val="18"/>
                <w:lang w:val="fr-CH"/>
              </w:rPr>
              <w:t>Cochabamba</w:t>
            </w:r>
          </w:p>
        </w:tc>
        <w:tc>
          <w:tcPr>
            <w:tcW w:w="714" w:type="dxa"/>
            <w:shd w:val="clear" w:color="auto" w:fill="auto"/>
            <w:noWrap/>
            <w:vAlign w:val="bottom"/>
            <w:hideMark/>
          </w:tcPr>
          <w:p w14:paraId="03BEFA06"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3</w:t>
            </w:r>
          </w:p>
        </w:tc>
        <w:tc>
          <w:tcPr>
            <w:tcW w:w="770" w:type="dxa"/>
            <w:shd w:val="clear" w:color="auto" w:fill="auto"/>
            <w:noWrap/>
            <w:vAlign w:val="bottom"/>
            <w:hideMark/>
          </w:tcPr>
          <w:p w14:paraId="508A74F2"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12</w:t>
            </w:r>
          </w:p>
        </w:tc>
        <w:tc>
          <w:tcPr>
            <w:tcW w:w="630" w:type="dxa"/>
            <w:shd w:val="clear" w:color="auto" w:fill="auto"/>
            <w:noWrap/>
            <w:vAlign w:val="bottom"/>
            <w:hideMark/>
          </w:tcPr>
          <w:p w14:paraId="6AB54DAA"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3</w:t>
            </w:r>
          </w:p>
        </w:tc>
        <w:tc>
          <w:tcPr>
            <w:tcW w:w="812" w:type="dxa"/>
            <w:shd w:val="clear" w:color="auto" w:fill="auto"/>
            <w:noWrap/>
            <w:vAlign w:val="bottom"/>
            <w:hideMark/>
          </w:tcPr>
          <w:p w14:paraId="48716639"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2</w:t>
            </w:r>
          </w:p>
        </w:tc>
        <w:tc>
          <w:tcPr>
            <w:tcW w:w="741" w:type="dxa"/>
            <w:shd w:val="clear" w:color="auto" w:fill="auto"/>
            <w:noWrap/>
            <w:vAlign w:val="bottom"/>
            <w:hideMark/>
          </w:tcPr>
          <w:p w14:paraId="416B6F06"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7</w:t>
            </w:r>
          </w:p>
        </w:tc>
        <w:tc>
          <w:tcPr>
            <w:tcW w:w="602" w:type="dxa"/>
            <w:shd w:val="clear" w:color="auto" w:fill="auto"/>
            <w:noWrap/>
            <w:vAlign w:val="bottom"/>
            <w:hideMark/>
          </w:tcPr>
          <w:p w14:paraId="518F1C9C"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4</w:t>
            </w:r>
          </w:p>
        </w:tc>
        <w:tc>
          <w:tcPr>
            <w:tcW w:w="798" w:type="dxa"/>
            <w:shd w:val="clear" w:color="auto" w:fill="auto"/>
            <w:noWrap/>
            <w:vAlign w:val="bottom"/>
            <w:hideMark/>
          </w:tcPr>
          <w:p w14:paraId="7A4967EE"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84" w:type="dxa"/>
            <w:shd w:val="clear" w:color="auto" w:fill="auto"/>
            <w:noWrap/>
            <w:vAlign w:val="bottom"/>
            <w:hideMark/>
          </w:tcPr>
          <w:p w14:paraId="6D251ECD"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565" w:type="dxa"/>
            <w:shd w:val="clear" w:color="auto" w:fill="auto"/>
            <w:noWrap/>
            <w:vAlign w:val="bottom"/>
            <w:hideMark/>
          </w:tcPr>
          <w:p w14:paraId="441B9CBA"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2</w:t>
            </w:r>
          </w:p>
        </w:tc>
        <w:tc>
          <w:tcPr>
            <w:tcW w:w="773" w:type="dxa"/>
            <w:shd w:val="clear" w:color="auto" w:fill="auto"/>
            <w:noWrap/>
            <w:vAlign w:val="bottom"/>
            <w:hideMark/>
          </w:tcPr>
          <w:p w14:paraId="725867F4"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33</w:t>
            </w:r>
          </w:p>
        </w:tc>
      </w:tr>
      <w:tr w:rsidR="009258E3" w:rsidRPr="001561A6" w14:paraId="6EB4BB20" w14:textId="77777777" w:rsidTr="00292483">
        <w:tc>
          <w:tcPr>
            <w:cnfStyle w:val="001000000000" w:firstRow="0" w:lastRow="0" w:firstColumn="1" w:lastColumn="0" w:oddVBand="0" w:evenVBand="0" w:oddHBand="0" w:evenHBand="0" w:firstRowFirstColumn="0" w:firstRowLastColumn="0" w:lastRowFirstColumn="0" w:lastRowLastColumn="0"/>
            <w:tcW w:w="1316" w:type="dxa"/>
            <w:shd w:val="clear" w:color="auto" w:fill="auto"/>
            <w:noWrap/>
            <w:hideMark/>
          </w:tcPr>
          <w:p w14:paraId="3BCBC199" w14:textId="77777777" w:rsidR="009258E3" w:rsidRPr="001561A6" w:rsidRDefault="009258E3" w:rsidP="009258E3">
            <w:pPr>
              <w:suppressAutoHyphens w:val="0"/>
              <w:spacing w:before="40" w:after="40" w:line="220" w:lineRule="exact"/>
              <w:rPr>
                <w:bCs w:val="0"/>
                <w:color w:val="auto"/>
                <w:sz w:val="18"/>
                <w:szCs w:val="18"/>
                <w:lang w:val="fr-CH"/>
              </w:rPr>
            </w:pPr>
            <w:r w:rsidRPr="001561A6">
              <w:rPr>
                <w:color w:val="auto"/>
                <w:sz w:val="18"/>
                <w:szCs w:val="18"/>
                <w:lang w:val="fr-CH"/>
              </w:rPr>
              <w:t>La Paz</w:t>
            </w:r>
          </w:p>
        </w:tc>
        <w:tc>
          <w:tcPr>
            <w:tcW w:w="714" w:type="dxa"/>
            <w:shd w:val="clear" w:color="auto" w:fill="auto"/>
            <w:noWrap/>
            <w:vAlign w:val="bottom"/>
            <w:hideMark/>
          </w:tcPr>
          <w:p w14:paraId="12CEE58C"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2</w:t>
            </w:r>
          </w:p>
        </w:tc>
        <w:tc>
          <w:tcPr>
            <w:tcW w:w="770" w:type="dxa"/>
            <w:shd w:val="clear" w:color="auto" w:fill="auto"/>
            <w:noWrap/>
            <w:vAlign w:val="bottom"/>
            <w:hideMark/>
          </w:tcPr>
          <w:p w14:paraId="2648F2F8"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18</w:t>
            </w:r>
          </w:p>
        </w:tc>
        <w:tc>
          <w:tcPr>
            <w:tcW w:w="630" w:type="dxa"/>
            <w:shd w:val="clear" w:color="auto" w:fill="auto"/>
            <w:noWrap/>
            <w:vAlign w:val="bottom"/>
            <w:hideMark/>
          </w:tcPr>
          <w:p w14:paraId="579DD608"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12</w:t>
            </w:r>
          </w:p>
        </w:tc>
        <w:tc>
          <w:tcPr>
            <w:tcW w:w="812" w:type="dxa"/>
            <w:shd w:val="clear" w:color="auto" w:fill="auto"/>
            <w:noWrap/>
            <w:vAlign w:val="bottom"/>
            <w:hideMark/>
          </w:tcPr>
          <w:p w14:paraId="5D28C4C0"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41" w:type="dxa"/>
            <w:shd w:val="clear" w:color="auto" w:fill="auto"/>
            <w:noWrap/>
            <w:vAlign w:val="bottom"/>
            <w:hideMark/>
          </w:tcPr>
          <w:p w14:paraId="0010DD69"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40</w:t>
            </w:r>
          </w:p>
        </w:tc>
        <w:tc>
          <w:tcPr>
            <w:tcW w:w="602" w:type="dxa"/>
            <w:shd w:val="clear" w:color="auto" w:fill="auto"/>
            <w:noWrap/>
            <w:vAlign w:val="bottom"/>
            <w:hideMark/>
          </w:tcPr>
          <w:p w14:paraId="220AA896"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39</w:t>
            </w:r>
          </w:p>
        </w:tc>
        <w:tc>
          <w:tcPr>
            <w:tcW w:w="798" w:type="dxa"/>
            <w:shd w:val="clear" w:color="auto" w:fill="auto"/>
            <w:noWrap/>
            <w:vAlign w:val="bottom"/>
            <w:hideMark/>
          </w:tcPr>
          <w:p w14:paraId="0DF2591D"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84" w:type="dxa"/>
            <w:shd w:val="clear" w:color="auto" w:fill="auto"/>
            <w:noWrap/>
            <w:vAlign w:val="bottom"/>
            <w:hideMark/>
          </w:tcPr>
          <w:p w14:paraId="25516DC0"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565" w:type="dxa"/>
            <w:shd w:val="clear" w:color="auto" w:fill="auto"/>
            <w:noWrap/>
            <w:vAlign w:val="bottom"/>
            <w:hideMark/>
          </w:tcPr>
          <w:p w14:paraId="3FEC2BC7"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1</w:t>
            </w:r>
          </w:p>
        </w:tc>
        <w:tc>
          <w:tcPr>
            <w:tcW w:w="773" w:type="dxa"/>
            <w:shd w:val="clear" w:color="auto" w:fill="auto"/>
            <w:noWrap/>
            <w:vAlign w:val="bottom"/>
            <w:hideMark/>
          </w:tcPr>
          <w:p w14:paraId="625840A4"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112</w:t>
            </w:r>
          </w:p>
        </w:tc>
      </w:tr>
      <w:tr w:rsidR="009258E3" w:rsidRPr="001561A6" w14:paraId="6856485C" w14:textId="77777777" w:rsidTr="0029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shd w:val="clear" w:color="auto" w:fill="auto"/>
            <w:noWrap/>
            <w:hideMark/>
          </w:tcPr>
          <w:p w14:paraId="267BBBE1" w14:textId="77777777" w:rsidR="009258E3" w:rsidRPr="001561A6" w:rsidRDefault="009258E3" w:rsidP="009258E3">
            <w:pPr>
              <w:suppressAutoHyphens w:val="0"/>
              <w:spacing w:before="40" w:after="40" w:line="220" w:lineRule="exact"/>
              <w:rPr>
                <w:bCs w:val="0"/>
                <w:color w:val="auto"/>
                <w:sz w:val="18"/>
                <w:szCs w:val="18"/>
                <w:lang w:val="fr-CH"/>
              </w:rPr>
            </w:pPr>
            <w:r w:rsidRPr="001561A6">
              <w:rPr>
                <w:color w:val="auto"/>
                <w:sz w:val="18"/>
                <w:szCs w:val="18"/>
                <w:lang w:val="fr-CH"/>
              </w:rPr>
              <w:t>Oruro</w:t>
            </w:r>
          </w:p>
        </w:tc>
        <w:tc>
          <w:tcPr>
            <w:tcW w:w="714" w:type="dxa"/>
            <w:shd w:val="clear" w:color="auto" w:fill="auto"/>
            <w:noWrap/>
            <w:vAlign w:val="bottom"/>
            <w:hideMark/>
          </w:tcPr>
          <w:p w14:paraId="73E366F3"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70" w:type="dxa"/>
            <w:shd w:val="clear" w:color="auto" w:fill="auto"/>
            <w:noWrap/>
            <w:vAlign w:val="bottom"/>
            <w:hideMark/>
          </w:tcPr>
          <w:p w14:paraId="75F16BAA"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1</w:t>
            </w:r>
          </w:p>
        </w:tc>
        <w:tc>
          <w:tcPr>
            <w:tcW w:w="630" w:type="dxa"/>
            <w:shd w:val="clear" w:color="auto" w:fill="auto"/>
            <w:noWrap/>
            <w:vAlign w:val="bottom"/>
            <w:hideMark/>
          </w:tcPr>
          <w:p w14:paraId="49BC4E78"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812" w:type="dxa"/>
            <w:shd w:val="clear" w:color="auto" w:fill="auto"/>
            <w:noWrap/>
            <w:vAlign w:val="bottom"/>
            <w:hideMark/>
          </w:tcPr>
          <w:p w14:paraId="581B3938"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41" w:type="dxa"/>
            <w:shd w:val="clear" w:color="auto" w:fill="auto"/>
            <w:noWrap/>
            <w:vAlign w:val="bottom"/>
            <w:hideMark/>
          </w:tcPr>
          <w:p w14:paraId="276EFB34"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602" w:type="dxa"/>
            <w:shd w:val="clear" w:color="auto" w:fill="auto"/>
            <w:noWrap/>
            <w:vAlign w:val="bottom"/>
            <w:hideMark/>
          </w:tcPr>
          <w:p w14:paraId="67A7B5E8"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1</w:t>
            </w:r>
          </w:p>
        </w:tc>
        <w:tc>
          <w:tcPr>
            <w:tcW w:w="798" w:type="dxa"/>
            <w:shd w:val="clear" w:color="auto" w:fill="auto"/>
            <w:noWrap/>
            <w:vAlign w:val="bottom"/>
            <w:hideMark/>
          </w:tcPr>
          <w:p w14:paraId="27FA7214"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84" w:type="dxa"/>
            <w:shd w:val="clear" w:color="auto" w:fill="auto"/>
            <w:noWrap/>
            <w:vAlign w:val="bottom"/>
            <w:hideMark/>
          </w:tcPr>
          <w:p w14:paraId="4DF73937"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565" w:type="dxa"/>
            <w:shd w:val="clear" w:color="auto" w:fill="auto"/>
            <w:noWrap/>
            <w:vAlign w:val="bottom"/>
            <w:hideMark/>
          </w:tcPr>
          <w:p w14:paraId="205AC58E"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1</w:t>
            </w:r>
          </w:p>
        </w:tc>
        <w:tc>
          <w:tcPr>
            <w:tcW w:w="773" w:type="dxa"/>
            <w:shd w:val="clear" w:color="auto" w:fill="auto"/>
            <w:noWrap/>
            <w:vAlign w:val="bottom"/>
            <w:hideMark/>
          </w:tcPr>
          <w:p w14:paraId="55599281"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3</w:t>
            </w:r>
          </w:p>
        </w:tc>
      </w:tr>
      <w:tr w:rsidR="009258E3" w:rsidRPr="001561A6" w14:paraId="74D3F6DD" w14:textId="77777777" w:rsidTr="00292483">
        <w:tc>
          <w:tcPr>
            <w:cnfStyle w:val="001000000000" w:firstRow="0" w:lastRow="0" w:firstColumn="1" w:lastColumn="0" w:oddVBand="0" w:evenVBand="0" w:oddHBand="0" w:evenHBand="0" w:firstRowFirstColumn="0" w:firstRowLastColumn="0" w:lastRowFirstColumn="0" w:lastRowLastColumn="0"/>
            <w:tcW w:w="1316" w:type="dxa"/>
            <w:shd w:val="clear" w:color="auto" w:fill="auto"/>
            <w:noWrap/>
            <w:hideMark/>
          </w:tcPr>
          <w:p w14:paraId="5122E808" w14:textId="77777777" w:rsidR="009258E3" w:rsidRPr="001561A6" w:rsidRDefault="009258E3" w:rsidP="009258E3">
            <w:pPr>
              <w:suppressAutoHyphens w:val="0"/>
              <w:spacing w:before="40" w:after="40" w:line="220" w:lineRule="exact"/>
              <w:rPr>
                <w:bCs w:val="0"/>
                <w:color w:val="auto"/>
                <w:sz w:val="18"/>
                <w:szCs w:val="18"/>
                <w:lang w:val="fr-CH"/>
              </w:rPr>
            </w:pPr>
            <w:r w:rsidRPr="001561A6">
              <w:rPr>
                <w:color w:val="auto"/>
                <w:sz w:val="18"/>
                <w:szCs w:val="18"/>
                <w:lang w:val="fr-CH"/>
              </w:rPr>
              <w:t>Pando</w:t>
            </w:r>
          </w:p>
        </w:tc>
        <w:tc>
          <w:tcPr>
            <w:tcW w:w="714" w:type="dxa"/>
            <w:shd w:val="clear" w:color="auto" w:fill="auto"/>
            <w:noWrap/>
            <w:vAlign w:val="bottom"/>
            <w:hideMark/>
          </w:tcPr>
          <w:p w14:paraId="432C695A"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70" w:type="dxa"/>
            <w:shd w:val="clear" w:color="auto" w:fill="auto"/>
            <w:noWrap/>
            <w:vAlign w:val="bottom"/>
            <w:hideMark/>
          </w:tcPr>
          <w:p w14:paraId="19D2717F"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1</w:t>
            </w:r>
          </w:p>
        </w:tc>
        <w:tc>
          <w:tcPr>
            <w:tcW w:w="630" w:type="dxa"/>
            <w:shd w:val="clear" w:color="auto" w:fill="auto"/>
            <w:noWrap/>
            <w:vAlign w:val="bottom"/>
            <w:hideMark/>
          </w:tcPr>
          <w:p w14:paraId="3958D9C6"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1</w:t>
            </w:r>
          </w:p>
        </w:tc>
        <w:tc>
          <w:tcPr>
            <w:tcW w:w="812" w:type="dxa"/>
            <w:shd w:val="clear" w:color="auto" w:fill="auto"/>
            <w:noWrap/>
            <w:vAlign w:val="bottom"/>
            <w:hideMark/>
          </w:tcPr>
          <w:p w14:paraId="20A74318"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41" w:type="dxa"/>
            <w:shd w:val="clear" w:color="auto" w:fill="auto"/>
            <w:noWrap/>
            <w:vAlign w:val="bottom"/>
            <w:hideMark/>
          </w:tcPr>
          <w:p w14:paraId="4BC5B21B"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602" w:type="dxa"/>
            <w:shd w:val="clear" w:color="auto" w:fill="auto"/>
            <w:noWrap/>
            <w:vAlign w:val="bottom"/>
            <w:hideMark/>
          </w:tcPr>
          <w:p w14:paraId="7A4E8D19"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98" w:type="dxa"/>
            <w:shd w:val="clear" w:color="auto" w:fill="auto"/>
            <w:noWrap/>
            <w:vAlign w:val="bottom"/>
            <w:hideMark/>
          </w:tcPr>
          <w:p w14:paraId="3287E960"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84" w:type="dxa"/>
            <w:shd w:val="clear" w:color="auto" w:fill="auto"/>
            <w:noWrap/>
            <w:vAlign w:val="bottom"/>
            <w:hideMark/>
          </w:tcPr>
          <w:p w14:paraId="2310D3EE"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565" w:type="dxa"/>
            <w:shd w:val="clear" w:color="auto" w:fill="auto"/>
            <w:noWrap/>
            <w:vAlign w:val="bottom"/>
            <w:hideMark/>
          </w:tcPr>
          <w:p w14:paraId="579F12F2"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73" w:type="dxa"/>
            <w:shd w:val="clear" w:color="auto" w:fill="auto"/>
            <w:noWrap/>
            <w:vAlign w:val="bottom"/>
            <w:hideMark/>
          </w:tcPr>
          <w:p w14:paraId="0CA6C4AE"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2</w:t>
            </w:r>
          </w:p>
        </w:tc>
      </w:tr>
      <w:tr w:rsidR="009258E3" w:rsidRPr="001561A6" w14:paraId="3312B3F2" w14:textId="77777777" w:rsidTr="0029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shd w:val="clear" w:color="auto" w:fill="auto"/>
            <w:noWrap/>
            <w:hideMark/>
          </w:tcPr>
          <w:p w14:paraId="02B26A36" w14:textId="77777777" w:rsidR="009258E3" w:rsidRPr="001561A6" w:rsidRDefault="009258E3" w:rsidP="009258E3">
            <w:pPr>
              <w:suppressAutoHyphens w:val="0"/>
              <w:spacing w:before="40" w:after="40" w:line="220" w:lineRule="exact"/>
              <w:rPr>
                <w:bCs w:val="0"/>
                <w:color w:val="auto"/>
                <w:sz w:val="18"/>
                <w:szCs w:val="18"/>
                <w:lang w:val="fr-CH"/>
              </w:rPr>
            </w:pPr>
            <w:r w:rsidRPr="001561A6">
              <w:rPr>
                <w:color w:val="auto"/>
                <w:sz w:val="18"/>
                <w:szCs w:val="18"/>
                <w:lang w:val="fr-CH"/>
              </w:rPr>
              <w:t>Potosí</w:t>
            </w:r>
          </w:p>
        </w:tc>
        <w:tc>
          <w:tcPr>
            <w:tcW w:w="714" w:type="dxa"/>
            <w:shd w:val="clear" w:color="auto" w:fill="auto"/>
            <w:noWrap/>
            <w:vAlign w:val="bottom"/>
            <w:hideMark/>
          </w:tcPr>
          <w:p w14:paraId="11A138B7"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70" w:type="dxa"/>
            <w:shd w:val="clear" w:color="auto" w:fill="auto"/>
            <w:noWrap/>
            <w:vAlign w:val="bottom"/>
            <w:hideMark/>
          </w:tcPr>
          <w:p w14:paraId="71098691"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1</w:t>
            </w:r>
          </w:p>
        </w:tc>
        <w:tc>
          <w:tcPr>
            <w:tcW w:w="630" w:type="dxa"/>
            <w:shd w:val="clear" w:color="auto" w:fill="auto"/>
            <w:noWrap/>
            <w:vAlign w:val="bottom"/>
            <w:hideMark/>
          </w:tcPr>
          <w:p w14:paraId="157C6177"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2</w:t>
            </w:r>
          </w:p>
        </w:tc>
        <w:tc>
          <w:tcPr>
            <w:tcW w:w="812" w:type="dxa"/>
            <w:shd w:val="clear" w:color="auto" w:fill="auto"/>
            <w:noWrap/>
            <w:vAlign w:val="bottom"/>
            <w:hideMark/>
          </w:tcPr>
          <w:p w14:paraId="5FB3BE36"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41" w:type="dxa"/>
            <w:shd w:val="clear" w:color="auto" w:fill="auto"/>
            <w:noWrap/>
            <w:vAlign w:val="bottom"/>
            <w:hideMark/>
          </w:tcPr>
          <w:p w14:paraId="0D950F5D"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602" w:type="dxa"/>
            <w:shd w:val="clear" w:color="auto" w:fill="auto"/>
            <w:noWrap/>
            <w:vAlign w:val="bottom"/>
            <w:hideMark/>
          </w:tcPr>
          <w:p w14:paraId="2A7B0BEC"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5</w:t>
            </w:r>
          </w:p>
        </w:tc>
        <w:tc>
          <w:tcPr>
            <w:tcW w:w="798" w:type="dxa"/>
            <w:shd w:val="clear" w:color="auto" w:fill="auto"/>
            <w:noWrap/>
            <w:vAlign w:val="bottom"/>
            <w:hideMark/>
          </w:tcPr>
          <w:p w14:paraId="4D852BDC"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84" w:type="dxa"/>
            <w:shd w:val="clear" w:color="auto" w:fill="auto"/>
            <w:noWrap/>
            <w:vAlign w:val="bottom"/>
            <w:hideMark/>
          </w:tcPr>
          <w:p w14:paraId="08F06992"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565" w:type="dxa"/>
            <w:shd w:val="clear" w:color="auto" w:fill="auto"/>
            <w:noWrap/>
            <w:vAlign w:val="bottom"/>
            <w:hideMark/>
          </w:tcPr>
          <w:p w14:paraId="0A0EC6EE"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73" w:type="dxa"/>
            <w:shd w:val="clear" w:color="auto" w:fill="auto"/>
            <w:noWrap/>
            <w:vAlign w:val="bottom"/>
            <w:hideMark/>
          </w:tcPr>
          <w:p w14:paraId="73F25779"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8</w:t>
            </w:r>
          </w:p>
        </w:tc>
      </w:tr>
      <w:tr w:rsidR="009258E3" w:rsidRPr="001561A6" w14:paraId="746FD389" w14:textId="77777777" w:rsidTr="00292483">
        <w:tc>
          <w:tcPr>
            <w:cnfStyle w:val="001000000000" w:firstRow="0" w:lastRow="0" w:firstColumn="1" w:lastColumn="0" w:oddVBand="0" w:evenVBand="0" w:oddHBand="0" w:evenHBand="0" w:firstRowFirstColumn="0" w:firstRowLastColumn="0" w:lastRowFirstColumn="0" w:lastRowLastColumn="0"/>
            <w:tcW w:w="1316" w:type="dxa"/>
            <w:shd w:val="clear" w:color="auto" w:fill="auto"/>
            <w:noWrap/>
            <w:hideMark/>
          </w:tcPr>
          <w:p w14:paraId="6F8E0F79" w14:textId="77777777" w:rsidR="009258E3" w:rsidRPr="001561A6" w:rsidRDefault="009258E3" w:rsidP="009258E3">
            <w:pPr>
              <w:suppressAutoHyphens w:val="0"/>
              <w:spacing w:before="40" w:after="40" w:line="220" w:lineRule="exact"/>
              <w:rPr>
                <w:bCs w:val="0"/>
                <w:color w:val="auto"/>
                <w:sz w:val="18"/>
                <w:szCs w:val="18"/>
                <w:lang w:val="fr-CH"/>
              </w:rPr>
            </w:pPr>
            <w:r w:rsidRPr="001561A6">
              <w:rPr>
                <w:color w:val="auto"/>
                <w:sz w:val="18"/>
                <w:szCs w:val="18"/>
                <w:lang w:val="fr-CH"/>
              </w:rPr>
              <w:t>Santa Cruz</w:t>
            </w:r>
          </w:p>
        </w:tc>
        <w:tc>
          <w:tcPr>
            <w:tcW w:w="714" w:type="dxa"/>
            <w:shd w:val="clear" w:color="auto" w:fill="auto"/>
            <w:noWrap/>
            <w:vAlign w:val="bottom"/>
            <w:hideMark/>
          </w:tcPr>
          <w:p w14:paraId="37F47684"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3</w:t>
            </w:r>
          </w:p>
        </w:tc>
        <w:tc>
          <w:tcPr>
            <w:tcW w:w="770" w:type="dxa"/>
            <w:shd w:val="clear" w:color="auto" w:fill="auto"/>
            <w:noWrap/>
            <w:vAlign w:val="bottom"/>
            <w:hideMark/>
          </w:tcPr>
          <w:p w14:paraId="38736C9C"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8</w:t>
            </w:r>
          </w:p>
        </w:tc>
        <w:tc>
          <w:tcPr>
            <w:tcW w:w="630" w:type="dxa"/>
            <w:shd w:val="clear" w:color="auto" w:fill="auto"/>
            <w:noWrap/>
            <w:vAlign w:val="bottom"/>
            <w:hideMark/>
          </w:tcPr>
          <w:p w14:paraId="3F1A8187"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4</w:t>
            </w:r>
          </w:p>
        </w:tc>
        <w:tc>
          <w:tcPr>
            <w:tcW w:w="812" w:type="dxa"/>
            <w:shd w:val="clear" w:color="auto" w:fill="auto"/>
            <w:noWrap/>
            <w:vAlign w:val="bottom"/>
            <w:hideMark/>
          </w:tcPr>
          <w:p w14:paraId="76E7DE3F"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2</w:t>
            </w:r>
          </w:p>
        </w:tc>
        <w:tc>
          <w:tcPr>
            <w:tcW w:w="741" w:type="dxa"/>
            <w:shd w:val="clear" w:color="auto" w:fill="auto"/>
            <w:noWrap/>
            <w:vAlign w:val="bottom"/>
            <w:hideMark/>
          </w:tcPr>
          <w:p w14:paraId="38461EA8"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7</w:t>
            </w:r>
          </w:p>
        </w:tc>
        <w:tc>
          <w:tcPr>
            <w:tcW w:w="602" w:type="dxa"/>
            <w:shd w:val="clear" w:color="auto" w:fill="auto"/>
            <w:noWrap/>
            <w:vAlign w:val="bottom"/>
            <w:hideMark/>
          </w:tcPr>
          <w:p w14:paraId="7512F1F6"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0</w:t>
            </w:r>
          </w:p>
        </w:tc>
        <w:tc>
          <w:tcPr>
            <w:tcW w:w="798" w:type="dxa"/>
            <w:shd w:val="clear" w:color="auto" w:fill="auto"/>
            <w:noWrap/>
            <w:vAlign w:val="bottom"/>
            <w:hideMark/>
          </w:tcPr>
          <w:p w14:paraId="72D96FE3"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3</w:t>
            </w:r>
          </w:p>
        </w:tc>
        <w:tc>
          <w:tcPr>
            <w:tcW w:w="784" w:type="dxa"/>
            <w:shd w:val="clear" w:color="auto" w:fill="auto"/>
            <w:noWrap/>
            <w:vAlign w:val="bottom"/>
            <w:hideMark/>
          </w:tcPr>
          <w:p w14:paraId="1AA64BAE"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1</w:t>
            </w:r>
          </w:p>
        </w:tc>
        <w:tc>
          <w:tcPr>
            <w:tcW w:w="565" w:type="dxa"/>
            <w:shd w:val="clear" w:color="auto" w:fill="auto"/>
            <w:noWrap/>
            <w:vAlign w:val="bottom"/>
            <w:hideMark/>
          </w:tcPr>
          <w:p w14:paraId="78B2218F"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2</w:t>
            </w:r>
          </w:p>
        </w:tc>
        <w:tc>
          <w:tcPr>
            <w:tcW w:w="773" w:type="dxa"/>
            <w:shd w:val="clear" w:color="auto" w:fill="auto"/>
            <w:noWrap/>
            <w:vAlign w:val="bottom"/>
            <w:hideMark/>
          </w:tcPr>
          <w:p w14:paraId="64BE5280" w14:textId="77777777" w:rsidR="009258E3" w:rsidRPr="001561A6" w:rsidRDefault="009258E3" w:rsidP="009258E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szCs w:val="18"/>
                <w:lang w:val="fr-CH"/>
              </w:rPr>
            </w:pPr>
            <w:r w:rsidRPr="001561A6">
              <w:rPr>
                <w:sz w:val="18"/>
                <w:szCs w:val="18"/>
                <w:lang w:val="fr-CH"/>
              </w:rPr>
              <w:t>30</w:t>
            </w:r>
          </w:p>
        </w:tc>
      </w:tr>
      <w:tr w:rsidR="009258E3" w:rsidRPr="001561A6" w14:paraId="29F9729C" w14:textId="77777777" w:rsidTr="0029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bottom w:val="single" w:sz="4" w:space="0" w:color="auto"/>
            </w:tcBorders>
            <w:shd w:val="clear" w:color="auto" w:fill="auto"/>
            <w:noWrap/>
            <w:hideMark/>
          </w:tcPr>
          <w:p w14:paraId="01132336" w14:textId="77777777" w:rsidR="009258E3" w:rsidRPr="001561A6" w:rsidRDefault="009258E3" w:rsidP="009258E3">
            <w:pPr>
              <w:suppressAutoHyphens w:val="0"/>
              <w:spacing w:before="40" w:after="40" w:line="220" w:lineRule="exact"/>
              <w:rPr>
                <w:bCs w:val="0"/>
                <w:color w:val="auto"/>
                <w:sz w:val="18"/>
                <w:szCs w:val="18"/>
                <w:lang w:val="fr-CH"/>
              </w:rPr>
            </w:pPr>
            <w:r w:rsidRPr="001561A6">
              <w:rPr>
                <w:color w:val="auto"/>
                <w:sz w:val="18"/>
                <w:szCs w:val="18"/>
                <w:lang w:val="fr-CH"/>
              </w:rPr>
              <w:t>Tarija</w:t>
            </w:r>
          </w:p>
        </w:tc>
        <w:tc>
          <w:tcPr>
            <w:tcW w:w="714" w:type="dxa"/>
            <w:tcBorders>
              <w:bottom w:val="single" w:sz="4" w:space="0" w:color="auto"/>
            </w:tcBorders>
            <w:shd w:val="clear" w:color="auto" w:fill="auto"/>
            <w:noWrap/>
            <w:vAlign w:val="bottom"/>
            <w:hideMark/>
          </w:tcPr>
          <w:p w14:paraId="563A8C95"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70" w:type="dxa"/>
            <w:tcBorders>
              <w:bottom w:val="single" w:sz="4" w:space="0" w:color="auto"/>
            </w:tcBorders>
            <w:shd w:val="clear" w:color="auto" w:fill="auto"/>
            <w:noWrap/>
            <w:vAlign w:val="bottom"/>
            <w:hideMark/>
          </w:tcPr>
          <w:p w14:paraId="1F30124A"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1</w:t>
            </w:r>
          </w:p>
        </w:tc>
        <w:tc>
          <w:tcPr>
            <w:tcW w:w="630" w:type="dxa"/>
            <w:tcBorders>
              <w:bottom w:val="single" w:sz="4" w:space="0" w:color="auto"/>
            </w:tcBorders>
            <w:shd w:val="clear" w:color="auto" w:fill="auto"/>
            <w:noWrap/>
            <w:vAlign w:val="bottom"/>
            <w:hideMark/>
          </w:tcPr>
          <w:p w14:paraId="123A5DE1"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1</w:t>
            </w:r>
          </w:p>
        </w:tc>
        <w:tc>
          <w:tcPr>
            <w:tcW w:w="812" w:type="dxa"/>
            <w:tcBorders>
              <w:bottom w:val="single" w:sz="4" w:space="0" w:color="auto"/>
            </w:tcBorders>
            <w:shd w:val="clear" w:color="auto" w:fill="auto"/>
            <w:noWrap/>
            <w:vAlign w:val="bottom"/>
            <w:hideMark/>
          </w:tcPr>
          <w:p w14:paraId="64302EAB"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1</w:t>
            </w:r>
          </w:p>
        </w:tc>
        <w:tc>
          <w:tcPr>
            <w:tcW w:w="741" w:type="dxa"/>
            <w:tcBorders>
              <w:bottom w:val="single" w:sz="4" w:space="0" w:color="auto"/>
            </w:tcBorders>
            <w:shd w:val="clear" w:color="auto" w:fill="auto"/>
            <w:noWrap/>
            <w:vAlign w:val="bottom"/>
            <w:hideMark/>
          </w:tcPr>
          <w:p w14:paraId="277B3D39"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602" w:type="dxa"/>
            <w:tcBorders>
              <w:bottom w:val="single" w:sz="4" w:space="0" w:color="auto"/>
            </w:tcBorders>
            <w:shd w:val="clear" w:color="auto" w:fill="auto"/>
            <w:noWrap/>
            <w:vAlign w:val="bottom"/>
            <w:hideMark/>
          </w:tcPr>
          <w:p w14:paraId="3DE88B26"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98" w:type="dxa"/>
            <w:tcBorders>
              <w:bottom w:val="single" w:sz="4" w:space="0" w:color="auto"/>
            </w:tcBorders>
            <w:shd w:val="clear" w:color="auto" w:fill="auto"/>
            <w:noWrap/>
            <w:vAlign w:val="bottom"/>
            <w:hideMark/>
          </w:tcPr>
          <w:p w14:paraId="1D2F09AC"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84" w:type="dxa"/>
            <w:tcBorders>
              <w:bottom w:val="single" w:sz="4" w:space="0" w:color="auto"/>
            </w:tcBorders>
            <w:shd w:val="clear" w:color="auto" w:fill="auto"/>
            <w:noWrap/>
            <w:vAlign w:val="bottom"/>
            <w:hideMark/>
          </w:tcPr>
          <w:p w14:paraId="3092CF4C"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565" w:type="dxa"/>
            <w:tcBorders>
              <w:bottom w:val="single" w:sz="4" w:space="0" w:color="auto"/>
            </w:tcBorders>
            <w:shd w:val="clear" w:color="auto" w:fill="auto"/>
            <w:noWrap/>
            <w:vAlign w:val="bottom"/>
            <w:hideMark/>
          </w:tcPr>
          <w:p w14:paraId="0B2758D9"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0</w:t>
            </w:r>
          </w:p>
        </w:tc>
        <w:tc>
          <w:tcPr>
            <w:tcW w:w="773" w:type="dxa"/>
            <w:tcBorders>
              <w:bottom w:val="single" w:sz="4" w:space="0" w:color="auto"/>
            </w:tcBorders>
            <w:shd w:val="clear" w:color="auto" w:fill="auto"/>
            <w:noWrap/>
            <w:vAlign w:val="bottom"/>
            <w:hideMark/>
          </w:tcPr>
          <w:p w14:paraId="7F88462F" w14:textId="77777777" w:rsidR="009258E3" w:rsidRPr="001561A6" w:rsidRDefault="009258E3" w:rsidP="009258E3">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szCs w:val="18"/>
                <w:lang w:val="fr-CH"/>
              </w:rPr>
            </w:pPr>
            <w:r w:rsidRPr="001561A6">
              <w:rPr>
                <w:sz w:val="18"/>
                <w:szCs w:val="18"/>
                <w:lang w:val="fr-CH"/>
              </w:rPr>
              <w:t>3</w:t>
            </w:r>
          </w:p>
        </w:tc>
      </w:tr>
      <w:tr w:rsidR="009258E3" w:rsidRPr="001561A6" w14:paraId="1287E5F2" w14:textId="77777777" w:rsidTr="00292483">
        <w:tc>
          <w:tcPr>
            <w:cnfStyle w:val="001000000000" w:firstRow="0" w:lastRow="0" w:firstColumn="1" w:lastColumn="0" w:oddVBand="0" w:evenVBand="0" w:oddHBand="0" w:evenHBand="0" w:firstRowFirstColumn="0" w:firstRowLastColumn="0" w:lastRowFirstColumn="0" w:lastRowLastColumn="0"/>
            <w:tcW w:w="1316" w:type="dxa"/>
            <w:tcBorders>
              <w:top w:val="single" w:sz="4" w:space="0" w:color="auto"/>
              <w:bottom w:val="single" w:sz="12" w:space="0" w:color="auto"/>
            </w:tcBorders>
            <w:shd w:val="clear" w:color="auto" w:fill="auto"/>
            <w:noWrap/>
            <w:hideMark/>
          </w:tcPr>
          <w:p w14:paraId="61AE961F" w14:textId="77777777" w:rsidR="009258E3" w:rsidRPr="001561A6" w:rsidRDefault="009258E3" w:rsidP="009258E3">
            <w:pPr>
              <w:suppressAutoHyphens w:val="0"/>
              <w:spacing w:before="80" w:after="80" w:line="220" w:lineRule="exact"/>
              <w:ind w:left="283"/>
              <w:rPr>
                <w:bCs w:val="0"/>
                <w:color w:val="auto"/>
                <w:sz w:val="18"/>
                <w:szCs w:val="18"/>
                <w:lang w:val="fr-CH"/>
              </w:rPr>
            </w:pPr>
            <w:r w:rsidRPr="001561A6">
              <w:rPr>
                <w:bCs w:val="0"/>
                <w:color w:val="auto"/>
                <w:sz w:val="18"/>
                <w:szCs w:val="18"/>
                <w:lang w:val="fr-CH"/>
              </w:rPr>
              <w:t>Total général</w:t>
            </w:r>
          </w:p>
        </w:tc>
        <w:tc>
          <w:tcPr>
            <w:tcW w:w="714" w:type="dxa"/>
            <w:tcBorders>
              <w:top w:val="single" w:sz="4" w:space="0" w:color="auto"/>
              <w:bottom w:val="single" w:sz="12" w:space="0" w:color="auto"/>
            </w:tcBorders>
            <w:shd w:val="clear" w:color="auto" w:fill="auto"/>
            <w:noWrap/>
            <w:vAlign w:val="bottom"/>
            <w:hideMark/>
          </w:tcPr>
          <w:p w14:paraId="01C22019"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8</w:t>
            </w:r>
          </w:p>
        </w:tc>
        <w:tc>
          <w:tcPr>
            <w:tcW w:w="770" w:type="dxa"/>
            <w:tcBorders>
              <w:top w:val="single" w:sz="4" w:space="0" w:color="auto"/>
              <w:bottom w:val="single" w:sz="12" w:space="0" w:color="auto"/>
            </w:tcBorders>
            <w:shd w:val="clear" w:color="auto" w:fill="auto"/>
            <w:noWrap/>
            <w:vAlign w:val="bottom"/>
            <w:hideMark/>
          </w:tcPr>
          <w:p w14:paraId="0F5603BA"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53</w:t>
            </w:r>
          </w:p>
        </w:tc>
        <w:tc>
          <w:tcPr>
            <w:tcW w:w="630" w:type="dxa"/>
            <w:tcBorders>
              <w:top w:val="single" w:sz="4" w:space="0" w:color="auto"/>
              <w:bottom w:val="single" w:sz="12" w:space="0" w:color="auto"/>
            </w:tcBorders>
            <w:shd w:val="clear" w:color="auto" w:fill="auto"/>
            <w:noWrap/>
            <w:vAlign w:val="bottom"/>
            <w:hideMark/>
          </w:tcPr>
          <w:p w14:paraId="71D9A33A"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31</w:t>
            </w:r>
          </w:p>
        </w:tc>
        <w:tc>
          <w:tcPr>
            <w:tcW w:w="812" w:type="dxa"/>
            <w:tcBorders>
              <w:top w:val="single" w:sz="4" w:space="0" w:color="auto"/>
              <w:bottom w:val="single" w:sz="12" w:space="0" w:color="auto"/>
            </w:tcBorders>
            <w:shd w:val="clear" w:color="auto" w:fill="auto"/>
            <w:noWrap/>
            <w:vAlign w:val="bottom"/>
            <w:hideMark/>
          </w:tcPr>
          <w:p w14:paraId="4557E2CE"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5</w:t>
            </w:r>
          </w:p>
        </w:tc>
        <w:tc>
          <w:tcPr>
            <w:tcW w:w="741" w:type="dxa"/>
            <w:tcBorders>
              <w:top w:val="single" w:sz="4" w:space="0" w:color="auto"/>
              <w:bottom w:val="single" w:sz="12" w:space="0" w:color="auto"/>
            </w:tcBorders>
            <w:shd w:val="clear" w:color="auto" w:fill="auto"/>
            <w:noWrap/>
            <w:vAlign w:val="bottom"/>
            <w:hideMark/>
          </w:tcPr>
          <w:p w14:paraId="57A4C0B1"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54</w:t>
            </w:r>
          </w:p>
        </w:tc>
        <w:tc>
          <w:tcPr>
            <w:tcW w:w="602" w:type="dxa"/>
            <w:tcBorders>
              <w:top w:val="single" w:sz="4" w:space="0" w:color="auto"/>
              <w:bottom w:val="single" w:sz="12" w:space="0" w:color="auto"/>
            </w:tcBorders>
            <w:shd w:val="clear" w:color="auto" w:fill="auto"/>
            <w:noWrap/>
            <w:vAlign w:val="bottom"/>
            <w:hideMark/>
          </w:tcPr>
          <w:p w14:paraId="6681278E"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50</w:t>
            </w:r>
          </w:p>
        </w:tc>
        <w:tc>
          <w:tcPr>
            <w:tcW w:w="798" w:type="dxa"/>
            <w:tcBorders>
              <w:top w:val="single" w:sz="4" w:space="0" w:color="auto"/>
              <w:bottom w:val="single" w:sz="12" w:space="0" w:color="auto"/>
            </w:tcBorders>
            <w:shd w:val="clear" w:color="auto" w:fill="auto"/>
            <w:noWrap/>
            <w:vAlign w:val="bottom"/>
            <w:hideMark/>
          </w:tcPr>
          <w:p w14:paraId="03D769F3"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3</w:t>
            </w:r>
          </w:p>
        </w:tc>
        <w:tc>
          <w:tcPr>
            <w:tcW w:w="784" w:type="dxa"/>
            <w:tcBorders>
              <w:top w:val="single" w:sz="4" w:space="0" w:color="auto"/>
              <w:bottom w:val="single" w:sz="12" w:space="0" w:color="auto"/>
            </w:tcBorders>
            <w:shd w:val="clear" w:color="auto" w:fill="auto"/>
            <w:noWrap/>
            <w:vAlign w:val="bottom"/>
            <w:hideMark/>
          </w:tcPr>
          <w:p w14:paraId="7A085050"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2</w:t>
            </w:r>
          </w:p>
        </w:tc>
        <w:tc>
          <w:tcPr>
            <w:tcW w:w="565" w:type="dxa"/>
            <w:tcBorders>
              <w:top w:val="single" w:sz="4" w:space="0" w:color="auto"/>
              <w:bottom w:val="single" w:sz="12" w:space="0" w:color="auto"/>
            </w:tcBorders>
            <w:shd w:val="clear" w:color="auto" w:fill="auto"/>
            <w:noWrap/>
            <w:vAlign w:val="bottom"/>
            <w:hideMark/>
          </w:tcPr>
          <w:p w14:paraId="2BFE0061"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6</w:t>
            </w:r>
          </w:p>
        </w:tc>
        <w:tc>
          <w:tcPr>
            <w:tcW w:w="773" w:type="dxa"/>
            <w:tcBorders>
              <w:top w:val="single" w:sz="4" w:space="0" w:color="auto"/>
              <w:bottom w:val="single" w:sz="12" w:space="0" w:color="auto"/>
            </w:tcBorders>
            <w:shd w:val="clear" w:color="auto" w:fill="auto"/>
            <w:noWrap/>
            <w:vAlign w:val="bottom"/>
            <w:hideMark/>
          </w:tcPr>
          <w:p w14:paraId="4A6151B2" w14:textId="77777777" w:rsidR="009258E3" w:rsidRPr="001561A6" w:rsidRDefault="009258E3" w:rsidP="009258E3">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szCs w:val="18"/>
                <w:lang w:val="fr-CH"/>
              </w:rPr>
            </w:pPr>
            <w:r w:rsidRPr="001561A6">
              <w:rPr>
                <w:b/>
                <w:sz w:val="18"/>
                <w:szCs w:val="18"/>
                <w:lang w:val="fr-CH"/>
              </w:rPr>
              <w:t>212</w:t>
            </w:r>
          </w:p>
        </w:tc>
      </w:tr>
    </w:tbl>
    <w:p w14:paraId="028D24F2" w14:textId="77777777" w:rsidR="009D00C8" w:rsidRPr="001561A6" w:rsidRDefault="009D00C8" w:rsidP="009D00C8">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Bureau du Procureur général de l</w:t>
      </w:r>
      <w:r w:rsidR="009258E3">
        <w:rPr>
          <w:sz w:val="18"/>
          <w:szCs w:val="18"/>
        </w:rPr>
        <w:t>’</w:t>
      </w:r>
      <w:r w:rsidRPr="001561A6">
        <w:rPr>
          <w:sz w:val="18"/>
          <w:szCs w:val="18"/>
        </w:rPr>
        <w:t>État − Système JL1 13/08/2020 (Données relatives à la période allant du 1</w:t>
      </w:r>
      <w:r w:rsidRPr="001561A6">
        <w:rPr>
          <w:sz w:val="18"/>
          <w:szCs w:val="18"/>
          <w:vertAlign w:val="superscript"/>
        </w:rPr>
        <w:t>er</w:t>
      </w:r>
      <w:r w:rsidR="00EE2041" w:rsidRPr="001561A6">
        <w:rPr>
          <w:sz w:val="18"/>
          <w:szCs w:val="18"/>
        </w:rPr>
        <w:t> </w:t>
      </w:r>
      <w:r w:rsidRPr="001561A6">
        <w:rPr>
          <w:sz w:val="18"/>
          <w:szCs w:val="18"/>
        </w:rPr>
        <w:t>janvier au 31 décembre 2019).</w:t>
      </w:r>
    </w:p>
    <w:p w14:paraId="7BCF1BF2" w14:textId="77777777" w:rsidR="009D00C8" w:rsidRPr="001561A6" w:rsidRDefault="009D00C8" w:rsidP="009D00C8">
      <w:pPr>
        <w:pStyle w:val="SingleTxtG"/>
      </w:pPr>
      <w:r w:rsidRPr="001561A6">
        <w:t>48.</w:t>
      </w:r>
      <w:r w:rsidRPr="001561A6">
        <w:tab/>
        <w:t xml:space="preserve">En outre, en vertu de la loi générale sur la traite des personnes (loi </w:t>
      </w:r>
      <w:r w:rsidRPr="001561A6">
        <w:rPr>
          <w:rFonts w:eastAsia="MS Mincho"/>
          <w:szCs w:val="22"/>
        </w:rPr>
        <w:t>n</w:t>
      </w:r>
      <w:r w:rsidRPr="001561A6">
        <w:rPr>
          <w:rFonts w:eastAsia="MS Mincho"/>
          <w:szCs w:val="22"/>
          <w:vertAlign w:val="superscript"/>
        </w:rPr>
        <w:t>o</w:t>
      </w:r>
      <w:r w:rsidRPr="001561A6">
        <w:t> 263)</w:t>
      </w:r>
      <w:r w:rsidRPr="001561A6">
        <w:rPr>
          <w:rStyle w:val="Appelnotedebasdep"/>
        </w:rPr>
        <w:footnoteReference w:id="19"/>
      </w:r>
      <w:r w:rsidRPr="001561A6">
        <w:t>, il existe un registre sur lequel sont consignés 833 cas de traite et d</w:t>
      </w:r>
      <w:r w:rsidR="009258E3">
        <w:t>’</w:t>
      </w:r>
      <w:r w:rsidRPr="001561A6">
        <w:t>infractions connexes, dont on trouvera le détail ci-dessous.</w:t>
      </w:r>
    </w:p>
    <w:tbl>
      <w:tblPr>
        <w:tblStyle w:val="GridTable5Dark-Accent61"/>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0"/>
        <w:gridCol w:w="980"/>
        <w:gridCol w:w="1218"/>
        <w:gridCol w:w="1306"/>
        <w:gridCol w:w="1078"/>
        <w:gridCol w:w="1036"/>
        <w:gridCol w:w="1050"/>
        <w:gridCol w:w="727"/>
      </w:tblGrid>
      <w:tr w:rsidR="00EE2041" w:rsidRPr="001561A6" w14:paraId="29E3C6A8" w14:textId="77777777" w:rsidTr="00742A15">
        <w:trPr>
          <w:cnfStyle w:val="100000000000" w:firstRow="1" w:lastRow="0" w:firstColumn="0" w:lastColumn="0" w:oddVBand="0" w:evenVBand="0" w:oddHBand="0" w:evenHBand="0" w:firstRowFirstColumn="0" w:firstRowLastColumn="0" w:lastRowFirstColumn="0" w:lastRowLastColumn="0"/>
          <w:trHeight w:val="127"/>
          <w:tblHeader/>
        </w:trPr>
        <w:tc>
          <w:tcPr>
            <w:cnfStyle w:val="001000000000" w:firstRow="0" w:lastRow="0" w:firstColumn="1" w:lastColumn="0" w:oddVBand="0" w:evenVBand="0" w:oddHBand="0" w:evenHBand="0" w:firstRowFirstColumn="0" w:firstRowLastColumn="0" w:lastRowFirstColumn="0" w:lastRowLastColumn="0"/>
            <w:tcW w:w="1110" w:type="dxa"/>
            <w:vMerge w:val="restart"/>
            <w:tcBorders>
              <w:top w:val="single" w:sz="4" w:space="0" w:color="auto"/>
            </w:tcBorders>
            <w:shd w:val="clear" w:color="auto" w:fill="auto"/>
            <w:vAlign w:val="bottom"/>
            <w:hideMark/>
          </w:tcPr>
          <w:p w14:paraId="5370106C" w14:textId="77777777" w:rsidR="00EE2041" w:rsidRPr="001561A6" w:rsidRDefault="00EE2041" w:rsidP="00EE2041">
            <w:pPr>
              <w:spacing w:before="80" w:after="80" w:line="200" w:lineRule="exact"/>
              <w:rPr>
                <w:b w:val="0"/>
                <w:i/>
                <w:color w:val="auto"/>
                <w:sz w:val="16"/>
                <w:lang w:val="fr-CH"/>
              </w:rPr>
            </w:pPr>
            <w:r w:rsidRPr="001561A6">
              <w:rPr>
                <w:b w:val="0"/>
                <w:i/>
                <w:color w:val="auto"/>
                <w:sz w:val="16"/>
                <w:lang w:val="fr-CH"/>
              </w:rPr>
              <w:t>Département</w:t>
            </w:r>
          </w:p>
        </w:tc>
        <w:tc>
          <w:tcPr>
            <w:tcW w:w="980" w:type="dxa"/>
            <w:vMerge w:val="restart"/>
            <w:tcBorders>
              <w:top w:val="single" w:sz="4" w:space="0" w:color="auto"/>
            </w:tcBorders>
            <w:shd w:val="clear" w:color="auto" w:fill="auto"/>
            <w:noWrap/>
            <w:vAlign w:val="bottom"/>
            <w:hideMark/>
          </w:tcPr>
          <w:p w14:paraId="0D32D33B" w14:textId="77777777" w:rsidR="00EE2041" w:rsidRPr="001561A6" w:rsidRDefault="00EE2041" w:rsidP="00EE2041">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color w:val="auto"/>
                <w:sz w:val="16"/>
                <w:lang w:val="fr-CH"/>
              </w:rPr>
              <w:t xml:space="preserve">Trafic illicite des personnes, art. 321 </w:t>
            </w:r>
            <w:r w:rsidRPr="001561A6">
              <w:rPr>
                <w:b w:val="0"/>
                <w:iCs/>
                <w:color w:val="auto"/>
                <w:sz w:val="16"/>
                <w:lang w:val="fr-CH"/>
              </w:rPr>
              <w:t>bis</w:t>
            </w:r>
          </w:p>
        </w:tc>
        <w:tc>
          <w:tcPr>
            <w:tcW w:w="1218" w:type="dxa"/>
            <w:vMerge w:val="restart"/>
            <w:tcBorders>
              <w:top w:val="single" w:sz="4" w:space="0" w:color="auto"/>
            </w:tcBorders>
            <w:shd w:val="clear" w:color="auto" w:fill="auto"/>
            <w:noWrap/>
            <w:vAlign w:val="bottom"/>
            <w:hideMark/>
          </w:tcPr>
          <w:p w14:paraId="71DE49A9" w14:textId="77777777" w:rsidR="00EE2041" w:rsidRPr="001561A6" w:rsidRDefault="00EE2041" w:rsidP="00EE2041">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color w:val="auto"/>
                <w:sz w:val="16"/>
                <w:lang w:val="fr-CH"/>
              </w:rPr>
              <w:t xml:space="preserve">Traite </w:t>
            </w:r>
            <w:r w:rsidRPr="001561A6">
              <w:rPr>
                <w:b w:val="0"/>
                <w:i/>
                <w:color w:val="auto"/>
                <w:sz w:val="16"/>
                <w:lang w:val="fr-CH"/>
              </w:rPr>
              <w:br/>
              <w:t>des personnes,</w:t>
            </w:r>
            <w:r w:rsidRPr="001561A6">
              <w:rPr>
                <w:b w:val="0"/>
                <w:i/>
                <w:color w:val="auto"/>
                <w:sz w:val="16"/>
                <w:lang w:val="fr-CH"/>
              </w:rPr>
              <w:br/>
              <w:t xml:space="preserve">art. 281 </w:t>
            </w:r>
            <w:r w:rsidRPr="001561A6">
              <w:rPr>
                <w:b w:val="0"/>
                <w:iCs/>
                <w:color w:val="auto"/>
                <w:sz w:val="16"/>
                <w:lang w:val="fr-CH"/>
              </w:rPr>
              <w:t>bis</w:t>
            </w:r>
            <w:r w:rsidRPr="001561A6">
              <w:rPr>
                <w:b w:val="0"/>
                <w:i/>
                <w:color w:val="auto"/>
                <w:sz w:val="16"/>
                <w:lang w:val="fr-CH"/>
              </w:rPr>
              <w:t xml:space="preserve"> Mod.</w:t>
            </w:r>
          </w:p>
        </w:tc>
        <w:tc>
          <w:tcPr>
            <w:tcW w:w="1306" w:type="dxa"/>
            <w:vMerge w:val="restart"/>
            <w:tcBorders>
              <w:top w:val="single" w:sz="4" w:space="0" w:color="auto"/>
            </w:tcBorders>
            <w:shd w:val="clear" w:color="auto" w:fill="auto"/>
            <w:noWrap/>
            <w:vAlign w:val="bottom"/>
            <w:hideMark/>
          </w:tcPr>
          <w:p w14:paraId="77BCC051" w14:textId="77777777" w:rsidR="00EE2041" w:rsidRPr="001561A6" w:rsidRDefault="00EE2041" w:rsidP="00EE2041">
            <w:pPr>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color w:val="auto"/>
                <w:sz w:val="16"/>
                <w:lang w:val="fr-CH"/>
              </w:rPr>
              <w:t xml:space="preserve">Traite </w:t>
            </w:r>
            <w:r w:rsidRPr="001561A6">
              <w:rPr>
                <w:b w:val="0"/>
                <w:i/>
                <w:color w:val="auto"/>
                <w:sz w:val="16"/>
                <w:lang w:val="fr-CH"/>
              </w:rPr>
              <w:br/>
              <w:t xml:space="preserve">des êtres humains, </w:t>
            </w:r>
            <w:r w:rsidRPr="001561A6">
              <w:rPr>
                <w:b w:val="0"/>
                <w:i/>
                <w:color w:val="auto"/>
                <w:sz w:val="16"/>
                <w:lang w:val="fr-CH"/>
              </w:rPr>
              <w:br/>
              <w:t>art. 281 bis</w:t>
            </w:r>
          </w:p>
        </w:tc>
        <w:tc>
          <w:tcPr>
            <w:tcW w:w="3164" w:type="dxa"/>
            <w:gridSpan w:val="3"/>
            <w:tcBorders>
              <w:top w:val="single" w:sz="4" w:space="0" w:color="auto"/>
              <w:bottom w:val="single" w:sz="4" w:space="0" w:color="auto"/>
            </w:tcBorders>
            <w:shd w:val="clear" w:color="auto" w:fill="auto"/>
            <w:noWrap/>
            <w:vAlign w:val="bottom"/>
            <w:hideMark/>
          </w:tcPr>
          <w:p w14:paraId="1F2AE13C" w14:textId="77777777" w:rsidR="00EE2041" w:rsidRPr="001561A6" w:rsidRDefault="00EE2041" w:rsidP="00EE2041">
            <w:pPr>
              <w:spacing w:before="80" w:after="80" w:line="200" w:lineRule="exact"/>
              <w:jc w:val="center"/>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iCs/>
                <w:color w:val="auto"/>
                <w:sz w:val="16"/>
                <w:lang w:val="fr-CH"/>
              </w:rPr>
              <w:t>Infractions connexes</w:t>
            </w:r>
          </w:p>
        </w:tc>
        <w:tc>
          <w:tcPr>
            <w:tcW w:w="727" w:type="dxa"/>
            <w:vMerge w:val="restart"/>
            <w:tcBorders>
              <w:top w:val="single" w:sz="4" w:space="0" w:color="auto"/>
            </w:tcBorders>
            <w:shd w:val="clear" w:color="auto" w:fill="auto"/>
            <w:noWrap/>
            <w:vAlign w:val="bottom"/>
            <w:hideMark/>
          </w:tcPr>
          <w:p w14:paraId="4B0F6D60" w14:textId="77777777" w:rsidR="00EE2041" w:rsidRPr="001561A6" w:rsidRDefault="00EE2041" w:rsidP="00EE2041">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color w:val="auto"/>
                <w:sz w:val="16"/>
                <w:lang w:val="fr-CH"/>
              </w:rPr>
              <w:t>Total</w:t>
            </w:r>
          </w:p>
        </w:tc>
      </w:tr>
      <w:tr w:rsidR="00EE2041" w:rsidRPr="001561A6" w14:paraId="78CBCB78" w14:textId="77777777" w:rsidTr="00742A15">
        <w:trPr>
          <w:cnfStyle w:val="100000000000" w:firstRow="1" w:lastRow="0" w:firstColumn="0" w:lastColumn="0" w:oddVBand="0" w:evenVBand="0" w:oddHBand="0" w:evenHBand="0" w:firstRowFirstColumn="0" w:firstRowLastColumn="0" w:lastRowFirstColumn="0" w:lastRowLastColumn="0"/>
          <w:trHeight w:val="683"/>
          <w:tblHeader/>
        </w:trPr>
        <w:tc>
          <w:tcPr>
            <w:cnfStyle w:val="001000000000" w:firstRow="0" w:lastRow="0" w:firstColumn="1" w:lastColumn="0" w:oddVBand="0" w:evenVBand="0" w:oddHBand="0" w:evenHBand="0" w:firstRowFirstColumn="0" w:firstRowLastColumn="0" w:lastRowFirstColumn="0" w:lastRowLastColumn="0"/>
            <w:tcW w:w="1110" w:type="dxa"/>
            <w:vMerge/>
            <w:tcBorders>
              <w:bottom w:val="single" w:sz="12" w:space="0" w:color="auto"/>
            </w:tcBorders>
            <w:shd w:val="clear" w:color="auto" w:fill="auto"/>
            <w:vAlign w:val="bottom"/>
            <w:hideMark/>
          </w:tcPr>
          <w:p w14:paraId="2248D926" w14:textId="77777777" w:rsidR="00EE2041" w:rsidRPr="001561A6" w:rsidRDefault="00EE2041" w:rsidP="00F35858">
            <w:pPr>
              <w:spacing w:before="40" w:after="40" w:line="220" w:lineRule="exact"/>
              <w:rPr>
                <w:b w:val="0"/>
                <w:color w:val="auto"/>
                <w:sz w:val="18"/>
                <w:lang w:val="fr-CH"/>
              </w:rPr>
            </w:pPr>
          </w:p>
        </w:tc>
        <w:tc>
          <w:tcPr>
            <w:tcW w:w="980" w:type="dxa"/>
            <w:vMerge/>
            <w:tcBorders>
              <w:bottom w:val="single" w:sz="12" w:space="0" w:color="auto"/>
            </w:tcBorders>
            <w:shd w:val="clear" w:color="auto" w:fill="auto"/>
            <w:vAlign w:val="bottom"/>
            <w:hideMark/>
          </w:tcPr>
          <w:p w14:paraId="5FBF5088" w14:textId="77777777" w:rsidR="00EE2041" w:rsidRPr="001561A6" w:rsidRDefault="00EE2041" w:rsidP="00F35858">
            <w:pPr>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color w:val="auto"/>
                <w:sz w:val="18"/>
                <w:lang w:val="fr-CH"/>
              </w:rPr>
            </w:pPr>
          </w:p>
        </w:tc>
        <w:tc>
          <w:tcPr>
            <w:tcW w:w="1218" w:type="dxa"/>
            <w:vMerge/>
            <w:tcBorders>
              <w:bottom w:val="single" w:sz="12" w:space="0" w:color="auto"/>
            </w:tcBorders>
            <w:shd w:val="clear" w:color="auto" w:fill="auto"/>
            <w:vAlign w:val="bottom"/>
            <w:hideMark/>
          </w:tcPr>
          <w:p w14:paraId="4981676B" w14:textId="77777777" w:rsidR="00EE2041" w:rsidRPr="001561A6" w:rsidRDefault="00EE2041" w:rsidP="00F35858">
            <w:pPr>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color w:val="auto"/>
                <w:sz w:val="18"/>
                <w:lang w:val="fr-CH"/>
              </w:rPr>
            </w:pPr>
          </w:p>
        </w:tc>
        <w:tc>
          <w:tcPr>
            <w:tcW w:w="1306" w:type="dxa"/>
            <w:vMerge/>
            <w:tcBorders>
              <w:bottom w:val="single" w:sz="12" w:space="0" w:color="auto"/>
            </w:tcBorders>
            <w:shd w:val="clear" w:color="auto" w:fill="auto"/>
            <w:vAlign w:val="bottom"/>
            <w:hideMark/>
          </w:tcPr>
          <w:p w14:paraId="046950F0" w14:textId="77777777" w:rsidR="00EE2041" w:rsidRPr="001561A6" w:rsidRDefault="00EE2041" w:rsidP="00F35858">
            <w:pPr>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color w:val="auto"/>
                <w:sz w:val="18"/>
                <w:lang w:val="fr-CH"/>
              </w:rPr>
            </w:pPr>
          </w:p>
        </w:tc>
        <w:tc>
          <w:tcPr>
            <w:tcW w:w="1078" w:type="dxa"/>
            <w:tcBorders>
              <w:top w:val="single" w:sz="4" w:space="0" w:color="auto"/>
              <w:bottom w:val="single" w:sz="12" w:space="0" w:color="auto"/>
            </w:tcBorders>
            <w:shd w:val="clear" w:color="auto" w:fill="auto"/>
            <w:vAlign w:val="bottom"/>
            <w:hideMark/>
          </w:tcPr>
          <w:p w14:paraId="5752AB3A" w14:textId="77777777" w:rsidR="00EE2041" w:rsidRPr="001561A6" w:rsidRDefault="00EE2041" w:rsidP="00EE2041">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color w:val="auto"/>
                <w:sz w:val="16"/>
                <w:lang w:val="fr-CH"/>
              </w:rPr>
              <w:t xml:space="preserve">Pornographie, art. 323 </w:t>
            </w:r>
            <w:r w:rsidRPr="001561A6">
              <w:rPr>
                <w:b w:val="0"/>
                <w:iCs/>
                <w:color w:val="auto"/>
                <w:sz w:val="16"/>
                <w:lang w:val="fr-CH"/>
              </w:rPr>
              <w:t>bis</w:t>
            </w:r>
          </w:p>
        </w:tc>
        <w:tc>
          <w:tcPr>
            <w:tcW w:w="1036" w:type="dxa"/>
            <w:tcBorders>
              <w:top w:val="single" w:sz="4" w:space="0" w:color="auto"/>
              <w:bottom w:val="single" w:sz="12" w:space="0" w:color="auto"/>
            </w:tcBorders>
            <w:shd w:val="clear" w:color="auto" w:fill="auto"/>
            <w:vAlign w:val="bottom"/>
            <w:hideMark/>
          </w:tcPr>
          <w:p w14:paraId="197FB813" w14:textId="77777777" w:rsidR="00EE2041" w:rsidRPr="001561A6" w:rsidRDefault="00EE2041" w:rsidP="00EE2041">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color w:val="auto"/>
                <w:sz w:val="16"/>
                <w:lang w:val="fr-CH"/>
              </w:rPr>
              <w:t>Proxénétisme, art. 321</w:t>
            </w:r>
          </w:p>
        </w:tc>
        <w:tc>
          <w:tcPr>
            <w:tcW w:w="1050" w:type="dxa"/>
            <w:tcBorders>
              <w:top w:val="single" w:sz="4" w:space="0" w:color="auto"/>
              <w:bottom w:val="single" w:sz="12" w:space="0" w:color="auto"/>
            </w:tcBorders>
            <w:shd w:val="clear" w:color="auto" w:fill="auto"/>
            <w:vAlign w:val="bottom"/>
            <w:hideMark/>
          </w:tcPr>
          <w:p w14:paraId="53C568DF" w14:textId="77777777" w:rsidR="00EE2041" w:rsidRPr="001561A6" w:rsidRDefault="00EE2041" w:rsidP="00EE2041">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1561A6">
              <w:rPr>
                <w:b w:val="0"/>
                <w:i/>
                <w:color w:val="auto"/>
                <w:sz w:val="16"/>
                <w:lang w:val="fr-CH"/>
              </w:rPr>
              <w:t>Violences sexuelles</w:t>
            </w:r>
            <w:r w:rsidRPr="001561A6">
              <w:rPr>
                <w:b w:val="0"/>
                <w:i/>
                <w:color w:val="auto"/>
                <w:sz w:val="16"/>
                <w:lang w:val="fr-CH"/>
              </w:rPr>
              <w:br/>
              <w:t>à des fins commerciales,</w:t>
            </w:r>
            <w:r w:rsidRPr="001561A6">
              <w:rPr>
                <w:b w:val="0"/>
                <w:i/>
                <w:color w:val="auto"/>
                <w:sz w:val="16"/>
                <w:lang w:val="fr-CH"/>
              </w:rPr>
              <w:br/>
              <w:t>art. 322</w:t>
            </w:r>
          </w:p>
        </w:tc>
        <w:tc>
          <w:tcPr>
            <w:tcW w:w="727" w:type="dxa"/>
            <w:vMerge/>
            <w:tcBorders>
              <w:bottom w:val="single" w:sz="12" w:space="0" w:color="auto"/>
            </w:tcBorders>
            <w:shd w:val="clear" w:color="auto" w:fill="auto"/>
            <w:vAlign w:val="bottom"/>
            <w:hideMark/>
          </w:tcPr>
          <w:p w14:paraId="57552726" w14:textId="77777777" w:rsidR="00EE2041" w:rsidRPr="001561A6" w:rsidRDefault="00EE2041" w:rsidP="00F35858">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 w:val="0"/>
                <w:color w:val="auto"/>
                <w:sz w:val="18"/>
                <w:lang w:val="fr-CH"/>
              </w:rPr>
            </w:pPr>
          </w:p>
        </w:tc>
      </w:tr>
      <w:tr w:rsidR="00EE2041" w:rsidRPr="001561A6" w14:paraId="0ED5F14D" w14:textId="77777777" w:rsidTr="0074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Borders>
              <w:top w:val="single" w:sz="12" w:space="0" w:color="auto"/>
            </w:tcBorders>
            <w:shd w:val="clear" w:color="auto" w:fill="auto"/>
            <w:hideMark/>
          </w:tcPr>
          <w:p w14:paraId="3D49C5A9" w14:textId="77777777" w:rsidR="00575165" w:rsidRPr="001561A6" w:rsidRDefault="00575165" w:rsidP="00F35858">
            <w:pPr>
              <w:suppressAutoHyphens w:val="0"/>
              <w:spacing w:before="40" w:after="40" w:line="220" w:lineRule="exact"/>
              <w:rPr>
                <w:bCs w:val="0"/>
                <w:color w:val="auto"/>
                <w:sz w:val="18"/>
                <w:lang w:val="fr-CH"/>
              </w:rPr>
            </w:pPr>
            <w:r w:rsidRPr="001561A6">
              <w:rPr>
                <w:bCs w:val="0"/>
                <w:color w:val="auto"/>
                <w:sz w:val="18"/>
                <w:lang w:val="fr-CH"/>
              </w:rPr>
              <w:t>Beni</w:t>
            </w:r>
          </w:p>
        </w:tc>
        <w:tc>
          <w:tcPr>
            <w:tcW w:w="980" w:type="dxa"/>
            <w:tcBorders>
              <w:top w:val="single" w:sz="12" w:space="0" w:color="auto"/>
            </w:tcBorders>
            <w:shd w:val="clear" w:color="auto" w:fill="auto"/>
            <w:vAlign w:val="bottom"/>
            <w:hideMark/>
          </w:tcPr>
          <w:p w14:paraId="5230C307"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w:t>
            </w:r>
          </w:p>
        </w:tc>
        <w:tc>
          <w:tcPr>
            <w:tcW w:w="1218" w:type="dxa"/>
            <w:tcBorders>
              <w:top w:val="single" w:sz="12" w:space="0" w:color="auto"/>
            </w:tcBorders>
            <w:shd w:val="clear" w:color="auto" w:fill="auto"/>
            <w:vAlign w:val="bottom"/>
            <w:hideMark/>
          </w:tcPr>
          <w:p w14:paraId="33B6CD31"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16</w:t>
            </w:r>
          </w:p>
        </w:tc>
        <w:tc>
          <w:tcPr>
            <w:tcW w:w="1306" w:type="dxa"/>
            <w:tcBorders>
              <w:top w:val="single" w:sz="12" w:space="0" w:color="auto"/>
            </w:tcBorders>
            <w:shd w:val="clear" w:color="auto" w:fill="auto"/>
            <w:vAlign w:val="bottom"/>
            <w:hideMark/>
          </w:tcPr>
          <w:p w14:paraId="06EAAEFD"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11</w:t>
            </w:r>
          </w:p>
        </w:tc>
        <w:tc>
          <w:tcPr>
            <w:tcW w:w="1078" w:type="dxa"/>
            <w:tcBorders>
              <w:top w:val="single" w:sz="12" w:space="0" w:color="auto"/>
            </w:tcBorders>
            <w:shd w:val="clear" w:color="auto" w:fill="auto"/>
            <w:vAlign w:val="bottom"/>
            <w:hideMark/>
          </w:tcPr>
          <w:p w14:paraId="7447DFBF"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16</w:t>
            </w:r>
          </w:p>
        </w:tc>
        <w:tc>
          <w:tcPr>
            <w:tcW w:w="1036" w:type="dxa"/>
            <w:tcBorders>
              <w:top w:val="single" w:sz="12" w:space="0" w:color="auto"/>
            </w:tcBorders>
            <w:shd w:val="clear" w:color="auto" w:fill="auto"/>
            <w:vAlign w:val="bottom"/>
            <w:hideMark/>
          </w:tcPr>
          <w:p w14:paraId="045F994D"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2</w:t>
            </w:r>
          </w:p>
        </w:tc>
        <w:tc>
          <w:tcPr>
            <w:tcW w:w="1050" w:type="dxa"/>
            <w:tcBorders>
              <w:top w:val="single" w:sz="12" w:space="0" w:color="auto"/>
            </w:tcBorders>
            <w:shd w:val="clear" w:color="auto" w:fill="auto"/>
            <w:vAlign w:val="bottom"/>
            <w:hideMark/>
          </w:tcPr>
          <w:p w14:paraId="6288DCA3"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0</w:t>
            </w:r>
          </w:p>
        </w:tc>
        <w:tc>
          <w:tcPr>
            <w:tcW w:w="727" w:type="dxa"/>
            <w:tcBorders>
              <w:top w:val="single" w:sz="12" w:space="0" w:color="auto"/>
            </w:tcBorders>
            <w:shd w:val="clear" w:color="auto" w:fill="auto"/>
            <w:vAlign w:val="bottom"/>
            <w:hideMark/>
          </w:tcPr>
          <w:p w14:paraId="378545DD"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46</w:t>
            </w:r>
          </w:p>
        </w:tc>
      </w:tr>
      <w:tr w:rsidR="00EE2041" w:rsidRPr="001561A6" w14:paraId="64304FEE" w14:textId="77777777" w:rsidTr="00742A15">
        <w:tc>
          <w:tcPr>
            <w:cnfStyle w:val="001000000000" w:firstRow="0" w:lastRow="0" w:firstColumn="1" w:lastColumn="0" w:oddVBand="0" w:evenVBand="0" w:oddHBand="0" w:evenHBand="0" w:firstRowFirstColumn="0" w:firstRowLastColumn="0" w:lastRowFirstColumn="0" w:lastRowLastColumn="0"/>
            <w:tcW w:w="1110" w:type="dxa"/>
            <w:shd w:val="clear" w:color="auto" w:fill="auto"/>
            <w:hideMark/>
          </w:tcPr>
          <w:p w14:paraId="4096CB6C" w14:textId="77777777" w:rsidR="00575165" w:rsidRPr="001561A6" w:rsidRDefault="00575165" w:rsidP="00F35858">
            <w:pPr>
              <w:suppressAutoHyphens w:val="0"/>
              <w:spacing w:before="40" w:after="40" w:line="220" w:lineRule="exact"/>
              <w:rPr>
                <w:bCs w:val="0"/>
                <w:color w:val="auto"/>
                <w:sz w:val="18"/>
                <w:lang w:val="fr-CH"/>
              </w:rPr>
            </w:pPr>
            <w:r w:rsidRPr="001561A6">
              <w:rPr>
                <w:bCs w:val="0"/>
                <w:color w:val="auto"/>
                <w:sz w:val="18"/>
                <w:lang w:val="fr-CH"/>
              </w:rPr>
              <w:t>Chuquisaca</w:t>
            </w:r>
          </w:p>
        </w:tc>
        <w:tc>
          <w:tcPr>
            <w:tcW w:w="980" w:type="dxa"/>
            <w:shd w:val="clear" w:color="auto" w:fill="auto"/>
            <w:vAlign w:val="bottom"/>
            <w:hideMark/>
          </w:tcPr>
          <w:p w14:paraId="7406CDC4"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0</w:t>
            </w:r>
          </w:p>
        </w:tc>
        <w:tc>
          <w:tcPr>
            <w:tcW w:w="1218" w:type="dxa"/>
            <w:shd w:val="clear" w:color="auto" w:fill="auto"/>
            <w:vAlign w:val="bottom"/>
            <w:hideMark/>
          </w:tcPr>
          <w:p w14:paraId="4410C8BF"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6</w:t>
            </w:r>
          </w:p>
        </w:tc>
        <w:tc>
          <w:tcPr>
            <w:tcW w:w="1306" w:type="dxa"/>
            <w:shd w:val="clear" w:color="auto" w:fill="auto"/>
            <w:vAlign w:val="bottom"/>
            <w:hideMark/>
          </w:tcPr>
          <w:p w14:paraId="52F21AA2"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4</w:t>
            </w:r>
          </w:p>
        </w:tc>
        <w:tc>
          <w:tcPr>
            <w:tcW w:w="1078" w:type="dxa"/>
            <w:shd w:val="clear" w:color="auto" w:fill="auto"/>
            <w:vAlign w:val="bottom"/>
            <w:hideMark/>
          </w:tcPr>
          <w:p w14:paraId="2CF48B20"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14</w:t>
            </w:r>
          </w:p>
        </w:tc>
        <w:tc>
          <w:tcPr>
            <w:tcW w:w="1036" w:type="dxa"/>
            <w:shd w:val="clear" w:color="auto" w:fill="auto"/>
            <w:vAlign w:val="bottom"/>
            <w:hideMark/>
          </w:tcPr>
          <w:p w14:paraId="3C8A0F09"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1</w:t>
            </w:r>
          </w:p>
        </w:tc>
        <w:tc>
          <w:tcPr>
            <w:tcW w:w="1050" w:type="dxa"/>
            <w:shd w:val="clear" w:color="auto" w:fill="auto"/>
            <w:vAlign w:val="bottom"/>
            <w:hideMark/>
          </w:tcPr>
          <w:p w14:paraId="176F9FE4"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1</w:t>
            </w:r>
          </w:p>
        </w:tc>
        <w:tc>
          <w:tcPr>
            <w:tcW w:w="727" w:type="dxa"/>
            <w:shd w:val="clear" w:color="auto" w:fill="auto"/>
            <w:vAlign w:val="bottom"/>
            <w:hideMark/>
          </w:tcPr>
          <w:p w14:paraId="3055BC94"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26</w:t>
            </w:r>
          </w:p>
        </w:tc>
      </w:tr>
      <w:tr w:rsidR="00EE2041" w:rsidRPr="001561A6" w14:paraId="73DEB8DC" w14:textId="77777777" w:rsidTr="0074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hideMark/>
          </w:tcPr>
          <w:p w14:paraId="2C775952" w14:textId="77777777" w:rsidR="00575165" w:rsidRPr="001561A6" w:rsidRDefault="00575165" w:rsidP="00F35858">
            <w:pPr>
              <w:suppressAutoHyphens w:val="0"/>
              <w:spacing w:before="40" w:after="40" w:line="220" w:lineRule="exact"/>
              <w:rPr>
                <w:bCs w:val="0"/>
                <w:color w:val="auto"/>
                <w:sz w:val="18"/>
                <w:lang w:val="fr-CH"/>
              </w:rPr>
            </w:pPr>
            <w:r w:rsidRPr="001561A6">
              <w:rPr>
                <w:bCs w:val="0"/>
                <w:color w:val="auto"/>
                <w:sz w:val="18"/>
                <w:lang w:val="fr-CH"/>
              </w:rPr>
              <w:t>Cochabamba</w:t>
            </w:r>
          </w:p>
        </w:tc>
        <w:tc>
          <w:tcPr>
            <w:tcW w:w="980" w:type="dxa"/>
            <w:shd w:val="clear" w:color="auto" w:fill="auto"/>
            <w:vAlign w:val="bottom"/>
            <w:hideMark/>
          </w:tcPr>
          <w:p w14:paraId="79AA5BED"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4</w:t>
            </w:r>
          </w:p>
        </w:tc>
        <w:tc>
          <w:tcPr>
            <w:tcW w:w="1218" w:type="dxa"/>
            <w:shd w:val="clear" w:color="auto" w:fill="auto"/>
            <w:vAlign w:val="bottom"/>
            <w:hideMark/>
          </w:tcPr>
          <w:p w14:paraId="17959BB2"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36</w:t>
            </w:r>
          </w:p>
        </w:tc>
        <w:tc>
          <w:tcPr>
            <w:tcW w:w="1306" w:type="dxa"/>
            <w:shd w:val="clear" w:color="auto" w:fill="auto"/>
            <w:vAlign w:val="bottom"/>
            <w:hideMark/>
          </w:tcPr>
          <w:p w14:paraId="6182B43C"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33</w:t>
            </w:r>
          </w:p>
        </w:tc>
        <w:tc>
          <w:tcPr>
            <w:tcW w:w="1078" w:type="dxa"/>
            <w:shd w:val="clear" w:color="auto" w:fill="auto"/>
            <w:vAlign w:val="bottom"/>
            <w:hideMark/>
          </w:tcPr>
          <w:p w14:paraId="6E4940F4"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23</w:t>
            </w:r>
          </w:p>
        </w:tc>
        <w:tc>
          <w:tcPr>
            <w:tcW w:w="1036" w:type="dxa"/>
            <w:shd w:val="clear" w:color="auto" w:fill="auto"/>
            <w:vAlign w:val="bottom"/>
            <w:hideMark/>
          </w:tcPr>
          <w:p w14:paraId="0B4DC4B5"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11</w:t>
            </w:r>
          </w:p>
        </w:tc>
        <w:tc>
          <w:tcPr>
            <w:tcW w:w="1050" w:type="dxa"/>
            <w:shd w:val="clear" w:color="auto" w:fill="auto"/>
            <w:vAlign w:val="bottom"/>
            <w:hideMark/>
          </w:tcPr>
          <w:p w14:paraId="4180152B"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2</w:t>
            </w:r>
          </w:p>
        </w:tc>
        <w:tc>
          <w:tcPr>
            <w:tcW w:w="727" w:type="dxa"/>
            <w:shd w:val="clear" w:color="auto" w:fill="auto"/>
            <w:vAlign w:val="bottom"/>
            <w:hideMark/>
          </w:tcPr>
          <w:p w14:paraId="69B8DC0C"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109</w:t>
            </w:r>
          </w:p>
        </w:tc>
      </w:tr>
      <w:tr w:rsidR="00EE2041" w:rsidRPr="001561A6" w14:paraId="1FFF048D" w14:textId="77777777" w:rsidTr="00742A15">
        <w:tc>
          <w:tcPr>
            <w:cnfStyle w:val="001000000000" w:firstRow="0" w:lastRow="0" w:firstColumn="1" w:lastColumn="0" w:oddVBand="0" w:evenVBand="0" w:oddHBand="0" w:evenHBand="0" w:firstRowFirstColumn="0" w:firstRowLastColumn="0" w:lastRowFirstColumn="0" w:lastRowLastColumn="0"/>
            <w:tcW w:w="1110" w:type="dxa"/>
            <w:shd w:val="clear" w:color="auto" w:fill="auto"/>
            <w:hideMark/>
          </w:tcPr>
          <w:p w14:paraId="4266BD78" w14:textId="77777777" w:rsidR="00575165" w:rsidRPr="001561A6" w:rsidRDefault="00575165" w:rsidP="00F35858">
            <w:pPr>
              <w:suppressAutoHyphens w:val="0"/>
              <w:spacing w:before="40" w:after="40" w:line="220" w:lineRule="exact"/>
              <w:rPr>
                <w:bCs w:val="0"/>
                <w:color w:val="auto"/>
                <w:sz w:val="18"/>
                <w:lang w:val="fr-CH"/>
              </w:rPr>
            </w:pPr>
            <w:r w:rsidRPr="001561A6">
              <w:rPr>
                <w:bCs w:val="0"/>
                <w:color w:val="auto"/>
                <w:sz w:val="18"/>
                <w:lang w:val="fr-CH"/>
              </w:rPr>
              <w:t>La Paz</w:t>
            </w:r>
          </w:p>
        </w:tc>
        <w:tc>
          <w:tcPr>
            <w:tcW w:w="980" w:type="dxa"/>
            <w:shd w:val="clear" w:color="auto" w:fill="auto"/>
            <w:vAlign w:val="bottom"/>
            <w:hideMark/>
          </w:tcPr>
          <w:p w14:paraId="7A7F6DA5"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6</w:t>
            </w:r>
          </w:p>
        </w:tc>
        <w:tc>
          <w:tcPr>
            <w:tcW w:w="1218" w:type="dxa"/>
            <w:shd w:val="clear" w:color="auto" w:fill="auto"/>
            <w:vAlign w:val="bottom"/>
            <w:hideMark/>
          </w:tcPr>
          <w:p w14:paraId="059E56F8"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248</w:t>
            </w:r>
          </w:p>
        </w:tc>
        <w:tc>
          <w:tcPr>
            <w:tcW w:w="1306" w:type="dxa"/>
            <w:shd w:val="clear" w:color="auto" w:fill="auto"/>
            <w:vAlign w:val="bottom"/>
            <w:hideMark/>
          </w:tcPr>
          <w:p w14:paraId="267B1DAB"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79</w:t>
            </w:r>
          </w:p>
        </w:tc>
        <w:tc>
          <w:tcPr>
            <w:tcW w:w="1078" w:type="dxa"/>
            <w:shd w:val="clear" w:color="auto" w:fill="auto"/>
            <w:vAlign w:val="bottom"/>
            <w:hideMark/>
          </w:tcPr>
          <w:p w14:paraId="5C2DFE17"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73</w:t>
            </w:r>
          </w:p>
        </w:tc>
        <w:tc>
          <w:tcPr>
            <w:tcW w:w="1036" w:type="dxa"/>
            <w:shd w:val="clear" w:color="auto" w:fill="auto"/>
            <w:vAlign w:val="bottom"/>
            <w:hideMark/>
          </w:tcPr>
          <w:p w14:paraId="6B799171"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24</w:t>
            </w:r>
          </w:p>
        </w:tc>
        <w:tc>
          <w:tcPr>
            <w:tcW w:w="1050" w:type="dxa"/>
            <w:shd w:val="clear" w:color="auto" w:fill="auto"/>
            <w:vAlign w:val="bottom"/>
            <w:hideMark/>
          </w:tcPr>
          <w:p w14:paraId="31CD9B21"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1</w:t>
            </w:r>
          </w:p>
        </w:tc>
        <w:tc>
          <w:tcPr>
            <w:tcW w:w="727" w:type="dxa"/>
            <w:shd w:val="clear" w:color="auto" w:fill="auto"/>
            <w:vAlign w:val="bottom"/>
            <w:hideMark/>
          </w:tcPr>
          <w:p w14:paraId="37C51D3A"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431</w:t>
            </w:r>
          </w:p>
        </w:tc>
      </w:tr>
      <w:tr w:rsidR="00EE2041" w:rsidRPr="001561A6" w14:paraId="427F651C" w14:textId="77777777" w:rsidTr="0074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hideMark/>
          </w:tcPr>
          <w:p w14:paraId="155E5DD5" w14:textId="77777777" w:rsidR="00575165" w:rsidRPr="001561A6" w:rsidRDefault="00575165" w:rsidP="00F35858">
            <w:pPr>
              <w:suppressAutoHyphens w:val="0"/>
              <w:spacing w:before="40" w:after="40" w:line="220" w:lineRule="exact"/>
              <w:rPr>
                <w:bCs w:val="0"/>
                <w:color w:val="auto"/>
                <w:sz w:val="18"/>
                <w:lang w:val="fr-CH"/>
              </w:rPr>
            </w:pPr>
            <w:r w:rsidRPr="001561A6">
              <w:rPr>
                <w:bCs w:val="0"/>
                <w:color w:val="auto"/>
                <w:sz w:val="18"/>
                <w:lang w:val="fr-CH"/>
              </w:rPr>
              <w:t>Oruro</w:t>
            </w:r>
          </w:p>
        </w:tc>
        <w:tc>
          <w:tcPr>
            <w:tcW w:w="980" w:type="dxa"/>
            <w:shd w:val="clear" w:color="auto" w:fill="auto"/>
            <w:vAlign w:val="bottom"/>
            <w:hideMark/>
          </w:tcPr>
          <w:p w14:paraId="6042683A"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2</w:t>
            </w:r>
          </w:p>
        </w:tc>
        <w:tc>
          <w:tcPr>
            <w:tcW w:w="1218" w:type="dxa"/>
            <w:shd w:val="clear" w:color="auto" w:fill="auto"/>
            <w:vAlign w:val="bottom"/>
            <w:hideMark/>
          </w:tcPr>
          <w:p w14:paraId="6EA56D95"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17</w:t>
            </w:r>
          </w:p>
        </w:tc>
        <w:tc>
          <w:tcPr>
            <w:tcW w:w="1306" w:type="dxa"/>
            <w:shd w:val="clear" w:color="auto" w:fill="auto"/>
            <w:vAlign w:val="bottom"/>
            <w:hideMark/>
          </w:tcPr>
          <w:p w14:paraId="5B69D846"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29</w:t>
            </w:r>
          </w:p>
        </w:tc>
        <w:tc>
          <w:tcPr>
            <w:tcW w:w="1078" w:type="dxa"/>
            <w:shd w:val="clear" w:color="auto" w:fill="auto"/>
            <w:vAlign w:val="bottom"/>
            <w:hideMark/>
          </w:tcPr>
          <w:p w14:paraId="069AEC0C"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w:t>
            </w:r>
          </w:p>
        </w:tc>
        <w:tc>
          <w:tcPr>
            <w:tcW w:w="1036" w:type="dxa"/>
            <w:shd w:val="clear" w:color="auto" w:fill="auto"/>
            <w:vAlign w:val="bottom"/>
            <w:hideMark/>
          </w:tcPr>
          <w:p w14:paraId="005E2A15"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w:t>
            </w:r>
          </w:p>
        </w:tc>
        <w:tc>
          <w:tcPr>
            <w:tcW w:w="1050" w:type="dxa"/>
            <w:shd w:val="clear" w:color="auto" w:fill="auto"/>
            <w:vAlign w:val="bottom"/>
            <w:hideMark/>
          </w:tcPr>
          <w:p w14:paraId="37811111"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w:t>
            </w:r>
          </w:p>
        </w:tc>
        <w:tc>
          <w:tcPr>
            <w:tcW w:w="727" w:type="dxa"/>
            <w:shd w:val="clear" w:color="auto" w:fill="auto"/>
            <w:vAlign w:val="bottom"/>
            <w:hideMark/>
          </w:tcPr>
          <w:p w14:paraId="6D787DCF"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51</w:t>
            </w:r>
          </w:p>
        </w:tc>
      </w:tr>
      <w:tr w:rsidR="00EE2041" w:rsidRPr="001561A6" w14:paraId="04773FD2" w14:textId="77777777" w:rsidTr="00742A15">
        <w:tc>
          <w:tcPr>
            <w:cnfStyle w:val="001000000000" w:firstRow="0" w:lastRow="0" w:firstColumn="1" w:lastColumn="0" w:oddVBand="0" w:evenVBand="0" w:oddHBand="0" w:evenHBand="0" w:firstRowFirstColumn="0" w:firstRowLastColumn="0" w:lastRowFirstColumn="0" w:lastRowLastColumn="0"/>
            <w:tcW w:w="1110" w:type="dxa"/>
            <w:shd w:val="clear" w:color="auto" w:fill="auto"/>
            <w:hideMark/>
          </w:tcPr>
          <w:p w14:paraId="2C56C734" w14:textId="77777777" w:rsidR="00575165" w:rsidRPr="001561A6" w:rsidRDefault="00575165" w:rsidP="00F35858">
            <w:pPr>
              <w:suppressAutoHyphens w:val="0"/>
              <w:spacing w:before="40" w:after="40" w:line="220" w:lineRule="exact"/>
              <w:rPr>
                <w:bCs w:val="0"/>
                <w:color w:val="auto"/>
                <w:sz w:val="18"/>
                <w:lang w:val="fr-CH"/>
              </w:rPr>
            </w:pPr>
            <w:r w:rsidRPr="001561A6">
              <w:rPr>
                <w:bCs w:val="0"/>
                <w:color w:val="auto"/>
                <w:sz w:val="18"/>
                <w:lang w:val="fr-CH"/>
              </w:rPr>
              <w:t>Pando</w:t>
            </w:r>
          </w:p>
        </w:tc>
        <w:tc>
          <w:tcPr>
            <w:tcW w:w="980" w:type="dxa"/>
            <w:shd w:val="clear" w:color="auto" w:fill="auto"/>
            <w:vAlign w:val="bottom"/>
            <w:hideMark/>
          </w:tcPr>
          <w:p w14:paraId="1824DC2D"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0</w:t>
            </w:r>
          </w:p>
        </w:tc>
        <w:tc>
          <w:tcPr>
            <w:tcW w:w="1218" w:type="dxa"/>
            <w:shd w:val="clear" w:color="auto" w:fill="auto"/>
            <w:vAlign w:val="bottom"/>
            <w:hideMark/>
          </w:tcPr>
          <w:p w14:paraId="591F6C5C"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3</w:t>
            </w:r>
          </w:p>
        </w:tc>
        <w:tc>
          <w:tcPr>
            <w:tcW w:w="1306" w:type="dxa"/>
            <w:shd w:val="clear" w:color="auto" w:fill="auto"/>
            <w:vAlign w:val="bottom"/>
            <w:hideMark/>
          </w:tcPr>
          <w:p w14:paraId="258CE03D"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0</w:t>
            </w:r>
          </w:p>
        </w:tc>
        <w:tc>
          <w:tcPr>
            <w:tcW w:w="1078" w:type="dxa"/>
            <w:shd w:val="clear" w:color="auto" w:fill="auto"/>
            <w:vAlign w:val="bottom"/>
            <w:hideMark/>
          </w:tcPr>
          <w:p w14:paraId="28833D55"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1</w:t>
            </w:r>
          </w:p>
        </w:tc>
        <w:tc>
          <w:tcPr>
            <w:tcW w:w="1036" w:type="dxa"/>
            <w:shd w:val="clear" w:color="auto" w:fill="auto"/>
            <w:vAlign w:val="bottom"/>
            <w:hideMark/>
          </w:tcPr>
          <w:p w14:paraId="4DD4B00F"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1</w:t>
            </w:r>
          </w:p>
        </w:tc>
        <w:tc>
          <w:tcPr>
            <w:tcW w:w="1050" w:type="dxa"/>
            <w:shd w:val="clear" w:color="auto" w:fill="auto"/>
            <w:vAlign w:val="bottom"/>
            <w:hideMark/>
          </w:tcPr>
          <w:p w14:paraId="7373028B"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0</w:t>
            </w:r>
          </w:p>
        </w:tc>
        <w:tc>
          <w:tcPr>
            <w:tcW w:w="727" w:type="dxa"/>
            <w:shd w:val="clear" w:color="auto" w:fill="auto"/>
            <w:vAlign w:val="bottom"/>
            <w:hideMark/>
          </w:tcPr>
          <w:p w14:paraId="1E357932"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5</w:t>
            </w:r>
          </w:p>
        </w:tc>
      </w:tr>
      <w:tr w:rsidR="00EE2041" w:rsidRPr="001561A6" w14:paraId="522702D9" w14:textId="77777777" w:rsidTr="0074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hideMark/>
          </w:tcPr>
          <w:p w14:paraId="6DD807CB" w14:textId="77777777" w:rsidR="00575165" w:rsidRPr="001561A6" w:rsidRDefault="00575165" w:rsidP="00F35858">
            <w:pPr>
              <w:suppressAutoHyphens w:val="0"/>
              <w:spacing w:before="40" w:after="40" w:line="220" w:lineRule="exact"/>
              <w:rPr>
                <w:bCs w:val="0"/>
                <w:color w:val="auto"/>
                <w:sz w:val="18"/>
                <w:lang w:val="fr-CH"/>
              </w:rPr>
            </w:pPr>
            <w:r w:rsidRPr="001561A6">
              <w:rPr>
                <w:bCs w:val="0"/>
                <w:color w:val="auto"/>
                <w:sz w:val="18"/>
                <w:lang w:val="fr-CH"/>
              </w:rPr>
              <w:t>Potosí</w:t>
            </w:r>
          </w:p>
        </w:tc>
        <w:tc>
          <w:tcPr>
            <w:tcW w:w="980" w:type="dxa"/>
            <w:shd w:val="clear" w:color="auto" w:fill="auto"/>
            <w:vAlign w:val="bottom"/>
            <w:hideMark/>
          </w:tcPr>
          <w:p w14:paraId="13AFF2E8"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w:t>
            </w:r>
          </w:p>
        </w:tc>
        <w:tc>
          <w:tcPr>
            <w:tcW w:w="1218" w:type="dxa"/>
            <w:shd w:val="clear" w:color="auto" w:fill="auto"/>
            <w:vAlign w:val="bottom"/>
            <w:hideMark/>
          </w:tcPr>
          <w:p w14:paraId="60066102"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7</w:t>
            </w:r>
          </w:p>
        </w:tc>
        <w:tc>
          <w:tcPr>
            <w:tcW w:w="1306" w:type="dxa"/>
            <w:shd w:val="clear" w:color="auto" w:fill="auto"/>
            <w:vAlign w:val="bottom"/>
            <w:hideMark/>
          </w:tcPr>
          <w:p w14:paraId="6FC46270"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13</w:t>
            </w:r>
          </w:p>
        </w:tc>
        <w:tc>
          <w:tcPr>
            <w:tcW w:w="1078" w:type="dxa"/>
            <w:shd w:val="clear" w:color="auto" w:fill="auto"/>
            <w:vAlign w:val="bottom"/>
            <w:hideMark/>
          </w:tcPr>
          <w:p w14:paraId="5C016549"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4</w:t>
            </w:r>
          </w:p>
        </w:tc>
        <w:tc>
          <w:tcPr>
            <w:tcW w:w="1036" w:type="dxa"/>
            <w:shd w:val="clear" w:color="auto" w:fill="auto"/>
            <w:vAlign w:val="bottom"/>
            <w:hideMark/>
          </w:tcPr>
          <w:p w14:paraId="3C979270"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5</w:t>
            </w:r>
          </w:p>
        </w:tc>
        <w:tc>
          <w:tcPr>
            <w:tcW w:w="1050" w:type="dxa"/>
            <w:shd w:val="clear" w:color="auto" w:fill="auto"/>
            <w:vAlign w:val="bottom"/>
            <w:hideMark/>
          </w:tcPr>
          <w:p w14:paraId="1DD9A244"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0</w:t>
            </w:r>
          </w:p>
        </w:tc>
        <w:tc>
          <w:tcPr>
            <w:tcW w:w="727" w:type="dxa"/>
            <w:shd w:val="clear" w:color="auto" w:fill="auto"/>
            <w:vAlign w:val="bottom"/>
            <w:hideMark/>
          </w:tcPr>
          <w:p w14:paraId="4132BA6F"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30</w:t>
            </w:r>
          </w:p>
        </w:tc>
      </w:tr>
      <w:tr w:rsidR="00EE2041" w:rsidRPr="001561A6" w14:paraId="6A419365" w14:textId="77777777" w:rsidTr="00742A15">
        <w:tc>
          <w:tcPr>
            <w:cnfStyle w:val="001000000000" w:firstRow="0" w:lastRow="0" w:firstColumn="1" w:lastColumn="0" w:oddVBand="0" w:evenVBand="0" w:oddHBand="0" w:evenHBand="0" w:firstRowFirstColumn="0" w:firstRowLastColumn="0" w:lastRowFirstColumn="0" w:lastRowLastColumn="0"/>
            <w:tcW w:w="1110" w:type="dxa"/>
            <w:shd w:val="clear" w:color="auto" w:fill="auto"/>
            <w:hideMark/>
          </w:tcPr>
          <w:p w14:paraId="3DA52675" w14:textId="77777777" w:rsidR="00575165" w:rsidRPr="001561A6" w:rsidRDefault="00575165" w:rsidP="00F35858">
            <w:pPr>
              <w:suppressAutoHyphens w:val="0"/>
              <w:spacing w:before="40" w:after="40" w:line="220" w:lineRule="exact"/>
              <w:rPr>
                <w:bCs w:val="0"/>
                <w:color w:val="auto"/>
                <w:sz w:val="18"/>
                <w:lang w:val="fr-CH"/>
              </w:rPr>
            </w:pPr>
            <w:r w:rsidRPr="001561A6">
              <w:rPr>
                <w:bCs w:val="0"/>
                <w:color w:val="auto"/>
                <w:sz w:val="18"/>
                <w:lang w:val="fr-CH"/>
              </w:rPr>
              <w:t>Santa Cruz</w:t>
            </w:r>
          </w:p>
        </w:tc>
        <w:tc>
          <w:tcPr>
            <w:tcW w:w="980" w:type="dxa"/>
            <w:shd w:val="clear" w:color="auto" w:fill="auto"/>
            <w:vAlign w:val="bottom"/>
            <w:hideMark/>
          </w:tcPr>
          <w:p w14:paraId="03C1385D"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2</w:t>
            </w:r>
          </w:p>
        </w:tc>
        <w:tc>
          <w:tcPr>
            <w:tcW w:w="1218" w:type="dxa"/>
            <w:shd w:val="clear" w:color="auto" w:fill="auto"/>
            <w:vAlign w:val="bottom"/>
            <w:hideMark/>
          </w:tcPr>
          <w:p w14:paraId="269C03CE"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47</w:t>
            </w:r>
          </w:p>
        </w:tc>
        <w:tc>
          <w:tcPr>
            <w:tcW w:w="1306" w:type="dxa"/>
            <w:shd w:val="clear" w:color="auto" w:fill="auto"/>
            <w:vAlign w:val="bottom"/>
            <w:hideMark/>
          </w:tcPr>
          <w:p w14:paraId="4A4ABC45"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12</w:t>
            </w:r>
          </w:p>
        </w:tc>
        <w:tc>
          <w:tcPr>
            <w:tcW w:w="1078" w:type="dxa"/>
            <w:shd w:val="clear" w:color="auto" w:fill="auto"/>
            <w:vAlign w:val="bottom"/>
            <w:hideMark/>
          </w:tcPr>
          <w:p w14:paraId="30257304"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28</w:t>
            </w:r>
          </w:p>
        </w:tc>
        <w:tc>
          <w:tcPr>
            <w:tcW w:w="1036" w:type="dxa"/>
            <w:shd w:val="clear" w:color="auto" w:fill="auto"/>
            <w:vAlign w:val="bottom"/>
            <w:hideMark/>
          </w:tcPr>
          <w:p w14:paraId="27BA3307"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4</w:t>
            </w:r>
          </w:p>
        </w:tc>
        <w:tc>
          <w:tcPr>
            <w:tcW w:w="1050" w:type="dxa"/>
            <w:shd w:val="clear" w:color="auto" w:fill="auto"/>
            <w:vAlign w:val="bottom"/>
            <w:hideMark/>
          </w:tcPr>
          <w:p w14:paraId="2D444D77"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6</w:t>
            </w:r>
          </w:p>
        </w:tc>
        <w:tc>
          <w:tcPr>
            <w:tcW w:w="727" w:type="dxa"/>
            <w:shd w:val="clear" w:color="auto" w:fill="auto"/>
            <w:vAlign w:val="bottom"/>
            <w:hideMark/>
          </w:tcPr>
          <w:p w14:paraId="305C915E" w14:textId="77777777" w:rsidR="00575165" w:rsidRPr="001561A6" w:rsidRDefault="00575165" w:rsidP="00F35858">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99</w:t>
            </w:r>
          </w:p>
        </w:tc>
      </w:tr>
      <w:tr w:rsidR="00EE2041" w:rsidRPr="001561A6" w14:paraId="642BC5E6" w14:textId="77777777" w:rsidTr="0074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Borders>
              <w:bottom w:val="single" w:sz="4" w:space="0" w:color="auto"/>
            </w:tcBorders>
            <w:shd w:val="clear" w:color="auto" w:fill="auto"/>
            <w:hideMark/>
          </w:tcPr>
          <w:p w14:paraId="70C07822" w14:textId="77777777" w:rsidR="00575165" w:rsidRPr="001561A6" w:rsidRDefault="00575165" w:rsidP="00F35858">
            <w:pPr>
              <w:suppressAutoHyphens w:val="0"/>
              <w:spacing w:before="40" w:after="40" w:line="220" w:lineRule="exact"/>
              <w:rPr>
                <w:bCs w:val="0"/>
                <w:color w:val="auto"/>
                <w:sz w:val="18"/>
                <w:lang w:val="fr-CH"/>
              </w:rPr>
            </w:pPr>
            <w:r w:rsidRPr="001561A6">
              <w:rPr>
                <w:bCs w:val="0"/>
                <w:color w:val="auto"/>
                <w:sz w:val="18"/>
                <w:lang w:val="fr-CH"/>
              </w:rPr>
              <w:t>Tarija</w:t>
            </w:r>
          </w:p>
        </w:tc>
        <w:tc>
          <w:tcPr>
            <w:tcW w:w="980" w:type="dxa"/>
            <w:tcBorders>
              <w:bottom w:val="single" w:sz="4" w:space="0" w:color="auto"/>
            </w:tcBorders>
            <w:shd w:val="clear" w:color="auto" w:fill="auto"/>
            <w:vAlign w:val="bottom"/>
            <w:hideMark/>
          </w:tcPr>
          <w:p w14:paraId="22CDA684"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0</w:t>
            </w:r>
          </w:p>
        </w:tc>
        <w:tc>
          <w:tcPr>
            <w:tcW w:w="1218" w:type="dxa"/>
            <w:tcBorders>
              <w:bottom w:val="single" w:sz="4" w:space="0" w:color="auto"/>
            </w:tcBorders>
            <w:shd w:val="clear" w:color="auto" w:fill="auto"/>
            <w:vAlign w:val="bottom"/>
            <w:hideMark/>
          </w:tcPr>
          <w:p w14:paraId="4679DAAA"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9</w:t>
            </w:r>
          </w:p>
        </w:tc>
        <w:tc>
          <w:tcPr>
            <w:tcW w:w="1306" w:type="dxa"/>
            <w:tcBorders>
              <w:bottom w:val="single" w:sz="4" w:space="0" w:color="auto"/>
            </w:tcBorders>
            <w:shd w:val="clear" w:color="auto" w:fill="auto"/>
            <w:vAlign w:val="bottom"/>
            <w:hideMark/>
          </w:tcPr>
          <w:p w14:paraId="4BC674E3"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23</w:t>
            </w:r>
          </w:p>
        </w:tc>
        <w:tc>
          <w:tcPr>
            <w:tcW w:w="1078" w:type="dxa"/>
            <w:tcBorders>
              <w:bottom w:val="single" w:sz="4" w:space="0" w:color="auto"/>
            </w:tcBorders>
            <w:shd w:val="clear" w:color="auto" w:fill="auto"/>
            <w:vAlign w:val="bottom"/>
            <w:hideMark/>
          </w:tcPr>
          <w:p w14:paraId="177F0D19"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3</w:t>
            </w:r>
          </w:p>
        </w:tc>
        <w:tc>
          <w:tcPr>
            <w:tcW w:w="1036" w:type="dxa"/>
            <w:tcBorders>
              <w:bottom w:val="single" w:sz="4" w:space="0" w:color="auto"/>
            </w:tcBorders>
            <w:shd w:val="clear" w:color="auto" w:fill="auto"/>
            <w:vAlign w:val="bottom"/>
            <w:hideMark/>
          </w:tcPr>
          <w:p w14:paraId="00262964"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1</w:t>
            </w:r>
          </w:p>
        </w:tc>
        <w:tc>
          <w:tcPr>
            <w:tcW w:w="1050" w:type="dxa"/>
            <w:tcBorders>
              <w:bottom w:val="single" w:sz="4" w:space="0" w:color="auto"/>
            </w:tcBorders>
            <w:shd w:val="clear" w:color="auto" w:fill="auto"/>
            <w:vAlign w:val="bottom"/>
            <w:hideMark/>
          </w:tcPr>
          <w:p w14:paraId="530E825F"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0</w:t>
            </w:r>
          </w:p>
        </w:tc>
        <w:tc>
          <w:tcPr>
            <w:tcW w:w="727" w:type="dxa"/>
            <w:tcBorders>
              <w:bottom w:val="single" w:sz="4" w:space="0" w:color="auto"/>
            </w:tcBorders>
            <w:shd w:val="clear" w:color="auto" w:fill="auto"/>
            <w:vAlign w:val="bottom"/>
            <w:hideMark/>
          </w:tcPr>
          <w:p w14:paraId="6EAC5452" w14:textId="77777777" w:rsidR="00575165" w:rsidRPr="001561A6" w:rsidRDefault="00575165" w:rsidP="00F35858">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1561A6">
              <w:rPr>
                <w:sz w:val="18"/>
                <w:lang w:val="fr-CH"/>
              </w:rPr>
              <w:t>36</w:t>
            </w:r>
          </w:p>
        </w:tc>
      </w:tr>
      <w:tr w:rsidR="00EE2041" w:rsidRPr="001561A6" w14:paraId="366D1F5E" w14:textId="77777777" w:rsidTr="00742A15">
        <w:tc>
          <w:tcPr>
            <w:cnfStyle w:val="001000000000" w:firstRow="0" w:lastRow="0" w:firstColumn="1" w:lastColumn="0" w:oddVBand="0" w:evenVBand="0" w:oddHBand="0" w:evenHBand="0" w:firstRowFirstColumn="0" w:firstRowLastColumn="0" w:lastRowFirstColumn="0" w:lastRowLastColumn="0"/>
            <w:tcW w:w="1110" w:type="dxa"/>
            <w:tcBorders>
              <w:top w:val="single" w:sz="4" w:space="0" w:color="auto"/>
              <w:left w:val="none" w:sz="0" w:space="0" w:color="auto"/>
              <w:bottom w:val="single" w:sz="12" w:space="0" w:color="auto"/>
            </w:tcBorders>
            <w:shd w:val="clear" w:color="auto" w:fill="auto"/>
            <w:hideMark/>
          </w:tcPr>
          <w:p w14:paraId="7E53E8FC" w14:textId="77777777" w:rsidR="00575165" w:rsidRPr="001561A6" w:rsidRDefault="00575165" w:rsidP="00381A66">
            <w:pPr>
              <w:suppressAutoHyphens w:val="0"/>
              <w:spacing w:before="80" w:after="80" w:line="220" w:lineRule="exact"/>
              <w:ind w:left="283"/>
              <w:rPr>
                <w:color w:val="auto"/>
                <w:sz w:val="18"/>
                <w:lang w:val="fr-CH"/>
              </w:rPr>
            </w:pPr>
            <w:r w:rsidRPr="001561A6">
              <w:rPr>
                <w:color w:val="auto"/>
                <w:sz w:val="18"/>
                <w:lang w:val="fr-CH"/>
              </w:rPr>
              <w:t xml:space="preserve">Total </w:t>
            </w:r>
            <w:r w:rsidR="00381A66" w:rsidRPr="001561A6">
              <w:rPr>
                <w:color w:val="auto"/>
                <w:sz w:val="18"/>
                <w:lang w:val="fr-CH"/>
              </w:rPr>
              <w:t>géné</w:t>
            </w:r>
            <w:r w:rsidRPr="001561A6">
              <w:rPr>
                <w:color w:val="auto"/>
                <w:sz w:val="18"/>
                <w:lang w:val="fr-CH"/>
              </w:rPr>
              <w:t>ral</w:t>
            </w:r>
          </w:p>
        </w:tc>
        <w:tc>
          <w:tcPr>
            <w:tcW w:w="980" w:type="dxa"/>
            <w:tcBorders>
              <w:top w:val="single" w:sz="4" w:space="0" w:color="auto"/>
              <w:bottom w:val="single" w:sz="12" w:space="0" w:color="auto"/>
            </w:tcBorders>
            <w:shd w:val="clear" w:color="auto" w:fill="auto"/>
            <w:vAlign w:val="bottom"/>
            <w:hideMark/>
          </w:tcPr>
          <w:p w14:paraId="741E02FB" w14:textId="77777777" w:rsidR="00575165" w:rsidRPr="001561A6" w:rsidRDefault="00575165" w:rsidP="00381A66">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bCs/>
                <w:sz w:val="18"/>
                <w:lang w:val="fr-CH"/>
              </w:rPr>
            </w:pPr>
            <w:r w:rsidRPr="001561A6">
              <w:rPr>
                <w:b/>
                <w:bCs/>
                <w:sz w:val="18"/>
                <w:lang w:val="fr-CH"/>
              </w:rPr>
              <w:t>16</w:t>
            </w:r>
          </w:p>
        </w:tc>
        <w:tc>
          <w:tcPr>
            <w:tcW w:w="1218" w:type="dxa"/>
            <w:tcBorders>
              <w:top w:val="single" w:sz="4" w:space="0" w:color="auto"/>
              <w:bottom w:val="single" w:sz="12" w:space="0" w:color="auto"/>
            </w:tcBorders>
            <w:shd w:val="clear" w:color="auto" w:fill="auto"/>
            <w:vAlign w:val="bottom"/>
            <w:hideMark/>
          </w:tcPr>
          <w:p w14:paraId="3E6545B4" w14:textId="77777777" w:rsidR="00575165" w:rsidRPr="001561A6" w:rsidRDefault="00575165" w:rsidP="00381A66">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bCs/>
                <w:sz w:val="18"/>
                <w:lang w:val="fr-CH"/>
              </w:rPr>
            </w:pPr>
            <w:r w:rsidRPr="001561A6">
              <w:rPr>
                <w:b/>
                <w:bCs/>
                <w:sz w:val="18"/>
                <w:lang w:val="fr-CH"/>
              </w:rPr>
              <w:t>389</w:t>
            </w:r>
          </w:p>
        </w:tc>
        <w:tc>
          <w:tcPr>
            <w:tcW w:w="1306" w:type="dxa"/>
            <w:tcBorders>
              <w:top w:val="single" w:sz="4" w:space="0" w:color="auto"/>
              <w:bottom w:val="single" w:sz="12" w:space="0" w:color="auto"/>
            </w:tcBorders>
            <w:shd w:val="clear" w:color="auto" w:fill="auto"/>
            <w:vAlign w:val="bottom"/>
            <w:hideMark/>
          </w:tcPr>
          <w:p w14:paraId="4E2FE13B" w14:textId="77777777" w:rsidR="00575165" w:rsidRPr="001561A6" w:rsidRDefault="00575165" w:rsidP="00381A66">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bCs/>
                <w:sz w:val="18"/>
                <w:lang w:val="fr-CH"/>
              </w:rPr>
            </w:pPr>
            <w:r w:rsidRPr="001561A6">
              <w:rPr>
                <w:b/>
                <w:bCs/>
                <w:sz w:val="18"/>
                <w:lang w:val="fr-CH"/>
              </w:rPr>
              <w:t>204</w:t>
            </w:r>
          </w:p>
        </w:tc>
        <w:tc>
          <w:tcPr>
            <w:tcW w:w="1078" w:type="dxa"/>
            <w:tcBorders>
              <w:top w:val="single" w:sz="4" w:space="0" w:color="auto"/>
              <w:bottom w:val="single" w:sz="12" w:space="0" w:color="auto"/>
            </w:tcBorders>
            <w:shd w:val="clear" w:color="auto" w:fill="auto"/>
            <w:vAlign w:val="bottom"/>
            <w:hideMark/>
          </w:tcPr>
          <w:p w14:paraId="1DE08248" w14:textId="77777777" w:rsidR="00575165" w:rsidRPr="001561A6" w:rsidRDefault="00575165" w:rsidP="00381A66">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bCs/>
                <w:sz w:val="18"/>
                <w:lang w:val="fr-CH"/>
              </w:rPr>
            </w:pPr>
            <w:r w:rsidRPr="001561A6">
              <w:rPr>
                <w:b/>
                <w:bCs/>
                <w:sz w:val="18"/>
                <w:lang w:val="fr-CH"/>
              </w:rPr>
              <w:t>163</w:t>
            </w:r>
          </w:p>
        </w:tc>
        <w:tc>
          <w:tcPr>
            <w:tcW w:w="1036" w:type="dxa"/>
            <w:tcBorders>
              <w:top w:val="single" w:sz="4" w:space="0" w:color="auto"/>
              <w:bottom w:val="single" w:sz="12" w:space="0" w:color="auto"/>
            </w:tcBorders>
            <w:shd w:val="clear" w:color="auto" w:fill="auto"/>
            <w:vAlign w:val="bottom"/>
            <w:hideMark/>
          </w:tcPr>
          <w:p w14:paraId="48F2C292" w14:textId="77777777" w:rsidR="00575165" w:rsidRPr="001561A6" w:rsidRDefault="00575165" w:rsidP="00381A66">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bCs/>
                <w:sz w:val="18"/>
                <w:lang w:val="fr-CH"/>
              </w:rPr>
            </w:pPr>
            <w:r w:rsidRPr="001561A6">
              <w:rPr>
                <w:b/>
                <w:bCs/>
                <w:sz w:val="18"/>
                <w:lang w:val="fr-CH"/>
              </w:rPr>
              <w:t>50</w:t>
            </w:r>
          </w:p>
        </w:tc>
        <w:tc>
          <w:tcPr>
            <w:tcW w:w="1050" w:type="dxa"/>
            <w:tcBorders>
              <w:top w:val="single" w:sz="4" w:space="0" w:color="auto"/>
              <w:bottom w:val="single" w:sz="12" w:space="0" w:color="auto"/>
            </w:tcBorders>
            <w:shd w:val="clear" w:color="auto" w:fill="auto"/>
            <w:vAlign w:val="bottom"/>
            <w:hideMark/>
          </w:tcPr>
          <w:p w14:paraId="241F40A5" w14:textId="77777777" w:rsidR="00575165" w:rsidRPr="001561A6" w:rsidRDefault="00575165" w:rsidP="00381A66">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bCs/>
                <w:sz w:val="18"/>
                <w:lang w:val="fr-CH"/>
              </w:rPr>
            </w:pPr>
            <w:r w:rsidRPr="001561A6">
              <w:rPr>
                <w:b/>
                <w:bCs/>
                <w:sz w:val="18"/>
                <w:lang w:val="fr-CH"/>
              </w:rPr>
              <w:t>11</w:t>
            </w:r>
          </w:p>
        </w:tc>
        <w:tc>
          <w:tcPr>
            <w:tcW w:w="727" w:type="dxa"/>
            <w:tcBorders>
              <w:top w:val="single" w:sz="4" w:space="0" w:color="auto"/>
              <w:bottom w:val="single" w:sz="12" w:space="0" w:color="auto"/>
            </w:tcBorders>
            <w:shd w:val="clear" w:color="auto" w:fill="auto"/>
            <w:vAlign w:val="bottom"/>
            <w:hideMark/>
          </w:tcPr>
          <w:p w14:paraId="5DFFB91B" w14:textId="77777777" w:rsidR="00575165" w:rsidRPr="001561A6" w:rsidRDefault="00575165" w:rsidP="00381A66">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bCs/>
                <w:sz w:val="18"/>
                <w:lang w:val="fr-CH"/>
              </w:rPr>
            </w:pPr>
            <w:r w:rsidRPr="001561A6">
              <w:rPr>
                <w:b/>
                <w:bCs/>
                <w:sz w:val="18"/>
                <w:lang w:val="fr-CH"/>
              </w:rPr>
              <w:t>833</w:t>
            </w:r>
          </w:p>
        </w:tc>
      </w:tr>
    </w:tbl>
    <w:p w14:paraId="13593BD5" w14:textId="77777777" w:rsidR="00575165" w:rsidRPr="001561A6" w:rsidRDefault="00575165" w:rsidP="00F73C93">
      <w:pPr>
        <w:pStyle w:val="SingleTxtG"/>
        <w:spacing w:before="120" w:after="240"/>
        <w:ind w:right="0" w:firstLine="170"/>
        <w:jc w:val="left"/>
        <w:rPr>
          <w:sz w:val="18"/>
          <w:szCs w:val="18"/>
        </w:rPr>
      </w:pPr>
      <w:r w:rsidRPr="001561A6">
        <w:rPr>
          <w:i/>
          <w:iCs/>
          <w:sz w:val="18"/>
          <w:szCs w:val="18"/>
        </w:rPr>
        <w:t>Source</w:t>
      </w:r>
      <w:r w:rsidRPr="001561A6">
        <w:rPr>
          <w:sz w:val="18"/>
          <w:szCs w:val="18"/>
        </w:rPr>
        <w:t xml:space="preserve"> : Bureau du Procureur général de l</w:t>
      </w:r>
      <w:r w:rsidR="009258E3">
        <w:rPr>
          <w:sz w:val="18"/>
          <w:szCs w:val="18"/>
        </w:rPr>
        <w:t>’</w:t>
      </w:r>
      <w:r w:rsidRPr="001561A6">
        <w:rPr>
          <w:sz w:val="18"/>
          <w:szCs w:val="18"/>
        </w:rPr>
        <w:t xml:space="preserve">État − Système JL1 13/08/2020 (Données relatives à la période allant </w:t>
      </w:r>
      <w:r w:rsidR="00F73C93" w:rsidRPr="001561A6">
        <w:rPr>
          <w:sz w:val="18"/>
          <w:szCs w:val="18"/>
        </w:rPr>
        <w:br/>
      </w:r>
      <w:r w:rsidRPr="001561A6">
        <w:rPr>
          <w:sz w:val="18"/>
          <w:szCs w:val="18"/>
        </w:rPr>
        <w:t>du 1</w:t>
      </w:r>
      <w:r w:rsidRPr="001561A6">
        <w:rPr>
          <w:sz w:val="18"/>
          <w:szCs w:val="18"/>
          <w:vertAlign w:val="superscript"/>
        </w:rPr>
        <w:t>er</w:t>
      </w:r>
      <w:r w:rsidR="00F73C93" w:rsidRPr="001561A6">
        <w:rPr>
          <w:sz w:val="18"/>
          <w:szCs w:val="18"/>
        </w:rPr>
        <w:t> </w:t>
      </w:r>
      <w:r w:rsidRPr="001561A6">
        <w:rPr>
          <w:sz w:val="18"/>
          <w:szCs w:val="18"/>
        </w:rPr>
        <w:t>janvier au 31</w:t>
      </w:r>
      <w:r w:rsidR="00F73C93" w:rsidRPr="001561A6">
        <w:rPr>
          <w:sz w:val="18"/>
          <w:szCs w:val="18"/>
        </w:rPr>
        <w:t> </w:t>
      </w:r>
      <w:r w:rsidRPr="001561A6">
        <w:rPr>
          <w:sz w:val="18"/>
          <w:szCs w:val="18"/>
        </w:rPr>
        <w:t>décembre 2019).</w:t>
      </w:r>
    </w:p>
    <w:p w14:paraId="61591652" w14:textId="77777777" w:rsidR="00575165" w:rsidRPr="001561A6" w:rsidRDefault="00575165" w:rsidP="00575165">
      <w:pPr>
        <w:pStyle w:val="H4G"/>
      </w:pPr>
      <w:r w:rsidRPr="001561A6">
        <w:tab/>
      </w:r>
      <w:r w:rsidRPr="001561A6">
        <w:tab/>
        <w:t>Nouvelles mesures visant à prévenir ou à combattre l</w:t>
      </w:r>
      <w:r w:rsidR="009258E3">
        <w:t>’</w:t>
      </w:r>
      <w:r w:rsidRPr="001561A6">
        <w:t>infraction de traite des personnes</w:t>
      </w:r>
    </w:p>
    <w:p w14:paraId="31BA2D9E" w14:textId="77777777" w:rsidR="00575165" w:rsidRPr="001561A6" w:rsidRDefault="00575165" w:rsidP="00575165">
      <w:pPr>
        <w:pStyle w:val="SingleTxtG"/>
      </w:pPr>
      <w:r w:rsidRPr="001561A6">
        <w:t>49.</w:t>
      </w:r>
      <w:r w:rsidRPr="001561A6">
        <w:tab/>
        <w:t xml:space="preserve">Conformément aux lignes directrices destinées à éviter la double victimisation établies par la loi </w:t>
      </w:r>
      <w:r w:rsidRPr="001561A6">
        <w:rPr>
          <w:rFonts w:eastAsia="MS Mincho"/>
          <w:szCs w:val="22"/>
        </w:rPr>
        <w:t>n</w:t>
      </w:r>
      <w:r w:rsidRPr="001561A6">
        <w:rPr>
          <w:rFonts w:eastAsia="MS Mincho"/>
          <w:szCs w:val="22"/>
          <w:vertAlign w:val="superscript"/>
        </w:rPr>
        <w:t>o</w:t>
      </w:r>
      <w:r w:rsidRPr="001561A6">
        <w:t> 1173, le Ministère de la justice et de la transparence institutionnelle et le Bureau du Procureur général de l</w:t>
      </w:r>
      <w:r w:rsidR="009258E3">
        <w:t>’</w:t>
      </w:r>
      <w:r w:rsidRPr="001561A6">
        <w:t>État procèdent à la mise à jour du Protocole unique de prise en charge spécialisée des victimes de la traite des personnes, afin de donner effet à l</w:t>
      </w:r>
      <w:r w:rsidR="009258E3">
        <w:t>’</w:t>
      </w:r>
      <w:r w:rsidRPr="001561A6">
        <w:t xml:space="preserve">article 28.II de la loi </w:t>
      </w:r>
      <w:r w:rsidRPr="001561A6">
        <w:rPr>
          <w:rFonts w:eastAsia="MS Mincho"/>
          <w:szCs w:val="22"/>
        </w:rPr>
        <w:t>n</w:t>
      </w:r>
      <w:r w:rsidRPr="001561A6">
        <w:rPr>
          <w:rFonts w:eastAsia="MS Mincho"/>
          <w:szCs w:val="22"/>
          <w:vertAlign w:val="superscript"/>
        </w:rPr>
        <w:t>o</w:t>
      </w:r>
      <w:r w:rsidRPr="001561A6">
        <w:t> 263.</w:t>
      </w:r>
    </w:p>
    <w:p w14:paraId="4E74DA78" w14:textId="77777777" w:rsidR="00575165" w:rsidRPr="001561A6" w:rsidRDefault="00575165" w:rsidP="00575165">
      <w:pPr>
        <w:pStyle w:val="H4G"/>
      </w:pPr>
      <w:r w:rsidRPr="001561A6">
        <w:tab/>
      </w:r>
      <w:r w:rsidRPr="001561A6">
        <w:tab/>
        <w:t>Accès à un recours effectif</w:t>
      </w:r>
    </w:p>
    <w:p w14:paraId="73EDFFCA" w14:textId="77777777" w:rsidR="00575165" w:rsidRPr="001561A6" w:rsidRDefault="00575165" w:rsidP="00575165">
      <w:pPr>
        <w:pStyle w:val="SingleTxtG"/>
      </w:pPr>
      <w:r w:rsidRPr="001561A6">
        <w:t>50.</w:t>
      </w:r>
      <w:r w:rsidRPr="001561A6">
        <w:tab/>
        <w:t xml:space="preserve">En application de la loi </w:t>
      </w:r>
      <w:r w:rsidRPr="001561A6">
        <w:rPr>
          <w:rFonts w:eastAsia="MS Mincho"/>
          <w:szCs w:val="22"/>
        </w:rPr>
        <w:t>n</w:t>
      </w:r>
      <w:r w:rsidRPr="001561A6">
        <w:rPr>
          <w:rFonts w:eastAsia="MS Mincho"/>
          <w:szCs w:val="22"/>
          <w:vertAlign w:val="superscript"/>
        </w:rPr>
        <w:t>o</w:t>
      </w:r>
      <w:r w:rsidRPr="001561A6">
        <w:t> 263, le Ministère du travail, de l</w:t>
      </w:r>
      <w:r w:rsidR="009258E3">
        <w:t>’</w:t>
      </w:r>
      <w:r w:rsidRPr="001561A6">
        <w:t>emploi et de la protection sociale a mis en œuvre un programme d</w:t>
      </w:r>
      <w:r w:rsidR="009258E3">
        <w:t>’</w:t>
      </w:r>
      <w:r w:rsidRPr="001561A6">
        <w:t>insertion professionnelle pour les victimes de la traite et du trafic illicite des personnes, qui a permis récemment l</w:t>
      </w:r>
      <w:r w:rsidR="009258E3">
        <w:t>’</w:t>
      </w:r>
      <w:r w:rsidRPr="001561A6">
        <w:t>insertion de trois victimes de la traite rapatriées, et a pris des mesures de prévention et de socialisation dont 357 personnes ont bénéficié.</w:t>
      </w:r>
    </w:p>
    <w:p w14:paraId="0C7ACC31" w14:textId="77777777" w:rsidR="00575165" w:rsidRPr="001561A6" w:rsidRDefault="00575165" w:rsidP="00575165">
      <w:pPr>
        <w:pStyle w:val="H4G"/>
      </w:pPr>
      <w:r w:rsidRPr="001561A6">
        <w:tab/>
      </w:r>
      <w:r w:rsidRPr="001561A6">
        <w:tab/>
        <w:t>Signature d</w:t>
      </w:r>
      <w:r w:rsidR="009258E3">
        <w:t>’</w:t>
      </w:r>
      <w:r w:rsidRPr="001561A6">
        <w:t>accords avec les pays concernés</w:t>
      </w:r>
    </w:p>
    <w:p w14:paraId="5DF8252D" w14:textId="77777777" w:rsidR="00575165" w:rsidRPr="001561A6" w:rsidRDefault="00575165" w:rsidP="00575165">
      <w:pPr>
        <w:pStyle w:val="SingleTxtG"/>
      </w:pPr>
      <w:r w:rsidRPr="001561A6">
        <w:t>51.</w:t>
      </w:r>
      <w:r w:rsidRPr="001561A6">
        <w:tab/>
        <w:t>Afin de prévenir et de combattre la traite des personnes, l</w:t>
      </w:r>
      <w:r w:rsidR="009258E3">
        <w:t>’</w:t>
      </w:r>
      <w:r w:rsidRPr="001561A6">
        <w:t>État bolivien a signé et ratifié les accords suivants :</w:t>
      </w:r>
    </w:p>
    <w:p w14:paraId="13B72417" w14:textId="77777777" w:rsidR="00575165" w:rsidRPr="001561A6" w:rsidRDefault="00575165" w:rsidP="00575165">
      <w:pPr>
        <w:pStyle w:val="Bullet1G"/>
        <w:numPr>
          <w:ilvl w:val="0"/>
          <w:numId w:val="1"/>
        </w:numPr>
      </w:pPr>
      <w:r w:rsidRPr="001561A6">
        <w:tab/>
        <w:t>L</w:t>
      </w:r>
      <w:r w:rsidR="009258E3">
        <w:t>’</w:t>
      </w:r>
      <w:r w:rsidRPr="001561A6">
        <w:t>accord bilatéral avec la République du Pérou, qui vise à renforcer la lutte contre la traite des personnes, le trafic illicite de migrants et les infractions connexes</w:t>
      </w:r>
      <w:r w:rsidRPr="001561A6">
        <w:rPr>
          <w:rStyle w:val="Appelnotedebasdep"/>
        </w:rPr>
        <w:footnoteReference w:id="20"/>
      </w:r>
      <w:r w:rsidRPr="001561A6">
        <w:t>, en vertu duquel s</w:t>
      </w:r>
      <w:r w:rsidR="009258E3">
        <w:t>’</w:t>
      </w:r>
      <w:r w:rsidRPr="001561A6">
        <w:t>est tenue en mai 2019 la réunion bilatérale de la Commission permanente multisectorielle de lutte contre la traite des personnes</w:t>
      </w:r>
      <w:r w:rsidR="00E93A1D" w:rsidRPr="001561A6">
        <w:t> ;</w:t>
      </w:r>
    </w:p>
    <w:p w14:paraId="73F039AE" w14:textId="77777777" w:rsidR="00575165" w:rsidRPr="001561A6" w:rsidRDefault="00575165" w:rsidP="00575165">
      <w:pPr>
        <w:pStyle w:val="Bullet1G"/>
        <w:numPr>
          <w:ilvl w:val="0"/>
          <w:numId w:val="1"/>
        </w:numPr>
      </w:pPr>
      <w:r w:rsidRPr="001561A6">
        <w:tab/>
        <w:t>L</w:t>
      </w:r>
      <w:r w:rsidR="009258E3">
        <w:t>’</w:t>
      </w:r>
      <w:r w:rsidRPr="001561A6">
        <w:t>accord avec la République argentine relatif à la prévention de la traite des personnes, aux enquêtes sur les infractions de traite, à l</w:t>
      </w:r>
      <w:r w:rsidR="009258E3">
        <w:t>’</w:t>
      </w:r>
      <w:r w:rsidRPr="001561A6">
        <w:t>assistance aux victimes et à la protection des victimes</w:t>
      </w:r>
      <w:r w:rsidRPr="001561A6">
        <w:rPr>
          <w:rStyle w:val="Appelnotedebasdep"/>
        </w:rPr>
        <w:footnoteReference w:id="21"/>
      </w:r>
      <w:r w:rsidRPr="001561A6">
        <w:t>.</w:t>
      </w:r>
    </w:p>
    <w:p w14:paraId="61E1B24F" w14:textId="77777777" w:rsidR="00575165" w:rsidRPr="001561A6" w:rsidRDefault="00575165" w:rsidP="00575165">
      <w:pPr>
        <w:pStyle w:val="SingleTxtG"/>
      </w:pPr>
      <w:r w:rsidRPr="001561A6">
        <w:t>52.</w:t>
      </w:r>
      <w:r w:rsidRPr="001561A6">
        <w:tab/>
        <w:t>De même, en 2019, l</w:t>
      </w:r>
      <w:r w:rsidR="009258E3">
        <w:t>’</w:t>
      </w:r>
      <w:r w:rsidRPr="001561A6">
        <w:t>État bolivien a signé avec la République du Paraguay un accord bilatéral visant à renforcer la lutte contre la traite des personnes et les infractions connexes, qui est en cours de ratification.</w:t>
      </w:r>
    </w:p>
    <w:p w14:paraId="2A826255" w14:textId="77777777" w:rsidR="00575165" w:rsidRPr="001561A6" w:rsidRDefault="00575165" w:rsidP="00575165">
      <w:pPr>
        <w:pStyle w:val="SingleTxtG"/>
      </w:pPr>
      <w:r w:rsidRPr="001561A6">
        <w:t>53.</w:t>
      </w:r>
      <w:r w:rsidRPr="001561A6">
        <w:tab/>
        <w:t>En outre, il convient de noter que la Bolivie négocie actuellement trois accords bilatéraux avec la République du Panama, la République orientale de l</w:t>
      </w:r>
      <w:r w:rsidR="009258E3">
        <w:t>’</w:t>
      </w:r>
      <w:r w:rsidRPr="001561A6">
        <w:t>Uruguay et la République fédérative du Brésil.</w:t>
      </w:r>
    </w:p>
    <w:p w14:paraId="6703245A" w14:textId="77777777" w:rsidR="00575165" w:rsidRPr="001561A6" w:rsidRDefault="00575165" w:rsidP="00575165">
      <w:pPr>
        <w:pStyle w:val="H23G"/>
      </w:pPr>
      <w:r w:rsidRPr="001561A6">
        <w:tab/>
      </w:r>
      <w:r w:rsidRPr="001561A6">
        <w:tab/>
        <w:t>Article 3</w:t>
      </w:r>
    </w:p>
    <w:p w14:paraId="7E9689DA" w14:textId="77777777" w:rsidR="00575165" w:rsidRPr="001561A6" w:rsidRDefault="00575165" w:rsidP="00575165">
      <w:pPr>
        <w:pStyle w:val="H23G"/>
      </w:pPr>
      <w:r w:rsidRPr="001561A6">
        <w:tab/>
      </w:r>
      <w:r w:rsidRPr="001561A6">
        <w:tab/>
        <w:t>Réponse à la question posée au paragraphe 8 de la liste de points</w:t>
      </w:r>
    </w:p>
    <w:p w14:paraId="70336561" w14:textId="77777777" w:rsidR="00575165" w:rsidRPr="001561A6" w:rsidRDefault="00575165" w:rsidP="00575165">
      <w:pPr>
        <w:pStyle w:val="H4G"/>
      </w:pPr>
      <w:r w:rsidRPr="001561A6">
        <w:tab/>
      </w:r>
      <w:r w:rsidRPr="001561A6">
        <w:tab/>
        <w:t>Conditions imposées aux ressortissants vénézuéliens qui veulent entrer en Bolivie</w:t>
      </w:r>
    </w:p>
    <w:p w14:paraId="7EC53DBC" w14:textId="77777777" w:rsidR="00575165" w:rsidRPr="001561A6" w:rsidRDefault="00575165" w:rsidP="00575165">
      <w:pPr>
        <w:pStyle w:val="SingleTxtG"/>
      </w:pPr>
      <w:r w:rsidRPr="001561A6">
        <w:t>54.</w:t>
      </w:r>
      <w:r w:rsidRPr="001561A6">
        <w:tab/>
        <w:t>Le Venezuela fait partie des pays du groupe I</w:t>
      </w:r>
      <w:r w:rsidRPr="001561A6">
        <w:rPr>
          <w:rStyle w:val="Appelnotedebasdep"/>
        </w:rPr>
        <w:footnoteReference w:id="22"/>
      </w:r>
      <w:r w:rsidRPr="001561A6">
        <w:t>, dont les ressortissants n</w:t>
      </w:r>
      <w:r w:rsidR="009258E3">
        <w:t>’</w:t>
      </w:r>
      <w:r w:rsidRPr="001561A6">
        <w:t>ont pas besoin de visa pour entrer en Bolivie en tant que touristes ou visiteurs, l</w:t>
      </w:r>
      <w:r w:rsidR="009258E3">
        <w:t>’</w:t>
      </w:r>
      <w:r w:rsidRPr="001561A6">
        <w:t>autorisation d</w:t>
      </w:r>
      <w:r w:rsidR="009258E3">
        <w:t>’</w:t>
      </w:r>
      <w:r w:rsidRPr="001561A6">
        <w:t>entrer sur le territoire bolivien étant suffisante. Cela étant, afin de préserver la cellule familiale et d</w:t>
      </w:r>
      <w:r w:rsidR="009258E3">
        <w:t>’</w:t>
      </w:r>
      <w:r w:rsidRPr="001561A6">
        <w:t>éviter que des mineurs ne soient confrontés à des situations les mettant en danger, comme la traite et le trafic illicite de personnes, le Conseil national des migrations a décidé, entre autres mesures prises par la présente administration, que les mineurs vénézuéliens qui ne détenaient pas de carte d</w:t>
      </w:r>
      <w:r w:rsidR="009258E3">
        <w:t>’</w:t>
      </w:r>
      <w:r w:rsidRPr="001561A6">
        <w:t>identité ni de passeport pouvaient entrer en Bolivie en présentant leur acte de naissance et une déclaration sous serment de leurs parents attestant leur filiation.</w:t>
      </w:r>
    </w:p>
    <w:p w14:paraId="6FDE4D1B" w14:textId="77777777" w:rsidR="00575165" w:rsidRPr="001561A6" w:rsidRDefault="00575165" w:rsidP="00575165">
      <w:pPr>
        <w:pStyle w:val="H4G"/>
      </w:pPr>
      <w:r w:rsidRPr="001561A6">
        <w:tab/>
      </w:r>
      <w:r w:rsidRPr="001561A6">
        <w:tab/>
        <w:t>Principe de non-refoulement et expulsion</w:t>
      </w:r>
    </w:p>
    <w:p w14:paraId="3E40EFBB" w14:textId="77777777" w:rsidR="00575165" w:rsidRPr="001561A6" w:rsidRDefault="00575165" w:rsidP="00575165">
      <w:pPr>
        <w:pStyle w:val="SingleTxtG"/>
      </w:pPr>
      <w:r w:rsidRPr="001561A6">
        <w:t>55.</w:t>
      </w:r>
      <w:r w:rsidRPr="001561A6">
        <w:tab/>
        <w:t>L</w:t>
      </w:r>
      <w:r w:rsidR="009258E3">
        <w:t>’</w:t>
      </w:r>
      <w:r w:rsidRPr="001561A6">
        <w:t xml:space="preserve">État bolivien a ratifié la Convention relative au statut des réfugiés de 1951 par la loi </w:t>
      </w:r>
      <w:r w:rsidRPr="001561A6">
        <w:rPr>
          <w:rFonts w:eastAsia="MS Mincho"/>
          <w:szCs w:val="22"/>
        </w:rPr>
        <w:t>n</w:t>
      </w:r>
      <w:r w:rsidRPr="001561A6">
        <w:rPr>
          <w:rFonts w:eastAsia="MS Mincho"/>
          <w:szCs w:val="22"/>
          <w:vertAlign w:val="superscript"/>
        </w:rPr>
        <w:t>o</w:t>
      </w:r>
      <w:r w:rsidRPr="001561A6">
        <w:t xml:space="preserve"> 2071 du 14 avril 2000, et son </w:t>
      </w:r>
      <w:r w:rsidR="00C4324E" w:rsidRPr="001561A6">
        <w:t>P</w:t>
      </w:r>
      <w:r w:rsidRPr="001561A6">
        <w:t xml:space="preserve">rotocole par la loi </w:t>
      </w:r>
      <w:r w:rsidRPr="001561A6">
        <w:rPr>
          <w:rFonts w:eastAsia="MS Mincho"/>
          <w:szCs w:val="22"/>
        </w:rPr>
        <w:t>n</w:t>
      </w:r>
      <w:r w:rsidRPr="001561A6">
        <w:rPr>
          <w:rFonts w:eastAsia="MS Mincho"/>
          <w:szCs w:val="22"/>
          <w:vertAlign w:val="superscript"/>
        </w:rPr>
        <w:t>o</w:t>
      </w:r>
      <w:r w:rsidRPr="001561A6">
        <w:t> 2043 du 21 décembre 1999.</w:t>
      </w:r>
    </w:p>
    <w:p w14:paraId="5C39BA90" w14:textId="77777777" w:rsidR="00575165" w:rsidRPr="001561A6" w:rsidRDefault="00575165" w:rsidP="00575165">
      <w:pPr>
        <w:pStyle w:val="SingleTxtG"/>
      </w:pPr>
      <w:r w:rsidRPr="001561A6">
        <w:t>56.</w:t>
      </w:r>
      <w:r w:rsidRPr="001561A6">
        <w:tab/>
        <w:t>À cette fin, pour sceller son ferme engagement en faveur des droits de l</w:t>
      </w:r>
      <w:r w:rsidR="009258E3">
        <w:t>’</w:t>
      </w:r>
      <w:r w:rsidRPr="001561A6">
        <w:t>homme des réfugiés et pleinement respecter les prescriptions des instruments internationaux pertinents, l</w:t>
      </w:r>
      <w:r w:rsidR="009258E3">
        <w:t>’</w:t>
      </w:r>
      <w:r w:rsidRPr="001561A6">
        <w:t xml:space="preserve">État bolivien a promulgué la loi sur la protection des réfugiés (loi </w:t>
      </w:r>
      <w:r w:rsidR="009B1CAD" w:rsidRPr="001561A6">
        <w:rPr>
          <w:rFonts w:eastAsia="MS Mincho"/>
          <w:szCs w:val="22"/>
        </w:rPr>
        <w:t>n</w:t>
      </w:r>
      <w:r w:rsidR="009B1CAD" w:rsidRPr="001561A6">
        <w:rPr>
          <w:rFonts w:eastAsia="MS Mincho"/>
          <w:szCs w:val="22"/>
          <w:vertAlign w:val="superscript"/>
        </w:rPr>
        <w:t>o</w:t>
      </w:r>
      <w:r w:rsidR="009B1CAD" w:rsidRPr="001561A6">
        <w:t> </w:t>
      </w:r>
      <w:r w:rsidRPr="001561A6">
        <w:t>251)</w:t>
      </w:r>
      <w:r w:rsidRPr="001561A6">
        <w:rPr>
          <w:rStyle w:val="Appelnotedebasdep"/>
        </w:rPr>
        <w:footnoteReference w:id="23"/>
      </w:r>
      <w:r w:rsidRPr="001561A6">
        <w:t xml:space="preserve"> et son décret réglementaire (décret suprême </w:t>
      </w:r>
      <w:r w:rsidRPr="001561A6">
        <w:rPr>
          <w:rFonts w:eastAsia="MS Mincho"/>
          <w:szCs w:val="22"/>
        </w:rPr>
        <w:t>n</w:t>
      </w:r>
      <w:r w:rsidRPr="001561A6">
        <w:rPr>
          <w:rFonts w:eastAsia="MS Mincho"/>
          <w:szCs w:val="22"/>
          <w:vertAlign w:val="superscript"/>
        </w:rPr>
        <w:t>o</w:t>
      </w:r>
      <w:r w:rsidRPr="001561A6">
        <w:t> 1440)</w:t>
      </w:r>
      <w:r w:rsidRPr="001561A6">
        <w:rPr>
          <w:rStyle w:val="Appelnotedebasdep"/>
        </w:rPr>
        <w:footnoteReference w:id="24"/>
      </w:r>
      <w:r w:rsidRPr="001561A6">
        <w:t>. Ces textes reprennent les principes, les lignes directrices, les délais et les procédures prévus par la Convention relative au statut des réfugiés.</w:t>
      </w:r>
    </w:p>
    <w:p w14:paraId="2DB71A27" w14:textId="77777777" w:rsidR="00575165" w:rsidRPr="001561A6" w:rsidRDefault="00575165" w:rsidP="00575165">
      <w:pPr>
        <w:pStyle w:val="SingleTxtG"/>
      </w:pPr>
      <w:r w:rsidRPr="001561A6">
        <w:t>57.</w:t>
      </w:r>
      <w:r w:rsidRPr="001561A6">
        <w:tab/>
        <w:t>En ce qui concerne la procédure d</w:t>
      </w:r>
      <w:r w:rsidR="009258E3">
        <w:t>’</w:t>
      </w:r>
      <w:r w:rsidRPr="001561A6">
        <w:t>expulsion prévue à l</w:t>
      </w:r>
      <w:r w:rsidR="009258E3">
        <w:t>’</w:t>
      </w:r>
      <w:r w:rsidRPr="001561A6">
        <w:t xml:space="preserve">article 6 du décret suprême </w:t>
      </w:r>
      <w:r w:rsidRPr="001561A6">
        <w:rPr>
          <w:rFonts w:eastAsia="MS Mincho"/>
          <w:szCs w:val="22"/>
        </w:rPr>
        <w:t>n</w:t>
      </w:r>
      <w:r w:rsidRPr="001561A6">
        <w:rPr>
          <w:rFonts w:eastAsia="MS Mincho"/>
          <w:szCs w:val="22"/>
          <w:vertAlign w:val="superscript"/>
        </w:rPr>
        <w:t>o</w:t>
      </w:r>
      <w:r w:rsidRPr="001561A6">
        <w:t> 1440, il convient de noter qu</w:t>
      </w:r>
      <w:r w:rsidR="009258E3">
        <w:t>’</w:t>
      </w:r>
      <w:r w:rsidRPr="001561A6">
        <w:t>elle est conforme aux prescriptions de la Convention relative au statut des réfugiés, en particulier à son article 32, qui dispose que « les États contractants n</w:t>
      </w:r>
      <w:r w:rsidR="009258E3">
        <w:t>’</w:t>
      </w:r>
      <w:r w:rsidRPr="001561A6">
        <w:t>expulseront un réfugié [...] que pour des raisons de sécurité nationale ou d</w:t>
      </w:r>
      <w:r w:rsidR="009258E3">
        <w:t>’</w:t>
      </w:r>
      <w:r w:rsidRPr="001561A6">
        <w:t>ordre public ; les procédures préalables à une décision d</w:t>
      </w:r>
      <w:r w:rsidR="009258E3">
        <w:t>’</w:t>
      </w:r>
      <w:r w:rsidRPr="001561A6">
        <w:t>expulsion doivent être justes et équitables et « les</w:t>
      </w:r>
      <w:r w:rsidR="009B1CAD" w:rsidRPr="001561A6">
        <w:t> </w:t>
      </w:r>
      <w:r w:rsidRPr="001561A6">
        <w:t>États contractants accorderont à un tel réfugié un délai raisonnable pour lui permettre de chercher à se faire admettre régulièrement dans un autre pays ».</w:t>
      </w:r>
    </w:p>
    <w:p w14:paraId="64731CF6" w14:textId="77777777" w:rsidR="00575165" w:rsidRPr="001561A6" w:rsidRDefault="00575165" w:rsidP="00575165">
      <w:pPr>
        <w:pStyle w:val="SingleTxtG"/>
      </w:pPr>
      <w:r w:rsidRPr="001561A6">
        <w:t>58.</w:t>
      </w:r>
      <w:r w:rsidRPr="001561A6">
        <w:tab/>
        <w:t>De même, l</w:t>
      </w:r>
      <w:r w:rsidR="009258E3">
        <w:t>’</w:t>
      </w:r>
      <w:r w:rsidRPr="001561A6">
        <w:t>article 6 du décret réglementaire précité prévoit que l</w:t>
      </w:r>
      <w:r w:rsidR="009258E3">
        <w:t>’</w:t>
      </w:r>
      <w:r w:rsidRPr="001561A6">
        <w:t>expulsion des réfugiés ou des demandeurs du statut de réfugié doit se faire uniquement et exceptionnellement pour des raisons de sécurité nationale ou d</w:t>
      </w:r>
      <w:r w:rsidR="009258E3">
        <w:t>’</w:t>
      </w:r>
      <w:r w:rsidRPr="001561A6">
        <w:t>ordre public, et à la suite de la soumission par le ministère compétent d</w:t>
      </w:r>
      <w:r w:rsidR="009258E3">
        <w:t>’</w:t>
      </w:r>
      <w:r w:rsidRPr="001561A6">
        <w:t>un rapport technique et juridique attestant que les conditions juridiques autorisant l</w:t>
      </w:r>
      <w:r w:rsidR="009258E3">
        <w:t>’</w:t>
      </w:r>
      <w:r w:rsidRPr="001561A6">
        <w:t>expulsion sont réunies. À cette fin, la Commission nationale pour les réfugiés, dans le respect des droits de la défense, convoque le réfugié ou le demandeur du statut de réfugié à une audience, afin qu</w:t>
      </w:r>
      <w:r w:rsidR="009258E3">
        <w:t>’</w:t>
      </w:r>
      <w:r w:rsidRPr="001561A6">
        <w:t>il puisse présenter des preuves tendant à le disculper, faire des déclarations, apporter les éclaircissements ou les preuves justificatives qu</w:t>
      </w:r>
      <w:r w:rsidR="009258E3">
        <w:t>’</w:t>
      </w:r>
      <w:r w:rsidRPr="001561A6">
        <w:t>il juge appropriés. Après avoir examiné la situation, la Commission nationale pour les réfugiés rend la décision correspondante, qui est dûment motivée et susceptible d</w:t>
      </w:r>
      <w:r w:rsidR="009258E3">
        <w:t>’</w:t>
      </w:r>
      <w:r w:rsidRPr="001561A6">
        <w:t>appel devant la Commission de contestation. Et en cas d</w:t>
      </w:r>
      <w:r w:rsidR="009258E3">
        <w:t>’</w:t>
      </w:r>
      <w:r w:rsidRPr="001561A6">
        <w:t>expulsion, le réfugié se voit accorder un délai raisonnable lui permettant de chercher à se faire admettre régulièrement dans un pays tiers, où sa vie, sa liberté et sa sécurité ne sont pas menacées (tout en veillant à ce que les garanties procédurales préalables à l</w:t>
      </w:r>
      <w:r w:rsidR="009258E3">
        <w:t>’</w:t>
      </w:r>
      <w:r w:rsidRPr="001561A6">
        <w:t>expulsion soient garanties).</w:t>
      </w:r>
    </w:p>
    <w:p w14:paraId="2F2AFE8E" w14:textId="77777777" w:rsidR="00575165" w:rsidRPr="001561A6" w:rsidRDefault="00575165" w:rsidP="00575165">
      <w:pPr>
        <w:pStyle w:val="SingleTxtG"/>
      </w:pPr>
      <w:r w:rsidRPr="001561A6">
        <w:t>59.</w:t>
      </w:r>
      <w:r w:rsidRPr="001561A6">
        <w:tab/>
        <w:t>De même, le principe de non-refoulement est énoncé à l</w:t>
      </w:r>
      <w:r w:rsidR="009258E3">
        <w:t>’</w:t>
      </w:r>
      <w:r w:rsidRPr="001561A6">
        <w:t>article 4 de la loi. Cet article contient une exception importante, à savoir qu</w:t>
      </w:r>
      <w:r w:rsidR="009258E3">
        <w:t>’</w:t>
      </w:r>
      <w:r w:rsidRPr="001561A6">
        <w:t>un réfugié ne peut invoquer le principe de non-refoulement s</w:t>
      </w:r>
      <w:r w:rsidR="009258E3">
        <w:t>’</w:t>
      </w:r>
      <w:r w:rsidRPr="001561A6">
        <w:t>il existe des raisons sérieuses de croire qu</w:t>
      </w:r>
      <w:r w:rsidR="009258E3">
        <w:t>’</w:t>
      </w:r>
      <w:r w:rsidRPr="001561A6">
        <w:t>il représente une menace à la sécurité du pays, qu</w:t>
      </w:r>
      <w:r w:rsidR="009258E3">
        <w:t>’</w:t>
      </w:r>
      <w:r w:rsidRPr="001561A6">
        <w:t>il menace gravement la stabilité du pays, son intégrité, son unité territoriale et son indépendance, qu</w:t>
      </w:r>
      <w:r w:rsidR="009258E3">
        <w:t>’</w:t>
      </w:r>
      <w:r w:rsidRPr="001561A6">
        <w:t>il a fait l</w:t>
      </w:r>
      <w:r w:rsidR="009258E3">
        <w:t>’</w:t>
      </w:r>
      <w:r w:rsidRPr="001561A6">
        <w:t>objet d</w:t>
      </w:r>
      <w:r w:rsidR="009258E3">
        <w:t>’</w:t>
      </w:r>
      <w:r w:rsidRPr="001561A6">
        <w:t>une condamnation définitive pour un crime particulièrement grave et qu</w:t>
      </w:r>
      <w:r w:rsidR="009258E3">
        <w:t>’</w:t>
      </w:r>
      <w:r w:rsidRPr="001561A6">
        <w:t>il constitue une menace pour la société ou l</w:t>
      </w:r>
      <w:r w:rsidR="009258E3">
        <w:t>’</w:t>
      </w:r>
      <w:r w:rsidRPr="001561A6">
        <w:t>ordre public (en créant des troubles et des tensions internes, comme des émeutes, des actes de violence isolés et sporadiques et toute autre menace pour la communauté du pays).</w:t>
      </w:r>
    </w:p>
    <w:p w14:paraId="1F746AB9" w14:textId="77777777" w:rsidR="00575165" w:rsidRPr="001561A6" w:rsidRDefault="00575165" w:rsidP="00575165">
      <w:pPr>
        <w:pStyle w:val="SingleTxtG"/>
      </w:pPr>
      <w:r w:rsidRPr="001561A6">
        <w:t>60.</w:t>
      </w:r>
      <w:r w:rsidRPr="001561A6">
        <w:tab/>
        <w:t>Il convient de mentionner que depuis le 20 juin 2012, date d</w:t>
      </w:r>
      <w:r w:rsidR="009258E3">
        <w:t>’</w:t>
      </w:r>
      <w:r w:rsidRPr="001561A6">
        <w:t xml:space="preserve">entrée en vigueur de la loi </w:t>
      </w:r>
      <w:r w:rsidRPr="001561A6">
        <w:rPr>
          <w:rFonts w:eastAsia="MS Mincho"/>
          <w:szCs w:val="22"/>
        </w:rPr>
        <w:t>n</w:t>
      </w:r>
      <w:r w:rsidRPr="001561A6">
        <w:rPr>
          <w:rFonts w:eastAsia="MS Mincho"/>
          <w:szCs w:val="22"/>
          <w:vertAlign w:val="superscript"/>
        </w:rPr>
        <w:t>o</w:t>
      </w:r>
      <w:r w:rsidRPr="001561A6">
        <w:t> 251, aucun réfugié ou d</w:t>
      </w:r>
      <w:r w:rsidR="009258E3">
        <w:t>’</w:t>
      </w:r>
      <w:r w:rsidRPr="001561A6">
        <w:t>un demandeur du statut de réfugié n</w:t>
      </w:r>
      <w:r w:rsidR="009258E3">
        <w:t>’</w:t>
      </w:r>
      <w:r w:rsidRPr="001561A6">
        <w:t>a été expulsé.</w:t>
      </w:r>
    </w:p>
    <w:p w14:paraId="502F0C94" w14:textId="77777777" w:rsidR="00575165" w:rsidRPr="001561A6" w:rsidRDefault="00575165" w:rsidP="00575165">
      <w:pPr>
        <w:pStyle w:val="H23G"/>
      </w:pPr>
      <w:r w:rsidRPr="001561A6">
        <w:tab/>
      </w:r>
      <w:r w:rsidRPr="001561A6">
        <w:tab/>
        <w:t>Réponse à la question posée au paragraphe 9 de la liste de points</w:t>
      </w:r>
    </w:p>
    <w:p w14:paraId="38026DA5" w14:textId="77777777" w:rsidR="00575165" w:rsidRPr="001561A6" w:rsidRDefault="00575165" w:rsidP="00575165">
      <w:pPr>
        <w:pStyle w:val="H4G"/>
      </w:pPr>
      <w:r w:rsidRPr="001561A6">
        <w:tab/>
      </w:r>
      <w:r w:rsidRPr="001561A6">
        <w:tab/>
        <w:t>Mécanismes d</w:t>
      </w:r>
      <w:r w:rsidR="009258E3">
        <w:t>’</w:t>
      </w:r>
      <w:r w:rsidRPr="001561A6">
        <w:t>identification des demandeurs d</w:t>
      </w:r>
      <w:r w:rsidR="009258E3">
        <w:t>’</w:t>
      </w:r>
      <w:r w:rsidRPr="001561A6">
        <w:t>asile, des apatrides et autres</w:t>
      </w:r>
    </w:p>
    <w:p w14:paraId="503531A6" w14:textId="77777777" w:rsidR="00575165" w:rsidRPr="001561A6" w:rsidRDefault="00575165" w:rsidP="00575165">
      <w:pPr>
        <w:pStyle w:val="SingleTxtG"/>
      </w:pPr>
      <w:r w:rsidRPr="001561A6">
        <w:t>61.</w:t>
      </w:r>
      <w:r w:rsidRPr="001561A6">
        <w:tab/>
        <w:t>L</w:t>
      </w:r>
      <w:r w:rsidR="009258E3">
        <w:t>’</w:t>
      </w:r>
      <w:r w:rsidRPr="001561A6">
        <w:t xml:space="preserve">article 30 de la loi </w:t>
      </w:r>
      <w:r w:rsidRPr="001561A6">
        <w:rPr>
          <w:rFonts w:eastAsia="MS Mincho"/>
          <w:szCs w:val="22"/>
        </w:rPr>
        <w:t>n</w:t>
      </w:r>
      <w:r w:rsidRPr="001561A6">
        <w:rPr>
          <w:rFonts w:eastAsia="MS Mincho"/>
          <w:szCs w:val="22"/>
          <w:vertAlign w:val="superscript"/>
        </w:rPr>
        <w:t>o</w:t>
      </w:r>
      <w:r w:rsidRPr="001561A6">
        <w:t> 251 dispose que les autorités locales ou frontalières qui ont connaissance de la présentation, par un étranger, d</w:t>
      </w:r>
      <w:r w:rsidR="009258E3">
        <w:t>’</w:t>
      </w:r>
      <w:r w:rsidRPr="001561A6">
        <w:t>une demande du statut de réfugié autorisent son entrée et doivent l</w:t>
      </w:r>
      <w:r w:rsidR="009258E3">
        <w:t>’</w:t>
      </w:r>
      <w:r w:rsidRPr="001561A6">
        <w:t>orienter vers le Secrétariat technique de la Commission nationale pour les réfugiés, en respectant les principes de confidentialité et de non</w:t>
      </w:r>
      <w:r w:rsidR="00B4748D" w:rsidRPr="001561A6">
        <w:noBreakHyphen/>
      </w:r>
      <w:r w:rsidRPr="001561A6">
        <w:t>refoulement prévus par ladite loi. Ainsi, tout ressortissant étranger qui a l</w:t>
      </w:r>
      <w:r w:rsidR="009258E3">
        <w:t>’</w:t>
      </w:r>
      <w:r w:rsidRPr="001561A6">
        <w:t>intention de demander le statut de réfugié en Bolivie doit le faire savoir au fonctionnaire des services de l</w:t>
      </w:r>
      <w:r w:rsidR="009258E3">
        <w:t>’</w:t>
      </w:r>
      <w:r w:rsidRPr="001561A6">
        <w:t>immigration au poste frontière, afin d</w:t>
      </w:r>
      <w:r w:rsidR="009258E3">
        <w:t>’</w:t>
      </w:r>
      <w:r w:rsidRPr="001561A6">
        <w:t>être orienté vers le Secrétariat technique de la Commission pour les réfugiés, toute demande du statut de réfugié devant, en application de l</w:t>
      </w:r>
      <w:r w:rsidR="009258E3">
        <w:t>’</w:t>
      </w:r>
      <w:r w:rsidRPr="001561A6">
        <w:t>article</w:t>
      </w:r>
      <w:r w:rsidR="009736E7" w:rsidRPr="001561A6">
        <w:t> </w:t>
      </w:r>
      <w:r w:rsidRPr="001561A6">
        <w:t>32 de la loi précitée, être présentée par écrit dans un délai n</w:t>
      </w:r>
      <w:r w:rsidR="009258E3">
        <w:t>’</w:t>
      </w:r>
      <w:r w:rsidRPr="001561A6">
        <w:t>excédant pas quatre</w:t>
      </w:r>
      <w:r w:rsidR="00B4748D" w:rsidRPr="001561A6">
        <w:noBreakHyphen/>
      </w:r>
      <w:r w:rsidRPr="001561A6">
        <w:t>vingt-dix jours civils à compter de l</w:t>
      </w:r>
      <w:r w:rsidR="009258E3">
        <w:t>’</w:t>
      </w:r>
      <w:r w:rsidRPr="001561A6">
        <w:t>entrée sur le territoire bolivien.</w:t>
      </w:r>
    </w:p>
    <w:p w14:paraId="23BE9DED" w14:textId="77777777" w:rsidR="00575165" w:rsidRPr="001561A6" w:rsidRDefault="00575165" w:rsidP="00575165">
      <w:pPr>
        <w:pStyle w:val="SingleTxtG"/>
      </w:pPr>
      <w:r w:rsidRPr="001561A6">
        <w:t>62.</w:t>
      </w:r>
      <w:r w:rsidRPr="001561A6">
        <w:tab/>
        <w:t>À cet égard, la Commission pour les réfugiés, en coordination avec le Haut</w:t>
      </w:r>
      <w:r w:rsidR="00B4748D" w:rsidRPr="001561A6">
        <w:noBreakHyphen/>
      </w:r>
      <w:r w:rsidRPr="001561A6">
        <w:t>Commissariat des Nations Unies pour les réfugiés (HCR) et son organisme d</w:t>
      </w:r>
      <w:r w:rsidR="009258E3">
        <w:t>’</w:t>
      </w:r>
      <w:r w:rsidRPr="001561A6">
        <w:t>exécution, organise des ateliers de formation sur le thème du refuge et de la procédure prévue par la loi</w:t>
      </w:r>
      <w:r w:rsidR="00B4748D" w:rsidRPr="001561A6">
        <w:t> </w:t>
      </w:r>
      <w:r w:rsidRPr="001561A6">
        <w:rPr>
          <w:rFonts w:eastAsia="MS Mincho"/>
          <w:szCs w:val="22"/>
        </w:rPr>
        <w:t>n</w:t>
      </w:r>
      <w:r w:rsidRPr="001561A6">
        <w:rPr>
          <w:rFonts w:eastAsia="MS Mincho"/>
          <w:szCs w:val="22"/>
          <w:vertAlign w:val="superscript"/>
        </w:rPr>
        <w:t>o</w:t>
      </w:r>
      <w:r w:rsidRPr="001561A6">
        <w:t> 251 et son décret d</w:t>
      </w:r>
      <w:r w:rsidR="009258E3">
        <w:t>’</w:t>
      </w:r>
      <w:r w:rsidRPr="001561A6">
        <w:t>application, à l</w:t>
      </w:r>
      <w:r w:rsidR="009258E3">
        <w:t>’</w:t>
      </w:r>
      <w:r w:rsidRPr="001561A6">
        <w:t>intention des fonctionnaires de diverses institutions publiques travaillant dans ce domaine (Direction générale de la migration, INTERPOL, police bolivienne, Défenseur des enfants et des adolescents, entre autres).</w:t>
      </w:r>
    </w:p>
    <w:p w14:paraId="62BD40CC" w14:textId="77777777" w:rsidR="00575165" w:rsidRPr="001561A6" w:rsidRDefault="00575165" w:rsidP="00575165">
      <w:pPr>
        <w:pStyle w:val="H4G"/>
      </w:pPr>
      <w:r w:rsidRPr="001561A6">
        <w:tab/>
      </w:r>
      <w:r w:rsidRPr="001561A6">
        <w:tab/>
        <w:t>Présentation officielle des demandes d</w:t>
      </w:r>
      <w:r w:rsidR="009258E3">
        <w:t>’</w:t>
      </w:r>
      <w:r w:rsidRPr="001561A6">
        <w:t>asile</w:t>
      </w:r>
    </w:p>
    <w:p w14:paraId="116BB8B0" w14:textId="77777777" w:rsidR="00575165" w:rsidRPr="001561A6" w:rsidRDefault="00575165" w:rsidP="00575165">
      <w:pPr>
        <w:pStyle w:val="SingleTxtG"/>
      </w:pPr>
      <w:r w:rsidRPr="001561A6">
        <w:t>63.</w:t>
      </w:r>
      <w:r w:rsidRPr="001561A6">
        <w:tab/>
        <w:t>Comme mentionné ci-dessus, l</w:t>
      </w:r>
      <w:r w:rsidR="009258E3">
        <w:t>’</w:t>
      </w:r>
      <w:r w:rsidRPr="001561A6">
        <w:t xml:space="preserve">article 32 de la loi </w:t>
      </w:r>
      <w:r w:rsidRPr="001561A6">
        <w:rPr>
          <w:rFonts w:eastAsia="MS Mincho"/>
          <w:szCs w:val="22"/>
        </w:rPr>
        <w:t>n</w:t>
      </w:r>
      <w:r w:rsidRPr="001561A6">
        <w:rPr>
          <w:rFonts w:eastAsia="MS Mincho"/>
          <w:szCs w:val="22"/>
          <w:vertAlign w:val="superscript"/>
        </w:rPr>
        <w:t>o</w:t>
      </w:r>
      <w:r w:rsidRPr="001561A6">
        <w:t> 251 dispose que les demandes de statut de réfugié doivent être présentées au Secrétariat technique de la Commission nationale pour les réfugiés, sise dans les bureaux du Ministère des affaires extérieures, à La Paz.</w:t>
      </w:r>
    </w:p>
    <w:p w14:paraId="6C9904F6" w14:textId="77777777" w:rsidR="00575165" w:rsidRPr="001561A6" w:rsidRDefault="00575165" w:rsidP="00575165">
      <w:pPr>
        <w:pStyle w:val="SingleTxtG"/>
      </w:pPr>
      <w:r w:rsidRPr="001561A6">
        <w:t>64.</w:t>
      </w:r>
      <w:r w:rsidRPr="001561A6">
        <w:tab/>
        <w:t>Néanmoins, pour l</w:t>
      </w:r>
      <w:r w:rsidR="009258E3">
        <w:t>’</w:t>
      </w:r>
      <w:r w:rsidRPr="001561A6">
        <w:t>année 2020, conformément à l</w:t>
      </w:r>
      <w:r w:rsidR="009258E3">
        <w:t>’</w:t>
      </w:r>
      <w:r w:rsidRPr="001561A6">
        <w:t xml:space="preserve">article 13.II de la loi </w:t>
      </w:r>
      <w:r w:rsidRPr="001561A6">
        <w:rPr>
          <w:rFonts w:eastAsia="MS Mincho"/>
          <w:szCs w:val="22"/>
        </w:rPr>
        <w:t>n</w:t>
      </w:r>
      <w:r w:rsidRPr="001561A6">
        <w:rPr>
          <w:rFonts w:eastAsia="MS Mincho"/>
          <w:szCs w:val="22"/>
          <w:vertAlign w:val="superscript"/>
        </w:rPr>
        <w:t>o</w:t>
      </w:r>
      <w:r w:rsidRPr="001561A6">
        <w:t> 251 relatif au meilleur traitement qu</w:t>
      </w:r>
      <w:r w:rsidR="009258E3">
        <w:t>’</w:t>
      </w:r>
      <w:r w:rsidRPr="001561A6">
        <w:t>il soit possible d</w:t>
      </w:r>
      <w:r w:rsidR="009258E3">
        <w:t>’</w:t>
      </w:r>
      <w:r w:rsidRPr="001561A6">
        <w:t>offrir aux demandeurs du statut de réfugié en Bolivie, la Commission nationale pour les réfugiés a décidé que le Secrétariat technique serait déplacé dans la ville de Santa Cruz, où il recevrait les demandes de statut de réfugié, consignerait ces demandes et ferait passer les entretiens correspondants. Cependant, en raison de la pandémie de maladie à coronavirus 2019 (COVID-19), avec l</w:t>
      </w:r>
      <w:r w:rsidR="009258E3">
        <w:t>’</w:t>
      </w:r>
      <w:r w:rsidRPr="001561A6">
        <w:t>appui que l</w:t>
      </w:r>
      <w:r w:rsidR="009258E3">
        <w:t>’</w:t>
      </w:r>
      <w:r w:rsidRPr="001561A6">
        <w:t>agence d</w:t>
      </w:r>
      <w:r w:rsidR="009258E3">
        <w:t>’</w:t>
      </w:r>
      <w:r w:rsidRPr="001561A6">
        <w:t>exécution du HCR apporte aux étrangers ayant l</w:t>
      </w:r>
      <w:r w:rsidR="009258E3">
        <w:t>’</w:t>
      </w:r>
      <w:r w:rsidRPr="001561A6">
        <w:t>intention de demander le statut de réfugié, et pour asseoir sa présence sur le territoire bolivien, la Commission a créé une adresse électronique institutionnelle : conare@rree.gob.bo. Cette adresse servira à recevoir les demandes de statut de réfugié et à faire toutes les démarches (enregistrement, délivrance du document temporaire et entretien) en recourant à des appels vidéo.</w:t>
      </w:r>
    </w:p>
    <w:p w14:paraId="45604714" w14:textId="77777777" w:rsidR="00575165" w:rsidRPr="001561A6" w:rsidRDefault="00575165" w:rsidP="00575165">
      <w:pPr>
        <w:pStyle w:val="SingleTxtG"/>
        <w:rPr>
          <w:i/>
        </w:rPr>
      </w:pPr>
      <w:r w:rsidRPr="001561A6">
        <w:t>65.</w:t>
      </w:r>
      <w:r w:rsidRPr="001561A6">
        <w:tab/>
        <w:t>En outre, l</w:t>
      </w:r>
      <w:r w:rsidR="009258E3">
        <w:t>’</w:t>
      </w:r>
      <w:r w:rsidRPr="001561A6">
        <w:t xml:space="preserve">article 6.III du décret suprême </w:t>
      </w:r>
      <w:r w:rsidRPr="001561A6">
        <w:rPr>
          <w:rFonts w:eastAsia="MS Mincho"/>
          <w:szCs w:val="22"/>
        </w:rPr>
        <w:t>n</w:t>
      </w:r>
      <w:r w:rsidRPr="001561A6">
        <w:rPr>
          <w:rFonts w:eastAsia="MS Mincho"/>
          <w:szCs w:val="22"/>
          <w:vertAlign w:val="superscript"/>
        </w:rPr>
        <w:t>o</w:t>
      </w:r>
      <w:r w:rsidRPr="001561A6">
        <w:t> 1440 relatif à l</w:t>
      </w:r>
      <w:r w:rsidR="009258E3">
        <w:t>’</w:t>
      </w:r>
      <w:r w:rsidRPr="001561A6">
        <w:t>expulsion de réfugiés ou de demandeurs du statut de réfugié dispose que, aux fins du respect des droits de la défense, la Commission pour les réfugiés convoque d</w:t>
      </w:r>
      <w:r w:rsidR="009258E3">
        <w:t>’</w:t>
      </w:r>
      <w:r w:rsidRPr="001561A6">
        <w:t>abord le réfugié ou le demandeur du statut de réfugié à une audience, afin qu</w:t>
      </w:r>
      <w:r w:rsidR="009258E3">
        <w:t>’</w:t>
      </w:r>
      <w:r w:rsidRPr="001561A6">
        <w:t>il puisse présenter des preuves tendant à le disculper, faire les déclarations et apporter les éclaircissements ou les preuves justificatives qu</w:t>
      </w:r>
      <w:r w:rsidR="009258E3">
        <w:t>’</w:t>
      </w:r>
      <w:r w:rsidRPr="001561A6">
        <w:t>il juge appropriés. Après avoir examiné la situation, la Commission nationale pour les réfugiés rend sa décision, qui est dûment motivée et susceptible d</w:t>
      </w:r>
      <w:r w:rsidR="009258E3">
        <w:t>’</w:t>
      </w:r>
      <w:r w:rsidRPr="001561A6">
        <w:t>appel devant la Commission de contestation</w:t>
      </w:r>
    </w:p>
    <w:p w14:paraId="1993B1E5" w14:textId="77777777" w:rsidR="00575165" w:rsidRPr="001561A6" w:rsidRDefault="00575165" w:rsidP="00575165">
      <w:pPr>
        <w:pStyle w:val="SingleTxtG"/>
      </w:pPr>
      <w:r w:rsidRPr="001561A6">
        <w:t>66.</w:t>
      </w:r>
      <w:r w:rsidRPr="001561A6">
        <w:tab/>
        <w:t>Pour ce qui est de l</w:t>
      </w:r>
      <w:r w:rsidR="009258E3">
        <w:t>’</w:t>
      </w:r>
      <w:r w:rsidRPr="001561A6">
        <w:t>assistance d</w:t>
      </w:r>
      <w:r w:rsidR="009258E3">
        <w:t>’</w:t>
      </w:r>
      <w:r w:rsidRPr="001561A6">
        <w:t>un conseil, conformément à l</w:t>
      </w:r>
      <w:r w:rsidR="009258E3">
        <w:t>’</w:t>
      </w:r>
      <w:r w:rsidRPr="001561A6">
        <w:t>article 27 de la loi</w:t>
      </w:r>
      <w:r w:rsidR="00B4748D" w:rsidRPr="001561A6">
        <w:t> </w:t>
      </w:r>
      <w:r w:rsidRPr="001561A6">
        <w:rPr>
          <w:rFonts w:eastAsia="MS Mincho"/>
          <w:szCs w:val="22"/>
        </w:rPr>
        <w:t>n</w:t>
      </w:r>
      <w:r w:rsidRPr="001561A6">
        <w:rPr>
          <w:rFonts w:eastAsia="MS Mincho"/>
          <w:szCs w:val="22"/>
          <w:vertAlign w:val="superscript"/>
        </w:rPr>
        <w:t>o</w:t>
      </w:r>
      <w:r w:rsidRPr="001561A6">
        <w:t> 251, le Secrétariat technique de la Commission pour les réfugiés a entre autres missions celle d</w:t>
      </w:r>
      <w:r w:rsidR="009258E3">
        <w:t>’</w:t>
      </w:r>
      <w:r w:rsidRPr="001561A6">
        <w:t>informer le demandeur de ses droits et de ses devoirs, ainsi que de lui fournir les informations et les conseils nécessaires et de l</w:t>
      </w:r>
      <w:r w:rsidR="009258E3">
        <w:t>’</w:t>
      </w:r>
      <w:r w:rsidRPr="001561A6">
        <w:t>interroger, en prenant les mesures nécessaires pour lui fournir un interprète si nécessaire, et en rédigeant les procès-verbaux des entretiens. De même, conformément à l</w:t>
      </w:r>
      <w:r w:rsidR="009258E3">
        <w:t>’</w:t>
      </w:r>
      <w:r w:rsidRPr="001561A6">
        <w:t>article 29 de la loi précitée, le demandeur d</w:t>
      </w:r>
      <w:r w:rsidR="009258E3">
        <w:t>’</w:t>
      </w:r>
      <w:r w:rsidRPr="001561A6">
        <w:t>asile et les membres de sa famille ont le droit, lorsqu</w:t>
      </w:r>
      <w:r w:rsidR="009258E3">
        <w:t>’</w:t>
      </w:r>
      <w:r w:rsidRPr="001561A6">
        <w:t>ils ne sont pas hispanophones, d</w:t>
      </w:r>
      <w:r w:rsidR="009258E3">
        <w:t>’</w:t>
      </w:r>
      <w:r w:rsidRPr="001561A6">
        <w:t>être assistés d</w:t>
      </w:r>
      <w:r w:rsidR="009258E3">
        <w:t>’</w:t>
      </w:r>
      <w:r w:rsidRPr="001561A6">
        <w:t>un interprète qualifié tout au long de la procédure.</w:t>
      </w:r>
    </w:p>
    <w:p w14:paraId="521C59AF" w14:textId="77777777" w:rsidR="00575165" w:rsidRPr="001561A6" w:rsidRDefault="00575165" w:rsidP="00575165">
      <w:pPr>
        <w:pStyle w:val="SingleTxtG"/>
      </w:pPr>
      <w:r w:rsidRPr="001561A6">
        <w:t>67.</w:t>
      </w:r>
      <w:r w:rsidRPr="001561A6">
        <w:tab/>
        <w:t>L</w:t>
      </w:r>
      <w:r w:rsidR="009258E3">
        <w:t>’</w:t>
      </w:r>
      <w:r w:rsidRPr="001561A6">
        <w:t>équipe opérationnelle de la Commission pour les réfugiés et l</w:t>
      </w:r>
      <w:r w:rsidR="009258E3">
        <w:t>’</w:t>
      </w:r>
      <w:r w:rsidRPr="001561A6">
        <w:t>agence d</w:t>
      </w:r>
      <w:r w:rsidR="009258E3">
        <w:t>’</w:t>
      </w:r>
      <w:r w:rsidRPr="001561A6">
        <w:t>exécution des programmes du HCR en Bolivie, dans le cadre de l</w:t>
      </w:r>
      <w:r w:rsidR="009258E3">
        <w:t>’</w:t>
      </w:r>
      <w:r w:rsidRPr="001561A6">
        <w:t>accord interinstitutionnel conclu, prennent les mesures voulues pour faciliter l</w:t>
      </w:r>
      <w:r w:rsidR="009258E3">
        <w:t>’</w:t>
      </w:r>
      <w:r w:rsidRPr="001561A6">
        <w:t>intégration des réfugiés. En outre, l</w:t>
      </w:r>
      <w:r w:rsidR="009258E3">
        <w:t>’</w:t>
      </w:r>
      <w:r w:rsidRPr="001561A6">
        <w:t>agence d</w:t>
      </w:r>
      <w:r w:rsidR="009258E3">
        <w:t>’</w:t>
      </w:r>
      <w:r w:rsidRPr="001561A6">
        <w:t xml:space="preserve">exécution (Caritas Bolivie </w:t>
      </w:r>
      <w:r w:rsidR="00B4748D" w:rsidRPr="001561A6">
        <w:t>−</w:t>
      </w:r>
      <w:r w:rsidRPr="001561A6">
        <w:t xml:space="preserve"> Pastoral de </w:t>
      </w:r>
      <w:proofErr w:type="spellStart"/>
      <w:r w:rsidRPr="001561A6">
        <w:t>Movilidad</w:t>
      </w:r>
      <w:proofErr w:type="spellEnd"/>
      <w:r w:rsidRPr="001561A6">
        <w:t xml:space="preserve"> </w:t>
      </w:r>
      <w:proofErr w:type="spellStart"/>
      <w:r w:rsidRPr="001561A6">
        <w:t>Humana</w:t>
      </w:r>
      <w:proofErr w:type="spellEnd"/>
      <w:r w:rsidRPr="001561A6">
        <w:t>) fournit une aide juridique gratuite aux étrangers qui souhaitent demander l</w:t>
      </w:r>
      <w:r w:rsidR="009258E3">
        <w:t>’</w:t>
      </w:r>
      <w:r w:rsidRPr="001561A6">
        <w:t>asile en Bolivie.</w:t>
      </w:r>
    </w:p>
    <w:p w14:paraId="24A970F5" w14:textId="77777777" w:rsidR="00575165" w:rsidRPr="001561A6" w:rsidRDefault="00575165" w:rsidP="00575165">
      <w:pPr>
        <w:pStyle w:val="H23G"/>
      </w:pPr>
      <w:r w:rsidRPr="001561A6">
        <w:tab/>
      </w:r>
      <w:r w:rsidRPr="001561A6">
        <w:tab/>
        <w:t>Réponse à la question posée au paragraphe 10 de la liste de points</w:t>
      </w:r>
    </w:p>
    <w:p w14:paraId="135F2D71" w14:textId="77777777" w:rsidR="00575165" w:rsidRPr="001561A6" w:rsidRDefault="00575165" w:rsidP="00575165">
      <w:pPr>
        <w:pStyle w:val="H4G"/>
      </w:pPr>
      <w:r w:rsidRPr="001561A6">
        <w:tab/>
      </w:r>
      <w:r w:rsidRPr="001561A6">
        <w:tab/>
        <w:t>Demandes d</w:t>
      </w:r>
      <w:r w:rsidR="009258E3">
        <w:t>’</w:t>
      </w:r>
      <w:r w:rsidRPr="001561A6">
        <w:t>asile reçues</w:t>
      </w:r>
    </w:p>
    <w:p w14:paraId="455EF1A3" w14:textId="77777777" w:rsidR="00575165" w:rsidRPr="001561A6" w:rsidRDefault="00575165" w:rsidP="00575165">
      <w:pPr>
        <w:pStyle w:val="SingleTxtG"/>
      </w:pPr>
      <w:r w:rsidRPr="001561A6">
        <w:t>68.</w:t>
      </w:r>
      <w:r w:rsidRPr="001561A6">
        <w:tab/>
        <w:t>Les registres du Secrétariat technique de la Commission pour les réfugiés font état de ce qui suit.</w:t>
      </w:r>
    </w:p>
    <w:p w14:paraId="6668CCC9" w14:textId="77777777" w:rsidR="00575165" w:rsidRPr="001561A6" w:rsidRDefault="00575165" w:rsidP="00575165">
      <w:pPr>
        <w:pStyle w:val="H23G"/>
      </w:pPr>
      <w:r w:rsidRPr="001561A6">
        <w:tab/>
      </w:r>
      <w:r w:rsidRPr="001561A6">
        <w:tab/>
        <w:t>Demandeurs et réfugiés, depuis 2014. Données recueillies jusqu</w:t>
      </w:r>
      <w:r w:rsidR="009258E3">
        <w:t>’</w:t>
      </w:r>
      <w:r w:rsidRPr="001561A6">
        <w:t>au 30</w:t>
      </w:r>
      <w:r w:rsidR="00B4748D" w:rsidRPr="001561A6">
        <w:t> </w:t>
      </w:r>
      <w:r w:rsidRPr="001561A6">
        <w:t>juin 2020</w:t>
      </w:r>
    </w:p>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4155B9" w:rsidRPr="00AC1DE2" w14:paraId="3F097556"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one" w:sz="0" w:space="0" w:color="auto"/>
              <w:bottom w:val="single" w:sz="12" w:space="0" w:color="auto"/>
              <w:right w:val="none" w:sz="0" w:space="0" w:color="auto"/>
            </w:tcBorders>
            <w:shd w:val="clear" w:color="auto" w:fill="auto"/>
            <w:vAlign w:val="bottom"/>
          </w:tcPr>
          <w:p w14:paraId="5D851B4D" w14:textId="77777777" w:rsidR="00B4748D" w:rsidRPr="00AC1DE2" w:rsidRDefault="004155B9" w:rsidP="00AC1DE2">
            <w:pPr>
              <w:suppressAutoHyphens w:val="0"/>
              <w:spacing w:before="80" w:after="80" w:line="200" w:lineRule="exact"/>
              <w:rPr>
                <w:b w:val="0"/>
                <w:i/>
                <w:color w:val="auto"/>
                <w:sz w:val="16"/>
                <w:lang w:val="fr-CH" w:eastAsia="es-BO"/>
              </w:rPr>
            </w:pPr>
            <w:r w:rsidRPr="00AC1DE2">
              <w:rPr>
                <w:b w:val="0"/>
                <w:i/>
                <w:color w:val="auto"/>
                <w:sz w:val="16"/>
                <w:lang w:val="fr-CH" w:eastAsia="es-BO"/>
              </w:rPr>
              <w:t>Année</w:t>
            </w:r>
          </w:p>
        </w:tc>
        <w:tc>
          <w:tcPr>
            <w:tcW w:w="0"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56754278" w14:textId="77777777" w:rsidR="00B4748D" w:rsidRPr="00AC1DE2" w:rsidRDefault="004155B9"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eastAsia="es-BO"/>
              </w:rPr>
            </w:pPr>
            <w:r w:rsidRPr="00AC1DE2">
              <w:rPr>
                <w:b w:val="0"/>
                <w:i/>
                <w:color w:val="auto"/>
                <w:sz w:val="16"/>
                <w:lang w:val="fr-CH" w:eastAsia="es-BO"/>
              </w:rPr>
              <w:t>Demandes déposées</w:t>
            </w:r>
          </w:p>
        </w:tc>
        <w:tc>
          <w:tcPr>
            <w:tcW w:w="0" w:type="dxa"/>
            <w:tcBorders>
              <w:top w:val="single" w:sz="4" w:space="0" w:color="auto"/>
              <w:left w:val="none" w:sz="0" w:space="0" w:color="auto"/>
              <w:bottom w:val="single" w:sz="12" w:space="0" w:color="auto"/>
              <w:right w:val="none" w:sz="0" w:space="0" w:color="auto"/>
            </w:tcBorders>
            <w:shd w:val="clear" w:color="auto" w:fill="auto"/>
            <w:noWrap/>
            <w:vAlign w:val="bottom"/>
            <w:hideMark/>
          </w:tcPr>
          <w:p w14:paraId="6B83EC34" w14:textId="77777777" w:rsidR="00B4748D" w:rsidRPr="00AC1DE2" w:rsidRDefault="004155B9"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eastAsia="es-BO"/>
              </w:rPr>
            </w:pPr>
            <w:r w:rsidRPr="00AC1DE2">
              <w:rPr>
                <w:b w:val="0"/>
                <w:i/>
                <w:color w:val="auto"/>
                <w:sz w:val="16"/>
                <w:lang w:val="fr-CH" w:eastAsia="es-BO"/>
              </w:rPr>
              <w:t>Réfugiés</w:t>
            </w:r>
          </w:p>
        </w:tc>
      </w:tr>
      <w:tr w:rsidR="004155B9" w:rsidRPr="00AC1DE2" w14:paraId="7F277F3E"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left w:val="none" w:sz="0" w:space="0" w:color="auto"/>
            </w:tcBorders>
            <w:shd w:val="clear" w:color="auto" w:fill="auto"/>
          </w:tcPr>
          <w:p w14:paraId="68E73430" w14:textId="77777777" w:rsidR="00B4748D" w:rsidRPr="00AC1DE2" w:rsidRDefault="00B4748D" w:rsidP="00AC1DE2">
            <w:pPr>
              <w:suppressAutoHyphens w:val="0"/>
              <w:spacing w:before="40" w:after="40" w:line="220" w:lineRule="exact"/>
              <w:rPr>
                <w:color w:val="auto"/>
                <w:sz w:val="18"/>
                <w:lang w:val="fr-CH" w:eastAsia="es-BO"/>
              </w:rPr>
            </w:pPr>
            <w:r w:rsidRPr="00AC1DE2">
              <w:rPr>
                <w:color w:val="auto"/>
                <w:sz w:val="18"/>
                <w:lang w:val="fr-CH" w:eastAsia="es-BO"/>
              </w:rPr>
              <w:t>2014</w:t>
            </w:r>
          </w:p>
        </w:tc>
        <w:tc>
          <w:tcPr>
            <w:tcW w:w="0" w:type="dxa"/>
            <w:tcBorders>
              <w:top w:val="single" w:sz="12" w:space="0" w:color="auto"/>
            </w:tcBorders>
            <w:shd w:val="clear" w:color="auto" w:fill="auto"/>
            <w:noWrap/>
            <w:vAlign w:val="bottom"/>
            <w:hideMark/>
          </w:tcPr>
          <w:p w14:paraId="08CA0E60" w14:textId="77777777" w:rsidR="00B4748D" w:rsidRPr="00AC1DE2" w:rsidRDefault="00B4748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29</w:t>
            </w:r>
          </w:p>
        </w:tc>
        <w:tc>
          <w:tcPr>
            <w:tcW w:w="0" w:type="dxa"/>
            <w:tcBorders>
              <w:top w:val="single" w:sz="12" w:space="0" w:color="auto"/>
            </w:tcBorders>
            <w:shd w:val="clear" w:color="auto" w:fill="auto"/>
            <w:noWrap/>
            <w:vAlign w:val="bottom"/>
            <w:hideMark/>
          </w:tcPr>
          <w:p w14:paraId="4A9632CB" w14:textId="77777777" w:rsidR="00B4748D" w:rsidRPr="00AC1DE2" w:rsidRDefault="00B4748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18</w:t>
            </w:r>
          </w:p>
        </w:tc>
      </w:tr>
      <w:tr w:rsidR="004155B9" w:rsidRPr="00AC1DE2" w14:paraId="72C20051" w14:textId="77777777" w:rsidTr="00AC1DE2">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29496423" w14:textId="77777777" w:rsidR="00B4748D" w:rsidRPr="00AC1DE2" w:rsidRDefault="00B4748D" w:rsidP="00AC1DE2">
            <w:pPr>
              <w:suppressAutoHyphens w:val="0"/>
              <w:spacing w:before="40" w:after="40" w:line="220" w:lineRule="exact"/>
              <w:rPr>
                <w:color w:val="auto"/>
                <w:sz w:val="18"/>
                <w:lang w:val="fr-CH" w:eastAsia="es-BO"/>
              </w:rPr>
            </w:pPr>
            <w:r w:rsidRPr="00AC1DE2">
              <w:rPr>
                <w:color w:val="auto"/>
                <w:sz w:val="18"/>
                <w:lang w:val="fr-CH" w:eastAsia="es-BO"/>
              </w:rPr>
              <w:t>2015</w:t>
            </w:r>
          </w:p>
        </w:tc>
        <w:tc>
          <w:tcPr>
            <w:tcW w:w="0" w:type="dxa"/>
            <w:shd w:val="clear" w:color="auto" w:fill="auto"/>
            <w:noWrap/>
            <w:vAlign w:val="bottom"/>
            <w:hideMark/>
          </w:tcPr>
          <w:p w14:paraId="7F935ADE" w14:textId="77777777" w:rsidR="00B4748D" w:rsidRPr="00AC1DE2" w:rsidRDefault="00B4748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47</w:t>
            </w:r>
          </w:p>
        </w:tc>
        <w:tc>
          <w:tcPr>
            <w:tcW w:w="0" w:type="dxa"/>
            <w:shd w:val="clear" w:color="auto" w:fill="auto"/>
            <w:noWrap/>
            <w:vAlign w:val="bottom"/>
            <w:hideMark/>
          </w:tcPr>
          <w:p w14:paraId="5311F3C7" w14:textId="77777777" w:rsidR="00B4748D" w:rsidRPr="00AC1DE2" w:rsidRDefault="00B4748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8</w:t>
            </w:r>
          </w:p>
        </w:tc>
      </w:tr>
      <w:tr w:rsidR="004155B9" w:rsidRPr="00AC1DE2" w14:paraId="69DF602E"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17931A44" w14:textId="77777777" w:rsidR="00B4748D" w:rsidRPr="00AC1DE2" w:rsidRDefault="00B4748D" w:rsidP="00AC1DE2">
            <w:pPr>
              <w:suppressAutoHyphens w:val="0"/>
              <w:spacing w:before="40" w:after="40" w:line="220" w:lineRule="exact"/>
              <w:rPr>
                <w:color w:val="auto"/>
                <w:sz w:val="18"/>
                <w:lang w:val="fr-CH" w:eastAsia="es-BO"/>
              </w:rPr>
            </w:pPr>
            <w:r w:rsidRPr="00AC1DE2">
              <w:rPr>
                <w:color w:val="auto"/>
                <w:sz w:val="18"/>
                <w:lang w:val="fr-CH" w:eastAsia="es-BO"/>
              </w:rPr>
              <w:t>2016</w:t>
            </w:r>
          </w:p>
        </w:tc>
        <w:tc>
          <w:tcPr>
            <w:tcW w:w="0" w:type="dxa"/>
            <w:shd w:val="clear" w:color="auto" w:fill="auto"/>
            <w:noWrap/>
            <w:vAlign w:val="bottom"/>
            <w:hideMark/>
          </w:tcPr>
          <w:p w14:paraId="0163597B" w14:textId="77777777" w:rsidR="00B4748D" w:rsidRPr="00AC1DE2" w:rsidRDefault="00B4748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17</w:t>
            </w:r>
          </w:p>
        </w:tc>
        <w:tc>
          <w:tcPr>
            <w:tcW w:w="0" w:type="dxa"/>
            <w:shd w:val="clear" w:color="auto" w:fill="auto"/>
            <w:noWrap/>
            <w:vAlign w:val="bottom"/>
            <w:hideMark/>
          </w:tcPr>
          <w:p w14:paraId="5B6C6EB1" w14:textId="77777777" w:rsidR="00B4748D" w:rsidRPr="00AC1DE2" w:rsidRDefault="00B4748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10</w:t>
            </w:r>
          </w:p>
        </w:tc>
      </w:tr>
      <w:tr w:rsidR="004155B9" w:rsidRPr="00AC1DE2" w14:paraId="129EC88F" w14:textId="77777777" w:rsidTr="00AC1DE2">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3979AEE3" w14:textId="77777777" w:rsidR="00B4748D" w:rsidRPr="00AC1DE2" w:rsidRDefault="00B4748D" w:rsidP="00AC1DE2">
            <w:pPr>
              <w:suppressAutoHyphens w:val="0"/>
              <w:spacing w:before="40" w:after="40" w:line="220" w:lineRule="exact"/>
              <w:rPr>
                <w:color w:val="auto"/>
                <w:sz w:val="18"/>
                <w:lang w:val="fr-CH" w:eastAsia="es-BO"/>
              </w:rPr>
            </w:pPr>
            <w:r w:rsidRPr="00AC1DE2">
              <w:rPr>
                <w:color w:val="auto"/>
                <w:sz w:val="18"/>
                <w:lang w:val="fr-CH" w:eastAsia="es-BO"/>
              </w:rPr>
              <w:t>2017</w:t>
            </w:r>
          </w:p>
        </w:tc>
        <w:tc>
          <w:tcPr>
            <w:tcW w:w="0" w:type="dxa"/>
            <w:shd w:val="clear" w:color="auto" w:fill="auto"/>
            <w:noWrap/>
            <w:vAlign w:val="bottom"/>
            <w:hideMark/>
          </w:tcPr>
          <w:p w14:paraId="0C36FCB4" w14:textId="77777777" w:rsidR="00B4748D" w:rsidRPr="00AC1DE2" w:rsidRDefault="00B4748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22</w:t>
            </w:r>
          </w:p>
        </w:tc>
        <w:tc>
          <w:tcPr>
            <w:tcW w:w="0" w:type="dxa"/>
            <w:shd w:val="clear" w:color="auto" w:fill="auto"/>
            <w:noWrap/>
            <w:vAlign w:val="bottom"/>
            <w:hideMark/>
          </w:tcPr>
          <w:p w14:paraId="34894EBF" w14:textId="77777777" w:rsidR="00B4748D" w:rsidRPr="00AC1DE2" w:rsidRDefault="00B4748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14</w:t>
            </w:r>
          </w:p>
        </w:tc>
      </w:tr>
      <w:tr w:rsidR="004155B9" w:rsidRPr="00AC1DE2" w14:paraId="5FB0F335"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7080E140" w14:textId="77777777" w:rsidR="00B4748D" w:rsidRPr="00AC1DE2" w:rsidRDefault="00B4748D" w:rsidP="00AC1DE2">
            <w:pPr>
              <w:suppressAutoHyphens w:val="0"/>
              <w:spacing w:before="40" w:after="40" w:line="220" w:lineRule="exact"/>
              <w:rPr>
                <w:color w:val="auto"/>
                <w:sz w:val="18"/>
                <w:lang w:val="fr-CH" w:eastAsia="es-BO"/>
              </w:rPr>
            </w:pPr>
            <w:r w:rsidRPr="00AC1DE2">
              <w:rPr>
                <w:color w:val="auto"/>
                <w:sz w:val="18"/>
                <w:lang w:val="fr-CH" w:eastAsia="es-BO"/>
              </w:rPr>
              <w:t>2018</w:t>
            </w:r>
          </w:p>
        </w:tc>
        <w:tc>
          <w:tcPr>
            <w:tcW w:w="0" w:type="dxa"/>
            <w:shd w:val="clear" w:color="auto" w:fill="auto"/>
            <w:noWrap/>
            <w:vAlign w:val="bottom"/>
            <w:hideMark/>
          </w:tcPr>
          <w:p w14:paraId="1B4E4325" w14:textId="77777777" w:rsidR="00B4748D" w:rsidRPr="00AC1DE2" w:rsidRDefault="00B4748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434</w:t>
            </w:r>
          </w:p>
        </w:tc>
        <w:tc>
          <w:tcPr>
            <w:tcW w:w="0" w:type="dxa"/>
            <w:shd w:val="clear" w:color="auto" w:fill="auto"/>
            <w:noWrap/>
            <w:vAlign w:val="bottom"/>
            <w:hideMark/>
          </w:tcPr>
          <w:p w14:paraId="2472B5B0" w14:textId="77777777" w:rsidR="00B4748D" w:rsidRPr="00AC1DE2" w:rsidRDefault="00B4748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17</w:t>
            </w:r>
          </w:p>
        </w:tc>
      </w:tr>
      <w:tr w:rsidR="004155B9" w:rsidRPr="00AC1DE2" w14:paraId="3BA223E5" w14:textId="77777777" w:rsidTr="00AC1DE2">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tcBorders>
            <w:shd w:val="clear" w:color="auto" w:fill="auto"/>
          </w:tcPr>
          <w:p w14:paraId="226F2307" w14:textId="77777777" w:rsidR="00B4748D" w:rsidRPr="00AC1DE2" w:rsidRDefault="00B4748D" w:rsidP="00AC1DE2">
            <w:pPr>
              <w:suppressAutoHyphens w:val="0"/>
              <w:spacing w:before="40" w:after="40" w:line="220" w:lineRule="exact"/>
              <w:rPr>
                <w:color w:val="auto"/>
                <w:sz w:val="18"/>
                <w:lang w:val="fr-CH" w:eastAsia="es-BO"/>
              </w:rPr>
            </w:pPr>
            <w:r w:rsidRPr="00AC1DE2">
              <w:rPr>
                <w:color w:val="auto"/>
                <w:sz w:val="18"/>
                <w:lang w:val="fr-CH" w:eastAsia="es-BO"/>
              </w:rPr>
              <w:t>2019</w:t>
            </w:r>
          </w:p>
        </w:tc>
        <w:tc>
          <w:tcPr>
            <w:tcW w:w="0" w:type="dxa"/>
            <w:shd w:val="clear" w:color="auto" w:fill="auto"/>
            <w:noWrap/>
            <w:vAlign w:val="bottom"/>
            <w:hideMark/>
          </w:tcPr>
          <w:p w14:paraId="1C9F972A" w14:textId="77777777" w:rsidR="00B4748D" w:rsidRPr="00AC1DE2" w:rsidRDefault="00B4748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418</w:t>
            </w:r>
          </w:p>
        </w:tc>
        <w:tc>
          <w:tcPr>
            <w:tcW w:w="0" w:type="dxa"/>
            <w:shd w:val="clear" w:color="auto" w:fill="auto"/>
            <w:noWrap/>
            <w:vAlign w:val="bottom"/>
            <w:hideMark/>
          </w:tcPr>
          <w:p w14:paraId="3176F502" w14:textId="77777777" w:rsidR="00B4748D" w:rsidRPr="00AC1DE2" w:rsidRDefault="00B4748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4</w:t>
            </w:r>
          </w:p>
        </w:tc>
      </w:tr>
      <w:tr w:rsidR="004155B9" w:rsidRPr="00AC1DE2" w14:paraId="1B78BA00"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left w:val="none" w:sz="0" w:space="0" w:color="auto"/>
              <w:bottom w:val="single" w:sz="12" w:space="0" w:color="auto"/>
            </w:tcBorders>
            <w:shd w:val="clear" w:color="auto" w:fill="auto"/>
          </w:tcPr>
          <w:p w14:paraId="5647DDAF" w14:textId="77777777" w:rsidR="00B4748D" w:rsidRPr="00AC1DE2" w:rsidRDefault="004155B9" w:rsidP="00AC1DE2">
            <w:pPr>
              <w:suppressAutoHyphens w:val="0"/>
              <w:spacing w:before="40" w:after="40" w:line="220" w:lineRule="exact"/>
              <w:rPr>
                <w:color w:val="auto"/>
                <w:sz w:val="18"/>
                <w:lang w:val="fr-CH" w:eastAsia="es-BO"/>
              </w:rPr>
            </w:pPr>
            <w:r w:rsidRPr="00AC1DE2">
              <w:rPr>
                <w:color w:val="auto"/>
                <w:sz w:val="18"/>
                <w:lang w:val="fr-CH" w:eastAsia="es-BO"/>
              </w:rPr>
              <w:t>Jusqu</w:t>
            </w:r>
            <w:r w:rsidR="009258E3" w:rsidRPr="00AC1DE2">
              <w:rPr>
                <w:color w:val="auto"/>
                <w:sz w:val="18"/>
                <w:lang w:val="fr-CH" w:eastAsia="es-BO"/>
              </w:rPr>
              <w:t>’</w:t>
            </w:r>
            <w:r w:rsidRPr="00AC1DE2">
              <w:rPr>
                <w:color w:val="auto"/>
                <w:sz w:val="18"/>
                <w:lang w:val="fr-CH" w:eastAsia="es-BO"/>
              </w:rPr>
              <w:t>à juin</w:t>
            </w:r>
            <w:r w:rsidR="00B4748D" w:rsidRPr="00AC1DE2">
              <w:rPr>
                <w:color w:val="auto"/>
                <w:sz w:val="18"/>
                <w:lang w:val="fr-CH" w:eastAsia="es-BO"/>
              </w:rPr>
              <w:t xml:space="preserve"> 2020</w:t>
            </w:r>
          </w:p>
        </w:tc>
        <w:tc>
          <w:tcPr>
            <w:tcW w:w="0" w:type="dxa"/>
            <w:tcBorders>
              <w:bottom w:val="single" w:sz="12" w:space="0" w:color="auto"/>
            </w:tcBorders>
            <w:shd w:val="clear" w:color="auto" w:fill="auto"/>
            <w:noWrap/>
            <w:vAlign w:val="bottom"/>
          </w:tcPr>
          <w:p w14:paraId="1E106615" w14:textId="77777777" w:rsidR="00B4748D" w:rsidRPr="00AC1DE2" w:rsidRDefault="00B4748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679</w:t>
            </w:r>
          </w:p>
        </w:tc>
        <w:tc>
          <w:tcPr>
            <w:tcW w:w="0" w:type="dxa"/>
            <w:tcBorders>
              <w:bottom w:val="single" w:sz="12" w:space="0" w:color="auto"/>
            </w:tcBorders>
            <w:shd w:val="clear" w:color="auto" w:fill="auto"/>
            <w:noWrap/>
            <w:vAlign w:val="bottom"/>
          </w:tcPr>
          <w:p w14:paraId="7628EF7E" w14:textId="77777777" w:rsidR="00B4748D" w:rsidRPr="00AC1DE2" w:rsidRDefault="00B4748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176</w:t>
            </w:r>
          </w:p>
        </w:tc>
      </w:tr>
    </w:tbl>
    <w:p w14:paraId="018443FB" w14:textId="77777777" w:rsidR="00575165" w:rsidRPr="001561A6" w:rsidRDefault="00575165" w:rsidP="00B4748D">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Commission pour les réfugiés.</w:t>
      </w:r>
    </w:p>
    <w:p w14:paraId="4A30AD94" w14:textId="77777777" w:rsidR="00575165" w:rsidRPr="001561A6" w:rsidRDefault="00575165" w:rsidP="00575165">
      <w:pPr>
        <w:pStyle w:val="SingleTxtG"/>
      </w:pPr>
      <w:r w:rsidRPr="001561A6">
        <w:t>69.</w:t>
      </w:r>
      <w:r w:rsidRPr="001561A6">
        <w:tab/>
        <w:t>En vertu du principe de confidentialité consacré à l</w:t>
      </w:r>
      <w:r w:rsidR="009258E3">
        <w:t>’</w:t>
      </w:r>
      <w:r w:rsidRPr="001561A6">
        <w:t xml:space="preserve">article 10 de la loi </w:t>
      </w:r>
      <w:r w:rsidRPr="001561A6">
        <w:rPr>
          <w:rFonts w:eastAsia="MS Mincho"/>
          <w:szCs w:val="22"/>
        </w:rPr>
        <w:t>n</w:t>
      </w:r>
      <w:r w:rsidRPr="001561A6">
        <w:rPr>
          <w:rFonts w:eastAsia="MS Mincho"/>
          <w:szCs w:val="22"/>
          <w:vertAlign w:val="superscript"/>
        </w:rPr>
        <w:t>o</w:t>
      </w:r>
      <w:r w:rsidRPr="001561A6">
        <w:t> 251 et à l</w:t>
      </w:r>
      <w:r w:rsidR="009258E3">
        <w:t>’</w:t>
      </w:r>
      <w:r w:rsidRPr="001561A6">
        <w:t xml:space="preserve">article 8 du décret suprême </w:t>
      </w:r>
      <w:r w:rsidRPr="001561A6">
        <w:rPr>
          <w:rFonts w:eastAsia="MS Mincho"/>
          <w:szCs w:val="22"/>
        </w:rPr>
        <w:t>n</w:t>
      </w:r>
      <w:r w:rsidRPr="001561A6">
        <w:rPr>
          <w:rFonts w:eastAsia="MS Mincho"/>
          <w:szCs w:val="22"/>
          <w:vertAlign w:val="superscript"/>
        </w:rPr>
        <w:t>o</w:t>
      </w:r>
      <w:r w:rsidRPr="001561A6">
        <w:t> 1 440, la Commission pour les réfugiés ne peut fournir les informations demandées par le Comité relatives aux demandes auxquelles il a été fait droit parce que le demandeur avait été torturé ou aurait pu l</w:t>
      </w:r>
      <w:r w:rsidR="009258E3">
        <w:t>’</w:t>
      </w:r>
      <w:r w:rsidRPr="001561A6">
        <w:t>être s</w:t>
      </w:r>
      <w:r w:rsidR="009258E3">
        <w:t>’</w:t>
      </w:r>
      <w:r w:rsidRPr="001561A6">
        <w:t>il avait été renvoyé dans son pays d</w:t>
      </w:r>
      <w:r w:rsidR="009258E3">
        <w:t>’</w:t>
      </w:r>
      <w:r w:rsidRPr="001561A6">
        <w:t>origine.</w:t>
      </w:r>
    </w:p>
    <w:p w14:paraId="487FE5DA" w14:textId="77777777" w:rsidR="00575165" w:rsidRPr="001561A6" w:rsidRDefault="00575165" w:rsidP="00575165">
      <w:pPr>
        <w:pStyle w:val="H23G"/>
      </w:pPr>
      <w:r w:rsidRPr="001561A6">
        <w:tab/>
      </w:r>
      <w:r w:rsidRPr="001561A6">
        <w:tab/>
        <w:t>Articles 5 à 9</w:t>
      </w:r>
    </w:p>
    <w:p w14:paraId="6DA1AE64" w14:textId="77777777" w:rsidR="00575165" w:rsidRPr="001561A6" w:rsidRDefault="00575165" w:rsidP="00575165">
      <w:pPr>
        <w:pStyle w:val="H23G"/>
      </w:pPr>
      <w:r w:rsidRPr="001561A6">
        <w:tab/>
      </w:r>
      <w:r w:rsidRPr="001561A6">
        <w:tab/>
        <w:t>Réponse à la question posée au paragraphe 12 de la liste de points</w:t>
      </w:r>
    </w:p>
    <w:p w14:paraId="6EAC1621" w14:textId="77777777" w:rsidR="00575165" w:rsidRPr="001561A6" w:rsidRDefault="00575165" w:rsidP="00575165">
      <w:pPr>
        <w:pStyle w:val="H4G"/>
      </w:pPr>
      <w:r w:rsidRPr="001561A6">
        <w:tab/>
      </w:r>
      <w:r w:rsidRPr="001561A6">
        <w:tab/>
        <w:t>Application de l</w:t>
      </w:r>
      <w:r w:rsidR="009258E3">
        <w:t>’</w:t>
      </w:r>
      <w:r w:rsidRPr="001561A6">
        <w:t>article 5 de la Convention</w:t>
      </w:r>
    </w:p>
    <w:p w14:paraId="5AD9EE17" w14:textId="77777777" w:rsidR="00575165" w:rsidRPr="001561A6" w:rsidRDefault="00575165" w:rsidP="00575165">
      <w:pPr>
        <w:pStyle w:val="SingleTxtG"/>
        <w:rPr>
          <w:i/>
        </w:rPr>
      </w:pPr>
      <w:r w:rsidRPr="001561A6">
        <w:t>70.</w:t>
      </w:r>
      <w:r w:rsidRPr="001561A6">
        <w:tab/>
        <w:t>En ce qui concerne l</w:t>
      </w:r>
      <w:r w:rsidR="009258E3">
        <w:t>’</w:t>
      </w:r>
      <w:r w:rsidRPr="001561A6">
        <w:t>infraction de torture, l</w:t>
      </w:r>
      <w:r w:rsidR="009258E3">
        <w:t>’</w:t>
      </w:r>
      <w:r w:rsidRPr="001561A6">
        <w:t xml:space="preserve">article 3 de la loi </w:t>
      </w:r>
      <w:r w:rsidRPr="001561A6">
        <w:rPr>
          <w:rFonts w:eastAsia="MS Mincho"/>
          <w:szCs w:val="22"/>
        </w:rPr>
        <w:t>n</w:t>
      </w:r>
      <w:r w:rsidRPr="001561A6">
        <w:rPr>
          <w:rFonts w:eastAsia="MS Mincho"/>
          <w:szCs w:val="22"/>
          <w:vertAlign w:val="superscript"/>
        </w:rPr>
        <w:t>o</w:t>
      </w:r>
      <w:r w:rsidRPr="001561A6">
        <w:t> 1 173, promulguée le 8 mai 2019, modifie l</w:t>
      </w:r>
      <w:r w:rsidR="009258E3">
        <w:t>’</w:t>
      </w:r>
      <w:r w:rsidRPr="001561A6">
        <w:t xml:space="preserve">article 52.I du Code de procédure pénale, en disposant que les tribunaux de première instance sont composés de trois juges techniques ayant compétence pour conduire le procès et prononcer un jugement dans le cas de toutes les infractions suivantes : (...) Article 295. </w:t>
      </w:r>
      <w:r w:rsidRPr="001561A6">
        <w:rPr>
          <w:i/>
          <w:iCs/>
        </w:rPr>
        <w:t>(Mauvais traitements et actes de torture).</w:t>
      </w:r>
    </w:p>
    <w:p w14:paraId="758FDD2A" w14:textId="77777777" w:rsidR="00575165" w:rsidRPr="001561A6" w:rsidRDefault="00575165" w:rsidP="00575165">
      <w:pPr>
        <w:pStyle w:val="SingleTxtG"/>
        <w:rPr>
          <w:i/>
        </w:rPr>
      </w:pPr>
      <w:r w:rsidRPr="001561A6">
        <w:t>71.</w:t>
      </w:r>
      <w:r w:rsidRPr="001561A6">
        <w:tab/>
        <w:t>En outre, l</w:t>
      </w:r>
      <w:r w:rsidR="009258E3">
        <w:t>’</w:t>
      </w:r>
      <w:r w:rsidRPr="001561A6">
        <w:t>État bolivien a signé les traités d</w:t>
      </w:r>
      <w:r w:rsidR="009258E3">
        <w:t>’</w:t>
      </w:r>
      <w:r w:rsidRPr="001561A6">
        <w:t>extradition suivants</w:t>
      </w:r>
      <w:r w:rsidRPr="001561A6">
        <w:rPr>
          <w:rStyle w:val="Appelnotedebasdep"/>
        </w:rPr>
        <w:footnoteReference w:id="25"/>
      </w:r>
      <w:r w:rsidR="00911A52" w:rsidRPr="001561A6">
        <w:t> </w:t>
      </w:r>
      <w:r w:rsidRPr="001561A6">
        <w:t>:</w:t>
      </w:r>
    </w:p>
    <w:p w14:paraId="2B249B48" w14:textId="77777777" w:rsidR="00575165" w:rsidRPr="001561A6" w:rsidRDefault="00575165" w:rsidP="00575165">
      <w:pPr>
        <w:pStyle w:val="Bullet1G"/>
        <w:numPr>
          <w:ilvl w:val="0"/>
          <w:numId w:val="1"/>
        </w:numPr>
      </w:pPr>
      <w:r w:rsidRPr="001561A6">
        <w:t>Traité d</w:t>
      </w:r>
      <w:r w:rsidR="009258E3">
        <w:t>’</w:t>
      </w:r>
      <w:r w:rsidRPr="001561A6">
        <w:t>amitié et d</w:t>
      </w:r>
      <w:r w:rsidR="009258E3">
        <w:t>’</w:t>
      </w:r>
      <w:r w:rsidRPr="001561A6">
        <w:t>extradition conclu entre la Bolivie et l</w:t>
      </w:r>
      <w:r w:rsidR="009258E3">
        <w:t>’</w:t>
      </w:r>
      <w:r w:rsidRPr="001561A6">
        <w:t>Italie le 18 octobre 1890</w:t>
      </w:r>
      <w:r w:rsidR="004A494A" w:rsidRPr="001561A6">
        <w:t> ;</w:t>
      </w:r>
    </w:p>
    <w:p w14:paraId="3665D8EC" w14:textId="77777777" w:rsidR="00575165" w:rsidRPr="001561A6" w:rsidRDefault="00575165" w:rsidP="00575165">
      <w:pPr>
        <w:pStyle w:val="Bullet1G"/>
        <w:numPr>
          <w:ilvl w:val="0"/>
          <w:numId w:val="1"/>
        </w:numPr>
      </w:pPr>
      <w:r w:rsidRPr="001561A6">
        <w:tab/>
        <w:t>Traité de commerce, de navigation et d</w:t>
      </w:r>
      <w:r w:rsidR="009258E3">
        <w:t>’</w:t>
      </w:r>
      <w:r w:rsidRPr="001561A6">
        <w:t>extradition conclu entre le Portugal et la République de Bolivie le 10 mai 1897, ratifié par décret promulgué le 1</w:t>
      </w:r>
      <w:r w:rsidRPr="001561A6">
        <w:rPr>
          <w:vertAlign w:val="superscript"/>
        </w:rPr>
        <w:t>er</w:t>
      </w:r>
      <w:r w:rsidRPr="001561A6">
        <w:t> juin 1897</w:t>
      </w:r>
      <w:r w:rsidR="004A494A" w:rsidRPr="001561A6">
        <w:t> ;</w:t>
      </w:r>
    </w:p>
    <w:p w14:paraId="7C3F9F50" w14:textId="77777777" w:rsidR="00575165" w:rsidRPr="001561A6" w:rsidRDefault="00575165" w:rsidP="00575165">
      <w:pPr>
        <w:pStyle w:val="Bullet1G"/>
        <w:numPr>
          <w:ilvl w:val="0"/>
          <w:numId w:val="1"/>
        </w:numPr>
      </w:pPr>
      <w:r w:rsidRPr="001561A6">
        <w:tab/>
        <w:t>Traité d</w:t>
      </w:r>
      <w:r w:rsidR="009258E3">
        <w:t>’</w:t>
      </w:r>
      <w:r w:rsidRPr="001561A6">
        <w:t>extradition conclu entre la République de Bolivie et le Royaume de Belgique le 24 juillet 1908</w:t>
      </w:r>
      <w:r w:rsidR="004A494A" w:rsidRPr="001561A6">
        <w:t> ;</w:t>
      </w:r>
    </w:p>
    <w:p w14:paraId="2FCFA824" w14:textId="77777777" w:rsidR="00575165" w:rsidRPr="001561A6" w:rsidRDefault="00575165" w:rsidP="00575165">
      <w:pPr>
        <w:pStyle w:val="Bullet1G"/>
        <w:numPr>
          <w:ilvl w:val="0"/>
          <w:numId w:val="1"/>
        </w:numPr>
      </w:pPr>
      <w:r w:rsidRPr="001561A6">
        <w:tab/>
        <w:t>Traité d</w:t>
      </w:r>
      <w:r w:rsidR="009258E3">
        <w:t>’</w:t>
      </w:r>
      <w:r w:rsidRPr="001561A6">
        <w:t>extradition conclu entre la République de Bolivie et les États-Unis du Venezuela le 21 septembre 1883, ratifié par la loi du 24 octobre 1911</w:t>
      </w:r>
      <w:r w:rsidR="00534B17" w:rsidRPr="001561A6">
        <w:t> ;</w:t>
      </w:r>
    </w:p>
    <w:p w14:paraId="4C722C18" w14:textId="77777777" w:rsidR="00575165" w:rsidRPr="001561A6" w:rsidRDefault="00575165" w:rsidP="00575165">
      <w:pPr>
        <w:pStyle w:val="Bullet1G"/>
        <w:numPr>
          <w:ilvl w:val="0"/>
          <w:numId w:val="1"/>
        </w:numPr>
      </w:pPr>
      <w:r w:rsidRPr="001561A6">
        <w:tab/>
        <w:t>Traité d</w:t>
      </w:r>
      <w:r w:rsidR="009258E3">
        <w:t>’</w:t>
      </w:r>
      <w:r w:rsidRPr="001561A6">
        <w:t>extradition conclu entre le Chili et la Bolivie le 15 décembre 1910, ratifié par la loi du 12 octobre 1911</w:t>
      </w:r>
      <w:r w:rsidR="00534B17" w:rsidRPr="001561A6">
        <w:t> ;</w:t>
      </w:r>
    </w:p>
    <w:p w14:paraId="53126557" w14:textId="77777777" w:rsidR="00575165" w:rsidRPr="001561A6" w:rsidRDefault="00575165" w:rsidP="00575165">
      <w:pPr>
        <w:pStyle w:val="Bullet1G"/>
        <w:numPr>
          <w:ilvl w:val="0"/>
          <w:numId w:val="1"/>
        </w:numPr>
      </w:pPr>
      <w:r w:rsidRPr="001561A6">
        <w:tab/>
        <w:t>Traité d</w:t>
      </w:r>
      <w:r w:rsidR="009258E3">
        <w:t>’</w:t>
      </w:r>
      <w:r w:rsidRPr="001561A6">
        <w:t>extradition conclu entre l</w:t>
      </w:r>
      <w:r w:rsidR="009258E3">
        <w:t>’</w:t>
      </w:r>
      <w:r w:rsidRPr="001561A6">
        <w:t>Équateur et la Bolivie le 21 juillet 1913, ratifié par la loi du 4 décembre 1914</w:t>
      </w:r>
      <w:r w:rsidR="00534B17" w:rsidRPr="001561A6">
        <w:t> ;</w:t>
      </w:r>
    </w:p>
    <w:p w14:paraId="03C6A588" w14:textId="77777777" w:rsidR="00575165" w:rsidRPr="001561A6" w:rsidRDefault="00575165" w:rsidP="00575165">
      <w:pPr>
        <w:pStyle w:val="Bullet1G"/>
        <w:numPr>
          <w:ilvl w:val="0"/>
          <w:numId w:val="1"/>
        </w:numPr>
      </w:pPr>
      <w:r w:rsidRPr="001561A6">
        <w:tab/>
        <w:t>Traité d</w:t>
      </w:r>
      <w:r w:rsidR="009258E3">
        <w:t>’</w:t>
      </w:r>
      <w:r w:rsidRPr="001561A6">
        <w:t>extradition conclu entre le Brésil et la Bolivie le 25 février 1938, ratifié par la loi du 18 avril 1941</w:t>
      </w:r>
      <w:r w:rsidR="00534B17" w:rsidRPr="001561A6">
        <w:t> ;</w:t>
      </w:r>
    </w:p>
    <w:p w14:paraId="76C90D99" w14:textId="77777777" w:rsidR="00575165" w:rsidRPr="001561A6" w:rsidRDefault="00575165" w:rsidP="00575165">
      <w:pPr>
        <w:pStyle w:val="Bullet1G"/>
        <w:numPr>
          <w:ilvl w:val="0"/>
          <w:numId w:val="1"/>
        </w:numPr>
      </w:pPr>
      <w:r w:rsidRPr="001561A6">
        <w:tab/>
        <w:t>Traité d</w:t>
      </w:r>
      <w:r w:rsidR="009258E3">
        <w:t>’</w:t>
      </w:r>
      <w:r w:rsidRPr="001561A6">
        <w:t>extradition signé entre la Bolivie et l</w:t>
      </w:r>
      <w:r w:rsidR="009258E3">
        <w:t>’</w:t>
      </w:r>
      <w:r w:rsidRPr="001561A6">
        <w:t xml:space="preserve">Espagne le 24 avril 1990, ratifié par la loi </w:t>
      </w:r>
      <w:r w:rsidRPr="001561A6">
        <w:rPr>
          <w:rFonts w:eastAsia="MS Mincho"/>
          <w:szCs w:val="22"/>
        </w:rPr>
        <w:t>n</w:t>
      </w:r>
      <w:r w:rsidRPr="001561A6">
        <w:rPr>
          <w:rFonts w:eastAsia="MS Mincho"/>
          <w:szCs w:val="22"/>
          <w:vertAlign w:val="superscript"/>
        </w:rPr>
        <w:t>o</w:t>
      </w:r>
      <w:r w:rsidRPr="001561A6">
        <w:t> 1614 du 31 janvier 1995</w:t>
      </w:r>
      <w:r w:rsidR="00534B17" w:rsidRPr="001561A6">
        <w:t> ;</w:t>
      </w:r>
    </w:p>
    <w:p w14:paraId="1A1B9375" w14:textId="77777777" w:rsidR="00575165" w:rsidRPr="001561A6" w:rsidRDefault="00575165" w:rsidP="00575165">
      <w:pPr>
        <w:pStyle w:val="Bullet1G"/>
        <w:numPr>
          <w:ilvl w:val="0"/>
          <w:numId w:val="1"/>
        </w:numPr>
      </w:pPr>
      <w:r w:rsidRPr="001561A6">
        <w:t>Traité d</w:t>
      </w:r>
      <w:r w:rsidR="009258E3">
        <w:t>’</w:t>
      </w:r>
      <w:r w:rsidRPr="001561A6">
        <w:t>extradition conclu entre la République de Bolivie et les États-Unis d</w:t>
      </w:r>
      <w:r w:rsidR="009258E3">
        <w:t>’</w:t>
      </w:r>
      <w:r w:rsidRPr="001561A6">
        <w:t xml:space="preserve">Amérique le 27 juin 1995, ratifié par la loi </w:t>
      </w:r>
      <w:r w:rsidRPr="001561A6">
        <w:rPr>
          <w:rFonts w:eastAsia="MS Mincho"/>
          <w:szCs w:val="22"/>
        </w:rPr>
        <w:t>n</w:t>
      </w:r>
      <w:r w:rsidRPr="001561A6">
        <w:rPr>
          <w:rFonts w:eastAsia="MS Mincho"/>
          <w:szCs w:val="22"/>
          <w:vertAlign w:val="superscript"/>
        </w:rPr>
        <w:t>o</w:t>
      </w:r>
      <w:r w:rsidRPr="001561A6">
        <w:t> 1721 du 6 novembre 1996</w:t>
      </w:r>
      <w:r w:rsidR="00534B17" w:rsidRPr="001561A6">
        <w:t> ;</w:t>
      </w:r>
    </w:p>
    <w:p w14:paraId="2EF4A022" w14:textId="77777777" w:rsidR="00575165" w:rsidRPr="001561A6" w:rsidRDefault="00575165" w:rsidP="00575165">
      <w:pPr>
        <w:pStyle w:val="Bullet1G"/>
        <w:numPr>
          <w:ilvl w:val="0"/>
          <w:numId w:val="1"/>
        </w:numPr>
      </w:pPr>
      <w:r w:rsidRPr="001561A6">
        <w:t>Traité d</w:t>
      </w:r>
      <w:r w:rsidR="009258E3">
        <w:t>’</w:t>
      </w:r>
      <w:r w:rsidRPr="001561A6">
        <w:t>extradition conclu entre la République de Bolivie et la République du Pérou le 27 août 2003</w:t>
      </w:r>
      <w:r w:rsidR="00534B17" w:rsidRPr="001561A6">
        <w:t> ;</w:t>
      </w:r>
    </w:p>
    <w:p w14:paraId="79B00DC4" w14:textId="77777777" w:rsidR="00575165" w:rsidRPr="001561A6" w:rsidRDefault="00575165" w:rsidP="00575165">
      <w:pPr>
        <w:pStyle w:val="Bullet1G"/>
        <w:numPr>
          <w:ilvl w:val="0"/>
          <w:numId w:val="1"/>
        </w:numPr>
      </w:pPr>
      <w:r w:rsidRPr="001561A6">
        <w:t>Accord d</w:t>
      </w:r>
      <w:r w:rsidR="009258E3">
        <w:t>’</w:t>
      </w:r>
      <w:r w:rsidRPr="001561A6">
        <w:t xml:space="preserve">extradition conclu entre les États membres du Marché commun du Sud (MERCOSUR) le 10 décembre 1998, ratifié par la loi </w:t>
      </w:r>
      <w:r w:rsidRPr="001561A6">
        <w:rPr>
          <w:rFonts w:eastAsia="MS Mincho"/>
          <w:szCs w:val="22"/>
        </w:rPr>
        <w:t>n</w:t>
      </w:r>
      <w:r w:rsidRPr="001561A6">
        <w:rPr>
          <w:rFonts w:eastAsia="MS Mincho"/>
          <w:szCs w:val="22"/>
          <w:vertAlign w:val="superscript"/>
        </w:rPr>
        <w:t>o</w:t>
      </w:r>
      <w:r w:rsidRPr="001561A6">
        <w:t> 2830 du 3 septembre 2004</w:t>
      </w:r>
      <w:r w:rsidR="00534B17" w:rsidRPr="001561A6">
        <w:t> ;</w:t>
      </w:r>
    </w:p>
    <w:p w14:paraId="720D1B1A" w14:textId="77777777" w:rsidR="00575165" w:rsidRPr="001561A6" w:rsidRDefault="00575165" w:rsidP="00575165">
      <w:pPr>
        <w:pStyle w:val="Bullet1G"/>
        <w:numPr>
          <w:ilvl w:val="0"/>
          <w:numId w:val="1"/>
        </w:numPr>
      </w:pPr>
      <w:r w:rsidRPr="001561A6">
        <w:t>Traité d</w:t>
      </w:r>
      <w:r w:rsidR="009258E3">
        <w:t>’</w:t>
      </w:r>
      <w:r w:rsidRPr="001561A6">
        <w:t xml:space="preserve">extradition conclu entre la République du Paraguay et la République de Bolivie le 11 juillet 2000, ratifié par la loi </w:t>
      </w:r>
      <w:r w:rsidRPr="001561A6">
        <w:rPr>
          <w:rFonts w:eastAsia="MS Mincho"/>
          <w:szCs w:val="22"/>
        </w:rPr>
        <w:t>n</w:t>
      </w:r>
      <w:r w:rsidRPr="001561A6">
        <w:rPr>
          <w:rFonts w:eastAsia="MS Mincho"/>
          <w:szCs w:val="22"/>
          <w:vertAlign w:val="superscript"/>
        </w:rPr>
        <w:t>o</w:t>
      </w:r>
      <w:r w:rsidRPr="001561A6">
        <w:t> 3397 du 23 mai 2006</w:t>
      </w:r>
      <w:r w:rsidR="00534B17" w:rsidRPr="001561A6">
        <w:t> ;</w:t>
      </w:r>
    </w:p>
    <w:p w14:paraId="7BD59ADE" w14:textId="77777777" w:rsidR="00575165" w:rsidRPr="001561A6" w:rsidRDefault="00575165" w:rsidP="00575165">
      <w:pPr>
        <w:pStyle w:val="Bullet1G"/>
        <w:numPr>
          <w:ilvl w:val="0"/>
          <w:numId w:val="1"/>
        </w:numPr>
      </w:pPr>
      <w:r w:rsidRPr="001561A6">
        <w:t>Traité d</w:t>
      </w:r>
      <w:r w:rsidR="009258E3">
        <w:t>’</w:t>
      </w:r>
      <w:r w:rsidRPr="001561A6">
        <w:t>extradition conclu entre les États-Unis du Mexique et la République de Bolivie le 25 octobre 2007</w:t>
      </w:r>
      <w:r w:rsidR="00534B17" w:rsidRPr="001561A6">
        <w:t> ;</w:t>
      </w:r>
    </w:p>
    <w:p w14:paraId="4CA3428A" w14:textId="77777777" w:rsidR="00575165" w:rsidRPr="001561A6" w:rsidRDefault="00575165" w:rsidP="00575165">
      <w:pPr>
        <w:pStyle w:val="Bullet1G"/>
        <w:numPr>
          <w:ilvl w:val="0"/>
          <w:numId w:val="1"/>
        </w:numPr>
        <w:rPr>
          <w:b/>
        </w:rPr>
      </w:pPr>
      <w:r w:rsidRPr="001561A6">
        <w:t>Traité d</w:t>
      </w:r>
      <w:r w:rsidR="009258E3">
        <w:t>’</w:t>
      </w:r>
      <w:r w:rsidRPr="001561A6">
        <w:t>extradition conclu entre la République argentine et l</w:t>
      </w:r>
      <w:r w:rsidR="009258E3">
        <w:t>’</w:t>
      </w:r>
      <w:r w:rsidRPr="001561A6">
        <w:t xml:space="preserve">État plurinational de Bolivie le 22 août 2013, ratifié par la loi </w:t>
      </w:r>
      <w:r w:rsidRPr="001561A6">
        <w:rPr>
          <w:rFonts w:eastAsia="MS Mincho"/>
          <w:szCs w:val="22"/>
        </w:rPr>
        <w:t>n</w:t>
      </w:r>
      <w:r w:rsidRPr="001561A6">
        <w:rPr>
          <w:rFonts w:eastAsia="MS Mincho"/>
          <w:szCs w:val="22"/>
          <w:vertAlign w:val="superscript"/>
        </w:rPr>
        <w:t>o</w:t>
      </w:r>
      <w:r w:rsidRPr="001561A6">
        <w:t> 723 du 24 août 2015.</w:t>
      </w:r>
    </w:p>
    <w:p w14:paraId="2E3C86C5" w14:textId="77777777" w:rsidR="00575165" w:rsidRPr="001561A6" w:rsidRDefault="00575165" w:rsidP="00575165">
      <w:pPr>
        <w:pStyle w:val="H23G"/>
      </w:pPr>
      <w:r w:rsidRPr="001561A6">
        <w:tab/>
      </w:r>
      <w:r w:rsidRPr="001561A6">
        <w:tab/>
        <w:t>Article 10</w:t>
      </w:r>
    </w:p>
    <w:p w14:paraId="630AF6DA" w14:textId="77777777" w:rsidR="00575165" w:rsidRPr="001561A6" w:rsidRDefault="00575165" w:rsidP="00575165">
      <w:pPr>
        <w:pStyle w:val="H23G"/>
      </w:pPr>
      <w:r w:rsidRPr="001561A6">
        <w:tab/>
      </w:r>
      <w:r w:rsidRPr="001561A6">
        <w:tab/>
        <w:t>Réponse à la question posée au paragraphe 13 de la liste de points</w:t>
      </w:r>
    </w:p>
    <w:p w14:paraId="36ACE762" w14:textId="77777777" w:rsidR="00575165" w:rsidRPr="001561A6" w:rsidRDefault="00575165" w:rsidP="00575165">
      <w:pPr>
        <w:pStyle w:val="H4G"/>
      </w:pPr>
      <w:r w:rsidRPr="001561A6">
        <w:tab/>
      </w:r>
      <w:r w:rsidRPr="001561A6">
        <w:tab/>
        <w:t>Programmes de formation</w:t>
      </w:r>
    </w:p>
    <w:p w14:paraId="22355A71" w14:textId="77777777" w:rsidR="00575165" w:rsidRPr="001561A6" w:rsidRDefault="00575165" w:rsidP="00575165">
      <w:pPr>
        <w:pStyle w:val="SingleTxtG"/>
      </w:pPr>
      <w:r w:rsidRPr="001561A6">
        <w:t>72.</w:t>
      </w:r>
      <w:r w:rsidRPr="001561A6">
        <w:tab/>
        <w:t>Outre les informations figurant dans le troisième rapport périodique, le Service de prévention de la torture a organisé des ateliers destinés à favoriser la prévention de la torture et à en diffuser les principes, et a dispensé des formations sur ce thème. Ces ateliers étaient destinés aux agents de la police bolivienne et des services de médiation sociale et familiale, aux personnes privées de liberté, aux agents pénitentiaires et aux membres de la société civile.</w:t>
      </w:r>
    </w:p>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6"/>
        <w:gridCol w:w="1106"/>
        <w:gridCol w:w="709"/>
        <w:gridCol w:w="817"/>
        <w:gridCol w:w="896"/>
        <w:gridCol w:w="867"/>
        <w:gridCol w:w="1008"/>
        <w:gridCol w:w="737"/>
        <w:gridCol w:w="614"/>
      </w:tblGrid>
      <w:tr w:rsidR="00534B17" w:rsidRPr="00AC1DE2" w14:paraId="0655DC46"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6" w:type="dxa"/>
            <w:tcBorders>
              <w:top w:val="single" w:sz="4" w:space="0" w:color="auto"/>
              <w:left w:val="none" w:sz="0" w:space="0" w:color="auto"/>
              <w:bottom w:val="single" w:sz="12" w:space="0" w:color="auto"/>
              <w:right w:val="none" w:sz="0" w:space="0" w:color="auto"/>
            </w:tcBorders>
            <w:shd w:val="clear" w:color="auto" w:fill="auto"/>
            <w:vAlign w:val="bottom"/>
          </w:tcPr>
          <w:p w14:paraId="73DB7199" w14:textId="77777777" w:rsidR="00907B4D" w:rsidRPr="00AC1DE2" w:rsidRDefault="00907B4D" w:rsidP="00AC1DE2">
            <w:pPr>
              <w:suppressAutoHyphens w:val="0"/>
              <w:spacing w:before="80" w:after="80" w:line="200" w:lineRule="exact"/>
              <w:rPr>
                <w:b w:val="0"/>
                <w:i/>
                <w:color w:val="auto"/>
                <w:sz w:val="16"/>
                <w:lang w:val="fr-CH"/>
              </w:rPr>
            </w:pPr>
            <w:r w:rsidRPr="00AC1DE2">
              <w:rPr>
                <w:b w:val="0"/>
                <w:i/>
                <w:color w:val="auto"/>
                <w:sz w:val="16"/>
                <w:lang w:val="fr-CH"/>
              </w:rPr>
              <w:t>Année</w:t>
            </w:r>
          </w:p>
        </w:tc>
        <w:tc>
          <w:tcPr>
            <w:tcW w:w="1106" w:type="dxa"/>
            <w:tcBorders>
              <w:top w:val="single" w:sz="4" w:space="0" w:color="auto"/>
              <w:left w:val="none" w:sz="0" w:space="0" w:color="auto"/>
              <w:bottom w:val="single" w:sz="12" w:space="0" w:color="auto"/>
              <w:right w:val="none" w:sz="0" w:space="0" w:color="auto"/>
            </w:tcBorders>
            <w:shd w:val="clear" w:color="auto" w:fill="auto"/>
            <w:vAlign w:val="bottom"/>
          </w:tcPr>
          <w:p w14:paraId="44A1DE89" w14:textId="77777777" w:rsidR="00907B4D" w:rsidRPr="00AC1DE2" w:rsidRDefault="00907B4D" w:rsidP="00AC1DE2">
            <w:pPr>
              <w:suppressAutoHyphens w:val="0"/>
              <w:spacing w:before="80" w:after="80" w:line="200" w:lineRule="exac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Ville</w:t>
            </w:r>
          </w:p>
        </w:tc>
        <w:tc>
          <w:tcPr>
            <w:tcW w:w="709" w:type="dxa"/>
            <w:tcBorders>
              <w:top w:val="single" w:sz="4" w:space="0" w:color="auto"/>
              <w:left w:val="none" w:sz="0" w:space="0" w:color="auto"/>
              <w:bottom w:val="single" w:sz="12" w:space="0" w:color="auto"/>
              <w:right w:val="none" w:sz="0" w:space="0" w:color="auto"/>
            </w:tcBorders>
            <w:shd w:val="clear" w:color="auto" w:fill="auto"/>
            <w:vAlign w:val="bottom"/>
          </w:tcPr>
          <w:p w14:paraId="10E3139A" w14:textId="77777777" w:rsidR="00907B4D" w:rsidRPr="00AC1DE2" w:rsidRDefault="00907B4D"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La Paz</w:t>
            </w:r>
          </w:p>
        </w:tc>
        <w:tc>
          <w:tcPr>
            <w:tcW w:w="817" w:type="dxa"/>
            <w:tcBorders>
              <w:top w:val="single" w:sz="4" w:space="0" w:color="auto"/>
              <w:left w:val="none" w:sz="0" w:space="0" w:color="auto"/>
              <w:bottom w:val="single" w:sz="12" w:space="0" w:color="auto"/>
              <w:right w:val="none" w:sz="0" w:space="0" w:color="auto"/>
            </w:tcBorders>
            <w:shd w:val="clear" w:color="auto" w:fill="auto"/>
            <w:vAlign w:val="bottom"/>
          </w:tcPr>
          <w:p w14:paraId="7273A8A6" w14:textId="77777777" w:rsidR="00907B4D" w:rsidRPr="00AC1DE2" w:rsidRDefault="00907B4D"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Potosí</w:t>
            </w:r>
          </w:p>
        </w:tc>
        <w:tc>
          <w:tcPr>
            <w:tcW w:w="896" w:type="dxa"/>
            <w:tcBorders>
              <w:top w:val="single" w:sz="4" w:space="0" w:color="auto"/>
              <w:left w:val="none" w:sz="0" w:space="0" w:color="auto"/>
              <w:bottom w:val="single" w:sz="12" w:space="0" w:color="auto"/>
              <w:right w:val="none" w:sz="0" w:space="0" w:color="auto"/>
            </w:tcBorders>
            <w:shd w:val="clear" w:color="auto" w:fill="auto"/>
            <w:vAlign w:val="bottom"/>
          </w:tcPr>
          <w:p w14:paraId="5A19E0DD" w14:textId="77777777" w:rsidR="00907B4D" w:rsidRPr="00AC1DE2" w:rsidRDefault="00907B4D"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Chuquisaca</w:t>
            </w:r>
          </w:p>
        </w:tc>
        <w:tc>
          <w:tcPr>
            <w:tcW w:w="867" w:type="dxa"/>
            <w:tcBorders>
              <w:top w:val="single" w:sz="4" w:space="0" w:color="auto"/>
              <w:left w:val="none" w:sz="0" w:space="0" w:color="auto"/>
              <w:bottom w:val="single" w:sz="12" w:space="0" w:color="auto"/>
              <w:right w:val="none" w:sz="0" w:space="0" w:color="auto"/>
            </w:tcBorders>
            <w:shd w:val="clear" w:color="auto" w:fill="auto"/>
            <w:vAlign w:val="bottom"/>
          </w:tcPr>
          <w:p w14:paraId="2DD4622A" w14:textId="77777777" w:rsidR="00907B4D" w:rsidRPr="00AC1DE2" w:rsidRDefault="00907B4D"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 xml:space="preserve">Santa Cruz </w:t>
            </w:r>
          </w:p>
        </w:tc>
        <w:tc>
          <w:tcPr>
            <w:tcW w:w="1008" w:type="dxa"/>
            <w:tcBorders>
              <w:top w:val="single" w:sz="4" w:space="0" w:color="auto"/>
              <w:left w:val="none" w:sz="0" w:space="0" w:color="auto"/>
              <w:bottom w:val="single" w:sz="12" w:space="0" w:color="auto"/>
              <w:right w:val="none" w:sz="0" w:space="0" w:color="auto"/>
            </w:tcBorders>
            <w:shd w:val="clear" w:color="auto" w:fill="auto"/>
            <w:vAlign w:val="bottom"/>
          </w:tcPr>
          <w:p w14:paraId="47C6C3F8" w14:textId="77777777" w:rsidR="00907B4D" w:rsidRPr="00AC1DE2" w:rsidRDefault="00907B4D"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Cochabamba</w:t>
            </w:r>
          </w:p>
        </w:tc>
        <w:tc>
          <w:tcPr>
            <w:tcW w:w="737" w:type="dxa"/>
            <w:tcBorders>
              <w:top w:val="single" w:sz="4" w:space="0" w:color="auto"/>
              <w:left w:val="none" w:sz="0" w:space="0" w:color="auto"/>
              <w:bottom w:val="single" w:sz="12" w:space="0" w:color="auto"/>
              <w:right w:val="none" w:sz="0" w:space="0" w:color="auto"/>
            </w:tcBorders>
            <w:shd w:val="clear" w:color="auto" w:fill="auto"/>
            <w:vAlign w:val="bottom"/>
          </w:tcPr>
          <w:p w14:paraId="2F58CB59" w14:textId="77777777" w:rsidR="00907B4D" w:rsidRPr="00AC1DE2" w:rsidRDefault="00907B4D"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Beni</w:t>
            </w:r>
          </w:p>
        </w:tc>
        <w:tc>
          <w:tcPr>
            <w:tcW w:w="614" w:type="dxa"/>
            <w:tcBorders>
              <w:top w:val="single" w:sz="4" w:space="0" w:color="auto"/>
              <w:left w:val="none" w:sz="0" w:space="0" w:color="auto"/>
              <w:bottom w:val="single" w:sz="12" w:space="0" w:color="auto"/>
              <w:right w:val="none" w:sz="0" w:space="0" w:color="auto"/>
            </w:tcBorders>
            <w:shd w:val="clear" w:color="auto" w:fill="auto"/>
            <w:vAlign w:val="bottom"/>
          </w:tcPr>
          <w:p w14:paraId="7C7DEF64" w14:textId="77777777" w:rsidR="00907B4D" w:rsidRPr="00AC1DE2" w:rsidRDefault="00907B4D"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Total</w:t>
            </w:r>
          </w:p>
        </w:tc>
      </w:tr>
      <w:tr w:rsidR="00907B4D" w:rsidRPr="00AC1DE2" w14:paraId="06886924"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6" w:type="dxa"/>
            <w:tcBorders>
              <w:top w:val="single" w:sz="12" w:space="0" w:color="auto"/>
              <w:left w:val="none" w:sz="0" w:space="0" w:color="auto"/>
              <w:bottom w:val="none" w:sz="0" w:space="0" w:color="auto"/>
              <w:right w:val="none" w:sz="0" w:space="0" w:color="auto"/>
            </w:tcBorders>
            <w:shd w:val="clear" w:color="auto" w:fill="auto"/>
          </w:tcPr>
          <w:p w14:paraId="26F0102B" w14:textId="77777777" w:rsidR="00907B4D" w:rsidRPr="00AC1DE2" w:rsidRDefault="00907B4D" w:rsidP="00AC1DE2">
            <w:pPr>
              <w:suppressAutoHyphens w:val="0"/>
              <w:spacing w:before="40" w:after="40" w:line="220" w:lineRule="exact"/>
              <w:rPr>
                <w:bCs w:val="0"/>
                <w:color w:val="auto"/>
                <w:sz w:val="18"/>
                <w:lang w:val="fr-CH"/>
              </w:rPr>
            </w:pPr>
            <w:r w:rsidRPr="00AC1DE2">
              <w:rPr>
                <w:color w:val="auto"/>
                <w:sz w:val="18"/>
                <w:lang w:val="fr-CH"/>
              </w:rPr>
              <w:t>2018</w:t>
            </w:r>
          </w:p>
        </w:tc>
        <w:tc>
          <w:tcPr>
            <w:tcW w:w="1106" w:type="dxa"/>
            <w:tcBorders>
              <w:top w:val="single" w:sz="12" w:space="0" w:color="auto"/>
              <w:left w:val="none" w:sz="0" w:space="0" w:color="auto"/>
              <w:bottom w:val="none" w:sz="0" w:space="0" w:color="auto"/>
              <w:right w:val="none" w:sz="0" w:space="0" w:color="auto"/>
            </w:tcBorders>
            <w:shd w:val="clear" w:color="auto" w:fill="auto"/>
            <w:vAlign w:val="bottom"/>
          </w:tcPr>
          <w:p w14:paraId="62A917F0" w14:textId="77777777" w:rsidR="00907B4D" w:rsidRPr="00AC1DE2" w:rsidRDefault="00907B4D" w:rsidP="00AC1DE2">
            <w:pPr>
              <w:suppressAutoHyphens w:val="0"/>
              <w:spacing w:before="40" w:after="40" w:line="220" w:lineRule="exact"/>
              <w:cnfStyle w:val="100000000000" w:firstRow="1" w:lastRow="0" w:firstColumn="0" w:lastColumn="0" w:oddVBand="0" w:evenVBand="0" w:oddHBand="0" w:evenHBand="0" w:firstRowFirstColumn="0" w:firstRowLastColumn="0" w:lastRowFirstColumn="0" w:lastRowLastColumn="0"/>
              <w:rPr>
                <w:color w:val="auto"/>
                <w:sz w:val="18"/>
                <w:szCs w:val="18"/>
                <w:lang w:val="fr-CH"/>
              </w:rPr>
            </w:pPr>
            <w:r w:rsidRPr="00AC1DE2">
              <w:rPr>
                <w:color w:val="auto"/>
                <w:sz w:val="18"/>
                <w:szCs w:val="18"/>
                <w:lang w:val="fr-CH"/>
              </w:rPr>
              <w:t>Nombre d</w:t>
            </w:r>
            <w:r w:rsidR="009258E3" w:rsidRPr="00AC1DE2">
              <w:rPr>
                <w:color w:val="auto"/>
                <w:sz w:val="18"/>
                <w:szCs w:val="18"/>
                <w:lang w:val="fr-CH"/>
              </w:rPr>
              <w:t>’</w:t>
            </w:r>
            <w:r w:rsidRPr="00AC1DE2">
              <w:rPr>
                <w:color w:val="auto"/>
                <w:sz w:val="18"/>
                <w:szCs w:val="18"/>
                <w:lang w:val="fr-CH"/>
              </w:rPr>
              <w:t>ateliers</w:t>
            </w:r>
          </w:p>
        </w:tc>
        <w:tc>
          <w:tcPr>
            <w:tcW w:w="709" w:type="dxa"/>
            <w:tcBorders>
              <w:top w:val="single" w:sz="12" w:space="0" w:color="auto"/>
              <w:left w:val="none" w:sz="0" w:space="0" w:color="auto"/>
              <w:bottom w:val="none" w:sz="0" w:space="0" w:color="auto"/>
              <w:right w:val="none" w:sz="0" w:space="0" w:color="auto"/>
            </w:tcBorders>
            <w:shd w:val="clear" w:color="auto" w:fill="auto"/>
            <w:vAlign w:val="bottom"/>
          </w:tcPr>
          <w:p w14:paraId="0C08359F"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10</w:t>
            </w:r>
          </w:p>
        </w:tc>
        <w:tc>
          <w:tcPr>
            <w:tcW w:w="817" w:type="dxa"/>
            <w:tcBorders>
              <w:top w:val="single" w:sz="12" w:space="0" w:color="auto"/>
              <w:left w:val="none" w:sz="0" w:space="0" w:color="auto"/>
              <w:bottom w:val="none" w:sz="0" w:space="0" w:color="auto"/>
              <w:right w:val="none" w:sz="0" w:space="0" w:color="auto"/>
            </w:tcBorders>
            <w:shd w:val="clear" w:color="auto" w:fill="auto"/>
            <w:vAlign w:val="bottom"/>
          </w:tcPr>
          <w:p w14:paraId="31FDC9AA"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1</w:t>
            </w:r>
          </w:p>
        </w:tc>
        <w:tc>
          <w:tcPr>
            <w:tcW w:w="896" w:type="dxa"/>
            <w:tcBorders>
              <w:top w:val="single" w:sz="12" w:space="0" w:color="auto"/>
              <w:left w:val="none" w:sz="0" w:space="0" w:color="auto"/>
              <w:bottom w:val="none" w:sz="0" w:space="0" w:color="auto"/>
              <w:right w:val="none" w:sz="0" w:space="0" w:color="auto"/>
            </w:tcBorders>
            <w:shd w:val="clear" w:color="auto" w:fill="auto"/>
            <w:vAlign w:val="bottom"/>
          </w:tcPr>
          <w:p w14:paraId="702E3B5F"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2</w:t>
            </w:r>
          </w:p>
        </w:tc>
        <w:tc>
          <w:tcPr>
            <w:tcW w:w="867" w:type="dxa"/>
            <w:tcBorders>
              <w:top w:val="single" w:sz="12" w:space="0" w:color="auto"/>
              <w:left w:val="none" w:sz="0" w:space="0" w:color="auto"/>
              <w:bottom w:val="none" w:sz="0" w:space="0" w:color="auto"/>
              <w:right w:val="none" w:sz="0" w:space="0" w:color="auto"/>
            </w:tcBorders>
            <w:shd w:val="clear" w:color="auto" w:fill="auto"/>
            <w:vAlign w:val="bottom"/>
          </w:tcPr>
          <w:p w14:paraId="38A8A9B1"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1</w:t>
            </w:r>
          </w:p>
        </w:tc>
        <w:tc>
          <w:tcPr>
            <w:tcW w:w="1008" w:type="dxa"/>
            <w:tcBorders>
              <w:top w:val="single" w:sz="12" w:space="0" w:color="auto"/>
              <w:left w:val="none" w:sz="0" w:space="0" w:color="auto"/>
              <w:bottom w:val="none" w:sz="0" w:space="0" w:color="auto"/>
              <w:right w:val="none" w:sz="0" w:space="0" w:color="auto"/>
            </w:tcBorders>
            <w:shd w:val="clear" w:color="auto" w:fill="auto"/>
            <w:vAlign w:val="bottom"/>
          </w:tcPr>
          <w:p w14:paraId="3982C0A5"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1</w:t>
            </w:r>
          </w:p>
        </w:tc>
        <w:tc>
          <w:tcPr>
            <w:tcW w:w="737" w:type="dxa"/>
            <w:tcBorders>
              <w:top w:val="single" w:sz="12" w:space="0" w:color="auto"/>
              <w:left w:val="none" w:sz="0" w:space="0" w:color="auto"/>
              <w:bottom w:val="none" w:sz="0" w:space="0" w:color="auto"/>
              <w:right w:val="none" w:sz="0" w:space="0" w:color="auto"/>
            </w:tcBorders>
            <w:shd w:val="clear" w:color="auto" w:fill="auto"/>
            <w:vAlign w:val="bottom"/>
          </w:tcPr>
          <w:p w14:paraId="68254F82"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p>
        </w:tc>
        <w:tc>
          <w:tcPr>
            <w:tcW w:w="614" w:type="dxa"/>
            <w:tcBorders>
              <w:top w:val="single" w:sz="12" w:space="0" w:color="auto"/>
              <w:left w:val="none" w:sz="0" w:space="0" w:color="auto"/>
              <w:bottom w:val="none" w:sz="0" w:space="0" w:color="auto"/>
              <w:right w:val="none" w:sz="0" w:space="0" w:color="auto"/>
            </w:tcBorders>
            <w:shd w:val="clear" w:color="auto" w:fill="auto"/>
            <w:vAlign w:val="bottom"/>
          </w:tcPr>
          <w:p w14:paraId="7A6818B2"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15</w:t>
            </w:r>
          </w:p>
        </w:tc>
      </w:tr>
      <w:tr w:rsidR="00907B4D" w:rsidRPr="00AC1DE2" w14:paraId="52923551"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6" w:type="dxa"/>
            <w:tcBorders>
              <w:top w:val="none" w:sz="0" w:space="0" w:color="auto"/>
              <w:left w:val="none" w:sz="0" w:space="0" w:color="auto"/>
              <w:right w:val="none" w:sz="0" w:space="0" w:color="auto"/>
            </w:tcBorders>
            <w:shd w:val="clear" w:color="auto" w:fill="auto"/>
          </w:tcPr>
          <w:p w14:paraId="3A3642F3" w14:textId="77777777" w:rsidR="00907B4D" w:rsidRPr="00AC1DE2" w:rsidRDefault="00907B4D" w:rsidP="00AC1DE2">
            <w:pPr>
              <w:suppressAutoHyphens w:val="0"/>
              <w:spacing w:before="40" w:after="40" w:line="220" w:lineRule="exact"/>
              <w:rPr>
                <w:bCs w:val="0"/>
                <w:color w:val="auto"/>
                <w:sz w:val="18"/>
                <w:lang w:val="fr-CH"/>
              </w:rPr>
            </w:pPr>
          </w:p>
        </w:tc>
        <w:tc>
          <w:tcPr>
            <w:tcW w:w="1106" w:type="dxa"/>
            <w:tcBorders>
              <w:top w:val="none" w:sz="0" w:space="0" w:color="auto"/>
              <w:left w:val="none" w:sz="0" w:space="0" w:color="auto"/>
              <w:right w:val="none" w:sz="0" w:space="0" w:color="auto"/>
            </w:tcBorders>
            <w:shd w:val="clear" w:color="auto" w:fill="auto"/>
            <w:vAlign w:val="bottom"/>
          </w:tcPr>
          <w:p w14:paraId="4EB338F2" w14:textId="77777777" w:rsidR="00907B4D" w:rsidRPr="00AC1DE2" w:rsidRDefault="00907B4D" w:rsidP="00AC1DE2">
            <w:pPr>
              <w:suppressAutoHyphens w:val="0"/>
              <w:spacing w:before="40" w:after="40" w:line="220" w:lineRule="exact"/>
              <w:cnfStyle w:val="100000000000" w:firstRow="1" w:lastRow="0" w:firstColumn="0" w:lastColumn="0" w:oddVBand="0" w:evenVBand="0" w:oddHBand="0" w:evenHBand="0" w:firstRowFirstColumn="0" w:firstRowLastColumn="0" w:lastRowFirstColumn="0" w:lastRowLastColumn="0"/>
              <w:rPr>
                <w:color w:val="auto"/>
                <w:sz w:val="18"/>
                <w:szCs w:val="18"/>
                <w:lang w:val="fr-CH"/>
              </w:rPr>
            </w:pPr>
            <w:r w:rsidRPr="00AC1DE2">
              <w:rPr>
                <w:color w:val="auto"/>
                <w:sz w:val="18"/>
                <w:szCs w:val="18"/>
                <w:lang w:val="fr-CH"/>
              </w:rPr>
              <w:t>Nombre de</w:t>
            </w:r>
            <w:r w:rsidR="003754F5" w:rsidRPr="00AC1DE2">
              <w:rPr>
                <w:color w:val="auto"/>
                <w:sz w:val="18"/>
                <w:szCs w:val="18"/>
                <w:lang w:val="fr-CH"/>
              </w:rPr>
              <w:t> </w:t>
            </w:r>
            <w:r w:rsidRPr="00AC1DE2">
              <w:rPr>
                <w:color w:val="auto"/>
                <w:sz w:val="18"/>
                <w:szCs w:val="18"/>
                <w:lang w:val="fr-CH"/>
              </w:rPr>
              <w:t>personnes formées</w:t>
            </w:r>
          </w:p>
        </w:tc>
        <w:tc>
          <w:tcPr>
            <w:tcW w:w="709" w:type="dxa"/>
            <w:tcBorders>
              <w:top w:val="none" w:sz="0" w:space="0" w:color="auto"/>
              <w:left w:val="none" w:sz="0" w:space="0" w:color="auto"/>
              <w:right w:val="none" w:sz="0" w:space="0" w:color="auto"/>
            </w:tcBorders>
            <w:shd w:val="clear" w:color="auto" w:fill="auto"/>
            <w:vAlign w:val="bottom"/>
          </w:tcPr>
          <w:p w14:paraId="4C9C7F7E"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368</w:t>
            </w:r>
          </w:p>
        </w:tc>
        <w:tc>
          <w:tcPr>
            <w:tcW w:w="817" w:type="dxa"/>
            <w:tcBorders>
              <w:top w:val="none" w:sz="0" w:space="0" w:color="auto"/>
              <w:left w:val="none" w:sz="0" w:space="0" w:color="auto"/>
              <w:right w:val="none" w:sz="0" w:space="0" w:color="auto"/>
            </w:tcBorders>
            <w:shd w:val="clear" w:color="auto" w:fill="auto"/>
            <w:vAlign w:val="bottom"/>
          </w:tcPr>
          <w:p w14:paraId="2AD3EDF9"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11</w:t>
            </w:r>
          </w:p>
        </w:tc>
        <w:tc>
          <w:tcPr>
            <w:tcW w:w="896" w:type="dxa"/>
            <w:tcBorders>
              <w:top w:val="none" w:sz="0" w:space="0" w:color="auto"/>
              <w:left w:val="none" w:sz="0" w:space="0" w:color="auto"/>
              <w:right w:val="none" w:sz="0" w:space="0" w:color="auto"/>
            </w:tcBorders>
            <w:shd w:val="clear" w:color="auto" w:fill="auto"/>
            <w:vAlign w:val="bottom"/>
          </w:tcPr>
          <w:p w14:paraId="1F5D4433"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100</w:t>
            </w:r>
          </w:p>
        </w:tc>
        <w:tc>
          <w:tcPr>
            <w:tcW w:w="867" w:type="dxa"/>
            <w:tcBorders>
              <w:top w:val="none" w:sz="0" w:space="0" w:color="auto"/>
              <w:left w:val="none" w:sz="0" w:space="0" w:color="auto"/>
              <w:right w:val="none" w:sz="0" w:space="0" w:color="auto"/>
            </w:tcBorders>
            <w:shd w:val="clear" w:color="auto" w:fill="auto"/>
            <w:vAlign w:val="bottom"/>
          </w:tcPr>
          <w:p w14:paraId="580E0ABA"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12</w:t>
            </w:r>
          </w:p>
        </w:tc>
        <w:tc>
          <w:tcPr>
            <w:tcW w:w="1008" w:type="dxa"/>
            <w:tcBorders>
              <w:top w:val="none" w:sz="0" w:space="0" w:color="auto"/>
              <w:left w:val="none" w:sz="0" w:space="0" w:color="auto"/>
              <w:right w:val="none" w:sz="0" w:space="0" w:color="auto"/>
            </w:tcBorders>
            <w:shd w:val="clear" w:color="auto" w:fill="auto"/>
            <w:vAlign w:val="bottom"/>
          </w:tcPr>
          <w:p w14:paraId="2DBE763C"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100</w:t>
            </w:r>
          </w:p>
        </w:tc>
        <w:tc>
          <w:tcPr>
            <w:tcW w:w="737" w:type="dxa"/>
            <w:tcBorders>
              <w:top w:val="none" w:sz="0" w:space="0" w:color="auto"/>
              <w:left w:val="none" w:sz="0" w:space="0" w:color="auto"/>
              <w:right w:val="none" w:sz="0" w:space="0" w:color="auto"/>
            </w:tcBorders>
            <w:shd w:val="clear" w:color="auto" w:fill="auto"/>
            <w:vAlign w:val="bottom"/>
          </w:tcPr>
          <w:p w14:paraId="7ECAAE84"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p>
        </w:tc>
        <w:tc>
          <w:tcPr>
            <w:tcW w:w="614" w:type="dxa"/>
            <w:tcBorders>
              <w:top w:val="none" w:sz="0" w:space="0" w:color="auto"/>
              <w:left w:val="none" w:sz="0" w:space="0" w:color="auto"/>
              <w:right w:val="none" w:sz="0" w:space="0" w:color="auto"/>
            </w:tcBorders>
            <w:shd w:val="clear" w:color="auto" w:fill="auto"/>
            <w:vAlign w:val="bottom"/>
          </w:tcPr>
          <w:p w14:paraId="4095EC2C" w14:textId="77777777" w:rsidR="00907B4D" w:rsidRPr="00AC1DE2" w:rsidRDefault="00907B4D" w:rsidP="00AC1DE2">
            <w:pPr>
              <w:suppressAutoHyphens w:val="0"/>
              <w:spacing w:before="40" w:after="40" w:line="220" w:lineRule="exact"/>
              <w:jc w:val="right"/>
              <w:cnfStyle w:val="100000000000" w:firstRow="1" w:lastRow="0" w:firstColumn="0" w:lastColumn="0" w:oddVBand="0" w:evenVBand="0" w:oddHBand="0" w:evenHBand="0" w:firstRowFirstColumn="0" w:firstRowLastColumn="0" w:lastRowFirstColumn="0" w:lastRowLastColumn="0"/>
              <w:rPr>
                <w:bCs w:val="0"/>
                <w:color w:val="auto"/>
                <w:sz w:val="18"/>
                <w:lang w:val="fr-CH"/>
              </w:rPr>
            </w:pPr>
            <w:r w:rsidRPr="00AC1DE2">
              <w:rPr>
                <w:color w:val="auto"/>
                <w:sz w:val="18"/>
                <w:lang w:val="fr-CH"/>
              </w:rPr>
              <w:t>591</w:t>
            </w:r>
          </w:p>
        </w:tc>
      </w:tr>
      <w:tr w:rsidR="00907B4D" w:rsidRPr="00AC1DE2" w14:paraId="566E23FE"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 w:type="dxa"/>
            <w:vMerge w:val="restart"/>
            <w:tcBorders>
              <w:left w:val="none" w:sz="0" w:space="0" w:color="auto"/>
            </w:tcBorders>
            <w:shd w:val="clear" w:color="auto" w:fill="auto"/>
          </w:tcPr>
          <w:p w14:paraId="4E143C64" w14:textId="77777777" w:rsidR="00907B4D" w:rsidRPr="00AC1DE2" w:rsidRDefault="00907B4D" w:rsidP="00AC1DE2">
            <w:pPr>
              <w:suppressAutoHyphens w:val="0"/>
              <w:spacing w:before="40" w:after="40" w:line="220" w:lineRule="exact"/>
              <w:rPr>
                <w:bCs w:val="0"/>
                <w:color w:val="auto"/>
                <w:sz w:val="18"/>
                <w:lang w:val="fr-CH"/>
              </w:rPr>
            </w:pPr>
            <w:r w:rsidRPr="00AC1DE2">
              <w:rPr>
                <w:color w:val="auto"/>
                <w:sz w:val="18"/>
                <w:lang w:val="fr-CH"/>
              </w:rPr>
              <w:t>2019</w:t>
            </w:r>
          </w:p>
        </w:tc>
        <w:tc>
          <w:tcPr>
            <w:tcW w:w="1106" w:type="dxa"/>
            <w:shd w:val="clear" w:color="auto" w:fill="auto"/>
            <w:vAlign w:val="bottom"/>
          </w:tcPr>
          <w:p w14:paraId="795DAB9B" w14:textId="77777777" w:rsidR="00907B4D" w:rsidRPr="00AC1DE2" w:rsidRDefault="00907B4D"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szCs w:val="18"/>
                <w:lang w:val="fr-CH"/>
              </w:rPr>
            </w:pPr>
            <w:r w:rsidRPr="00AC1DE2">
              <w:rPr>
                <w:sz w:val="18"/>
                <w:szCs w:val="18"/>
                <w:lang w:val="fr-CH"/>
              </w:rPr>
              <w:t>Nombre d</w:t>
            </w:r>
            <w:r w:rsidR="009258E3" w:rsidRPr="00AC1DE2">
              <w:rPr>
                <w:sz w:val="18"/>
                <w:szCs w:val="18"/>
                <w:lang w:val="fr-CH"/>
              </w:rPr>
              <w:t>’</w:t>
            </w:r>
            <w:r w:rsidRPr="00AC1DE2">
              <w:rPr>
                <w:sz w:val="18"/>
                <w:szCs w:val="18"/>
                <w:lang w:val="fr-CH"/>
              </w:rPr>
              <w:t>ateliers</w:t>
            </w:r>
          </w:p>
        </w:tc>
        <w:tc>
          <w:tcPr>
            <w:tcW w:w="709" w:type="dxa"/>
            <w:shd w:val="clear" w:color="auto" w:fill="auto"/>
            <w:vAlign w:val="bottom"/>
          </w:tcPr>
          <w:p w14:paraId="198D4D00" w14:textId="77777777" w:rsidR="00907B4D" w:rsidRPr="00AC1DE2" w:rsidRDefault="00907B4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5</w:t>
            </w:r>
          </w:p>
        </w:tc>
        <w:tc>
          <w:tcPr>
            <w:tcW w:w="817" w:type="dxa"/>
            <w:shd w:val="clear" w:color="auto" w:fill="auto"/>
            <w:vAlign w:val="bottom"/>
          </w:tcPr>
          <w:p w14:paraId="5CCFBDDC" w14:textId="77777777" w:rsidR="00907B4D" w:rsidRPr="00AC1DE2" w:rsidRDefault="00907B4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p>
        </w:tc>
        <w:tc>
          <w:tcPr>
            <w:tcW w:w="896" w:type="dxa"/>
            <w:shd w:val="clear" w:color="auto" w:fill="auto"/>
            <w:vAlign w:val="bottom"/>
          </w:tcPr>
          <w:p w14:paraId="28B377FE" w14:textId="77777777" w:rsidR="00907B4D" w:rsidRPr="00AC1DE2" w:rsidRDefault="00907B4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p>
        </w:tc>
        <w:tc>
          <w:tcPr>
            <w:tcW w:w="867" w:type="dxa"/>
            <w:shd w:val="clear" w:color="auto" w:fill="auto"/>
            <w:vAlign w:val="bottom"/>
          </w:tcPr>
          <w:p w14:paraId="080F014D" w14:textId="77777777" w:rsidR="00907B4D" w:rsidRPr="00AC1DE2" w:rsidRDefault="00907B4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p>
        </w:tc>
        <w:tc>
          <w:tcPr>
            <w:tcW w:w="1008" w:type="dxa"/>
            <w:shd w:val="clear" w:color="auto" w:fill="auto"/>
            <w:vAlign w:val="bottom"/>
          </w:tcPr>
          <w:p w14:paraId="42B19906" w14:textId="77777777" w:rsidR="00907B4D" w:rsidRPr="00AC1DE2" w:rsidRDefault="00907B4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3</w:t>
            </w:r>
          </w:p>
        </w:tc>
        <w:tc>
          <w:tcPr>
            <w:tcW w:w="737" w:type="dxa"/>
            <w:shd w:val="clear" w:color="auto" w:fill="auto"/>
            <w:vAlign w:val="bottom"/>
          </w:tcPr>
          <w:p w14:paraId="324861E8" w14:textId="77777777" w:rsidR="00907B4D" w:rsidRPr="00AC1DE2" w:rsidRDefault="00907B4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2</w:t>
            </w:r>
          </w:p>
        </w:tc>
        <w:tc>
          <w:tcPr>
            <w:tcW w:w="614" w:type="dxa"/>
            <w:shd w:val="clear" w:color="auto" w:fill="auto"/>
            <w:vAlign w:val="bottom"/>
          </w:tcPr>
          <w:p w14:paraId="1DE0DC3F" w14:textId="77777777" w:rsidR="00907B4D" w:rsidRPr="00AC1DE2" w:rsidRDefault="00907B4D"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p>
        </w:tc>
      </w:tr>
      <w:tr w:rsidR="00907B4D" w:rsidRPr="00AC1DE2" w14:paraId="1A155F98" w14:textId="77777777" w:rsidTr="00AC1DE2">
        <w:tc>
          <w:tcPr>
            <w:cnfStyle w:val="001000000000" w:firstRow="0" w:lastRow="0" w:firstColumn="1" w:lastColumn="0" w:oddVBand="0" w:evenVBand="0" w:oddHBand="0" w:evenHBand="0" w:firstRowFirstColumn="0" w:firstRowLastColumn="0" w:lastRowFirstColumn="0" w:lastRowLastColumn="0"/>
            <w:tcW w:w="616" w:type="dxa"/>
            <w:vMerge/>
            <w:tcBorders>
              <w:left w:val="none" w:sz="0" w:space="0" w:color="auto"/>
              <w:bottom w:val="single" w:sz="12" w:space="0" w:color="auto"/>
            </w:tcBorders>
            <w:shd w:val="clear" w:color="auto" w:fill="auto"/>
          </w:tcPr>
          <w:p w14:paraId="5A67AF93" w14:textId="77777777" w:rsidR="00907B4D" w:rsidRPr="00AC1DE2" w:rsidRDefault="00907B4D" w:rsidP="00AC1DE2">
            <w:pPr>
              <w:suppressAutoHyphens w:val="0"/>
              <w:spacing w:before="40" w:after="40" w:line="220" w:lineRule="exact"/>
              <w:rPr>
                <w:color w:val="auto"/>
                <w:sz w:val="18"/>
                <w:lang w:val="fr-CH"/>
              </w:rPr>
            </w:pPr>
          </w:p>
        </w:tc>
        <w:tc>
          <w:tcPr>
            <w:tcW w:w="1106" w:type="dxa"/>
            <w:tcBorders>
              <w:bottom w:val="single" w:sz="12" w:space="0" w:color="auto"/>
            </w:tcBorders>
            <w:shd w:val="clear" w:color="auto" w:fill="auto"/>
            <w:vAlign w:val="bottom"/>
          </w:tcPr>
          <w:p w14:paraId="56C76E3F" w14:textId="77777777" w:rsidR="00907B4D" w:rsidRPr="00AC1DE2" w:rsidRDefault="00907B4D"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szCs w:val="18"/>
                <w:lang w:val="fr-CH"/>
              </w:rPr>
            </w:pPr>
            <w:r w:rsidRPr="00AC1DE2">
              <w:rPr>
                <w:sz w:val="18"/>
                <w:szCs w:val="18"/>
                <w:lang w:val="fr-CH"/>
              </w:rPr>
              <w:t>Nombre de</w:t>
            </w:r>
            <w:r w:rsidR="003754F5" w:rsidRPr="00AC1DE2">
              <w:rPr>
                <w:sz w:val="18"/>
                <w:szCs w:val="18"/>
                <w:lang w:val="fr-CH"/>
              </w:rPr>
              <w:t> </w:t>
            </w:r>
            <w:r w:rsidRPr="00AC1DE2">
              <w:rPr>
                <w:sz w:val="18"/>
                <w:szCs w:val="18"/>
                <w:lang w:val="fr-CH"/>
              </w:rPr>
              <w:t>personnes formées</w:t>
            </w:r>
          </w:p>
        </w:tc>
        <w:tc>
          <w:tcPr>
            <w:tcW w:w="709" w:type="dxa"/>
            <w:tcBorders>
              <w:bottom w:val="single" w:sz="12" w:space="0" w:color="auto"/>
            </w:tcBorders>
            <w:shd w:val="clear" w:color="auto" w:fill="auto"/>
            <w:vAlign w:val="bottom"/>
          </w:tcPr>
          <w:p w14:paraId="3BDD4A8B" w14:textId="77777777" w:rsidR="00907B4D" w:rsidRPr="00AC1DE2" w:rsidRDefault="00907B4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561</w:t>
            </w:r>
          </w:p>
        </w:tc>
        <w:tc>
          <w:tcPr>
            <w:tcW w:w="817" w:type="dxa"/>
            <w:tcBorders>
              <w:bottom w:val="single" w:sz="12" w:space="0" w:color="auto"/>
            </w:tcBorders>
            <w:shd w:val="clear" w:color="auto" w:fill="auto"/>
            <w:vAlign w:val="bottom"/>
          </w:tcPr>
          <w:p w14:paraId="3381804D" w14:textId="77777777" w:rsidR="00907B4D" w:rsidRPr="00AC1DE2" w:rsidRDefault="00907B4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p>
        </w:tc>
        <w:tc>
          <w:tcPr>
            <w:tcW w:w="896" w:type="dxa"/>
            <w:tcBorders>
              <w:bottom w:val="single" w:sz="12" w:space="0" w:color="auto"/>
            </w:tcBorders>
            <w:shd w:val="clear" w:color="auto" w:fill="auto"/>
            <w:vAlign w:val="bottom"/>
          </w:tcPr>
          <w:p w14:paraId="0A23E098" w14:textId="77777777" w:rsidR="00907B4D" w:rsidRPr="00AC1DE2" w:rsidRDefault="00907B4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p>
        </w:tc>
        <w:tc>
          <w:tcPr>
            <w:tcW w:w="867" w:type="dxa"/>
            <w:tcBorders>
              <w:bottom w:val="single" w:sz="12" w:space="0" w:color="auto"/>
            </w:tcBorders>
            <w:shd w:val="clear" w:color="auto" w:fill="auto"/>
            <w:vAlign w:val="bottom"/>
          </w:tcPr>
          <w:p w14:paraId="1D6BD9CC" w14:textId="77777777" w:rsidR="00907B4D" w:rsidRPr="00AC1DE2" w:rsidRDefault="00907B4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p>
        </w:tc>
        <w:tc>
          <w:tcPr>
            <w:tcW w:w="1008" w:type="dxa"/>
            <w:tcBorders>
              <w:bottom w:val="single" w:sz="12" w:space="0" w:color="auto"/>
            </w:tcBorders>
            <w:shd w:val="clear" w:color="auto" w:fill="auto"/>
            <w:vAlign w:val="bottom"/>
          </w:tcPr>
          <w:p w14:paraId="4D8F31E3" w14:textId="77777777" w:rsidR="00907B4D" w:rsidRPr="00AC1DE2" w:rsidRDefault="00907B4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470</w:t>
            </w:r>
          </w:p>
        </w:tc>
        <w:tc>
          <w:tcPr>
            <w:tcW w:w="737" w:type="dxa"/>
            <w:tcBorders>
              <w:bottom w:val="single" w:sz="12" w:space="0" w:color="auto"/>
            </w:tcBorders>
            <w:shd w:val="clear" w:color="auto" w:fill="auto"/>
            <w:vAlign w:val="bottom"/>
          </w:tcPr>
          <w:p w14:paraId="0979B5F3" w14:textId="77777777" w:rsidR="00907B4D" w:rsidRPr="00AC1DE2" w:rsidRDefault="00907B4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172</w:t>
            </w:r>
          </w:p>
        </w:tc>
        <w:tc>
          <w:tcPr>
            <w:tcW w:w="614" w:type="dxa"/>
            <w:tcBorders>
              <w:bottom w:val="single" w:sz="12" w:space="0" w:color="auto"/>
            </w:tcBorders>
            <w:shd w:val="clear" w:color="auto" w:fill="auto"/>
            <w:vAlign w:val="bottom"/>
          </w:tcPr>
          <w:p w14:paraId="1D45CEA5" w14:textId="77777777" w:rsidR="00907B4D" w:rsidRPr="00AC1DE2" w:rsidRDefault="00907B4D"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1 203</w:t>
            </w:r>
          </w:p>
        </w:tc>
      </w:tr>
    </w:tbl>
    <w:p w14:paraId="410100EB" w14:textId="77777777" w:rsidR="00575165" w:rsidRPr="001561A6" w:rsidRDefault="00575165" w:rsidP="00907B4D">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Service de prévention de la torture.</w:t>
      </w:r>
    </w:p>
    <w:p w14:paraId="5E8D01C6" w14:textId="77777777" w:rsidR="00575165" w:rsidRPr="001561A6" w:rsidRDefault="00575165" w:rsidP="00575165">
      <w:pPr>
        <w:pStyle w:val="SingleTxtG"/>
      </w:pPr>
      <w:r w:rsidRPr="001561A6">
        <w:t>73.</w:t>
      </w:r>
      <w:r w:rsidRPr="001561A6">
        <w:tab/>
        <w:t>Tout au long de l</w:t>
      </w:r>
      <w:r w:rsidR="009258E3">
        <w:t>’</w:t>
      </w:r>
      <w:r w:rsidRPr="001561A6">
        <w:t>année 2020, le Service de prévention de la torture, en conjonction avec l</w:t>
      </w:r>
      <w:r w:rsidR="009258E3">
        <w:t>’</w:t>
      </w:r>
      <w:r w:rsidRPr="001561A6">
        <w:t>École nationale des avocats et le Bureau du Procureur général de l</w:t>
      </w:r>
      <w:r w:rsidR="009258E3">
        <w:t>’</w:t>
      </w:r>
      <w:r w:rsidRPr="001561A6">
        <w:t xml:space="preserve">État, a mis en œuvre un </w:t>
      </w:r>
      <w:r w:rsidR="00534B17" w:rsidRPr="001561A6">
        <w:t>p</w:t>
      </w:r>
      <w:r w:rsidRPr="001561A6">
        <w:t>lan de formation d</w:t>
      </w:r>
      <w:r w:rsidR="009258E3">
        <w:t>’</w:t>
      </w:r>
      <w:r w:rsidRPr="001561A6">
        <w:t>urgence contre la torture visant avant tout les agents de la police et de la fonction publique boliviennes pouvant être impliqués dans des actes de torture ou des peines ou traitements cruels, inhumains, dégradants ou humiliants, dans le but de veiller à ce que les policiers boliviens soient dûment formés au niveau national, en particulier ceux qui ont sous leur garde des personnes privées de liberté ou des détenus, et à ce que les droits constitutionnels de ces personnes soient respectés.</w:t>
      </w:r>
    </w:p>
    <w:p w14:paraId="6289F0EE" w14:textId="77777777" w:rsidR="00575165" w:rsidRPr="00D96AF3" w:rsidRDefault="00575165" w:rsidP="00575165">
      <w:pPr>
        <w:pStyle w:val="H23G"/>
      </w:pPr>
      <w:r w:rsidRPr="001561A6">
        <w:tab/>
      </w:r>
      <w:r w:rsidRPr="001561A6">
        <w:tab/>
      </w:r>
      <w:r w:rsidRPr="00D96AF3">
        <w:t>Réponse à la question posée au paragraphe 14 de la liste de points</w:t>
      </w:r>
    </w:p>
    <w:p w14:paraId="60ECB8CB" w14:textId="77777777" w:rsidR="00575165" w:rsidRPr="001561A6" w:rsidRDefault="00575165" w:rsidP="00575165">
      <w:pPr>
        <w:pStyle w:val="SingleTxtG"/>
      </w:pPr>
      <w:r w:rsidRPr="00D96AF3">
        <w:t>74.</w:t>
      </w:r>
      <w:r w:rsidRPr="00D96AF3">
        <w:tab/>
        <w:t>Avant toute chose, il convient de porter à la connaissance du Comité que les directives publiées par le Bureau du Procureur général de l</w:t>
      </w:r>
      <w:r w:rsidR="009258E3">
        <w:t>’</w:t>
      </w:r>
      <w:r w:rsidRPr="00D96AF3">
        <w:t>État, auxquelles il est fait référence aux paragraphes 53, 84 iv) et v), et 211 a), sont des documents contenant des informations de caractère technique ou explicatif destinés à aider les procureurs dans l</w:t>
      </w:r>
      <w:r w:rsidR="009258E3">
        <w:t>’</w:t>
      </w:r>
      <w:r w:rsidRPr="00D96AF3">
        <w:t>exercice de leurs</w:t>
      </w:r>
      <w:r w:rsidRPr="001561A6">
        <w:t xml:space="preserve"> fonctions.</w:t>
      </w:r>
    </w:p>
    <w:p w14:paraId="747A37E2" w14:textId="77777777" w:rsidR="00575165" w:rsidRPr="001561A6" w:rsidRDefault="00575165" w:rsidP="00575165">
      <w:pPr>
        <w:pStyle w:val="SingleTxtG"/>
      </w:pPr>
      <w:r w:rsidRPr="001561A6">
        <w:t>75.</w:t>
      </w:r>
      <w:r w:rsidRPr="001561A6">
        <w:tab/>
        <w:t>En ce qui concerne les programmes de formation pour les juges, les procureurs, les médecins légistes et le personnel médical s</w:t>
      </w:r>
      <w:r w:rsidR="009258E3">
        <w:t>’</w:t>
      </w:r>
      <w:r w:rsidRPr="001561A6">
        <w:t>occupant de personnes privées de liberté, le Service de prévention de la torture a organisé une formation dans le cadre de l</w:t>
      </w:r>
      <w:r w:rsidR="009258E3">
        <w:t>’</w:t>
      </w:r>
      <w:r w:rsidRPr="001561A6">
        <w:t>Atelier sur la prévention de la torture et autres traitements cruels, inhumains ou dégradants. Destiné aux techniciens du régime pénitentiaire et portant sur le Protocole d</w:t>
      </w:r>
      <w:r w:rsidR="009258E3">
        <w:t>’</w:t>
      </w:r>
      <w:r w:rsidRPr="001561A6">
        <w:t>Istanbul, cet atelier a permis de former 95 participants au niveau national en 2017.</w:t>
      </w:r>
    </w:p>
    <w:p w14:paraId="0FBEC7C6" w14:textId="77777777" w:rsidR="00575165" w:rsidRPr="001561A6" w:rsidRDefault="00575165" w:rsidP="00575165">
      <w:pPr>
        <w:pStyle w:val="H23G"/>
      </w:pPr>
      <w:r w:rsidRPr="001561A6">
        <w:tab/>
      </w:r>
      <w:r w:rsidRPr="001561A6">
        <w:tab/>
      </w:r>
      <w:r w:rsidRPr="001561A6">
        <w:rPr>
          <w:bCs/>
        </w:rPr>
        <w:t>Article 11</w:t>
      </w:r>
    </w:p>
    <w:p w14:paraId="2502B559" w14:textId="77777777" w:rsidR="00575165" w:rsidRPr="001561A6" w:rsidRDefault="00575165" w:rsidP="00575165">
      <w:pPr>
        <w:pStyle w:val="H23G"/>
      </w:pPr>
      <w:r w:rsidRPr="001561A6">
        <w:tab/>
      </w:r>
      <w:r w:rsidRPr="001561A6">
        <w:tab/>
      </w:r>
      <w:r w:rsidRPr="001561A6">
        <w:rPr>
          <w:bCs/>
        </w:rPr>
        <w:t>Réponse à la question posée au paragraphe 15 de la liste de points</w:t>
      </w:r>
    </w:p>
    <w:p w14:paraId="73F3D692" w14:textId="77777777" w:rsidR="00575165" w:rsidRPr="001561A6" w:rsidRDefault="00575165" w:rsidP="00575165">
      <w:pPr>
        <w:pStyle w:val="H4G"/>
      </w:pPr>
      <w:r w:rsidRPr="001561A6">
        <w:tab/>
      </w:r>
      <w:r w:rsidRPr="001561A6">
        <w:tab/>
        <w:t>Interrogatoire</w:t>
      </w:r>
    </w:p>
    <w:p w14:paraId="6C7B8491" w14:textId="77777777" w:rsidR="00575165" w:rsidRPr="001561A6" w:rsidRDefault="00575165" w:rsidP="00575165">
      <w:pPr>
        <w:pStyle w:val="SingleTxtG"/>
      </w:pPr>
      <w:r w:rsidRPr="001561A6">
        <w:t>76.</w:t>
      </w:r>
      <w:r w:rsidRPr="001561A6">
        <w:tab/>
        <w:t>Le Code de procédure pénale précise la forme que doit prendre l</w:t>
      </w:r>
      <w:r w:rsidR="009258E3">
        <w:t>’</w:t>
      </w:r>
      <w:r w:rsidRPr="001561A6">
        <w:t>interrogatoire, qui peut y prendre part, les formalités à remplir, les questions qu</w:t>
      </w:r>
      <w:r w:rsidR="009258E3">
        <w:t>’</w:t>
      </w:r>
      <w:r w:rsidRPr="001561A6">
        <w:t>il n</w:t>
      </w:r>
      <w:r w:rsidR="009258E3">
        <w:t>’</w:t>
      </w:r>
      <w:r w:rsidRPr="001561A6">
        <w:t>est pas autorisé de poser et les phases dans lesquelles il peut être recouru à cet outil d</w:t>
      </w:r>
      <w:r w:rsidR="009258E3">
        <w:t>’</w:t>
      </w:r>
      <w:r w:rsidRPr="001561A6">
        <w:t>enquête.</w:t>
      </w:r>
    </w:p>
    <w:p w14:paraId="59998D4F" w14:textId="77777777" w:rsidR="00575165" w:rsidRPr="001561A6" w:rsidRDefault="00575165" w:rsidP="00575165">
      <w:pPr>
        <w:pStyle w:val="SingleTxtG"/>
      </w:pPr>
      <w:r w:rsidRPr="001561A6">
        <w:t>77.</w:t>
      </w:r>
      <w:r w:rsidRPr="001561A6">
        <w:tab/>
        <w:t>L</w:t>
      </w:r>
      <w:r w:rsidR="009258E3">
        <w:t>’</w:t>
      </w:r>
      <w:r w:rsidRPr="001561A6">
        <w:t>article 92 du Code de procédure pénale, dans sa dernière partie, prévoit que les agents de police ne peuvent interroger une personne mise en cause uniquement en présence de son avocat et du procureur, sauf pour constater son identité.</w:t>
      </w:r>
    </w:p>
    <w:p w14:paraId="72CEF96C" w14:textId="77777777" w:rsidR="00575165" w:rsidRPr="001561A6" w:rsidRDefault="00575165" w:rsidP="00575165">
      <w:pPr>
        <w:pStyle w:val="SingleTxtG"/>
      </w:pPr>
      <w:r w:rsidRPr="001561A6">
        <w:t>78.</w:t>
      </w:r>
      <w:r w:rsidRPr="001561A6">
        <w:tab/>
        <w:t>En ce qui concerne le moment auquel l</w:t>
      </w:r>
      <w:r w:rsidR="009258E3">
        <w:t>’</w:t>
      </w:r>
      <w:r w:rsidRPr="001561A6">
        <w:t>interrogatoire peut avoir lieu, l</w:t>
      </w:r>
      <w:r w:rsidR="009258E3">
        <w:t>’</w:t>
      </w:r>
      <w:r w:rsidRPr="001561A6">
        <w:t>article 97 du même code dispose qu</w:t>
      </w:r>
      <w:r w:rsidR="009258E3">
        <w:t>’</w:t>
      </w:r>
      <w:r w:rsidRPr="001561A6">
        <w:t>au stade préparatoire, le mis en cause ne fait des déclarations devant le procureur qu</w:t>
      </w:r>
      <w:r w:rsidR="009258E3">
        <w:t>’</w:t>
      </w:r>
      <w:r w:rsidRPr="001561A6">
        <w:t>une fois qu</w:t>
      </w:r>
      <w:r w:rsidR="009258E3">
        <w:t>’</w:t>
      </w:r>
      <w:r w:rsidRPr="001561A6">
        <w:t xml:space="preserve">il a reçu une convocation officielle. </w:t>
      </w:r>
      <w:r w:rsidRPr="001561A6">
        <w:rPr>
          <w:i/>
          <w:iCs/>
        </w:rPr>
        <w:t>L</w:t>
      </w:r>
      <w:r w:rsidR="009258E3">
        <w:rPr>
          <w:i/>
          <w:iCs/>
        </w:rPr>
        <w:t>’</w:t>
      </w:r>
      <w:r w:rsidRPr="001561A6">
        <w:rPr>
          <w:i/>
          <w:iCs/>
        </w:rPr>
        <w:t>officier de police peut participer à la procédure après avoir reçu une convocation officielle et peut procéder à l</w:t>
      </w:r>
      <w:r w:rsidR="009258E3">
        <w:rPr>
          <w:i/>
          <w:iCs/>
        </w:rPr>
        <w:t>’</w:t>
      </w:r>
      <w:r w:rsidRPr="001561A6">
        <w:rPr>
          <w:i/>
          <w:iCs/>
        </w:rPr>
        <w:t>interrogatoire du mis en cause sous la direction du procureur.</w:t>
      </w:r>
      <w:r w:rsidRPr="001561A6">
        <w:t xml:space="preserve"> </w:t>
      </w:r>
      <w:r w:rsidRPr="001561A6">
        <w:rPr>
          <w:i/>
          <w:iCs/>
        </w:rPr>
        <w:t>L</w:t>
      </w:r>
      <w:r w:rsidR="009258E3">
        <w:rPr>
          <w:i/>
          <w:iCs/>
        </w:rPr>
        <w:t>’</w:t>
      </w:r>
      <w:r w:rsidRPr="001561A6">
        <w:rPr>
          <w:i/>
          <w:iCs/>
        </w:rPr>
        <w:t>autorité de prévention est tenue d</w:t>
      </w:r>
      <w:r w:rsidR="009258E3">
        <w:rPr>
          <w:i/>
          <w:iCs/>
        </w:rPr>
        <w:t>’</w:t>
      </w:r>
      <w:r w:rsidRPr="001561A6">
        <w:rPr>
          <w:i/>
          <w:iCs/>
        </w:rPr>
        <w:t>informer le procureur du placement en détention du mis en cause dans un délai de huit heures, afin que celui-ci soit entendu dans un délai maximal de douze heures à compter de la communication de l</w:t>
      </w:r>
      <w:r w:rsidR="009258E3">
        <w:rPr>
          <w:i/>
          <w:iCs/>
        </w:rPr>
        <w:t>’</w:t>
      </w:r>
      <w:r w:rsidRPr="001561A6">
        <w:rPr>
          <w:i/>
          <w:iCs/>
        </w:rPr>
        <w:t>information, faute de quoi elle s</w:t>
      </w:r>
      <w:r w:rsidR="009258E3">
        <w:rPr>
          <w:i/>
          <w:iCs/>
        </w:rPr>
        <w:t>’</w:t>
      </w:r>
      <w:r w:rsidRPr="001561A6">
        <w:rPr>
          <w:i/>
          <w:iCs/>
        </w:rPr>
        <w:t>expose à des sanctions pour manquement à ses obligations.</w:t>
      </w:r>
      <w:r w:rsidRPr="001561A6">
        <w:t xml:space="preserve"> </w:t>
      </w:r>
      <w:r w:rsidRPr="001561A6">
        <w:rPr>
          <w:i/>
          <w:iCs/>
        </w:rPr>
        <w:t>Au cours du procès, la déclaration sera recueillie dans le respect des conditions prévues aux articles 346 et 347 de ce code.</w:t>
      </w:r>
      <w:r w:rsidRPr="001561A6">
        <w:t xml:space="preserve"> </w:t>
      </w:r>
      <w:r w:rsidRPr="001561A6">
        <w:rPr>
          <w:i/>
          <w:iCs/>
        </w:rPr>
        <w:t>Le prévenu peut demander à faire une nouvelle déclaration, et il est fait droit à sa demande dans la mesure où l</w:t>
      </w:r>
      <w:r w:rsidR="009258E3">
        <w:rPr>
          <w:i/>
          <w:iCs/>
        </w:rPr>
        <w:t>’</w:t>
      </w:r>
      <w:r w:rsidRPr="001561A6">
        <w:rPr>
          <w:i/>
          <w:iCs/>
        </w:rPr>
        <w:t>autorité concernée n</w:t>
      </w:r>
      <w:r w:rsidR="009258E3">
        <w:rPr>
          <w:i/>
          <w:iCs/>
        </w:rPr>
        <w:t>’</w:t>
      </w:r>
      <w:r w:rsidRPr="001561A6">
        <w:rPr>
          <w:i/>
          <w:iCs/>
        </w:rPr>
        <w:t>y voit pas une manœuvre dilatoire.</w:t>
      </w:r>
    </w:p>
    <w:p w14:paraId="09438964" w14:textId="77777777" w:rsidR="00575165" w:rsidRPr="001561A6" w:rsidRDefault="00575165" w:rsidP="00575165">
      <w:pPr>
        <w:pStyle w:val="SingleTxtG"/>
      </w:pPr>
      <w:r w:rsidRPr="001561A6">
        <w:t>79.</w:t>
      </w:r>
      <w:r w:rsidRPr="001561A6">
        <w:tab/>
        <w:t>De même, l</w:t>
      </w:r>
      <w:r w:rsidR="009258E3">
        <w:t>’</w:t>
      </w:r>
      <w:r w:rsidRPr="001561A6">
        <w:t>article 351 du Code de procédure pénale prévoit que l</w:t>
      </w:r>
      <w:r w:rsidR="009258E3">
        <w:t>’</w:t>
      </w:r>
      <w:r w:rsidRPr="001561A6">
        <w:t>interrogatoire se déroule selon les modalités suivantes : une fois que le juge ou le président du tribunal a auditionné l</w:t>
      </w:r>
      <w:r w:rsidR="009258E3">
        <w:t>’</w:t>
      </w:r>
      <w:r w:rsidRPr="001561A6">
        <w:t>expert ou le témoin pour constater son identité et lui poser les questions lui permettant d</w:t>
      </w:r>
      <w:r w:rsidR="009258E3">
        <w:t>’</w:t>
      </w:r>
      <w:r w:rsidRPr="001561A6">
        <w:t>apprécier sa déclaration, l</w:t>
      </w:r>
      <w:r w:rsidR="009258E3">
        <w:t>’</w:t>
      </w:r>
      <w:r w:rsidRPr="001561A6">
        <w:t>interrogatoire direct peut avoir lieu, en commençant par la personne qui est à l</w:t>
      </w:r>
      <w:r w:rsidR="009258E3">
        <w:t>’</w:t>
      </w:r>
      <w:r w:rsidRPr="001561A6">
        <w:t xml:space="preserve">origine de la citation et en poursuivant avec les autres parties ; les parties peuvent ensuite être interrogées par le juge ou le </w:t>
      </w:r>
      <w:r w:rsidRPr="007A2687">
        <w:t xml:space="preserve">président et les autres membres du tribunal, et répondent directement aux questions qui leur sont posées. </w:t>
      </w:r>
      <w:r w:rsidRPr="007A2687">
        <w:rPr>
          <w:i/>
          <w:iCs/>
        </w:rPr>
        <w:t>Seuls les experts ont le droit de consulter des documents, des notes écrites, des publications et d</w:t>
      </w:r>
      <w:r w:rsidR="009258E3">
        <w:rPr>
          <w:i/>
          <w:iCs/>
        </w:rPr>
        <w:t>’</w:t>
      </w:r>
      <w:r w:rsidRPr="007A2687">
        <w:rPr>
          <w:i/>
          <w:iCs/>
        </w:rPr>
        <w:t>utiliser des moyens techniques lors de leur déposition.</w:t>
      </w:r>
      <w:r w:rsidRPr="007A2687">
        <w:t xml:space="preserve"> </w:t>
      </w:r>
      <w:r w:rsidRPr="007A2687">
        <w:rPr>
          <w:i/>
          <w:iCs/>
        </w:rPr>
        <w:t>Les témoins ne peuvent pas être interrogés par des consultants techniques.</w:t>
      </w:r>
      <w:r w:rsidRPr="007A2687">
        <w:t xml:space="preserve"> </w:t>
      </w:r>
      <w:r w:rsidRPr="007A2687">
        <w:rPr>
          <w:i/>
          <w:iCs/>
        </w:rPr>
        <w:t>À l</w:t>
      </w:r>
      <w:r w:rsidR="009258E3">
        <w:rPr>
          <w:i/>
          <w:iCs/>
        </w:rPr>
        <w:t>’</w:t>
      </w:r>
      <w:r w:rsidRPr="007A2687">
        <w:rPr>
          <w:i/>
          <w:iCs/>
        </w:rPr>
        <w:t>issue de la déposition d</w:t>
      </w:r>
      <w:r w:rsidR="009258E3">
        <w:rPr>
          <w:i/>
          <w:iCs/>
        </w:rPr>
        <w:t>’</w:t>
      </w:r>
      <w:r w:rsidRPr="007A2687">
        <w:rPr>
          <w:i/>
          <w:iCs/>
        </w:rPr>
        <w:t>un témoin, le juge ou le président du tribunal peut lui ordonner d</w:t>
      </w:r>
      <w:r w:rsidR="009258E3">
        <w:rPr>
          <w:i/>
          <w:iCs/>
        </w:rPr>
        <w:t>’</w:t>
      </w:r>
      <w:r w:rsidRPr="007A2687">
        <w:rPr>
          <w:i/>
          <w:iCs/>
        </w:rPr>
        <w:t>assister à l</w:t>
      </w:r>
      <w:r w:rsidR="009258E3">
        <w:rPr>
          <w:i/>
          <w:iCs/>
        </w:rPr>
        <w:t>’</w:t>
      </w:r>
      <w:r w:rsidRPr="007A2687">
        <w:rPr>
          <w:i/>
          <w:iCs/>
        </w:rPr>
        <w:t>audience, de rester dans la chambre qui lui est destinée ou de se retirer.</w:t>
      </w:r>
    </w:p>
    <w:p w14:paraId="7EFA7D31" w14:textId="77777777" w:rsidR="00575165" w:rsidRPr="001561A6" w:rsidRDefault="00575165" w:rsidP="00575165">
      <w:pPr>
        <w:pStyle w:val="H4G"/>
      </w:pPr>
      <w:r w:rsidRPr="001561A6">
        <w:tab/>
      </w:r>
      <w:r w:rsidRPr="001561A6">
        <w:tab/>
        <w:t>Mesures destinées à réduire la surpopulation carcérale</w:t>
      </w:r>
    </w:p>
    <w:p w14:paraId="6AA1C605" w14:textId="77777777" w:rsidR="00575165" w:rsidRPr="001561A6" w:rsidRDefault="00575165" w:rsidP="00575165">
      <w:pPr>
        <w:pStyle w:val="SingleTxtG"/>
      </w:pPr>
      <w:r w:rsidRPr="001561A6">
        <w:t>80.</w:t>
      </w:r>
      <w:r w:rsidRPr="001561A6">
        <w:tab/>
        <w:t xml:space="preserve">La loi </w:t>
      </w:r>
      <w:r w:rsidRPr="001561A6">
        <w:rPr>
          <w:rFonts w:eastAsia="MS Mincho"/>
          <w:szCs w:val="22"/>
        </w:rPr>
        <w:t>n</w:t>
      </w:r>
      <w:r w:rsidRPr="001561A6">
        <w:rPr>
          <w:rFonts w:eastAsia="MS Mincho"/>
          <w:szCs w:val="22"/>
          <w:vertAlign w:val="superscript"/>
        </w:rPr>
        <w:t>o</w:t>
      </w:r>
      <w:r w:rsidRPr="001561A6">
        <w:t> 1173 énumère en son article 232 les motifs d</w:t>
      </w:r>
      <w:r w:rsidR="009258E3">
        <w:t>’</w:t>
      </w:r>
      <w:r w:rsidRPr="001561A6">
        <w:t>irrecevabilité d</w:t>
      </w:r>
      <w:r w:rsidR="009258E3">
        <w:t>’</w:t>
      </w:r>
      <w:r w:rsidRPr="001561A6">
        <w:t>une demande de placement en détention provisoire</w:t>
      </w:r>
      <w:r w:rsidRPr="001561A6">
        <w:rPr>
          <w:rStyle w:val="Appelnotedebasdep"/>
        </w:rPr>
        <w:footnoteReference w:id="26"/>
      </w:r>
      <w:r w:rsidRPr="001561A6">
        <w:t>. Dans le même contexte, l</w:t>
      </w:r>
      <w:r w:rsidR="009258E3">
        <w:t>’</w:t>
      </w:r>
      <w:r w:rsidRPr="001561A6">
        <w:t>article 233 de ce texte dispose que la détention provisoire n</w:t>
      </w:r>
      <w:r w:rsidR="009258E3">
        <w:t>’</w:t>
      </w:r>
      <w:r w:rsidRPr="001561A6">
        <w:t>est ordonnée que si les autres mesures conservatoires ne suffisent pas à garantir la représentation du mis en cause et à permettre l</w:t>
      </w:r>
      <w:r w:rsidR="009258E3">
        <w:t>’</w:t>
      </w:r>
      <w:r w:rsidRPr="001561A6">
        <w:t>établissement des faits sans entrave. Celle-ci ne peut être ordonnée qu</w:t>
      </w:r>
      <w:r w:rsidR="009258E3">
        <w:t>’</w:t>
      </w:r>
      <w:r w:rsidRPr="001561A6">
        <w:t>après une mise en accusation officielle et à la demande du procureur ou de la victime, même si celle-ci ne s</w:t>
      </w:r>
      <w:r w:rsidR="009258E3">
        <w:t>’</w:t>
      </w:r>
      <w:r w:rsidRPr="001561A6">
        <w:t>est pas constituée partie civile.</w:t>
      </w:r>
    </w:p>
    <w:p w14:paraId="5B36AC85" w14:textId="77777777" w:rsidR="00575165" w:rsidRPr="001561A6" w:rsidRDefault="00575165" w:rsidP="005044B6">
      <w:pPr>
        <w:pStyle w:val="SingleTxtG"/>
        <w:keepLines/>
      </w:pPr>
      <w:r w:rsidRPr="001561A6">
        <w:t>81.</w:t>
      </w:r>
      <w:r w:rsidRPr="001561A6">
        <w:tab/>
        <w:t xml:space="preserve">Ainsi, en adoptant la loi </w:t>
      </w:r>
      <w:r w:rsidRPr="001561A6">
        <w:rPr>
          <w:rFonts w:eastAsia="MS Mincho"/>
          <w:szCs w:val="22"/>
        </w:rPr>
        <w:t>n</w:t>
      </w:r>
      <w:r w:rsidRPr="001561A6">
        <w:rPr>
          <w:rFonts w:eastAsia="MS Mincho"/>
          <w:szCs w:val="22"/>
          <w:vertAlign w:val="superscript"/>
        </w:rPr>
        <w:t>o</w:t>
      </w:r>
      <w:r w:rsidRPr="001561A6">
        <w:t> 1173, l</w:t>
      </w:r>
      <w:r w:rsidR="009258E3">
        <w:t>’</w:t>
      </w:r>
      <w:r w:rsidRPr="001561A6">
        <w:t>État bolivien propose de limiter le recours à la détention provisoire afin de réduire la population carcérale. Pour ce qui est de la liberté de circulation, l</w:t>
      </w:r>
      <w:r w:rsidR="009258E3">
        <w:t>’</w:t>
      </w:r>
      <w:r w:rsidRPr="001561A6">
        <w:t>État consacre dans sa Constitution la liberté en tant que règle et la privation de liberté en tant qu</w:t>
      </w:r>
      <w:r w:rsidR="009258E3">
        <w:t>’</w:t>
      </w:r>
      <w:r w:rsidRPr="001561A6">
        <w:t>exception, ce qui est conforme aux instruments internationaux relatifs aux droits de l</w:t>
      </w:r>
      <w:r w:rsidR="009258E3">
        <w:t>’</w:t>
      </w:r>
      <w:r w:rsidRPr="001561A6">
        <w:t>homme.</w:t>
      </w:r>
    </w:p>
    <w:p w14:paraId="5B854A13" w14:textId="77777777" w:rsidR="00575165" w:rsidRPr="001561A6" w:rsidRDefault="00575165" w:rsidP="00575165">
      <w:pPr>
        <w:pStyle w:val="H4G"/>
      </w:pPr>
      <w:r w:rsidRPr="001561A6">
        <w:tab/>
      </w:r>
      <w:r w:rsidRPr="001561A6">
        <w:tab/>
        <w:t>Statistiques relatives aux personnes privées de liberté</w:t>
      </w:r>
    </w:p>
    <w:p w14:paraId="237799FD" w14:textId="77777777" w:rsidR="00575165" w:rsidRPr="001561A6" w:rsidRDefault="00575165" w:rsidP="005352E7">
      <w:pPr>
        <w:pStyle w:val="SingleTxtG"/>
        <w:spacing w:before="120"/>
      </w:pPr>
      <w:r w:rsidRPr="001561A6">
        <w:t>82.</w:t>
      </w:r>
      <w:r w:rsidRPr="001561A6">
        <w:tab/>
        <w:t>En avril 2019, le Ministère de la justice et de la transparence institutionnelle, en coordination avec le Ministère de l</w:t>
      </w:r>
      <w:r w:rsidR="009258E3">
        <w:t>’</w:t>
      </w:r>
      <w:r w:rsidRPr="001561A6">
        <w:t>intérieur, le ministère public et le Tribunal suprême de justice, a procédé à un recensement dans les prisons, dans le respect des normes en vigueur et des conventions internationales ratifiées par l</w:t>
      </w:r>
      <w:r w:rsidR="009258E3">
        <w:t>’</w:t>
      </w:r>
      <w:r w:rsidRPr="001561A6">
        <w:t xml:space="preserve">État bolivien, afin de déterminer le nombre de personnes privées de liberté au niveau national, la situation de celles-ci du point de vue judiciaire et procédural, leur situation </w:t>
      </w:r>
      <w:proofErr w:type="spellStart"/>
      <w:r w:rsidRPr="001561A6">
        <w:t>socioéconomique</w:t>
      </w:r>
      <w:proofErr w:type="spellEnd"/>
      <w:r w:rsidRPr="001561A6">
        <w:t xml:space="preserve"> dans les établissements pénitentiaires et leur espérance de vie, en vue d</w:t>
      </w:r>
      <w:r w:rsidR="009258E3">
        <w:t>’</w:t>
      </w:r>
      <w:r w:rsidRPr="001561A6">
        <w:t>élaborer et de mettre en œuvre des politiques publiques visant à garantir le plein exercice des droits de cette population. On trouvera dans le tableau ci-dessous quelques</w:t>
      </w:r>
      <w:r w:rsidR="00F87F6A" w:rsidRPr="001561A6">
        <w:t>-</w:t>
      </w:r>
      <w:r w:rsidRPr="001561A6">
        <w:t>unes de ces données statistiques.</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27"/>
        <w:gridCol w:w="895"/>
        <w:gridCol w:w="1316"/>
        <w:gridCol w:w="1132"/>
      </w:tblGrid>
      <w:tr w:rsidR="00CC5DA0" w:rsidRPr="00AC1DE2" w14:paraId="4E8B9066"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70" w:type="dxa"/>
            <w:gridSpan w:val="4"/>
            <w:tcBorders>
              <w:top w:val="single" w:sz="4" w:space="0" w:color="auto"/>
              <w:left w:val="none" w:sz="0" w:space="0" w:color="auto"/>
              <w:bottom w:val="single" w:sz="12" w:space="0" w:color="auto"/>
              <w:right w:val="none" w:sz="0" w:space="0" w:color="auto"/>
            </w:tcBorders>
            <w:shd w:val="clear" w:color="auto" w:fill="auto"/>
            <w:noWrap/>
            <w:vAlign w:val="bottom"/>
            <w:hideMark/>
          </w:tcPr>
          <w:p w14:paraId="3E5B45A5" w14:textId="77777777" w:rsidR="009C0C03" w:rsidRPr="00AC1DE2" w:rsidRDefault="00CC5DA0" w:rsidP="00AC1DE2">
            <w:pPr>
              <w:suppressAutoHyphens w:val="0"/>
              <w:spacing w:before="80" w:after="80" w:line="200" w:lineRule="exact"/>
              <w:rPr>
                <w:b w:val="0"/>
                <w:i/>
                <w:color w:val="auto"/>
                <w:sz w:val="16"/>
                <w:lang w:val="fr-CH" w:eastAsia="es-BO"/>
              </w:rPr>
            </w:pPr>
            <w:r w:rsidRPr="00AC1DE2">
              <w:rPr>
                <w:b w:val="0"/>
                <w:i/>
                <w:color w:val="auto"/>
                <w:sz w:val="16"/>
                <w:lang w:val="fr-CH" w:eastAsia="es-BO"/>
              </w:rPr>
              <w:t>Bolivie : personnes privées de liberté, par sexe, selon certains critères, 2019</w:t>
            </w:r>
          </w:p>
        </w:tc>
      </w:tr>
      <w:tr w:rsidR="00CC5DA0" w:rsidRPr="00AC1DE2" w14:paraId="7CEF4B9B"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27" w:type="dxa"/>
            <w:tcBorders>
              <w:top w:val="single" w:sz="12" w:space="0" w:color="auto"/>
              <w:left w:val="none" w:sz="0" w:space="0" w:color="auto"/>
              <w:bottom w:val="none" w:sz="0" w:space="0" w:color="auto"/>
              <w:right w:val="none" w:sz="0" w:space="0" w:color="auto"/>
            </w:tcBorders>
            <w:shd w:val="clear" w:color="auto" w:fill="auto"/>
            <w:hideMark/>
          </w:tcPr>
          <w:p w14:paraId="5B2F8181" w14:textId="50C027E4" w:rsidR="009C0C03" w:rsidRPr="00AC1DE2" w:rsidRDefault="00AC1DE2" w:rsidP="00AC1DE2">
            <w:pPr>
              <w:suppressAutoHyphens w:val="0"/>
              <w:spacing w:before="40" w:after="40" w:line="220" w:lineRule="exact"/>
              <w:rPr>
                <w:color w:val="auto"/>
                <w:sz w:val="18"/>
                <w:lang w:val="fr-CH" w:eastAsia="es-BO"/>
              </w:rPr>
            </w:pPr>
            <w:r w:rsidRPr="00AC1DE2">
              <w:rPr>
                <w:color w:val="auto"/>
                <w:sz w:val="18"/>
                <w:lang w:val="fr-CH" w:eastAsia="es-BO"/>
              </w:rPr>
              <w:t>CRITÈRE</w:t>
            </w:r>
          </w:p>
        </w:tc>
        <w:tc>
          <w:tcPr>
            <w:tcW w:w="895" w:type="dxa"/>
            <w:tcBorders>
              <w:top w:val="single" w:sz="12" w:space="0" w:color="auto"/>
              <w:left w:val="none" w:sz="0" w:space="0" w:color="auto"/>
              <w:bottom w:val="none" w:sz="0" w:space="0" w:color="auto"/>
              <w:right w:val="none" w:sz="0" w:space="0" w:color="auto"/>
            </w:tcBorders>
            <w:shd w:val="clear" w:color="auto" w:fill="auto"/>
            <w:hideMark/>
          </w:tcPr>
          <w:p w14:paraId="488813A5" w14:textId="77777777" w:rsidR="009C0C03" w:rsidRPr="00AC1DE2" w:rsidRDefault="009C0C03" w:rsidP="00AC1DE2">
            <w:pPr>
              <w:suppressAutoHyphens w:val="0"/>
              <w:spacing w:before="40" w:after="40" w:line="220" w:lineRule="exact"/>
              <w:cnfStyle w:val="100000000000" w:firstRow="1" w:lastRow="0" w:firstColumn="0" w:lastColumn="0" w:oddVBand="0" w:evenVBand="0" w:oddHBand="0" w:evenHBand="0" w:firstRowFirstColumn="0" w:firstRowLastColumn="0" w:lastRowFirstColumn="0" w:lastRowLastColumn="0"/>
              <w:rPr>
                <w:color w:val="auto"/>
                <w:sz w:val="18"/>
                <w:lang w:val="fr-CH" w:eastAsia="es-BO"/>
              </w:rPr>
            </w:pPr>
            <w:r w:rsidRPr="00AC1DE2">
              <w:rPr>
                <w:color w:val="auto"/>
                <w:sz w:val="18"/>
                <w:lang w:val="fr-CH" w:eastAsia="es-BO"/>
              </w:rPr>
              <w:t>T</w:t>
            </w:r>
            <w:r w:rsidR="00CC5DA0" w:rsidRPr="00AC1DE2">
              <w:rPr>
                <w:color w:val="auto"/>
                <w:sz w:val="18"/>
                <w:lang w:val="fr-CH" w:eastAsia="es-BO"/>
              </w:rPr>
              <w:t>otal</w:t>
            </w:r>
          </w:p>
        </w:tc>
        <w:tc>
          <w:tcPr>
            <w:tcW w:w="1316" w:type="dxa"/>
            <w:tcBorders>
              <w:top w:val="single" w:sz="12" w:space="0" w:color="auto"/>
              <w:left w:val="none" w:sz="0" w:space="0" w:color="auto"/>
              <w:bottom w:val="none" w:sz="0" w:space="0" w:color="auto"/>
              <w:right w:val="none" w:sz="0" w:space="0" w:color="auto"/>
            </w:tcBorders>
            <w:shd w:val="clear" w:color="auto" w:fill="auto"/>
            <w:hideMark/>
          </w:tcPr>
          <w:p w14:paraId="27667C5B" w14:textId="77777777" w:rsidR="009C0C03" w:rsidRPr="00AC1DE2" w:rsidRDefault="00CC5DA0" w:rsidP="00AC1DE2">
            <w:pPr>
              <w:suppressAutoHyphens w:val="0"/>
              <w:spacing w:before="40" w:after="40" w:line="220" w:lineRule="exact"/>
              <w:cnfStyle w:val="100000000000" w:firstRow="1" w:lastRow="0" w:firstColumn="0" w:lastColumn="0" w:oddVBand="0" w:evenVBand="0" w:oddHBand="0" w:evenHBand="0" w:firstRowFirstColumn="0" w:firstRowLastColumn="0" w:lastRowFirstColumn="0" w:lastRowLastColumn="0"/>
              <w:rPr>
                <w:color w:val="auto"/>
                <w:sz w:val="18"/>
                <w:lang w:val="fr-CH" w:eastAsia="es-BO"/>
              </w:rPr>
            </w:pPr>
            <w:r w:rsidRPr="00AC1DE2">
              <w:rPr>
                <w:color w:val="auto"/>
                <w:sz w:val="18"/>
                <w:lang w:val="fr-CH" w:eastAsia="es-BO"/>
              </w:rPr>
              <w:t>Hommes</w:t>
            </w:r>
          </w:p>
        </w:tc>
        <w:tc>
          <w:tcPr>
            <w:tcW w:w="1132" w:type="dxa"/>
            <w:tcBorders>
              <w:top w:val="single" w:sz="12" w:space="0" w:color="auto"/>
              <w:left w:val="none" w:sz="0" w:space="0" w:color="auto"/>
              <w:bottom w:val="none" w:sz="0" w:space="0" w:color="auto"/>
              <w:right w:val="none" w:sz="0" w:space="0" w:color="auto"/>
            </w:tcBorders>
            <w:shd w:val="clear" w:color="auto" w:fill="auto"/>
            <w:hideMark/>
          </w:tcPr>
          <w:p w14:paraId="21BD799D" w14:textId="77777777" w:rsidR="009C0C03" w:rsidRPr="00AC1DE2" w:rsidRDefault="00CC5DA0" w:rsidP="00AC1DE2">
            <w:pPr>
              <w:suppressAutoHyphens w:val="0"/>
              <w:spacing w:before="40" w:after="40" w:line="220" w:lineRule="exact"/>
              <w:cnfStyle w:val="100000000000" w:firstRow="1" w:lastRow="0" w:firstColumn="0" w:lastColumn="0" w:oddVBand="0" w:evenVBand="0" w:oddHBand="0" w:evenHBand="0" w:firstRowFirstColumn="0" w:firstRowLastColumn="0" w:lastRowFirstColumn="0" w:lastRowLastColumn="0"/>
              <w:rPr>
                <w:color w:val="auto"/>
                <w:sz w:val="18"/>
                <w:lang w:val="fr-CH" w:eastAsia="es-BO"/>
              </w:rPr>
            </w:pPr>
            <w:r w:rsidRPr="00AC1DE2">
              <w:rPr>
                <w:color w:val="auto"/>
                <w:sz w:val="18"/>
                <w:lang w:val="fr-CH" w:eastAsia="es-BO"/>
              </w:rPr>
              <w:t>Femmes</w:t>
            </w:r>
          </w:p>
        </w:tc>
      </w:tr>
      <w:tr w:rsidR="00CC5DA0" w:rsidRPr="00AC1DE2" w14:paraId="5043EFB2"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033475C5" w14:textId="73FCEED7" w:rsidR="009C0C03" w:rsidRPr="00AC1DE2" w:rsidRDefault="00AC1DE2" w:rsidP="00AC1DE2">
            <w:pPr>
              <w:suppressAutoHyphens w:val="0"/>
              <w:spacing w:before="40" w:after="40" w:line="220" w:lineRule="exact"/>
              <w:rPr>
                <w:sz w:val="18"/>
                <w:szCs w:val="18"/>
                <w:lang w:val="fr-CH"/>
              </w:rPr>
            </w:pPr>
            <w:r w:rsidRPr="00AC1DE2">
              <w:rPr>
                <w:sz w:val="18"/>
                <w:szCs w:val="18"/>
                <w:lang w:val="fr-CH"/>
              </w:rPr>
              <w:t>BOLIVIE</w:t>
            </w:r>
          </w:p>
        </w:tc>
        <w:tc>
          <w:tcPr>
            <w:tcW w:w="895" w:type="dxa"/>
            <w:shd w:val="clear" w:color="auto" w:fill="auto"/>
            <w:hideMark/>
          </w:tcPr>
          <w:p w14:paraId="0E96AECE"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18 437</w:t>
            </w:r>
          </w:p>
        </w:tc>
        <w:tc>
          <w:tcPr>
            <w:tcW w:w="1316" w:type="dxa"/>
            <w:shd w:val="clear" w:color="auto" w:fill="auto"/>
            <w:hideMark/>
          </w:tcPr>
          <w:p w14:paraId="45BCDD12"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16 969</w:t>
            </w:r>
          </w:p>
        </w:tc>
        <w:tc>
          <w:tcPr>
            <w:tcW w:w="1132" w:type="dxa"/>
            <w:shd w:val="clear" w:color="auto" w:fill="auto"/>
            <w:hideMark/>
          </w:tcPr>
          <w:p w14:paraId="7979C9E9"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1 468</w:t>
            </w:r>
          </w:p>
        </w:tc>
      </w:tr>
      <w:tr w:rsidR="00CC5DA0" w:rsidRPr="00AC1DE2" w14:paraId="24B6AE75"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594F69D6" w14:textId="4097DA16" w:rsidR="009C0C03" w:rsidRPr="00AC1DE2" w:rsidRDefault="00AC1DE2" w:rsidP="00AC1DE2">
            <w:pPr>
              <w:suppressAutoHyphens w:val="0"/>
              <w:spacing w:before="40" w:after="40" w:line="220" w:lineRule="exact"/>
              <w:rPr>
                <w:sz w:val="18"/>
                <w:szCs w:val="18"/>
                <w:lang w:val="fr-CH"/>
              </w:rPr>
            </w:pPr>
            <w:r w:rsidRPr="00AC1DE2">
              <w:rPr>
                <w:sz w:val="18"/>
                <w:szCs w:val="18"/>
                <w:lang w:val="fr-CH"/>
              </w:rPr>
              <w:t>DÉPARTEMENT</w:t>
            </w:r>
          </w:p>
        </w:tc>
        <w:tc>
          <w:tcPr>
            <w:tcW w:w="895" w:type="dxa"/>
            <w:shd w:val="clear" w:color="auto" w:fill="auto"/>
            <w:hideMark/>
          </w:tcPr>
          <w:p w14:paraId="569C1F57"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c>
          <w:tcPr>
            <w:tcW w:w="1316" w:type="dxa"/>
            <w:shd w:val="clear" w:color="auto" w:fill="auto"/>
            <w:hideMark/>
          </w:tcPr>
          <w:p w14:paraId="3E6B3C53"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c>
          <w:tcPr>
            <w:tcW w:w="1132" w:type="dxa"/>
            <w:shd w:val="clear" w:color="auto" w:fill="auto"/>
            <w:hideMark/>
          </w:tcPr>
          <w:p w14:paraId="32F60F53"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r>
      <w:tr w:rsidR="00CC5DA0" w:rsidRPr="00AC1DE2" w14:paraId="227E801F"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0F4F870A"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Chuquisaca</w:t>
            </w:r>
          </w:p>
        </w:tc>
        <w:tc>
          <w:tcPr>
            <w:tcW w:w="895" w:type="dxa"/>
            <w:shd w:val="clear" w:color="auto" w:fill="auto"/>
            <w:hideMark/>
          </w:tcPr>
          <w:p w14:paraId="78FC3783"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721</w:t>
            </w:r>
          </w:p>
        </w:tc>
        <w:tc>
          <w:tcPr>
            <w:tcW w:w="1316" w:type="dxa"/>
            <w:shd w:val="clear" w:color="auto" w:fill="auto"/>
            <w:hideMark/>
          </w:tcPr>
          <w:p w14:paraId="7EEA9539"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673</w:t>
            </w:r>
          </w:p>
        </w:tc>
        <w:tc>
          <w:tcPr>
            <w:tcW w:w="1132" w:type="dxa"/>
            <w:shd w:val="clear" w:color="auto" w:fill="auto"/>
            <w:hideMark/>
          </w:tcPr>
          <w:p w14:paraId="086B96A2"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48</w:t>
            </w:r>
          </w:p>
        </w:tc>
      </w:tr>
      <w:tr w:rsidR="00CC5DA0" w:rsidRPr="00AC1DE2" w14:paraId="33724481"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6A05F2BC"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La Paz</w:t>
            </w:r>
          </w:p>
        </w:tc>
        <w:tc>
          <w:tcPr>
            <w:tcW w:w="895" w:type="dxa"/>
            <w:shd w:val="clear" w:color="auto" w:fill="auto"/>
            <w:hideMark/>
          </w:tcPr>
          <w:p w14:paraId="013E0F76"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4 000</w:t>
            </w:r>
          </w:p>
        </w:tc>
        <w:tc>
          <w:tcPr>
            <w:tcW w:w="1316" w:type="dxa"/>
            <w:shd w:val="clear" w:color="auto" w:fill="auto"/>
            <w:hideMark/>
          </w:tcPr>
          <w:p w14:paraId="44E3CA54"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3 576</w:t>
            </w:r>
          </w:p>
        </w:tc>
        <w:tc>
          <w:tcPr>
            <w:tcW w:w="1132" w:type="dxa"/>
            <w:shd w:val="clear" w:color="auto" w:fill="auto"/>
            <w:hideMark/>
          </w:tcPr>
          <w:p w14:paraId="71D5D5A6"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424</w:t>
            </w:r>
          </w:p>
        </w:tc>
      </w:tr>
      <w:tr w:rsidR="00CC5DA0" w:rsidRPr="00AC1DE2" w14:paraId="45355DFC"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41BAE4CD"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Cochabamba</w:t>
            </w:r>
          </w:p>
        </w:tc>
        <w:tc>
          <w:tcPr>
            <w:tcW w:w="895" w:type="dxa"/>
            <w:shd w:val="clear" w:color="auto" w:fill="auto"/>
            <w:hideMark/>
          </w:tcPr>
          <w:p w14:paraId="39E86171"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2 749</w:t>
            </w:r>
          </w:p>
        </w:tc>
        <w:tc>
          <w:tcPr>
            <w:tcW w:w="1316" w:type="dxa"/>
            <w:shd w:val="clear" w:color="auto" w:fill="auto"/>
            <w:hideMark/>
          </w:tcPr>
          <w:p w14:paraId="22EF0525"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2 507</w:t>
            </w:r>
          </w:p>
        </w:tc>
        <w:tc>
          <w:tcPr>
            <w:tcW w:w="1132" w:type="dxa"/>
            <w:shd w:val="clear" w:color="auto" w:fill="auto"/>
            <w:hideMark/>
          </w:tcPr>
          <w:p w14:paraId="46A50ECB"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242</w:t>
            </w:r>
          </w:p>
        </w:tc>
      </w:tr>
      <w:tr w:rsidR="00CC5DA0" w:rsidRPr="00AC1DE2" w14:paraId="01C043E2"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2B635707"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Oruro</w:t>
            </w:r>
          </w:p>
        </w:tc>
        <w:tc>
          <w:tcPr>
            <w:tcW w:w="895" w:type="dxa"/>
            <w:shd w:val="clear" w:color="auto" w:fill="auto"/>
            <w:hideMark/>
          </w:tcPr>
          <w:p w14:paraId="1D0E7027"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967</w:t>
            </w:r>
          </w:p>
        </w:tc>
        <w:tc>
          <w:tcPr>
            <w:tcW w:w="1316" w:type="dxa"/>
            <w:shd w:val="clear" w:color="auto" w:fill="auto"/>
            <w:hideMark/>
          </w:tcPr>
          <w:p w14:paraId="4DF13C05"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829</w:t>
            </w:r>
          </w:p>
        </w:tc>
        <w:tc>
          <w:tcPr>
            <w:tcW w:w="1132" w:type="dxa"/>
            <w:shd w:val="clear" w:color="auto" w:fill="auto"/>
            <w:hideMark/>
          </w:tcPr>
          <w:p w14:paraId="3A9859F8"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138</w:t>
            </w:r>
          </w:p>
        </w:tc>
      </w:tr>
      <w:tr w:rsidR="00CC5DA0" w:rsidRPr="00AC1DE2" w14:paraId="256159FE"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47F8DED6"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Potosí</w:t>
            </w:r>
          </w:p>
        </w:tc>
        <w:tc>
          <w:tcPr>
            <w:tcW w:w="895" w:type="dxa"/>
            <w:shd w:val="clear" w:color="auto" w:fill="auto"/>
            <w:hideMark/>
          </w:tcPr>
          <w:p w14:paraId="31899841"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764</w:t>
            </w:r>
          </w:p>
        </w:tc>
        <w:tc>
          <w:tcPr>
            <w:tcW w:w="1316" w:type="dxa"/>
            <w:shd w:val="clear" w:color="auto" w:fill="auto"/>
            <w:hideMark/>
          </w:tcPr>
          <w:p w14:paraId="06A2BE4C"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713</w:t>
            </w:r>
          </w:p>
        </w:tc>
        <w:tc>
          <w:tcPr>
            <w:tcW w:w="1132" w:type="dxa"/>
            <w:shd w:val="clear" w:color="auto" w:fill="auto"/>
            <w:hideMark/>
          </w:tcPr>
          <w:p w14:paraId="2C6B246E"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51</w:t>
            </w:r>
          </w:p>
        </w:tc>
      </w:tr>
      <w:tr w:rsidR="00CC5DA0" w:rsidRPr="00AC1DE2" w14:paraId="4C4A4E88"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22C62A6F"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Tarija</w:t>
            </w:r>
          </w:p>
        </w:tc>
        <w:tc>
          <w:tcPr>
            <w:tcW w:w="895" w:type="dxa"/>
            <w:shd w:val="clear" w:color="auto" w:fill="auto"/>
            <w:hideMark/>
          </w:tcPr>
          <w:p w14:paraId="2756B0E7"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1 061</w:t>
            </w:r>
          </w:p>
        </w:tc>
        <w:tc>
          <w:tcPr>
            <w:tcW w:w="1316" w:type="dxa"/>
            <w:shd w:val="clear" w:color="auto" w:fill="auto"/>
            <w:hideMark/>
          </w:tcPr>
          <w:p w14:paraId="43CD59D2"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1 011</w:t>
            </w:r>
          </w:p>
        </w:tc>
        <w:tc>
          <w:tcPr>
            <w:tcW w:w="1132" w:type="dxa"/>
            <w:shd w:val="clear" w:color="auto" w:fill="auto"/>
            <w:hideMark/>
          </w:tcPr>
          <w:p w14:paraId="37FBA734"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50</w:t>
            </w:r>
          </w:p>
        </w:tc>
      </w:tr>
      <w:tr w:rsidR="00CC5DA0" w:rsidRPr="00AC1DE2" w14:paraId="366AEAA0"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59B38CAC"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Santa Cruz</w:t>
            </w:r>
          </w:p>
        </w:tc>
        <w:tc>
          <w:tcPr>
            <w:tcW w:w="895" w:type="dxa"/>
            <w:shd w:val="clear" w:color="auto" w:fill="auto"/>
            <w:hideMark/>
          </w:tcPr>
          <w:p w14:paraId="58289772"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6 799</w:t>
            </w:r>
          </w:p>
        </w:tc>
        <w:tc>
          <w:tcPr>
            <w:tcW w:w="1316" w:type="dxa"/>
            <w:shd w:val="clear" w:color="auto" w:fill="auto"/>
            <w:hideMark/>
          </w:tcPr>
          <w:p w14:paraId="2846DF03"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6 343</w:t>
            </w:r>
          </w:p>
        </w:tc>
        <w:tc>
          <w:tcPr>
            <w:tcW w:w="1132" w:type="dxa"/>
            <w:shd w:val="clear" w:color="auto" w:fill="auto"/>
            <w:hideMark/>
          </w:tcPr>
          <w:p w14:paraId="41E62D76"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456</w:t>
            </w:r>
          </w:p>
        </w:tc>
      </w:tr>
      <w:tr w:rsidR="00CC5DA0" w:rsidRPr="00AC1DE2" w14:paraId="419EEF96"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3EB7BF09"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Beni</w:t>
            </w:r>
          </w:p>
        </w:tc>
        <w:tc>
          <w:tcPr>
            <w:tcW w:w="895" w:type="dxa"/>
            <w:shd w:val="clear" w:color="auto" w:fill="auto"/>
            <w:hideMark/>
          </w:tcPr>
          <w:p w14:paraId="2A289DFA"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1 038</w:t>
            </w:r>
          </w:p>
        </w:tc>
        <w:tc>
          <w:tcPr>
            <w:tcW w:w="1316" w:type="dxa"/>
            <w:shd w:val="clear" w:color="auto" w:fill="auto"/>
            <w:hideMark/>
          </w:tcPr>
          <w:p w14:paraId="73415443"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990</w:t>
            </w:r>
          </w:p>
        </w:tc>
        <w:tc>
          <w:tcPr>
            <w:tcW w:w="1132" w:type="dxa"/>
            <w:shd w:val="clear" w:color="auto" w:fill="auto"/>
            <w:hideMark/>
          </w:tcPr>
          <w:p w14:paraId="2C4A8361"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48</w:t>
            </w:r>
          </w:p>
        </w:tc>
      </w:tr>
      <w:tr w:rsidR="00CC5DA0" w:rsidRPr="00AC1DE2" w14:paraId="52DB929E"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095A350C"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Pando</w:t>
            </w:r>
          </w:p>
        </w:tc>
        <w:tc>
          <w:tcPr>
            <w:tcW w:w="895" w:type="dxa"/>
            <w:shd w:val="clear" w:color="auto" w:fill="auto"/>
            <w:hideMark/>
          </w:tcPr>
          <w:p w14:paraId="64B1C1E2"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338</w:t>
            </w:r>
          </w:p>
        </w:tc>
        <w:tc>
          <w:tcPr>
            <w:tcW w:w="1316" w:type="dxa"/>
            <w:shd w:val="clear" w:color="auto" w:fill="auto"/>
            <w:hideMark/>
          </w:tcPr>
          <w:p w14:paraId="1267E19B"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327</w:t>
            </w:r>
          </w:p>
        </w:tc>
        <w:tc>
          <w:tcPr>
            <w:tcW w:w="1132" w:type="dxa"/>
            <w:shd w:val="clear" w:color="auto" w:fill="auto"/>
            <w:hideMark/>
          </w:tcPr>
          <w:p w14:paraId="3646BD5E"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11</w:t>
            </w:r>
          </w:p>
        </w:tc>
      </w:tr>
      <w:tr w:rsidR="00CC5DA0" w:rsidRPr="00AC1DE2" w14:paraId="06070C0E"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4C949E93" w14:textId="0AEE1D61" w:rsidR="009C0C03" w:rsidRPr="00AC1DE2" w:rsidRDefault="00AC1DE2" w:rsidP="00AC1DE2">
            <w:pPr>
              <w:suppressAutoHyphens w:val="0"/>
              <w:spacing w:before="40" w:after="40" w:line="220" w:lineRule="exact"/>
              <w:rPr>
                <w:sz w:val="18"/>
                <w:szCs w:val="18"/>
                <w:lang w:val="fr-CH"/>
              </w:rPr>
            </w:pPr>
            <w:r w:rsidRPr="00AC1DE2">
              <w:rPr>
                <w:sz w:val="18"/>
                <w:szCs w:val="18"/>
                <w:lang w:val="fr-CH"/>
              </w:rPr>
              <w:t>TYPE D’ÉTABLISSEMENT OU DE CELLULE DE POLICE</w:t>
            </w:r>
          </w:p>
        </w:tc>
        <w:tc>
          <w:tcPr>
            <w:tcW w:w="895" w:type="dxa"/>
            <w:shd w:val="clear" w:color="auto" w:fill="auto"/>
            <w:hideMark/>
          </w:tcPr>
          <w:p w14:paraId="7C944BCF"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c>
          <w:tcPr>
            <w:tcW w:w="1316" w:type="dxa"/>
            <w:shd w:val="clear" w:color="auto" w:fill="auto"/>
            <w:hideMark/>
          </w:tcPr>
          <w:p w14:paraId="602D3F4E"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c>
          <w:tcPr>
            <w:tcW w:w="1132" w:type="dxa"/>
            <w:shd w:val="clear" w:color="auto" w:fill="auto"/>
            <w:hideMark/>
          </w:tcPr>
          <w:p w14:paraId="42E27DF6"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r>
      <w:tr w:rsidR="00CC5DA0" w:rsidRPr="00AC1DE2" w14:paraId="732D643C"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576625B7"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Lieux de détention de la police</w:t>
            </w:r>
          </w:p>
        </w:tc>
        <w:tc>
          <w:tcPr>
            <w:tcW w:w="895" w:type="dxa"/>
            <w:shd w:val="clear" w:color="auto" w:fill="auto"/>
            <w:hideMark/>
          </w:tcPr>
          <w:p w14:paraId="04C1B2E7"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36</w:t>
            </w:r>
          </w:p>
        </w:tc>
        <w:tc>
          <w:tcPr>
            <w:tcW w:w="1316" w:type="dxa"/>
            <w:shd w:val="clear" w:color="auto" w:fill="auto"/>
            <w:hideMark/>
          </w:tcPr>
          <w:p w14:paraId="15F8FE18"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35</w:t>
            </w:r>
          </w:p>
        </w:tc>
        <w:tc>
          <w:tcPr>
            <w:tcW w:w="1132" w:type="dxa"/>
            <w:shd w:val="clear" w:color="auto" w:fill="auto"/>
            <w:hideMark/>
          </w:tcPr>
          <w:p w14:paraId="0C389EB6"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w:t>
            </w:r>
          </w:p>
        </w:tc>
      </w:tr>
      <w:tr w:rsidR="00CC5DA0" w:rsidRPr="00AC1DE2" w14:paraId="6AA548EC"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2F6B53E0"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En province</w:t>
            </w:r>
          </w:p>
        </w:tc>
        <w:tc>
          <w:tcPr>
            <w:tcW w:w="895" w:type="dxa"/>
            <w:shd w:val="clear" w:color="auto" w:fill="auto"/>
            <w:hideMark/>
          </w:tcPr>
          <w:p w14:paraId="437D7870"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2 679</w:t>
            </w:r>
          </w:p>
        </w:tc>
        <w:tc>
          <w:tcPr>
            <w:tcW w:w="1316" w:type="dxa"/>
            <w:shd w:val="clear" w:color="auto" w:fill="auto"/>
            <w:hideMark/>
          </w:tcPr>
          <w:p w14:paraId="3F824624"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2 548</w:t>
            </w:r>
          </w:p>
        </w:tc>
        <w:tc>
          <w:tcPr>
            <w:tcW w:w="1132" w:type="dxa"/>
            <w:shd w:val="clear" w:color="auto" w:fill="auto"/>
            <w:hideMark/>
          </w:tcPr>
          <w:p w14:paraId="03C9AAAC"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131</w:t>
            </w:r>
          </w:p>
        </w:tc>
      </w:tr>
      <w:tr w:rsidR="00CC5DA0" w:rsidRPr="00AC1DE2" w14:paraId="14AC5690"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61EB67AA"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En zone urbaine</w:t>
            </w:r>
          </w:p>
        </w:tc>
        <w:tc>
          <w:tcPr>
            <w:tcW w:w="895" w:type="dxa"/>
            <w:shd w:val="clear" w:color="auto" w:fill="auto"/>
            <w:hideMark/>
          </w:tcPr>
          <w:p w14:paraId="1EF4CE1C"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15 722</w:t>
            </w:r>
          </w:p>
        </w:tc>
        <w:tc>
          <w:tcPr>
            <w:tcW w:w="1316" w:type="dxa"/>
            <w:shd w:val="clear" w:color="auto" w:fill="auto"/>
            <w:hideMark/>
          </w:tcPr>
          <w:p w14:paraId="3093CA7C"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14 386</w:t>
            </w:r>
          </w:p>
        </w:tc>
        <w:tc>
          <w:tcPr>
            <w:tcW w:w="1132" w:type="dxa"/>
            <w:shd w:val="clear" w:color="auto" w:fill="auto"/>
            <w:hideMark/>
          </w:tcPr>
          <w:p w14:paraId="30CBC75F"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1 336</w:t>
            </w:r>
          </w:p>
        </w:tc>
      </w:tr>
      <w:tr w:rsidR="00CC5DA0" w:rsidRPr="00AC1DE2" w14:paraId="64168ACC"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32819DFE" w14:textId="21C64C16" w:rsidR="009C0C03" w:rsidRPr="00AC1DE2" w:rsidRDefault="00AC1DE2" w:rsidP="00AC1DE2">
            <w:pPr>
              <w:suppressAutoHyphens w:val="0"/>
              <w:spacing w:before="40" w:after="40" w:line="220" w:lineRule="exact"/>
              <w:rPr>
                <w:sz w:val="18"/>
                <w:szCs w:val="18"/>
                <w:lang w:val="fr-CH"/>
              </w:rPr>
            </w:pPr>
            <w:r w:rsidRPr="00AC1DE2">
              <w:rPr>
                <w:sz w:val="18"/>
                <w:szCs w:val="18"/>
                <w:lang w:val="fr-CH"/>
              </w:rPr>
              <w:t>GROUPE D’ÂGE</w:t>
            </w:r>
          </w:p>
        </w:tc>
        <w:tc>
          <w:tcPr>
            <w:tcW w:w="895" w:type="dxa"/>
            <w:shd w:val="clear" w:color="auto" w:fill="auto"/>
            <w:hideMark/>
          </w:tcPr>
          <w:p w14:paraId="3196DE49"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c>
          <w:tcPr>
            <w:tcW w:w="1316" w:type="dxa"/>
            <w:shd w:val="clear" w:color="auto" w:fill="auto"/>
            <w:hideMark/>
          </w:tcPr>
          <w:p w14:paraId="03DA552A"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c>
          <w:tcPr>
            <w:tcW w:w="1132" w:type="dxa"/>
            <w:shd w:val="clear" w:color="auto" w:fill="auto"/>
            <w:hideMark/>
          </w:tcPr>
          <w:p w14:paraId="6A01DA09"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r>
      <w:tr w:rsidR="00CC5DA0" w:rsidRPr="00AC1DE2" w14:paraId="0E4D95DF"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4FD793CB"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Jeunes (18-28 ans)</w:t>
            </w:r>
          </w:p>
        </w:tc>
        <w:tc>
          <w:tcPr>
            <w:tcW w:w="895" w:type="dxa"/>
            <w:shd w:val="clear" w:color="auto" w:fill="auto"/>
            <w:hideMark/>
          </w:tcPr>
          <w:p w14:paraId="1C4DAADD"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6 612</w:t>
            </w:r>
          </w:p>
        </w:tc>
        <w:tc>
          <w:tcPr>
            <w:tcW w:w="1316" w:type="dxa"/>
            <w:shd w:val="clear" w:color="auto" w:fill="auto"/>
            <w:hideMark/>
          </w:tcPr>
          <w:p w14:paraId="6AA0AB23"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6 139</w:t>
            </w:r>
          </w:p>
        </w:tc>
        <w:tc>
          <w:tcPr>
            <w:tcW w:w="1132" w:type="dxa"/>
            <w:shd w:val="clear" w:color="auto" w:fill="auto"/>
            <w:hideMark/>
          </w:tcPr>
          <w:p w14:paraId="30D2492A"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473</w:t>
            </w:r>
          </w:p>
        </w:tc>
      </w:tr>
      <w:tr w:rsidR="00CC5DA0" w:rsidRPr="00AC1DE2" w14:paraId="3E55F927"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517B35AC"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Adultes (29-39 ans)</w:t>
            </w:r>
          </w:p>
        </w:tc>
        <w:tc>
          <w:tcPr>
            <w:tcW w:w="895" w:type="dxa"/>
            <w:shd w:val="clear" w:color="auto" w:fill="auto"/>
            <w:hideMark/>
          </w:tcPr>
          <w:p w14:paraId="7EC6E105"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6 284</w:t>
            </w:r>
          </w:p>
        </w:tc>
        <w:tc>
          <w:tcPr>
            <w:tcW w:w="1316" w:type="dxa"/>
            <w:shd w:val="clear" w:color="auto" w:fill="auto"/>
            <w:hideMark/>
          </w:tcPr>
          <w:p w14:paraId="2EB37F58"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5 795</w:t>
            </w:r>
          </w:p>
        </w:tc>
        <w:tc>
          <w:tcPr>
            <w:tcW w:w="1132" w:type="dxa"/>
            <w:shd w:val="clear" w:color="auto" w:fill="auto"/>
            <w:hideMark/>
          </w:tcPr>
          <w:p w14:paraId="372916A1"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489</w:t>
            </w:r>
          </w:p>
        </w:tc>
      </w:tr>
      <w:tr w:rsidR="00CC5DA0" w:rsidRPr="00AC1DE2" w14:paraId="723FE31C"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03441EC5"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Adultes (40-49 ans)</w:t>
            </w:r>
          </w:p>
        </w:tc>
        <w:tc>
          <w:tcPr>
            <w:tcW w:w="895" w:type="dxa"/>
            <w:shd w:val="clear" w:color="auto" w:fill="auto"/>
            <w:hideMark/>
          </w:tcPr>
          <w:p w14:paraId="675D179F"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3 268</w:t>
            </w:r>
          </w:p>
        </w:tc>
        <w:tc>
          <w:tcPr>
            <w:tcW w:w="1316" w:type="dxa"/>
            <w:shd w:val="clear" w:color="auto" w:fill="auto"/>
            <w:hideMark/>
          </w:tcPr>
          <w:p w14:paraId="79602778"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2 959</w:t>
            </w:r>
          </w:p>
        </w:tc>
        <w:tc>
          <w:tcPr>
            <w:tcW w:w="1132" w:type="dxa"/>
            <w:shd w:val="clear" w:color="auto" w:fill="auto"/>
            <w:hideMark/>
          </w:tcPr>
          <w:p w14:paraId="78D72F56"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309</w:t>
            </w:r>
          </w:p>
        </w:tc>
      </w:tr>
      <w:tr w:rsidR="00CC5DA0" w:rsidRPr="00AC1DE2" w14:paraId="21E88E42"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17F8A688"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Adultes (50-59 ans)</w:t>
            </w:r>
          </w:p>
        </w:tc>
        <w:tc>
          <w:tcPr>
            <w:tcW w:w="895" w:type="dxa"/>
            <w:shd w:val="clear" w:color="auto" w:fill="auto"/>
            <w:hideMark/>
          </w:tcPr>
          <w:p w14:paraId="39195E89"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1 522</w:t>
            </w:r>
          </w:p>
        </w:tc>
        <w:tc>
          <w:tcPr>
            <w:tcW w:w="1316" w:type="dxa"/>
            <w:shd w:val="clear" w:color="auto" w:fill="auto"/>
            <w:hideMark/>
          </w:tcPr>
          <w:p w14:paraId="1D4C9147"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1 389</w:t>
            </w:r>
          </w:p>
        </w:tc>
        <w:tc>
          <w:tcPr>
            <w:tcW w:w="1132" w:type="dxa"/>
            <w:shd w:val="clear" w:color="auto" w:fill="auto"/>
            <w:hideMark/>
          </w:tcPr>
          <w:p w14:paraId="1D6E0CAA"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133</w:t>
            </w:r>
          </w:p>
        </w:tc>
      </w:tr>
      <w:tr w:rsidR="00CC5DA0" w:rsidRPr="00AC1DE2" w14:paraId="7BF6946E"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71A62BCD"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Personnes âgées (60 ans et plus)</w:t>
            </w:r>
          </w:p>
        </w:tc>
        <w:tc>
          <w:tcPr>
            <w:tcW w:w="895" w:type="dxa"/>
            <w:shd w:val="clear" w:color="auto" w:fill="auto"/>
            <w:hideMark/>
          </w:tcPr>
          <w:p w14:paraId="0EEB4FA9"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717</w:t>
            </w:r>
          </w:p>
        </w:tc>
        <w:tc>
          <w:tcPr>
            <w:tcW w:w="1316" w:type="dxa"/>
            <w:shd w:val="clear" w:color="auto" w:fill="auto"/>
            <w:hideMark/>
          </w:tcPr>
          <w:p w14:paraId="745BC75B"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662</w:t>
            </w:r>
          </w:p>
        </w:tc>
        <w:tc>
          <w:tcPr>
            <w:tcW w:w="1132" w:type="dxa"/>
            <w:shd w:val="clear" w:color="auto" w:fill="auto"/>
            <w:hideMark/>
          </w:tcPr>
          <w:p w14:paraId="7FFBDA67"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55</w:t>
            </w:r>
          </w:p>
        </w:tc>
      </w:tr>
      <w:tr w:rsidR="00CC5DA0" w:rsidRPr="00AC1DE2" w14:paraId="3C11813E"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3DA93945"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Non précisé</w:t>
            </w:r>
          </w:p>
        </w:tc>
        <w:tc>
          <w:tcPr>
            <w:tcW w:w="895" w:type="dxa"/>
            <w:shd w:val="clear" w:color="auto" w:fill="auto"/>
            <w:hideMark/>
          </w:tcPr>
          <w:p w14:paraId="2006E8E8"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34</w:t>
            </w:r>
          </w:p>
        </w:tc>
        <w:tc>
          <w:tcPr>
            <w:tcW w:w="1316" w:type="dxa"/>
            <w:shd w:val="clear" w:color="auto" w:fill="auto"/>
            <w:hideMark/>
          </w:tcPr>
          <w:p w14:paraId="4421C1C8"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25</w:t>
            </w:r>
          </w:p>
        </w:tc>
        <w:tc>
          <w:tcPr>
            <w:tcW w:w="1132" w:type="dxa"/>
            <w:shd w:val="clear" w:color="auto" w:fill="auto"/>
            <w:hideMark/>
          </w:tcPr>
          <w:p w14:paraId="5E13E3A8"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9</w:t>
            </w:r>
          </w:p>
        </w:tc>
      </w:tr>
      <w:tr w:rsidR="00CC5DA0" w:rsidRPr="00AC1DE2" w14:paraId="3889033F"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0697FFDE" w14:textId="3C2749D4" w:rsidR="009C0C03" w:rsidRPr="00AC1DE2" w:rsidRDefault="00AC1DE2" w:rsidP="00AC1DE2">
            <w:pPr>
              <w:suppressAutoHyphens w:val="0"/>
              <w:spacing w:before="40" w:after="40" w:line="220" w:lineRule="exact"/>
              <w:rPr>
                <w:sz w:val="18"/>
                <w:szCs w:val="18"/>
                <w:lang w:val="fr-CH"/>
              </w:rPr>
            </w:pPr>
            <w:r w:rsidRPr="00AC1DE2">
              <w:rPr>
                <w:sz w:val="18"/>
                <w:szCs w:val="18"/>
                <w:lang w:val="fr-CH"/>
              </w:rPr>
              <w:t>NATIONALITÉ</w:t>
            </w:r>
          </w:p>
        </w:tc>
        <w:tc>
          <w:tcPr>
            <w:tcW w:w="895" w:type="dxa"/>
            <w:shd w:val="clear" w:color="auto" w:fill="auto"/>
            <w:hideMark/>
          </w:tcPr>
          <w:p w14:paraId="103FA10C"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 </w:t>
            </w:r>
          </w:p>
        </w:tc>
        <w:tc>
          <w:tcPr>
            <w:tcW w:w="1316" w:type="dxa"/>
            <w:shd w:val="clear" w:color="auto" w:fill="auto"/>
            <w:hideMark/>
          </w:tcPr>
          <w:p w14:paraId="74120214"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 </w:t>
            </w:r>
          </w:p>
        </w:tc>
        <w:tc>
          <w:tcPr>
            <w:tcW w:w="1132" w:type="dxa"/>
            <w:shd w:val="clear" w:color="auto" w:fill="auto"/>
            <w:hideMark/>
          </w:tcPr>
          <w:p w14:paraId="71E6A65C"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 </w:t>
            </w:r>
          </w:p>
        </w:tc>
      </w:tr>
      <w:tr w:rsidR="00CC5DA0" w:rsidRPr="00AC1DE2" w14:paraId="06E6E8E2"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7B4E4A0C"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Bolivienne</w:t>
            </w:r>
          </w:p>
        </w:tc>
        <w:tc>
          <w:tcPr>
            <w:tcW w:w="895" w:type="dxa"/>
            <w:shd w:val="clear" w:color="auto" w:fill="auto"/>
            <w:hideMark/>
          </w:tcPr>
          <w:p w14:paraId="057B971D"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17 662</w:t>
            </w:r>
          </w:p>
        </w:tc>
        <w:tc>
          <w:tcPr>
            <w:tcW w:w="1316" w:type="dxa"/>
            <w:shd w:val="clear" w:color="auto" w:fill="auto"/>
            <w:hideMark/>
          </w:tcPr>
          <w:p w14:paraId="7160E49C"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16 272</w:t>
            </w:r>
          </w:p>
        </w:tc>
        <w:tc>
          <w:tcPr>
            <w:tcW w:w="1132" w:type="dxa"/>
            <w:shd w:val="clear" w:color="auto" w:fill="auto"/>
            <w:hideMark/>
          </w:tcPr>
          <w:p w14:paraId="2D2F33E7"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1 390</w:t>
            </w:r>
          </w:p>
        </w:tc>
      </w:tr>
      <w:tr w:rsidR="00CC5DA0" w:rsidRPr="00AC1DE2" w14:paraId="3983F5ED"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6380CFE9"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Étrangère</w:t>
            </w:r>
          </w:p>
        </w:tc>
        <w:tc>
          <w:tcPr>
            <w:tcW w:w="895" w:type="dxa"/>
            <w:shd w:val="clear" w:color="auto" w:fill="auto"/>
            <w:hideMark/>
          </w:tcPr>
          <w:p w14:paraId="5FB5051E"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775</w:t>
            </w:r>
          </w:p>
        </w:tc>
        <w:tc>
          <w:tcPr>
            <w:tcW w:w="1316" w:type="dxa"/>
            <w:shd w:val="clear" w:color="auto" w:fill="auto"/>
            <w:hideMark/>
          </w:tcPr>
          <w:p w14:paraId="3E924A2F"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697</w:t>
            </w:r>
          </w:p>
        </w:tc>
        <w:tc>
          <w:tcPr>
            <w:tcW w:w="1132" w:type="dxa"/>
            <w:shd w:val="clear" w:color="auto" w:fill="auto"/>
            <w:hideMark/>
          </w:tcPr>
          <w:p w14:paraId="0D34B156"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78</w:t>
            </w:r>
          </w:p>
        </w:tc>
      </w:tr>
      <w:tr w:rsidR="00CC5DA0" w:rsidRPr="00AC1DE2" w14:paraId="2FD268C4"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167E5C18" w14:textId="3BBEDD3A" w:rsidR="009C0C03" w:rsidRPr="00AC1DE2" w:rsidRDefault="00AC1DE2" w:rsidP="00AC1DE2">
            <w:pPr>
              <w:suppressAutoHyphens w:val="0"/>
              <w:spacing w:before="40" w:after="40" w:line="220" w:lineRule="exact"/>
              <w:rPr>
                <w:sz w:val="18"/>
                <w:szCs w:val="18"/>
                <w:lang w:val="fr-CH"/>
              </w:rPr>
            </w:pPr>
            <w:r w:rsidRPr="00AC1DE2">
              <w:rPr>
                <w:sz w:val="18"/>
                <w:szCs w:val="18"/>
                <w:lang w:val="fr-CH"/>
              </w:rPr>
              <w:t>APPARTENANCE À UNE NATION, UN PEUPLE AUTOCHTONE, ORIGINEL, PAYSAN</w:t>
            </w:r>
          </w:p>
        </w:tc>
        <w:tc>
          <w:tcPr>
            <w:tcW w:w="895" w:type="dxa"/>
            <w:shd w:val="clear" w:color="auto" w:fill="auto"/>
            <w:hideMark/>
          </w:tcPr>
          <w:p w14:paraId="089FB3C7"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c>
          <w:tcPr>
            <w:tcW w:w="1316" w:type="dxa"/>
            <w:shd w:val="clear" w:color="auto" w:fill="auto"/>
            <w:hideMark/>
          </w:tcPr>
          <w:p w14:paraId="71C08F77"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c>
          <w:tcPr>
            <w:tcW w:w="1132" w:type="dxa"/>
            <w:shd w:val="clear" w:color="auto" w:fill="auto"/>
            <w:hideMark/>
          </w:tcPr>
          <w:p w14:paraId="034CAE96"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 </w:t>
            </w:r>
          </w:p>
        </w:tc>
      </w:tr>
      <w:tr w:rsidR="00CC5DA0" w:rsidRPr="00AC1DE2" w14:paraId="1D318A03"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3609EA7E"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Appartient</w:t>
            </w:r>
          </w:p>
        </w:tc>
        <w:tc>
          <w:tcPr>
            <w:tcW w:w="895" w:type="dxa"/>
            <w:shd w:val="clear" w:color="auto" w:fill="auto"/>
            <w:hideMark/>
          </w:tcPr>
          <w:p w14:paraId="3575B299"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7 147</w:t>
            </w:r>
          </w:p>
        </w:tc>
        <w:tc>
          <w:tcPr>
            <w:tcW w:w="1316" w:type="dxa"/>
            <w:shd w:val="clear" w:color="auto" w:fill="auto"/>
            <w:hideMark/>
          </w:tcPr>
          <w:p w14:paraId="7F5174B7"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6 593</w:t>
            </w:r>
          </w:p>
        </w:tc>
        <w:tc>
          <w:tcPr>
            <w:tcW w:w="1132" w:type="dxa"/>
            <w:shd w:val="clear" w:color="auto" w:fill="auto"/>
            <w:hideMark/>
          </w:tcPr>
          <w:p w14:paraId="72F78837"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554</w:t>
            </w:r>
          </w:p>
        </w:tc>
      </w:tr>
      <w:tr w:rsidR="00CC5DA0" w:rsidRPr="00AC1DE2" w14:paraId="6DBDE510"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10885B73"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N</w:t>
            </w:r>
            <w:r w:rsidR="009258E3" w:rsidRPr="00AC1DE2">
              <w:rPr>
                <w:sz w:val="18"/>
                <w:szCs w:val="18"/>
                <w:lang w:val="fr-CH"/>
              </w:rPr>
              <w:t>’</w:t>
            </w:r>
            <w:r w:rsidRPr="00AC1DE2">
              <w:rPr>
                <w:sz w:val="18"/>
                <w:szCs w:val="18"/>
                <w:lang w:val="fr-CH"/>
              </w:rPr>
              <w:t>appartient pas</w:t>
            </w:r>
          </w:p>
        </w:tc>
        <w:tc>
          <w:tcPr>
            <w:tcW w:w="895" w:type="dxa"/>
            <w:shd w:val="clear" w:color="auto" w:fill="auto"/>
            <w:hideMark/>
          </w:tcPr>
          <w:p w14:paraId="5A2913C2"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10 515</w:t>
            </w:r>
          </w:p>
        </w:tc>
        <w:tc>
          <w:tcPr>
            <w:tcW w:w="1316" w:type="dxa"/>
            <w:shd w:val="clear" w:color="auto" w:fill="auto"/>
            <w:hideMark/>
          </w:tcPr>
          <w:p w14:paraId="74E7D02A"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9 679</w:t>
            </w:r>
          </w:p>
        </w:tc>
        <w:tc>
          <w:tcPr>
            <w:tcW w:w="1132" w:type="dxa"/>
            <w:shd w:val="clear" w:color="auto" w:fill="auto"/>
            <w:hideMark/>
          </w:tcPr>
          <w:p w14:paraId="7C29E187"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836</w:t>
            </w:r>
          </w:p>
        </w:tc>
      </w:tr>
      <w:tr w:rsidR="00CC5DA0" w:rsidRPr="00AC1DE2" w14:paraId="560B0A98"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29097BBE" w14:textId="0E109422" w:rsidR="009C0C03" w:rsidRPr="00AC1DE2" w:rsidRDefault="00AC1DE2" w:rsidP="00AC1DE2">
            <w:pPr>
              <w:suppressAutoHyphens w:val="0"/>
              <w:spacing w:before="40" w:after="40" w:line="220" w:lineRule="exact"/>
              <w:rPr>
                <w:sz w:val="18"/>
                <w:szCs w:val="18"/>
                <w:lang w:val="fr-CH"/>
              </w:rPr>
            </w:pPr>
            <w:r w:rsidRPr="00AC1DE2">
              <w:rPr>
                <w:sz w:val="18"/>
                <w:szCs w:val="18"/>
                <w:lang w:val="fr-CH"/>
              </w:rPr>
              <w:t>SITUATION AU REGARD DE LA JUSTICE</w:t>
            </w:r>
          </w:p>
        </w:tc>
        <w:tc>
          <w:tcPr>
            <w:tcW w:w="895" w:type="dxa"/>
            <w:shd w:val="clear" w:color="auto" w:fill="auto"/>
            <w:hideMark/>
          </w:tcPr>
          <w:p w14:paraId="6BDCF546"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 </w:t>
            </w:r>
          </w:p>
        </w:tc>
        <w:tc>
          <w:tcPr>
            <w:tcW w:w="1316" w:type="dxa"/>
            <w:shd w:val="clear" w:color="auto" w:fill="auto"/>
            <w:hideMark/>
          </w:tcPr>
          <w:p w14:paraId="16BA62B0"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 </w:t>
            </w:r>
          </w:p>
        </w:tc>
        <w:tc>
          <w:tcPr>
            <w:tcW w:w="1132" w:type="dxa"/>
            <w:shd w:val="clear" w:color="auto" w:fill="auto"/>
            <w:hideMark/>
          </w:tcPr>
          <w:p w14:paraId="0768AEEA"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 </w:t>
            </w:r>
          </w:p>
        </w:tc>
      </w:tr>
      <w:tr w:rsidR="00CC5DA0" w:rsidRPr="00AC1DE2" w14:paraId="2160A6A5" w14:textId="77777777" w:rsidTr="00AC1DE2">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00A23CEB"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A fait l</w:t>
            </w:r>
            <w:r w:rsidR="009258E3" w:rsidRPr="00AC1DE2">
              <w:rPr>
                <w:sz w:val="18"/>
                <w:szCs w:val="18"/>
                <w:lang w:val="fr-CH"/>
              </w:rPr>
              <w:t>’</w:t>
            </w:r>
            <w:r w:rsidRPr="00AC1DE2">
              <w:rPr>
                <w:sz w:val="18"/>
                <w:szCs w:val="18"/>
                <w:lang w:val="fr-CH"/>
              </w:rPr>
              <w:t>objet d</w:t>
            </w:r>
            <w:r w:rsidR="009258E3" w:rsidRPr="00AC1DE2">
              <w:rPr>
                <w:sz w:val="18"/>
                <w:szCs w:val="18"/>
                <w:lang w:val="fr-CH"/>
              </w:rPr>
              <w:t>’</w:t>
            </w:r>
            <w:r w:rsidRPr="00AC1DE2">
              <w:rPr>
                <w:sz w:val="18"/>
                <w:szCs w:val="18"/>
                <w:lang w:val="fr-CH"/>
              </w:rPr>
              <w:t>une décision de justice</w:t>
            </w:r>
          </w:p>
        </w:tc>
        <w:tc>
          <w:tcPr>
            <w:tcW w:w="895" w:type="dxa"/>
            <w:shd w:val="clear" w:color="auto" w:fill="auto"/>
            <w:hideMark/>
          </w:tcPr>
          <w:p w14:paraId="6B07B2B9"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498</w:t>
            </w:r>
          </w:p>
        </w:tc>
        <w:tc>
          <w:tcPr>
            <w:tcW w:w="1316" w:type="dxa"/>
            <w:shd w:val="clear" w:color="auto" w:fill="auto"/>
            <w:hideMark/>
          </w:tcPr>
          <w:p w14:paraId="21605B9F"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476</w:t>
            </w:r>
          </w:p>
        </w:tc>
        <w:tc>
          <w:tcPr>
            <w:tcW w:w="1132" w:type="dxa"/>
            <w:shd w:val="clear" w:color="auto" w:fill="auto"/>
            <w:hideMark/>
          </w:tcPr>
          <w:p w14:paraId="08A79DE2"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22</w:t>
            </w:r>
          </w:p>
        </w:tc>
      </w:tr>
      <w:tr w:rsidR="00CC5DA0" w:rsidRPr="00AC1DE2" w14:paraId="623AB3D3" w14:textId="77777777" w:rsidTr="00AC1D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13E5BC9E"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Se trouve en détention provisoire</w:t>
            </w:r>
          </w:p>
        </w:tc>
        <w:tc>
          <w:tcPr>
            <w:tcW w:w="895" w:type="dxa"/>
            <w:shd w:val="clear" w:color="auto" w:fill="auto"/>
            <w:hideMark/>
          </w:tcPr>
          <w:p w14:paraId="6F81C779"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8 249</w:t>
            </w:r>
          </w:p>
        </w:tc>
        <w:tc>
          <w:tcPr>
            <w:tcW w:w="1316" w:type="dxa"/>
            <w:shd w:val="clear" w:color="auto" w:fill="auto"/>
            <w:hideMark/>
          </w:tcPr>
          <w:p w14:paraId="60CE5122"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7 586</w:t>
            </w:r>
          </w:p>
        </w:tc>
        <w:tc>
          <w:tcPr>
            <w:tcW w:w="1132" w:type="dxa"/>
            <w:shd w:val="clear" w:color="auto" w:fill="auto"/>
            <w:hideMark/>
          </w:tcPr>
          <w:p w14:paraId="660B8002"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663</w:t>
            </w:r>
          </w:p>
        </w:tc>
      </w:tr>
      <w:tr w:rsidR="00CC5DA0" w:rsidRPr="00AC1DE2" w14:paraId="77F623DE" w14:textId="77777777" w:rsidTr="00AC1DE2">
        <w:trPr>
          <w:cantSplit/>
        </w:trPr>
        <w:tc>
          <w:tcPr>
            <w:cnfStyle w:val="001000000000" w:firstRow="0" w:lastRow="0" w:firstColumn="1" w:lastColumn="0" w:oddVBand="0" w:evenVBand="0" w:oddHBand="0" w:evenHBand="0" w:firstRowFirstColumn="0" w:firstRowLastColumn="0" w:lastRowFirstColumn="0" w:lastRowLastColumn="0"/>
            <w:tcW w:w="4027" w:type="dxa"/>
            <w:shd w:val="clear" w:color="auto" w:fill="auto"/>
            <w:hideMark/>
          </w:tcPr>
          <w:p w14:paraId="0111A376"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A fait l</w:t>
            </w:r>
            <w:r w:rsidR="009258E3" w:rsidRPr="00AC1DE2">
              <w:rPr>
                <w:sz w:val="18"/>
                <w:szCs w:val="18"/>
                <w:lang w:val="fr-CH"/>
              </w:rPr>
              <w:t>’</w:t>
            </w:r>
            <w:r w:rsidRPr="00AC1DE2">
              <w:rPr>
                <w:sz w:val="18"/>
                <w:szCs w:val="18"/>
                <w:lang w:val="fr-CH"/>
              </w:rPr>
              <w:t>objet d</w:t>
            </w:r>
            <w:r w:rsidR="009258E3" w:rsidRPr="00AC1DE2">
              <w:rPr>
                <w:sz w:val="18"/>
                <w:szCs w:val="18"/>
                <w:lang w:val="fr-CH"/>
              </w:rPr>
              <w:t>’</w:t>
            </w:r>
            <w:r w:rsidRPr="00AC1DE2">
              <w:rPr>
                <w:sz w:val="18"/>
                <w:szCs w:val="18"/>
                <w:lang w:val="fr-CH"/>
              </w:rPr>
              <w:t>un jugement exécutoire</w:t>
            </w:r>
          </w:p>
        </w:tc>
        <w:tc>
          <w:tcPr>
            <w:tcW w:w="895" w:type="dxa"/>
            <w:shd w:val="clear" w:color="auto" w:fill="auto"/>
            <w:hideMark/>
          </w:tcPr>
          <w:p w14:paraId="1CB8985F"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6 589</w:t>
            </w:r>
          </w:p>
        </w:tc>
        <w:tc>
          <w:tcPr>
            <w:tcW w:w="1316" w:type="dxa"/>
            <w:shd w:val="clear" w:color="auto" w:fill="auto"/>
            <w:hideMark/>
          </w:tcPr>
          <w:p w14:paraId="70BA3852"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6 059</w:t>
            </w:r>
          </w:p>
        </w:tc>
        <w:tc>
          <w:tcPr>
            <w:tcW w:w="1132" w:type="dxa"/>
            <w:shd w:val="clear" w:color="auto" w:fill="auto"/>
            <w:hideMark/>
          </w:tcPr>
          <w:p w14:paraId="330F95E4" w14:textId="77777777" w:rsidR="009C0C03" w:rsidRPr="00AC1DE2" w:rsidRDefault="009C0C03" w:rsidP="00AC1DE2">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eastAsia="es-BO"/>
              </w:rPr>
            </w:pPr>
            <w:r w:rsidRPr="00AC1DE2">
              <w:rPr>
                <w:sz w:val="18"/>
                <w:lang w:val="fr-CH" w:eastAsia="es-BO"/>
              </w:rPr>
              <w:t>530</w:t>
            </w:r>
          </w:p>
        </w:tc>
      </w:tr>
      <w:tr w:rsidR="00CC5DA0" w:rsidRPr="00AC1DE2" w14:paraId="7222C2F6"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7" w:type="dxa"/>
            <w:tcBorders>
              <w:bottom w:val="single" w:sz="12" w:space="0" w:color="auto"/>
            </w:tcBorders>
            <w:shd w:val="clear" w:color="auto" w:fill="auto"/>
            <w:hideMark/>
          </w:tcPr>
          <w:p w14:paraId="38CAE5E6" w14:textId="77777777" w:rsidR="009C0C03" w:rsidRPr="00AC1DE2" w:rsidRDefault="009C0C03" w:rsidP="00AC1DE2">
            <w:pPr>
              <w:suppressAutoHyphens w:val="0"/>
              <w:spacing w:before="40" w:after="40" w:line="220" w:lineRule="exact"/>
              <w:rPr>
                <w:sz w:val="18"/>
                <w:szCs w:val="18"/>
                <w:lang w:val="fr-CH"/>
              </w:rPr>
            </w:pPr>
            <w:r w:rsidRPr="00AC1DE2">
              <w:rPr>
                <w:sz w:val="18"/>
                <w:szCs w:val="18"/>
                <w:lang w:val="fr-CH"/>
              </w:rPr>
              <w:t>Ne connaît pas l</w:t>
            </w:r>
            <w:r w:rsidR="009258E3" w:rsidRPr="00AC1DE2">
              <w:rPr>
                <w:sz w:val="18"/>
                <w:szCs w:val="18"/>
                <w:lang w:val="fr-CH"/>
              </w:rPr>
              <w:t>’</w:t>
            </w:r>
            <w:r w:rsidRPr="00AC1DE2">
              <w:rPr>
                <w:sz w:val="18"/>
                <w:szCs w:val="18"/>
                <w:lang w:val="fr-CH"/>
              </w:rPr>
              <w:t>état d</w:t>
            </w:r>
            <w:r w:rsidR="009258E3" w:rsidRPr="00AC1DE2">
              <w:rPr>
                <w:sz w:val="18"/>
                <w:szCs w:val="18"/>
                <w:lang w:val="fr-CH"/>
              </w:rPr>
              <w:t>’</w:t>
            </w:r>
            <w:r w:rsidRPr="00AC1DE2">
              <w:rPr>
                <w:sz w:val="18"/>
                <w:szCs w:val="18"/>
                <w:lang w:val="fr-CH"/>
              </w:rPr>
              <w:t xml:space="preserve">avancement </w:t>
            </w:r>
            <w:r w:rsidR="008535C1" w:rsidRPr="00AC1DE2">
              <w:rPr>
                <w:sz w:val="18"/>
                <w:szCs w:val="18"/>
                <w:lang w:val="fr-CH"/>
              </w:rPr>
              <w:br/>
            </w:r>
            <w:r w:rsidRPr="00AC1DE2">
              <w:rPr>
                <w:sz w:val="18"/>
                <w:szCs w:val="18"/>
                <w:lang w:val="fr-CH"/>
              </w:rPr>
              <w:t>de la procédure</w:t>
            </w:r>
          </w:p>
        </w:tc>
        <w:tc>
          <w:tcPr>
            <w:tcW w:w="895" w:type="dxa"/>
            <w:tcBorders>
              <w:bottom w:val="single" w:sz="12" w:space="0" w:color="auto"/>
            </w:tcBorders>
            <w:shd w:val="clear" w:color="auto" w:fill="auto"/>
            <w:hideMark/>
          </w:tcPr>
          <w:p w14:paraId="5AE271E8"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3 101</w:t>
            </w:r>
          </w:p>
        </w:tc>
        <w:tc>
          <w:tcPr>
            <w:tcW w:w="1316" w:type="dxa"/>
            <w:tcBorders>
              <w:bottom w:val="single" w:sz="12" w:space="0" w:color="auto"/>
            </w:tcBorders>
            <w:shd w:val="clear" w:color="auto" w:fill="auto"/>
            <w:hideMark/>
          </w:tcPr>
          <w:p w14:paraId="3C38CAD1"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2 848</w:t>
            </w:r>
          </w:p>
        </w:tc>
        <w:tc>
          <w:tcPr>
            <w:tcW w:w="1132" w:type="dxa"/>
            <w:tcBorders>
              <w:bottom w:val="single" w:sz="12" w:space="0" w:color="auto"/>
            </w:tcBorders>
            <w:shd w:val="clear" w:color="auto" w:fill="auto"/>
            <w:hideMark/>
          </w:tcPr>
          <w:p w14:paraId="69C97F3A" w14:textId="77777777" w:rsidR="009C0C03" w:rsidRPr="00AC1DE2" w:rsidRDefault="009C0C03" w:rsidP="00AC1DE2">
            <w:pPr>
              <w:suppressAutoHyphens w:val="0"/>
              <w:spacing w:before="40" w:after="40" w:line="220" w:lineRule="exact"/>
              <w:cnfStyle w:val="000000100000" w:firstRow="0" w:lastRow="0" w:firstColumn="0" w:lastColumn="0" w:oddVBand="0" w:evenVBand="0" w:oddHBand="1" w:evenHBand="0" w:firstRowFirstColumn="0" w:firstRowLastColumn="0" w:lastRowFirstColumn="0" w:lastRowLastColumn="0"/>
              <w:rPr>
                <w:sz w:val="18"/>
                <w:lang w:val="fr-CH" w:eastAsia="es-BO"/>
              </w:rPr>
            </w:pPr>
            <w:r w:rsidRPr="00AC1DE2">
              <w:rPr>
                <w:sz w:val="18"/>
                <w:lang w:val="fr-CH" w:eastAsia="es-BO"/>
              </w:rPr>
              <w:t>253</w:t>
            </w:r>
          </w:p>
        </w:tc>
      </w:tr>
    </w:tbl>
    <w:p w14:paraId="3A9E50FA" w14:textId="77777777" w:rsidR="00575165" w:rsidRPr="001561A6" w:rsidRDefault="00575165" w:rsidP="00575165">
      <w:pPr>
        <w:pStyle w:val="H4G"/>
        <w:spacing w:before="120" w:after="240"/>
        <w:ind w:firstLine="170"/>
        <w:rPr>
          <w:sz w:val="18"/>
          <w:szCs w:val="18"/>
        </w:rPr>
      </w:pPr>
      <w:r w:rsidRPr="001561A6">
        <w:rPr>
          <w:sz w:val="18"/>
          <w:szCs w:val="18"/>
        </w:rPr>
        <w:t xml:space="preserve">Source </w:t>
      </w:r>
      <w:r w:rsidRPr="001561A6">
        <w:rPr>
          <w:i w:val="0"/>
          <w:iCs/>
          <w:sz w:val="18"/>
          <w:szCs w:val="18"/>
        </w:rPr>
        <w:t>: Commission interinstitutionnelle, recensement dans les prisons 2019.</w:t>
      </w:r>
    </w:p>
    <w:p w14:paraId="6695592A" w14:textId="77777777" w:rsidR="00575165" w:rsidRPr="001561A6" w:rsidRDefault="00575165" w:rsidP="00575165">
      <w:pPr>
        <w:pStyle w:val="H4G"/>
      </w:pPr>
      <w:r w:rsidRPr="001561A6">
        <w:tab/>
      </w:r>
      <w:r w:rsidRPr="001561A6">
        <w:tab/>
      </w:r>
      <w:r w:rsidRPr="001561A6">
        <w:rPr>
          <w:iCs/>
        </w:rPr>
        <w:t>Détenus de moins de 21 ans</w:t>
      </w:r>
    </w:p>
    <w:p w14:paraId="0A8A9201" w14:textId="77777777" w:rsidR="00575165" w:rsidRPr="001561A6" w:rsidRDefault="00575165" w:rsidP="00575165">
      <w:pPr>
        <w:pStyle w:val="SingleTxtG"/>
        <w:spacing w:before="120"/>
        <w:rPr>
          <w:rFonts w:eastAsia="Calibri"/>
        </w:rPr>
      </w:pPr>
      <w:r w:rsidRPr="001561A6">
        <w:t>83.</w:t>
      </w:r>
      <w:r w:rsidRPr="001561A6">
        <w:tab/>
        <w:t>Le Code de l</w:t>
      </w:r>
      <w:r w:rsidR="009258E3">
        <w:t>’</w:t>
      </w:r>
      <w:r w:rsidRPr="001561A6">
        <w:t>enfance et de l</w:t>
      </w:r>
      <w:r w:rsidR="009258E3">
        <w:t>’</w:t>
      </w:r>
      <w:r w:rsidRPr="001561A6">
        <w:t xml:space="preserve">adolescence, adopté et entré en vigueur la même année, a introduit des mesures conservatoires non privatives de liberté et des mesures </w:t>
      </w:r>
      <w:proofErr w:type="spellStart"/>
      <w:r w:rsidRPr="001561A6">
        <w:t>socioéducatives</w:t>
      </w:r>
      <w:proofErr w:type="spellEnd"/>
      <w:r w:rsidRPr="001561A6">
        <w:t xml:space="preserve"> en milieu ouvert, la privation de liberté ne devant être imposée qu</w:t>
      </w:r>
      <w:r w:rsidR="009258E3">
        <w:t>’</w:t>
      </w:r>
      <w:r w:rsidRPr="001561A6">
        <w:t>en dernier ressort.</w:t>
      </w:r>
    </w:p>
    <w:p w14:paraId="010FD981" w14:textId="77777777" w:rsidR="00575165" w:rsidRPr="001561A6" w:rsidRDefault="00575165" w:rsidP="00575165">
      <w:pPr>
        <w:pStyle w:val="SingleTxtG"/>
        <w:spacing w:before="120"/>
        <w:rPr>
          <w:rFonts w:eastAsia="Calibri"/>
        </w:rPr>
      </w:pPr>
      <w:r w:rsidRPr="001561A6">
        <w:t>84.</w:t>
      </w:r>
      <w:r w:rsidRPr="001561A6">
        <w:tab/>
        <w:t>L</w:t>
      </w:r>
      <w:r w:rsidR="009258E3">
        <w:t>’</w:t>
      </w:r>
      <w:r w:rsidRPr="001561A6">
        <w:t xml:space="preserve">Évaluation actualisée de la situation des adolescents au regard de la justice pénale pour la période 2015-2016 a permis de constater que dans les affaires dont ont été saisis les tribunaux pour mineurs des capitales et </w:t>
      </w:r>
      <w:r w:rsidRPr="00DE3CE5">
        <w:t>d</w:t>
      </w:r>
      <w:r w:rsidR="0052794F" w:rsidRPr="00DE3CE5">
        <w:t xml:space="preserve">e </w:t>
      </w:r>
      <w:r w:rsidRPr="00DE3CE5">
        <w:t>El Alto</w:t>
      </w:r>
      <w:r w:rsidRPr="001561A6">
        <w:t>, les mesures conservatoires imposées se sont traduites par un placement en détention provisoire dans 27 % des cas et par des mesures conservatoires en milieu ouvert dans 44 % des cas, le reste des affaires (29 %) n</w:t>
      </w:r>
      <w:r w:rsidR="009258E3">
        <w:t>’</w:t>
      </w:r>
      <w:r w:rsidRPr="001561A6">
        <w:t>ayant pas donné lieu à l</w:t>
      </w:r>
      <w:r w:rsidR="009258E3">
        <w:t>’</w:t>
      </w:r>
      <w:r w:rsidRPr="001561A6">
        <w:t>imposition de mesures conservatoires</w:t>
      </w:r>
      <w:r w:rsidRPr="001561A6">
        <w:rPr>
          <w:rStyle w:val="Appelnotedebasdep"/>
        </w:rPr>
        <w:footnoteReference w:id="27"/>
      </w:r>
      <w:r w:rsidRPr="001561A6">
        <w:t>.</w:t>
      </w:r>
    </w:p>
    <w:p w14:paraId="5817D2A0" w14:textId="77777777" w:rsidR="00575165" w:rsidRPr="001561A6" w:rsidRDefault="00575165" w:rsidP="00575165">
      <w:pPr>
        <w:pStyle w:val="SingleTxtG"/>
        <w:spacing w:before="120"/>
        <w:rPr>
          <w:rFonts w:eastAsia="Calibri"/>
        </w:rPr>
      </w:pPr>
      <w:r w:rsidRPr="001561A6">
        <w:t>85.</w:t>
      </w:r>
      <w:r w:rsidRPr="001561A6">
        <w:tab/>
        <w:t>En 2018, la Vue d</w:t>
      </w:r>
      <w:r w:rsidR="009258E3">
        <w:t>’</w:t>
      </w:r>
      <w:r w:rsidRPr="001561A6">
        <w:t>ensemble du système de justice pénale pour mineurs, inspirée de l</w:t>
      </w:r>
      <w:r w:rsidR="009258E3">
        <w:t>’</w:t>
      </w:r>
      <w:r w:rsidRPr="001561A6">
        <w:t>Évaluation de la situation des adolescents au regard de la justice pénale 2017-2018 et dont les résultats ont été présentés à l</w:t>
      </w:r>
      <w:r w:rsidR="009258E3">
        <w:t>’</w:t>
      </w:r>
      <w:r w:rsidRPr="001561A6">
        <w:t xml:space="preserve">occasion du premier </w:t>
      </w:r>
      <w:r w:rsidR="0052794F">
        <w:t>c</w:t>
      </w:r>
      <w:r w:rsidRPr="001561A6">
        <w:t>ongrès international sur cette question, a mis en évidence une diminution progressive du pourcentage de placements en détention provisoire entre 2015 et 2018, le taux correspondant en 2018 se montant à 39 %.</w:t>
      </w:r>
    </w:p>
    <w:p w14:paraId="24F816C6" w14:textId="77777777" w:rsidR="00575165" w:rsidRPr="001561A6" w:rsidRDefault="0052794F" w:rsidP="0052794F">
      <w:pPr>
        <w:pStyle w:val="H23G"/>
      </w:pPr>
      <w:r>
        <w:tab/>
      </w:r>
      <w:r>
        <w:tab/>
      </w:r>
      <w:r w:rsidR="00575165" w:rsidRPr="001561A6">
        <w:t>Adolescents en détention provisoire, jusqu</w:t>
      </w:r>
      <w:r w:rsidR="009258E3">
        <w:t>’</w:t>
      </w:r>
      <w:r w:rsidR="00575165" w:rsidRPr="001561A6">
        <w:t>à 2018</w:t>
      </w:r>
    </w:p>
    <w:p w14:paraId="5C8E7648" w14:textId="77777777" w:rsidR="00575165" w:rsidRPr="001561A6" w:rsidRDefault="00575165" w:rsidP="00E91DA2">
      <w:pPr>
        <w:pStyle w:val="SingleTxtG"/>
        <w:spacing w:after="240" w:line="240" w:lineRule="auto"/>
      </w:pPr>
      <w:r w:rsidRPr="001561A6">
        <w:rPr>
          <w:rFonts w:eastAsia="Calibri"/>
          <w:noProof/>
          <w:sz w:val="18"/>
          <w:szCs w:val="18"/>
          <w:lang w:eastAsia="en-GB"/>
        </w:rPr>
        <w:drawing>
          <wp:inline distT="0" distB="0" distL="0" distR="0" wp14:anchorId="7DE295A3" wp14:editId="78939023">
            <wp:extent cx="3240000" cy="1929600"/>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000" cy="1929600"/>
                    </a:xfrm>
                    <a:prstGeom prst="rect">
                      <a:avLst/>
                    </a:prstGeom>
                    <a:noFill/>
                    <a:ln>
                      <a:noFill/>
                    </a:ln>
                  </pic:spPr>
                </pic:pic>
              </a:graphicData>
            </a:graphic>
          </wp:inline>
        </w:drawing>
      </w:r>
    </w:p>
    <w:p w14:paraId="605C8584" w14:textId="77777777" w:rsidR="00575165" w:rsidRPr="001561A6" w:rsidRDefault="00575165" w:rsidP="00575165">
      <w:pPr>
        <w:pStyle w:val="SingleTxtG"/>
        <w:spacing w:after="240"/>
        <w:ind w:firstLine="170"/>
        <w:jc w:val="left"/>
        <w:rPr>
          <w:sz w:val="18"/>
          <w:szCs w:val="18"/>
        </w:rPr>
      </w:pPr>
      <w:r w:rsidRPr="001561A6">
        <w:rPr>
          <w:sz w:val="18"/>
          <w:szCs w:val="18"/>
        </w:rPr>
        <w:t>D</w:t>
      </w:r>
      <w:r w:rsidR="009258E3">
        <w:rPr>
          <w:sz w:val="18"/>
          <w:szCs w:val="18"/>
        </w:rPr>
        <w:t>’</w:t>
      </w:r>
      <w:r w:rsidRPr="001561A6">
        <w:rPr>
          <w:sz w:val="18"/>
          <w:szCs w:val="18"/>
        </w:rPr>
        <w:t>après l</w:t>
      </w:r>
      <w:r w:rsidR="009258E3">
        <w:rPr>
          <w:sz w:val="18"/>
          <w:szCs w:val="18"/>
        </w:rPr>
        <w:t>’</w:t>
      </w:r>
      <w:r w:rsidRPr="001561A6">
        <w:rPr>
          <w:sz w:val="18"/>
          <w:szCs w:val="18"/>
        </w:rPr>
        <w:t>Évaluation de la situation des adolescents au regard de la justice pénale.</w:t>
      </w:r>
    </w:p>
    <w:p w14:paraId="587AFF3B" w14:textId="77777777" w:rsidR="00575165" w:rsidRPr="001561A6" w:rsidRDefault="00575165" w:rsidP="00575165">
      <w:pPr>
        <w:pStyle w:val="SingleTxtG"/>
      </w:pPr>
      <w:r w:rsidRPr="001561A6">
        <w:t>86.</w:t>
      </w:r>
      <w:r w:rsidRPr="001561A6">
        <w:tab/>
        <w:t xml:space="preserve">De même, dans le tableau portant sur les types de mesures </w:t>
      </w:r>
      <w:proofErr w:type="spellStart"/>
      <w:r w:rsidRPr="001561A6">
        <w:t>socioéducatives</w:t>
      </w:r>
      <w:proofErr w:type="spellEnd"/>
      <w:r w:rsidRPr="001561A6">
        <w:t>, on peut observer qu</w:t>
      </w:r>
      <w:r w:rsidR="009258E3">
        <w:t>’</w:t>
      </w:r>
      <w:r w:rsidRPr="001561A6">
        <w:t>entre 2015 et 2018, le pourcentage de mesures non privatives de liberté est supérieur au pourcentage de mesures privatives de liberté, ce qui s</w:t>
      </w:r>
      <w:r w:rsidR="009258E3">
        <w:t>’</w:t>
      </w:r>
      <w:r w:rsidRPr="001561A6">
        <w:t>explique par le suivi de la mise en œuvre du Code des enfants et des adolescents et des normes internationales par le Bureau technique du système pénal pour mineurs relevant du Ministère de la justice et de la transparence institutionnelle.</w:t>
      </w:r>
    </w:p>
    <w:p w14:paraId="019E51F4" w14:textId="77777777" w:rsidR="00575165" w:rsidRPr="001561A6" w:rsidRDefault="00575165" w:rsidP="00575165">
      <w:pPr>
        <w:pStyle w:val="H23G"/>
      </w:pPr>
      <w:r w:rsidRPr="001561A6">
        <w:tab/>
      </w:r>
      <w:r w:rsidRPr="001561A6">
        <w:tab/>
        <w:t xml:space="preserve">Types de mesures </w:t>
      </w:r>
      <w:proofErr w:type="spellStart"/>
      <w:r w:rsidRPr="001561A6">
        <w:t>socioéducatives</w:t>
      </w:r>
      <w:proofErr w:type="spellEnd"/>
    </w:p>
    <w:p w14:paraId="31BAB71D" w14:textId="77777777" w:rsidR="00575165" w:rsidRPr="001561A6" w:rsidRDefault="00575165" w:rsidP="00575165">
      <w:pPr>
        <w:pStyle w:val="SingleTxtG"/>
        <w:rPr>
          <w:bCs/>
        </w:rPr>
      </w:pPr>
      <w:r w:rsidRPr="001561A6">
        <w:rPr>
          <w:rFonts w:eastAsia="Calibri"/>
          <w:noProof/>
          <w:sz w:val="18"/>
          <w:szCs w:val="18"/>
          <w:lang w:eastAsia="en-GB"/>
        </w:rPr>
        <w:drawing>
          <wp:inline distT="0" distB="0" distL="0" distR="0" wp14:anchorId="500D8DB8" wp14:editId="3302A130">
            <wp:extent cx="3600000" cy="1648800"/>
            <wp:effectExtent l="0" t="0" r="0" b="889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648800"/>
                    </a:xfrm>
                    <a:prstGeom prst="rect">
                      <a:avLst/>
                    </a:prstGeom>
                    <a:noFill/>
                    <a:ln>
                      <a:noFill/>
                    </a:ln>
                  </pic:spPr>
                </pic:pic>
              </a:graphicData>
            </a:graphic>
          </wp:inline>
        </w:drawing>
      </w:r>
    </w:p>
    <w:p w14:paraId="630F9339" w14:textId="77777777" w:rsidR="00575165" w:rsidRPr="001561A6" w:rsidRDefault="00575165" w:rsidP="00575165">
      <w:pPr>
        <w:pStyle w:val="SingleTxtG"/>
        <w:spacing w:after="240"/>
        <w:ind w:firstLine="170"/>
        <w:jc w:val="left"/>
        <w:rPr>
          <w:sz w:val="18"/>
          <w:szCs w:val="18"/>
        </w:rPr>
      </w:pPr>
      <w:r w:rsidRPr="001561A6">
        <w:rPr>
          <w:sz w:val="18"/>
          <w:szCs w:val="18"/>
        </w:rPr>
        <w:t>D</w:t>
      </w:r>
      <w:r w:rsidR="009258E3">
        <w:rPr>
          <w:sz w:val="18"/>
          <w:szCs w:val="18"/>
        </w:rPr>
        <w:t>’</w:t>
      </w:r>
      <w:r w:rsidRPr="001561A6">
        <w:rPr>
          <w:sz w:val="18"/>
          <w:szCs w:val="18"/>
        </w:rPr>
        <w:t>après l</w:t>
      </w:r>
      <w:r w:rsidR="009258E3">
        <w:rPr>
          <w:sz w:val="18"/>
          <w:szCs w:val="18"/>
        </w:rPr>
        <w:t>’</w:t>
      </w:r>
      <w:r w:rsidRPr="001561A6">
        <w:rPr>
          <w:sz w:val="18"/>
          <w:szCs w:val="18"/>
        </w:rPr>
        <w:t>Évaluation de la situation des adolescents au regard de la justice pénale, qui est sur le point de s</w:t>
      </w:r>
      <w:r w:rsidR="009258E3">
        <w:rPr>
          <w:sz w:val="18"/>
          <w:szCs w:val="18"/>
        </w:rPr>
        <w:t>’</w:t>
      </w:r>
      <w:r w:rsidRPr="001561A6">
        <w:rPr>
          <w:sz w:val="18"/>
          <w:szCs w:val="18"/>
        </w:rPr>
        <w:t>achever.</w:t>
      </w:r>
    </w:p>
    <w:p w14:paraId="678FE62E" w14:textId="77777777" w:rsidR="00575165" w:rsidRPr="001561A6" w:rsidRDefault="00575165" w:rsidP="00575165">
      <w:pPr>
        <w:pStyle w:val="H23G"/>
      </w:pPr>
      <w:r w:rsidRPr="001561A6">
        <w:tab/>
      </w:r>
      <w:r w:rsidRPr="001561A6">
        <w:tab/>
        <w:t>Réponse à la question posée au paragraphe 16 de la liste de points</w:t>
      </w:r>
    </w:p>
    <w:p w14:paraId="167E6D99" w14:textId="77777777" w:rsidR="00575165" w:rsidRPr="001561A6" w:rsidRDefault="00575165" w:rsidP="00575165">
      <w:pPr>
        <w:pStyle w:val="H4G"/>
      </w:pPr>
      <w:r w:rsidRPr="001561A6">
        <w:tab/>
      </w:r>
      <w:r w:rsidRPr="001561A6">
        <w:tab/>
        <w:t>Mineurs délinquants</w:t>
      </w:r>
    </w:p>
    <w:p w14:paraId="0B3F35DE" w14:textId="77777777" w:rsidR="00575165" w:rsidRPr="001561A6" w:rsidRDefault="00575165" w:rsidP="00575165">
      <w:pPr>
        <w:pStyle w:val="SingleTxtG"/>
      </w:pPr>
      <w:r w:rsidRPr="001561A6">
        <w:t>87.</w:t>
      </w:r>
      <w:r w:rsidRPr="001561A6">
        <w:tab/>
        <w:t>Le Code des enfants et des adolescents porte création du Système de justice pénale pour mineurs et prévoit une responsabilité pénale atténuée pour les mineurs âgés de 14 à 18 ans, ce qui évite aux mineurs âgés de 16 à 18 ans d</w:t>
      </w:r>
      <w:r w:rsidR="009258E3">
        <w:t>’</w:t>
      </w:r>
      <w:r w:rsidRPr="001561A6">
        <w:t>être soumis aux procédures pénales ordinaires et notamment d</w:t>
      </w:r>
      <w:r w:rsidR="009258E3">
        <w:t>’</w:t>
      </w:r>
      <w:r w:rsidRPr="001561A6">
        <w:t xml:space="preserve">exécuter leur peine dans un établissement pénitentiaire pour adultes. Il prévoit aussi une justice réparatrice et un système de sanctions composé de mesures </w:t>
      </w:r>
      <w:proofErr w:type="spellStart"/>
      <w:r w:rsidRPr="001561A6">
        <w:t>socioéducatives</w:t>
      </w:r>
      <w:proofErr w:type="spellEnd"/>
      <w:r w:rsidRPr="001561A6">
        <w:t xml:space="preserve"> qui ont pour objectif éducatif premier la réinsertion sociale et, si possible, la réparation des dommages. Il vise également à prévenir la récidive moyennant la mise en place d</w:t>
      </w:r>
      <w:r w:rsidR="009258E3">
        <w:t>’</w:t>
      </w:r>
      <w:r w:rsidRPr="001561A6">
        <w:t>interventions interdisciplinaires et individualisées en faveur des adolescents dans le cadre du système de justice pénale.</w:t>
      </w:r>
    </w:p>
    <w:p w14:paraId="13022A5E" w14:textId="77777777" w:rsidR="00575165" w:rsidRPr="001561A6" w:rsidRDefault="00575165" w:rsidP="00575165">
      <w:pPr>
        <w:pStyle w:val="SingleTxtG"/>
      </w:pPr>
      <w:r w:rsidRPr="001561A6">
        <w:t>88.</w:t>
      </w:r>
      <w:r w:rsidRPr="001561A6">
        <w:tab/>
        <w:t>Parmi les mécanismes conçus pour faciliter le fonctionnement du système de justice pénale pour mineurs, il convient de signaler le protocole de prise en charge des adolescents pénalement responsables et le protocole d</w:t>
      </w:r>
      <w:r w:rsidR="009258E3">
        <w:t>’</w:t>
      </w:r>
      <w:r w:rsidRPr="001561A6">
        <w:t>intervention en leur faveur, les grandes orientations de la prise en charge dans les centres d</w:t>
      </w:r>
      <w:r w:rsidR="009258E3">
        <w:t>’</w:t>
      </w:r>
      <w:r w:rsidRPr="001561A6">
        <w:t>orientation et les centres de réinsertion sociale, la création de groupes de travail départementaux sur la justice pénale pour mineurs dans tout le pays, et les programmes de formation des fonctionnaires qui travaillent dans les institutions œuvrant dans ce domaine.</w:t>
      </w:r>
    </w:p>
    <w:p w14:paraId="55200BC6" w14:textId="77777777" w:rsidR="00575165" w:rsidRPr="001561A6" w:rsidRDefault="00575165" w:rsidP="00575165">
      <w:pPr>
        <w:pStyle w:val="SingleTxtG"/>
      </w:pPr>
      <w:r w:rsidRPr="001561A6">
        <w:t>89.</w:t>
      </w:r>
      <w:r w:rsidRPr="001561A6">
        <w:tab/>
        <w:t xml:space="preserve">Pour ce qui est de séparer les mineurs en détention provisoire des mineurs condamnés, le Code des enfants et des adolescents prévoit en son article 289.III que la détention provisoire doit être effectuée dans des centres de réinsertion sociale, en séparant les garçons des filles, et en veillant à ce que les mineurs en détention provisoire ne soient pas détenus avec ceux qui exécutent une mesure </w:t>
      </w:r>
      <w:proofErr w:type="spellStart"/>
      <w:r w:rsidRPr="001561A6">
        <w:t>socioéducative</w:t>
      </w:r>
      <w:proofErr w:type="spellEnd"/>
      <w:r w:rsidRPr="001561A6">
        <w:t xml:space="preserve"> en milieu fermé, la priorité devant être accordée à la rapidité de la procédure.</w:t>
      </w:r>
    </w:p>
    <w:p w14:paraId="49708A8A" w14:textId="77777777" w:rsidR="00575165" w:rsidRPr="001561A6" w:rsidRDefault="00575165" w:rsidP="00575165">
      <w:pPr>
        <w:pStyle w:val="H23G"/>
      </w:pPr>
      <w:r w:rsidRPr="001561A6">
        <w:tab/>
      </w:r>
      <w:r w:rsidRPr="001561A6">
        <w:tab/>
        <w:t>Réponse à la question posée au paragraphe 17 de la liste de points</w:t>
      </w:r>
    </w:p>
    <w:p w14:paraId="7D7FA147" w14:textId="77777777" w:rsidR="00575165" w:rsidRPr="001561A6" w:rsidRDefault="00575165" w:rsidP="00575165">
      <w:pPr>
        <w:pStyle w:val="H4G"/>
      </w:pPr>
      <w:r w:rsidRPr="001561A6">
        <w:tab/>
      </w:r>
      <w:r w:rsidRPr="001561A6">
        <w:tab/>
        <w:t>Sanctions disciplinaires</w:t>
      </w:r>
    </w:p>
    <w:p w14:paraId="245B1622" w14:textId="77777777" w:rsidR="00575165" w:rsidRPr="001561A6" w:rsidRDefault="00575165" w:rsidP="00575165">
      <w:pPr>
        <w:pStyle w:val="SingleTxtG"/>
      </w:pPr>
      <w:r w:rsidRPr="001561A6">
        <w:t>90.</w:t>
      </w:r>
      <w:r w:rsidRPr="001561A6">
        <w:tab/>
        <w:t>La loi sur le suivi de l</w:t>
      </w:r>
      <w:r w:rsidR="009258E3">
        <w:t>’</w:t>
      </w:r>
      <w:r w:rsidRPr="001561A6">
        <w:t>exécution des peines porte création du régime disciplinaire visant à garantir la sécurité et la coexistence pacifique et harmonieuse des détenus</w:t>
      </w:r>
      <w:r w:rsidRPr="001561A6">
        <w:rPr>
          <w:rStyle w:val="Appelnotedebasdep"/>
        </w:rPr>
        <w:footnoteReference w:id="28"/>
      </w:r>
      <w:r w:rsidRPr="001561A6">
        <w:t>, en faisant la distinction entre</w:t>
      </w:r>
      <w:r w:rsidRPr="001561A6">
        <w:rPr>
          <w:rStyle w:val="Appelnotedebasdep"/>
        </w:rPr>
        <w:footnoteReference w:id="29"/>
      </w:r>
      <w:r w:rsidRPr="001561A6">
        <w:t xml:space="preserve"> les infractions mineures et les infractions graves et très graves</w:t>
      </w:r>
      <w:r w:rsidRPr="001561A6">
        <w:rPr>
          <w:rStyle w:val="Appelnotedebasdep"/>
        </w:rPr>
        <w:footnoteReference w:id="30"/>
      </w:r>
      <w:r w:rsidRPr="001561A6">
        <w:t>, qui emportent chacune une sanction différente</w:t>
      </w:r>
      <w:r w:rsidRPr="001561A6">
        <w:rPr>
          <w:rStyle w:val="Appelnotedebasdep"/>
        </w:rPr>
        <w:footnoteReference w:id="31"/>
      </w:r>
      <w:r w:rsidRPr="001561A6">
        <w:t>. En outre, elle punit les fautes graves d</w:t>
      </w:r>
      <w:r w:rsidR="009258E3">
        <w:t>’</w:t>
      </w:r>
      <w:r w:rsidRPr="001561A6">
        <w:t>une interdiction de visites pour une durée maximale de vingt jours calendaires, et les fautes très graves d</w:t>
      </w:r>
      <w:r w:rsidR="009258E3">
        <w:t>’</w:t>
      </w:r>
      <w:r w:rsidRPr="001561A6">
        <w:t>une interdiction de visites pour une durée maximale de trente jours calendaires.</w:t>
      </w:r>
    </w:p>
    <w:p w14:paraId="556CDB36" w14:textId="77777777" w:rsidR="00575165" w:rsidRPr="001561A6" w:rsidRDefault="00575165" w:rsidP="00575165">
      <w:pPr>
        <w:pStyle w:val="SingleTxtG"/>
      </w:pPr>
      <w:r w:rsidRPr="001561A6">
        <w:t>91.</w:t>
      </w:r>
      <w:r w:rsidRPr="001561A6">
        <w:tab/>
        <w:t>Ce texte interdit en outre de placer à l</w:t>
      </w:r>
      <w:r w:rsidR="009258E3">
        <w:t>’</w:t>
      </w:r>
      <w:r w:rsidRPr="001561A6">
        <w:t>isolement une détenue enceinte ou allaitante à titre de sanction</w:t>
      </w:r>
      <w:r w:rsidRPr="001561A6">
        <w:rPr>
          <w:rStyle w:val="Appelnotedebasdep"/>
        </w:rPr>
        <w:footnoteReference w:id="32"/>
      </w:r>
      <w:r w:rsidRPr="001561A6">
        <w:t>, et prévoit que les détenus mis à l</w:t>
      </w:r>
      <w:r w:rsidR="009258E3">
        <w:t>’</w:t>
      </w:r>
      <w:r w:rsidRPr="001561A6">
        <w:t>isolement soient soumis à un examen médical quotidien, pour veiller à ce que les mesures nécessaires à la préservation de leur santé</w:t>
      </w:r>
      <w:r w:rsidRPr="001561A6">
        <w:rPr>
          <w:rStyle w:val="Appelnotedebasdep"/>
        </w:rPr>
        <w:footnoteReference w:id="33"/>
      </w:r>
      <w:r w:rsidRPr="001561A6">
        <w:t xml:space="preserve"> soient prises, ce qui est conforme aux normes internationales.</w:t>
      </w:r>
    </w:p>
    <w:p w14:paraId="4C227DAF" w14:textId="77777777" w:rsidR="00575165" w:rsidRPr="001561A6" w:rsidRDefault="00575165" w:rsidP="00575165">
      <w:pPr>
        <w:pStyle w:val="H4G"/>
      </w:pPr>
      <w:r w:rsidRPr="001561A6">
        <w:tab/>
      </w:r>
      <w:r w:rsidRPr="001561A6">
        <w:tab/>
        <w:t>Réinsertion sociale</w:t>
      </w:r>
    </w:p>
    <w:p w14:paraId="623C7EF6" w14:textId="77777777" w:rsidR="00575165" w:rsidRPr="001561A6" w:rsidRDefault="00575165" w:rsidP="00575165">
      <w:pPr>
        <w:pStyle w:val="SingleTxtG"/>
      </w:pPr>
      <w:r w:rsidRPr="001561A6">
        <w:t>92.</w:t>
      </w:r>
      <w:r w:rsidRPr="001561A6">
        <w:tab/>
        <w:t xml:space="preserve">La politique de réinsertion sociale des personnes privées de liberté comprend cinq volets : santé, éducation, travail, formation professionnelle et sport. Dans le domaine de la santé, les personnels de santé relevant du programme intitulé Mi </w:t>
      </w:r>
      <w:proofErr w:type="spellStart"/>
      <w:r w:rsidRPr="001561A6">
        <w:t>Salud</w:t>
      </w:r>
      <w:proofErr w:type="spellEnd"/>
      <w:r w:rsidRPr="001561A6">
        <w:t xml:space="preserve"> (Ma santé) se rendent dans les centres pénitentiaires du pays où ils mettent en œuvre les programmes nationaux de santé</w:t>
      </w:r>
      <w:r w:rsidRPr="001561A6">
        <w:rPr>
          <w:rStyle w:val="Appelnotedebasdep"/>
        </w:rPr>
        <w:footnoteReference w:id="34"/>
      </w:r>
      <w:r w:rsidRPr="001561A6">
        <w:t>. À cela s</w:t>
      </w:r>
      <w:r w:rsidR="009258E3">
        <w:t>’</w:t>
      </w:r>
      <w:r w:rsidRPr="001561A6">
        <w:t>ajoute l</w:t>
      </w:r>
      <w:r w:rsidR="009258E3">
        <w:t>’</w:t>
      </w:r>
      <w:r w:rsidRPr="001561A6">
        <w:t>exécution du Programme national de lutte contre la tuberculose et du Programme national de prévention et de traitement des addictions.</w:t>
      </w:r>
    </w:p>
    <w:p w14:paraId="45DF7BC8" w14:textId="77777777" w:rsidR="00575165" w:rsidRPr="001561A6" w:rsidRDefault="00575165" w:rsidP="00575165">
      <w:pPr>
        <w:pStyle w:val="SingleTxtG"/>
      </w:pPr>
      <w:r w:rsidRPr="001561A6">
        <w:t>93.</w:t>
      </w:r>
      <w:r w:rsidRPr="001561A6">
        <w:tab/>
        <w:t>Dans le domaine de l</w:t>
      </w:r>
      <w:r w:rsidR="009258E3">
        <w:t>’</w:t>
      </w:r>
      <w:r w:rsidRPr="001561A6">
        <w:t>éducation, les grandes lignes des programmes d</w:t>
      </w:r>
      <w:r w:rsidR="009258E3">
        <w:t>’</w:t>
      </w:r>
      <w:r w:rsidRPr="001561A6">
        <w:t>éducation en milieu fermé reposant sur l</w:t>
      </w:r>
      <w:r w:rsidR="009258E3">
        <w:t>’</w:t>
      </w:r>
      <w:r w:rsidRPr="001561A6">
        <w:t>enseignement alternatif (primaire, secondaire et technique) ont été élaborées.</w:t>
      </w:r>
    </w:p>
    <w:p w14:paraId="299C8E62" w14:textId="77777777" w:rsidR="00575165" w:rsidRPr="001561A6" w:rsidRDefault="00575165" w:rsidP="00575165">
      <w:pPr>
        <w:pStyle w:val="SingleTxtG"/>
      </w:pPr>
      <w:r w:rsidRPr="001561A6">
        <w:t>94.</w:t>
      </w:r>
      <w:r w:rsidRPr="001561A6">
        <w:tab/>
        <w:t>En outre, le Ministère du travail, de l</w:t>
      </w:r>
      <w:r w:rsidR="009258E3">
        <w:t>’</w:t>
      </w:r>
      <w:r w:rsidRPr="001561A6">
        <w:t>emploi et de la protection sociale et le Ministère de l</w:t>
      </w:r>
      <w:r w:rsidR="009258E3">
        <w:t>’</w:t>
      </w:r>
      <w:r w:rsidRPr="001561A6">
        <w:t>intérieur ont mis en place un groupe de travail technique qui œuvre actuellement à l</w:t>
      </w:r>
      <w:r w:rsidR="009258E3">
        <w:t>’</w:t>
      </w:r>
      <w:r w:rsidRPr="001561A6">
        <w:t>élaboration d</w:t>
      </w:r>
      <w:r w:rsidR="009258E3">
        <w:t>’</w:t>
      </w:r>
      <w:r w:rsidRPr="001561A6">
        <w:t>un programme de travail pour les personnes privées de liberté ainsi que d</w:t>
      </w:r>
      <w:r w:rsidR="009258E3">
        <w:t>’</w:t>
      </w:r>
      <w:r w:rsidRPr="001561A6">
        <w:t>un plan spécifiquement destiné à faciliter leur réinsertion professionnelle.</w:t>
      </w:r>
    </w:p>
    <w:p w14:paraId="760F2090" w14:textId="77777777" w:rsidR="00575165" w:rsidRPr="001561A6" w:rsidRDefault="00575165" w:rsidP="00575165">
      <w:pPr>
        <w:pStyle w:val="H23G"/>
      </w:pPr>
      <w:r w:rsidRPr="001561A6">
        <w:tab/>
      </w:r>
      <w:r w:rsidRPr="001561A6">
        <w:tab/>
        <w:t>Réponse à la question posée au paragraphe 20 de la liste de points</w:t>
      </w:r>
    </w:p>
    <w:p w14:paraId="3D6121C9" w14:textId="77777777" w:rsidR="00575165" w:rsidRPr="001561A6" w:rsidRDefault="00575165" w:rsidP="00575165">
      <w:pPr>
        <w:pStyle w:val="SingleTxtG"/>
      </w:pPr>
      <w:r w:rsidRPr="001561A6">
        <w:t>95.</w:t>
      </w:r>
      <w:r w:rsidRPr="001561A6">
        <w:tab/>
        <w:t>Il est prévu à l</w:t>
      </w:r>
      <w:r w:rsidR="009258E3">
        <w:t>’</w:t>
      </w:r>
      <w:r w:rsidRPr="001561A6">
        <w:t xml:space="preserve">article 7 de la loi </w:t>
      </w:r>
      <w:r w:rsidRPr="001561A6">
        <w:rPr>
          <w:rFonts w:eastAsia="MS Mincho"/>
          <w:szCs w:val="22"/>
        </w:rPr>
        <w:t>n</w:t>
      </w:r>
      <w:r w:rsidRPr="001561A6">
        <w:rPr>
          <w:rFonts w:eastAsia="MS Mincho"/>
          <w:szCs w:val="22"/>
          <w:vertAlign w:val="superscript"/>
        </w:rPr>
        <w:t>o</w:t>
      </w:r>
      <w:r w:rsidRPr="001561A6">
        <w:t> 251 qu</w:t>
      </w:r>
      <w:r w:rsidR="009258E3">
        <w:t>’</w:t>
      </w:r>
      <w:r w:rsidRPr="001561A6">
        <w:t>aucune sanction pénale ni administrative ne peut être imposée à un demandeur du statut de réfugié au motif qu</w:t>
      </w:r>
      <w:r w:rsidR="009258E3">
        <w:t>’</w:t>
      </w:r>
      <w:r w:rsidRPr="001561A6">
        <w:t>il est entré ou séjourne de manière irrégulière sur le territoire.</w:t>
      </w:r>
    </w:p>
    <w:p w14:paraId="5259DE08" w14:textId="77777777" w:rsidR="00575165" w:rsidRPr="001561A6" w:rsidRDefault="00575165" w:rsidP="00575165">
      <w:pPr>
        <w:pStyle w:val="SingleTxtG"/>
      </w:pPr>
      <w:r w:rsidRPr="001561A6">
        <w:t>96.</w:t>
      </w:r>
      <w:r w:rsidRPr="001561A6">
        <w:tab/>
        <w:t>La Commission nationale pour les réfugiés ne dispose pas d</w:t>
      </w:r>
      <w:r w:rsidR="009258E3">
        <w:t>’</w:t>
      </w:r>
      <w:r w:rsidRPr="001561A6">
        <w:t>informations sur le nombre de demandeurs d</w:t>
      </w:r>
      <w:r w:rsidR="009258E3">
        <w:t>’</w:t>
      </w:r>
      <w:r w:rsidRPr="001561A6">
        <w:t>asile privés de liberté dans l</w:t>
      </w:r>
      <w:r w:rsidR="009258E3">
        <w:t>’</w:t>
      </w:r>
      <w:r w:rsidRPr="001561A6">
        <w:t>État partie en raison de leur situation irrégulière au regard de l</w:t>
      </w:r>
      <w:r w:rsidR="009258E3">
        <w:t>’</w:t>
      </w:r>
      <w:r w:rsidRPr="001561A6">
        <w:t>immigration, du fait qu</w:t>
      </w:r>
      <w:r w:rsidR="009258E3">
        <w:t>’</w:t>
      </w:r>
      <w:r w:rsidRPr="001561A6">
        <w:t>en vertu du principe de non-application d</w:t>
      </w:r>
      <w:r w:rsidR="009258E3">
        <w:t>’</w:t>
      </w:r>
      <w:r w:rsidRPr="001561A6">
        <w:t>une sanction, la détention n</w:t>
      </w:r>
      <w:r w:rsidR="009258E3">
        <w:t>’</w:t>
      </w:r>
      <w:r w:rsidRPr="001561A6">
        <w:t>est pas justifiée.</w:t>
      </w:r>
    </w:p>
    <w:p w14:paraId="5CA7B3B8" w14:textId="77777777" w:rsidR="00575165" w:rsidRPr="001561A6" w:rsidRDefault="00575165" w:rsidP="00575165">
      <w:pPr>
        <w:pStyle w:val="H23G"/>
      </w:pPr>
      <w:r w:rsidRPr="001561A6">
        <w:tab/>
      </w:r>
      <w:r w:rsidRPr="001561A6">
        <w:tab/>
        <w:t>Réponse à la question posée au paragraphe 21 de la liste de points</w:t>
      </w:r>
    </w:p>
    <w:p w14:paraId="28A67961" w14:textId="77777777" w:rsidR="00575165" w:rsidRPr="001561A6" w:rsidRDefault="00575165" w:rsidP="00575165">
      <w:pPr>
        <w:pStyle w:val="SingleTxtG"/>
      </w:pPr>
      <w:r w:rsidRPr="001561A6">
        <w:t>97.</w:t>
      </w:r>
      <w:r w:rsidRPr="001561A6">
        <w:tab/>
        <w:t>Récemment, en août 2020, le Service de prévention de la torture s</w:t>
      </w:r>
      <w:r w:rsidR="009258E3">
        <w:t>’</w:t>
      </w:r>
      <w:r w:rsidRPr="001561A6">
        <w:t>est rendu à l</w:t>
      </w:r>
      <w:r w:rsidR="009258E3">
        <w:t>’</w:t>
      </w:r>
      <w:r w:rsidRPr="001561A6">
        <w:t>Institut national de psychiatrie Gregorio Pacheco situé dans la ville de Sucre, où il s</w:t>
      </w:r>
      <w:r w:rsidR="009258E3">
        <w:t>’</w:t>
      </w:r>
      <w:r w:rsidRPr="001561A6">
        <w:t xml:space="preserve">est assuré que cet établissement disposait de </w:t>
      </w:r>
      <w:r w:rsidR="00630791">
        <w:t>quatre</w:t>
      </w:r>
      <w:r w:rsidRPr="001561A6">
        <w:t xml:space="preserve"> unités distinctes, à savoir une unité de soins aigus −</w:t>
      </w:r>
      <w:r w:rsidR="00630791">
        <w:t> </w:t>
      </w:r>
      <w:r w:rsidRPr="001561A6">
        <w:t>mixte</w:t>
      </w:r>
      <w:r w:rsidR="00630791">
        <w:t> </w:t>
      </w:r>
      <w:r w:rsidRPr="001561A6">
        <w:t>−, une unité de soins intermédiaires − mixte −, une unité de long séjour et une unité de gériatrie. Actuellement, 18 détenus de Santa Cruz, Beni et Sucre exécutent une peine pénale.</w:t>
      </w:r>
    </w:p>
    <w:p w14:paraId="158B486C" w14:textId="77777777" w:rsidR="00575165" w:rsidRPr="001561A6" w:rsidRDefault="00575165" w:rsidP="00575165">
      <w:pPr>
        <w:pStyle w:val="H23G"/>
      </w:pPr>
      <w:r w:rsidRPr="001561A6">
        <w:tab/>
      </w:r>
      <w:r w:rsidRPr="001561A6">
        <w:tab/>
        <w:t>Réponse à la question posée au paragraphe 22 de la liste de points</w:t>
      </w:r>
    </w:p>
    <w:p w14:paraId="1B6603F8" w14:textId="77777777" w:rsidR="00575165" w:rsidRPr="001561A6" w:rsidRDefault="00575165" w:rsidP="00575165">
      <w:pPr>
        <w:pStyle w:val="H4G"/>
      </w:pPr>
      <w:r w:rsidRPr="001561A6">
        <w:tab/>
      </w:r>
      <w:r w:rsidRPr="001561A6">
        <w:tab/>
        <w:t>Visite des lieux de détention</w:t>
      </w:r>
    </w:p>
    <w:p w14:paraId="33B3056E" w14:textId="77777777" w:rsidR="00575165" w:rsidRPr="001561A6" w:rsidRDefault="00575165" w:rsidP="00575165">
      <w:pPr>
        <w:pStyle w:val="SingleTxtG"/>
      </w:pPr>
      <w:r w:rsidRPr="001561A6">
        <w:t>98.</w:t>
      </w:r>
      <w:r w:rsidRPr="001561A6">
        <w:tab/>
        <w:t>Dans l</w:t>
      </w:r>
      <w:r w:rsidR="009258E3">
        <w:t>’</w:t>
      </w:r>
      <w:r w:rsidRPr="001561A6">
        <w:t>exercice de ses attributions, le Service de prévention de la torture a effectué au total 52 visites inopinées en 2018, dont on trouvera le détail ci-dessous.</w:t>
      </w:r>
    </w:p>
    <w:p w14:paraId="75E4199C" w14:textId="77777777" w:rsidR="00575165" w:rsidRPr="001561A6" w:rsidRDefault="005044B6" w:rsidP="005044B6">
      <w:pPr>
        <w:pStyle w:val="H23G"/>
      </w:pPr>
      <w:r>
        <w:tab/>
      </w:r>
      <w:r>
        <w:tab/>
      </w:r>
      <w:r w:rsidR="00575165" w:rsidRPr="001561A6">
        <w:t>Visites inopinées</w:t>
      </w:r>
    </w:p>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4"/>
        <w:gridCol w:w="495"/>
        <w:gridCol w:w="560"/>
        <w:gridCol w:w="812"/>
        <w:gridCol w:w="504"/>
        <w:gridCol w:w="518"/>
        <w:gridCol w:w="825"/>
        <w:gridCol w:w="924"/>
        <w:gridCol w:w="560"/>
        <w:gridCol w:w="558"/>
      </w:tblGrid>
      <w:tr w:rsidR="009A20AA" w:rsidRPr="00AC1DE2" w14:paraId="74C266BF"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auto"/>
              <w:left w:val="none" w:sz="0" w:space="0" w:color="auto"/>
              <w:bottom w:val="single" w:sz="12" w:space="0" w:color="auto"/>
              <w:right w:val="none" w:sz="0" w:space="0" w:color="auto"/>
            </w:tcBorders>
            <w:shd w:val="clear" w:color="auto" w:fill="auto"/>
            <w:vAlign w:val="bottom"/>
          </w:tcPr>
          <w:p w14:paraId="4AB76EE8" w14:textId="77777777" w:rsidR="009C0C03" w:rsidRPr="00AC1DE2" w:rsidRDefault="009A20AA" w:rsidP="00AC1DE2">
            <w:pPr>
              <w:suppressAutoHyphens w:val="0"/>
              <w:spacing w:before="80" w:after="80" w:line="200" w:lineRule="exact"/>
              <w:rPr>
                <w:b w:val="0"/>
                <w:i/>
                <w:color w:val="auto"/>
                <w:sz w:val="16"/>
                <w:lang w:val="fr-CH"/>
              </w:rPr>
            </w:pPr>
            <w:r w:rsidRPr="00AC1DE2">
              <w:rPr>
                <w:b w:val="0"/>
                <w:i/>
                <w:color w:val="auto"/>
                <w:sz w:val="16"/>
                <w:lang w:val="fr-CH"/>
              </w:rPr>
              <w:t>Nombre d</w:t>
            </w:r>
            <w:r w:rsidR="009258E3" w:rsidRPr="00AC1DE2">
              <w:rPr>
                <w:b w:val="0"/>
                <w:i/>
                <w:color w:val="auto"/>
                <w:sz w:val="16"/>
                <w:lang w:val="fr-CH"/>
              </w:rPr>
              <w:t>’</w:t>
            </w:r>
            <w:r w:rsidRPr="00AC1DE2">
              <w:rPr>
                <w:b w:val="0"/>
                <w:i/>
                <w:color w:val="auto"/>
                <w:sz w:val="16"/>
                <w:lang w:val="fr-CH"/>
              </w:rPr>
              <w:t>établissements</w:t>
            </w:r>
          </w:p>
        </w:tc>
        <w:tc>
          <w:tcPr>
            <w:tcW w:w="495" w:type="dxa"/>
            <w:tcBorders>
              <w:top w:val="single" w:sz="4" w:space="0" w:color="auto"/>
              <w:left w:val="none" w:sz="0" w:space="0" w:color="auto"/>
              <w:bottom w:val="single" w:sz="12" w:space="0" w:color="auto"/>
              <w:right w:val="none" w:sz="0" w:space="0" w:color="auto"/>
            </w:tcBorders>
            <w:shd w:val="clear" w:color="auto" w:fill="auto"/>
            <w:vAlign w:val="bottom"/>
          </w:tcPr>
          <w:p w14:paraId="7A269039"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Pando</w:t>
            </w:r>
          </w:p>
        </w:tc>
        <w:tc>
          <w:tcPr>
            <w:tcW w:w="560" w:type="dxa"/>
            <w:tcBorders>
              <w:top w:val="single" w:sz="4" w:space="0" w:color="auto"/>
              <w:left w:val="none" w:sz="0" w:space="0" w:color="auto"/>
              <w:bottom w:val="single" w:sz="12" w:space="0" w:color="auto"/>
              <w:right w:val="none" w:sz="0" w:space="0" w:color="auto"/>
            </w:tcBorders>
            <w:shd w:val="clear" w:color="auto" w:fill="auto"/>
            <w:vAlign w:val="bottom"/>
          </w:tcPr>
          <w:p w14:paraId="3477C1A9"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La Paz</w:t>
            </w:r>
          </w:p>
        </w:tc>
        <w:tc>
          <w:tcPr>
            <w:tcW w:w="812" w:type="dxa"/>
            <w:tcBorders>
              <w:top w:val="single" w:sz="4" w:space="0" w:color="auto"/>
              <w:left w:val="none" w:sz="0" w:space="0" w:color="auto"/>
              <w:bottom w:val="single" w:sz="12" w:space="0" w:color="auto"/>
              <w:right w:val="none" w:sz="0" w:space="0" w:color="auto"/>
            </w:tcBorders>
            <w:shd w:val="clear" w:color="auto" w:fill="auto"/>
            <w:vAlign w:val="bottom"/>
          </w:tcPr>
          <w:p w14:paraId="714D3A0C"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Santa Cruz</w:t>
            </w:r>
          </w:p>
        </w:tc>
        <w:tc>
          <w:tcPr>
            <w:tcW w:w="504" w:type="dxa"/>
            <w:tcBorders>
              <w:top w:val="single" w:sz="4" w:space="0" w:color="auto"/>
              <w:left w:val="none" w:sz="0" w:space="0" w:color="auto"/>
              <w:bottom w:val="single" w:sz="12" w:space="0" w:color="auto"/>
              <w:right w:val="none" w:sz="0" w:space="0" w:color="auto"/>
            </w:tcBorders>
            <w:shd w:val="clear" w:color="auto" w:fill="auto"/>
            <w:vAlign w:val="bottom"/>
          </w:tcPr>
          <w:p w14:paraId="3AB8CD67"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Tarija</w:t>
            </w:r>
          </w:p>
        </w:tc>
        <w:tc>
          <w:tcPr>
            <w:tcW w:w="518" w:type="dxa"/>
            <w:tcBorders>
              <w:top w:val="single" w:sz="4" w:space="0" w:color="auto"/>
              <w:left w:val="none" w:sz="0" w:space="0" w:color="auto"/>
              <w:bottom w:val="single" w:sz="12" w:space="0" w:color="auto"/>
              <w:right w:val="none" w:sz="0" w:space="0" w:color="auto"/>
            </w:tcBorders>
            <w:shd w:val="clear" w:color="auto" w:fill="auto"/>
            <w:vAlign w:val="bottom"/>
          </w:tcPr>
          <w:p w14:paraId="5EACC9C0"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Potosí</w:t>
            </w:r>
          </w:p>
        </w:tc>
        <w:tc>
          <w:tcPr>
            <w:tcW w:w="825" w:type="dxa"/>
            <w:tcBorders>
              <w:top w:val="single" w:sz="4" w:space="0" w:color="auto"/>
              <w:left w:val="none" w:sz="0" w:space="0" w:color="auto"/>
              <w:bottom w:val="single" w:sz="12" w:space="0" w:color="auto"/>
              <w:right w:val="none" w:sz="0" w:space="0" w:color="auto"/>
            </w:tcBorders>
            <w:shd w:val="clear" w:color="auto" w:fill="auto"/>
            <w:vAlign w:val="bottom"/>
          </w:tcPr>
          <w:p w14:paraId="25C4A2B8"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Chuquisaca</w:t>
            </w:r>
          </w:p>
        </w:tc>
        <w:tc>
          <w:tcPr>
            <w:tcW w:w="924" w:type="dxa"/>
            <w:tcBorders>
              <w:top w:val="single" w:sz="4" w:space="0" w:color="auto"/>
              <w:left w:val="none" w:sz="0" w:space="0" w:color="auto"/>
              <w:bottom w:val="single" w:sz="12" w:space="0" w:color="auto"/>
              <w:right w:val="none" w:sz="0" w:space="0" w:color="auto"/>
            </w:tcBorders>
            <w:shd w:val="clear" w:color="auto" w:fill="auto"/>
            <w:vAlign w:val="bottom"/>
          </w:tcPr>
          <w:p w14:paraId="03A329C4"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Cochabamba</w:t>
            </w:r>
          </w:p>
        </w:tc>
        <w:tc>
          <w:tcPr>
            <w:tcW w:w="560" w:type="dxa"/>
            <w:tcBorders>
              <w:top w:val="single" w:sz="4" w:space="0" w:color="auto"/>
              <w:left w:val="none" w:sz="0" w:space="0" w:color="auto"/>
              <w:bottom w:val="single" w:sz="12" w:space="0" w:color="auto"/>
              <w:right w:val="none" w:sz="0" w:space="0" w:color="auto"/>
            </w:tcBorders>
            <w:shd w:val="clear" w:color="auto" w:fill="auto"/>
            <w:vAlign w:val="bottom"/>
          </w:tcPr>
          <w:p w14:paraId="2585EB2B"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Oruro</w:t>
            </w:r>
          </w:p>
        </w:tc>
        <w:tc>
          <w:tcPr>
            <w:tcW w:w="558" w:type="dxa"/>
            <w:tcBorders>
              <w:top w:val="single" w:sz="4" w:space="0" w:color="auto"/>
              <w:left w:val="none" w:sz="0" w:space="0" w:color="auto"/>
              <w:bottom w:val="single" w:sz="12" w:space="0" w:color="auto"/>
              <w:right w:val="none" w:sz="0" w:space="0" w:color="auto"/>
            </w:tcBorders>
            <w:shd w:val="clear" w:color="auto" w:fill="auto"/>
            <w:vAlign w:val="bottom"/>
          </w:tcPr>
          <w:p w14:paraId="1D9B957C"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T</w:t>
            </w:r>
            <w:r w:rsidR="00B609A7" w:rsidRPr="00AC1DE2">
              <w:rPr>
                <w:b w:val="0"/>
                <w:i/>
                <w:color w:val="auto"/>
                <w:sz w:val="16"/>
                <w:lang w:val="fr-CH"/>
              </w:rPr>
              <w:t>otal</w:t>
            </w:r>
          </w:p>
        </w:tc>
      </w:tr>
      <w:tr w:rsidR="009A20AA" w:rsidRPr="00AC1DE2" w14:paraId="21D27175"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top w:val="single" w:sz="12" w:space="0" w:color="auto"/>
              <w:left w:val="none" w:sz="0" w:space="0" w:color="auto"/>
            </w:tcBorders>
            <w:shd w:val="clear" w:color="auto" w:fill="auto"/>
          </w:tcPr>
          <w:p w14:paraId="60ECB023" w14:textId="77777777" w:rsidR="009A20AA" w:rsidRPr="00AC1DE2" w:rsidRDefault="009A20AA" w:rsidP="00AC1DE2">
            <w:pPr>
              <w:suppressAutoHyphens w:val="0"/>
              <w:spacing w:before="40" w:after="40" w:line="220" w:lineRule="exact"/>
              <w:rPr>
                <w:rFonts w:eastAsia="Calibri"/>
                <w:color w:val="auto"/>
                <w:sz w:val="18"/>
                <w:szCs w:val="18"/>
                <w:lang w:val="fr-CH"/>
              </w:rPr>
            </w:pPr>
            <w:r w:rsidRPr="00AC1DE2">
              <w:rPr>
                <w:color w:val="auto"/>
                <w:sz w:val="18"/>
                <w:szCs w:val="18"/>
                <w:lang w:val="fr-CH"/>
              </w:rPr>
              <w:t>Maisons d</w:t>
            </w:r>
            <w:r w:rsidR="009258E3" w:rsidRPr="00AC1DE2">
              <w:rPr>
                <w:color w:val="auto"/>
                <w:sz w:val="18"/>
                <w:szCs w:val="18"/>
                <w:lang w:val="fr-CH"/>
              </w:rPr>
              <w:t>’</w:t>
            </w:r>
            <w:r w:rsidRPr="00AC1DE2">
              <w:rPr>
                <w:color w:val="auto"/>
                <w:sz w:val="18"/>
                <w:szCs w:val="18"/>
                <w:lang w:val="fr-CH"/>
              </w:rPr>
              <w:t>arrêt</w:t>
            </w:r>
          </w:p>
        </w:tc>
        <w:tc>
          <w:tcPr>
            <w:tcW w:w="495" w:type="dxa"/>
            <w:tcBorders>
              <w:top w:val="single" w:sz="12" w:space="0" w:color="auto"/>
            </w:tcBorders>
            <w:shd w:val="clear" w:color="auto" w:fill="auto"/>
            <w:vAlign w:val="bottom"/>
          </w:tcPr>
          <w:p w14:paraId="732E0734"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60" w:type="dxa"/>
            <w:tcBorders>
              <w:top w:val="single" w:sz="12" w:space="0" w:color="auto"/>
            </w:tcBorders>
            <w:shd w:val="clear" w:color="auto" w:fill="auto"/>
            <w:vAlign w:val="bottom"/>
          </w:tcPr>
          <w:p w14:paraId="47D74396"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w:t>
            </w:r>
          </w:p>
        </w:tc>
        <w:tc>
          <w:tcPr>
            <w:tcW w:w="812" w:type="dxa"/>
            <w:tcBorders>
              <w:top w:val="single" w:sz="12" w:space="0" w:color="auto"/>
            </w:tcBorders>
            <w:shd w:val="clear" w:color="auto" w:fill="auto"/>
            <w:vAlign w:val="bottom"/>
          </w:tcPr>
          <w:p w14:paraId="2848A856"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4</w:t>
            </w:r>
          </w:p>
        </w:tc>
        <w:tc>
          <w:tcPr>
            <w:tcW w:w="504" w:type="dxa"/>
            <w:tcBorders>
              <w:top w:val="single" w:sz="12" w:space="0" w:color="auto"/>
            </w:tcBorders>
            <w:shd w:val="clear" w:color="auto" w:fill="auto"/>
            <w:vAlign w:val="bottom"/>
          </w:tcPr>
          <w:p w14:paraId="066EB2BA"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18" w:type="dxa"/>
            <w:tcBorders>
              <w:top w:val="single" w:sz="12" w:space="0" w:color="auto"/>
            </w:tcBorders>
            <w:shd w:val="clear" w:color="auto" w:fill="auto"/>
            <w:vAlign w:val="bottom"/>
          </w:tcPr>
          <w:p w14:paraId="5FCB47FC"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10</w:t>
            </w:r>
          </w:p>
        </w:tc>
        <w:tc>
          <w:tcPr>
            <w:tcW w:w="825" w:type="dxa"/>
            <w:tcBorders>
              <w:top w:val="single" w:sz="12" w:space="0" w:color="auto"/>
            </w:tcBorders>
            <w:shd w:val="clear" w:color="auto" w:fill="auto"/>
            <w:vAlign w:val="bottom"/>
          </w:tcPr>
          <w:p w14:paraId="14957427"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w:t>
            </w:r>
          </w:p>
        </w:tc>
        <w:tc>
          <w:tcPr>
            <w:tcW w:w="924" w:type="dxa"/>
            <w:tcBorders>
              <w:top w:val="single" w:sz="12" w:space="0" w:color="auto"/>
            </w:tcBorders>
            <w:shd w:val="clear" w:color="auto" w:fill="auto"/>
            <w:vAlign w:val="bottom"/>
          </w:tcPr>
          <w:p w14:paraId="4495BB55"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60" w:type="dxa"/>
            <w:tcBorders>
              <w:top w:val="single" w:sz="12" w:space="0" w:color="auto"/>
            </w:tcBorders>
            <w:shd w:val="clear" w:color="auto" w:fill="auto"/>
            <w:vAlign w:val="bottom"/>
          </w:tcPr>
          <w:p w14:paraId="3F408A70"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2</w:t>
            </w:r>
          </w:p>
        </w:tc>
        <w:tc>
          <w:tcPr>
            <w:tcW w:w="558" w:type="dxa"/>
            <w:tcBorders>
              <w:top w:val="single" w:sz="12" w:space="0" w:color="auto"/>
            </w:tcBorders>
            <w:shd w:val="clear" w:color="auto" w:fill="auto"/>
            <w:vAlign w:val="bottom"/>
          </w:tcPr>
          <w:p w14:paraId="2A0BCD5F"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18</w:t>
            </w:r>
          </w:p>
        </w:tc>
      </w:tr>
      <w:tr w:rsidR="009A20AA" w:rsidRPr="00AC1DE2" w14:paraId="25D61BC5" w14:textId="77777777" w:rsidTr="00AC1DE2">
        <w:tc>
          <w:tcPr>
            <w:cnfStyle w:val="001000000000" w:firstRow="0" w:lastRow="0" w:firstColumn="1" w:lastColumn="0" w:oddVBand="0" w:evenVBand="0" w:oddHBand="0" w:evenHBand="0" w:firstRowFirstColumn="0" w:firstRowLastColumn="0" w:lastRowFirstColumn="0" w:lastRowLastColumn="0"/>
            <w:tcW w:w="1614" w:type="dxa"/>
            <w:tcBorders>
              <w:left w:val="none" w:sz="0" w:space="0" w:color="auto"/>
            </w:tcBorders>
            <w:shd w:val="clear" w:color="auto" w:fill="auto"/>
          </w:tcPr>
          <w:p w14:paraId="215754F8" w14:textId="77777777" w:rsidR="009A20AA" w:rsidRPr="00AC1DE2" w:rsidRDefault="009A20AA" w:rsidP="00AC1DE2">
            <w:pPr>
              <w:suppressAutoHyphens w:val="0"/>
              <w:spacing w:before="40" w:after="40" w:line="220" w:lineRule="exact"/>
              <w:rPr>
                <w:rFonts w:eastAsia="Calibri"/>
                <w:color w:val="auto"/>
                <w:sz w:val="18"/>
                <w:szCs w:val="18"/>
                <w:lang w:val="fr-CH"/>
              </w:rPr>
            </w:pPr>
            <w:r w:rsidRPr="00AC1DE2">
              <w:rPr>
                <w:color w:val="auto"/>
                <w:sz w:val="18"/>
                <w:szCs w:val="18"/>
                <w:lang w:val="fr-CH"/>
              </w:rPr>
              <w:t>Établissements pénitentiaires</w:t>
            </w:r>
          </w:p>
        </w:tc>
        <w:tc>
          <w:tcPr>
            <w:tcW w:w="495" w:type="dxa"/>
            <w:shd w:val="clear" w:color="auto" w:fill="auto"/>
            <w:vAlign w:val="bottom"/>
          </w:tcPr>
          <w:p w14:paraId="2E63822A"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560" w:type="dxa"/>
            <w:shd w:val="clear" w:color="auto" w:fill="auto"/>
            <w:vAlign w:val="bottom"/>
          </w:tcPr>
          <w:p w14:paraId="3A855774"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4</w:t>
            </w:r>
          </w:p>
        </w:tc>
        <w:tc>
          <w:tcPr>
            <w:tcW w:w="812" w:type="dxa"/>
            <w:shd w:val="clear" w:color="auto" w:fill="auto"/>
            <w:vAlign w:val="bottom"/>
          </w:tcPr>
          <w:p w14:paraId="2878E0F2"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3</w:t>
            </w:r>
          </w:p>
        </w:tc>
        <w:tc>
          <w:tcPr>
            <w:tcW w:w="504" w:type="dxa"/>
            <w:shd w:val="clear" w:color="auto" w:fill="auto"/>
            <w:vAlign w:val="bottom"/>
          </w:tcPr>
          <w:p w14:paraId="405A7BA8"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3</w:t>
            </w:r>
          </w:p>
        </w:tc>
        <w:tc>
          <w:tcPr>
            <w:tcW w:w="518" w:type="dxa"/>
            <w:shd w:val="clear" w:color="auto" w:fill="auto"/>
            <w:vAlign w:val="bottom"/>
          </w:tcPr>
          <w:p w14:paraId="6A46AA67"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3</w:t>
            </w:r>
          </w:p>
        </w:tc>
        <w:tc>
          <w:tcPr>
            <w:tcW w:w="825" w:type="dxa"/>
            <w:shd w:val="clear" w:color="auto" w:fill="auto"/>
            <w:vAlign w:val="bottom"/>
          </w:tcPr>
          <w:p w14:paraId="34043179"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3</w:t>
            </w:r>
          </w:p>
        </w:tc>
        <w:tc>
          <w:tcPr>
            <w:tcW w:w="924" w:type="dxa"/>
            <w:shd w:val="clear" w:color="auto" w:fill="auto"/>
            <w:vAlign w:val="bottom"/>
          </w:tcPr>
          <w:p w14:paraId="1FEAB2B2"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6</w:t>
            </w:r>
          </w:p>
        </w:tc>
        <w:tc>
          <w:tcPr>
            <w:tcW w:w="560" w:type="dxa"/>
            <w:shd w:val="clear" w:color="auto" w:fill="auto"/>
            <w:vAlign w:val="bottom"/>
          </w:tcPr>
          <w:p w14:paraId="09D611F0"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1</w:t>
            </w:r>
          </w:p>
        </w:tc>
        <w:tc>
          <w:tcPr>
            <w:tcW w:w="558" w:type="dxa"/>
            <w:shd w:val="clear" w:color="auto" w:fill="auto"/>
            <w:vAlign w:val="bottom"/>
          </w:tcPr>
          <w:p w14:paraId="747ACB4C"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23</w:t>
            </w:r>
          </w:p>
        </w:tc>
      </w:tr>
      <w:tr w:rsidR="009A20AA" w:rsidRPr="00AC1DE2" w14:paraId="0F308EE2"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left w:val="none" w:sz="0" w:space="0" w:color="auto"/>
            </w:tcBorders>
            <w:shd w:val="clear" w:color="auto" w:fill="auto"/>
          </w:tcPr>
          <w:p w14:paraId="21F42378" w14:textId="77777777" w:rsidR="009A20AA" w:rsidRPr="00AC1DE2" w:rsidRDefault="009A20AA" w:rsidP="00AC1DE2">
            <w:pPr>
              <w:suppressAutoHyphens w:val="0"/>
              <w:spacing w:before="40" w:after="40" w:line="220" w:lineRule="exact"/>
              <w:rPr>
                <w:rFonts w:eastAsia="Calibri"/>
                <w:color w:val="auto"/>
                <w:sz w:val="18"/>
                <w:szCs w:val="18"/>
                <w:lang w:val="fr-CH"/>
              </w:rPr>
            </w:pPr>
            <w:r w:rsidRPr="00AC1DE2">
              <w:rPr>
                <w:color w:val="auto"/>
                <w:sz w:val="18"/>
                <w:szCs w:val="18"/>
                <w:lang w:val="fr-CH"/>
              </w:rPr>
              <w:t>Casernes militaires</w:t>
            </w:r>
          </w:p>
        </w:tc>
        <w:tc>
          <w:tcPr>
            <w:tcW w:w="495" w:type="dxa"/>
            <w:shd w:val="clear" w:color="auto" w:fill="auto"/>
            <w:vAlign w:val="bottom"/>
          </w:tcPr>
          <w:p w14:paraId="2E017056"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60" w:type="dxa"/>
            <w:shd w:val="clear" w:color="auto" w:fill="auto"/>
            <w:vAlign w:val="bottom"/>
          </w:tcPr>
          <w:p w14:paraId="083F607F"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w:t>
            </w:r>
          </w:p>
        </w:tc>
        <w:tc>
          <w:tcPr>
            <w:tcW w:w="812" w:type="dxa"/>
            <w:shd w:val="clear" w:color="auto" w:fill="auto"/>
            <w:vAlign w:val="bottom"/>
          </w:tcPr>
          <w:p w14:paraId="0265A608"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04" w:type="dxa"/>
            <w:shd w:val="clear" w:color="auto" w:fill="auto"/>
            <w:vAlign w:val="bottom"/>
          </w:tcPr>
          <w:p w14:paraId="109F35BC"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18" w:type="dxa"/>
            <w:shd w:val="clear" w:color="auto" w:fill="auto"/>
            <w:vAlign w:val="bottom"/>
          </w:tcPr>
          <w:p w14:paraId="46DD22F3"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3</w:t>
            </w:r>
          </w:p>
        </w:tc>
        <w:tc>
          <w:tcPr>
            <w:tcW w:w="825" w:type="dxa"/>
            <w:shd w:val="clear" w:color="auto" w:fill="auto"/>
            <w:vAlign w:val="bottom"/>
          </w:tcPr>
          <w:p w14:paraId="2C9290DB"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924" w:type="dxa"/>
            <w:shd w:val="clear" w:color="auto" w:fill="auto"/>
            <w:vAlign w:val="bottom"/>
          </w:tcPr>
          <w:p w14:paraId="0DCBED77"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60" w:type="dxa"/>
            <w:shd w:val="clear" w:color="auto" w:fill="auto"/>
            <w:vAlign w:val="bottom"/>
          </w:tcPr>
          <w:p w14:paraId="6361A1C8"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58" w:type="dxa"/>
            <w:shd w:val="clear" w:color="auto" w:fill="auto"/>
            <w:vAlign w:val="bottom"/>
          </w:tcPr>
          <w:p w14:paraId="33884E4C"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4</w:t>
            </w:r>
          </w:p>
        </w:tc>
      </w:tr>
      <w:tr w:rsidR="009A20AA" w:rsidRPr="00AC1DE2" w14:paraId="42CB1E9A" w14:textId="77777777" w:rsidTr="00AC1DE2">
        <w:tc>
          <w:tcPr>
            <w:cnfStyle w:val="001000000000" w:firstRow="0" w:lastRow="0" w:firstColumn="1" w:lastColumn="0" w:oddVBand="0" w:evenVBand="0" w:oddHBand="0" w:evenHBand="0" w:firstRowFirstColumn="0" w:firstRowLastColumn="0" w:lastRowFirstColumn="0" w:lastRowLastColumn="0"/>
            <w:tcW w:w="1614" w:type="dxa"/>
            <w:tcBorders>
              <w:left w:val="none" w:sz="0" w:space="0" w:color="auto"/>
            </w:tcBorders>
            <w:shd w:val="clear" w:color="auto" w:fill="auto"/>
          </w:tcPr>
          <w:p w14:paraId="54E61C56" w14:textId="77777777" w:rsidR="009A20AA" w:rsidRPr="00AC1DE2" w:rsidRDefault="009A20AA" w:rsidP="00AC1DE2">
            <w:pPr>
              <w:suppressAutoHyphens w:val="0"/>
              <w:spacing w:before="40" w:after="40" w:line="220" w:lineRule="exact"/>
              <w:rPr>
                <w:rFonts w:eastAsia="Calibri"/>
                <w:color w:val="auto"/>
                <w:sz w:val="18"/>
                <w:szCs w:val="18"/>
                <w:lang w:val="fr-CH"/>
              </w:rPr>
            </w:pPr>
            <w:r w:rsidRPr="00AC1DE2">
              <w:rPr>
                <w:color w:val="auto"/>
                <w:sz w:val="18"/>
                <w:szCs w:val="18"/>
                <w:lang w:val="fr-CH"/>
              </w:rPr>
              <w:t>Centres d</w:t>
            </w:r>
            <w:r w:rsidR="009258E3" w:rsidRPr="00AC1DE2">
              <w:rPr>
                <w:color w:val="auto"/>
                <w:sz w:val="18"/>
                <w:szCs w:val="18"/>
                <w:lang w:val="fr-CH"/>
              </w:rPr>
              <w:t>’</w:t>
            </w:r>
            <w:r w:rsidRPr="00AC1DE2">
              <w:rPr>
                <w:color w:val="auto"/>
                <w:sz w:val="18"/>
                <w:szCs w:val="18"/>
                <w:lang w:val="fr-CH"/>
              </w:rPr>
              <w:t>accueil</w:t>
            </w:r>
          </w:p>
        </w:tc>
        <w:tc>
          <w:tcPr>
            <w:tcW w:w="495" w:type="dxa"/>
            <w:shd w:val="clear" w:color="auto" w:fill="auto"/>
            <w:vAlign w:val="bottom"/>
          </w:tcPr>
          <w:p w14:paraId="1AD9FDD7"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560" w:type="dxa"/>
            <w:shd w:val="clear" w:color="auto" w:fill="auto"/>
            <w:vAlign w:val="bottom"/>
          </w:tcPr>
          <w:p w14:paraId="37EBD87A"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812" w:type="dxa"/>
            <w:shd w:val="clear" w:color="auto" w:fill="auto"/>
            <w:vAlign w:val="bottom"/>
          </w:tcPr>
          <w:p w14:paraId="6DDCA313"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504" w:type="dxa"/>
            <w:shd w:val="clear" w:color="auto" w:fill="auto"/>
            <w:vAlign w:val="bottom"/>
          </w:tcPr>
          <w:p w14:paraId="4468F92D"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518" w:type="dxa"/>
            <w:shd w:val="clear" w:color="auto" w:fill="auto"/>
            <w:vAlign w:val="bottom"/>
          </w:tcPr>
          <w:p w14:paraId="0A2C1522"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2</w:t>
            </w:r>
          </w:p>
        </w:tc>
        <w:tc>
          <w:tcPr>
            <w:tcW w:w="825" w:type="dxa"/>
            <w:shd w:val="clear" w:color="auto" w:fill="auto"/>
            <w:vAlign w:val="bottom"/>
          </w:tcPr>
          <w:p w14:paraId="58336E66"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924" w:type="dxa"/>
            <w:shd w:val="clear" w:color="auto" w:fill="auto"/>
            <w:vAlign w:val="bottom"/>
          </w:tcPr>
          <w:p w14:paraId="481F2FF9"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560" w:type="dxa"/>
            <w:shd w:val="clear" w:color="auto" w:fill="auto"/>
            <w:vAlign w:val="bottom"/>
          </w:tcPr>
          <w:p w14:paraId="6F803307"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558" w:type="dxa"/>
            <w:shd w:val="clear" w:color="auto" w:fill="auto"/>
            <w:vAlign w:val="bottom"/>
          </w:tcPr>
          <w:p w14:paraId="24329000"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2</w:t>
            </w:r>
          </w:p>
        </w:tc>
      </w:tr>
      <w:tr w:rsidR="009A20AA" w:rsidRPr="00AC1DE2" w14:paraId="53B0EE16"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4" w:type="dxa"/>
            <w:tcBorders>
              <w:left w:val="none" w:sz="0" w:space="0" w:color="auto"/>
            </w:tcBorders>
            <w:shd w:val="clear" w:color="auto" w:fill="auto"/>
          </w:tcPr>
          <w:p w14:paraId="0561C22E" w14:textId="77777777" w:rsidR="009A20AA" w:rsidRPr="00AC1DE2" w:rsidRDefault="009A20AA" w:rsidP="00AC1DE2">
            <w:pPr>
              <w:suppressAutoHyphens w:val="0"/>
              <w:spacing w:before="40" w:after="40" w:line="220" w:lineRule="exact"/>
              <w:rPr>
                <w:rFonts w:eastAsia="Calibri"/>
                <w:color w:val="auto"/>
                <w:sz w:val="18"/>
                <w:szCs w:val="18"/>
                <w:lang w:val="fr-CH"/>
              </w:rPr>
            </w:pPr>
            <w:r w:rsidRPr="00AC1DE2">
              <w:rPr>
                <w:color w:val="auto"/>
                <w:sz w:val="18"/>
                <w:szCs w:val="18"/>
                <w:lang w:val="fr-CH"/>
              </w:rPr>
              <w:t>Centres d</w:t>
            </w:r>
            <w:r w:rsidR="009258E3" w:rsidRPr="00AC1DE2">
              <w:rPr>
                <w:color w:val="auto"/>
                <w:sz w:val="18"/>
                <w:szCs w:val="18"/>
                <w:lang w:val="fr-CH"/>
              </w:rPr>
              <w:t>’</w:t>
            </w:r>
            <w:r w:rsidRPr="00AC1DE2">
              <w:rPr>
                <w:color w:val="auto"/>
                <w:sz w:val="18"/>
                <w:szCs w:val="18"/>
                <w:lang w:val="fr-CH"/>
              </w:rPr>
              <w:t xml:space="preserve">accueil </w:t>
            </w:r>
            <w:r w:rsidR="00B609A7" w:rsidRPr="00AC1DE2">
              <w:rPr>
                <w:color w:val="auto"/>
                <w:sz w:val="18"/>
                <w:szCs w:val="18"/>
                <w:lang w:val="fr-CH"/>
              </w:rPr>
              <w:br/>
            </w:r>
            <w:r w:rsidRPr="00AC1DE2">
              <w:rPr>
                <w:color w:val="auto"/>
                <w:sz w:val="18"/>
                <w:szCs w:val="18"/>
                <w:lang w:val="fr-CH"/>
              </w:rPr>
              <w:t>pour enfants et adolescent(e)s</w:t>
            </w:r>
          </w:p>
        </w:tc>
        <w:tc>
          <w:tcPr>
            <w:tcW w:w="495" w:type="dxa"/>
            <w:shd w:val="clear" w:color="auto" w:fill="auto"/>
            <w:vAlign w:val="bottom"/>
          </w:tcPr>
          <w:p w14:paraId="12631616"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w:t>
            </w:r>
          </w:p>
        </w:tc>
        <w:tc>
          <w:tcPr>
            <w:tcW w:w="560" w:type="dxa"/>
            <w:shd w:val="clear" w:color="auto" w:fill="auto"/>
            <w:vAlign w:val="bottom"/>
          </w:tcPr>
          <w:p w14:paraId="7E530662"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812" w:type="dxa"/>
            <w:shd w:val="clear" w:color="auto" w:fill="auto"/>
            <w:vAlign w:val="bottom"/>
          </w:tcPr>
          <w:p w14:paraId="5228C6E0"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04" w:type="dxa"/>
            <w:shd w:val="clear" w:color="auto" w:fill="auto"/>
            <w:vAlign w:val="bottom"/>
          </w:tcPr>
          <w:p w14:paraId="01626129"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18" w:type="dxa"/>
            <w:shd w:val="clear" w:color="auto" w:fill="auto"/>
            <w:vAlign w:val="bottom"/>
          </w:tcPr>
          <w:p w14:paraId="363616F2"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825" w:type="dxa"/>
            <w:shd w:val="clear" w:color="auto" w:fill="auto"/>
            <w:vAlign w:val="bottom"/>
          </w:tcPr>
          <w:p w14:paraId="541B0C78"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924" w:type="dxa"/>
            <w:shd w:val="clear" w:color="auto" w:fill="auto"/>
            <w:vAlign w:val="bottom"/>
          </w:tcPr>
          <w:p w14:paraId="2CBA32A2"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w:t>
            </w:r>
          </w:p>
        </w:tc>
        <w:tc>
          <w:tcPr>
            <w:tcW w:w="560" w:type="dxa"/>
            <w:shd w:val="clear" w:color="auto" w:fill="auto"/>
            <w:vAlign w:val="bottom"/>
          </w:tcPr>
          <w:p w14:paraId="7E353EEC"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58" w:type="dxa"/>
            <w:shd w:val="clear" w:color="auto" w:fill="auto"/>
            <w:vAlign w:val="bottom"/>
          </w:tcPr>
          <w:p w14:paraId="5BBBEE47"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2</w:t>
            </w:r>
          </w:p>
        </w:tc>
      </w:tr>
      <w:tr w:rsidR="009A20AA" w:rsidRPr="00AC1DE2" w14:paraId="4580EE4A" w14:textId="77777777" w:rsidTr="00AC1DE2">
        <w:tc>
          <w:tcPr>
            <w:cnfStyle w:val="001000000000" w:firstRow="0" w:lastRow="0" w:firstColumn="1" w:lastColumn="0" w:oddVBand="0" w:evenVBand="0" w:oddHBand="0" w:evenHBand="0" w:firstRowFirstColumn="0" w:firstRowLastColumn="0" w:lastRowFirstColumn="0" w:lastRowLastColumn="0"/>
            <w:tcW w:w="1614" w:type="dxa"/>
            <w:tcBorders>
              <w:left w:val="none" w:sz="0" w:space="0" w:color="auto"/>
            </w:tcBorders>
            <w:shd w:val="clear" w:color="auto" w:fill="auto"/>
          </w:tcPr>
          <w:p w14:paraId="45AAA918" w14:textId="77777777" w:rsidR="009A20AA" w:rsidRPr="00AC1DE2" w:rsidRDefault="009A20AA" w:rsidP="00AC1DE2">
            <w:pPr>
              <w:suppressAutoHyphens w:val="0"/>
              <w:spacing w:before="40" w:after="40" w:line="220" w:lineRule="exact"/>
              <w:rPr>
                <w:rFonts w:eastAsia="Calibri"/>
                <w:color w:val="auto"/>
                <w:sz w:val="18"/>
                <w:szCs w:val="18"/>
                <w:lang w:val="fr-CH"/>
              </w:rPr>
            </w:pPr>
            <w:r w:rsidRPr="00AC1DE2">
              <w:rPr>
                <w:color w:val="auto"/>
                <w:sz w:val="18"/>
                <w:szCs w:val="18"/>
                <w:lang w:val="fr-CH"/>
              </w:rPr>
              <w:t>Établissements spécialisés pour les adolescents ayant commis une infraction</w:t>
            </w:r>
          </w:p>
        </w:tc>
        <w:tc>
          <w:tcPr>
            <w:tcW w:w="495" w:type="dxa"/>
            <w:shd w:val="clear" w:color="auto" w:fill="auto"/>
            <w:vAlign w:val="bottom"/>
          </w:tcPr>
          <w:p w14:paraId="3F25D529"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1</w:t>
            </w:r>
          </w:p>
        </w:tc>
        <w:tc>
          <w:tcPr>
            <w:tcW w:w="560" w:type="dxa"/>
            <w:shd w:val="clear" w:color="auto" w:fill="auto"/>
            <w:vAlign w:val="bottom"/>
          </w:tcPr>
          <w:p w14:paraId="296F5EC3"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812" w:type="dxa"/>
            <w:shd w:val="clear" w:color="auto" w:fill="auto"/>
            <w:vAlign w:val="bottom"/>
          </w:tcPr>
          <w:p w14:paraId="309322A7"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504" w:type="dxa"/>
            <w:shd w:val="clear" w:color="auto" w:fill="auto"/>
            <w:vAlign w:val="bottom"/>
          </w:tcPr>
          <w:p w14:paraId="17A522E8"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518" w:type="dxa"/>
            <w:shd w:val="clear" w:color="auto" w:fill="auto"/>
            <w:vAlign w:val="bottom"/>
          </w:tcPr>
          <w:p w14:paraId="3538E7A3"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825" w:type="dxa"/>
            <w:shd w:val="clear" w:color="auto" w:fill="auto"/>
            <w:vAlign w:val="bottom"/>
          </w:tcPr>
          <w:p w14:paraId="631B2B62"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924" w:type="dxa"/>
            <w:shd w:val="clear" w:color="auto" w:fill="auto"/>
            <w:vAlign w:val="bottom"/>
          </w:tcPr>
          <w:p w14:paraId="245C4045"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1</w:t>
            </w:r>
          </w:p>
        </w:tc>
        <w:tc>
          <w:tcPr>
            <w:tcW w:w="560" w:type="dxa"/>
            <w:shd w:val="clear" w:color="auto" w:fill="auto"/>
            <w:vAlign w:val="bottom"/>
          </w:tcPr>
          <w:p w14:paraId="021A5F9A"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w:t>
            </w:r>
          </w:p>
        </w:tc>
        <w:tc>
          <w:tcPr>
            <w:tcW w:w="558" w:type="dxa"/>
            <w:shd w:val="clear" w:color="auto" w:fill="auto"/>
            <w:vAlign w:val="bottom"/>
          </w:tcPr>
          <w:p w14:paraId="48D243D4"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lang w:val="fr-CH"/>
              </w:rPr>
            </w:pPr>
            <w:r w:rsidRPr="00AC1DE2">
              <w:rPr>
                <w:sz w:val="18"/>
                <w:lang w:val="fr-CH"/>
              </w:rPr>
              <w:t>2</w:t>
            </w:r>
          </w:p>
        </w:tc>
      </w:tr>
      <w:tr w:rsidR="009A20AA" w:rsidRPr="00AC1DE2" w14:paraId="39CC3AA5" w14:textId="77777777" w:rsidTr="001727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14" w:type="dxa"/>
            <w:tcBorders>
              <w:left w:val="none" w:sz="0" w:space="0" w:color="auto"/>
              <w:bottom w:val="single" w:sz="4" w:space="0" w:color="auto"/>
            </w:tcBorders>
            <w:shd w:val="clear" w:color="auto" w:fill="auto"/>
          </w:tcPr>
          <w:p w14:paraId="7E42684B" w14:textId="77777777" w:rsidR="009A20AA" w:rsidRPr="00AC1DE2" w:rsidRDefault="009A20AA" w:rsidP="00AC1DE2">
            <w:pPr>
              <w:keepNext/>
              <w:keepLines/>
              <w:suppressAutoHyphens w:val="0"/>
              <w:spacing w:before="40" w:after="40" w:line="220" w:lineRule="exact"/>
              <w:rPr>
                <w:rFonts w:eastAsia="Calibri"/>
                <w:color w:val="auto"/>
                <w:sz w:val="18"/>
                <w:szCs w:val="18"/>
                <w:lang w:val="fr-CH"/>
              </w:rPr>
            </w:pPr>
            <w:r w:rsidRPr="00AC1DE2">
              <w:rPr>
                <w:color w:val="auto"/>
                <w:sz w:val="18"/>
                <w:szCs w:val="18"/>
                <w:lang w:val="fr-CH"/>
              </w:rPr>
              <w:t>Centres de formation de l</w:t>
            </w:r>
            <w:r w:rsidR="009258E3" w:rsidRPr="00AC1DE2">
              <w:rPr>
                <w:color w:val="auto"/>
                <w:sz w:val="18"/>
                <w:szCs w:val="18"/>
                <w:lang w:val="fr-CH"/>
              </w:rPr>
              <w:t>’</w:t>
            </w:r>
            <w:r w:rsidRPr="00AC1DE2">
              <w:rPr>
                <w:color w:val="auto"/>
                <w:sz w:val="18"/>
                <w:szCs w:val="18"/>
                <w:lang w:val="fr-CH"/>
              </w:rPr>
              <w:t>armée</w:t>
            </w:r>
          </w:p>
        </w:tc>
        <w:tc>
          <w:tcPr>
            <w:tcW w:w="495" w:type="dxa"/>
            <w:tcBorders>
              <w:bottom w:val="single" w:sz="4" w:space="0" w:color="auto"/>
            </w:tcBorders>
            <w:shd w:val="clear" w:color="auto" w:fill="auto"/>
            <w:vAlign w:val="bottom"/>
          </w:tcPr>
          <w:p w14:paraId="54A7F629" w14:textId="77777777" w:rsidR="009A20AA" w:rsidRPr="00AC1DE2" w:rsidRDefault="009A20AA" w:rsidP="00AC1DE2">
            <w:pPr>
              <w:keepNext/>
              <w:keepLines/>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60" w:type="dxa"/>
            <w:tcBorders>
              <w:bottom w:val="single" w:sz="4" w:space="0" w:color="auto"/>
            </w:tcBorders>
            <w:shd w:val="clear" w:color="auto" w:fill="auto"/>
            <w:vAlign w:val="bottom"/>
          </w:tcPr>
          <w:p w14:paraId="4A9B78E8" w14:textId="77777777" w:rsidR="009A20AA" w:rsidRPr="00AC1DE2" w:rsidRDefault="009A20AA" w:rsidP="00AC1DE2">
            <w:pPr>
              <w:keepNext/>
              <w:keepLines/>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812" w:type="dxa"/>
            <w:tcBorders>
              <w:bottom w:val="single" w:sz="4" w:space="0" w:color="auto"/>
            </w:tcBorders>
            <w:shd w:val="clear" w:color="auto" w:fill="auto"/>
            <w:vAlign w:val="bottom"/>
          </w:tcPr>
          <w:p w14:paraId="497A3958" w14:textId="77777777" w:rsidR="009A20AA" w:rsidRPr="00AC1DE2" w:rsidRDefault="009A20AA" w:rsidP="00AC1DE2">
            <w:pPr>
              <w:keepNext/>
              <w:keepLines/>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04" w:type="dxa"/>
            <w:tcBorders>
              <w:bottom w:val="single" w:sz="4" w:space="0" w:color="auto"/>
            </w:tcBorders>
            <w:shd w:val="clear" w:color="auto" w:fill="auto"/>
            <w:vAlign w:val="bottom"/>
          </w:tcPr>
          <w:p w14:paraId="70F6AF5F" w14:textId="77777777" w:rsidR="009A20AA" w:rsidRPr="00AC1DE2" w:rsidRDefault="009A20AA" w:rsidP="00AC1DE2">
            <w:pPr>
              <w:keepNext/>
              <w:keepLines/>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18" w:type="dxa"/>
            <w:tcBorders>
              <w:bottom w:val="single" w:sz="4" w:space="0" w:color="auto"/>
            </w:tcBorders>
            <w:shd w:val="clear" w:color="auto" w:fill="auto"/>
            <w:vAlign w:val="bottom"/>
          </w:tcPr>
          <w:p w14:paraId="42B2B783" w14:textId="77777777" w:rsidR="009A20AA" w:rsidRPr="00AC1DE2" w:rsidRDefault="009A20AA" w:rsidP="00AC1DE2">
            <w:pPr>
              <w:keepNext/>
              <w:keepLines/>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825" w:type="dxa"/>
            <w:tcBorders>
              <w:bottom w:val="single" w:sz="4" w:space="0" w:color="auto"/>
            </w:tcBorders>
            <w:shd w:val="clear" w:color="auto" w:fill="auto"/>
            <w:vAlign w:val="bottom"/>
          </w:tcPr>
          <w:p w14:paraId="5D36FAEC" w14:textId="77777777" w:rsidR="009A20AA" w:rsidRPr="00AC1DE2" w:rsidRDefault="009A20AA" w:rsidP="00AC1DE2">
            <w:pPr>
              <w:keepNext/>
              <w:keepLines/>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924" w:type="dxa"/>
            <w:tcBorders>
              <w:bottom w:val="single" w:sz="4" w:space="0" w:color="auto"/>
            </w:tcBorders>
            <w:shd w:val="clear" w:color="auto" w:fill="auto"/>
            <w:vAlign w:val="bottom"/>
          </w:tcPr>
          <w:p w14:paraId="214523E0" w14:textId="77777777" w:rsidR="009A20AA" w:rsidRPr="00AC1DE2" w:rsidRDefault="009A20AA" w:rsidP="00AC1DE2">
            <w:pPr>
              <w:keepNext/>
              <w:keepLines/>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w:t>
            </w:r>
          </w:p>
        </w:tc>
        <w:tc>
          <w:tcPr>
            <w:tcW w:w="560" w:type="dxa"/>
            <w:tcBorders>
              <w:bottom w:val="single" w:sz="4" w:space="0" w:color="auto"/>
            </w:tcBorders>
            <w:shd w:val="clear" w:color="auto" w:fill="auto"/>
            <w:vAlign w:val="bottom"/>
          </w:tcPr>
          <w:p w14:paraId="747E10AE" w14:textId="77777777" w:rsidR="009A20AA" w:rsidRPr="00AC1DE2" w:rsidRDefault="009A20AA" w:rsidP="00AC1DE2">
            <w:pPr>
              <w:keepNext/>
              <w:keepLines/>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w:t>
            </w:r>
          </w:p>
        </w:tc>
        <w:tc>
          <w:tcPr>
            <w:tcW w:w="558" w:type="dxa"/>
            <w:tcBorders>
              <w:bottom w:val="single" w:sz="4" w:space="0" w:color="auto"/>
            </w:tcBorders>
            <w:shd w:val="clear" w:color="auto" w:fill="auto"/>
            <w:vAlign w:val="bottom"/>
          </w:tcPr>
          <w:p w14:paraId="2352C7EB" w14:textId="77777777" w:rsidR="009A20AA" w:rsidRPr="00AC1DE2" w:rsidRDefault="009A20AA" w:rsidP="00AC1DE2">
            <w:pPr>
              <w:keepNext/>
              <w:keepLines/>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w:t>
            </w:r>
          </w:p>
        </w:tc>
      </w:tr>
      <w:tr w:rsidR="009A20AA" w:rsidRPr="0017279A" w14:paraId="40530DBE" w14:textId="77777777" w:rsidTr="0017279A">
        <w:tc>
          <w:tcPr>
            <w:cnfStyle w:val="001000000000" w:firstRow="0" w:lastRow="0" w:firstColumn="1" w:lastColumn="0" w:oddVBand="0" w:evenVBand="0" w:oddHBand="0" w:evenHBand="0" w:firstRowFirstColumn="0" w:firstRowLastColumn="0" w:lastRowFirstColumn="0" w:lastRowLastColumn="0"/>
            <w:tcW w:w="1614" w:type="dxa"/>
            <w:tcBorders>
              <w:top w:val="single" w:sz="4" w:space="0" w:color="auto"/>
              <w:left w:val="none" w:sz="0" w:space="0" w:color="auto"/>
              <w:bottom w:val="single" w:sz="12" w:space="0" w:color="auto"/>
            </w:tcBorders>
            <w:shd w:val="clear" w:color="auto" w:fill="auto"/>
          </w:tcPr>
          <w:p w14:paraId="6AF28F3A" w14:textId="77777777" w:rsidR="009A20AA" w:rsidRPr="0017279A" w:rsidRDefault="00B609A7" w:rsidP="0017279A">
            <w:pPr>
              <w:suppressAutoHyphens w:val="0"/>
              <w:spacing w:before="80" w:after="80" w:line="220" w:lineRule="exact"/>
              <w:ind w:left="283"/>
              <w:rPr>
                <w:rFonts w:eastAsia="Calibri"/>
                <w:bCs w:val="0"/>
                <w:color w:val="auto"/>
                <w:sz w:val="18"/>
                <w:szCs w:val="18"/>
                <w:lang w:val="fr-CH"/>
              </w:rPr>
            </w:pPr>
            <w:r w:rsidRPr="0017279A">
              <w:rPr>
                <w:bCs w:val="0"/>
                <w:color w:val="auto"/>
                <w:sz w:val="18"/>
                <w:szCs w:val="18"/>
                <w:lang w:val="fr-CH"/>
              </w:rPr>
              <w:t>Total général</w:t>
            </w:r>
          </w:p>
        </w:tc>
        <w:tc>
          <w:tcPr>
            <w:tcW w:w="495" w:type="dxa"/>
            <w:tcBorders>
              <w:top w:val="single" w:sz="4" w:space="0" w:color="auto"/>
              <w:bottom w:val="single" w:sz="12" w:space="0" w:color="auto"/>
            </w:tcBorders>
            <w:shd w:val="clear" w:color="auto" w:fill="auto"/>
            <w:vAlign w:val="bottom"/>
          </w:tcPr>
          <w:p w14:paraId="766D8241" w14:textId="77777777" w:rsidR="009A20AA" w:rsidRPr="0017279A" w:rsidRDefault="009A20AA" w:rsidP="0017279A">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17279A">
              <w:rPr>
                <w:b/>
                <w:sz w:val="18"/>
                <w:lang w:val="fr-CH"/>
              </w:rPr>
              <w:t>2</w:t>
            </w:r>
          </w:p>
        </w:tc>
        <w:tc>
          <w:tcPr>
            <w:tcW w:w="560" w:type="dxa"/>
            <w:tcBorders>
              <w:top w:val="single" w:sz="4" w:space="0" w:color="auto"/>
              <w:bottom w:val="single" w:sz="12" w:space="0" w:color="auto"/>
            </w:tcBorders>
            <w:shd w:val="clear" w:color="auto" w:fill="auto"/>
            <w:vAlign w:val="bottom"/>
          </w:tcPr>
          <w:p w14:paraId="622ADDE3" w14:textId="77777777" w:rsidR="009A20AA" w:rsidRPr="0017279A" w:rsidRDefault="009A20AA" w:rsidP="0017279A">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17279A">
              <w:rPr>
                <w:b/>
                <w:sz w:val="18"/>
                <w:lang w:val="fr-CH"/>
              </w:rPr>
              <w:t>6</w:t>
            </w:r>
          </w:p>
        </w:tc>
        <w:tc>
          <w:tcPr>
            <w:tcW w:w="812" w:type="dxa"/>
            <w:tcBorders>
              <w:top w:val="single" w:sz="4" w:space="0" w:color="auto"/>
              <w:bottom w:val="single" w:sz="12" w:space="0" w:color="auto"/>
            </w:tcBorders>
            <w:shd w:val="clear" w:color="auto" w:fill="auto"/>
            <w:vAlign w:val="bottom"/>
          </w:tcPr>
          <w:p w14:paraId="218F4B6C" w14:textId="77777777" w:rsidR="009A20AA" w:rsidRPr="0017279A" w:rsidRDefault="009A20AA" w:rsidP="0017279A">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17279A">
              <w:rPr>
                <w:b/>
                <w:sz w:val="18"/>
                <w:lang w:val="fr-CH"/>
              </w:rPr>
              <w:t>7</w:t>
            </w:r>
          </w:p>
        </w:tc>
        <w:tc>
          <w:tcPr>
            <w:tcW w:w="504" w:type="dxa"/>
            <w:tcBorders>
              <w:top w:val="single" w:sz="4" w:space="0" w:color="auto"/>
              <w:bottom w:val="single" w:sz="12" w:space="0" w:color="auto"/>
            </w:tcBorders>
            <w:shd w:val="clear" w:color="auto" w:fill="auto"/>
            <w:vAlign w:val="bottom"/>
          </w:tcPr>
          <w:p w14:paraId="114D2EAD" w14:textId="77777777" w:rsidR="009A20AA" w:rsidRPr="0017279A" w:rsidRDefault="009A20AA" w:rsidP="0017279A">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17279A">
              <w:rPr>
                <w:b/>
                <w:sz w:val="18"/>
                <w:lang w:val="fr-CH"/>
              </w:rPr>
              <w:t>3</w:t>
            </w:r>
          </w:p>
        </w:tc>
        <w:tc>
          <w:tcPr>
            <w:tcW w:w="518" w:type="dxa"/>
            <w:tcBorders>
              <w:top w:val="single" w:sz="4" w:space="0" w:color="auto"/>
              <w:bottom w:val="single" w:sz="12" w:space="0" w:color="auto"/>
            </w:tcBorders>
            <w:shd w:val="clear" w:color="auto" w:fill="auto"/>
            <w:vAlign w:val="bottom"/>
          </w:tcPr>
          <w:p w14:paraId="59045E6A" w14:textId="77777777" w:rsidR="009A20AA" w:rsidRPr="0017279A" w:rsidRDefault="009A20AA" w:rsidP="0017279A">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17279A">
              <w:rPr>
                <w:b/>
                <w:sz w:val="18"/>
                <w:lang w:val="fr-CH"/>
              </w:rPr>
              <w:t>18</w:t>
            </w:r>
          </w:p>
        </w:tc>
        <w:tc>
          <w:tcPr>
            <w:tcW w:w="825" w:type="dxa"/>
            <w:tcBorders>
              <w:top w:val="single" w:sz="4" w:space="0" w:color="auto"/>
              <w:bottom w:val="single" w:sz="12" w:space="0" w:color="auto"/>
            </w:tcBorders>
            <w:shd w:val="clear" w:color="auto" w:fill="auto"/>
            <w:vAlign w:val="bottom"/>
          </w:tcPr>
          <w:p w14:paraId="17A6F1DC" w14:textId="77777777" w:rsidR="009A20AA" w:rsidRPr="0017279A" w:rsidRDefault="009A20AA" w:rsidP="0017279A">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17279A">
              <w:rPr>
                <w:b/>
                <w:sz w:val="18"/>
                <w:lang w:val="fr-CH"/>
              </w:rPr>
              <w:t>4</w:t>
            </w:r>
          </w:p>
        </w:tc>
        <w:tc>
          <w:tcPr>
            <w:tcW w:w="924" w:type="dxa"/>
            <w:tcBorders>
              <w:top w:val="single" w:sz="4" w:space="0" w:color="auto"/>
              <w:bottom w:val="single" w:sz="12" w:space="0" w:color="auto"/>
            </w:tcBorders>
            <w:shd w:val="clear" w:color="auto" w:fill="auto"/>
            <w:vAlign w:val="bottom"/>
          </w:tcPr>
          <w:p w14:paraId="7A99473B" w14:textId="77777777" w:rsidR="009A20AA" w:rsidRPr="0017279A" w:rsidRDefault="009A20AA" w:rsidP="0017279A">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17279A">
              <w:rPr>
                <w:b/>
                <w:sz w:val="18"/>
                <w:lang w:val="fr-CH"/>
              </w:rPr>
              <w:t>9</w:t>
            </w:r>
          </w:p>
        </w:tc>
        <w:tc>
          <w:tcPr>
            <w:tcW w:w="560" w:type="dxa"/>
            <w:tcBorders>
              <w:top w:val="single" w:sz="4" w:space="0" w:color="auto"/>
              <w:bottom w:val="single" w:sz="12" w:space="0" w:color="auto"/>
            </w:tcBorders>
            <w:shd w:val="clear" w:color="auto" w:fill="auto"/>
            <w:vAlign w:val="bottom"/>
          </w:tcPr>
          <w:p w14:paraId="654E991E" w14:textId="77777777" w:rsidR="009A20AA" w:rsidRPr="0017279A" w:rsidRDefault="009A20AA" w:rsidP="0017279A">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17279A">
              <w:rPr>
                <w:b/>
                <w:sz w:val="18"/>
                <w:lang w:val="fr-CH"/>
              </w:rPr>
              <w:t>3</w:t>
            </w:r>
          </w:p>
        </w:tc>
        <w:tc>
          <w:tcPr>
            <w:tcW w:w="558" w:type="dxa"/>
            <w:tcBorders>
              <w:top w:val="single" w:sz="4" w:space="0" w:color="auto"/>
              <w:bottom w:val="single" w:sz="12" w:space="0" w:color="auto"/>
            </w:tcBorders>
            <w:shd w:val="clear" w:color="auto" w:fill="auto"/>
            <w:vAlign w:val="bottom"/>
          </w:tcPr>
          <w:p w14:paraId="13550950" w14:textId="77777777" w:rsidR="009A20AA" w:rsidRPr="0017279A" w:rsidRDefault="009A20AA" w:rsidP="0017279A">
            <w:pPr>
              <w:suppressAutoHyphens w:val="0"/>
              <w:spacing w:before="80" w:after="80" w:line="220" w:lineRule="exact"/>
              <w:jc w:val="right"/>
              <w:cnfStyle w:val="000000000000" w:firstRow="0" w:lastRow="0" w:firstColumn="0" w:lastColumn="0" w:oddVBand="0" w:evenVBand="0" w:oddHBand="0" w:evenHBand="0" w:firstRowFirstColumn="0" w:firstRowLastColumn="0" w:lastRowFirstColumn="0" w:lastRowLastColumn="0"/>
              <w:rPr>
                <w:b/>
                <w:sz w:val="18"/>
                <w:lang w:val="fr-CH"/>
              </w:rPr>
            </w:pPr>
            <w:r w:rsidRPr="0017279A">
              <w:rPr>
                <w:b/>
                <w:sz w:val="18"/>
                <w:lang w:val="fr-CH"/>
              </w:rPr>
              <w:t>52</w:t>
            </w:r>
          </w:p>
        </w:tc>
      </w:tr>
    </w:tbl>
    <w:p w14:paraId="4D42F708" w14:textId="77777777" w:rsidR="00575165" w:rsidRPr="001561A6" w:rsidRDefault="00575165" w:rsidP="009C0C03">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Service de prévention de la torture.</w:t>
      </w:r>
    </w:p>
    <w:p w14:paraId="1D0BD2E9" w14:textId="77777777" w:rsidR="009C0C03" w:rsidRPr="001561A6" w:rsidRDefault="009C0C03" w:rsidP="009C0C03">
      <w:pPr>
        <w:pStyle w:val="SingleTxtG"/>
      </w:pPr>
      <w:r w:rsidRPr="001561A6">
        <w:t>99.</w:t>
      </w:r>
      <w:r w:rsidRPr="001561A6">
        <w:tab/>
        <w:t>De même, le Service de prévention de la torture a effectué en 2019 66 visites inopinées au niveau national, dont on trouvera le détail ci-dessous.</w:t>
      </w:r>
    </w:p>
    <w:tbl>
      <w:tblPr>
        <w:tblStyle w:val="GridTable5Dark-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46"/>
        <w:gridCol w:w="614"/>
        <w:gridCol w:w="614"/>
        <w:gridCol w:w="614"/>
        <w:gridCol w:w="615"/>
        <w:gridCol w:w="615"/>
        <w:gridCol w:w="615"/>
        <w:gridCol w:w="615"/>
        <w:gridCol w:w="615"/>
        <w:gridCol w:w="707"/>
      </w:tblGrid>
      <w:tr w:rsidR="009A20AA" w:rsidRPr="00AC1DE2" w14:paraId="5F49833A"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uto"/>
              <w:left w:val="none" w:sz="0" w:space="0" w:color="auto"/>
              <w:bottom w:val="single" w:sz="12" w:space="0" w:color="auto"/>
              <w:right w:val="none" w:sz="0" w:space="0" w:color="auto"/>
            </w:tcBorders>
            <w:shd w:val="clear" w:color="auto" w:fill="auto"/>
            <w:vAlign w:val="bottom"/>
          </w:tcPr>
          <w:p w14:paraId="69A708C9" w14:textId="77777777" w:rsidR="009C0C03" w:rsidRPr="00AC1DE2" w:rsidRDefault="00AA7EB9" w:rsidP="00AC1DE2">
            <w:pPr>
              <w:suppressAutoHyphens w:val="0"/>
              <w:spacing w:before="80" w:after="80" w:line="200" w:lineRule="exact"/>
              <w:rPr>
                <w:b w:val="0"/>
                <w:i/>
                <w:color w:val="auto"/>
                <w:sz w:val="16"/>
                <w:lang w:val="fr-CH"/>
              </w:rPr>
            </w:pPr>
            <w:r w:rsidRPr="00AC1DE2">
              <w:rPr>
                <w:b w:val="0"/>
                <w:i/>
                <w:color w:val="auto"/>
                <w:sz w:val="16"/>
                <w:lang w:val="fr-CH"/>
              </w:rPr>
              <w:t>Nombre</w:t>
            </w:r>
            <w:r w:rsidR="00630791" w:rsidRPr="00AC1DE2">
              <w:rPr>
                <w:b w:val="0"/>
                <w:i/>
                <w:color w:val="auto"/>
                <w:sz w:val="16"/>
                <w:lang w:val="fr-CH"/>
              </w:rPr>
              <w:t xml:space="preserve"> </w:t>
            </w:r>
            <w:r w:rsidRPr="00AC1DE2">
              <w:rPr>
                <w:b w:val="0"/>
                <w:i/>
                <w:color w:val="auto"/>
                <w:sz w:val="16"/>
                <w:lang w:val="fr-CH"/>
              </w:rPr>
              <w:t>d</w:t>
            </w:r>
            <w:r w:rsidR="009258E3" w:rsidRPr="00AC1DE2">
              <w:rPr>
                <w:b w:val="0"/>
                <w:i/>
                <w:color w:val="auto"/>
                <w:sz w:val="16"/>
                <w:lang w:val="fr-CH"/>
              </w:rPr>
              <w:t>’</w:t>
            </w:r>
            <w:r w:rsidRPr="00AC1DE2">
              <w:rPr>
                <w:b w:val="0"/>
                <w:i/>
                <w:color w:val="auto"/>
                <w:sz w:val="16"/>
                <w:lang w:val="fr-CH"/>
              </w:rPr>
              <w:t>établissements</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4809068C"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LP</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1D4D088C"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CB</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2F4D949D"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BE</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4E4B15E3"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CH</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319390EA"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PT</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052B269F"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SC</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63754B6C"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TJ</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25DB47C7"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OR</w:t>
            </w:r>
          </w:p>
        </w:tc>
        <w:tc>
          <w:tcPr>
            <w:tcW w:w="652" w:type="dxa"/>
            <w:tcBorders>
              <w:top w:val="single" w:sz="4" w:space="0" w:color="auto"/>
              <w:left w:val="none" w:sz="0" w:space="0" w:color="auto"/>
              <w:bottom w:val="single" w:sz="12" w:space="0" w:color="auto"/>
              <w:right w:val="none" w:sz="0" w:space="0" w:color="auto"/>
            </w:tcBorders>
            <w:shd w:val="clear" w:color="auto" w:fill="auto"/>
            <w:vAlign w:val="bottom"/>
          </w:tcPr>
          <w:p w14:paraId="685D5317"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T</w:t>
            </w:r>
            <w:r w:rsidR="009A20AA" w:rsidRPr="00AC1DE2">
              <w:rPr>
                <w:rFonts w:eastAsia="Calibri"/>
                <w:b w:val="0"/>
                <w:i/>
                <w:color w:val="auto"/>
                <w:sz w:val="16"/>
                <w:lang w:val="fr-CH"/>
              </w:rPr>
              <w:t>otal</w:t>
            </w:r>
          </w:p>
        </w:tc>
      </w:tr>
      <w:tr w:rsidR="009A20AA" w:rsidRPr="00AC1DE2" w14:paraId="5D8CE351"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Borders>
              <w:top w:val="single" w:sz="12" w:space="0" w:color="auto"/>
              <w:left w:val="none" w:sz="0" w:space="0" w:color="auto"/>
            </w:tcBorders>
            <w:shd w:val="clear" w:color="auto" w:fill="auto"/>
          </w:tcPr>
          <w:p w14:paraId="223C3B2A" w14:textId="77777777" w:rsidR="00AA7EB9" w:rsidRPr="00AC1DE2" w:rsidRDefault="00AA7EB9" w:rsidP="00AC1DE2">
            <w:pPr>
              <w:suppressAutoHyphens w:val="0"/>
              <w:spacing w:before="40" w:after="40" w:line="220" w:lineRule="exact"/>
              <w:rPr>
                <w:color w:val="auto"/>
                <w:sz w:val="18"/>
                <w:szCs w:val="18"/>
                <w:lang w:val="fr-CH"/>
              </w:rPr>
            </w:pPr>
            <w:r w:rsidRPr="00AC1DE2">
              <w:rPr>
                <w:color w:val="auto"/>
                <w:sz w:val="18"/>
                <w:szCs w:val="18"/>
                <w:lang w:val="fr-CH"/>
              </w:rPr>
              <w:t xml:space="preserve">Cellules de police/ </w:t>
            </w:r>
            <w:r w:rsidRPr="00AC1DE2">
              <w:rPr>
                <w:color w:val="auto"/>
                <w:sz w:val="18"/>
                <w:szCs w:val="18"/>
                <w:lang w:val="fr-CH"/>
              </w:rPr>
              <w:br/>
              <w:t>de garde à vue</w:t>
            </w:r>
          </w:p>
        </w:tc>
        <w:tc>
          <w:tcPr>
            <w:tcW w:w="567" w:type="dxa"/>
            <w:tcBorders>
              <w:top w:val="single" w:sz="12" w:space="0" w:color="auto"/>
            </w:tcBorders>
            <w:shd w:val="clear" w:color="auto" w:fill="auto"/>
            <w:vAlign w:val="bottom"/>
          </w:tcPr>
          <w:p w14:paraId="7BB66DBB"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8</w:t>
            </w:r>
          </w:p>
        </w:tc>
        <w:tc>
          <w:tcPr>
            <w:tcW w:w="567" w:type="dxa"/>
            <w:tcBorders>
              <w:top w:val="single" w:sz="12" w:space="0" w:color="auto"/>
            </w:tcBorders>
            <w:shd w:val="clear" w:color="auto" w:fill="auto"/>
            <w:vAlign w:val="bottom"/>
          </w:tcPr>
          <w:p w14:paraId="209C96F9"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top w:val="single" w:sz="12" w:space="0" w:color="auto"/>
            </w:tcBorders>
            <w:shd w:val="clear" w:color="auto" w:fill="auto"/>
            <w:vAlign w:val="bottom"/>
          </w:tcPr>
          <w:p w14:paraId="325881A2"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3</w:t>
            </w:r>
          </w:p>
        </w:tc>
        <w:tc>
          <w:tcPr>
            <w:tcW w:w="567" w:type="dxa"/>
            <w:tcBorders>
              <w:top w:val="single" w:sz="12" w:space="0" w:color="auto"/>
            </w:tcBorders>
            <w:shd w:val="clear" w:color="auto" w:fill="auto"/>
            <w:vAlign w:val="bottom"/>
          </w:tcPr>
          <w:p w14:paraId="08720004"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1</w:t>
            </w:r>
          </w:p>
        </w:tc>
        <w:tc>
          <w:tcPr>
            <w:tcW w:w="567" w:type="dxa"/>
            <w:tcBorders>
              <w:top w:val="single" w:sz="12" w:space="0" w:color="auto"/>
            </w:tcBorders>
            <w:shd w:val="clear" w:color="auto" w:fill="auto"/>
            <w:vAlign w:val="bottom"/>
          </w:tcPr>
          <w:p w14:paraId="18775CF7"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top w:val="single" w:sz="12" w:space="0" w:color="auto"/>
            </w:tcBorders>
            <w:shd w:val="clear" w:color="auto" w:fill="auto"/>
            <w:vAlign w:val="bottom"/>
          </w:tcPr>
          <w:p w14:paraId="36363C75"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3</w:t>
            </w:r>
          </w:p>
        </w:tc>
        <w:tc>
          <w:tcPr>
            <w:tcW w:w="567" w:type="dxa"/>
            <w:tcBorders>
              <w:top w:val="single" w:sz="12" w:space="0" w:color="auto"/>
            </w:tcBorders>
            <w:shd w:val="clear" w:color="auto" w:fill="auto"/>
            <w:vAlign w:val="bottom"/>
          </w:tcPr>
          <w:p w14:paraId="59BA2E57"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3</w:t>
            </w:r>
          </w:p>
        </w:tc>
        <w:tc>
          <w:tcPr>
            <w:tcW w:w="567" w:type="dxa"/>
            <w:tcBorders>
              <w:top w:val="single" w:sz="12" w:space="0" w:color="auto"/>
            </w:tcBorders>
            <w:shd w:val="clear" w:color="auto" w:fill="auto"/>
            <w:vAlign w:val="bottom"/>
          </w:tcPr>
          <w:p w14:paraId="5690B7A4"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p>
        </w:tc>
        <w:tc>
          <w:tcPr>
            <w:tcW w:w="652" w:type="dxa"/>
            <w:tcBorders>
              <w:top w:val="single" w:sz="12" w:space="0" w:color="auto"/>
            </w:tcBorders>
            <w:shd w:val="clear" w:color="auto" w:fill="auto"/>
            <w:vAlign w:val="bottom"/>
          </w:tcPr>
          <w:p w14:paraId="08E1E7F9"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18</w:t>
            </w:r>
          </w:p>
        </w:tc>
      </w:tr>
      <w:tr w:rsidR="009A20AA" w:rsidRPr="00AC1DE2" w14:paraId="3D4665C6" w14:textId="77777777" w:rsidTr="00AC1DE2">
        <w:tc>
          <w:tcPr>
            <w:cnfStyle w:val="001000000000" w:firstRow="0" w:lastRow="0" w:firstColumn="1" w:lastColumn="0" w:oddVBand="0" w:evenVBand="0" w:oddHBand="0" w:evenHBand="0" w:firstRowFirstColumn="0" w:firstRowLastColumn="0" w:lastRowFirstColumn="0" w:lastRowLastColumn="0"/>
            <w:tcW w:w="1612" w:type="dxa"/>
            <w:tcBorders>
              <w:left w:val="none" w:sz="0" w:space="0" w:color="auto"/>
            </w:tcBorders>
            <w:shd w:val="clear" w:color="auto" w:fill="auto"/>
          </w:tcPr>
          <w:p w14:paraId="00F98C8C" w14:textId="77777777" w:rsidR="00AA7EB9" w:rsidRPr="00AC1DE2" w:rsidRDefault="00AA7EB9" w:rsidP="00AC1DE2">
            <w:pPr>
              <w:suppressAutoHyphens w:val="0"/>
              <w:spacing w:before="40" w:after="40" w:line="220" w:lineRule="exact"/>
              <w:rPr>
                <w:color w:val="auto"/>
                <w:sz w:val="18"/>
                <w:szCs w:val="18"/>
                <w:lang w:val="fr-CH"/>
              </w:rPr>
            </w:pPr>
            <w:r w:rsidRPr="00AC1DE2">
              <w:rPr>
                <w:color w:val="auto"/>
                <w:sz w:val="18"/>
                <w:szCs w:val="18"/>
                <w:lang w:val="fr-CH"/>
              </w:rPr>
              <w:t>Prisons</w:t>
            </w:r>
          </w:p>
        </w:tc>
        <w:tc>
          <w:tcPr>
            <w:tcW w:w="567" w:type="dxa"/>
            <w:shd w:val="clear" w:color="auto" w:fill="auto"/>
            <w:vAlign w:val="bottom"/>
          </w:tcPr>
          <w:p w14:paraId="00917C7A"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32</w:t>
            </w:r>
          </w:p>
        </w:tc>
        <w:tc>
          <w:tcPr>
            <w:tcW w:w="567" w:type="dxa"/>
            <w:shd w:val="clear" w:color="auto" w:fill="auto"/>
            <w:vAlign w:val="bottom"/>
          </w:tcPr>
          <w:p w14:paraId="68610ED7"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c>
          <w:tcPr>
            <w:tcW w:w="567" w:type="dxa"/>
            <w:shd w:val="clear" w:color="auto" w:fill="auto"/>
            <w:vAlign w:val="bottom"/>
          </w:tcPr>
          <w:p w14:paraId="6E832E1F"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398D4EF4"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2</w:t>
            </w:r>
          </w:p>
        </w:tc>
        <w:tc>
          <w:tcPr>
            <w:tcW w:w="567" w:type="dxa"/>
            <w:shd w:val="clear" w:color="auto" w:fill="auto"/>
            <w:vAlign w:val="bottom"/>
          </w:tcPr>
          <w:p w14:paraId="7D1AAB7F"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2</w:t>
            </w:r>
          </w:p>
        </w:tc>
        <w:tc>
          <w:tcPr>
            <w:tcW w:w="567" w:type="dxa"/>
            <w:shd w:val="clear" w:color="auto" w:fill="auto"/>
            <w:vAlign w:val="bottom"/>
          </w:tcPr>
          <w:p w14:paraId="03322492"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2</w:t>
            </w:r>
          </w:p>
        </w:tc>
        <w:tc>
          <w:tcPr>
            <w:tcW w:w="567" w:type="dxa"/>
            <w:shd w:val="clear" w:color="auto" w:fill="auto"/>
            <w:vAlign w:val="bottom"/>
          </w:tcPr>
          <w:p w14:paraId="35B1AB37"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c>
          <w:tcPr>
            <w:tcW w:w="567" w:type="dxa"/>
            <w:shd w:val="clear" w:color="auto" w:fill="auto"/>
            <w:vAlign w:val="bottom"/>
          </w:tcPr>
          <w:p w14:paraId="7C021CF8"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2</w:t>
            </w:r>
          </w:p>
        </w:tc>
        <w:tc>
          <w:tcPr>
            <w:tcW w:w="652" w:type="dxa"/>
            <w:shd w:val="clear" w:color="auto" w:fill="auto"/>
            <w:vAlign w:val="bottom"/>
          </w:tcPr>
          <w:p w14:paraId="781E4B94"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42</w:t>
            </w:r>
          </w:p>
        </w:tc>
      </w:tr>
      <w:tr w:rsidR="009A20AA" w:rsidRPr="00AC1DE2" w14:paraId="167F359E"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Borders>
              <w:left w:val="none" w:sz="0" w:space="0" w:color="auto"/>
            </w:tcBorders>
            <w:shd w:val="clear" w:color="auto" w:fill="auto"/>
          </w:tcPr>
          <w:p w14:paraId="50BB4441" w14:textId="77777777" w:rsidR="00AA7EB9" w:rsidRPr="00AC1DE2" w:rsidRDefault="00AA7EB9" w:rsidP="00AC1DE2">
            <w:pPr>
              <w:suppressAutoHyphens w:val="0"/>
              <w:spacing w:before="40" w:after="40" w:line="220" w:lineRule="exact"/>
              <w:rPr>
                <w:color w:val="auto"/>
                <w:sz w:val="18"/>
                <w:szCs w:val="18"/>
                <w:lang w:val="fr-CH"/>
              </w:rPr>
            </w:pPr>
            <w:r w:rsidRPr="00AC1DE2">
              <w:rPr>
                <w:color w:val="auto"/>
                <w:sz w:val="18"/>
                <w:szCs w:val="18"/>
                <w:lang w:val="fr-CH"/>
              </w:rPr>
              <w:t xml:space="preserve">Centres du système </w:t>
            </w:r>
            <w:r w:rsidR="00630791" w:rsidRPr="00AC1DE2">
              <w:rPr>
                <w:color w:val="auto"/>
                <w:sz w:val="18"/>
                <w:szCs w:val="18"/>
                <w:lang w:val="fr-CH"/>
              </w:rPr>
              <w:br/>
            </w:r>
            <w:r w:rsidRPr="00AC1DE2">
              <w:rPr>
                <w:color w:val="auto"/>
                <w:sz w:val="18"/>
                <w:szCs w:val="18"/>
                <w:lang w:val="fr-CH"/>
              </w:rPr>
              <w:t>de justice pénale pour adolescents</w:t>
            </w:r>
          </w:p>
        </w:tc>
        <w:tc>
          <w:tcPr>
            <w:tcW w:w="567" w:type="dxa"/>
            <w:shd w:val="clear" w:color="auto" w:fill="auto"/>
            <w:vAlign w:val="bottom"/>
          </w:tcPr>
          <w:p w14:paraId="3B365DF6"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2</w:t>
            </w:r>
          </w:p>
        </w:tc>
        <w:tc>
          <w:tcPr>
            <w:tcW w:w="567" w:type="dxa"/>
            <w:shd w:val="clear" w:color="auto" w:fill="auto"/>
            <w:vAlign w:val="bottom"/>
          </w:tcPr>
          <w:p w14:paraId="2FBF72DF"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5EA699F2"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386CB6F3"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3DB3608B"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258B8D4A"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75B80CB9"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30CD01EE"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p>
        </w:tc>
        <w:tc>
          <w:tcPr>
            <w:tcW w:w="652" w:type="dxa"/>
            <w:shd w:val="clear" w:color="auto" w:fill="auto"/>
            <w:vAlign w:val="bottom"/>
          </w:tcPr>
          <w:p w14:paraId="43CFD084"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2</w:t>
            </w:r>
          </w:p>
        </w:tc>
      </w:tr>
      <w:tr w:rsidR="009A20AA" w:rsidRPr="00AC1DE2" w14:paraId="09CC06CC" w14:textId="77777777" w:rsidTr="00AC1DE2">
        <w:tc>
          <w:tcPr>
            <w:cnfStyle w:val="001000000000" w:firstRow="0" w:lastRow="0" w:firstColumn="1" w:lastColumn="0" w:oddVBand="0" w:evenVBand="0" w:oddHBand="0" w:evenHBand="0" w:firstRowFirstColumn="0" w:firstRowLastColumn="0" w:lastRowFirstColumn="0" w:lastRowLastColumn="0"/>
            <w:tcW w:w="1612" w:type="dxa"/>
            <w:tcBorders>
              <w:left w:val="none" w:sz="0" w:space="0" w:color="auto"/>
            </w:tcBorders>
            <w:shd w:val="clear" w:color="auto" w:fill="auto"/>
          </w:tcPr>
          <w:p w14:paraId="2938A3D3" w14:textId="77777777" w:rsidR="00AA7EB9" w:rsidRPr="00AC1DE2" w:rsidRDefault="00AA7EB9" w:rsidP="00AC1DE2">
            <w:pPr>
              <w:suppressAutoHyphens w:val="0"/>
              <w:spacing w:before="40" w:after="40" w:line="220" w:lineRule="exact"/>
              <w:rPr>
                <w:color w:val="auto"/>
                <w:sz w:val="18"/>
                <w:szCs w:val="18"/>
                <w:lang w:val="fr-CH"/>
              </w:rPr>
            </w:pPr>
            <w:r w:rsidRPr="00AC1DE2">
              <w:rPr>
                <w:color w:val="auto"/>
                <w:sz w:val="18"/>
                <w:szCs w:val="18"/>
                <w:lang w:val="fr-CH"/>
              </w:rPr>
              <w:t>Centres de formation de la police</w:t>
            </w:r>
          </w:p>
        </w:tc>
        <w:tc>
          <w:tcPr>
            <w:tcW w:w="567" w:type="dxa"/>
            <w:shd w:val="clear" w:color="auto" w:fill="auto"/>
            <w:vAlign w:val="bottom"/>
          </w:tcPr>
          <w:p w14:paraId="7CF19CAE"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2</w:t>
            </w:r>
          </w:p>
        </w:tc>
        <w:tc>
          <w:tcPr>
            <w:tcW w:w="567" w:type="dxa"/>
            <w:shd w:val="clear" w:color="auto" w:fill="auto"/>
            <w:vAlign w:val="bottom"/>
          </w:tcPr>
          <w:p w14:paraId="5C14C6E8"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241F8A53"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690A5609"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4C9386D6"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52A8AB57"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2BC1FC27"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4BF32BF3"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p>
        </w:tc>
        <w:tc>
          <w:tcPr>
            <w:tcW w:w="652" w:type="dxa"/>
            <w:shd w:val="clear" w:color="auto" w:fill="auto"/>
            <w:vAlign w:val="bottom"/>
          </w:tcPr>
          <w:p w14:paraId="4AE9E391"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2</w:t>
            </w:r>
          </w:p>
        </w:tc>
      </w:tr>
      <w:tr w:rsidR="009A20AA" w:rsidRPr="00AC1DE2" w14:paraId="3E161209"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Borders>
              <w:left w:val="none" w:sz="0" w:space="0" w:color="auto"/>
            </w:tcBorders>
            <w:shd w:val="clear" w:color="auto" w:fill="auto"/>
          </w:tcPr>
          <w:p w14:paraId="732D80C5" w14:textId="77777777" w:rsidR="00AA7EB9" w:rsidRPr="00AC1DE2" w:rsidRDefault="00AA7EB9" w:rsidP="00AC1DE2">
            <w:pPr>
              <w:suppressAutoHyphens w:val="0"/>
              <w:spacing w:before="40" w:after="40" w:line="220" w:lineRule="exact"/>
              <w:rPr>
                <w:color w:val="auto"/>
                <w:sz w:val="18"/>
                <w:szCs w:val="18"/>
                <w:lang w:val="fr-CH"/>
              </w:rPr>
            </w:pPr>
            <w:r w:rsidRPr="00AC1DE2">
              <w:rPr>
                <w:color w:val="auto"/>
                <w:sz w:val="18"/>
                <w:szCs w:val="18"/>
                <w:lang w:val="fr-CH"/>
              </w:rPr>
              <w:t>Caserne militaire</w:t>
            </w:r>
          </w:p>
        </w:tc>
        <w:tc>
          <w:tcPr>
            <w:tcW w:w="567" w:type="dxa"/>
            <w:shd w:val="clear" w:color="auto" w:fill="auto"/>
            <w:vAlign w:val="bottom"/>
          </w:tcPr>
          <w:p w14:paraId="33B1FC67"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4E2CD88E"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297C90F6"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2AD1EAE3"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522CBECF"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19A0FBD2"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1</w:t>
            </w:r>
          </w:p>
        </w:tc>
        <w:tc>
          <w:tcPr>
            <w:tcW w:w="567" w:type="dxa"/>
            <w:shd w:val="clear" w:color="auto" w:fill="auto"/>
            <w:vAlign w:val="bottom"/>
          </w:tcPr>
          <w:p w14:paraId="4FE95AFD"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4654827D"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p>
        </w:tc>
        <w:tc>
          <w:tcPr>
            <w:tcW w:w="652" w:type="dxa"/>
            <w:shd w:val="clear" w:color="auto" w:fill="auto"/>
            <w:vAlign w:val="bottom"/>
          </w:tcPr>
          <w:p w14:paraId="331EC270" w14:textId="77777777" w:rsidR="00AA7EB9" w:rsidRPr="00AC1DE2" w:rsidRDefault="00AA7EB9"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1</w:t>
            </w:r>
          </w:p>
        </w:tc>
      </w:tr>
      <w:tr w:rsidR="009A20AA" w:rsidRPr="00AC1DE2" w14:paraId="2A11F53F" w14:textId="77777777" w:rsidTr="0017279A">
        <w:tc>
          <w:tcPr>
            <w:cnfStyle w:val="001000000000" w:firstRow="0" w:lastRow="0" w:firstColumn="1" w:lastColumn="0" w:oddVBand="0" w:evenVBand="0" w:oddHBand="0" w:evenHBand="0" w:firstRowFirstColumn="0" w:firstRowLastColumn="0" w:lastRowFirstColumn="0" w:lastRowLastColumn="0"/>
            <w:tcW w:w="1612" w:type="dxa"/>
            <w:tcBorders>
              <w:left w:val="none" w:sz="0" w:space="0" w:color="auto"/>
              <w:bottom w:val="single" w:sz="4" w:space="0" w:color="auto"/>
            </w:tcBorders>
            <w:shd w:val="clear" w:color="auto" w:fill="auto"/>
          </w:tcPr>
          <w:p w14:paraId="6FBECAD1" w14:textId="77777777" w:rsidR="00AA7EB9" w:rsidRPr="00AC1DE2" w:rsidRDefault="00AA7EB9" w:rsidP="00AC1DE2">
            <w:pPr>
              <w:suppressAutoHyphens w:val="0"/>
              <w:spacing w:before="40" w:after="40" w:line="220" w:lineRule="exact"/>
              <w:rPr>
                <w:color w:val="auto"/>
                <w:sz w:val="18"/>
                <w:szCs w:val="18"/>
                <w:lang w:val="fr-CH"/>
              </w:rPr>
            </w:pPr>
            <w:r w:rsidRPr="00AC1DE2">
              <w:rPr>
                <w:color w:val="auto"/>
                <w:sz w:val="18"/>
                <w:szCs w:val="18"/>
                <w:lang w:val="fr-CH"/>
              </w:rPr>
              <w:t>Hôpitaux psychiatriques</w:t>
            </w:r>
          </w:p>
        </w:tc>
        <w:tc>
          <w:tcPr>
            <w:tcW w:w="567" w:type="dxa"/>
            <w:tcBorders>
              <w:bottom w:val="single" w:sz="4" w:space="0" w:color="auto"/>
            </w:tcBorders>
            <w:shd w:val="clear" w:color="auto" w:fill="auto"/>
            <w:vAlign w:val="bottom"/>
          </w:tcPr>
          <w:p w14:paraId="0577B52E"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c>
          <w:tcPr>
            <w:tcW w:w="567" w:type="dxa"/>
            <w:tcBorders>
              <w:bottom w:val="single" w:sz="4" w:space="0" w:color="auto"/>
            </w:tcBorders>
            <w:shd w:val="clear" w:color="auto" w:fill="auto"/>
            <w:vAlign w:val="bottom"/>
          </w:tcPr>
          <w:p w14:paraId="5C6E65EC"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bottom w:val="single" w:sz="4" w:space="0" w:color="auto"/>
            </w:tcBorders>
            <w:shd w:val="clear" w:color="auto" w:fill="auto"/>
            <w:vAlign w:val="bottom"/>
          </w:tcPr>
          <w:p w14:paraId="12490221"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bottom w:val="single" w:sz="4" w:space="0" w:color="auto"/>
            </w:tcBorders>
            <w:shd w:val="clear" w:color="auto" w:fill="auto"/>
            <w:vAlign w:val="bottom"/>
          </w:tcPr>
          <w:p w14:paraId="15E354FA"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bottom w:val="single" w:sz="4" w:space="0" w:color="auto"/>
            </w:tcBorders>
            <w:shd w:val="clear" w:color="auto" w:fill="auto"/>
            <w:vAlign w:val="bottom"/>
          </w:tcPr>
          <w:p w14:paraId="4D3FBC02"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bottom w:val="single" w:sz="4" w:space="0" w:color="auto"/>
            </w:tcBorders>
            <w:shd w:val="clear" w:color="auto" w:fill="auto"/>
            <w:vAlign w:val="bottom"/>
          </w:tcPr>
          <w:p w14:paraId="211C739E"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bottom w:val="single" w:sz="4" w:space="0" w:color="auto"/>
            </w:tcBorders>
            <w:shd w:val="clear" w:color="auto" w:fill="auto"/>
            <w:vAlign w:val="bottom"/>
          </w:tcPr>
          <w:p w14:paraId="5B8C3489"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bottom w:val="single" w:sz="4" w:space="0" w:color="auto"/>
            </w:tcBorders>
            <w:shd w:val="clear" w:color="auto" w:fill="auto"/>
            <w:vAlign w:val="bottom"/>
          </w:tcPr>
          <w:p w14:paraId="2CC85831"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p>
        </w:tc>
        <w:tc>
          <w:tcPr>
            <w:tcW w:w="652" w:type="dxa"/>
            <w:tcBorders>
              <w:bottom w:val="single" w:sz="4" w:space="0" w:color="auto"/>
            </w:tcBorders>
            <w:shd w:val="clear" w:color="auto" w:fill="auto"/>
            <w:vAlign w:val="bottom"/>
          </w:tcPr>
          <w:p w14:paraId="1CEC2346" w14:textId="77777777" w:rsidR="00AA7EB9" w:rsidRPr="00AC1DE2" w:rsidRDefault="00AA7EB9"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r>
      <w:tr w:rsidR="009A20AA" w:rsidRPr="0017279A" w14:paraId="4EA31D6B" w14:textId="77777777" w:rsidTr="00172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2" w:type="dxa"/>
            <w:tcBorders>
              <w:top w:val="single" w:sz="4" w:space="0" w:color="auto"/>
              <w:left w:val="none" w:sz="0" w:space="0" w:color="auto"/>
              <w:bottom w:val="single" w:sz="12" w:space="0" w:color="auto"/>
            </w:tcBorders>
            <w:shd w:val="clear" w:color="auto" w:fill="auto"/>
          </w:tcPr>
          <w:p w14:paraId="0DFA29F0" w14:textId="77777777" w:rsidR="00AA7EB9" w:rsidRPr="0017279A" w:rsidRDefault="00AA7EB9" w:rsidP="0017279A">
            <w:pPr>
              <w:suppressAutoHyphens w:val="0"/>
              <w:spacing w:before="80" w:after="80" w:line="220" w:lineRule="exact"/>
              <w:ind w:left="283"/>
              <w:rPr>
                <w:color w:val="auto"/>
                <w:sz w:val="18"/>
                <w:szCs w:val="18"/>
                <w:lang w:val="fr-CH"/>
              </w:rPr>
            </w:pPr>
            <w:r w:rsidRPr="0017279A">
              <w:rPr>
                <w:color w:val="auto"/>
                <w:sz w:val="18"/>
                <w:szCs w:val="18"/>
                <w:lang w:val="fr-CH"/>
              </w:rPr>
              <w:t>Total général</w:t>
            </w:r>
          </w:p>
        </w:tc>
        <w:tc>
          <w:tcPr>
            <w:tcW w:w="567" w:type="dxa"/>
            <w:tcBorders>
              <w:top w:val="single" w:sz="4" w:space="0" w:color="auto"/>
              <w:bottom w:val="single" w:sz="12" w:space="0" w:color="auto"/>
            </w:tcBorders>
            <w:shd w:val="clear" w:color="auto" w:fill="auto"/>
            <w:vAlign w:val="bottom"/>
          </w:tcPr>
          <w:p w14:paraId="51278A91" w14:textId="77777777" w:rsidR="00AA7EB9" w:rsidRPr="0017279A" w:rsidRDefault="00AA7EB9"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45</w:t>
            </w:r>
          </w:p>
        </w:tc>
        <w:tc>
          <w:tcPr>
            <w:tcW w:w="567" w:type="dxa"/>
            <w:tcBorders>
              <w:top w:val="single" w:sz="4" w:space="0" w:color="auto"/>
              <w:bottom w:val="single" w:sz="12" w:space="0" w:color="auto"/>
            </w:tcBorders>
            <w:shd w:val="clear" w:color="auto" w:fill="auto"/>
            <w:vAlign w:val="bottom"/>
          </w:tcPr>
          <w:p w14:paraId="74FBC739" w14:textId="77777777" w:rsidR="00AA7EB9" w:rsidRPr="0017279A" w:rsidRDefault="00AA7EB9"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1</w:t>
            </w:r>
          </w:p>
        </w:tc>
        <w:tc>
          <w:tcPr>
            <w:tcW w:w="567" w:type="dxa"/>
            <w:tcBorders>
              <w:top w:val="single" w:sz="4" w:space="0" w:color="auto"/>
              <w:bottom w:val="single" w:sz="12" w:space="0" w:color="auto"/>
            </w:tcBorders>
            <w:shd w:val="clear" w:color="auto" w:fill="auto"/>
            <w:vAlign w:val="bottom"/>
          </w:tcPr>
          <w:p w14:paraId="7A16BAC8" w14:textId="77777777" w:rsidR="00AA7EB9" w:rsidRPr="0017279A" w:rsidRDefault="00AA7EB9"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3</w:t>
            </w:r>
          </w:p>
        </w:tc>
        <w:tc>
          <w:tcPr>
            <w:tcW w:w="567" w:type="dxa"/>
            <w:tcBorders>
              <w:top w:val="single" w:sz="4" w:space="0" w:color="auto"/>
              <w:bottom w:val="single" w:sz="12" w:space="0" w:color="auto"/>
            </w:tcBorders>
            <w:shd w:val="clear" w:color="auto" w:fill="auto"/>
            <w:vAlign w:val="bottom"/>
          </w:tcPr>
          <w:p w14:paraId="55088C35" w14:textId="77777777" w:rsidR="00AA7EB9" w:rsidRPr="0017279A" w:rsidRDefault="00AA7EB9"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3</w:t>
            </w:r>
          </w:p>
        </w:tc>
        <w:tc>
          <w:tcPr>
            <w:tcW w:w="567" w:type="dxa"/>
            <w:tcBorders>
              <w:top w:val="single" w:sz="4" w:space="0" w:color="auto"/>
              <w:bottom w:val="single" w:sz="12" w:space="0" w:color="auto"/>
            </w:tcBorders>
            <w:shd w:val="clear" w:color="auto" w:fill="auto"/>
            <w:vAlign w:val="bottom"/>
          </w:tcPr>
          <w:p w14:paraId="43F7A957" w14:textId="77777777" w:rsidR="00AA7EB9" w:rsidRPr="0017279A" w:rsidRDefault="00AA7EB9"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2</w:t>
            </w:r>
          </w:p>
        </w:tc>
        <w:tc>
          <w:tcPr>
            <w:tcW w:w="567" w:type="dxa"/>
            <w:tcBorders>
              <w:top w:val="single" w:sz="4" w:space="0" w:color="auto"/>
              <w:bottom w:val="single" w:sz="12" w:space="0" w:color="auto"/>
            </w:tcBorders>
            <w:shd w:val="clear" w:color="auto" w:fill="auto"/>
            <w:vAlign w:val="bottom"/>
          </w:tcPr>
          <w:p w14:paraId="0F285184" w14:textId="77777777" w:rsidR="00AA7EB9" w:rsidRPr="0017279A" w:rsidRDefault="00AA7EB9"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6</w:t>
            </w:r>
          </w:p>
        </w:tc>
        <w:tc>
          <w:tcPr>
            <w:tcW w:w="567" w:type="dxa"/>
            <w:tcBorders>
              <w:top w:val="single" w:sz="4" w:space="0" w:color="auto"/>
              <w:bottom w:val="single" w:sz="12" w:space="0" w:color="auto"/>
            </w:tcBorders>
            <w:shd w:val="clear" w:color="auto" w:fill="auto"/>
            <w:vAlign w:val="bottom"/>
          </w:tcPr>
          <w:p w14:paraId="18CBDF71" w14:textId="77777777" w:rsidR="00AA7EB9" w:rsidRPr="0017279A" w:rsidRDefault="00AA7EB9"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4</w:t>
            </w:r>
          </w:p>
        </w:tc>
        <w:tc>
          <w:tcPr>
            <w:tcW w:w="567" w:type="dxa"/>
            <w:tcBorders>
              <w:top w:val="single" w:sz="4" w:space="0" w:color="auto"/>
              <w:bottom w:val="single" w:sz="12" w:space="0" w:color="auto"/>
            </w:tcBorders>
            <w:shd w:val="clear" w:color="auto" w:fill="auto"/>
            <w:vAlign w:val="bottom"/>
          </w:tcPr>
          <w:p w14:paraId="6047A526" w14:textId="77777777" w:rsidR="00AA7EB9" w:rsidRPr="0017279A" w:rsidRDefault="00AA7EB9"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2</w:t>
            </w:r>
          </w:p>
        </w:tc>
        <w:tc>
          <w:tcPr>
            <w:tcW w:w="652" w:type="dxa"/>
            <w:tcBorders>
              <w:top w:val="single" w:sz="4" w:space="0" w:color="auto"/>
              <w:bottom w:val="single" w:sz="12" w:space="0" w:color="auto"/>
            </w:tcBorders>
            <w:shd w:val="clear" w:color="auto" w:fill="auto"/>
            <w:vAlign w:val="bottom"/>
          </w:tcPr>
          <w:p w14:paraId="37979E5D" w14:textId="77777777" w:rsidR="00AA7EB9" w:rsidRPr="0017279A" w:rsidRDefault="00AA7EB9"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66</w:t>
            </w:r>
          </w:p>
        </w:tc>
      </w:tr>
    </w:tbl>
    <w:p w14:paraId="62AC5E39" w14:textId="77777777" w:rsidR="009C0C03" w:rsidRPr="001561A6" w:rsidRDefault="009C0C03" w:rsidP="00AA7EB9">
      <w:pPr>
        <w:pStyle w:val="SingleTxtG"/>
        <w:spacing w:before="120" w:after="240"/>
        <w:ind w:firstLine="170"/>
        <w:rPr>
          <w:sz w:val="18"/>
          <w:szCs w:val="18"/>
        </w:rPr>
      </w:pPr>
      <w:r w:rsidRPr="001561A6">
        <w:rPr>
          <w:i/>
          <w:iCs/>
          <w:sz w:val="18"/>
          <w:szCs w:val="18"/>
        </w:rPr>
        <w:t>Source</w:t>
      </w:r>
      <w:r w:rsidRPr="001561A6">
        <w:rPr>
          <w:sz w:val="18"/>
          <w:szCs w:val="18"/>
        </w:rPr>
        <w:t xml:space="preserve"> : Service de prévention de la torture.</w:t>
      </w:r>
    </w:p>
    <w:p w14:paraId="09A78E12" w14:textId="77777777" w:rsidR="00575165" w:rsidRPr="001561A6" w:rsidRDefault="00575165" w:rsidP="00575165">
      <w:pPr>
        <w:pStyle w:val="SingleTxtG"/>
      </w:pPr>
      <w:r w:rsidRPr="001561A6">
        <w:t>100.</w:t>
      </w:r>
      <w:r w:rsidRPr="001561A6">
        <w:tab/>
        <w:t>Enfin, au cours de cette année, le Service de prévention de la torture a effectué 24</w:t>
      </w:r>
      <w:r w:rsidR="009A20AA" w:rsidRPr="001561A6">
        <w:t> </w:t>
      </w:r>
      <w:r w:rsidRPr="001561A6">
        <w:t>visites inopinées au niveau national, dont on trouvera le détail ci-dessous.</w:t>
      </w:r>
    </w:p>
    <w:tbl>
      <w:tblPr>
        <w:tblStyle w:val="GridTable4-Accent6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5"/>
        <w:gridCol w:w="567"/>
        <w:gridCol w:w="556"/>
        <w:gridCol w:w="567"/>
        <w:gridCol w:w="566"/>
        <w:gridCol w:w="575"/>
        <w:gridCol w:w="566"/>
        <w:gridCol w:w="566"/>
        <w:gridCol w:w="566"/>
        <w:gridCol w:w="575"/>
        <w:gridCol w:w="651"/>
      </w:tblGrid>
      <w:tr w:rsidR="00B609A7" w:rsidRPr="00AC1DE2" w14:paraId="7116402C"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none" w:sz="0" w:space="0" w:color="auto"/>
              <w:bottom w:val="single" w:sz="12" w:space="0" w:color="auto"/>
              <w:right w:val="none" w:sz="0" w:space="0" w:color="auto"/>
            </w:tcBorders>
            <w:shd w:val="clear" w:color="auto" w:fill="auto"/>
            <w:vAlign w:val="bottom"/>
          </w:tcPr>
          <w:p w14:paraId="7C020873" w14:textId="77777777" w:rsidR="009C0C03" w:rsidRPr="00AC1DE2" w:rsidRDefault="009A20AA" w:rsidP="00AC1DE2">
            <w:pPr>
              <w:suppressAutoHyphens w:val="0"/>
              <w:spacing w:before="80" w:after="80" w:line="200" w:lineRule="exact"/>
              <w:rPr>
                <w:b w:val="0"/>
                <w:i/>
                <w:color w:val="auto"/>
                <w:sz w:val="16"/>
                <w:lang w:val="fr-CH"/>
              </w:rPr>
            </w:pPr>
            <w:r w:rsidRPr="00AC1DE2">
              <w:rPr>
                <w:b w:val="0"/>
                <w:i/>
                <w:color w:val="auto"/>
                <w:sz w:val="16"/>
                <w:lang w:val="fr-CH"/>
              </w:rPr>
              <w:t>Nombre d</w:t>
            </w:r>
            <w:r w:rsidR="009258E3" w:rsidRPr="00AC1DE2">
              <w:rPr>
                <w:b w:val="0"/>
                <w:i/>
                <w:color w:val="auto"/>
                <w:sz w:val="16"/>
                <w:lang w:val="fr-CH"/>
              </w:rPr>
              <w:t>’</w:t>
            </w:r>
            <w:r w:rsidRPr="00AC1DE2">
              <w:rPr>
                <w:b w:val="0"/>
                <w:i/>
                <w:color w:val="auto"/>
                <w:sz w:val="16"/>
                <w:lang w:val="fr-CH"/>
              </w:rPr>
              <w:t>établissements</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750B21A7"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LP</w:t>
            </w:r>
          </w:p>
        </w:tc>
        <w:tc>
          <w:tcPr>
            <w:tcW w:w="556" w:type="dxa"/>
            <w:tcBorders>
              <w:top w:val="single" w:sz="4" w:space="0" w:color="auto"/>
              <w:left w:val="none" w:sz="0" w:space="0" w:color="auto"/>
              <w:bottom w:val="single" w:sz="12" w:space="0" w:color="auto"/>
              <w:right w:val="none" w:sz="0" w:space="0" w:color="auto"/>
            </w:tcBorders>
            <w:shd w:val="clear" w:color="auto" w:fill="auto"/>
            <w:vAlign w:val="bottom"/>
          </w:tcPr>
          <w:p w14:paraId="471709DD"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CB</w:t>
            </w:r>
          </w:p>
        </w:tc>
        <w:tc>
          <w:tcPr>
            <w:tcW w:w="567" w:type="dxa"/>
            <w:tcBorders>
              <w:top w:val="single" w:sz="4" w:space="0" w:color="auto"/>
              <w:left w:val="none" w:sz="0" w:space="0" w:color="auto"/>
              <w:bottom w:val="single" w:sz="12" w:space="0" w:color="auto"/>
              <w:right w:val="none" w:sz="0" w:space="0" w:color="auto"/>
            </w:tcBorders>
            <w:shd w:val="clear" w:color="auto" w:fill="auto"/>
            <w:vAlign w:val="bottom"/>
          </w:tcPr>
          <w:p w14:paraId="59E24969"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PDO</w:t>
            </w:r>
          </w:p>
        </w:tc>
        <w:tc>
          <w:tcPr>
            <w:tcW w:w="566" w:type="dxa"/>
            <w:tcBorders>
              <w:top w:val="single" w:sz="4" w:space="0" w:color="auto"/>
              <w:left w:val="none" w:sz="0" w:space="0" w:color="auto"/>
              <w:bottom w:val="single" w:sz="12" w:space="0" w:color="auto"/>
              <w:right w:val="none" w:sz="0" w:space="0" w:color="auto"/>
            </w:tcBorders>
            <w:shd w:val="clear" w:color="auto" w:fill="auto"/>
            <w:vAlign w:val="bottom"/>
          </w:tcPr>
          <w:p w14:paraId="59273116"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BE</w:t>
            </w:r>
          </w:p>
        </w:tc>
        <w:tc>
          <w:tcPr>
            <w:tcW w:w="575" w:type="dxa"/>
            <w:tcBorders>
              <w:top w:val="single" w:sz="4" w:space="0" w:color="auto"/>
              <w:left w:val="none" w:sz="0" w:space="0" w:color="auto"/>
              <w:bottom w:val="single" w:sz="12" w:space="0" w:color="auto"/>
              <w:right w:val="none" w:sz="0" w:space="0" w:color="auto"/>
            </w:tcBorders>
            <w:shd w:val="clear" w:color="auto" w:fill="auto"/>
            <w:vAlign w:val="bottom"/>
          </w:tcPr>
          <w:p w14:paraId="4F930111"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CH</w:t>
            </w:r>
          </w:p>
        </w:tc>
        <w:tc>
          <w:tcPr>
            <w:tcW w:w="566" w:type="dxa"/>
            <w:tcBorders>
              <w:top w:val="single" w:sz="4" w:space="0" w:color="auto"/>
              <w:left w:val="none" w:sz="0" w:space="0" w:color="auto"/>
              <w:bottom w:val="single" w:sz="12" w:space="0" w:color="auto"/>
              <w:right w:val="none" w:sz="0" w:space="0" w:color="auto"/>
            </w:tcBorders>
            <w:shd w:val="clear" w:color="auto" w:fill="auto"/>
            <w:vAlign w:val="bottom"/>
          </w:tcPr>
          <w:p w14:paraId="559CCE7A"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PT</w:t>
            </w:r>
          </w:p>
        </w:tc>
        <w:tc>
          <w:tcPr>
            <w:tcW w:w="566" w:type="dxa"/>
            <w:tcBorders>
              <w:top w:val="single" w:sz="4" w:space="0" w:color="auto"/>
              <w:left w:val="none" w:sz="0" w:space="0" w:color="auto"/>
              <w:bottom w:val="single" w:sz="12" w:space="0" w:color="auto"/>
              <w:right w:val="none" w:sz="0" w:space="0" w:color="auto"/>
            </w:tcBorders>
            <w:shd w:val="clear" w:color="auto" w:fill="auto"/>
            <w:vAlign w:val="bottom"/>
          </w:tcPr>
          <w:p w14:paraId="7BAA0E56"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SC</w:t>
            </w:r>
          </w:p>
        </w:tc>
        <w:tc>
          <w:tcPr>
            <w:tcW w:w="566" w:type="dxa"/>
            <w:tcBorders>
              <w:top w:val="single" w:sz="4" w:space="0" w:color="auto"/>
              <w:left w:val="none" w:sz="0" w:space="0" w:color="auto"/>
              <w:bottom w:val="single" w:sz="12" w:space="0" w:color="auto"/>
              <w:right w:val="none" w:sz="0" w:space="0" w:color="auto"/>
            </w:tcBorders>
            <w:shd w:val="clear" w:color="auto" w:fill="auto"/>
            <w:vAlign w:val="bottom"/>
          </w:tcPr>
          <w:p w14:paraId="45F4E849"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TJ</w:t>
            </w:r>
          </w:p>
        </w:tc>
        <w:tc>
          <w:tcPr>
            <w:tcW w:w="575" w:type="dxa"/>
            <w:tcBorders>
              <w:top w:val="single" w:sz="4" w:space="0" w:color="auto"/>
              <w:left w:val="none" w:sz="0" w:space="0" w:color="auto"/>
              <w:bottom w:val="single" w:sz="12" w:space="0" w:color="auto"/>
              <w:right w:val="none" w:sz="0" w:space="0" w:color="auto"/>
            </w:tcBorders>
            <w:shd w:val="clear" w:color="auto" w:fill="auto"/>
            <w:vAlign w:val="bottom"/>
          </w:tcPr>
          <w:p w14:paraId="5F8019DA" w14:textId="77777777" w:rsidR="009C0C03" w:rsidRPr="00AC1DE2" w:rsidRDefault="009C0C03"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OR</w:t>
            </w:r>
          </w:p>
        </w:tc>
        <w:tc>
          <w:tcPr>
            <w:tcW w:w="651" w:type="dxa"/>
            <w:tcBorders>
              <w:top w:val="single" w:sz="4" w:space="0" w:color="auto"/>
              <w:left w:val="none" w:sz="0" w:space="0" w:color="auto"/>
              <w:bottom w:val="single" w:sz="12" w:space="0" w:color="auto"/>
              <w:right w:val="none" w:sz="0" w:space="0" w:color="auto"/>
            </w:tcBorders>
            <w:shd w:val="clear" w:color="auto" w:fill="auto"/>
            <w:vAlign w:val="bottom"/>
          </w:tcPr>
          <w:p w14:paraId="506C9829" w14:textId="77777777" w:rsidR="009C0C03"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eastAsia="Calibri"/>
                <w:b w:val="0"/>
                <w:i/>
                <w:color w:val="auto"/>
                <w:sz w:val="16"/>
                <w:lang w:val="fr-CH"/>
              </w:rPr>
            </w:pPr>
            <w:r w:rsidRPr="00AC1DE2">
              <w:rPr>
                <w:rFonts w:eastAsia="Calibri"/>
                <w:b w:val="0"/>
                <w:i/>
                <w:color w:val="auto"/>
                <w:sz w:val="16"/>
                <w:lang w:val="fr-CH"/>
              </w:rPr>
              <w:t>Total</w:t>
            </w:r>
          </w:p>
        </w:tc>
      </w:tr>
      <w:tr w:rsidR="00B609A7" w:rsidRPr="00AC1DE2" w14:paraId="3550BCC8"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single" w:sz="12" w:space="0" w:color="auto"/>
            </w:tcBorders>
            <w:shd w:val="clear" w:color="auto" w:fill="auto"/>
          </w:tcPr>
          <w:p w14:paraId="7DA8CBAC" w14:textId="77777777" w:rsidR="009A20AA" w:rsidRPr="00AC1DE2" w:rsidRDefault="009A20AA" w:rsidP="00AC1DE2">
            <w:pPr>
              <w:suppressAutoHyphens w:val="0"/>
              <w:spacing w:before="40" w:after="40" w:line="220" w:lineRule="exact"/>
              <w:rPr>
                <w:sz w:val="18"/>
                <w:szCs w:val="18"/>
                <w:lang w:val="fr-CH"/>
              </w:rPr>
            </w:pPr>
            <w:r w:rsidRPr="00AC1DE2">
              <w:rPr>
                <w:sz w:val="18"/>
                <w:szCs w:val="18"/>
                <w:lang w:val="fr-CH"/>
              </w:rPr>
              <w:t>Cellules de police/</w:t>
            </w:r>
            <w:r w:rsidR="00B609A7" w:rsidRPr="00AC1DE2">
              <w:rPr>
                <w:sz w:val="18"/>
                <w:szCs w:val="18"/>
                <w:lang w:val="fr-CH"/>
              </w:rPr>
              <w:br/>
            </w:r>
            <w:r w:rsidRPr="00AC1DE2">
              <w:rPr>
                <w:sz w:val="18"/>
                <w:szCs w:val="18"/>
                <w:lang w:val="fr-CH"/>
              </w:rPr>
              <w:t>de garde à vue</w:t>
            </w:r>
          </w:p>
        </w:tc>
        <w:tc>
          <w:tcPr>
            <w:tcW w:w="567" w:type="dxa"/>
            <w:tcBorders>
              <w:top w:val="single" w:sz="12" w:space="0" w:color="auto"/>
            </w:tcBorders>
            <w:shd w:val="clear" w:color="auto" w:fill="auto"/>
            <w:vAlign w:val="bottom"/>
          </w:tcPr>
          <w:p w14:paraId="4F9A70B5"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2</w:t>
            </w:r>
          </w:p>
        </w:tc>
        <w:tc>
          <w:tcPr>
            <w:tcW w:w="556" w:type="dxa"/>
            <w:tcBorders>
              <w:top w:val="single" w:sz="12" w:space="0" w:color="auto"/>
            </w:tcBorders>
            <w:shd w:val="clear" w:color="auto" w:fill="auto"/>
            <w:vAlign w:val="bottom"/>
          </w:tcPr>
          <w:p w14:paraId="72E2A6E5"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top w:val="single" w:sz="12" w:space="0" w:color="auto"/>
            </w:tcBorders>
            <w:shd w:val="clear" w:color="auto" w:fill="auto"/>
            <w:vAlign w:val="bottom"/>
          </w:tcPr>
          <w:p w14:paraId="7C29828B"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tcBorders>
              <w:top w:val="single" w:sz="12" w:space="0" w:color="auto"/>
            </w:tcBorders>
            <w:shd w:val="clear" w:color="auto" w:fill="auto"/>
            <w:vAlign w:val="bottom"/>
          </w:tcPr>
          <w:p w14:paraId="5F82094D"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tcBorders>
              <w:top w:val="single" w:sz="12" w:space="0" w:color="auto"/>
            </w:tcBorders>
            <w:shd w:val="clear" w:color="auto" w:fill="auto"/>
            <w:vAlign w:val="bottom"/>
          </w:tcPr>
          <w:p w14:paraId="1AABC417"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tcBorders>
              <w:top w:val="single" w:sz="12" w:space="0" w:color="auto"/>
            </w:tcBorders>
            <w:shd w:val="clear" w:color="auto" w:fill="auto"/>
            <w:vAlign w:val="bottom"/>
          </w:tcPr>
          <w:p w14:paraId="4A8E5629"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tcBorders>
              <w:top w:val="single" w:sz="12" w:space="0" w:color="auto"/>
            </w:tcBorders>
            <w:shd w:val="clear" w:color="auto" w:fill="auto"/>
            <w:vAlign w:val="bottom"/>
          </w:tcPr>
          <w:p w14:paraId="518C3863"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tcBorders>
              <w:top w:val="single" w:sz="12" w:space="0" w:color="auto"/>
            </w:tcBorders>
            <w:shd w:val="clear" w:color="auto" w:fill="auto"/>
            <w:vAlign w:val="bottom"/>
          </w:tcPr>
          <w:p w14:paraId="0B5C1179"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tcBorders>
              <w:top w:val="single" w:sz="12" w:space="0" w:color="auto"/>
            </w:tcBorders>
            <w:shd w:val="clear" w:color="auto" w:fill="auto"/>
            <w:vAlign w:val="bottom"/>
          </w:tcPr>
          <w:p w14:paraId="66170AD3"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p>
        </w:tc>
        <w:tc>
          <w:tcPr>
            <w:tcW w:w="651" w:type="dxa"/>
            <w:tcBorders>
              <w:top w:val="single" w:sz="12" w:space="0" w:color="auto"/>
            </w:tcBorders>
            <w:shd w:val="clear" w:color="auto" w:fill="auto"/>
            <w:vAlign w:val="bottom"/>
          </w:tcPr>
          <w:p w14:paraId="1D071F84"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2</w:t>
            </w:r>
          </w:p>
        </w:tc>
      </w:tr>
      <w:tr w:rsidR="00B609A7" w:rsidRPr="00AC1DE2" w14:paraId="490C04C0" w14:textId="77777777" w:rsidTr="00AC1DE2">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7567167A" w14:textId="77777777" w:rsidR="009A20AA" w:rsidRPr="00AC1DE2" w:rsidRDefault="009A20AA" w:rsidP="00AC1DE2">
            <w:pPr>
              <w:suppressAutoHyphens w:val="0"/>
              <w:spacing w:before="40" w:after="40" w:line="220" w:lineRule="exact"/>
              <w:rPr>
                <w:sz w:val="18"/>
                <w:szCs w:val="18"/>
                <w:lang w:val="fr-CH"/>
              </w:rPr>
            </w:pPr>
            <w:r w:rsidRPr="00AC1DE2">
              <w:rPr>
                <w:sz w:val="18"/>
                <w:szCs w:val="18"/>
                <w:lang w:val="fr-CH"/>
              </w:rPr>
              <w:t>Prisons</w:t>
            </w:r>
          </w:p>
        </w:tc>
        <w:tc>
          <w:tcPr>
            <w:tcW w:w="567" w:type="dxa"/>
            <w:shd w:val="clear" w:color="auto" w:fill="auto"/>
            <w:vAlign w:val="bottom"/>
          </w:tcPr>
          <w:p w14:paraId="0ED62DA6"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4</w:t>
            </w:r>
          </w:p>
        </w:tc>
        <w:tc>
          <w:tcPr>
            <w:tcW w:w="556" w:type="dxa"/>
            <w:shd w:val="clear" w:color="auto" w:fill="auto"/>
            <w:vAlign w:val="bottom"/>
          </w:tcPr>
          <w:p w14:paraId="49A1FF5D"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6</w:t>
            </w:r>
          </w:p>
        </w:tc>
        <w:tc>
          <w:tcPr>
            <w:tcW w:w="567" w:type="dxa"/>
            <w:shd w:val="clear" w:color="auto" w:fill="auto"/>
            <w:vAlign w:val="bottom"/>
          </w:tcPr>
          <w:p w14:paraId="66CE6641"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2</w:t>
            </w:r>
          </w:p>
        </w:tc>
        <w:tc>
          <w:tcPr>
            <w:tcW w:w="566" w:type="dxa"/>
            <w:shd w:val="clear" w:color="auto" w:fill="auto"/>
            <w:vAlign w:val="bottom"/>
          </w:tcPr>
          <w:p w14:paraId="1735B2CB"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c>
          <w:tcPr>
            <w:tcW w:w="575" w:type="dxa"/>
            <w:shd w:val="clear" w:color="auto" w:fill="auto"/>
            <w:vAlign w:val="bottom"/>
          </w:tcPr>
          <w:p w14:paraId="0218CDCC"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c>
          <w:tcPr>
            <w:tcW w:w="566" w:type="dxa"/>
            <w:shd w:val="clear" w:color="auto" w:fill="auto"/>
            <w:vAlign w:val="bottom"/>
          </w:tcPr>
          <w:p w14:paraId="0C9BB97E"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c>
          <w:tcPr>
            <w:tcW w:w="566" w:type="dxa"/>
            <w:shd w:val="clear" w:color="auto" w:fill="auto"/>
            <w:vAlign w:val="bottom"/>
          </w:tcPr>
          <w:p w14:paraId="4D27DAF6"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c>
          <w:tcPr>
            <w:tcW w:w="566" w:type="dxa"/>
            <w:shd w:val="clear" w:color="auto" w:fill="auto"/>
            <w:vAlign w:val="bottom"/>
          </w:tcPr>
          <w:p w14:paraId="0D07E514"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c>
          <w:tcPr>
            <w:tcW w:w="575" w:type="dxa"/>
            <w:shd w:val="clear" w:color="auto" w:fill="auto"/>
            <w:vAlign w:val="bottom"/>
          </w:tcPr>
          <w:p w14:paraId="02EBF308"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2</w:t>
            </w:r>
          </w:p>
        </w:tc>
        <w:tc>
          <w:tcPr>
            <w:tcW w:w="651" w:type="dxa"/>
            <w:shd w:val="clear" w:color="auto" w:fill="auto"/>
            <w:vAlign w:val="bottom"/>
          </w:tcPr>
          <w:p w14:paraId="30D72750"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19</w:t>
            </w:r>
          </w:p>
        </w:tc>
      </w:tr>
      <w:tr w:rsidR="00B609A7" w:rsidRPr="00AC1DE2" w14:paraId="63010914"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6D1F1EAD" w14:textId="77777777" w:rsidR="009A20AA" w:rsidRPr="00AC1DE2" w:rsidRDefault="009A20AA" w:rsidP="00AC1DE2">
            <w:pPr>
              <w:suppressAutoHyphens w:val="0"/>
              <w:spacing w:before="40" w:after="40" w:line="220" w:lineRule="exact"/>
              <w:rPr>
                <w:sz w:val="18"/>
                <w:szCs w:val="18"/>
                <w:lang w:val="fr-CH"/>
              </w:rPr>
            </w:pPr>
            <w:r w:rsidRPr="00AC1DE2">
              <w:rPr>
                <w:sz w:val="18"/>
                <w:szCs w:val="18"/>
                <w:lang w:val="fr-CH"/>
              </w:rPr>
              <w:t>Centres du système de justice pénale pour mineurs</w:t>
            </w:r>
          </w:p>
        </w:tc>
        <w:tc>
          <w:tcPr>
            <w:tcW w:w="567" w:type="dxa"/>
            <w:shd w:val="clear" w:color="auto" w:fill="auto"/>
            <w:vAlign w:val="bottom"/>
          </w:tcPr>
          <w:p w14:paraId="5DE8C663"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1</w:t>
            </w:r>
          </w:p>
        </w:tc>
        <w:tc>
          <w:tcPr>
            <w:tcW w:w="556" w:type="dxa"/>
            <w:shd w:val="clear" w:color="auto" w:fill="auto"/>
            <w:vAlign w:val="bottom"/>
          </w:tcPr>
          <w:p w14:paraId="460FA166"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60AFB34C"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1</w:t>
            </w:r>
          </w:p>
        </w:tc>
        <w:tc>
          <w:tcPr>
            <w:tcW w:w="566" w:type="dxa"/>
            <w:shd w:val="clear" w:color="auto" w:fill="auto"/>
            <w:vAlign w:val="bottom"/>
          </w:tcPr>
          <w:p w14:paraId="4F7E645E"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shd w:val="clear" w:color="auto" w:fill="auto"/>
            <w:vAlign w:val="bottom"/>
          </w:tcPr>
          <w:p w14:paraId="3EDD4A5B"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4A7A6797"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54E4E039"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6B7AD8C6"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shd w:val="clear" w:color="auto" w:fill="auto"/>
            <w:vAlign w:val="bottom"/>
          </w:tcPr>
          <w:p w14:paraId="62DB1D9D"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p>
        </w:tc>
        <w:tc>
          <w:tcPr>
            <w:tcW w:w="651" w:type="dxa"/>
            <w:shd w:val="clear" w:color="auto" w:fill="auto"/>
            <w:vAlign w:val="bottom"/>
          </w:tcPr>
          <w:p w14:paraId="0B0BE947"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2</w:t>
            </w:r>
          </w:p>
        </w:tc>
      </w:tr>
      <w:tr w:rsidR="00B609A7" w:rsidRPr="00AC1DE2" w14:paraId="4BDDD9F2" w14:textId="77777777" w:rsidTr="00AC1DE2">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39C63EA0" w14:textId="77777777" w:rsidR="009A20AA" w:rsidRPr="00AC1DE2" w:rsidRDefault="009A20AA" w:rsidP="00AC1DE2">
            <w:pPr>
              <w:suppressAutoHyphens w:val="0"/>
              <w:spacing w:before="40" w:after="40" w:line="220" w:lineRule="exact"/>
              <w:rPr>
                <w:sz w:val="18"/>
                <w:szCs w:val="18"/>
                <w:lang w:val="fr-CH"/>
              </w:rPr>
            </w:pPr>
            <w:r w:rsidRPr="00AC1DE2">
              <w:rPr>
                <w:sz w:val="18"/>
                <w:szCs w:val="18"/>
                <w:lang w:val="fr-CH"/>
              </w:rPr>
              <w:t>Centres de formation de la police</w:t>
            </w:r>
          </w:p>
        </w:tc>
        <w:tc>
          <w:tcPr>
            <w:tcW w:w="567" w:type="dxa"/>
            <w:shd w:val="clear" w:color="auto" w:fill="auto"/>
            <w:vAlign w:val="bottom"/>
          </w:tcPr>
          <w:p w14:paraId="055D4B5B"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56" w:type="dxa"/>
            <w:shd w:val="clear" w:color="auto" w:fill="auto"/>
            <w:vAlign w:val="bottom"/>
          </w:tcPr>
          <w:p w14:paraId="6720A39E"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6A31E220"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16BCDDE3"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shd w:val="clear" w:color="auto" w:fill="auto"/>
            <w:vAlign w:val="bottom"/>
          </w:tcPr>
          <w:p w14:paraId="66991565"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19D6ABEB"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5B8E233F"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76EB0FA9"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shd w:val="clear" w:color="auto" w:fill="auto"/>
            <w:vAlign w:val="bottom"/>
          </w:tcPr>
          <w:p w14:paraId="32C4B630"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p>
        </w:tc>
        <w:tc>
          <w:tcPr>
            <w:tcW w:w="651" w:type="dxa"/>
            <w:shd w:val="clear" w:color="auto" w:fill="auto"/>
            <w:vAlign w:val="bottom"/>
          </w:tcPr>
          <w:p w14:paraId="3F8E2994"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p>
        </w:tc>
      </w:tr>
      <w:tr w:rsidR="00B609A7" w:rsidRPr="00AC1DE2" w14:paraId="08E684FD"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18FF082F" w14:textId="77777777" w:rsidR="009A20AA" w:rsidRPr="00AC1DE2" w:rsidRDefault="009A20AA" w:rsidP="00AC1DE2">
            <w:pPr>
              <w:suppressAutoHyphens w:val="0"/>
              <w:spacing w:before="40" w:after="40" w:line="220" w:lineRule="exact"/>
              <w:rPr>
                <w:sz w:val="18"/>
                <w:szCs w:val="18"/>
                <w:lang w:val="fr-CH"/>
              </w:rPr>
            </w:pPr>
            <w:r w:rsidRPr="00AC1DE2">
              <w:rPr>
                <w:sz w:val="18"/>
                <w:szCs w:val="18"/>
                <w:lang w:val="fr-CH"/>
              </w:rPr>
              <w:t>Caserne</w:t>
            </w:r>
          </w:p>
        </w:tc>
        <w:tc>
          <w:tcPr>
            <w:tcW w:w="567" w:type="dxa"/>
            <w:shd w:val="clear" w:color="auto" w:fill="auto"/>
            <w:vAlign w:val="bottom"/>
          </w:tcPr>
          <w:p w14:paraId="0AE9C2CD"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56" w:type="dxa"/>
            <w:shd w:val="clear" w:color="auto" w:fill="auto"/>
            <w:vAlign w:val="bottom"/>
          </w:tcPr>
          <w:p w14:paraId="44E2F023"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shd w:val="clear" w:color="auto" w:fill="auto"/>
            <w:vAlign w:val="bottom"/>
          </w:tcPr>
          <w:p w14:paraId="51235B5C"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5474C0CC"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shd w:val="clear" w:color="auto" w:fill="auto"/>
            <w:vAlign w:val="bottom"/>
          </w:tcPr>
          <w:p w14:paraId="1E152CED"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2D693945"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38C6D63F"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shd w:val="clear" w:color="auto" w:fill="auto"/>
            <w:vAlign w:val="bottom"/>
          </w:tcPr>
          <w:p w14:paraId="3F1601FC"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shd w:val="clear" w:color="auto" w:fill="auto"/>
            <w:vAlign w:val="bottom"/>
          </w:tcPr>
          <w:p w14:paraId="4A56E4E2"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p>
        </w:tc>
        <w:tc>
          <w:tcPr>
            <w:tcW w:w="651" w:type="dxa"/>
            <w:shd w:val="clear" w:color="auto" w:fill="auto"/>
            <w:vAlign w:val="bottom"/>
          </w:tcPr>
          <w:p w14:paraId="02977EC2" w14:textId="77777777" w:rsidR="009A20AA" w:rsidRPr="00AC1DE2" w:rsidRDefault="009A20AA"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rFonts w:eastAsia="Calibri"/>
                <w:sz w:val="18"/>
                <w:lang w:val="fr-CH"/>
              </w:rPr>
            </w:pPr>
          </w:p>
        </w:tc>
      </w:tr>
      <w:tr w:rsidR="00B609A7" w:rsidRPr="00AC1DE2" w14:paraId="11A64D63" w14:textId="77777777" w:rsidTr="0017279A">
        <w:tc>
          <w:tcPr>
            <w:cnfStyle w:val="001000000000" w:firstRow="0" w:lastRow="0" w:firstColumn="1" w:lastColumn="0" w:oddVBand="0" w:evenVBand="0" w:oddHBand="0" w:evenHBand="0" w:firstRowFirstColumn="0" w:firstRowLastColumn="0" w:lastRowFirstColumn="0" w:lastRowLastColumn="0"/>
            <w:tcW w:w="1615" w:type="dxa"/>
            <w:tcBorders>
              <w:bottom w:val="single" w:sz="4" w:space="0" w:color="auto"/>
            </w:tcBorders>
            <w:shd w:val="clear" w:color="auto" w:fill="auto"/>
          </w:tcPr>
          <w:p w14:paraId="0E888D58" w14:textId="77777777" w:rsidR="009A20AA" w:rsidRPr="00AC1DE2" w:rsidRDefault="009A20AA" w:rsidP="00AC1DE2">
            <w:pPr>
              <w:suppressAutoHyphens w:val="0"/>
              <w:spacing w:before="40" w:after="40" w:line="220" w:lineRule="exact"/>
              <w:rPr>
                <w:sz w:val="18"/>
                <w:szCs w:val="18"/>
                <w:lang w:val="fr-CH"/>
              </w:rPr>
            </w:pPr>
            <w:r w:rsidRPr="00AC1DE2">
              <w:rPr>
                <w:sz w:val="18"/>
                <w:szCs w:val="18"/>
                <w:lang w:val="fr-CH"/>
              </w:rPr>
              <w:t xml:space="preserve">Hôpitaux psychiatriques </w:t>
            </w:r>
          </w:p>
        </w:tc>
        <w:tc>
          <w:tcPr>
            <w:tcW w:w="567" w:type="dxa"/>
            <w:tcBorders>
              <w:bottom w:val="single" w:sz="4" w:space="0" w:color="auto"/>
            </w:tcBorders>
            <w:shd w:val="clear" w:color="auto" w:fill="auto"/>
            <w:vAlign w:val="bottom"/>
          </w:tcPr>
          <w:p w14:paraId="27A3329E"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56" w:type="dxa"/>
            <w:tcBorders>
              <w:bottom w:val="single" w:sz="4" w:space="0" w:color="auto"/>
            </w:tcBorders>
            <w:shd w:val="clear" w:color="auto" w:fill="auto"/>
            <w:vAlign w:val="bottom"/>
          </w:tcPr>
          <w:p w14:paraId="3AD990D5"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7" w:type="dxa"/>
            <w:tcBorders>
              <w:bottom w:val="single" w:sz="4" w:space="0" w:color="auto"/>
            </w:tcBorders>
            <w:shd w:val="clear" w:color="auto" w:fill="auto"/>
            <w:vAlign w:val="bottom"/>
          </w:tcPr>
          <w:p w14:paraId="47960AC4"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tcBorders>
              <w:bottom w:val="single" w:sz="4" w:space="0" w:color="auto"/>
            </w:tcBorders>
            <w:shd w:val="clear" w:color="auto" w:fill="auto"/>
            <w:vAlign w:val="bottom"/>
          </w:tcPr>
          <w:p w14:paraId="6227D904"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tcBorders>
              <w:bottom w:val="single" w:sz="4" w:space="0" w:color="auto"/>
            </w:tcBorders>
            <w:shd w:val="clear" w:color="auto" w:fill="auto"/>
            <w:vAlign w:val="bottom"/>
          </w:tcPr>
          <w:p w14:paraId="2DBD6A29"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c>
          <w:tcPr>
            <w:tcW w:w="566" w:type="dxa"/>
            <w:tcBorders>
              <w:bottom w:val="single" w:sz="4" w:space="0" w:color="auto"/>
            </w:tcBorders>
            <w:shd w:val="clear" w:color="auto" w:fill="auto"/>
            <w:vAlign w:val="bottom"/>
          </w:tcPr>
          <w:p w14:paraId="569E7C76"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tcBorders>
              <w:bottom w:val="single" w:sz="4" w:space="0" w:color="auto"/>
            </w:tcBorders>
            <w:shd w:val="clear" w:color="auto" w:fill="auto"/>
            <w:vAlign w:val="bottom"/>
          </w:tcPr>
          <w:p w14:paraId="1919A558"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66" w:type="dxa"/>
            <w:tcBorders>
              <w:bottom w:val="single" w:sz="4" w:space="0" w:color="auto"/>
            </w:tcBorders>
            <w:shd w:val="clear" w:color="auto" w:fill="auto"/>
            <w:vAlign w:val="bottom"/>
          </w:tcPr>
          <w:p w14:paraId="07E8D8B8"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w:t>
            </w:r>
          </w:p>
        </w:tc>
        <w:tc>
          <w:tcPr>
            <w:tcW w:w="575" w:type="dxa"/>
            <w:tcBorders>
              <w:bottom w:val="single" w:sz="4" w:space="0" w:color="auto"/>
            </w:tcBorders>
            <w:shd w:val="clear" w:color="auto" w:fill="auto"/>
            <w:vAlign w:val="bottom"/>
          </w:tcPr>
          <w:p w14:paraId="0ACEC3B8"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p>
        </w:tc>
        <w:tc>
          <w:tcPr>
            <w:tcW w:w="651" w:type="dxa"/>
            <w:tcBorders>
              <w:bottom w:val="single" w:sz="4" w:space="0" w:color="auto"/>
            </w:tcBorders>
            <w:shd w:val="clear" w:color="auto" w:fill="auto"/>
            <w:vAlign w:val="bottom"/>
          </w:tcPr>
          <w:p w14:paraId="39371826" w14:textId="77777777" w:rsidR="009A20AA" w:rsidRPr="00AC1DE2" w:rsidRDefault="009A20AA" w:rsidP="00AC1DE2">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eastAsia="Calibri"/>
                <w:sz w:val="18"/>
                <w:lang w:val="fr-CH"/>
              </w:rPr>
            </w:pPr>
            <w:r w:rsidRPr="00AC1DE2">
              <w:rPr>
                <w:rFonts w:eastAsia="Calibri"/>
                <w:sz w:val="18"/>
                <w:lang w:val="fr-CH"/>
              </w:rPr>
              <w:t>1</w:t>
            </w:r>
          </w:p>
        </w:tc>
      </w:tr>
      <w:tr w:rsidR="00B609A7" w:rsidRPr="0017279A" w14:paraId="4132421C" w14:textId="77777777" w:rsidTr="00172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bottom w:val="single" w:sz="12" w:space="0" w:color="auto"/>
            </w:tcBorders>
            <w:shd w:val="clear" w:color="auto" w:fill="auto"/>
          </w:tcPr>
          <w:p w14:paraId="33F391CD" w14:textId="77777777" w:rsidR="009A20AA" w:rsidRPr="0017279A" w:rsidRDefault="00B609A7" w:rsidP="0017279A">
            <w:pPr>
              <w:suppressAutoHyphens w:val="0"/>
              <w:spacing w:before="80" w:after="80" w:line="220" w:lineRule="exact"/>
              <w:ind w:left="283"/>
              <w:rPr>
                <w:bCs w:val="0"/>
                <w:sz w:val="18"/>
                <w:szCs w:val="18"/>
                <w:lang w:val="fr-CH"/>
              </w:rPr>
            </w:pPr>
            <w:r w:rsidRPr="0017279A">
              <w:rPr>
                <w:bCs w:val="0"/>
                <w:sz w:val="18"/>
                <w:szCs w:val="18"/>
                <w:lang w:val="fr-CH"/>
              </w:rPr>
              <w:t xml:space="preserve">Total </w:t>
            </w:r>
            <w:r w:rsidRPr="0017279A">
              <w:rPr>
                <w:rFonts w:eastAsia="Calibri"/>
                <w:bCs w:val="0"/>
                <w:sz w:val="18"/>
                <w:lang w:val="fr-CH"/>
              </w:rPr>
              <w:t>général</w:t>
            </w:r>
          </w:p>
        </w:tc>
        <w:tc>
          <w:tcPr>
            <w:tcW w:w="567" w:type="dxa"/>
            <w:tcBorders>
              <w:top w:val="single" w:sz="4" w:space="0" w:color="auto"/>
              <w:bottom w:val="single" w:sz="12" w:space="0" w:color="auto"/>
            </w:tcBorders>
            <w:shd w:val="clear" w:color="auto" w:fill="auto"/>
            <w:vAlign w:val="bottom"/>
          </w:tcPr>
          <w:p w14:paraId="222D4037"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7</w:t>
            </w:r>
          </w:p>
        </w:tc>
        <w:tc>
          <w:tcPr>
            <w:tcW w:w="556" w:type="dxa"/>
            <w:tcBorders>
              <w:top w:val="single" w:sz="4" w:space="0" w:color="auto"/>
              <w:bottom w:val="single" w:sz="12" w:space="0" w:color="auto"/>
            </w:tcBorders>
            <w:shd w:val="clear" w:color="auto" w:fill="auto"/>
            <w:vAlign w:val="bottom"/>
          </w:tcPr>
          <w:p w14:paraId="3D05302F"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6</w:t>
            </w:r>
          </w:p>
        </w:tc>
        <w:tc>
          <w:tcPr>
            <w:tcW w:w="567" w:type="dxa"/>
            <w:tcBorders>
              <w:top w:val="single" w:sz="4" w:space="0" w:color="auto"/>
              <w:bottom w:val="single" w:sz="12" w:space="0" w:color="auto"/>
            </w:tcBorders>
            <w:shd w:val="clear" w:color="auto" w:fill="auto"/>
            <w:vAlign w:val="bottom"/>
          </w:tcPr>
          <w:p w14:paraId="0B164961"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3</w:t>
            </w:r>
          </w:p>
        </w:tc>
        <w:tc>
          <w:tcPr>
            <w:tcW w:w="566" w:type="dxa"/>
            <w:tcBorders>
              <w:top w:val="single" w:sz="4" w:space="0" w:color="auto"/>
              <w:bottom w:val="single" w:sz="12" w:space="0" w:color="auto"/>
            </w:tcBorders>
            <w:shd w:val="clear" w:color="auto" w:fill="auto"/>
            <w:vAlign w:val="bottom"/>
          </w:tcPr>
          <w:p w14:paraId="7109BA98"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1</w:t>
            </w:r>
          </w:p>
        </w:tc>
        <w:tc>
          <w:tcPr>
            <w:tcW w:w="575" w:type="dxa"/>
            <w:tcBorders>
              <w:top w:val="single" w:sz="4" w:space="0" w:color="auto"/>
              <w:bottom w:val="single" w:sz="12" w:space="0" w:color="auto"/>
            </w:tcBorders>
            <w:shd w:val="clear" w:color="auto" w:fill="auto"/>
            <w:vAlign w:val="bottom"/>
          </w:tcPr>
          <w:p w14:paraId="1D484771"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1</w:t>
            </w:r>
          </w:p>
        </w:tc>
        <w:tc>
          <w:tcPr>
            <w:tcW w:w="566" w:type="dxa"/>
            <w:tcBorders>
              <w:top w:val="single" w:sz="4" w:space="0" w:color="auto"/>
              <w:bottom w:val="single" w:sz="12" w:space="0" w:color="auto"/>
            </w:tcBorders>
            <w:shd w:val="clear" w:color="auto" w:fill="auto"/>
            <w:vAlign w:val="bottom"/>
          </w:tcPr>
          <w:p w14:paraId="78E97504"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1</w:t>
            </w:r>
          </w:p>
        </w:tc>
        <w:tc>
          <w:tcPr>
            <w:tcW w:w="566" w:type="dxa"/>
            <w:tcBorders>
              <w:top w:val="single" w:sz="4" w:space="0" w:color="auto"/>
              <w:bottom w:val="single" w:sz="12" w:space="0" w:color="auto"/>
            </w:tcBorders>
            <w:shd w:val="clear" w:color="auto" w:fill="auto"/>
            <w:vAlign w:val="bottom"/>
          </w:tcPr>
          <w:p w14:paraId="2F3B18C9"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1</w:t>
            </w:r>
          </w:p>
        </w:tc>
        <w:tc>
          <w:tcPr>
            <w:tcW w:w="566" w:type="dxa"/>
            <w:tcBorders>
              <w:top w:val="single" w:sz="4" w:space="0" w:color="auto"/>
              <w:bottom w:val="single" w:sz="12" w:space="0" w:color="auto"/>
            </w:tcBorders>
            <w:shd w:val="clear" w:color="auto" w:fill="auto"/>
            <w:vAlign w:val="bottom"/>
          </w:tcPr>
          <w:p w14:paraId="09329417"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1</w:t>
            </w:r>
          </w:p>
        </w:tc>
        <w:tc>
          <w:tcPr>
            <w:tcW w:w="575" w:type="dxa"/>
            <w:tcBorders>
              <w:top w:val="single" w:sz="4" w:space="0" w:color="auto"/>
              <w:bottom w:val="single" w:sz="12" w:space="0" w:color="auto"/>
            </w:tcBorders>
            <w:shd w:val="clear" w:color="auto" w:fill="auto"/>
            <w:vAlign w:val="bottom"/>
          </w:tcPr>
          <w:p w14:paraId="7467EB41"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2</w:t>
            </w:r>
          </w:p>
        </w:tc>
        <w:tc>
          <w:tcPr>
            <w:tcW w:w="651" w:type="dxa"/>
            <w:tcBorders>
              <w:top w:val="single" w:sz="4" w:space="0" w:color="auto"/>
              <w:bottom w:val="single" w:sz="12" w:space="0" w:color="auto"/>
            </w:tcBorders>
            <w:shd w:val="clear" w:color="auto" w:fill="auto"/>
            <w:vAlign w:val="bottom"/>
          </w:tcPr>
          <w:p w14:paraId="51B8FF98" w14:textId="77777777" w:rsidR="009A20AA" w:rsidRPr="0017279A" w:rsidRDefault="009A20AA"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rFonts w:eastAsia="Calibri"/>
                <w:b/>
                <w:sz w:val="18"/>
                <w:lang w:val="fr-CH"/>
              </w:rPr>
            </w:pPr>
            <w:r w:rsidRPr="0017279A">
              <w:rPr>
                <w:rFonts w:eastAsia="Calibri"/>
                <w:b/>
                <w:sz w:val="18"/>
                <w:lang w:val="fr-CH"/>
              </w:rPr>
              <w:t>24</w:t>
            </w:r>
          </w:p>
        </w:tc>
      </w:tr>
    </w:tbl>
    <w:p w14:paraId="401F087C" w14:textId="77777777" w:rsidR="00575165" w:rsidRPr="001561A6" w:rsidRDefault="00575165" w:rsidP="009A20AA">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Service de prévention de la torture.</w:t>
      </w:r>
    </w:p>
    <w:p w14:paraId="01954E80" w14:textId="77777777" w:rsidR="00575165" w:rsidRPr="001561A6" w:rsidRDefault="00575165" w:rsidP="00575165">
      <w:pPr>
        <w:pStyle w:val="H23G"/>
      </w:pPr>
      <w:r w:rsidRPr="001561A6">
        <w:tab/>
      </w:r>
      <w:r w:rsidRPr="001561A6">
        <w:tab/>
        <w:t>Articles 12 et 13</w:t>
      </w:r>
    </w:p>
    <w:p w14:paraId="57F1229F" w14:textId="77777777" w:rsidR="00575165" w:rsidRPr="001561A6" w:rsidRDefault="00575165" w:rsidP="00575165">
      <w:pPr>
        <w:pStyle w:val="H23G"/>
      </w:pPr>
      <w:r w:rsidRPr="001561A6">
        <w:tab/>
      </w:r>
      <w:r w:rsidRPr="001561A6">
        <w:tab/>
        <w:t>Réponse à la question posée au paragraphe 23 de la liste de points</w:t>
      </w:r>
    </w:p>
    <w:p w14:paraId="58CA085A" w14:textId="77777777" w:rsidR="00575165" w:rsidRPr="001561A6" w:rsidRDefault="00575165" w:rsidP="00575165">
      <w:pPr>
        <w:pStyle w:val="SingleTxtG"/>
      </w:pPr>
      <w:r w:rsidRPr="001561A6">
        <w:t>101.</w:t>
      </w:r>
      <w:r w:rsidRPr="001561A6">
        <w:tab/>
        <w:t>Le Service de prévention de la torture a reçu 11 plaintes pour torture au cours de la période allant du 1</w:t>
      </w:r>
      <w:r w:rsidRPr="001561A6">
        <w:rPr>
          <w:vertAlign w:val="superscript"/>
        </w:rPr>
        <w:t>er</w:t>
      </w:r>
      <w:r w:rsidRPr="001561A6">
        <w:t> septembre 2019 au 31 décembre 2019.</w:t>
      </w:r>
    </w:p>
    <w:tbl>
      <w:tblPr>
        <w:tblStyle w:val="GridTable4-Accent61"/>
        <w:tblW w:w="7370" w:type="dxa"/>
        <w:tblInd w:w="1134" w:type="dxa"/>
        <w:tblBorders>
          <w:top w:val="single" w:sz="4" w:space="0" w:color="auto"/>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4A0" w:firstRow="1" w:lastRow="0" w:firstColumn="1" w:lastColumn="0" w:noHBand="0" w:noVBand="1"/>
      </w:tblPr>
      <w:tblGrid>
        <w:gridCol w:w="611"/>
        <w:gridCol w:w="658"/>
        <w:gridCol w:w="728"/>
        <w:gridCol w:w="1022"/>
        <w:gridCol w:w="966"/>
        <w:gridCol w:w="629"/>
        <w:gridCol w:w="686"/>
        <w:gridCol w:w="504"/>
        <w:gridCol w:w="910"/>
        <w:gridCol w:w="656"/>
      </w:tblGrid>
      <w:tr w:rsidR="00B609A7" w:rsidRPr="00AC1DE2" w14:paraId="699BC8C4" w14:textId="77777777" w:rsidTr="00AC1D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1" w:type="dxa"/>
            <w:tcBorders>
              <w:top w:val="none" w:sz="0" w:space="0" w:color="auto"/>
              <w:left w:val="none" w:sz="0" w:space="0" w:color="auto"/>
              <w:bottom w:val="none" w:sz="0" w:space="0" w:color="auto"/>
              <w:right w:val="none" w:sz="0" w:space="0" w:color="auto"/>
            </w:tcBorders>
            <w:shd w:val="clear" w:color="auto" w:fill="auto"/>
            <w:vAlign w:val="bottom"/>
          </w:tcPr>
          <w:p w14:paraId="59AF3AC9" w14:textId="77777777" w:rsidR="00B609A7" w:rsidRPr="00AC1DE2" w:rsidRDefault="00B609A7" w:rsidP="00AC1DE2">
            <w:pPr>
              <w:suppressAutoHyphens w:val="0"/>
              <w:spacing w:before="80" w:after="80" w:line="200" w:lineRule="exact"/>
              <w:rPr>
                <w:b w:val="0"/>
                <w:i/>
                <w:color w:val="auto"/>
                <w:sz w:val="16"/>
                <w:lang w:val="fr-CH"/>
              </w:rPr>
            </w:pPr>
            <w:r w:rsidRPr="00AC1DE2">
              <w:rPr>
                <w:b w:val="0"/>
                <w:i/>
                <w:color w:val="auto"/>
                <w:sz w:val="16"/>
                <w:lang w:val="fr-CH"/>
              </w:rPr>
              <w:t>La Paz</w:t>
            </w:r>
          </w:p>
        </w:tc>
        <w:tc>
          <w:tcPr>
            <w:tcW w:w="658" w:type="dxa"/>
            <w:tcBorders>
              <w:top w:val="none" w:sz="0" w:space="0" w:color="auto"/>
              <w:left w:val="none" w:sz="0" w:space="0" w:color="auto"/>
              <w:bottom w:val="none" w:sz="0" w:space="0" w:color="auto"/>
              <w:right w:val="none" w:sz="0" w:space="0" w:color="auto"/>
            </w:tcBorders>
            <w:shd w:val="clear" w:color="auto" w:fill="auto"/>
            <w:vAlign w:val="bottom"/>
          </w:tcPr>
          <w:p w14:paraId="326F25E9" w14:textId="77777777" w:rsidR="00B609A7"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Oruro</w:t>
            </w:r>
          </w:p>
        </w:tc>
        <w:tc>
          <w:tcPr>
            <w:tcW w:w="728" w:type="dxa"/>
            <w:tcBorders>
              <w:top w:val="none" w:sz="0" w:space="0" w:color="auto"/>
              <w:left w:val="none" w:sz="0" w:space="0" w:color="auto"/>
              <w:bottom w:val="none" w:sz="0" w:space="0" w:color="auto"/>
              <w:right w:val="none" w:sz="0" w:space="0" w:color="auto"/>
            </w:tcBorders>
            <w:shd w:val="clear" w:color="auto" w:fill="auto"/>
            <w:vAlign w:val="bottom"/>
          </w:tcPr>
          <w:p w14:paraId="6D0E1CE8" w14:textId="77777777" w:rsidR="00B609A7"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Potosí</w:t>
            </w:r>
          </w:p>
        </w:tc>
        <w:tc>
          <w:tcPr>
            <w:tcW w:w="1022" w:type="dxa"/>
            <w:tcBorders>
              <w:top w:val="none" w:sz="0" w:space="0" w:color="auto"/>
              <w:left w:val="none" w:sz="0" w:space="0" w:color="auto"/>
              <w:bottom w:val="none" w:sz="0" w:space="0" w:color="auto"/>
              <w:right w:val="none" w:sz="0" w:space="0" w:color="auto"/>
            </w:tcBorders>
            <w:shd w:val="clear" w:color="auto" w:fill="auto"/>
            <w:vAlign w:val="bottom"/>
          </w:tcPr>
          <w:p w14:paraId="5177D223" w14:textId="77777777" w:rsidR="00B609A7"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Cochabamba</w:t>
            </w:r>
          </w:p>
        </w:tc>
        <w:tc>
          <w:tcPr>
            <w:tcW w:w="966" w:type="dxa"/>
            <w:tcBorders>
              <w:top w:val="none" w:sz="0" w:space="0" w:color="auto"/>
              <w:left w:val="none" w:sz="0" w:space="0" w:color="auto"/>
              <w:bottom w:val="none" w:sz="0" w:space="0" w:color="auto"/>
              <w:right w:val="none" w:sz="0" w:space="0" w:color="auto"/>
            </w:tcBorders>
            <w:shd w:val="clear" w:color="auto" w:fill="auto"/>
            <w:vAlign w:val="bottom"/>
          </w:tcPr>
          <w:p w14:paraId="7CC56B3E" w14:textId="77777777" w:rsidR="00B609A7"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Chuquisaca</w:t>
            </w:r>
          </w:p>
        </w:tc>
        <w:tc>
          <w:tcPr>
            <w:tcW w:w="629" w:type="dxa"/>
            <w:tcBorders>
              <w:top w:val="none" w:sz="0" w:space="0" w:color="auto"/>
              <w:left w:val="none" w:sz="0" w:space="0" w:color="auto"/>
              <w:bottom w:val="none" w:sz="0" w:space="0" w:color="auto"/>
              <w:right w:val="none" w:sz="0" w:space="0" w:color="auto"/>
            </w:tcBorders>
            <w:shd w:val="clear" w:color="auto" w:fill="auto"/>
            <w:vAlign w:val="bottom"/>
          </w:tcPr>
          <w:p w14:paraId="3CB02442" w14:textId="77777777" w:rsidR="00B609A7"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Tarija</w:t>
            </w:r>
          </w:p>
        </w:tc>
        <w:tc>
          <w:tcPr>
            <w:tcW w:w="686" w:type="dxa"/>
            <w:tcBorders>
              <w:top w:val="none" w:sz="0" w:space="0" w:color="auto"/>
              <w:left w:val="none" w:sz="0" w:space="0" w:color="auto"/>
              <w:bottom w:val="none" w:sz="0" w:space="0" w:color="auto"/>
              <w:right w:val="none" w:sz="0" w:space="0" w:color="auto"/>
            </w:tcBorders>
            <w:shd w:val="clear" w:color="auto" w:fill="auto"/>
            <w:vAlign w:val="bottom"/>
          </w:tcPr>
          <w:p w14:paraId="4C6BBFD5" w14:textId="77777777" w:rsidR="00B609A7"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Pando</w:t>
            </w:r>
          </w:p>
        </w:tc>
        <w:tc>
          <w:tcPr>
            <w:tcW w:w="504" w:type="dxa"/>
            <w:tcBorders>
              <w:top w:val="none" w:sz="0" w:space="0" w:color="auto"/>
              <w:left w:val="none" w:sz="0" w:space="0" w:color="auto"/>
              <w:bottom w:val="none" w:sz="0" w:space="0" w:color="auto"/>
              <w:right w:val="none" w:sz="0" w:space="0" w:color="auto"/>
            </w:tcBorders>
            <w:shd w:val="clear" w:color="auto" w:fill="auto"/>
            <w:vAlign w:val="bottom"/>
          </w:tcPr>
          <w:p w14:paraId="5CAB2FA2" w14:textId="77777777" w:rsidR="00B609A7"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Beni</w:t>
            </w:r>
          </w:p>
        </w:tc>
        <w:tc>
          <w:tcPr>
            <w:tcW w:w="910" w:type="dxa"/>
            <w:tcBorders>
              <w:top w:val="none" w:sz="0" w:space="0" w:color="auto"/>
              <w:left w:val="none" w:sz="0" w:space="0" w:color="auto"/>
              <w:bottom w:val="none" w:sz="0" w:space="0" w:color="auto"/>
              <w:right w:val="none" w:sz="0" w:space="0" w:color="auto"/>
            </w:tcBorders>
            <w:shd w:val="clear" w:color="auto" w:fill="auto"/>
            <w:vAlign w:val="bottom"/>
          </w:tcPr>
          <w:p w14:paraId="2E4F5137" w14:textId="77777777" w:rsidR="00B609A7"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Santa Cruz</w:t>
            </w:r>
          </w:p>
        </w:tc>
        <w:tc>
          <w:tcPr>
            <w:tcW w:w="656" w:type="dxa"/>
            <w:tcBorders>
              <w:top w:val="none" w:sz="0" w:space="0" w:color="auto"/>
              <w:left w:val="none" w:sz="0" w:space="0" w:color="auto"/>
              <w:bottom w:val="none" w:sz="0" w:space="0" w:color="auto"/>
              <w:right w:val="none" w:sz="0" w:space="0" w:color="auto"/>
            </w:tcBorders>
            <w:shd w:val="clear" w:color="auto" w:fill="auto"/>
            <w:vAlign w:val="bottom"/>
          </w:tcPr>
          <w:p w14:paraId="33EB6C05" w14:textId="77777777" w:rsidR="00B609A7" w:rsidRPr="00AC1DE2" w:rsidRDefault="00B609A7" w:rsidP="00AC1DE2">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C1DE2">
              <w:rPr>
                <w:b w:val="0"/>
                <w:i/>
                <w:color w:val="auto"/>
                <w:sz w:val="16"/>
                <w:lang w:val="fr-CH"/>
              </w:rPr>
              <w:t>T</w:t>
            </w:r>
            <w:r w:rsidR="00570C73" w:rsidRPr="00AC1DE2">
              <w:rPr>
                <w:b w:val="0"/>
                <w:i/>
                <w:color w:val="auto"/>
                <w:sz w:val="16"/>
                <w:lang w:val="fr-CH"/>
              </w:rPr>
              <w:t>otal</w:t>
            </w:r>
          </w:p>
        </w:tc>
      </w:tr>
      <w:tr w:rsidR="00B609A7" w:rsidRPr="00AC1DE2" w14:paraId="30740A11" w14:textId="77777777" w:rsidTr="00AC1D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 w:type="dxa"/>
            <w:shd w:val="clear" w:color="auto" w:fill="auto"/>
          </w:tcPr>
          <w:p w14:paraId="1871F5F3" w14:textId="77777777" w:rsidR="00B609A7" w:rsidRPr="00AC1DE2" w:rsidRDefault="00B609A7" w:rsidP="00AC1DE2">
            <w:pPr>
              <w:suppressAutoHyphens w:val="0"/>
              <w:spacing w:before="40" w:after="40" w:line="220" w:lineRule="exact"/>
              <w:rPr>
                <w:sz w:val="18"/>
                <w:lang w:val="fr-CH"/>
              </w:rPr>
            </w:pPr>
            <w:r w:rsidRPr="00AC1DE2">
              <w:rPr>
                <w:sz w:val="18"/>
                <w:lang w:val="fr-CH"/>
              </w:rPr>
              <w:t>11</w:t>
            </w:r>
          </w:p>
        </w:tc>
        <w:tc>
          <w:tcPr>
            <w:tcW w:w="658" w:type="dxa"/>
            <w:shd w:val="clear" w:color="auto" w:fill="auto"/>
            <w:vAlign w:val="bottom"/>
          </w:tcPr>
          <w:p w14:paraId="66F53095" w14:textId="77777777" w:rsidR="00B609A7" w:rsidRPr="00AC1DE2" w:rsidRDefault="00B609A7"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0</w:t>
            </w:r>
          </w:p>
        </w:tc>
        <w:tc>
          <w:tcPr>
            <w:tcW w:w="728" w:type="dxa"/>
            <w:shd w:val="clear" w:color="auto" w:fill="auto"/>
            <w:vAlign w:val="bottom"/>
          </w:tcPr>
          <w:p w14:paraId="6755C501" w14:textId="77777777" w:rsidR="00B609A7" w:rsidRPr="00AC1DE2" w:rsidRDefault="00B609A7"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0</w:t>
            </w:r>
          </w:p>
        </w:tc>
        <w:tc>
          <w:tcPr>
            <w:tcW w:w="1022" w:type="dxa"/>
            <w:shd w:val="clear" w:color="auto" w:fill="auto"/>
            <w:vAlign w:val="bottom"/>
          </w:tcPr>
          <w:p w14:paraId="6073A163" w14:textId="77777777" w:rsidR="00B609A7" w:rsidRPr="00AC1DE2" w:rsidRDefault="00B609A7"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0</w:t>
            </w:r>
          </w:p>
        </w:tc>
        <w:tc>
          <w:tcPr>
            <w:tcW w:w="966" w:type="dxa"/>
            <w:shd w:val="clear" w:color="auto" w:fill="auto"/>
            <w:vAlign w:val="bottom"/>
          </w:tcPr>
          <w:p w14:paraId="4F032DA1" w14:textId="77777777" w:rsidR="00B609A7" w:rsidRPr="00AC1DE2" w:rsidRDefault="00B609A7"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0</w:t>
            </w:r>
          </w:p>
        </w:tc>
        <w:tc>
          <w:tcPr>
            <w:tcW w:w="629" w:type="dxa"/>
            <w:shd w:val="clear" w:color="auto" w:fill="auto"/>
            <w:vAlign w:val="bottom"/>
          </w:tcPr>
          <w:p w14:paraId="47FA4B16" w14:textId="77777777" w:rsidR="00B609A7" w:rsidRPr="00AC1DE2" w:rsidRDefault="00B609A7"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0</w:t>
            </w:r>
          </w:p>
        </w:tc>
        <w:tc>
          <w:tcPr>
            <w:tcW w:w="686" w:type="dxa"/>
            <w:shd w:val="clear" w:color="auto" w:fill="auto"/>
            <w:vAlign w:val="bottom"/>
          </w:tcPr>
          <w:p w14:paraId="681F5D69" w14:textId="77777777" w:rsidR="00B609A7" w:rsidRPr="00AC1DE2" w:rsidRDefault="00B609A7"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0</w:t>
            </w:r>
          </w:p>
        </w:tc>
        <w:tc>
          <w:tcPr>
            <w:tcW w:w="504" w:type="dxa"/>
            <w:shd w:val="clear" w:color="auto" w:fill="auto"/>
            <w:vAlign w:val="bottom"/>
          </w:tcPr>
          <w:p w14:paraId="164F7DDB" w14:textId="77777777" w:rsidR="00B609A7" w:rsidRPr="00AC1DE2" w:rsidRDefault="00B609A7"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0</w:t>
            </w:r>
          </w:p>
        </w:tc>
        <w:tc>
          <w:tcPr>
            <w:tcW w:w="910" w:type="dxa"/>
            <w:shd w:val="clear" w:color="auto" w:fill="auto"/>
            <w:vAlign w:val="bottom"/>
          </w:tcPr>
          <w:p w14:paraId="029C05F1" w14:textId="77777777" w:rsidR="00B609A7" w:rsidRPr="00AC1DE2" w:rsidRDefault="00B609A7"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0</w:t>
            </w:r>
          </w:p>
        </w:tc>
        <w:tc>
          <w:tcPr>
            <w:tcW w:w="656" w:type="dxa"/>
            <w:shd w:val="clear" w:color="auto" w:fill="auto"/>
            <w:vAlign w:val="bottom"/>
          </w:tcPr>
          <w:p w14:paraId="369C97B0" w14:textId="77777777" w:rsidR="00B609A7" w:rsidRPr="00AC1DE2" w:rsidRDefault="00B609A7" w:rsidP="00AC1DE2">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lang w:val="fr-CH"/>
              </w:rPr>
            </w:pPr>
            <w:r w:rsidRPr="00AC1DE2">
              <w:rPr>
                <w:sz w:val="18"/>
                <w:lang w:val="fr-CH"/>
              </w:rPr>
              <w:t>11</w:t>
            </w:r>
          </w:p>
        </w:tc>
      </w:tr>
    </w:tbl>
    <w:p w14:paraId="6EB2F175" w14:textId="77777777" w:rsidR="00575165" w:rsidRPr="001561A6" w:rsidRDefault="00575165" w:rsidP="00B609A7">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Service de prévention de la torture.</w:t>
      </w:r>
    </w:p>
    <w:p w14:paraId="61E61A0D" w14:textId="77777777" w:rsidR="00575165" w:rsidRPr="001561A6" w:rsidRDefault="00575165" w:rsidP="0017279A">
      <w:pPr>
        <w:pStyle w:val="SingleTxtG"/>
        <w:keepNext/>
      </w:pPr>
      <w:r w:rsidRPr="001561A6">
        <w:t>102.</w:t>
      </w:r>
      <w:r w:rsidRPr="001561A6">
        <w:tab/>
        <w:t>Le Service de prévention de la torture a saisi le Bureau du Procureur départemental de La Paz des plaintes correspondantes, qui sont en cours d</w:t>
      </w:r>
      <w:r w:rsidR="009258E3">
        <w:t>’</w:t>
      </w:r>
      <w:r w:rsidRPr="001561A6">
        <w:t>instruction, et dont on trouvera le détail ci-dessous.</w:t>
      </w:r>
    </w:p>
    <w:tbl>
      <w:tblPr>
        <w:tblStyle w:val="GridTable4-Accent61"/>
        <w:tblW w:w="7371"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6"/>
        <w:gridCol w:w="269"/>
        <w:gridCol w:w="656"/>
        <w:gridCol w:w="640"/>
        <w:gridCol w:w="762"/>
        <w:gridCol w:w="729"/>
        <w:gridCol w:w="771"/>
        <w:gridCol w:w="504"/>
        <w:gridCol w:w="741"/>
        <w:gridCol w:w="1375"/>
        <w:gridCol w:w="608"/>
      </w:tblGrid>
      <w:tr w:rsidR="00293666" w:rsidRPr="001561A6" w14:paraId="6917E074" w14:textId="77777777" w:rsidTr="0029366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86" w:type="dxa"/>
            <w:gridSpan w:val="2"/>
            <w:tcBorders>
              <w:top w:val="single" w:sz="4" w:space="0" w:color="auto"/>
              <w:left w:val="nil"/>
              <w:bottom w:val="nil"/>
            </w:tcBorders>
            <w:shd w:val="clear" w:color="auto" w:fill="auto"/>
          </w:tcPr>
          <w:p w14:paraId="53824B00" w14:textId="77777777" w:rsidR="00293666" w:rsidRPr="00293666" w:rsidRDefault="00293666" w:rsidP="0017279A">
            <w:pPr>
              <w:keepNext/>
              <w:spacing w:before="80" w:after="80" w:line="200" w:lineRule="exact"/>
              <w:jc w:val="center"/>
              <w:rPr>
                <w:b w:val="0"/>
                <w:bCs w:val="0"/>
                <w:i/>
                <w:iCs/>
                <w:sz w:val="16"/>
                <w:szCs w:val="16"/>
                <w:lang w:val="fr-CH"/>
              </w:rPr>
            </w:pPr>
            <w:bookmarkStart w:id="2" w:name="_Hlk57909503"/>
            <w:r w:rsidRPr="00293666">
              <w:rPr>
                <w:b w:val="0"/>
                <w:bCs w:val="0"/>
                <w:i/>
                <w:iCs/>
                <w:color w:val="auto"/>
                <w:sz w:val="16"/>
                <w:szCs w:val="16"/>
                <w:lang w:val="fr-CH"/>
              </w:rPr>
              <w:t>Sexe</w:t>
            </w:r>
          </w:p>
        </w:tc>
        <w:tc>
          <w:tcPr>
            <w:tcW w:w="655" w:type="dxa"/>
            <w:tcBorders>
              <w:top w:val="single" w:sz="4" w:space="0" w:color="auto"/>
              <w:bottom w:val="nil"/>
            </w:tcBorders>
            <w:shd w:val="clear" w:color="auto" w:fill="auto"/>
          </w:tcPr>
          <w:p w14:paraId="48841684" w14:textId="77777777" w:rsidR="00293666" w:rsidRPr="001561A6" w:rsidRDefault="00293666" w:rsidP="0017279A">
            <w:pPr>
              <w:keepNext/>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i/>
                <w:sz w:val="18"/>
                <w:szCs w:val="18"/>
              </w:rPr>
            </w:pPr>
          </w:p>
        </w:tc>
        <w:tc>
          <w:tcPr>
            <w:tcW w:w="639" w:type="dxa"/>
            <w:tcBorders>
              <w:top w:val="single" w:sz="4" w:space="0" w:color="auto"/>
              <w:bottom w:val="nil"/>
            </w:tcBorders>
            <w:shd w:val="clear" w:color="auto" w:fill="auto"/>
            <w:vAlign w:val="bottom"/>
          </w:tcPr>
          <w:p w14:paraId="0E60A5CA" w14:textId="77777777" w:rsidR="00293666" w:rsidRPr="00B57E09" w:rsidRDefault="00293666" w:rsidP="0017279A">
            <w:pPr>
              <w:keepNext/>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i/>
                <w:sz w:val="18"/>
                <w:szCs w:val="18"/>
                <w:highlight w:val="yellow"/>
              </w:rPr>
            </w:pPr>
          </w:p>
        </w:tc>
        <w:tc>
          <w:tcPr>
            <w:tcW w:w="2762" w:type="dxa"/>
            <w:gridSpan w:val="4"/>
            <w:tcBorders>
              <w:top w:val="single" w:sz="4" w:space="0" w:color="auto"/>
              <w:bottom w:val="single" w:sz="4" w:space="0" w:color="auto"/>
            </w:tcBorders>
            <w:shd w:val="clear" w:color="auto" w:fill="auto"/>
            <w:vAlign w:val="bottom"/>
          </w:tcPr>
          <w:p w14:paraId="2CC4F613" w14:textId="77777777" w:rsidR="00293666" w:rsidRPr="00293666" w:rsidRDefault="00293666" w:rsidP="0017279A">
            <w:pPr>
              <w:keepNext/>
              <w:spacing w:before="80" w:after="80" w:line="200" w:lineRule="exact"/>
              <w:ind w:left="113"/>
              <w:jc w:val="center"/>
              <w:cnfStyle w:val="100000000000" w:firstRow="1" w:lastRow="0" w:firstColumn="0" w:lastColumn="0" w:oddVBand="0" w:evenVBand="0" w:oddHBand="0" w:evenHBand="0" w:firstRowFirstColumn="0" w:firstRowLastColumn="0" w:lastRowFirstColumn="0" w:lastRowLastColumn="0"/>
              <w:rPr>
                <w:b w:val="0"/>
                <w:bCs w:val="0"/>
                <w:sz w:val="18"/>
                <w:highlight w:val="yellow"/>
              </w:rPr>
            </w:pPr>
            <w:r w:rsidRPr="00293666">
              <w:rPr>
                <w:b w:val="0"/>
                <w:bCs w:val="0"/>
                <w:i/>
                <w:color w:val="auto"/>
                <w:sz w:val="16"/>
                <w:lang w:val="fr-CH"/>
              </w:rPr>
              <w:t>Âge</w:t>
            </w:r>
          </w:p>
        </w:tc>
        <w:tc>
          <w:tcPr>
            <w:tcW w:w="740" w:type="dxa"/>
            <w:vMerge w:val="restart"/>
            <w:tcBorders>
              <w:top w:val="single" w:sz="4" w:space="0" w:color="auto"/>
            </w:tcBorders>
            <w:shd w:val="clear" w:color="auto" w:fill="auto"/>
            <w:vAlign w:val="bottom"/>
          </w:tcPr>
          <w:p w14:paraId="1B20F984" w14:textId="77777777" w:rsidR="00293666" w:rsidRPr="00293666" w:rsidRDefault="00293666" w:rsidP="0017279A">
            <w:pPr>
              <w:keepNext/>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b w:val="0"/>
                <w:bCs w:val="0"/>
                <w:i/>
                <w:sz w:val="16"/>
              </w:rPr>
            </w:pPr>
            <w:r w:rsidRPr="00293666">
              <w:rPr>
                <w:b w:val="0"/>
                <w:bCs w:val="0"/>
                <w:i/>
                <w:color w:val="auto"/>
                <w:sz w:val="16"/>
                <w:lang w:val="fr-CH"/>
              </w:rPr>
              <w:t>Torture</w:t>
            </w:r>
          </w:p>
        </w:tc>
        <w:tc>
          <w:tcPr>
            <w:tcW w:w="1374" w:type="dxa"/>
            <w:vMerge w:val="restart"/>
            <w:tcBorders>
              <w:top w:val="single" w:sz="4" w:space="0" w:color="auto"/>
            </w:tcBorders>
            <w:shd w:val="clear" w:color="auto" w:fill="auto"/>
            <w:vAlign w:val="bottom"/>
          </w:tcPr>
          <w:p w14:paraId="5B1102C9" w14:textId="77777777" w:rsidR="00293666" w:rsidRPr="00293666" w:rsidRDefault="00293666" w:rsidP="0017279A">
            <w:pPr>
              <w:keepNext/>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b w:val="0"/>
                <w:bCs w:val="0"/>
                <w:i/>
                <w:sz w:val="16"/>
              </w:rPr>
            </w:pPr>
            <w:r w:rsidRPr="00293666">
              <w:rPr>
                <w:b w:val="0"/>
                <w:bCs w:val="0"/>
                <w:i/>
                <w:color w:val="auto"/>
                <w:sz w:val="16"/>
                <w:lang w:val="fr-CH"/>
              </w:rPr>
              <w:t>Usage de la force</w:t>
            </w:r>
          </w:p>
        </w:tc>
        <w:tc>
          <w:tcPr>
            <w:tcW w:w="607" w:type="dxa"/>
            <w:vMerge w:val="restart"/>
            <w:tcBorders>
              <w:top w:val="single" w:sz="4" w:space="0" w:color="auto"/>
              <w:bottom w:val="single" w:sz="12" w:space="0" w:color="auto"/>
              <w:right w:val="nil"/>
            </w:tcBorders>
            <w:shd w:val="clear" w:color="auto" w:fill="auto"/>
            <w:vAlign w:val="bottom"/>
          </w:tcPr>
          <w:p w14:paraId="36A4BDF3" w14:textId="77777777" w:rsidR="00293666" w:rsidRPr="00293666" w:rsidRDefault="00293666" w:rsidP="0017279A">
            <w:pPr>
              <w:keepNext/>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b w:val="0"/>
                <w:bCs w:val="0"/>
                <w:i/>
                <w:sz w:val="16"/>
              </w:rPr>
            </w:pPr>
            <w:r w:rsidRPr="00293666">
              <w:rPr>
                <w:b w:val="0"/>
                <w:bCs w:val="0"/>
                <w:i/>
                <w:color w:val="auto"/>
                <w:sz w:val="16"/>
                <w:lang w:val="fr-CH"/>
              </w:rPr>
              <w:t>Décès</w:t>
            </w:r>
          </w:p>
        </w:tc>
      </w:tr>
      <w:tr w:rsidR="00293666" w:rsidRPr="001561A6" w14:paraId="6B2D6C38" w14:textId="77777777" w:rsidTr="0029366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17" w:type="dxa"/>
            <w:tcBorders>
              <w:top w:val="single" w:sz="4" w:space="0" w:color="auto"/>
              <w:bottom w:val="single" w:sz="12" w:space="0" w:color="auto"/>
            </w:tcBorders>
            <w:shd w:val="clear" w:color="auto" w:fill="auto"/>
          </w:tcPr>
          <w:p w14:paraId="540A9F6D" w14:textId="77777777" w:rsidR="00293666" w:rsidRPr="00293666" w:rsidRDefault="00293666" w:rsidP="00293666">
            <w:pPr>
              <w:spacing w:before="80" w:after="80" w:line="200" w:lineRule="exact"/>
              <w:rPr>
                <w:b w:val="0"/>
                <w:bCs w:val="0"/>
                <w:i/>
                <w:iCs/>
                <w:sz w:val="18"/>
                <w:lang w:val="fr-CH"/>
              </w:rPr>
            </w:pPr>
            <w:r w:rsidRPr="00293666">
              <w:rPr>
                <w:b w:val="0"/>
                <w:bCs w:val="0"/>
                <w:i/>
                <w:iCs/>
                <w:sz w:val="18"/>
                <w:lang w:val="fr-CH"/>
              </w:rPr>
              <w:t>F</w:t>
            </w:r>
          </w:p>
        </w:tc>
        <w:tc>
          <w:tcPr>
            <w:tcW w:w="269" w:type="dxa"/>
            <w:tcBorders>
              <w:top w:val="single" w:sz="4" w:space="0" w:color="auto"/>
              <w:bottom w:val="single" w:sz="12" w:space="0" w:color="auto"/>
            </w:tcBorders>
            <w:shd w:val="clear" w:color="auto" w:fill="auto"/>
          </w:tcPr>
          <w:p w14:paraId="3692F7E8" w14:textId="77777777" w:rsidR="00293666" w:rsidRPr="00293666" w:rsidRDefault="00293666" w:rsidP="00293666">
            <w:pPr>
              <w:spacing w:before="80" w:after="80" w:line="200" w:lineRule="exact"/>
              <w:cnfStyle w:val="000000100000" w:firstRow="0" w:lastRow="0" w:firstColumn="0" w:lastColumn="0" w:oddVBand="0" w:evenVBand="0" w:oddHBand="1" w:evenHBand="0" w:firstRowFirstColumn="0" w:firstRowLastColumn="0" w:lastRowFirstColumn="0" w:lastRowLastColumn="0"/>
              <w:rPr>
                <w:b/>
                <w:i/>
                <w:iCs/>
                <w:sz w:val="18"/>
                <w:lang w:val="fr-CH"/>
              </w:rPr>
            </w:pPr>
            <w:r w:rsidRPr="00293666">
              <w:rPr>
                <w:i/>
                <w:iCs/>
                <w:sz w:val="18"/>
                <w:lang w:val="fr-CH"/>
              </w:rPr>
              <w:t>M</w:t>
            </w:r>
          </w:p>
        </w:tc>
        <w:tc>
          <w:tcPr>
            <w:tcW w:w="655" w:type="dxa"/>
            <w:tcBorders>
              <w:top w:val="nil"/>
              <w:bottom w:val="single" w:sz="12" w:space="0" w:color="auto"/>
            </w:tcBorders>
            <w:shd w:val="clear" w:color="auto" w:fill="auto"/>
          </w:tcPr>
          <w:p w14:paraId="3F3D5AEB" w14:textId="77777777" w:rsidR="00293666" w:rsidRPr="001561A6" w:rsidRDefault="00293666" w:rsidP="00293666">
            <w:pPr>
              <w:spacing w:before="80" w:after="80" w:line="200" w:lineRule="exact"/>
              <w:ind w:left="113"/>
              <w:jc w:val="right"/>
              <w:cnfStyle w:val="000000100000" w:firstRow="0" w:lastRow="0" w:firstColumn="0" w:lastColumn="0" w:oddVBand="0" w:evenVBand="0" w:oddHBand="1" w:evenHBand="0" w:firstRowFirstColumn="0" w:firstRowLastColumn="0" w:lastRowFirstColumn="0" w:lastRowLastColumn="0"/>
              <w:rPr>
                <w:b/>
                <w:sz w:val="18"/>
                <w:lang w:val="fr-CH"/>
              </w:rPr>
            </w:pPr>
            <w:r w:rsidRPr="001561A6">
              <w:rPr>
                <w:i/>
                <w:sz w:val="18"/>
                <w:szCs w:val="18"/>
                <w:lang w:val="fr-CH"/>
              </w:rPr>
              <w:t>LGTB</w:t>
            </w:r>
          </w:p>
        </w:tc>
        <w:tc>
          <w:tcPr>
            <w:tcW w:w="639" w:type="dxa"/>
            <w:tcBorders>
              <w:top w:val="nil"/>
              <w:bottom w:val="single" w:sz="12" w:space="0" w:color="auto"/>
            </w:tcBorders>
            <w:shd w:val="clear" w:color="auto" w:fill="auto"/>
            <w:vAlign w:val="bottom"/>
          </w:tcPr>
          <w:p w14:paraId="2FD5C8D5" w14:textId="77777777" w:rsidR="00293666" w:rsidRPr="004028ED" w:rsidRDefault="00293666" w:rsidP="00293666">
            <w:pPr>
              <w:spacing w:before="80" w:after="80" w:line="200" w:lineRule="exact"/>
              <w:ind w:left="113"/>
              <w:jc w:val="right"/>
              <w:cnfStyle w:val="000000100000" w:firstRow="0" w:lastRow="0" w:firstColumn="0" w:lastColumn="0" w:oddVBand="0" w:evenVBand="0" w:oddHBand="1" w:evenHBand="0" w:firstRowFirstColumn="0" w:firstRowLastColumn="0" w:lastRowFirstColumn="0" w:lastRowLastColumn="0"/>
              <w:rPr>
                <w:b/>
                <w:sz w:val="18"/>
                <w:lang w:val="fr-CH"/>
              </w:rPr>
            </w:pPr>
            <w:r w:rsidRPr="004028ED">
              <w:rPr>
                <w:i/>
                <w:sz w:val="18"/>
                <w:szCs w:val="18"/>
                <w:lang w:val="fr-CH"/>
              </w:rPr>
              <w:t>IOC</w:t>
            </w:r>
          </w:p>
        </w:tc>
        <w:tc>
          <w:tcPr>
            <w:tcW w:w="761" w:type="dxa"/>
            <w:tcBorders>
              <w:top w:val="single" w:sz="4" w:space="0" w:color="auto"/>
              <w:bottom w:val="single" w:sz="12" w:space="0" w:color="auto"/>
            </w:tcBorders>
            <w:shd w:val="clear" w:color="auto" w:fill="auto"/>
            <w:vAlign w:val="bottom"/>
          </w:tcPr>
          <w:p w14:paraId="37865697" w14:textId="77777777" w:rsidR="00293666" w:rsidRPr="004028ED" w:rsidRDefault="00293666" w:rsidP="00293666">
            <w:pPr>
              <w:spacing w:before="80" w:after="80" w:line="200" w:lineRule="exact"/>
              <w:ind w:left="113"/>
              <w:jc w:val="right"/>
              <w:cnfStyle w:val="000000100000" w:firstRow="0" w:lastRow="0" w:firstColumn="0" w:lastColumn="0" w:oddVBand="0" w:evenVBand="0" w:oddHBand="1" w:evenHBand="0" w:firstRowFirstColumn="0" w:firstRowLastColumn="0" w:lastRowFirstColumn="0" w:lastRowLastColumn="0"/>
              <w:rPr>
                <w:b/>
                <w:i/>
                <w:iCs/>
                <w:sz w:val="18"/>
                <w:lang w:val="fr-CH"/>
              </w:rPr>
            </w:pPr>
            <w:r w:rsidRPr="004028ED">
              <w:rPr>
                <w:i/>
                <w:iCs/>
                <w:sz w:val="18"/>
                <w:lang w:val="fr-CH"/>
              </w:rPr>
              <w:t>20 à 30</w:t>
            </w:r>
          </w:p>
        </w:tc>
        <w:tc>
          <w:tcPr>
            <w:tcW w:w="728" w:type="dxa"/>
            <w:tcBorders>
              <w:top w:val="single" w:sz="4" w:space="0" w:color="auto"/>
              <w:bottom w:val="single" w:sz="12" w:space="0" w:color="auto"/>
            </w:tcBorders>
            <w:shd w:val="clear" w:color="auto" w:fill="auto"/>
            <w:vAlign w:val="bottom"/>
          </w:tcPr>
          <w:p w14:paraId="37B4B613" w14:textId="77777777" w:rsidR="00293666" w:rsidRPr="004028ED" w:rsidRDefault="00293666" w:rsidP="00293666">
            <w:pPr>
              <w:spacing w:before="80" w:after="80" w:line="200" w:lineRule="exact"/>
              <w:ind w:left="113"/>
              <w:jc w:val="right"/>
              <w:cnfStyle w:val="000000100000" w:firstRow="0" w:lastRow="0" w:firstColumn="0" w:lastColumn="0" w:oddVBand="0" w:evenVBand="0" w:oddHBand="1" w:evenHBand="0" w:firstRowFirstColumn="0" w:firstRowLastColumn="0" w:lastRowFirstColumn="0" w:lastRowLastColumn="0"/>
              <w:rPr>
                <w:b/>
                <w:i/>
                <w:iCs/>
                <w:sz w:val="18"/>
                <w:lang w:val="fr-CH"/>
              </w:rPr>
            </w:pPr>
            <w:r w:rsidRPr="004028ED">
              <w:rPr>
                <w:i/>
                <w:iCs/>
                <w:sz w:val="18"/>
                <w:lang w:val="fr-CH"/>
              </w:rPr>
              <w:t>30 à 40</w:t>
            </w:r>
          </w:p>
        </w:tc>
        <w:tc>
          <w:tcPr>
            <w:tcW w:w="770" w:type="dxa"/>
            <w:tcBorders>
              <w:top w:val="single" w:sz="4" w:space="0" w:color="auto"/>
              <w:bottom w:val="single" w:sz="12" w:space="0" w:color="auto"/>
            </w:tcBorders>
            <w:shd w:val="clear" w:color="auto" w:fill="auto"/>
            <w:vAlign w:val="bottom"/>
          </w:tcPr>
          <w:p w14:paraId="2AB9BADD" w14:textId="77777777" w:rsidR="00293666" w:rsidRPr="004028ED" w:rsidRDefault="00293666" w:rsidP="00293666">
            <w:pPr>
              <w:spacing w:before="80" w:after="80" w:line="200" w:lineRule="exact"/>
              <w:ind w:left="113"/>
              <w:jc w:val="right"/>
              <w:cnfStyle w:val="000000100000" w:firstRow="0" w:lastRow="0" w:firstColumn="0" w:lastColumn="0" w:oddVBand="0" w:evenVBand="0" w:oddHBand="1" w:evenHBand="0" w:firstRowFirstColumn="0" w:firstRowLastColumn="0" w:lastRowFirstColumn="0" w:lastRowLastColumn="0"/>
              <w:rPr>
                <w:b/>
                <w:i/>
                <w:iCs/>
                <w:sz w:val="18"/>
                <w:lang w:val="fr-CH"/>
              </w:rPr>
            </w:pPr>
            <w:r w:rsidRPr="004028ED">
              <w:rPr>
                <w:i/>
                <w:iCs/>
                <w:sz w:val="18"/>
                <w:lang w:val="fr-CH"/>
              </w:rPr>
              <w:t>40 à 50</w:t>
            </w:r>
          </w:p>
        </w:tc>
        <w:tc>
          <w:tcPr>
            <w:tcW w:w="503" w:type="dxa"/>
            <w:tcBorders>
              <w:top w:val="single" w:sz="4" w:space="0" w:color="auto"/>
              <w:bottom w:val="single" w:sz="12" w:space="0" w:color="auto"/>
            </w:tcBorders>
            <w:shd w:val="clear" w:color="auto" w:fill="auto"/>
            <w:vAlign w:val="bottom"/>
          </w:tcPr>
          <w:p w14:paraId="32428076" w14:textId="77777777" w:rsidR="00293666" w:rsidRPr="004028ED" w:rsidRDefault="00293666" w:rsidP="00293666">
            <w:pPr>
              <w:spacing w:before="80" w:after="80" w:line="200" w:lineRule="exact"/>
              <w:ind w:left="113"/>
              <w:jc w:val="right"/>
              <w:cnfStyle w:val="000000100000" w:firstRow="0" w:lastRow="0" w:firstColumn="0" w:lastColumn="0" w:oddVBand="0" w:evenVBand="0" w:oddHBand="1" w:evenHBand="0" w:firstRowFirstColumn="0" w:firstRowLastColumn="0" w:lastRowFirstColumn="0" w:lastRowLastColumn="0"/>
              <w:rPr>
                <w:b/>
                <w:i/>
                <w:iCs/>
                <w:sz w:val="18"/>
                <w:lang w:val="fr-CH"/>
              </w:rPr>
            </w:pPr>
            <w:r w:rsidRPr="004028ED">
              <w:rPr>
                <w:i/>
                <w:iCs/>
                <w:sz w:val="18"/>
                <w:lang w:val="fr-CH"/>
              </w:rPr>
              <w:t>S/E</w:t>
            </w:r>
          </w:p>
        </w:tc>
        <w:tc>
          <w:tcPr>
            <w:tcW w:w="740" w:type="dxa"/>
            <w:vMerge/>
            <w:tcBorders>
              <w:bottom w:val="single" w:sz="12" w:space="0" w:color="auto"/>
            </w:tcBorders>
            <w:shd w:val="clear" w:color="auto" w:fill="auto"/>
            <w:vAlign w:val="bottom"/>
          </w:tcPr>
          <w:p w14:paraId="3C46EFFB" w14:textId="77777777" w:rsidR="00293666" w:rsidRPr="001561A6" w:rsidRDefault="00293666" w:rsidP="00293666">
            <w:pPr>
              <w:spacing w:before="80" w:after="80" w:line="200" w:lineRule="exact"/>
              <w:ind w:left="113"/>
              <w:jc w:val="right"/>
              <w:cnfStyle w:val="000000100000" w:firstRow="0" w:lastRow="0" w:firstColumn="0" w:lastColumn="0" w:oddVBand="0" w:evenVBand="0" w:oddHBand="1" w:evenHBand="0" w:firstRowFirstColumn="0" w:firstRowLastColumn="0" w:lastRowFirstColumn="0" w:lastRowLastColumn="0"/>
              <w:rPr>
                <w:b/>
                <w:i/>
                <w:sz w:val="16"/>
                <w:lang w:val="fr-CH"/>
              </w:rPr>
            </w:pPr>
          </w:p>
        </w:tc>
        <w:tc>
          <w:tcPr>
            <w:tcW w:w="1374" w:type="dxa"/>
            <w:vMerge/>
            <w:tcBorders>
              <w:bottom w:val="single" w:sz="12" w:space="0" w:color="auto"/>
            </w:tcBorders>
            <w:shd w:val="clear" w:color="auto" w:fill="auto"/>
            <w:vAlign w:val="bottom"/>
          </w:tcPr>
          <w:p w14:paraId="0871441B" w14:textId="77777777" w:rsidR="00293666" w:rsidRPr="001561A6" w:rsidRDefault="00293666" w:rsidP="00293666">
            <w:pPr>
              <w:spacing w:before="80" w:after="80" w:line="200" w:lineRule="exact"/>
              <w:ind w:left="113"/>
              <w:jc w:val="right"/>
              <w:cnfStyle w:val="000000100000" w:firstRow="0" w:lastRow="0" w:firstColumn="0" w:lastColumn="0" w:oddVBand="0" w:evenVBand="0" w:oddHBand="1" w:evenHBand="0" w:firstRowFirstColumn="0" w:firstRowLastColumn="0" w:lastRowFirstColumn="0" w:lastRowLastColumn="0"/>
              <w:rPr>
                <w:sz w:val="18"/>
              </w:rPr>
            </w:pPr>
          </w:p>
        </w:tc>
        <w:tc>
          <w:tcPr>
            <w:tcW w:w="607" w:type="dxa"/>
            <w:vMerge/>
            <w:tcBorders>
              <w:bottom w:val="single" w:sz="12" w:space="0" w:color="auto"/>
              <w:right w:val="nil"/>
            </w:tcBorders>
            <w:shd w:val="clear" w:color="auto" w:fill="auto"/>
            <w:vAlign w:val="bottom"/>
          </w:tcPr>
          <w:p w14:paraId="7C4E8411" w14:textId="77777777" w:rsidR="00293666" w:rsidRPr="001561A6" w:rsidRDefault="00293666" w:rsidP="00293666">
            <w:pPr>
              <w:spacing w:before="80" w:after="80" w:line="200" w:lineRule="exact"/>
              <w:ind w:left="113"/>
              <w:jc w:val="right"/>
              <w:cnfStyle w:val="000000100000" w:firstRow="0" w:lastRow="0" w:firstColumn="0" w:lastColumn="0" w:oddVBand="0" w:evenVBand="0" w:oddHBand="1" w:evenHBand="0" w:firstRowFirstColumn="0" w:firstRowLastColumn="0" w:lastRowFirstColumn="0" w:lastRowLastColumn="0"/>
              <w:rPr>
                <w:sz w:val="18"/>
              </w:rPr>
            </w:pPr>
          </w:p>
        </w:tc>
      </w:tr>
      <w:tr w:rsidR="00B57E09" w:rsidRPr="001561A6" w14:paraId="5887952B" w14:textId="77777777" w:rsidTr="00293666">
        <w:trPr>
          <w:trHeight w:val="240"/>
        </w:trPr>
        <w:tc>
          <w:tcPr>
            <w:cnfStyle w:val="001000000000" w:firstRow="0" w:lastRow="0" w:firstColumn="1" w:lastColumn="0" w:oddVBand="0" w:evenVBand="0" w:oddHBand="0" w:evenHBand="0" w:firstRowFirstColumn="0" w:firstRowLastColumn="0" w:lastRowFirstColumn="0" w:lastRowLastColumn="0"/>
            <w:tcW w:w="317" w:type="dxa"/>
            <w:tcBorders>
              <w:bottom w:val="single" w:sz="12" w:space="0" w:color="auto"/>
            </w:tcBorders>
            <w:shd w:val="clear" w:color="auto" w:fill="auto"/>
          </w:tcPr>
          <w:p w14:paraId="489D9DD9" w14:textId="77777777" w:rsidR="00B57E09" w:rsidRPr="00293666" w:rsidRDefault="00B57E09" w:rsidP="00B57E09">
            <w:pPr>
              <w:spacing w:before="40" w:after="40" w:line="220" w:lineRule="exact"/>
              <w:rPr>
                <w:b w:val="0"/>
                <w:bCs w:val="0"/>
                <w:sz w:val="18"/>
                <w:lang w:val="fr-CH"/>
              </w:rPr>
            </w:pPr>
            <w:r w:rsidRPr="00293666">
              <w:rPr>
                <w:b w:val="0"/>
                <w:bCs w:val="0"/>
                <w:sz w:val="18"/>
                <w:lang w:val="fr-CH"/>
              </w:rPr>
              <w:t>2</w:t>
            </w:r>
          </w:p>
        </w:tc>
        <w:tc>
          <w:tcPr>
            <w:tcW w:w="269" w:type="dxa"/>
            <w:tcBorders>
              <w:bottom w:val="single" w:sz="12" w:space="0" w:color="auto"/>
            </w:tcBorders>
            <w:shd w:val="clear" w:color="auto" w:fill="auto"/>
          </w:tcPr>
          <w:p w14:paraId="61BD7143" w14:textId="77777777" w:rsidR="00B57E09" w:rsidRPr="001561A6" w:rsidRDefault="00B57E09" w:rsidP="00B57E09">
            <w:pPr>
              <w:spacing w:before="40" w:after="40" w:line="220" w:lineRule="exac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9</w:t>
            </w:r>
          </w:p>
        </w:tc>
        <w:tc>
          <w:tcPr>
            <w:tcW w:w="655" w:type="dxa"/>
            <w:tcBorders>
              <w:bottom w:val="single" w:sz="12" w:space="0" w:color="auto"/>
            </w:tcBorders>
            <w:shd w:val="clear" w:color="auto" w:fill="auto"/>
            <w:vAlign w:val="bottom"/>
          </w:tcPr>
          <w:p w14:paraId="3BAEF29A" w14:textId="77777777" w:rsidR="00B57E09" w:rsidRPr="001561A6" w:rsidRDefault="00B57E09" w:rsidP="00B57E09">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0</w:t>
            </w:r>
          </w:p>
        </w:tc>
        <w:tc>
          <w:tcPr>
            <w:tcW w:w="639" w:type="dxa"/>
            <w:tcBorders>
              <w:bottom w:val="single" w:sz="12" w:space="0" w:color="auto"/>
            </w:tcBorders>
            <w:shd w:val="clear" w:color="auto" w:fill="auto"/>
            <w:vAlign w:val="bottom"/>
          </w:tcPr>
          <w:p w14:paraId="419DE0ED" w14:textId="77777777" w:rsidR="00B57E09" w:rsidRPr="001561A6" w:rsidRDefault="00B57E09" w:rsidP="00B57E09">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0</w:t>
            </w:r>
          </w:p>
        </w:tc>
        <w:tc>
          <w:tcPr>
            <w:tcW w:w="761" w:type="dxa"/>
            <w:tcBorders>
              <w:bottom w:val="single" w:sz="12" w:space="0" w:color="auto"/>
            </w:tcBorders>
            <w:shd w:val="clear" w:color="auto" w:fill="auto"/>
            <w:vAlign w:val="bottom"/>
          </w:tcPr>
          <w:p w14:paraId="60CABBE9" w14:textId="77777777" w:rsidR="00B57E09" w:rsidRPr="001561A6" w:rsidRDefault="00B57E09" w:rsidP="00B57E09">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4</w:t>
            </w:r>
          </w:p>
        </w:tc>
        <w:tc>
          <w:tcPr>
            <w:tcW w:w="728" w:type="dxa"/>
            <w:tcBorders>
              <w:bottom w:val="single" w:sz="12" w:space="0" w:color="auto"/>
            </w:tcBorders>
            <w:shd w:val="clear" w:color="auto" w:fill="auto"/>
            <w:vAlign w:val="bottom"/>
          </w:tcPr>
          <w:p w14:paraId="5C97D55A" w14:textId="77777777" w:rsidR="00B57E09" w:rsidRPr="001561A6" w:rsidRDefault="00B57E09" w:rsidP="00B57E09">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2</w:t>
            </w:r>
          </w:p>
        </w:tc>
        <w:tc>
          <w:tcPr>
            <w:tcW w:w="770" w:type="dxa"/>
            <w:tcBorders>
              <w:bottom w:val="single" w:sz="12" w:space="0" w:color="auto"/>
            </w:tcBorders>
            <w:shd w:val="clear" w:color="auto" w:fill="auto"/>
            <w:vAlign w:val="bottom"/>
          </w:tcPr>
          <w:p w14:paraId="47E0B343" w14:textId="77777777" w:rsidR="00B57E09" w:rsidRPr="001561A6" w:rsidRDefault="00B57E09" w:rsidP="00B57E09">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3</w:t>
            </w:r>
          </w:p>
        </w:tc>
        <w:tc>
          <w:tcPr>
            <w:tcW w:w="503" w:type="dxa"/>
            <w:tcBorders>
              <w:bottom w:val="single" w:sz="12" w:space="0" w:color="auto"/>
            </w:tcBorders>
            <w:shd w:val="clear" w:color="auto" w:fill="auto"/>
            <w:vAlign w:val="bottom"/>
          </w:tcPr>
          <w:p w14:paraId="1249FBD1" w14:textId="77777777" w:rsidR="00B57E09" w:rsidRPr="001561A6" w:rsidRDefault="00B57E09" w:rsidP="00B57E09">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2</w:t>
            </w:r>
          </w:p>
        </w:tc>
        <w:tc>
          <w:tcPr>
            <w:tcW w:w="740" w:type="dxa"/>
            <w:tcBorders>
              <w:bottom w:val="single" w:sz="12" w:space="0" w:color="auto"/>
            </w:tcBorders>
            <w:shd w:val="clear" w:color="auto" w:fill="auto"/>
            <w:vAlign w:val="bottom"/>
          </w:tcPr>
          <w:p w14:paraId="3B4E38AC" w14:textId="77777777" w:rsidR="00B57E09" w:rsidRPr="001561A6" w:rsidRDefault="00B57E09" w:rsidP="00B57E09">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0</w:t>
            </w:r>
          </w:p>
        </w:tc>
        <w:tc>
          <w:tcPr>
            <w:tcW w:w="1374" w:type="dxa"/>
            <w:tcBorders>
              <w:bottom w:val="single" w:sz="12" w:space="0" w:color="auto"/>
            </w:tcBorders>
            <w:shd w:val="clear" w:color="auto" w:fill="auto"/>
            <w:vAlign w:val="bottom"/>
          </w:tcPr>
          <w:p w14:paraId="42E0FDB8" w14:textId="77777777" w:rsidR="00B57E09" w:rsidRPr="001561A6" w:rsidRDefault="00B57E09" w:rsidP="00B57E09">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11</w:t>
            </w:r>
          </w:p>
        </w:tc>
        <w:tc>
          <w:tcPr>
            <w:tcW w:w="607" w:type="dxa"/>
            <w:tcBorders>
              <w:bottom w:val="single" w:sz="12" w:space="0" w:color="auto"/>
            </w:tcBorders>
            <w:shd w:val="clear" w:color="auto" w:fill="auto"/>
            <w:vAlign w:val="bottom"/>
          </w:tcPr>
          <w:p w14:paraId="4C725083" w14:textId="77777777" w:rsidR="00B57E09" w:rsidRPr="001561A6" w:rsidRDefault="00B57E09" w:rsidP="00B57E09">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sz w:val="18"/>
                <w:lang w:val="fr-CH"/>
              </w:rPr>
            </w:pPr>
            <w:r w:rsidRPr="001561A6">
              <w:rPr>
                <w:sz w:val="18"/>
                <w:lang w:val="fr-CH"/>
              </w:rPr>
              <w:t>0</w:t>
            </w:r>
          </w:p>
        </w:tc>
      </w:tr>
    </w:tbl>
    <w:bookmarkEnd w:id="2"/>
    <w:p w14:paraId="64727BD2" w14:textId="77777777" w:rsidR="00575165" w:rsidRPr="001561A6" w:rsidRDefault="00575165" w:rsidP="00BF64CD">
      <w:pPr>
        <w:pStyle w:val="SingleTxtG"/>
        <w:spacing w:before="120" w:after="240"/>
        <w:ind w:firstLine="170"/>
        <w:jc w:val="left"/>
        <w:rPr>
          <w:sz w:val="18"/>
          <w:szCs w:val="18"/>
        </w:rPr>
      </w:pPr>
      <w:r w:rsidRPr="001561A6">
        <w:rPr>
          <w:i/>
          <w:iCs/>
          <w:sz w:val="18"/>
          <w:szCs w:val="18"/>
        </w:rPr>
        <w:t>Source</w:t>
      </w:r>
      <w:r w:rsidRPr="001561A6">
        <w:rPr>
          <w:sz w:val="18"/>
          <w:szCs w:val="18"/>
        </w:rPr>
        <w:t xml:space="preserve"> : Service de prévention de la torture.</w:t>
      </w:r>
    </w:p>
    <w:p w14:paraId="17050208" w14:textId="77777777" w:rsidR="00575165" w:rsidRPr="001561A6" w:rsidRDefault="00575165" w:rsidP="00575165">
      <w:pPr>
        <w:pStyle w:val="H4G"/>
      </w:pPr>
      <w:r w:rsidRPr="001561A6">
        <w:tab/>
      </w:r>
      <w:r w:rsidRPr="001561A6">
        <w:tab/>
        <w:t>Mécanisme de plainte spécifique</w:t>
      </w:r>
    </w:p>
    <w:p w14:paraId="362B9F1C" w14:textId="77777777" w:rsidR="00575165" w:rsidRPr="001561A6" w:rsidRDefault="00575165" w:rsidP="00575165">
      <w:pPr>
        <w:pStyle w:val="SingleTxtG"/>
      </w:pPr>
      <w:r w:rsidRPr="001561A6">
        <w:t>103.</w:t>
      </w:r>
      <w:r w:rsidRPr="001561A6">
        <w:tab/>
        <w:t xml:space="preserve">Comme indiqué au paragraphe 80 du troisième rapport, en vertu des articles 9.f et 13.c du décret suprême </w:t>
      </w:r>
      <w:r w:rsidRPr="001561A6">
        <w:rPr>
          <w:rFonts w:eastAsia="MS Mincho"/>
          <w:szCs w:val="22"/>
        </w:rPr>
        <w:t>n</w:t>
      </w:r>
      <w:r w:rsidRPr="001561A6">
        <w:rPr>
          <w:rFonts w:eastAsia="MS Mincho"/>
          <w:szCs w:val="22"/>
          <w:vertAlign w:val="superscript"/>
        </w:rPr>
        <w:t>o</w:t>
      </w:r>
      <w:r w:rsidRPr="001561A6">
        <w:t> 2082</w:t>
      </w:r>
      <w:r w:rsidRPr="001561A6">
        <w:rPr>
          <w:rStyle w:val="Appelnotedebasdep"/>
        </w:rPr>
        <w:footnoteReference w:id="35"/>
      </w:r>
      <w:r w:rsidRPr="001561A6">
        <w:t>, le Service de prévention de la torture reçoit les plaintes et les allégations de torture et d</w:t>
      </w:r>
      <w:r w:rsidR="009258E3">
        <w:t>’</w:t>
      </w:r>
      <w:r w:rsidRPr="001561A6">
        <w:t>autres peines ou traitements cruels, inhumains ou dégradants et est habilité à se constituer d</w:t>
      </w:r>
      <w:r w:rsidR="009258E3">
        <w:t>’</w:t>
      </w:r>
      <w:r w:rsidRPr="001561A6">
        <w:t>office partie civile dans les affaires relatives à des actes de torture et à assurer le suivi des enquêtes et des plaintes pour torture.</w:t>
      </w:r>
    </w:p>
    <w:p w14:paraId="4283C379" w14:textId="77777777" w:rsidR="00575165" w:rsidRPr="001561A6" w:rsidRDefault="00575165" w:rsidP="00575165">
      <w:pPr>
        <w:pStyle w:val="SingleTxtG"/>
      </w:pPr>
      <w:r w:rsidRPr="001561A6">
        <w:t>104.</w:t>
      </w:r>
      <w:r w:rsidRPr="001561A6">
        <w:tab/>
        <w:t>À cette fin, le Service de prévention de la torture reçoit depuis sa création des allégations de torture par WhatsApp ou par SMS, ou en prend connaissance dans les journaux en ligne ou encore directement de la bouche des victimes de torture lors des visites inopinées qu</w:t>
      </w:r>
      <w:r w:rsidR="009258E3">
        <w:t>’</w:t>
      </w:r>
      <w:r w:rsidRPr="001561A6">
        <w:t>il effectue dans les lieux de détention et ce, dans le respect de la confidentialité prévue par le Protocole facultatif se rapportant à la Convention contre la torture.</w:t>
      </w:r>
    </w:p>
    <w:p w14:paraId="53EECBAD" w14:textId="77777777" w:rsidR="00575165" w:rsidRPr="001561A6" w:rsidRDefault="00575165" w:rsidP="00575165">
      <w:pPr>
        <w:pStyle w:val="SingleTxtG"/>
      </w:pPr>
      <w:r w:rsidRPr="001561A6">
        <w:t>105.</w:t>
      </w:r>
      <w:r w:rsidRPr="001561A6">
        <w:tab/>
        <w:t>De même, étant incriminée par le Code pénal, et tombant donc sous le coup du Code de procédure pénale et de la loi organique relative au ministère public</w:t>
      </w:r>
      <w:r w:rsidRPr="001561A6">
        <w:rPr>
          <w:rStyle w:val="Appelnotedebasdep"/>
        </w:rPr>
        <w:footnoteReference w:id="36"/>
      </w:r>
      <w:r w:rsidRPr="001561A6">
        <w:t>, la torture relève de la procédure commune ou ordinaire applicable aux délits entraînant la mise en mouvement de l</w:t>
      </w:r>
      <w:r w:rsidR="009258E3">
        <w:t>’</w:t>
      </w:r>
      <w:r w:rsidRPr="001561A6">
        <w:t>action publique, qui veut que les victimes portent plainte et que l</w:t>
      </w:r>
      <w:r w:rsidR="009258E3">
        <w:t>’</w:t>
      </w:r>
      <w:r w:rsidRPr="001561A6">
        <w:t>exercice de l</w:t>
      </w:r>
      <w:r w:rsidR="009258E3">
        <w:t>’</w:t>
      </w:r>
      <w:r w:rsidRPr="001561A6">
        <w:t>action pénale incombe au ministère public ; celui-ci peut engager une enquête et ordonner la mise en examen ou en accusation, l</w:t>
      </w:r>
      <w:r w:rsidR="009258E3">
        <w:t>’</w:t>
      </w:r>
      <w:r w:rsidRPr="001561A6">
        <w:t>organe juridictionnel (juges d</w:t>
      </w:r>
      <w:r w:rsidR="009258E3">
        <w:t>’</w:t>
      </w:r>
      <w:r w:rsidRPr="001561A6">
        <w:t>instruction, juges de première instance, tribunaux inférieurs, tribunaux départementaux, etc.) exerçant un contrôle sur les garanties, notamment en tenant des audiences et en appliquant les procédures prévues par la loi, en conduisant des procès, en rendant des jugements et en statuant sur les recours et incidents, entre autres.</w:t>
      </w:r>
    </w:p>
    <w:p w14:paraId="0B089A12" w14:textId="77777777" w:rsidR="00575165" w:rsidRPr="001561A6" w:rsidRDefault="00575165" w:rsidP="00575165">
      <w:pPr>
        <w:pStyle w:val="SingleTxtG"/>
      </w:pPr>
      <w:r w:rsidRPr="00C518B5">
        <w:t>106.</w:t>
      </w:r>
      <w:r w:rsidRPr="00C518B5">
        <w:tab/>
        <w:t>En ce qui concerne les autres mécanismes dont disposent les personnes privées de liberté, en application de la directive 027/2018 du 31 juillet 2018, le Service plurinational de défense publique a décidé que tous les défenseurs publics et directeurs de directions départementales effectueraient des visites dans les prisons le samedi de 8 h 30 à 12 h 30, renforçant ainsi l</w:t>
      </w:r>
      <w:r w:rsidR="009258E3">
        <w:t>’</w:t>
      </w:r>
      <w:r w:rsidRPr="00C518B5">
        <w:t>action du</w:t>
      </w:r>
      <w:r w:rsidRPr="001561A6">
        <w:t xml:space="preserve"> Service dans les établissements pénitentiaires au niveau national. De cette façon, il garantit un meilleur accès à la justice et entend consigner toutes les consultations, toutes les plaintes, tous les doutes et toutes les allégations, fournir des avis techniques de nature pénale et mener des activités en lien avec les affaires présentées par les utilisateurs du Service.</w:t>
      </w:r>
    </w:p>
    <w:p w14:paraId="640B5F6E" w14:textId="77777777" w:rsidR="00575165" w:rsidRPr="001561A6" w:rsidRDefault="00575165" w:rsidP="00575165">
      <w:pPr>
        <w:pStyle w:val="SingleTxtG"/>
      </w:pPr>
      <w:r w:rsidRPr="001561A6">
        <w:t>107.</w:t>
      </w:r>
      <w:r w:rsidRPr="001561A6">
        <w:tab/>
        <w:t>De même, dans les cas où les faits de torture ou les traitements inhumains sont avérés, il convient de respecter le protocole d</w:t>
      </w:r>
      <w:r w:rsidR="009258E3">
        <w:t>’</w:t>
      </w:r>
      <w:r w:rsidRPr="001561A6">
        <w:t>intervention des défenseurs publics, qui impose de tenir informé le Service de prévention de la torture. De même, s</w:t>
      </w:r>
      <w:r w:rsidR="009258E3">
        <w:t>’</w:t>
      </w:r>
      <w:r w:rsidRPr="001561A6">
        <w:t>il y a des preuves que la personne arrêtée et/ou détenue présente des blessures physiques, il convient de demander oralement ou par écrit au procureur de garde qu</w:t>
      </w:r>
      <w:r w:rsidR="009258E3">
        <w:t>’</w:t>
      </w:r>
      <w:r w:rsidRPr="001561A6">
        <w:t>il saisisse l</w:t>
      </w:r>
      <w:r w:rsidR="009258E3">
        <w:t>’</w:t>
      </w:r>
      <w:r w:rsidRPr="001561A6">
        <w:t>Institut des enquêtes médico</w:t>
      </w:r>
      <w:r w:rsidR="00DE3CE5">
        <w:noBreakHyphen/>
      </w:r>
      <w:r w:rsidRPr="001561A6">
        <w:t>légales afin que le mis en cause soit examiné.</w:t>
      </w:r>
    </w:p>
    <w:p w14:paraId="2358F653" w14:textId="77777777" w:rsidR="00575165" w:rsidRPr="001561A6" w:rsidRDefault="00575165" w:rsidP="00575165">
      <w:pPr>
        <w:pStyle w:val="H23G"/>
      </w:pPr>
      <w:r w:rsidRPr="001561A6">
        <w:tab/>
      </w:r>
      <w:r w:rsidRPr="001561A6">
        <w:tab/>
        <w:t>Réponse à la question posée au paragraphe 24 de la liste de points</w:t>
      </w:r>
    </w:p>
    <w:p w14:paraId="26EE8F31" w14:textId="77777777" w:rsidR="00575165" w:rsidRPr="001561A6" w:rsidRDefault="00575165" w:rsidP="00575165">
      <w:pPr>
        <w:pStyle w:val="H4G"/>
      </w:pPr>
      <w:r w:rsidRPr="001561A6">
        <w:tab/>
      </w:r>
      <w:r w:rsidRPr="001561A6">
        <w:tab/>
        <w:t>Protection des témoins</w:t>
      </w:r>
    </w:p>
    <w:p w14:paraId="28F817C1" w14:textId="77777777" w:rsidR="00575165" w:rsidRPr="001561A6" w:rsidRDefault="00575165" w:rsidP="00575165">
      <w:pPr>
        <w:pStyle w:val="SingleTxtG"/>
      </w:pPr>
      <w:r w:rsidRPr="001561A6">
        <w:t>108.</w:t>
      </w:r>
      <w:r w:rsidRPr="001561A6">
        <w:tab/>
        <w:t>Comme indiqué dans le troisième rapport périodique, la Direction de la protection des victimes, témoins et fonctionnaires du ministère public</w:t>
      </w:r>
      <w:r w:rsidRPr="001561A6">
        <w:rPr>
          <w:rStyle w:val="Appelnotedebasdep"/>
        </w:rPr>
        <w:footnoteReference w:id="37"/>
      </w:r>
      <w:r w:rsidRPr="001561A6">
        <w:t xml:space="preserve"> a pour objectif d</w:t>
      </w:r>
      <w:r w:rsidR="009258E3">
        <w:t>’</w:t>
      </w:r>
      <w:r w:rsidRPr="001561A6">
        <w:t>assurer protection et assistance aux victimes, aux témoins, aux personnes qui participent à la procédure pénale et aux fonctionnaires du ministère public ; l</w:t>
      </w:r>
      <w:r w:rsidR="009258E3">
        <w:t>’</w:t>
      </w:r>
      <w:r w:rsidRPr="001561A6">
        <w:t>action de la Direction est régie par les dispositions de la loi organique sur le ministère public</w:t>
      </w:r>
      <w:r w:rsidRPr="001561A6">
        <w:rPr>
          <w:rStyle w:val="Appelnotedebasdep"/>
        </w:rPr>
        <w:footnoteReference w:id="38"/>
      </w:r>
      <w:r w:rsidRPr="001561A6">
        <w:t xml:space="preserve"> et de la loi sur la protection des plaignants et des témoins (loi </w:t>
      </w:r>
      <w:r w:rsidRPr="001561A6">
        <w:rPr>
          <w:rFonts w:eastAsia="MS Mincho"/>
          <w:szCs w:val="22"/>
        </w:rPr>
        <w:t>n</w:t>
      </w:r>
      <w:r w:rsidRPr="001561A6">
        <w:rPr>
          <w:rFonts w:eastAsia="MS Mincho"/>
          <w:szCs w:val="22"/>
          <w:vertAlign w:val="superscript"/>
        </w:rPr>
        <w:t>o</w:t>
      </w:r>
      <w:r w:rsidRPr="001561A6">
        <w:t> 458)</w:t>
      </w:r>
      <w:r w:rsidRPr="001561A6">
        <w:rPr>
          <w:rStyle w:val="Appelnotedebasdep"/>
        </w:rPr>
        <w:footnoteReference w:id="39"/>
      </w:r>
      <w:r w:rsidRPr="001561A6">
        <w:t>.</w:t>
      </w:r>
    </w:p>
    <w:p w14:paraId="50B40F7E" w14:textId="77777777" w:rsidR="00575165" w:rsidRPr="001561A6" w:rsidRDefault="00575165" w:rsidP="00575165">
      <w:pPr>
        <w:pStyle w:val="SingleTxtG"/>
      </w:pPr>
      <w:r w:rsidRPr="001561A6">
        <w:t>109.</w:t>
      </w:r>
      <w:r w:rsidRPr="001561A6">
        <w:tab/>
        <w:t xml:space="preserve">La Direction est responsable des unités de protection des victimes et des témoins implantées au sein du bureau des procureurs départementaux de Beni, Chuquisaca, Cochabamba, Oruro, Pando, </w:t>
      </w:r>
      <w:r w:rsidR="00DE3CE5" w:rsidRPr="001561A6">
        <w:t>Potosí</w:t>
      </w:r>
      <w:r w:rsidRPr="001561A6">
        <w:t>, Santa Cruz, Tarija et La Paz, ainsi que de la ville de El</w:t>
      </w:r>
      <w:r w:rsidR="005D5FBF" w:rsidRPr="001561A6">
        <w:t> </w:t>
      </w:r>
      <w:r w:rsidRPr="001561A6">
        <w:t>Alto. Ces unités sont dotées d</w:t>
      </w:r>
      <w:r w:rsidR="009258E3">
        <w:t>’</w:t>
      </w:r>
      <w:r w:rsidRPr="001561A6">
        <w:t>une équipe interdisciplinaire composée de spécialistes du travail social et de la psychologie, qui sont chargés d</w:t>
      </w:r>
      <w:r w:rsidR="009258E3">
        <w:t>’</w:t>
      </w:r>
      <w:r w:rsidRPr="001561A6">
        <w:t>apporter assistance et protection aux victimes, aux témoins, aux plaignants et aux membres du ministère public qui participent aux poursuites pénales.</w:t>
      </w:r>
    </w:p>
    <w:p w14:paraId="26C34072" w14:textId="77777777" w:rsidR="00575165" w:rsidRPr="001561A6" w:rsidRDefault="00575165" w:rsidP="00575165">
      <w:pPr>
        <w:pStyle w:val="SingleTxtG"/>
      </w:pPr>
      <w:r w:rsidRPr="001561A6">
        <w:t>110.</w:t>
      </w:r>
      <w:r w:rsidRPr="001561A6">
        <w:tab/>
        <w:t>Toutefois, le Programme de protection des victimes, des témoins, des plaignants et des membres du ministère public se compose de toute un</w:t>
      </w:r>
      <w:r w:rsidR="00DE3CE5">
        <w:t>e</w:t>
      </w:r>
      <w:r w:rsidRPr="001561A6">
        <w:t xml:space="preserve"> gamme d</w:t>
      </w:r>
      <w:r w:rsidR="009258E3">
        <w:t>’</w:t>
      </w:r>
      <w:r w:rsidRPr="001561A6">
        <w:t>instructions précises qui décrivent comment doivent s</w:t>
      </w:r>
      <w:r w:rsidR="009258E3">
        <w:t>’</w:t>
      </w:r>
      <w:r w:rsidRPr="001561A6">
        <w:t>y prendre les personnes chargées de faire une demande de mesures de protection, de les accorder, et d</w:t>
      </w:r>
      <w:r w:rsidR="009258E3">
        <w:t>’</w:t>
      </w:r>
      <w:r w:rsidRPr="001561A6">
        <w:t>en assurer le suivi et l</w:t>
      </w:r>
      <w:r w:rsidR="009258E3">
        <w:t>’</w:t>
      </w:r>
      <w:r w:rsidRPr="001561A6">
        <w:t>évaluation.</w:t>
      </w:r>
    </w:p>
    <w:p w14:paraId="2B8C2FEE" w14:textId="77777777" w:rsidR="00575165" w:rsidRPr="001561A6" w:rsidRDefault="00575165" w:rsidP="00DE3CE5">
      <w:pPr>
        <w:pStyle w:val="SingleTxtG"/>
      </w:pPr>
      <w:r w:rsidRPr="001561A6">
        <w:t>111.</w:t>
      </w:r>
      <w:r w:rsidRPr="001561A6">
        <w:tab/>
        <w:t>Le programme a pour but essentiel de garantir protection et assistance aux victimes, aux témoins, aux plaignants et aux membres du ministère public qui ont exercé, exercent ou s</w:t>
      </w:r>
      <w:r w:rsidR="009258E3">
        <w:t>’</w:t>
      </w:r>
      <w:r w:rsidRPr="001561A6">
        <w:t>apprêtent à exercer une activité protégée en lien avec les infractions commises dans le cadre de la criminalité organisée, du terrorisme, de la corruption et du trafic de drogue ou de la traite, avec la violence à l</w:t>
      </w:r>
      <w:r w:rsidR="009258E3">
        <w:t>’</w:t>
      </w:r>
      <w:r w:rsidRPr="001561A6">
        <w:t>égard des enfants et des adolescents et des femmes, et/ou avec la violation des droits fondamentaux.</w:t>
      </w:r>
    </w:p>
    <w:p w14:paraId="3C17811F" w14:textId="77777777" w:rsidR="00575165" w:rsidRPr="001561A6" w:rsidRDefault="00575165" w:rsidP="00575165">
      <w:pPr>
        <w:pStyle w:val="SingleTxtG"/>
      </w:pPr>
      <w:r w:rsidRPr="001561A6">
        <w:t>112.</w:t>
      </w:r>
      <w:r w:rsidRPr="001561A6">
        <w:tab/>
        <w:t>Par « mesures de protection », on entend tous les mécanismes destinés à assurer la protection d</w:t>
      </w:r>
      <w:r w:rsidR="009258E3">
        <w:t>’</w:t>
      </w:r>
      <w:r w:rsidRPr="001561A6">
        <w:t>une personne ou d</w:t>
      </w:r>
      <w:r w:rsidR="009258E3">
        <w:t>’</w:t>
      </w:r>
      <w:r w:rsidRPr="001561A6">
        <w:t>un groupe de personnes qui, en raison de sa situation, de sa fonction ou de son statut de victime, de témoin, de plaignant ou de membre du ministère public, estime que son intégrité et sa sécurité, ou celle de ses proches, sont menacées, en raison de l</w:t>
      </w:r>
      <w:r w:rsidR="009258E3">
        <w:t>’</w:t>
      </w:r>
      <w:r w:rsidRPr="001561A6">
        <w:t>activité qu</w:t>
      </w:r>
      <w:r w:rsidR="009258E3">
        <w:t>’</w:t>
      </w:r>
      <w:r w:rsidRPr="001561A6">
        <w:t>il ou elle a exercée, exerce ou s</w:t>
      </w:r>
      <w:r w:rsidR="009258E3">
        <w:t>’</w:t>
      </w:r>
      <w:r w:rsidRPr="001561A6">
        <w:t>apprête à exercer dans le cadre d</w:t>
      </w:r>
      <w:r w:rsidR="009258E3">
        <w:t>’</w:t>
      </w:r>
      <w:r w:rsidRPr="001561A6">
        <w:t>une procédure pénale.</w:t>
      </w:r>
    </w:p>
    <w:p w14:paraId="6CC15CEC" w14:textId="77777777" w:rsidR="00575165" w:rsidRPr="001561A6" w:rsidRDefault="00575165" w:rsidP="00575165">
      <w:pPr>
        <w:pStyle w:val="SingleTxtG"/>
      </w:pPr>
      <w:r w:rsidRPr="001561A6">
        <w:t>113.</w:t>
      </w:r>
      <w:r w:rsidRPr="001561A6">
        <w:tab/>
        <w:t>Conformément à l</w:t>
      </w:r>
      <w:r w:rsidR="009258E3">
        <w:t>’</w:t>
      </w:r>
      <w:r w:rsidRPr="001561A6">
        <w:t xml:space="preserve">article 17 de la loi </w:t>
      </w:r>
      <w:r w:rsidRPr="001561A6">
        <w:rPr>
          <w:rFonts w:eastAsia="MS Mincho"/>
          <w:vanish/>
          <w:spacing w:val="-2"/>
          <w:szCs w:val="22"/>
        </w:rPr>
        <w:t>n</w:t>
      </w:r>
      <w:r w:rsidRPr="001561A6">
        <w:rPr>
          <w:rFonts w:eastAsia="MS Mincho"/>
          <w:vanish/>
          <w:spacing w:val="-2"/>
          <w:szCs w:val="22"/>
          <w:vertAlign w:val="superscript"/>
        </w:rPr>
        <w:t>o</w:t>
      </w:r>
      <w:r w:rsidRPr="001561A6">
        <w:rPr>
          <w:vanish/>
          <w:spacing w:val="-2"/>
          <w:szCs w:val="18"/>
        </w:rPr>
        <w:t> </w:t>
      </w:r>
      <w:r w:rsidRPr="001561A6">
        <w:t>458, toute personne qui a le statut de victime, de témoin ou de plaignant et a besoin de bénéficier d</w:t>
      </w:r>
      <w:r w:rsidR="009258E3">
        <w:t>’</w:t>
      </w:r>
      <w:r w:rsidRPr="001561A6">
        <w:t>une mesure de protection peut s</w:t>
      </w:r>
      <w:r w:rsidR="009258E3">
        <w:t>’</w:t>
      </w:r>
      <w:r w:rsidRPr="001561A6">
        <w:t>adresser à l</w:t>
      </w:r>
      <w:r w:rsidR="009258E3">
        <w:t>’</w:t>
      </w:r>
      <w:r w:rsidRPr="001561A6">
        <w:t>un des organes suivants :</w:t>
      </w:r>
    </w:p>
    <w:p w14:paraId="5116C1B2" w14:textId="77777777" w:rsidR="00575165" w:rsidRPr="001561A6" w:rsidRDefault="00575165" w:rsidP="00575165">
      <w:pPr>
        <w:pStyle w:val="Bullet1G"/>
        <w:numPr>
          <w:ilvl w:val="0"/>
          <w:numId w:val="1"/>
        </w:numPr>
      </w:pPr>
      <w:r w:rsidRPr="001561A6">
        <w:tab/>
        <w:t>Le Ministère de l</w:t>
      </w:r>
      <w:r w:rsidR="009258E3">
        <w:t>’</w:t>
      </w:r>
      <w:r w:rsidRPr="001561A6">
        <w:t>intérieur, lorsque la demande de mesures de protection est faite en dehors du cadre judiciaire</w:t>
      </w:r>
      <w:r w:rsidR="00DE3CE5">
        <w:t> ;</w:t>
      </w:r>
    </w:p>
    <w:p w14:paraId="71119C28" w14:textId="77777777" w:rsidR="00575165" w:rsidRPr="001561A6" w:rsidRDefault="00575165" w:rsidP="00575165">
      <w:pPr>
        <w:pStyle w:val="Bullet1G"/>
        <w:numPr>
          <w:ilvl w:val="0"/>
          <w:numId w:val="1"/>
        </w:numPr>
      </w:pPr>
      <w:r w:rsidRPr="001561A6">
        <w:tab/>
        <w:t>Le ministère public, lorsque la demande de mesures de protection est faite par le procureur compétent, dans le cadre d</w:t>
      </w:r>
      <w:r w:rsidR="009258E3">
        <w:t>’</w:t>
      </w:r>
      <w:r w:rsidRPr="001561A6">
        <w:t>une procédure pénale, ou lorsque la demande est faite par toute personne qui a exercé ou s</w:t>
      </w:r>
      <w:r w:rsidR="009258E3">
        <w:t>’</w:t>
      </w:r>
      <w:r w:rsidRPr="001561A6">
        <w:t>apprête à exercer une activité protégée</w:t>
      </w:r>
      <w:r w:rsidR="00DE3CE5">
        <w:t> ;</w:t>
      </w:r>
    </w:p>
    <w:p w14:paraId="4BA0AA35" w14:textId="77777777" w:rsidR="00575165" w:rsidRPr="001561A6" w:rsidRDefault="00575165" w:rsidP="00575165">
      <w:pPr>
        <w:pStyle w:val="Bullet1G"/>
        <w:numPr>
          <w:ilvl w:val="0"/>
          <w:numId w:val="1"/>
        </w:numPr>
      </w:pPr>
      <w:r w:rsidRPr="001561A6">
        <w:tab/>
        <w:t>Le Ministère du travail, de l</w:t>
      </w:r>
      <w:r w:rsidR="009258E3">
        <w:t>’</w:t>
      </w:r>
      <w:r w:rsidRPr="001561A6">
        <w:t>emploi et de la protection sociale, lorsque la demande de mesures de protection nécessite la protection des droits liés au travail</w:t>
      </w:r>
      <w:r w:rsidR="00DE3CE5">
        <w:t> ;</w:t>
      </w:r>
    </w:p>
    <w:p w14:paraId="6DAEA0DF" w14:textId="77777777" w:rsidR="00575165" w:rsidRPr="001561A6" w:rsidRDefault="00575165" w:rsidP="00575165">
      <w:pPr>
        <w:pStyle w:val="Bullet1G"/>
        <w:numPr>
          <w:ilvl w:val="0"/>
          <w:numId w:val="1"/>
        </w:numPr>
      </w:pPr>
      <w:r w:rsidRPr="001561A6">
        <w:tab/>
        <w:t>Le Ministère de la justice et de la transparence institutionnelle, lorsque la demande de mesures de protection est en lien avec l</w:t>
      </w:r>
      <w:r w:rsidR="009258E3">
        <w:t>’</w:t>
      </w:r>
      <w:r w:rsidRPr="001561A6">
        <w:t>infraction de corruption.</w:t>
      </w:r>
    </w:p>
    <w:p w14:paraId="5F5E813F" w14:textId="77777777" w:rsidR="00575165" w:rsidRPr="001561A6" w:rsidRDefault="00575165" w:rsidP="00575165">
      <w:pPr>
        <w:pStyle w:val="H23G"/>
      </w:pPr>
      <w:r w:rsidRPr="001561A6">
        <w:tab/>
      </w:r>
      <w:r w:rsidRPr="001561A6">
        <w:tab/>
        <w:t>Réponse à la question posée au paragraphe 25 de la liste de points</w:t>
      </w:r>
    </w:p>
    <w:p w14:paraId="47914001" w14:textId="77777777" w:rsidR="00575165" w:rsidRPr="001561A6" w:rsidRDefault="00575165" w:rsidP="00575165">
      <w:pPr>
        <w:pStyle w:val="SingleTxtG"/>
      </w:pPr>
      <w:r w:rsidRPr="001561A6">
        <w:t>114.</w:t>
      </w:r>
      <w:r w:rsidRPr="001561A6">
        <w:tab/>
        <w:t>Le processus d</w:t>
      </w:r>
      <w:r w:rsidR="009258E3">
        <w:t>’</w:t>
      </w:r>
      <w:r w:rsidRPr="001561A6">
        <w:t>harmonisation de la loi organique relative aux forces armées (loi</w:t>
      </w:r>
      <w:r w:rsidR="00ED558F">
        <w:t> </w:t>
      </w:r>
      <w:r w:rsidRPr="001561A6">
        <w:rPr>
          <w:rFonts w:eastAsia="MS Mincho"/>
          <w:szCs w:val="22"/>
        </w:rPr>
        <w:t>n</w:t>
      </w:r>
      <w:r w:rsidRPr="001561A6">
        <w:rPr>
          <w:rFonts w:eastAsia="MS Mincho"/>
          <w:szCs w:val="22"/>
          <w:vertAlign w:val="superscript"/>
        </w:rPr>
        <w:t>o</w:t>
      </w:r>
      <w:r w:rsidRPr="001561A6">
        <w:t> 1405)</w:t>
      </w:r>
      <w:r w:rsidRPr="001561A6">
        <w:rPr>
          <w:rStyle w:val="Appelnotedebasdep"/>
        </w:rPr>
        <w:footnoteReference w:id="40"/>
      </w:r>
      <w:r w:rsidRPr="001561A6">
        <w:t xml:space="preserve"> avec la Constitution est en cours. Des séminaires et des ateliers ont été organisés avec la participation des forces armées et du Ministère de la défense afin d</w:t>
      </w:r>
      <w:r w:rsidR="009258E3">
        <w:t>’</w:t>
      </w:r>
      <w:r w:rsidRPr="001561A6">
        <w:t>élaborer, de diffuser et d</w:t>
      </w:r>
      <w:r w:rsidR="009258E3">
        <w:t>’</w:t>
      </w:r>
      <w:r w:rsidRPr="001561A6">
        <w:t>évaluer un avant-projet de loi qui sera soumis ultérieurement à l</w:t>
      </w:r>
      <w:r w:rsidR="009258E3">
        <w:t>’</w:t>
      </w:r>
      <w:r w:rsidRPr="001561A6">
        <w:t>Assemblée législative plurinationale.</w:t>
      </w:r>
    </w:p>
    <w:p w14:paraId="2A513258" w14:textId="77777777" w:rsidR="00575165" w:rsidRPr="001561A6" w:rsidRDefault="00575165" w:rsidP="00575165">
      <w:pPr>
        <w:pStyle w:val="SingleTxtG"/>
      </w:pPr>
      <w:r w:rsidRPr="001561A6">
        <w:t>115.</w:t>
      </w:r>
      <w:r w:rsidRPr="001561A6">
        <w:tab/>
        <w:t>En outre, en vertu de la Constitution</w:t>
      </w:r>
      <w:r w:rsidRPr="001561A6">
        <w:rPr>
          <w:rStyle w:val="Appelnotedebasdep"/>
        </w:rPr>
        <w:footnoteReference w:id="41"/>
      </w:r>
      <w:r w:rsidRPr="001561A6">
        <w:t xml:space="preserve">, de la loi </w:t>
      </w:r>
      <w:r w:rsidRPr="001561A6">
        <w:rPr>
          <w:rFonts w:eastAsia="MS Mincho"/>
          <w:vanish/>
          <w:spacing w:val="-2"/>
          <w:szCs w:val="22"/>
        </w:rPr>
        <w:t>n</w:t>
      </w:r>
      <w:r w:rsidRPr="001561A6">
        <w:rPr>
          <w:rFonts w:eastAsia="MS Mincho"/>
          <w:vanish/>
          <w:spacing w:val="-2"/>
          <w:szCs w:val="22"/>
          <w:vertAlign w:val="superscript"/>
        </w:rPr>
        <w:t>o</w:t>
      </w:r>
      <w:r w:rsidRPr="001561A6">
        <w:rPr>
          <w:vanish/>
          <w:spacing w:val="-2"/>
          <w:szCs w:val="18"/>
        </w:rPr>
        <w:t> </w:t>
      </w:r>
      <w:r w:rsidRPr="001561A6">
        <w:t>1405, de la loi sur l</w:t>
      </w:r>
      <w:r w:rsidR="009258E3">
        <w:t>’</w:t>
      </w:r>
      <w:r w:rsidRPr="001561A6">
        <w:t>organisation de la justice militaire, du Code pénal militaire et du Code de procédure pénale militaire, les autorités judiciaires militaires et les tribunaux militaires ne sont compétents pour administrer la justice que lorsque l</w:t>
      </w:r>
      <w:r w:rsidR="009258E3">
        <w:t>’</w:t>
      </w:r>
      <w:r w:rsidRPr="001561A6">
        <w:t>infraction est définie dans le Code pénal militaire, commise dans le cadre du service ou en lien avec le service ; il conviendra en toutes circonstances de se conformer aux prescriptions de l</w:t>
      </w:r>
      <w:r w:rsidR="009258E3">
        <w:t>’</w:t>
      </w:r>
      <w:r w:rsidRPr="001561A6">
        <w:t xml:space="preserve">arrêt du Tribunal constitutionnel </w:t>
      </w:r>
      <w:r w:rsidRPr="001561A6">
        <w:rPr>
          <w:rFonts w:eastAsia="MS Mincho"/>
          <w:vanish/>
          <w:spacing w:val="-2"/>
          <w:szCs w:val="22"/>
        </w:rPr>
        <w:t>n</w:t>
      </w:r>
      <w:r w:rsidRPr="001561A6">
        <w:rPr>
          <w:rFonts w:eastAsia="MS Mincho"/>
          <w:vanish/>
          <w:spacing w:val="-2"/>
          <w:szCs w:val="22"/>
          <w:vertAlign w:val="superscript"/>
        </w:rPr>
        <w:t>o</w:t>
      </w:r>
      <w:r w:rsidRPr="001561A6">
        <w:rPr>
          <w:vanish/>
          <w:spacing w:val="-2"/>
          <w:szCs w:val="18"/>
        </w:rPr>
        <w:t> </w:t>
      </w:r>
      <w:r w:rsidRPr="001561A6">
        <w:t>2540/2012 du 21 décembre 2012, qui dispose qu</w:t>
      </w:r>
      <w:r w:rsidR="009258E3">
        <w:t>’</w:t>
      </w:r>
      <w:r w:rsidRPr="001561A6">
        <w:t>en aucun cas, les violations graves des droits de l</w:t>
      </w:r>
      <w:r w:rsidR="009258E3">
        <w:t>’</w:t>
      </w:r>
      <w:r w:rsidRPr="001561A6">
        <w:t>homme constitutives de crimes contre l</w:t>
      </w:r>
      <w:r w:rsidR="009258E3">
        <w:t>’</w:t>
      </w:r>
      <w:r w:rsidRPr="001561A6">
        <w:t>humanité ne relèvent de la compétence de la juridiction pénale militaire.</w:t>
      </w:r>
    </w:p>
    <w:p w14:paraId="0805147E" w14:textId="77777777" w:rsidR="00575165" w:rsidRPr="001561A6" w:rsidRDefault="00575165" w:rsidP="00575165">
      <w:pPr>
        <w:pStyle w:val="SingleTxtG"/>
      </w:pPr>
      <w:r w:rsidRPr="001561A6">
        <w:t>116.</w:t>
      </w:r>
      <w:r w:rsidRPr="001561A6">
        <w:tab/>
        <w:t>Ainsi, la compétence des tribunaux militaires est strictement limitée aux questions relatives au domaine militaire, et plus spécifiquement aux devoirs propres à la fonction militaire, donnant ainsi naissance à ce que la doctrine appelle l</w:t>
      </w:r>
      <w:r w:rsidR="009258E3">
        <w:t>’</w:t>
      </w:r>
      <w:r w:rsidRPr="001561A6">
        <w:t>infraction commise dans l</w:t>
      </w:r>
      <w:r w:rsidR="009258E3">
        <w:t>’</w:t>
      </w:r>
      <w:r w:rsidRPr="001561A6">
        <w:t>exercice de fonctions militaires qui, pour être considérée comme telle, doit réunir les éléments suivants : 1) le bien juridique doit être militaire ; 2) l</w:t>
      </w:r>
      <w:r w:rsidR="009258E3">
        <w:t>’</w:t>
      </w:r>
      <w:r w:rsidRPr="001561A6">
        <w:t>infraction doit être prévue par le droit pénal militaire (principe de légalité) ; et 3) il doit exister un lien de causalité entre les fonctions et l</w:t>
      </w:r>
      <w:r w:rsidR="009258E3">
        <w:t>’</w:t>
      </w:r>
      <w:r w:rsidRPr="001561A6">
        <w:t>infraction commise, à savoir que la tâche ordonnée doit en soi découler légitimement de la mission confiée aux forces armées, dans les limites prévues par la Constitution.</w:t>
      </w:r>
    </w:p>
    <w:p w14:paraId="45EFD3EE" w14:textId="77777777" w:rsidR="00575165" w:rsidRPr="001561A6" w:rsidRDefault="00575165" w:rsidP="00575165">
      <w:pPr>
        <w:pStyle w:val="SingleTxtG"/>
      </w:pPr>
      <w:r w:rsidRPr="001561A6">
        <w:t>117.</w:t>
      </w:r>
      <w:r w:rsidRPr="001561A6">
        <w:tab/>
        <w:t>En outre, pour donner suite à l</w:t>
      </w:r>
      <w:r w:rsidR="009258E3">
        <w:t>’</w:t>
      </w:r>
      <w:r w:rsidRPr="001561A6">
        <w:t>instruction de l</w:t>
      </w:r>
      <w:r w:rsidR="009258E3">
        <w:t>’</w:t>
      </w:r>
      <w:r w:rsidRPr="001561A6">
        <w:t>Inspecteur général des forces armées INSP. FF.AA. S.G. 110/19 relative à la directive 22/14 et à l</w:t>
      </w:r>
      <w:r w:rsidR="009258E3">
        <w:t>’</w:t>
      </w:r>
      <w:r w:rsidRPr="001561A6">
        <w:t>instruction FGE/RIGO/DGFSE 181/14 du commandement en chef des forces armées portant sur la compétence et la juridiction pénale militaire (laquelle sert de référence aux militaires et fonctionnaires civils pour tous les actes liés à l</w:t>
      </w:r>
      <w:r w:rsidR="009258E3">
        <w:t>’</w:t>
      </w:r>
      <w:r w:rsidRPr="001561A6">
        <w:t>exercice de leurs fonctions dans le cadre militaire), ces documents ont été diffusés et interprétés.</w:t>
      </w:r>
    </w:p>
    <w:p w14:paraId="1CA2271B" w14:textId="77777777" w:rsidR="00575165" w:rsidRPr="001561A6" w:rsidRDefault="00575165" w:rsidP="00575165">
      <w:pPr>
        <w:pStyle w:val="SingleTxtG"/>
      </w:pPr>
      <w:r w:rsidRPr="001561A6">
        <w:t>118.</w:t>
      </w:r>
      <w:r w:rsidRPr="001561A6">
        <w:tab/>
        <w:t xml:space="preserve">Aussi, pour donner suite aux instructions départementales I-PERS. DIV. « G » 67/19 et MD-SG.DG.U. DD. HH et DIH .1293 du Ministère de la </w:t>
      </w:r>
      <w:r w:rsidR="00ED558F">
        <w:t>d</w:t>
      </w:r>
      <w:r w:rsidRPr="001561A6">
        <w:t>éfense, et conformément à l</w:t>
      </w:r>
      <w:r w:rsidR="009258E3">
        <w:t>’</w:t>
      </w:r>
      <w:r w:rsidRPr="001561A6">
        <w:t xml:space="preserve">arrêté </w:t>
      </w:r>
      <w:r w:rsidRPr="001561A6">
        <w:rPr>
          <w:rFonts w:eastAsia="MS Mincho"/>
          <w:vanish/>
          <w:spacing w:val="-2"/>
          <w:szCs w:val="22"/>
        </w:rPr>
        <w:t>n</w:t>
      </w:r>
      <w:r w:rsidRPr="001561A6">
        <w:rPr>
          <w:rFonts w:eastAsia="MS Mincho"/>
          <w:vanish/>
          <w:spacing w:val="-2"/>
          <w:szCs w:val="22"/>
          <w:vertAlign w:val="superscript"/>
        </w:rPr>
        <w:t>o</w:t>
      </w:r>
      <w:r w:rsidRPr="001561A6">
        <w:rPr>
          <w:vanish/>
          <w:spacing w:val="-2"/>
          <w:szCs w:val="18"/>
        </w:rPr>
        <w:t> </w:t>
      </w:r>
      <w:r w:rsidRPr="001561A6">
        <w:t>0747 en date du 13 août de ce même Ministère, la Direction générale des droits de l</w:t>
      </w:r>
      <w:r w:rsidR="009258E3">
        <w:t>’</w:t>
      </w:r>
      <w:r w:rsidRPr="001561A6">
        <w:t>homme et de l</w:t>
      </w:r>
      <w:r w:rsidR="009258E3">
        <w:t>’</w:t>
      </w:r>
      <w:r w:rsidRPr="001561A6">
        <w:t>interculturalité dans les forces armées relevant du Ministère de la défense est habilitée à délivrer des « certificats de non-violation des droits de l</w:t>
      </w:r>
      <w:r w:rsidR="009258E3">
        <w:t>’</w:t>
      </w:r>
      <w:r w:rsidRPr="001561A6">
        <w:t>homme » que doivent produire les militaires appelés à être promus.</w:t>
      </w:r>
    </w:p>
    <w:p w14:paraId="13C301E4" w14:textId="77777777" w:rsidR="00575165" w:rsidRPr="001561A6" w:rsidRDefault="00575165" w:rsidP="00575165">
      <w:pPr>
        <w:pStyle w:val="SingleTxtG"/>
      </w:pPr>
      <w:r w:rsidRPr="001561A6">
        <w:t>119.</w:t>
      </w:r>
      <w:r w:rsidRPr="001561A6">
        <w:tab/>
        <w:t>Le Plan pour l</w:t>
      </w:r>
      <w:r w:rsidR="009258E3">
        <w:t>’</w:t>
      </w:r>
      <w:r w:rsidRPr="001561A6">
        <w:t>égalité des sexes dans le secteur de la défense et ses protocoles de prise en charge en cas de violations des droits de l</w:t>
      </w:r>
      <w:r w:rsidR="009258E3">
        <w:t>’</w:t>
      </w:r>
      <w:r w:rsidRPr="001561A6">
        <w:t>homme sont mis en œuvre. Les affaires correspondantes sont renvoyées devant les tribunaux ordinaires lorsque cela est nécessaire ou lorsque les faits constituent une infraction prévue dans les lois relatives à la protection des femmes, des enfants et des adolescents et des autres personnes vulnérables.</w:t>
      </w:r>
    </w:p>
    <w:p w14:paraId="3B2C3B74" w14:textId="77777777" w:rsidR="00575165" w:rsidRPr="001561A6" w:rsidRDefault="00575165" w:rsidP="00575165">
      <w:pPr>
        <w:pStyle w:val="H23G"/>
      </w:pPr>
      <w:r w:rsidRPr="001561A6">
        <w:tab/>
      </w:r>
      <w:r w:rsidRPr="001561A6">
        <w:tab/>
        <w:t>Réponse à la question posée au paragraphe 26 de la liste de points</w:t>
      </w:r>
    </w:p>
    <w:p w14:paraId="2AF1B0C0" w14:textId="77777777" w:rsidR="00575165" w:rsidRPr="001561A6" w:rsidRDefault="00575165" w:rsidP="00575165">
      <w:pPr>
        <w:pStyle w:val="H4G"/>
      </w:pPr>
      <w:r w:rsidRPr="001561A6">
        <w:tab/>
      </w:r>
      <w:r w:rsidRPr="001561A6">
        <w:tab/>
        <w:t>Commission de la vérité</w:t>
      </w:r>
    </w:p>
    <w:p w14:paraId="151686E6" w14:textId="77777777" w:rsidR="00575165" w:rsidRPr="001561A6" w:rsidRDefault="00575165" w:rsidP="00575165">
      <w:pPr>
        <w:pStyle w:val="SingleTxtG"/>
      </w:pPr>
      <w:r w:rsidRPr="001561A6">
        <w:t>120.</w:t>
      </w:r>
      <w:r w:rsidRPr="001561A6">
        <w:tab/>
        <w:t>Comme indiqué dans le troisième rapport périodique, la Commission de la vérité a été créée en 2016, et son mandat a pris fin en novembre 2019. Dans le cadre de ses fonctions et des objectifs définis par la loi sur la Commission de la vérité</w:t>
      </w:r>
      <w:r w:rsidRPr="001561A6">
        <w:rPr>
          <w:rStyle w:val="Appelnotedebasdep"/>
        </w:rPr>
        <w:footnoteReference w:id="42"/>
      </w:r>
      <w:r w:rsidRPr="001561A6">
        <w:t>, celle-ci a rédigé un mémoire de portée historique sur les conditions géopolitiques, politiques, sociales, économiques et culturelles qui ont conduit à des violations des droits de l</w:t>
      </w:r>
      <w:r w:rsidR="009258E3">
        <w:t>’</w:t>
      </w:r>
      <w:r w:rsidRPr="001561A6">
        <w:t>homme et à la commission de crimes contre l</w:t>
      </w:r>
      <w:r w:rsidR="009258E3">
        <w:t>’</w:t>
      </w:r>
      <w:r w:rsidRPr="001561A6">
        <w:t>humanité visant la population bolivienne, ainsi qu</w:t>
      </w:r>
      <w:r w:rsidR="009258E3">
        <w:t>’</w:t>
      </w:r>
      <w:r w:rsidRPr="001561A6">
        <w:t>un rapport final dans lequel elle a consigné les faits constitutifs de graves violations des droits de l</w:t>
      </w:r>
      <w:r w:rsidR="009258E3">
        <w:t>’</w:t>
      </w:r>
      <w:r w:rsidRPr="001561A6">
        <w:t>homme ayant fait l</w:t>
      </w:r>
      <w:r w:rsidR="009258E3">
        <w:t>’</w:t>
      </w:r>
      <w:r w:rsidRPr="001561A6">
        <w:t>objet d</w:t>
      </w:r>
      <w:r w:rsidR="009258E3">
        <w:t>’</w:t>
      </w:r>
      <w:r w:rsidRPr="001561A6">
        <w:t>une enquête.</w:t>
      </w:r>
    </w:p>
    <w:p w14:paraId="1C41F488" w14:textId="77777777" w:rsidR="00575165" w:rsidRPr="001561A6" w:rsidRDefault="00575165" w:rsidP="00575165">
      <w:pPr>
        <w:pStyle w:val="SingleTxtG"/>
      </w:pPr>
      <w:r w:rsidRPr="001561A6">
        <w:t>121.</w:t>
      </w:r>
      <w:r w:rsidRPr="001561A6">
        <w:tab/>
        <w:t>En ce qui concerne les disparitions forcées, elle indique que sur la base des enquêtes menées, du travail de terrain, des recherches bibliographiques, des faits et des informations trouvés dans les journaux en ligne, des informations recueillies auprès du Département II du service de renseignement de l</w:t>
      </w:r>
      <w:r w:rsidR="009258E3">
        <w:t>’</w:t>
      </w:r>
      <w:r w:rsidR="00ED558F">
        <w:t>é</w:t>
      </w:r>
      <w:r w:rsidRPr="001561A6">
        <w:t>tat-major de l</w:t>
      </w:r>
      <w:r w:rsidR="009258E3">
        <w:t>’</w:t>
      </w:r>
      <w:r w:rsidRPr="001561A6">
        <w:t>armée, des documents de divers organismes d</w:t>
      </w:r>
      <w:r w:rsidR="009258E3">
        <w:t>’</w:t>
      </w:r>
      <w:r w:rsidRPr="001561A6">
        <w:t>État comme le SEGIP (Service général de l</w:t>
      </w:r>
      <w:r w:rsidR="009258E3">
        <w:t>’</w:t>
      </w:r>
      <w:r w:rsidRPr="001561A6">
        <w:t>identification des personnes), le SERECI (Service d</w:t>
      </w:r>
      <w:r w:rsidR="009258E3">
        <w:t>’</w:t>
      </w:r>
      <w:r w:rsidRPr="001561A6">
        <w:t>état civil), l</w:t>
      </w:r>
      <w:r w:rsidR="009258E3">
        <w:t>’</w:t>
      </w:r>
      <w:r w:rsidRPr="001561A6">
        <w:t>IDIF (Institut chargé des enquêtes médico-légales), la COMTECA (Commission technique de qualification), l</w:t>
      </w:r>
      <w:r w:rsidR="009258E3">
        <w:t>’</w:t>
      </w:r>
      <w:r w:rsidRPr="001561A6">
        <w:t xml:space="preserve">ASOFAMD (Association des familles de détenus, disparus et martyrs de la libération nationale), le CIEDEF (Conseil </w:t>
      </w:r>
      <w:proofErr w:type="spellStart"/>
      <w:r w:rsidRPr="001561A6">
        <w:t>interinstitutions</w:t>
      </w:r>
      <w:proofErr w:type="spellEnd"/>
      <w:r w:rsidRPr="001561A6">
        <w:t xml:space="preserve"> chargé d</w:t>
      </w:r>
      <w:r w:rsidR="009258E3">
        <w:t>’</w:t>
      </w:r>
      <w:r w:rsidRPr="001561A6">
        <w:t xml:space="preserve">élucider les disparitions forcées) et des institutions telles que le Gouvernement autonome municipal de El Alto (ancien cimetière du Rio </w:t>
      </w:r>
      <w:proofErr w:type="spellStart"/>
      <w:r w:rsidRPr="001561A6">
        <w:t>Seco</w:t>
      </w:r>
      <w:proofErr w:type="spellEnd"/>
      <w:r w:rsidRPr="001561A6">
        <w:t>), le cimetière général de La</w:t>
      </w:r>
      <w:r w:rsidR="0088513B">
        <w:t> </w:t>
      </w:r>
      <w:r w:rsidRPr="001561A6">
        <w:t>Paz, le cimetière allemand et d</w:t>
      </w:r>
      <w:r w:rsidR="009258E3">
        <w:t>’</w:t>
      </w:r>
      <w:r w:rsidRPr="001561A6">
        <w:t>autres, il a été permis d</w:t>
      </w:r>
      <w:r w:rsidR="009258E3">
        <w:t>’</w:t>
      </w:r>
      <w:r w:rsidRPr="001561A6">
        <w:t>établir ce qui suit au sujet de la situation des disparitions forcées en Bolivie entre 1964 et 1982.</w:t>
      </w:r>
    </w:p>
    <w:p w14:paraId="294ECA1E" w14:textId="77777777" w:rsidR="00575165" w:rsidRPr="001561A6" w:rsidRDefault="00575165" w:rsidP="00575165">
      <w:pPr>
        <w:pStyle w:val="H23G"/>
      </w:pPr>
      <w:r w:rsidRPr="001561A6">
        <w:tab/>
      </w:r>
      <w:r w:rsidRPr="001561A6">
        <w:tab/>
        <w:t>Cas recensés</w:t>
      </w:r>
    </w:p>
    <w:tbl>
      <w:tblPr>
        <w:tblStyle w:val="TableauGrille4-Accentuation6"/>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41"/>
        <w:gridCol w:w="1929"/>
      </w:tblGrid>
      <w:tr w:rsidR="004028ED" w:rsidRPr="004028ED" w14:paraId="15FD76A7" w14:textId="77777777" w:rsidTr="00402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41" w:type="dxa"/>
            <w:tcBorders>
              <w:top w:val="single" w:sz="4" w:space="0" w:color="auto"/>
              <w:left w:val="none" w:sz="0" w:space="0" w:color="auto"/>
              <w:bottom w:val="single" w:sz="12" w:space="0" w:color="auto"/>
              <w:right w:val="none" w:sz="0" w:space="0" w:color="auto"/>
            </w:tcBorders>
            <w:shd w:val="clear" w:color="auto" w:fill="auto"/>
            <w:vAlign w:val="bottom"/>
          </w:tcPr>
          <w:p w14:paraId="4EACAA07" w14:textId="77777777" w:rsidR="004028ED" w:rsidRPr="004028ED" w:rsidRDefault="004028ED" w:rsidP="004028ED">
            <w:pPr>
              <w:suppressAutoHyphens w:val="0"/>
              <w:spacing w:before="80" w:after="80" w:line="200" w:lineRule="exact"/>
              <w:rPr>
                <w:bCs w:val="0"/>
                <w:i/>
                <w:color w:val="auto"/>
                <w:sz w:val="16"/>
                <w:szCs w:val="18"/>
              </w:rPr>
            </w:pPr>
            <w:r w:rsidRPr="004028ED">
              <w:rPr>
                <w:bCs w:val="0"/>
                <w:i/>
                <w:color w:val="auto"/>
                <w:sz w:val="16"/>
              </w:rPr>
              <w:t xml:space="preserve">A) </w:t>
            </w:r>
            <w:r w:rsidRPr="004028ED">
              <w:rPr>
                <w:bCs w:val="0"/>
                <w:i/>
                <w:color w:val="auto"/>
                <w:sz w:val="16"/>
                <w:lang w:val="fr-FR"/>
              </w:rPr>
              <w:t>Détenus − victimes de disparition forcée</w:t>
            </w:r>
          </w:p>
        </w:tc>
        <w:tc>
          <w:tcPr>
            <w:tcW w:w="1929" w:type="dxa"/>
            <w:tcBorders>
              <w:top w:val="single" w:sz="4" w:space="0" w:color="auto"/>
              <w:left w:val="none" w:sz="0" w:space="0" w:color="auto"/>
              <w:bottom w:val="single" w:sz="12" w:space="0" w:color="auto"/>
              <w:right w:val="none" w:sz="0" w:space="0" w:color="auto"/>
            </w:tcBorders>
            <w:shd w:val="clear" w:color="auto" w:fill="auto"/>
            <w:vAlign w:val="bottom"/>
          </w:tcPr>
          <w:p w14:paraId="5103B32C" w14:textId="77777777" w:rsidR="004028ED" w:rsidRPr="004028ED" w:rsidRDefault="004028ED" w:rsidP="004028ED">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Cs w:val="0"/>
                <w:i/>
                <w:color w:val="auto"/>
                <w:sz w:val="16"/>
              </w:rPr>
            </w:pPr>
            <w:r w:rsidRPr="004028ED">
              <w:rPr>
                <w:bCs w:val="0"/>
                <w:i/>
                <w:color w:val="auto"/>
                <w:sz w:val="16"/>
              </w:rPr>
              <w:t>74</w:t>
            </w:r>
          </w:p>
        </w:tc>
      </w:tr>
      <w:tr w:rsidR="004028ED" w:rsidRPr="004028ED" w14:paraId="64C959D7" w14:textId="77777777" w:rsidTr="00402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Borders>
              <w:top w:val="single" w:sz="12" w:space="0" w:color="auto"/>
            </w:tcBorders>
            <w:shd w:val="clear" w:color="auto" w:fill="auto"/>
          </w:tcPr>
          <w:p w14:paraId="37BDAC13" w14:textId="77777777" w:rsidR="00050BA1" w:rsidRPr="004028ED" w:rsidRDefault="00050BA1" w:rsidP="004028ED">
            <w:pPr>
              <w:suppressAutoHyphens w:val="0"/>
              <w:spacing w:before="40" w:after="40" w:line="220" w:lineRule="exact"/>
              <w:rPr>
                <w:b w:val="0"/>
                <w:sz w:val="18"/>
                <w:szCs w:val="18"/>
              </w:rPr>
            </w:pPr>
            <w:r w:rsidRPr="004028ED">
              <w:rPr>
                <w:sz w:val="18"/>
                <w:szCs w:val="18"/>
              </w:rPr>
              <w:t>B) Détenus − victimes de disparition forcée − ossements trouvés</w:t>
            </w:r>
          </w:p>
        </w:tc>
        <w:tc>
          <w:tcPr>
            <w:tcW w:w="1929" w:type="dxa"/>
            <w:tcBorders>
              <w:top w:val="single" w:sz="12" w:space="0" w:color="auto"/>
            </w:tcBorders>
            <w:shd w:val="clear" w:color="auto" w:fill="auto"/>
            <w:vAlign w:val="bottom"/>
          </w:tcPr>
          <w:p w14:paraId="027F32B7" w14:textId="77777777" w:rsidR="00050BA1" w:rsidRPr="004028ED" w:rsidRDefault="00050BA1" w:rsidP="004028ED">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rPr>
            </w:pPr>
            <w:r w:rsidRPr="004028ED">
              <w:rPr>
                <w:sz w:val="18"/>
              </w:rPr>
              <w:t>26</w:t>
            </w:r>
          </w:p>
        </w:tc>
      </w:tr>
      <w:tr w:rsidR="004028ED" w:rsidRPr="004028ED" w14:paraId="3F76F8AB" w14:textId="77777777" w:rsidTr="004028ED">
        <w:tc>
          <w:tcPr>
            <w:cnfStyle w:val="001000000000" w:firstRow="0" w:lastRow="0" w:firstColumn="1" w:lastColumn="0" w:oddVBand="0" w:evenVBand="0" w:oddHBand="0" w:evenHBand="0" w:firstRowFirstColumn="0" w:firstRowLastColumn="0" w:lastRowFirstColumn="0" w:lastRowLastColumn="0"/>
            <w:tcW w:w="5441" w:type="dxa"/>
            <w:shd w:val="clear" w:color="auto" w:fill="auto"/>
          </w:tcPr>
          <w:p w14:paraId="1B887243" w14:textId="77777777" w:rsidR="00050BA1" w:rsidRPr="004028ED" w:rsidRDefault="00050BA1" w:rsidP="004028ED">
            <w:pPr>
              <w:suppressAutoHyphens w:val="0"/>
              <w:spacing w:before="40" w:after="40" w:line="220" w:lineRule="exact"/>
              <w:rPr>
                <w:b w:val="0"/>
                <w:sz w:val="18"/>
                <w:szCs w:val="18"/>
              </w:rPr>
            </w:pPr>
            <w:r w:rsidRPr="004028ED">
              <w:rPr>
                <w:sz w:val="18"/>
                <w:szCs w:val="18"/>
              </w:rPr>
              <w:t>C) Personnes disparues</w:t>
            </w:r>
          </w:p>
        </w:tc>
        <w:tc>
          <w:tcPr>
            <w:tcW w:w="1929" w:type="dxa"/>
            <w:shd w:val="clear" w:color="auto" w:fill="auto"/>
            <w:vAlign w:val="bottom"/>
          </w:tcPr>
          <w:p w14:paraId="5C94470F" w14:textId="77777777" w:rsidR="00050BA1" w:rsidRPr="004028ED" w:rsidRDefault="00050BA1" w:rsidP="004028ED">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4028ED">
              <w:rPr>
                <w:sz w:val="18"/>
              </w:rPr>
              <w:t>39</w:t>
            </w:r>
          </w:p>
        </w:tc>
      </w:tr>
      <w:tr w:rsidR="004028ED" w:rsidRPr="004028ED" w14:paraId="17ECB833" w14:textId="77777777" w:rsidTr="00402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shd w:val="clear" w:color="auto" w:fill="auto"/>
          </w:tcPr>
          <w:p w14:paraId="522E9961" w14:textId="77777777" w:rsidR="00050BA1" w:rsidRPr="004028ED" w:rsidRDefault="00050BA1" w:rsidP="004028ED">
            <w:pPr>
              <w:suppressAutoHyphens w:val="0"/>
              <w:spacing w:before="40" w:after="40" w:line="220" w:lineRule="exact"/>
              <w:rPr>
                <w:b w:val="0"/>
                <w:sz w:val="18"/>
                <w:szCs w:val="18"/>
              </w:rPr>
            </w:pPr>
            <w:r w:rsidRPr="004028ED">
              <w:rPr>
                <w:sz w:val="18"/>
                <w:szCs w:val="18"/>
              </w:rPr>
              <w:t>D) Plaintes de détenus − Boliviens disparus en République argentine</w:t>
            </w:r>
          </w:p>
        </w:tc>
        <w:tc>
          <w:tcPr>
            <w:tcW w:w="1929" w:type="dxa"/>
            <w:shd w:val="clear" w:color="auto" w:fill="auto"/>
            <w:vAlign w:val="bottom"/>
          </w:tcPr>
          <w:p w14:paraId="60BEEF3C" w14:textId="77777777" w:rsidR="00050BA1" w:rsidRPr="004028ED" w:rsidRDefault="00050BA1" w:rsidP="004028ED">
            <w:pPr>
              <w:suppressAutoHyphens w:val="0"/>
              <w:spacing w:before="40" w:after="40" w:line="220" w:lineRule="exact"/>
              <w:jc w:val="right"/>
              <w:cnfStyle w:val="000000100000" w:firstRow="0" w:lastRow="0" w:firstColumn="0" w:lastColumn="0" w:oddVBand="0" w:evenVBand="0" w:oddHBand="1" w:evenHBand="0" w:firstRowFirstColumn="0" w:firstRowLastColumn="0" w:lastRowFirstColumn="0" w:lastRowLastColumn="0"/>
              <w:rPr>
                <w:sz w:val="18"/>
              </w:rPr>
            </w:pPr>
            <w:r w:rsidRPr="004028ED">
              <w:rPr>
                <w:sz w:val="18"/>
              </w:rPr>
              <w:t>19</w:t>
            </w:r>
          </w:p>
        </w:tc>
      </w:tr>
      <w:tr w:rsidR="004028ED" w:rsidRPr="004028ED" w14:paraId="50699DA2" w14:textId="77777777" w:rsidTr="0017279A">
        <w:tc>
          <w:tcPr>
            <w:cnfStyle w:val="001000000000" w:firstRow="0" w:lastRow="0" w:firstColumn="1" w:lastColumn="0" w:oddVBand="0" w:evenVBand="0" w:oddHBand="0" w:evenHBand="0" w:firstRowFirstColumn="0" w:firstRowLastColumn="0" w:lastRowFirstColumn="0" w:lastRowLastColumn="0"/>
            <w:tcW w:w="5441" w:type="dxa"/>
            <w:tcBorders>
              <w:bottom w:val="single" w:sz="4" w:space="0" w:color="auto"/>
            </w:tcBorders>
            <w:shd w:val="clear" w:color="auto" w:fill="auto"/>
          </w:tcPr>
          <w:p w14:paraId="6F63497A" w14:textId="77777777" w:rsidR="00050BA1" w:rsidRPr="004028ED" w:rsidRDefault="00050BA1" w:rsidP="004028ED">
            <w:pPr>
              <w:suppressAutoHyphens w:val="0"/>
              <w:spacing w:before="40" w:after="40" w:line="220" w:lineRule="exact"/>
              <w:rPr>
                <w:b w:val="0"/>
                <w:sz w:val="18"/>
                <w:szCs w:val="18"/>
              </w:rPr>
            </w:pPr>
            <w:r w:rsidRPr="004028ED">
              <w:rPr>
                <w:sz w:val="18"/>
                <w:szCs w:val="18"/>
              </w:rPr>
              <w:t>E) Plaintes de détenus − disparus en République argentine</w:t>
            </w:r>
          </w:p>
        </w:tc>
        <w:tc>
          <w:tcPr>
            <w:tcW w:w="1929" w:type="dxa"/>
            <w:tcBorders>
              <w:bottom w:val="single" w:sz="4" w:space="0" w:color="auto"/>
            </w:tcBorders>
            <w:shd w:val="clear" w:color="auto" w:fill="auto"/>
            <w:vAlign w:val="bottom"/>
          </w:tcPr>
          <w:p w14:paraId="4F06BC10" w14:textId="77777777" w:rsidR="00050BA1" w:rsidRPr="004028ED" w:rsidRDefault="00050BA1" w:rsidP="004028ED">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4028ED">
              <w:rPr>
                <w:sz w:val="18"/>
              </w:rPr>
              <w:t>2</w:t>
            </w:r>
          </w:p>
        </w:tc>
      </w:tr>
      <w:tr w:rsidR="004028ED" w:rsidRPr="0017279A" w14:paraId="63879E99" w14:textId="77777777" w:rsidTr="00172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1" w:type="dxa"/>
            <w:tcBorders>
              <w:top w:val="single" w:sz="4" w:space="0" w:color="auto"/>
              <w:bottom w:val="single" w:sz="12" w:space="0" w:color="auto"/>
            </w:tcBorders>
            <w:shd w:val="clear" w:color="auto" w:fill="auto"/>
          </w:tcPr>
          <w:p w14:paraId="7ED1384C" w14:textId="77777777" w:rsidR="00050BA1" w:rsidRPr="0017279A" w:rsidRDefault="00050BA1" w:rsidP="0017279A">
            <w:pPr>
              <w:suppressAutoHyphens w:val="0"/>
              <w:spacing w:before="80" w:after="80" w:line="220" w:lineRule="exact"/>
              <w:ind w:left="283"/>
              <w:rPr>
                <w:bCs w:val="0"/>
                <w:sz w:val="18"/>
                <w:szCs w:val="18"/>
              </w:rPr>
            </w:pPr>
            <w:bookmarkStart w:id="3" w:name="_GoBack"/>
            <w:bookmarkEnd w:id="3"/>
            <w:r w:rsidRPr="0017279A">
              <w:rPr>
                <w:bCs w:val="0"/>
                <w:sz w:val="18"/>
                <w:szCs w:val="18"/>
              </w:rPr>
              <w:t>Total, nombre de plaintes enregistrées</w:t>
            </w:r>
          </w:p>
        </w:tc>
        <w:tc>
          <w:tcPr>
            <w:tcW w:w="1929" w:type="dxa"/>
            <w:tcBorders>
              <w:top w:val="single" w:sz="4" w:space="0" w:color="auto"/>
              <w:bottom w:val="single" w:sz="12" w:space="0" w:color="auto"/>
            </w:tcBorders>
            <w:shd w:val="clear" w:color="auto" w:fill="auto"/>
            <w:vAlign w:val="bottom"/>
          </w:tcPr>
          <w:p w14:paraId="3B69C3C1" w14:textId="77777777" w:rsidR="00050BA1" w:rsidRPr="0017279A" w:rsidRDefault="00050BA1" w:rsidP="0017279A">
            <w:pPr>
              <w:suppressAutoHyphens w:val="0"/>
              <w:spacing w:before="80" w:after="80" w:line="220" w:lineRule="exact"/>
              <w:jc w:val="right"/>
              <w:cnfStyle w:val="000000100000" w:firstRow="0" w:lastRow="0" w:firstColumn="0" w:lastColumn="0" w:oddVBand="0" w:evenVBand="0" w:oddHBand="1" w:evenHBand="0" w:firstRowFirstColumn="0" w:firstRowLastColumn="0" w:lastRowFirstColumn="0" w:lastRowLastColumn="0"/>
              <w:rPr>
                <w:b/>
                <w:sz w:val="18"/>
              </w:rPr>
            </w:pPr>
            <w:r w:rsidRPr="0017279A">
              <w:rPr>
                <w:b/>
                <w:sz w:val="18"/>
              </w:rPr>
              <w:t>160</w:t>
            </w:r>
          </w:p>
        </w:tc>
      </w:tr>
    </w:tbl>
    <w:p w14:paraId="64DC4B77" w14:textId="77777777" w:rsidR="00575165" w:rsidRPr="001561A6" w:rsidRDefault="00575165" w:rsidP="00050BA1">
      <w:pPr>
        <w:pStyle w:val="SingleTxtG"/>
        <w:spacing w:before="120" w:after="240"/>
        <w:ind w:firstLine="170"/>
        <w:rPr>
          <w:sz w:val="18"/>
          <w:szCs w:val="18"/>
        </w:rPr>
      </w:pPr>
      <w:r w:rsidRPr="001561A6">
        <w:rPr>
          <w:i/>
          <w:iCs/>
          <w:sz w:val="18"/>
          <w:szCs w:val="18"/>
        </w:rPr>
        <w:t>Source</w:t>
      </w:r>
      <w:r w:rsidRPr="001561A6">
        <w:rPr>
          <w:sz w:val="18"/>
          <w:szCs w:val="18"/>
        </w:rPr>
        <w:t> : Commission de la vérité.</w:t>
      </w:r>
    </w:p>
    <w:p w14:paraId="7248060B" w14:textId="77777777" w:rsidR="00575165" w:rsidRPr="001561A6" w:rsidRDefault="00575165" w:rsidP="00575165">
      <w:pPr>
        <w:pStyle w:val="SingleTxtG"/>
        <w:rPr>
          <w:i/>
        </w:rPr>
      </w:pPr>
      <w:r w:rsidRPr="001561A6">
        <w:t>122.</w:t>
      </w:r>
      <w:r w:rsidRPr="001561A6">
        <w:tab/>
        <w:t>En ce qui concerne les cas de torture, la Commission de la vérité a identifié les types et les méthodes de torture utilisés et les autres traitements cruels, inhumains et dégradants. Selon elle, le nombre de personnes ayant subi une forme de torture pendant les dictatures a atteint 5 405. (...) Ce nombre suppose que tous les détenus, soit 5 215 personnes, ont subi une forme de torture, de quelque degré que ce soit. On peut en conclure que 100 % des prisonniers politiques ont été torturés. Les 190 personnes restantes sont mortes sous la torture ou ont eu la vie sauve grâce à un exil forcé. (...) Outre les obstacles matériels, les enquêtes sur les cas de torture sont compliquées par le fait que les victimes n</w:t>
      </w:r>
      <w:r w:rsidR="009258E3">
        <w:t>’</w:t>
      </w:r>
      <w:r w:rsidRPr="001561A6">
        <w:t>apportent aucune autre preuve à l</w:t>
      </w:r>
      <w:r w:rsidR="009258E3">
        <w:t>’</w:t>
      </w:r>
      <w:r w:rsidRPr="001561A6">
        <w:t>appui de leurs allégations que leur propre témoignage, qu</w:t>
      </w:r>
      <w:r w:rsidR="009258E3">
        <w:t>’</w:t>
      </w:r>
      <w:r w:rsidRPr="001561A6">
        <w:t>il soit oral ou écrit. Vu le nombre d</w:t>
      </w:r>
      <w:r w:rsidR="009258E3">
        <w:t>’</w:t>
      </w:r>
      <w:r w:rsidRPr="001561A6">
        <w:t>années qui se sont écoulées depuis les faits, le récit peut être confus et il peut y avoir des imprécisions dans les données, les dates, les lieux et les personnes torturées. Encore aujourd</w:t>
      </w:r>
      <w:r w:rsidR="009258E3">
        <w:t>’</w:t>
      </w:r>
      <w:r w:rsidRPr="001561A6">
        <w:t>hui, les victimes ont peur de porter plainte. Certaines personnes ont pu décider de ne plus parler de ce passé afin de préserver la stabilité familiale (...). Dans le cadre de son enquête, la Commission de la vérité a identifié 1 498 personnes ayant agi en tant que bras armé du régime répressif coupable des crimes contre l</w:t>
      </w:r>
      <w:r w:rsidR="009258E3">
        <w:t>’</w:t>
      </w:r>
      <w:r w:rsidRPr="001561A6">
        <w:t>humanité et des violations systématiques des droits de l</w:t>
      </w:r>
      <w:r w:rsidR="009258E3">
        <w:t>’</w:t>
      </w:r>
      <w:r w:rsidRPr="001561A6">
        <w:t xml:space="preserve">homme commis pendant les </w:t>
      </w:r>
      <w:r w:rsidR="00050BA1" w:rsidRPr="001561A6">
        <w:t>dix-huit</w:t>
      </w:r>
      <w:r w:rsidRPr="001561A6">
        <w:t xml:space="preserve"> années de dictature en Bolivie. Sur cette liste, 34 sont des étrangers.</w:t>
      </w:r>
    </w:p>
    <w:p w14:paraId="501CD0D3" w14:textId="77777777" w:rsidR="00575165" w:rsidRPr="001561A6" w:rsidRDefault="00575165" w:rsidP="00575165">
      <w:pPr>
        <w:pStyle w:val="H4G"/>
      </w:pPr>
      <w:r w:rsidRPr="001561A6">
        <w:tab/>
      </w:r>
      <w:r w:rsidRPr="001561A6">
        <w:tab/>
        <w:t>Déclassification des archives</w:t>
      </w:r>
    </w:p>
    <w:p w14:paraId="7C84202A" w14:textId="77777777" w:rsidR="00575165" w:rsidRPr="001561A6" w:rsidRDefault="00575165" w:rsidP="00575165">
      <w:pPr>
        <w:pStyle w:val="SingleTxtG"/>
      </w:pPr>
      <w:r w:rsidRPr="001561A6">
        <w:t>123.</w:t>
      </w:r>
      <w:r w:rsidRPr="001561A6">
        <w:tab/>
        <w:t xml:space="preserve">Le </w:t>
      </w:r>
      <w:r w:rsidR="0088513B">
        <w:t>M</w:t>
      </w:r>
      <w:r w:rsidRPr="001561A6">
        <w:t>inistère de la défense a publié la décision ministérielle 31G en date du 19 mai 2009 qui autorise le commandant en chef des forces armées à faciliter l</w:t>
      </w:r>
      <w:r w:rsidR="009258E3">
        <w:t>’</w:t>
      </w:r>
      <w:r w:rsidRPr="001561A6">
        <w:t>accès des victimes des dictatures militaires et de leurs proches qui en expriment la volonté et en manifestent l</w:t>
      </w:r>
      <w:r w:rsidR="009258E3">
        <w:t>’</w:t>
      </w:r>
      <w:r w:rsidRPr="001561A6">
        <w:t>intérêt légitime aux archives publiques et à tous les dossiers et documents d</w:t>
      </w:r>
      <w:r w:rsidR="009258E3">
        <w:t>’</w:t>
      </w:r>
      <w:r w:rsidRPr="001561A6">
        <w:t>archives.</w:t>
      </w:r>
    </w:p>
    <w:p w14:paraId="73D2F293" w14:textId="77777777" w:rsidR="00575165" w:rsidRPr="001561A6" w:rsidRDefault="00575165" w:rsidP="00575165">
      <w:pPr>
        <w:pStyle w:val="SingleTxtG"/>
      </w:pPr>
      <w:r w:rsidRPr="001561A6">
        <w:t>124.</w:t>
      </w:r>
      <w:r w:rsidRPr="001561A6">
        <w:tab/>
        <w:t>De même, par l</w:t>
      </w:r>
      <w:r w:rsidR="009258E3">
        <w:t>’</w:t>
      </w:r>
      <w:r w:rsidRPr="001561A6">
        <w:t xml:space="preserve">ordonnance suprême </w:t>
      </w:r>
      <w:r w:rsidRPr="001561A6">
        <w:rPr>
          <w:rFonts w:eastAsia="MS Mincho"/>
          <w:vanish/>
          <w:spacing w:val="-2"/>
          <w:szCs w:val="22"/>
        </w:rPr>
        <w:t>n</w:t>
      </w:r>
      <w:r w:rsidRPr="001561A6">
        <w:rPr>
          <w:rFonts w:eastAsia="MS Mincho"/>
          <w:vanish/>
          <w:spacing w:val="-2"/>
          <w:szCs w:val="22"/>
          <w:vertAlign w:val="superscript"/>
        </w:rPr>
        <w:t>o</w:t>
      </w:r>
      <w:r w:rsidRPr="001561A6">
        <w:rPr>
          <w:vanish/>
          <w:spacing w:val="-2"/>
          <w:szCs w:val="18"/>
        </w:rPr>
        <w:t> </w:t>
      </w:r>
      <w:r w:rsidRPr="001561A6">
        <w:t>125/2010 du 1</w:t>
      </w:r>
      <w:r w:rsidRPr="001561A6">
        <w:rPr>
          <w:vertAlign w:val="superscript"/>
        </w:rPr>
        <w:t>er</w:t>
      </w:r>
      <w:r w:rsidR="001869D5" w:rsidRPr="001561A6">
        <w:t> </w:t>
      </w:r>
      <w:r w:rsidRPr="001561A6">
        <w:t>avril 2010, le Tribunal suprême de justice a ordonné au commandant général des forces armées de l</w:t>
      </w:r>
      <w:r w:rsidR="009258E3">
        <w:t>’</w:t>
      </w:r>
      <w:r w:rsidRPr="001561A6">
        <w:t>État plurinational de Bolivie et à un représentant du ministère public de procéder à la déclassification des archives se trouvant dans le deuxième département de l</w:t>
      </w:r>
      <w:r w:rsidR="009258E3">
        <w:t>’</w:t>
      </w:r>
      <w:r w:rsidRPr="001561A6">
        <w:t>état-major et correspondant à la période allant de juin 1979 à décembre 1980, ainsi que du registre des entrées et des sorties de l</w:t>
      </w:r>
      <w:r w:rsidR="009258E3">
        <w:t>’</w:t>
      </w:r>
      <w:r w:rsidRPr="001561A6">
        <w:t>état-major de l</w:t>
      </w:r>
      <w:r w:rsidR="009258E3">
        <w:t>’</w:t>
      </w:r>
      <w:r w:rsidRPr="001561A6">
        <w:t>armée pour la période allant du 10 au 20</w:t>
      </w:r>
      <w:r w:rsidR="001869D5" w:rsidRPr="001561A6">
        <w:t> </w:t>
      </w:r>
      <w:r w:rsidRPr="001561A6">
        <w:t>juillet 1980 ; il lui a demandé de faire tenir des photocopies certifiées conformes au Tribunal suprême de justice afin que les faits puissent être élucidés.</w:t>
      </w:r>
    </w:p>
    <w:p w14:paraId="7EB0F366" w14:textId="77777777" w:rsidR="00575165" w:rsidRPr="001561A6" w:rsidRDefault="00575165" w:rsidP="00575165">
      <w:pPr>
        <w:pStyle w:val="SingleTxtG"/>
      </w:pPr>
      <w:r w:rsidRPr="001561A6">
        <w:t>125.</w:t>
      </w:r>
      <w:r w:rsidRPr="001561A6">
        <w:tab/>
        <w:t xml:space="preserve">Ensuite, la loi </w:t>
      </w:r>
      <w:r w:rsidRPr="001561A6">
        <w:rPr>
          <w:rFonts w:eastAsia="MS Mincho"/>
          <w:vanish/>
          <w:spacing w:val="-2"/>
          <w:szCs w:val="22"/>
        </w:rPr>
        <w:t>n</w:t>
      </w:r>
      <w:r w:rsidRPr="001561A6">
        <w:rPr>
          <w:rFonts w:eastAsia="MS Mincho"/>
          <w:vanish/>
          <w:spacing w:val="-2"/>
          <w:szCs w:val="22"/>
          <w:vertAlign w:val="superscript"/>
        </w:rPr>
        <w:t>o</w:t>
      </w:r>
      <w:r w:rsidRPr="001561A6">
        <w:rPr>
          <w:vanish/>
          <w:spacing w:val="-2"/>
          <w:szCs w:val="18"/>
        </w:rPr>
        <w:t> </w:t>
      </w:r>
      <w:r w:rsidRPr="001561A6">
        <w:t>879 prévoit la déclassification des documents militaires (papier ou numériques) et policiers et d</w:t>
      </w:r>
      <w:r w:rsidR="009258E3">
        <w:t>’</w:t>
      </w:r>
      <w:r w:rsidRPr="001561A6">
        <w:t>autres types de documents classifiés ou à accès restreint, qu</w:t>
      </w:r>
      <w:r w:rsidR="009258E3">
        <w:t>’</w:t>
      </w:r>
      <w:r w:rsidRPr="001561A6">
        <w:t>ils soient confidentiels ou relèvent d</w:t>
      </w:r>
      <w:r w:rsidR="009258E3">
        <w:t>’</w:t>
      </w:r>
      <w:r w:rsidRPr="001561A6">
        <w:t>une autre catégorie qui empêche de les examiner ou d</w:t>
      </w:r>
      <w:r w:rsidR="009258E3">
        <w:t>’</w:t>
      </w:r>
      <w:r w:rsidRPr="001561A6">
        <w:t>y avoir accès, pour la période comprise entre le 4</w:t>
      </w:r>
      <w:r w:rsidR="00F35858" w:rsidRPr="001561A6">
        <w:t> </w:t>
      </w:r>
      <w:r w:rsidRPr="001561A6">
        <w:t>novembre 1964 et le 10</w:t>
      </w:r>
      <w:r w:rsidR="00F35858" w:rsidRPr="001561A6">
        <w:t> </w:t>
      </w:r>
      <w:r w:rsidRPr="001561A6">
        <w:t>octobre 1982.</w:t>
      </w:r>
    </w:p>
    <w:p w14:paraId="657695F3" w14:textId="77777777" w:rsidR="00575165" w:rsidRPr="001561A6" w:rsidRDefault="00575165" w:rsidP="00575165">
      <w:pPr>
        <w:pStyle w:val="SingleTxtG"/>
      </w:pPr>
      <w:r w:rsidRPr="001561A6">
        <w:t>126.</w:t>
      </w:r>
      <w:r w:rsidRPr="001561A6">
        <w:tab/>
        <w:t>À cet égard, l</w:t>
      </w:r>
      <w:r w:rsidR="009258E3">
        <w:t>’</w:t>
      </w:r>
      <w:r w:rsidRPr="001561A6">
        <w:t>équipe technique de la Commission de la vérité a eu accès aux archives du deuxième département de l</w:t>
      </w:r>
      <w:r w:rsidR="009258E3">
        <w:t>’</w:t>
      </w:r>
      <w:r w:rsidR="001869D5" w:rsidRPr="001561A6">
        <w:t>é</w:t>
      </w:r>
      <w:r w:rsidRPr="001561A6">
        <w:t>tat-major de l</w:t>
      </w:r>
      <w:r w:rsidR="009258E3">
        <w:t>’</w:t>
      </w:r>
      <w:r w:rsidRPr="001561A6">
        <w:t>armée. En outre, le ministère des relations extérieures, la bibliothèque et les archives historiques de l</w:t>
      </w:r>
      <w:r w:rsidR="009258E3">
        <w:t>’</w:t>
      </w:r>
      <w:r w:rsidRPr="001561A6">
        <w:t>Assemblée législative plurinationale, le Tribunal suprême de justice et le Ministère de la justice et de la transparence institutionnelle ont également remis à la Commission des informations et des documents sur les violations des droits de l</w:t>
      </w:r>
      <w:r w:rsidR="009258E3">
        <w:t>’</w:t>
      </w:r>
      <w:r w:rsidRPr="001561A6">
        <w:t>homme qui ont servi à faire la lumière sur les faits.</w:t>
      </w:r>
    </w:p>
    <w:p w14:paraId="11637BE6" w14:textId="77777777" w:rsidR="00575165" w:rsidRPr="001561A6" w:rsidRDefault="00575165" w:rsidP="00575165">
      <w:pPr>
        <w:pStyle w:val="H23G"/>
      </w:pPr>
      <w:r w:rsidRPr="001561A6">
        <w:tab/>
      </w:r>
      <w:r w:rsidRPr="001561A6">
        <w:tab/>
      </w:r>
      <w:r w:rsidRPr="001561A6">
        <w:rPr>
          <w:bCs/>
        </w:rPr>
        <w:t>Article 14</w:t>
      </w:r>
    </w:p>
    <w:p w14:paraId="3094DA42" w14:textId="77777777" w:rsidR="00575165" w:rsidRPr="001561A6" w:rsidRDefault="00575165" w:rsidP="00575165">
      <w:pPr>
        <w:pStyle w:val="H23G"/>
      </w:pPr>
      <w:r w:rsidRPr="001561A6">
        <w:tab/>
      </w:r>
      <w:r w:rsidRPr="001561A6">
        <w:tab/>
      </w:r>
      <w:r w:rsidRPr="001561A6">
        <w:rPr>
          <w:bCs/>
        </w:rPr>
        <w:t>Réponse à la question posée au paragraphe 27 de la liste de points</w:t>
      </w:r>
    </w:p>
    <w:p w14:paraId="5985D630" w14:textId="77777777" w:rsidR="00575165" w:rsidRPr="001561A6" w:rsidRDefault="00575165" w:rsidP="00575165">
      <w:pPr>
        <w:pStyle w:val="H4G"/>
      </w:pPr>
      <w:r w:rsidRPr="001561A6">
        <w:tab/>
      </w:r>
      <w:r w:rsidRPr="001561A6">
        <w:tab/>
        <w:t>Mesures de réparation</w:t>
      </w:r>
    </w:p>
    <w:p w14:paraId="7E76E2D3" w14:textId="77777777" w:rsidR="00575165" w:rsidRPr="001561A6" w:rsidRDefault="00575165" w:rsidP="00575165">
      <w:pPr>
        <w:pStyle w:val="SingleTxtG"/>
      </w:pPr>
      <w:r w:rsidRPr="001561A6">
        <w:t>127.</w:t>
      </w:r>
      <w:r w:rsidRPr="001561A6">
        <w:tab/>
        <w:t>Le Code de procédure pénale dispose en son article 14 que toute infraction donne ouverture à une action pénale ayant pour but l</w:t>
      </w:r>
      <w:r w:rsidR="009258E3">
        <w:t>’</w:t>
      </w:r>
      <w:r w:rsidRPr="001561A6">
        <w:t>établissement des faits, le jugement et l</w:t>
      </w:r>
      <w:r w:rsidR="009258E3">
        <w:t>’</w:t>
      </w:r>
      <w:r w:rsidRPr="001561A6">
        <w:t>application des peines ou d</w:t>
      </w:r>
      <w:r w:rsidR="009258E3">
        <w:t>’</w:t>
      </w:r>
      <w:r w:rsidRPr="001561A6">
        <w:t>une mesure de sûreté, ainsi qu</w:t>
      </w:r>
      <w:r w:rsidR="009258E3">
        <w:t>’</w:t>
      </w:r>
      <w:r w:rsidRPr="001561A6">
        <w:t>à une action civile en réparation du dommage causé ; en ce qui concerne la procédure, il dispose qu</w:t>
      </w:r>
      <w:r w:rsidR="009258E3">
        <w:t>’</w:t>
      </w:r>
      <w:r w:rsidRPr="001561A6">
        <w:t>une fois le jugement condamnatoire prononcé, la victime peut choisir d</w:t>
      </w:r>
      <w:r w:rsidR="009258E3">
        <w:t>’</w:t>
      </w:r>
      <w:r w:rsidRPr="001561A6">
        <w:t>exercer l</w:t>
      </w:r>
      <w:r w:rsidR="009258E3">
        <w:t>’</w:t>
      </w:r>
      <w:r w:rsidRPr="001561A6">
        <w:t>action civile ou de saisir le Tribunal de première instance pour lui demander de rendre une ordonnance en réparation du dommage causé ou une ordonnance en indemnisation concernant la personne ayant fait l</w:t>
      </w:r>
      <w:r w:rsidR="009258E3">
        <w:t>’</w:t>
      </w:r>
      <w:r w:rsidRPr="001561A6">
        <w:t>objet d</w:t>
      </w:r>
      <w:r w:rsidR="009258E3">
        <w:t>’</w:t>
      </w:r>
      <w:r w:rsidRPr="001561A6">
        <w:t>une condamnation ou d</w:t>
      </w:r>
      <w:r w:rsidR="009258E3">
        <w:t>’</w:t>
      </w:r>
      <w:r w:rsidRPr="001561A6">
        <w:t>une mesure de sûreté pour cause d</w:t>
      </w:r>
      <w:r w:rsidR="009258E3">
        <w:t>’</w:t>
      </w:r>
      <w:r w:rsidRPr="001561A6">
        <w:t>irresponsabilité totale ou partielle et/ou concernant des tiers qui, en raison de dispositions légales ou de relations contractuelles, sont responsables des dommages causés.</w:t>
      </w:r>
    </w:p>
    <w:p w14:paraId="31E8AE5E" w14:textId="77777777" w:rsidR="00575165" w:rsidRPr="001561A6" w:rsidRDefault="00575165" w:rsidP="00575165">
      <w:pPr>
        <w:pStyle w:val="H23G"/>
      </w:pPr>
      <w:r w:rsidRPr="001561A6">
        <w:tab/>
      </w:r>
      <w:r w:rsidRPr="001561A6">
        <w:tab/>
      </w:r>
      <w:r w:rsidRPr="001561A6">
        <w:rPr>
          <w:bCs/>
        </w:rPr>
        <w:t>Article 15</w:t>
      </w:r>
    </w:p>
    <w:p w14:paraId="46760D69" w14:textId="77777777" w:rsidR="00575165" w:rsidRPr="001561A6" w:rsidRDefault="00575165" w:rsidP="00575165">
      <w:pPr>
        <w:pStyle w:val="H23G"/>
      </w:pPr>
      <w:r w:rsidRPr="001561A6">
        <w:tab/>
      </w:r>
      <w:r w:rsidRPr="001561A6">
        <w:tab/>
      </w:r>
      <w:r w:rsidRPr="001561A6">
        <w:rPr>
          <w:bCs/>
        </w:rPr>
        <w:t>Réponse à la question posée au paragraphe 28 de la liste de points</w:t>
      </w:r>
    </w:p>
    <w:p w14:paraId="39ED5700" w14:textId="77777777" w:rsidR="00575165" w:rsidRPr="001561A6" w:rsidRDefault="00575165" w:rsidP="00575165">
      <w:pPr>
        <w:pStyle w:val="H4G"/>
      </w:pPr>
      <w:r w:rsidRPr="001561A6">
        <w:tab/>
      </w:r>
      <w:r w:rsidRPr="001561A6">
        <w:tab/>
        <w:t>Principe de l</w:t>
      </w:r>
      <w:r w:rsidR="009258E3">
        <w:t>’</w:t>
      </w:r>
      <w:r w:rsidRPr="001561A6">
        <w:t>irrecevabilité des éléments de preuve obtenus par la torture</w:t>
      </w:r>
    </w:p>
    <w:p w14:paraId="612F7D61" w14:textId="77777777" w:rsidR="00575165" w:rsidRPr="001561A6" w:rsidRDefault="00575165" w:rsidP="00575165">
      <w:pPr>
        <w:pStyle w:val="SingleTxtG"/>
      </w:pPr>
      <w:r w:rsidRPr="001561A6">
        <w:t>128.</w:t>
      </w:r>
      <w:r w:rsidRPr="001561A6">
        <w:tab/>
        <w:t>L</w:t>
      </w:r>
      <w:r w:rsidR="009258E3">
        <w:t>’</w:t>
      </w:r>
      <w:r w:rsidRPr="001561A6">
        <w:t>article 13 du Code de procédure pénale dispose que les éléments de preuve auront une valeur s</w:t>
      </w:r>
      <w:r w:rsidR="009258E3">
        <w:t>’</w:t>
      </w:r>
      <w:r w:rsidRPr="001561A6">
        <w:t>ils ont été obtenus par des moyens licites et dans le cadre d</w:t>
      </w:r>
      <w:r w:rsidR="009258E3">
        <w:t>’</w:t>
      </w:r>
      <w:r w:rsidRPr="001561A6">
        <w:t>une procédure conforme aux dispositions de la Constitution politique de l</w:t>
      </w:r>
      <w:r w:rsidR="009258E3">
        <w:t>’</w:t>
      </w:r>
      <w:r w:rsidRPr="001561A6">
        <w:t xml:space="preserve">État et du présent </w:t>
      </w:r>
      <w:r w:rsidR="0088513B">
        <w:t>c</w:t>
      </w:r>
      <w:r w:rsidRPr="001561A6">
        <w:t>ode. N</w:t>
      </w:r>
      <w:r w:rsidR="009258E3">
        <w:t>’</w:t>
      </w:r>
      <w:r w:rsidRPr="001561A6">
        <w:t>auront aucune valeur probante les éléments de preuve obtenus par la torture, les mauvais traitements, la contrainte, les menaces, la tromperie ou la violation des droits fondamentaux de la personne, ni ceux obtenus au moyen d</w:t>
      </w:r>
      <w:r w:rsidR="009258E3">
        <w:t>’</w:t>
      </w:r>
      <w:r w:rsidRPr="001561A6">
        <w:t>informations ayant pour origine un procédé ou un moyen illicite.</w:t>
      </w:r>
    </w:p>
    <w:p w14:paraId="75E9DF08" w14:textId="77777777" w:rsidR="00575165" w:rsidRPr="001561A6" w:rsidRDefault="00575165" w:rsidP="00575165">
      <w:pPr>
        <w:pStyle w:val="SingleTxtG"/>
      </w:pPr>
      <w:r w:rsidRPr="001561A6">
        <w:t>129.</w:t>
      </w:r>
      <w:r w:rsidRPr="001561A6">
        <w:tab/>
        <w:t>Cette disposition suppose que les éléments de preuve soient obtenus dans le respect des procédés, des formalités, des droits et des garanties, faute de quoi ils seront déclarés irrecevables par l</w:t>
      </w:r>
      <w:r w:rsidR="009258E3">
        <w:t>’</w:t>
      </w:r>
      <w:r w:rsidRPr="001561A6">
        <w:t>organe juridictionnel, ce qui signifie qu</w:t>
      </w:r>
      <w:r w:rsidR="009258E3">
        <w:t>’</w:t>
      </w:r>
      <w:r w:rsidRPr="001561A6">
        <w:t>il ne sera pas tenu compte des informations qu</w:t>
      </w:r>
      <w:r w:rsidR="009258E3">
        <w:t>’</w:t>
      </w:r>
      <w:r w:rsidRPr="001561A6">
        <w:t>ils comportent.</w:t>
      </w:r>
    </w:p>
    <w:p w14:paraId="281E2C38" w14:textId="77777777" w:rsidR="00575165" w:rsidRPr="001561A6" w:rsidRDefault="00575165" w:rsidP="00575165">
      <w:pPr>
        <w:pStyle w:val="H23G"/>
      </w:pPr>
      <w:r w:rsidRPr="001561A6">
        <w:tab/>
      </w:r>
      <w:r w:rsidRPr="001561A6">
        <w:tab/>
      </w:r>
      <w:r w:rsidRPr="001561A6">
        <w:rPr>
          <w:bCs/>
        </w:rPr>
        <w:t>Article 16</w:t>
      </w:r>
    </w:p>
    <w:p w14:paraId="289332FE" w14:textId="77777777" w:rsidR="00575165" w:rsidRPr="001561A6" w:rsidRDefault="00575165" w:rsidP="00575165">
      <w:pPr>
        <w:pStyle w:val="H23G"/>
      </w:pPr>
      <w:r w:rsidRPr="001561A6">
        <w:tab/>
      </w:r>
      <w:r w:rsidRPr="001561A6">
        <w:tab/>
      </w:r>
      <w:r w:rsidRPr="001561A6">
        <w:rPr>
          <w:bCs/>
        </w:rPr>
        <w:t>Réponse à la question posée au paragraphe 30 de la liste de points</w:t>
      </w:r>
    </w:p>
    <w:p w14:paraId="3217FB2A" w14:textId="77777777" w:rsidR="00575165" w:rsidRPr="001561A6" w:rsidRDefault="00575165" w:rsidP="00575165">
      <w:pPr>
        <w:pStyle w:val="SingleTxtG"/>
      </w:pPr>
      <w:r w:rsidRPr="001561A6">
        <w:t>130.</w:t>
      </w:r>
      <w:r w:rsidRPr="001561A6">
        <w:tab/>
        <w:t>L</w:t>
      </w:r>
      <w:r w:rsidR="009258E3">
        <w:t>’</w:t>
      </w:r>
      <w:r w:rsidRPr="001561A6">
        <w:t xml:space="preserve">arrêt du Tribunal constitutionnel </w:t>
      </w:r>
      <w:r w:rsidRPr="001561A6">
        <w:rPr>
          <w:rFonts w:eastAsia="MS Mincho"/>
          <w:vanish/>
          <w:spacing w:val="-2"/>
          <w:szCs w:val="22"/>
        </w:rPr>
        <w:t>n</w:t>
      </w:r>
      <w:r w:rsidRPr="001561A6">
        <w:rPr>
          <w:rFonts w:eastAsia="MS Mincho"/>
          <w:vanish/>
          <w:spacing w:val="-2"/>
          <w:szCs w:val="22"/>
          <w:vertAlign w:val="superscript"/>
        </w:rPr>
        <w:t>o</w:t>
      </w:r>
      <w:r w:rsidRPr="001561A6">
        <w:rPr>
          <w:vanish/>
          <w:spacing w:val="-2"/>
          <w:szCs w:val="18"/>
        </w:rPr>
        <w:t> </w:t>
      </w:r>
      <w:r w:rsidRPr="001561A6">
        <w:t>0206/2014 du 5 février 2014 a supprimé l</w:t>
      </w:r>
      <w:r w:rsidR="009258E3">
        <w:t>’</w:t>
      </w:r>
      <w:r w:rsidRPr="001561A6">
        <w:t>obligation d</w:t>
      </w:r>
      <w:r w:rsidR="009258E3">
        <w:t>’</w:t>
      </w:r>
      <w:r w:rsidRPr="001561A6">
        <w:t>obtenir l</w:t>
      </w:r>
      <w:r w:rsidR="009258E3">
        <w:t>’</w:t>
      </w:r>
      <w:r w:rsidRPr="001561A6">
        <w:t>autorisation d</w:t>
      </w:r>
      <w:r w:rsidR="009258E3">
        <w:t>’</w:t>
      </w:r>
      <w:r w:rsidRPr="001561A6">
        <w:t>un juge pour avoir accès à un avortement légal lorsque la grossesse fait suite à un viol, à des atteintes sexuelles sur mineure, à un inceste ou à un enlèvement ou si la grossesse met en danger la vie ou la santé de la femme ; il suffit alors à celle-ci de présenter une copie de la plainte déposée devant les autorités compétentes pour que le service de santé (public ou privé) procède à l</w:t>
      </w:r>
      <w:r w:rsidR="009258E3">
        <w:t>’</w:t>
      </w:r>
      <w:r w:rsidRPr="001561A6">
        <w:t>interruption de grossesse en toute légalité.</w:t>
      </w:r>
    </w:p>
    <w:p w14:paraId="5D0B3945" w14:textId="77777777" w:rsidR="00575165" w:rsidRPr="001561A6" w:rsidRDefault="00575165" w:rsidP="00575165">
      <w:pPr>
        <w:pStyle w:val="SingleTxtG"/>
      </w:pPr>
      <w:r w:rsidRPr="001561A6">
        <w:t>131.</w:t>
      </w:r>
      <w:r w:rsidRPr="001561A6">
        <w:tab/>
        <w:t>Dans ce cadre, le Ministère de la santé a mis au point une procédure technique relative à la prestation de services de santé en cas d</w:t>
      </w:r>
      <w:r w:rsidR="009258E3">
        <w:t>’</w:t>
      </w:r>
      <w:r w:rsidRPr="001561A6">
        <w:t>interruption de grossesse légale et sans risques.</w:t>
      </w:r>
    </w:p>
    <w:p w14:paraId="12A1030E" w14:textId="77777777" w:rsidR="00575165" w:rsidRPr="001561A6" w:rsidRDefault="00575165" w:rsidP="00575165">
      <w:pPr>
        <w:pStyle w:val="SingleTxtG"/>
      </w:pPr>
      <w:r w:rsidRPr="001561A6">
        <w:t>132.</w:t>
      </w:r>
      <w:r w:rsidRPr="001561A6">
        <w:tab/>
        <w:t>En ce qui concerne l</w:t>
      </w:r>
      <w:r w:rsidR="009258E3">
        <w:t>’</w:t>
      </w:r>
      <w:r w:rsidRPr="001561A6">
        <w:t>avortement pour raison médicale, le système de santé applique les normes et protocoles cliniques concernant l</w:t>
      </w:r>
      <w:r w:rsidR="009258E3">
        <w:t>’</w:t>
      </w:r>
      <w:r w:rsidRPr="001561A6">
        <w:t>utilisation du misoprostol en gynécologie et obstétrique.</w:t>
      </w:r>
    </w:p>
    <w:p w14:paraId="45FEF4A5" w14:textId="77777777" w:rsidR="00575165" w:rsidRPr="001561A6" w:rsidRDefault="00575165" w:rsidP="00575165">
      <w:pPr>
        <w:pStyle w:val="H23G"/>
      </w:pPr>
      <w:r w:rsidRPr="001561A6">
        <w:tab/>
      </w:r>
      <w:r w:rsidRPr="001561A6">
        <w:tab/>
        <w:t>Réponse à la question posée au paragraphe 32 de la liste de points</w:t>
      </w:r>
    </w:p>
    <w:p w14:paraId="60FC3F7F" w14:textId="77777777" w:rsidR="00575165" w:rsidRPr="001561A6" w:rsidRDefault="00575165" w:rsidP="00575165">
      <w:pPr>
        <w:pStyle w:val="SingleTxtG"/>
      </w:pPr>
      <w:r w:rsidRPr="001561A6">
        <w:t>133.</w:t>
      </w:r>
      <w:r w:rsidRPr="001561A6">
        <w:tab/>
        <w:t>Le Code des enfants et des adolescents établit le droit à l</w:t>
      </w:r>
      <w:r w:rsidR="009258E3">
        <w:t>’</w:t>
      </w:r>
      <w:r w:rsidRPr="001561A6">
        <w:t>intégrité personnelle des enfants et des adolescents et le droit de ceux-ci d</w:t>
      </w:r>
      <w:r w:rsidR="009258E3">
        <w:t>’</w:t>
      </w:r>
      <w:r w:rsidRPr="001561A6">
        <w:t>être protégés contre toute forme de violence portant atteinte à leur intégrité physique, psychologique et sexuelle, en précisant que tous ont le droit d</w:t>
      </w:r>
      <w:r w:rsidR="009258E3">
        <w:t>’</w:t>
      </w:r>
      <w:r w:rsidRPr="001561A6">
        <w:t>être « bien traités », à savoir de recevoir une bonne éducation reposant sur la non</w:t>
      </w:r>
      <w:r w:rsidRPr="001561A6">
        <w:noBreakHyphen/>
        <w:t>violence ; le Code interdit donc tout type de châtiments corporels violents et humiliants.</w:t>
      </w:r>
    </w:p>
    <w:p w14:paraId="481CD802" w14:textId="77777777" w:rsidR="00575165" w:rsidRPr="001561A6" w:rsidRDefault="00575165" w:rsidP="00575165">
      <w:pPr>
        <w:pStyle w:val="SingleTxtG"/>
      </w:pPr>
      <w:r w:rsidRPr="001561A6">
        <w:t>134.</w:t>
      </w:r>
      <w:r w:rsidRPr="001561A6">
        <w:tab/>
        <w:t>Afin de protéger le droit à l</w:t>
      </w:r>
      <w:r w:rsidR="009258E3">
        <w:t>’</w:t>
      </w:r>
      <w:r w:rsidRPr="001561A6">
        <w:t>intégrité de la personne, les Services de défense des enfants et des adolescents sont habilités, sans avoir à produire un mandat exprès, à saisir les autorités compétentes de plaintes, de demandes et de recours en lien avec des comportements violents et autres faits de violence, infractions ou délits visant des enfants et des adolescents, y compris des enfants issus des populations rurales et des peuples autochtones, originels et paysans.</w:t>
      </w:r>
    </w:p>
    <w:p w14:paraId="15979BA5" w14:textId="77777777" w:rsidR="00575165" w:rsidRPr="001561A6" w:rsidRDefault="00575165" w:rsidP="00575165">
      <w:pPr>
        <w:pStyle w:val="SingleTxtG"/>
      </w:pPr>
      <w:r w:rsidRPr="001561A6">
        <w:t>135.</w:t>
      </w:r>
      <w:r w:rsidRPr="001561A6">
        <w:tab/>
        <w:t>Le Code des enfants et des adolescents établit également que les particuliers et les fonctionnaires qui ont connaissance d</w:t>
      </w:r>
      <w:r w:rsidR="009258E3">
        <w:t>’</w:t>
      </w:r>
      <w:r w:rsidRPr="001561A6">
        <w:t xml:space="preserve">actes de violence commis sur des enfants et des adolescents sont tenus de les signaler, dans un délai maximum de </w:t>
      </w:r>
      <w:r w:rsidR="005F5D00">
        <w:t>vingt-quatre</w:t>
      </w:r>
      <w:r w:rsidRPr="001561A6">
        <w:t xml:space="preserve"> heures, aux Services de défense des enfants et des adolescents ou à toute autre autorité compétente.</w:t>
      </w:r>
    </w:p>
    <w:p w14:paraId="743AD763" w14:textId="77777777" w:rsidR="00575165" w:rsidRPr="001561A6" w:rsidRDefault="00575165" w:rsidP="00575165">
      <w:pPr>
        <w:pStyle w:val="SingleTxtG"/>
      </w:pPr>
      <w:r w:rsidRPr="001561A6">
        <w:t>136.</w:t>
      </w:r>
      <w:r w:rsidRPr="001561A6">
        <w:tab/>
        <w:t>En ce qui concerne les campagnes de prévention des châtiments corporels, l</w:t>
      </w:r>
      <w:r w:rsidR="009258E3">
        <w:t>’</w:t>
      </w:r>
      <w:r w:rsidRPr="001561A6">
        <w:t>État bolivien a entrepris d</w:t>
      </w:r>
      <w:r w:rsidR="009258E3">
        <w:t>’</w:t>
      </w:r>
      <w:r w:rsidRPr="001561A6">
        <w:t>instaurer une culture de bienveillance à l</w:t>
      </w:r>
      <w:r w:rsidR="009258E3">
        <w:t>’</w:t>
      </w:r>
      <w:r w:rsidRPr="001561A6">
        <w:t>égard des enfants et des adolescents, par l</w:t>
      </w:r>
      <w:r w:rsidR="009258E3">
        <w:t>’</w:t>
      </w:r>
      <w:r w:rsidRPr="001561A6">
        <w:t>intermédiaire de la campagne #</w:t>
      </w:r>
      <w:proofErr w:type="spellStart"/>
      <w:r w:rsidRPr="001561A6">
        <w:t>YoPorLaNiñez</w:t>
      </w:r>
      <w:proofErr w:type="spellEnd"/>
      <w:r w:rsidRPr="001561A6">
        <w:t>, qui repose sur la diffusion de messages d</w:t>
      </w:r>
      <w:r w:rsidR="009258E3">
        <w:t>’</w:t>
      </w:r>
      <w:r w:rsidRPr="001561A6">
        <w:t>amour et de protection, la prévention des infractions visant les enfants et les adolescents, l</w:t>
      </w:r>
      <w:r w:rsidR="009258E3">
        <w:t>’</w:t>
      </w:r>
      <w:r w:rsidRPr="001561A6">
        <w:t xml:space="preserve">accès à la justice et le rétablissement des droits des victimes. À cette fin, des accords </w:t>
      </w:r>
      <w:proofErr w:type="spellStart"/>
      <w:r w:rsidRPr="001561A6">
        <w:t>interinstitutions</w:t>
      </w:r>
      <w:proofErr w:type="spellEnd"/>
      <w:r w:rsidRPr="001561A6">
        <w:t xml:space="preserve"> ont été signés avec des organismes décentralisés de l</w:t>
      </w:r>
      <w:r w:rsidR="009258E3">
        <w:t>’</w:t>
      </w:r>
      <w:r w:rsidRPr="001561A6">
        <w:t>État ayant vocation à sensibiliser la société et les familles à la construction d</w:t>
      </w:r>
      <w:r w:rsidR="009258E3">
        <w:t>’</w:t>
      </w:r>
      <w:r w:rsidRPr="001561A6">
        <w:t>une culture de bienveillance qui permettra de briser le cycle de la violence.</w:t>
      </w:r>
    </w:p>
    <w:p w14:paraId="1065F7FD" w14:textId="77777777" w:rsidR="00575165" w:rsidRPr="001561A6" w:rsidRDefault="00575165" w:rsidP="00575165">
      <w:pPr>
        <w:pStyle w:val="H1G"/>
      </w:pPr>
      <w:r w:rsidRPr="001561A6">
        <w:tab/>
        <w:t>B.</w:t>
      </w:r>
      <w:r w:rsidRPr="001561A6">
        <w:tab/>
      </w:r>
      <w:r w:rsidRPr="001561A6">
        <w:tab/>
        <w:t>Autres questions</w:t>
      </w:r>
    </w:p>
    <w:p w14:paraId="32E764AD" w14:textId="77777777" w:rsidR="00575165" w:rsidRPr="001561A6" w:rsidRDefault="00575165" w:rsidP="00575165">
      <w:pPr>
        <w:pStyle w:val="H23G"/>
      </w:pPr>
      <w:r w:rsidRPr="001561A6">
        <w:tab/>
      </w:r>
      <w:r w:rsidRPr="001561A6">
        <w:tab/>
        <w:t>Réponse à la question posée au paragraphe 33 de la liste de points</w:t>
      </w:r>
    </w:p>
    <w:p w14:paraId="720E0A6D" w14:textId="77777777" w:rsidR="00575165" w:rsidRPr="001561A6" w:rsidRDefault="00575165" w:rsidP="00575165">
      <w:pPr>
        <w:pStyle w:val="SingleTxtG"/>
      </w:pPr>
      <w:r w:rsidRPr="001561A6">
        <w:t>137.</w:t>
      </w:r>
      <w:r w:rsidRPr="001561A6">
        <w:tab/>
        <w:t>L</w:t>
      </w:r>
      <w:r w:rsidR="009258E3">
        <w:t>’</w:t>
      </w:r>
      <w:r w:rsidRPr="001561A6">
        <w:t>arrêté FGE/RJGP/DAJ 166/2017 du 3 juillet 2017 du Bureau du Procureur général de l</w:t>
      </w:r>
      <w:r w:rsidR="009258E3">
        <w:t>’</w:t>
      </w:r>
      <w:r w:rsidRPr="001561A6">
        <w:t>État a porté création et organisation du bureau du Procureur spécialisé dans la lutte contre la criminalité organisée, le blanchiment d</w:t>
      </w:r>
      <w:r w:rsidR="009258E3">
        <w:t>’</w:t>
      </w:r>
      <w:r w:rsidRPr="001561A6">
        <w:t xml:space="preserve">argent et le financement du terrorisme. Le Bureau du Procureur général est également chargé du suivi et de la coordination, avec les bureaux des procureurs spécialisés, de toutes les mesures prises au niveau national pour donner effet aux articles 132 </w:t>
      </w:r>
      <w:r w:rsidRPr="001561A6">
        <w:rPr>
          <w:i/>
          <w:iCs/>
        </w:rPr>
        <w:t xml:space="preserve">bis </w:t>
      </w:r>
      <w:r w:rsidRPr="001561A6">
        <w:t xml:space="preserve">(criminalité organisée), 133 </w:t>
      </w:r>
      <w:r w:rsidRPr="001561A6">
        <w:rPr>
          <w:i/>
          <w:iCs/>
        </w:rPr>
        <w:t xml:space="preserve">bis </w:t>
      </w:r>
      <w:r w:rsidRPr="001561A6">
        <w:t xml:space="preserve">(financement du terrorisme) et 185 </w:t>
      </w:r>
      <w:r w:rsidRPr="001561A6">
        <w:rPr>
          <w:i/>
          <w:iCs/>
        </w:rPr>
        <w:t>bis</w:t>
      </w:r>
      <w:r w:rsidRPr="001561A6">
        <w:t xml:space="preserve"> (blanchiment d</w:t>
      </w:r>
      <w:r w:rsidR="009258E3">
        <w:t>’</w:t>
      </w:r>
      <w:r w:rsidRPr="001561A6">
        <w:t>argent) du Code pénal.</w:t>
      </w:r>
    </w:p>
    <w:p w14:paraId="1FB2DFAD" w14:textId="77777777" w:rsidR="00575165" w:rsidRPr="001561A6" w:rsidRDefault="00575165" w:rsidP="00575165">
      <w:pPr>
        <w:pStyle w:val="SingleTxtG"/>
      </w:pPr>
      <w:r w:rsidRPr="001561A6">
        <w:t>138.</w:t>
      </w:r>
      <w:r w:rsidRPr="001561A6">
        <w:tab/>
        <w:t>Le bureau du Procureur spécialisé dans la lutte contre la criminalité organisée, le blanchiment d</w:t>
      </w:r>
      <w:r w:rsidR="009258E3">
        <w:t>’</w:t>
      </w:r>
      <w:r w:rsidRPr="001561A6">
        <w:t>argent et le financement du terrorisme a pour objectif de coordonner et de superviser l</w:t>
      </w:r>
      <w:r w:rsidR="009258E3">
        <w:t>’</w:t>
      </w:r>
      <w:r w:rsidRPr="001561A6">
        <w:t>exercice de l</w:t>
      </w:r>
      <w:r w:rsidR="009258E3">
        <w:t>’</w:t>
      </w:r>
      <w:r w:rsidRPr="001561A6">
        <w:t>action pénale publique en cas d</w:t>
      </w:r>
      <w:r w:rsidR="009258E3">
        <w:t>’</w:t>
      </w:r>
      <w:r w:rsidRPr="001561A6">
        <w:t>infraction liée à la criminalité organisée, le blanchiment d</w:t>
      </w:r>
      <w:r w:rsidR="009258E3">
        <w:t>’</w:t>
      </w:r>
      <w:r w:rsidRPr="001561A6">
        <w:t>argent et le financement du terrorisme, et d</w:t>
      </w:r>
      <w:r w:rsidR="009258E3">
        <w:t>’</w:t>
      </w:r>
      <w:r w:rsidRPr="001561A6">
        <w:t>assumer, dans certains cas, la codirection de l</w:t>
      </w:r>
      <w:r w:rsidR="009258E3">
        <w:t>’</w:t>
      </w:r>
      <w:r w:rsidRPr="001561A6">
        <w:t>action dans le cadre de la politique institutionnelle.</w:t>
      </w:r>
    </w:p>
    <w:p w14:paraId="2C3BAEDD" w14:textId="77777777" w:rsidR="00575165" w:rsidRPr="001561A6" w:rsidRDefault="00575165" w:rsidP="00575165">
      <w:pPr>
        <w:pStyle w:val="SingleTxtG"/>
      </w:pPr>
      <w:r w:rsidRPr="001561A6">
        <w:t>139.</w:t>
      </w:r>
      <w:r w:rsidRPr="001561A6">
        <w:tab/>
        <w:t>En ce qui concerne les allégations de non-respect des normes internationales dans le cadre de la mise en œuvre des mesures antiterroristes, il convient de mentionner que, conformément au mandat qui lui a été conféré par la Constitution et les lois pertinentes, le Bureau du Procureur général de l</w:t>
      </w:r>
      <w:r w:rsidR="009258E3">
        <w:t>’</w:t>
      </w:r>
      <w:r w:rsidRPr="001561A6">
        <w:t>État est chargé de défendre l</w:t>
      </w:r>
      <w:r w:rsidR="009258E3">
        <w:t>’</w:t>
      </w:r>
      <w:r w:rsidRPr="001561A6">
        <w:t>État sur le plan juridique dans le cadre de l</w:t>
      </w:r>
      <w:r w:rsidR="009258E3">
        <w:t>’</w:t>
      </w:r>
      <w:r w:rsidRPr="001561A6">
        <w:t>exercice de sa représentation légale ; pour ce qui est des affaires ayant trait aux droits de l</w:t>
      </w:r>
      <w:r w:rsidR="009258E3">
        <w:t>’</w:t>
      </w:r>
      <w:r w:rsidRPr="001561A6">
        <w:t>homme découlant des traités internationaux relatifs aux droits de l</w:t>
      </w:r>
      <w:r w:rsidR="009258E3">
        <w:t>’</w:t>
      </w:r>
      <w:r w:rsidRPr="001561A6">
        <w:t>homme auxquels l</w:t>
      </w:r>
      <w:r w:rsidR="009258E3">
        <w:t>’</w:t>
      </w:r>
      <w:r w:rsidRPr="001561A6">
        <w:t>État bolivien est partie, le Bureau du Procureur général de l</w:t>
      </w:r>
      <w:r w:rsidR="009258E3">
        <w:t>’</w:t>
      </w:r>
      <w:r w:rsidRPr="001561A6">
        <w:t>État représente l</w:t>
      </w:r>
      <w:r w:rsidR="009258E3">
        <w:t>’</w:t>
      </w:r>
      <w:r w:rsidRPr="001561A6">
        <w:t>État devant la Commission interaméricaine des droits de l</w:t>
      </w:r>
      <w:r w:rsidR="009258E3">
        <w:t>’</w:t>
      </w:r>
      <w:r w:rsidRPr="001561A6">
        <w:t>homme ; des requêtes ont effectivement trait à des procédures engagées dans des affaires relatives à des infractions terroristes, mais les violations alléguées concernent la phase de l</w:t>
      </w:r>
      <w:r w:rsidR="009258E3">
        <w:t>’</w:t>
      </w:r>
      <w:r w:rsidRPr="001561A6">
        <w:t>instruction.</w:t>
      </w:r>
    </w:p>
    <w:p w14:paraId="08B024E9" w14:textId="77777777" w:rsidR="00575165" w:rsidRPr="001561A6" w:rsidRDefault="00575165" w:rsidP="00575165">
      <w:pPr>
        <w:pStyle w:val="H23G"/>
      </w:pPr>
      <w:r w:rsidRPr="001561A6">
        <w:tab/>
      </w:r>
      <w:r w:rsidRPr="001561A6">
        <w:tab/>
        <w:t>Réponse à la question posée au paragraphe 34 de la liste de points</w:t>
      </w:r>
    </w:p>
    <w:p w14:paraId="6884C334" w14:textId="77777777" w:rsidR="00575165" w:rsidRPr="001561A6" w:rsidRDefault="00575165" w:rsidP="00575165">
      <w:pPr>
        <w:pStyle w:val="H4G"/>
      </w:pPr>
      <w:r w:rsidRPr="001561A6">
        <w:tab/>
      </w:r>
      <w:r w:rsidRPr="001561A6">
        <w:tab/>
        <w:t xml:space="preserve">Mesures prises pendant la pandémie de maladie à coronavirus (COVID-19) </w:t>
      </w:r>
    </w:p>
    <w:p w14:paraId="48418372" w14:textId="77777777" w:rsidR="00575165" w:rsidRPr="001561A6" w:rsidRDefault="00575165" w:rsidP="00575165">
      <w:pPr>
        <w:pStyle w:val="SingleTxtG"/>
      </w:pPr>
      <w:r w:rsidRPr="005F5D00">
        <w:t>140.</w:t>
      </w:r>
      <w:r w:rsidRPr="005F5D00">
        <w:tab/>
        <w:t>Pour poursuivre la mise en œuvre de mesures de prévention et de confinement destinées à combattre la COVID-19, il a été jugé nécessaire de réduire la surpopulation carcérale et de rendre leur liberté aux personnes issues de groupes vulnérables et à risque détenues dans les centres pénitentiaires du pays afin d</w:t>
      </w:r>
      <w:r w:rsidR="009258E3">
        <w:t>’</w:t>
      </w:r>
      <w:r w:rsidRPr="005F5D00">
        <w:t>éviter que le virus ne mette leur vie en danger, et de diminuer</w:t>
      </w:r>
      <w:r w:rsidRPr="001561A6">
        <w:t xml:space="preserve"> le risque de transmission et de propagation de cette maladie.</w:t>
      </w:r>
    </w:p>
    <w:p w14:paraId="145C994A" w14:textId="77777777" w:rsidR="00575165" w:rsidRPr="001561A6" w:rsidRDefault="00575165" w:rsidP="00575165">
      <w:pPr>
        <w:pStyle w:val="SingleTxtG"/>
      </w:pPr>
      <w:r w:rsidRPr="001561A6">
        <w:t>141.</w:t>
      </w:r>
      <w:r w:rsidRPr="001561A6">
        <w:tab/>
        <w:t xml:space="preserve">Ainsi, par le décret présidentiel </w:t>
      </w:r>
      <w:r w:rsidRPr="001561A6">
        <w:rPr>
          <w:rFonts w:eastAsia="MS Mincho"/>
          <w:vanish/>
          <w:spacing w:val="-2"/>
          <w:szCs w:val="22"/>
        </w:rPr>
        <w:t>n</w:t>
      </w:r>
      <w:r w:rsidRPr="001561A6">
        <w:rPr>
          <w:rFonts w:eastAsia="MS Mincho"/>
          <w:vanish/>
          <w:spacing w:val="-2"/>
          <w:szCs w:val="22"/>
          <w:vertAlign w:val="superscript"/>
        </w:rPr>
        <w:t>o</w:t>
      </w:r>
      <w:r w:rsidRPr="001561A6">
        <w:rPr>
          <w:vanish/>
          <w:spacing w:val="-2"/>
          <w:szCs w:val="18"/>
        </w:rPr>
        <w:t> </w:t>
      </w:r>
      <w:r w:rsidRPr="001561A6">
        <w:t>4226</w:t>
      </w:r>
      <w:r w:rsidRPr="001561A6">
        <w:rPr>
          <w:rStyle w:val="Appelnotedebasdep"/>
        </w:rPr>
        <w:footnoteReference w:id="43"/>
      </w:r>
      <w:r w:rsidRPr="001561A6">
        <w:t xml:space="preserve"> sur l</w:t>
      </w:r>
      <w:r w:rsidR="009258E3">
        <w:t>’</w:t>
      </w:r>
      <w:r w:rsidRPr="001561A6">
        <w:t>amnistie et la grâce pour raison humanitaire et sur l</w:t>
      </w:r>
      <w:r w:rsidR="009258E3">
        <w:t>’</w:t>
      </w:r>
      <w:r w:rsidRPr="001561A6">
        <w:t>urgence sanitaire touchant l</w:t>
      </w:r>
      <w:r w:rsidR="009258E3">
        <w:t>’</w:t>
      </w:r>
      <w:r w:rsidRPr="001561A6">
        <w:t>ensemble du territoire de l</w:t>
      </w:r>
      <w:r w:rsidR="009258E3">
        <w:t>’</w:t>
      </w:r>
      <w:r w:rsidRPr="001561A6">
        <w:t>État plurinational de Bolivie, qui vise à éviter la transmission et la propagation de la COVID-19, il a été prévu d</w:t>
      </w:r>
      <w:r w:rsidR="009258E3">
        <w:t>’</w:t>
      </w:r>
      <w:r w:rsidRPr="001561A6">
        <w:t>accorder l</w:t>
      </w:r>
      <w:r w:rsidR="009258E3">
        <w:t>’</w:t>
      </w:r>
      <w:r w:rsidRPr="001561A6">
        <w:t>amnistie ou la grâce pour raison humanitaire dans le cadre de l</w:t>
      </w:r>
      <w:r w:rsidR="009258E3">
        <w:t>’</w:t>
      </w:r>
      <w:r w:rsidRPr="001561A6">
        <w:t>urgence sanitaire qui touche l</w:t>
      </w:r>
      <w:r w:rsidR="009258E3">
        <w:t>’</w:t>
      </w:r>
      <w:r w:rsidRPr="001561A6">
        <w:t>ensemble du territoire, afin de combattre la transmission et la propagation de la maladie</w:t>
      </w:r>
      <w:r w:rsidRPr="001561A6">
        <w:rPr>
          <w:rStyle w:val="Appelnotedebasdep"/>
        </w:rPr>
        <w:footnoteReference w:id="44"/>
      </w:r>
      <w:r w:rsidRPr="001561A6">
        <w:t>.</w:t>
      </w:r>
    </w:p>
    <w:p w14:paraId="3F715C70" w14:textId="77777777" w:rsidR="00575165" w:rsidRPr="005044B6" w:rsidRDefault="00575165" w:rsidP="00575165">
      <w:pPr>
        <w:pStyle w:val="SingleTxtG"/>
        <w:rPr>
          <w:spacing w:val="-2"/>
        </w:rPr>
      </w:pPr>
      <w:r w:rsidRPr="005044B6">
        <w:rPr>
          <w:spacing w:val="-2"/>
        </w:rPr>
        <w:t>142.</w:t>
      </w:r>
      <w:r w:rsidRPr="005044B6">
        <w:rPr>
          <w:spacing w:val="-2"/>
        </w:rPr>
        <w:tab/>
        <w:t>Pour sa part, la Direction générale du système pénitentiaire, en tant qu</w:t>
      </w:r>
      <w:r w:rsidR="009258E3" w:rsidRPr="005044B6">
        <w:rPr>
          <w:spacing w:val="-2"/>
        </w:rPr>
        <w:t>’</w:t>
      </w:r>
      <w:r w:rsidRPr="005044B6">
        <w:rPr>
          <w:spacing w:val="-2"/>
        </w:rPr>
        <w:t>organe responsable du système pénitentiaire national, a pris tout un éventail de mesures visant à prévenir, contenir et ralentir la propagation de la COVID-19 dans les prisons boliviennes, et a mis au point les instruments énumérés ci-dessous, qui précisent les mesures destinées à prévenir les contaminations, ainsi que la marche à suivre en présence de cas suspects et positifs :</w:t>
      </w:r>
    </w:p>
    <w:p w14:paraId="7AF40322" w14:textId="77777777" w:rsidR="00575165" w:rsidRPr="001561A6" w:rsidRDefault="00575165" w:rsidP="00575165">
      <w:pPr>
        <w:pStyle w:val="Bullet1G"/>
        <w:numPr>
          <w:ilvl w:val="0"/>
          <w:numId w:val="1"/>
        </w:numPr>
      </w:pPr>
      <w:r w:rsidRPr="001561A6">
        <w:tab/>
        <w:t>Plan de confinement dans les établissements pénitentiaires boliviens pour faire face à la COVID-19</w:t>
      </w:r>
      <w:r w:rsidR="005F5D00">
        <w:t> ;</w:t>
      </w:r>
    </w:p>
    <w:p w14:paraId="7E29365E" w14:textId="77777777" w:rsidR="00575165" w:rsidRPr="001561A6" w:rsidRDefault="00575165" w:rsidP="00575165">
      <w:pPr>
        <w:pStyle w:val="Bullet1G"/>
        <w:numPr>
          <w:ilvl w:val="0"/>
          <w:numId w:val="1"/>
        </w:numPr>
      </w:pPr>
      <w:r w:rsidRPr="001561A6">
        <w:tab/>
        <w:t>Plan d</w:t>
      </w:r>
      <w:r w:rsidR="009258E3">
        <w:t>’</w:t>
      </w:r>
      <w:r w:rsidRPr="001561A6">
        <w:t>action et d</w:t>
      </w:r>
      <w:r w:rsidR="009258E3">
        <w:t>’</w:t>
      </w:r>
      <w:r w:rsidRPr="001561A6">
        <w:t>urgence dans les établissements pénitentiaires pour faire face à la COVID-19</w:t>
      </w:r>
      <w:r w:rsidR="005F5D00">
        <w:t> ;</w:t>
      </w:r>
    </w:p>
    <w:p w14:paraId="0E17C0A4" w14:textId="77777777" w:rsidR="00575165" w:rsidRPr="001561A6" w:rsidRDefault="00575165" w:rsidP="00575165">
      <w:pPr>
        <w:pStyle w:val="Bullet1G"/>
        <w:numPr>
          <w:ilvl w:val="0"/>
          <w:numId w:val="1"/>
        </w:numPr>
      </w:pPr>
      <w:r w:rsidRPr="001561A6">
        <w:tab/>
        <w:t>Plan d</w:t>
      </w:r>
      <w:r w:rsidR="009258E3">
        <w:t>’</w:t>
      </w:r>
      <w:r w:rsidRPr="001561A6">
        <w:t>intervention et d</w:t>
      </w:r>
      <w:r w:rsidR="009258E3">
        <w:t>’</w:t>
      </w:r>
      <w:r w:rsidRPr="001561A6">
        <w:t>évacuation en cas d</w:t>
      </w:r>
      <w:r w:rsidR="009258E3">
        <w:t>’</w:t>
      </w:r>
      <w:r w:rsidRPr="001561A6">
        <w:t>urgence sanitaire liée à la COVID-19 dans les établissements pénitentiaires boliviens</w:t>
      </w:r>
      <w:r w:rsidR="005F5D00">
        <w:t> ;</w:t>
      </w:r>
    </w:p>
    <w:p w14:paraId="40461D3C" w14:textId="77777777" w:rsidR="00575165" w:rsidRPr="001561A6" w:rsidRDefault="00575165" w:rsidP="00575165">
      <w:pPr>
        <w:pStyle w:val="Bullet1G"/>
        <w:numPr>
          <w:ilvl w:val="0"/>
          <w:numId w:val="1"/>
        </w:numPr>
      </w:pPr>
      <w:r w:rsidRPr="001561A6">
        <w:tab/>
        <w:t>Protocole de prise en charge des cas suspects ou confirmés de COVID-19 dans les établissements pénitentiaires du pays.</w:t>
      </w:r>
    </w:p>
    <w:p w14:paraId="5CDC4F7A" w14:textId="77777777" w:rsidR="00575165" w:rsidRPr="001561A6" w:rsidRDefault="00575165" w:rsidP="00575165">
      <w:pPr>
        <w:pStyle w:val="SingleTxtG"/>
      </w:pPr>
      <w:r w:rsidRPr="001561A6">
        <w:t>143.</w:t>
      </w:r>
      <w:r w:rsidRPr="001561A6">
        <w:tab/>
        <w:t>L</w:t>
      </w:r>
      <w:r w:rsidR="009258E3">
        <w:t>’</w:t>
      </w:r>
      <w:r w:rsidRPr="001561A6">
        <w:t>administration de la Direction générale du système pénitentiaire a en outre consacré des ressources à l</w:t>
      </w:r>
      <w:r w:rsidR="009258E3">
        <w:t>’</w:t>
      </w:r>
      <w:r w:rsidRPr="001561A6">
        <w:t>achat de produits de sécurité biologique et de nettoyage pour les détenus, le personnel administratif et les membres des forces de l</w:t>
      </w:r>
      <w:r w:rsidR="009258E3">
        <w:t>’</w:t>
      </w:r>
      <w:r w:rsidRPr="001561A6">
        <w:t>ordre. Des réunions de coordination ont en outre été organisées avec les services de santé de tous les départements du pays afin de déterminer les mesures à prendre pour répondre à l</w:t>
      </w:r>
      <w:r w:rsidR="009258E3">
        <w:t>’</w:t>
      </w:r>
      <w:r w:rsidRPr="001561A6">
        <w:t>urgence sanitaire.</w:t>
      </w:r>
    </w:p>
    <w:p w14:paraId="0AE1DC82" w14:textId="77777777" w:rsidR="00575165" w:rsidRPr="001561A6" w:rsidRDefault="00575165" w:rsidP="00575165">
      <w:pPr>
        <w:pStyle w:val="SingleTxtG"/>
      </w:pPr>
      <w:r w:rsidRPr="001561A6">
        <w:t>144.</w:t>
      </w:r>
      <w:r w:rsidRPr="001561A6">
        <w:tab/>
        <w:t>En outre, l</w:t>
      </w:r>
      <w:r w:rsidR="009258E3">
        <w:t>’</w:t>
      </w:r>
      <w:r w:rsidRPr="001561A6">
        <w:t>alimentation des personnes privées de liberté a été garantie pendant toute la durée de la quarantaine, suite à quoi toutes les démarches nécessaires à l</w:t>
      </w:r>
      <w:r w:rsidR="009258E3">
        <w:t>’</w:t>
      </w:r>
      <w:r w:rsidRPr="001561A6">
        <w:t>annulation du versement de la pension « Dignité » et des allocations (panier familial, allocation universelle et allocation familiale) que percevaient les détenus ont été effectuées.</w:t>
      </w:r>
    </w:p>
    <w:p w14:paraId="15D50AE5" w14:textId="77777777" w:rsidR="00575165" w:rsidRPr="001561A6" w:rsidRDefault="00575165" w:rsidP="00575165">
      <w:pPr>
        <w:pStyle w:val="SingleTxtG"/>
      </w:pPr>
      <w:r w:rsidRPr="001561A6">
        <w:t>145.</w:t>
      </w:r>
      <w:r w:rsidRPr="001561A6">
        <w:tab/>
        <w:t>Pour compenser le fait que les personnes privées de liberté étaient défavorisées en matière d</w:t>
      </w:r>
      <w:r w:rsidR="009258E3">
        <w:t>’</w:t>
      </w:r>
      <w:r w:rsidRPr="001561A6">
        <w:t>accès à la justice, la Direction générale du système pénitentiaire a pris les mesures suivantes :</w:t>
      </w:r>
    </w:p>
    <w:p w14:paraId="290FB85A" w14:textId="77777777" w:rsidR="00575165" w:rsidRPr="001561A6" w:rsidRDefault="00575165" w:rsidP="00575165">
      <w:pPr>
        <w:pStyle w:val="Bullet1G"/>
        <w:numPr>
          <w:ilvl w:val="0"/>
          <w:numId w:val="1"/>
        </w:numPr>
      </w:pPr>
      <w:r w:rsidRPr="001561A6">
        <w:tab/>
        <w:t>Elle a demandé à ce que des espaces soient aménagés dans les prisons du pays pour permettre la tenue d</w:t>
      </w:r>
      <w:r w:rsidR="009258E3">
        <w:t>’</w:t>
      </w:r>
      <w:r w:rsidRPr="001561A6">
        <w:t>audiences virtuelles, moyennant l</w:t>
      </w:r>
      <w:r w:rsidR="009258E3">
        <w:t>’</w:t>
      </w:r>
      <w:r w:rsidRPr="001561A6">
        <w:t>attribution de matériel informatique, ordinateur ou téléphone portable, garantissant ainsi l</w:t>
      </w:r>
      <w:r w:rsidR="009258E3">
        <w:t>’</w:t>
      </w:r>
      <w:r w:rsidRPr="001561A6">
        <w:t>accès à Internet et la représentation en justice des personnes privées de liberté</w:t>
      </w:r>
      <w:r w:rsidR="005F5D00">
        <w:t>,</w:t>
      </w:r>
      <w:r w:rsidRPr="001561A6">
        <w:t xml:space="preserve"> et ce, afin que les audiences prévues puissent avoir lieu, que la justice ne prenne pas de retard et que des mesures de substitution soient proposées aux personnes privées de liberté. Plus de 500</w:t>
      </w:r>
      <w:r w:rsidR="00BB401A">
        <w:t> </w:t>
      </w:r>
      <w:r w:rsidRPr="001561A6">
        <w:t>audiences virtuelles ont été tenues, et selon les cas, les personnes privées de liberté ont été assignées à résidence, ont fait l</w:t>
      </w:r>
      <w:r w:rsidR="009258E3">
        <w:t>’</w:t>
      </w:r>
      <w:r w:rsidRPr="001561A6">
        <w:t>objet d</w:t>
      </w:r>
      <w:r w:rsidR="009258E3">
        <w:t>’</w:t>
      </w:r>
      <w:r w:rsidRPr="001561A6">
        <w:t>une mise en liberté conditionnelle ou ont bénéficié d</w:t>
      </w:r>
      <w:r w:rsidR="009258E3">
        <w:t>’</w:t>
      </w:r>
      <w:r w:rsidRPr="001561A6">
        <w:t>une mesure de substitution à la détention provisoire</w:t>
      </w:r>
      <w:r w:rsidRPr="001561A6">
        <w:rPr>
          <w:rStyle w:val="Appelnotedebasdep"/>
        </w:rPr>
        <w:footnoteReference w:id="45"/>
      </w:r>
      <w:r w:rsidR="00BB401A">
        <w:t> ;</w:t>
      </w:r>
    </w:p>
    <w:p w14:paraId="5B202145" w14:textId="77777777" w:rsidR="00575165" w:rsidRPr="001561A6" w:rsidRDefault="00575165" w:rsidP="00575165">
      <w:pPr>
        <w:pStyle w:val="Bullet1G"/>
        <w:numPr>
          <w:ilvl w:val="0"/>
          <w:numId w:val="1"/>
        </w:numPr>
      </w:pPr>
      <w:r w:rsidRPr="001561A6">
        <w:tab/>
        <w:t>Elle a chargé les directions départementales du système pénitentiaire d</w:t>
      </w:r>
      <w:r w:rsidR="009258E3">
        <w:t>’</w:t>
      </w:r>
      <w:r w:rsidRPr="001561A6">
        <w:t>établir des listes de personnes privées de liberté par groupe vulnérable qui seront portées à la connaissance des tribunaux départementaux et du Service plurinational de défense publique, pour que les intéressés puissent demander à bénéficier d</w:t>
      </w:r>
      <w:r w:rsidR="009258E3">
        <w:t>’</w:t>
      </w:r>
      <w:r w:rsidRPr="001561A6">
        <w:t>une mesure de substitution ou à être assignés à résidence</w:t>
      </w:r>
      <w:r w:rsidRPr="001561A6">
        <w:rPr>
          <w:rStyle w:val="Appelnotedebasdep"/>
        </w:rPr>
        <w:footnoteReference w:id="46"/>
      </w:r>
      <w:r w:rsidR="00BB401A">
        <w:t> ;</w:t>
      </w:r>
    </w:p>
    <w:p w14:paraId="7AA94654" w14:textId="77777777" w:rsidR="00575165" w:rsidRPr="001561A6" w:rsidRDefault="00575165" w:rsidP="00575165">
      <w:pPr>
        <w:pStyle w:val="Bullet1G"/>
        <w:numPr>
          <w:ilvl w:val="0"/>
          <w:numId w:val="1"/>
        </w:numPr>
      </w:pPr>
      <w:r w:rsidRPr="001561A6">
        <w:tab/>
        <w:t>Elle a demandé à ce que des informations soient recueillies sur le nombre d</w:t>
      </w:r>
      <w:r w:rsidR="009258E3">
        <w:t>’</w:t>
      </w:r>
      <w:r w:rsidRPr="001561A6">
        <w:t>audiences virtuelles tenues dans chaque établissement pénitentiaire, à ce que soient organisées, en coordination avec les tribunaux départementaux, des journées destinées à désengorger la justice, à ce que des renseignements soient fournis sur les demandes d</w:t>
      </w:r>
      <w:r w:rsidR="009258E3">
        <w:t>’</w:t>
      </w:r>
      <w:r w:rsidRPr="001561A6">
        <w:t>amnistie et de grâce et, le cas échéant, à ce que de telles demandes soient enregistrées</w:t>
      </w:r>
      <w:r w:rsidRPr="001561A6">
        <w:rPr>
          <w:rStyle w:val="Appelnotedebasdep"/>
        </w:rPr>
        <w:footnoteReference w:id="47"/>
      </w:r>
      <w:r w:rsidR="00BB401A">
        <w:t> ;</w:t>
      </w:r>
    </w:p>
    <w:p w14:paraId="4AFC04CB" w14:textId="77777777" w:rsidR="00575165" w:rsidRPr="005044B6" w:rsidRDefault="00575165" w:rsidP="00575165">
      <w:pPr>
        <w:pStyle w:val="Bullet1G"/>
        <w:numPr>
          <w:ilvl w:val="0"/>
          <w:numId w:val="1"/>
        </w:numPr>
        <w:rPr>
          <w:spacing w:val="-2"/>
        </w:rPr>
      </w:pPr>
      <w:r w:rsidRPr="005044B6">
        <w:rPr>
          <w:spacing w:val="-2"/>
        </w:rPr>
        <w:t xml:space="preserve">Elle a communiqué au Service plurinational de défense publique la liste des personnes pouvant demander à être amnistiées ou graciées en application du décret présidentiel </w:t>
      </w:r>
      <w:r w:rsidRPr="005044B6">
        <w:rPr>
          <w:rFonts w:eastAsia="MS Mincho"/>
          <w:spacing w:val="-2"/>
          <w:szCs w:val="22"/>
        </w:rPr>
        <w:t>n</w:t>
      </w:r>
      <w:r w:rsidRPr="005044B6">
        <w:rPr>
          <w:rFonts w:eastAsia="MS Mincho"/>
          <w:spacing w:val="-2"/>
          <w:szCs w:val="22"/>
          <w:vertAlign w:val="superscript"/>
        </w:rPr>
        <w:t>o</w:t>
      </w:r>
      <w:r w:rsidRPr="005044B6">
        <w:rPr>
          <w:spacing w:val="-2"/>
        </w:rPr>
        <w:t> 4226</w:t>
      </w:r>
      <w:r w:rsidRPr="005044B6">
        <w:rPr>
          <w:rStyle w:val="Appelnotedebasdep"/>
          <w:spacing w:val="-2"/>
        </w:rPr>
        <w:footnoteReference w:id="48"/>
      </w:r>
      <w:r w:rsidRPr="005044B6">
        <w:rPr>
          <w:spacing w:val="-2"/>
        </w:rPr>
        <w:t>, et a demandé à ce que le</w:t>
      </w:r>
      <w:r w:rsidR="00BB401A" w:rsidRPr="005044B6">
        <w:rPr>
          <w:spacing w:val="-2"/>
        </w:rPr>
        <w:t>s</w:t>
      </w:r>
      <w:r w:rsidRPr="005044B6">
        <w:rPr>
          <w:spacing w:val="-2"/>
        </w:rPr>
        <w:t xml:space="preserve"> directions départementales du système pénitentiaire et les juristes du Service plurinational de défense publique travaillent de concert</w:t>
      </w:r>
      <w:r w:rsidR="00CE1417" w:rsidRPr="005044B6">
        <w:rPr>
          <w:rStyle w:val="Appelnotedebasdep"/>
          <w:spacing w:val="-2"/>
        </w:rPr>
        <w:footnoteReference w:id="49"/>
      </w:r>
      <w:r w:rsidRPr="005044B6">
        <w:rPr>
          <w:spacing w:val="-2"/>
        </w:rPr>
        <w:t>.</w:t>
      </w:r>
    </w:p>
    <w:p w14:paraId="4150B863" w14:textId="77777777" w:rsidR="00575165" w:rsidRPr="001561A6" w:rsidRDefault="00575165" w:rsidP="00575165">
      <w:pPr>
        <w:pStyle w:val="SingleTxtG"/>
      </w:pPr>
      <w:r w:rsidRPr="001561A6">
        <w:t>146.</w:t>
      </w:r>
      <w:r w:rsidRPr="001561A6">
        <w:tab/>
        <w:t>Dans le cadre d</w:t>
      </w:r>
      <w:r w:rsidR="009258E3">
        <w:t>’</w:t>
      </w:r>
      <w:r w:rsidRPr="001561A6">
        <w:t>une coordination entre les tribunaux départementaux, le Bureau du Procureur général et le Service plurinational de défense publique, les journées visant à désengorger la justice continuent d</w:t>
      </w:r>
      <w:r w:rsidR="009258E3">
        <w:t>’</w:t>
      </w:r>
      <w:r w:rsidRPr="001561A6">
        <w:t>être organisées ; celles-ci permettent de recenser les personnes privées de liberté en fonction du type d</w:t>
      </w:r>
      <w:r w:rsidR="009258E3">
        <w:t>’</w:t>
      </w:r>
      <w:r w:rsidRPr="001561A6">
        <w:t>infraction, de la durée de privation de liberté ou d</w:t>
      </w:r>
      <w:r w:rsidR="009258E3">
        <w:t>’</w:t>
      </w:r>
      <w:r w:rsidRPr="001561A6">
        <w:t>autres critères, afin que des audiences puissent être tenues et que ces personnes puissent demander à bénéficier d</w:t>
      </w:r>
      <w:r w:rsidR="009258E3">
        <w:t>’</w:t>
      </w:r>
      <w:r w:rsidRPr="001561A6">
        <w:t>une mesure de substitution et obtenir leur libération immédiate ou un quelconque avantage au sein de l</w:t>
      </w:r>
      <w:r w:rsidR="009258E3">
        <w:t>’</w:t>
      </w:r>
      <w:r w:rsidRPr="001561A6">
        <w:t>établissement pénitentiaire.</w:t>
      </w:r>
    </w:p>
    <w:p w14:paraId="50BE833C" w14:textId="77777777" w:rsidR="00F35858" w:rsidRPr="001561A6" w:rsidRDefault="00F35858" w:rsidP="00F35858">
      <w:pPr>
        <w:pStyle w:val="SingleTxtG"/>
        <w:spacing w:before="240" w:after="0"/>
        <w:jc w:val="center"/>
        <w:rPr>
          <w:u w:val="single"/>
        </w:rPr>
      </w:pPr>
      <w:r w:rsidRPr="001561A6">
        <w:rPr>
          <w:u w:val="single"/>
        </w:rPr>
        <w:tab/>
      </w:r>
      <w:r w:rsidRPr="001561A6">
        <w:rPr>
          <w:u w:val="single"/>
        </w:rPr>
        <w:tab/>
      </w:r>
      <w:r w:rsidRPr="001561A6">
        <w:rPr>
          <w:u w:val="single"/>
        </w:rPr>
        <w:tab/>
      </w:r>
    </w:p>
    <w:sectPr w:rsidR="00F35858" w:rsidRPr="001561A6" w:rsidSect="00995201">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C3E61" w14:textId="77777777" w:rsidR="00B51884" w:rsidRPr="009C4D45" w:rsidRDefault="00B51884" w:rsidP="009C4D45">
      <w:pPr>
        <w:pStyle w:val="Pieddepage"/>
      </w:pPr>
    </w:p>
  </w:endnote>
  <w:endnote w:type="continuationSeparator" w:id="0">
    <w:p w14:paraId="1A0A369A" w14:textId="77777777" w:rsidR="00B51884" w:rsidRPr="009C4D45" w:rsidRDefault="00B51884" w:rsidP="009C4D45">
      <w:pPr>
        <w:pStyle w:val="Pieddepage"/>
      </w:pPr>
    </w:p>
  </w:endnote>
  <w:endnote w:type="continuationNotice" w:id="1">
    <w:p w14:paraId="108DC39C" w14:textId="77777777" w:rsidR="00B51884" w:rsidRDefault="00B518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re Baskerville">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0FA0" w14:textId="77777777" w:rsidR="00B51884" w:rsidRPr="00995201" w:rsidRDefault="00B51884" w:rsidP="00995201">
    <w:pPr>
      <w:pStyle w:val="Pieddepage"/>
      <w:tabs>
        <w:tab w:val="right" w:pos="9638"/>
      </w:tabs>
    </w:pPr>
    <w:r w:rsidRPr="00995201">
      <w:rPr>
        <w:b/>
        <w:sz w:val="18"/>
      </w:rPr>
      <w:fldChar w:fldCharType="begin"/>
    </w:r>
    <w:r w:rsidRPr="00995201">
      <w:rPr>
        <w:b/>
        <w:sz w:val="18"/>
      </w:rPr>
      <w:instrText xml:space="preserve"> PAGE  \* MERGEFORMAT </w:instrText>
    </w:r>
    <w:r w:rsidRPr="00995201">
      <w:rPr>
        <w:b/>
        <w:sz w:val="18"/>
      </w:rPr>
      <w:fldChar w:fldCharType="separate"/>
    </w:r>
    <w:r w:rsidRPr="00995201">
      <w:rPr>
        <w:b/>
        <w:noProof/>
        <w:sz w:val="18"/>
      </w:rPr>
      <w:t>2</w:t>
    </w:r>
    <w:r w:rsidRPr="00995201">
      <w:rPr>
        <w:b/>
        <w:sz w:val="18"/>
      </w:rPr>
      <w:fldChar w:fldCharType="end"/>
    </w:r>
    <w:r>
      <w:rPr>
        <w:b/>
        <w:sz w:val="18"/>
      </w:rPr>
      <w:tab/>
    </w:r>
    <w:r>
      <w:t>GE.20-12933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A3D8" w14:textId="77777777" w:rsidR="00B51884" w:rsidRPr="00995201" w:rsidRDefault="00B51884" w:rsidP="00995201">
    <w:pPr>
      <w:pStyle w:val="Pieddepage"/>
      <w:tabs>
        <w:tab w:val="right" w:pos="9638"/>
      </w:tabs>
      <w:rPr>
        <w:b/>
        <w:sz w:val="18"/>
      </w:rPr>
    </w:pPr>
    <w:r>
      <w:t>GE.20-12933</w:t>
    </w:r>
    <w:r>
      <w:tab/>
    </w:r>
    <w:r w:rsidRPr="00995201">
      <w:rPr>
        <w:b/>
        <w:sz w:val="18"/>
      </w:rPr>
      <w:fldChar w:fldCharType="begin"/>
    </w:r>
    <w:r w:rsidRPr="00995201">
      <w:rPr>
        <w:b/>
        <w:sz w:val="18"/>
      </w:rPr>
      <w:instrText xml:space="preserve"> PAGE  \* MERGEFORMAT </w:instrText>
    </w:r>
    <w:r w:rsidRPr="00995201">
      <w:rPr>
        <w:b/>
        <w:sz w:val="18"/>
      </w:rPr>
      <w:fldChar w:fldCharType="separate"/>
    </w:r>
    <w:r w:rsidRPr="00995201">
      <w:rPr>
        <w:b/>
        <w:noProof/>
        <w:sz w:val="18"/>
      </w:rPr>
      <w:t>3</w:t>
    </w:r>
    <w:r w:rsidRPr="009952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07FA" w14:textId="77777777" w:rsidR="00B51884" w:rsidRPr="00995201" w:rsidRDefault="00B51884" w:rsidP="00995201">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0251C56" wp14:editId="7ABCC124">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20-12933  (F)</w:t>
    </w:r>
    <w:r>
      <w:rPr>
        <w:noProof/>
        <w:sz w:val="20"/>
      </w:rPr>
      <w:drawing>
        <wp:anchor distT="0" distB="0" distL="114300" distR="114300" simplePos="0" relativeHeight="251660288" behindDoc="0" locked="0" layoutInCell="1" allowOverlap="1" wp14:anchorId="364A813B" wp14:editId="634C97B6">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021220    041220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E8402" w14:textId="77777777" w:rsidR="00B51884" w:rsidRPr="009C4D45" w:rsidRDefault="00B51884" w:rsidP="009C4D45">
      <w:pPr>
        <w:pStyle w:val="Pieddepage"/>
        <w:tabs>
          <w:tab w:val="right" w:pos="2155"/>
        </w:tabs>
        <w:spacing w:after="80" w:line="240" w:lineRule="atLeast"/>
        <w:ind w:left="680"/>
        <w:rPr>
          <w:u w:val="single"/>
        </w:rPr>
      </w:pPr>
      <w:r>
        <w:rPr>
          <w:u w:val="single"/>
        </w:rPr>
        <w:tab/>
      </w:r>
    </w:p>
  </w:footnote>
  <w:footnote w:type="continuationSeparator" w:id="0">
    <w:p w14:paraId="640563DA" w14:textId="77777777" w:rsidR="00B51884" w:rsidRPr="00035AE4" w:rsidRDefault="00B51884" w:rsidP="00035AE4">
      <w:pPr>
        <w:pStyle w:val="Pieddepage"/>
        <w:tabs>
          <w:tab w:val="right" w:pos="2155"/>
        </w:tabs>
        <w:spacing w:after="80" w:line="240" w:lineRule="atLeast"/>
        <w:ind w:left="680"/>
        <w:rPr>
          <w:u w:val="single"/>
        </w:rPr>
      </w:pPr>
      <w:r>
        <w:rPr>
          <w:u w:val="single"/>
        </w:rPr>
        <w:tab/>
      </w:r>
    </w:p>
  </w:footnote>
  <w:footnote w:type="continuationNotice" w:id="1">
    <w:p w14:paraId="1C762DA2" w14:textId="77777777" w:rsidR="00B51884" w:rsidRPr="00035AE4" w:rsidRDefault="00B51884">
      <w:pPr>
        <w:spacing w:line="240" w:lineRule="auto"/>
        <w:rPr>
          <w:sz w:val="2"/>
          <w:szCs w:val="2"/>
        </w:rPr>
      </w:pPr>
    </w:p>
  </w:footnote>
  <w:footnote w:id="2">
    <w:p w14:paraId="0C6514CF" w14:textId="77777777" w:rsidR="00B51884" w:rsidRPr="00F63C43" w:rsidRDefault="00B51884" w:rsidP="00995201">
      <w:pPr>
        <w:pStyle w:val="Notedebasdepage"/>
        <w:rPr>
          <w:sz w:val="20"/>
        </w:rPr>
      </w:pPr>
      <w:r>
        <w:rPr>
          <w:lang w:val="fr-FR"/>
        </w:rPr>
        <w:tab/>
      </w:r>
      <w:r w:rsidRPr="00BC0CC8">
        <w:rPr>
          <w:sz w:val="20"/>
          <w:lang w:val="fr-FR"/>
        </w:rPr>
        <w:t>*</w:t>
      </w:r>
      <w:r>
        <w:rPr>
          <w:lang w:val="fr-FR"/>
        </w:rPr>
        <w:tab/>
        <w:t>La version originale du présent document n’a pas été revue par les services d’édition.</w:t>
      </w:r>
    </w:p>
  </w:footnote>
  <w:footnote w:id="3">
    <w:p w14:paraId="0697DD77" w14:textId="2CDC85C4" w:rsidR="00B51884" w:rsidRDefault="00B51884">
      <w:pPr>
        <w:pStyle w:val="Notedebasdepage"/>
      </w:pPr>
      <w:r>
        <w:tab/>
      </w:r>
      <w:r>
        <w:rPr>
          <w:rStyle w:val="Appelnotedebasdep"/>
        </w:rPr>
        <w:footnoteRef/>
      </w:r>
      <w:r>
        <w:tab/>
      </w:r>
      <w:r w:rsidRPr="00CF5240">
        <w:t>Créée par l</w:t>
      </w:r>
      <w:r>
        <w:t>’</w:t>
      </w:r>
      <w:r w:rsidRPr="00CF5240">
        <w:t>accord de coopération interinstitutionnelle du 1</w:t>
      </w:r>
      <w:r w:rsidRPr="00CF5240">
        <w:rPr>
          <w:vertAlign w:val="superscript"/>
        </w:rPr>
        <w:t>er</w:t>
      </w:r>
      <w:r>
        <w:t> </w:t>
      </w:r>
      <w:r w:rsidRPr="00CF5240">
        <w:t>décembre 2015 aux fins de l</w:t>
      </w:r>
      <w:r>
        <w:t>’</w:t>
      </w:r>
      <w:r w:rsidRPr="00CF5240">
        <w:t>élaboration, de la soumission et de la présentation des rapports de l</w:t>
      </w:r>
      <w:r>
        <w:t>’</w:t>
      </w:r>
      <w:r w:rsidRPr="00CF5240">
        <w:t>État plu</w:t>
      </w:r>
      <w:r>
        <w:t>r</w:t>
      </w:r>
      <w:r w:rsidRPr="00CF5240">
        <w:t>inational de Bolivie, et composée du Ministère de la justice et de la transparence institutionnelle, du Ministère des relations extérieures et du Bureau du Procureur général de l</w:t>
      </w:r>
      <w:r>
        <w:t>’</w:t>
      </w:r>
      <w:r w:rsidRPr="00CF5240">
        <w:t>État.</w:t>
      </w:r>
    </w:p>
  </w:footnote>
  <w:footnote w:id="4">
    <w:p w14:paraId="41142C84" w14:textId="77777777" w:rsidR="00B51884" w:rsidRPr="005E6A87" w:rsidRDefault="00B51884" w:rsidP="001960EC">
      <w:pPr>
        <w:pStyle w:val="Notedebasdepage"/>
      </w:pPr>
      <w:r w:rsidRPr="005E6A87">
        <w:tab/>
      </w:r>
      <w:r w:rsidRPr="00E15C48">
        <w:rPr>
          <w:rStyle w:val="Appelnotedebasdep"/>
        </w:rPr>
        <w:footnoteRef/>
      </w:r>
      <w:r>
        <w:t xml:space="preserve"> </w:t>
      </w:r>
      <w:r>
        <w:tab/>
        <w:t xml:space="preserve">Décret </w:t>
      </w:r>
      <w:r w:rsidRPr="00CF5240">
        <w:t>suprême</w:t>
      </w:r>
      <w:r>
        <w:t xml:space="preserve"> </w:t>
      </w:r>
      <w:r w:rsidRPr="002D76F4">
        <w:rPr>
          <w:rFonts w:eastAsia="MS Mincho"/>
          <w:szCs w:val="22"/>
        </w:rPr>
        <w:t>n</w:t>
      </w:r>
      <w:r w:rsidRPr="002D76F4">
        <w:rPr>
          <w:rFonts w:eastAsia="MS Mincho"/>
          <w:szCs w:val="22"/>
          <w:vertAlign w:val="superscript"/>
        </w:rPr>
        <w:t>o</w:t>
      </w:r>
      <w:r>
        <w:t> </w:t>
      </w:r>
      <w:r w:rsidRPr="005E6A87">
        <w:t xml:space="preserve">2082 </w:t>
      </w:r>
      <w:r>
        <w:t xml:space="preserve">du </w:t>
      </w:r>
      <w:r w:rsidRPr="005E6A87">
        <w:t>21</w:t>
      </w:r>
      <w:r>
        <w:t xml:space="preserve"> août </w:t>
      </w:r>
      <w:r w:rsidRPr="005E6A87">
        <w:t>2014.</w:t>
      </w:r>
    </w:p>
  </w:footnote>
  <w:footnote w:id="5">
    <w:p w14:paraId="3DFCA057" w14:textId="77777777" w:rsidR="00B51884" w:rsidRPr="00CF5240" w:rsidRDefault="00B51884" w:rsidP="001960EC">
      <w:pPr>
        <w:pStyle w:val="Notedebasdepage"/>
      </w:pPr>
      <w:r w:rsidRPr="005E6A87">
        <w:tab/>
      </w:r>
      <w:r w:rsidRPr="00E15C48">
        <w:rPr>
          <w:rStyle w:val="Appelnotedebasdep"/>
        </w:rPr>
        <w:footnoteRef/>
      </w:r>
      <w:r w:rsidRPr="005E6A87">
        <w:t xml:space="preserve"> </w:t>
      </w:r>
      <w:r w:rsidRPr="005E6A87">
        <w:tab/>
      </w:r>
      <w:r>
        <w:t xml:space="preserve">Loi </w:t>
      </w:r>
      <w:r w:rsidRPr="002D76F4">
        <w:rPr>
          <w:rFonts w:eastAsia="MS Mincho"/>
          <w:szCs w:val="22"/>
        </w:rPr>
        <w:t>n</w:t>
      </w:r>
      <w:r w:rsidRPr="002D76F4">
        <w:rPr>
          <w:rFonts w:eastAsia="MS Mincho"/>
          <w:szCs w:val="22"/>
          <w:vertAlign w:val="superscript"/>
        </w:rPr>
        <w:t>o</w:t>
      </w:r>
      <w:r>
        <w:t> </w:t>
      </w:r>
      <w:r w:rsidRPr="005E6A87">
        <w:t xml:space="preserve">2298 </w:t>
      </w:r>
      <w:r>
        <w:t xml:space="preserve">du </w:t>
      </w:r>
      <w:r w:rsidRPr="005E6A87">
        <w:t>20</w:t>
      </w:r>
      <w:r>
        <w:t xml:space="preserve"> décembre </w:t>
      </w:r>
      <w:r w:rsidRPr="005E6A87">
        <w:t>2001.</w:t>
      </w:r>
    </w:p>
  </w:footnote>
  <w:footnote w:id="6">
    <w:p w14:paraId="09E68369" w14:textId="195A20D7" w:rsidR="00B51884" w:rsidRDefault="00B51884">
      <w:pPr>
        <w:pStyle w:val="Notedebasdepage"/>
      </w:pPr>
      <w:r>
        <w:tab/>
      </w:r>
      <w:r>
        <w:rPr>
          <w:rStyle w:val="Appelnotedebasdep"/>
        </w:rPr>
        <w:footnoteRef/>
      </w:r>
      <w:r>
        <w:tab/>
      </w:r>
      <w:r w:rsidRPr="00104546">
        <w:t>Constitution politique de l</w:t>
      </w:r>
      <w:r>
        <w:t>’</w:t>
      </w:r>
      <w:r w:rsidRPr="00104546">
        <w:t>État, art.</w:t>
      </w:r>
      <w:r>
        <w:t> </w:t>
      </w:r>
      <w:r w:rsidRPr="00104546">
        <w:t>180.II. Le droit de produire des preuves contraires dans le cadre des procédures judiciaires est garanti.</w:t>
      </w:r>
    </w:p>
  </w:footnote>
  <w:footnote w:id="7">
    <w:p w14:paraId="587A608B" w14:textId="77777777" w:rsidR="00B51884" w:rsidRPr="00BE184D" w:rsidRDefault="00B51884" w:rsidP="001960EC">
      <w:pPr>
        <w:pStyle w:val="Notedebasdepage"/>
      </w:pPr>
      <w:r w:rsidRPr="00BE184D">
        <w:tab/>
      </w:r>
      <w:r w:rsidRPr="00E15C48">
        <w:rPr>
          <w:rStyle w:val="Appelnotedebasdep"/>
        </w:rPr>
        <w:footnoteRef/>
      </w:r>
      <w:r w:rsidRPr="00BE184D">
        <w:tab/>
        <w:t>Ibid., art. 125. Toute personne qui estime que sa vie est en danger ou qu</w:t>
      </w:r>
      <w:r>
        <w:t>’</w:t>
      </w:r>
      <w:r w:rsidRPr="00BE184D">
        <w:t>elle est illégalement poursuivie ou injustement jugée ou privée de liberté peut introduire un recours en liberté auprès de tout juge ou tribunal compétent en matière pénale, oralement ou par écrit, personnellement ou par l</w:t>
      </w:r>
      <w:r>
        <w:t>’</w:t>
      </w:r>
      <w:r w:rsidRPr="00BE184D">
        <w:t>intermédiaire d</w:t>
      </w:r>
      <w:r>
        <w:t>’</w:t>
      </w:r>
      <w:r w:rsidRPr="00BE184D">
        <w:t>un représentant, sans autre forme de procédure, pour demander une protection, l</w:t>
      </w:r>
      <w:r>
        <w:t>’</w:t>
      </w:r>
      <w:r w:rsidRPr="00BE184D">
        <w:t>abandon de poursuites injustifiées, le rétablissement de la légalité ou sa mise en liberté.</w:t>
      </w:r>
    </w:p>
  </w:footnote>
  <w:footnote w:id="8">
    <w:p w14:paraId="69D68F75" w14:textId="77777777" w:rsidR="00B51884" w:rsidRPr="00BE184D" w:rsidRDefault="00B51884" w:rsidP="001960EC">
      <w:pPr>
        <w:pStyle w:val="Notedebasdepage"/>
      </w:pPr>
      <w:r w:rsidRPr="00BE184D">
        <w:tab/>
      </w:r>
      <w:r w:rsidRPr="00E15C48">
        <w:rPr>
          <w:rStyle w:val="Appelnotedebasdep"/>
        </w:rPr>
        <w:footnoteRef/>
      </w:r>
      <w:r w:rsidRPr="00BE184D">
        <w:tab/>
        <w:t xml:space="preserve">Loi </w:t>
      </w:r>
      <w:r w:rsidRPr="002D76F4">
        <w:rPr>
          <w:rFonts w:eastAsia="MS Mincho"/>
          <w:szCs w:val="22"/>
        </w:rPr>
        <w:t>n</w:t>
      </w:r>
      <w:r w:rsidRPr="002D76F4">
        <w:rPr>
          <w:rFonts w:eastAsia="MS Mincho"/>
          <w:szCs w:val="22"/>
          <w:vertAlign w:val="superscript"/>
        </w:rPr>
        <w:t>o</w:t>
      </w:r>
      <w:r>
        <w:t> </w:t>
      </w:r>
      <w:r w:rsidRPr="00BE184D">
        <w:t>254 du 5</w:t>
      </w:r>
      <w:r>
        <w:t> </w:t>
      </w:r>
      <w:r w:rsidRPr="00BE184D">
        <w:t>juin 2012.</w:t>
      </w:r>
    </w:p>
  </w:footnote>
  <w:footnote w:id="9">
    <w:p w14:paraId="674A68F9" w14:textId="77777777" w:rsidR="00B51884" w:rsidRPr="00167160" w:rsidRDefault="00B51884" w:rsidP="001960EC">
      <w:pPr>
        <w:pStyle w:val="Notedebasdepage"/>
        <w:rPr>
          <w:lang w:val="fr-FR"/>
        </w:rPr>
      </w:pPr>
      <w:r>
        <w:tab/>
      </w:r>
      <w:r w:rsidRPr="00E15C48">
        <w:rPr>
          <w:rStyle w:val="Appelnotedebasdep"/>
        </w:rPr>
        <w:footnoteRef/>
      </w:r>
      <w:r>
        <w:tab/>
        <w:t xml:space="preserve">Décret suprême </w:t>
      </w:r>
      <w:r w:rsidRPr="002D76F4">
        <w:rPr>
          <w:rFonts w:eastAsia="MS Mincho"/>
          <w:szCs w:val="22"/>
        </w:rPr>
        <w:t>n</w:t>
      </w:r>
      <w:r w:rsidRPr="002D76F4">
        <w:rPr>
          <w:rFonts w:eastAsia="MS Mincho"/>
          <w:szCs w:val="22"/>
          <w:vertAlign w:val="superscript"/>
        </w:rPr>
        <w:t>o</w:t>
      </w:r>
      <w:r>
        <w:t> 26715 du 26 juillet 2002.</w:t>
      </w:r>
    </w:p>
  </w:footnote>
  <w:footnote w:id="10">
    <w:p w14:paraId="2CAA00C2" w14:textId="77777777" w:rsidR="00B51884" w:rsidRPr="00587CC3" w:rsidRDefault="00B51884" w:rsidP="001960EC">
      <w:pPr>
        <w:pStyle w:val="Notedebasdepage"/>
      </w:pPr>
      <w:r w:rsidRPr="005E6A87">
        <w:tab/>
      </w:r>
      <w:r w:rsidRPr="00E15C48">
        <w:rPr>
          <w:rStyle w:val="Appelnotedebasdep"/>
        </w:rPr>
        <w:footnoteRef/>
      </w:r>
      <w:r w:rsidRPr="005E6A87">
        <w:t xml:space="preserve"> </w:t>
      </w:r>
      <w:r w:rsidRPr="005E6A87">
        <w:tab/>
      </w:r>
      <w:r>
        <w:t>Loi sur le Service de prévention</w:t>
      </w:r>
      <w:r w:rsidRPr="005E6A87">
        <w:t xml:space="preserve"> de la </w:t>
      </w:r>
      <w:r>
        <w:t>torture</w:t>
      </w:r>
      <w:r w:rsidRPr="005E6A87">
        <w:t xml:space="preserve">, </w:t>
      </w:r>
      <w:r>
        <w:t xml:space="preserve">loi </w:t>
      </w:r>
      <w:r w:rsidRPr="00BE184D">
        <w:rPr>
          <w:rFonts w:eastAsia="MS Mincho"/>
          <w:szCs w:val="22"/>
          <w:lang w:val="fr-FR"/>
        </w:rPr>
        <w:t>n</w:t>
      </w:r>
      <w:r w:rsidRPr="00BE184D">
        <w:rPr>
          <w:rFonts w:eastAsia="MS Mincho"/>
          <w:szCs w:val="22"/>
          <w:vertAlign w:val="superscript"/>
          <w:lang w:val="fr-FR"/>
        </w:rPr>
        <w:t>o</w:t>
      </w:r>
      <w:r>
        <w:rPr>
          <w:lang w:val="fr-FR"/>
        </w:rPr>
        <w:t> </w:t>
      </w:r>
      <w:r w:rsidRPr="005E6A87">
        <w:t xml:space="preserve">474 </w:t>
      </w:r>
      <w:r>
        <w:t xml:space="preserve">du </w:t>
      </w:r>
      <w:r w:rsidRPr="005E6A87">
        <w:t>30</w:t>
      </w:r>
      <w:r>
        <w:t xml:space="preserve"> décembre </w:t>
      </w:r>
      <w:r w:rsidRPr="005E6A87">
        <w:t>2013.</w:t>
      </w:r>
    </w:p>
  </w:footnote>
  <w:footnote w:id="11">
    <w:p w14:paraId="10EBE653" w14:textId="77777777" w:rsidR="00B51884" w:rsidRPr="00BE184D" w:rsidRDefault="00B51884" w:rsidP="001960EC">
      <w:pPr>
        <w:pStyle w:val="Notedebasdepage"/>
      </w:pPr>
      <w:r>
        <w:tab/>
      </w:r>
      <w:r w:rsidRPr="00E15C48">
        <w:rPr>
          <w:rStyle w:val="Appelnotedebasdep"/>
        </w:rPr>
        <w:footnoteRef/>
      </w:r>
      <w:r w:rsidRPr="005E6A87">
        <w:tab/>
      </w:r>
      <w:r>
        <w:t xml:space="preserve">Décret suprême </w:t>
      </w:r>
      <w:r w:rsidRPr="00BE184D">
        <w:rPr>
          <w:rFonts w:eastAsia="MS Mincho"/>
          <w:szCs w:val="22"/>
          <w:lang w:val="fr-FR"/>
        </w:rPr>
        <w:t>n</w:t>
      </w:r>
      <w:r w:rsidRPr="00BE184D">
        <w:rPr>
          <w:rFonts w:eastAsia="MS Mincho"/>
          <w:szCs w:val="22"/>
          <w:vertAlign w:val="superscript"/>
          <w:lang w:val="fr-FR"/>
        </w:rPr>
        <w:t>o</w:t>
      </w:r>
      <w:r>
        <w:rPr>
          <w:lang w:val="fr-FR"/>
        </w:rPr>
        <w:t> </w:t>
      </w:r>
      <w:r w:rsidRPr="00BE184D">
        <w:t>3774 du 16</w:t>
      </w:r>
      <w:r>
        <w:t> </w:t>
      </w:r>
      <w:r w:rsidRPr="00BE184D">
        <w:t>janvier 2019.</w:t>
      </w:r>
    </w:p>
  </w:footnote>
  <w:footnote w:id="12">
    <w:p w14:paraId="44EFBB72" w14:textId="77777777" w:rsidR="00B51884" w:rsidRPr="00BE184D" w:rsidRDefault="00B51884" w:rsidP="001960EC">
      <w:pPr>
        <w:pStyle w:val="Notedebasdepage"/>
      </w:pPr>
      <w:r w:rsidRPr="00BE184D">
        <w:tab/>
      </w:r>
      <w:r w:rsidRPr="00E15C48">
        <w:rPr>
          <w:rStyle w:val="Appelnotedebasdep"/>
        </w:rPr>
        <w:footnoteRef/>
      </w:r>
      <w:r w:rsidRPr="00BE184D">
        <w:tab/>
        <w:t xml:space="preserve">Décret suprême </w:t>
      </w:r>
      <w:r w:rsidRPr="00BE184D">
        <w:rPr>
          <w:rFonts w:eastAsia="MS Mincho"/>
          <w:szCs w:val="22"/>
          <w:lang w:val="fr-FR"/>
        </w:rPr>
        <w:t>n</w:t>
      </w:r>
      <w:r w:rsidRPr="00BE184D">
        <w:rPr>
          <w:rFonts w:eastAsia="MS Mincho"/>
          <w:szCs w:val="22"/>
          <w:vertAlign w:val="superscript"/>
          <w:lang w:val="fr-FR"/>
        </w:rPr>
        <w:t>o</w:t>
      </w:r>
      <w:r>
        <w:rPr>
          <w:lang w:val="fr-FR"/>
        </w:rPr>
        <w:t> </w:t>
      </w:r>
      <w:r w:rsidRPr="00BE184D">
        <w:t>2145 du 14</w:t>
      </w:r>
      <w:r>
        <w:t> </w:t>
      </w:r>
      <w:r w:rsidRPr="00BE184D">
        <w:t>octobre 2014.</w:t>
      </w:r>
    </w:p>
  </w:footnote>
  <w:footnote w:id="13">
    <w:p w14:paraId="3BF6CE38" w14:textId="77777777" w:rsidR="00B51884" w:rsidRPr="00BE184D" w:rsidRDefault="00B51884" w:rsidP="001960EC">
      <w:pPr>
        <w:pStyle w:val="Notedebasdepage"/>
      </w:pPr>
      <w:r w:rsidRPr="00BE184D">
        <w:tab/>
      </w:r>
      <w:r w:rsidRPr="00E15C48">
        <w:rPr>
          <w:rStyle w:val="Appelnotedebasdep"/>
        </w:rPr>
        <w:footnoteRef/>
      </w:r>
      <w:r w:rsidRPr="00BE184D">
        <w:tab/>
        <w:t xml:space="preserve">Loi </w:t>
      </w:r>
      <w:r w:rsidRPr="00BE184D">
        <w:rPr>
          <w:rFonts w:eastAsia="MS Mincho"/>
          <w:szCs w:val="22"/>
          <w:lang w:val="fr-FR"/>
        </w:rPr>
        <w:t>n</w:t>
      </w:r>
      <w:r w:rsidRPr="00BE184D">
        <w:rPr>
          <w:rFonts w:eastAsia="MS Mincho"/>
          <w:szCs w:val="22"/>
          <w:vertAlign w:val="superscript"/>
          <w:lang w:val="fr-FR"/>
        </w:rPr>
        <w:t>o</w:t>
      </w:r>
      <w:r>
        <w:rPr>
          <w:lang w:val="fr-FR"/>
        </w:rPr>
        <w:t> </w:t>
      </w:r>
      <w:r w:rsidRPr="00BE184D">
        <w:t>348 du 9</w:t>
      </w:r>
      <w:r>
        <w:t> </w:t>
      </w:r>
      <w:r w:rsidRPr="00BE184D">
        <w:t>mars 2013, loi générale visant à garantir aux femmes une vie à l</w:t>
      </w:r>
      <w:r>
        <w:t>’</w:t>
      </w:r>
      <w:r w:rsidRPr="00BE184D">
        <w:t>abri de la violence.</w:t>
      </w:r>
    </w:p>
  </w:footnote>
  <w:footnote w:id="14">
    <w:p w14:paraId="065210F7" w14:textId="77777777" w:rsidR="00B51884" w:rsidRPr="005E6A87" w:rsidRDefault="00B51884" w:rsidP="001960EC">
      <w:pPr>
        <w:pStyle w:val="Notedebasdepage"/>
      </w:pPr>
      <w:r w:rsidRPr="00BE184D">
        <w:tab/>
      </w:r>
      <w:r w:rsidRPr="00E15C48">
        <w:rPr>
          <w:rStyle w:val="Appelnotedebasdep"/>
        </w:rPr>
        <w:footnoteRef/>
      </w:r>
      <w:r w:rsidRPr="00BE184D">
        <w:tab/>
        <w:t>Adopté par la décision</w:t>
      </w:r>
      <w:r>
        <w:t xml:space="preserve"> ministérielle </w:t>
      </w:r>
      <w:r w:rsidRPr="00BE184D">
        <w:rPr>
          <w:rFonts w:eastAsia="MS Mincho"/>
          <w:szCs w:val="22"/>
          <w:lang w:val="fr-FR"/>
        </w:rPr>
        <w:t>n</w:t>
      </w:r>
      <w:r w:rsidRPr="00BE184D">
        <w:rPr>
          <w:rFonts w:eastAsia="MS Mincho"/>
          <w:szCs w:val="22"/>
          <w:vertAlign w:val="superscript"/>
          <w:lang w:val="fr-FR"/>
        </w:rPr>
        <w:t>o</w:t>
      </w:r>
      <w:r>
        <w:rPr>
          <w:lang w:val="fr-FR"/>
        </w:rPr>
        <w:t> </w:t>
      </w:r>
      <w:r w:rsidRPr="005E6A87">
        <w:t xml:space="preserve">154/2019 </w:t>
      </w:r>
      <w:r>
        <w:t>du</w:t>
      </w:r>
      <w:r w:rsidRPr="005E6A87">
        <w:t xml:space="preserve"> 31</w:t>
      </w:r>
      <w:r>
        <w:t> décembre 2019</w:t>
      </w:r>
      <w:r w:rsidRPr="005E6A87">
        <w:t>.</w:t>
      </w:r>
    </w:p>
  </w:footnote>
  <w:footnote w:id="15">
    <w:p w14:paraId="1561864F" w14:textId="77777777" w:rsidR="00B51884" w:rsidRPr="005E6A87" w:rsidRDefault="00B51884" w:rsidP="001960EC">
      <w:pPr>
        <w:pStyle w:val="Notedebasdepage"/>
      </w:pPr>
      <w:r w:rsidRPr="005E6A87">
        <w:tab/>
      </w:r>
      <w:r w:rsidRPr="00E15C48">
        <w:rPr>
          <w:rStyle w:val="Appelnotedebasdep"/>
        </w:rPr>
        <w:footnoteRef/>
      </w:r>
      <w:r w:rsidRPr="005E6A87">
        <w:t xml:space="preserve"> </w:t>
      </w:r>
      <w:r w:rsidRPr="005E6A87">
        <w:tab/>
      </w:r>
      <w:r>
        <w:t xml:space="preserve">Loi </w:t>
      </w:r>
      <w:r w:rsidRPr="002D76F4">
        <w:rPr>
          <w:rFonts w:eastAsia="MS Mincho"/>
          <w:szCs w:val="22"/>
        </w:rPr>
        <w:t>n</w:t>
      </w:r>
      <w:r w:rsidRPr="002D76F4">
        <w:rPr>
          <w:rFonts w:eastAsia="MS Mincho"/>
          <w:szCs w:val="22"/>
          <w:vertAlign w:val="superscript"/>
        </w:rPr>
        <w:t>o</w:t>
      </w:r>
      <w:r>
        <w:t> </w:t>
      </w:r>
      <w:r w:rsidRPr="005E6A87">
        <w:t xml:space="preserve">1173 </w:t>
      </w:r>
      <w:r>
        <w:t xml:space="preserve">du 8 mai </w:t>
      </w:r>
      <w:r w:rsidRPr="005E6A87">
        <w:t>2019.</w:t>
      </w:r>
    </w:p>
  </w:footnote>
  <w:footnote w:id="16">
    <w:p w14:paraId="596A4F7A" w14:textId="77777777" w:rsidR="00B51884" w:rsidRPr="005E6A87" w:rsidRDefault="00B51884" w:rsidP="001960EC">
      <w:pPr>
        <w:pStyle w:val="Notedebasdepage"/>
      </w:pPr>
      <w:r>
        <w:tab/>
      </w:r>
      <w:r w:rsidRPr="00E15C48">
        <w:rPr>
          <w:rStyle w:val="Appelnotedebasdep"/>
        </w:rPr>
        <w:footnoteRef/>
      </w:r>
      <w:r w:rsidRPr="005E6A87">
        <w:t xml:space="preserve"> </w:t>
      </w:r>
      <w:r w:rsidRPr="005E6A87">
        <w:tab/>
      </w:r>
      <w:r>
        <w:t xml:space="preserve">Année de la </w:t>
      </w:r>
      <w:r w:rsidRPr="00BE184D">
        <w:t>promulgation</w:t>
      </w:r>
      <w:r>
        <w:t xml:space="preserve"> de la loi </w:t>
      </w:r>
      <w:r w:rsidRPr="002D76F4">
        <w:rPr>
          <w:rFonts w:eastAsia="MS Mincho"/>
          <w:szCs w:val="22"/>
        </w:rPr>
        <w:t>n</w:t>
      </w:r>
      <w:r w:rsidRPr="002D76F4">
        <w:rPr>
          <w:rFonts w:eastAsia="MS Mincho"/>
          <w:szCs w:val="22"/>
          <w:vertAlign w:val="superscript"/>
        </w:rPr>
        <w:t>o</w:t>
      </w:r>
      <w:r>
        <w:t> </w:t>
      </w:r>
      <w:r w:rsidRPr="005E6A87">
        <w:t>348.</w:t>
      </w:r>
    </w:p>
  </w:footnote>
  <w:footnote w:id="17">
    <w:p w14:paraId="5E77DFCC" w14:textId="77777777" w:rsidR="00B51884" w:rsidRPr="0089531C" w:rsidRDefault="00B51884" w:rsidP="00747B6F">
      <w:pPr>
        <w:pStyle w:val="Notedebasdepage"/>
      </w:pPr>
      <w:r>
        <w:tab/>
      </w:r>
      <w:r w:rsidRPr="00E15C48">
        <w:rPr>
          <w:rStyle w:val="Appelnotedebasdep"/>
        </w:rPr>
        <w:footnoteRef/>
      </w:r>
      <w:r w:rsidRPr="005E6A87">
        <w:t xml:space="preserve"> </w:t>
      </w:r>
      <w:r w:rsidRPr="005E6A87">
        <w:tab/>
      </w:r>
      <w:r>
        <w:t xml:space="preserve">Avec </w:t>
      </w:r>
      <w:r w:rsidRPr="0089531C">
        <w:t>l</w:t>
      </w:r>
      <w:r>
        <w:t>’</w:t>
      </w:r>
      <w:r w:rsidRPr="0089531C">
        <w:t xml:space="preserve">ONG </w:t>
      </w:r>
      <w:r w:rsidRPr="00E524AE">
        <w:t>Alliance</w:t>
      </w:r>
      <w:r w:rsidRPr="0089531C">
        <w:t xml:space="preserve"> de Norvège en </w:t>
      </w:r>
      <w:r w:rsidRPr="005E6A87">
        <w:t>Bolivi</w:t>
      </w:r>
      <w:r>
        <w:t>e</w:t>
      </w:r>
      <w:r w:rsidRPr="0089531C">
        <w:t>.</w:t>
      </w:r>
    </w:p>
  </w:footnote>
  <w:footnote w:id="18">
    <w:p w14:paraId="37D18534" w14:textId="77777777" w:rsidR="00B51884" w:rsidRPr="005E6A87" w:rsidRDefault="00B51884" w:rsidP="00747B6F">
      <w:pPr>
        <w:pStyle w:val="Notedebasdepage"/>
      </w:pPr>
      <w:r w:rsidRPr="005E6A87">
        <w:tab/>
      </w:r>
      <w:r w:rsidRPr="00E15C48">
        <w:rPr>
          <w:rStyle w:val="Appelnotedebasdep"/>
        </w:rPr>
        <w:footnoteRef/>
      </w:r>
      <w:r w:rsidRPr="005E6A87">
        <w:t xml:space="preserve"> </w:t>
      </w:r>
      <w:r w:rsidRPr="005E6A87">
        <w:tab/>
      </w:r>
      <w:r>
        <w:t>Art.</w:t>
      </w:r>
      <w:r w:rsidRPr="005E6A87">
        <w:t xml:space="preserve"> 154 de la </w:t>
      </w:r>
      <w:r>
        <w:t xml:space="preserve">loi </w:t>
      </w:r>
      <w:r w:rsidRPr="002D76F4">
        <w:rPr>
          <w:rFonts w:eastAsia="MS Mincho"/>
          <w:szCs w:val="22"/>
        </w:rPr>
        <w:t>n</w:t>
      </w:r>
      <w:r w:rsidRPr="002D76F4">
        <w:rPr>
          <w:rFonts w:eastAsia="MS Mincho"/>
          <w:szCs w:val="22"/>
          <w:vertAlign w:val="superscript"/>
        </w:rPr>
        <w:t>o</w:t>
      </w:r>
      <w:r>
        <w:t> </w:t>
      </w:r>
      <w:r w:rsidRPr="005E6A87">
        <w:t xml:space="preserve">548 </w:t>
      </w:r>
      <w:r>
        <w:t xml:space="preserve">du </w:t>
      </w:r>
      <w:r w:rsidRPr="005E6A87">
        <w:t>17</w:t>
      </w:r>
      <w:r>
        <w:t xml:space="preserve"> juillet </w:t>
      </w:r>
      <w:r w:rsidRPr="005E6A87">
        <w:t xml:space="preserve">2014, </w:t>
      </w:r>
      <w:r>
        <w:t>Code des enfants et des adolescents</w:t>
      </w:r>
      <w:r w:rsidRPr="005E6A87">
        <w:t>.</w:t>
      </w:r>
    </w:p>
  </w:footnote>
  <w:footnote w:id="19">
    <w:p w14:paraId="7BEFEB89" w14:textId="77777777" w:rsidR="00B51884" w:rsidRPr="00167160" w:rsidRDefault="00B51884" w:rsidP="00F35858">
      <w:pPr>
        <w:pStyle w:val="Notedebasdepage"/>
      </w:pPr>
      <w:r w:rsidRPr="00167160">
        <w:tab/>
      </w:r>
      <w:r w:rsidRPr="00E15C48">
        <w:rPr>
          <w:rStyle w:val="Appelnotedebasdep"/>
        </w:rPr>
        <w:footnoteRef/>
      </w:r>
      <w:r w:rsidRPr="00167160">
        <w:t xml:space="preserve"> </w:t>
      </w:r>
      <w:r w:rsidRPr="00167160">
        <w:tab/>
        <w:t xml:space="preserve">Loi </w:t>
      </w:r>
      <w:r w:rsidRPr="00643344">
        <w:rPr>
          <w:rFonts w:eastAsia="MS Mincho"/>
          <w:szCs w:val="22"/>
        </w:rPr>
        <w:t>n</w:t>
      </w:r>
      <w:r w:rsidRPr="00643344">
        <w:rPr>
          <w:rFonts w:eastAsia="MS Mincho"/>
          <w:szCs w:val="22"/>
          <w:vertAlign w:val="superscript"/>
        </w:rPr>
        <w:t>o</w:t>
      </w:r>
      <w:r>
        <w:t> </w:t>
      </w:r>
      <w:r w:rsidRPr="00167160">
        <w:t xml:space="preserve">263 du 31 juillet </w:t>
      </w:r>
      <w:r w:rsidRPr="00F35858">
        <w:t>2012</w:t>
      </w:r>
      <w:r w:rsidRPr="00167160">
        <w:t>.</w:t>
      </w:r>
    </w:p>
  </w:footnote>
  <w:footnote w:id="20">
    <w:p w14:paraId="3E2BEA32" w14:textId="77777777" w:rsidR="00B51884" w:rsidRPr="00167160" w:rsidRDefault="00B51884" w:rsidP="00F35858">
      <w:pPr>
        <w:pStyle w:val="Notedebasdepage"/>
      </w:pPr>
      <w:r w:rsidRPr="00167160">
        <w:tab/>
      </w:r>
      <w:r w:rsidRPr="00E15C48">
        <w:rPr>
          <w:rStyle w:val="Appelnotedebasdep"/>
        </w:rPr>
        <w:footnoteRef/>
      </w:r>
      <w:r w:rsidRPr="00167160">
        <w:t xml:space="preserve"> </w:t>
      </w:r>
      <w:r w:rsidRPr="00167160">
        <w:tab/>
        <w:t>Signé le 23</w:t>
      </w:r>
      <w:r>
        <w:t> </w:t>
      </w:r>
      <w:r w:rsidRPr="00167160">
        <w:t xml:space="preserve">juin 2015 et ratifié par la loi </w:t>
      </w:r>
      <w:r w:rsidRPr="002D76F4">
        <w:rPr>
          <w:rFonts w:eastAsia="MS Mincho"/>
          <w:szCs w:val="22"/>
        </w:rPr>
        <w:t>n</w:t>
      </w:r>
      <w:r w:rsidRPr="002D76F4">
        <w:rPr>
          <w:rFonts w:eastAsia="MS Mincho"/>
          <w:szCs w:val="22"/>
          <w:vertAlign w:val="superscript"/>
        </w:rPr>
        <w:t>o</w:t>
      </w:r>
      <w:r>
        <w:t> </w:t>
      </w:r>
      <w:r w:rsidRPr="00167160">
        <w:t>765 du 11</w:t>
      </w:r>
      <w:r>
        <w:t> </w:t>
      </w:r>
      <w:r w:rsidRPr="00F35858">
        <w:t>décembre</w:t>
      </w:r>
      <w:r w:rsidRPr="00167160">
        <w:t xml:space="preserve"> 2015.</w:t>
      </w:r>
    </w:p>
  </w:footnote>
  <w:footnote w:id="21">
    <w:p w14:paraId="35C44AB8" w14:textId="77777777" w:rsidR="00B51884" w:rsidRPr="00167160" w:rsidRDefault="00B51884" w:rsidP="00F35858">
      <w:pPr>
        <w:pStyle w:val="Notedebasdepage"/>
      </w:pPr>
      <w:r w:rsidRPr="00167160">
        <w:tab/>
      </w:r>
      <w:r w:rsidRPr="00E15C48">
        <w:rPr>
          <w:rStyle w:val="Appelnotedebasdep"/>
        </w:rPr>
        <w:footnoteRef/>
      </w:r>
      <w:r w:rsidRPr="00167160">
        <w:t xml:space="preserve"> </w:t>
      </w:r>
      <w:r w:rsidRPr="00167160">
        <w:tab/>
        <w:t>Signé le 15</w:t>
      </w:r>
      <w:r>
        <w:t> </w:t>
      </w:r>
      <w:r w:rsidRPr="00167160">
        <w:t xml:space="preserve">juillet 2015 </w:t>
      </w:r>
      <w:r w:rsidRPr="00167160">
        <w:rPr>
          <w:szCs w:val="18"/>
        </w:rPr>
        <w:t xml:space="preserve">et ratifié par la loi </w:t>
      </w:r>
      <w:r w:rsidRPr="002D76F4">
        <w:rPr>
          <w:rFonts w:eastAsia="MS Mincho"/>
          <w:szCs w:val="22"/>
        </w:rPr>
        <w:t>n</w:t>
      </w:r>
      <w:r w:rsidRPr="002D76F4">
        <w:rPr>
          <w:rFonts w:eastAsia="MS Mincho"/>
          <w:szCs w:val="22"/>
          <w:vertAlign w:val="superscript"/>
        </w:rPr>
        <w:t>o</w:t>
      </w:r>
      <w:r>
        <w:t> </w:t>
      </w:r>
      <w:r w:rsidRPr="00F35858">
        <w:t>787</w:t>
      </w:r>
      <w:r w:rsidRPr="00167160">
        <w:t xml:space="preserve"> du 28</w:t>
      </w:r>
      <w:r>
        <w:t> </w:t>
      </w:r>
      <w:r w:rsidRPr="00167160">
        <w:t>mars 2016.</w:t>
      </w:r>
    </w:p>
  </w:footnote>
  <w:footnote w:id="22">
    <w:p w14:paraId="4673446B" w14:textId="10F5F062" w:rsidR="00B51884" w:rsidRPr="00167160" w:rsidRDefault="00B51884" w:rsidP="00214999">
      <w:pPr>
        <w:pStyle w:val="Notedebasdepage"/>
      </w:pPr>
      <w:r w:rsidRPr="00167160">
        <w:tab/>
      </w:r>
      <w:r w:rsidRPr="00E15C48">
        <w:rPr>
          <w:rStyle w:val="Appelnotedebasdep"/>
        </w:rPr>
        <w:footnoteRef/>
      </w:r>
      <w:r w:rsidRPr="00167160">
        <w:t xml:space="preserve"> </w:t>
      </w:r>
      <w:r w:rsidRPr="00167160">
        <w:tab/>
        <w:t xml:space="preserve">Direction </w:t>
      </w:r>
      <w:r w:rsidRPr="00214999">
        <w:t>générale</w:t>
      </w:r>
      <w:r w:rsidRPr="00167160">
        <w:t xml:space="preserve"> des migrations. Autorisation d</w:t>
      </w:r>
      <w:r>
        <w:t>’</w:t>
      </w:r>
      <w:r w:rsidRPr="00167160">
        <w:t>entrée à des fins de tourisme et de visite, disponible à l</w:t>
      </w:r>
      <w:r>
        <w:t>’</w:t>
      </w:r>
      <w:r w:rsidRPr="00167160">
        <w:t>adresse suivante</w:t>
      </w:r>
      <w:r>
        <w:t xml:space="preserve"> : </w:t>
      </w:r>
      <w:hyperlink r:id="rId1" w:history="1">
        <w:r w:rsidRPr="00C4324E">
          <w:rPr>
            <w:rStyle w:val="Lienhypertexte"/>
          </w:rPr>
          <w:t>https://www.migracion.gob.bo/index.php?r=page/detail&amp;id=105</w:t>
        </w:r>
      </w:hyperlink>
      <w:r>
        <w:t>.</w:t>
      </w:r>
    </w:p>
  </w:footnote>
  <w:footnote w:id="23">
    <w:p w14:paraId="4F1492F7" w14:textId="77777777" w:rsidR="00B51884" w:rsidRPr="00167160" w:rsidRDefault="00B51884" w:rsidP="00214999">
      <w:pPr>
        <w:pStyle w:val="Notedebasdepage"/>
      </w:pPr>
      <w:r w:rsidRPr="00167160">
        <w:tab/>
      </w:r>
      <w:r w:rsidRPr="00E15C48">
        <w:rPr>
          <w:rStyle w:val="Appelnotedebasdep"/>
        </w:rPr>
        <w:footnoteRef/>
      </w:r>
      <w:r w:rsidRPr="00167160">
        <w:t xml:space="preserve"> </w:t>
      </w:r>
      <w:r w:rsidRPr="00167160">
        <w:tab/>
        <w:t xml:space="preserve">Loi </w:t>
      </w:r>
      <w:r w:rsidRPr="002D76F4">
        <w:rPr>
          <w:rFonts w:eastAsia="MS Mincho"/>
          <w:szCs w:val="22"/>
        </w:rPr>
        <w:t>n</w:t>
      </w:r>
      <w:r w:rsidRPr="002D76F4">
        <w:rPr>
          <w:rFonts w:eastAsia="MS Mincho"/>
          <w:szCs w:val="22"/>
          <w:vertAlign w:val="superscript"/>
        </w:rPr>
        <w:t>o</w:t>
      </w:r>
      <w:r>
        <w:t> </w:t>
      </w:r>
      <w:r w:rsidRPr="00214999">
        <w:t>251</w:t>
      </w:r>
      <w:r w:rsidRPr="00167160">
        <w:t xml:space="preserve"> du 20 juin 2012.</w:t>
      </w:r>
    </w:p>
  </w:footnote>
  <w:footnote w:id="24">
    <w:p w14:paraId="6356DC41" w14:textId="77777777" w:rsidR="00B51884" w:rsidRPr="00167160" w:rsidRDefault="00B51884" w:rsidP="00214999">
      <w:pPr>
        <w:pStyle w:val="Notedebasdepage"/>
      </w:pPr>
      <w:r w:rsidRPr="00167160">
        <w:tab/>
      </w:r>
      <w:r w:rsidRPr="00E15C48">
        <w:rPr>
          <w:rStyle w:val="Appelnotedebasdep"/>
        </w:rPr>
        <w:footnoteRef/>
      </w:r>
      <w:r w:rsidRPr="00167160">
        <w:t xml:space="preserve"> </w:t>
      </w:r>
      <w:r w:rsidRPr="00167160">
        <w:tab/>
        <w:t xml:space="preserve">Décret suprême </w:t>
      </w:r>
      <w:r w:rsidRPr="002D76F4">
        <w:rPr>
          <w:rFonts w:eastAsia="MS Mincho"/>
          <w:szCs w:val="22"/>
        </w:rPr>
        <w:t>n</w:t>
      </w:r>
      <w:r w:rsidRPr="002D76F4">
        <w:rPr>
          <w:rFonts w:eastAsia="MS Mincho"/>
          <w:szCs w:val="22"/>
          <w:vertAlign w:val="superscript"/>
        </w:rPr>
        <w:t>o</w:t>
      </w:r>
      <w:r>
        <w:t> </w:t>
      </w:r>
      <w:r w:rsidRPr="00214999">
        <w:t>1440</w:t>
      </w:r>
      <w:r w:rsidRPr="00167160">
        <w:t xml:space="preserve"> du 19 décembre 2012.</w:t>
      </w:r>
    </w:p>
  </w:footnote>
  <w:footnote w:id="25">
    <w:p w14:paraId="164C913E" w14:textId="30985945" w:rsidR="00B51884" w:rsidRPr="000F5DF4" w:rsidRDefault="00B51884" w:rsidP="00911A52">
      <w:pPr>
        <w:pStyle w:val="Notedebasdepage"/>
        <w:rPr>
          <w:spacing w:val="-2"/>
          <w:szCs w:val="18"/>
        </w:rPr>
      </w:pPr>
      <w:r w:rsidRPr="00167160">
        <w:tab/>
      </w:r>
      <w:r w:rsidRPr="00E15C48">
        <w:rPr>
          <w:rStyle w:val="Appelnotedebasdep"/>
        </w:rPr>
        <w:footnoteRef/>
      </w:r>
      <w:r w:rsidRPr="00167160">
        <w:t xml:space="preserve"> </w:t>
      </w:r>
      <w:r w:rsidRPr="00167160">
        <w:tab/>
      </w:r>
      <w:r w:rsidRPr="000F5DF4">
        <w:rPr>
          <w:spacing w:val="-2"/>
        </w:rPr>
        <w:t xml:space="preserve">Ministère des relations extérieures, liste des instruments internationaux </w:t>
      </w:r>
      <w:r w:rsidRPr="000F5DF4">
        <w:rPr>
          <w:bCs/>
          <w:spacing w:val="-2"/>
        </w:rPr>
        <w:t xml:space="preserve">et des accords bilatéraux de coopération </w:t>
      </w:r>
      <w:r w:rsidRPr="000F5DF4">
        <w:rPr>
          <w:spacing w:val="-2"/>
        </w:rPr>
        <w:t>juridique</w:t>
      </w:r>
      <w:r w:rsidRPr="000F5DF4">
        <w:rPr>
          <w:bCs/>
          <w:spacing w:val="-2"/>
        </w:rPr>
        <w:t xml:space="preserve"> internationale ratifiés par l’État plurinational de Bolivie</w:t>
      </w:r>
      <w:r w:rsidRPr="000F5DF4">
        <w:rPr>
          <w:spacing w:val="-2"/>
        </w:rPr>
        <w:t xml:space="preserve">, disponible à l’adresse suivante : </w:t>
      </w:r>
      <w:hyperlink r:id="rId2" w:history="1">
        <w:r w:rsidRPr="000F5DF4">
          <w:rPr>
            <w:rStyle w:val="Lienhypertexte"/>
            <w:spacing w:val="-2"/>
            <w:szCs w:val="18"/>
          </w:rPr>
          <w:t>https://www.cancilleria.gob.bo/webmre/node/3567</w:t>
        </w:r>
      </w:hyperlink>
      <w:r w:rsidRPr="000F5DF4">
        <w:rPr>
          <w:spacing w:val="-2"/>
          <w:szCs w:val="18"/>
        </w:rPr>
        <w:t>.</w:t>
      </w:r>
      <w:hyperlink r:id="rId3" w:history="1">
        <w:r w:rsidRPr="000F5DF4">
          <w:rPr>
            <w:rStyle w:val="Lienhypertexte"/>
            <w:spacing w:val="-2"/>
            <w:szCs w:val="18"/>
          </w:rPr>
          <w:t>https://www.cancilleria.gob.bo/webmre/node/3567</w:t>
        </w:r>
      </w:hyperlink>
      <w:r w:rsidR="000F5DF4" w:rsidRPr="000F5DF4">
        <w:rPr>
          <w:spacing w:val="-2"/>
          <w:szCs w:val="18"/>
        </w:rPr>
        <w:t>.</w:t>
      </w:r>
    </w:p>
  </w:footnote>
  <w:footnote w:id="26">
    <w:p w14:paraId="126CB305" w14:textId="77777777" w:rsidR="00B51884" w:rsidRPr="00167160" w:rsidRDefault="00B51884" w:rsidP="00575165">
      <w:pPr>
        <w:pStyle w:val="Notedebasdepage"/>
      </w:pPr>
      <w:r w:rsidRPr="00167160">
        <w:tab/>
      </w:r>
      <w:r w:rsidRPr="00E15C48">
        <w:rPr>
          <w:rStyle w:val="Appelnotedebasdep"/>
        </w:rPr>
        <w:footnoteRef/>
      </w:r>
      <w:r w:rsidRPr="00167160">
        <w:t xml:space="preserve"> </w:t>
      </w:r>
      <w:r w:rsidRPr="00167160">
        <w:tab/>
        <w:t xml:space="preserve">Art. 232 de la loi </w:t>
      </w:r>
      <w:r w:rsidRPr="002D76F4">
        <w:rPr>
          <w:rFonts w:eastAsia="MS Mincho"/>
          <w:szCs w:val="22"/>
        </w:rPr>
        <w:t>n</w:t>
      </w:r>
      <w:r w:rsidRPr="002D76F4">
        <w:rPr>
          <w:rFonts w:eastAsia="MS Mincho"/>
          <w:szCs w:val="22"/>
          <w:vertAlign w:val="superscript"/>
        </w:rPr>
        <w:t>o</w:t>
      </w:r>
      <w:r>
        <w:t> </w:t>
      </w:r>
      <w:r w:rsidRPr="00167160">
        <w:t xml:space="preserve">1173, </w:t>
      </w:r>
      <w:r>
        <w:t>« </w:t>
      </w:r>
      <w:r w:rsidRPr="00167160">
        <w:t xml:space="preserve">1) </w:t>
      </w:r>
      <w:r>
        <w:t>I</w:t>
      </w:r>
      <w:r w:rsidRPr="00167160">
        <w:t>nfractions donnant lieu à une procédure engagée uniquement sur plainte ; 2) Infractions qui n</w:t>
      </w:r>
      <w:r>
        <w:t>’</w:t>
      </w:r>
      <w:r w:rsidRPr="00167160">
        <w:t xml:space="preserve">emportent </w:t>
      </w:r>
      <w:r w:rsidRPr="006822FC">
        <w:t xml:space="preserve">pas une peine privative de liberté ; 3) Dans le cas des malades en stade terminal, sur certificat médical ; 4) Dans le cas des personnes de plus de soixante-cinq (65) ans ; 5) Infractions emportant une peine privative de liberté d’une durée maximale inférieure ou égale à quatre (4) ans ; </w:t>
      </w:r>
      <w:bookmarkStart w:id="1" w:name="_Hlk57909368"/>
      <w:r w:rsidRPr="006822FC">
        <w:t>6) Infractions contre des biens</w:t>
      </w:r>
      <w:r w:rsidRPr="00167160">
        <w:t xml:space="preserve"> emportant une peine privative de liberté dont la durée est inférieure ou égale à six (6) ans</w:t>
      </w:r>
      <w:bookmarkEnd w:id="1"/>
      <w:r w:rsidRPr="00167160">
        <w:t>, à condition qu</w:t>
      </w:r>
      <w:r>
        <w:t>’</w:t>
      </w:r>
      <w:r w:rsidRPr="00167160">
        <w:t>elles ne portent pas atteinte à un autre bien juridique protégé; 7) Dans le cas des femmes enceintes ; 8) Dans le cas de femmes allaitant un enfant de moins d</w:t>
      </w:r>
      <w:r>
        <w:t>’</w:t>
      </w:r>
      <w:r w:rsidRPr="00167160">
        <w:t>un (1) an</w:t>
      </w:r>
      <w:r>
        <w:t> ;</w:t>
      </w:r>
      <w:r w:rsidRPr="00167160">
        <w:t xml:space="preserve"> et 9) Dans le cas où la personne mise en cause est la seule personne ayant sous sa responsabilité, sous sa garde ou sous sa protection un(e) enfant de moins de six (6) ans ou une personne dont le degré de handicap ne lui permet pas d</w:t>
      </w:r>
      <w:r>
        <w:t>’</w:t>
      </w:r>
      <w:r w:rsidRPr="00167160">
        <w:t>être autonome.</w:t>
      </w:r>
      <w:r>
        <w:t> ».</w:t>
      </w:r>
    </w:p>
  </w:footnote>
  <w:footnote w:id="27">
    <w:p w14:paraId="6F1C82D5" w14:textId="77777777" w:rsidR="00B51884" w:rsidRPr="00167160" w:rsidRDefault="00B51884" w:rsidP="00575165">
      <w:pPr>
        <w:pStyle w:val="Notedebasdepage"/>
      </w:pPr>
      <w:r w:rsidRPr="00167160">
        <w:tab/>
      </w:r>
      <w:r w:rsidRPr="00E15C48">
        <w:rPr>
          <w:rStyle w:val="Appelnotedebasdep"/>
        </w:rPr>
        <w:footnoteRef/>
      </w:r>
      <w:r w:rsidRPr="00167160">
        <w:t xml:space="preserve"> </w:t>
      </w:r>
      <w:r w:rsidRPr="00167160">
        <w:tab/>
        <w:t>Ministère de la justice et de la transparence in</w:t>
      </w:r>
      <w:r>
        <w:t>s</w:t>
      </w:r>
      <w:r w:rsidRPr="00167160">
        <w:t xml:space="preserve">titutionnelle </w:t>
      </w:r>
      <w:r>
        <w:t>−</w:t>
      </w:r>
      <w:r w:rsidRPr="00167160">
        <w:t xml:space="preserve"> UNICEF. 2016. Évaluation </w:t>
      </w:r>
      <w:r w:rsidRPr="00585F37">
        <w:rPr>
          <w:lang w:val="fr-FR"/>
        </w:rPr>
        <w:t>de la situation des adolescents au regard de la justice pénale</w:t>
      </w:r>
      <w:r w:rsidRPr="00167160">
        <w:t>. P. 42. Tableau 12.</w:t>
      </w:r>
    </w:p>
  </w:footnote>
  <w:footnote w:id="28">
    <w:p w14:paraId="33D4122D" w14:textId="77777777" w:rsidR="00B51884" w:rsidRPr="00167160" w:rsidRDefault="00B51884" w:rsidP="00223838">
      <w:pPr>
        <w:pStyle w:val="Notedebasdepage"/>
      </w:pPr>
      <w:r w:rsidRPr="00167160">
        <w:tab/>
      </w:r>
      <w:r w:rsidRPr="00E15C48">
        <w:rPr>
          <w:rStyle w:val="Appelnotedebasdep"/>
        </w:rPr>
        <w:footnoteRef/>
      </w:r>
      <w:r w:rsidRPr="00167160">
        <w:t xml:space="preserve"> </w:t>
      </w:r>
      <w:r w:rsidRPr="00167160">
        <w:tab/>
        <w:t xml:space="preserve">Loi relative au </w:t>
      </w:r>
      <w:r w:rsidRPr="00223838">
        <w:t>suivi</w:t>
      </w:r>
      <w:r w:rsidRPr="00167160">
        <w:t xml:space="preserve"> de l</w:t>
      </w:r>
      <w:r>
        <w:t>’</w:t>
      </w:r>
      <w:r w:rsidRPr="00167160">
        <w:t>exécution des peines, art. 117.</w:t>
      </w:r>
    </w:p>
  </w:footnote>
  <w:footnote w:id="29">
    <w:p w14:paraId="69CA184B" w14:textId="77777777" w:rsidR="00B51884" w:rsidRPr="00167160" w:rsidRDefault="00B51884" w:rsidP="00223838">
      <w:pPr>
        <w:pStyle w:val="Notedebasdepage"/>
      </w:pPr>
      <w:r w:rsidRPr="00167160">
        <w:tab/>
      </w:r>
      <w:r w:rsidRPr="00E15C48">
        <w:rPr>
          <w:rStyle w:val="Appelnotedebasdep"/>
        </w:rPr>
        <w:footnoteRef/>
      </w:r>
      <w:r w:rsidRPr="00167160">
        <w:t xml:space="preserve"> </w:t>
      </w:r>
      <w:r w:rsidRPr="00167160">
        <w:tab/>
        <w:t xml:space="preserve">Loi relative au suivi de </w:t>
      </w:r>
      <w:r w:rsidRPr="00223838">
        <w:t>l’exécution</w:t>
      </w:r>
      <w:r w:rsidRPr="00167160">
        <w:t xml:space="preserve"> des peines, art. 127.</w:t>
      </w:r>
    </w:p>
  </w:footnote>
  <w:footnote w:id="30">
    <w:p w14:paraId="0912EE2F" w14:textId="77777777" w:rsidR="00B51884" w:rsidRPr="00167160" w:rsidRDefault="00B51884" w:rsidP="00223838">
      <w:pPr>
        <w:pStyle w:val="Notedebasdepage"/>
      </w:pPr>
      <w:r w:rsidRPr="00167160">
        <w:tab/>
      </w:r>
      <w:r w:rsidRPr="00E15C48">
        <w:rPr>
          <w:rStyle w:val="Appelnotedebasdep"/>
        </w:rPr>
        <w:footnoteRef/>
      </w:r>
      <w:r w:rsidRPr="00167160">
        <w:t xml:space="preserve"> </w:t>
      </w:r>
      <w:r w:rsidRPr="00167160">
        <w:tab/>
        <w:t>Loi relative au suivi de l</w:t>
      </w:r>
      <w:r>
        <w:t>’</w:t>
      </w:r>
      <w:r w:rsidRPr="00167160">
        <w:t>exécution des peines, art. 128 à 130.</w:t>
      </w:r>
    </w:p>
  </w:footnote>
  <w:footnote w:id="31">
    <w:p w14:paraId="36483AFF" w14:textId="77777777" w:rsidR="00B51884" w:rsidRPr="00167160" w:rsidRDefault="00B51884" w:rsidP="00223838">
      <w:pPr>
        <w:pStyle w:val="Notedebasdepage"/>
      </w:pPr>
      <w:r w:rsidRPr="00167160">
        <w:tab/>
      </w:r>
      <w:r w:rsidRPr="00E15C48">
        <w:rPr>
          <w:rStyle w:val="Appelnotedebasdep"/>
        </w:rPr>
        <w:footnoteRef/>
      </w:r>
      <w:r w:rsidRPr="00167160">
        <w:t xml:space="preserve"> </w:t>
      </w:r>
      <w:r w:rsidRPr="00167160">
        <w:tab/>
        <w:t xml:space="preserve">Loi relative au suivi de </w:t>
      </w:r>
      <w:r w:rsidRPr="00223838">
        <w:t>l’exécution</w:t>
      </w:r>
      <w:r w:rsidRPr="00167160">
        <w:t xml:space="preserve"> des peines, art. 131 à 133.</w:t>
      </w:r>
    </w:p>
  </w:footnote>
  <w:footnote w:id="32">
    <w:p w14:paraId="0C0C0BC7" w14:textId="77777777" w:rsidR="00B51884" w:rsidRPr="00167160" w:rsidRDefault="00B51884" w:rsidP="00223838">
      <w:pPr>
        <w:pStyle w:val="Notedebasdepage"/>
      </w:pPr>
      <w:r w:rsidRPr="00167160">
        <w:tab/>
      </w:r>
      <w:r w:rsidRPr="00E15C48">
        <w:rPr>
          <w:rStyle w:val="Appelnotedebasdep"/>
        </w:rPr>
        <w:footnoteRef/>
      </w:r>
      <w:r w:rsidRPr="00167160">
        <w:t xml:space="preserve"> </w:t>
      </w:r>
      <w:r w:rsidRPr="00167160">
        <w:tab/>
        <w:t xml:space="preserve">Loi relative au suivi de </w:t>
      </w:r>
      <w:r w:rsidRPr="00223838">
        <w:t>l’exécution</w:t>
      </w:r>
      <w:r w:rsidRPr="00167160">
        <w:t xml:space="preserve"> des peines, art. 134.</w:t>
      </w:r>
    </w:p>
  </w:footnote>
  <w:footnote w:id="33">
    <w:p w14:paraId="452C7B2E" w14:textId="77777777" w:rsidR="00B51884" w:rsidRPr="00167160" w:rsidRDefault="00B51884" w:rsidP="00223838">
      <w:pPr>
        <w:pStyle w:val="Notedebasdepage"/>
      </w:pPr>
      <w:r w:rsidRPr="00167160">
        <w:tab/>
      </w:r>
      <w:r w:rsidRPr="00E15C48">
        <w:rPr>
          <w:rStyle w:val="Appelnotedebasdep"/>
        </w:rPr>
        <w:footnoteRef/>
      </w:r>
      <w:r w:rsidRPr="00167160">
        <w:t xml:space="preserve"> </w:t>
      </w:r>
      <w:r w:rsidRPr="00167160">
        <w:tab/>
        <w:t>Loi relative au suivi de l</w:t>
      </w:r>
      <w:r>
        <w:t>’</w:t>
      </w:r>
      <w:r w:rsidRPr="00167160">
        <w:t>exécution des peines, art. 135.</w:t>
      </w:r>
    </w:p>
  </w:footnote>
  <w:footnote w:id="34">
    <w:p w14:paraId="567E5BCA" w14:textId="77777777" w:rsidR="00B51884" w:rsidRPr="00167160" w:rsidRDefault="00B51884" w:rsidP="00223838">
      <w:pPr>
        <w:pStyle w:val="Notedebasdepage"/>
      </w:pPr>
      <w:r w:rsidRPr="00167160">
        <w:tab/>
      </w:r>
      <w:r w:rsidRPr="00E15C48">
        <w:rPr>
          <w:rStyle w:val="Appelnotedebasdep"/>
        </w:rPr>
        <w:footnoteRef/>
      </w:r>
      <w:r w:rsidRPr="00167160">
        <w:tab/>
        <w:t>Program</w:t>
      </w:r>
      <w:r>
        <w:t>m</w:t>
      </w:r>
      <w:r w:rsidRPr="00167160">
        <w:t xml:space="preserve">e national de lutte contre les zoonoses et les maladies à transmission vectorielle, Programme national de prévention et de </w:t>
      </w:r>
      <w:r w:rsidRPr="00223838">
        <w:t>surveillance</w:t>
      </w:r>
      <w:r w:rsidRPr="00167160">
        <w:t xml:space="preserve"> de la dengue, Programme national de surveillance de la tuberculose, Programme élargi de vaccination, Programme national de lutte contre le VIH/sida et les maladies sexuellement transmi</w:t>
      </w:r>
      <w:r>
        <w:t>s</w:t>
      </w:r>
      <w:r w:rsidRPr="00167160">
        <w:t>sibles, Programme national de lutte contre les maladies chroniques non transmissibles, Programme national de lutte contre le choléra ETAS/VETAS.</w:t>
      </w:r>
    </w:p>
  </w:footnote>
  <w:footnote w:id="35">
    <w:p w14:paraId="48944A8B" w14:textId="77777777" w:rsidR="00B51884" w:rsidRPr="00167160" w:rsidRDefault="00B51884" w:rsidP="00223838">
      <w:pPr>
        <w:pStyle w:val="Notedebasdepage"/>
      </w:pPr>
      <w:r w:rsidRPr="00167160">
        <w:tab/>
      </w:r>
      <w:r w:rsidRPr="00E15C48">
        <w:rPr>
          <w:rStyle w:val="Appelnotedebasdep"/>
        </w:rPr>
        <w:footnoteRef/>
      </w:r>
      <w:r w:rsidRPr="00167160">
        <w:t xml:space="preserve"> </w:t>
      </w:r>
      <w:r w:rsidRPr="00167160">
        <w:tab/>
        <w:t xml:space="preserve">Décret suprême </w:t>
      </w:r>
      <w:r w:rsidRPr="00223838">
        <w:rPr>
          <w:rFonts w:eastAsia="MS Mincho"/>
          <w:szCs w:val="22"/>
        </w:rPr>
        <w:t>n</w:t>
      </w:r>
      <w:r w:rsidRPr="00223838">
        <w:rPr>
          <w:rFonts w:eastAsia="MS Mincho"/>
          <w:szCs w:val="22"/>
          <w:vertAlign w:val="superscript"/>
        </w:rPr>
        <w:t>o</w:t>
      </w:r>
      <w:r>
        <w:rPr>
          <w:rFonts w:eastAsia="MS Mincho"/>
          <w:szCs w:val="22"/>
        </w:rPr>
        <w:t> </w:t>
      </w:r>
      <w:r w:rsidRPr="00223838">
        <w:t>2082</w:t>
      </w:r>
      <w:r w:rsidRPr="00167160">
        <w:t xml:space="preserve"> du 20</w:t>
      </w:r>
      <w:r>
        <w:t> </w:t>
      </w:r>
      <w:r w:rsidRPr="00167160">
        <w:t xml:space="preserve">août 2014, </w:t>
      </w:r>
      <w:r>
        <w:t>R</w:t>
      </w:r>
      <w:r w:rsidRPr="00167160">
        <w:t>èglement se rapportant à la loi organique relative au Service de prévention de la torture.</w:t>
      </w:r>
    </w:p>
  </w:footnote>
  <w:footnote w:id="36">
    <w:p w14:paraId="7BFCA17E" w14:textId="77777777" w:rsidR="00B51884" w:rsidRPr="00167160" w:rsidRDefault="00B51884" w:rsidP="00575165">
      <w:pPr>
        <w:pStyle w:val="Notedebasdepage"/>
      </w:pPr>
      <w:r w:rsidRPr="00167160">
        <w:tab/>
      </w:r>
      <w:r w:rsidRPr="00E15C48">
        <w:rPr>
          <w:rStyle w:val="Appelnotedebasdep"/>
        </w:rPr>
        <w:footnoteRef/>
      </w:r>
      <w:r w:rsidRPr="00167160">
        <w:t xml:space="preserve"> </w:t>
      </w:r>
      <w:r w:rsidRPr="00167160">
        <w:tab/>
        <w:t xml:space="preserve">Loi </w:t>
      </w:r>
      <w:r w:rsidRPr="005A484D">
        <w:rPr>
          <w:rFonts w:eastAsia="MS Mincho"/>
          <w:szCs w:val="22"/>
        </w:rPr>
        <w:t>n</w:t>
      </w:r>
      <w:r w:rsidRPr="005A484D">
        <w:rPr>
          <w:rFonts w:eastAsia="MS Mincho"/>
          <w:szCs w:val="22"/>
          <w:vertAlign w:val="superscript"/>
        </w:rPr>
        <w:t>o</w:t>
      </w:r>
      <w:r>
        <w:t> </w:t>
      </w:r>
      <w:r w:rsidRPr="00167160">
        <w:t>206 du 11 juin 2012, art.</w:t>
      </w:r>
      <w:r>
        <w:t xml:space="preserve"> </w:t>
      </w:r>
      <w:r w:rsidRPr="00167160">
        <w:t>8.</w:t>
      </w:r>
    </w:p>
  </w:footnote>
  <w:footnote w:id="37">
    <w:p w14:paraId="25CC474D" w14:textId="756E27A2" w:rsidR="00B51884" w:rsidRPr="00167160" w:rsidRDefault="00B51884" w:rsidP="00575165">
      <w:pPr>
        <w:pStyle w:val="Notedebasdepage"/>
        <w:rPr>
          <w:szCs w:val="18"/>
        </w:rPr>
      </w:pPr>
      <w:r w:rsidRPr="00167160">
        <w:rPr>
          <w:szCs w:val="18"/>
        </w:rPr>
        <w:tab/>
      </w:r>
      <w:r w:rsidRPr="00E15C48">
        <w:rPr>
          <w:rStyle w:val="Appelnotedebasdep"/>
        </w:rPr>
        <w:footnoteRef/>
      </w:r>
      <w:r w:rsidRPr="00167160">
        <w:rPr>
          <w:szCs w:val="18"/>
        </w:rPr>
        <w:tab/>
      </w:r>
      <w:hyperlink r:id="rId4" w:history="1">
        <w:r w:rsidRPr="005D5FBF">
          <w:rPr>
            <w:rStyle w:val="Lienhypertexte"/>
            <w:szCs w:val="18"/>
          </w:rPr>
          <w:t>https://fiscalia.gob.bo/index.php/institucional/escuelafisc/87-fge/1707-victimas-y-testigos</w:t>
        </w:r>
      </w:hyperlink>
      <w:r>
        <w:rPr>
          <w:szCs w:val="18"/>
        </w:rPr>
        <w:t>.</w:t>
      </w:r>
    </w:p>
  </w:footnote>
  <w:footnote w:id="38">
    <w:p w14:paraId="28D81770" w14:textId="77777777" w:rsidR="00B51884" w:rsidRPr="00167160" w:rsidRDefault="00B51884" w:rsidP="00575165">
      <w:pPr>
        <w:pStyle w:val="Notedebasdepage"/>
      </w:pPr>
      <w:r w:rsidRPr="00167160">
        <w:tab/>
      </w:r>
      <w:r w:rsidRPr="00E15C48">
        <w:rPr>
          <w:rStyle w:val="Appelnotedebasdep"/>
        </w:rPr>
        <w:footnoteRef/>
      </w:r>
      <w:r w:rsidRPr="00167160">
        <w:t xml:space="preserve"> </w:t>
      </w:r>
      <w:r w:rsidRPr="00167160">
        <w:tab/>
        <w:t xml:space="preserve">Loi </w:t>
      </w:r>
      <w:r w:rsidRPr="005A484D">
        <w:rPr>
          <w:rFonts w:eastAsia="MS Mincho"/>
          <w:spacing w:val="-2"/>
          <w:szCs w:val="22"/>
        </w:rPr>
        <w:t>n</w:t>
      </w:r>
      <w:r w:rsidRPr="005A484D">
        <w:rPr>
          <w:rFonts w:eastAsia="MS Mincho"/>
          <w:spacing w:val="-2"/>
          <w:szCs w:val="22"/>
          <w:vertAlign w:val="superscript"/>
        </w:rPr>
        <w:t>o</w:t>
      </w:r>
      <w:r>
        <w:rPr>
          <w:spacing w:val="-2"/>
        </w:rPr>
        <w:t> </w:t>
      </w:r>
      <w:r w:rsidRPr="00167160">
        <w:t>260 du 11 juin 2012.</w:t>
      </w:r>
    </w:p>
  </w:footnote>
  <w:footnote w:id="39">
    <w:p w14:paraId="0507DB97" w14:textId="77777777" w:rsidR="00B51884" w:rsidRPr="00167160" w:rsidRDefault="00B51884" w:rsidP="00575165">
      <w:pPr>
        <w:pStyle w:val="Notedebasdepage"/>
      </w:pPr>
      <w:r w:rsidRPr="00167160">
        <w:tab/>
      </w:r>
      <w:r w:rsidRPr="00E15C48">
        <w:rPr>
          <w:rStyle w:val="Appelnotedebasdep"/>
        </w:rPr>
        <w:footnoteRef/>
      </w:r>
      <w:r w:rsidRPr="00167160">
        <w:t xml:space="preserve"> </w:t>
      </w:r>
      <w:r w:rsidRPr="00167160">
        <w:tab/>
        <w:t xml:space="preserve">Loi </w:t>
      </w:r>
      <w:r w:rsidRPr="005A484D">
        <w:rPr>
          <w:rFonts w:eastAsia="MS Mincho"/>
          <w:spacing w:val="-2"/>
          <w:szCs w:val="22"/>
        </w:rPr>
        <w:t>n</w:t>
      </w:r>
      <w:r w:rsidRPr="005A484D">
        <w:rPr>
          <w:rFonts w:eastAsia="MS Mincho"/>
          <w:spacing w:val="-2"/>
          <w:szCs w:val="22"/>
          <w:vertAlign w:val="superscript"/>
        </w:rPr>
        <w:t>o</w:t>
      </w:r>
      <w:r>
        <w:rPr>
          <w:spacing w:val="-2"/>
        </w:rPr>
        <w:t> </w:t>
      </w:r>
      <w:r w:rsidRPr="00167160">
        <w:t xml:space="preserve">458 </w:t>
      </w:r>
      <w:r w:rsidRPr="00575165">
        <w:t>du</w:t>
      </w:r>
      <w:r w:rsidRPr="00167160">
        <w:t xml:space="preserve"> 19 décembre 2013.</w:t>
      </w:r>
    </w:p>
  </w:footnote>
  <w:footnote w:id="40">
    <w:p w14:paraId="197FD04D" w14:textId="77777777" w:rsidR="00B51884" w:rsidRPr="00167160" w:rsidRDefault="00B51884" w:rsidP="00575165">
      <w:pPr>
        <w:pStyle w:val="Notedebasdepage"/>
      </w:pPr>
      <w:r w:rsidRPr="00167160">
        <w:tab/>
      </w:r>
      <w:r w:rsidRPr="00E15C48">
        <w:rPr>
          <w:rStyle w:val="Appelnotedebasdep"/>
        </w:rPr>
        <w:footnoteRef/>
      </w:r>
      <w:r w:rsidRPr="00167160">
        <w:t xml:space="preserve"> </w:t>
      </w:r>
      <w:r w:rsidRPr="00167160">
        <w:tab/>
        <w:t xml:space="preserve">Loi </w:t>
      </w:r>
      <w:r w:rsidRPr="005A484D">
        <w:rPr>
          <w:rFonts w:eastAsia="MS Mincho"/>
          <w:spacing w:val="-2"/>
          <w:szCs w:val="22"/>
        </w:rPr>
        <w:t>n</w:t>
      </w:r>
      <w:r w:rsidRPr="005A484D">
        <w:rPr>
          <w:rFonts w:eastAsia="MS Mincho"/>
          <w:spacing w:val="-2"/>
          <w:szCs w:val="22"/>
          <w:vertAlign w:val="superscript"/>
        </w:rPr>
        <w:t>o</w:t>
      </w:r>
      <w:r>
        <w:rPr>
          <w:spacing w:val="-2"/>
        </w:rPr>
        <w:t> </w:t>
      </w:r>
      <w:r w:rsidRPr="00167160">
        <w:t>1405 du 30</w:t>
      </w:r>
      <w:r>
        <w:t> </w:t>
      </w:r>
      <w:r w:rsidRPr="00575165">
        <w:t>décembre</w:t>
      </w:r>
      <w:r w:rsidRPr="00167160">
        <w:t xml:space="preserve"> 1992.</w:t>
      </w:r>
    </w:p>
  </w:footnote>
  <w:footnote w:id="41">
    <w:p w14:paraId="5766E666" w14:textId="77777777" w:rsidR="00B51884" w:rsidRPr="00167160" w:rsidRDefault="00B51884" w:rsidP="00575165">
      <w:pPr>
        <w:pStyle w:val="Notedebasdepage"/>
      </w:pPr>
      <w:r w:rsidRPr="00167160">
        <w:tab/>
      </w:r>
      <w:r w:rsidRPr="00E15C48">
        <w:rPr>
          <w:rStyle w:val="Appelnotedebasdep"/>
        </w:rPr>
        <w:footnoteRef/>
      </w:r>
      <w:r w:rsidRPr="00167160">
        <w:t xml:space="preserve"> </w:t>
      </w:r>
      <w:r w:rsidRPr="00167160">
        <w:tab/>
        <w:t>Art. 245 de la Constitution politique de l</w:t>
      </w:r>
      <w:r>
        <w:t>’</w:t>
      </w:r>
      <w:r w:rsidRPr="00167160">
        <w:t xml:space="preserve">État, </w:t>
      </w:r>
      <w:r>
        <w:t>l’</w:t>
      </w:r>
      <w:r w:rsidRPr="00167160">
        <w:t>organisation des forces armées repose sur la hiérarchie et la discipline. Elle est fondée sur l</w:t>
      </w:r>
      <w:r>
        <w:t>’</w:t>
      </w:r>
      <w:r w:rsidRPr="00167160">
        <w:t>obéissance et est soumise aux lois et aux r</w:t>
      </w:r>
      <w:r>
        <w:t>è</w:t>
      </w:r>
      <w:r w:rsidRPr="00167160">
        <w:t>glements militaires. En tant qu</w:t>
      </w:r>
      <w:r>
        <w:t>’</w:t>
      </w:r>
      <w:r w:rsidRPr="00167160">
        <w:t>organisme institutionnel, les forces armées ne participent pas à des activités politiques ; à titre individuel, ses membres jouissent de leurs droits afférents à la citoyenneté et les exercent, dans les conditions établies par la loi.</w:t>
      </w:r>
    </w:p>
  </w:footnote>
  <w:footnote w:id="42">
    <w:p w14:paraId="21A1BB63" w14:textId="77777777" w:rsidR="00B51884" w:rsidRPr="00167160" w:rsidRDefault="00B51884" w:rsidP="00575165">
      <w:pPr>
        <w:pStyle w:val="Notedebasdepage"/>
      </w:pPr>
      <w:r w:rsidRPr="00167160">
        <w:tab/>
      </w:r>
      <w:r w:rsidRPr="00E15C48">
        <w:rPr>
          <w:rStyle w:val="Appelnotedebasdep"/>
        </w:rPr>
        <w:footnoteRef/>
      </w:r>
      <w:r w:rsidRPr="00167160">
        <w:tab/>
        <w:t xml:space="preserve">Loi </w:t>
      </w:r>
      <w:r w:rsidRPr="005A484D">
        <w:rPr>
          <w:rFonts w:eastAsia="MS Mincho"/>
          <w:spacing w:val="-2"/>
          <w:szCs w:val="22"/>
        </w:rPr>
        <w:t>n</w:t>
      </w:r>
      <w:r w:rsidRPr="005A484D">
        <w:rPr>
          <w:rFonts w:eastAsia="MS Mincho"/>
          <w:spacing w:val="-2"/>
          <w:szCs w:val="22"/>
          <w:vertAlign w:val="superscript"/>
        </w:rPr>
        <w:t>o</w:t>
      </w:r>
      <w:r>
        <w:rPr>
          <w:spacing w:val="-2"/>
        </w:rPr>
        <w:t> </w:t>
      </w:r>
      <w:r w:rsidRPr="00167160">
        <w:t>879 du 23</w:t>
      </w:r>
      <w:r>
        <w:t> </w:t>
      </w:r>
      <w:r w:rsidRPr="00167160">
        <w:t>décembre 2016.</w:t>
      </w:r>
    </w:p>
  </w:footnote>
  <w:footnote w:id="43">
    <w:p w14:paraId="549E80C2" w14:textId="77777777" w:rsidR="00B51884" w:rsidRPr="00167160" w:rsidRDefault="00B51884" w:rsidP="00575165">
      <w:pPr>
        <w:pStyle w:val="Notedebasdepage"/>
      </w:pPr>
      <w:r w:rsidRPr="00167160">
        <w:tab/>
      </w:r>
      <w:r w:rsidRPr="00E15C48">
        <w:rPr>
          <w:rStyle w:val="Appelnotedebasdep"/>
        </w:rPr>
        <w:footnoteRef/>
      </w:r>
      <w:r w:rsidRPr="00167160">
        <w:t xml:space="preserve"> </w:t>
      </w:r>
      <w:r w:rsidRPr="00167160">
        <w:tab/>
      </w:r>
      <w:r w:rsidRPr="00575165">
        <w:t>Promulgué</w:t>
      </w:r>
      <w:r w:rsidRPr="00167160">
        <w:t xml:space="preserve"> le 4</w:t>
      </w:r>
      <w:r>
        <w:t> </w:t>
      </w:r>
      <w:r w:rsidRPr="00167160">
        <w:t xml:space="preserve">mai </w:t>
      </w:r>
      <w:r w:rsidRPr="00167160">
        <w:rPr>
          <w:rFonts w:eastAsia="Libre Baskerville"/>
        </w:rPr>
        <w:t>2020.</w:t>
      </w:r>
    </w:p>
  </w:footnote>
  <w:footnote w:id="44">
    <w:p w14:paraId="5FBE6A5E" w14:textId="77777777" w:rsidR="00B51884" w:rsidRPr="00167160" w:rsidRDefault="00B51884" w:rsidP="00575165">
      <w:pPr>
        <w:pStyle w:val="Notedebasdepage"/>
      </w:pPr>
      <w:r w:rsidRPr="00167160">
        <w:tab/>
      </w:r>
      <w:r w:rsidRPr="00E15C48">
        <w:rPr>
          <w:rStyle w:val="Appelnotedebasdep"/>
        </w:rPr>
        <w:footnoteRef/>
      </w:r>
      <w:r w:rsidRPr="00167160">
        <w:t xml:space="preserve"> </w:t>
      </w:r>
      <w:r w:rsidRPr="00167160">
        <w:tab/>
        <w:t xml:space="preserve">Décret </w:t>
      </w:r>
      <w:r w:rsidRPr="00575165">
        <w:t>présidentiel</w:t>
      </w:r>
      <w:r w:rsidRPr="00167160">
        <w:t xml:space="preserve"> </w:t>
      </w:r>
      <w:r w:rsidRPr="005A484D">
        <w:rPr>
          <w:rFonts w:eastAsia="MS Mincho"/>
          <w:spacing w:val="-2"/>
          <w:szCs w:val="22"/>
        </w:rPr>
        <w:t>n</w:t>
      </w:r>
      <w:r w:rsidRPr="005A484D">
        <w:rPr>
          <w:rFonts w:eastAsia="MS Mincho"/>
          <w:spacing w:val="-2"/>
          <w:szCs w:val="22"/>
          <w:vertAlign w:val="superscript"/>
        </w:rPr>
        <w:t>o</w:t>
      </w:r>
      <w:r>
        <w:rPr>
          <w:spacing w:val="-2"/>
          <w:szCs w:val="18"/>
        </w:rPr>
        <w:t> </w:t>
      </w:r>
      <w:r w:rsidRPr="00167160">
        <w:t>4226. Article premier.</w:t>
      </w:r>
      <w:r w:rsidRPr="005A484D">
        <w:rPr>
          <w:iCs/>
        </w:rPr>
        <w:t>-</w:t>
      </w:r>
      <w:r w:rsidRPr="00167160">
        <w:t xml:space="preserve"> (Objet).</w:t>
      </w:r>
      <w:r w:rsidRPr="005A484D">
        <w:rPr>
          <w:bCs/>
          <w:iCs/>
        </w:rPr>
        <w:t xml:space="preserve"> </w:t>
      </w:r>
      <w:r w:rsidRPr="00167160">
        <w:t>Le présent décret présidentiel a pour objet</w:t>
      </w:r>
      <w:r>
        <w:t xml:space="preserve"> : </w:t>
      </w:r>
      <w:r w:rsidRPr="00167160">
        <w:t>a)</w:t>
      </w:r>
      <w:r>
        <w:t> </w:t>
      </w:r>
      <w:r w:rsidRPr="00167160">
        <w:t>de prévoir l</w:t>
      </w:r>
      <w:r>
        <w:t>’</w:t>
      </w:r>
      <w:r w:rsidRPr="00167160">
        <w:t>octroi de l</w:t>
      </w:r>
      <w:r>
        <w:t>’</w:t>
      </w:r>
      <w:r w:rsidRPr="00167160">
        <w:t>amnistie ou la grâce pour raison humanitaire dans le cadre de l</w:t>
      </w:r>
      <w:r>
        <w:t>’</w:t>
      </w:r>
      <w:r w:rsidRPr="00167160">
        <w:t>urgence sanitaire qui touche l</w:t>
      </w:r>
      <w:r>
        <w:t>’</w:t>
      </w:r>
      <w:r w:rsidRPr="00167160">
        <w:t>ensemble du territoire de l</w:t>
      </w:r>
      <w:r>
        <w:t>’</w:t>
      </w:r>
      <w:r w:rsidRPr="00167160">
        <w:t>État plurina</w:t>
      </w:r>
      <w:r>
        <w:t>t</w:t>
      </w:r>
      <w:r w:rsidRPr="00167160">
        <w:t xml:space="preserve">ional de Bolivie, </w:t>
      </w:r>
      <w:r>
        <w:rPr>
          <w:lang w:val="fr-FR"/>
        </w:rPr>
        <w:t xml:space="preserve">et de combattre ainsi </w:t>
      </w:r>
      <w:r w:rsidRPr="006C4846">
        <w:rPr>
          <w:lang w:val="fr-FR"/>
        </w:rPr>
        <w:t xml:space="preserve">la transmission et la propagation de la </w:t>
      </w:r>
      <w:r>
        <w:rPr>
          <w:lang w:val="fr-FR"/>
        </w:rPr>
        <w:t>maladie à coronavirus (</w:t>
      </w:r>
      <w:r w:rsidRPr="006C4846">
        <w:rPr>
          <w:lang w:val="fr-FR"/>
        </w:rPr>
        <w:t>COVID-19</w:t>
      </w:r>
      <w:r>
        <w:rPr>
          <w:lang w:val="fr-FR"/>
        </w:rPr>
        <w:t>) ; et b) d’instituer la procédure applicable à l’octroi de la grâce ou de l’amnistie.</w:t>
      </w:r>
    </w:p>
  </w:footnote>
  <w:footnote w:id="45">
    <w:p w14:paraId="27037476" w14:textId="77777777" w:rsidR="00B51884" w:rsidRPr="00575165" w:rsidRDefault="00B51884" w:rsidP="00575165">
      <w:pPr>
        <w:pStyle w:val="Notedebasdepage"/>
      </w:pPr>
      <w:r w:rsidRPr="00CF5240">
        <w:tab/>
      </w:r>
      <w:r w:rsidRPr="00E15C48">
        <w:rPr>
          <w:rStyle w:val="Appelnotedebasdep"/>
        </w:rPr>
        <w:footnoteRef/>
      </w:r>
      <w:r w:rsidRPr="00CF5240">
        <w:t xml:space="preserve"> </w:t>
      </w:r>
      <w:r w:rsidRPr="00CF5240">
        <w:tab/>
      </w:r>
      <w:r w:rsidRPr="00575165">
        <w:t xml:space="preserve">Directive MG-DGRP </w:t>
      </w:r>
      <w:r w:rsidRPr="00575165">
        <w:rPr>
          <w:rFonts w:eastAsia="MS Mincho"/>
          <w:szCs w:val="22"/>
        </w:rPr>
        <w:t>n</w:t>
      </w:r>
      <w:r w:rsidRPr="00575165">
        <w:rPr>
          <w:rFonts w:eastAsia="MS Mincho"/>
          <w:szCs w:val="22"/>
          <w:vertAlign w:val="superscript"/>
        </w:rPr>
        <w:t>o</w:t>
      </w:r>
      <w:r>
        <w:rPr>
          <w:rFonts w:eastAsia="MS Mincho"/>
          <w:szCs w:val="22"/>
        </w:rPr>
        <w:t> </w:t>
      </w:r>
      <w:r w:rsidRPr="00575165">
        <w:t>055/2020 du 23 mars 2020 publiée par la Direction générale du système pénitentiaire.</w:t>
      </w:r>
    </w:p>
  </w:footnote>
  <w:footnote w:id="46">
    <w:p w14:paraId="4A97A450" w14:textId="77777777" w:rsidR="00B51884" w:rsidRPr="00575165" w:rsidRDefault="00B51884" w:rsidP="00575165">
      <w:pPr>
        <w:pStyle w:val="Notedebasdepage"/>
      </w:pPr>
      <w:r w:rsidRPr="00575165">
        <w:tab/>
      </w:r>
      <w:r w:rsidRPr="00575165">
        <w:rPr>
          <w:rStyle w:val="Appelnotedebasdep"/>
        </w:rPr>
        <w:footnoteRef/>
      </w:r>
      <w:r w:rsidRPr="00575165">
        <w:rPr>
          <w:vertAlign w:val="superscript"/>
        </w:rPr>
        <w:t xml:space="preserve"> </w:t>
      </w:r>
      <w:r w:rsidRPr="00575165">
        <w:tab/>
        <w:t xml:space="preserve">Directive MG-DGRP </w:t>
      </w:r>
      <w:r w:rsidRPr="00575165">
        <w:rPr>
          <w:rFonts w:eastAsia="MS Mincho"/>
          <w:szCs w:val="22"/>
        </w:rPr>
        <w:t>n</w:t>
      </w:r>
      <w:r w:rsidRPr="00575165">
        <w:rPr>
          <w:rFonts w:eastAsia="MS Mincho"/>
          <w:szCs w:val="22"/>
          <w:vertAlign w:val="superscript"/>
        </w:rPr>
        <w:t>o</w:t>
      </w:r>
      <w:r>
        <w:rPr>
          <w:rFonts w:eastAsia="MS Mincho"/>
          <w:szCs w:val="22"/>
        </w:rPr>
        <w:t> </w:t>
      </w:r>
      <w:r w:rsidRPr="00575165">
        <w:t>026/2020 du 20 avril 2020, publiée par la Direction générale du système pénitentiaire.</w:t>
      </w:r>
    </w:p>
  </w:footnote>
  <w:footnote w:id="47">
    <w:p w14:paraId="36877BE9" w14:textId="77777777" w:rsidR="00B51884" w:rsidRPr="00575165" w:rsidRDefault="00B51884" w:rsidP="00575165">
      <w:pPr>
        <w:pStyle w:val="Notedebasdepage"/>
      </w:pPr>
      <w:r w:rsidRPr="00575165">
        <w:tab/>
      </w:r>
      <w:r w:rsidRPr="00575165">
        <w:rPr>
          <w:rStyle w:val="Appelnotedebasdep"/>
        </w:rPr>
        <w:footnoteRef/>
      </w:r>
      <w:r w:rsidRPr="00575165">
        <w:rPr>
          <w:vertAlign w:val="superscript"/>
        </w:rPr>
        <w:t xml:space="preserve"> </w:t>
      </w:r>
      <w:r w:rsidRPr="00575165">
        <w:tab/>
        <w:t xml:space="preserve">Directive MG-DGRP </w:t>
      </w:r>
      <w:r w:rsidRPr="00575165">
        <w:rPr>
          <w:rFonts w:eastAsia="MS Mincho"/>
          <w:szCs w:val="22"/>
        </w:rPr>
        <w:t>n</w:t>
      </w:r>
      <w:r w:rsidRPr="00575165">
        <w:rPr>
          <w:rFonts w:eastAsia="MS Mincho"/>
          <w:szCs w:val="22"/>
          <w:vertAlign w:val="superscript"/>
        </w:rPr>
        <w:t>o</w:t>
      </w:r>
      <w:r>
        <w:rPr>
          <w:rFonts w:eastAsia="MS Mincho"/>
          <w:szCs w:val="22"/>
        </w:rPr>
        <w:t> </w:t>
      </w:r>
      <w:r w:rsidRPr="00575165">
        <w:t>063/2020 du 5 juin 2020, publiée par la Direction générale du système pénitentiaire</w:t>
      </w:r>
      <w:r>
        <w:t>.</w:t>
      </w:r>
    </w:p>
  </w:footnote>
  <w:footnote w:id="48">
    <w:p w14:paraId="06A9743D" w14:textId="77777777" w:rsidR="00B51884" w:rsidRPr="00167160" w:rsidRDefault="00B51884" w:rsidP="00575165">
      <w:pPr>
        <w:pStyle w:val="Notedebasdepage"/>
      </w:pPr>
      <w:r w:rsidRPr="00575165">
        <w:tab/>
      </w:r>
      <w:r w:rsidRPr="00575165">
        <w:rPr>
          <w:rStyle w:val="Appelnotedebasdep"/>
        </w:rPr>
        <w:footnoteRef/>
      </w:r>
      <w:r w:rsidRPr="00575165">
        <w:rPr>
          <w:vertAlign w:val="superscript"/>
        </w:rPr>
        <w:t xml:space="preserve"> </w:t>
      </w:r>
      <w:r w:rsidRPr="00575165">
        <w:tab/>
        <w:t>Promulgué</w:t>
      </w:r>
      <w:r w:rsidRPr="00167160">
        <w:t xml:space="preserve"> le 4</w:t>
      </w:r>
      <w:r>
        <w:t> </w:t>
      </w:r>
      <w:r w:rsidRPr="00167160">
        <w:t>mai 2020.</w:t>
      </w:r>
    </w:p>
  </w:footnote>
  <w:footnote w:id="49">
    <w:p w14:paraId="2DDCEC6D" w14:textId="77777777" w:rsidR="00B51884" w:rsidRDefault="00B51884">
      <w:pPr>
        <w:pStyle w:val="Notedebasdepage"/>
      </w:pPr>
      <w:r>
        <w:tab/>
      </w:r>
      <w:r>
        <w:rPr>
          <w:rStyle w:val="Appelnotedebasdep"/>
        </w:rPr>
        <w:footnoteRef/>
      </w:r>
      <w:r>
        <w:tab/>
      </w:r>
      <w:r w:rsidRPr="00CE1417">
        <w:t xml:space="preserve">Directive MG-DGRP </w:t>
      </w:r>
      <w:r w:rsidRPr="002D76F4">
        <w:rPr>
          <w:rFonts w:eastAsia="MS Mincho"/>
          <w:szCs w:val="22"/>
        </w:rPr>
        <w:t>n</w:t>
      </w:r>
      <w:r w:rsidRPr="002D76F4">
        <w:rPr>
          <w:rFonts w:eastAsia="MS Mincho"/>
          <w:szCs w:val="22"/>
          <w:vertAlign w:val="superscript"/>
        </w:rPr>
        <w:t>o</w:t>
      </w:r>
      <w:r>
        <w:t> </w:t>
      </w:r>
      <w:r w:rsidRPr="00CE1417">
        <w:t>061/2020 du 22</w:t>
      </w:r>
      <w:r>
        <w:t> </w:t>
      </w:r>
      <w:r w:rsidRPr="00CE1417">
        <w:t>mai 2020, publiée par la Direction générale du système pénitentiaire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BF4C" w14:textId="664B3DB6" w:rsidR="00B51884" w:rsidRPr="00995201" w:rsidRDefault="00B51884">
    <w:pPr>
      <w:pStyle w:val="En-tte"/>
    </w:pPr>
    <w:fldSimple w:instr=" TITLE  \* MERGEFORMAT ">
      <w:r>
        <w:t>CAT/C/BOL/RQ/3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BA91" w14:textId="5085ADA1" w:rsidR="00B51884" w:rsidRPr="00995201" w:rsidRDefault="00B51884" w:rsidP="00995201">
    <w:pPr>
      <w:pStyle w:val="En-tte"/>
      <w:jc w:val="right"/>
    </w:pPr>
    <w:fldSimple w:instr=" TITLE  \* MERGEFORMAT ">
      <w:r>
        <w:t>CAT/C/BOL/RQ/3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pStyle w:val="Titre1"/>
      <w:lvlText w:val="Artículo %1."/>
      <w:lvlJc w:val="left"/>
      <w:pPr>
        <w:tabs>
          <w:tab w:val="num" w:pos="1440"/>
        </w:tabs>
        <w:ind w:left="0" w:firstLine="0"/>
      </w:pPr>
    </w:lvl>
    <w:lvl w:ilvl="1">
      <w:start w:val="1"/>
      <w:numFmt w:val="decimalZero"/>
      <w:pStyle w:val="Titre2"/>
      <w:isLgl/>
      <w:lvlText w:val="Secció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5"/>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6A"/>
    <w:rsid w:val="000200AD"/>
    <w:rsid w:val="00023842"/>
    <w:rsid w:val="00035AE4"/>
    <w:rsid w:val="00037DF1"/>
    <w:rsid w:val="00050BA1"/>
    <w:rsid w:val="0007796D"/>
    <w:rsid w:val="00086B52"/>
    <w:rsid w:val="000F5DF4"/>
    <w:rsid w:val="00101756"/>
    <w:rsid w:val="00111F2F"/>
    <w:rsid w:val="00127CE5"/>
    <w:rsid w:val="0014365E"/>
    <w:rsid w:val="001561A6"/>
    <w:rsid w:val="001569E4"/>
    <w:rsid w:val="0016140D"/>
    <w:rsid w:val="0017279A"/>
    <w:rsid w:val="00176178"/>
    <w:rsid w:val="001869D5"/>
    <w:rsid w:val="001960EC"/>
    <w:rsid w:val="001A66AA"/>
    <w:rsid w:val="001D14FC"/>
    <w:rsid w:val="001F0E9B"/>
    <w:rsid w:val="001F1F8F"/>
    <w:rsid w:val="001F525A"/>
    <w:rsid w:val="00214999"/>
    <w:rsid w:val="00223838"/>
    <w:rsid w:val="00292483"/>
    <w:rsid w:val="00293666"/>
    <w:rsid w:val="002E35E3"/>
    <w:rsid w:val="00331B60"/>
    <w:rsid w:val="00341B4E"/>
    <w:rsid w:val="003653BD"/>
    <w:rsid w:val="003731A3"/>
    <w:rsid w:val="003754F5"/>
    <w:rsid w:val="00376438"/>
    <w:rsid w:val="00381A66"/>
    <w:rsid w:val="003D677B"/>
    <w:rsid w:val="004028ED"/>
    <w:rsid w:val="004155B9"/>
    <w:rsid w:val="004463DD"/>
    <w:rsid w:val="00446FE5"/>
    <w:rsid w:val="004A494A"/>
    <w:rsid w:val="004D6539"/>
    <w:rsid w:val="004D7B44"/>
    <w:rsid w:val="004D7DE2"/>
    <w:rsid w:val="004F046A"/>
    <w:rsid w:val="005044B6"/>
    <w:rsid w:val="00506908"/>
    <w:rsid w:val="0052794F"/>
    <w:rsid w:val="00534B17"/>
    <w:rsid w:val="005352E7"/>
    <w:rsid w:val="00553A1F"/>
    <w:rsid w:val="00570C73"/>
    <w:rsid w:val="00573BE5"/>
    <w:rsid w:val="00575165"/>
    <w:rsid w:val="00586ED3"/>
    <w:rsid w:val="00587A52"/>
    <w:rsid w:val="00595364"/>
    <w:rsid w:val="005970D5"/>
    <w:rsid w:val="005A51D3"/>
    <w:rsid w:val="005B4E23"/>
    <w:rsid w:val="005D5FBF"/>
    <w:rsid w:val="005F5D00"/>
    <w:rsid w:val="00616CB0"/>
    <w:rsid w:val="00621144"/>
    <w:rsid w:val="00630791"/>
    <w:rsid w:val="0064636D"/>
    <w:rsid w:val="00646E3D"/>
    <w:rsid w:val="006822FC"/>
    <w:rsid w:val="0071601D"/>
    <w:rsid w:val="00742A15"/>
    <w:rsid w:val="007432FB"/>
    <w:rsid w:val="0074345D"/>
    <w:rsid w:val="00747B6F"/>
    <w:rsid w:val="007A2687"/>
    <w:rsid w:val="007A4A24"/>
    <w:rsid w:val="007C38DF"/>
    <w:rsid w:val="007F3164"/>
    <w:rsid w:val="0080684C"/>
    <w:rsid w:val="00807D21"/>
    <w:rsid w:val="00840C6C"/>
    <w:rsid w:val="008535C1"/>
    <w:rsid w:val="00853AFA"/>
    <w:rsid w:val="00871C75"/>
    <w:rsid w:val="008776DC"/>
    <w:rsid w:val="0088513B"/>
    <w:rsid w:val="00907B4D"/>
    <w:rsid w:val="00911A52"/>
    <w:rsid w:val="00913DF9"/>
    <w:rsid w:val="009258E3"/>
    <w:rsid w:val="0093563D"/>
    <w:rsid w:val="00945222"/>
    <w:rsid w:val="009705C8"/>
    <w:rsid w:val="009736E7"/>
    <w:rsid w:val="00995201"/>
    <w:rsid w:val="009A20AA"/>
    <w:rsid w:val="009B1CAD"/>
    <w:rsid w:val="009C0C03"/>
    <w:rsid w:val="009C4D45"/>
    <w:rsid w:val="009C68D5"/>
    <w:rsid w:val="009D00C8"/>
    <w:rsid w:val="009E59DF"/>
    <w:rsid w:val="009E783B"/>
    <w:rsid w:val="009F3E45"/>
    <w:rsid w:val="009F531E"/>
    <w:rsid w:val="00A05770"/>
    <w:rsid w:val="00A37C92"/>
    <w:rsid w:val="00A62AE1"/>
    <w:rsid w:val="00A704A8"/>
    <w:rsid w:val="00A82A3F"/>
    <w:rsid w:val="00A94A4B"/>
    <w:rsid w:val="00AA0CD3"/>
    <w:rsid w:val="00AA7EB9"/>
    <w:rsid w:val="00AB1AD3"/>
    <w:rsid w:val="00AB1B55"/>
    <w:rsid w:val="00AC1DE2"/>
    <w:rsid w:val="00AE323C"/>
    <w:rsid w:val="00B31EDE"/>
    <w:rsid w:val="00B4748D"/>
    <w:rsid w:val="00B51884"/>
    <w:rsid w:val="00B57E09"/>
    <w:rsid w:val="00B609A7"/>
    <w:rsid w:val="00B76216"/>
    <w:rsid w:val="00B92A00"/>
    <w:rsid w:val="00BA41F4"/>
    <w:rsid w:val="00BB401A"/>
    <w:rsid w:val="00BF64CD"/>
    <w:rsid w:val="00C02897"/>
    <w:rsid w:val="00C16678"/>
    <w:rsid w:val="00C26921"/>
    <w:rsid w:val="00C4324E"/>
    <w:rsid w:val="00C518B5"/>
    <w:rsid w:val="00C67187"/>
    <w:rsid w:val="00CA5CE1"/>
    <w:rsid w:val="00CB3B41"/>
    <w:rsid w:val="00CC5DA0"/>
    <w:rsid w:val="00CD10C1"/>
    <w:rsid w:val="00CD326D"/>
    <w:rsid w:val="00CE1417"/>
    <w:rsid w:val="00D21E12"/>
    <w:rsid w:val="00D45607"/>
    <w:rsid w:val="00D52115"/>
    <w:rsid w:val="00D8496A"/>
    <w:rsid w:val="00D96AF3"/>
    <w:rsid w:val="00DB1831"/>
    <w:rsid w:val="00DB7943"/>
    <w:rsid w:val="00DD3BFD"/>
    <w:rsid w:val="00DE3CE5"/>
    <w:rsid w:val="00E554A4"/>
    <w:rsid w:val="00E82F47"/>
    <w:rsid w:val="00E8410E"/>
    <w:rsid w:val="00E90973"/>
    <w:rsid w:val="00E91DA2"/>
    <w:rsid w:val="00E93A1D"/>
    <w:rsid w:val="00EA0D23"/>
    <w:rsid w:val="00EA3F83"/>
    <w:rsid w:val="00EA44CA"/>
    <w:rsid w:val="00EA7263"/>
    <w:rsid w:val="00EB22FF"/>
    <w:rsid w:val="00EB34CC"/>
    <w:rsid w:val="00ED0385"/>
    <w:rsid w:val="00ED558F"/>
    <w:rsid w:val="00EE2041"/>
    <w:rsid w:val="00EE6EA3"/>
    <w:rsid w:val="00F2188B"/>
    <w:rsid w:val="00F35858"/>
    <w:rsid w:val="00F660DF"/>
    <w:rsid w:val="00F70FBB"/>
    <w:rsid w:val="00F73C93"/>
    <w:rsid w:val="00F87F6A"/>
    <w:rsid w:val="00F95C08"/>
    <w:rsid w:val="00F972E7"/>
    <w:rsid w:val="00FB5DA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56106"/>
  <w15:docId w15:val="{66752FCA-219B-4AFF-8D0C-6DCD173B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4D6539"/>
    <w:pPr>
      <w:keepNext/>
      <w:keepLines/>
      <w:numPr>
        <w:numId w:val="22"/>
      </w:numPr>
      <w:spacing w:after="0" w:line="240" w:lineRule="auto"/>
      <w:ind w:right="0"/>
      <w:jc w:val="left"/>
      <w:outlineLvl w:val="0"/>
    </w:pPr>
  </w:style>
  <w:style w:type="paragraph" w:styleId="Titre2">
    <w:name w:val="heading 2"/>
    <w:basedOn w:val="Normal"/>
    <w:next w:val="Normal"/>
    <w:link w:val="Titre2Car"/>
    <w:rsid w:val="007432FB"/>
    <w:pPr>
      <w:numPr>
        <w:ilvl w:val="1"/>
        <w:numId w:val="22"/>
      </w:numPr>
      <w:outlineLvl w:val="1"/>
    </w:pPr>
  </w:style>
  <w:style w:type="paragraph" w:styleId="Titre3">
    <w:name w:val="heading 3"/>
    <w:basedOn w:val="Normal"/>
    <w:next w:val="Normal"/>
    <w:link w:val="Titre3Car"/>
    <w:rsid w:val="007432FB"/>
    <w:pPr>
      <w:numPr>
        <w:ilvl w:val="2"/>
        <w:numId w:val="22"/>
      </w:numPr>
      <w:outlineLvl w:val="2"/>
    </w:pPr>
  </w:style>
  <w:style w:type="paragraph" w:styleId="Titre4">
    <w:name w:val="heading 4"/>
    <w:basedOn w:val="Normal"/>
    <w:next w:val="Normal"/>
    <w:link w:val="Titre4Car"/>
    <w:rsid w:val="007432FB"/>
    <w:pPr>
      <w:numPr>
        <w:ilvl w:val="3"/>
        <w:numId w:val="22"/>
      </w:numPr>
      <w:outlineLvl w:val="3"/>
    </w:pPr>
  </w:style>
  <w:style w:type="paragraph" w:styleId="Titre5">
    <w:name w:val="heading 5"/>
    <w:basedOn w:val="Normal"/>
    <w:next w:val="Normal"/>
    <w:link w:val="Titre5Car"/>
    <w:rsid w:val="007432FB"/>
    <w:pPr>
      <w:numPr>
        <w:ilvl w:val="4"/>
        <w:numId w:val="22"/>
      </w:numPr>
      <w:outlineLvl w:val="4"/>
    </w:pPr>
  </w:style>
  <w:style w:type="paragraph" w:styleId="Titre6">
    <w:name w:val="heading 6"/>
    <w:basedOn w:val="Normal"/>
    <w:next w:val="Normal"/>
    <w:link w:val="Titre6Car"/>
    <w:rsid w:val="007432FB"/>
    <w:pPr>
      <w:numPr>
        <w:ilvl w:val="5"/>
        <w:numId w:val="22"/>
      </w:numPr>
      <w:outlineLvl w:val="5"/>
    </w:pPr>
  </w:style>
  <w:style w:type="paragraph" w:styleId="Titre7">
    <w:name w:val="heading 7"/>
    <w:basedOn w:val="Normal"/>
    <w:next w:val="Normal"/>
    <w:link w:val="Titre7Car"/>
    <w:uiPriority w:val="9"/>
    <w:semiHidden/>
    <w:qFormat/>
    <w:rsid w:val="007432FB"/>
    <w:pPr>
      <w:numPr>
        <w:ilvl w:val="6"/>
        <w:numId w:val="22"/>
      </w:numPr>
      <w:outlineLvl w:val="6"/>
    </w:pPr>
  </w:style>
  <w:style w:type="paragraph" w:styleId="Titre8">
    <w:name w:val="heading 8"/>
    <w:basedOn w:val="Normal"/>
    <w:next w:val="Normal"/>
    <w:link w:val="Titre8Car"/>
    <w:uiPriority w:val="9"/>
    <w:semiHidden/>
    <w:qFormat/>
    <w:rsid w:val="007432FB"/>
    <w:pPr>
      <w:numPr>
        <w:ilvl w:val="7"/>
        <w:numId w:val="22"/>
      </w:numPr>
      <w:outlineLvl w:val="7"/>
    </w:pPr>
  </w:style>
  <w:style w:type="paragraph" w:styleId="Titre9">
    <w:name w:val="heading 9"/>
    <w:basedOn w:val="Normal"/>
    <w:next w:val="Normal"/>
    <w:link w:val="Titre9Car"/>
    <w:uiPriority w:val="9"/>
    <w:semiHidden/>
    <w:qFormat/>
    <w:rsid w:val="007432FB"/>
    <w:pPr>
      <w:numPr>
        <w:ilvl w:val="8"/>
        <w:numId w:val="22"/>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4D6539"/>
    <w:pPr>
      <w:spacing w:line="240" w:lineRule="auto"/>
    </w:pPr>
    <w:rPr>
      <w:sz w:val="16"/>
    </w:rPr>
  </w:style>
  <w:style w:type="character" w:customStyle="1" w:styleId="PieddepageCar">
    <w:name w:val="Pied de page Car"/>
    <w:aliases w:val="3_G Car"/>
    <w:basedOn w:val="Policepardfaut"/>
    <w:link w:val="Pieddepage"/>
    <w:uiPriority w:val="99"/>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Footnotes refss,Appel note de bas de page,referencia nota al pie,Footnote number"/>
    <w:basedOn w:val="Policepardfaut"/>
    <w:link w:val="BVIfnrCar1CarCarCarCar"/>
    <w:uiPriority w:val="99"/>
    <w:qFormat/>
    <w:rsid w:val="004D6539"/>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footnote text"/>
    <w:basedOn w:val="Normal"/>
    <w:link w:val="NotedebasdepageCar"/>
    <w:uiPriority w:val="99"/>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
    <w:basedOn w:val="Policepardfaut"/>
    <w:link w:val="Notedebasdepage"/>
    <w:uiPriority w:val="99"/>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uiPriority w:val="99"/>
    <w:qFormat/>
    <w:rsid w:val="004D6539"/>
  </w:style>
  <w:style w:type="character" w:customStyle="1" w:styleId="NotedefinCar">
    <w:name w:val="Note de fin Car"/>
    <w:aliases w:val="2_G Car"/>
    <w:basedOn w:val="Policepardfaut"/>
    <w:link w:val="Notedefin"/>
    <w:uiPriority w:val="99"/>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Cuadro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HMGChar">
    <w:name w:val="_ H __M_G Char"/>
    <w:link w:val="HMG"/>
    <w:rsid w:val="00995201"/>
    <w:rPr>
      <w:rFonts w:ascii="Times New Roman" w:eastAsiaTheme="minorHAnsi" w:hAnsi="Times New Roman" w:cs="Times New Roman"/>
      <w:b/>
      <w:sz w:val="34"/>
      <w:szCs w:val="20"/>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Appelnotedebasdep"/>
    <w:uiPriority w:val="99"/>
    <w:rsid w:val="00995201"/>
    <w:pPr>
      <w:suppressAutoHyphens w:val="0"/>
      <w:kinsoku/>
      <w:overflowPunct/>
      <w:autoSpaceDE/>
      <w:autoSpaceDN/>
      <w:adjustRightInd/>
      <w:snapToGrid/>
      <w:spacing w:before="200" w:after="160" w:line="240" w:lineRule="exact"/>
    </w:pPr>
    <w:rPr>
      <w:rFonts w:eastAsiaTheme="minorEastAsia" w:cstheme="minorBidi"/>
      <w:sz w:val="18"/>
      <w:szCs w:val="22"/>
      <w:vertAlign w:val="superscript"/>
      <w:lang w:eastAsia="zh-CN"/>
    </w:rPr>
  </w:style>
  <w:style w:type="table" w:customStyle="1" w:styleId="GridTable4-Accent61">
    <w:name w:val="Grid Table 4 - Accent 61"/>
    <w:basedOn w:val="TableauNormal"/>
    <w:next w:val="TableauGrille4-Accentuation6"/>
    <w:uiPriority w:val="49"/>
    <w:rsid w:val="001960EC"/>
    <w:pPr>
      <w:spacing w:after="0" w:line="240" w:lineRule="auto"/>
    </w:pPr>
    <w:rPr>
      <w:rFonts w:ascii="Calibri" w:eastAsia="Times New Roman" w:hAnsi="Calibri" w:cs="Times New Roman"/>
      <w:lang w:val="es-E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auGrille4-Accentuation6">
    <w:name w:val="Grid Table 4 Accent 6"/>
    <w:basedOn w:val="TableauNormal"/>
    <w:uiPriority w:val="49"/>
    <w:rsid w:val="001960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styleId="111111">
    <w:name w:val="Outline List 2"/>
    <w:basedOn w:val="Aucuneliste"/>
    <w:semiHidden/>
    <w:rsid w:val="0074345D"/>
    <w:pPr>
      <w:numPr>
        <w:numId w:val="20"/>
      </w:numPr>
    </w:pPr>
  </w:style>
  <w:style w:type="numbering" w:styleId="1ai">
    <w:name w:val="Outline List 1"/>
    <w:basedOn w:val="Aucuneliste"/>
    <w:semiHidden/>
    <w:rsid w:val="0074345D"/>
    <w:pPr>
      <w:numPr>
        <w:numId w:val="21"/>
      </w:numPr>
    </w:pPr>
  </w:style>
  <w:style w:type="character" w:styleId="AcronymeHTML">
    <w:name w:val="HTML Acronym"/>
    <w:basedOn w:val="Policepardfaut"/>
    <w:uiPriority w:val="99"/>
    <w:semiHidden/>
    <w:rsid w:val="0074345D"/>
  </w:style>
  <w:style w:type="numbering" w:styleId="ArticleSection">
    <w:name w:val="Outline List 3"/>
    <w:basedOn w:val="Aucuneliste"/>
    <w:semiHidden/>
    <w:rsid w:val="0074345D"/>
    <w:pPr>
      <w:numPr>
        <w:numId w:val="22"/>
      </w:numPr>
    </w:pPr>
  </w:style>
  <w:style w:type="paragraph" w:styleId="Formuledepolitesse">
    <w:name w:val="Closing"/>
    <w:basedOn w:val="Normal"/>
    <w:link w:val="FormuledepolitesseCar"/>
    <w:semiHidden/>
    <w:rsid w:val="0074345D"/>
    <w:pPr>
      <w:suppressAutoHyphens w:val="0"/>
      <w:kinsoku/>
      <w:overflowPunct/>
      <w:autoSpaceDE/>
      <w:autoSpaceDN/>
      <w:adjustRightInd/>
      <w:snapToGrid/>
      <w:ind w:left="4252"/>
    </w:pPr>
    <w:rPr>
      <w:rFonts w:eastAsia="Times New Roman"/>
      <w:lang w:val="es-ES" w:eastAsia="es-ES"/>
    </w:rPr>
  </w:style>
  <w:style w:type="character" w:customStyle="1" w:styleId="FormuledepolitesseCar">
    <w:name w:val="Formule de politesse Car"/>
    <w:basedOn w:val="Policepardfaut"/>
    <w:link w:val="Formuledepolitesse"/>
    <w:semiHidden/>
    <w:rsid w:val="0074345D"/>
    <w:rPr>
      <w:rFonts w:ascii="Times New Roman" w:eastAsia="Times New Roman" w:hAnsi="Times New Roman" w:cs="Times New Roman"/>
      <w:sz w:val="20"/>
      <w:szCs w:val="20"/>
      <w:lang w:val="es-ES" w:eastAsia="es-ES"/>
    </w:rPr>
  </w:style>
  <w:style w:type="character" w:styleId="CitationHTML">
    <w:name w:val="HTML Cite"/>
    <w:semiHidden/>
    <w:rsid w:val="0074345D"/>
    <w:rPr>
      <w:i/>
      <w:iCs/>
    </w:rPr>
  </w:style>
  <w:style w:type="character" w:styleId="CodeHTML">
    <w:name w:val="HTML Code"/>
    <w:semiHidden/>
    <w:rsid w:val="0074345D"/>
    <w:rPr>
      <w:rFonts w:ascii="Courier New" w:hAnsi="Courier New" w:cs="Courier New"/>
      <w:sz w:val="20"/>
      <w:szCs w:val="20"/>
    </w:rPr>
  </w:style>
  <w:style w:type="paragraph" w:styleId="Listecontinue">
    <w:name w:val="List Continue"/>
    <w:basedOn w:val="Normal"/>
    <w:semiHidden/>
    <w:rsid w:val="0074345D"/>
    <w:pPr>
      <w:suppressAutoHyphens w:val="0"/>
      <w:kinsoku/>
      <w:overflowPunct/>
      <w:autoSpaceDE/>
      <w:autoSpaceDN/>
      <w:adjustRightInd/>
      <w:snapToGrid/>
      <w:spacing w:after="120"/>
      <w:ind w:left="283"/>
    </w:pPr>
    <w:rPr>
      <w:rFonts w:eastAsia="Times New Roman"/>
      <w:lang w:val="es-ES" w:eastAsia="es-ES"/>
    </w:rPr>
  </w:style>
  <w:style w:type="paragraph" w:styleId="Listecontinue2">
    <w:name w:val="List Continue 2"/>
    <w:basedOn w:val="Normal"/>
    <w:semiHidden/>
    <w:rsid w:val="0074345D"/>
    <w:pPr>
      <w:suppressAutoHyphens w:val="0"/>
      <w:kinsoku/>
      <w:overflowPunct/>
      <w:autoSpaceDE/>
      <w:autoSpaceDN/>
      <w:adjustRightInd/>
      <w:snapToGrid/>
      <w:spacing w:after="120"/>
      <w:ind w:left="566"/>
    </w:pPr>
    <w:rPr>
      <w:rFonts w:eastAsia="Times New Roman"/>
      <w:lang w:val="es-ES" w:eastAsia="es-ES"/>
    </w:rPr>
  </w:style>
  <w:style w:type="paragraph" w:styleId="Listecontinue3">
    <w:name w:val="List Continue 3"/>
    <w:basedOn w:val="Normal"/>
    <w:semiHidden/>
    <w:rsid w:val="0074345D"/>
    <w:pPr>
      <w:suppressAutoHyphens w:val="0"/>
      <w:kinsoku/>
      <w:overflowPunct/>
      <w:autoSpaceDE/>
      <w:autoSpaceDN/>
      <w:adjustRightInd/>
      <w:snapToGrid/>
      <w:spacing w:after="120"/>
      <w:ind w:left="849"/>
    </w:pPr>
    <w:rPr>
      <w:rFonts w:eastAsia="Times New Roman"/>
      <w:lang w:val="es-ES" w:eastAsia="es-ES"/>
    </w:rPr>
  </w:style>
  <w:style w:type="paragraph" w:styleId="Listecontinue4">
    <w:name w:val="List Continue 4"/>
    <w:basedOn w:val="Normal"/>
    <w:semiHidden/>
    <w:rsid w:val="0074345D"/>
    <w:pPr>
      <w:suppressAutoHyphens w:val="0"/>
      <w:kinsoku/>
      <w:overflowPunct/>
      <w:autoSpaceDE/>
      <w:autoSpaceDN/>
      <w:adjustRightInd/>
      <w:snapToGrid/>
      <w:spacing w:after="120"/>
      <w:ind w:left="1132"/>
    </w:pPr>
    <w:rPr>
      <w:rFonts w:eastAsia="Times New Roman"/>
      <w:lang w:val="es-ES" w:eastAsia="es-ES"/>
    </w:rPr>
  </w:style>
  <w:style w:type="paragraph" w:styleId="Listecontinue5">
    <w:name w:val="List Continue 5"/>
    <w:basedOn w:val="Normal"/>
    <w:semiHidden/>
    <w:rsid w:val="0074345D"/>
    <w:pPr>
      <w:suppressAutoHyphens w:val="0"/>
      <w:kinsoku/>
      <w:overflowPunct/>
      <w:autoSpaceDE/>
      <w:autoSpaceDN/>
      <w:adjustRightInd/>
      <w:snapToGrid/>
      <w:spacing w:after="120"/>
      <w:ind w:left="1415"/>
    </w:pPr>
    <w:rPr>
      <w:rFonts w:eastAsia="Times New Roman"/>
      <w:lang w:val="es-ES" w:eastAsia="es-ES"/>
    </w:rPr>
  </w:style>
  <w:style w:type="character" w:styleId="DfinitionHTML">
    <w:name w:val="HTML Definition"/>
    <w:semiHidden/>
    <w:rsid w:val="0074345D"/>
    <w:rPr>
      <w:i/>
      <w:iCs/>
    </w:rPr>
  </w:style>
  <w:style w:type="paragraph" w:styleId="AdresseHTML">
    <w:name w:val="HTML Address"/>
    <w:basedOn w:val="Normal"/>
    <w:link w:val="AdresseHTMLCar"/>
    <w:semiHidden/>
    <w:rsid w:val="0074345D"/>
    <w:pPr>
      <w:suppressAutoHyphens w:val="0"/>
      <w:kinsoku/>
      <w:overflowPunct/>
      <w:autoSpaceDE/>
      <w:autoSpaceDN/>
      <w:adjustRightInd/>
      <w:snapToGrid/>
    </w:pPr>
    <w:rPr>
      <w:rFonts w:eastAsia="Times New Roman"/>
      <w:i/>
      <w:iCs/>
      <w:lang w:val="es-ES" w:eastAsia="es-ES"/>
    </w:rPr>
  </w:style>
  <w:style w:type="character" w:customStyle="1" w:styleId="AdresseHTMLCar">
    <w:name w:val="Adresse HTML Car"/>
    <w:basedOn w:val="Policepardfaut"/>
    <w:link w:val="AdresseHTML"/>
    <w:semiHidden/>
    <w:rsid w:val="0074345D"/>
    <w:rPr>
      <w:rFonts w:ascii="Times New Roman" w:eastAsia="Times New Roman" w:hAnsi="Times New Roman" w:cs="Times New Roman"/>
      <w:i/>
      <w:iCs/>
      <w:sz w:val="20"/>
      <w:szCs w:val="20"/>
      <w:lang w:val="es-ES" w:eastAsia="es-ES"/>
    </w:rPr>
  </w:style>
  <w:style w:type="paragraph" w:styleId="Adressedestinataire">
    <w:name w:val="envelope address"/>
    <w:basedOn w:val="Normal"/>
    <w:semiHidden/>
    <w:rsid w:val="0074345D"/>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character" w:styleId="ExempleHTML">
    <w:name w:val="HTML Sample"/>
    <w:semiHidden/>
    <w:rsid w:val="0074345D"/>
    <w:rPr>
      <w:rFonts w:ascii="Courier New" w:hAnsi="Courier New" w:cs="Courier New"/>
    </w:rPr>
  </w:style>
  <w:style w:type="paragraph" w:styleId="En-ttedemessage">
    <w:name w:val="Message Header"/>
    <w:basedOn w:val="Normal"/>
    <w:link w:val="En-ttedemessageCar"/>
    <w:semiHidden/>
    <w:rsid w:val="0074345D"/>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En-ttedemessageCar">
    <w:name w:val="En-tête de message Car"/>
    <w:basedOn w:val="Policepardfaut"/>
    <w:link w:val="En-ttedemessage"/>
    <w:semiHidden/>
    <w:rsid w:val="0074345D"/>
    <w:rPr>
      <w:rFonts w:ascii="Arial" w:eastAsia="Times New Roman" w:hAnsi="Arial" w:cs="Arial"/>
      <w:sz w:val="24"/>
      <w:szCs w:val="24"/>
      <w:shd w:val="pct20" w:color="auto" w:fill="auto"/>
      <w:lang w:val="es-ES" w:eastAsia="es-ES"/>
    </w:rPr>
  </w:style>
  <w:style w:type="paragraph" w:styleId="Titredenote">
    <w:name w:val="Note Heading"/>
    <w:basedOn w:val="Normal"/>
    <w:next w:val="Normal"/>
    <w:link w:val="TitredenoteCar"/>
    <w:semiHidden/>
    <w:rsid w:val="0074345D"/>
    <w:pPr>
      <w:suppressAutoHyphens w:val="0"/>
      <w:kinsoku/>
      <w:overflowPunct/>
      <w:autoSpaceDE/>
      <w:autoSpaceDN/>
      <w:adjustRightInd/>
      <w:snapToGrid/>
    </w:pPr>
    <w:rPr>
      <w:rFonts w:eastAsia="Times New Roman"/>
      <w:lang w:val="es-ES" w:eastAsia="es-ES"/>
    </w:rPr>
  </w:style>
  <w:style w:type="character" w:customStyle="1" w:styleId="TitredenoteCar">
    <w:name w:val="Titre de note Car"/>
    <w:basedOn w:val="Policepardfaut"/>
    <w:link w:val="Titredenote"/>
    <w:semiHidden/>
    <w:rsid w:val="0074345D"/>
    <w:rPr>
      <w:rFonts w:ascii="Times New Roman" w:eastAsia="Times New Roman" w:hAnsi="Times New Roman" w:cs="Times New Roman"/>
      <w:sz w:val="20"/>
      <w:szCs w:val="20"/>
      <w:lang w:val="es-ES" w:eastAsia="es-ES"/>
    </w:rPr>
  </w:style>
  <w:style w:type="character" w:styleId="Accentuation">
    <w:name w:val="Emphasis"/>
    <w:uiPriority w:val="20"/>
    <w:rsid w:val="0074345D"/>
    <w:rPr>
      <w:i/>
      <w:iCs/>
    </w:rPr>
  </w:style>
  <w:style w:type="paragraph" w:styleId="Date">
    <w:name w:val="Date"/>
    <w:basedOn w:val="Normal"/>
    <w:next w:val="Normal"/>
    <w:link w:val="DateCar"/>
    <w:semiHidden/>
    <w:rsid w:val="0074345D"/>
    <w:pPr>
      <w:suppressAutoHyphens w:val="0"/>
      <w:kinsoku/>
      <w:overflowPunct/>
      <w:autoSpaceDE/>
      <w:autoSpaceDN/>
      <w:adjustRightInd/>
      <w:snapToGrid/>
    </w:pPr>
    <w:rPr>
      <w:rFonts w:eastAsia="Times New Roman"/>
      <w:lang w:val="es-ES" w:eastAsia="es-ES"/>
    </w:rPr>
  </w:style>
  <w:style w:type="character" w:customStyle="1" w:styleId="DateCar">
    <w:name w:val="Date Car"/>
    <w:basedOn w:val="Policepardfaut"/>
    <w:link w:val="Date"/>
    <w:semiHidden/>
    <w:rsid w:val="0074345D"/>
    <w:rPr>
      <w:rFonts w:ascii="Times New Roman" w:eastAsia="Times New Roman" w:hAnsi="Times New Roman" w:cs="Times New Roman"/>
      <w:sz w:val="20"/>
      <w:szCs w:val="20"/>
      <w:lang w:val="es-ES" w:eastAsia="es-ES"/>
    </w:rPr>
  </w:style>
  <w:style w:type="paragraph" w:styleId="Signature">
    <w:name w:val="Signature"/>
    <w:basedOn w:val="Normal"/>
    <w:link w:val="SignatureCar"/>
    <w:semiHidden/>
    <w:rsid w:val="0074345D"/>
    <w:pPr>
      <w:suppressAutoHyphens w:val="0"/>
      <w:kinsoku/>
      <w:overflowPunct/>
      <w:autoSpaceDE/>
      <w:autoSpaceDN/>
      <w:adjustRightInd/>
      <w:snapToGrid/>
      <w:ind w:left="4252"/>
    </w:pPr>
    <w:rPr>
      <w:rFonts w:eastAsia="Times New Roman"/>
      <w:lang w:val="es-ES" w:eastAsia="es-ES"/>
    </w:rPr>
  </w:style>
  <w:style w:type="character" w:customStyle="1" w:styleId="SignatureCar">
    <w:name w:val="Signature Car"/>
    <w:basedOn w:val="Policepardfaut"/>
    <w:link w:val="Signature"/>
    <w:semiHidden/>
    <w:rsid w:val="0074345D"/>
    <w:rPr>
      <w:rFonts w:ascii="Times New Roman" w:eastAsia="Times New Roman" w:hAnsi="Times New Roman" w:cs="Times New Roman"/>
      <w:sz w:val="20"/>
      <w:szCs w:val="20"/>
      <w:lang w:val="es-ES" w:eastAsia="es-ES"/>
    </w:rPr>
  </w:style>
  <w:style w:type="paragraph" w:styleId="Signaturelectronique">
    <w:name w:val="E-mail Signature"/>
    <w:basedOn w:val="Normal"/>
    <w:link w:val="SignaturelectroniqueCar"/>
    <w:semiHidden/>
    <w:rsid w:val="0074345D"/>
    <w:pPr>
      <w:suppressAutoHyphens w:val="0"/>
      <w:kinsoku/>
      <w:overflowPunct/>
      <w:autoSpaceDE/>
      <w:autoSpaceDN/>
      <w:adjustRightInd/>
      <w:snapToGrid/>
    </w:pPr>
    <w:rPr>
      <w:rFonts w:eastAsia="Times New Roman"/>
      <w:lang w:val="es-ES" w:eastAsia="es-ES"/>
    </w:rPr>
  </w:style>
  <w:style w:type="character" w:customStyle="1" w:styleId="SignaturelectroniqueCar">
    <w:name w:val="Signature électronique Car"/>
    <w:basedOn w:val="Policepardfaut"/>
    <w:link w:val="Signaturelectronique"/>
    <w:semiHidden/>
    <w:rsid w:val="0074345D"/>
    <w:rPr>
      <w:rFonts w:ascii="Times New Roman" w:eastAsia="Times New Roman" w:hAnsi="Times New Roman" w:cs="Times New Roman"/>
      <w:sz w:val="20"/>
      <w:szCs w:val="20"/>
      <w:lang w:val="es-ES" w:eastAsia="es-ES"/>
    </w:rPr>
  </w:style>
  <w:style w:type="paragraph" w:styleId="PrformatHTML">
    <w:name w:val="HTML Preformatted"/>
    <w:basedOn w:val="Normal"/>
    <w:link w:val="PrformatHTMLCar"/>
    <w:semiHidden/>
    <w:rsid w:val="0074345D"/>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PrformatHTMLCar">
    <w:name w:val="Préformaté HTML Car"/>
    <w:basedOn w:val="Policepardfaut"/>
    <w:link w:val="PrformatHTML"/>
    <w:semiHidden/>
    <w:rsid w:val="0074345D"/>
    <w:rPr>
      <w:rFonts w:ascii="Courier New" w:eastAsia="Times New Roman" w:hAnsi="Courier New" w:cs="Courier New"/>
      <w:sz w:val="20"/>
      <w:szCs w:val="20"/>
      <w:lang w:val="es-ES" w:eastAsia="es-ES"/>
    </w:rPr>
  </w:style>
  <w:style w:type="paragraph" w:styleId="Liste">
    <w:name w:val="List"/>
    <w:basedOn w:val="Normal"/>
    <w:semiHidden/>
    <w:rsid w:val="0074345D"/>
    <w:pPr>
      <w:suppressAutoHyphens w:val="0"/>
      <w:kinsoku/>
      <w:overflowPunct/>
      <w:autoSpaceDE/>
      <w:autoSpaceDN/>
      <w:adjustRightInd/>
      <w:snapToGrid/>
      <w:ind w:left="283" w:hanging="283"/>
    </w:pPr>
    <w:rPr>
      <w:rFonts w:eastAsia="Times New Roman"/>
      <w:lang w:val="es-ES" w:eastAsia="es-ES"/>
    </w:rPr>
  </w:style>
  <w:style w:type="paragraph" w:styleId="Liste2">
    <w:name w:val="List 2"/>
    <w:basedOn w:val="Normal"/>
    <w:semiHidden/>
    <w:rsid w:val="0074345D"/>
    <w:pPr>
      <w:suppressAutoHyphens w:val="0"/>
      <w:kinsoku/>
      <w:overflowPunct/>
      <w:autoSpaceDE/>
      <w:autoSpaceDN/>
      <w:adjustRightInd/>
      <w:snapToGrid/>
      <w:ind w:left="566" w:hanging="283"/>
    </w:pPr>
    <w:rPr>
      <w:rFonts w:eastAsia="Times New Roman"/>
      <w:lang w:val="es-ES" w:eastAsia="es-ES"/>
    </w:rPr>
  </w:style>
  <w:style w:type="paragraph" w:styleId="Liste3">
    <w:name w:val="List 3"/>
    <w:basedOn w:val="Normal"/>
    <w:semiHidden/>
    <w:rsid w:val="0074345D"/>
    <w:pPr>
      <w:suppressAutoHyphens w:val="0"/>
      <w:kinsoku/>
      <w:overflowPunct/>
      <w:autoSpaceDE/>
      <w:autoSpaceDN/>
      <w:adjustRightInd/>
      <w:snapToGrid/>
      <w:ind w:left="849" w:hanging="283"/>
    </w:pPr>
    <w:rPr>
      <w:rFonts w:eastAsia="Times New Roman"/>
      <w:lang w:val="es-ES" w:eastAsia="es-ES"/>
    </w:rPr>
  </w:style>
  <w:style w:type="paragraph" w:styleId="Liste4">
    <w:name w:val="List 4"/>
    <w:basedOn w:val="Normal"/>
    <w:semiHidden/>
    <w:rsid w:val="0074345D"/>
    <w:pPr>
      <w:suppressAutoHyphens w:val="0"/>
      <w:kinsoku/>
      <w:overflowPunct/>
      <w:autoSpaceDE/>
      <w:autoSpaceDN/>
      <w:adjustRightInd/>
      <w:snapToGrid/>
      <w:ind w:left="1132" w:hanging="283"/>
    </w:pPr>
    <w:rPr>
      <w:rFonts w:eastAsia="Times New Roman"/>
      <w:lang w:val="es-ES" w:eastAsia="es-ES"/>
    </w:rPr>
  </w:style>
  <w:style w:type="paragraph" w:styleId="Liste5">
    <w:name w:val="List 5"/>
    <w:basedOn w:val="Normal"/>
    <w:semiHidden/>
    <w:rsid w:val="0074345D"/>
    <w:pPr>
      <w:suppressAutoHyphens w:val="0"/>
      <w:kinsoku/>
      <w:overflowPunct/>
      <w:autoSpaceDE/>
      <w:autoSpaceDN/>
      <w:adjustRightInd/>
      <w:snapToGrid/>
      <w:ind w:left="1415" w:hanging="283"/>
    </w:pPr>
    <w:rPr>
      <w:rFonts w:eastAsia="Times New Roman"/>
      <w:lang w:val="es-ES" w:eastAsia="es-ES"/>
    </w:rPr>
  </w:style>
  <w:style w:type="paragraph" w:styleId="Listenumros">
    <w:name w:val="List Number"/>
    <w:basedOn w:val="Normal"/>
    <w:semiHidden/>
    <w:rsid w:val="0074345D"/>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numros2">
    <w:name w:val="List Number 2"/>
    <w:basedOn w:val="Normal"/>
    <w:semiHidden/>
    <w:rsid w:val="0074345D"/>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numros3">
    <w:name w:val="List Number 3"/>
    <w:basedOn w:val="Normal"/>
    <w:semiHidden/>
    <w:rsid w:val="0074345D"/>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numros4">
    <w:name w:val="List Number 4"/>
    <w:basedOn w:val="Normal"/>
    <w:semiHidden/>
    <w:rsid w:val="0074345D"/>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numros5">
    <w:name w:val="List Number 5"/>
    <w:basedOn w:val="Normal"/>
    <w:semiHidden/>
    <w:rsid w:val="0074345D"/>
    <w:pPr>
      <w:tabs>
        <w:tab w:val="num" w:pos="1492"/>
      </w:tabs>
      <w:suppressAutoHyphens w:val="0"/>
      <w:kinsoku/>
      <w:overflowPunct/>
      <w:autoSpaceDE/>
      <w:autoSpaceDN/>
      <w:adjustRightInd/>
      <w:snapToGrid/>
      <w:ind w:left="1492" w:hanging="360"/>
    </w:pPr>
    <w:rPr>
      <w:rFonts w:eastAsia="Times New Roman"/>
      <w:lang w:val="es-ES" w:eastAsia="es-ES"/>
    </w:rPr>
  </w:style>
  <w:style w:type="paragraph" w:styleId="Listepuces">
    <w:name w:val="List Bullet"/>
    <w:basedOn w:val="Normal"/>
    <w:uiPriority w:val="99"/>
    <w:semiHidden/>
    <w:rsid w:val="0074345D"/>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puces2">
    <w:name w:val="List Bullet 2"/>
    <w:basedOn w:val="Normal"/>
    <w:semiHidden/>
    <w:rsid w:val="0074345D"/>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puces3">
    <w:name w:val="List Bullet 3"/>
    <w:basedOn w:val="Normal"/>
    <w:semiHidden/>
    <w:rsid w:val="0074345D"/>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puces4">
    <w:name w:val="List Bullet 4"/>
    <w:basedOn w:val="Normal"/>
    <w:semiHidden/>
    <w:rsid w:val="0074345D"/>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puces5">
    <w:name w:val="List Bullet 5"/>
    <w:basedOn w:val="Normal"/>
    <w:semiHidden/>
    <w:rsid w:val="0074345D"/>
    <w:pPr>
      <w:tabs>
        <w:tab w:val="num" w:pos="1492"/>
      </w:tabs>
      <w:suppressAutoHyphens w:val="0"/>
      <w:kinsoku/>
      <w:overflowPunct/>
      <w:autoSpaceDE/>
      <w:autoSpaceDN/>
      <w:adjustRightInd/>
      <w:snapToGrid/>
      <w:ind w:left="1492" w:hanging="360"/>
    </w:pPr>
    <w:rPr>
      <w:rFonts w:eastAsia="Times New Roman"/>
      <w:lang w:val="es-ES" w:eastAsia="es-ES"/>
    </w:rPr>
  </w:style>
  <w:style w:type="character" w:styleId="MachinecrireHTML">
    <w:name w:val="HTML Typewriter"/>
    <w:semiHidden/>
    <w:rsid w:val="0074345D"/>
    <w:rPr>
      <w:rFonts w:ascii="Courier New" w:hAnsi="Courier New" w:cs="Courier New"/>
      <w:sz w:val="20"/>
      <w:szCs w:val="20"/>
    </w:rPr>
  </w:style>
  <w:style w:type="paragraph" w:styleId="NormalWeb">
    <w:name w:val="Normal (Web)"/>
    <w:aliases w:val="Normal (Web) Char1 Char,Normal (Web) Char Char Char,Normal (Web) Char1"/>
    <w:basedOn w:val="Normal"/>
    <w:uiPriority w:val="99"/>
    <w:rsid w:val="0074345D"/>
    <w:pPr>
      <w:suppressAutoHyphens w:val="0"/>
      <w:kinsoku/>
      <w:overflowPunct/>
      <w:autoSpaceDE/>
      <w:autoSpaceDN/>
      <w:adjustRightInd/>
      <w:snapToGrid/>
    </w:pPr>
    <w:rPr>
      <w:rFonts w:eastAsia="Times New Roman"/>
      <w:sz w:val="24"/>
      <w:szCs w:val="24"/>
      <w:lang w:val="es-ES" w:eastAsia="es-ES"/>
    </w:rPr>
  </w:style>
  <w:style w:type="character" w:styleId="Numrodeligne">
    <w:name w:val="line number"/>
    <w:basedOn w:val="Policepardfaut"/>
    <w:semiHidden/>
    <w:rsid w:val="0074345D"/>
  </w:style>
  <w:style w:type="paragraph" w:styleId="Adresseexpditeur">
    <w:name w:val="envelope return"/>
    <w:basedOn w:val="Normal"/>
    <w:semiHidden/>
    <w:rsid w:val="0074345D"/>
    <w:pPr>
      <w:suppressAutoHyphens w:val="0"/>
      <w:kinsoku/>
      <w:overflowPunct/>
      <w:autoSpaceDE/>
      <w:autoSpaceDN/>
      <w:adjustRightInd/>
      <w:snapToGrid/>
    </w:pPr>
    <w:rPr>
      <w:rFonts w:ascii="Arial" w:eastAsia="Times New Roman" w:hAnsi="Arial" w:cs="Arial"/>
      <w:lang w:val="es-ES" w:eastAsia="es-ES"/>
    </w:rPr>
  </w:style>
  <w:style w:type="paragraph" w:styleId="Salutations">
    <w:name w:val="Salutation"/>
    <w:basedOn w:val="Normal"/>
    <w:next w:val="Normal"/>
    <w:link w:val="SalutationsCar"/>
    <w:semiHidden/>
    <w:rsid w:val="0074345D"/>
    <w:pPr>
      <w:suppressAutoHyphens w:val="0"/>
      <w:kinsoku/>
      <w:overflowPunct/>
      <w:autoSpaceDE/>
      <w:autoSpaceDN/>
      <w:adjustRightInd/>
      <w:snapToGrid/>
    </w:pPr>
    <w:rPr>
      <w:rFonts w:eastAsia="Times New Roman"/>
      <w:lang w:val="es-ES" w:eastAsia="es-ES"/>
    </w:rPr>
  </w:style>
  <w:style w:type="character" w:customStyle="1" w:styleId="SalutationsCar">
    <w:name w:val="Salutations Car"/>
    <w:basedOn w:val="Policepardfaut"/>
    <w:link w:val="Salutations"/>
    <w:semiHidden/>
    <w:rsid w:val="0074345D"/>
    <w:rPr>
      <w:rFonts w:ascii="Times New Roman" w:eastAsia="Times New Roman" w:hAnsi="Times New Roman" w:cs="Times New Roman"/>
      <w:sz w:val="20"/>
      <w:szCs w:val="20"/>
      <w:lang w:val="es-ES" w:eastAsia="es-ES"/>
    </w:rPr>
  </w:style>
  <w:style w:type="paragraph" w:styleId="Retraitcorpsdetexte2">
    <w:name w:val="Body Text Indent 2"/>
    <w:basedOn w:val="Normal"/>
    <w:link w:val="Retraitcorpsdetexte2Car"/>
    <w:semiHidden/>
    <w:rsid w:val="0074345D"/>
    <w:pPr>
      <w:suppressAutoHyphens w:val="0"/>
      <w:kinsoku/>
      <w:overflowPunct/>
      <w:autoSpaceDE/>
      <w:autoSpaceDN/>
      <w:adjustRightInd/>
      <w:snapToGrid/>
      <w:spacing w:after="120" w:line="480" w:lineRule="auto"/>
      <w:ind w:left="283"/>
    </w:pPr>
    <w:rPr>
      <w:rFonts w:eastAsia="Times New Roman"/>
      <w:lang w:val="es-ES" w:eastAsia="es-ES"/>
    </w:rPr>
  </w:style>
  <w:style w:type="character" w:customStyle="1" w:styleId="Retraitcorpsdetexte2Car">
    <w:name w:val="Retrait corps de texte 2 Car"/>
    <w:basedOn w:val="Policepardfaut"/>
    <w:link w:val="Retraitcorpsdetexte2"/>
    <w:semiHidden/>
    <w:rsid w:val="0074345D"/>
    <w:rPr>
      <w:rFonts w:ascii="Times New Roman" w:eastAsia="Times New Roman" w:hAnsi="Times New Roman" w:cs="Times New Roman"/>
      <w:sz w:val="20"/>
      <w:szCs w:val="20"/>
      <w:lang w:val="es-ES" w:eastAsia="es-ES"/>
    </w:rPr>
  </w:style>
  <w:style w:type="paragraph" w:styleId="Retraitcorpsdetexte3">
    <w:name w:val="Body Text Indent 3"/>
    <w:basedOn w:val="Normal"/>
    <w:link w:val="Retraitcorpsdetexte3Car"/>
    <w:semiHidden/>
    <w:rsid w:val="0074345D"/>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Retraitcorpsdetexte3Car">
    <w:name w:val="Retrait corps de texte 3 Car"/>
    <w:basedOn w:val="Policepardfaut"/>
    <w:link w:val="Retraitcorpsdetexte3"/>
    <w:semiHidden/>
    <w:rsid w:val="0074345D"/>
    <w:rPr>
      <w:rFonts w:ascii="Times New Roman" w:eastAsia="Times New Roman" w:hAnsi="Times New Roman" w:cs="Times New Roman"/>
      <w:sz w:val="16"/>
      <w:szCs w:val="16"/>
      <w:lang w:val="es-ES" w:eastAsia="es-ES"/>
    </w:rPr>
  </w:style>
  <w:style w:type="paragraph" w:styleId="Retraitcorpsdetexte">
    <w:name w:val="Body Text Indent"/>
    <w:basedOn w:val="Normal"/>
    <w:link w:val="RetraitcorpsdetexteCar"/>
    <w:semiHidden/>
    <w:rsid w:val="0074345D"/>
    <w:pPr>
      <w:suppressAutoHyphens w:val="0"/>
      <w:kinsoku/>
      <w:overflowPunct/>
      <w:autoSpaceDE/>
      <w:autoSpaceDN/>
      <w:adjustRightInd/>
      <w:snapToGrid/>
      <w:spacing w:after="120"/>
      <w:ind w:left="283"/>
    </w:pPr>
    <w:rPr>
      <w:rFonts w:eastAsia="Times New Roman"/>
      <w:lang w:val="es-ES" w:eastAsia="es-ES"/>
    </w:rPr>
  </w:style>
  <w:style w:type="character" w:customStyle="1" w:styleId="RetraitcorpsdetexteCar">
    <w:name w:val="Retrait corps de texte Car"/>
    <w:basedOn w:val="Policepardfaut"/>
    <w:link w:val="Retraitcorpsdetexte"/>
    <w:semiHidden/>
    <w:rsid w:val="0074345D"/>
    <w:rPr>
      <w:rFonts w:ascii="Times New Roman" w:eastAsia="Times New Roman" w:hAnsi="Times New Roman" w:cs="Times New Roman"/>
      <w:sz w:val="20"/>
      <w:szCs w:val="20"/>
      <w:lang w:val="es-ES" w:eastAsia="es-ES"/>
    </w:rPr>
  </w:style>
  <w:style w:type="paragraph" w:styleId="Retraitnormal">
    <w:name w:val="Normal Indent"/>
    <w:basedOn w:val="Normal"/>
    <w:semiHidden/>
    <w:rsid w:val="0074345D"/>
    <w:pPr>
      <w:suppressAutoHyphens w:val="0"/>
      <w:kinsoku/>
      <w:overflowPunct/>
      <w:autoSpaceDE/>
      <w:autoSpaceDN/>
      <w:adjustRightInd/>
      <w:snapToGrid/>
      <w:ind w:left="567"/>
    </w:pPr>
    <w:rPr>
      <w:rFonts w:eastAsia="Times New Roman"/>
      <w:lang w:val="es-ES" w:eastAsia="es-ES"/>
    </w:rPr>
  </w:style>
  <w:style w:type="paragraph" w:styleId="Sous-titre">
    <w:name w:val="Subtitle"/>
    <w:basedOn w:val="Normal"/>
    <w:link w:val="Sous-titreCar"/>
    <w:rsid w:val="0074345D"/>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ous-titreCar">
    <w:name w:val="Sous-titre Car"/>
    <w:basedOn w:val="Policepardfaut"/>
    <w:link w:val="Sous-titre"/>
    <w:rsid w:val="0074345D"/>
    <w:rPr>
      <w:rFonts w:ascii="Arial" w:eastAsia="Times New Roman" w:hAnsi="Arial" w:cs="Arial"/>
      <w:sz w:val="24"/>
      <w:szCs w:val="24"/>
      <w:lang w:val="es-ES" w:eastAsia="es-ES"/>
    </w:rPr>
  </w:style>
  <w:style w:type="table" w:styleId="Tableausimple1">
    <w:name w:val="Table Simple 1"/>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74345D"/>
    <w:pPr>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74345D"/>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74345D"/>
    <w:pPr>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74345D"/>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74345D"/>
    <w:pPr>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74345D"/>
    <w:pPr>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74345D"/>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74345D"/>
    <w:rPr>
      <w:rFonts w:ascii="Courier New" w:hAnsi="Courier New" w:cs="Courier New"/>
      <w:sz w:val="20"/>
      <w:szCs w:val="20"/>
    </w:rPr>
  </w:style>
  <w:style w:type="paragraph" w:styleId="Normalcentr">
    <w:name w:val="Block Text"/>
    <w:basedOn w:val="Normal"/>
    <w:semiHidden/>
    <w:rsid w:val="0074345D"/>
    <w:pPr>
      <w:suppressAutoHyphens w:val="0"/>
      <w:kinsoku/>
      <w:overflowPunct/>
      <w:autoSpaceDE/>
      <w:autoSpaceDN/>
      <w:adjustRightInd/>
      <w:snapToGrid/>
      <w:spacing w:after="120"/>
      <w:ind w:left="1440" w:right="1440"/>
    </w:pPr>
    <w:rPr>
      <w:rFonts w:eastAsia="Times New Roman"/>
      <w:lang w:val="es-ES" w:eastAsia="es-ES"/>
    </w:rPr>
  </w:style>
  <w:style w:type="character" w:styleId="lev">
    <w:name w:val="Strong"/>
    <w:uiPriority w:val="22"/>
    <w:rsid w:val="0074345D"/>
    <w:rPr>
      <w:b/>
      <w:bCs/>
    </w:rPr>
  </w:style>
  <w:style w:type="paragraph" w:styleId="Corpsdetexte">
    <w:name w:val="Body Text"/>
    <w:basedOn w:val="Normal"/>
    <w:link w:val="CorpsdetexteCar"/>
    <w:semiHidden/>
    <w:rsid w:val="0074345D"/>
    <w:pPr>
      <w:suppressAutoHyphens w:val="0"/>
      <w:kinsoku/>
      <w:overflowPunct/>
      <w:autoSpaceDE/>
      <w:autoSpaceDN/>
      <w:adjustRightInd/>
      <w:snapToGrid/>
      <w:spacing w:after="120"/>
    </w:pPr>
    <w:rPr>
      <w:rFonts w:eastAsia="Times New Roman"/>
      <w:lang w:val="es-ES" w:eastAsia="es-ES"/>
    </w:rPr>
  </w:style>
  <w:style w:type="character" w:customStyle="1" w:styleId="CorpsdetexteCar">
    <w:name w:val="Corps de texte Car"/>
    <w:basedOn w:val="Policepardfaut"/>
    <w:link w:val="Corpsdetexte"/>
    <w:semiHidden/>
    <w:rsid w:val="0074345D"/>
    <w:rPr>
      <w:rFonts w:ascii="Times New Roman" w:eastAsia="Times New Roman" w:hAnsi="Times New Roman" w:cs="Times New Roman"/>
      <w:sz w:val="20"/>
      <w:szCs w:val="20"/>
      <w:lang w:val="es-ES" w:eastAsia="es-ES"/>
    </w:rPr>
  </w:style>
  <w:style w:type="paragraph" w:styleId="Corpsdetexte2">
    <w:name w:val="Body Text 2"/>
    <w:basedOn w:val="Normal"/>
    <w:link w:val="Corpsdetexte2Car"/>
    <w:semiHidden/>
    <w:rsid w:val="0074345D"/>
    <w:pPr>
      <w:suppressAutoHyphens w:val="0"/>
      <w:kinsoku/>
      <w:overflowPunct/>
      <w:autoSpaceDE/>
      <w:autoSpaceDN/>
      <w:adjustRightInd/>
      <w:snapToGrid/>
      <w:spacing w:after="120" w:line="480" w:lineRule="auto"/>
    </w:pPr>
    <w:rPr>
      <w:rFonts w:eastAsia="Times New Roman"/>
      <w:lang w:val="es-ES" w:eastAsia="es-ES"/>
    </w:rPr>
  </w:style>
  <w:style w:type="character" w:customStyle="1" w:styleId="Corpsdetexte2Car">
    <w:name w:val="Corps de texte 2 Car"/>
    <w:basedOn w:val="Policepardfaut"/>
    <w:link w:val="Corpsdetexte2"/>
    <w:semiHidden/>
    <w:rsid w:val="0074345D"/>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semiHidden/>
    <w:rsid w:val="0074345D"/>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Corpsdetexte3Car">
    <w:name w:val="Corps de texte 3 Car"/>
    <w:basedOn w:val="Policepardfaut"/>
    <w:link w:val="Corpsdetexte3"/>
    <w:semiHidden/>
    <w:rsid w:val="0074345D"/>
    <w:rPr>
      <w:rFonts w:ascii="Times New Roman" w:eastAsia="Times New Roman" w:hAnsi="Times New Roman" w:cs="Times New Roman"/>
      <w:sz w:val="16"/>
      <w:szCs w:val="16"/>
      <w:lang w:val="es-ES" w:eastAsia="es-ES"/>
    </w:rPr>
  </w:style>
  <w:style w:type="paragraph" w:styleId="Retrait1religne">
    <w:name w:val="Body Text First Indent"/>
    <w:basedOn w:val="Corpsdetexte"/>
    <w:link w:val="Retrait1religneCar"/>
    <w:semiHidden/>
    <w:rsid w:val="0074345D"/>
    <w:pPr>
      <w:ind w:firstLine="210"/>
    </w:pPr>
  </w:style>
  <w:style w:type="character" w:customStyle="1" w:styleId="Retrait1religneCar">
    <w:name w:val="Retrait 1re ligne Car"/>
    <w:basedOn w:val="CorpsdetexteCar"/>
    <w:link w:val="Retrait1religne"/>
    <w:semiHidden/>
    <w:rsid w:val="0074345D"/>
    <w:rPr>
      <w:rFonts w:ascii="Times New Roman" w:eastAsia="Times New Roma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74345D"/>
    <w:pPr>
      <w:ind w:firstLine="210"/>
    </w:pPr>
  </w:style>
  <w:style w:type="character" w:customStyle="1" w:styleId="Retraitcorpset1religCar">
    <w:name w:val="Retrait corps et 1re lig. Car"/>
    <w:basedOn w:val="RetraitcorpsdetexteCar"/>
    <w:link w:val="Retraitcorpset1relig"/>
    <w:semiHidden/>
    <w:rsid w:val="0074345D"/>
    <w:rPr>
      <w:rFonts w:ascii="Times New Roman" w:eastAsia="Times New Roman" w:hAnsi="Times New Roman" w:cs="Times New Roman"/>
      <w:sz w:val="20"/>
      <w:szCs w:val="20"/>
      <w:lang w:val="es-ES" w:eastAsia="es-ES"/>
    </w:rPr>
  </w:style>
  <w:style w:type="paragraph" w:styleId="Textebrut">
    <w:name w:val="Plain Text"/>
    <w:basedOn w:val="Normal"/>
    <w:link w:val="TextebrutCar"/>
    <w:semiHidden/>
    <w:rsid w:val="0074345D"/>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TextebrutCar">
    <w:name w:val="Texte brut Car"/>
    <w:basedOn w:val="Policepardfaut"/>
    <w:link w:val="Textebrut"/>
    <w:semiHidden/>
    <w:rsid w:val="0074345D"/>
    <w:rPr>
      <w:rFonts w:ascii="Courier New" w:eastAsia="Times New Roman" w:hAnsi="Courier New" w:cs="Courier New"/>
      <w:sz w:val="20"/>
      <w:szCs w:val="20"/>
      <w:lang w:val="es-ES" w:eastAsia="es-ES"/>
    </w:rPr>
  </w:style>
  <w:style w:type="paragraph" w:styleId="Titre">
    <w:name w:val="Title"/>
    <w:basedOn w:val="Normal"/>
    <w:link w:val="TitreCar"/>
    <w:rsid w:val="0074345D"/>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reCar">
    <w:name w:val="Titre Car"/>
    <w:basedOn w:val="Policepardfaut"/>
    <w:link w:val="Titre"/>
    <w:rsid w:val="0074345D"/>
    <w:rPr>
      <w:rFonts w:ascii="Arial" w:eastAsia="Times New Roman" w:hAnsi="Arial" w:cs="Arial"/>
      <w:b/>
      <w:bCs/>
      <w:kern w:val="28"/>
      <w:sz w:val="32"/>
      <w:szCs w:val="32"/>
      <w:lang w:val="es-ES" w:eastAsia="es-ES"/>
    </w:rPr>
  </w:style>
  <w:style w:type="character" w:styleId="VariableHTML">
    <w:name w:val="HTML Variable"/>
    <w:semiHidden/>
    <w:rsid w:val="0074345D"/>
    <w:rPr>
      <w:i/>
      <w:iCs/>
    </w:rPr>
  </w:style>
  <w:style w:type="paragraph" w:styleId="Citationintense">
    <w:name w:val="Intense Quote"/>
    <w:basedOn w:val="Normal"/>
    <w:next w:val="Normal"/>
    <w:link w:val="CitationintenseCar"/>
    <w:uiPriority w:val="30"/>
    <w:rsid w:val="0074345D"/>
    <w:pPr>
      <w:pBdr>
        <w:bottom w:val="single" w:sz="4" w:space="4" w:color="4F81BD"/>
      </w:pBdr>
      <w:suppressAutoHyphens w:val="0"/>
      <w:kinsoku/>
      <w:overflowPunct/>
      <w:autoSpaceDE/>
      <w:autoSpaceDN/>
      <w:adjustRightInd/>
      <w:snapToGrid/>
      <w:spacing w:before="200" w:after="280"/>
      <w:ind w:left="936" w:right="936"/>
    </w:pPr>
    <w:rPr>
      <w:rFonts w:eastAsia="Times New Roman"/>
      <w:b/>
      <w:bCs/>
      <w:i/>
      <w:iCs/>
      <w:color w:val="4F81BD"/>
      <w:lang w:val="es-ES" w:eastAsia="es-ES"/>
    </w:rPr>
  </w:style>
  <w:style w:type="character" w:customStyle="1" w:styleId="CitationintenseCar">
    <w:name w:val="Citation intense Car"/>
    <w:basedOn w:val="Policepardfaut"/>
    <w:link w:val="Citationintense"/>
    <w:uiPriority w:val="30"/>
    <w:rsid w:val="0074345D"/>
    <w:rPr>
      <w:rFonts w:ascii="Times New Roman" w:eastAsia="Times New Roman" w:hAnsi="Times New Roman" w:cs="Times New Roman"/>
      <w:b/>
      <w:bCs/>
      <w:i/>
      <w:iCs/>
      <w:color w:val="4F81BD"/>
      <w:sz w:val="20"/>
      <w:szCs w:val="20"/>
      <w:lang w:val="es-ES" w:eastAsia="es-ES"/>
    </w:rPr>
  </w:style>
  <w:style w:type="character" w:styleId="Accentuationintense">
    <w:name w:val="Intense Emphasis"/>
    <w:uiPriority w:val="21"/>
    <w:rsid w:val="0074345D"/>
    <w:rPr>
      <w:b/>
      <w:bCs/>
      <w:i/>
      <w:iCs/>
      <w:color w:val="4F81BD"/>
    </w:rPr>
  </w:style>
  <w:style w:type="table" w:customStyle="1" w:styleId="Tablaconcuadrcula1">
    <w:name w:val="Tabla con cuadrícula1"/>
    <w:basedOn w:val="TableauNormal"/>
    <w:rsid w:val="0074345D"/>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Aucuneliste"/>
    <w:uiPriority w:val="99"/>
    <w:semiHidden/>
    <w:unhideWhenUsed/>
    <w:rsid w:val="0074345D"/>
  </w:style>
  <w:style w:type="paragraph" w:customStyle="1" w:styleId="Prrafodelista11">
    <w:name w:val="Párrafo de lista11"/>
    <w:basedOn w:val="Normal"/>
    <w:next w:val="Paragraphedeliste"/>
    <w:link w:val="ListParagraphChar"/>
    <w:uiPriority w:val="34"/>
    <w:rsid w:val="0074345D"/>
    <w:pPr>
      <w:suppressAutoHyphens w:val="0"/>
      <w:kinsoku/>
      <w:overflowPunct/>
      <w:autoSpaceDE/>
      <w:autoSpaceDN/>
      <w:adjustRightInd/>
      <w:snapToGrid/>
      <w:spacing w:after="160" w:line="259" w:lineRule="auto"/>
      <w:ind w:left="720"/>
      <w:contextualSpacing/>
    </w:pPr>
    <w:rPr>
      <w:rFonts w:ascii="Calibri" w:eastAsia="Times New Roman" w:hAnsi="Calibri"/>
      <w:sz w:val="22"/>
      <w:szCs w:val="22"/>
      <w:lang w:val="es-ES"/>
    </w:rPr>
  </w:style>
  <w:style w:type="character" w:customStyle="1" w:styleId="ListParagraphChar">
    <w:name w:val="List Paragraph Char"/>
    <w:aliases w:val="Premier Char,Superíndice Char,titulo 5 Char,RECUADRO Char,BULLET Liste Char,MAPA Char,GRÁFICOS Char,List Paragraph-Thesis Char,List Paragraph 1 Char,List-Bulleted Char,Numeracion Informes Char,Subtitulos Char,GRAFICO Char,RAFO Char"/>
    <w:basedOn w:val="Policepardfaut"/>
    <w:link w:val="Prrafodelista11"/>
    <w:uiPriority w:val="34"/>
    <w:qFormat/>
    <w:rsid w:val="0074345D"/>
    <w:rPr>
      <w:rFonts w:ascii="Calibri" w:eastAsia="Times New Roman" w:hAnsi="Calibri" w:cs="Times New Roman"/>
      <w:lang w:val="es-ES" w:eastAsia="en-US"/>
    </w:rPr>
  </w:style>
  <w:style w:type="table" w:customStyle="1" w:styleId="TableGrid1">
    <w:name w:val="Table Grid1"/>
    <w:basedOn w:val="TableauNormal"/>
    <w:next w:val="Grilledutableau"/>
    <w:uiPriority w:val="39"/>
    <w:rsid w:val="0074345D"/>
    <w:pPr>
      <w:spacing w:after="0" w:line="240" w:lineRule="auto"/>
    </w:pPr>
    <w:rPr>
      <w:rFonts w:ascii="Calibri" w:eastAsia="Times New Roman" w:hAnsi="Calibri" w:cs="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4345D"/>
    <w:rPr>
      <w:sz w:val="16"/>
      <w:szCs w:val="16"/>
    </w:rPr>
  </w:style>
  <w:style w:type="paragraph" w:customStyle="1" w:styleId="CommentText1">
    <w:name w:val="Comment Text1"/>
    <w:basedOn w:val="Normal"/>
    <w:next w:val="Commentaire"/>
    <w:link w:val="CommentTextChar"/>
    <w:uiPriority w:val="99"/>
    <w:semiHidden/>
    <w:unhideWhenUsed/>
    <w:rsid w:val="0074345D"/>
    <w:pPr>
      <w:suppressAutoHyphens w:val="0"/>
      <w:kinsoku/>
      <w:overflowPunct/>
      <w:autoSpaceDE/>
      <w:autoSpaceDN/>
      <w:adjustRightInd/>
      <w:snapToGrid/>
      <w:spacing w:after="160" w:line="240" w:lineRule="auto"/>
    </w:pPr>
    <w:rPr>
      <w:rFonts w:eastAsia="Times New Roman"/>
      <w:lang w:val="fr-FR" w:eastAsia="fr-FR"/>
    </w:rPr>
  </w:style>
  <w:style w:type="character" w:customStyle="1" w:styleId="CommentTextChar">
    <w:name w:val="Comment Text Char"/>
    <w:basedOn w:val="Policepardfaut"/>
    <w:link w:val="CommentText1"/>
    <w:uiPriority w:val="99"/>
    <w:semiHidden/>
    <w:rsid w:val="0074345D"/>
    <w:rPr>
      <w:rFonts w:ascii="Times New Roman" w:eastAsia="Times New Roman" w:hAnsi="Times New Roman" w:cs="Times New Roman"/>
      <w:sz w:val="20"/>
      <w:szCs w:val="20"/>
      <w:lang w:val="fr-FR" w:eastAsia="fr-FR"/>
    </w:rPr>
  </w:style>
  <w:style w:type="paragraph" w:customStyle="1" w:styleId="CommentSubject1">
    <w:name w:val="Comment Subject1"/>
    <w:basedOn w:val="Commentaire"/>
    <w:next w:val="Commentaire"/>
    <w:uiPriority w:val="99"/>
    <w:semiHidden/>
    <w:unhideWhenUsed/>
    <w:rsid w:val="0074345D"/>
    <w:pPr>
      <w:spacing w:after="160"/>
    </w:pPr>
    <w:rPr>
      <w:rFonts w:ascii="Calibri" w:hAnsi="Calibri"/>
      <w:b/>
      <w:bCs/>
      <w:lang w:eastAsia="en-US"/>
    </w:rPr>
  </w:style>
  <w:style w:type="character" w:customStyle="1" w:styleId="ObjetducommentaireCar">
    <w:name w:val="Objet du commentaire Car"/>
    <w:basedOn w:val="CommentTextChar"/>
    <w:link w:val="Objetducommentaire"/>
    <w:uiPriority w:val="99"/>
    <w:semiHidden/>
    <w:rsid w:val="0074345D"/>
    <w:rPr>
      <w:rFonts w:ascii="Times New Roman" w:eastAsia="Times New Roman" w:hAnsi="Times New Roman" w:cs="Times New Roman"/>
      <w:sz w:val="20"/>
      <w:szCs w:val="20"/>
      <w:lang w:val="fr-FR" w:eastAsia="fr-FR"/>
    </w:rPr>
  </w:style>
  <w:style w:type="paragraph" w:customStyle="1" w:styleId="ftrefCharCharChar">
    <w:name w:val="ftref Char Char Char"/>
    <w:aliases w:val="Heading 2 Char1 Char Char Char Char,Heading 2 Char2 Char Char Char Char Char,Heading 2 Char Char Char Char Char1 Char Char"/>
    <w:basedOn w:val="Normal"/>
    <w:uiPriority w:val="99"/>
    <w:rsid w:val="0074345D"/>
    <w:pPr>
      <w:suppressAutoHyphens w:val="0"/>
      <w:kinsoku/>
      <w:overflowPunct/>
      <w:autoSpaceDE/>
      <w:autoSpaceDN/>
      <w:adjustRightInd/>
      <w:snapToGrid/>
      <w:spacing w:after="160" w:line="240" w:lineRule="exact"/>
    </w:pPr>
    <w:rPr>
      <w:rFonts w:eastAsia="Times New Roman"/>
      <w:sz w:val="18"/>
      <w:vertAlign w:val="superscript"/>
      <w:lang w:val="fr-FR" w:eastAsia="fr-FR"/>
    </w:rPr>
  </w:style>
  <w:style w:type="paragraph" w:styleId="z-Hautduformulaire">
    <w:name w:val="HTML Top of Form"/>
    <w:basedOn w:val="Normal"/>
    <w:next w:val="Normal"/>
    <w:link w:val="z-HautduformulaireCar"/>
    <w:hidden/>
    <w:uiPriority w:val="99"/>
    <w:semiHidden/>
    <w:unhideWhenUsed/>
    <w:rsid w:val="0074345D"/>
    <w:pPr>
      <w:pBdr>
        <w:bottom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uiPriority w:val="99"/>
    <w:semiHidden/>
    <w:rsid w:val="0074345D"/>
    <w:rPr>
      <w:rFonts w:ascii="Arial" w:eastAsia="Times New Roman" w:hAnsi="Arial" w:cs="Arial"/>
      <w:vanish/>
      <w:sz w:val="16"/>
      <w:szCs w:val="16"/>
      <w:lang w:val="es-ES" w:eastAsia="es-ES"/>
    </w:rPr>
  </w:style>
  <w:style w:type="paragraph" w:styleId="z-Basduformulaire">
    <w:name w:val="HTML Bottom of Form"/>
    <w:basedOn w:val="Normal"/>
    <w:next w:val="Normal"/>
    <w:link w:val="z-BasduformulaireCar"/>
    <w:hidden/>
    <w:uiPriority w:val="99"/>
    <w:semiHidden/>
    <w:unhideWhenUsed/>
    <w:rsid w:val="0074345D"/>
    <w:pPr>
      <w:pBdr>
        <w:top w:val="single" w:sz="6" w:space="1" w:color="auto"/>
      </w:pBdr>
      <w:suppressAutoHyphens w:val="0"/>
      <w:kinsoku/>
      <w:overflowPunct/>
      <w:autoSpaceDE/>
      <w:autoSpaceDN/>
      <w:adjustRightInd/>
      <w:snapToGrid/>
      <w:spacing w:line="240" w:lineRule="auto"/>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uiPriority w:val="99"/>
    <w:semiHidden/>
    <w:rsid w:val="0074345D"/>
    <w:rPr>
      <w:rFonts w:ascii="Arial" w:eastAsia="Times New Roman" w:hAnsi="Arial" w:cs="Arial"/>
      <w:vanish/>
      <w:sz w:val="16"/>
      <w:szCs w:val="16"/>
      <w:lang w:val="es-ES" w:eastAsia="es-ES"/>
    </w:rPr>
  </w:style>
  <w:style w:type="table" w:customStyle="1" w:styleId="Tablaconcuadrcula11">
    <w:name w:val="Tabla con cuadrícula11"/>
    <w:basedOn w:val="TableauNormal"/>
    <w:next w:val="Grilledutableau"/>
    <w:uiPriority w:val="39"/>
    <w:rsid w:val="0074345D"/>
    <w:pPr>
      <w:spacing w:after="0" w:line="240" w:lineRule="auto"/>
    </w:pPr>
    <w:rPr>
      <w:rFonts w:ascii="Calibri" w:eastAsia="Times New Roman" w:hAnsi="Calibri" w:cs="Times New Roman"/>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45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aption1">
    <w:name w:val="Caption1"/>
    <w:basedOn w:val="Normal"/>
    <w:next w:val="Normal"/>
    <w:uiPriority w:val="35"/>
    <w:semiHidden/>
    <w:unhideWhenUsed/>
    <w:qFormat/>
    <w:rsid w:val="0074345D"/>
    <w:pPr>
      <w:suppressAutoHyphens w:val="0"/>
      <w:kinsoku/>
      <w:overflowPunct/>
      <w:autoSpaceDE/>
      <w:autoSpaceDN/>
      <w:adjustRightInd/>
      <w:snapToGrid/>
      <w:spacing w:after="160" w:line="240" w:lineRule="auto"/>
    </w:pPr>
    <w:rPr>
      <w:rFonts w:ascii="Calibri" w:eastAsia="Times New Roman" w:hAnsi="Calibri"/>
      <w:b/>
      <w:bCs/>
      <w:smallCaps/>
      <w:color w:val="44546A"/>
      <w:sz w:val="22"/>
      <w:szCs w:val="22"/>
      <w:lang w:val="es-ES"/>
    </w:rPr>
  </w:style>
  <w:style w:type="paragraph" w:customStyle="1" w:styleId="NoSpacing1">
    <w:name w:val="No Spacing1"/>
    <w:next w:val="Sansinterligne"/>
    <w:uiPriority w:val="1"/>
    <w:rsid w:val="0074345D"/>
    <w:pPr>
      <w:spacing w:after="0" w:line="240" w:lineRule="auto"/>
    </w:pPr>
    <w:rPr>
      <w:rFonts w:ascii="Calibri" w:eastAsia="Times New Roman" w:hAnsi="Calibri" w:cs="Times New Roman"/>
      <w:lang w:val="es-ES" w:eastAsia="en-US"/>
    </w:rPr>
  </w:style>
  <w:style w:type="paragraph" w:customStyle="1" w:styleId="Quote1">
    <w:name w:val="Quote1"/>
    <w:basedOn w:val="Normal"/>
    <w:next w:val="Normal"/>
    <w:uiPriority w:val="29"/>
    <w:rsid w:val="0074345D"/>
    <w:pPr>
      <w:suppressAutoHyphens w:val="0"/>
      <w:kinsoku/>
      <w:overflowPunct/>
      <w:autoSpaceDE/>
      <w:autoSpaceDN/>
      <w:adjustRightInd/>
      <w:snapToGrid/>
      <w:spacing w:before="120" w:after="120" w:line="259" w:lineRule="auto"/>
      <w:ind w:left="720"/>
    </w:pPr>
    <w:rPr>
      <w:rFonts w:ascii="Calibri" w:eastAsia="Times New Roman" w:hAnsi="Calibri"/>
      <w:color w:val="44546A"/>
      <w:sz w:val="24"/>
      <w:szCs w:val="24"/>
      <w:lang w:val="es-ES"/>
    </w:rPr>
  </w:style>
  <w:style w:type="character" w:customStyle="1" w:styleId="CitationCar">
    <w:name w:val="Citation Car"/>
    <w:basedOn w:val="Policepardfaut"/>
    <w:link w:val="Citation"/>
    <w:uiPriority w:val="29"/>
    <w:semiHidden/>
    <w:rsid w:val="0074345D"/>
    <w:rPr>
      <w:color w:val="44546A"/>
      <w:sz w:val="24"/>
      <w:szCs w:val="24"/>
    </w:rPr>
  </w:style>
  <w:style w:type="character" w:customStyle="1" w:styleId="SubtleEmphasis1">
    <w:name w:val="Subtle Emphasis1"/>
    <w:basedOn w:val="Policepardfaut"/>
    <w:uiPriority w:val="19"/>
    <w:rsid w:val="0074345D"/>
    <w:rPr>
      <w:i/>
      <w:iCs/>
      <w:color w:val="595959"/>
    </w:rPr>
  </w:style>
  <w:style w:type="character" w:customStyle="1" w:styleId="SubtleReference1">
    <w:name w:val="Subtle Reference1"/>
    <w:basedOn w:val="Policepardfaut"/>
    <w:uiPriority w:val="31"/>
    <w:rsid w:val="0074345D"/>
    <w:rPr>
      <w:smallCaps/>
      <w:color w:val="595959"/>
      <w:u w:val="none" w:color="7F7F7F"/>
      <w:bdr w:val="none" w:sz="0" w:space="0" w:color="auto"/>
    </w:rPr>
  </w:style>
  <w:style w:type="character" w:customStyle="1" w:styleId="IntenseReference1">
    <w:name w:val="Intense Reference1"/>
    <w:basedOn w:val="Policepardfaut"/>
    <w:uiPriority w:val="32"/>
    <w:rsid w:val="0074345D"/>
    <w:rPr>
      <w:b/>
      <w:bCs/>
      <w:smallCaps/>
      <w:color w:val="44546A"/>
      <w:u w:val="single"/>
    </w:rPr>
  </w:style>
  <w:style w:type="character" w:styleId="Titredulivre">
    <w:name w:val="Book Title"/>
    <w:basedOn w:val="Policepardfaut"/>
    <w:uiPriority w:val="33"/>
    <w:rsid w:val="0074345D"/>
    <w:rPr>
      <w:b/>
      <w:bCs/>
      <w:smallCaps/>
      <w:spacing w:val="10"/>
    </w:rPr>
  </w:style>
  <w:style w:type="paragraph" w:customStyle="1" w:styleId="TOCHeading1">
    <w:name w:val="TOC Heading1"/>
    <w:basedOn w:val="Titre1"/>
    <w:next w:val="Normal"/>
    <w:uiPriority w:val="39"/>
    <w:semiHidden/>
    <w:unhideWhenUsed/>
    <w:qFormat/>
    <w:rsid w:val="0074345D"/>
    <w:pPr>
      <w:numPr>
        <w:numId w:val="0"/>
      </w:numPr>
      <w:tabs>
        <w:tab w:val="clear" w:pos="1701"/>
        <w:tab w:val="clear" w:pos="2268"/>
        <w:tab w:val="clear" w:pos="2835"/>
      </w:tabs>
      <w:suppressAutoHyphens w:val="0"/>
      <w:kinsoku/>
      <w:overflowPunct/>
      <w:autoSpaceDE/>
      <w:autoSpaceDN/>
      <w:adjustRightInd/>
      <w:snapToGrid/>
      <w:spacing w:before="400" w:after="40"/>
      <w:outlineLvl w:val="9"/>
    </w:pPr>
    <w:rPr>
      <w:rFonts w:ascii="Calibri Light" w:eastAsia="Times New Roman" w:hAnsi="Calibri Light"/>
      <w:color w:val="1F4E79"/>
      <w:sz w:val="36"/>
      <w:szCs w:val="36"/>
      <w:lang w:val="es-ES"/>
    </w:rPr>
  </w:style>
  <w:style w:type="table" w:customStyle="1" w:styleId="TableNormal1">
    <w:name w:val="Table Normal1"/>
    <w:rsid w:val="0074345D"/>
    <w:pPr>
      <w:spacing w:before="240" w:after="240"/>
    </w:pPr>
    <w:rPr>
      <w:rFonts w:ascii="Libre Baskerville" w:eastAsia="Libre Baskerville" w:hAnsi="Libre Baskerville" w:cs="Libre Baskerville"/>
      <w:b/>
      <w:sz w:val="20"/>
      <w:szCs w:val="20"/>
      <w:lang w:val="es-BO" w:eastAsia="es-VE"/>
    </w:rPr>
    <w:tblPr>
      <w:tblCellMar>
        <w:top w:w="0" w:type="dxa"/>
        <w:left w:w="0" w:type="dxa"/>
        <w:bottom w:w="0" w:type="dxa"/>
        <w:right w:w="0" w:type="dxa"/>
      </w:tblCellMar>
    </w:tblPr>
  </w:style>
  <w:style w:type="table" w:customStyle="1" w:styleId="78">
    <w:name w:val="78"/>
    <w:basedOn w:val="TableNormal1"/>
    <w:rsid w:val="0074345D"/>
    <w:tblPr/>
  </w:style>
  <w:style w:type="table" w:customStyle="1" w:styleId="77">
    <w:name w:val="77"/>
    <w:basedOn w:val="TableNormal1"/>
    <w:rsid w:val="0074345D"/>
    <w:tblPr/>
  </w:style>
  <w:style w:type="table" w:customStyle="1" w:styleId="76">
    <w:name w:val="76"/>
    <w:basedOn w:val="TableNormal1"/>
    <w:rsid w:val="0074345D"/>
    <w:tblPr/>
  </w:style>
  <w:style w:type="table" w:customStyle="1" w:styleId="75">
    <w:name w:val="75"/>
    <w:basedOn w:val="TableNormal1"/>
    <w:rsid w:val="0074345D"/>
    <w:tblPr/>
  </w:style>
  <w:style w:type="table" w:customStyle="1" w:styleId="74">
    <w:name w:val="74"/>
    <w:basedOn w:val="TableNormal1"/>
    <w:rsid w:val="0074345D"/>
    <w:tblPr/>
  </w:style>
  <w:style w:type="table" w:customStyle="1" w:styleId="73">
    <w:name w:val="73"/>
    <w:basedOn w:val="TableNormal1"/>
    <w:rsid w:val="0074345D"/>
    <w:tblPr/>
  </w:style>
  <w:style w:type="table" w:customStyle="1" w:styleId="72">
    <w:name w:val="72"/>
    <w:basedOn w:val="TableNormal1"/>
    <w:rsid w:val="0074345D"/>
    <w:tblPr/>
  </w:style>
  <w:style w:type="table" w:customStyle="1" w:styleId="71">
    <w:name w:val="71"/>
    <w:basedOn w:val="TableNormal1"/>
    <w:rsid w:val="0074345D"/>
    <w:tblPr/>
  </w:style>
  <w:style w:type="table" w:customStyle="1" w:styleId="70">
    <w:name w:val="70"/>
    <w:basedOn w:val="TableNormal1"/>
    <w:rsid w:val="0074345D"/>
    <w:tblPr/>
  </w:style>
  <w:style w:type="table" w:customStyle="1" w:styleId="69">
    <w:name w:val="69"/>
    <w:basedOn w:val="TableNormal1"/>
    <w:rsid w:val="0074345D"/>
    <w:tblPr/>
  </w:style>
  <w:style w:type="table" w:customStyle="1" w:styleId="68">
    <w:name w:val="68"/>
    <w:basedOn w:val="TableNormal1"/>
    <w:rsid w:val="0074345D"/>
    <w:tblPr/>
  </w:style>
  <w:style w:type="table" w:customStyle="1" w:styleId="67">
    <w:name w:val="67"/>
    <w:basedOn w:val="TableNormal1"/>
    <w:rsid w:val="0074345D"/>
    <w:tblPr/>
  </w:style>
  <w:style w:type="table" w:customStyle="1" w:styleId="66">
    <w:name w:val="66"/>
    <w:basedOn w:val="TableNormal1"/>
    <w:rsid w:val="0074345D"/>
    <w:tblPr/>
  </w:style>
  <w:style w:type="table" w:customStyle="1" w:styleId="65">
    <w:name w:val="65"/>
    <w:basedOn w:val="TableNormal1"/>
    <w:rsid w:val="0074345D"/>
    <w:tblPr/>
  </w:style>
  <w:style w:type="table" w:customStyle="1" w:styleId="64">
    <w:name w:val="64"/>
    <w:basedOn w:val="TableNormal1"/>
    <w:rsid w:val="0074345D"/>
    <w:tblPr/>
  </w:style>
  <w:style w:type="table" w:customStyle="1" w:styleId="63">
    <w:name w:val="63"/>
    <w:basedOn w:val="TableNormal1"/>
    <w:rsid w:val="0074345D"/>
    <w:tblPr/>
  </w:style>
  <w:style w:type="table" w:customStyle="1" w:styleId="62">
    <w:name w:val="62"/>
    <w:basedOn w:val="TableNormal1"/>
    <w:rsid w:val="0074345D"/>
    <w:tblPr/>
  </w:style>
  <w:style w:type="table" w:customStyle="1" w:styleId="61">
    <w:name w:val="61"/>
    <w:basedOn w:val="TableNormal1"/>
    <w:rsid w:val="0074345D"/>
    <w:tblPr/>
  </w:style>
  <w:style w:type="table" w:customStyle="1" w:styleId="60">
    <w:name w:val="60"/>
    <w:basedOn w:val="TableNormal1"/>
    <w:rsid w:val="0074345D"/>
    <w:tblPr/>
  </w:style>
  <w:style w:type="table" w:customStyle="1" w:styleId="59">
    <w:name w:val="59"/>
    <w:basedOn w:val="TableNormal1"/>
    <w:rsid w:val="0074345D"/>
    <w:tblPr/>
  </w:style>
  <w:style w:type="table" w:customStyle="1" w:styleId="58">
    <w:name w:val="58"/>
    <w:basedOn w:val="TableNormal1"/>
    <w:rsid w:val="0074345D"/>
    <w:tblPr/>
  </w:style>
  <w:style w:type="table" w:customStyle="1" w:styleId="57">
    <w:name w:val="57"/>
    <w:basedOn w:val="TableNormal1"/>
    <w:rsid w:val="0074345D"/>
    <w:tblPr/>
  </w:style>
  <w:style w:type="table" w:customStyle="1" w:styleId="56">
    <w:name w:val="56"/>
    <w:basedOn w:val="TableNormal1"/>
    <w:rsid w:val="0074345D"/>
    <w:tblPr/>
  </w:style>
  <w:style w:type="table" w:customStyle="1" w:styleId="55">
    <w:name w:val="55"/>
    <w:basedOn w:val="TableNormal1"/>
    <w:rsid w:val="0074345D"/>
    <w:tblPr/>
  </w:style>
  <w:style w:type="table" w:customStyle="1" w:styleId="54">
    <w:name w:val="54"/>
    <w:basedOn w:val="TableNormal1"/>
    <w:rsid w:val="0074345D"/>
    <w:tblPr/>
  </w:style>
  <w:style w:type="table" w:customStyle="1" w:styleId="53">
    <w:name w:val="53"/>
    <w:basedOn w:val="TableNormal1"/>
    <w:rsid w:val="0074345D"/>
    <w:tblPr/>
  </w:style>
  <w:style w:type="table" w:customStyle="1" w:styleId="52">
    <w:name w:val="52"/>
    <w:basedOn w:val="TableNormal1"/>
    <w:rsid w:val="0074345D"/>
    <w:tblPr/>
  </w:style>
  <w:style w:type="table" w:customStyle="1" w:styleId="51">
    <w:name w:val="51"/>
    <w:basedOn w:val="TableNormal1"/>
    <w:rsid w:val="0074345D"/>
    <w:tblPr/>
  </w:style>
  <w:style w:type="table" w:customStyle="1" w:styleId="50">
    <w:name w:val="50"/>
    <w:basedOn w:val="TableNormal1"/>
    <w:rsid w:val="0074345D"/>
    <w:tblPr/>
  </w:style>
  <w:style w:type="table" w:customStyle="1" w:styleId="49">
    <w:name w:val="49"/>
    <w:basedOn w:val="TableNormal1"/>
    <w:rsid w:val="0074345D"/>
    <w:tblPr/>
  </w:style>
  <w:style w:type="table" w:customStyle="1" w:styleId="48">
    <w:name w:val="48"/>
    <w:basedOn w:val="TableNormal1"/>
    <w:rsid w:val="0074345D"/>
    <w:tblPr/>
  </w:style>
  <w:style w:type="table" w:customStyle="1" w:styleId="47">
    <w:name w:val="47"/>
    <w:basedOn w:val="TableNormal1"/>
    <w:rsid w:val="0074345D"/>
    <w:tblPr/>
  </w:style>
  <w:style w:type="table" w:customStyle="1" w:styleId="46">
    <w:name w:val="46"/>
    <w:basedOn w:val="TableNormal1"/>
    <w:rsid w:val="0074345D"/>
    <w:tblPr/>
  </w:style>
  <w:style w:type="table" w:customStyle="1" w:styleId="45">
    <w:name w:val="45"/>
    <w:basedOn w:val="TableNormal1"/>
    <w:rsid w:val="0074345D"/>
    <w:tblPr/>
  </w:style>
  <w:style w:type="table" w:customStyle="1" w:styleId="44">
    <w:name w:val="44"/>
    <w:basedOn w:val="TableNormal1"/>
    <w:rsid w:val="0074345D"/>
    <w:tblPr/>
  </w:style>
  <w:style w:type="table" w:customStyle="1" w:styleId="43">
    <w:name w:val="43"/>
    <w:basedOn w:val="TableNormal1"/>
    <w:rsid w:val="0074345D"/>
    <w:tblPr/>
  </w:style>
  <w:style w:type="table" w:customStyle="1" w:styleId="42">
    <w:name w:val="42"/>
    <w:basedOn w:val="TableNormal1"/>
    <w:rsid w:val="0074345D"/>
    <w:tblPr/>
  </w:style>
  <w:style w:type="table" w:customStyle="1" w:styleId="41">
    <w:name w:val="41"/>
    <w:basedOn w:val="TableNormal1"/>
    <w:rsid w:val="0074345D"/>
    <w:tblPr/>
  </w:style>
  <w:style w:type="table" w:customStyle="1" w:styleId="40">
    <w:name w:val="40"/>
    <w:basedOn w:val="TableNormal1"/>
    <w:rsid w:val="0074345D"/>
    <w:tblPr/>
  </w:style>
  <w:style w:type="table" w:customStyle="1" w:styleId="39">
    <w:name w:val="39"/>
    <w:basedOn w:val="TableNormal1"/>
    <w:rsid w:val="0074345D"/>
    <w:tblPr/>
  </w:style>
  <w:style w:type="table" w:customStyle="1" w:styleId="38">
    <w:name w:val="38"/>
    <w:basedOn w:val="TableNormal1"/>
    <w:rsid w:val="0074345D"/>
    <w:tblPr/>
  </w:style>
  <w:style w:type="table" w:customStyle="1" w:styleId="37">
    <w:name w:val="37"/>
    <w:basedOn w:val="TableNormal1"/>
    <w:rsid w:val="0074345D"/>
    <w:tblPr/>
  </w:style>
  <w:style w:type="table" w:customStyle="1" w:styleId="36">
    <w:name w:val="36"/>
    <w:basedOn w:val="TableNormal1"/>
    <w:rsid w:val="0074345D"/>
    <w:tblPr/>
  </w:style>
  <w:style w:type="table" w:customStyle="1" w:styleId="35">
    <w:name w:val="35"/>
    <w:basedOn w:val="TableNormal1"/>
    <w:rsid w:val="0074345D"/>
    <w:tblPr/>
  </w:style>
  <w:style w:type="table" w:customStyle="1" w:styleId="34">
    <w:name w:val="34"/>
    <w:basedOn w:val="TableNormal1"/>
    <w:rsid w:val="0074345D"/>
    <w:tblPr/>
  </w:style>
  <w:style w:type="table" w:customStyle="1" w:styleId="33">
    <w:name w:val="33"/>
    <w:basedOn w:val="TableNormal1"/>
    <w:rsid w:val="0074345D"/>
    <w:tblPr/>
  </w:style>
  <w:style w:type="table" w:customStyle="1" w:styleId="32">
    <w:name w:val="32"/>
    <w:basedOn w:val="TableNormal1"/>
    <w:rsid w:val="0074345D"/>
    <w:tblPr/>
  </w:style>
  <w:style w:type="table" w:customStyle="1" w:styleId="31">
    <w:name w:val="31"/>
    <w:basedOn w:val="TableNormal1"/>
    <w:rsid w:val="0074345D"/>
    <w:tblPr/>
  </w:style>
  <w:style w:type="table" w:customStyle="1" w:styleId="30">
    <w:name w:val="30"/>
    <w:basedOn w:val="TableNormal1"/>
    <w:rsid w:val="0074345D"/>
    <w:tblPr/>
  </w:style>
  <w:style w:type="table" w:customStyle="1" w:styleId="29">
    <w:name w:val="29"/>
    <w:basedOn w:val="TableNormal1"/>
    <w:rsid w:val="0074345D"/>
    <w:tblPr/>
  </w:style>
  <w:style w:type="table" w:customStyle="1" w:styleId="28">
    <w:name w:val="28"/>
    <w:basedOn w:val="TableNormal1"/>
    <w:rsid w:val="0074345D"/>
    <w:tblPr/>
  </w:style>
  <w:style w:type="table" w:customStyle="1" w:styleId="27">
    <w:name w:val="27"/>
    <w:basedOn w:val="TableNormal1"/>
    <w:rsid w:val="0074345D"/>
    <w:tblPr/>
  </w:style>
  <w:style w:type="table" w:customStyle="1" w:styleId="26">
    <w:name w:val="26"/>
    <w:basedOn w:val="TableNormal1"/>
    <w:rsid w:val="0074345D"/>
    <w:tblPr/>
  </w:style>
  <w:style w:type="table" w:customStyle="1" w:styleId="25">
    <w:name w:val="25"/>
    <w:basedOn w:val="TableNormal1"/>
    <w:rsid w:val="0074345D"/>
    <w:tblPr/>
  </w:style>
  <w:style w:type="table" w:customStyle="1" w:styleId="24">
    <w:name w:val="24"/>
    <w:basedOn w:val="TableNormal1"/>
    <w:rsid w:val="0074345D"/>
    <w:tblPr/>
  </w:style>
  <w:style w:type="table" w:customStyle="1" w:styleId="23">
    <w:name w:val="23"/>
    <w:basedOn w:val="TableNormal1"/>
    <w:rsid w:val="0074345D"/>
    <w:tblPr/>
  </w:style>
  <w:style w:type="table" w:customStyle="1" w:styleId="22">
    <w:name w:val="22"/>
    <w:basedOn w:val="TableNormal1"/>
    <w:rsid w:val="0074345D"/>
    <w:tblPr/>
  </w:style>
  <w:style w:type="table" w:customStyle="1" w:styleId="21">
    <w:name w:val="21"/>
    <w:basedOn w:val="TableNormal1"/>
    <w:rsid w:val="0074345D"/>
    <w:tblPr/>
  </w:style>
  <w:style w:type="table" w:customStyle="1" w:styleId="20">
    <w:name w:val="20"/>
    <w:basedOn w:val="TableNormal1"/>
    <w:rsid w:val="0074345D"/>
    <w:tblPr/>
  </w:style>
  <w:style w:type="table" w:customStyle="1" w:styleId="19">
    <w:name w:val="19"/>
    <w:basedOn w:val="TableNormal1"/>
    <w:rsid w:val="0074345D"/>
    <w:tblPr/>
  </w:style>
  <w:style w:type="table" w:customStyle="1" w:styleId="18">
    <w:name w:val="18"/>
    <w:basedOn w:val="TableNormal1"/>
    <w:rsid w:val="0074345D"/>
    <w:tblPr/>
  </w:style>
  <w:style w:type="table" w:customStyle="1" w:styleId="17">
    <w:name w:val="17"/>
    <w:basedOn w:val="TableNormal1"/>
    <w:rsid w:val="0074345D"/>
    <w:tblPr/>
  </w:style>
  <w:style w:type="table" w:customStyle="1" w:styleId="16">
    <w:name w:val="16"/>
    <w:basedOn w:val="TableNormal1"/>
    <w:rsid w:val="0074345D"/>
    <w:tblPr/>
  </w:style>
  <w:style w:type="table" w:customStyle="1" w:styleId="15">
    <w:name w:val="15"/>
    <w:basedOn w:val="TableNormal1"/>
    <w:rsid w:val="0074345D"/>
    <w:tblPr/>
  </w:style>
  <w:style w:type="table" w:customStyle="1" w:styleId="14">
    <w:name w:val="14"/>
    <w:basedOn w:val="TableNormal1"/>
    <w:rsid w:val="0074345D"/>
    <w:tblPr/>
  </w:style>
  <w:style w:type="table" w:customStyle="1" w:styleId="13">
    <w:name w:val="13"/>
    <w:basedOn w:val="TableNormal1"/>
    <w:rsid w:val="0074345D"/>
    <w:tblPr/>
  </w:style>
  <w:style w:type="table" w:customStyle="1" w:styleId="12">
    <w:name w:val="12"/>
    <w:basedOn w:val="TableNormal1"/>
    <w:rsid w:val="0074345D"/>
    <w:tblPr/>
  </w:style>
  <w:style w:type="table" w:customStyle="1" w:styleId="11">
    <w:name w:val="11"/>
    <w:basedOn w:val="TableNormal1"/>
    <w:rsid w:val="0074345D"/>
    <w:tblPr/>
  </w:style>
  <w:style w:type="table" w:customStyle="1" w:styleId="10">
    <w:name w:val="10"/>
    <w:basedOn w:val="TableNormal1"/>
    <w:rsid w:val="0074345D"/>
    <w:tblPr/>
  </w:style>
  <w:style w:type="table" w:customStyle="1" w:styleId="9">
    <w:name w:val="9"/>
    <w:basedOn w:val="TableNormal1"/>
    <w:rsid w:val="0074345D"/>
    <w:tblPr/>
  </w:style>
  <w:style w:type="table" w:customStyle="1" w:styleId="8">
    <w:name w:val="8"/>
    <w:basedOn w:val="TableNormal1"/>
    <w:rsid w:val="0074345D"/>
    <w:tblPr/>
  </w:style>
  <w:style w:type="table" w:customStyle="1" w:styleId="7">
    <w:name w:val="7"/>
    <w:basedOn w:val="TableNormal1"/>
    <w:rsid w:val="0074345D"/>
    <w:tblPr/>
  </w:style>
  <w:style w:type="table" w:customStyle="1" w:styleId="6">
    <w:name w:val="6"/>
    <w:basedOn w:val="TableNormal1"/>
    <w:rsid w:val="0074345D"/>
    <w:tblPr/>
  </w:style>
  <w:style w:type="table" w:customStyle="1" w:styleId="5">
    <w:name w:val="5"/>
    <w:basedOn w:val="TableNormal1"/>
    <w:rsid w:val="0074345D"/>
    <w:tblPr/>
  </w:style>
  <w:style w:type="table" w:customStyle="1" w:styleId="4">
    <w:name w:val="4"/>
    <w:basedOn w:val="TableNormal1"/>
    <w:rsid w:val="0074345D"/>
    <w:tblPr/>
  </w:style>
  <w:style w:type="table" w:customStyle="1" w:styleId="3">
    <w:name w:val="3"/>
    <w:basedOn w:val="TableNormal1"/>
    <w:rsid w:val="0074345D"/>
    <w:tblPr/>
  </w:style>
  <w:style w:type="table" w:customStyle="1" w:styleId="2">
    <w:name w:val="2"/>
    <w:basedOn w:val="TableNormal1"/>
    <w:rsid w:val="0074345D"/>
    <w:tblPr/>
  </w:style>
  <w:style w:type="table" w:customStyle="1" w:styleId="1">
    <w:name w:val="1"/>
    <w:basedOn w:val="TableNormal1"/>
    <w:rsid w:val="0074345D"/>
    <w:tblPr/>
  </w:style>
  <w:style w:type="character" w:customStyle="1" w:styleId="s1">
    <w:name w:val="s1"/>
    <w:basedOn w:val="Policepardfaut"/>
    <w:rsid w:val="0074345D"/>
  </w:style>
  <w:style w:type="paragraph" w:styleId="TM1">
    <w:name w:val="toc 1"/>
    <w:basedOn w:val="Normal"/>
    <w:next w:val="Normal"/>
    <w:autoRedefine/>
    <w:uiPriority w:val="39"/>
    <w:unhideWhenUsed/>
    <w:rsid w:val="0074345D"/>
    <w:pPr>
      <w:suppressAutoHyphens w:val="0"/>
      <w:kinsoku/>
      <w:overflowPunct/>
      <w:autoSpaceDE/>
      <w:autoSpaceDN/>
      <w:adjustRightInd/>
      <w:snapToGrid/>
      <w:spacing w:before="240" w:after="100" w:line="276" w:lineRule="auto"/>
    </w:pPr>
    <w:rPr>
      <w:rFonts w:ascii="Libre Baskerville" w:eastAsia="Libre Baskerville" w:hAnsi="Libre Baskerville" w:cs="Libre Baskerville"/>
      <w:b/>
      <w:lang w:val="es-BO" w:eastAsia="es-VE"/>
    </w:rPr>
  </w:style>
  <w:style w:type="paragraph" w:styleId="TM3">
    <w:name w:val="toc 3"/>
    <w:basedOn w:val="Normal"/>
    <w:next w:val="Normal"/>
    <w:autoRedefine/>
    <w:uiPriority w:val="39"/>
    <w:unhideWhenUsed/>
    <w:rsid w:val="0074345D"/>
    <w:pPr>
      <w:suppressAutoHyphens w:val="0"/>
      <w:kinsoku/>
      <w:overflowPunct/>
      <w:autoSpaceDE/>
      <w:autoSpaceDN/>
      <w:adjustRightInd/>
      <w:snapToGrid/>
      <w:spacing w:before="240" w:after="100" w:line="276" w:lineRule="auto"/>
      <w:ind w:left="400"/>
    </w:pPr>
    <w:rPr>
      <w:rFonts w:ascii="Libre Baskerville" w:eastAsia="Libre Baskerville" w:hAnsi="Libre Baskerville" w:cs="Libre Baskerville"/>
      <w:b/>
      <w:lang w:val="es-BO" w:eastAsia="es-VE"/>
    </w:rPr>
  </w:style>
  <w:style w:type="paragraph" w:styleId="TM4">
    <w:name w:val="toc 4"/>
    <w:basedOn w:val="Normal"/>
    <w:next w:val="Normal"/>
    <w:autoRedefine/>
    <w:uiPriority w:val="39"/>
    <w:unhideWhenUsed/>
    <w:rsid w:val="0074345D"/>
    <w:pPr>
      <w:suppressAutoHyphens w:val="0"/>
      <w:kinsoku/>
      <w:overflowPunct/>
      <w:autoSpaceDE/>
      <w:autoSpaceDN/>
      <w:adjustRightInd/>
      <w:snapToGrid/>
      <w:spacing w:before="240" w:after="100" w:line="276" w:lineRule="auto"/>
      <w:ind w:left="600"/>
    </w:pPr>
    <w:rPr>
      <w:rFonts w:ascii="Libre Baskerville" w:eastAsia="Libre Baskerville" w:hAnsi="Libre Baskerville" w:cs="Libre Baskerville"/>
      <w:b/>
      <w:lang w:val="es-BO" w:eastAsia="es-VE"/>
    </w:rPr>
  </w:style>
  <w:style w:type="paragraph" w:customStyle="1" w:styleId="TOC21">
    <w:name w:val="TOC 21"/>
    <w:basedOn w:val="Normal"/>
    <w:next w:val="Normal"/>
    <w:autoRedefine/>
    <w:uiPriority w:val="39"/>
    <w:unhideWhenUsed/>
    <w:rsid w:val="0074345D"/>
    <w:pPr>
      <w:suppressAutoHyphens w:val="0"/>
      <w:kinsoku/>
      <w:overflowPunct/>
      <w:autoSpaceDE/>
      <w:autoSpaceDN/>
      <w:adjustRightInd/>
      <w:snapToGrid/>
      <w:spacing w:after="100" w:line="276" w:lineRule="auto"/>
      <w:ind w:left="220"/>
    </w:pPr>
    <w:rPr>
      <w:rFonts w:ascii="Calibri" w:eastAsia="Times New Roman" w:hAnsi="Calibri"/>
      <w:sz w:val="22"/>
      <w:szCs w:val="22"/>
      <w:lang w:val="es-BO" w:eastAsia="es-BO"/>
    </w:rPr>
  </w:style>
  <w:style w:type="paragraph" w:customStyle="1" w:styleId="TOC51">
    <w:name w:val="TOC 51"/>
    <w:basedOn w:val="Normal"/>
    <w:next w:val="Normal"/>
    <w:autoRedefine/>
    <w:uiPriority w:val="39"/>
    <w:unhideWhenUsed/>
    <w:rsid w:val="0074345D"/>
    <w:pPr>
      <w:suppressAutoHyphens w:val="0"/>
      <w:kinsoku/>
      <w:overflowPunct/>
      <w:autoSpaceDE/>
      <w:autoSpaceDN/>
      <w:adjustRightInd/>
      <w:snapToGrid/>
      <w:spacing w:after="100" w:line="276" w:lineRule="auto"/>
      <w:ind w:left="880"/>
    </w:pPr>
    <w:rPr>
      <w:rFonts w:ascii="Calibri" w:eastAsia="Times New Roman" w:hAnsi="Calibri"/>
      <w:sz w:val="22"/>
      <w:szCs w:val="22"/>
      <w:lang w:val="es-BO" w:eastAsia="es-BO"/>
    </w:rPr>
  </w:style>
  <w:style w:type="paragraph" w:customStyle="1" w:styleId="TOC61">
    <w:name w:val="TOC 61"/>
    <w:basedOn w:val="Normal"/>
    <w:next w:val="Normal"/>
    <w:autoRedefine/>
    <w:uiPriority w:val="39"/>
    <w:unhideWhenUsed/>
    <w:rsid w:val="0074345D"/>
    <w:pPr>
      <w:suppressAutoHyphens w:val="0"/>
      <w:kinsoku/>
      <w:overflowPunct/>
      <w:autoSpaceDE/>
      <w:autoSpaceDN/>
      <w:adjustRightInd/>
      <w:snapToGrid/>
      <w:spacing w:after="100" w:line="276" w:lineRule="auto"/>
      <w:ind w:left="1100"/>
    </w:pPr>
    <w:rPr>
      <w:rFonts w:ascii="Calibri" w:eastAsia="Times New Roman" w:hAnsi="Calibri"/>
      <w:sz w:val="22"/>
      <w:szCs w:val="22"/>
      <w:lang w:val="es-BO" w:eastAsia="es-BO"/>
    </w:rPr>
  </w:style>
  <w:style w:type="paragraph" w:customStyle="1" w:styleId="TOC71">
    <w:name w:val="TOC 71"/>
    <w:basedOn w:val="Normal"/>
    <w:next w:val="Normal"/>
    <w:autoRedefine/>
    <w:uiPriority w:val="39"/>
    <w:unhideWhenUsed/>
    <w:rsid w:val="0074345D"/>
    <w:pPr>
      <w:suppressAutoHyphens w:val="0"/>
      <w:kinsoku/>
      <w:overflowPunct/>
      <w:autoSpaceDE/>
      <w:autoSpaceDN/>
      <w:adjustRightInd/>
      <w:snapToGrid/>
      <w:spacing w:after="100" w:line="276" w:lineRule="auto"/>
      <w:ind w:left="1320"/>
    </w:pPr>
    <w:rPr>
      <w:rFonts w:ascii="Calibri" w:eastAsia="Times New Roman" w:hAnsi="Calibri"/>
      <w:sz w:val="22"/>
      <w:szCs w:val="22"/>
      <w:lang w:val="es-BO" w:eastAsia="es-BO"/>
    </w:rPr>
  </w:style>
  <w:style w:type="paragraph" w:customStyle="1" w:styleId="TOC81">
    <w:name w:val="TOC 81"/>
    <w:basedOn w:val="Normal"/>
    <w:next w:val="Normal"/>
    <w:autoRedefine/>
    <w:uiPriority w:val="39"/>
    <w:unhideWhenUsed/>
    <w:rsid w:val="0074345D"/>
    <w:pPr>
      <w:suppressAutoHyphens w:val="0"/>
      <w:kinsoku/>
      <w:overflowPunct/>
      <w:autoSpaceDE/>
      <w:autoSpaceDN/>
      <w:adjustRightInd/>
      <w:snapToGrid/>
      <w:spacing w:after="100" w:line="276" w:lineRule="auto"/>
      <w:ind w:left="1540"/>
    </w:pPr>
    <w:rPr>
      <w:rFonts w:ascii="Calibri" w:eastAsia="Times New Roman" w:hAnsi="Calibri"/>
      <w:sz w:val="22"/>
      <w:szCs w:val="22"/>
      <w:lang w:val="es-BO" w:eastAsia="es-BO"/>
    </w:rPr>
  </w:style>
  <w:style w:type="paragraph" w:customStyle="1" w:styleId="TOC91">
    <w:name w:val="TOC 91"/>
    <w:basedOn w:val="Normal"/>
    <w:next w:val="Normal"/>
    <w:autoRedefine/>
    <w:uiPriority w:val="39"/>
    <w:unhideWhenUsed/>
    <w:rsid w:val="0074345D"/>
    <w:pPr>
      <w:suppressAutoHyphens w:val="0"/>
      <w:kinsoku/>
      <w:overflowPunct/>
      <w:autoSpaceDE/>
      <w:autoSpaceDN/>
      <w:adjustRightInd/>
      <w:snapToGrid/>
      <w:spacing w:after="100" w:line="276" w:lineRule="auto"/>
      <w:ind w:left="1760"/>
    </w:pPr>
    <w:rPr>
      <w:rFonts w:ascii="Calibri" w:eastAsia="Times New Roman" w:hAnsi="Calibri"/>
      <w:sz w:val="22"/>
      <w:szCs w:val="22"/>
      <w:lang w:val="es-BO" w:eastAsia="es-BO"/>
    </w:rPr>
  </w:style>
  <w:style w:type="character" w:customStyle="1" w:styleId="A5">
    <w:name w:val="A5"/>
    <w:uiPriority w:val="99"/>
    <w:unhideWhenUsed/>
    <w:rsid w:val="0074345D"/>
    <w:rPr>
      <w:rFonts w:hint="default"/>
      <w:i/>
      <w:sz w:val="19"/>
    </w:rPr>
  </w:style>
  <w:style w:type="table" w:customStyle="1" w:styleId="PlainTable21">
    <w:name w:val="Plain Table 21"/>
    <w:basedOn w:val="TableauNormal"/>
    <w:next w:val="Tableausimple20"/>
    <w:uiPriority w:val="42"/>
    <w:rsid w:val="0074345D"/>
    <w:pPr>
      <w:spacing w:after="0" w:line="240" w:lineRule="auto"/>
    </w:pPr>
    <w:rPr>
      <w:rFonts w:ascii="Calibri" w:eastAsia="Times New Roman" w:hAnsi="Calibri" w:cs="Times New Roman"/>
      <w:lang w:val="es-E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4-Accent61">
    <w:name w:val="List Table 4 - Accent 61"/>
    <w:basedOn w:val="TableauNormal"/>
    <w:next w:val="TableauListe4-Accentuation6"/>
    <w:uiPriority w:val="49"/>
    <w:rsid w:val="0074345D"/>
    <w:pPr>
      <w:spacing w:after="0" w:line="240" w:lineRule="auto"/>
    </w:pPr>
    <w:rPr>
      <w:rFonts w:ascii="Calibri" w:eastAsia="Times New Roman" w:hAnsi="Calibri" w:cs="Times New Roman"/>
      <w:lang w:val="es-E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auNormal"/>
    <w:next w:val="TableauGrille5Fonc-Accentuation6"/>
    <w:uiPriority w:val="50"/>
    <w:rsid w:val="0074345D"/>
    <w:pPr>
      <w:spacing w:after="0" w:line="240" w:lineRule="auto"/>
    </w:pPr>
    <w:rPr>
      <w:rFonts w:ascii="Calibri" w:eastAsia="Times New Roman" w:hAnsi="Calibri" w:cs="Times New Roman"/>
      <w:lang w:val="es-E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5Dark-Accent61">
    <w:name w:val="List Table 5 Dark - Accent 61"/>
    <w:basedOn w:val="TableauNormal"/>
    <w:next w:val="TableauListe5Fonc-Accentuation6"/>
    <w:uiPriority w:val="50"/>
    <w:rsid w:val="0074345D"/>
    <w:pPr>
      <w:spacing w:after="0" w:line="240" w:lineRule="auto"/>
    </w:pPr>
    <w:rPr>
      <w:rFonts w:ascii="Calibri" w:eastAsia="Times New Roman" w:hAnsi="Calibri" w:cs="Times New Roman"/>
      <w:color w:val="FFFFFF"/>
      <w:lang w:val="es-ES" w:eastAsia="en-U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Paragraphedeliste">
    <w:name w:val="List Paragraph"/>
    <w:basedOn w:val="Normal"/>
    <w:uiPriority w:val="34"/>
    <w:semiHidden/>
    <w:qFormat/>
    <w:rsid w:val="0074345D"/>
    <w:pPr>
      <w:suppressAutoHyphens w:val="0"/>
      <w:kinsoku/>
      <w:overflowPunct/>
      <w:autoSpaceDE/>
      <w:autoSpaceDN/>
      <w:adjustRightInd/>
      <w:snapToGrid/>
      <w:ind w:left="720"/>
      <w:contextualSpacing/>
    </w:pPr>
    <w:rPr>
      <w:rFonts w:eastAsia="Times New Roman"/>
      <w:lang w:val="es-ES" w:eastAsia="es-ES"/>
    </w:rPr>
  </w:style>
  <w:style w:type="paragraph" w:styleId="Commentaire">
    <w:name w:val="annotation text"/>
    <w:basedOn w:val="Normal"/>
    <w:link w:val="CommentaireCar"/>
    <w:semiHidden/>
    <w:unhideWhenUsed/>
    <w:rsid w:val="0074345D"/>
    <w:pPr>
      <w:suppressAutoHyphens w:val="0"/>
      <w:kinsoku/>
      <w:overflowPunct/>
      <w:autoSpaceDE/>
      <w:autoSpaceDN/>
      <w:adjustRightInd/>
      <w:snapToGrid/>
      <w:spacing w:line="240" w:lineRule="auto"/>
    </w:pPr>
    <w:rPr>
      <w:rFonts w:eastAsia="Times New Roman"/>
      <w:lang w:val="es-ES" w:eastAsia="es-ES"/>
    </w:rPr>
  </w:style>
  <w:style w:type="character" w:customStyle="1" w:styleId="CommentaireCar">
    <w:name w:val="Commentaire Car"/>
    <w:basedOn w:val="Policepardfaut"/>
    <w:link w:val="Commentaire"/>
    <w:semiHidden/>
    <w:rsid w:val="0074345D"/>
    <w:rPr>
      <w:rFonts w:ascii="Times New Roman" w:eastAsia="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uiPriority w:val="99"/>
    <w:semiHidden/>
    <w:unhideWhenUsed/>
    <w:rsid w:val="0074345D"/>
    <w:rPr>
      <w:lang w:val="fr-FR" w:eastAsia="fr-FR"/>
    </w:rPr>
  </w:style>
  <w:style w:type="character" w:customStyle="1" w:styleId="ObjetducommentaireCar1">
    <w:name w:val="Objet du commentaire Car1"/>
    <w:basedOn w:val="CommentaireCar"/>
    <w:uiPriority w:val="99"/>
    <w:semiHidden/>
    <w:rsid w:val="0074345D"/>
    <w:rPr>
      <w:rFonts w:ascii="Times New Roman" w:eastAsia="Times New Roman" w:hAnsi="Times New Roman" w:cs="Times New Roman"/>
      <w:b/>
      <w:bCs/>
      <w:sz w:val="20"/>
      <w:szCs w:val="20"/>
      <w:lang w:val="es-ES" w:eastAsia="es-ES"/>
    </w:rPr>
  </w:style>
  <w:style w:type="character" w:customStyle="1" w:styleId="CommentSubjectChar1">
    <w:name w:val="Comment Subject Char1"/>
    <w:basedOn w:val="CommentaireCar"/>
    <w:semiHidden/>
    <w:rsid w:val="0074345D"/>
    <w:rPr>
      <w:rFonts w:ascii="Times New Roman" w:eastAsia="Times New Roman" w:hAnsi="Times New Roman" w:cs="Times New Roman"/>
      <w:b/>
      <w:bCs/>
      <w:sz w:val="20"/>
      <w:szCs w:val="20"/>
      <w:lang w:val="es-ES" w:eastAsia="es-ES"/>
    </w:rPr>
  </w:style>
  <w:style w:type="paragraph" w:styleId="Sansinterligne">
    <w:name w:val="No Spacing"/>
    <w:uiPriority w:val="1"/>
    <w:semiHidden/>
    <w:qFormat/>
    <w:rsid w:val="0074345D"/>
    <w:pPr>
      <w:spacing w:after="0" w:line="240" w:lineRule="auto"/>
    </w:pPr>
    <w:rPr>
      <w:rFonts w:ascii="Times New Roman" w:eastAsia="Times New Roman" w:hAnsi="Times New Roman" w:cs="Times New Roman"/>
      <w:sz w:val="20"/>
      <w:szCs w:val="20"/>
      <w:lang w:val="es-ES" w:eastAsia="es-ES"/>
    </w:rPr>
  </w:style>
  <w:style w:type="paragraph" w:styleId="Citation">
    <w:name w:val="Quote"/>
    <w:basedOn w:val="Normal"/>
    <w:next w:val="Normal"/>
    <w:link w:val="CitationCar"/>
    <w:uiPriority w:val="29"/>
    <w:semiHidden/>
    <w:qFormat/>
    <w:rsid w:val="0074345D"/>
    <w:pPr>
      <w:suppressAutoHyphens w:val="0"/>
      <w:kinsoku/>
      <w:overflowPunct/>
      <w:autoSpaceDE/>
      <w:autoSpaceDN/>
      <w:adjustRightInd/>
      <w:snapToGrid/>
      <w:spacing w:before="200" w:after="160"/>
      <w:ind w:left="864" w:right="864"/>
      <w:jc w:val="center"/>
    </w:pPr>
    <w:rPr>
      <w:rFonts w:asciiTheme="minorHAnsi" w:eastAsiaTheme="minorEastAsia" w:hAnsiTheme="minorHAnsi" w:cstheme="minorBidi"/>
      <w:color w:val="44546A"/>
      <w:sz w:val="24"/>
      <w:szCs w:val="24"/>
      <w:lang w:eastAsia="zh-CN"/>
    </w:rPr>
  </w:style>
  <w:style w:type="character" w:customStyle="1" w:styleId="CitationCar1">
    <w:name w:val="Citation Car1"/>
    <w:basedOn w:val="Policepardfaut"/>
    <w:uiPriority w:val="29"/>
    <w:semiHidden/>
    <w:rsid w:val="0074345D"/>
    <w:rPr>
      <w:rFonts w:ascii="Times New Roman" w:eastAsiaTheme="minorHAnsi" w:hAnsi="Times New Roman" w:cs="Times New Roman"/>
      <w:i/>
      <w:iCs/>
      <w:color w:val="404040" w:themeColor="text1" w:themeTint="BF"/>
      <w:sz w:val="20"/>
      <w:szCs w:val="20"/>
      <w:lang w:eastAsia="en-US"/>
    </w:rPr>
  </w:style>
  <w:style w:type="character" w:customStyle="1" w:styleId="QuoteChar1">
    <w:name w:val="Quote Char1"/>
    <w:basedOn w:val="Policepardfaut"/>
    <w:uiPriority w:val="29"/>
    <w:semiHidden/>
    <w:rsid w:val="0074345D"/>
    <w:rPr>
      <w:i/>
      <w:iCs/>
      <w:color w:val="404040" w:themeColor="text1" w:themeTint="BF"/>
      <w:lang w:val="es-ES" w:eastAsia="es-ES"/>
    </w:rPr>
  </w:style>
  <w:style w:type="character" w:styleId="Accentuationlgre">
    <w:name w:val="Subtle Emphasis"/>
    <w:basedOn w:val="Policepardfaut"/>
    <w:uiPriority w:val="19"/>
    <w:semiHidden/>
    <w:qFormat/>
    <w:rsid w:val="0074345D"/>
    <w:rPr>
      <w:i/>
      <w:iCs/>
      <w:color w:val="404040" w:themeColor="text1" w:themeTint="BF"/>
    </w:rPr>
  </w:style>
  <w:style w:type="character" w:styleId="Rfrencelgre">
    <w:name w:val="Subtle Reference"/>
    <w:basedOn w:val="Policepardfaut"/>
    <w:uiPriority w:val="31"/>
    <w:semiHidden/>
    <w:qFormat/>
    <w:rsid w:val="0074345D"/>
    <w:rPr>
      <w:smallCaps/>
      <w:color w:val="5A5A5A" w:themeColor="text1" w:themeTint="A5"/>
    </w:rPr>
  </w:style>
  <w:style w:type="character" w:styleId="Rfrenceintense">
    <w:name w:val="Intense Reference"/>
    <w:basedOn w:val="Policepardfaut"/>
    <w:uiPriority w:val="32"/>
    <w:semiHidden/>
    <w:qFormat/>
    <w:rsid w:val="0074345D"/>
    <w:rPr>
      <w:b/>
      <w:bCs/>
      <w:smallCaps/>
      <w:color w:val="4F81BD" w:themeColor="accent1"/>
      <w:spacing w:val="5"/>
    </w:rPr>
  </w:style>
  <w:style w:type="table" w:styleId="Tableausimple20">
    <w:name w:val="Plain Table 2"/>
    <w:basedOn w:val="TableauNormal"/>
    <w:uiPriority w:val="42"/>
    <w:rsid w:val="0074345D"/>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Liste4-Accentuation6">
    <w:name w:val="List Table 4 Accent 6"/>
    <w:basedOn w:val="TableauNormal"/>
    <w:uiPriority w:val="49"/>
    <w:rsid w:val="0074345D"/>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Accentuation6">
    <w:name w:val="Grid Table 5 Dark Accent 6"/>
    <w:basedOn w:val="TableauNormal"/>
    <w:uiPriority w:val="50"/>
    <w:rsid w:val="0074345D"/>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Liste5Fonc-Accentuation6">
    <w:name w:val="List Table 5 Dark Accent 6"/>
    <w:basedOn w:val="TableauNormal"/>
    <w:uiPriority w:val="50"/>
    <w:rsid w:val="0074345D"/>
    <w:pPr>
      <w:spacing w:after="0" w:line="240" w:lineRule="auto"/>
    </w:pPr>
    <w:rPr>
      <w:rFonts w:ascii="Times New Roman" w:eastAsia="Times New Roman" w:hAnsi="Times New Roman" w:cs="Times New Roman"/>
      <w:color w:val="FFFFFF" w:themeColor="background1"/>
      <w:sz w:val="20"/>
      <w:szCs w:val="20"/>
      <w:lang w:val="fr-FR" w:eastAsia="fr-FR"/>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Mentionnonrsolue">
    <w:name w:val="Unresolved Mention"/>
    <w:basedOn w:val="Policepardfaut"/>
    <w:uiPriority w:val="99"/>
    <w:semiHidden/>
    <w:unhideWhenUsed/>
    <w:rsid w:val="0074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cancilleria.gob.bo/webmre/node/3567" TargetMode="External"/><Relationship Id="rId2" Type="http://schemas.openxmlformats.org/officeDocument/2006/relationships/hyperlink" Target="https://www.cancilleria.gob.bo/webmre/node/3567" TargetMode="External"/><Relationship Id="rId1" Type="http://schemas.openxmlformats.org/officeDocument/2006/relationships/hyperlink" Target="https://www.migracion.gob.bo/index.php?r=page/detail&amp;id=105" TargetMode="External"/><Relationship Id="rId4" Type="http://schemas.openxmlformats.org/officeDocument/2006/relationships/hyperlink" Target="https://fiscalia.gob.bo/index.php/institucional/escuelafisc/87-fge/1707-victimas-y-testig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6159-55C7-4650-887B-34FB9EC8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8</TotalTime>
  <Pages>35</Pages>
  <Words>14094</Words>
  <Characters>84567</Characters>
  <Application>Microsoft Office Word</Application>
  <DocSecurity>0</DocSecurity>
  <Lines>12081</Lines>
  <Paragraphs>5192</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CAT/C/BOL/RQ/3</vt:lpstr>
      <vt:lpstr>Réponses de l’État plurinational de Bolivie  à la liste de points concernant s</vt:lpstr>
      <vt:lpstr>        Liste des abréviations</vt:lpstr>
      <vt:lpstr>    I.	Introduction</vt:lpstr>
      <vt:lpstr>    II.	Réponses aux questions du Comité</vt:lpstr>
      <vt:lpstr>        A.	Renseignements sur la suite donnée à certaines des recommandations figurant </vt:lpstr>
      <vt:lpstr>        B.		Autres questions</vt:lpstr>
    </vt:vector>
  </TitlesOfParts>
  <Company>DCM</Company>
  <LinksUpToDate>false</LinksUpToDate>
  <CharactersWithSpaces>93469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CAT/C/BOL/RQ/3</dc:title>
  <dc:subject/>
  <dc:creator>Corinne ROBERT</dc:creator>
  <cp:keywords/>
  <cp:lastModifiedBy>Corinne ROBERT</cp:lastModifiedBy>
  <cp:revision>4</cp:revision>
  <cp:lastPrinted>2020-12-04T14:32:00Z</cp:lastPrinted>
  <dcterms:created xsi:type="dcterms:W3CDTF">2020-12-04T14:32:00Z</dcterms:created>
  <dcterms:modified xsi:type="dcterms:W3CDTF">2020-12-04T14:40:00Z</dcterms:modified>
</cp:coreProperties>
</file>