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240B0" w14:paraId="6A9509E6" w14:textId="77777777" w:rsidTr="00E56EE3">
        <w:trPr>
          <w:trHeight w:hRule="exact" w:val="851"/>
        </w:trPr>
        <w:tc>
          <w:tcPr>
            <w:tcW w:w="1280" w:type="dxa"/>
            <w:tcBorders>
              <w:bottom w:val="single" w:sz="4" w:space="0" w:color="auto"/>
            </w:tcBorders>
            <w:shd w:val="clear" w:color="auto" w:fill="auto"/>
          </w:tcPr>
          <w:p w14:paraId="25FBE519" w14:textId="77777777" w:rsidR="002D5AAC" w:rsidRDefault="002D5AAC" w:rsidP="00E56EE3"/>
        </w:tc>
        <w:tc>
          <w:tcPr>
            <w:tcW w:w="2273" w:type="dxa"/>
            <w:tcBorders>
              <w:bottom w:val="single" w:sz="4" w:space="0" w:color="auto"/>
            </w:tcBorders>
            <w:shd w:val="clear" w:color="auto" w:fill="auto"/>
            <w:vAlign w:val="bottom"/>
          </w:tcPr>
          <w:p w14:paraId="4B90BE75" w14:textId="77777777" w:rsidR="002D5AAC" w:rsidRPr="00D4778E" w:rsidRDefault="00752388"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0AE76832" w14:textId="77777777" w:rsidR="002D5AAC" w:rsidRDefault="00752388" w:rsidP="00E56EE3">
            <w:pPr>
              <w:jc w:val="right"/>
            </w:pPr>
            <w:r w:rsidRPr="00F43810">
              <w:rPr>
                <w:sz w:val="40"/>
              </w:rPr>
              <w:t>CAT</w:t>
            </w:r>
            <w:r w:rsidRPr="00F43810">
              <w:t>/</w:t>
            </w:r>
            <w:r w:rsidR="000B432F">
              <w:t>C/BOL/RQ/3</w:t>
            </w:r>
          </w:p>
        </w:tc>
      </w:tr>
      <w:tr w:rsidR="001240B0" w14:paraId="0C912BC0" w14:textId="77777777" w:rsidTr="00E56EE3">
        <w:trPr>
          <w:trHeight w:hRule="exact" w:val="2835"/>
        </w:trPr>
        <w:tc>
          <w:tcPr>
            <w:tcW w:w="1280" w:type="dxa"/>
            <w:tcBorders>
              <w:top w:val="single" w:sz="4" w:space="0" w:color="auto"/>
              <w:bottom w:val="single" w:sz="12" w:space="0" w:color="auto"/>
            </w:tcBorders>
            <w:shd w:val="clear" w:color="auto" w:fill="auto"/>
          </w:tcPr>
          <w:p w14:paraId="72A99E2F" w14:textId="77777777" w:rsidR="002D5AAC" w:rsidRDefault="00752388" w:rsidP="00E56EE3">
            <w:pPr>
              <w:spacing w:before="120"/>
              <w:jc w:val="center"/>
            </w:pPr>
            <w:r>
              <w:rPr>
                <w:noProof/>
                <w:lang w:val="en-GB" w:eastAsia="en-GB"/>
              </w:rPr>
              <w:drawing>
                <wp:inline distT="0" distB="0" distL="0" distR="0" wp14:anchorId="1546BA50" wp14:editId="55664CE1">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905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02664E9" w14:textId="77777777" w:rsidR="002D5AAC" w:rsidRPr="00D4778E" w:rsidRDefault="00752388" w:rsidP="00E56EE3">
            <w:pPr>
              <w:spacing w:before="120" w:line="360" w:lineRule="exact"/>
              <w:rPr>
                <w:b/>
                <w:sz w:val="34"/>
                <w:szCs w:val="34"/>
              </w:rPr>
            </w:pPr>
            <w:r w:rsidRPr="00D4778E">
              <w:rPr>
                <w:b/>
                <w:sz w:val="34"/>
                <w:szCs w:val="34"/>
              </w:rPr>
              <w:t xml:space="preserve">Convención contra </w:t>
            </w:r>
            <w:r w:rsidR="007021FF" w:rsidRPr="00D4778E">
              <w:rPr>
                <w:b/>
                <w:sz w:val="34"/>
                <w:szCs w:val="34"/>
              </w:rPr>
              <w:t xml:space="preserve">la </w:t>
            </w:r>
            <w:r w:rsidRPr="00D4778E">
              <w:rPr>
                <w:b/>
                <w:sz w:val="34"/>
                <w:szCs w:val="34"/>
              </w:rPr>
              <w:t>Tortura</w:t>
            </w:r>
            <w:r w:rsidR="00033EE1" w:rsidRPr="00D4778E">
              <w:rPr>
                <w:b/>
                <w:sz w:val="34"/>
                <w:szCs w:val="34"/>
              </w:rPr>
              <w:br/>
            </w:r>
            <w:r w:rsidRPr="00D4778E">
              <w:rPr>
                <w:b/>
                <w:sz w:val="34"/>
                <w:szCs w:val="34"/>
              </w:rPr>
              <w:t xml:space="preserve">y Otros </w:t>
            </w:r>
            <w:r w:rsidR="007021FF" w:rsidRPr="00D4778E">
              <w:rPr>
                <w:b/>
                <w:sz w:val="34"/>
                <w:szCs w:val="34"/>
              </w:rPr>
              <w:t xml:space="preserve">Tratos </w:t>
            </w:r>
            <w:r w:rsidRPr="00D4778E">
              <w:rPr>
                <w:b/>
                <w:sz w:val="34"/>
                <w:szCs w:val="34"/>
              </w:rPr>
              <w:t>o Penas Crueles,</w:t>
            </w:r>
            <w:r w:rsidRPr="00D4778E">
              <w:rPr>
                <w:b/>
                <w:sz w:val="34"/>
                <w:szCs w:val="34"/>
              </w:rPr>
              <w:br/>
              <w:t>Inhumanos o Degradantes</w:t>
            </w:r>
          </w:p>
        </w:tc>
        <w:tc>
          <w:tcPr>
            <w:tcW w:w="2819" w:type="dxa"/>
            <w:tcBorders>
              <w:top w:val="single" w:sz="4" w:space="0" w:color="auto"/>
              <w:bottom w:val="single" w:sz="12" w:space="0" w:color="auto"/>
            </w:tcBorders>
            <w:shd w:val="clear" w:color="auto" w:fill="auto"/>
          </w:tcPr>
          <w:p w14:paraId="0BFA37F5" w14:textId="77777777" w:rsidR="00935A0B" w:rsidRPr="00330FE9" w:rsidRDefault="00752388" w:rsidP="00935A0B">
            <w:pPr>
              <w:spacing w:before="240" w:line="240" w:lineRule="exact"/>
            </w:pPr>
            <w:r w:rsidRPr="00330FE9">
              <w:t xml:space="preserve">Distr. </w:t>
            </w:r>
            <w:r w:rsidR="000B432F" w:rsidRPr="00330FE9">
              <w:t>general</w:t>
            </w:r>
          </w:p>
          <w:p w14:paraId="1941687B" w14:textId="77777777" w:rsidR="00B36B7E" w:rsidRPr="00330FE9" w:rsidRDefault="002F6D32" w:rsidP="00935A0B">
            <w:r>
              <w:t>2</w:t>
            </w:r>
            <w:r w:rsidRPr="00330FE9">
              <w:t xml:space="preserve"> </w:t>
            </w:r>
            <w:r w:rsidR="000B432F" w:rsidRPr="00330FE9">
              <w:t xml:space="preserve">de </w:t>
            </w:r>
            <w:r w:rsidR="00853DEF">
              <w:t xml:space="preserve">octubre </w:t>
            </w:r>
            <w:r w:rsidR="000B432F" w:rsidRPr="00330FE9">
              <w:t>de 2020</w:t>
            </w:r>
          </w:p>
          <w:p w14:paraId="7D51EC2E" w14:textId="77777777" w:rsidR="00B36B7E" w:rsidRPr="00330FE9" w:rsidRDefault="00B36B7E" w:rsidP="00935A0B"/>
          <w:p w14:paraId="4ADE9513" w14:textId="77777777" w:rsidR="00935A0B" w:rsidRPr="00330FE9" w:rsidRDefault="00752388" w:rsidP="00935A0B">
            <w:r w:rsidRPr="00330FE9">
              <w:t xml:space="preserve">Original: </w:t>
            </w:r>
            <w:r w:rsidR="000B432F" w:rsidRPr="00330FE9">
              <w:t>español</w:t>
            </w:r>
          </w:p>
          <w:p w14:paraId="5809D730" w14:textId="77777777" w:rsidR="002D5AAC" w:rsidRDefault="000B432F" w:rsidP="00935A0B">
            <w:pPr>
              <w:spacing w:line="240" w:lineRule="exact"/>
            </w:pPr>
            <w:r>
              <w:t>Español, francés e inglés únicamente</w:t>
            </w:r>
          </w:p>
        </w:tc>
      </w:tr>
    </w:tbl>
    <w:p w14:paraId="38481A06" w14:textId="77777777" w:rsidR="00760AD9" w:rsidRDefault="00760AD9" w:rsidP="00760AD9">
      <w:pPr>
        <w:spacing w:before="120"/>
      </w:pPr>
      <w:r w:rsidRPr="002541C7">
        <w:rPr>
          <w:b/>
          <w:sz w:val="24"/>
        </w:rPr>
        <w:t>Comité contra la Tortura</w:t>
      </w:r>
    </w:p>
    <w:p w14:paraId="411B37A3" w14:textId="77777777" w:rsidR="00760AD9" w:rsidRPr="007E2C6D" w:rsidRDefault="00760AD9" w:rsidP="00760AD9">
      <w:pPr>
        <w:rPr>
          <w:b/>
        </w:rPr>
      </w:pPr>
      <w:r w:rsidRPr="002C3864">
        <w:rPr>
          <w:b/>
        </w:rPr>
        <w:t>7</w:t>
      </w:r>
      <w:r w:rsidR="005821F5">
        <w:rPr>
          <w:b/>
        </w:rPr>
        <w:t>1</w:t>
      </w:r>
      <w:r w:rsidR="00C24BEB" w:rsidRPr="00777507">
        <w:rPr>
          <w:b/>
          <w:vertAlign w:val="superscript"/>
        </w:rPr>
        <w:t>er</w:t>
      </w:r>
      <w:r w:rsidRPr="002C3864">
        <w:rPr>
          <w:b/>
        </w:rPr>
        <w:t xml:space="preserve"> </w:t>
      </w:r>
      <w:r>
        <w:rPr>
          <w:b/>
        </w:rPr>
        <w:t>período de sesiones</w:t>
      </w:r>
    </w:p>
    <w:p w14:paraId="4C3251CA" w14:textId="77777777" w:rsidR="00760AD9" w:rsidRPr="00760AD9" w:rsidRDefault="005821F5" w:rsidP="00760AD9">
      <w:r>
        <w:t>2</w:t>
      </w:r>
      <w:r w:rsidR="00D25A1F">
        <w:t>6</w:t>
      </w:r>
      <w:r w:rsidR="00760AD9">
        <w:t xml:space="preserve"> de </w:t>
      </w:r>
      <w:r>
        <w:t>abril</w:t>
      </w:r>
      <w:r w:rsidR="00760AD9">
        <w:t xml:space="preserve"> a </w:t>
      </w:r>
      <w:r>
        <w:t>21</w:t>
      </w:r>
      <w:r w:rsidR="00760AD9">
        <w:t xml:space="preserve"> de </w:t>
      </w:r>
      <w:r>
        <w:t xml:space="preserve">mayo </w:t>
      </w:r>
      <w:r w:rsidR="00330FE9">
        <w:t xml:space="preserve">de </w:t>
      </w:r>
      <w:r>
        <w:t>2021</w:t>
      </w:r>
      <w:r w:rsidR="00760AD9">
        <w:br/>
      </w:r>
      <w:r w:rsidR="00760AD9" w:rsidRPr="00CE2D57">
        <w:rPr>
          <w:b/>
        </w:rPr>
        <w:t>Examen de los informes presentados por los Estados partes</w:t>
      </w:r>
      <w:r w:rsidR="00760AD9" w:rsidRPr="00CE2D57">
        <w:rPr>
          <w:b/>
        </w:rPr>
        <w:br/>
        <w:t>en virtud del artículo 19 de la Convención</w:t>
      </w:r>
    </w:p>
    <w:p w14:paraId="41788999" w14:textId="77777777" w:rsidR="003D01D8" w:rsidRPr="00911112" w:rsidRDefault="00752388">
      <w:pPr>
        <w:pStyle w:val="HMG"/>
      </w:pPr>
      <w:r>
        <w:tab/>
      </w:r>
      <w:r>
        <w:tab/>
      </w:r>
      <w:r w:rsidRPr="003F13AB">
        <w:t>Respuestas</w:t>
      </w:r>
      <w:r w:rsidR="00DC61A4" w:rsidRPr="003F13AB">
        <w:t xml:space="preserve"> </w:t>
      </w:r>
      <w:r w:rsidR="000B432F" w:rsidRPr="003F13AB">
        <w:t xml:space="preserve">del Estado </w:t>
      </w:r>
      <w:r w:rsidR="000B432F" w:rsidRPr="00911112">
        <w:t xml:space="preserve">Plurinacional de </w:t>
      </w:r>
      <w:r w:rsidR="00853DEF">
        <w:br/>
      </w:r>
      <w:r w:rsidR="000B432F" w:rsidRPr="00911112">
        <w:t>Bolivia</w:t>
      </w:r>
      <w:r w:rsidRPr="00911112">
        <w:t xml:space="preserve"> a la lista de cuestiones</w:t>
      </w:r>
      <w:r w:rsidR="003F13AB" w:rsidRPr="00911112">
        <w:t xml:space="preserve"> </w:t>
      </w:r>
      <w:r w:rsidR="00E5206E" w:rsidRPr="00911112">
        <w:t xml:space="preserve">relativa </w:t>
      </w:r>
      <w:r w:rsidR="00853DEF">
        <w:br/>
      </w:r>
      <w:r w:rsidR="00E5206E" w:rsidRPr="00911112">
        <w:t>a</w:t>
      </w:r>
      <w:r w:rsidR="00E13371" w:rsidRPr="00911112">
        <w:t xml:space="preserve"> </w:t>
      </w:r>
      <w:r w:rsidR="00545EA7" w:rsidRPr="00911112">
        <w:t>su</w:t>
      </w:r>
      <w:r w:rsidR="003F13AB" w:rsidRPr="00911112">
        <w:t xml:space="preserve"> </w:t>
      </w:r>
      <w:r w:rsidR="00130514" w:rsidRPr="00911112">
        <w:t>tercer informe periódico</w:t>
      </w:r>
      <w:r w:rsidRPr="00911112">
        <w:rPr>
          <w:rStyle w:val="Refdenotaalpie"/>
          <w:b w:val="0"/>
          <w:sz w:val="20"/>
          <w:vertAlign w:val="baseline"/>
        </w:rPr>
        <w:footnoteReference w:customMarkFollows="1" w:id="1"/>
        <w:t>*</w:t>
      </w:r>
    </w:p>
    <w:p w14:paraId="48439CE8" w14:textId="77777777" w:rsidR="003D01D8" w:rsidRPr="00911112" w:rsidRDefault="00752388" w:rsidP="003D01D8">
      <w:pPr>
        <w:pStyle w:val="SingleTxtG"/>
        <w:jc w:val="right"/>
      </w:pPr>
      <w:r w:rsidRPr="00911112">
        <w:t>[Fecha de recepción: 7 de septiembre de 2020]</w:t>
      </w:r>
    </w:p>
    <w:p w14:paraId="64E74074" w14:textId="77777777" w:rsidR="00752388" w:rsidRDefault="00752388">
      <w:pPr>
        <w:spacing w:line="240" w:lineRule="auto"/>
      </w:pPr>
      <w:r>
        <w:br w:type="page"/>
      </w:r>
    </w:p>
    <w:p w14:paraId="16A0899F" w14:textId="77777777" w:rsidR="00B36B7E" w:rsidRDefault="00911112" w:rsidP="00911112">
      <w:pPr>
        <w:pStyle w:val="H1G"/>
        <w:rPr>
          <w:lang w:eastAsia="en-US"/>
        </w:rPr>
      </w:pPr>
      <w:r>
        <w:rPr>
          <w:lang w:eastAsia="en-US"/>
        </w:rPr>
        <w:lastRenderedPageBreak/>
        <w:tab/>
      </w:r>
      <w:r>
        <w:rPr>
          <w:lang w:eastAsia="en-US"/>
        </w:rPr>
        <w:tab/>
      </w:r>
      <w:r w:rsidR="00752388" w:rsidRPr="00752388">
        <w:rPr>
          <w:lang w:eastAsia="en-US"/>
        </w:rPr>
        <w:t>A</w:t>
      </w:r>
      <w:r w:rsidR="00D57A5A">
        <w:rPr>
          <w:lang w:eastAsia="en-US"/>
        </w:rPr>
        <w:t xml:space="preserve">breviaciones </w:t>
      </w:r>
    </w:p>
    <w:p w14:paraId="27CC4652" w14:textId="77777777" w:rsidR="00752388" w:rsidRPr="00752388" w:rsidRDefault="00752388" w:rsidP="00911112">
      <w:pPr>
        <w:pStyle w:val="SingleTxtG"/>
        <w:rPr>
          <w:lang w:eastAsia="en-US"/>
        </w:rPr>
      </w:pPr>
      <w:r w:rsidRPr="00752388">
        <w:rPr>
          <w:lang w:eastAsia="en-US"/>
        </w:rPr>
        <w:t>ACNUR</w:t>
      </w:r>
      <w:r w:rsidRPr="00752388">
        <w:rPr>
          <w:lang w:eastAsia="en-US"/>
        </w:rPr>
        <w:tab/>
        <w:t xml:space="preserve">Alto Comisionado de las Naciones Unidas para los Refugiados </w:t>
      </w:r>
    </w:p>
    <w:p w14:paraId="62B27C0C" w14:textId="77777777" w:rsidR="00752388" w:rsidRPr="00752388" w:rsidRDefault="00752388" w:rsidP="00911112">
      <w:pPr>
        <w:pStyle w:val="SingleTxtG"/>
        <w:rPr>
          <w:lang w:eastAsia="en-US"/>
        </w:rPr>
      </w:pPr>
      <w:r w:rsidRPr="00752388">
        <w:rPr>
          <w:lang w:eastAsia="en-US"/>
        </w:rPr>
        <w:t>CPP</w:t>
      </w:r>
      <w:r w:rsidRPr="00752388">
        <w:rPr>
          <w:lang w:eastAsia="en-US"/>
        </w:rPr>
        <w:tab/>
      </w:r>
      <w:r w:rsidRPr="00752388">
        <w:rPr>
          <w:lang w:eastAsia="en-US"/>
        </w:rPr>
        <w:tab/>
        <w:t xml:space="preserve">Código de Procedimiento Penal </w:t>
      </w:r>
    </w:p>
    <w:p w14:paraId="744DC467" w14:textId="77777777" w:rsidR="00752388" w:rsidRPr="00752388" w:rsidRDefault="00752388" w:rsidP="00911112">
      <w:pPr>
        <w:pStyle w:val="SingleTxtG"/>
        <w:rPr>
          <w:lang w:val="es-MX" w:eastAsia="en-US"/>
        </w:rPr>
      </w:pPr>
      <w:r w:rsidRPr="00752388">
        <w:rPr>
          <w:lang w:val="es-MX" w:eastAsia="en-US"/>
        </w:rPr>
        <w:t>CNNA</w:t>
      </w:r>
      <w:r w:rsidRPr="00752388">
        <w:rPr>
          <w:lang w:val="es-MX" w:eastAsia="en-US"/>
        </w:rPr>
        <w:tab/>
      </w:r>
      <w:r w:rsidRPr="00752388">
        <w:rPr>
          <w:lang w:val="es-MX" w:eastAsia="en-US"/>
        </w:rPr>
        <w:tab/>
        <w:t xml:space="preserve">Código Niña, Niño y Adolescente </w:t>
      </w:r>
    </w:p>
    <w:p w14:paraId="6674A0C5" w14:textId="77777777" w:rsidR="00752388" w:rsidRPr="00752388" w:rsidRDefault="00752388" w:rsidP="00911112">
      <w:pPr>
        <w:pStyle w:val="SingleTxtG"/>
        <w:rPr>
          <w:lang w:eastAsia="en-US"/>
        </w:rPr>
      </w:pPr>
      <w:r w:rsidRPr="00752388">
        <w:rPr>
          <w:lang w:eastAsia="en-US"/>
        </w:rPr>
        <w:t>CP</w:t>
      </w:r>
      <w:r w:rsidRPr="00752388">
        <w:rPr>
          <w:lang w:eastAsia="en-US"/>
        </w:rPr>
        <w:tab/>
      </w:r>
      <w:r w:rsidRPr="00752388">
        <w:rPr>
          <w:lang w:eastAsia="en-US"/>
        </w:rPr>
        <w:tab/>
        <w:t xml:space="preserve">Código Penal </w:t>
      </w:r>
    </w:p>
    <w:p w14:paraId="2348A16D" w14:textId="77777777" w:rsidR="00752388" w:rsidRPr="00752388" w:rsidRDefault="00752388" w:rsidP="00911112">
      <w:pPr>
        <w:pStyle w:val="SingleTxtG"/>
        <w:rPr>
          <w:lang w:eastAsia="en-US"/>
        </w:rPr>
      </w:pPr>
      <w:r w:rsidRPr="00752388">
        <w:rPr>
          <w:lang w:eastAsia="en-US"/>
        </w:rPr>
        <w:t>CPCo</w:t>
      </w:r>
      <w:r w:rsidRPr="00752388">
        <w:rPr>
          <w:lang w:eastAsia="en-US"/>
        </w:rPr>
        <w:tab/>
      </w:r>
      <w:r w:rsidRPr="00752388">
        <w:rPr>
          <w:lang w:eastAsia="en-US"/>
        </w:rPr>
        <w:tab/>
        <w:t xml:space="preserve">Código Procesal Constitucional </w:t>
      </w:r>
    </w:p>
    <w:p w14:paraId="34658FBD" w14:textId="77777777" w:rsidR="00752388" w:rsidRPr="00752388" w:rsidRDefault="00752388" w:rsidP="00911112">
      <w:pPr>
        <w:pStyle w:val="SingleTxtG"/>
        <w:rPr>
          <w:lang w:eastAsia="en-US"/>
        </w:rPr>
      </w:pPr>
      <w:r w:rsidRPr="00752388">
        <w:rPr>
          <w:bCs/>
          <w:lang w:eastAsia="en-US"/>
        </w:rPr>
        <w:t>CONARE</w:t>
      </w:r>
      <w:r w:rsidRPr="00752388">
        <w:rPr>
          <w:bCs/>
          <w:lang w:eastAsia="en-US"/>
        </w:rPr>
        <w:tab/>
      </w:r>
      <w:r w:rsidRPr="00752388">
        <w:rPr>
          <w:lang w:eastAsia="en-US"/>
        </w:rPr>
        <w:t xml:space="preserve">Comisión Nacional de Refugiados </w:t>
      </w:r>
    </w:p>
    <w:p w14:paraId="374827E4" w14:textId="77777777" w:rsidR="00752388" w:rsidRPr="00752388" w:rsidRDefault="00752388" w:rsidP="00911112">
      <w:pPr>
        <w:pStyle w:val="SingleTxtG"/>
        <w:rPr>
          <w:lang w:eastAsia="en-US"/>
        </w:rPr>
      </w:pPr>
      <w:r w:rsidRPr="00752388">
        <w:rPr>
          <w:lang w:eastAsia="en-US"/>
        </w:rPr>
        <w:t>CAT</w:t>
      </w:r>
      <w:r w:rsidRPr="00752388">
        <w:rPr>
          <w:lang w:eastAsia="en-US"/>
        </w:rPr>
        <w:tab/>
      </w:r>
      <w:r w:rsidRPr="00752388">
        <w:rPr>
          <w:lang w:eastAsia="en-US"/>
        </w:rPr>
        <w:tab/>
        <w:t xml:space="preserve">Comité contra la Tortura </w:t>
      </w:r>
    </w:p>
    <w:p w14:paraId="662F34AF" w14:textId="77777777" w:rsidR="00752388" w:rsidRPr="00752388" w:rsidRDefault="00752388" w:rsidP="00911112">
      <w:pPr>
        <w:pStyle w:val="SingleTxtG"/>
        <w:rPr>
          <w:lang w:eastAsia="en-US"/>
        </w:rPr>
      </w:pPr>
      <w:r w:rsidRPr="00752388">
        <w:rPr>
          <w:lang w:eastAsia="en-US"/>
        </w:rPr>
        <w:t>CPE</w:t>
      </w:r>
      <w:r w:rsidRPr="00752388">
        <w:rPr>
          <w:lang w:eastAsia="en-US"/>
        </w:rPr>
        <w:tab/>
      </w:r>
      <w:r w:rsidRPr="00752388">
        <w:rPr>
          <w:lang w:eastAsia="en-US"/>
        </w:rPr>
        <w:tab/>
        <w:t xml:space="preserve">Constitución Política del Estado </w:t>
      </w:r>
    </w:p>
    <w:p w14:paraId="3C051C21" w14:textId="77777777" w:rsidR="00752388" w:rsidRPr="00752388" w:rsidRDefault="00752388" w:rsidP="00911112">
      <w:pPr>
        <w:pStyle w:val="SingleTxtG"/>
        <w:rPr>
          <w:lang w:eastAsia="en-US"/>
        </w:rPr>
      </w:pPr>
      <w:r w:rsidRPr="00752388">
        <w:rPr>
          <w:bCs/>
          <w:lang w:eastAsia="en-US"/>
        </w:rPr>
        <w:t>COVID</w:t>
      </w:r>
      <w:r w:rsidRPr="00752388">
        <w:rPr>
          <w:lang w:eastAsia="en-US"/>
        </w:rPr>
        <w:t>-19</w:t>
      </w:r>
      <w:r w:rsidRPr="00752388">
        <w:rPr>
          <w:lang w:eastAsia="en-US"/>
        </w:rPr>
        <w:tab/>
        <w:t xml:space="preserve">Coronavirus 19 </w:t>
      </w:r>
    </w:p>
    <w:p w14:paraId="2B14EFD0" w14:textId="77777777" w:rsidR="00752388" w:rsidRPr="00752388" w:rsidRDefault="00752388" w:rsidP="00911112">
      <w:pPr>
        <w:pStyle w:val="SingleTxtG"/>
        <w:rPr>
          <w:lang w:eastAsia="en-US"/>
        </w:rPr>
      </w:pPr>
      <w:r w:rsidRPr="00752388">
        <w:rPr>
          <w:lang w:eastAsia="en-US"/>
        </w:rPr>
        <w:t>DS</w:t>
      </w:r>
      <w:r w:rsidRPr="00752388">
        <w:rPr>
          <w:lang w:eastAsia="en-US"/>
        </w:rPr>
        <w:tab/>
      </w:r>
      <w:r w:rsidRPr="00752388">
        <w:rPr>
          <w:lang w:eastAsia="en-US"/>
        </w:rPr>
        <w:tab/>
        <w:t xml:space="preserve">Decreto Supremo </w:t>
      </w:r>
    </w:p>
    <w:p w14:paraId="5D40BF86" w14:textId="77777777" w:rsidR="00752388" w:rsidRPr="00752388" w:rsidRDefault="00752388" w:rsidP="00911112">
      <w:pPr>
        <w:pStyle w:val="SingleTxtG"/>
        <w:rPr>
          <w:lang w:eastAsia="en-US"/>
        </w:rPr>
      </w:pPr>
      <w:r w:rsidRPr="00752388">
        <w:rPr>
          <w:lang w:eastAsia="en-US"/>
        </w:rPr>
        <w:t>DIGEMIG</w:t>
      </w:r>
      <w:r w:rsidRPr="00752388">
        <w:rPr>
          <w:lang w:eastAsia="en-US"/>
        </w:rPr>
        <w:tab/>
        <w:t xml:space="preserve">Dirección General de Migración </w:t>
      </w:r>
    </w:p>
    <w:p w14:paraId="18006407" w14:textId="77777777" w:rsidR="00752388" w:rsidRPr="00752388" w:rsidRDefault="00752388" w:rsidP="00911112">
      <w:pPr>
        <w:pStyle w:val="SingleTxtG"/>
        <w:rPr>
          <w:lang w:eastAsia="en-US"/>
        </w:rPr>
      </w:pPr>
      <w:r w:rsidRPr="00752388">
        <w:rPr>
          <w:lang w:eastAsia="en-US"/>
        </w:rPr>
        <w:t>DGRP</w:t>
      </w:r>
      <w:r w:rsidRPr="00752388">
        <w:rPr>
          <w:lang w:eastAsia="en-US"/>
        </w:rPr>
        <w:tab/>
      </w:r>
      <w:r w:rsidRPr="00752388">
        <w:rPr>
          <w:lang w:eastAsia="en-US"/>
        </w:rPr>
        <w:tab/>
        <w:t xml:space="preserve">Dirección General de Régimen Penitenciario </w:t>
      </w:r>
    </w:p>
    <w:p w14:paraId="620A2D0B" w14:textId="77777777" w:rsidR="00752388" w:rsidRPr="00752388" w:rsidRDefault="00752388" w:rsidP="00911112">
      <w:pPr>
        <w:pStyle w:val="SingleTxtG"/>
        <w:rPr>
          <w:lang w:eastAsia="en-US"/>
        </w:rPr>
      </w:pPr>
      <w:r w:rsidRPr="00752388">
        <w:rPr>
          <w:lang w:eastAsia="en-US"/>
        </w:rPr>
        <w:t>ETAS</w:t>
      </w:r>
      <w:r w:rsidRPr="00752388">
        <w:rPr>
          <w:lang w:eastAsia="en-US"/>
        </w:rPr>
        <w:tab/>
      </w:r>
      <w:r w:rsidRPr="00752388">
        <w:rPr>
          <w:lang w:eastAsia="en-US"/>
        </w:rPr>
        <w:tab/>
        <w:t xml:space="preserve">Entidades Territoriales Autónomas </w:t>
      </w:r>
    </w:p>
    <w:p w14:paraId="3B6EEA4B" w14:textId="77777777" w:rsidR="00752388" w:rsidRPr="00752388" w:rsidRDefault="00752388" w:rsidP="00911112">
      <w:pPr>
        <w:pStyle w:val="SingleTxtG"/>
        <w:rPr>
          <w:lang w:eastAsia="en-US"/>
        </w:rPr>
      </w:pPr>
      <w:r w:rsidRPr="00752388">
        <w:rPr>
          <w:lang w:eastAsia="en-US"/>
        </w:rPr>
        <w:t>FGE</w:t>
      </w:r>
      <w:r w:rsidRPr="00752388">
        <w:rPr>
          <w:lang w:eastAsia="en-US"/>
        </w:rPr>
        <w:tab/>
      </w:r>
      <w:r w:rsidRPr="00752388">
        <w:rPr>
          <w:lang w:eastAsia="en-US"/>
        </w:rPr>
        <w:tab/>
        <w:t xml:space="preserve">Fiscalía General del Estado </w:t>
      </w:r>
    </w:p>
    <w:p w14:paraId="291F1D48" w14:textId="77777777" w:rsidR="00752388" w:rsidRPr="00752388" w:rsidRDefault="00752388" w:rsidP="00911112">
      <w:pPr>
        <w:pStyle w:val="SingleTxtG"/>
        <w:rPr>
          <w:spacing w:val="-2"/>
          <w:lang w:eastAsia="en-US"/>
        </w:rPr>
      </w:pPr>
      <w:r w:rsidRPr="00752388">
        <w:rPr>
          <w:spacing w:val="-2"/>
          <w:lang w:eastAsia="en-US"/>
        </w:rPr>
        <w:t>FFAA</w:t>
      </w:r>
      <w:r w:rsidRPr="00752388">
        <w:rPr>
          <w:spacing w:val="-2"/>
          <w:lang w:eastAsia="en-US"/>
        </w:rPr>
        <w:tab/>
      </w:r>
      <w:r w:rsidRPr="00752388">
        <w:rPr>
          <w:spacing w:val="-2"/>
          <w:lang w:eastAsia="en-US"/>
        </w:rPr>
        <w:tab/>
        <w:t>Fuerzas Armadas</w:t>
      </w:r>
    </w:p>
    <w:p w14:paraId="29B32B6C" w14:textId="77777777" w:rsidR="00752388" w:rsidRPr="00752388" w:rsidRDefault="00752388" w:rsidP="00911112">
      <w:pPr>
        <w:pStyle w:val="SingleTxtG"/>
        <w:rPr>
          <w:lang w:eastAsia="en-US"/>
        </w:rPr>
      </w:pPr>
      <w:r w:rsidRPr="00752388">
        <w:rPr>
          <w:lang w:eastAsia="en-US"/>
        </w:rPr>
        <w:t>GAD</w:t>
      </w:r>
      <w:r w:rsidRPr="00752388">
        <w:rPr>
          <w:lang w:eastAsia="en-US"/>
        </w:rPr>
        <w:tab/>
      </w:r>
      <w:r w:rsidRPr="00752388">
        <w:rPr>
          <w:lang w:eastAsia="en-US"/>
        </w:rPr>
        <w:tab/>
        <w:t>Gobierno Autónomo Departamental</w:t>
      </w:r>
    </w:p>
    <w:p w14:paraId="5995A706" w14:textId="77777777" w:rsidR="00752388" w:rsidRPr="00752388" w:rsidRDefault="00752388" w:rsidP="00911112">
      <w:pPr>
        <w:pStyle w:val="SingleTxtG"/>
        <w:rPr>
          <w:lang w:eastAsia="en-US"/>
        </w:rPr>
      </w:pPr>
      <w:r w:rsidRPr="00752388">
        <w:rPr>
          <w:lang w:eastAsia="en-US"/>
        </w:rPr>
        <w:t>GAM</w:t>
      </w:r>
      <w:r w:rsidRPr="00752388">
        <w:rPr>
          <w:lang w:eastAsia="en-US"/>
        </w:rPr>
        <w:tab/>
      </w:r>
      <w:r w:rsidRPr="00752388">
        <w:rPr>
          <w:lang w:eastAsia="en-US"/>
        </w:rPr>
        <w:tab/>
        <w:t xml:space="preserve">Gobierno Autónomo Municipal </w:t>
      </w:r>
    </w:p>
    <w:p w14:paraId="5D357462" w14:textId="77777777" w:rsidR="00752388" w:rsidRPr="00752388" w:rsidRDefault="00752388" w:rsidP="00911112">
      <w:pPr>
        <w:pStyle w:val="SingleTxtG"/>
        <w:rPr>
          <w:spacing w:val="-2"/>
          <w:lang w:eastAsia="en-US"/>
        </w:rPr>
      </w:pPr>
      <w:r w:rsidRPr="00752388">
        <w:rPr>
          <w:spacing w:val="-2"/>
          <w:lang w:eastAsia="en-US"/>
        </w:rPr>
        <w:t>LOMP</w:t>
      </w:r>
      <w:r w:rsidRPr="00752388">
        <w:rPr>
          <w:spacing w:val="-2"/>
          <w:lang w:eastAsia="en-US"/>
        </w:rPr>
        <w:tab/>
      </w:r>
      <w:r w:rsidRPr="00752388">
        <w:rPr>
          <w:spacing w:val="-2"/>
          <w:lang w:eastAsia="en-US"/>
        </w:rPr>
        <w:tab/>
        <w:t xml:space="preserve">Ley Orgánica del Ministerio Público </w:t>
      </w:r>
    </w:p>
    <w:p w14:paraId="66BEC052" w14:textId="77777777" w:rsidR="00752388" w:rsidRPr="00752388" w:rsidRDefault="00752388" w:rsidP="00911112">
      <w:pPr>
        <w:pStyle w:val="SingleTxtG"/>
        <w:rPr>
          <w:lang w:eastAsia="en-US"/>
        </w:rPr>
      </w:pPr>
      <w:r w:rsidRPr="00752388">
        <w:rPr>
          <w:lang w:eastAsia="en-US"/>
        </w:rPr>
        <w:t>LEPS</w:t>
      </w:r>
      <w:r w:rsidRPr="00752388">
        <w:rPr>
          <w:lang w:eastAsia="en-US"/>
        </w:rPr>
        <w:tab/>
      </w:r>
      <w:r w:rsidRPr="00752388">
        <w:rPr>
          <w:lang w:eastAsia="en-US"/>
        </w:rPr>
        <w:tab/>
        <w:t xml:space="preserve">Ley de Ejecución Penal y Supervisión </w:t>
      </w:r>
    </w:p>
    <w:p w14:paraId="3EE4F922" w14:textId="77777777" w:rsidR="00752388" w:rsidRPr="00752388" w:rsidRDefault="00752388" w:rsidP="00911112">
      <w:pPr>
        <w:pStyle w:val="SingleTxtG"/>
        <w:rPr>
          <w:lang w:eastAsia="en-US"/>
        </w:rPr>
      </w:pPr>
      <w:r w:rsidRPr="00752388">
        <w:rPr>
          <w:lang w:eastAsia="en-US"/>
        </w:rPr>
        <w:t>MJTI</w:t>
      </w:r>
      <w:r w:rsidRPr="00752388">
        <w:rPr>
          <w:lang w:eastAsia="en-US"/>
        </w:rPr>
        <w:tab/>
      </w:r>
      <w:r w:rsidRPr="00752388">
        <w:rPr>
          <w:lang w:eastAsia="en-US"/>
        </w:rPr>
        <w:tab/>
        <w:t xml:space="preserve">Ministerio de Justicia y Transparencia Institucional </w:t>
      </w:r>
    </w:p>
    <w:p w14:paraId="7136640A" w14:textId="77777777" w:rsidR="00752388" w:rsidRPr="00752388" w:rsidRDefault="00752388" w:rsidP="00911112">
      <w:pPr>
        <w:pStyle w:val="SingleTxtG"/>
        <w:rPr>
          <w:lang w:eastAsia="en-US"/>
        </w:rPr>
      </w:pPr>
      <w:r w:rsidRPr="00752388">
        <w:rPr>
          <w:lang w:eastAsia="en-US"/>
        </w:rPr>
        <w:t>MTEPS</w:t>
      </w:r>
      <w:r w:rsidRPr="00752388">
        <w:rPr>
          <w:lang w:eastAsia="en-US"/>
        </w:rPr>
        <w:tab/>
        <w:t xml:space="preserve">Ministerio de Trabajo Empleo y Previsión Social </w:t>
      </w:r>
    </w:p>
    <w:p w14:paraId="4EA8D9E7" w14:textId="77777777" w:rsidR="00752388" w:rsidRPr="00752388" w:rsidRDefault="00752388" w:rsidP="00911112">
      <w:pPr>
        <w:pStyle w:val="SingleTxtG"/>
        <w:rPr>
          <w:lang w:eastAsia="en-US"/>
        </w:rPr>
      </w:pPr>
      <w:r w:rsidRPr="00752388">
        <w:rPr>
          <w:lang w:eastAsia="en-US"/>
        </w:rPr>
        <w:t>NNA</w:t>
      </w:r>
      <w:r w:rsidRPr="00752388">
        <w:rPr>
          <w:lang w:eastAsia="en-US"/>
        </w:rPr>
        <w:tab/>
      </w:r>
      <w:r w:rsidRPr="00752388">
        <w:rPr>
          <w:lang w:eastAsia="en-US"/>
        </w:rPr>
        <w:tab/>
        <w:t xml:space="preserve">Niñas, niños y adolescentes </w:t>
      </w:r>
    </w:p>
    <w:p w14:paraId="3EBC5FF0" w14:textId="77777777" w:rsidR="00752388" w:rsidRPr="00752388" w:rsidRDefault="00752388" w:rsidP="00911112">
      <w:pPr>
        <w:pStyle w:val="SingleTxtG"/>
        <w:rPr>
          <w:lang w:eastAsia="en-US"/>
        </w:rPr>
      </w:pPr>
      <w:r w:rsidRPr="00752388">
        <w:rPr>
          <w:lang w:eastAsia="en-US"/>
        </w:rPr>
        <w:t>PPL</w:t>
      </w:r>
      <w:r w:rsidRPr="00752388">
        <w:rPr>
          <w:lang w:eastAsia="en-US"/>
        </w:rPr>
        <w:tab/>
      </w:r>
      <w:r w:rsidRPr="00752388">
        <w:rPr>
          <w:lang w:eastAsia="en-US"/>
        </w:rPr>
        <w:tab/>
        <w:t xml:space="preserve">Personas privadas de libertad </w:t>
      </w:r>
    </w:p>
    <w:p w14:paraId="5BB95F0A" w14:textId="77777777" w:rsidR="00752388" w:rsidRPr="00752388" w:rsidRDefault="00752388" w:rsidP="00911112">
      <w:pPr>
        <w:pStyle w:val="SingleTxtG"/>
        <w:rPr>
          <w:lang w:eastAsia="en-US"/>
        </w:rPr>
      </w:pPr>
      <w:r w:rsidRPr="00752388">
        <w:rPr>
          <w:lang w:eastAsia="en-US"/>
        </w:rPr>
        <w:t>PGE</w:t>
      </w:r>
      <w:r w:rsidRPr="00752388">
        <w:rPr>
          <w:lang w:eastAsia="en-US"/>
        </w:rPr>
        <w:tab/>
      </w:r>
      <w:r w:rsidRPr="00752388">
        <w:rPr>
          <w:lang w:eastAsia="en-US"/>
        </w:rPr>
        <w:tab/>
        <w:t xml:space="preserve">Procuraduría General del Estado </w:t>
      </w:r>
    </w:p>
    <w:p w14:paraId="717FEF34" w14:textId="77777777" w:rsidR="00752388" w:rsidRPr="00752388" w:rsidRDefault="00752388" w:rsidP="00911112">
      <w:pPr>
        <w:pStyle w:val="SingleTxtG"/>
        <w:rPr>
          <w:lang w:eastAsia="en-US"/>
        </w:rPr>
      </w:pPr>
      <w:r w:rsidRPr="00752388">
        <w:rPr>
          <w:lang w:eastAsia="en-US"/>
        </w:rPr>
        <w:t>SIJPLU</w:t>
      </w:r>
      <w:r w:rsidRPr="00752388">
        <w:rPr>
          <w:lang w:eastAsia="en-US"/>
        </w:rPr>
        <w:tab/>
        <w:t>Servicio Integral de Justicia Plurinacional</w:t>
      </w:r>
    </w:p>
    <w:p w14:paraId="54087F4C" w14:textId="77777777" w:rsidR="00752388" w:rsidRPr="00752388" w:rsidRDefault="00752388" w:rsidP="00911112">
      <w:pPr>
        <w:pStyle w:val="SingleTxtG"/>
        <w:rPr>
          <w:lang w:eastAsia="en-US"/>
        </w:rPr>
      </w:pPr>
      <w:r w:rsidRPr="00752388">
        <w:rPr>
          <w:lang w:eastAsia="en-US"/>
        </w:rPr>
        <w:t>SEPRET</w:t>
      </w:r>
      <w:r w:rsidRPr="00752388">
        <w:rPr>
          <w:lang w:eastAsia="en-US"/>
        </w:rPr>
        <w:tab/>
        <w:t xml:space="preserve">Servicio para la Prevención de la Tortura </w:t>
      </w:r>
    </w:p>
    <w:p w14:paraId="6508658B" w14:textId="77777777" w:rsidR="00752388" w:rsidRPr="00752388" w:rsidRDefault="00752388" w:rsidP="00911112">
      <w:pPr>
        <w:pStyle w:val="SingleTxtG"/>
        <w:rPr>
          <w:lang w:eastAsia="en-US"/>
        </w:rPr>
      </w:pPr>
      <w:r w:rsidRPr="00752388">
        <w:rPr>
          <w:lang w:eastAsia="en-US"/>
        </w:rPr>
        <w:t>SEPDEP</w:t>
      </w:r>
      <w:r w:rsidRPr="00752388">
        <w:rPr>
          <w:lang w:eastAsia="en-US"/>
        </w:rPr>
        <w:tab/>
        <w:t xml:space="preserve">Servicio Plurinacional de Defensa Pública </w:t>
      </w:r>
    </w:p>
    <w:p w14:paraId="0E2C64A9" w14:textId="77777777" w:rsidR="00752388" w:rsidRPr="00752388" w:rsidRDefault="00752388" w:rsidP="00911112">
      <w:pPr>
        <w:pStyle w:val="SingleTxtG"/>
        <w:rPr>
          <w:lang w:eastAsia="en-US"/>
        </w:rPr>
      </w:pPr>
      <w:r w:rsidRPr="00752388">
        <w:rPr>
          <w:rFonts w:eastAsia="Libre Baskerville"/>
          <w:lang w:eastAsia="en-US"/>
        </w:rPr>
        <w:t>SEDES</w:t>
      </w:r>
      <w:r w:rsidRPr="00752388">
        <w:rPr>
          <w:rFonts w:eastAsia="Libre Baskerville"/>
          <w:lang w:eastAsia="en-US"/>
        </w:rPr>
        <w:tab/>
        <w:t xml:space="preserve">Servicios Departamentales de Salud </w:t>
      </w:r>
    </w:p>
    <w:p w14:paraId="581E4EBB" w14:textId="77777777" w:rsidR="00752388" w:rsidRPr="00752388" w:rsidRDefault="00752388" w:rsidP="00911112">
      <w:pPr>
        <w:pStyle w:val="SingleTxtG"/>
        <w:rPr>
          <w:lang w:eastAsia="en-US"/>
        </w:rPr>
      </w:pPr>
      <w:r w:rsidRPr="00752388">
        <w:rPr>
          <w:lang w:eastAsia="en-US"/>
        </w:rPr>
        <w:t>SLIM</w:t>
      </w:r>
      <w:r w:rsidRPr="00752388">
        <w:rPr>
          <w:lang w:eastAsia="en-US"/>
        </w:rPr>
        <w:tab/>
      </w:r>
      <w:r w:rsidRPr="00752388">
        <w:rPr>
          <w:lang w:eastAsia="en-US"/>
        </w:rPr>
        <w:tab/>
        <w:t xml:space="preserve">Servicios Legales Integrales Municipales </w:t>
      </w:r>
    </w:p>
    <w:p w14:paraId="1DBF43A3" w14:textId="77777777" w:rsidR="00752388" w:rsidRPr="00752388" w:rsidRDefault="00752388" w:rsidP="00911112">
      <w:pPr>
        <w:pStyle w:val="SingleTxtG"/>
        <w:rPr>
          <w:lang w:eastAsia="en-US"/>
        </w:rPr>
      </w:pPr>
      <w:r w:rsidRPr="00752388">
        <w:rPr>
          <w:lang w:eastAsia="en-US"/>
        </w:rPr>
        <w:t>SIPINNA</w:t>
      </w:r>
      <w:r w:rsidRPr="00752388">
        <w:rPr>
          <w:lang w:eastAsia="en-US"/>
        </w:rPr>
        <w:tab/>
        <w:t>Sistema Plurinacional Integral de la Niña, Niño y Adolescente</w:t>
      </w:r>
    </w:p>
    <w:p w14:paraId="4D9286AD" w14:textId="77777777" w:rsidR="00752388" w:rsidRPr="00752388" w:rsidRDefault="00752388" w:rsidP="00911112">
      <w:pPr>
        <w:pStyle w:val="SingleTxtG"/>
        <w:rPr>
          <w:lang w:eastAsia="en-US"/>
        </w:rPr>
      </w:pPr>
      <w:r w:rsidRPr="00752388">
        <w:rPr>
          <w:lang w:eastAsia="en-US"/>
        </w:rPr>
        <w:t>TGN</w:t>
      </w:r>
      <w:r w:rsidRPr="00752388">
        <w:rPr>
          <w:lang w:eastAsia="en-US"/>
        </w:rPr>
        <w:tab/>
      </w:r>
      <w:r w:rsidRPr="00752388">
        <w:rPr>
          <w:lang w:eastAsia="en-US"/>
        </w:rPr>
        <w:tab/>
        <w:t xml:space="preserve">Tesoro General del Estado </w:t>
      </w:r>
    </w:p>
    <w:p w14:paraId="0945791C" w14:textId="77777777" w:rsidR="00752388" w:rsidRDefault="00752388" w:rsidP="00911112">
      <w:pPr>
        <w:pStyle w:val="SingleTxtG"/>
        <w:rPr>
          <w:lang w:eastAsia="en-US"/>
        </w:rPr>
      </w:pPr>
      <w:r w:rsidRPr="00752388">
        <w:rPr>
          <w:lang w:eastAsia="en-US"/>
        </w:rPr>
        <w:t>UPAVT</w:t>
      </w:r>
      <w:r w:rsidRPr="00752388">
        <w:rPr>
          <w:lang w:eastAsia="en-US"/>
        </w:rPr>
        <w:tab/>
        <w:t>Unidades de Protección a Víctimas y Testigos</w:t>
      </w:r>
    </w:p>
    <w:p w14:paraId="4943EDFB" w14:textId="77777777" w:rsidR="00752388" w:rsidRDefault="00752388">
      <w:pPr>
        <w:spacing w:line="240" w:lineRule="auto"/>
        <w:rPr>
          <w:sz w:val="24"/>
          <w:szCs w:val="24"/>
          <w:lang w:eastAsia="en-US"/>
        </w:rPr>
      </w:pPr>
      <w:r>
        <w:rPr>
          <w:sz w:val="24"/>
          <w:szCs w:val="24"/>
          <w:lang w:eastAsia="en-US"/>
        </w:rPr>
        <w:br w:type="page"/>
      </w:r>
    </w:p>
    <w:p w14:paraId="4E0D829C" w14:textId="77777777" w:rsidR="00B36B7E" w:rsidRPr="00D57A5A" w:rsidRDefault="00B36B7E" w:rsidP="00B36B7E">
      <w:pPr>
        <w:pStyle w:val="H1G"/>
        <w:rPr>
          <w:sz w:val="28"/>
          <w:szCs w:val="28"/>
        </w:rPr>
      </w:pPr>
      <w:r w:rsidRPr="00D57A5A">
        <w:rPr>
          <w:sz w:val="28"/>
          <w:szCs w:val="28"/>
        </w:rPr>
        <w:lastRenderedPageBreak/>
        <w:tab/>
      </w:r>
      <w:r w:rsidR="00B960DF" w:rsidRPr="00D57A5A">
        <w:rPr>
          <w:sz w:val="28"/>
          <w:szCs w:val="28"/>
        </w:rPr>
        <w:t>I</w:t>
      </w:r>
      <w:r w:rsidRPr="00D57A5A">
        <w:rPr>
          <w:sz w:val="28"/>
          <w:szCs w:val="28"/>
        </w:rPr>
        <w:t>.</w:t>
      </w:r>
      <w:r w:rsidRPr="00D57A5A">
        <w:rPr>
          <w:sz w:val="28"/>
          <w:szCs w:val="28"/>
        </w:rPr>
        <w:tab/>
        <w:t>Introducción</w:t>
      </w:r>
    </w:p>
    <w:p w14:paraId="77587EFF" w14:textId="77777777" w:rsidR="00B36B7E" w:rsidRDefault="00235247" w:rsidP="00777507">
      <w:pPr>
        <w:pStyle w:val="SingleTxtG"/>
        <w:rPr>
          <w:lang w:eastAsia="en-US"/>
        </w:rPr>
      </w:pPr>
      <w:r>
        <w:rPr>
          <w:lang w:eastAsia="en-US"/>
        </w:rPr>
        <w:t>1.</w:t>
      </w:r>
      <w:r>
        <w:rPr>
          <w:lang w:eastAsia="en-US"/>
        </w:rPr>
        <w:tab/>
      </w:r>
      <w:r w:rsidR="00B36B7E" w:rsidRPr="00B36B7E">
        <w:rPr>
          <w:lang w:eastAsia="en-US"/>
        </w:rPr>
        <w:t>El Estado Plurinacional de Bolivia (</w:t>
      </w:r>
      <w:r w:rsidR="00430519">
        <w:rPr>
          <w:lang w:eastAsia="en-US"/>
        </w:rPr>
        <w:t>“</w:t>
      </w:r>
      <w:r w:rsidR="00B36B7E" w:rsidRPr="00B36B7E">
        <w:rPr>
          <w:lang w:eastAsia="en-US"/>
        </w:rPr>
        <w:t>Estado</w:t>
      </w:r>
      <w:r w:rsidR="00430519">
        <w:rPr>
          <w:lang w:eastAsia="en-US"/>
        </w:rPr>
        <w:t>”</w:t>
      </w:r>
      <w:r w:rsidR="00B36B7E" w:rsidRPr="00B36B7E">
        <w:rPr>
          <w:lang w:eastAsia="en-US"/>
        </w:rPr>
        <w:t xml:space="preserve">, </w:t>
      </w:r>
      <w:r w:rsidR="00430519">
        <w:rPr>
          <w:lang w:eastAsia="en-US"/>
        </w:rPr>
        <w:t>“</w:t>
      </w:r>
      <w:r w:rsidR="00B36B7E" w:rsidRPr="00B36B7E">
        <w:rPr>
          <w:lang w:eastAsia="en-US"/>
        </w:rPr>
        <w:t>Bolivia</w:t>
      </w:r>
      <w:r w:rsidR="00430519">
        <w:rPr>
          <w:lang w:eastAsia="en-US"/>
        </w:rPr>
        <w:t>”</w:t>
      </w:r>
      <w:r w:rsidR="00B36B7E" w:rsidRPr="00B36B7E">
        <w:rPr>
          <w:lang w:eastAsia="en-US"/>
        </w:rPr>
        <w:t xml:space="preserve">, </w:t>
      </w:r>
      <w:r w:rsidR="00430519">
        <w:rPr>
          <w:lang w:eastAsia="en-US"/>
        </w:rPr>
        <w:t>“</w:t>
      </w:r>
      <w:r w:rsidR="00B36B7E" w:rsidRPr="00B36B7E">
        <w:rPr>
          <w:lang w:eastAsia="en-US"/>
        </w:rPr>
        <w:t>Estado boliviano</w:t>
      </w:r>
      <w:r w:rsidR="00430519">
        <w:rPr>
          <w:lang w:eastAsia="en-US"/>
        </w:rPr>
        <w:t>”</w:t>
      </w:r>
      <w:r w:rsidR="00B36B7E" w:rsidRPr="00B36B7E">
        <w:rPr>
          <w:lang w:eastAsia="en-US"/>
        </w:rPr>
        <w:t xml:space="preserve">), de conformidad con el </w:t>
      </w:r>
      <w:r w:rsidR="00B36B7E" w:rsidRPr="00B36B7E">
        <w:rPr>
          <w:lang w:val="es-BO" w:eastAsia="en-US"/>
        </w:rPr>
        <w:t>artículo 19.1 de la Convención contra la Tortura y Otros Tratos o Penas Crueles, Inhumanos o Degradantes (</w:t>
      </w:r>
      <w:r w:rsidR="00430519">
        <w:rPr>
          <w:lang w:val="es-BO" w:eastAsia="en-US"/>
        </w:rPr>
        <w:t>“</w:t>
      </w:r>
      <w:r w:rsidR="00B36B7E" w:rsidRPr="00B36B7E">
        <w:rPr>
          <w:lang w:val="es-BO" w:eastAsia="en-US"/>
        </w:rPr>
        <w:t>Convención</w:t>
      </w:r>
      <w:r w:rsidR="00430519">
        <w:rPr>
          <w:lang w:val="es-BO" w:eastAsia="en-US"/>
        </w:rPr>
        <w:t>”</w:t>
      </w:r>
      <w:r w:rsidR="00B36B7E" w:rsidRPr="00B36B7E">
        <w:rPr>
          <w:lang w:val="es-BO" w:eastAsia="en-US"/>
        </w:rPr>
        <w:t xml:space="preserve">), </w:t>
      </w:r>
      <w:r w:rsidR="00B36B7E" w:rsidRPr="00B36B7E">
        <w:rPr>
          <w:lang w:eastAsia="en-US"/>
        </w:rPr>
        <w:t>presentó al Comité contra la Tortura (</w:t>
      </w:r>
      <w:r w:rsidR="00430519">
        <w:rPr>
          <w:lang w:eastAsia="en-US"/>
        </w:rPr>
        <w:t>“</w:t>
      </w:r>
      <w:r w:rsidR="00B36B7E" w:rsidRPr="00B36B7E">
        <w:rPr>
          <w:lang w:eastAsia="en-US"/>
        </w:rPr>
        <w:t>Comité</w:t>
      </w:r>
      <w:r w:rsidR="00430519">
        <w:rPr>
          <w:lang w:eastAsia="en-US"/>
        </w:rPr>
        <w:t>”</w:t>
      </w:r>
      <w:r w:rsidR="00B36B7E" w:rsidRPr="00B36B7E">
        <w:rPr>
          <w:lang w:eastAsia="en-US"/>
        </w:rPr>
        <w:t>, CAT), el Tercer Informe Periódico (CAT/C/</w:t>
      </w:r>
      <w:r w:rsidR="00B36B7E" w:rsidRPr="00B36B7E">
        <w:rPr>
          <w:lang w:val="es-ES_tradnl" w:eastAsia="en-US"/>
        </w:rPr>
        <w:t>BOL</w:t>
      </w:r>
      <w:r w:rsidR="00B36B7E" w:rsidRPr="00B36B7E">
        <w:rPr>
          <w:lang w:eastAsia="en-US"/>
        </w:rPr>
        <w:t>/3), en la gestión 2019, habiendo recibido la lista de cuestiones (CAT/C/</w:t>
      </w:r>
      <w:r w:rsidR="00B36B7E" w:rsidRPr="00B36B7E">
        <w:rPr>
          <w:lang w:val="es-ES_tradnl" w:eastAsia="en-US"/>
        </w:rPr>
        <w:t>BOL/Q</w:t>
      </w:r>
      <w:r w:rsidR="00B36B7E" w:rsidRPr="00B36B7E">
        <w:rPr>
          <w:lang w:eastAsia="en-US"/>
        </w:rPr>
        <w:t>/3) que se abordará al examinar dicho informe.</w:t>
      </w:r>
    </w:p>
    <w:p w14:paraId="190D0529" w14:textId="77777777" w:rsidR="00B36B7E" w:rsidRDefault="00235247" w:rsidP="00777507">
      <w:pPr>
        <w:pStyle w:val="SingleTxtG"/>
        <w:rPr>
          <w:lang w:eastAsia="en-US"/>
        </w:rPr>
      </w:pPr>
      <w:r>
        <w:rPr>
          <w:lang w:eastAsia="en-US"/>
        </w:rPr>
        <w:t>2.</w:t>
      </w:r>
      <w:r>
        <w:rPr>
          <w:lang w:eastAsia="en-US"/>
        </w:rPr>
        <w:tab/>
      </w:r>
      <w:r w:rsidR="00B36B7E" w:rsidRPr="00B36B7E">
        <w:rPr>
          <w:lang w:eastAsia="en-US"/>
        </w:rPr>
        <w:t>En el marco del Espacio de Coordinación Interinstitucional</w:t>
      </w:r>
      <w:r w:rsidR="00B36B7E" w:rsidRPr="00777507">
        <w:rPr>
          <w:sz w:val="18"/>
          <w:szCs w:val="18"/>
          <w:vertAlign w:val="superscript"/>
          <w:lang w:eastAsia="en-US"/>
        </w:rPr>
        <w:footnoteReference w:id="2"/>
      </w:r>
      <w:r w:rsidR="00B36B7E" w:rsidRPr="00B36B7E">
        <w:rPr>
          <w:lang w:eastAsia="en-US"/>
        </w:rPr>
        <w:t>, el presente informe fue elaborado por el Ministerio de Justicia y Transparencia Institucional (MJTI), con información brindada por las instituciones estatales, l de protección y promoción de los derechos humanos.</w:t>
      </w:r>
    </w:p>
    <w:p w14:paraId="238BA793" w14:textId="77777777" w:rsidR="00B36B7E" w:rsidRPr="00D57A5A" w:rsidRDefault="00B36B7E" w:rsidP="00B36B7E">
      <w:pPr>
        <w:pStyle w:val="H1G"/>
        <w:rPr>
          <w:sz w:val="28"/>
          <w:szCs w:val="28"/>
          <w:lang w:eastAsia="en-US"/>
        </w:rPr>
      </w:pPr>
      <w:r w:rsidRPr="00D57A5A">
        <w:rPr>
          <w:sz w:val="28"/>
          <w:szCs w:val="28"/>
          <w:lang w:eastAsia="en-US"/>
        </w:rPr>
        <w:tab/>
      </w:r>
      <w:r w:rsidR="00B960DF" w:rsidRPr="00D57A5A">
        <w:rPr>
          <w:sz w:val="28"/>
          <w:szCs w:val="28"/>
          <w:lang w:eastAsia="en-US"/>
        </w:rPr>
        <w:t>II</w:t>
      </w:r>
      <w:r w:rsidRPr="00D57A5A">
        <w:rPr>
          <w:sz w:val="28"/>
          <w:szCs w:val="28"/>
          <w:lang w:eastAsia="en-US"/>
        </w:rPr>
        <w:t>.</w:t>
      </w:r>
      <w:r w:rsidRPr="00D57A5A">
        <w:rPr>
          <w:sz w:val="28"/>
          <w:szCs w:val="28"/>
          <w:lang w:eastAsia="en-US"/>
        </w:rPr>
        <w:tab/>
        <w:t>Respuestas a las cuestiones del Comité</w:t>
      </w:r>
    </w:p>
    <w:p w14:paraId="3FA8764A" w14:textId="77777777" w:rsidR="00B36B7E" w:rsidRDefault="00B36B7E" w:rsidP="00B36B7E">
      <w:pPr>
        <w:pStyle w:val="H1G"/>
        <w:rPr>
          <w:lang w:eastAsia="en-US"/>
        </w:rPr>
      </w:pPr>
      <w:r>
        <w:rPr>
          <w:lang w:eastAsia="en-US"/>
        </w:rPr>
        <w:tab/>
      </w:r>
      <w:r w:rsidR="00B960DF">
        <w:rPr>
          <w:lang w:eastAsia="en-US"/>
        </w:rPr>
        <w:t>A</w:t>
      </w:r>
      <w:r>
        <w:rPr>
          <w:lang w:eastAsia="en-US"/>
        </w:rPr>
        <w:t>.</w:t>
      </w:r>
      <w:r>
        <w:rPr>
          <w:lang w:eastAsia="en-US"/>
        </w:rPr>
        <w:tab/>
      </w:r>
      <w:r w:rsidRPr="00B36B7E">
        <w:rPr>
          <w:lang w:eastAsia="en-US"/>
        </w:rPr>
        <w:t>Cuestiones identificadas para su seguimiento en las anteriores observaciones finales</w:t>
      </w:r>
    </w:p>
    <w:p w14:paraId="3CCEBE17" w14:textId="77777777" w:rsidR="00B36B7E" w:rsidRPr="00B36B7E" w:rsidRDefault="00B36B7E" w:rsidP="00B36B7E">
      <w:pPr>
        <w:pStyle w:val="H23G"/>
        <w:rPr>
          <w:lang w:eastAsia="en-US"/>
        </w:rPr>
      </w:pPr>
      <w:r>
        <w:rPr>
          <w:lang w:eastAsia="en-US"/>
        </w:rPr>
        <w:tab/>
      </w:r>
      <w:r>
        <w:rPr>
          <w:lang w:eastAsia="en-US"/>
        </w:rPr>
        <w:tab/>
      </w:r>
      <w:r w:rsidRPr="00B36B7E">
        <w:rPr>
          <w:lang w:eastAsia="en-US"/>
        </w:rPr>
        <w:t xml:space="preserve">Artículos 1 y 4 </w:t>
      </w:r>
    </w:p>
    <w:p w14:paraId="625F3D96" w14:textId="77777777" w:rsidR="00B36B7E" w:rsidRPr="00B36B7E" w:rsidRDefault="00B36B7E" w:rsidP="00B36B7E">
      <w:pPr>
        <w:pStyle w:val="H23G"/>
        <w:rPr>
          <w:lang w:eastAsia="en-US"/>
        </w:rPr>
      </w:pPr>
      <w:r>
        <w:rPr>
          <w:lang w:eastAsia="en-US"/>
        </w:rPr>
        <w:tab/>
      </w:r>
      <w:r>
        <w:rPr>
          <w:lang w:eastAsia="en-US"/>
        </w:rPr>
        <w:tab/>
      </w:r>
      <w:r w:rsidRPr="00B36B7E">
        <w:rPr>
          <w:lang w:eastAsia="en-US"/>
        </w:rPr>
        <w:t>Respuesta al Párrafo 2</w:t>
      </w:r>
      <w:r w:rsidR="0050760E" w:rsidRPr="0050760E">
        <w:rPr>
          <w:lang w:val="es-CU"/>
        </w:rPr>
        <w:t xml:space="preserve"> </w:t>
      </w:r>
      <w:r w:rsidR="0050760E">
        <w:rPr>
          <w:lang w:val="es-CU"/>
        </w:rPr>
        <w:t>de la lista de</w:t>
      </w:r>
      <w:r w:rsidR="0050760E">
        <w:rPr>
          <w:lang w:val="es-ES_tradnl"/>
        </w:rPr>
        <w:t xml:space="preserve"> </w:t>
      </w:r>
      <w:r w:rsidR="0050760E" w:rsidRPr="00E9029D">
        <w:rPr>
          <w:lang w:val="es-ES_tradnl"/>
        </w:rPr>
        <w:t>cuestiones</w:t>
      </w:r>
      <w:r w:rsidR="0050760E" w:rsidRPr="00E9029D">
        <w:t xml:space="preserve"> (</w:t>
      </w:r>
      <w:r w:rsidR="0050760E" w:rsidRPr="00E9029D">
        <w:rPr>
          <w:lang w:val="es-CU"/>
        </w:rPr>
        <w:t>CAT</w:t>
      </w:r>
      <w:r w:rsidR="0050760E" w:rsidRPr="00434444">
        <w:rPr>
          <w:lang w:val="es-CU"/>
        </w:rPr>
        <w:t>/C/</w:t>
      </w:r>
      <w:r w:rsidR="0050760E">
        <w:rPr>
          <w:lang w:val="es-CU"/>
        </w:rPr>
        <w:t>BOL</w:t>
      </w:r>
      <w:r w:rsidR="0050760E" w:rsidRPr="00434444">
        <w:rPr>
          <w:lang w:val="es-CU"/>
        </w:rPr>
        <w:t>/Q/3)</w:t>
      </w:r>
    </w:p>
    <w:p w14:paraId="7ACA9D66" w14:textId="77777777" w:rsidR="00B36B7E" w:rsidRDefault="00B36B7E" w:rsidP="00B36B7E">
      <w:pPr>
        <w:pStyle w:val="H4G"/>
        <w:rPr>
          <w:lang w:eastAsia="en-US"/>
        </w:rPr>
      </w:pPr>
      <w:r>
        <w:rPr>
          <w:lang w:eastAsia="en-US"/>
        </w:rPr>
        <w:tab/>
      </w:r>
      <w:r>
        <w:rPr>
          <w:lang w:eastAsia="en-US"/>
        </w:rPr>
        <w:tab/>
      </w:r>
      <w:r w:rsidRPr="00B36B7E">
        <w:rPr>
          <w:lang w:eastAsia="en-US"/>
        </w:rPr>
        <w:t>Iniciativas legislativas</w:t>
      </w:r>
    </w:p>
    <w:p w14:paraId="4A054033" w14:textId="77777777" w:rsidR="00B36B7E" w:rsidRDefault="00235247" w:rsidP="00777507">
      <w:pPr>
        <w:pStyle w:val="SingleTxtG"/>
        <w:rPr>
          <w:lang w:eastAsia="en-US"/>
        </w:rPr>
      </w:pPr>
      <w:r>
        <w:rPr>
          <w:lang w:eastAsia="en-US"/>
        </w:rPr>
        <w:t>3.</w:t>
      </w:r>
      <w:r>
        <w:rPr>
          <w:lang w:eastAsia="en-US"/>
        </w:rPr>
        <w:tab/>
      </w:r>
      <w:r w:rsidR="00B36B7E" w:rsidRPr="00B36B7E">
        <w:rPr>
          <w:lang w:eastAsia="en-US"/>
        </w:rPr>
        <w:t>Actualmente, el Estado boliviano viene realizando los esfuerzos para modificar el Código Penal (CP) e incorporar la definición de tortura de acuerdo a los parámetros establecidos en los Artículos 1 y 4 de la Convención.</w:t>
      </w:r>
    </w:p>
    <w:p w14:paraId="467CBEF7" w14:textId="77777777" w:rsidR="00B36B7E" w:rsidRDefault="00235247" w:rsidP="00777507">
      <w:pPr>
        <w:pStyle w:val="SingleTxtG"/>
        <w:rPr>
          <w:lang w:eastAsia="en-US"/>
        </w:rPr>
      </w:pPr>
      <w:r>
        <w:rPr>
          <w:lang w:eastAsia="en-US"/>
        </w:rPr>
        <w:t>4.</w:t>
      </w:r>
      <w:r>
        <w:rPr>
          <w:lang w:eastAsia="en-US"/>
        </w:rPr>
        <w:tab/>
      </w:r>
      <w:r w:rsidR="00B36B7E" w:rsidRPr="00B36B7E">
        <w:rPr>
          <w:lang w:eastAsia="en-US"/>
        </w:rPr>
        <w:t>Por otro lado, el Servicio para la Prevención de la Tortura (SEPRET), en el marco de sus competencias legales</w:t>
      </w:r>
      <w:r w:rsidR="00B36B7E" w:rsidRPr="00777507">
        <w:rPr>
          <w:sz w:val="18"/>
          <w:szCs w:val="18"/>
          <w:vertAlign w:val="superscript"/>
          <w:lang w:eastAsia="en-US"/>
        </w:rPr>
        <w:footnoteReference w:id="3"/>
      </w:r>
      <w:r w:rsidR="00B36B7E" w:rsidRPr="00B36B7E">
        <w:rPr>
          <w:lang w:eastAsia="en-US"/>
        </w:rPr>
        <w:t>, tiene la atribución de realizar propuestas normativas sobre la materia de su competencia, siendo la Asamblea Legislativa Plurinacional, por mandato constitucional, la única instancia con facultad de aprobar y sancionar leyes que rigen para todo el territorio boliviano.</w:t>
      </w:r>
    </w:p>
    <w:p w14:paraId="3AB6ECC9" w14:textId="77777777" w:rsidR="00B36B7E" w:rsidRDefault="00235247" w:rsidP="00777507">
      <w:pPr>
        <w:pStyle w:val="SingleTxtG"/>
        <w:rPr>
          <w:lang w:eastAsia="en-US"/>
        </w:rPr>
      </w:pPr>
      <w:r>
        <w:rPr>
          <w:lang w:eastAsia="en-US"/>
        </w:rPr>
        <w:t>5.</w:t>
      </w:r>
      <w:r>
        <w:rPr>
          <w:lang w:eastAsia="en-US"/>
        </w:rPr>
        <w:tab/>
      </w:r>
      <w:r w:rsidR="00B36B7E" w:rsidRPr="00764B5D">
        <w:rPr>
          <w:lang w:eastAsia="en-US"/>
        </w:rPr>
        <w:t>Razón</w:t>
      </w:r>
      <w:r w:rsidR="00B36B7E" w:rsidRPr="00B36B7E">
        <w:rPr>
          <w:lang w:val="es-BO" w:eastAsia="en-US"/>
        </w:rPr>
        <w:t xml:space="preserve"> por la cual,</w:t>
      </w:r>
      <w:r w:rsidR="00B36B7E" w:rsidRPr="00B36B7E">
        <w:rPr>
          <w:lang w:eastAsia="en-US"/>
        </w:rPr>
        <w:t xml:space="preserve"> el SEPRET realizó las siguientes sugerencias y propuestas normativas: </w:t>
      </w:r>
    </w:p>
    <w:p w14:paraId="16A6B9CF"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Armonización del tipo penal de la tortura previsto en el CP, con el Artículo</w:t>
      </w:r>
      <w:r w:rsidR="00B36B7E">
        <w:t xml:space="preserve"> 1 de la Convención</w:t>
      </w:r>
      <w:r>
        <w:t>.</w:t>
      </w:r>
    </w:p>
    <w:p w14:paraId="1532E510" w14:textId="77777777" w:rsidR="00B36B7E" w:rsidRPr="00B36B7E" w:rsidRDefault="00235247" w:rsidP="00777507">
      <w:pPr>
        <w:pStyle w:val="Bullet1G"/>
        <w:numPr>
          <w:ilvl w:val="0"/>
          <w:numId w:val="0"/>
        </w:numPr>
        <w:tabs>
          <w:tab w:val="left" w:pos="1701"/>
        </w:tabs>
        <w:ind w:left="1701" w:hanging="170"/>
        <w:rPr>
          <w:i/>
        </w:rPr>
      </w:pPr>
      <w:r w:rsidRPr="00B36B7E">
        <w:t>•</w:t>
      </w:r>
      <w:r w:rsidRPr="00B36B7E">
        <w:tab/>
      </w:r>
      <w:r w:rsidR="00B36B7E" w:rsidRPr="00B36B7E">
        <w:t xml:space="preserve">Incorporación en el Código de Procedimiento Penal (CPP) de un segundo párrafo en el Artículo 206, con la finalidad que el SEPRET, como mecanismo nacional especializado en la prevención de la tortura, pueda constituirse en el mecanismo idóneo para la extensión de certificaciones médicas y psicológicas forenses, toda vez que cuenta con profesionales especializados en medicina legal y psicología, ello en el marco de la Constitución Política del Estado </w:t>
      </w:r>
      <w:r w:rsidR="00B36B7E">
        <w:t>(CPE) y del procedimiento penal</w:t>
      </w:r>
      <w:r>
        <w:t>.</w:t>
      </w:r>
    </w:p>
    <w:p w14:paraId="5C8A4664" w14:textId="77777777" w:rsidR="00B36B7E" w:rsidRPr="00B36B7E" w:rsidRDefault="00235247" w:rsidP="00777507">
      <w:pPr>
        <w:pStyle w:val="Bullet1G"/>
        <w:numPr>
          <w:ilvl w:val="0"/>
          <w:numId w:val="0"/>
        </w:numPr>
        <w:tabs>
          <w:tab w:val="left" w:pos="1701"/>
        </w:tabs>
        <w:ind w:left="1701" w:hanging="170"/>
        <w:rPr>
          <w:i/>
        </w:rPr>
      </w:pPr>
      <w:r w:rsidRPr="00B36B7E">
        <w:t>•</w:t>
      </w:r>
      <w:r w:rsidRPr="00B36B7E">
        <w:tab/>
      </w:r>
      <w:r w:rsidR="00B36B7E" w:rsidRPr="00B36B7E">
        <w:t>Anteproyecto de Ley de modificación a la Ley de Ejecución Penal y Supervisión (LEPS)</w:t>
      </w:r>
      <w:r w:rsidR="00B36B7E" w:rsidRPr="00777507">
        <w:rPr>
          <w:sz w:val="18"/>
          <w:szCs w:val="18"/>
          <w:vertAlign w:val="superscript"/>
        </w:rPr>
        <w:footnoteReference w:id="4"/>
      </w:r>
      <w:r w:rsidR="00B36B7E" w:rsidRPr="00B36B7E">
        <w:t xml:space="preserve">, en relación al Artículo 58, que se refiere al director de los </w:t>
      </w:r>
      <w:r w:rsidR="00B36B7E">
        <w:t>establecimientos penitenciarios</w:t>
      </w:r>
      <w:r>
        <w:t>.</w:t>
      </w:r>
    </w:p>
    <w:p w14:paraId="3FBB5148" w14:textId="77777777" w:rsidR="00B36B7E" w:rsidRPr="00B36B7E" w:rsidRDefault="00235247" w:rsidP="00777507">
      <w:pPr>
        <w:pStyle w:val="Bullet1G"/>
        <w:numPr>
          <w:ilvl w:val="0"/>
          <w:numId w:val="0"/>
        </w:numPr>
        <w:tabs>
          <w:tab w:val="left" w:pos="1701"/>
        </w:tabs>
        <w:ind w:left="1701" w:hanging="170"/>
        <w:rPr>
          <w:i/>
        </w:rPr>
      </w:pPr>
      <w:r w:rsidRPr="00B36B7E">
        <w:t>•</w:t>
      </w:r>
      <w:r w:rsidRPr="00B36B7E">
        <w:tab/>
      </w:r>
      <w:r w:rsidR="00B36B7E" w:rsidRPr="00B36B7E">
        <w:t xml:space="preserve">Propuesta de dos Artículos relacionados al sistema penal, respecto </w:t>
      </w:r>
      <w:r w:rsidR="00B36B7E" w:rsidRPr="00E41208">
        <w:t xml:space="preserve">al: </w:t>
      </w:r>
      <w:r w:rsidR="00B36B7E" w:rsidRPr="00777507">
        <w:t xml:space="preserve">a) </w:t>
      </w:r>
      <w:r w:rsidR="00B36B7E" w:rsidRPr="00E41208">
        <w:t xml:space="preserve">Tipo penal de tortura y otros tratos o penas crueles, inhumanos o degradantes; y, </w:t>
      </w:r>
      <w:r w:rsidR="00B36B7E" w:rsidRPr="00777507">
        <w:t>b)</w:t>
      </w:r>
      <w:r w:rsidR="00B36B7E" w:rsidRPr="00B36B7E">
        <w:t xml:space="preserve"> Revisión médica de personas aprehendidas o detenidas</w:t>
      </w:r>
      <w:r>
        <w:t>.</w:t>
      </w:r>
    </w:p>
    <w:p w14:paraId="102A00AA" w14:textId="77777777" w:rsidR="00B36B7E" w:rsidRPr="00B36B7E" w:rsidRDefault="00235247" w:rsidP="00777507">
      <w:pPr>
        <w:pStyle w:val="Bullet1G"/>
        <w:numPr>
          <w:ilvl w:val="0"/>
          <w:numId w:val="0"/>
        </w:numPr>
        <w:tabs>
          <w:tab w:val="left" w:pos="1701"/>
        </w:tabs>
        <w:ind w:left="1701" w:hanging="170"/>
        <w:rPr>
          <w:i/>
        </w:rPr>
      </w:pPr>
      <w:r w:rsidRPr="00B36B7E">
        <w:lastRenderedPageBreak/>
        <w:t>•</w:t>
      </w:r>
      <w:r w:rsidRPr="00B36B7E">
        <w:tab/>
      </w:r>
      <w:r w:rsidR="00B36B7E" w:rsidRPr="00B36B7E">
        <w:t>En virtud del entonces Proyecto de Ley de Abreviación Procesal Penal y del Censo Carcelario realizado durante la gestión 2019, el SEPRET, presentó al MJTI, la propuesta de dos artículos para ser incorporados en el referido proyecto, respecto a la creación de un sistema informático integral de registro; revisión médica de las personas privadas de libertad (PPL); libertad inmediata; jueces contravencionales; políticas, planes y programas penitenciarios; prohibición de sanciones legales y el inicio de un registro de c</w:t>
      </w:r>
      <w:r w:rsidR="00EB253C">
        <w:t>entros de privación de libertad</w:t>
      </w:r>
      <w:r>
        <w:t>.</w:t>
      </w:r>
    </w:p>
    <w:p w14:paraId="36683481" w14:textId="77777777" w:rsidR="00B36B7E" w:rsidRPr="00B36B7E" w:rsidRDefault="00235247" w:rsidP="00777507">
      <w:pPr>
        <w:pStyle w:val="Bullet1G"/>
        <w:numPr>
          <w:ilvl w:val="0"/>
          <w:numId w:val="0"/>
        </w:numPr>
        <w:tabs>
          <w:tab w:val="left" w:pos="1701"/>
        </w:tabs>
        <w:ind w:left="1701" w:hanging="170"/>
        <w:rPr>
          <w:i/>
        </w:rPr>
      </w:pPr>
      <w:r w:rsidRPr="00B36B7E">
        <w:t>•</w:t>
      </w:r>
      <w:r w:rsidRPr="00B36B7E">
        <w:tab/>
      </w:r>
      <w:r w:rsidR="00B36B7E" w:rsidRPr="00B36B7E">
        <w:t>Propuesta sobre el Anteproyecto de Ley del Código de Ejecución Penal, que recoge el trabajo desarrollado por el Comité, el Subcomité para la Prevención de la Tortura, así como las acciones desarrolladas por el SEPRET desde la gestión 2016 a 2019, contemplando aspectos relativos a los derechos de las PPL y la</w:t>
      </w:r>
      <w:r w:rsidR="00EB253C">
        <w:t xml:space="preserve"> administración penitenciaria</w:t>
      </w:r>
      <w:r>
        <w:t>.</w:t>
      </w:r>
    </w:p>
    <w:p w14:paraId="56B2FBEC" w14:textId="77777777" w:rsidR="00B36B7E" w:rsidRPr="00B36B7E" w:rsidRDefault="00235247" w:rsidP="00777507">
      <w:pPr>
        <w:pStyle w:val="Bullet1G"/>
        <w:numPr>
          <w:ilvl w:val="0"/>
          <w:numId w:val="0"/>
        </w:numPr>
        <w:tabs>
          <w:tab w:val="left" w:pos="1701"/>
        </w:tabs>
        <w:ind w:left="1701" w:hanging="170"/>
        <w:rPr>
          <w:i/>
        </w:rPr>
      </w:pPr>
      <w:r w:rsidRPr="00B36B7E">
        <w:t>•</w:t>
      </w:r>
      <w:r w:rsidRPr="00B36B7E">
        <w:tab/>
      </w:r>
      <w:r w:rsidR="00B36B7E" w:rsidRPr="00B36B7E">
        <w:t>Anteproyecto de Ley para la modificación del artículo sobre la tortura del CP, que incorporaría en la legislación penal una definición de tortura con todos los elementos contenidos en</w:t>
      </w:r>
      <w:r w:rsidR="00EB253C">
        <w:t xml:space="preserve"> el artículo 1 de la Convención</w:t>
      </w:r>
      <w:r>
        <w:t>.</w:t>
      </w:r>
    </w:p>
    <w:p w14:paraId="2B777C61" w14:textId="77777777" w:rsidR="00B36B7E" w:rsidRDefault="00235247" w:rsidP="00777507">
      <w:pPr>
        <w:pStyle w:val="Bullet1G"/>
        <w:numPr>
          <w:ilvl w:val="0"/>
          <w:numId w:val="0"/>
        </w:numPr>
        <w:tabs>
          <w:tab w:val="left" w:pos="1701"/>
        </w:tabs>
        <w:ind w:left="1701" w:hanging="170"/>
      </w:pPr>
      <w:r>
        <w:t>•</w:t>
      </w:r>
      <w:r>
        <w:tab/>
      </w:r>
      <w:r w:rsidR="00B36B7E" w:rsidRPr="00B36B7E">
        <w:t xml:space="preserve">Anteproyecto de Ley de Régimen Penitenciario, con la finalidad de establecer mecanismos y procedimientos destinados a la reinserción social de las PPL, a través del trabajo y estudio en los centros penitenciarios en el marco del desarrollo productivo y la economía plural en sujeción a la CPE y las Leyes. </w:t>
      </w:r>
    </w:p>
    <w:p w14:paraId="21EB6171" w14:textId="77777777" w:rsidR="00B36B7E" w:rsidRPr="00B36B7E" w:rsidRDefault="00EB253C" w:rsidP="00EB253C">
      <w:pPr>
        <w:pStyle w:val="H23G"/>
        <w:rPr>
          <w:lang w:eastAsia="en-US"/>
        </w:rPr>
      </w:pPr>
      <w:r>
        <w:rPr>
          <w:lang w:eastAsia="en-US"/>
        </w:rPr>
        <w:tab/>
      </w:r>
      <w:r>
        <w:rPr>
          <w:lang w:eastAsia="en-US"/>
        </w:rPr>
        <w:tab/>
      </w:r>
      <w:r w:rsidR="00B36B7E" w:rsidRPr="00B36B7E">
        <w:rPr>
          <w:lang w:eastAsia="en-US"/>
        </w:rPr>
        <w:t>Respuesta al Párrafo 3</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5E05FB79" w14:textId="77777777" w:rsidR="00B36B7E" w:rsidRPr="00B36B7E" w:rsidRDefault="00EB253C" w:rsidP="00EB253C">
      <w:pPr>
        <w:pStyle w:val="H23G"/>
        <w:rPr>
          <w:lang w:eastAsia="en-US"/>
        </w:rPr>
      </w:pPr>
      <w:r>
        <w:rPr>
          <w:lang w:eastAsia="en-US"/>
        </w:rPr>
        <w:tab/>
      </w:r>
      <w:r>
        <w:rPr>
          <w:lang w:eastAsia="en-US"/>
        </w:rPr>
        <w:tab/>
      </w:r>
      <w:r w:rsidR="00B36B7E" w:rsidRPr="00B36B7E">
        <w:rPr>
          <w:lang w:eastAsia="en-US"/>
        </w:rPr>
        <w:t xml:space="preserve">Artículo 2 </w:t>
      </w:r>
    </w:p>
    <w:p w14:paraId="268D3F7A" w14:textId="77777777" w:rsidR="00B36B7E" w:rsidRDefault="00EB253C" w:rsidP="00EB253C">
      <w:pPr>
        <w:pStyle w:val="H4G"/>
        <w:rPr>
          <w:lang w:eastAsia="en-US"/>
        </w:rPr>
      </w:pPr>
      <w:r>
        <w:rPr>
          <w:lang w:eastAsia="en-US"/>
        </w:rPr>
        <w:tab/>
      </w:r>
      <w:r>
        <w:rPr>
          <w:lang w:eastAsia="en-US"/>
        </w:rPr>
        <w:tab/>
      </w:r>
      <w:r w:rsidR="00B36B7E" w:rsidRPr="00B36B7E">
        <w:rPr>
          <w:lang w:eastAsia="en-US"/>
        </w:rPr>
        <w:t>Salvaguardas legales</w:t>
      </w:r>
    </w:p>
    <w:p w14:paraId="13C90217" w14:textId="77777777" w:rsidR="00B36B7E" w:rsidRDefault="00235247" w:rsidP="00777507">
      <w:pPr>
        <w:pStyle w:val="SingleTxtG"/>
        <w:rPr>
          <w:lang w:eastAsia="en-US"/>
        </w:rPr>
      </w:pPr>
      <w:r>
        <w:rPr>
          <w:lang w:eastAsia="en-US"/>
        </w:rPr>
        <w:t>6.</w:t>
      </w:r>
      <w:r>
        <w:rPr>
          <w:lang w:eastAsia="en-US"/>
        </w:rPr>
        <w:tab/>
      </w:r>
      <w:r w:rsidR="00B36B7E" w:rsidRPr="00B36B7E">
        <w:rPr>
          <w:lang w:eastAsia="en-US"/>
        </w:rPr>
        <w:t xml:space="preserve">El artículo 115 de la CPE, establece que: </w:t>
      </w:r>
      <w:r w:rsidR="00430519">
        <w:rPr>
          <w:i/>
          <w:lang w:eastAsia="en-US"/>
        </w:rPr>
        <w:t>“</w:t>
      </w:r>
      <w:r w:rsidR="00B36B7E" w:rsidRPr="00EB253C">
        <w:rPr>
          <w:i/>
          <w:lang w:eastAsia="en-US"/>
        </w:rPr>
        <w:t>I. Toda persona será protegida oportuna y efectivamente por los jueces y tribunales en el ejercicio de sus derechos e intereses legítimos. II. El Estado garantiza el derecho al debido proceso, a la defensa y a una justicia plural, pronta, oportuna, gratuita, transparente y sin dilaciones</w:t>
      </w:r>
      <w:r w:rsidR="00430519">
        <w:rPr>
          <w:i/>
          <w:lang w:eastAsia="en-US"/>
        </w:rPr>
        <w:t>”</w:t>
      </w:r>
      <w:r w:rsidR="00B36B7E" w:rsidRPr="00EB253C">
        <w:rPr>
          <w:i/>
          <w:lang w:eastAsia="en-US"/>
        </w:rPr>
        <w:t>.</w:t>
      </w:r>
    </w:p>
    <w:p w14:paraId="2161ECDF" w14:textId="77777777" w:rsidR="00B36B7E" w:rsidRDefault="00235247" w:rsidP="00777507">
      <w:pPr>
        <w:pStyle w:val="SingleTxtG"/>
        <w:rPr>
          <w:lang w:eastAsia="en-US"/>
        </w:rPr>
      </w:pPr>
      <w:r>
        <w:rPr>
          <w:lang w:eastAsia="en-US"/>
        </w:rPr>
        <w:t>7.</w:t>
      </w:r>
      <w:r>
        <w:rPr>
          <w:lang w:eastAsia="en-US"/>
        </w:rPr>
        <w:tab/>
      </w:r>
      <w:r w:rsidR="00B36B7E" w:rsidRPr="00B36B7E">
        <w:rPr>
          <w:lang w:eastAsia="en-US"/>
        </w:rPr>
        <w:t xml:space="preserve">En ese sentido, el artículo 167 del CPP, determina el resguardo normativo frente a la actividad procesal defectuosa, y el artículo 168, establece los supuestos para la corrección de oficio o a petición de parte de actos que puedan ser enmendados. </w:t>
      </w:r>
    </w:p>
    <w:p w14:paraId="44C8E98C" w14:textId="77777777" w:rsidR="00B36B7E" w:rsidRDefault="00235247" w:rsidP="00777507">
      <w:pPr>
        <w:pStyle w:val="SingleTxtG"/>
        <w:rPr>
          <w:lang w:eastAsia="en-US"/>
        </w:rPr>
      </w:pPr>
      <w:r>
        <w:rPr>
          <w:lang w:eastAsia="en-US"/>
        </w:rPr>
        <w:t>8.</w:t>
      </w:r>
      <w:r>
        <w:rPr>
          <w:lang w:eastAsia="en-US"/>
        </w:rPr>
        <w:tab/>
      </w:r>
      <w:r w:rsidR="00B36B7E" w:rsidRPr="00B36B7E">
        <w:rPr>
          <w:lang w:eastAsia="en-US"/>
        </w:rPr>
        <w:t>Asimismo, los artículos 169 y 170, regulan los supuestos de hecho catalogados como defectos procesales absolutos y relativos, destinados a corregir actos procesales defectuosos que puedan afectar derechos fundamentales. En los artículos 314 y 315, se norma el procedimiento para la tramitación de excepciones e incidentes, que en caso de actos procesales defectuosos, constituyen mecanismos de defensa expresos, efectivos idóneos y oportunos, para pedir al juez de la causa protección de derechos fundamentales afectados en el proceso.</w:t>
      </w:r>
    </w:p>
    <w:p w14:paraId="6AB48516" w14:textId="77777777" w:rsidR="00B36B7E" w:rsidRDefault="00235247" w:rsidP="00777507">
      <w:pPr>
        <w:pStyle w:val="SingleTxtG"/>
        <w:rPr>
          <w:lang w:eastAsia="en-US"/>
        </w:rPr>
      </w:pPr>
      <w:r>
        <w:rPr>
          <w:lang w:eastAsia="en-US"/>
        </w:rPr>
        <w:t>9.</w:t>
      </w:r>
      <w:r>
        <w:rPr>
          <w:lang w:eastAsia="en-US"/>
        </w:rPr>
        <w:tab/>
      </w:r>
      <w:r w:rsidR="00B36B7E" w:rsidRPr="00B36B7E">
        <w:rPr>
          <w:lang w:eastAsia="en-US"/>
        </w:rPr>
        <w:t>Ahora bien, respecto al principio de impugnación, éste se encuentra garantizado en el artículo 180.II de la CPE</w:t>
      </w:r>
      <w:r w:rsidR="00B36B7E" w:rsidRPr="00777507">
        <w:rPr>
          <w:sz w:val="18"/>
          <w:szCs w:val="18"/>
          <w:vertAlign w:val="superscript"/>
          <w:lang w:eastAsia="en-US"/>
        </w:rPr>
        <w:footnoteReference w:id="5"/>
      </w:r>
      <w:r w:rsidR="00B36B7E" w:rsidRPr="00B36B7E">
        <w:rPr>
          <w:lang w:eastAsia="en-US"/>
        </w:rPr>
        <w:t xml:space="preserve">, de modo que toda persona puede interponer los recursos judiciales que considere pertinentes. </w:t>
      </w:r>
    </w:p>
    <w:p w14:paraId="2A62860B" w14:textId="77777777" w:rsidR="00B36B7E" w:rsidRDefault="00235247" w:rsidP="00777507">
      <w:pPr>
        <w:pStyle w:val="SingleTxtG"/>
        <w:rPr>
          <w:lang w:eastAsia="en-US"/>
        </w:rPr>
      </w:pPr>
      <w:r>
        <w:rPr>
          <w:lang w:eastAsia="en-US"/>
        </w:rPr>
        <w:t>10.</w:t>
      </w:r>
      <w:r>
        <w:rPr>
          <w:lang w:eastAsia="en-US"/>
        </w:rPr>
        <w:tab/>
      </w:r>
      <w:r w:rsidR="00B36B7E" w:rsidRPr="00B36B7E">
        <w:rPr>
          <w:lang w:eastAsia="en-US"/>
        </w:rPr>
        <w:t>Asimismo, en caso que una persona considere que su vida está en peligro, que es ilegalmente perseguida, o que es indebidamente procesada o privada de libertad personal, tiene la facultad de recurrir a la jurisdicción constitucional a través de la acción de libertad</w:t>
      </w:r>
      <w:r w:rsidR="00B36B7E" w:rsidRPr="00777507">
        <w:rPr>
          <w:sz w:val="18"/>
          <w:szCs w:val="18"/>
          <w:vertAlign w:val="superscript"/>
          <w:lang w:eastAsia="en-US"/>
        </w:rPr>
        <w:footnoteReference w:id="6"/>
      </w:r>
      <w:r w:rsidR="00B36B7E" w:rsidRPr="00B36B7E">
        <w:rPr>
          <w:lang w:eastAsia="en-US"/>
        </w:rPr>
        <w:t xml:space="preserve"> establecida en la CPE. Por su parte, el artículo 46 del Código Procesal Constitucional </w:t>
      </w:r>
      <w:r w:rsidR="00B36B7E" w:rsidRPr="00B36B7E">
        <w:rPr>
          <w:lang w:eastAsia="en-US"/>
        </w:rPr>
        <w:lastRenderedPageBreak/>
        <w:t>(CPCo)</w:t>
      </w:r>
      <w:r w:rsidR="00B36B7E" w:rsidRPr="00777507">
        <w:rPr>
          <w:sz w:val="18"/>
          <w:szCs w:val="18"/>
          <w:vertAlign w:val="superscript"/>
          <w:lang w:eastAsia="en-US"/>
        </w:rPr>
        <w:footnoteReference w:id="7"/>
      </w:r>
      <w:r w:rsidR="00B36B7E" w:rsidRPr="00B36B7E">
        <w:rPr>
          <w:lang w:eastAsia="en-US"/>
        </w:rPr>
        <w:t>, tiene por objeto garantizar, proteger y tutelar los derechos a la vida, integridad física, libertad personal y circulación, de toda persona que crea estar indebida o ilegalmente perseguida, detenida, procesada, presa o que considere que su vida o integridad física está en peligro. Su procedimiento se encuentra regulado en el Artículo 49 del CPCo.</w:t>
      </w:r>
      <w:r w:rsidR="00B36B7E" w:rsidRPr="00B36B7E">
        <w:t xml:space="preserve"> </w:t>
      </w:r>
    </w:p>
    <w:p w14:paraId="20BD20CD" w14:textId="77777777" w:rsidR="00B36B7E" w:rsidRDefault="00235247" w:rsidP="00777507">
      <w:pPr>
        <w:pStyle w:val="SingleTxtG"/>
        <w:rPr>
          <w:lang w:eastAsia="en-US"/>
        </w:rPr>
      </w:pPr>
      <w:r>
        <w:rPr>
          <w:lang w:eastAsia="en-US"/>
        </w:rPr>
        <w:t>11.</w:t>
      </w:r>
      <w:r>
        <w:rPr>
          <w:lang w:eastAsia="en-US"/>
        </w:rPr>
        <w:tab/>
      </w:r>
      <w:r w:rsidR="00B36B7E" w:rsidRPr="00B36B7E">
        <w:rPr>
          <w:lang w:eastAsia="en-US"/>
        </w:rPr>
        <w:t xml:space="preserve">El artículo 73.II de la CPE, prevé que: </w:t>
      </w:r>
      <w:r w:rsidR="00430519">
        <w:rPr>
          <w:i/>
          <w:lang w:eastAsia="en-US"/>
        </w:rPr>
        <w:t>“</w:t>
      </w:r>
      <w:r w:rsidR="00B36B7E" w:rsidRPr="00EB253C">
        <w:rPr>
          <w:i/>
          <w:lang w:eastAsia="en-US"/>
        </w:rPr>
        <w:t>Todas las personas privadas de libertad tienen derecho a comunicarse libremente con su defensor, intérprete, familiares y personas allegadas. Se prohíbe la incomunicación. Toda limitación a la comunicación sólo podrá tener lugar en el marco de investigaciones por comisión de delitos, y durará el tiempo máximo de veinticuatro horas</w:t>
      </w:r>
      <w:r w:rsidR="00430519">
        <w:rPr>
          <w:i/>
          <w:lang w:eastAsia="en-US"/>
        </w:rPr>
        <w:t>”</w:t>
      </w:r>
      <w:r w:rsidR="00B36B7E" w:rsidRPr="00EB253C">
        <w:rPr>
          <w:i/>
          <w:lang w:eastAsia="en-US"/>
        </w:rPr>
        <w:t>.</w:t>
      </w:r>
    </w:p>
    <w:p w14:paraId="12A012EB" w14:textId="77777777" w:rsidR="00B36B7E" w:rsidRDefault="00235247" w:rsidP="00777507">
      <w:pPr>
        <w:pStyle w:val="SingleTxtG"/>
        <w:rPr>
          <w:lang w:eastAsia="en-US"/>
        </w:rPr>
      </w:pPr>
      <w:r>
        <w:rPr>
          <w:lang w:eastAsia="en-US"/>
        </w:rPr>
        <w:t>12.</w:t>
      </w:r>
      <w:r>
        <w:rPr>
          <w:lang w:eastAsia="en-US"/>
        </w:rPr>
        <w:tab/>
      </w:r>
      <w:r w:rsidR="00B36B7E" w:rsidRPr="00B36B7E">
        <w:rPr>
          <w:lang w:eastAsia="en-US"/>
        </w:rPr>
        <w:t xml:space="preserve">Igualmente la CPE dispone la prohibición de incomunicación de cualquier PPL, y cuyo derecho es protegido de forma oportuna y efectiva por los jueces y tribunales. Sin embargo, la misma norma constitucional excepcionalmente establece la posibilidad de limitación del ejercicio de este derecho a la comunicación en el marco de la investigación de un delito y por un plazo máximo de 24 horas, conforme al artículo 231 del CPP, que indica: </w:t>
      </w:r>
      <w:r w:rsidR="00430519">
        <w:rPr>
          <w:i/>
          <w:lang w:eastAsia="en-US"/>
        </w:rPr>
        <w:t>“</w:t>
      </w:r>
      <w:r w:rsidR="00B36B7E" w:rsidRPr="00B36B7E">
        <w:rPr>
          <w:i/>
          <w:lang w:eastAsia="en-US"/>
        </w:rPr>
        <w:t>La incomunicación no podrá imponerse, sino en casos de notoria gravedad cuando existan motivos que hagan temer que el imputado de otra forma obstaculizará la averiguación de la verdad. En ningún caso podrá exceder el plazo de veinticuatro horas y no impedirá que el imputado sea asistido por su defensor antes de la realización de cualquier acto que requiera su intervención personal. La incomunicación será dispuesta por el fiscal encargado de la investigación, debidamente fundamentada en los motivos señalados en el Artículo 235 de este Código, quien la comunicará inmediatamente al juez de la instrucción para que ratifique o deje sin efecto la incomunicación. Se permitirá al incomunicado el uso de libros y material de escribir, podrá también realizar actos civiles impostergables que no perjudiquen la investigación</w:t>
      </w:r>
      <w:r w:rsidR="00430519">
        <w:rPr>
          <w:i/>
          <w:lang w:eastAsia="en-US"/>
        </w:rPr>
        <w:t>”</w:t>
      </w:r>
      <w:r w:rsidR="00B36B7E" w:rsidRPr="00B36B7E">
        <w:rPr>
          <w:i/>
          <w:lang w:eastAsia="en-US"/>
        </w:rPr>
        <w:t>.</w:t>
      </w:r>
    </w:p>
    <w:p w14:paraId="22028EED" w14:textId="77777777" w:rsidR="00B36B7E" w:rsidRPr="00EB253C" w:rsidRDefault="00235247" w:rsidP="00777507">
      <w:pPr>
        <w:pStyle w:val="SingleTxtG"/>
        <w:rPr>
          <w:i/>
          <w:lang w:eastAsia="en-US"/>
        </w:rPr>
      </w:pPr>
      <w:r w:rsidRPr="00EB253C">
        <w:rPr>
          <w:lang w:eastAsia="en-US"/>
        </w:rPr>
        <w:t>13.</w:t>
      </w:r>
      <w:r w:rsidRPr="00EB253C">
        <w:rPr>
          <w:lang w:eastAsia="en-US"/>
        </w:rPr>
        <w:tab/>
      </w:r>
      <w:r w:rsidR="00B36B7E" w:rsidRPr="00B36B7E">
        <w:rPr>
          <w:lang w:eastAsia="en-US"/>
        </w:rPr>
        <w:t>Con relación a la asistencia jurídica, el artículo 9 del CPP, dispone</w:t>
      </w:r>
      <w:r w:rsidR="00B36B7E" w:rsidRPr="00EB253C">
        <w:rPr>
          <w:i/>
          <w:lang w:eastAsia="en-US"/>
        </w:rPr>
        <w:t xml:space="preserve">: </w:t>
      </w:r>
      <w:r w:rsidR="00430519">
        <w:rPr>
          <w:i/>
          <w:lang w:eastAsia="en-US"/>
        </w:rPr>
        <w:t>“</w:t>
      </w:r>
      <w:r w:rsidR="00B36B7E" w:rsidRPr="00EB253C">
        <w:rPr>
          <w:i/>
          <w:lang w:eastAsia="en-US"/>
        </w:rPr>
        <w:t>Todo imputado tiene derecho a la asistencia y defensa de un abogado desde el primer acto del proceso hasta el fin de la ejecución de la sentencia. Este derecho es irrenunciable...</w:t>
      </w:r>
      <w:r w:rsidR="00430519">
        <w:rPr>
          <w:i/>
          <w:lang w:eastAsia="en-US"/>
        </w:rPr>
        <w:t>”</w:t>
      </w:r>
      <w:r w:rsidR="00B36B7E" w:rsidRPr="00EB253C">
        <w:rPr>
          <w:i/>
          <w:lang w:eastAsia="en-US"/>
        </w:rPr>
        <w:t>.</w:t>
      </w:r>
    </w:p>
    <w:p w14:paraId="5731CD7F" w14:textId="77777777" w:rsidR="00B36B7E" w:rsidRDefault="00235247" w:rsidP="00777507">
      <w:pPr>
        <w:pStyle w:val="SingleTxtG"/>
        <w:rPr>
          <w:lang w:eastAsia="en-US"/>
        </w:rPr>
      </w:pPr>
      <w:r>
        <w:rPr>
          <w:lang w:eastAsia="en-US"/>
        </w:rPr>
        <w:t>14.</w:t>
      </w:r>
      <w:r>
        <w:rPr>
          <w:lang w:eastAsia="en-US"/>
        </w:rPr>
        <w:tab/>
      </w:r>
      <w:r w:rsidR="00B36B7E" w:rsidRPr="00B36B7E">
        <w:rPr>
          <w:lang w:eastAsia="en-US"/>
        </w:rPr>
        <w:t xml:space="preserve">Asimismo, el artículo 296.7 del mismo Código, establece como principio de actuación de los miembros de la Policía Boliviana al momento de la aprehensión de cualquier ciudadano: </w:t>
      </w:r>
      <w:r w:rsidR="00430519">
        <w:rPr>
          <w:rFonts w:eastAsia="Arial"/>
          <w:i/>
          <w:lang w:eastAsia="en-US"/>
        </w:rPr>
        <w:t>“</w:t>
      </w:r>
      <w:r w:rsidR="00B36B7E" w:rsidRPr="00B36B7E">
        <w:rPr>
          <w:rFonts w:eastAsia="Arial"/>
          <w:i/>
          <w:lang w:eastAsia="en-US"/>
        </w:rPr>
        <w:t>Comunicar la detención</w:t>
      </w:r>
      <w:r w:rsidR="00B36B7E" w:rsidRPr="00B36B7E">
        <w:rPr>
          <w:lang w:eastAsia="en-US"/>
        </w:rPr>
        <w:t xml:space="preserve"> </w:t>
      </w:r>
      <w:r w:rsidR="00B36B7E" w:rsidRPr="00B36B7E">
        <w:rPr>
          <w:rFonts w:eastAsia="Arial"/>
          <w:i/>
          <w:lang w:eastAsia="en-US"/>
        </w:rPr>
        <w:t>y el establecimiento donde será conducido, a los parientes u otras personas relacionadas con el Imputado</w:t>
      </w:r>
      <w:r w:rsidR="00430519">
        <w:rPr>
          <w:rFonts w:eastAsia="Arial"/>
          <w:i/>
          <w:lang w:eastAsia="en-US"/>
        </w:rPr>
        <w:t>”</w:t>
      </w:r>
      <w:r w:rsidR="00B36B7E" w:rsidRPr="00B36B7E">
        <w:rPr>
          <w:rFonts w:eastAsia="Arial"/>
          <w:i/>
          <w:lang w:eastAsia="en-US"/>
        </w:rPr>
        <w:t>.</w:t>
      </w:r>
    </w:p>
    <w:p w14:paraId="2CA57234" w14:textId="77777777" w:rsidR="00B36B7E" w:rsidRDefault="00235247" w:rsidP="00777507">
      <w:pPr>
        <w:pStyle w:val="SingleTxtG"/>
        <w:rPr>
          <w:lang w:eastAsia="en-US"/>
        </w:rPr>
      </w:pPr>
      <w:r>
        <w:rPr>
          <w:lang w:eastAsia="en-US"/>
        </w:rPr>
        <w:t>15.</w:t>
      </w:r>
      <w:r>
        <w:rPr>
          <w:lang w:eastAsia="en-US"/>
        </w:rPr>
        <w:tab/>
      </w:r>
      <w:r w:rsidR="00B36B7E" w:rsidRPr="00B36B7E">
        <w:rPr>
          <w:lang w:eastAsia="en-US"/>
        </w:rPr>
        <w:t xml:space="preserve">La LEPS, en su artículo 8, dispone que: </w:t>
      </w:r>
      <w:r w:rsidR="00430519">
        <w:rPr>
          <w:i/>
          <w:lang w:eastAsia="en-US"/>
        </w:rPr>
        <w:t>“</w:t>
      </w:r>
      <w:r w:rsidR="00B36B7E" w:rsidRPr="00EB253C">
        <w:rPr>
          <w:i/>
          <w:lang w:eastAsia="en-US"/>
        </w:rPr>
        <w:t>Todo interno tiene derecho irrestricto a su defensa material y técnica. A tal efecto, tendrá derecho a entrevistarse con su defensor, sin sujeción a horario establecido ni ninguna otra limitación.</w:t>
      </w:r>
      <w:r w:rsidR="00430519">
        <w:rPr>
          <w:i/>
          <w:lang w:eastAsia="en-US"/>
        </w:rPr>
        <w:t>”</w:t>
      </w:r>
      <w:r w:rsidR="00B36B7E" w:rsidRPr="00B36B7E">
        <w:rPr>
          <w:lang w:eastAsia="en-US"/>
        </w:rPr>
        <w:t xml:space="preserve"> A su vez, esta norma prevé que en los recintos penitenciarios las PPL tendrán al alcance la asistencia legal. Este servicio estará a cargo del Servicio Plurinacional de Defensa Pública (SEPDEP), que deberá prestar orientación jurídica.</w:t>
      </w:r>
    </w:p>
    <w:p w14:paraId="621B1266" w14:textId="77777777" w:rsidR="00B36B7E" w:rsidRDefault="00235247" w:rsidP="00777507">
      <w:pPr>
        <w:pStyle w:val="SingleTxtG"/>
        <w:rPr>
          <w:lang w:eastAsia="en-US"/>
        </w:rPr>
      </w:pPr>
      <w:r>
        <w:rPr>
          <w:lang w:eastAsia="en-US"/>
        </w:rPr>
        <w:t>16.</w:t>
      </w:r>
      <w:r>
        <w:rPr>
          <w:lang w:eastAsia="en-US"/>
        </w:rPr>
        <w:tab/>
      </w:r>
      <w:r w:rsidR="00B36B7E" w:rsidRPr="00B36B7E">
        <w:rPr>
          <w:lang w:eastAsia="en-US"/>
        </w:rPr>
        <w:t xml:space="preserve">Por otro parte, cabe aclarar que el SEPDEP, con presencia a nivel nacional, está </w:t>
      </w:r>
      <w:r w:rsidR="00B36B7E" w:rsidRPr="00B36B7E">
        <w:t xml:space="preserve">encargada del régimen de defensa penal pública de las personas denunciadas, imputadas o procesadas penalmente; cuya misión institucional es: </w:t>
      </w:r>
      <w:r w:rsidR="00430519">
        <w:rPr>
          <w:i/>
        </w:rPr>
        <w:t>“</w:t>
      </w:r>
      <w:r w:rsidR="00B36B7E" w:rsidRPr="00B36B7E">
        <w:rPr>
          <w:i/>
          <w:lang w:eastAsia="en-US"/>
        </w:rPr>
        <w:t>Garantizar la inviolabilidad del derecho a la defensa y el acceso a una justicia oportuna y gratuita, prestando servicios de asistencia técnica y defensa penal a toda persona denunciada, imputada o procesada penalmente, carente de recursos económicos y a quienes no designen abogado para su defensa</w:t>
      </w:r>
      <w:r w:rsidR="00430519">
        <w:rPr>
          <w:i/>
          <w:lang w:eastAsia="en-US"/>
        </w:rPr>
        <w:t>”</w:t>
      </w:r>
      <w:r w:rsidR="00B36B7E" w:rsidRPr="00B36B7E">
        <w:rPr>
          <w:i/>
          <w:lang w:eastAsia="en-US"/>
        </w:rPr>
        <w:t>.</w:t>
      </w:r>
    </w:p>
    <w:p w14:paraId="439DC745" w14:textId="77777777" w:rsidR="00B36B7E" w:rsidRDefault="00235247" w:rsidP="00777507">
      <w:pPr>
        <w:pStyle w:val="SingleTxtG"/>
        <w:rPr>
          <w:lang w:eastAsia="en-US"/>
        </w:rPr>
      </w:pPr>
      <w:r>
        <w:rPr>
          <w:lang w:eastAsia="en-US"/>
        </w:rPr>
        <w:t>17.</w:t>
      </w:r>
      <w:r>
        <w:rPr>
          <w:lang w:eastAsia="en-US"/>
        </w:rPr>
        <w:tab/>
      </w:r>
      <w:r w:rsidR="00B36B7E" w:rsidRPr="00B36B7E">
        <w:rPr>
          <w:lang w:eastAsia="en-US"/>
        </w:rPr>
        <w:t>En consecuencia, desde el primer momento del proceso, la persona sindicada de un hecho ilícito o privada de libertad, tiene el derecho amplio e irrestricto a tomar contacto con un abogado que lo asista y lo defienda, pudiendo ser éste particular o un defensor público, al constituirse en un derecho irrenunciable. Asimismo, entre sus derechos se encuentran el contacto y/o la comunicación con sus familiares, conforme los artículos 103.2 (visitas), 104.2 (entrevistas), 105.2 (visitas del abogado), 106.2 (visitas conyugales) y 156.2 (derechos del detenido preventivo) de la LEPS</w:t>
      </w:r>
      <w:r w:rsidR="000A478C">
        <w:rPr>
          <w:lang w:eastAsia="en-US"/>
        </w:rPr>
        <w:t>.</w:t>
      </w:r>
    </w:p>
    <w:p w14:paraId="16F27158" w14:textId="77777777" w:rsidR="00B36B7E" w:rsidRDefault="00235247" w:rsidP="00777507">
      <w:pPr>
        <w:pStyle w:val="SingleTxtG"/>
        <w:rPr>
          <w:lang w:eastAsia="en-US"/>
        </w:rPr>
      </w:pPr>
      <w:r>
        <w:rPr>
          <w:lang w:eastAsia="en-US"/>
        </w:rPr>
        <w:t>18.</w:t>
      </w:r>
      <w:r>
        <w:rPr>
          <w:lang w:eastAsia="en-US"/>
        </w:rPr>
        <w:tab/>
      </w:r>
      <w:r w:rsidR="00B36B7E" w:rsidRPr="00B36B7E">
        <w:rPr>
          <w:lang w:eastAsia="en-US"/>
        </w:rPr>
        <w:t xml:space="preserve">Por otro lado, es una garantía constitucional, informar a las personas sobre los motivos por los cuales se procedió a su detención, de acuerdo al artículo 23 de la CPE, </w:t>
      </w:r>
      <w:r w:rsidR="00B36B7E" w:rsidRPr="00B36B7E">
        <w:rPr>
          <w:lang w:eastAsia="en-US"/>
        </w:rPr>
        <w:lastRenderedPageBreak/>
        <w:t>igualmente, los responsables de los centros de reclusión llevan un registro de PPL, prohibiéndose la recepción de personas sin orden judicial, bajo alternativa de procesamiento y sanciones, disposición que concuerda con el artículo 21 de la LEPS, que a su vez, dispone que sólo se podrá acceder a los archivos de una PPL con orden judicial.</w:t>
      </w:r>
    </w:p>
    <w:p w14:paraId="6DF2F730" w14:textId="77777777" w:rsidR="00B36B7E" w:rsidRDefault="00235247" w:rsidP="00777507">
      <w:pPr>
        <w:pStyle w:val="SingleTxtG"/>
        <w:rPr>
          <w:lang w:eastAsia="en-US"/>
        </w:rPr>
      </w:pPr>
      <w:r>
        <w:rPr>
          <w:lang w:eastAsia="en-US"/>
        </w:rPr>
        <w:t>19.</w:t>
      </w:r>
      <w:r>
        <w:rPr>
          <w:lang w:eastAsia="en-US"/>
        </w:rPr>
        <w:tab/>
      </w:r>
      <w:r w:rsidR="00B36B7E" w:rsidRPr="00B36B7E">
        <w:rPr>
          <w:lang w:eastAsia="en-US"/>
        </w:rPr>
        <w:t>Para el ingreso de una PPL a un recinto penitenciario, conforme al artículo 2 de la LEPS, la Dirección General de Régimen Penitenciario (DGRP) a través de las Direcciones de los establecimientos penitenciarios y/o carceletas que se encuentran bajo su tuición, requiere el mandamiento respectivo suscrito por la autoridad jurisdiccional competente.</w:t>
      </w:r>
    </w:p>
    <w:p w14:paraId="1D01CB73" w14:textId="77777777" w:rsidR="00B36B7E" w:rsidRDefault="00235247" w:rsidP="00777507">
      <w:pPr>
        <w:pStyle w:val="SingleTxtG"/>
        <w:rPr>
          <w:lang w:eastAsia="en-US"/>
        </w:rPr>
      </w:pPr>
      <w:r>
        <w:rPr>
          <w:lang w:eastAsia="en-US"/>
        </w:rPr>
        <w:t>20.</w:t>
      </w:r>
      <w:r>
        <w:rPr>
          <w:lang w:eastAsia="en-US"/>
        </w:rPr>
        <w:tab/>
      </w:r>
      <w:r w:rsidR="00B36B7E" w:rsidRPr="00B36B7E">
        <w:rPr>
          <w:lang w:eastAsia="en-US"/>
        </w:rPr>
        <w:t>Respecto al traslado penitenciario de PPL, de acuerdo con lo establecido en la LEPS y su Decreto Reglamentario</w:t>
      </w:r>
      <w:r w:rsidR="00B36B7E" w:rsidRPr="00777507">
        <w:rPr>
          <w:sz w:val="18"/>
          <w:szCs w:val="18"/>
          <w:vertAlign w:val="superscript"/>
          <w:lang w:eastAsia="en-US"/>
        </w:rPr>
        <w:footnoteReference w:id="8"/>
      </w:r>
      <w:r w:rsidR="00B36B7E" w:rsidRPr="00B36B7E">
        <w:rPr>
          <w:lang w:eastAsia="en-US"/>
        </w:rPr>
        <w:t xml:space="preserve">, las condiciones para el procedimiento de traslado deben ser en estricto respeto de los derechos fundamentales. </w:t>
      </w:r>
    </w:p>
    <w:p w14:paraId="68E6BA8A" w14:textId="77777777" w:rsidR="00B36B7E" w:rsidRDefault="00235247" w:rsidP="00777507">
      <w:pPr>
        <w:pStyle w:val="SingleTxtG"/>
        <w:rPr>
          <w:lang w:eastAsia="en-US"/>
        </w:rPr>
      </w:pPr>
      <w:r>
        <w:rPr>
          <w:lang w:eastAsia="en-US"/>
        </w:rPr>
        <w:t>21.</w:t>
      </w:r>
      <w:r>
        <w:rPr>
          <w:lang w:eastAsia="en-US"/>
        </w:rPr>
        <w:tab/>
      </w:r>
      <w:r w:rsidR="00B36B7E" w:rsidRPr="00B36B7E">
        <w:rPr>
          <w:lang w:eastAsia="en-US"/>
        </w:rPr>
        <w:t xml:space="preserve">En relación a la asistencia consular para las personas extranjeras, la Convención de Viena sobre Relaciones Consulares de 24 de abril de 1963, regula el derecho de comunicaciones consulares respecto a cualquier extranjero arrestado, aprehendido o detenido en el país, siendo el Ministerio Público el que tiene la obligación de dar cumplimiento a los preceptos legales esgrimidos en dicho cuerpo normativo, y en especial lo referente a la comunicación oficial a las representaciones diplomáticas o consulares sobre la detención o procesamiento de cualquier ciudadano extranjero en territorio boliviano. Asimismo, se encuentra vigente el Instructivo 270/15 de la Fiscalía General del Estado (FGE), que señala: </w:t>
      </w:r>
      <w:r w:rsidR="00430519">
        <w:rPr>
          <w:lang w:eastAsia="en-US"/>
        </w:rPr>
        <w:t>“</w:t>
      </w:r>
      <w:r w:rsidR="00B36B7E" w:rsidRPr="00B36B7E">
        <w:rPr>
          <w:i/>
          <w:lang w:eastAsia="en-US"/>
        </w:rPr>
        <w:t>En los casos de personas arrestadas, aprehendidas o detenidas de las que se tenga constancia que tienen nacionalidad extranjera, el Fiscal asignado al caso deberá hacerle conocer de manera expresa que tiene derecho a que se comunique esta situación a la misión diplomática de su país (embajada o consulado), y que también tiene derecho a oponerse expresamente a cualquier intervención del funcionario consular en su auxilio, debiendo acumularse dicha advertencia al cuaderno de investigaciones</w:t>
      </w:r>
      <w:r w:rsidR="00430519">
        <w:rPr>
          <w:i/>
          <w:lang w:eastAsia="en-US"/>
        </w:rPr>
        <w:t>”</w:t>
      </w:r>
      <w:r w:rsidR="00B36B7E" w:rsidRPr="00B36B7E">
        <w:rPr>
          <w:i/>
          <w:lang w:eastAsia="en-US"/>
        </w:rPr>
        <w:t>.</w:t>
      </w:r>
    </w:p>
    <w:p w14:paraId="768F3013" w14:textId="77777777" w:rsidR="00B36B7E" w:rsidRDefault="00235247" w:rsidP="00777507">
      <w:pPr>
        <w:pStyle w:val="SingleTxtG"/>
        <w:rPr>
          <w:lang w:eastAsia="en-US"/>
        </w:rPr>
      </w:pPr>
      <w:r>
        <w:rPr>
          <w:lang w:eastAsia="en-US"/>
        </w:rPr>
        <w:t>22.</w:t>
      </w:r>
      <w:r>
        <w:rPr>
          <w:lang w:eastAsia="en-US"/>
        </w:rPr>
        <w:tab/>
      </w:r>
      <w:r w:rsidR="00B36B7E" w:rsidRPr="00B36B7E">
        <w:rPr>
          <w:lang w:eastAsia="en-US"/>
        </w:rPr>
        <w:t>Finalmente, el Instructivo 002/2014, de la FGE, determina acciones concretas para facilitar a los funcionarios diplomáticos y consulares el acceso a la información sobre sus connacionales sujetos a procesos investigativos en territorio boliviano.</w:t>
      </w:r>
    </w:p>
    <w:p w14:paraId="6E3430FA" w14:textId="77777777" w:rsidR="00B36B7E" w:rsidRPr="00B36B7E" w:rsidRDefault="002B69F9" w:rsidP="00EB253C">
      <w:pPr>
        <w:pStyle w:val="H23G"/>
        <w:rPr>
          <w:lang w:eastAsia="en-US"/>
        </w:rPr>
      </w:pPr>
      <w:r>
        <w:rPr>
          <w:lang w:eastAsia="en-US"/>
        </w:rPr>
        <w:tab/>
      </w:r>
      <w:r>
        <w:rPr>
          <w:lang w:eastAsia="en-US"/>
        </w:rPr>
        <w:tab/>
      </w:r>
      <w:r w:rsidR="00B36B7E" w:rsidRPr="00B36B7E">
        <w:rPr>
          <w:lang w:eastAsia="en-US"/>
        </w:rPr>
        <w:t>Respuesta al párrafo 4</w:t>
      </w:r>
      <w:r w:rsidR="006D5C5E" w:rsidRPr="006D5C5E">
        <w:rPr>
          <w:lang w:val="es-CU"/>
        </w:rPr>
        <w:t xml:space="preserve"> </w:t>
      </w:r>
      <w:r w:rsidR="006D5C5E">
        <w:rPr>
          <w:lang w:val="es-CU"/>
        </w:rPr>
        <w:t>de la lista de</w:t>
      </w:r>
      <w:r w:rsidR="006D5C5E">
        <w:rPr>
          <w:lang w:val="es-ES_tradnl"/>
        </w:rPr>
        <w:t xml:space="preserve"> </w:t>
      </w:r>
      <w:r w:rsidR="006D5C5E" w:rsidRPr="00E9029D">
        <w:rPr>
          <w:lang w:val="es-ES_tradnl"/>
        </w:rPr>
        <w:t>cuestiones</w:t>
      </w:r>
    </w:p>
    <w:p w14:paraId="6347CC32" w14:textId="77777777" w:rsidR="00B36B7E" w:rsidRPr="0065273B" w:rsidRDefault="002B69F9" w:rsidP="00777507">
      <w:pPr>
        <w:pStyle w:val="H4G"/>
        <w:rPr>
          <w:lang w:eastAsia="en-US"/>
        </w:rPr>
      </w:pPr>
      <w:r>
        <w:rPr>
          <w:lang w:eastAsia="en-US"/>
        </w:rPr>
        <w:tab/>
      </w:r>
      <w:r>
        <w:rPr>
          <w:lang w:eastAsia="en-US"/>
        </w:rPr>
        <w:tab/>
      </w:r>
      <w:r w:rsidR="00B36B7E" w:rsidRPr="0065273B">
        <w:rPr>
          <w:lang w:eastAsia="en-US"/>
        </w:rPr>
        <w:t>SEPRET</w:t>
      </w:r>
    </w:p>
    <w:p w14:paraId="54719139" w14:textId="77777777" w:rsidR="00B36B7E" w:rsidRDefault="00235247" w:rsidP="00777507">
      <w:pPr>
        <w:pStyle w:val="SingleTxtG"/>
        <w:rPr>
          <w:lang w:eastAsia="en-US"/>
        </w:rPr>
      </w:pPr>
      <w:r>
        <w:rPr>
          <w:lang w:eastAsia="en-US"/>
        </w:rPr>
        <w:t>23.</w:t>
      </w:r>
      <w:r>
        <w:rPr>
          <w:lang w:eastAsia="en-US"/>
        </w:rPr>
        <w:tab/>
      </w:r>
      <w:r w:rsidR="00B36B7E" w:rsidRPr="00B36B7E">
        <w:rPr>
          <w:lang w:eastAsia="en-US"/>
        </w:rPr>
        <w:t>Como se informó en el párrafo 198 del Tercer Informe Periódico, el SEPRET fue creado</w:t>
      </w:r>
      <w:r w:rsidR="00B36B7E" w:rsidRPr="00777507">
        <w:rPr>
          <w:sz w:val="18"/>
          <w:szCs w:val="18"/>
          <w:vertAlign w:val="superscript"/>
          <w:lang w:eastAsia="en-US"/>
        </w:rPr>
        <w:footnoteReference w:id="9"/>
      </w:r>
      <w:r w:rsidR="00B36B7E" w:rsidRPr="00B36B7E">
        <w:rPr>
          <w:lang w:eastAsia="en-US"/>
        </w:rPr>
        <w:t xml:space="preserve"> como institución pública descentralizada, con alcance nacional, autonomía de gestión administrativa, financiera, legal y técnica. Tiene recursos humanos y económicos para su funcionamiento independiente. Por ende, la creación del mecanismo nacional para la prevención de la tortura y otros tratos o penas crueles, inhumanos, degradantes o humillantes del Estado Plurinacional de Bolivia, como institución descentralizada consideró los alcances del artículo 17 del Protocolo Facultativo de la Convención.</w:t>
      </w:r>
    </w:p>
    <w:p w14:paraId="23DD299A" w14:textId="77777777" w:rsidR="00B36B7E" w:rsidRDefault="00235247" w:rsidP="00777507">
      <w:pPr>
        <w:pStyle w:val="SingleTxtG"/>
        <w:rPr>
          <w:lang w:eastAsia="en-US"/>
        </w:rPr>
      </w:pPr>
      <w:r>
        <w:rPr>
          <w:lang w:eastAsia="en-US"/>
        </w:rPr>
        <w:t>24.</w:t>
      </w:r>
      <w:r>
        <w:rPr>
          <w:lang w:eastAsia="en-US"/>
        </w:rPr>
        <w:tab/>
      </w:r>
      <w:r w:rsidR="00B36B7E" w:rsidRPr="00B36B7E">
        <w:rPr>
          <w:lang w:eastAsia="en-US"/>
        </w:rPr>
        <w:t>El Decreto Supremo (DS) 2082 de 21 de agosto de 2014, reglamenta la estructura y el funcionamiento del SEPRET, estableciendo su ámbito de aplicación en los Centros de Custodia, Penitenciarías, Establecimientos Especiales, Establecimientos para Menores de Edad Imputables (Sistema Penal para Adolescentes), Penitenciarias Militares, Centros de Formación Policial, Militar, Cuarteles Militares y cualquier otra institución sin ningún tipo de discriminación, en todo el territorio del Estado boliviano.</w:t>
      </w:r>
    </w:p>
    <w:p w14:paraId="7691B004" w14:textId="77777777" w:rsidR="00B36B7E" w:rsidRDefault="00235247" w:rsidP="00777507">
      <w:pPr>
        <w:pStyle w:val="SingleTxtG"/>
        <w:rPr>
          <w:lang w:eastAsia="en-US"/>
        </w:rPr>
      </w:pPr>
      <w:r>
        <w:rPr>
          <w:lang w:eastAsia="en-US"/>
        </w:rPr>
        <w:t>25.</w:t>
      </w:r>
      <w:r>
        <w:rPr>
          <w:lang w:eastAsia="en-US"/>
        </w:rPr>
        <w:tab/>
      </w:r>
      <w:r w:rsidR="00B36B7E" w:rsidRPr="00B36B7E">
        <w:rPr>
          <w:lang w:eastAsia="en-US"/>
        </w:rPr>
        <w:t xml:space="preserve">Respecto a los recursos necesarios, la </w:t>
      </w:r>
      <w:r w:rsidR="00B36B7E" w:rsidRPr="00B55F3D">
        <w:rPr>
          <w:lang w:eastAsia="en-US"/>
        </w:rPr>
        <w:t>Disposición Final Primera</w:t>
      </w:r>
      <w:r w:rsidR="00B36B7E" w:rsidRPr="00B36B7E">
        <w:rPr>
          <w:lang w:eastAsia="en-US"/>
        </w:rPr>
        <w:t xml:space="preserve"> de la Ley del Servicio para la Prevención de la Tortura (Ley 474) determina que el Ministerio de Economía y Finanzas Públicas, asignará los recursos económicos necesarios. Bajo ese entendido, al inicio de actividades del SEPRET, el 1 de julio de 2016, se solicitó la asignación de recursos económicos.</w:t>
      </w:r>
    </w:p>
    <w:p w14:paraId="4E1A76B3" w14:textId="77777777" w:rsidR="00B36B7E" w:rsidRDefault="00235247" w:rsidP="00777507">
      <w:pPr>
        <w:pStyle w:val="SingleTxtG"/>
        <w:rPr>
          <w:lang w:eastAsia="en-US"/>
        </w:rPr>
      </w:pPr>
      <w:r>
        <w:rPr>
          <w:lang w:eastAsia="en-US"/>
        </w:rPr>
        <w:t>26.</w:t>
      </w:r>
      <w:r>
        <w:rPr>
          <w:lang w:eastAsia="en-US"/>
        </w:rPr>
        <w:tab/>
      </w:r>
      <w:r w:rsidR="00B36B7E" w:rsidRPr="00B36B7E">
        <w:rPr>
          <w:lang w:eastAsia="en-US"/>
        </w:rPr>
        <w:t xml:space="preserve">En el 2019, el personal eventual del SEPRET se convirtió en personal de planta, conforme la Resolución Biministerial 31 de 28 de diciembre de 2018, mediante la cual se </w:t>
      </w:r>
      <w:r w:rsidR="00B36B7E" w:rsidRPr="00B36B7E">
        <w:rPr>
          <w:lang w:eastAsia="en-US"/>
        </w:rPr>
        <w:lastRenderedPageBreak/>
        <w:t>aprueba la estructura Organizacional, Escala Salarial y Planilla Presupuestaria, constituida por (8) ítems, distribuidos en 7 niveles de remuneración básica con un costo anual de Bs769.836.- (setecientos sesenta y nueve mil ochocientos treinta y seis 00/100 bolivianos), financiados por el Tesoro General del Estado (TGN).</w:t>
      </w:r>
    </w:p>
    <w:p w14:paraId="68488492" w14:textId="77777777" w:rsidR="00B36B7E" w:rsidRPr="00B36B7E" w:rsidRDefault="00EB253C" w:rsidP="00EB253C">
      <w:pPr>
        <w:pStyle w:val="H23G"/>
        <w:rPr>
          <w:rFonts w:eastAsia="SimSun"/>
          <w:lang w:val="es-BO"/>
        </w:rPr>
      </w:pPr>
      <w:r>
        <w:rPr>
          <w:rFonts w:eastAsia="SimSun"/>
          <w:lang w:val="es-BO"/>
        </w:rPr>
        <w:tab/>
      </w:r>
      <w:r>
        <w:rPr>
          <w:rFonts w:eastAsia="SimSun"/>
          <w:lang w:val="es-BO"/>
        </w:rPr>
        <w:tab/>
      </w:r>
      <w:r w:rsidR="00B36B7E" w:rsidRPr="00B36B7E">
        <w:rPr>
          <w:rFonts w:eastAsia="SimSun"/>
          <w:lang w:val="es-BO"/>
        </w:rPr>
        <w:t>Respuesta al Párrafo 5</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4112C32F" w14:textId="77777777" w:rsidR="00B36B7E" w:rsidRDefault="00EB253C" w:rsidP="00EB253C">
      <w:pPr>
        <w:pStyle w:val="H4G"/>
        <w:rPr>
          <w:rFonts w:eastAsia="SimSun"/>
          <w:lang w:val="es-BO"/>
        </w:rPr>
      </w:pPr>
      <w:r>
        <w:rPr>
          <w:rFonts w:eastAsia="SimSun"/>
          <w:lang w:val="es-BO"/>
        </w:rPr>
        <w:tab/>
      </w:r>
      <w:r>
        <w:rPr>
          <w:rFonts w:eastAsia="SimSun"/>
          <w:lang w:val="es-BO"/>
        </w:rPr>
        <w:tab/>
      </w:r>
      <w:r w:rsidR="00B36B7E" w:rsidRPr="00B36B7E">
        <w:rPr>
          <w:rFonts w:eastAsia="SimSun"/>
          <w:lang w:val="es-BO"/>
        </w:rPr>
        <w:t>Lucha contra la violencia de género</w:t>
      </w:r>
    </w:p>
    <w:p w14:paraId="07D6BC5E" w14:textId="77777777" w:rsidR="00B36B7E" w:rsidRDefault="00235247" w:rsidP="00777507">
      <w:pPr>
        <w:pStyle w:val="SingleTxtG"/>
        <w:rPr>
          <w:lang w:eastAsia="en-US"/>
        </w:rPr>
      </w:pPr>
      <w:r>
        <w:rPr>
          <w:lang w:eastAsia="en-US"/>
        </w:rPr>
        <w:t>27.</w:t>
      </w:r>
      <w:r>
        <w:rPr>
          <w:lang w:eastAsia="en-US"/>
        </w:rPr>
        <w:tab/>
      </w:r>
      <w:r w:rsidR="00B36B7E" w:rsidRPr="00B36B7E">
        <w:rPr>
          <w:lang w:eastAsia="en-US"/>
        </w:rPr>
        <w:t xml:space="preserve">Con la finalidad de dar continuidad a la lucha contra la violencia en razón de género, en 2019, se conformó el Gabinete Especial de Lucha contra la Violencia hacia la Mujer; y se creó el Servicio Plurinacional de la Mujer y Despatriarcalización </w:t>
      </w:r>
      <w:r w:rsidR="00430519">
        <w:rPr>
          <w:lang w:eastAsia="en-US"/>
        </w:rPr>
        <w:t>“</w:t>
      </w:r>
      <w:r w:rsidR="00B36B7E" w:rsidRPr="00B36B7E">
        <w:rPr>
          <w:lang w:eastAsia="en-US"/>
        </w:rPr>
        <w:t>Ana María Romero</w:t>
      </w:r>
      <w:r w:rsidR="00430519">
        <w:rPr>
          <w:lang w:eastAsia="en-US"/>
        </w:rPr>
        <w:t>”</w:t>
      </w:r>
      <w:r w:rsidR="00B36B7E" w:rsidRPr="00777507">
        <w:rPr>
          <w:sz w:val="18"/>
          <w:szCs w:val="18"/>
          <w:vertAlign w:val="superscript"/>
          <w:lang w:eastAsia="en-US"/>
        </w:rPr>
        <w:footnoteReference w:id="10"/>
      </w:r>
      <w:r w:rsidR="00EB253C">
        <w:rPr>
          <w:lang w:eastAsia="en-US"/>
        </w:rPr>
        <w:t>.</w:t>
      </w:r>
      <w:r w:rsidR="00B36B7E" w:rsidRPr="00B36B7E">
        <w:rPr>
          <w:lang w:eastAsia="en-US"/>
        </w:rPr>
        <w:t xml:space="preserve"> Siendo la entidad encargada de monitorear y evaluar el cumplimiento de las políticas públicas hacia la despatriarcalización a favor del ejercicio efectivo de los derechos de las mujeres y promover la erradicación de todo tipo de violencia y formas de discriminación contra la mujer. </w:t>
      </w:r>
    </w:p>
    <w:p w14:paraId="540510E7" w14:textId="77777777" w:rsidR="00B36B7E" w:rsidRDefault="00235247" w:rsidP="00777507">
      <w:pPr>
        <w:pStyle w:val="SingleTxtG"/>
        <w:rPr>
          <w:lang w:eastAsia="en-US"/>
        </w:rPr>
      </w:pPr>
      <w:r>
        <w:rPr>
          <w:lang w:eastAsia="en-US"/>
        </w:rPr>
        <w:t>28.</w:t>
      </w:r>
      <w:r>
        <w:rPr>
          <w:lang w:eastAsia="en-US"/>
        </w:rPr>
        <w:tab/>
      </w:r>
      <w:r w:rsidR="00B36B7E" w:rsidRPr="00B36B7E">
        <w:rPr>
          <w:lang w:eastAsia="en-US"/>
        </w:rPr>
        <w:t>Este Gabinete aprobó el Decálogo que declara prioridad nacional la lucha contra el feminicidio y la violencia hacia las mujeres, niñas y adolescentes; y el Plan de Acción Contra los Feminicidios y la Violencia Machista, como una respuesta estratégica ante los altos índices de violencia registrados.</w:t>
      </w:r>
    </w:p>
    <w:p w14:paraId="616654F1" w14:textId="77777777" w:rsidR="00B36B7E" w:rsidRDefault="00235247" w:rsidP="00777507">
      <w:pPr>
        <w:pStyle w:val="SingleTxtG"/>
        <w:rPr>
          <w:lang w:eastAsia="en-US"/>
        </w:rPr>
      </w:pPr>
      <w:r>
        <w:rPr>
          <w:lang w:eastAsia="en-US"/>
        </w:rPr>
        <w:t>29.</w:t>
      </w:r>
      <w:r>
        <w:rPr>
          <w:lang w:eastAsia="en-US"/>
        </w:rPr>
        <w:tab/>
      </w:r>
      <w:r w:rsidR="00B36B7E" w:rsidRPr="00B36B7E">
        <w:rPr>
          <w:lang w:eastAsia="en-US"/>
        </w:rPr>
        <w:t>Por otra parte, durante la gestión 2019, se obtuvieron los siguientes resultados:</w:t>
      </w:r>
    </w:p>
    <w:p w14:paraId="2DD59863"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Promulgación del DS 4012 que modifica el Decreto Reglamentario</w:t>
      </w:r>
      <w:r w:rsidR="00B36B7E" w:rsidRPr="00777507">
        <w:rPr>
          <w:sz w:val="18"/>
          <w:szCs w:val="18"/>
          <w:vertAlign w:val="superscript"/>
        </w:rPr>
        <w:footnoteReference w:id="11"/>
      </w:r>
      <w:r w:rsidR="00B36B7E" w:rsidRPr="00B36B7E">
        <w:t xml:space="preserve"> de la Ley 348</w:t>
      </w:r>
      <w:r w:rsidR="00B36B7E" w:rsidRPr="00777507">
        <w:rPr>
          <w:sz w:val="18"/>
          <w:szCs w:val="18"/>
          <w:vertAlign w:val="superscript"/>
        </w:rPr>
        <w:footnoteReference w:id="12"/>
      </w:r>
      <w:r w:rsidR="00B36B7E" w:rsidRPr="00B36B7E">
        <w:t>, por el cual se establece, entre otros, el uso de recursos de las Entidades Territoriales Autónomas (ETAS), para actividades de prevención contra la violencia hacia las mujeres y niñas, niños y adolescentes (NNA), construcción y mantenimiento de casas de acogida, refugios temporales y Servicios Legale</w:t>
      </w:r>
      <w:r w:rsidR="00EB253C">
        <w:t>s Integrales Municipales (SLIM)</w:t>
      </w:r>
      <w:r>
        <w:t>.</w:t>
      </w:r>
    </w:p>
    <w:p w14:paraId="7643EAF3"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Emisión de la Resolución Ministerial 0854/2019 del Ministerio de Educación, que establece que cada 25 de cada mes se realizarán jornadas de prevención de la violencia física, psicológica y sexual e</w:t>
      </w:r>
      <w:r w:rsidR="00EB253C">
        <w:t>n el ámbito educativo</w:t>
      </w:r>
      <w:r>
        <w:t>.</w:t>
      </w:r>
    </w:p>
    <w:p w14:paraId="26995614"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Convenio Interinstitucional, suscrito entre el MJTI, Ministerio de Gobierno, Servicio Plurinacional de la Mujer y de la Despatriarcalización, Tribunal Supremo de Justicia, Consejo de la Magistratura, Ministerio Público y Policía Bolivi</w:t>
      </w:r>
      <w:r w:rsidR="00EB253C">
        <w:t>ana, para Eliminar la Impunidad</w:t>
      </w:r>
      <w:r>
        <w:t>.</w:t>
      </w:r>
    </w:p>
    <w:p w14:paraId="63880306"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Suscripción de un pacto entre autoridades con los medios de comunicación para difusión de mensajes para prevención de la violencia y la a</w:t>
      </w:r>
      <w:r w:rsidR="00EB253C">
        <w:t>utoregulación de sus contenidos</w:t>
      </w:r>
      <w:r>
        <w:t>.</w:t>
      </w:r>
    </w:p>
    <w:p w14:paraId="73E8DB23" w14:textId="77777777" w:rsidR="00B36B7E" w:rsidRDefault="00235247" w:rsidP="00777507">
      <w:pPr>
        <w:pStyle w:val="Bullet1G"/>
        <w:numPr>
          <w:ilvl w:val="0"/>
          <w:numId w:val="0"/>
        </w:numPr>
        <w:tabs>
          <w:tab w:val="left" w:pos="1701"/>
        </w:tabs>
        <w:ind w:left="1701" w:hanging="170"/>
      </w:pPr>
      <w:r>
        <w:t>•</w:t>
      </w:r>
      <w:r>
        <w:tab/>
      </w:r>
      <w:r w:rsidR="00B36B7E" w:rsidRPr="00B36B7E">
        <w:t>Protocolo Interinstitucional de Atención y Protección a Niñas, Niños, Adolescentes y</w:t>
      </w:r>
      <w:r w:rsidR="00EB253C">
        <w:t xml:space="preserve"> Mujeres Víctimas de Violencia</w:t>
      </w:r>
      <w:r w:rsidR="00430519">
        <w:t>”</w:t>
      </w:r>
      <w:r w:rsidR="00B36B7E" w:rsidRPr="00777507">
        <w:rPr>
          <w:sz w:val="18"/>
          <w:szCs w:val="18"/>
          <w:vertAlign w:val="superscript"/>
        </w:rPr>
        <w:footnoteReference w:id="13"/>
      </w:r>
      <w:r w:rsidR="00EB253C">
        <w:t>.</w:t>
      </w:r>
    </w:p>
    <w:p w14:paraId="472BC560" w14:textId="77777777" w:rsidR="00B36B7E" w:rsidRDefault="00235247" w:rsidP="00777507">
      <w:pPr>
        <w:pStyle w:val="SingleTxtG"/>
        <w:rPr>
          <w:lang w:eastAsia="en-US"/>
        </w:rPr>
      </w:pPr>
      <w:r>
        <w:rPr>
          <w:lang w:eastAsia="en-US"/>
        </w:rPr>
        <w:t>30.</w:t>
      </w:r>
      <w:r>
        <w:rPr>
          <w:lang w:eastAsia="en-US"/>
        </w:rPr>
        <w:tab/>
      </w:r>
      <w:r w:rsidR="00B36B7E" w:rsidRPr="00B36B7E">
        <w:rPr>
          <w:lang w:eastAsia="en-US"/>
        </w:rPr>
        <w:t>Entre los avances normativos que garantizan el acceso a la justicia, se promulgó la Ley de Abreviación Procesal y de Fortalecimiento de la Lucha Integral Contra la Violencia a Niñas, Niños, Ad</w:t>
      </w:r>
      <w:r w:rsidR="00EB253C">
        <w:rPr>
          <w:lang w:eastAsia="en-US"/>
        </w:rPr>
        <w:t>olescentes y Mujeres (Ley 1173)</w:t>
      </w:r>
      <w:r w:rsidR="00B36B7E" w:rsidRPr="00777507">
        <w:rPr>
          <w:sz w:val="18"/>
          <w:szCs w:val="18"/>
          <w:vertAlign w:val="superscript"/>
          <w:lang w:eastAsia="en-US"/>
        </w:rPr>
        <w:footnoteReference w:id="14"/>
      </w:r>
      <w:r w:rsidR="00EB253C">
        <w:rPr>
          <w:lang w:eastAsia="en-US"/>
        </w:rPr>
        <w:t>,</w:t>
      </w:r>
      <w:r w:rsidR="00B36B7E" w:rsidRPr="00B36B7E">
        <w:rPr>
          <w:lang w:eastAsia="en-US"/>
        </w:rPr>
        <w:t xml:space="preserve"> cuyo objetivo es lograr una pronta y oportuna resolución de causas penales, brindar protección a las víctimas de violencia (mujeres y NNA), evitar la revictimización, reducir el porcentaje de detenciones preventivas y favorecer a mujeres embarazadas, madres lactantes con hijos menores de un año y niños con discapacidad menores de 6 años que vivan bajo custodia de la persona imputada y personas adultas mayores; así como el derecho al acceso a la tecnología entre otros aspectos.</w:t>
      </w:r>
    </w:p>
    <w:p w14:paraId="753FD0DC" w14:textId="77777777" w:rsidR="00B36B7E" w:rsidRDefault="00235247" w:rsidP="00777507">
      <w:pPr>
        <w:pStyle w:val="SingleTxtG"/>
        <w:keepNext/>
        <w:keepLines/>
        <w:rPr>
          <w:lang w:eastAsia="en-US"/>
        </w:rPr>
      </w:pPr>
      <w:r>
        <w:rPr>
          <w:lang w:eastAsia="en-US"/>
        </w:rPr>
        <w:lastRenderedPageBreak/>
        <w:t>31.</w:t>
      </w:r>
      <w:r>
        <w:rPr>
          <w:lang w:eastAsia="en-US"/>
        </w:rPr>
        <w:tab/>
      </w:r>
      <w:r w:rsidR="00B36B7E" w:rsidRPr="00B36B7E">
        <w:rPr>
          <w:lang w:eastAsia="en-US"/>
        </w:rPr>
        <w:t xml:space="preserve">Por otra parte, dando cumplimiento a la parte resolutiva de la Sentencia de 2016, dictada por la Corte Interamericana de Derechos Humanos, respecto al caso </w:t>
      </w:r>
      <w:r w:rsidR="00B36B7E" w:rsidRPr="00777507">
        <w:rPr>
          <w:i/>
          <w:lang w:eastAsia="en-US"/>
        </w:rPr>
        <w:t>I.</w:t>
      </w:r>
      <w:r w:rsidR="00621AFD" w:rsidRPr="00777507">
        <w:rPr>
          <w:i/>
          <w:lang w:eastAsia="en-US"/>
        </w:rPr>
        <w:t xml:space="preserve"> </w:t>
      </w:r>
      <w:r w:rsidR="00B36B7E" w:rsidRPr="00777507">
        <w:rPr>
          <w:i/>
          <w:lang w:eastAsia="en-US"/>
        </w:rPr>
        <w:t>V. vs. Bolivia</w:t>
      </w:r>
      <w:r w:rsidR="00B36B7E" w:rsidRPr="00B36B7E">
        <w:rPr>
          <w:lang w:eastAsia="en-US"/>
        </w:rPr>
        <w:t>, se ha elaborado y distribuido a nivel nacional, 38.000 cartillas y trípticos con información respecto al consentimiento informado, derechos sexuales y reproductivos.</w:t>
      </w:r>
    </w:p>
    <w:p w14:paraId="2C3C71B9" w14:textId="77777777" w:rsidR="00B36B7E" w:rsidRDefault="00235247" w:rsidP="00777507">
      <w:pPr>
        <w:pStyle w:val="SingleTxtG"/>
        <w:rPr>
          <w:lang w:eastAsia="en-US"/>
        </w:rPr>
      </w:pPr>
      <w:r>
        <w:rPr>
          <w:lang w:eastAsia="en-US"/>
        </w:rPr>
        <w:t>32.</w:t>
      </w:r>
      <w:r>
        <w:rPr>
          <w:lang w:eastAsia="en-US"/>
        </w:rPr>
        <w:tab/>
      </w:r>
      <w:r w:rsidR="00B36B7E" w:rsidRPr="00B36B7E">
        <w:rPr>
          <w:lang w:eastAsia="en-US"/>
        </w:rPr>
        <w:t>En relación a los datos sobre los casos de violencia contra la mujer, el Consejo de la Magistratura cuenta con el siguiente detalle</w:t>
      </w:r>
      <w:r w:rsidR="000A478C">
        <w:rPr>
          <w:lang w:eastAsia="en-US"/>
        </w:rPr>
        <w:t>.</w:t>
      </w:r>
    </w:p>
    <w:p w14:paraId="25E38BF8" w14:textId="77777777" w:rsidR="00B36B7E" w:rsidRPr="00B36B7E" w:rsidRDefault="00DC4138" w:rsidP="00DC4138">
      <w:pPr>
        <w:pStyle w:val="H23G"/>
        <w:rPr>
          <w:lang w:eastAsia="en-US"/>
        </w:rPr>
      </w:pPr>
      <w:r>
        <w:rPr>
          <w:lang w:eastAsia="en-US"/>
        </w:rPr>
        <w:tab/>
      </w:r>
      <w:r>
        <w:rPr>
          <w:lang w:eastAsia="en-US"/>
        </w:rPr>
        <w:tab/>
      </w:r>
      <w:r w:rsidR="00B36B7E" w:rsidRPr="00B36B7E">
        <w:rPr>
          <w:lang w:eastAsia="en-US"/>
        </w:rPr>
        <w:t xml:space="preserve">Juzgados de Instrucción Penal y/o de Violencia Contra la Mujer </w:t>
      </w:r>
      <w:r w:rsidR="000A478C">
        <w:rPr>
          <w:lang w:eastAsia="en-US"/>
        </w:rPr>
        <w:br/>
      </w:r>
      <w:r w:rsidR="00B36B7E" w:rsidRPr="00B36B7E">
        <w:rPr>
          <w:lang w:eastAsia="en-US"/>
        </w:rPr>
        <w:t>y Anticorrupción</w:t>
      </w:r>
    </w:p>
    <w:p w14:paraId="257D60B1" w14:textId="77777777" w:rsidR="00B36B7E" w:rsidRPr="00B36B7E" w:rsidRDefault="00DC4138" w:rsidP="00DC4138">
      <w:pPr>
        <w:pStyle w:val="H23G"/>
        <w:rPr>
          <w:lang w:eastAsia="en-US"/>
        </w:rPr>
      </w:pPr>
      <w:r>
        <w:rPr>
          <w:lang w:eastAsia="en-US"/>
        </w:rPr>
        <w:tab/>
      </w:r>
      <w:r>
        <w:rPr>
          <w:lang w:eastAsia="en-US"/>
        </w:rPr>
        <w:tab/>
      </w:r>
      <w:r w:rsidR="00B36B7E" w:rsidRPr="00B36B7E">
        <w:rPr>
          <w:lang w:eastAsia="en-US"/>
        </w:rPr>
        <w:t>Delitos de Violencia Contra la Mujer</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3"/>
        <w:gridCol w:w="1416"/>
        <w:gridCol w:w="1276"/>
        <w:gridCol w:w="850"/>
        <w:gridCol w:w="1276"/>
        <w:gridCol w:w="1419"/>
      </w:tblGrid>
      <w:tr w:rsidR="008F1A6A" w:rsidRPr="008F1A6A" w14:paraId="6B744A5B" w14:textId="77777777" w:rsidTr="007775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8" w:type="pct"/>
            <w:tcBorders>
              <w:top w:val="single" w:sz="4" w:space="0" w:color="auto"/>
              <w:bottom w:val="single" w:sz="12" w:space="0" w:color="auto"/>
            </w:tcBorders>
            <w:shd w:val="clear" w:color="auto" w:fill="auto"/>
            <w:vAlign w:val="bottom"/>
            <w:hideMark/>
          </w:tcPr>
          <w:p w14:paraId="55F33799" w14:textId="77777777" w:rsidR="00B36B7E" w:rsidRPr="008F1A6A" w:rsidRDefault="00B36B7E" w:rsidP="008F1A6A">
            <w:pPr>
              <w:spacing w:before="80" w:after="80" w:line="200" w:lineRule="exact"/>
              <w:rPr>
                <w:rFonts w:ascii="Times New Roman" w:hAnsi="Times New Roman"/>
                <w:b w:val="0"/>
                <w:i/>
                <w:color w:val="auto"/>
                <w:sz w:val="16"/>
                <w:szCs w:val="18"/>
                <w:lang w:eastAsia="en-US"/>
              </w:rPr>
            </w:pPr>
            <w:r w:rsidRPr="008F1A6A">
              <w:rPr>
                <w:rFonts w:ascii="Times New Roman" w:hAnsi="Times New Roman"/>
                <w:b w:val="0"/>
                <w:i/>
                <w:color w:val="auto"/>
                <w:sz w:val="16"/>
                <w:szCs w:val="18"/>
                <w:lang w:eastAsia="en-US"/>
              </w:rPr>
              <w:t>Año</w:t>
            </w:r>
          </w:p>
        </w:tc>
        <w:tc>
          <w:tcPr>
            <w:tcW w:w="960" w:type="pct"/>
            <w:tcBorders>
              <w:top w:val="single" w:sz="4" w:space="0" w:color="auto"/>
              <w:bottom w:val="single" w:sz="12" w:space="0" w:color="auto"/>
            </w:tcBorders>
            <w:shd w:val="clear" w:color="auto" w:fill="auto"/>
            <w:vAlign w:val="bottom"/>
            <w:hideMark/>
          </w:tcPr>
          <w:p w14:paraId="6EA8C57E" w14:textId="77777777" w:rsidR="00B36B7E" w:rsidRPr="008F1A6A" w:rsidRDefault="00B36B7E" w:rsidP="008F1A6A">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szCs w:val="18"/>
                <w:lang w:eastAsia="en-US"/>
              </w:rPr>
            </w:pPr>
            <w:r w:rsidRPr="008F1A6A">
              <w:rPr>
                <w:rFonts w:ascii="Times New Roman" w:hAnsi="Times New Roman"/>
                <w:b w:val="0"/>
                <w:i/>
                <w:color w:val="auto"/>
                <w:sz w:val="16"/>
                <w:szCs w:val="18"/>
                <w:lang w:eastAsia="en-US"/>
              </w:rPr>
              <w:t>Pendientes de Gestiones Anteriores</w:t>
            </w:r>
          </w:p>
        </w:tc>
        <w:tc>
          <w:tcPr>
            <w:tcW w:w="866" w:type="pct"/>
            <w:tcBorders>
              <w:top w:val="single" w:sz="4" w:space="0" w:color="auto"/>
              <w:bottom w:val="single" w:sz="12" w:space="0" w:color="auto"/>
            </w:tcBorders>
            <w:shd w:val="clear" w:color="auto" w:fill="auto"/>
            <w:vAlign w:val="bottom"/>
            <w:hideMark/>
          </w:tcPr>
          <w:p w14:paraId="5BAD559A" w14:textId="77777777" w:rsidR="00B36B7E" w:rsidRPr="008F1A6A" w:rsidRDefault="00B36B7E" w:rsidP="008F1A6A">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szCs w:val="18"/>
                <w:lang w:eastAsia="en-US"/>
              </w:rPr>
            </w:pPr>
            <w:r w:rsidRPr="008F1A6A">
              <w:rPr>
                <w:rFonts w:ascii="Times New Roman" w:hAnsi="Times New Roman"/>
                <w:b w:val="0"/>
                <w:i/>
                <w:color w:val="auto"/>
                <w:sz w:val="16"/>
                <w:szCs w:val="18"/>
                <w:lang w:eastAsia="en-US"/>
              </w:rPr>
              <w:t xml:space="preserve">Ingresadas </w:t>
            </w:r>
            <w:r w:rsidR="00311AB2">
              <w:rPr>
                <w:rFonts w:ascii="Times New Roman" w:hAnsi="Times New Roman"/>
                <w:b w:val="0"/>
                <w:i/>
                <w:color w:val="auto"/>
                <w:sz w:val="16"/>
                <w:szCs w:val="18"/>
                <w:lang w:eastAsia="en-US"/>
              </w:rPr>
              <w:br/>
            </w:r>
            <w:r w:rsidRPr="008F1A6A">
              <w:rPr>
                <w:rFonts w:ascii="Times New Roman" w:hAnsi="Times New Roman"/>
                <w:b w:val="0"/>
                <w:i/>
                <w:color w:val="auto"/>
                <w:sz w:val="16"/>
                <w:szCs w:val="18"/>
                <w:lang w:eastAsia="en-US"/>
              </w:rPr>
              <w:t xml:space="preserve">en la Gestión </w:t>
            </w:r>
          </w:p>
        </w:tc>
        <w:tc>
          <w:tcPr>
            <w:tcW w:w="577" w:type="pct"/>
            <w:tcBorders>
              <w:top w:val="single" w:sz="4" w:space="0" w:color="auto"/>
              <w:bottom w:val="single" w:sz="12" w:space="0" w:color="auto"/>
            </w:tcBorders>
            <w:shd w:val="clear" w:color="auto" w:fill="auto"/>
            <w:vAlign w:val="bottom"/>
            <w:hideMark/>
          </w:tcPr>
          <w:p w14:paraId="23B9E544" w14:textId="77777777" w:rsidR="00B36B7E" w:rsidRPr="008F1A6A" w:rsidRDefault="00B36B7E" w:rsidP="008F1A6A">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szCs w:val="18"/>
                <w:lang w:eastAsia="en-US"/>
              </w:rPr>
            </w:pPr>
            <w:r w:rsidRPr="008F1A6A">
              <w:rPr>
                <w:rFonts w:ascii="Times New Roman" w:hAnsi="Times New Roman"/>
                <w:b w:val="0"/>
                <w:i/>
                <w:color w:val="auto"/>
                <w:sz w:val="16"/>
                <w:szCs w:val="18"/>
                <w:lang w:eastAsia="en-US"/>
              </w:rPr>
              <w:t xml:space="preserve">Total de Atendidos </w:t>
            </w:r>
          </w:p>
        </w:tc>
        <w:tc>
          <w:tcPr>
            <w:tcW w:w="866" w:type="pct"/>
            <w:tcBorders>
              <w:top w:val="single" w:sz="4" w:space="0" w:color="auto"/>
              <w:bottom w:val="single" w:sz="12" w:space="0" w:color="auto"/>
            </w:tcBorders>
            <w:shd w:val="clear" w:color="auto" w:fill="auto"/>
            <w:vAlign w:val="bottom"/>
            <w:hideMark/>
          </w:tcPr>
          <w:p w14:paraId="2D9D1FE5" w14:textId="77777777" w:rsidR="00B36B7E" w:rsidRPr="008F1A6A" w:rsidRDefault="00B36B7E" w:rsidP="008F1A6A">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szCs w:val="18"/>
                <w:lang w:eastAsia="en-US"/>
              </w:rPr>
            </w:pPr>
            <w:r w:rsidRPr="008F1A6A">
              <w:rPr>
                <w:rFonts w:ascii="Times New Roman" w:hAnsi="Times New Roman"/>
                <w:b w:val="0"/>
                <w:i/>
                <w:color w:val="auto"/>
                <w:sz w:val="16"/>
                <w:szCs w:val="18"/>
                <w:lang w:eastAsia="en-US"/>
              </w:rPr>
              <w:t xml:space="preserve">Resueltas en la Gestión </w:t>
            </w:r>
          </w:p>
        </w:tc>
        <w:tc>
          <w:tcPr>
            <w:tcW w:w="964" w:type="pct"/>
            <w:tcBorders>
              <w:top w:val="single" w:sz="4" w:space="0" w:color="auto"/>
              <w:bottom w:val="single" w:sz="12" w:space="0" w:color="auto"/>
            </w:tcBorders>
            <w:shd w:val="clear" w:color="auto" w:fill="auto"/>
            <w:vAlign w:val="bottom"/>
            <w:hideMark/>
          </w:tcPr>
          <w:p w14:paraId="7FDD64E3" w14:textId="77777777" w:rsidR="00B36B7E" w:rsidRPr="008F1A6A" w:rsidRDefault="00B36B7E" w:rsidP="008F1A6A">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szCs w:val="18"/>
                <w:lang w:eastAsia="en-US"/>
              </w:rPr>
            </w:pPr>
            <w:r w:rsidRPr="008F1A6A">
              <w:rPr>
                <w:rFonts w:ascii="Times New Roman" w:hAnsi="Times New Roman"/>
                <w:b w:val="0"/>
                <w:i/>
                <w:color w:val="auto"/>
                <w:sz w:val="16"/>
                <w:szCs w:val="18"/>
                <w:lang w:eastAsia="en-US"/>
              </w:rPr>
              <w:t>Pendientes para la próxima Gestión</w:t>
            </w:r>
          </w:p>
        </w:tc>
      </w:tr>
      <w:tr w:rsidR="008F1A6A" w:rsidRPr="008F1A6A" w14:paraId="0052E0EC" w14:textId="77777777" w:rsidTr="0077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Borders>
              <w:top w:val="single" w:sz="12" w:space="0" w:color="auto"/>
            </w:tcBorders>
            <w:shd w:val="clear" w:color="auto" w:fill="auto"/>
            <w:hideMark/>
          </w:tcPr>
          <w:p w14:paraId="6755627E" w14:textId="77777777" w:rsidR="00B36B7E" w:rsidRPr="00777507" w:rsidRDefault="00B36B7E" w:rsidP="008F1A6A">
            <w:pPr>
              <w:spacing w:before="40" w:after="40" w:line="220" w:lineRule="exact"/>
              <w:rPr>
                <w:rFonts w:ascii="Times New Roman" w:hAnsi="Times New Roman"/>
                <w:b w:val="0"/>
                <w:bCs w:val="0"/>
                <w:sz w:val="18"/>
                <w:szCs w:val="18"/>
                <w:lang w:eastAsia="en-US"/>
              </w:rPr>
            </w:pPr>
            <w:r w:rsidRPr="0065273B">
              <w:rPr>
                <w:sz w:val="18"/>
                <w:szCs w:val="18"/>
                <w:lang w:eastAsia="en-US"/>
              </w:rPr>
              <w:t>2016</w:t>
            </w:r>
          </w:p>
        </w:tc>
        <w:tc>
          <w:tcPr>
            <w:tcW w:w="960" w:type="pct"/>
            <w:tcBorders>
              <w:top w:val="single" w:sz="12" w:space="0" w:color="auto"/>
            </w:tcBorders>
            <w:shd w:val="clear" w:color="auto" w:fill="auto"/>
            <w:vAlign w:val="bottom"/>
            <w:hideMark/>
          </w:tcPr>
          <w:p w14:paraId="51B06918"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29</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101</w:t>
            </w:r>
          </w:p>
        </w:tc>
        <w:tc>
          <w:tcPr>
            <w:tcW w:w="866" w:type="pct"/>
            <w:tcBorders>
              <w:top w:val="single" w:sz="12" w:space="0" w:color="auto"/>
            </w:tcBorders>
            <w:shd w:val="clear" w:color="auto" w:fill="auto"/>
            <w:vAlign w:val="bottom"/>
            <w:hideMark/>
          </w:tcPr>
          <w:p w14:paraId="77BC9814"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28</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818</w:t>
            </w:r>
          </w:p>
        </w:tc>
        <w:tc>
          <w:tcPr>
            <w:tcW w:w="577" w:type="pct"/>
            <w:tcBorders>
              <w:top w:val="single" w:sz="12" w:space="0" w:color="auto"/>
            </w:tcBorders>
            <w:shd w:val="clear" w:color="auto" w:fill="auto"/>
            <w:vAlign w:val="bottom"/>
            <w:hideMark/>
          </w:tcPr>
          <w:p w14:paraId="192339B8"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57</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919</w:t>
            </w:r>
          </w:p>
        </w:tc>
        <w:tc>
          <w:tcPr>
            <w:tcW w:w="866" w:type="pct"/>
            <w:tcBorders>
              <w:top w:val="single" w:sz="12" w:space="0" w:color="auto"/>
            </w:tcBorders>
            <w:shd w:val="clear" w:color="auto" w:fill="auto"/>
            <w:vAlign w:val="bottom"/>
            <w:hideMark/>
          </w:tcPr>
          <w:p w14:paraId="776A0475"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17</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710</w:t>
            </w:r>
          </w:p>
        </w:tc>
        <w:tc>
          <w:tcPr>
            <w:tcW w:w="964" w:type="pct"/>
            <w:tcBorders>
              <w:top w:val="single" w:sz="12" w:space="0" w:color="auto"/>
            </w:tcBorders>
            <w:shd w:val="clear" w:color="auto" w:fill="auto"/>
            <w:vAlign w:val="bottom"/>
            <w:hideMark/>
          </w:tcPr>
          <w:p w14:paraId="3939FAAF"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40</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209</w:t>
            </w:r>
          </w:p>
        </w:tc>
      </w:tr>
      <w:tr w:rsidR="008F1A6A" w:rsidRPr="008F1A6A" w14:paraId="54E79239" w14:textId="77777777" w:rsidTr="00777507">
        <w:tc>
          <w:tcPr>
            <w:cnfStyle w:val="001000000000" w:firstRow="0" w:lastRow="0" w:firstColumn="1" w:lastColumn="0" w:oddVBand="0" w:evenVBand="0" w:oddHBand="0" w:evenHBand="0" w:firstRowFirstColumn="0" w:firstRowLastColumn="0" w:lastRowFirstColumn="0" w:lastRowLastColumn="0"/>
            <w:tcW w:w="768" w:type="pct"/>
            <w:shd w:val="clear" w:color="auto" w:fill="auto"/>
            <w:hideMark/>
          </w:tcPr>
          <w:p w14:paraId="068B6CF1" w14:textId="77777777" w:rsidR="00B36B7E" w:rsidRPr="00777507" w:rsidRDefault="00B36B7E" w:rsidP="008F1A6A">
            <w:pPr>
              <w:spacing w:before="40" w:after="40" w:line="220" w:lineRule="exact"/>
              <w:rPr>
                <w:rFonts w:ascii="Times New Roman" w:hAnsi="Times New Roman"/>
                <w:b w:val="0"/>
                <w:bCs w:val="0"/>
                <w:sz w:val="18"/>
                <w:szCs w:val="18"/>
                <w:lang w:eastAsia="en-US"/>
              </w:rPr>
            </w:pPr>
            <w:r w:rsidRPr="0065273B">
              <w:rPr>
                <w:sz w:val="18"/>
                <w:szCs w:val="18"/>
                <w:lang w:eastAsia="en-US"/>
              </w:rPr>
              <w:t>2017</w:t>
            </w:r>
          </w:p>
        </w:tc>
        <w:tc>
          <w:tcPr>
            <w:tcW w:w="960" w:type="pct"/>
            <w:shd w:val="clear" w:color="auto" w:fill="auto"/>
            <w:vAlign w:val="bottom"/>
            <w:hideMark/>
          </w:tcPr>
          <w:p w14:paraId="2DDF1DAA" w14:textId="77777777" w:rsidR="00B36B7E" w:rsidRPr="008F1A6A" w:rsidRDefault="00B36B7E" w:rsidP="008F1A6A">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36</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733</w:t>
            </w:r>
          </w:p>
        </w:tc>
        <w:tc>
          <w:tcPr>
            <w:tcW w:w="866" w:type="pct"/>
            <w:shd w:val="clear" w:color="auto" w:fill="auto"/>
            <w:vAlign w:val="bottom"/>
            <w:hideMark/>
          </w:tcPr>
          <w:p w14:paraId="6381C8E0" w14:textId="77777777" w:rsidR="00B36B7E" w:rsidRPr="008F1A6A" w:rsidRDefault="00B36B7E" w:rsidP="008F1A6A">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38</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488</w:t>
            </w:r>
          </w:p>
        </w:tc>
        <w:tc>
          <w:tcPr>
            <w:tcW w:w="577" w:type="pct"/>
            <w:shd w:val="clear" w:color="auto" w:fill="auto"/>
            <w:vAlign w:val="bottom"/>
            <w:hideMark/>
          </w:tcPr>
          <w:p w14:paraId="0504234A" w14:textId="77777777" w:rsidR="00B36B7E" w:rsidRPr="008F1A6A" w:rsidRDefault="00B36B7E" w:rsidP="008F1A6A">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75</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221</w:t>
            </w:r>
          </w:p>
        </w:tc>
        <w:tc>
          <w:tcPr>
            <w:tcW w:w="866" w:type="pct"/>
            <w:shd w:val="clear" w:color="auto" w:fill="auto"/>
            <w:vAlign w:val="bottom"/>
            <w:hideMark/>
          </w:tcPr>
          <w:p w14:paraId="0ACA8AE1" w14:textId="77777777" w:rsidR="00B36B7E" w:rsidRPr="008F1A6A" w:rsidRDefault="00B36B7E" w:rsidP="008F1A6A">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30</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500</w:t>
            </w:r>
          </w:p>
        </w:tc>
        <w:tc>
          <w:tcPr>
            <w:tcW w:w="964" w:type="pct"/>
            <w:shd w:val="clear" w:color="auto" w:fill="auto"/>
            <w:vAlign w:val="bottom"/>
            <w:hideMark/>
          </w:tcPr>
          <w:p w14:paraId="173E87AC" w14:textId="77777777" w:rsidR="00B36B7E" w:rsidRPr="008F1A6A" w:rsidRDefault="00B36B7E" w:rsidP="008F1A6A">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44</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721</w:t>
            </w:r>
          </w:p>
        </w:tc>
      </w:tr>
      <w:tr w:rsidR="008F1A6A" w:rsidRPr="008F1A6A" w14:paraId="09CC8EFA" w14:textId="77777777" w:rsidTr="0077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Borders>
              <w:bottom w:val="single" w:sz="12" w:space="0" w:color="auto"/>
            </w:tcBorders>
            <w:shd w:val="clear" w:color="auto" w:fill="auto"/>
            <w:hideMark/>
          </w:tcPr>
          <w:p w14:paraId="52E16C26" w14:textId="77777777" w:rsidR="00B36B7E" w:rsidRPr="00777507" w:rsidRDefault="00B36B7E" w:rsidP="008F1A6A">
            <w:pPr>
              <w:spacing w:before="40" w:after="40" w:line="220" w:lineRule="exact"/>
              <w:rPr>
                <w:rFonts w:ascii="Times New Roman" w:hAnsi="Times New Roman"/>
                <w:b w:val="0"/>
                <w:bCs w:val="0"/>
                <w:sz w:val="18"/>
                <w:szCs w:val="18"/>
                <w:lang w:eastAsia="en-US"/>
              </w:rPr>
            </w:pPr>
            <w:r w:rsidRPr="0065273B">
              <w:rPr>
                <w:sz w:val="18"/>
                <w:szCs w:val="18"/>
                <w:lang w:eastAsia="en-US"/>
              </w:rPr>
              <w:t>2018</w:t>
            </w:r>
          </w:p>
        </w:tc>
        <w:tc>
          <w:tcPr>
            <w:tcW w:w="960" w:type="pct"/>
            <w:tcBorders>
              <w:bottom w:val="single" w:sz="12" w:space="0" w:color="auto"/>
            </w:tcBorders>
            <w:shd w:val="clear" w:color="auto" w:fill="auto"/>
            <w:vAlign w:val="bottom"/>
            <w:hideMark/>
          </w:tcPr>
          <w:p w14:paraId="2CFEC6AC"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48</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064</w:t>
            </w:r>
          </w:p>
        </w:tc>
        <w:tc>
          <w:tcPr>
            <w:tcW w:w="866" w:type="pct"/>
            <w:tcBorders>
              <w:bottom w:val="single" w:sz="12" w:space="0" w:color="auto"/>
            </w:tcBorders>
            <w:shd w:val="clear" w:color="auto" w:fill="auto"/>
            <w:vAlign w:val="bottom"/>
            <w:hideMark/>
          </w:tcPr>
          <w:p w14:paraId="4518784B"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39</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285</w:t>
            </w:r>
          </w:p>
        </w:tc>
        <w:tc>
          <w:tcPr>
            <w:tcW w:w="577" w:type="pct"/>
            <w:tcBorders>
              <w:bottom w:val="single" w:sz="12" w:space="0" w:color="auto"/>
            </w:tcBorders>
            <w:shd w:val="clear" w:color="auto" w:fill="auto"/>
            <w:vAlign w:val="bottom"/>
            <w:hideMark/>
          </w:tcPr>
          <w:p w14:paraId="56CBBDD8"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87</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349</w:t>
            </w:r>
          </w:p>
        </w:tc>
        <w:tc>
          <w:tcPr>
            <w:tcW w:w="866" w:type="pct"/>
            <w:tcBorders>
              <w:bottom w:val="single" w:sz="12" w:space="0" w:color="auto"/>
            </w:tcBorders>
            <w:shd w:val="clear" w:color="auto" w:fill="auto"/>
            <w:vAlign w:val="bottom"/>
            <w:hideMark/>
          </w:tcPr>
          <w:p w14:paraId="613EF72F"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36</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151</w:t>
            </w:r>
          </w:p>
        </w:tc>
        <w:tc>
          <w:tcPr>
            <w:tcW w:w="964" w:type="pct"/>
            <w:tcBorders>
              <w:bottom w:val="single" w:sz="12" w:space="0" w:color="auto"/>
            </w:tcBorders>
            <w:shd w:val="clear" w:color="auto" w:fill="auto"/>
            <w:vAlign w:val="bottom"/>
            <w:hideMark/>
          </w:tcPr>
          <w:p w14:paraId="479DBF9C" w14:textId="77777777" w:rsidR="00B36B7E" w:rsidRPr="008F1A6A" w:rsidRDefault="00B36B7E" w:rsidP="008F1A6A">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8F1A6A">
              <w:rPr>
                <w:rFonts w:ascii="Times New Roman" w:hAnsi="Times New Roman"/>
                <w:sz w:val="18"/>
                <w:szCs w:val="18"/>
                <w:lang w:eastAsia="en-US"/>
              </w:rPr>
              <w:t>51</w:t>
            </w:r>
            <w:r w:rsidR="00235247">
              <w:rPr>
                <w:rFonts w:ascii="Times New Roman" w:hAnsi="Times New Roman"/>
                <w:sz w:val="18"/>
                <w:szCs w:val="18"/>
                <w:lang w:eastAsia="en-US"/>
              </w:rPr>
              <w:t xml:space="preserve"> </w:t>
            </w:r>
            <w:r w:rsidRPr="008F1A6A">
              <w:rPr>
                <w:rFonts w:ascii="Times New Roman" w:hAnsi="Times New Roman"/>
                <w:sz w:val="18"/>
                <w:szCs w:val="18"/>
                <w:lang w:eastAsia="en-US"/>
              </w:rPr>
              <w:t>198</w:t>
            </w:r>
          </w:p>
        </w:tc>
      </w:tr>
    </w:tbl>
    <w:p w14:paraId="0795D55B" w14:textId="77777777" w:rsidR="00B36B7E" w:rsidRDefault="00B36B7E" w:rsidP="00777507">
      <w:pPr>
        <w:pStyle w:val="Textonotaalfinal"/>
        <w:spacing w:before="120" w:after="240"/>
        <w:ind w:firstLine="170"/>
        <w:rPr>
          <w:lang w:eastAsia="en-US"/>
        </w:rPr>
      </w:pPr>
      <w:r w:rsidRPr="00777507">
        <w:rPr>
          <w:i/>
          <w:lang w:eastAsia="en-US"/>
        </w:rPr>
        <w:t>Fuente:</w:t>
      </w:r>
      <w:r w:rsidRPr="00B36B7E">
        <w:rPr>
          <w:lang w:eastAsia="en-US"/>
        </w:rPr>
        <w:t xml:space="preserve"> Consejo de la Magistratura.</w:t>
      </w:r>
    </w:p>
    <w:p w14:paraId="1A26B0F1" w14:textId="77777777" w:rsidR="00B36B7E" w:rsidRDefault="00235247" w:rsidP="00777507">
      <w:pPr>
        <w:pStyle w:val="SingleTxtG"/>
        <w:spacing w:before="120"/>
        <w:rPr>
          <w:lang w:eastAsia="en-US"/>
        </w:rPr>
      </w:pPr>
      <w:r>
        <w:rPr>
          <w:lang w:eastAsia="en-US"/>
        </w:rPr>
        <w:t>33.</w:t>
      </w:r>
      <w:r>
        <w:rPr>
          <w:lang w:eastAsia="en-US"/>
        </w:rPr>
        <w:tab/>
      </w:r>
      <w:r w:rsidR="00B36B7E" w:rsidRPr="00B36B7E">
        <w:rPr>
          <w:lang w:eastAsia="en-US"/>
        </w:rPr>
        <w:t xml:space="preserve">Por otro lado, de acuerdo con lo señalado en el párrafo 116 del Tercer Informe Periódico, el Servicio Integral de Justicia Plurinacional (SIJPLU) a través de sus 27 oficinas a nivel nacional, respecto a casos de violencia contra la mujer, durante la gestión 2015, atendió 258 casos de orientación jurídica; en 2016 recibieron 4.167 solicitudes de atención; en 2017 los casos atendidos fueron 4.877, y en 2018 el número se duplicó a 8.940 a nivel nacional. </w:t>
      </w:r>
    </w:p>
    <w:p w14:paraId="595EDFD2" w14:textId="77777777" w:rsidR="00B36B7E" w:rsidRDefault="00235247" w:rsidP="00777507">
      <w:pPr>
        <w:pStyle w:val="SingleTxtG"/>
        <w:rPr>
          <w:lang w:eastAsia="en-US"/>
        </w:rPr>
      </w:pPr>
      <w:r>
        <w:rPr>
          <w:lang w:eastAsia="en-US"/>
        </w:rPr>
        <w:t>34.</w:t>
      </w:r>
      <w:r>
        <w:rPr>
          <w:lang w:eastAsia="en-US"/>
        </w:rPr>
        <w:tab/>
      </w:r>
      <w:r w:rsidR="00B36B7E" w:rsidRPr="00B36B7E">
        <w:rPr>
          <w:lang w:eastAsia="en-US"/>
        </w:rPr>
        <w:t>El patrocinio legal se visibilizó en la atención de 517 casos durante 2015, para el 2016 se atendieron 2.926 casos, el 2017 fueron 2.813 los casos atendidos y, 2.637 casos el 2018.</w:t>
      </w:r>
    </w:p>
    <w:p w14:paraId="27BD6610" w14:textId="77777777" w:rsidR="00B36B7E" w:rsidRDefault="00235247" w:rsidP="00777507">
      <w:pPr>
        <w:pStyle w:val="SingleTxtG"/>
        <w:rPr>
          <w:lang w:eastAsia="en-US"/>
        </w:rPr>
      </w:pPr>
      <w:r>
        <w:rPr>
          <w:lang w:eastAsia="en-US"/>
        </w:rPr>
        <w:t>35.</w:t>
      </w:r>
      <w:r>
        <w:rPr>
          <w:lang w:eastAsia="en-US"/>
        </w:rPr>
        <w:tab/>
      </w:r>
      <w:r w:rsidR="00B36B7E" w:rsidRPr="00B36B7E">
        <w:rPr>
          <w:lang w:eastAsia="en-US"/>
        </w:rPr>
        <w:t>Por otro lado, desde marzo de 2013</w:t>
      </w:r>
      <w:r w:rsidR="00B36B7E" w:rsidRPr="00777507">
        <w:rPr>
          <w:sz w:val="18"/>
          <w:szCs w:val="18"/>
          <w:vertAlign w:val="superscript"/>
          <w:lang w:eastAsia="en-US"/>
        </w:rPr>
        <w:footnoteReference w:id="15"/>
      </w:r>
      <w:r w:rsidR="00B36B7E" w:rsidRPr="00B36B7E">
        <w:rPr>
          <w:lang w:eastAsia="en-US"/>
        </w:rPr>
        <w:t>, se lleva un registro de casos de feminicidio; de procesos penales en curso, en etapa de investigación (preliminar y preparatoria) y casos en juicio. A su vez, la Policía Boliviana, registra el número de denuncias sobre violencia contra la mujer a nivel nacional, desglosado por años y por edades, desde 2015, además del número de denuncias de feminicidios desagregados por años y por edad.</w:t>
      </w:r>
    </w:p>
    <w:p w14:paraId="2801476F" w14:textId="77777777" w:rsidR="00B36B7E" w:rsidRDefault="00EB253C" w:rsidP="00EB253C">
      <w:pPr>
        <w:pStyle w:val="H4G"/>
        <w:rPr>
          <w:rFonts w:eastAsia="SimSun"/>
          <w:lang w:val="es-BO"/>
        </w:rPr>
      </w:pPr>
      <w:r>
        <w:rPr>
          <w:rFonts w:eastAsia="SimSun"/>
          <w:lang w:val="es-BO"/>
        </w:rPr>
        <w:tab/>
      </w:r>
      <w:r>
        <w:rPr>
          <w:rFonts w:eastAsia="SimSun"/>
          <w:lang w:val="es-BO"/>
        </w:rPr>
        <w:tab/>
      </w:r>
      <w:r w:rsidR="00B36B7E" w:rsidRPr="00B36B7E">
        <w:rPr>
          <w:rFonts w:eastAsia="SimSun"/>
          <w:lang w:val="es-BO"/>
        </w:rPr>
        <w:t>Juzgados y casas de acogida</w:t>
      </w:r>
    </w:p>
    <w:p w14:paraId="541E3C13" w14:textId="77777777" w:rsidR="00B36B7E" w:rsidRDefault="00235247" w:rsidP="00777507">
      <w:pPr>
        <w:pStyle w:val="SingleTxtG"/>
        <w:rPr>
          <w:lang w:eastAsia="en-US"/>
        </w:rPr>
      </w:pPr>
      <w:r>
        <w:rPr>
          <w:lang w:eastAsia="en-US"/>
        </w:rPr>
        <w:t>36.</w:t>
      </w:r>
      <w:r>
        <w:rPr>
          <w:lang w:eastAsia="en-US"/>
        </w:rPr>
        <w:tab/>
      </w:r>
      <w:r w:rsidR="00B36B7E" w:rsidRPr="00B36B7E">
        <w:rPr>
          <w:lang w:eastAsia="en-US"/>
        </w:rPr>
        <w:t>En cumplimiento de la Ley 348, se crearon Juzgados de Violencia Hacia la Mujer en función a la disponibilidad de recursos propios del Órgano Judicial, 18 Juzgados de Instrucción, 2 de Sentencia y 1 Tribunal de Sentencia. Posteriormente, en 2019, se crearon 6 juzgados adicionales con recursos del TGN, contándose a la fecha con un total de 27 juzgados y tribunales especializados en materia de violencia y anticorrupción.</w:t>
      </w:r>
    </w:p>
    <w:p w14:paraId="26F37B12" w14:textId="77777777" w:rsidR="00B36B7E" w:rsidRPr="00B36B7E" w:rsidRDefault="00EB253C" w:rsidP="00EB253C">
      <w:pPr>
        <w:pStyle w:val="H23G"/>
        <w:rPr>
          <w:lang w:eastAsia="en-US"/>
        </w:rPr>
      </w:pPr>
      <w:r>
        <w:rPr>
          <w:lang w:eastAsia="en-US"/>
        </w:rPr>
        <w:tab/>
      </w:r>
      <w:r>
        <w:rPr>
          <w:lang w:eastAsia="en-US"/>
        </w:rPr>
        <w:tab/>
      </w:r>
      <w:r w:rsidR="00B36B7E" w:rsidRPr="00B36B7E">
        <w:rPr>
          <w:lang w:eastAsia="en-US"/>
        </w:rPr>
        <w:t xml:space="preserve">Juzgados y Tribunales creados en materia de Violencia hacia las mujeres </w:t>
      </w:r>
      <w:r w:rsidR="00235247">
        <w:rPr>
          <w:lang w:eastAsia="en-US"/>
        </w:rPr>
        <w:br/>
      </w:r>
      <w:r w:rsidR="00B36B7E" w:rsidRPr="00B36B7E">
        <w:rPr>
          <w:lang w:eastAsia="en-US"/>
        </w:rPr>
        <w:t>y Anticorrupción, durante la gestión 2013</w:t>
      </w:r>
      <w:r w:rsidR="00235247">
        <w:rPr>
          <w:lang w:eastAsia="en-US"/>
        </w:rPr>
        <w:t>-</w:t>
      </w:r>
      <w:r w:rsidR="00B36B7E" w:rsidRPr="00B36B7E">
        <w:rPr>
          <w:lang w:eastAsia="en-US"/>
        </w:rPr>
        <w:t>2019</w:t>
      </w:r>
    </w:p>
    <w:tbl>
      <w:tblPr>
        <w:tblStyle w:val="GridTable4-Accent61"/>
        <w:tblW w:w="765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66"/>
        <w:gridCol w:w="438"/>
        <w:gridCol w:w="544"/>
        <w:gridCol w:w="543"/>
        <w:gridCol w:w="544"/>
        <w:gridCol w:w="544"/>
        <w:gridCol w:w="543"/>
        <w:gridCol w:w="544"/>
        <w:gridCol w:w="856"/>
      </w:tblGrid>
      <w:tr w:rsidR="004D4A48" w:rsidRPr="00210112" w14:paraId="0D3F0FC4" w14:textId="77777777" w:rsidTr="0021011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auto"/>
              <w:bottom w:val="single" w:sz="12" w:space="0" w:color="auto"/>
            </w:tcBorders>
            <w:shd w:val="clear" w:color="auto" w:fill="auto"/>
            <w:noWrap/>
            <w:vAlign w:val="bottom"/>
            <w:hideMark/>
          </w:tcPr>
          <w:p w14:paraId="65C53708" w14:textId="77777777" w:rsidR="00B36B7E" w:rsidRPr="00210112" w:rsidRDefault="00B36B7E" w:rsidP="00777507">
            <w:pPr>
              <w:spacing w:before="80" w:after="80" w:line="200" w:lineRule="exact"/>
              <w:rPr>
                <w:rFonts w:ascii="Times New Roman" w:hAnsi="Times New Roman"/>
                <w:b w:val="0"/>
                <w:i/>
                <w:color w:val="auto"/>
                <w:sz w:val="16"/>
                <w:lang w:eastAsia="en-US"/>
              </w:rPr>
            </w:pPr>
            <w:r w:rsidRPr="00210112">
              <w:rPr>
                <w:i/>
                <w:sz w:val="16"/>
                <w:lang w:eastAsia="en-US"/>
              </w:rPr>
              <w:t>I</w:t>
            </w:r>
            <w:r w:rsidR="00235247" w:rsidRPr="00210112">
              <w:rPr>
                <w:i/>
                <w:sz w:val="16"/>
                <w:lang w:eastAsia="en-US"/>
              </w:rPr>
              <w:t>nstancia</w:t>
            </w:r>
          </w:p>
        </w:tc>
        <w:tc>
          <w:tcPr>
            <w:tcW w:w="433" w:type="dxa"/>
            <w:tcBorders>
              <w:top w:val="single" w:sz="4" w:space="0" w:color="auto"/>
              <w:bottom w:val="single" w:sz="12" w:space="0" w:color="auto"/>
            </w:tcBorders>
            <w:shd w:val="clear" w:color="auto" w:fill="auto"/>
            <w:vAlign w:val="bottom"/>
            <w:hideMark/>
          </w:tcPr>
          <w:p w14:paraId="59DD1169"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2013</w:t>
            </w:r>
          </w:p>
        </w:tc>
        <w:tc>
          <w:tcPr>
            <w:tcW w:w="536" w:type="dxa"/>
            <w:tcBorders>
              <w:top w:val="single" w:sz="4" w:space="0" w:color="auto"/>
              <w:bottom w:val="single" w:sz="12" w:space="0" w:color="auto"/>
            </w:tcBorders>
            <w:shd w:val="clear" w:color="auto" w:fill="auto"/>
            <w:noWrap/>
            <w:vAlign w:val="bottom"/>
            <w:hideMark/>
          </w:tcPr>
          <w:p w14:paraId="10F1CB61"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2014</w:t>
            </w:r>
          </w:p>
        </w:tc>
        <w:tc>
          <w:tcPr>
            <w:tcW w:w="535" w:type="dxa"/>
            <w:tcBorders>
              <w:top w:val="single" w:sz="4" w:space="0" w:color="auto"/>
              <w:bottom w:val="single" w:sz="12" w:space="0" w:color="auto"/>
            </w:tcBorders>
            <w:shd w:val="clear" w:color="auto" w:fill="auto"/>
            <w:noWrap/>
            <w:vAlign w:val="bottom"/>
            <w:hideMark/>
          </w:tcPr>
          <w:p w14:paraId="271400BC"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2015</w:t>
            </w:r>
          </w:p>
        </w:tc>
        <w:tc>
          <w:tcPr>
            <w:tcW w:w="536" w:type="dxa"/>
            <w:tcBorders>
              <w:top w:val="single" w:sz="4" w:space="0" w:color="auto"/>
              <w:bottom w:val="single" w:sz="12" w:space="0" w:color="auto"/>
            </w:tcBorders>
            <w:shd w:val="clear" w:color="auto" w:fill="auto"/>
            <w:noWrap/>
            <w:vAlign w:val="bottom"/>
            <w:hideMark/>
          </w:tcPr>
          <w:p w14:paraId="456D047D"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2016</w:t>
            </w:r>
          </w:p>
        </w:tc>
        <w:tc>
          <w:tcPr>
            <w:tcW w:w="536" w:type="dxa"/>
            <w:tcBorders>
              <w:top w:val="single" w:sz="4" w:space="0" w:color="auto"/>
              <w:bottom w:val="single" w:sz="12" w:space="0" w:color="auto"/>
            </w:tcBorders>
            <w:shd w:val="clear" w:color="auto" w:fill="auto"/>
            <w:noWrap/>
            <w:vAlign w:val="bottom"/>
            <w:hideMark/>
          </w:tcPr>
          <w:p w14:paraId="0252013C"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2017</w:t>
            </w:r>
          </w:p>
        </w:tc>
        <w:tc>
          <w:tcPr>
            <w:tcW w:w="535" w:type="dxa"/>
            <w:tcBorders>
              <w:top w:val="single" w:sz="4" w:space="0" w:color="auto"/>
              <w:bottom w:val="single" w:sz="12" w:space="0" w:color="auto"/>
            </w:tcBorders>
            <w:shd w:val="clear" w:color="auto" w:fill="auto"/>
            <w:noWrap/>
            <w:vAlign w:val="bottom"/>
            <w:hideMark/>
          </w:tcPr>
          <w:p w14:paraId="1F061BC3"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2018</w:t>
            </w:r>
          </w:p>
        </w:tc>
        <w:tc>
          <w:tcPr>
            <w:tcW w:w="536" w:type="dxa"/>
            <w:tcBorders>
              <w:top w:val="single" w:sz="4" w:space="0" w:color="auto"/>
              <w:bottom w:val="single" w:sz="12" w:space="0" w:color="auto"/>
            </w:tcBorders>
            <w:shd w:val="clear" w:color="auto" w:fill="auto"/>
            <w:noWrap/>
            <w:vAlign w:val="bottom"/>
            <w:hideMark/>
          </w:tcPr>
          <w:p w14:paraId="4863CDD3"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2019</w:t>
            </w:r>
          </w:p>
        </w:tc>
        <w:tc>
          <w:tcPr>
            <w:tcW w:w="848" w:type="dxa"/>
            <w:tcBorders>
              <w:top w:val="single" w:sz="4" w:space="0" w:color="auto"/>
              <w:bottom w:val="single" w:sz="12" w:space="0" w:color="auto"/>
            </w:tcBorders>
            <w:shd w:val="clear" w:color="auto" w:fill="auto"/>
            <w:noWrap/>
            <w:vAlign w:val="bottom"/>
            <w:hideMark/>
          </w:tcPr>
          <w:p w14:paraId="37DBFB28"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T</w:t>
            </w:r>
            <w:r w:rsidR="00235247" w:rsidRPr="00210112">
              <w:rPr>
                <w:i/>
                <w:sz w:val="16"/>
                <w:lang w:eastAsia="en-US"/>
              </w:rPr>
              <w:t>otal</w:t>
            </w:r>
          </w:p>
        </w:tc>
      </w:tr>
      <w:tr w:rsidR="004D4A48" w:rsidRPr="00210112" w14:paraId="0F5B6E7E" w14:textId="77777777" w:rsidTr="0021011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158" w:type="dxa"/>
            <w:shd w:val="clear" w:color="auto" w:fill="auto"/>
            <w:hideMark/>
          </w:tcPr>
          <w:p w14:paraId="474C8AB3" w14:textId="77777777" w:rsidR="00B36B7E" w:rsidRPr="00777507" w:rsidRDefault="00B36B7E" w:rsidP="00777507">
            <w:pPr>
              <w:spacing w:before="40" w:after="40" w:line="220" w:lineRule="exact"/>
              <w:rPr>
                <w:rFonts w:ascii="Times New Roman" w:hAnsi="Times New Roman"/>
                <w:b w:val="0"/>
                <w:bCs w:val="0"/>
                <w:sz w:val="18"/>
                <w:szCs w:val="18"/>
                <w:lang w:eastAsia="en-US"/>
              </w:rPr>
            </w:pPr>
            <w:r w:rsidRPr="00777507">
              <w:rPr>
                <w:sz w:val="18"/>
                <w:szCs w:val="18"/>
                <w:lang w:eastAsia="en-US"/>
              </w:rPr>
              <w:t>Juzgados de instrucción de violencia hacia la mujer y anticorrupción</w:t>
            </w:r>
          </w:p>
        </w:tc>
        <w:tc>
          <w:tcPr>
            <w:tcW w:w="433" w:type="dxa"/>
            <w:shd w:val="clear" w:color="auto" w:fill="auto"/>
            <w:vAlign w:val="bottom"/>
            <w:hideMark/>
          </w:tcPr>
          <w:p w14:paraId="5E71CD3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0</w:t>
            </w:r>
          </w:p>
        </w:tc>
        <w:tc>
          <w:tcPr>
            <w:tcW w:w="536" w:type="dxa"/>
            <w:shd w:val="clear" w:color="auto" w:fill="auto"/>
            <w:noWrap/>
            <w:vAlign w:val="bottom"/>
            <w:hideMark/>
          </w:tcPr>
          <w:p w14:paraId="4EDAAF2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4</w:t>
            </w:r>
          </w:p>
        </w:tc>
        <w:tc>
          <w:tcPr>
            <w:tcW w:w="535" w:type="dxa"/>
            <w:shd w:val="clear" w:color="auto" w:fill="auto"/>
            <w:noWrap/>
            <w:vAlign w:val="bottom"/>
            <w:hideMark/>
          </w:tcPr>
          <w:p w14:paraId="367EC59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1</w:t>
            </w:r>
          </w:p>
        </w:tc>
        <w:tc>
          <w:tcPr>
            <w:tcW w:w="536" w:type="dxa"/>
            <w:shd w:val="clear" w:color="auto" w:fill="auto"/>
            <w:noWrap/>
            <w:vAlign w:val="bottom"/>
            <w:hideMark/>
          </w:tcPr>
          <w:p w14:paraId="386ED17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1</w:t>
            </w:r>
          </w:p>
        </w:tc>
        <w:tc>
          <w:tcPr>
            <w:tcW w:w="536" w:type="dxa"/>
            <w:shd w:val="clear" w:color="auto" w:fill="auto"/>
            <w:noWrap/>
            <w:vAlign w:val="bottom"/>
            <w:hideMark/>
          </w:tcPr>
          <w:p w14:paraId="0E6701D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3</w:t>
            </w:r>
          </w:p>
        </w:tc>
        <w:tc>
          <w:tcPr>
            <w:tcW w:w="535" w:type="dxa"/>
            <w:shd w:val="clear" w:color="auto" w:fill="auto"/>
            <w:noWrap/>
            <w:vAlign w:val="bottom"/>
            <w:hideMark/>
          </w:tcPr>
          <w:p w14:paraId="20BDC09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8</w:t>
            </w:r>
          </w:p>
        </w:tc>
        <w:tc>
          <w:tcPr>
            <w:tcW w:w="536" w:type="dxa"/>
            <w:shd w:val="clear" w:color="auto" w:fill="auto"/>
            <w:noWrap/>
            <w:vAlign w:val="bottom"/>
            <w:hideMark/>
          </w:tcPr>
          <w:p w14:paraId="2A92188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7</w:t>
            </w:r>
          </w:p>
        </w:tc>
        <w:tc>
          <w:tcPr>
            <w:tcW w:w="848" w:type="dxa"/>
            <w:shd w:val="clear" w:color="auto" w:fill="auto"/>
            <w:noWrap/>
            <w:vAlign w:val="bottom"/>
            <w:hideMark/>
          </w:tcPr>
          <w:p w14:paraId="41C3CB4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24</w:t>
            </w:r>
          </w:p>
        </w:tc>
      </w:tr>
      <w:tr w:rsidR="004D4A48" w:rsidRPr="00210112" w14:paraId="2F252A5A" w14:textId="77777777" w:rsidTr="00210112">
        <w:trPr>
          <w:trHeight w:val="240"/>
        </w:trPr>
        <w:tc>
          <w:tcPr>
            <w:cnfStyle w:val="001000000000" w:firstRow="0" w:lastRow="0" w:firstColumn="1" w:lastColumn="0" w:oddVBand="0" w:evenVBand="0" w:oddHBand="0" w:evenHBand="0" w:firstRowFirstColumn="0" w:firstRowLastColumn="0" w:lastRowFirstColumn="0" w:lastRowLastColumn="0"/>
            <w:tcW w:w="3158" w:type="dxa"/>
            <w:shd w:val="clear" w:color="auto" w:fill="auto"/>
            <w:hideMark/>
          </w:tcPr>
          <w:p w14:paraId="41AA949E" w14:textId="77777777" w:rsidR="00B36B7E" w:rsidRPr="00777507" w:rsidRDefault="00B36B7E" w:rsidP="00777507">
            <w:pPr>
              <w:spacing w:before="40" w:after="40" w:line="220" w:lineRule="exact"/>
              <w:rPr>
                <w:rFonts w:ascii="Times New Roman" w:hAnsi="Times New Roman"/>
                <w:b w:val="0"/>
                <w:bCs w:val="0"/>
                <w:sz w:val="18"/>
                <w:szCs w:val="18"/>
                <w:lang w:eastAsia="en-US"/>
              </w:rPr>
            </w:pPr>
            <w:r w:rsidRPr="00777507">
              <w:rPr>
                <w:sz w:val="18"/>
                <w:szCs w:val="18"/>
                <w:lang w:eastAsia="en-US"/>
              </w:rPr>
              <w:t>Juzgados de sentencia de violencia hacia la mujer y anticorrupción</w:t>
            </w:r>
          </w:p>
        </w:tc>
        <w:tc>
          <w:tcPr>
            <w:tcW w:w="433" w:type="dxa"/>
            <w:shd w:val="clear" w:color="auto" w:fill="auto"/>
            <w:vAlign w:val="bottom"/>
            <w:hideMark/>
          </w:tcPr>
          <w:p w14:paraId="481437C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0</w:t>
            </w:r>
          </w:p>
        </w:tc>
        <w:tc>
          <w:tcPr>
            <w:tcW w:w="536" w:type="dxa"/>
            <w:shd w:val="clear" w:color="auto" w:fill="auto"/>
            <w:noWrap/>
            <w:vAlign w:val="bottom"/>
            <w:hideMark/>
          </w:tcPr>
          <w:p w14:paraId="4AABD67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2</w:t>
            </w:r>
          </w:p>
        </w:tc>
        <w:tc>
          <w:tcPr>
            <w:tcW w:w="535" w:type="dxa"/>
            <w:shd w:val="clear" w:color="auto" w:fill="auto"/>
            <w:noWrap/>
            <w:vAlign w:val="bottom"/>
            <w:hideMark/>
          </w:tcPr>
          <w:p w14:paraId="3D4F1D3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p>
        </w:tc>
        <w:tc>
          <w:tcPr>
            <w:tcW w:w="536" w:type="dxa"/>
            <w:shd w:val="clear" w:color="auto" w:fill="auto"/>
            <w:noWrap/>
            <w:vAlign w:val="bottom"/>
            <w:hideMark/>
          </w:tcPr>
          <w:p w14:paraId="1F1FE71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p>
        </w:tc>
        <w:tc>
          <w:tcPr>
            <w:tcW w:w="536" w:type="dxa"/>
            <w:shd w:val="clear" w:color="auto" w:fill="auto"/>
            <w:noWrap/>
            <w:vAlign w:val="bottom"/>
            <w:hideMark/>
          </w:tcPr>
          <w:p w14:paraId="25F08A9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p>
        </w:tc>
        <w:tc>
          <w:tcPr>
            <w:tcW w:w="535" w:type="dxa"/>
            <w:shd w:val="clear" w:color="auto" w:fill="auto"/>
            <w:noWrap/>
            <w:vAlign w:val="bottom"/>
            <w:hideMark/>
          </w:tcPr>
          <w:p w14:paraId="180074C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p>
        </w:tc>
        <w:tc>
          <w:tcPr>
            <w:tcW w:w="536" w:type="dxa"/>
            <w:shd w:val="clear" w:color="auto" w:fill="auto"/>
            <w:noWrap/>
            <w:vAlign w:val="bottom"/>
            <w:hideMark/>
          </w:tcPr>
          <w:p w14:paraId="648DC90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p>
        </w:tc>
        <w:tc>
          <w:tcPr>
            <w:tcW w:w="848" w:type="dxa"/>
            <w:shd w:val="clear" w:color="auto" w:fill="auto"/>
            <w:noWrap/>
            <w:vAlign w:val="bottom"/>
            <w:hideMark/>
          </w:tcPr>
          <w:p w14:paraId="2E668C6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2</w:t>
            </w:r>
          </w:p>
        </w:tc>
      </w:tr>
      <w:tr w:rsidR="004D4A48" w:rsidRPr="00210112" w14:paraId="7477203A" w14:textId="77777777" w:rsidTr="0021011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158" w:type="dxa"/>
            <w:shd w:val="clear" w:color="auto" w:fill="auto"/>
            <w:hideMark/>
          </w:tcPr>
          <w:p w14:paraId="3FD69DDB" w14:textId="77777777" w:rsidR="00B36B7E" w:rsidRPr="00777507" w:rsidRDefault="00B36B7E" w:rsidP="00777507">
            <w:pPr>
              <w:spacing w:before="40" w:after="40" w:line="220" w:lineRule="exact"/>
              <w:rPr>
                <w:rFonts w:ascii="Times New Roman" w:hAnsi="Times New Roman"/>
                <w:b w:val="0"/>
                <w:bCs w:val="0"/>
                <w:sz w:val="18"/>
                <w:szCs w:val="18"/>
                <w:lang w:eastAsia="en-US"/>
              </w:rPr>
            </w:pPr>
            <w:r w:rsidRPr="00777507">
              <w:rPr>
                <w:sz w:val="18"/>
                <w:szCs w:val="18"/>
                <w:lang w:eastAsia="en-US"/>
              </w:rPr>
              <w:t>Tribunales de sentencia de violencia hacia la mujer</w:t>
            </w:r>
          </w:p>
        </w:tc>
        <w:tc>
          <w:tcPr>
            <w:tcW w:w="433" w:type="dxa"/>
            <w:shd w:val="clear" w:color="auto" w:fill="auto"/>
            <w:vAlign w:val="bottom"/>
            <w:hideMark/>
          </w:tcPr>
          <w:p w14:paraId="2772A84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0</w:t>
            </w:r>
          </w:p>
        </w:tc>
        <w:tc>
          <w:tcPr>
            <w:tcW w:w="536" w:type="dxa"/>
            <w:shd w:val="clear" w:color="auto" w:fill="auto"/>
            <w:noWrap/>
            <w:vAlign w:val="bottom"/>
            <w:hideMark/>
          </w:tcPr>
          <w:p w14:paraId="74ADD3A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1</w:t>
            </w:r>
          </w:p>
        </w:tc>
        <w:tc>
          <w:tcPr>
            <w:tcW w:w="535" w:type="dxa"/>
            <w:shd w:val="clear" w:color="auto" w:fill="auto"/>
            <w:noWrap/>
            <w:vAlign w:val="bottom"/>
            <w:hideMark/>
          </w:tcPr>
          <w:p w14:paraId="4B9E7CA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p>
        </w:tc>
        <w:tc>
          <w:tcPr>
            <w:tcW w:w="536" w:type="dxa"/>
            <w:shd w:val="clear" w:color="auto" w:fill="auto"/>
            <w:noWrap/>
            <w:vAlign w:val="bottom"/>
            <w:hideMark/>
          </w:tcPr>
          <w:p w14:paraId="1A21B0D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p>
        </w:tc>
        <w:tc>
          <w:tcPr>
            <w:tcW w:w="536" w:type="dxa"/>
            <w:shd w:val="clear" w:color="auto" w:fill="auto"/>
            <w:noWrap/>
            <w:vAlign w:val="bottom"/>
            <w:hideMark/>
          </w:tcPr>
          <w:p w14:paraId="1989361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p>
        </w:tc>
        <w:tc>
          <w:tcPr>
            <w:tcW w:w="535" w:type="dxa"/>
            <w:shd w:val="clear" w:color="auto" w:fill="auto"/>
            <w:noWrap/>
            <w:vAlign w:val="bottom"/>
            <w:hideMark/>
          </w:tcPr>
          <w:p w14:paraId="3FEBF27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p>
        </w:tc>
        <w:tc>
          <w:tcPr>
            <w:tcW w:w="536" w:type="dxa"/>
            <w:shd w:val="clear" w:color="auto" w:fill="auto"/>
            <w:noWrap/>
            <w:vAlign w:val="bottom"/>
            <w:hideMark/>
          </w:tcPr>
          <w:p w14:paraId="59C23D6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p>
        </w:tc>
        <w:tc>
          <w:tcPr>
            <w:tcW w:w="848" w:type="dxa"/>
            <w:shd w:val="clear" w:color="auto" w:fill="auto"/>
            <w:noWrap/>
            <w:vAlign w:val="bottom"/>
            <w:hideMark/>
          </w:tcPr>
          <w:p w14:paraId="0BB9DD9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1</w:t>
            </w:r>
          </w:p>
        </w:tc>
      </w:tr>
      <w:tr w:rsidR="004D4A48" w:rsidRPr="00210112" w14:paraId="4A451035" w14:textId="77777777" w:rsidTr="00210112">
        <w:trPr>
          <w:trHeight w:val="240"/>
        </w:trPr>
        <w:tc>
          <w:tcPr>
            <w:cnfStyle w:val="001000000000" w:firstRow="0" w:lastRow="0" w:firstColumn="1" w:lastColumn="0" w:oddVBand="0" w:evenVBand="0" w:oddHBand="0" w:evenHBand="0" w:firstRowFirstColumn="0" w:firstRowLastColumn="0" w:lastRowFirstColumn="0" w:lastRowLastColumn="0"/>
            <w:tcW w:w="3158" w:type="dxa"/>
            <w:tcBorders>
              <w:bottom w:val="single" w:sz="12" w:space="0" w:color="auto"/>
            </w:tcBorders>
            <w:shd w:val="clear" w:color="auto" w:fill="auto"/>
            <w:noWrap/>
            <w:hideMark/>
          </w:tcPr>
          <w:p w14:paraId="191C559F" w14:textId="77777777" w:rsidR="00B36B7E" w:rsidRPr="00777507" w:rsidRDefault="00B36B7E" w:rsidP="00777507">
            <w:pPr>
              <w:spacing w:before="40" w:after="40" w:line="220" w:lineRule="exact"/>
              <w:rPr>
                <w:rFonts w:ascii="Times New Roman" w:hAnsi="Times New Roman"/>
                <w:b w:val="0"/>
                <w:bCs w:val="0"/>
                <w:sz w:val="18"/>
                <w:lang w:eastAsia="en-US"/>
              </w:rPr>
            </w:pPr>
            <w:r w:rsidRPr="00777507">
              <w:rPr>
                <w:sz w:val="18"/>
                <w:lang w:eastAsia="en-US"/>
              </w:rPr>
              <w:t>Total</w:t>
            </w:r>
          </w:p>
        </w:tc>
        <w:tc>
          <w:tcPr>
            <w:tcW w:w="433" w:type="dxa"/>
            <w:tcBorders>
              <w:bottom w:val="single" w:sz="12" w:space="0" w:color="auto"/>
            </w:tcBorders>
            <w:shd w:val="clear" w:color="auto" w:fill="auto"/>
            <w:vAlign w:val="bottom"/>
            <w:hideMark/>
          </w:tcPr>
          <w:p w14:paraId="6F0D74A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0</w:t>
            </w:r>
          </w:p>
        </w:tc>
        <w:tc>
          <w:tcPr>
            <w:tcW w:w="536" w:type="dxa"/>
            <w:tcBorders>
              <w:bottom w:val="single" w:sz="12" w:space="0" w:color="auto"/>
            </w:tcBorders>
            <w:shd w:val="clear" w:color="auto" w:fill="auto"/>
            <w:noWrap/>
            <w:vAlign w:val="bottom"/>
            <w:hideMark/>
          </w:tcPr>
          <w:p w14:paraId="7241E85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7</w:t>
            </w:r>
          </w:p>
        </w:tc>
        <w:tc>
          <w:tcPr>
            <w:tcW w:w="535" w:type="dxa"/>
            <w:tcBorders>
              <w:bottom w:val="single" w:sz="12" w:space="0" w:color="auto"/>
            </w:tcBorders>
            <w:shd w:val="clear" w:color="auto" w:fill="auto"/>
            <w:noWrap/>
            <w:vAlign w:val="bottom"/>
            <w:hideMark/>
          </w:tcPr>
          <w:p w14:paraId="657C179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1</w:t>
            </w:r>
          </w:p>
        </w:tc>
        <w:tc>
          <w:tcPr>
            <w:tcW w:w="536" w:type="dxa"/>
            <w:tcBorders>
              <w:bottom w:val="single" w:sz="12" w:space="0" w:color="auto"/>
            </w:tcBorders>
            <w:shd w:val="clear" w:color="auto" w:fill="auto"/>
            <w:noWrap/>
            <w:vAlign w:val="bottom"/>
            <w:hideMark/>
          </w:tcPr>
          <w:p w14:paraId="64A2EE8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1</w:t>
            </w:r>
          </w:p>
        </w:tc>
        <w:tc>
          <w:tcPr>
            <w:tcW w:w="536" w:type="dxa"/>
            <w:tcBorders>
              <w:bottom w:val="single" w:sz="12" w:space="0" w:color="auto"/>
            </w:tcBorders>
            <w:shd w:val="clear" w:color="auto" w:fill="auto"/>
            <w:noWrap/>
            <w:vAlign w:val="bottom"/>
            <w:hideMark/>
          </w:tcPr>
          <w:p w14:paraId="59A57A9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3</w:t>
            </w:r>
          </w:p>
        </w:tc>
        <w:tc>
          <w:tcPr>
            <w:tcW w:w="535" w:type="dxa"/>
            <w:tcBorders>
              <w:bottom w:val="single" w:sz="12" w:space="0" w:color="auto"/>
            </w:tcBorders>
            <w:shd w:val="clear" w:color="auto" w:fill="auto"/>
            <w:noWrap/>
            <w:vAlign w:val="bottom"/>
            <w:hideMark/>
          </w:tcPr>
          <w:p w14:paraId="3C5E0DD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8</w:t>
            </w:r>
          </w:p>
        </w:tc>
        <w:tc>
          <w:tcPr>
            <w:tcW w:w="536" w:type="dxa"/>
            <w:tcBorders>
              <w:bottom w:val="single" w:sz="12" w:space="0" w:color="auto"/>
            </w:tcBorders>
            <w:shd w:val="clear" w:color="auto" w:fill="auto"/>
            <w:noWrap/>
            <w:vAlign w:val="bottom"/>
            <w:hideMark/>
          </w:tcPr>
          <w:p w14:paraId="7F45B00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7</w:t>
            </w:r>
          </w:p>
        </w:tc>
        <w:tc>
          <w:tcPr>
            <w:tcW w:w="848" w:type="dxa"/>
            <w:tcBorders>
              <w:bottom w:val="single" w:sz="12" w:space="0" w:color="auto"/>
            </w:tcBorders>
            <w:shd w:val="clear" w:color="auto" w:fill="auto"/>
            <w:noWrap/>
            <w:vAlign w:val="bottom"/>
            <w:hideMark/>
          </w:tcPr>
          <w:p w14:paraId="2F7F860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n-US"/>
              </w:rPr>
            </w:pPr>
            <w:r w:rsidRPr="00777507">
              <w:rPr>
                <w:sz w:val="18"/>
                <w:szCs w:val="18"/>
                <w:lang w:eastAsia="en-US"/>
              </w:rPr>
              <w:t>27</w:t>
            </w:r>
          </w:p>
        </w:tc>
      </w:tr>
    </w:tbl>
    <w:p w14:paraId="568BA967" w14:textId="77777777" w:rsidR="00B36B7E" w:rsidRDefault="00B36B7E" w:rsidP="00777507">
      <w:pPr>
        <w:pStyle w:val="Textonotaalfinal"/>
        <w:spacing w:before="120" w:after="240"/>
        <w:ind w:firstLine="170"/>
      </w:pPr>
      <w:r w:rsidRPr="00777507">
        <w:rPr>
          <w:i/>
        </w:rPr>
        <w:lastRenderedPageBreak/>
        <w:t>Fuente:</w:t>
      </w:r>
      <w:r w:rsidRPr="00B36B7E">
        <w:t xml:space="preserve"> Consejo de la Magistratura.</w:t>
      </w:r>
    </w:p>
    <w:p w14:paraId="46EEC0B0" w14:textId="77777777" w:rsidR="00EB253C" w:rsidRPr="00B36B7E" w:rsidRDefault="00235247" w:rsidP="00777507">
      <w:pPr>
        <w:pStyle w:val="SingleTxtG"/>
        <w:spacing w:before="120"/>
        <w:rPr>
          <w:lang w:eastAsia="en-US"/>
        </w:rPr>
      </w:pPr>
      <w:r w:rsidRPr="00B36B7E">
        <w:rPr>
          <w:lang w:eastAsia="en-US"/>
        </w:rPr>
        <w:t>37.</w:t>
      </w:r>
      <w:r w:rsidRPr="00B36B7E">
        <w:rPr>
          <w:lang w:eastAsia="en-US"/>
        </w:rPr>
        <w:tab/>
      </w:r>
      <w:r w:rsidR="00B36B7E" w:rsidRPr="00B36B7E">
        <w:rPr>
          <w:lang w:eastAsia="en-US"/>
        </w:rPr>
        <w:t>Respecto al número de albergues y casas de acogida para víctimas de violencia doméstica</w:t>
      </w:r>
      <w:r w:rsidR="00B55F3D">
        <w:rPr>
          <w:lang w:eastAsia="en-US"/>
        </w:rPr>
        <w:t>, se tiene el siguiente detalle.</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830"/>
        <w:gridCol w:w="4540"/>
      </w:tblGrid>
      <w:tr w:rsidR="00210112" w:rsidRPr="00210112" w14:paraId="14B544C6"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1920" w:type="pct"/>
            <w:tcBorders>
              <w:top w:val="single" w:sz="4" w:space="0" w:color="auto"/>
              <w:bottom w:val="single" w:sz="12" w:space="0" w:color="auto"/>
            </w:tcBorders>
            <w:shd w:val="clear" w:color="auto" w:fill="auto"/>
            <w:vAlign w:val="bottom"/>
            <w:hideMark/>
          </w:tcPr>
          <w:p w14:paraId="50630BD5" w14:textId="77777777" w:rsidR="00B36B7E" w:rsidRPr="00210112" w:rsidRDefault="00235247">
            <w:pPr>
              <w:spacing w:before="80" w:after="80" w:line="200" w:lineRule="exact"/>
              <w:rPr>
                <w:rFonts w:ascii="Times New Roman" w:hAnsi="Times New Roman"/>
                <w:b w:val="0"/>
                <w:i/>
                <w:color w:val="auto"/>
                <w:sz w:val="16"/>
                <w:lang w:eastAsia="en-US"/>
              </w:rPr>
            </w:pPr>
            <w:r w:rsidRPr="00210112">
              <w:rPr>
                <w:i/>
                <w:sz w:val="16"/>
                <w:lang w:eastAsia="en-US"/>
              </w:rPr>
              <w:t>Departamento</w:t>
            </w:r>
          </w:p>
        </w:tc>
        <w:tc>
          <w:tcPr>
            <w:tcW w:w="3080" w:type="pct"/>
            <w:tcBorders>
              <w:top w:val="single" w:sz="4" w:space="0" w:color="auto"/>
              <w:bottom w:val="single" w:sz="12" w:space="0" w:color="auto"/>
            </w:tcBorders>
            <w:shd w:val="clear" w:color="auto" w:fill="auto"/>
            <w:vAlign w:val="bottom"/>
            <w:hideMark/>
          </w:tcPr>
          <w:p w14:paraId="02C9D9CD" w14:textId="77777777" w:rsidR="00B36B7E" w:rsidRPr="00210112" w:rsidRDefault="00B36B7E" w:rsidP="00777507">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N</w:t>
            </w:r>
            <w:r w:rsidR="00235247" w:rsidRPr="00210112">
              <w:rPr>
                <w:i/>
                <w:sz w:val="16"/>
                <w:lang w:eastAsia="en-US"/>
              </w:rPr>
              <w:t xml:space="preserve">úmero de casas de albergues y casas de acogida </w:t>
            </w:r>
          </w:p>
        </w:tc>
      </w:tr>
      <w:tr w:rsidR="00210112" w:rsidRPr="00210112" w14:paraId="7064CAFB"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20" w:type="pct"/>
            <w:shd w:val="clear" w:color="auto" w:fill="auto"/>
          </w:tcPr>
          <w:p w14:paraId="091C155C" w14:textId="77777777" w:rsidR="00B36B7E" w:rsidRPr="00777507" w:rsidRDefault="00B36B7E" w:rsidP="00777507">
            <w:pPr>
              <w:spacing w:before="40" w:after="120"/>
              <w:rPr>
                <w:rFonts w:ascii="Times New Roman" w:hAnsi="Times New Roman"/>
                <w:b w:val="0"/>
                <w:sz w:val="20"/>
                <w:lang w:eastAsia="en-US"/>
              </w:rPr>
            </w:pPr>
            <w:r w:rsidRPr="00777507">
              <w:rPr>
                <w:sz w:val="20"/>
                <w:lang w:eastAsia="en-US"/>
              </w:rPr>
              <w:t>S</w:t>
            </w:r>
            <w:r w:rsidR="00235247" w:rsidRPr="00777507">
              <w:rPr>
                <w:sz w:val="20"/>
                <w:lang w:eastAsia="en-US"/>
              </w:rPr>
              <w:t>anta Cruz</w:t>
            </w:r>
          </w:p>
        </w:tc>
        <w:tc>
          <w:tcPr>
            <w:tcW w:w="3080" w:type="pct"/>
            <w:shd w:val="clear" w:color="auto" w:fill="auto"/>
            <w:hideMark/>
          </w:tcPr>
          <w:p w14:paraId="156C2219" w14:textId="77777777" w:rsidR="00B36B7E" w:rsidRPr="00777507"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777507">
              <w:rPr>
                <w:sz w:val="20"/>
                <w:lang w:eastAsia="en-US"/>
              </w:rPr>
              <w:t>4 Centros de Atención Integral a la Mujer y la Familia, también se brinda atención psicológica, social y orientación legal a mujeres en situación de violencia</w:t>
            </w:r>
          </w:p>
        </w:tc>
      </w:tr>
      <w:tr w:rsidR="00210112" w:rsidRPr="00210112" w14:paraId="50923E0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1920" w:type="pct"/>
            <w:shd w:val="clear" w:color="auto" w:fill="auto"/>
          </w:tcPr>
          <w:p w14:paraId="65CBFE56" w14:textId="77777777" w:rsidR="00B36B7E" w:rsidRPr="00777507" w:rsidRDefault="00B36B7E" w:rsidP="00777507">
            <w:pPr>
              <w:spacing w:before="40" w:after="120"/>
              <w:rPr>
                <w:rFonts w:ascii="Times New Roman" w:hAnsi="Times New Roman"/>
                <w:b w:val="0"/>
                <w:sz w:val="20"/>
                <w:lang w:eastAsia="en-US"/>
              </w:rPr>
            </w:pPr>
            <w:r w:rsidRPr="00777507">
              <w:rPr>
                <w:sz w:val="20"/>
                <w:lang w:eastAsia="en-US"/>
              </w:rPr>
              <w:t>P</w:t>
            </w:r>
            <w:r w:rsidR="00235247" w:rsidRPr="00777507">
              <w:rPr>
                <w:sz w:val="20"/>
                <w:lang w:eastAsia="en-US"/>
              </w:rPr>
              <w:t>otosí</w:t>
            </w:r>
          </w:p>
        </w:tc>
        <w:tc>
          <w:tcPr>
            <w:tcW w:w="3080" w:type="pct"/>
            <w:shd w:val="clear" w:color="auto" w:fill="auto"/>
            <w:hideMark/>
          </w:tcPr>
          <w:p w14:paraId="5DE90C85" w14:textId="77777777" w:rsidR="00B36B7E" w:rsidRPr="00777507"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777507">
              <w:rPr>
                <w:sz w:val="20"/>
                <w:lang w:eastAsia="en-US"/>
              </w:rPr>
              <w:t>1 Casa de Acogida Temporal para Víctimas de Violencia entregada en la zona de Cantumarca.</w:t>
            </w:r>
          </w:p>
        </w:tc>
      </w:tr>
      <w:tr w:rsidR="00210112" w:rsidRPr="00210112" w14:paraId="7BF229A7"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20" w:type="pct"/>
            <w:shd w:val="clear" w:color="auto" w:fill="auto"/>
          </w:tcPr>
          <w:p w14:paraId="15619797" w14:textId="77777777" w:rsidR="00B36B7E" w:rsidRPr="00777507" w:rsidRDefault="00B36B7E" w:rsidP="00777507">
            <w:pPr>
              <w:spacing w:before="40" w:after="120"/>
              <w:rPr>
                <w:rFonts w:ascii="Times New Roman" w:hAnsi="Times New Roman"/>
                <w:b w:val="0"/>
                <w:sz w:val="20"/>
                <w:lang w:eastAsia="en-US"/>
              </w:rPr>
            </w:pPr>
            <w:r w:rsidRPr="00777507">
              <w:rPr>
                <w:sz w:val="20"/>
                <w:lang w:eastAsia="en-US"/>
              </w:rPr>
              <w:t>B</w:t>
            </w:r>
            <w:r w:rsidR="00235247" w:rsidRPr="00777507">
              <w:rPr>
                <w:sz w:val="20"/>
                <w:lang w:eastAsia="en-US"/>
              </w:rPr>
              <w:t>eni</w:t>
            </w:r>
          </w:p>
        </w:tc>
        <w:tc>
          <w:tcPr>
            <w:tcW w:w="3080" w:type="pct"/>
            <w:shd w:val="clear" w:color="auto" w:fill="auto"/>
            <w:hideMark/>
          </w:tcPr>
          <w:p w14:paraId="5C012C8F" w14:textId="77777777" w:rsidR="00B36B7E" w:rsidRPr="00777507"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777507">
              <w:rPr>
                <w:sz w:val="20"/>
                <w:lang w:eastAsia="en-US"/>
              </w:rPr>
              <w:t xml:space="preserve">Se cuenta con un terreno para la ciudad de Trinidad, mismo que se encuentra en la gestión de inscripción en el SIGMA de la Gobernación. </w:t>
            </w:r>
          </w:p>
          <w:p w14:paraId="34174656" w14:textId="77777777" w:rsidR="00B36B7E" w:rsidRPr="00777507"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777507">
              <w:rPr>
                <w:sz w:val="20"/>
                <w:lang w:eastAsia="en-US"/>
              </w:rPr>
              <w:t>Asimismo, en la ciudad de Riberalta, está en proceso de equipamiento.</w:t>
            </w:r>
          </w:p>
        </w:tc>
      </w:tr>
      <w:tr w:rsidR="00210112" w:rsidRPr="00210112" w14:paraId="33386708"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1920" w:type="pct"/>
            <w:shd w:val="clear" w:color="auto" w:fill="auto"/>
          </w:tcPr>
          <w:p w14:paraId="1434F8C3" w14:textId="77777777" w:rsidR="00B36B7E" w:rsidRPr="00777507" w:rsidRDefault="00B36B7E" w:rsidP="00777507">
            <w:pPr>
              <w:spacing w:before="40" w:after="120"/>
              <w:rPr>
                <w:rFonts w:ascii="Times New Roman" w:hAnsi="Times New Roman"/>
                <w:b w:val="0"/>
                <w:sz w:val="20"/>
                <w:lang w:eastAsia="en-US"/>
              </w:rPr>
            </w:pPr>
            <w:r w:rsidRPr="00777507">
              <w:rPr>
                <w:sz w:val="20"/>
                <w:lang w:eastAsia="en-US"/>
              </w:rPr>
              <w:t>O</w:t>
            </w:r>
            <w:r w:rsidR="00235247" w:rsidRPr="00777507">
              <w:rPr>
                <w:sz w:val="20"/>
                <w:lang w:eastAsia="en-US"/>
              </w:rPr>
              <w:t>ruro</w:t>
            </w:r>
          </w:p>
        </w:tc>
        <w:tc>
          <w:tcPr>
            <w:tcW w:w="3080" w:type="pct"/>
            <w:shd w:val="clear" w:color="auto" w:fill="auto"/>
            <w:hideMark/>
          </w:tcPr>
          <w:p w14:paraId="4F380584" w14:textId="77777777" w:rsidR="00B36B7E" w:rsidRPr="00777507"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777507">
              <w:rPr>
                <w:sz w:val="20"/>
                <w:lang w:eastAsia="en-US"/>
              </w:rPr>
              <w:t>Actualmente se está trabajando en el Estudio de Diseño Técnico de Pre Inversión, con el personal de la Secretaria Departamental de Desarrollo Social y Seguridad Alimentaria.</w:t>
            </w:r>
          </w:p>
        </w:tc>
      </w:tr>
      <w:tr w:rsidR="00210112" w:rsidRPr="00210112" w14:paraId="0B79E1BC"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20" w:type="pct"/>
            <w:shd w:val="clear" w:color="auto" w:fill="auto"/>
          </w:tcPr>
          <w:p w14:paraId="15D55BBA" w14:textId="77777777" w:rsidR="00B36B7E" w:rsidRPr="00777507" w:rsidRDefault="00B36B7E" w:rsidP="00777507">
            <w:pPr>
              <w:spacing w:before="40" w:after="120"/>
              <w:rPr>
                <w:rFonts w:ascii="Times New Roman" w:hAnsi="Times New Roman"/>
                <w:b w:val="0"/>
                <w:sz w:val="20"/>
                <w:lang w:eastAsia="en-US"/>
              </w:rPr>
            </w:pPr>
            <w:r w:rsidRPr="00777507">
              <w:rPr>
                <w:sz w:val="20"/>
                <w:lang w:eastAsia="en-US"/>
              </w:rPr>
              <w:t>C</w:t>
            </w:r>
            <w:r w:rsidR="00235247" w:rsidRPr="00777507">
              <w:rPr>
                <w:sz w:val="20"/>
                <w:lang w:eastAsia="en-US"/>
              </w:rPr>
              <w:t>ochabamba</w:t>
            </w:r>
          </w:p>
        </w:tc>
        <w:tc>
          <w:tcPr>
            <w:tcW w:w="3080" w:type="pct"/>
            <w:shd w:val="clear" w:color="auto" w:fill="auto"/>
            <w:hideMark/>
          </w:tcPr>
          <w:p w14:paraId="352C9C6D" w14:textId="77777777" w:rsidR="00B36B7E" w:rsidRPr="00777507"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777507">
              <w:rPr>
                <w:sz w:val="20"/>
                <w:lang w:eastAsia="en-US"/>
              </w:rPr>
              <w:t xml:space="preserve">1 casa de acogida nombrada </w:t>
            </w:r>
            <w:r w:rsidR="00430519">
              <w:rPr>
                <w:rFonts w:ascii="Times New Roman" w:hAnsi="Times New Roman"/>
                <w:sz w:val="20"/>
                <w:lang w:eastAsia="en-US"/>
              </w:rPr>
              <w:t>“</w:t>
            </w:r>
            <w:r w:rsidRPr="00777507">
              <w:rPr>
                <w:sz w:val="20"/>
                <w:lang w:eastAsia="en-US"/>
              </w:rPr>
              <w:t>Programa Esperanza</w:t>
            </w:r>
            <w:r w:rsidR="00430519">
              <w:rPr>
                <w:rFonts w:ascii="Times New Roman" w:hAnsi="Times New Roman"/>
                <w:sz w:val="20"/>
                <w:lang w:eastAsia="en-US"/>
              </w:rPr>
              <w:t>”</w:t>
            </w:r>
            <w:r w:rsidRPr="00777507">
              <w:rPr>
                <w:sz w:val="20"/>
                <w:lang w:eastAsia="en-US"/>
              </w:rPr>
              <w:t>. Es un espacio de protección, atención, recuperación y capacitación laboral para las víctimas de violencia junto a sus hijas e hijos.</w:t>
            </w:r>
          </w:p>
        </w:tc>
      </w:tr>
      <w:tr w:rsidR="00210112" w:rsidRPr="00210112" w14:paraId="58E1302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1920" w:type="pct"/>
            <w:shd w:val="clear" w:color="auto" w:fill="auto"/>
            <w:hideMark/>
          </w:tcPr>
          <w:p w14:paraId="5DD59E7F" w14:textId="77777777" w:rsidR="00B36B7E" w:rsidRPr="00777507" w:rsidRDefault="00B36B7E" w:rsidP="00777507">
            <w:pPr>
              <w:spacing w:before="40" w:after="120"/>
              <w:rPr>
                <w:rFonts w:ascii="Times New Roman" w:hAnsi="Times New Roman"/>
                <w:b w:val="0"/>
                <w:sz w:val="20"/>
                <w:lang w:eastAsia="en-US"/>
              </w:rPr>
            </w:pPr>
            <w:r w:rsidRPr="00777507">
              <w:rPr>
                <w:sz w:val="20"/>
                <w:lang w:eastAsia="en-US"/>
              </w:rPr>
              <w:t>L</w:t>
            </w:r>
            <w:r w:rsidR="00235247" w:rsidRPr="00777507">
              <w:rPr>
                <w:sz w:val="20"/>
                <w:lang w:eastAsia="en-US"/>
              </w:rPr>
              <w:t>a</w:t>
            </w:r>
            <w:r w:rsidRPr="00777507">
              <w:rPr>
                <w:sz w:val="20"/>
                <w:lang w:eastAsia="en-US"/>
              </w:rPr>
              <w:t xml:space="preserve"> P</w:t>
            </w:r>
            <w:r w:rsidR="00235247" w:rsidRPr="00777507">
              <w:rPr>
                <w:sz w:val="20"/>
                <w:lang w:eastAsia="en-US"/>
              </w:rPr>
              <w:t>az</w:t>
            </w:r>
          </w:p>
        </w:tc>
        <w:tc>
          <w:tcPr>
            <w:tcW w:w="3080" w:type="pct"/>
            <w:shd w:val="clear" w:color="auto" w:fill="auto"/>
            <w:hideMark/>
          </w:tcPr>
          <w:p w14:paraId="672E46A0" w14:textId="77777777" w:rsidR="00B36B7E" w:rsidRPr="00777507"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777507">
              <w:rPr>
                <w:sz w:val="20"/>
                <w:lang w:eastAsia="en-US"/>
              </w:rPr>
              <w:t xml:space="preserve">Centro de Acogida Transitorio para Víctimas </w:t>
            </w:r>
            <w:r w:rsidR="00430519">
              <w:rPr>
                <w:rFonts w:ascii="Times New Roman" w:hAnsi="Times New Roman"/>
                <w:sz w:val="20"/>
                <w:lang w:eastAsia="en-US"/>
              </w:rPr>
              <w:t>“</w:t>
            </w:r>
            <w:r w:rsidRPr="00777507">
              <w:rPr>
                <w:sz w:val="20"/>
                <w:lang w:eastAsia="en-US"/>
              </w:rPr>
              <w:t>Refugio Dignidad</w:t>
            </w:r>
            <w:r w:rsidR="00430519">
              <w:rPr>
                <w:rFonts w:ascii="Times New Roman" w:hAnsi="Times New Roman"/>
                <w:sz w:val="20"/>
                <w:lang w:eastAsia="en-US"/>
              </w:rPr>
              <w:t>”</w:t>
            </w:r>
            <w:r w:rsidRPr="00777507">
              <w:rPr>
                <w:sz w:val="20"/>
                <w:lang w:eastAsia="en-US"/>
              </w:rPr>
              <w:t>.</w:t>
            </w:r>
          </w:p>
          <w:p w14:paraId="755855D1" w14:textId="77777777" w:rsidR="00B36B7E" w:rsidRPr="00777507"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777507">
              <w:rPr>
                <w:sz w:val="20"/>
                <w:lang w:eastAsia="en-US"/>
              </w:rPr>
              <w:t xml:space="preserve">Asimismo, se está equipando paulatinamente, la atención a nivel provincial a través de la </w:t>
            </w:r>
            <w:r w:rsidR="00430519">
              <w:rPr>
                <w:rFonts w:ascii="Times New Roman" w:hAnsi="Times New Roman"/>
                <w:sz w:val="20"/>
                <w:lang w:eastAsia="en-US"/>
              </w:rPr>
              <w:t>“</w:t>
            </w:r>
            <w:r w:rsidRPr="00777507">
              <w:rPr>
                <w:sz w:val="20"/>
                <w:lang w:eastAsia="en-US"/>
              </w:rPr>
              <w:t>Casa de Acogida Interprovincial para Mujeres Víctimas de Violencia</w:t>
            </w:r>
            <w:r w:rsidR="00430519">
              <w:rPr>
                <w:rFonts w:ascii="Times New Roman" w:hAnsi="Times New Roman"/>
                <w:sz w:val="20"/>
                <w:lang w:eastAsia="en-US"/>
              </w:rPr>
              <w:t>”</w:t>
            </w:r>
            <w:r w:rsidRPr="00777507">
              <w:rPr>
                <w:sz w:val="20"/>
                <w:lang w:eastAsia="en-US"/>
              </w:rPr>
              <w:t>, situada en la zona Los Andes de la ciudad de El Alto.</w:t>
            </w:r>
          </w:p>
        </w:tc>
      </w:tr>
      <w:tr w:rsidR="00210112" w:rsidRPr="00210112" w14:paraId="1D11E507"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20" w:type="pct"/>
            <w:shd w:val="clear" w:color="auto" w:fill="auto"/>
          </w:tcPr>
          <w:p w14:paraId="52004FE8" w14:textId="77777777" w:rsidR="00B36B7E" w:rsidRPr="00777507" w:rsidRDefault="00B36B7E" w:rsidP="00777507">
            <w:pPr>
              <w:spacing w:before="40" w:after="120"/>
              <w:rPr>
                <w:rFonts w:ascii="Times New Roman" w:hAnsi="Times New Roman"/>
                <w:b w:val="0"/>
                <w:sz w:val="20"/>
                <w:lang w:eastAsia="en-US"/>
              </w:rPr>
            </w:pPr>
            <w:r w:rsidRPr="00777507">
              <w:rPr>
                <w:sz w:val="20"/>
                <w:lang w:eastAsia="en-US"/>
              </w:rPr>
              <w:t>T</w:t>
            </w:r>
            <w:r w:rsidR="00235247" w:rsidRPr="00777507">
              <w:rPr>
                <w:sz w:val="20"/>
                <w:lang w:eastAsia="en-US"/>
              </w:rPr>
              <w:t>arija</w:t>
            </w:r>
          </w:p>
        </w:tc>
        <w:tc>
          <w:tcPr>
            <w:tcW w:w="3080" w:type="pct"/>
            <w:shd w:val="clear" w:color="auto" w:fill="auto"/>
            <w:hideMark/>
          </w:tcPr>
          <w:p w14:paraId="71066307" w14:textId="77777777" w:rsidR="00B36B7E" w:rsidRPr="00777507"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777507">
              <w:rPr>
                <w:sz w:val="20"/>
                <w:lang w:eastAsia="en-US"/>
              </w:rPr>
              <w:t>2 casas de acogida temporal en la provincia Cercado.</w:t>
            </w:r>
          </w:p>
        </w:tc>
      </w:tr>
      <w:tr w:rsidR="00210112" w:rsidRPr="00210112" w14:paraId="2AEF7D17"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1920" w:type="pct"/>
            <w:shd w:val="clear" w:color="auto" w:fill="auto"/>
            <w:hideMark/>
          </w:tcPr>
          <w:p w14:paraId="528BFD28" w14:textId="77777777" w:rsidR="00B36B7E" w:rsidRPr="00777507" w:rsidRDefault="00B36B7E" w:rsidP="00777507">
            <w:pPr>
              <w:spacing w:before="40" w:after="120"/>
              <w:rPr>
                <w:rFonts w:ascii="Times New Roman" w:hAnsi="Times New Roman"/>
                <w:b w:val="0"/>
                <w:sz w:val="20"/>
                <w:lang w:eastAsia="en-US"/>
              </w:rPr>
            </w:pPr>
            <w:r w:rsidRPr="00777507">
              <w:rPr>
                <w:sz w:val="20"/>
                <w:lang w:eastAsia="en-US"/>
              </w:rPr>
              <w:t>P</w:t>
            </w:r>
            <w:r w:rsidR="00235247" w:rsidRPr="00777507">
              <w:rPr>
                <w:sz w:val="20"/>
                <w:lang w:eastAsia="en-US"/>
              </w:rPr>
              <w:t>ando</w:t>
            </w:r>
          </w:p>
        </w:tc>
        <w:tc>
          <w:tcPr>
            <w:tcW w:w="3080" w:type="pct"/>
            <w:shd w:val="clear" w:color="auto" w:fill="auto"/>
            <w:hideMark/>
          </w:tcPr>
          <w:p w14:paraId="5F7BC989" w14:textId="77777777" w:rsidR="00B36B7E" w:rsidRPr="00777507"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777507">
              <w:rPr>
                <w:sz w:val="20"/>
                <w:lang w:eastAsia="en-US"/>
              </w:rPr>
              <w:t>Casa de Acogida de la Mujer ubicada en la comunidad de Loma Alta Municipio de Villa Nueva.</w:t>
            </w:r>
          </w:p>
        </w:tc>
      </w:tr>
      <w:tr w:rsidR="00210112" w:rsidRPr="00210112" w14:paraId="75061979"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20" w:type="pct"/>
            <w:tcBorders>
              <w:bottom w:val="single" w:sz="12" w:space="0" w:color="auto"/>
            </w:tcBorders>
            <w:shd w:val="clear" w:color="auto" w:fill="auto"/>
          </w:tcPr>
          <w:p w14:paraId="409E998C" w14:textId="77777777" w:rsidR="00B36B7E" w:rsidRPr="00777507" w:rsidRDefault="00B36B7E" w:rsidP="00777507">
            <w:pPr>
              <w:spacing w:before="40" w:after="120"/>
              <w:rPr>
                <w:rFonts w:ascii="Times New Roman" w:hAnsi="Times New Roman"/>
                <w:b w:val="0"/>
                <w:sz w:val="20"/>
                <w:lang w:eastAsia="en-US"/>
              </w:rPr>
            </w:pPr>
            <w:r w:rsidRPr="00777507">
              <w:rPr>
                <w:sz w:val="20"/>
                <w:lang w:eastAsia="en-US"/>
              </w:rPr>
              <w:t>C</w:t>
            </w:r>
            <w:r w:rsidR="00235247" w:rsidRPr="00777507">
              <w:rPr>
                <w:sz w:val="20"/>
                <w:lang w:eastAsia="en-US"/>
              </w:rPr>
              <w:t>huquisaca</w:t>
            </w:r>
          </w:p>
        </w:tc>
        <w:tc>
          <w:tcPr>
            <w:tcW w:w="3080" w:type="pct"/>
            <w:tcBorders>
              <w:bottom w:val="single" w:sz="12" w:space="0" w:color="auto"/>
            </w:tcBorders>
            <w:shd w:val="clear" w:color="auto" w:fill="auto"/>
            <w:hideMark/>
          </w:tcPr>
          <w:p w14:paraId="1F75608F" w14:textId="77777777" w:rsidR="00B36B7E" w:rsidRPr="00777507"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777507">
              <w:rPr>
                <w:sz w:val="20"/>
                <w:lang w:eastAsia="en-US"/>
              </w:rPr>
              <w:t>1 Casa de Acogida con una capacidad de atención para 60 personas.</w:t>
            </w:r>
          </w:p>
        </w:tc>
      </w:tr>
    </w:tbl>
    <w:p w14:paraId="060C3AC2"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Viceministerio de Igualdad de Oportunidades</w:t>
      </w:r>
      <w:r w:rsidR="000A478C">
        <w:rPr>
          <w:lang w:eastAsia="en-US"/>
        </w:rPr>
        <w:t>.</w:t>
      </w:r>
    </w:p>
    <w:p w14:paraId="1E36EB70" w14:textId="77777777" w:rsidR="00B36B7E" w:rsidRDefault="00DC4138" w:rsidP="00EB253C">
      <w:pPr>
        <w:pStyle w:val="H4G"/>
        <w:rPr>
          <w:rFonts w:eastAsia="SimSun"/>
          <w:lang w:val="es-BO"/>
        </w:rPr>
      </w:pPr>
      <w:r>
        <w:rPr>
          <w:rFonts w:eastAsia="SimSun"/>
          <w:lang w:val="es-BO"/>
        </w:rPr>
        <w:tab/>
      </w:r>
      <w:r>
        <w:rPr>
          <w:rFonts w:eastAsia="SimSun"/>
          <w:lang w:val="es-BO"/>
        </w:rPr>
        <w:tab/>
      </w:r>
      <w:r w:rsidR="00B36B7E" w:rsidRPr="00B36B7E">
        <w:rPr>
          <w:rFonts w:eastAsia="SimSun"/>
          <w:lang w:val="es-BO"/>
        </w:rPr>
        <w:t>Programas de formación</w:t>
      </w:r>
    </w:p>
    <w:p w14:paraId="3BF2DBB0" w14:textId="77777777" w:rsidR="00B36B7E" w:rsidRDefault="00235247" w:rsidP="00777507">
      <w:pPr>
        <w:pStyle w:val="SingleTxtG"/>
        <w:spacing w:before="120"/>
        <w:rPr>
          <w:lang w:eastAsia="en-US"/>
        </w:rPr>
      </w:pPr>
      <w:r>
        <w:rPr>
          <w:lang w:eastAsia="en-US"/>
        </w:rPr>
        <w:t>38.</w:t>
      </w:r>
      <w:r>
        <w:rPr>
          <w:lang w:eastAsia="en-US"/>
        </w:rPr>
        <w:tab/>
      </w:r>
      <w:r w:rsidR="00B36B7E" w:rsidRPr="00B36B7E">
        <w:rPr>
          <w:lang w:val="es-BO" w:eastAsia="en-US"/>
        </w:rPr>
        <w:t>En el marco del</w:t>
      </w:r>
      <w:r w:rsidR="00B36B7E" w:rsidRPr="00B36B7E">
        <w:rPr>
          <w:lang w:eastAsia="en-US"/>
        </w:rPr>
        <w:t xml:space="preserve"> DS 3981 de 15 de julio de 2019, se ha impulsado la aprobación de las </w:t>
      </w:r>
      <w:r w:rsidR="00430519">
        <w:rPr>
          <w:lang w:eastAsia="en-US"/>
        </w:rPr>
        <w:t>“</w:t>
      </w:r>
      <w:r w:rsidR="00B36B7E" w:rsidRPr="00B36B7E">
        <w:rPr>
          <w:lang w:eastAsia="en-US"/>
        </w:rPr>
        <w:t>Jornadas de Sensibilización para la Prevención de la Violencia</w:t>
      </w:r>
      <w:r w:rsidR="00430519">
        <w:rPr>
          <w:lang w:eastAsia="en-US"/>
        </w:rPr>
        <w:t>”</w:t>
      </w:r>
      <w:r w:rsidR="00B36B7E" w:rsidRPr="00B36B7E">
        <w:rPr>
          <w:lang w:eastAsia="en-US"/>
        </w:rPr>
        <w:t xml:space="preserve"> y la obligatoriedad de formación académica en prevención de la violencia contra la mujer para servidores públicos, personal militar, policial y empresas públicas.</w:t>
      </w:r>
    </w:p>
    <w:p w14:paraId="6EE2CB06" w14:textId="77777777" w:rsidR="00B36B7E" w:rsidRPr="00B36B7E" w:rsidRDefault="00EB253C" w:rsidP="00EB253C">
      <w:pPr>
        <w:pStyle w:val="H23G"/>
        <w:rPr>
          <w:lang w:eastAsia="en-US"/>
        </w:rPr>
      </w:pPr>
      <w:r>
        <w:rPr>
          <w:lang w:eastAsia="en-US"/>
        </w:rPr>
        <w:tab/>
      </w:r>
      <w:r>
        <w:rPr>
          <w:lang w:eastAsia="en-US"/>
        </w:rPr>
        <w:tab/>
      </w:r>
      <w:r w:rsidR="00B36B7E" w:rsidRPr="00B36B7E">
        <w:rPr>
          <w:lang w:eastAsia="en-US"/>
        </w:rPr>
        <w:t>Respuesta al Párrafo 6</w:t>
      </w:r>
      <w:r w:rsidR="00B55F3D" w:rsidRPr="00B55F3D">
        <w:rPr>
          <w:lang w:val="es-CU"/>
        </w:rPr>
        <w:t xml:space="preserve"> </w:t>
      </w:r>
      <w:r w:rsidR="00B55F3D">
        <w:rPr>
          <w:lang w:val="es-CU"/>
        </w:rPr>
        <w:t>de la lista de</w:t>
      </w:r>
      <w:r w:rsidR="00B55F3D">
        <w:rPr>
          <w:lang w:val="es-ES_tradnl"/>
        </w:rPr>
        <w:t xml:space="preserve"> </w:t>
      </w:r>
      <w:r w:rsidR="00B55F3D" w:rsidRPr="00E9029D">
        <w:rPr>
          <w:lang w:val="es-ES_tradnl"/>
        </w:rPr>
        <w:t>cuestiones</w:t>
      </w:r>
    </w:p>
    <w:p w14:paraId="0D938817" w14:textId="77777777" w:rsidR="00B36B7E" w:rsidRDefault="00EB253C" w:rsidP="00EB253C">
      <w:pPr>
        <w:pStyle w:val="H4G"/>
        <w:rPr>
          <w:rFonts w:eastAsia="SimSun"/>
        </w:rPr>
      </w:pPr>
      <w:r>
        <w:rPr>
          <w:rFonts w:eastAsia="SimSun"/>
          <w:lang w:val="es-BO"/>
        </w:rPr>
        <w:tab/>
      </w:r>
      <w:r>
        <w:rPr>
          <w:rFonts w:eastAsia="SimSun"/>
          <w:lang w:val="es-BO"/>
        </w:rPr>
        <w:tab/>
      </w:r>
      <w:r w:rsidR="00B36B7E" w:rsidRPr="00B36B7E">
        <w:rPr>
          <w:rFonts w:eastAsia="SimSun"/>
          <w:lang w:val="es-BO"/>
        </w:rPr>
        <w:t xml:space="preserve">Abuso y violencia sexual </w:t>
      </w:r>
      <w:r w:rsidR="00B36B7E" w:rsidRPr="00B36B7E">
        <w:rPr>
          <w:rFonts w:eastAsia="SimSun"/>
        </w:rPr>
        <w:t>a NNA</w:t>
      </w:r>
    </w:p>
    <w:p w14:paraId="6FD884D6" w14:textId="77777777" w:rsidR="00B36B7E" w:rsidRDefault="00235247" w:rsidP="00777507">
      <w:pPr>
        <w:pStyle w:val="SingleTxtG"/>
        <w:spacing w:before="120"/>
        <w:rPr>
          <w:sz w:val="18"/>
          <w:szCs w:val="18"/>
          <w:lang w:eastAsia="en-US"/>
        </w:rPr>
      </w:pPr>
      <w:r>
        <w:rPr>
          <w:sz w:val="18"/>
          <w:szCs w:val="18"/>
          <w:lang w:eastAsia="en-US"/>
        </w:rPr>
        <w:t>39.</w:t>
      </w:r>
      <w:r>
        <w:rPr>
          <w:sz w:val="18"/>
          <w:szCs w:val="18"/>
          <w:lang w:eastAsia="en-US"/>
        </w:rPr>
        <w:tab/>
      </w:r>
      <w:r w:rsidR="00B36B7E" w:rsidRPr="00B36B7E">
        <w:rPr>
          <w:lang w:eastAsia="en-US"/>
        </w:rPr>
        <w:t xml:space="preserve">El Estado boliviano a través de la FGE, ha </w:t>
      </w:r>
      <w:r w:rsidR="00B55F3D">
        <w:rPr>
          <w:lang w:eastAsia="en-US"/>
        </w:rPr>
        <w:t>registrado los siguientes datos.</w:t>
      </w:r>
    </w:p>
    <w:p w14:paraId="606D0591" w14:textId="77777777" w:rsidR="00B36B7E" w:rsidRPr="00B36B7E" w:rsidRDefault="00B36B7E" w:rsidP="00B55F3D">
      <w:pPr>
        <w:pStyle w:val="H23G"/>
        <w:ind w:firstLine="0"/>
        <w:rPr>
          <w:lang w:val="es-BO" w:eastAsia="en-US"/>
        </w:rPr>
      </w:pPr>
      <w:r w:rsidRPr="00B55F3D">
        <w:rPr>
          <w:lang w:val="es-BO" w:eastAsia="en-US"/>
        </w:rPr>
        <w:lastRenderedPageBreak/>
        <w:t>N</w:t>
      </w:r>
      <w:r w:rsidR="00B55F3D">
        <w:rPr>
          <w:lang w:val="es-BO" w:eastAsia="en-US"/>
        </w:rPr>
        <w:t>úmero de víctimas diferenciadas por edad y sexo – Gestión 2018</w:t>
      </w:r>
    </w:p>
    <w:tbl>
      <w:tblPr>
        <w:tblStyle w:val="GridTable4-Accent61"/>
        <w:tblW w:w="736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86"/>
        <w:gridCol w:w="834"/>
        <w:gridCol w:w="835"/>
        <w:gridCol w:w="1390"/>
        <w:gridCol w:w="1406"/>
        <w:gridCol w:w="818"/>
      </w:tblGrid>
      <w:tr w:rsidR="0065273B" w:rsidRPr="008F1A6A" w14:paraId="219277F4" w14:textId="77777777" w:rsidTr="00311A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bottom w:val="single" w:sz="12" w:space="0" w:color="auto"/>
            </w:tcBorders>
            <w:shd w:val="clear" w:color="auto" w:fill="auto"/>
            <w:vAlign w:val="bottom"/>
            <w:hideMark/>
          </w:tcPr>
          <w:p w14:paraId="517B8762" w14:textId="77777777" w:rsidR="00B36B7E" w:rsidRPr="008F1A6A" w:rsidRDefault="00B36B7E">
            <w:pPr>
              <w:spacing w:before="80" w:after="80" w:line="200" w:lineRule="exact"/>
              <w:ind w:right="113"/>
              <w:rPr>
                <w:rFonts w:ascii="Times New Roman" w:hAnsi="Times New Roman"/>
                <w:b w:val="0"/>
                <w:i/>
                <w:color w:val="auto"/>
                <w:sz w:val="16"/>
                <w:lang w:eastAsia="en-US"/>
              </w:rPr>
            </w:pPr>
            <w:r w:rsidRPr="008F1A6A">
              <w:rPr>
                <w:rFonts w:ascii="Times New Roman" w:hAnsi="Times New Roman"/>
                <w:b w:val="0"/>
                <w:i/>
                <w:color w:val="auto"/>
                <w:sz w:val="16"/>
                <w:lang w:eastAsia="en-US"/>
              </w:rPr>
              <w:t>T</w:t>
            </w:r>
            <w:r w:rsidR="00311AB2" w:rsidRPr="008F1A6A">
              <w:rPr>
                <w:rFonts w:ascii="Times New Roman" w:hAnsi="Times New Roman"/>
                <w:b w:val="0"/>
                <w:i/>
                <w:color w:val="auto"/>
                <w:sz w:val="16"/>
                <w:lang w:eastAsia="en-US"/>
              </w:rPr>
              <w:t>ipo penal</w:t>
            </w:r>
          </w:p>
        </w:tc>
        <w:tc>
          <w:tcPr>
            <w:tcW w:w="834" w:type="dxa"/>
            <w:tcBorders>
              <w:top w:val="single" w:sz="4" w:space="0" w:color="auto"/>
              <w:bottom w:val="single" w:sz="12" w:space="0" w:color="auto"/>
            </w:tcBorders>
            <w:shd w:val="clear" w:color="auto" w:fill="auto"/>
            <w:vAlign w:val="bottom"/>
            <w:hideMark/>
          </w:tcPr>
          <w:p w14:paraId="0B05902C" w14:textId="77777777" w:rsidR="00B36B7E" w:rsidRPr="008F1A6A" w:rsidRDefault="00B36B7E" w:rsidP="00777507">
            <w:pPr>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8F1A6A">
              <w:rPr>
                <w:rFonts w:ascii="Times New Roman" w:hAnsi="Times New Roman"/>
                <w:b w:val="0"/>
                <w:i/>
                <w:color w:val="auto"/>
                <w:sz w:val="16"/>
                <w:lang w:eastAsia="en-US"/>
              </w:rPr>
              <w:t>N</w:t>
            </w:r>
            <w:r w:rsidR="00311AB2">
              <w:rPr>
                <w:rFonts w:ascii="Times New Roman" w:hAnsi="Times New Roman"/>
                <w:b w:val="0"/>
                <w:i/>
                <w:color w:val="auto"/>
                <w:sz w:val="16"/>
                <w:lang w:eastAsia="en-US"/>
              </w:rPr>
              <w:t>iñas de</w:t>
            </w:r>
            <w:r w:rsidRPr="008F1A6A">
              <w:rPr>
                <w:rFonts w:ascii="Times New Roman" w:hAnsi="Times New Roman"/>
                <w:b w:val="0"/>
                <w:i/>
                <w:color w:val="auto"/>
                <w:sz w:val="16"/>
                <w:lang w:eastAsia="en-US"/>
              </w:rPr>
              <w:t xml:space="preserve"> 0</w:t>
            </w:r>
            <w:r w:rsidR="00311AB2">
              <w:rPr>
                <w:rFonts w:ascii="Times New Roman" w:hAnsi="Times New Roman"/>
                <w:b w:val="0"/>
                <w:i/>
                <w:color w:val="auto"/>
                <w:sz w:val="16"/>
                <w:lang w:eastAsia="en-US"/>
              </w:rPr>
              <w:t> a</w:t>
            </w:r>
            <w:r w:rsidRPr="008F1A6A">
              <w:rPr>
                <w:rFonts w:ascii="Times New Roman" w:hAnsi="Times New Roman"/>
                <w:b w:val="0"/>
                <w:i/>
                <w:color w:val="auto"/>
                <w:sz w:val="16"/>
                <w:lang w:eastAsia="en-US"/>
              </w:rPr>
              <w:t xml:space="preserve"> 11</w:t>
            </w:r>
          </w:p>
        </w:tc>
        <w:tc>
          <w:tcPr>
            <w:tcW w:w="835" w:type="dxa"/>
            <w:tcBorders>
              <w:top w:val="single" w:sz="4" w:space="0" w:color="auto"/>
              <w:bottom w:val="single" w:sz="12" w:space="0" w:color="auto"/>
            </w:tcBorders>
            <w:shd w:val="clear" w:color="auto" w:fill="auto"/>
            <w:vAlign w:val="bottom"/>
            <w:hideMark/>
          </w:tcPr>
          <w:p w14:paraId="6F78AC17" w14:textId="77777777" w:rsidR="00B36B7E" w:rsidRPr="008F1A6A" w:rsidRDefault="00311AB2" w:rsidP="00777507">
            <w:pPr>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8F1A6A">
              <w:rPr>
                <w:rFonts w:ascii="Times New Roman" w:hAnsi="Times New Roman"/>
                <w:b w:val="0"/>
                <w:i/>
                <w:color w:val="auto"/>
                <w:sz w:val="16"/>
                <w:lang w:eastAsia="en-US"/>
              </w:rPr>
              <w:t>N</w:t>
            </w:r>
            <w:r>
              <w:rPr>
                <w:rFonts w:ascii="Times New Roman" w:hAnsi="Times New Roman"/>
                <w:b w:val="0"/>
                <w:i/>
                <w:color w:val="auto"/>
                <w:sz w:val="16"/>
                <w:lang w:eastAsia="en-US"/>
              </w:rPr>
              <w:t>iños de</w:t>
            </w:r>
            <w:r w:rsidRPr="008F1A6A">
              <w:rPr>
                <w:rFonts w:ascii="Times New Roman" w:hAnsi="Times New Roman"/>
                <w:b w:val="0"/>
                <w:i/>
                <w:color w:val="auto"/>
                <w:sz w:val="16"/>
                <w:lang w:eastAsia="en-US"/>
              </w:rPr>
              <w:t xml:space="preserve"> 0</w:t>
            </w:r>
            <w:r>
              <w:rPr>
                <w:rFonts w:ascii="Times New Roman" w:hAnsi="Times New Roman"/>
                <w:b w:val="0"/>
                <w:i/>
                <w:color w:val="auto"/>
                <w:sz w:val="16"/>
                <w:lang w:eastAsia="en-US"/>
              </w:rPr>
              <w:t> a</w:t>
            </w:r>
            <w:r w:rsidRPr="008F1A6A">
              <w:rPr>
                <w:rFonts w:ascii="Times New Roman" w:hAnsi="Times New Roman"/>
                <w:b w:val="0"/>
                <w:i/>
                <w:color w:val="auto"/>
                <w:sz w:val="16"/>
                <w:lang w:eastAsia="en-US"/>
              </w:rPr>
              <w:t xml:space="preserve"> 11</w:t>
            </w:r>
          </w:p>
        </w:tc>
        <w:tc>
          <w:tcPr>
            <w:tcW w:w="1390" w:type="dxa"/>
            <w:tcBorders>
              <w:top w:val="single" w:sz="4" w:space="0" w:color="auto"/>
              <w:bottom w:val="single" w:sz="12" w:space="0" w:color="auto"/>
            </w:tcBorders>
            <w:shd w:val="clear" w:color="auto" w:fill="auto"/>
            <w:vAlign w:val="bottom"/>
            <w:hideMark/>
          </w:tcPr>
          <w:p w14:paraId="036EF2D5" w14:textId="77777777" w:rsidR="00B36B7E" w:rsidRPr="008F1A6A" w:rsidRDefault="00B36B7E" w:rsidP="00777507">
            <w:pPr>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8F1A6A">
              <w:rPr>
                <w:rFonts w:ascii="Times New Roman" w:hAnsi="Times New Roman"/>
                <w:b w:val="0"/>
                <w:i/>
                <w:color w:val="auto"/>
                <w:sz w:val="16"/>
                <w:lang w:eastAsia="en-US"/>
              </w:rPr>
              <w:t>A</w:t>
            </w:r>
            <w:r w:rsidR="00311AB2" w:rsidRPr="008F1A6A">
              <w:rPr>
                <w:rFonts w:ascii="Times New Roman" w:hAnsi="Times New Roman"/>
                <w:b w:val="0"/>
                <w:i/>
                <w:color w:val="auto"/>
                <w:sz w:val="16"/>
                <w:lang w:eastAsia="en-US"/>
              </w:rPr>
              <w:t xml:space="preserve">dolescentes </w:t>
            </w:r>
            <w:r w:rsidR="00311AB2">
              <w:rPr>
                <w:rFonts w:ascii="Times New Roman" w:hAnsi="Times New Roman"/>
                <w:b w:val="0"/>
                <w:i/>
                <w:color w:val="auto"/>
                <w:sz w:val="16"/>
                <w:lang w:eastAsia="en-US"/>
              </w:rPr>
              <w:br/>
            </w:r>
            <w:r w:rsidR="00311AB2" w:rsidRPr="008F1A6A">
              <w:rPr>
                <w:rFonts w:ascii="Times New Roman" w:hAnsi="Times New Roman"/>
                <w:b w:val="0"/>
                <w:i/>
                <w:color w:val="auto"/>
                <w:sz w:val="16"/>
                <w:lang w:eastAsia="en-US"/>
              </w:rPr>
              <w:t>mujeres de</w:t>
            </w:r>
            <w:r w:rsidR="00311AB2">
              <w:rPr>
                <w:rFonts w:ascii="Times New Roman" w:hAnsi="Times New Roman"/>
                <w:b w:val="0"/>
                <w:i/>
                <w:color w:val="auto"/>
                <w:sz w:val="16"/>
                <w:lang w:eastAsia="en-US"/>
              </w:rPr>
              <w:t> </w:t>
            </w:r>
            <w:r w:rsidRPr="008F1A6A">
              <w:rPr>
                <w:rFonts w:ascii="Times New Roman" w:hAnsi="Times New Roman"/>
                <w:b w:val="0"/>
                <w:i/>
                <w:color w:val="auto"/>
                <w:sz w:val="16"/>
                <w:lang w:eastAsia="en-US"/>
              </w:rPr>
              <w:t xml:space="preserve">12 </w:t>
            </w:r>
            <w:r w:rsidR="00311AB2">
              <w:rPr>
                <w:rFonts w:ascii="Times New Roman" w:hAnsi="Times New Roman"/>
                <w:b w:val="0"/>
                <w:i/>
                <w:color w:val="auto"/>
                <w:sz w:val="16"/>
                <w:lang w:eastAsia="en-US"/>
              </w:rPr>
              <w:t xml:space="preserve">a </w:t>
            </w:r>
            <w:r w:rsidRPr="008F1A6A">
              <w:rPr>
                <w:rFonts w:ascii="Times New Roman" w:hAnsi="Times New Roman"/>
                <w:b w:val="0"/>
                <w:i/>
                <w:color w:val="auto"/>
                <w:sz w:val="16"/>
                <w:lang w:eastAsia="en-US"/>
              </w:rPr>
              <w:t>17</w:t>
            </w:r>
          </w:p>
        </w:tc>
        <w:tc>
          <w:tcPr>
            <w:tcW w:w="1406" w:type="dxa"/>
            <w:tcBorders>
              <w:top w:val="single" w:sz="4" w:space="0" w:color="auto"/>
              <w:bottom w:val="single" w:sz="12" w:space="0" w:color="auto"/>
            </w:tcBorders>
            <w:shd w:val="clear" w:color="auto" w:fill="auto"/>
            <w:vAlign w:val="bottom"/>
            <w:hideMark/>
          </w:tcPr>
          <w:p w14:paraId="52668E40" w14:textId="77777777" w:rsidR="00B36B7E" w:rsidRPr="008F1A6A" w:rsidRDefault="00B36B7E" w:rsidP="00777507">
            <w:pPr>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8F1A6A">
              <w:rPr>
                <w:rFonts w:ascii="Times New Roman" w:hAnsi="Times New Roman"/>
                <w:b w:val="0"/>
                <w:i/>
                <w:color w:val="auto"/>
                <w:sz w:val="16"/>
                <w:lang w:eastAsia="en-US"/>
              </w:rPr>
              <w:t>A</w:t>
            </w:r>
            <w:r w:rsidR="00311AB2" w:rsidRPr="008F1A6A">
              <w:rPr>
                <w:rFonts w:ascii="Times New Roman" w:hAnsi="Times New Roman"/>
                <w:b w:val="0"/>
                <w:i/>
                <w:color w:val="auto"/>
                <w:sz w:val="16"/>
                <w:lang w:eastAsia="en-US"/>
              </w:rPr>
              <w:t xml:space="preserve">dolescentes </w:t>
            </w:r>
            <w:r w:rsidR="00311AB2">
              <w:rPr>
                <w:rFonts w:ascii="Times New Roman" w:hAnsi="Times New Roman"/>
                <w:b w:val="0"/>
                <w:i/>
                <w:color w:val="auto"/>
                <w:sz w:val="16"/>
                <w:lang w:eastAsia="en-US"/>
              </w:rPr>
              <w:br/>
            </w:r>
            <w:r w:rsidR="00311AB2" w:rsidRPr="008F1A6A">
              <w:rPr>
                <w:rFonts w:ascii="Times New Roman" w:hAnsi="Times New Roman"/>
                <w:b w:val="0"/>
                <w:i/>
                <w:color w:val="auto"/>
                <w:sz w:val="16"/>
                <w:lang w:eastAsia="en-US"/>
              </w:rPr>
              <w:t>varones de</w:t>
            </w:r>
            <w:r w:rsidR="00311AB2">
              <w:rPr>
                <w:rFonts w:ascii="Times New Roman" w:hAnsi="Times New Roman"/>
                <w:b w:val="0"/>
                <w:i/>
                <w:color w:val="auto"/>
                <w:sz w:val="16"/>
                <w:lang w:eastAsia="en-US"/>
              </w:rPr>
              <w:t> </w:t>
            </w:r>
            <w:r w:rsidRPr="008F1A6A">
              <w:rPr>
                <w:rFonts w:ascii="Times New Roman" w:hAnsi="Times New Roman"/>
                <w:b w:val="0"/>
                <w:i/>
                <w:color w:val="auto"/>
                <w:sz w:val="16"/>
                <w:lang w:eastAsia="en-US"/>
              </w:rPr>
              <w:t>12</w:t>
            </w:r>
            <w:r w:rsidR="00311AB2">
              <w:rPr>
                <w:rFonts w:ascii="Times New Roman" w:hAnsi="Times New Roman"/>
                <w:b w:val="0"/>
                <w:i/>
                <w:color w:val="auto"/>
                <w:sz w:val="16"/>
                <w:lang w:eastAsia="en-US"/>
              </w:rPr>
              <w:t xml:space="preserve"> a </w:t>
            </w:r>
            <w:r w:rsidRPr="008F1A6A">
              <w:rPr>
                <w:rFonts w:ascii="Times New Roman" w:hAnsi="Times New Roman"/>
                <w:b w:val="0"/>
                <w:i/>
                <w:color w:val="auto"/>
                <w:sz w:val="16"/>
                <w:lang w:eastAsia="en-US"/>
              </w:rPr>
              <w:t>17</w:t>
            </w:r>
          </w:p>
        </w:tc>
        <w:tc>
          <w:tcPr>
            <w:tcW w:w="818" w:type="dxa"/>
            <w:tcBorders>
              <w:top w:val="single" w:sz="4" w:space="0" w:color="auto"/>
              <w:bottom w:val="single" w:sz="12" w:space="0" w:color="auto"/>
            </w:tcBorders>
            <w:shd w:val="clear" w:color="auto" w:fill="auto"/>
            <w:vAlign w:val="bottom"/>
            <w:hideMark/>
          </w:tcPr>
          <w:p w14:paraId="436C01EB" w14:textId="77777777" w:rsidR="00B36B7E" w:rsidRPr="008F1A6A" w:rsidRDefault="00B36B7E" w:rsidP="00777507">
            <w:pPr>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8F1A6A">
              <w:rPr>
                <w:rFonts w:ascii="Times New Roman" w:hAnsi="Times New Roman"/>
                <w:b w:val="0"/>
                <w:i/>
                <w:color w:val="auto"/>
                <w:sz w:val="16"/>
                <w:lang w:eastAsia="en-US"/>
              </w:rPr>
              <w:t>T</w:t>
            </w:r>
            <w:r w:rsidR="00311AB2">
              <w:rPr>
                <w:rFonts w:ascii="Times New Roman" w:hAnsi="Times New Roman"/>
                <w:b w:val="0"/>
                <w:i/>
                <w:color w:val="auto"/>
                <w:sz w:val="16"/>
                <w:lang w:eastAsia="en-US"/>
              </w:rPr>
              <w:t>otal</w:t>
            </w:r>
          </w:p>
        </w:tc>
      </w:tr>
      <w:tr w:rsidR="008F1A6A" w:rsidRPr="008F1A6A" w14:paraId="18321BBB" w14:textId="77777777" w:rsidTr="00777507">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2086" w:type="dxa"/>
            <w:tcBorders>
              <w:top w:val="single" w:sz="12" w:space="0" w:color="auto"/>
            </w:tcBorders>
            <w:shd w:val="clear" w:color="auto" w:fill="auto"/>
          </w:tcPr>
          <w:p w14:paraId="0B108E7B" w14:textId="77777777" w:rsidR="008F1A6A" w:rsidRPr="008F1A6A" w:rsidRDefault="008F1A6A" w:rsidP="008F1A6A">
            <w:pPr>
              <w:spacing w:before="40" w:after="120"/>
              <w:ind w:right="113"/>
              <w:rPr>
                <w:rFonts w:ascii="Times New Roman" w:hAnsi="Times New Roman"/>
                <w:sz w:val="20"/>
                <w:lang w:eastAsia="en-US"/>
              </w:rPr>
            </w:pPr>
          </w:p>
        </w:tc>
        <w:tc>
          <w:tcPr>
            <w:tcW w:w="834" w:type="dxa"/>
            <w:tcBorders>
              <w:top w:val="single" w:sz="12" w:space="0" w:color="auto"/>
            </w:tcBorders>
            <w:shd w:val="clear" w:color="auto" w:fill="auto"/>
          </w:tcPr>
          <w:p w14:paraId="1536B910" w14:textId="77777777" w:rsidR="008F1A6A" w:rsidRPr="008F1A6A" w:rsidRDefault="008F1A6A" w:rsidP="008F1A6A">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p>
        </w:tc>
        <w:tc>
          <w:tcPr>
            <w:tcW w:w="835" w:type="dxa"/>
            <w:tcBorders>
              <w:top w:val="single" w:sz="12" w:space="0" w:color="auto"/>
            </w:tcBorders>
            <w:shd w:val="clear" w:color="auto" w:fill="auto"/>
          </w:tcPr>
          <w:p w14:paraId="6F664D03" w14:textId="77777777" w:rsidR="008F1A6A" w:rsidRPr="008F1A6A" w:rsidRDefault="008F1A6A" w:rsidP="008F1A6A">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p>
        </w:tc>
        <w:tc>
          <w:tcPr>
            <w:tcW w:w="1390" w:type="dxa"/>
            <w:tcBorders>
              <w:top w:val="single" w:sz="12" w:space="0" w:color="auto"/>
            </w:tcBorders>
            <w:shd w:val="clear" w:color="auto" w:fill="auto"/>
          </w:tcPr>
          <w:p w14:paraId="42A560C1" w14:textId="77777777" w:rsidR="008F1A6A" w:rsidRPr="008F1A6A" w:rsidRDefault="008F1A6A" w:rsidP="008F1A6A">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p>
        </w:tc>
        <w:tc>
          <w:tcPr>
            <w:tcW w:w="1406" w:type="dxa"/>
            <w:tcBorders>
              <w:top w:val="single" w:sz="12" w:space="0" w:color="auto"/>
            </w:tcBorders>
            <w:shd w:val="clear" w:color="auto" w:fill="auto"/>
          </w:tcPr>
          <w:p w14:paraId="5D7D9EE8" w14:textId="77777777" w:rsidR="008F1A6A" w:rsidRPr="008F1A6A" w:rsidRDefault="008F1A6A" w:rsidP="008F1A6A">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p>
        </w:tc>
        <w:tc>
          <w:tcPr>
            <w:tcW w:w="818" w:type="dxa"/>
            <w:tcBorders>
              <w:top w:val="single" w:sz="12" w:space="0" w:color="auto"/>
            </w:tcBorders>
            <w:shd w:val="clear" w:color="auto" w:fill="auto"/>
          </w:tcPr>
          <w:p w14:paraId="37461F78" w14:textId="77777777" w:rsidR="008F1A6A" w:rsidRPr="008F1A6A" w:rsidRDefault="008F1A6A" w:rsidP="008F1A6A">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p>
        </w:tc>
      </w:tr>
      <w:tr w:rsidR="008F1A6A" w:rsidRPr="0065273B" w14:paraId="30C82821" w14:textId="77777777" w:rsidTr="00777507">
        <w:tc>
          <w:tcPr>
            <w:cnfStyle w:val="001000000000" w:firstRow="0" w:lastRow="0" w:firstColumn="1" w:lastColumn="0" w:oddVBand="0" w:evenVBand="0" w:oddHBand="0" w:evenHBand="0" w:firstRowFirstColumn="0" w:firstRowLastColumn="0" w:lastRowFirstColumn="0" w:lastRowLastColumn="0"/>
            <w:tcW w:w="2086" w:type="dxa"/>
            <w:shd w:val="clear" w:color="auto" w:fill="auto"/>
            <w:hideMark/>
          </w:tcPr>
          <w:p w14:paraId="555EA64E" w14:textId="77777777" w:rsidR="00B36B7E" w:rsidRPr="00777507" w:rsidRDefault="00B36B7E" w:rsidP="008F1A6A">
            <w:pPr>
              <w:spacing w:before="40" w:after="120"/>
              <w:ind w:right="113"/>
              <w:rPr>
                <w:rFonts w:asciiTheme="majorBidi" w:hAnsiTheme="majorBidi" w:cstheme="majorBidi"/>
                <w:b w:val="0"/>
                <w:bCs w:val="0"/>
                <w:sz w:val="18"/>
                <w:szCs w:val="18"/>
                <w:lang w:eastAsia="en-US"/>
              </w:rPr>
            </w:pPr>
            <w:r w:rsidRPr="00777507">
              <w:rPr>
                <w:rFonts w:asciiTheme="majorBidi" w:hAnsiTheme="majorBidi" w:cstheme="majorBidi"/>
                <w:sz w:val="18"/>
                <w:szCs w:val="18"/>
                <w:lang w:eastAsia="en-US"/>
              </w:rPr>
              <w:t xml:space="preserve">Abuso Sexual </w:t>
            </w:r>
          </w:p>
        </w:tc>
        <w:tc>
          <w:tcPr>
            <w:tcW w:w="834" w:type="dxa"/>
            <w:shd w:val="clear" w:color="auto" w:fill="auto"/>
            <w:vAlign w:val="bottom"/>
            <w:hideMark/>
          </w:tcPr>
          <w:p w14:paraId="2B1EE238"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145</w:t>
            </w:r>
          </w:p>
        </w:tc>
        <w:tc>
          <w:tcPr>
            <w:tcW w:w="835" w:type="dxa"/>
            <w:shd w:val="clear" w:color="auto" w:fill="auto"/>
            <w:vAlign w:val="bottom"/>
            <w:hideMark/>
          </w:tcPr>
          <w:p w14:paraId="5AD936B0"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16</w:t>
            </w:r>
          </w:p>
        </w:tc>
        <w:tc>
          <w:tcPr>
            <w:tcW w:w="1390" w:type="dxa"/>
            <w:shd w:val="clear" w:color="auto" w:fill="auto"/>
            <w:vAlign w:val="bottom"/>
            <w:hideMark/>
          </w:tcPr>
          <w:p w14:paraId="5A13EE8E"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99</w:t>
            </w:r>
          </w:p>
        </w:tc>
        <w:tc>
          <w:tcPr>
            <w:tcW w:w="1406" w:type="dxa"/>
            <w:shd w:val="clear" w:color="auto" w:fill="auto"/>
            <w:vAlign w:val="bottom"/>
            <w:hideMark/>
          </w:tcPr>
          <w:p w14:paraId="49B397A6"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8</w:t>
            </w:r>
          </w:p>
        </w:tc>
        <w:tc>
          <w:tcPr>
            <w:tcW w:w="818" w:type="dxa"/>
            <w:shd w:val="clear" w:color="auto" w:fill="auto"/>
            <w:vAlign w:val="bottom"/>
            <w:hideMark/>
          </w:tcPr>
          <w:p w14:paraId="09CDA1E3"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268</w:t>
            </w:r>
          </w:p>
        </w:tc>
      </w:tr>
      <w:tr w:rsidR="008F1A6A" w:rsidRPr="0065273B" w14:paraId="024D1C6C" w14:textId="77777777" w:rsidTr="0077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shd w:val="clear" w:color="auto" w:fill="auto"/>
            <w:hideMark/>
          </w:tcPr>
          <w:p w14:paraId="09B84957" w14:textId="77777777" w:rsidR="00B36B7E" w:rsidRPr="00777507" w:rsidRDefault="00B36B7E" w:rsidP="008F1A6A">
            <w:pPr>
              <w:spacing w:before="40" w:after="120"/>
              <w:ind w:right="113"/>
              <w:rPr>
                <w:rFonts w:asciiTheme="majorBidi" w:hAnsiTheme="majorBidi" w:cstheme="majorBidi"/>
                <w:b w:val="0"/>
                <w:bCs w:val="0"/>
                <w:sz w:val="18"/>
                <w:szCs w:val="18"/>
                <w:lang w:eastAsia="en-US"/>
              </w:rPr>
            </w:pPr>
            <w:r w:rsidRPr="00777507">
              <w:rPr>
                <w:rFonts w:asciiTheme="majorBidi" w:hAnsiTheme="majorBidi" w:cstheme="majorBidi"/>
                <w:sz w:val="18"/>
                <w:szCs w:val="18"/>
                <w:lang w:eastAsia="en-US"/>
              </w:rPr>
              <w:t>Acoso Sexual</w:t>
            </w:r>
          </w:p>
        </w:tc>
        <w:tc>
          <w:tcPr>
            <w:tcW w:w="834" w:type="dxa"/>
            <w:shd w:val="clear" w:color="auto" w:fill="auto"/>
            <w:vAlign w:val="bottom"/>
            <w:hideMark/>
          </w:tcPr>
          <w:p w14:paraId="7DE24FCA"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5</w:t>
            </w:r>
          </w:p>
        </w:tc>
        <w:tc>
          <w:tcPr>
            <w:tcW w:w="835" w:type="dxa"/>
            <w:shd w:val="clear" w:color="auto" w:fill="auto"/>
            <w:vAlign w:val="bottom"/>
            <w:hideMark/>
          </w:tcPr>
          <w:p w14:paraId="6E1BF9A2"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0</w:t>
            </w:r>
          </w:p>
        </w:tc>
        <w:tc>
          <w:tcPr>
            <w:tcW w:w="1390" w:type="dxa"/>
            <w:shd w:val="clear" w:color="auto" w:fill="auto"/>
            <w:vAlign w:val="bottom"/>
            <w:hideMark/>
          </w:tcPr>
          <w:p w14:paraId="4244A26E"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18</w:t>
            </w:r>
          </w:p>
        </w:tc>
        <w:tc>
          <w:tcPr>
            <w:tcW w:w="1406" w:type="dxa"/>
            <w:shd w:val="clear" w:color="auto" w:fill="auto"/>
            <w:vAlign w:val="bottom"/>
            <w:hideMark/>
          </w:tcPr>
          <w:p w14:paraId="5E182310"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0</w:t>
            </w:r>
          </w:p>
        </w:tc>
        <w:tc>
          <w:tcPr>
            <w:tcW w:w="818" w:type="dxa"/>
            <w:shd w:val="clear" w:color="auto" w:fill="auto"/>
            <w:vAlign w:val="bottom"/>
            <w:hideMark/>
          </w:tcPr>
          <w:p w14:paraId="5F05F321"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23</w:t>
            </w:r>
          </w:p>
        </w:tc>
      </w:tr>
      <w:tr w:rsidR="008F1A6A" w:rsidRPr="0065273B" w14:paraId="2BCDC11C" w14:textId="77777777" w:rsidTr="00777507">
        <w:tc>
          <w:tcPr>
            <w:cnfStyle w:val="001000000000" w:firstRow="0" w:lastRow="0" w:firstColumn="1" w:lastColumn="0" w:oddVBand="0" w:evenVBand="0" w:oddHBand="0" w:evenHBand="0" w:firstRowFirstColumn="0" w:firstRowLastColumn="0" w:lastRowFirstColumn="0" w:lastRowLastColumn="0"/>
            <w:tcW w:w="2086" w:type="dxa"/>
            <w:shd w:val="clear" w:color="auto" w:fill="auto"/>
            <w:hideMark/>
          </w:tcPr>
          <w:p w14:paraId="63481022" w14:textId="77777777" w:rsidR="00B36B7E" w:rsidRPr="00777507" w:rsidRDefault="00B36B7E" w:rsidP="008F1A6A">
            <w:pPr>
              <w:spacing w:before="40" w:after="120"/>
              <w:ind w:right="113"/>
              <w:rPr>
                <w:rFonts w:asciiTheme="majorBidi" w:hAnsiTheme="majorBidi" w:cstheme="majorBidi"/>
                <w:b w:val="0"/>
                <w:bCs w:val="0"/>
                <w:sz w:val="18"/>
                <w:szCs w:val="18"/>
                <w:lang w:eastAsia="en-US"/>
              </w:rPr>
            </w:pPr>
            <w:r w:rsidRPr="00777507">
              <w:rPr>
                <w:rFonts w:asciiTheme="majorBidi" w:hAnsiTheme="majorBidi" w:cstheme="majorBidi"/>
                <w:sz w:val="18"/>
                <w:szCs w:val="18"/>
                <w:lang w:eastAsia="en-US"/>
              </w:rPr>
              <w:t>Estupro</w:t>
            </w:r>
          </w:p>
        </w:tc>
        <w:tc>
          <w:tcPr>
            <w:tcW w:w="834" w:type="dxa"/>
            <w:shd w:val="clear" w:color="auto" w:fill="auto"/>
            <w:vAlign w:val="bottom"/>
            <w:hideMark/>
          </w:tcPr>
          <w:p w14:paraId="5E9FCB55"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w:t>
            </w:r>
          </w:p>
        </w:tc>
        <w:tc>
          <w:tcPr>
            <w:tcW w:w="835" w:type="dxa"/>
            <w:shd w:val="clear" w:color="auto" w:fill="auto"/>
            <w:vAlign w:val="bottom"/>
            <w:hideMark/>
          </w:tcPr>
          <w:p w14:paraId="33486AB3"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0</w:t>
            </w:r>
          </w:p>
        </w:tc>
        <w:tc>
          <w:tcPr>
            <w:tcW w:w="1390" w:type="dxa"/>
            <w:shd w:val="clear" w:color="auto" w:fill="auto"/>
            <w:vAlign w:val="bottom"/>
            <w:hideMark/>
          </w:tcPr>
          <w:p w14:paraId="7C32214D"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187</w:t>
            </w:r>
          </w:p>
        </w:tc>
        <w:tc>
          <w:tcPr>
            <w:tcW w:w="1406" w:type="dxa"/>
            <w:shd w:val="clear" w:color="auto" w:fill="auto"/>
            <w:vAlign w:val="bottom"/>
            <w:hideMark/>
          </w:tcPr>
          <w:p w14:paraId="2A3483BB"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5</w:t>
            </w:r>
          </w:p>
        </w:tc>
        <w:tc>
          <w:tcPr>
            <w:tcW w:w="818" w:type="dxa"/>
            <w:shd w:val="clear" w:color="auto" w:fill="auto"/>
            <w:vAlign w:val="bottom"/>
            <w:hideMark/>
          </w:tcPr>
          <w:p w14:paraId="3BAE610B"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193</w:t>
            </w:r>
          </w:p>
        </w:tc>
      </w:tr>
      <w:tr w:rsidR="008F1A6A" w:rsidRPr="0065273B" w14:paraId="56943594" w14:textId="77777777" w:rsidTr="0077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shd w:val="clear" w:color="auto" w:fill="auto"/>
            <w:hideMark/>
          </w:tcPr>
          <w:p w14:paraId="0F76080C" w14:textId="77777777" w:rsidR="00B36B7E" w:rsidRPr="00777507" w:rsidRDefault="00B36B7E" w:rsidP="008F1A6A">
            <w:pPr>
              <w:spacing w:before="40" w:after="120"/>
              <w:ind w:right="113"/>
              <w:rPr>
                <w:rFonts w:asciiTheme="majorBidi" w:hAnsiTheme="majorBidi" w:cstheme="majorBidi"/>
                <w:b w:val="0"/>
                <w:bCs w:val="0"/>
                <w:sz w:val="18"/>
                <w:szCs w:val="18"/>
                <w:lang w:eastAsia="en-US"/>
              </w:rPr>
            </w:pPr>
            <w:r w:rsidRPr="00777507">
              <w:rPr>
                <w:rFonts w:asciiTheme="majorBidi" w:hAnsiTheme="majorBidi" w:cstheme="majorBidi"/>
                <w:sz w:val="18"/>
                <w:szCs w:val="18"/>
                <w:lang w:eastAsia="en-US"/>
              </w:rPr>
              <w:t xml:space="preserve">Violación de Infante, niña, niño o adolescente </w:t>
            </w:r>
          </w:p>
        </w:tc>
        <w:tc>
          <w:tcPr>
            <w:tcW w:w="834" w:type="dxa"/>
            <w:shd w:val="clear" w:color="auto" w:fill="auto"/>
            <w:vAlign w:val="bottom"/>
            <w:hideMark/>
          </w:tcPr>
          <w:p w14:paraId="3E1F62AA"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73</w:t>
            </w:r>
          </w:p>
        </w:tc>
        <w:tc>
          <w:tcPr>
            <w:tcW w:w="835" w:type="dxa"/>
            <w:shd w:val="clear" w:color="auto" w:fill="auto"/>
            <w:vAlign w:val="bottom"/>
            <w:hideMark/>
          </w:tcPr>
          <w:p w14:paraId="5518F756"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6</w:t>
            </w:r>
          </w:p>
        </w:tc>
        <w:tc>
          <w:tcPr>
            <w:tcW w:w="1390" w:type="dxa"/>
            <w:shd w:val="clear" w:color="auto" w:fill="auto"/>
            <w:vAlign w:val="bottom"/>
            <w:hideMark/>
          </w:tcPr>
          <w:p w14:paraId="39D58771"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151</w:t>
            </w:r>
          </w:p>
        </w:tc>
        <w:tc>
          <w:tcPr>
            <w:tcW w:w="1406" w:type="dxa"/>
            <w:shd w:val="clear" w:color="auto" w:fill="auto"/>
            <w:vAlign w:val="bottom"/>
            <w:hideMark/>
          </w:tcPr>
          <w:p w14:paraId="4FB9D4CA"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5</w:t>
            </w:r>
          </w:p>
        </w:tc>
        <w:tc>
          <w:tcPr>
            <w:tcW w:w="818" w:type="dxa"/>
            <w:shd w:val="clear" w:color="auto" w:fill="auto"/>
            <w:vAlign w:val="bottom"/>
            <w:hideMark/>
          </w:tcPr>
          <w:p w14:paraId="272521F3" w14:textId="77777777" w:rsidR="00B36B7E" w:rsidRPr="00777507" w:rsidRDefault="00B36B7E" w:rsidP="00777507">
            <w:pPr>
              <w:spacing w:before="40" w:after="12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235</w:t>
            </w:r>
          </w:p>
        </w:tc>
      </w:tr>
      <w:tr w:rsidR="00210112" w:rsidRPr="0065273B" w14:paraId="580D0A78" w14:textId="77777777" w:rsidTr="00311AB2">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shd w:val="clear" w:color="auto" w:fill="auto"/>
            <w:hideMark/>
          </w:tcPr>
          <w:p w14:paraId="0ED8417D" w14:textId="77777777" w:rsidR="00B36B7E" w:rsidRPr="00777507" w:rsidRDefault="00B36B7E" w:rsidP="008F1A6A">
            <w:pPr>
              <w:spacing w:before="40" w:after="120"/>
              <w:ind w:right="113"/>
              <w:rPr>
                <w:rFonts w:asciiTheme="majorBidi" w:hAnsiTheme="majorBidi" w:cstheme="majorBidi"/>
                <w:b w:val="0"/>
                <w:bCs w:val="0"/>
                <w:sz w:val="18"/>
                <w:szCs w:val="18"/>
                <w:lang w:eastAsia="en-US"/>
              </w:rPr>
            </w:pPr>
            <w:r w:rsidRPr="00777507">
              <w:rPr>
                <w:rFonts w:asciiTheme="majorBidi" w:hAnsiTheme="majorBidi" w:cstheme="majorBidi"/>
                <w:sz w:val="18"/>
                <w:szCs w:val="18"/>
                <w:lang w:eastAsia="en-US"/>
              </w:rPr>
              <w:t>Violación</w:t>
            </w:r>
          </w:p>
        </w:tc>
        <w:tc>
          <w:tcPr>
            <w:tcW w:w="834" w:type="dxa"/>
            <w:tcBorders>
              <w:bottom w:val="single" w:sz="4" w:space="0" w:color="auto"/>
            </w:tcBorders>
            <w:shd w:val="clear" w:color="auto" w:fill="auto"/>
            <w:vAlign w:val="bottom"/>
            <w:hideMark/>
          </w:tcPr>
          <w:p w14:paraId="19552045"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6</w:t>
            </w:r>
          </w:p>
        </w:tc>
        <w:tc>
          <w:tcPr>
            <w:tcW w:w="835" w:type="dxa"/>
            <w:tcBorders>
              <w:bottom w:val="single" w:sz="4" w:space="0" w:color="auto"/>
            </w:tcBorders>
            <w:shd w:val="clear" w:color="auto" w:fill="auto"/>
            <w:vAlign w:val="bottom"/>
            <w:hideMark/>
          </w:tcPr>
          <w:p w14:paraId="71C3B1F5"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w:t>
            </w:r>
          </w:p>
        </w:tc>
        <w:tc>
          <w:tcPr>
            <w:tcW w:w="1390" w:type="dxa"/>
            <w:tcBorders>
              <w:bottom w:val="single" w:sz="4" w:space="0" w:color="auto"/>
            </w:tcBorders>
            <w:shd w:val="clear" w:color="auto" w:fill="auto"/>
            <w:vAlign w:val="bottom"/>
            <w:hideMark/>
          </w:tcPr>
          <w:p w14:paraId="7B8EFB5D"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172</w:t>
            </w:r>
          </w:p>
        </w:tc>
        <w:tc>
          <w:tcPr>
            <w:tcW w:w="1406" w:type="dxa"/>
            <w:tcBorders>
              <w:bottom w:val="single" w:sz="4" w:space="0" w:color="auto"/>
            </w:tcBorders>
            <w:shd w:val="clear" w:color="auto" w:fill="auto"/>
            <w:vAlign w:val="bottom"/>
            <w:hideMark/>
          </w:tcPr>
          <w:p w14:paraId="374E0643"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w:t>
            </w:r>
          </w:p>
        </w:tc>
        <w:tc>
          <w:tcPr>
            <w:tcW w:w="818" w:type="dxa"/>
            <w:tcBorders>
              <w:bottom w:val="single" w:sz="4" w:space="0" w:color="auto"/>
            </w:tcBorders>
            <w:shd w:val="clear" w:color="auto" w:fill="auto"/>
            <w:vAlign w:val="bottom"/>
            <w:hideMark/>
          </w:tcPr>
          <w:p w14:paraId="47530C56" w14:textId="77777777" w:rsidR="00B36B7E" w:rsidRPr="00777507" w:rsidRDefault="00B36B7E" w:rsidP="00777507">
            <w:pPr>
              <w:spacing w:before="40" w:after="120"/>
              <w:ind w:right="11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eastAsia="en-US"/>
              </w:rPr>
            </w:pPr>
            <w:r w:rsidRPr="00777507">
              <w:rPr>
                <w:rFonts w:asciiTheme="majorBidi" w:hAnsiTheme="majorBidi" w:cstheme="majorBidi"/>
                <w:sz w:val="18"/>
                <w:szCs w:val="18"/>
                <w:lang w:eastAsia="en-US"/>
              </w:rPr>
              <w:t>180</w:t>
            </w:r>
          </w:p>
        </w:tc>
      </w:tr>
      <w:tr w:rsidR="0065273B" w:rsidRPr="0065273B" w14:paraId="584FFF1F" w14:textId="77777777" w:rsidTr="00311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bottom w:val="single" w:sz="12" w:space="0" w:color="auto"/>
            </w:tcBorders>
            <w:shd w:val="clear" w:color="auto" w:fill="auto"/>
            <w:hideMark/>
          </w:tcPr>
          <w:p w14:paraId="07578586" w14:textId="77777777" w:rsidR="00B36B7E" w:rsidRPr="00777507" w:rsidRDefault="00B36B7E" w:rsidP="008F1A6A">
            <w:pPr>
              <w:spacing w:before="80" w:after="80"/>
              <w:ind w:left="283"/>
              <w:rPr>
                <w:rFonts w:asciiTheme="majorBidi" w:hAnsiTheme="majorBidi" w:cstheme="majorBidi"/>
                <w:bCs w:val="0"/>
                <w:sz w:val="18"/>
                <w:szCs w:val="18"/>
                <w:lang w:eastAsia="en-US"/>
              </w:rPr>
            </w:pPr>
            <w:r w:rsidRPr="00777507">
              <w:rPr>
                <w:rFonts w:asciiTheme="majorBidi" w:hAnsiTheme="majorBidi" w:cstheme="majorBidi"/>
                <w:sz w:val="18"/>
                <w:szCs w:val="18"/>
                <w:lang w:eastAsia="en-US"/>
              </w:rPr>
              <w:t>Total</w:t>
            </w:r>
          </w:p>
        </w:tc>
        <w:tc>
          <w:tcPr>
            <w:tcW w:w="834" w:type="dxa"/>
            <w:tcBorders>
              <w:top w:val="single" w:sz="4" w:space="0" w:color="auto"/>
              <w:bottom w:val="single" w:sz="12" w:space="0" w:color="auto"/>
            </w:tcBorders>
            <w:shd w:val="clear" w:color="auto" w:fill="auto"/>
            <w:vAlign w:val="bottom"/>
            <w:hideMark/>
          </w:tcPr>
          <w:p w14:paraId="43AA16AF" w14:textId="77777777" w:rsidR="00B36B7E" w:rsidRPr="00777507" w:rsidRDefault="00B36B7E" w:rsidP="00777507">
            <w:pPr>
              <w:spacing w:before="80" w:after="8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lang w:eastAsia="en-US"/>
              </w:rPr>
            </w:pPr>
            <w:r w:rsidRPr="00777507">
              <w:rPr>
                <w:rFonts w:asciiTheme="majorBidi" w:hAnsiTheme="majorBidi" w:cstheme="majorBidi"/>
                <w:b/>
                <w:sz w:val="18"/>
                <w:szCs w:val="18"/>
                <w:lang w:eastAsia="en-US"/>
              </w:rPr>
              <w:t>230</w:t>
            </w:r>
          </w:p>
        </w:tc>
        <w:tc>
          <w:tcPr>
            <w:tcW w:w="835" w:type="dxa"/>
            <w:tcBorders>
              <w:top w:val="single" w:sz="4" w:space="0" w:color="auto"/>
              <w:bottom w:val="single" w:sz="12" w:space="0" w:color="auto"/>
            </w:tcBorders>
            <w:shd w:val="clear" w:color="auto" w:fill="auto"/>
            <w:vAlign w:val="bottom"/>
            <w:hideMark/>
          </w:tcPr>
          <w:p w14:paraId="6F350978" w14:textId="77777777" w:rsidR="00B36B7E" w:rsidRPr="00777507" w:rsidRDefault="00B36B7E" w:rsidP="00777507">
            <w:pPr>
              <w:spacing w:before="80" w:after="8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lang w:eastAsia="en-US"/>
              </w:rPr>
            </w:pPr>
            <w:r w:rsidRPr="00777507">
              <w:rPr>
                <w:rFonts w:asciiTheme="majorBidi" w:hAnsiTheme="majorBidi" w:cstheme="majorBidi"/>
                <w:b/>
                <w:sz w:val="18"/>
                <w:szCs w:val="18"/>
                <w:lang w:eastAsia="en-US"/>
              </w:rPr>
              <w:t>23</w:t>
            </w:r>
          </w:p>
        </w:tc>
        <w:tc>
          <w:tcPr>
            <w:tcW w:w="1390" w:type="dxa"/>
            <w:tcBorders>
              <w:top w:val="single" w:sz="4" w:space="0" w:color="auto"/>
              <w:bottom w:val="single" w:sz="12" w:space="0" w:color="auto"/>
            </w:tcBorders>
            <w:shd w:val="clear" w:color="auto" w:fill="auto"/>
            <w:vAlign w:val="bottom"/>
            <w:hideMark/>
          </w:tcPr>
          <w:p w14:paraId="60B92EE3" w14:textId="77777777" w:rsidR="00B36B7E" w:rsidRPr="00777507" w:rsidRDefault="00B36B7E" w:rsidP="00777507">
            <w:pPr>
              <w:spacing w:before="80" w:after="8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lang w:eastAsia="en-US"/>
              </w:rPr>
            </w:pPr>
            <w:r w:rsidRPr="00777507">
              <w:rPr>
                <w:rFonts w:asciiTheme="majorBidi" w:hAnsiTheme="majorBidi" w:cstheme="majorBidi"/>
                <w:b/>
                <w:sz w:val="18"/>
                <w:szCs w:val="18"/>
                <w:lang w:eastAsia="en-US"/>
              </w:rPr>
              <w:t>627</w:t>
            </w:r>
          </w:p>
        </w:tc>
        <w:tc>
          <w:tcPr>
            <w:tcW w:w="1406" w:type="dxa"/>
            <w:tcBorders>
              <w:top w:val="single" w:sz="4" w:space="0" w:color="auto"/>
              <w:bottom w:val="single" w:sz="12" w:space="0" w:color="auto"/>
            </w:tcBorders>
            <w:shd w:val="clear" w:color="auto" w:fill="auto"/>
            <w:vAlign w:val="bottom"/>
            <w:hideMark/>
          </w:tcPr>
          <w:p w14:paraId="3B48A2B1" w14:textId="77777777" w:rsidR="00B36B7E" w:rsidRPr="00777507" w:rsidRDefault="00B36B7E" w:rsidP="00777507">
            <w:pPr>
              <w:spacing w:before="80" w:after="8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lang w:eastAsia="en-US"/>
              </w:rPr>
            </w:pPr>
            <w:r w:rsidRPr="00777507">
              <w:rPr>
                <w:rFonts w:asciiTheme="majorBidi" w:hAnsiTheme="majorBidi" w:cstheme="majorBidi"/>
                <w:b/>
                <w:sz w:val="18"/>
                <w:szCs w:val="18"/>
                <w:lang w:eastAsia="en-US"/>
              </w:rPr>
              <w:t>19</w:t>
            </w:r>
          </w:p>
        </w:tc>
        <w:tc>
          <w:tcPr>
            <w:tcW w:w="818" w:type="dxa"/>
            <w:tcBorders>
              <w:top w:val="single" w:sz="4" w:space="0" w:color="auto"/>
              <w:bottom w:val="single" w:sz="12" w:space="0" w:color="auto"/>
            </w:tcBorders>
            <w:shd w:val="clear" w:color="auto" w:fill="auto"/>
            <w:vAlign w:val="bottom"/>
            <w:hideMark/>
          </w:tcPr>
          <w:p w14:paraId="6C962D2D" w14:textId="77777777" w:rsidR="00B36B7E" w:rsidRPr="00777507" w:rsidRDefault="00B36B7E" w:rsidP="00777507">
            <w:pPr>
              <w:spacing w:before="80" w:after="8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lang w:eastAsia="en-US"/>
              </w:rPr>
            </w:pPr>
            <w:r w:rsidRPr="00777507">
              <w:rPr>
                <w:rFonts w:asciiTheme="majorBidi" w:hAnsiTheme="majorBidi" w:cstheme="majorBidi"/>
                <w:b/>
                <w:sz w:val="18"/>
                <w:szCs w:val="18"/>
                <w:lang w:eastAsia="en-US"/>
              </w:rPr>
              <w:t>899</w:t>
            </w:r>
          </w:p>
        </w:tc>
      </w:tr>
    </w:tbl>
    <w:p w14:paraId="0FFB3822" w14:textId="77777777" w:rsidR="00B36B7E" w:rsidRDefault="00B36B7E" w:rsidP="00777507">
      <w:pPr>
        <w:pStyle w:val="Textonotapie"/>
        <w:spacing w:before="120" w:after="240"/>
        <w:ind w:firstLine="170"/>
        <w:rPr>
          <w:lang w:val="es-BO" w:eastAsia="en-US"/>
        </w:rPr>
      </w:pPr>
      <w:r w:rsidRPr="00777507">
        <w:rPr>
          <w:i/>
          <w:lang w:val="es-BO" w:eastAsia="en-US"/>
        </w:rPr>
        <w:t>Fuente:</w:t>
      </w:r>
      <w:r w:rsidRPr="00B36B7E">
        <w:rPr>
          <w:lang w:val="es-BO" w:eastAsia="en-US"/>
        </w:rPr>
        <w:t xml:space="preserve"> FGE, </w:t>
      </w:r>
      <w:r w:rsidRPr="00777507">
        <w:rPr>
          <w:lang w:eastAsia="en-US"/>
        </w:rPr>
        <w:t>Información</w:t>
      </w:r>
      <w:r w:rsidRPr="00B36B7E">
        <w:rPr>
          <w:lang w:val="es-BO" w:eastAsia="en-US"/>
        </w:rPr>
        <w:t xml:space="preserve"> a enero de 2019.</w:t>
      </w:r>
    </w:p>
    <w:p w14:paraId="33A52B19" w14:textId="77777777" w:rsidR="00B36B7E" w:rsidRPr="00B36B7E" w:rsidRDefault="00EB253C" w:rsidP="000553C1">
      <w:pPr>
        <w:pStyle w:val="H23G"/>
        <w:rPr>
          <w:lang w:val="es-BO" w:eastAsia="en-US"/>
        </w:rPr>
      </w:pPr>
      <w:r>
        <w:rPr>
          <w:lang w:val="es-BO" w:eastAsia="en-US"/>
        </w:rPr>
        <w:tab/>
      </w:r>
      <w:r>
        <w:rPr>
          <w:lang w:val="es-BO" w:eastAsia="en-US"/>
        </w:rPr>
        <w:tab/>
      </w:r>
      <w:r w:rsidR="000553C1" w:rsidRPr="00B55F3D">
        <w:rPr>
          <w:lang w:val="es-BO" w:eastAsia="en-US"/>
        </w:rPr>
        <w:t>N</w:t>
      </w:r>
      <w:r w:rsidR="000553C1">
        <w:rPr>
          <w:lang w:val="es-BO" w:eastAsia="en-US"/>
        </w:rPr>
        <w:t>úmero de víctimas diferenciadas por departamento – Gestión 2018</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78"/>
        <w:gridCol w:w="986"/>
        <w:gridCol w:w="986"/>
        <w:gridCol w:w="1482"/>
        <w:gridCol w:w="1482"/>
        <w:gridCol w:w="956"/>
      </w:tblGrid>
      <w:tr w:rsidR="00210112" w:rsidRPr="00210112" w14:paraId="5EC7768B"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12" w:space="0" w:color="auto"/>
            </w:tcBorders>
            <w:shd w:val="clear" w:color="auto" w:fill="auto"/>
            <w:vAlign w:val="bottom"/>
            <w:hideMark/>
          </w:tcPr>
          <w:p w14:paraId="62732124" w14:textId="77777777" w:rsidR="00B36B7E" w:rsidRPr="00210112" w:rsidRDefault="00B36B7E" w:rsidP="00777507">
            <w:pPr>
              <w:spacing w:before="80" w:after="80" w:line="200" w:lineRule="exact"/>
              <w:rPr>
                <w:rFonts w:ascii="Times New Roman" w:hAnsi="Times New Roman"/>
                <w:b w:val="0"/>
                <w:i/>
                <w:color w:val="auto"/>
                <w:sz w:val="16"/>
                <w:lang w:eastAsia="en-US"/>
              </w:rPr>
            </w:pPr>
            <w:r w:rsidRPr="00210112">
              <w:rPr>
                <w:i/>
                <w:sz w:val="16"/>
                <w:lang w:eastAsia="en-US"/>
              </w:rPr>
              <w:t>D</w:t>
            </w:r>
            <w:r w:rsidR="00311AB2" w:rsidRPr="00210112">
              <w:rPr>
                <w:i/>
                <w:sz w:val="16"/>
                <w:lang w:eastAsia="en-US"/>
              </w:rPr>
              <w:t>epartamento</w:t>
            </w:r>
          </w:p>
        </w:tc>
        <w:tc>
          <w:tcPr>
            <w:tcW w:w="0" w:type="pct"/>
            <w:tcBorders>
              <w:top w:val="single" w:sz="4" w:space="0" w:color="auto"/>
              <w:bottom w:val="single" w:sz="12" w:space="0" w:color="auto"/>
            </w:tcBorders>
            <w:shd w:val="clear" w:color="auto" w:fill="auto"/>
            <w:vAlign w:val="bottom"/>
            <w:hideMark/>
          </w:tcPr>
          <w:p w14:paraId="75CB51B8" w14:textId="77777777" w:rsidR="00B36B7E" w:rsidRPr="00777507"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N</w:t>
            </w:r>
            <w:r w:rsidR="00311AB2" w:rsidRPr="00210112">
              <w:rPr>
                <w:i/>
                <w:sz w:val="16"/>
                <w:lang w:eastAsia="en-US"/>
              </w:rPr>
              <w:t xml:space="preserve">iñas de </w:t>
            </w:r>
            <w:r w:rsidRPr="00210112">
              <w:rPr>
                <w:i/>
                <w:sz w:val="16"/>
                <w:lang w:eastAsia="en-US"/>
              </w:rPr>
              <w:t xml:space="preserve">0 </w:t>
            </w:r>
            <w:r w:rsidR="00941377" w:rsidRPr="00210112">
              <w:rPr>
                <w:i/>
                <w:sz w:val="16"/>
                <w:lang w:eastAsia="en-US"/>
              </w:rPr>
              <w:t>a</w:t>
            </w:r>
            <w:r w:rsidRPr="00210112">
              <w:rPr>
                <w:i/>
                <w:sz w:val="16"/>
                <w:lang w:eastAsia="en-US"/>
              </w:rPr>
              <w:t xml:space="preserve"> 11</w:t>
            </w:r>
          </w:p>
        </w:tc>
        <w:tc>
          <w:tcPr>
            <w:tcW w:w="0" w:type="pct"/>
            <w:tcBorders>
              <w:top w:val="single" w:sz="4" w:space="0" w:color="auto"/>
              <w:bottom w:val="single" w:sz="12" w:space="0" w:color="auto"/>
            </w:tcBorders>
            <w:shd w:val="clear" w:color="auto" w:fill="auto"/>
            <w:vAlign w:val="bottom"/>
            <w:hideMark/>
          </w:tcPr>
          <w:p w14:paraId="140AF26A" w14:textId="77777777" w:rsidR="00B36B7E" w:rsidRPr="00777507"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N</w:t>
            </w:r>
            <w:r w:rsidR="00311AB2" w:rsidRPr="00210112">
              <w:rPr>
                <w:i/>
                <w:sz w:val="16"/>
                <w:lang w:eastAsia="en-US"/>
              </w:rPr>
              <w:t xml:space="preserve">iños de </w:t>
            </w:r>
            <w:r w:rsidRPr="00210112">
              <w:rPr>
                <w:i/>
                <w:sz w:val="16"/>
                <w:lang w:eastAsia="en-US"/>
              </w:rPr>
              <w:t xml:space="preserve">0 </w:t>
            </w:r>
            <w:r w:rsidR="00941377" w:rsidRPr="00210112">
              <w:rPr>
                <w:i/>
                <w:sz w:val="16"/>
                <w:lang w:eastAsia="en-US"/>
              </w:rPr>
              <w:t>a</w:t>
            </w:r>
            <w:r w:rsidRPr="00210112">
              <w:rPr>
                <w:i/>
                <w:sz w:val="16"/>
                <w:lang w:eastAsia="en-US"/>
              </w:rPr>
              <w:t xml:space="preserve"> 11</w:t>
            </w:r>
          </w:p>
        </w:tc>
        <w:tc>
          <w:tcPr>
            <w:tcW w:w="0" w:type="pct"/>
            <w:tcBorders>
              <w:top w:val="single" w:sz="4" w:space="0" w:color="auto"/>
              <w:bottom w:val="single" w:sz="12" w:space="0" w:color="auto"/>
            </w:tcBorders>
            <w:shd w:val="clear" w:color="auto" w:fill="auto"/>
            <w:vAlign w:val="bottom"/>
            <w:hideMark/>
          </w:tcPr>
          <w:p w14:paraId="030275A6" w14:textId="77777777" w:rsidR="00B36B7E" w:rsidRPr="00777507" w:rsidRDefault="00311AB2"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Adolescentes mujeres de</w:t>
            </w:r>
            <w:r w:rsidR="00B36B7E" w:rsidRPr="00210112">
              <w:rPr>
                <w:i/>
                <w:sz w:val="16"/>
                <w:lang w:eastAsia="en-US"/>
              </w:rPr>
              <w:t xml:space="preserve"> 12 </w:t>
            </w:r>
            <w:r w:rsidR="00941377" w:rsidRPr="00210112">
              <w:rPr>
                <w:i/>
                <w:sz w:val="16"/>
                <w:lang w:eastAsia="en-US"/>
              </w:rPr>
              <w:t xml:space="preserve">a </w:t>
            </w:r>
            <w:r w:rsidR="00B36B7E" w:rsidRPr="00210112">
              <w:rPr>
                <w:i/>
                <w:sz w:val="16"/>
                <w:lang w:eastAsia="en-US"/>
              </w:rPr>
              <w:t>17</w:t>
            </w:r>
          </w:p>
        </w:tc>
        <w:tc>
          <w:tcPr>
            <w:tcW w:w="0" w:type="pct"/>
            <w:tcBorders>
              <w:top w:val="single" w:sz="4" w:space="0" w:color="auto"/>
              <w:bottom w:val="single" w:sz="12" w:space="0" w:color="auto"/>
            </w:tcBorders>
            <w:shd w:val="clear" w:color="auto" w:fill="auto"/>
            <w:vAlign w:val="bottom"/>
            <w:hideMark/>
          </w:tcPr>
          <w:p w14:paraId="10680A12" w14:textId="77777777" w:rsidR="00B36B7E" w:rsidRPr="00777507" w:rsidRDefault="00311AB2"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Adolescentes varones de</w:t>
            </w:r>
            <w:r w:rsidR="00B36B7E" w:rsidRPr="00210112">
              <w:rPr>
                <w:i/>
                <w:sz w:val="16"/>
                <w:lang w:eastAsia="en-US"/>
              </w:rPr>
              <w:t xml:space="preserve"> 12</w:t>
            </w:r>
            <w:r w:rsidR="00941377" w:rsidRPr="00210112">
              <w:rPr>
                <w:i/>
                <w:sz w:val="16"/>
                <w:lang w:eastAsia="en-US"/>
              </w:rPr>
              <w:t xml:space="preserve"> a </w:t>
            </w:r>
            <w:r w:rsidR="00B36B7E" w:rsidRPr="00210112">
              <w:rPr>
                <w:i/>
                <w:sz w:val="16"/>
                <w:lang w:eastAsia="en-US"/>
              </w:rPr>
              <w:t>17</w:t>
            </w:r>
          </w:p>
        </w:tc>
        <w:tc>
          <w:tcPr>
            <w:tcW w:w="0" w:type="pct"/>
            <w:tcBorders>
              <w:top w:val="single" w:sz="4" w:space="0" w:color="auto"/>
              <w:bottom w:val="single" w:sz="12" w:space="0" w:color="auto"/>
            </w:tcBorders>
            <w:shd w:val="clear" w:color="auto" w:fill="auto"/>
            <w:vAlign w:val="bottom"/>
            <w:hideMark/>
          </w:tcPr>
          <w:p w14:paraId="025700D4" w14:textId="77777777" w:rsidR="00B36B7E" w:rsidRPr="00777507"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T</w:t>
            </w:r>
            <w:r w:rsidR="00311AB2" w:rsidRPr="00210112">
              <w:rPr>
                <w:i/>
                <w:sz w:val="16"/>
                <w:lang w:eastAsia="en-US"/>
              </w:rPr>
              <w:t>otal</w:t>
            </w:r>
          </w:p>
        </w:tc>
      </w:tr>
      <w:tr w:rsidR="00210112" w:rsidRPr="00210112" w14:paraId="4E897DE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auto"/>
          </w:tcPr>
          <w:p w14:paraId="251B8ED0" w14:textId="77777777" w:rsidR="008F1A6A" w:rsidRPr="00777507" w:rsidRDefault="008F1A6A" w:rsidP="00777507">
            <w:pPr>
              <w:spacing w:before="40" w:after="40" w:line="220" w:lineRule="exact"/>
              <w:rPr>
                <w:rFonts w:ascii="Times New Roman" w:hAnsi="Times New Roman"/>
                <w:b w:val="0"/>
                <w:sz w:val="18"/>
                <w:lang w:eastAsia="en-US"/>
              </w:rPr>
            </w:pPr>
          </w:p>
        </w:tc>
        <w:tc>
          <w:tcPr>
            <w:tcW w:w="0" w:type="pct"/>
            <w:tcBorders>
              <w:top w:val="single" w:sz="12" w:space="0" w:color="auto"/>
            </w:tcBorders>
            <w:shd w:val="clear" w:color="auto" w:fill="auto"/>
            <w:vAlign w:val="bottom"/>
          </w:tcPr>
          <w:p w14:paraId="2D4283A7"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pct"/>
            <w:tcBorders>
              <w:top w:val="single" w:sz="12" w:space="0" w:color="auto"/>
            </w:tcBorders>
            <w:shd w:val="clear" w:color="auto" w:fill="auto"/>
            <w:vAlign w:val="bottom"/>
          </w:tcPr>
          <w:p w14:paraId="6BC15915"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pct"/>
            <w:tcBorders>
              <w:top w:val="single" w:sz="12" w:space="0" w:color="auto"/>
            </w:tcBorders>
            <w:shd w:val="clear" w:color="auto" w:fill="auto"/>
            <w:vAlign w:val="bottom"/>
          </w:tcPr>
          <w:p w14:paraId="73837C67"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pct"/>
            <w:tcBorders>
              <w:top w:val="single" w:sz="12" w:space="0" w:color="auto"/>
            </w:tcBorders>
            <w:shd w:val="clear" w:color="auto" w:fill="auto"/>
            <w:vAlign w:val="bottom"/>
          </w:tcPr>
          <w:p w14:paraId="16486C56"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pct"/>
            <w:tcBorders>
              <w:top w:val="single" w:sz="12" w:space="0" w:color="auto"/>
            </w:tcBorders>
            <w:shd w:val="clear" w:color="auto" w:fill="auto"/>
            <w:vAlign w:val="bottom"/>
          </w:tcPr>
          <w:p w14:paraId="7370EEE3"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r>
      <w:tr w:rsidR="00210112" w:rsidRPr="00210112" w14:paraId="025D8E7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BAF5E63"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B</w:t>
            </w:r>
            <w:r w:rsidR="00941377" w:rsidRPr="00777507">
              <w:rPr>
                <w:sz w:val="18"/>
                <w:lang w:eastAsia="en-US"/>
              </w:rPr>
              <w:t>eni</w:t>
            </w:r>
          </w:p>
        </w:tc>
        <w:tc>
          <w:tcPr>
            <w:tcW w:w="0" w:type="pct"/>
            <w:shd w:val="clear" w:color="auto" w:fill="auto"/>
            <w:vAlign w:val="bottom"/>
            <w:hideMark/>
          </w:tcPr>
          <w:p w14:paraId="61C4A52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9</w:t>
            </w:r>
          </w:p>
        </w:tc>
        <w:tc>
          <w:tcPr>
            <w:tcW w:w="0" w:type="pct"/>
            <w:shd w:val="clear" w:color="auto" w:fill="auto"/>
            <w:vAlign w:val="bottom"/>
            <w:hideMark/>
          </w:tcPr>
          <w:p w14:paraId="5001857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65690E9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25</w:t>
            </w:r>
          </w:p>
        </w:tc>
        <w:tc>
          <w:tcPr>
            <w:tcW w:w="0" w:type="pct"/>
            <w:shd w:val="clear" w:color="auto" w:fill="auto"/>
            <w:vAlign w:val="bottom"/>
            <w:hideMark/>
          </w:tcPr>
          <w:p w14:paraId="0A61050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470ABF6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34</w:t>
            </w:r>
          </w:p>
        </w:tc>
      </w:tr>
      <w:tr w:rsidR="00210112" w:rsidRPr="00210112" w14:paraId="6ABD9400"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A2E251E"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C</w:t>
            </w:r>
            <w:r w:rsidR="00941377" w:rsidRPr="00777507">
              <w:rPr>
                <w:sz w:val="18"/>
                <w:lang w:eastAsia="en-US"/>
              </w:rPr>
              <w:t>huquisaca</w:t>
            </w:r>
          </w:p>
        </w:tc>
        <w:tc>
          <w:tcPr>
            <w:tcW w:w="0" w:type="pct"/>
            <w:shd w:val="clear" w:color="auto" w:fill="auto"/>
            <w:vAlign w:val="bottom"/>
            <w:hideMark/>
          </w:tcPr>
          <w:p w14:paraId="3752E63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w:t>
            </w:r>
          </w:p>
        </w:tc>
        <w:tc>
          <w:tcPr>
            <w:tcW w:w="0" w:type="pct"/>
            <w:shd w:val="clear" w:color="auto" w:fill="auto"/>
            <w:vAlign w:val="bottom"/>
            <w:hideMark/>
          </w:tcPr>
          <w:p w14:paraId="02568F3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4DC0220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15</w:t>
            </w:r>
          </w:p>
        </w:tc>
        <w:tc>
          <w:tcPr>
            <w:tcW w:w="0" w:type="pct"/>
            <w:shd w:val="clear" w:color="auto" w:fill="auto"/>
            <w:vAlign w:val="bottom"/>
            <w:hideMark/>
          </w:tcPr>
          <w:p w14:paraId="5EE5DDC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w:t>
            </w:r>
          </w:p>
        </w:tc>
        <w:tc>
          <w:tcPr>
            <w:tcW w:w="0" w:type="pct"/>
            <w:shd w:val="clear" w:color="auto" w:fill="auto"/>
            <w:vAlign w:val="bottom"/>
            <w:hideMark/>
          </w:tcPr>
          <w:p w14:paraId="337A027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17</w:t>
            </w:r>
          </w:p>
        </w:tc>
      </w:tr>
      <w:tr w:rsidR="00210112" w:rsidRPr="00210112" w14:paraId="7BFC66D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5E3BF1C"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C</w:t>
            </w:r>
            <w:r w:rsidR="00941377" w:rsidRPr="00777507">
              <w:rPr>
                <w:sz w:val="18"/>
                <w:lang w:eastAsia="en-US"/>
              </w:rPr>
              <w:t>ochabamba</w:t>
            </w:r>
          </w:p>
        </w:tc>
        <w:tc>
          <w:tcPr>
            <w:tcW w:w="0" w:type="pct"/>
            <w:shd w:val="clear" w:color="auto" w:fill="auto"/>
            <w:vAlign w:val="bottom"/>
            <w:hideMark/>
          </w:tcPr>
          <w:p w14:paraId="0D27595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15</w:t>
            </w:r>
          </w:p>
        </w:tc>
        <w:tc>
          <w:tcPr>
            <w:tcW w:w="0" w:type="pct"/>
            <w:shd w:val="clear" w:color="auto" w:fill="auto"/>
            <w:vAlign w:val="bottom"/>
            <w:hideMark/>
          </w:tcPr>
          <w:p w14:paraId="399BDD2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2B7F62D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45</w:t>
            </w:r>
          </w:p>
        </w:tc>
        <w:tc>
          <w:tcPr>
            <w:tcW w:w="0" w:type="pct"/>
            <w:shd w:val="clear" w:color="auto" w:fill="auto"/>
            <w:vAlign w:val="bottom"/>
            <w:hideMark/>
          </w:tcPr>
          <w:p w14:paraId="50FF340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3</w:t>
            </w:r>
          </w:p>
        </w:tc>
        <w:tc>
          <w:tcPr>
            <w:tcW w:w="0" w:type="pct"/>
            <w:shd w:val="clear" w:color="auto" w:fill="auto"/>
            <w:vAlign w:val="bottom"/>
            <w:hideMark/>
          </w:tcPr>
          <w:p w14:paraId="697D038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61</w:t>
            </w:r>
          </w:p>
        </w:tc>
      </w:tr>
      <w:tr w:rsidR="00210112" w:rsidRPr="00210112" w14:paraId="147B6B1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D0162E7"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L</w:t>
            </w:r>
            <w:r w:rsidR="00941377" w:rsidRPr="00777507">
              <w:rPr>
                <w:sz w:val="18"/>
                <w:lang w:eastAsia="en-US"/>
              </w:rPr>
              <w:t>a</w:t>
            </w:r>
            <w:r w:rsidRPr="00777507">
              <w:rPr>
                <w:sz w:val="18"/>
                <w:lang w:eastAsia="en-US"/>
              </w:rPr>
              <w:t xml:space="preserve"> P</w:t>
            </w:r>
            <w:r w:rsidR="00941377" w:rsidRPr="00777507">
              <w:rPr>
                <w:sz w:val="18"/>
                <w:lang w:eastAsia="en-US"/>
              </w:rPr>
              <w:t>az</w:t>
            </w:r>
          </w:p>
        </w:tc>
        <w:tc>
          <w:tcPr>
            <w:tcW w:w="0" w:type="pct"/>
            <w:shd w:val="clear" w:color="auto" w:fill="auto"/>
            <w:vAlign w:val="bottom"/>
            <w:hideMark/>
          </w:tcPr>
          <w:p w14:paraId="593BFEE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45</w:t>
            </w:r>
          </w:p>
        </w:tc>
        <w:tc>
          <w:tcPr>
            <w:tcW w:w="0" w:type="pct"/>
            <w:shd w:val="clear" w:color="auto" w:fill="auto"/>
            <w:vAlign w:val="bottom"/>
            <w:hideMark/>
          </w:tcPr>
          <w:p w14:paraId="6DADB1B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5</w:t>
            </w:r>
          </w:p>
        </w:tc>
        <w:tc>
          <w:tcPr>
            <w:tcW w:w="0" w:type="pct"/>
            <w:shd w:val="clear" w:color="auto" w:fill="auto"/>
            <w:vAlign w:val="bottom"/>
            <w:hideMark/>
          </w:tcPr>
          <w:p w14:paraId="3B887BB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157</w:t>
            </w:r>
          </w:p>
        </w:tc>
        <w:tc>
          <w:tcPr>
            <w:tcW w:w="0" w:type="pct"/>
            <w:shd w:val="clear" w:color="auto" w:fill="auto"/>
            <w:vAlign w:val="bottom"/>
            <w:hideMark/>
          </w:tcPr>
          <w:p w14:paraId="7E00315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3</w:t>
            </w:r>
          </w:p>
        </w:tc>
        <w:tc>
          <w:tcPr>
            <w:tcW w:w="0" w:type="pct"/>
            <w:shd w:val="clear" w:color="auto" w:fill="auto"/>
            <w:vAlign w:val="bottom"/>
            <w:hideMark/>
          </w:tcPr>
          <w:p w14:paraId="6872BAF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210</w:t>
            </w:r>
          </w:p>
        </w:tc>
      </w:tr>
      <w:tr w:rsidR="00210112" w:rsidRPr="00210112" w14:paraId="32D1DAFF"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DC78D78"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O</w:t>
            </w:r>
            <w:r w:rsidR="00941377" w:rsidRPr="00777507">
              <w:rPr>
                <w:sz w:val="18"/>
                <w:lang w:eastAsia="en-US"/>
              </w:rPr>
              <w:t>ruro</w:t>
            </w:r>
          </w:p>
        </w:tc>
        <w:tc>
          <w:tcPr>
            <w:tcW w:w="0" w:type="pct"/>
            <w:shd w:val="clear" w:color="auto" w:fill="auto"/>
            <w:vAlign w:val="bottom"/>
            <w:hideMark/>
          </w:tcPr>
          <w:p w14:paraId="4B8B1F1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3</w:t>
            </w:r>
          </w:p>
        </w:tc>
        <w:tc>
          <w:tcPr>
            <w:tcW w:w="0" w:type="pct"/>
            <w:shd w:val="clear" w:color="auto" w:fill="auto"/>
            <w:vAlign w:val="bottom"/>
            <w:hideMark/>
          </w:tcPr>
          <w:p w14:paraId="3333AD4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608BA8C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23</w:t>
            </w:r>
          </w:p>
        </w:tc>
        <w:tc>
          <w:tcPr>
            <w:tcW w:w="0" w:type="pct"/>
            <w:shd w:val="clear" w:color="auto" w:fill="auto"/>
            <w:vAlign w:val="bottom"/>
            <w:hideMark/>
          </w:tcPr>
          <w:p w14:paraId="68D5C8C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6C84843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26</w:t>
            </w:r>
          </w:p>
        </w:tc>
      </w:tr>
      <w:tr w:rsidR="00210112" w:rsidRPr="00210112" w14:paraId="4B0AA80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7CB4360"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P</w:t>
            </w:r>
            <w:r w:rsidR="00941377" w:rsidRPr="00777507">
              <w:rPr>
                <w:sz w:val="18"/>
                <w:lang w:eastAsia="en-US"/>
              </w:rPr>
              <w:t>ando</w:t>
            </w:r>
          </w:p>
        </w:tc>
        <w:tc>
          <w:tcPr>
            <w:tcW w:w="0" w:type="pct"/>
            <w:shd w:val="clear" w:color="auto" w:fill="auto"/>
            <w:vAlign w:val="bottom"/>
            <w:hideMark/>
          </w:tcPr>
          <w:p w14:paraId="0BE4927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13</w:t>
            </w:r>
          </w:p>
        </w:tc>
        <w:tc>
          <w:tcPr>
            <w:tcW w:w="0" w:type="pct"/>
            <w:shd w:val="clear" w:color="auto" w:fill="auto"/>
            <w:vAlign w:val="bottom"/>
            <w:hideMark/>
          </w:tcPr>
          <w:p w14:paraId="5AD2C75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63369A6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36</w:t>
            </w:r>
          </w:p>
        </w:tc>
        <w:tc>
          <w:tcPr>
            <w:tcW w:w="0" w:type="pct"/>
            <w:shd w:val="clear" w:color="auto" w:fill="auto"/>
            <w:vAlign w:val="bottom"/>
            <w:hideMark/>
          </w:tcPr>
          <w:p w14:paraId="40CEC2B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57113AD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46</w:t>
            </w:r>
          </w:p>
        </w:tc>
      </w:tr>
      <w:tr w:rsidR="00210112" w:rsidRPr="00210112" w14:paraId="3C4B66D0"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2DC627D"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P</w:t>
            </w:r>
            <w:r w:rsidR="00941377" w:rsidRPr="00777507">
              <w:rPr>
                <w:sz w:val="18"/>
                <w:lang w:eastAsia="en-US"/>
              </w:rPr>
              <w:t>otosí</w:t>
            </w:r>
          </w:p>
        </w:tc>
        <w:tc>
          <w:tcPr>
            <w:tcW w:w="0" w:type="pct"/>
            <w:shd w:val="clear" w:color="auto" w:fill="auto"/>
            <w:vAlign w:val="bottom"/>
            <w:hideMark/>
          </w:tcPr>
          <w:p w14:paraId="0BBB48B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6</w:t>
            </w:r>
          </w:p>
        </w:tc>
        <w:tc>
          <w:tcPr>
            <w:tcW w:w="0" w:type="pct"/>
            <w:shd w:val="clear" w:color="auto" w:fill="auto"/>
            <w:vAlign w:val="bottom"/>
            <w:hideMark/>
          </w:tcPr>
          <w:p w14:paraId="2AE1D00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33F668D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17</w:t>
            </w:r>
          </w:p>
        </w:tc>
        <w:tc>
          <w:tcPr>
            <w:tcW w:w="0" w:type="pct"/>
            <w:shd w:val="clear" w:color="auto" w:fill="auto"/>
            <w:vAlign w:val="bottom"/>
            <w:hideMark/>
          </w:tcPr>
          <w:p w14:paraId="0F2016A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1</w:t>
            </w:r>
          </w:p>
        </w:tc>
        <w:tc>
          <w:tcPr>
            <w:tcW w:w="0" w:type="pct"/>
            <w:shd w:val="clear" w:color="auto" w:fill="auto"/>
            <w:vAlign w:val="bottom"/>
            <w:hideMark/>
          </w:tcPr>
          <w:p w14:paraId="5D12FB9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24</w:t>
            </w:r>
          </w:p>
        </w:tc>
      </w:tr>
      <w:tr w:rsidR="00210112" w:rsidRPr="00210112" w14:paraId="4000B0A9"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3B41CEB"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S</w:t>
            </w:r>
            <w:r w:rsidR="00941377" w:rsidRPr="00777507">
              <w:rPr>
                <w:sz w:val="18"/>
                <w:lang w:eastAsia="en-US"/>
              </w:rPr>
              <w:t>anta Cruz</w:t>
            </w:r>
          </w:p>
        </w:tc>
        <w:tc>
          <w:tcPr>
            <w:tcW w:w="0" w:type="pct"/>
            <w:shd w:val="clear" w:color="auto" w:fill="auto"/>
            <w:vAlign w:val="bottom"/>
            <w:hideMark/>
          </w:tcPr>
          <w:p w14:paraId="1FC637A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133</w:t>
            </w:r>
          </w:p>
        </w:tc>
        <w:tc>
          <w:tcPr>
            <w:tcW w:w="0" w:type="pct"/>
            <w:shd w:val="clear" w:color="auto" w:fill="auto"/>
            <w:vAlign w:val="bottom"/>
            <w:hideMark/>
          </w:tcPr>
          <w:p w14:paraId="12525BD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17</w:t>
            </w:r>
          </w:p>
        </w:tc>
        <w:tc>
          <w:tcPr>
            <w:tcW w:w="0" w:type="pct"/>
            <w:shd w:val="clear" w:color="auto" w:fill="auto"/>
            <w:vAlign w:val="bottom"/>
            <w:hideMark/>
          </w:tcPr>
          <w:p w14:paraId="7C9ADE5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297</w:t>
            </w:r>
          </w:p>
        </w:tc>
        <w:tc>
          <w:tcPr>
            <w:tcW w:w="0" w:type="pct"/>
            <w:shd w:val="clear" w:color="auto" w:fill="auto"/>
            <w:vAlign w:val="bottom"/>
            <w:hideMark/>
          </w:tcPr>
          <w:p w14:paraId="5C516EA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11</w:t>
            </w:r>
          </w:p>
        </w:tc>
        <w:tc>
          <w:tcPr>
            <w:tcW w:w="0" w:type="pct"/>
            <w:shd w:val="clear" w:color="auto" w:fill="auto"/>
            <w:vAlign w:val="bottom"/>
            <w:hideMark/>
          </w:tcPr>
          <w:p w14:paraId="3B0EC0A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458</w:t>
            </w:r>
          </w:p>
        </w:tc>
      </w:tr>
      <w:tr w:rsidR="00210112" w:rsidRPr="00210112" w14:paraId="20527B5E"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5862ADE"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T</w:t>
            </w:r>
            <w:r w:rsidR="00941377" w:rsidRPr="00777507">
              <w:rPr>
                <w:sz w:val="18"/>
                <w:lang w:eastAsia="en-US"/>
              </w:rPr>
              <w:t>arija</w:t>
            </w:r>
          </w:p>
        </w:tc>
        <w:tc>
          <w:tcPr>
            <w:tcW w:w="0" w:type="pct"/>
            <w:shd w:val="clear" w:color="auto" w:fill="auto"/>
            <w:vAlign w:val="bottom"/>
            <w:hideMark/>
          </w:tcPr>
          <w:p w14:paraId="372780E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5</w:t>
            </w:r>
          </w:p>
        </w:tc>
        <w:tc>
          <w:tcPr>
            <w:tcW w:w="0" w:type="pct"/>
            <w:shd w:val="clear" w:color="auto" w:fill="auto"/>
            <w:vAlign w:val="bottom"/>
            <w:hideMark/>
          </w:tcPr>
          <w:p w14:paraId="018A151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1</w:t>
            </w:r>
          </w:p>
        </w:tc>
        <w:tc>
          <w:tcPr>
            <w:tcW w:w="0" w:type="pct"/>
            <w:shd w:val="clear" w:color="auto" w:fill="auto"/>
            <w:vAlign w:val="bottom"/>
            <w:hideMark/>
          </w:tcPr>
          <w:p w14:paraId="2957B2A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14</w:t>
            </w:r>
          </w:p>
        </w:tc>
        <w:tc>
          <w:tcPr>
            <w:tcW w:w="0" w:type="pct"/>
            <w:shd w:val="clear" w:color="auto" w:fill="auto"/>
            <w:vAlign w:val="bottom"/>
            <w:hideMark/>
          </w:tcPr>
          <w:p w14:paraId="246E6DD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pct"/>
            <w:shd w:val="clear" w:color="auto" w:fill="auto"/>
            <w:vAlign w:val="bottom"/>
            <w:hideMark/>
          </w:tcPr>
          <w:p w14:paraId="3B78B20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20</w:t>
            </w:r>
          </w:p>
        </w:tc>
      </w:tr>
      <w:tr w:rsidR="00210112" w:rsidRPr="00210112" w14:paraId="1200B4E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7538597" w14:textId="77777777" w:rsidR="00B36B7E" w:rsidRPr="00777507" w:rsidRDefault="00B36B7E" w:rsidP="00777507">
            <w:pPr>
              <w:spacing w:before="40" w:after="40" w:line="220" w:lineRule="exact"/>
              <w:rPr>
                <w:rFonts w:ascii="Times New Roman" w:hAnsi="Times New Roman"/>
                <w:b w:val="0"/>
                <w:bCs w:val="0"/>
                <w:sz w:val="18"/>
                <w:lang w:eastAsia="en-US"/>
              </w:rPr>
            </w:pPr>
            <w:r w:rsidRPr="00777507">
              <w:rPr>
                <w:sz w:val="18"/>
                <w:lang w:eastAsia="en-US"/>
              </w:rPr>
              <w:t>T</w:t>
            </w:r>
            <w:r w:rsidR="00941377" w:rsidRPr="00777507">
              <w:rPr>
                <w:sz w:val="18"/>
                <w:lang w:eastAsia="en-US"/>
              </w:rPr>
              <w:t>otal</w:t>
            </w:r>
          </w:p>
        </w:tc>
        <w:tc>
          <w:tcPr>
            <w:tcW w:w="0" w:type="pct"/>
            <w:shd w:val="clear" w:color="auto" w:fill="auto"/>
            <w:vAlign w:val="bottom"/>
            <w:hideMark/>
          </w:tcPr>
          <w:p w14:paraId="7A38AD6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230</w:t>
            </w:r>
          </w:p>
        </w:tc>
        <w:tc>
          <w:tcPr>
            <w:tcW w:w="0" w:type="pct"/>
            <w:shd w:val="clear" w:color="auto" w:fill="auto"/>
            <w:vAlign w:val="bottom"/>
            <w:hideMark/>
          </w:tcPr>
          <w:p w14:paraId="6B61F19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23</w:t>
            </w:r>
          </w:p>
        </w:tc>
        <w:tc>
          <w:tcPr>
            <w:tcW w:w="0" w:type="pct"/>
            <w:shd w:val="clear" w:color="auto" w:fill="auto"/>
            <w:vAlign w:val="bottom"/>
            <w:hideMark/>
          </w:tcPr>
          <w:p w14:paraId="277DC9F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627</w:t>
            </w:r>
          </w:p>
        </w:tc>
        <w:tc>
          <w:tcPr>
            <w:tcW w:w="0" w:type="pct"/>
            <w:shd w:val="clear" w:color="auto" w:fill="auto"/>
            <w:vAlign w:val="bottom"/>
            <w:hideMark/>
          </w:tcPr>
          <w:p w14:paraId="1FB973F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19</w:t>
            </w:r>
          </w:p>
        </w:tc>
        <w:tc>
          <w:tcPr>
            <w:tcW w:w="0" w:type="pct"/>
            <w:shd w:val="clear" w:color="auto" w:fill="auto"/>
            <w:vAlign w:val="bottom"/>
            <w:hideMark/>
          </w:tcPr>
          <w:p w14:paraId="28A30B9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777507">
              <w:rPr>
                <w:sz w:val="18"/>
                <w:lang w:eastAsia="en-US"/>
              </w:rPr>
              <w:t>899</w:t>
            </w:r>
          </w:p>
        </w:tc>
      </w:tr>
    </w:tbl>
    <w:p w14:paraId="40284D2B" w14:textId="77777777" w:rsidR="00B36B7E" w:rsidRDefault="00B36B7E" w:rsidP="00777507">
      <w:pPr>
        <w:pStyle w:val="Textonotapie"/>
        <w:spacing w:before="120" w:after="240"/>
        <w:ind w:firstLine="170"/>
        <w:rPr>
          <w:lang w:val="es-BO" w:eastAsia="en-US"/>
        </w:rPr>
      </w:pPr>
      <w:r w:rsidRPr="00777507">
        <w:rPr>
          <w:i/>
          <w:lang w:val="es-BO" w:eastAsia="en-US"/>
        </w:rPr>
        <w:t>Fuente:</w:t>
      </w:r>
      <w:r w:rsidRPr="00B36B7E">
        <w:rPr>
          <w:lang w:val="es-BO" w:eastAsia="en-US"/>
        </w:rPr>
        <w:t xml:space="preserve"> FGE, </w:t>
      </w:r>
      <w:r w:rsidRPr="00777507">
        <w:rPr>
          <w:lang w:eastAsia="en-US"/>
        </w:rPr>
        <w:t>Información</w:t>
      </w:r>
      <w:r w:rsidRPr="00B36B7E">
        <w:rPr>
          <w:lang w:val="es-BO" w:eastAsia="en-US"/>
        </w:rPr>
        <w:t xml:space="preserve"> a enero de 2019</w:t>
      </w:r>
      <w:r w:rsidR="000A478C">
        <w:rPr>
          <w:lang w:val="es-BO" w:eastAsia="en-US"/>
        </w:rPr>
        <w:t>.</w:t>
      </w:r>
    </w:p>
    <w:p w14:paraId="65254941" w14:textId="77777777" w:rsidR="00B36B7E" w:rsidRPr="00B36B7E" w:rsidRDefault="00DC4138" w:rsidP="00DC4138">
      <w:pPr>
        <w:pStyle w:val="H23G"/>
        <w:rPr>
          <w:lang w:val="es-BO" w:eastAsia="en-US"/>
        </w:rPr>
      </w:pPr>
      <w:r>
        <w:rPr>
          <w:lang w:val="es-BO" w:eastAsia="en-US"/>
        </w:rPr>
        <w:tab/>
      </w:r>
      <w:r>
        <w:rPr>
          <w:lang w:val="es-BO" w:eastAsia="en-US"/>
        </w:rPr>
        <w:tab/>
      </w:r>
      <w:r w:rsidR="00B36B7E" w:rsidRPr="00B36B7E">
        <w:rPr>
          <w:lang w:val="es-BO" w:eastAsia="en-US"/>
        </w:rPr>
        <w:t>N</w:t>
      </w:r>
      <w:r w:rsidR="000553C1">
        <w:rPr>
          <w:lang w:val="es-BO" w:eastAsia="en-US"/>
        </w:rPr>
        <w:t xml:space="preserve">úmero de casos registrados por delito – Gestión </w:t>
      </w:r>
      <w:r w:rsidR="00B36B7E" w:rsidRPr="00B36B7E">
        <w:rPr>
          <w:lang w:val="es-BO" w:eastAsia="en-US"/>
        </w:rPr>
        <w:t>2018</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686"/>
        <w:gridCol w:w="2585"/>
        <w:gridCol w:w="2099"/>
      </w:tblGrid>
      <w:tr w:rsidR="00210112" w:rsidRPr="00210112" w14:paraId="344284A7"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12" w:space="0" w:color="auto"/>
            </w:tcBorders>
            <w:shd w:val="clear" w:color="auto" w:fill="auto"/>
            <w:vAlign w:val="bottom"/>
            <w:hideMark/>
          </w:tcPr>
          <w:p w14:paraId="62782C43" w14:textId="77777777" w:rsidR="00B36B7E" w:rsidRPr="00210112" w:rsidRDefault="00B36B7E" w:rsidP="00777507">
            <w:pPr>
              <w:spacing w:before="80" w:after="80" w:line="200" w:lineRule="exact"/>
              <w:rPr>
                <w:rFonts w:ascii="Times New Roman" w:hAnsi="Times New Roman"/>
                <w:b w:val="0"/>
                <w:i/>
                <w:color w:val="auto"/>
                <w:sz w:val="16"/>
                <w:lang w:eastAsia="en-US"/>
              </w:rPr>
            </w:pPr>
            <w:r w:rsidRPr="00210112">
              <w:rPr>
                <w:i/>
                <w:sz w:val="16"/>
                <w:lang w:eastAsia="en-US"/>
              </w:rPr>
              <w:t>D</w:t>
            </w:r>
            <w:r w:rsidR="00584263" w:rsidRPr="00210112">
              <w:rPr>
                <w:i/>
                <w:sz w:val="16"/>
                <w:lang w:eastAsia="en-US"/>
              </w:rPr>
              <w:t xml:space="preserve">epartamento </w:t>
            </w:r>
          </w:p>
        </w:tc>
        <w:tc>
          <w:tcPr>
            <w:tcW w:w="0" w:type="pct"/>
            <w:tcBorders>
              <w:top w:val="single" w:sz="4" w:space="0" w:color="auto"/>
              <w:bottom w:val="single" w:sz="12" w:space="0" w:color="auto"/>
            </w:tcBorders>
            <w:shd w:val="clear" w:color="auto" w:fill="auto"/>
            <w:vAlign w:val="bottom"/>
            <w:hideMark/>
          </w:tcPr>
          <w:p w14:paraId="3746E487" w14:textId="77777777" w:rsidR="00B36B7E" w:rsidRPr="00210112" w:rsidRDefault="00B36B7E" w:rsidP="00777507">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D</w:t>
            </w:r>
            <w:r w:rsidR="00584263" w:rsidRPr="00210112">
              <w:rPr>
                <w:i/>
                <w:sz w:val="16"/>
                <w:lang w:eastAsia="en-US"/>
              </w:rPr>
              <w:t xml:space="preserve">elito </w:t>
            </w:r>
          </w:p>
        </w:tc>
        <w:tc>
          <w:tcPr>
            <w:tcW w:w="0" w:type="pct"/>
            <w:tcBorders>
              <w:top w:val="single" w:sz="4" w:space="0" w:color="auto"/>
              <w:bottom w:val="single" w:sz="12" w:space="0" w:color="auto"/>
            </w:tcBorders>
            <w:shd w:val="clear" w:color="auto" w:fill="auto"/>
            <w:vAlign w:val="bottom"/>
            <w:hideMark/>
          </w:tcPr>
          <w:p w14:paraId="35B9CEE2" w14:textId="77777777" w:rsidR="00B36B7E" w:rsidRPr="00210112" w:rsidRDefault="00B36B7E" w:rsidP="00777507">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C</w:t>
            </w:r>
            <w:r w:rsidR="00584263" w:rsidRPr="00210112">
              <w:rPr>
                <w:i/>
                <w:sz w:val="16"/>
                <w:lang w:eastAsia="en-US"/>
              </w:rPr>
              <w:t>antidad de kardex</w:t>
            </w:r>
          </w:p>
        </w:tc>
      </w:tr>
      <w:tr w:rsidR="00210112" w:rsidRPr="00210112" w14:paraId="2A80B592"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auto"/>
          </w:tcPr>
          <w:p w14:paraId="76E7B842" w14:textId="77777777" w:rsidR="008F1A6A" w:rsidRPr="00777507" w:rsidRDefault="008F1A6A" w:rsidP="00777507">
            <w:pPr>
              <w:spacing w:before="40" w:after="120"/>
              <w:rPr>
                <w:rFonts w:ascii="Times New Roman" w:hAnsi="Times New Roman"/>
                <w:b w:val="0"/>
                <w:sz w:val="20"/>
                <w:lang w:eastAsia="en-US"/>
              </w:rPr>
            </w:pPr>
          </w:p>
        </w:tc>
        <w:tc>
          <w:tcPr>
            <w:tcW w:w="0" w:type="pct"/>
            <w:tcBorders>
              <w:top w:val="single" w:sz="12" w:space="0" w:color="auto"/>
            </w:tcBorders>
            <w:shd w:val="clear" w:color="auto" w:fill="auto"/>
          </w:tcPr>
          <w:p w14:paraId="3294A1A8" w14:textId="77777777" w:rsidR="008F1A6A" w:rsidRPr="00210112" w:rsidRDefault="008F1A6A"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p>
        </w:tc>
        <w:tc>
          <w:tcPr>
            <w:tcW w:w="0" w:type="pct"/>
            <w:tcBorders>
              <w:top w:val="single" w:sz="12" w:space="0" w:color="auto"/>
            </w:tcBorders>
            <w:shd w:val="clear" w:color="auto" w:fill="auto"/>
          </w:tcPr>
          <w:p w14:paraId="0B0A703E" w14:textId="77777777" w:rsidR="008F1A6A" w:rsidRPr="00210112" w:rsidRDefault="008F1A6A"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p>
        </w:tc>
      </w:tr>
      <w:tr w:rsidR="00210112" w:rsidRPr="00210112" w14:paraId="76D954F7"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6C25A9D"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B</w:t>
            </w:r>
            <w:r w:rsidR="00584263" w:rsidRPr="00210112">
              <w:rPr>
                <w:lang w:eastAsia="en-US"/>
              </w:rPr>
              <w:t>eni</w:t>
            </w:r>
          </w:p>
        </w:tc>
        <w:tc>
          <w:tcPr>
            <w:tcW w:w="0" w:type="pct"/>
            <w:shd w:val="clear" w:color="auto" w:fill="auto"/>
            <w:hideMark/>
          </w:tcPr>
          <w:p w14:paraId="091AF1D6"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Violación de infante niña o adolescente</w:t>
            </w:r>
          </w:p>
        </w:tc>
        <w:tc>
          <w:tcPr>
            <w:tcW w:w="0" w:type="pct"/>
            <w:shd w:val="clear" w:color="auto" w:fill="auto"/>
            <w:hideMark/>
          </w:tcPr>
          <w:p w14:paraId="69BC4614"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21</w:t>
            </w:r>
          </w:p>
        </w:tc>
      </w:tr>
      <w:tr w:rsidR="00210112" w:rsidRPr="00210112" w14:paraId="44B545E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A9D708F"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C</w:t>
            </w:r>
            <w:r w:rsidR="00584263" w:rsidRPr="00210112">
              <w:rPr>
                <w:lang w:eastAsia="en-US"/>
              </w:rPr>
              <w:t>huquisaca</w:t>
            </w:r>
          </w:p>
        </w:tc>
        <w:tc>
          <w:tcPr>
            <w:tcW w:w="0" w:type="pct"/>
            <w:shd w:val="clear" w:color="auto" w:fill="auto"/>
            <w:hideMark/>
          </w:tcPr>
          <w:p w14:paraId="54F3D5EB"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Corrupción de niña, niño o adolescente</w:t>
            </w:r>
          </w:p>
        </w:tc>
        <w:tc>
          <w:tcPr>
            <w:tcW w:w="0" w:type="pct"/>
            <w:shd w:val="clear" w:color="auto" w:fill="auto"/>
            <w:hideMark/>
          </w:tcPr>
          <w:p w14:paraId="29628C83"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6</w:t>
            </w:r>
          </w:p>
        </w:tc>
      </w:tr>
      <w:tr w:rsidR="00210112" w:rsidRPr="00210112" w14:paraId="144BF508"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94746E4"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C</w:t>
            </w:r>
            <w:r w:rsidR="00584263" w:rsidRPr="00210112">
              <w:rPr>
                <w:lang w:eastAsia="en-US"/>
              </w:rPr>
              <w:t>huquisaca</w:t>
            </w:r>
          </w:p>
        </w:tc>
        <w:tc>
          <w:tcPr>
            <w:tcW w:w="0" w:type="pct"/>
            <w:shd w:val="clear" w:color="auto" w:fill="auto"/>
            <w:hideMark/>
          </w:tcPr>
          <w:p w14:paraId="3E779DD4"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Violación de Infante, niña, niño o adolescente</w:t>
            </w:r>
          </w:p>
        </w:tc>
        <w:tc>
          <w:tcPr>
            <w:tcW w:w="0" w:type="pct"/>
            <w:shd w:val="clear" w:color="auto" w:fill="auto"/>
            <w:hideMark/>
          </w:tcPr>
          <w:p w14:paraId="0DEE9161"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87</w:t>
            </w:r>
          </w:p>
        </w:tc>
      </w:tr>
      <w:tr w:rsidR="00210112" w:rsidRPr="00210112" w14:paraId="6095C6D1"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103EFA0"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C</w:t>
            </w:r>
            <w:r w:rsidR="00584263" w:rsidRPr="00210112">
              <w:rPr>
                <w:lang w:eastAsia="en-US"/>
              </w:rPr>
              <w:t>ochabamba</w:t>
            </w:r>
          </w:p>
        </w:tc>
        <w:tc>
          <w:tcPr>
            <w:tcW w:w="0" w:type="pct"/>
            <w:shd w:val="clear" w:color="auto" w:fill="auto"/>
            <w:hideMark/>
          </w:tcPr>
          <w:p w14:paraId="4F0C9E0C"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 xml:space="preserve">Pornografía </w:t>
            </w:r>
          </w:p>
        </w:tc>
        <w:tc>
          <w:tcPr>
            <w:tcW w:w="0" w:type="pct"/>
            <w:shd w:val="clear" w:color="auto" w:fill="auto"/>
            <w:hideMark/>
          </w:tcPr>
          <w:p w14:paraId="321812CB"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1</w:t>
            </w:r>
          </w:p>
        </w:tc>
      </w:tr>
      <w:tr w:rsidR="00210112" w:rsidRPr="00210112" w14:paraId="0765B3FD"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CF92E4B"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C</w:t>
            </w:r>
            <w:r w:rsidR="00584263" w:rsidRPr="00210112">
              <w:rPr>
                <w:lang w:eastAsia="en-US"/>
              </w:rPr>
              <w:t>ochabamba</w:t>
            </w:r>
          </w:p>
        </w:tc>
        <w:tc>
          <w:tcPr>
            <w:tcW w:w="0" w:type="pct"/>
            <w:shd w:val="clear" w:color="auto" w:fill="auto"/>
            <w:hideMark/>
          </w:tcPr>
          <w:p w14:paraId="2E71E271"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Violación de infante niña o adolescente</w:t>
            </w:r>
          </w:p>
        </w:tc>
        <w:tc>
          <w:tcPr>
            <w:tcW w:w="0" w:type="pct"/>
            <w:shd w:val="clear" w:color="auto" w:fill="auto"/>
            <w:hideMark/>
          </w:tcPr>
          <w:p w14:paraId="6208D1CE"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102</w:t>
            </w:r>
          </w:p>
        </w:tc>
      </w:tr>
      <w:tr w:rsidR="00210112" w:rsidRPr="00210112" w14:paraId="4619DB7D"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3B6B6D1"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L</w:t>
            </w:r>
            <w:r w:rsidR="00584263" w:rsidRPr="00210112">
              <w:rPr>
                <w:lang w:eastAsia="en-US"/>
              </w:rPr>
              <w:t>a</w:t>
            </w:r>
            <w:r w:rsidRPr="00210112">
              <w:rPr>
                <w:lang w:eastAsia="en-US"/>
              </w:rPr>
              <w:t xml:space="preserve"> P</w:t>
            </w:r>
            <w:r w:rsidR="00584263" w:rsidRPr="00210112">
              <w:rPr>
                <w:lang w:eastAsia="en-US"/>
              </w:rPr>
              <w:t>az</w:t>
            </w:r>
          </w:p>
        </w:tc>
        <w:tc>
          <w:tcPr>
            <w:tcW w:w="0" w:type="pct"/>
            <w:shd w:val="clear" w:color="auto" w:fill="auto"/>
            <w:hideMark/>
          </w:tcPr>
          <w:p w14:paraId="73905BD2"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Violación de infante niña o adolescente</w:t>
            </w:r>
          </w:p>
        </w:tc>
        <w:tc>
          <w:tcPr>
            <w:tcW w:w="0" w:type="pct"/>
            <w:shd w:val="clear" w:color="auto" w:fill="auto"/>
            <w:hideMark/>
          </w:tcPr>
          <w:p w14:paraId="041F76B6"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143</w:t>
            </w:r>
          </w:p>
        </w:tc>
      </w:tr>
      <w:tr w:rsidR="00210112" w:rsidRPr="00210112" w14:paraId="18D738FB"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9062D2A"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lastRenderedPageBreak/>
              <w:t>O</w:t>
            </w:r>
            <w:r w:rsidR="00584263" w:rsidRPr="00210112">
              <w:rPr>
                <w:lang w:eastAsia="en-US"/>
              </w:rPr>
              <w:t>ruro</w:t>
            </w:r>
          </w:p>
        </w:tc>
        <w:tc>
          <w:tcPr>
            <w:tcW w:w="0" w:type="pct"/>
            <w:shd w:val="clear" w:color="auto" w:fill="auto"/>
            <w:hideMark/>
          </w:tcPr>
          <w:p w14:paraId="2CFF8D89"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Violación de infante niña o adolescente</w:t>
            </w:r>
          </w:p>
        </w:tc>
        <w:tc>
          <w:tcPr>
            <w:tcW w:w="0" w:type="pct"/>
            <w:shd w:val="clear" w:color="auto" w:fill="auto"/>
            <w:hideMark/>
          </w:tcPr>
          <w:p w14:paraId="62E57C1C"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40</w:t>
            </w:r>
          </w:p>
        </w:tc>
      </w:tr>
      <w:tr w:rsidR="00210112" w:rsidRPr="00210112" w14:paraId="20EA4882"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3B1C3DD"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P</w:t>
            </w:r>
            <w:r w:rsidR="00584263" w:rsidRPr="00210112">
              <w:rPr>
                <w:lang w:eastAsia="en-US"/>
              </w:rPr>
              <w:t>ando</w:t>
            </w:r>
          </w:p>
        </w:tc>
        <w:tc>
          <w:tcPr>
            <w:tcW w:w="0" w:type="pct"/>
            <w:shd w:val="clear" w:color="auto" w:fill="auto"/>
            <w:hideMark/>
          </w:tcPr>
          <w:p w14:paraId="25B39E1F"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 xml:space="preserve">Corrupción de niña, niño, adolescente </w:t>
            </w:r>
          </w:p>
        </w:tc>
        <w:tc>
          <w:tcPr>
            <w:tcW w:w="0" w:type="pct"/>
            <w:shd w:val="clear" w:color="auto" w:fill="auto"/>
            <w:hideMark/>
          </w:tcPr>
          <w:p w14:paraId="76C5E4DF"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2</w:t>
            </w:r>
          </w:p>
        </w:tc>
      </w:tr>
      <w:tr w:rsidR="00210112" w:rsidRPr="00210112" w14:paraId="2295AD8F"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6EC62B1"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P</w:t>
            </w:r>
            <w:r w:rsidR="00584263" w:rsidRPr="00210112">
              <w:rPr>
                <w:lang w:eastAsia="en-US"/>
              </w:rPr>
              <w:t>ando</w:t>
            </w:r>
          </w:p>
        </w:tc>
        <w:tc>
          <w:tcPr>
            <w:tcW w:w="0" w:type="pct"/>
            <w:shd w:val="clear" w:color="auto" w:fill="auto"/>
            <w:hideMark/>
          </w:tcPr>
          <w:p w14:paraId="4592F45F"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Violación de Infante, niña, niño o adolescente</w:t>
            </w:r>
          </w:p>
        </w:tc>
        <w:tc>
          <w:tcPr>
            <w:tcW w:w="0" w:type="pct"/>
            <w:shd w:val="clear" w:color="auto" w:fill="auto"/>
            <w:hideMark/>
          </w:tcPr>
          <w:p w14:paraId="31B5B2B6"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15</w:t>
            </w:r>
          </w:p>
        </w:tc>
      </w:tr>
      <w:tr w:rsidR="00210112" w:rsidRPr="00210112" w14:paraId="01E0E9DF"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3301EB0"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P</w:t>
            </w:r>
            <w:r w:rsidR="00584263" w:rsidRPr="00210112">
              <w:rPr>
                <w:lang w:eastAsia="en-US"/>
              </w:rPr>
              <w:t>otosí</w:t>
            </w:r>
          </w:p>
        </w:tc>
        <w:tc>
          <w:tcPr>
            <w:tcW w:w="0" w:type="pct"/>
            <w:shd w:val="clear" w:color="auto" w:fill="auto"/>
            <w:hideMark/>
          </w:tcPr>
          <w:p w14:paraId="48163AAD"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Corrupción de niña, niño, adolescente</w:t>
            </w:r>
          </w:p>
        </w:tc>
        <w:tc>
          <w:tcPr>
            <w:tcW w:w="0" w:type="pct"/>
            <w:shd w:val="clear" w:color="auto" w:fill="auto"/>
            <w:hideMark/>
          </w:tcPr>
          <w:p w14:paraId="17D5D88A"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1</w:t>
            </w:r>
          </w:p>
        </w:tc>
      </w:tr>
      <w:tr w:rsidR="00210112" w:rsidRPr="00210112" w14:paraId="63BCC26D"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C78CB48" w14:textId="77777777" w:rsidR="00B36B7E" w:rsidRPr="00777507" w:rsidRDefault="00584263" w:rsidP="00777507">
            <w:pPr>
              <w:spacing w:before="40" w:after="120"/>
              <w:rPr>
                <w:rFonts w:ascii="Times New Roman" w:hAnsi="Times New Roman"/>
                <w:b w:val="0"/>
                <w:sz w:val="20"/>
                <w:lang w:eastAsia="en-US"/>
              </w:rPr>
            </w:pPr>
            <w:r w:rsidRPr="00210112">
              <w:rPr>
                <w:lang w:eastAsia="en-US"/>
              </w:rPr>
              <w:t>Potosí</w:t>
            </w:r>
          </w:p>
        </w:tc>
        <w:tc>
          <w:tcPr>
            <w:tcW w:w="0" w:type="pct"/>
            <w:shd w:val="clear" w:color="auto" w:fill="auto"/>
            <w:hideMark/>
          </w:tcPr>
          <w:p w14:paraId="311B56A3"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Violación de Infante, niña, niño o adolescente</w:t>
            </w:r>
          </w:p>
        </w:tc>
        <w:tc>
          <w:tcPr>
            <w:tcW w:w="0" w:type="pct"/>
            <w:shd w:val="clear" w:color="auto" w:fill="auto"/>
            <w:hideMark/>
          </w:tcPr>
          <w:p w14:paraId="00D76EA8"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52</w:t>
            </w:r>
          </w:p>
        </w:tc>
      </w:tr>
      <w:tr w:rsidR="00210112" w:rsidRPr="00210112" w14:paraId="40C18F36"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B7BAD8F"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S</w:t>
            </w:r>
            <w:r w:rsidR="00584263" w:rsidRPr="00210112">
              <w:rPr>
                <w:lang w:eastAsia="en-US"/>
              </w:rPr>
              <w:t>anta Cruz</w:t>
            </w:r>
          </w:p>
        </w:tc>
        <w:tc>
          <w:tcPr>
            <w:tcW w:w="0" w:type="pct"/>
            <w:shd w:val="clear" w:color="auto" w:fill="auto"/>
            <w:hideMark/>
          </w:tcPr>
          <w:p w14:paraId="32BE23B6"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Corrupción de niña, niño, adolescente</w:t>
            </w:r>
          </w:p>
        </w:tc>
        <w:tc>
          <w:tcPr>
            <w:tcW w:w="0" w:type="pct"/>
            <w:shd w:val="clear" w:color="auto" w:fill="auto"/>
            <w:hideMark/>
          </w:tcPr>
          <w:p w14:paraId="436CD203"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3</w:t>
            </w:r>
          </w:p>
        </w:tc>
      </w:tr>
      <w:tr w:rsidR="00210112" w:rsidRPr="00210112" w14:paraId="5C23A21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C9FE774"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S</w:t>
            </w:r>
            <w:r w:rsidR="00584263" w:rsidRPr="00210112">
              <w:rPr>
                <w:lang w:eastAsia="en-US"/>
              </w:rPr>
              <w:t>anta Cruz</w:t>
            </w:r>
          </w:p>
        </w:tc>
        <w:tc>
          <w:tcPr>
            <w:tcW w:w="0" w:type="pct"/>
            <w:shd w:val="clear" w:color="auto" w:fill="auto"/>
            <w:hideMark/>
          </w:tcPr>
          <w:p w14:paraId="7D7F2900"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 xml:space="preserve">Pornografía </w:t>
            </w:r>
          </w:p>
        </w:tc>
        <w:tc>
          <w:tcPr>
            <w:tcW w:w="0" w:type="pct"/>
            <w:shd w:val="clear" w:color="auto" w:fill="auto"/>
            <w:hideMark/>
          </w:tcPr>
          <w:p w14:paraId="1254D95E"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1</w:t>
            </w:r>
          </w:p>
        </w:tc>
      </w:tr>
      <w:tr w:rsidR="00210112" w:rsidRPr="00210112" w14:paraId="0321E24D"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E0D6BD9"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S</w:t>
            </w:r>
            <w:r w:rsidR="00584263" w:rsidRPr="00210112">
              <w:rPr>
                <w:lang w:eastAsia="en-US"/>
              </w:rPr>
              <w:t>anta Cruz</w:t>
            </w:r>
          </w:p>
        </w:tc>
        <w:tc>
          <w:tcPr>
            <w:tcW w:w="0" w:type="pct"/>
            <w:shd w:val="clear" w:color="auto" w:fill="auto"/>
            <w:hideMark/>
          </w:tcPr>
          <w:p w14:paraId="43EF3F78"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Violación de Infante, niña, niño o adolescente</w:t>
            </w:r>
          </w:p>
        </w:tc>
        <w:tc>
          <w:tcPr>
            <w:tcW w:w="0" w:type="pct"/>
            <w:shd w:val="clear" w:color="auto" w:fill="auto"/>
            <w:hideMark/>
          </w:tcPr>
          <w:p w14:paraId="4C62BE0D"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200</w:t>
            </w:r>
          </w:p>
        </w:tc>
      </w:tr>
      <w:tr w:rsidR="00210112" w:rsidRPr="00210112" w14:paraId="580C4A0C"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5F354D3"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T</w:t>
            </w:r>
            <w:r w:rsidR="00584263" w:rsidRPr="00210112">
              <w:rPr>
                <w:lang w:eastAsia="en-US"/>
              </w:rPr>
              <w:t>arija</w:t>
            </w:r>
          </w:p>
        </w:tc>
        <w:tc>
          <w:tcPr>
            <w:tcW w:w="0" w:type="pct"/>
            <w:shd w:val="clear" w:color="auto" w:fill="auto"/>
            <w:hideMark/>
          </w:tcPr>
          <w:p w14:paraId="230A0CFB"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Corrupción de niña, niño, adolescente</w:t>
            </w:r>
          </w:p>
        </w:tc>
        <w:tc>
          <w:tcPr>
            <w:tcW w:w="0" w:type="pct"/>
            <w:shd w:val="clear" w:color="auto" w:fill="auto"/>
            <w:hideMark/>
          </w:tcPr>
          <w:p w14:paraId="53A0B9FF" w14:textId="77777777" w:rsidR="00B36B7E" w:rsidRPr="00210112"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210112">
              <w:rPr>
                <w:lang w:eastAsia="en-US"/>
              </w:rPr>
              <w:t>9</w:t>
            </w:r>
          </w:p>
        </w:tc>
      </w:tr>
      <w:tr w:rsidR="00210112" w:rsidRPr="00210112" w14:paraId="62E06ECE"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A81831A" w14:textId="77777777" w:rsidR="00B36B7E" w:rsidRPr="00777507" w:rsidRDefault="00B36B7E" w:rsidP="00777507">
            <w:pPr>
              <w:spacing w:before="40" w:after="120"/>
              <w:rPr>
                <w:rFonts w:ascii="Times New Roman" w:hAnsi="Times New Roman"/>
                <w:b w:val="0"/>
                <w:sz w:val="20"/>
                <w:lang w:eastAsia="en-US"/>
              </w:rPr>
            </w:pPr>
            <w:r w:rsidRPr="00210112">
              <w:rPr>
                <w:lang w:eastAsia="en-US"/>
              </w:rPr>
              <w:t>TARIJA</w:t>
            </w:r>
          </w:p>
        </w:tc>
        <w:tc>
          <w:tcPr>
            <w:tcW w:w="0" w:type="pct"/>
            <w:shd w:val="clear" w:color="auto" w:fill="auto"/>
            <w:hideMark/>
          </w:tcPr>
          <w:p w14:paraId="058F66FF"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Violación de Infante, niña, niño o adolescente</w:t>
            </w:r>
          </w:p>
        </w:tc>
        <w:tc>
          <w:tcPr>
            <w:tcW w:w="0" w:type="pct"/>
            <w:shd w:val="clear" w:color="auto" w:fill="auto"/>
            <w:hideMark/>
          </w:tcPr>
          <w:p w14:paraId="696F0359" w14:textId="77777777" w:rsidR="00B36B7E" w:rsidRPr="00210112" w:rsidRDefault="00B36B7E" w:rsidP="00777507">
            <w:pPr>
              <w:spacing w:before="4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eastAsia="en-US"/>
              </w:rPr>
            </w:pPr>
            <w:r w:rsidRPr="00210112">
              <w:rPr>
                <w:lang w:eastAsia="en-US"/>
              </w:rPr>
              <w:t>164</w:t>
            </w:r>
          </w:p>
        </w:tc>
      </w:tr>
      <w:tr w:rsidR="00210112" w:rsidRPr="00210112" w14:paraId="63EE27D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auto"/>
            </w:tcBorders>
            <w:shd w:val="clear" w:color="auto" w:fill="auto"/>
          </w:tcPr>
          <w:p w14:paraId="5707D03E" w14:textId="77777777" w:rsidR="00B36B7E" w:rsidRPr="00777507" w:rsidRDefault="00584263" w:rsidP="00777507">
            <w:pPr>
              <w:spacing w:before="40" w:after="120"/>
              <w:rPr>
                <w:rFonts w:ascii="Times New Roman" w:hAnsi="Times New Roman"/>
                <w:b w:val="0"/>
                <w:bCs w:val="0"/>
                <w:sz w:val="20"/>
                <w:lang w:eastAsia="en-US"/>
              </w:rPr>
            </w:pPr>
            <w:r w:rsidRPr="00210112">
              <w:rPr>
                <w:lang w:eastAsia="en-US"/>
              </w:rPr>
              <w:t>Total</w:t>
            </w:r>
          </w:p>
        </w:tc>
        <w:tc>
          <w:tcPr>
            <w:tcW w:w="0" w:type="pct"/>
            <w:tcBorders>
              <w:bottom w:val="single" w:sz="12" w:space="0" w:color="auto"/>
            </w:tcBorders>
            <w:shd w:val="clear" w:color="auto" w:fill="auto"/>
            <w:hideMark/>
          </w:tcPr>
          <w:p w14:paraId="61CCBA94" w14:textId="77777777" w:rsidR="00B36B7E" w:rsidRPr="00777507"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p>
        </w:tc>
        <w:tc>
          <w:tcPr>
            <w:tcW w:w="0" w:type="pct"/>
            <w:tcBorders>
              <w:bottom w:val="single" w:sz="12" w:space="0" w:color="auto"/>
            </w:tcBorders>
            <w:shd w:val="clear" w:color="auto" w:fill="auto"/>
            <w:hideMark/>
          </w:tcPr>
          <w:p w14:paraId="061EBABA" w14:textId="77777777" w:rsidR="00B36B7E" w:rsidRPr="00777507" w:rsidRDefault="00B36B7E" w:rsidP="00777507">
            <w:pPr>
              <w:spacing w:before="4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US"/>
              </w:rPr>
            </w:pPr>
            <w:r w:rsidRPr="00777507">
              <w:rPr>
                <w:lang w:eastAsia="en-US"/>
              </w:rPr>
              <w:t>847</w:t>
            </w:r>
          </w:p>
        </w:tc>
      </w:tr>
    </w:tbl>
    <w:p w14:paraId="427A6A3F" w14:textId="77777777" w:rsidR="00B36B7E" w:rsidRDefault="00B36B7E" w:rsidP="00777507">
      <w:pPr>
        <w:pStyle w:val="Textonotapie"/>
        <w:spacing w:before="120" w:after="240"/>
        <w:ind w:firstLine="170"/>
        <w:rPr>
          <w:lang w:val="es-BO" w:eastAsia="en-US"/>
        </w:rPr>
      </w:pPr>
      <w:r w:rsidRPr="00777507">
        <w:rPr>
          <w:i/>
          <w:lang w:val="es-BO" w:eastAsia="en-US"/>
        </w:rPr>
        <w:t>Fuente:</w:t>
      </w:r>
      <w:r w:rsidRPr="00B36B7E">
        <w:rPr>
          <w:lang w:val="es-BO" w:eastAsia="en-US"/>
        </w:rPr>
        <w:t xml:space="preserve"> FGE, </w:t>
      </w:r>
      <w:r w:rsidRPr="00777507">
        <w:rPr>
          <w:lang w:eastAsia="en-US"/>
        </w:rPr>
        <w:t>Información</w:t>
      </w:r>
      <w:r w:rsidRPr="00B36B7E">
        <w:rPr>
          <w:lang w:val="es-BO" w:eastAsia="en-US"/>
        </w:rPr>
        <w:t xml:space="preserve"> a enero de 2019</w:t>
      </w:r>
      <w:r w:rsidR="00621AFD">
        <w:rPr>
          <w:lang w:val="es-BO" w:eastAsia="en-US"/>
        </w:rPr>
        <w:t>.</w:t>
      </w:r>
    </w:p>
    <w:p w14:paraId="6D4ACD3F" w14:textId="77777777" w:rsidR="00B36B7E" w:rsidRDefault="00235247" w:rsidP="00777507">
      <w:pPr>
        <w:pStyle w:val="SingleTxtG"/>
        <w:spacing w:before="120"/>
        <w:rPr>
          <w:lang w:eastAsia="en-US"/>
        </w:rPr>
      </w:pPr>
      <w:r>
        <w:rPr>
          <w:lang w:eastAsia="en-US"/>
        </w:rPr>
        <w:t>40.</w:t>
      </w:r>
      <w:r>
        <w:rPr>
          <w:lang w:eastAsia="en-US"/>
        </w:rPr>
        <w:tab/>
      </w:r>
      <w:r w:rsidR="00B36B7E" w:rsidRPr="00B36B7E">
        <w:rPr>
          <w:lang w:eastAsia="en-US"/>
        </w:rPr>
        <w:t>Conforme se señaló en los párrafos 138 al 167 del Tercer Informe Periódico, el Estado boliviano adoptó diferentes medidas con el fin de prevenir y eliminar la violencia y abuso sexual de NNA. En ese sentido, el MJTI elaboró las siguientes herramientas específicas:</w:t>
      </w:r>
    </w:p>
    <w:p w14:paraId="69B0EC56"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Protocolo de Prevención, Atención y Sanción a toda forma de Vulneració</w:t>
      </w:r>
      <w:r w:rsidR="00EB253C">
        <w:t>n a la Integridad Sexual de NNA</w:t>
      </w:r>
      <w:r w:rsidR="00584263">
        <w:t>.</w:t>
      </w:r>
    </w:p>
    <w:p w14:paraId="43678239"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Ruta Crítica para la Lucha C</w:t>
      </w:r>
      <w:r w:rsidR="00EB253C">
        <w:t>ontra la Violencia Sexual a NNA</w:t>
      </w:r>
      <w:r w:rsidR="00584263">
        <w:t>.</w:t>
      </w:r>
    </w:p>
    <w:p w14:paraId="74FB9C85" w14:textId="77777777" w:rsidR="00B36B7E" w:rsidRDefault="00235247" w:rsidP="00777507">
      <w:pPr>
        <w:pStyle w:val="Bullet1G"/>
        <w:numPr>
          <w:ilvl w:val="0"/>
          <w:numId w:val="0"/>
        </w:numPr>
        <w:tabs>
          <w:tab w:val="left" w:pos="1701"/>
        </w:tabs>
        <w:ind w:left="1701" w:hanging="170"/>
      </w:pPr>
      <w:r>
        <w:t>•</w:t>
      </w:r>
      <w:r>
        <w:tab/>
      </w:r>
      <w:r w:rsidR="00B36B7E" w:rsidRPr="00B36B7E">
        <w:t>Línea Base sobre las situaciones de violencia sexual a NNA en las regiones del Altiplano, Valle y Oriente.</w:t>
      </w:r>
      <w:r w:rsidR="00DB2928">
        <w:t xml:space="preserve"> </w:t>
      </w:r>
    </w:p>
    <w:p w14:paraId="73B09605" w14:textId="77777777" w:rsidR="00B36B7E" w:rsidRDefault="00235247" w:rsidP="00777507">
      <w:pPr>
        <w:pStyle w:val="SingleTxtG"/>
        <w:spacing w:before="120"/>
        <w:rPr>
          <w:lang w:eastAsia="en-US"/>
        </w:rPr>
      </w:pPr>
      <w:r>
        <w:rPr>
          <w:lang w:eastAsia="en-US"/>
        </w:rPr>
        <w:t>41.</w:t>
      </w:r>
      <w:r>
        <w:rPr>
          <w:lang w:eastAsia="en-US"/>
        </w:rPr>
        <w:tab/>
      </w:r>
      <w:r w:rsidR="00B36B7E" w:rsidRPr="00B36B7E">
        <w:rPr>
          <w:lang w:eastAsia="en-US"/>
        </w:rPr>
        <w:t>Del mismo modo, el MJTI, ente rector del Sistema Plurinacional Integral de la Niña, Niño y Adolescente (SIPINNA), implementó el Plan Plurinacional para la NNA, que a su vez contempla el Programa Integral de Lucha Contra la Violencia Sexual a NNA, cuyos objetivos son:</w:t>
      </w:r>
    </w:p>
    <w:p w14:paraId="587839D2"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Promover la implementación de medidas, procedimientos y herramientas para la prevención, protección y atención integral a N</w:t>
      </w:r>
      <w:r w:rsidR="00EB253C">
        <w:t>NA víctimas de violencia sexual</w:t>
      </w:r>
      <w:r w:rsidR="00584263">
        <w:t>.</w:t>
      </w:r>
    </w:p>
    <w:p w14:paraId="174F1ECF"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Fortalecer la especialización de los profesiona</w:t>
      </w:r>
      <w:r w:rsidR="00EB253C">
        <w:t>les involucrados en la temática</w:t>
      </w:r>
      <w:r w:rsidR="00584263">
        <w:t>.</w:t>
      </w:r>
    </w:p>
    <w:p w14:paraId="515DA5CB"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Contar con información oficial actualizada sobre las situac</w:t>
      </w:r>
      <w:r w:rsidR="00EB253C">
        <w:t>iones de violencia sexual a</w:t>
      </w:r>
      <w:r w:rsidR="00584263">
        <w:t> </w:t>
      </w:r>
      <w:r w:rsidR="00EB253C">
        <w:t>NNA</w:t>
      </w:r>
      <w:r w:rsidR="00584263">
        <w:t>.</w:t>
      </w:r>
    </w:p>
    <w:p w14:paraId="10AE383D" w14:textId="77777777" w:rsidR="00B36B7E" w:rsidRDefault="00235247" w:rsidP="00777507">
      <w:pPr>
        <w:pStyle w:val="Bullet1G"/>
        <w:numPr>
          <w:ilvl w:val="0"/>
          <w:numId w:val="0"/>
        </w:numPr>
        <w:tabs>
          <w:tab w:val="left" w:pos="1701"/>
        </w:tabs>
        <w:ind w:left="1701" w:hanging="170"/>
      </w:pPr>
      <w:r>
        <w:t>•</w:t>
      </w:r>
      <w:r>
        <w:tab/>
      </w:r>
      <w:r w:rsidR="00B36B7E" w:rsidRPr="00B36B7E">
        <w:t>Diseñar e implementar un Sistema de Registro Nacional y control de personas con sentencia condenatoria ejecutoriada por delitos contra la libertad sexual de NNA, como medida de seguridad.</w:t>
      </w:r>
    </w:p>
    <w:p w14:paraId="06B02753" w14:textId="77777777" w:rsidR="00B36B7E" w:rsidRDefault="00235247" w:rsidP="00777507">
      <w:pPr>
        <w:pStyle w:val="SingleTxtG"/>
        <w:spacing w:before="120"/>
        <w:rPr>
          <w:lang w:eastAsia="en-US"/>
        </w:rPr>
      </w:pPr>
      <w:r>
        <w:rPr>
          <w:lang w:eastAsia="en-US"/>
        </w:rPr>
        <w:lastRenderedPageBreak/>
        <w:t>42.</w:t>
      </w:r>
      <w:r>
        <w:rPr>
          <w:lang w:eastAsia="en-US"/>
        </w:rPr>
        <w:tab/>
      </w:r>
      <w:r w:rsidR="00B36B7E" w:rsidRPr="00B36B7E">
        <w:rPr>
          <w:lang w:eastAsia="en-US"/>
        </w:rPr>
        <w:t>En ese sentido, se llevó a cabo la fase de seguimiento a la implementación del referido Programa, alcanzando los siguientes resultados a nivel departamental y municipal:</w:t>
      </w:r>
    </w:p>
    <w:p w14:paraId="2EE1403E"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Atención a 232 NNA, mujeres y adultos mayores víctimas de violencia sexual en el Gobierno Autónom</w:t>
      </w:r>
      <w:r w:rsidR="00EB253C">
        <w:t>o Departamental (GAD) de Potosí</w:t>
      </w:r>
      <w:r w:rsidR="00584263">
        <w:t>.</w:t>
      </w:r>
    </w:p>
    <w:p w14:paraId="126A60FE"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Atención de 229 casos referentes a NNA víctimas de cualquier tipo de violencia sexual y 123 terapia</w:t>
      </w:r>
      <w:r w:rsidR="00EB253C">
        <w:t>s iniciadas en el GAD de La Paz</w:t>
      </w:r>
      <w:r w:rsidR="00584263">
        <w:t>.</w:t>
      </w:r>
    </w:p>
    <w:p w14:paraId="1617BB48"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Atención de más de 792 NNA víctimas de cualquier tipo de viole</w:t>
      </w:r>
      <w:r w:rsidR="00EB253C">
        <w:t>ncia sexual en el GAD de Tarija</w:t>
      </w:r>
      <w:r w:rsidR="00584263">
        <w:t>.</w:t>
      </w:r>
    </w:p>
    <w:p w14:paraId="277865D1"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Atención de 52 pacientes en proceso terapéutico, 14 casos registrados, 18 casos abandonados, 17 casos que no fueron contactados. Asimismo, en 2019, se atendió a más de 792 NNA víctimas de cualquier tipo de vio</w:t>
      </w:r>
      <w:r w:rsidR="00EB253C">
        <w:t>lencia sexual en el GAD de Beni</w:t>
      </w:r>
      <w:r w:rsidR="00584263">
        <w:t>.</w:t>
      </w:r>
    </w:p>
    <w:p w14:paraId="50E6C04B"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 xml:space="preserve">Atención a más de 24 NNA víctimas de cualquier tipo de violencia sexual </w:t>
      </w:r>
      <w:r w:rsidR="00EB253C">
        <w:t>en el GAD de Pando</w:t>
      </w:r>
      <w:r w:rsidR="00584263">
        <w:t>.</w:t>
      </w:r>
    </w:p>
    <w:p w14:paraId="3F6BCE05"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Atención de 1</w:t>
      </w:r>
      <w:r w:rsidR="00DA769E">
        <w:t>.</w:t>
      </w:r>
      <w:r w:rsidR="00B36B7E" w:rsidRPr="00B36B7E">
        <w:t>258 casos de NNA víctimas del cualquier tipo de violencia</w:t>
      </w:r>
      <w:r w:rsidR="00EB253C">
        <w:t xml:space="preserve"> sexual en el GAD de Santa Cruz</w:t>
      </w:r>
      <w:r w:rsidR="00584263">
        <w:t>.</w:t>
      </w:r>
    </w:p>
    <w:p w14:paraId="25CB6850"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Atención de casos, suscripción de acuerdos de</w:t>
      </w:r>
      <w:r w:rsidR="00DC4138">
        <w:t xml:space="preserve"> cooperación interinstitucional</w:t>
      </w:r>
      <w:r w:rsidR="00B36B7E" w:rsidRPr="00777507">
        <w:rPr>
          <w:sz w:val="18"/>
          <w:szCs w:val="18"/>
          <w:vertAlign w:val="superscript"/>
        </w:rPr>
        <w:footnoteReference w:id="16"/>
      </w:r>
      <w:r w:rsidR="00DC4138">
        <w:t>,</w:t>
      </w:r>
      <w:r w:rsidR="00B36B7E" w:rsidRPr="00B36B7E">
        <w:t xml:space="preserve"> permitiendo fortalecer acciones de prevención en unidades educativas del Gobierno Autó</w:t>
      </w:r>
      <w:r w:rsidR="00EB253C">
        <w:t>nomo Municipal (GAM) de El Alto</w:t>
      </w:r>
      <w:r w:rsidR="00584263">
        <w:t>.</w:t>
      </w:r>
    </w:p>
    <w:p w14:paraId="076D9E61"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150 casos atendidos de NNA víctimas de violenci</w:t>
      </w:r>
      <w:r w:rsidR="00EB253C">
        <w:t>a sexual por el GAM de Trinidad</w:t>
      </w:r>
      <w:r w:rsidR="00584263">
        <w:t>.</w:t>
      </w:r>
    </w:p>
    <w:p w14:paraId="1361B680"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426.881 casos atendidos de NNA por violencia</w:t>
      </w:r>
      <w:r w:rsidR="00EB253C">
        <w:t xml:space="preserve"> sexual en el GAM de Santa Cruz</w:t>
      </w:r>
      <w:r w:rsidR="00584263">
        <w:t>.</w:t>
      </w:r>
    </w:p>
    <w:p w14:paraId="26A2F603" w14:textId="77777777" w:rsidR="00B36B7E" w:rsidRDefault="00235247" w:rsidP="00777507">
      <w:pPr>
        <w:pStyle w:val="Bullet1G"/>
        <w:numPr>
          <w:ilvl w:val="0"/>
          <w:numId w:val="0"/>
        </w:numPr>
        <w:tabs>
          <w:tab w:val="left" w:pos="1701"/>
        </w:tabs>
        <w:ind w:left="1701" w:hanging="170"/>
      </w:pPr>
      <w:r>
        <w:t>•</w:t>
      </w:r>
      <w:r>
        <w:tab/>
      </w:r>
      <w:r w:rsidR="00B36B7E" w:rsidRPr="00B36B7E">
        <w:t>5.613 adolescentes capacitadas en prevención de la violencia contra la mujer y violencia sexual, en el GAM de La Paz.</w:t>
      </w:r>
    </w:p>
    <w:p w14:paraId="54C49CB1" w14:textId="77777777" w:rsidR="00B36B7E" w:rsidRDefault="00235247" w:rsidP="00777507">
      <w:pPr>
        <w:pStyle w:val="SingleTxtG"/>
        <w:spacing w:before="120"/>
        <w:rPr>
          <w:lang w:eastAsia="en-US"/>
        </w:rPr>
      </w:pPr>
      <w:r>
        <w:rPr>
          <w:lang w:eastAsia="en-US"/>
        </w:rPr>
        <w:t>43.</w:t>
      </w:r>
      <w:r>
        <w:rPr>
          <w:lang w:eastAsia="en-US"/>
        </w:rPr>
        <w:tab/>
      </w:r>
      <w:r w:rsidR="00B36B7E" w:rsidRPr="00B36B7E">
        <w:rPr>
          <w:lang w:eastAsia="en-US"/>
        </w:rPr>
        <w:t>Asimismo, las Fiscalías Departamentales en las Unidades de Protección a Víctimas y Testigos (UPAVT), cuentan con equipos multidisciplinarios para que la atención sea inmediata, p</w:t>
      </w:r>
      <w:r w:rsidR="00DC4138">
        <w:rPr>
          <w:lang w:eastAsia="en-US"/>
        </w:rPr>
        <w:t>ronta, oportuna y especializada</w:t>
      </w:r>
      <w:r w:rsidR="00B36B7E" w:rsidRPr="00777507">
        <w:rPr>
          <w:sz w:val="18"/>
          <w:szCs w:val="18"/>
          <w:vertAlign w:val="superscript"/>
          <w:lang w:eastAsia="en-US"/>
        </w:rPr>
        <w:footnoteReference w:id="17"/>
      </w:r>
      <w:r w:rsidR="00DC4138">
        <w:rPr>
          <w:lang w:eastAsia="en-US"/>
        </w:rPr>
        <w:t>.</w:t>
      </w:r>
    </w:p>
    <w:p w14:paraId="15BC16B5" w14:textId="77777777" w:rsidR="00B36B7E" w:rsidRPr="00B36B7E" w:rsidRDefault="00EB253C" w:rsidP="00EB253C">
      <w:pPr>
        <w:pStyle w:val="H23G"/>
        <w:rPr>
          <w:lang w:eastAsia="en-US"/>
        </w:rPr>
      </w:pPr>
      <w:r>
        <w:rPr>
          <w:lang w:eastAsia="en-US"/>
        </w:rPr>
        <w:tab/>
      </w:r>
      <w:r>
        <w:rPr>
          <w:lang w:eastAsia="en-US"/>
        </w:rPr>
        <w:tab/>
      </w:r>
      <w:r w:rsidR="00B36B7E" w:rsidRPr="00B36B7E">
        <w:rPr>
          <w:lang w:eastAsia="en-US"/>
        </w:rPr>
        <w:t>Respuesta al Párrafo 7</w:t>
      </w:r>
      <w:r w:rsidR="00B55F3D" w:rsidRPr="00B55F3D">
        <w:rPr>
          <w:lang w:val="es-CU"/>
        </w:rPr>
        <w:t xml:space="preserve"> </w:t>
      </w:r>
      <w:r w:rsidR="00B55F3D">
        <w:rPr>
          <w:lang w:val="es-CU"/>
        </w:rPr>
        <w:t>de la lista de</w:t>
      </w:r>
      <w:r w:rsidR="00B55F3D">
        <w:rPr>
          <w:lang w:val="es-ES_tradnl"/>
        </w:rPr>
        <w:t xml:space="preserve"> </w:t>
      </w:r>
      <w:r w:rsidR="00B55F3D" w:rsidRPr="00E9029D">
        <w:rPr>
          <w:lang w:val="es-ES_tradnl"/>
        </w:rPr>
        <w:t>cuestiones</w:t>
      </w:r>
    </w:p>
    <w:p w14:paraId="6BBFE083" w14:textId="77777777" w:rsidR="00B36B7E" w:rsidRDefault="00EB253C" w:rsidP="00EB253C">
      <w:pPr>
        <w:pStyle w:val="H4G"/>
        <w:rPr>
          <w:rFonts w:eastAsia="SimSun"/>
        </w:rPr>
      </w:pPr>
      <w:r>
        <w:rPr>
          <w:rFonts w:eastAsia="SimSun"/>
        </w:rPr>
        <w:tab/>
      </w:r>
      <w:r>
        <w:rPr>
          <w:rFonts w:eastAsia="SimSun"/>
        </w:rPr>
        <w:tab/>
      </w:r>
      <w:r w:rsidR="00B36B7E" w:rsidRPr="00B36B7E">
        <w:rPr>
          <w:rFonts w:eastAsia="SimSun"/>
        </w:rPr>
        <w:t>Trata y Tráfico de Personas</w:t>
      </w:r>
    </w:p>
    <w:p w14:paraId="3B14FBB9" w14:textId="77777777" w:rsidR="00B36B7E" w:rsidRPr="00B36B7E" w:rsidRDefault="00235247" w:rsidP="00777507">
      <w:pPr>
        <w:pStyle w:val="SingleTxtG"/>
        <w:spacing w:before="120"/>
        <w:rPr>
          <w:lang w:eastAsia="en-US"/>
        </w:rPr>
      </w:pPr>
      <w:r w:rsidRPr="00B36B7E">
        <w:rPr>
          <w:lang w:eastAsia="en-US"/>
        </w:rPr>
        <w:t>44.</w:t>
      </w:r>
      <w:r w:rsidRPr="00B36B7E">
        <w:rPr>
          <w:lang w:eastAsia="en-US"/>
        </w:rPr>
        <w:tab/>
      </w:r>
      <w:r w:rsidR="00B36B7E" w:rsidRPr="00B36B7E">
        <w:rPr>
          <w:lang w:eastAsia="en-US"/>
        </w:rPr>
        <w:t>El Estado, a través del Sistema JL1 de la FGE, cuenta con un registro de 3.325 denuncias recib</w:t>
      </w:r>
      <w:r w:rsidR="000553C1">
        <w:rPr>
          <w:lang w:eastAsia="en-US"/>
        </w:rPr>
        <w:t>idas, bajo el siguiente detalle.</w:t>
      </w:r>
    </w:p>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4"/>
        <w:gridCol w:w="821"/>
        <w:gridCol w:w="821"/>
        <w:gridCol w:w="820"/>
        <w:gridCol w:w="820"/>
        <w:gridCol w:w="820"/>
        <w:gridCol w:w="820"/>
        <w:gridCol w:w="1024"/>
      </w:tblGrid>
      <w:tr w:rsidR="00210112" w:rsidRPr="00210112" w14:paraId="7797D5E2"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12" w:space="0" w:color="auto"/>
            </w:tcBorders>
            <w:shd w:val="clear" w:color="auto" w:fill="auto"/>
            <w:vAlign w:val="bottom"/>
            <w:hideMark/>
          </w:tcPr>
          <w:p w14:paraId="2F09C50B" w14:textId="77777777" w:rsidR="00B36B7E" w:rsidRPr="00210112" w:rsidRDefault="00B36B7E" w:rsidP="00777507">
            <w:pPr>
              <w:spacing w:before="80" w:after="80" w:line="200" w:lineRule="exact"/>
              <w:rPr>
                <w:rFonts w:ascii="Times New Roman" w:eastAsia="SimSun" w:hAnsi="Times New Roman"/>
                <w:b w:val="0"/>
                <w:i/>
                <w:color w:val="auto"/>
                <w:sz w:val="16"/>
              </w:rPr>
            </w:pPr>
            <w:r w:rsidRPr="00210112">
              <w:rPr>
                <w:rFonts w:eastAsia="SimSun"/>
                <w:i/>
                <w:sz w:val="16"/>
              </w:rPr>
              <w:t xml:space="preserve">Departamento </w:t>
            </w:r>
          </w:p>
        </w:tc>
        <w:tc>
          <w:tcPr>
            <w:tcW w:w="0" w:type="pct"/>
            <w:tcBorders>
              <w:top w:val="single" w:sz="4" w:space="0" w:color="auto"/>
              <w:bottom w:val="single" w:sz="12" w:space="0" w:color="auto"/>
            </w:tcBorders>
            <w:shd w:val="clear" w:color="auto" w:fill="auto"/>
            <w:vAlign w:val="bottom"/>
            <w:hideMark/>
          </w:tcPr>
          <w:p w14:paraId="24D912DC"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i/>
                <w:color w:val="auto"/>
                <w:sz w:val="16"/>
              </w:rPr>
            </w:pPr>
            <w:r w:rsidRPr="00210112">
              <w:rPr>
                <w:rFonts w:eastAsia="SimSun"/>
                <w:i/>
                <w:sz w:val="16"/>
              </w:rPr>
              <w:t>2014</w:t>
            </w:r>
          </w:p>
        </w:tc>
        <w:tc>
          <w:tcPr>
            <w:tcW w:w="0" w:type="pct"/>
            <w:tcBorders>
              <w:top w:val="single" w:sz="4" w:space="0" w:color="auto"/>
              <w:bottom w:val="single" w:sz="12" w:space="0" w:color="auto"/>
            </w:tcBorders>
            <w:shd w:val="clear" w:color="auto" w:fill="auto"/>
            <w:vAlign w:val="bottom"/>
            <w:hideMark/>
          </w:tcPr>
          <w:p w14:paraId="36B54FEC"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i/>
                <w:color w:val="auto"/>
                <w:sz w:val="16"/>
              </w:rPr>
            </w:pPr>
            <w:r w:rsidRPr="00210112">
              <w:rPr>
                <w:rFonts w:eastAsia="SimSun"/>
                <w:i/>
                <w:sz w:val="16"/>
              </w:rPr>
              <w:t>2015</w:t>
            </w:r>
          </w:p>
        </w:tc>
        <w:tc>
          <w:tcPr>
            <w:tcW w:w="0" w:type="pct"/>
            <w:tcBorders>
              <w:top w:val="single" w:sz="4" w:space="0" w:color="auto"/>
              <w:bottom w:val="single" w:sz="12" w:space="0" w:color="auto"/>
            </w:tcBorders>
            <w:shd w:val="clear" w:color="auto" w:fill="auto"/>
            <w:vAlign w:val="bottom"/>
            <w:hideMark/>
          </w:tcPr>
          <w:p w14:paraId="64C7EDF1"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i/>
                <w:color w:val="auto"/>
                <w:sz w:val="16"/>
              </w:rPr>
            </w:pPr>
            <w:r w:rsidRPr="00210112">
              <w:rPr>
                <w:rFonts w:eastAsia="SimSun"/>
                <w:i/>
                <w:sz w:val="16"/>
              </w:rPr>
              <w:t>2016</w:t>
            </w:r>
          </w:p>
        </w:tc>
        <w:tc>
          <w:tcPr>
            <w:tcW w:w="0" w:type="pct"/>
            <w:tcBorders>
              <w:top w:val="single" w:sz="4" w:space="0" w:color="auto"/>
              <w:bottom w:val="single" w:sz="12" w:space="0" w:color="auto"/>
            </w:tcBorders>
            <w:shd w:val="clear" w:color="auto" w:fill="auto"/>
            <w:vAlign w:val="bottom"/>
            <w:hideMark/>
          </w:tcPr>
          <w:p w14:paraId="65003541"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i/>
                <w:color w:val="auto"/>
                <w:sz w:val="16"/>
              </w:rPr>
            </w:pPr>
            <w:r w:rsidRPr="00210112">
              <w:rPr>
                <w:rFonts w:eastAsia="SimSun"/>
                <w:i/>
                <w:sz w:val="16"/>
              </w:rPr>
              <w:t>2017</w:t>
            </w:r>
          </w:p>
        </w:tc>
        <w:tc>
          <w:tcPr>
            <w:tcW w:w="0" w:type="pct"/>
            <w:tcBorders>
              <w:top w:val="single" w:sz="4" w:space="0" w:color="auto"/>
              <w:bottom w:val="single" w:sz="12" w:space="0" w:color="auto"/>
            </w:tcBorders>
            <w:shd w:val="clear" w:color="auto" w:fill="auto"/>
            <w:vAlign w:val="bottom"/>
            <w:hideMark/>
          </w:tcPr>
          <w:p w14:paraId="5407DE5F"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i/>
                <w:color w:val="auto"/>
                <w:sz w:val="16"/>
              </w:rPr>
            </w:pPr>
            <w:r w:rsidRPr="00210112">
              <w:rPr>
                <w:rFonts w:eastAsia="SimSun"/>
                <w:i/>
                <w:sz w:val="16"/>
              </w:rPr>
              <w:t>2018</w:t>
            </w:r>
          </w:p>
        </w:tc>
        <w:tc>
          <w:tcPr>
            <w:tcW w:w="0" w:type="pct"/>
            <w:tcBorders>
              <w:top w:val="single" w:sz="4" w:space="0" w:color="auto"/>
              <w:bottom w:val="single" w:sz="12" w:space="0" w:color="auto"/>
            </w:tcBorders>
            <w:shd w:val="clear" w:color="auto" w:fill="auto"/>
            <w:vAlign w:val="bottom"/>
            <w:hideMark/>
          </w:tcPr>
          <w:p w14:paraId="4CEAC198"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i/>
                <w:color w:val="auto"/>
                <w:sz w:val="16"/>
              </w:rPr>
            </w:pPr>
            <w:r w:rsidRPr="00210112">
              <w:rPr>
                <w:rFonts w:eastAsia="SimSun"/>
                <w:i/>
                <w:sz w:val="16"/>
              </w:rPr>
              <w:t>2019</w:t>
            </w:r>
          </w:p>
        </w:tc>
        <w:tc>
          <w:tcPr>
            <w:tcW w:w="0" w:type="pct"/>
            <w:tcBorders>
              <w:top w:val="single" w:sz="4" w:space="0" w:color="auto"/>
              <w:bottom w:val="single" w:sz="12" w:space="0" w:color="auto"/>
            </w:tcBorders>
            <w:shd w:val="clear" w:color="auto" w:fill="auto"/>
            <w:vAlign w:val="bottom"/>
            <w:hideMark/>
          </w:tcPr>
          <w:p w14:paraId="6511D150"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i/>
                <w:color w:val="auto"/>
                <w:sz w:val="16"/>
              </w:rPr>
            </w:pPr>
            <w:r w:rsidRPr="00210112">
              <w:rPr>
                <w:rFonts w:eastAsia="SimSun"/>
                <w:i/>
                <w:sz w:val="16"/>
              </w:rPr>
              <w:t xml:space="preserve">Total General </w:t>
            </w:r>
          </w:p>
        </w:tc>
      </w:tr>
      <w:tr w:rsidR="00210112" w:rsidRPr="00210112" w14:paraId="2AEBF028"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auto"/>
          </w:tcPr>
          <w:p w14:paraId="16F5278E" w14:textId="77777777" w:rsidR="00584263" w:rsidRPr="00777507" w:rsidRDefault="00584263" w:rsidP="00777507">
            <w:pPr>
              <w:spacing w:before="40" w:after="40" w:line="220" w:lineRule="exact"/>
              <w:rPr>
                <w:rFonts w:ascii="Times New Roman" w:eastAsia="SimSun" w:hAnsi="Times New Roman"/>
                <w:b w:val="0"/>
                <w:color w:val="auto"/>
                <w:sz w:val="18"/>
              </w:rPr>
            </w:pPr>
            <w:r w:rsidRPr="00210112">
              <w:rPr>
                <w:rFonts w:eastAsia="SimSun"/>
                <w:sz w:val="18"/>
              </w:rPr>
              <w:t>Beni</w:t>
            </w:r>
          </w:p>
        </w:tc>
        <w:tc>
          <w:tcPr>
            <w:tcW w:w="0" w:type="pct"/>
            <w:tcBorders>
              <w:top w:val="single" w:sz="12" w:space="0" w:color="auto"/>
            </w:tcBorders>
            <w:shd w:val="clear" w:color="auto" w:fill="auto"/>
            <w:vAlign w:val="bottom"/>
          </w:tcPr>
          <w:p w14:paraId="55FB2E27" w14:textId="77777777" w:rsidR="00584263" w:rsidRPr="00777507" w:rsidRDefault="00584263"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210112">
              <w:rPr>
                <w:rFonts w:eastAsia="SimSun"/>
                <w:sz w:val="18"/>
              </w:rPr>
              <w:t>10</w:t>
            </w:r>
          </w:p>
        </w:tc>
        <w:tc>
          <w:tcPr>
            <w:tcW w:w="0" w:type="pct"/>
            <w:tcBorders>
              <w:top w:val="single" w:sz="12" w:space="0" w:color="auto"/>
            </w:tcBorders>
            <w:shd w:val="clear" w:color="auto" w:fill="auto"/>
            <w:vAlign w:val="bottom"/>
          </w:tcPr>
          <w:p w14:paraId="20267785" w14:textId="77777777" w:rsidR="00584263" w:rsidRPr="00777507" w:rsidRDefault="00584263"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210112">
              <w:rPr>
                <w:rFonts w:eastAsia="SimSun"/>
                <w:sz w:val="18"/>
              </w:rPr>
              <w:t>18</w:t>
            </w:r>
          </w:p>
        </w:tc>
        <w:tc>
          <w:tcPr>
            <w:tcW w:w="0" w:type="pct"/>
            <w:tcBorders>
              <w:top w:val="single" w:sz="12" w:space="0" w:color="auto"/>
            </w:tcBorders>
            <w:shd w:val="clear" w:color="auto" w:fill="auto"/>
            <w:vAlign w:val="bottom"/>
          </w:tcPr>
          <w:p w14:paraId="7EC3EBA0" w14:textId="77777777" w:rsidR="00584263" w:rsidRPr="00777507" w:rsidRDefault="00584263"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210112">
              <w:rPr>
                <w:rFonts w:eastAsia="SimSun"/>
                <w:sz w:val="18"/>
              </w:rPr>
              <w:t>15</w:t>
            </w:r>
          </w:p>
        </w:tc>
        <w:tc>
          <w:tcPr>
            <w:tcW w:w="0" w:type="pct"/>
            <w:tcBorders>
              <w:top w:val="single" w:sz="12" w:space="0" w:color="auto"/>
            </w:tcBorders>
            <w:shd w:val="clear" w:color="auto" w:fill="auto"/>
            <w:vAlign w:val="bottom"/>
          </w:tcPr>
          <w:p w14:paraId="3D334FD0" w14:textId="77777777" w:rsidR="00584263" w:rsidRPr="00777507" w:rsidRDefault="00584263"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210112">
              <w:rPr>
                <w:rFonts w:eastAsia="SimSun"/>
                <w:sz w:val="18"/>
              </w:rPr>
              <w:t>23</w:t>
            </w:r>
          </w:p>
        </w:tc>
        <w:tc>
          <w:tcPr>
            <w:tcW w:w="0" w:type="pct"/>
            <w:tcBorders>
              <w:top w:val="single" w:sz="12" w:space="0" w:color="auto"/>
            </w:tcBorders>
            <w:shd w:val="clear" w:color="auto" w:fill="auto"/>
            <w:vAlign w:val="bottom"/>
          </w:tcPr>
          <w:p w14:paraId="7489AD9C" w14:textId="77777777" w:rsidR="00584263" w:rsidRPr="00777507" w:rsidRDefault="00584263"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210112">
              <w:rPr>
                <w:rFonts w:eastAsia="SimSun"/>
                <w:sz w:val="18"/>
              </w:rPr>
              <w:t>35</w:t>
            </w:r>
          </w:p>
        </w:tc>
        <w:tc>
          <w:tcPr>
            <w:tcW w:w="0" w:type="pct"/>
            <w:tcBorders>
              <w:top w:val="single" w:sz="12" w:space="0" w:color="auto"/>
            </w:tcBorders>
            <w:shd w:val="clear" w:color="auto" w:fill="auto"/>
            <w:vAlign w:val="bottom"/>
          </w:tcPr>
          <w:p w14:paraId="60D62BB6" w14:textId="77777777" w:rsidR="00584263" w:rsidRPr="00777507" w:rsidRDefault="00584263"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210112">
              <w:rPr>
                <w:rFonts w:eastAsia="SimSun"/>
                <w:sz w:val="18"/>
              </w:rPr>
              <w:t>22</w:t>
            </w:r>
          </w:p>
        </w:tc>
        <w:tc>
          <w:tcPr>
            <w:tcW w:w="0" w:type="pct"/>
            <w:tcBorders>
              <w:top w:val="single" w:sz="12" w:space="0" w:color="auto"/>
            </w:tcBorders>
            <w:shd w:val="clear" w:color="auto" w:fill="auto"/>
            <w:vAlign w:val="bottom"/>
          </w:tcPr>
          <w:p w14:paraId="1357D0A4" w14:textId="77777777" w:rsidR="00584263" w:rsidRPr="00777507" w:rsidRDefault="00584263"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210112">
              <w:rPr>
                <w:rFonts w:eastAsia="SimSun"/>
                <w:sz w:val="18"/>
              </w:rPr>
              <w:t>123</w:t>
            </w:r>
          </w:p>
        </w:tc>
      </w:tr>
      <w:tr w:rsidR="00210112" w:rsidRPr="00210112" w14:paraId="40FD89FA"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868FA6F"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Abierto</w:t>
            </w:r>
          </w:p>
        </w:tc>
        <w:tc>
          <w:tcPr>
            <w:tcW w:w="0" w:type="pct"/>
            <w:shd w:val="clear" w:color="auto" w:fill="auto"/>
            <w:vAlign w:val="bottom"/>
            <w:hideMark/>
          </w:tcPr>
          <w:p w14:paraId="2E5C4E3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263252C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739F57B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p>
        </w:tc>
        <w:tc>
          <w:tcPr>
            <w:tcW w:w="0" w:type="pct"/>
            <w:shd w:val="clear" w:color="auto" w:fill="auto"/>
            <w:vAlign w:val="bottom"/>
            <w:hideMark/>
          </w:tcPr>
          <w:p w14:paraId="42F5E2A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6E03DC6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8</w:t>
            </w:r>
          </w:p>
        </w:tc>
        <w:tc>
          <w:tcPr>
            <w:tcW w:w="0" w:type="pct"/>
            <w:shd w:val="clear" w:color="auto" w:fill="auto"/>
            <w:vAlign w:val="bottom"/>
            <w:hideMark/>
          </w:tcPr>
          <w:p w14:paraId="252C4CA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15</w:t>
            </w:r>
          </w:p>
        </w:tc>
        <w:tc>
          <w:tcPr>
            <w:tcW w:w="0" w:type="pct"/>
            <w:shd w:val="clear" w:color="auto" w:fill="auto"/>
            <w:vAlign w:val="bottom"/>
            <w:hideMark/>
          </w:tcPr>
          <w:p w14:paraId="2F85F46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29</w:t>
            </w:r>
          </w:p>
        </w:tc>
      </w:tr>
      <w:tr w:rsidR="00210112" w:rsidRPr="00210112" w14:paraId="6BAF0BFB"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9A31A01"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Abreviado </w:t>
            </w:r>
          </w:p>
        </w:tc>
        <w:tc>
          <w:tcPr>
            <w:tcW w:w="0" w:type="pct"/>
            <w:shd w:val="clear" w:color="auto" w:fill="auto"/>
            <w:vAlign w:val="bottom"/>
          </w:tcPr>
          <w:p w14:paraId="61297E9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FE9513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4DDDBA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4E40C81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2648470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3DD9FEB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F0D48C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26609F24"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56B93D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Cerrado otros </w:t>
            </w:r>
          </w:p>
        </w:tc>
        <w:tc>
          <w:tcPr>
            <w:tcW w:w="0" w:type="pct"/>
            <w:shd w:val="clear" w:color="auto" w:fill="auto"/>
            <w:vAlign w:val="bottom"/>
            <w:hideMark/>
          </w:tcPr>
          <w:p w14:paraId="7B13A27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3B4C25F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358544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EA738A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0357CD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F032EF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82D213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55807C31"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3C5DF39"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Con condena </w:t>
            </w:r>
          </w:p>
        </w:tc>
        <w:tc>
          <w:tcPr>
            <w:tcW w:w="0" w:type="pct"/>
            <w:shd w:val="clear" w:color="auto" w:fill="auto"/>
            <w:vAlign w:val="bottom"/>
            <w:hideMark/>
          </w:tcPr>
          <w:p w14:paraId="391181E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6FB20A0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1C36CF5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DBBE8C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CDE2DC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28E0A9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E386B7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6206A243"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D293F4A"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Declinatoria de competencia </w:t>
            </w:r>
          </w:p>
        </w:tc>
        <w:tc>
          <w:tcPr>
            <w:tcW w:w="0" w:type="pct"/>
            <w:shd w:val="clear" w:color="auto" w:fill="auto"/>
            <w:vAlign w:val="bottom"/>
          </w:tcPr>
          <w:p w14:paraId="726DCB6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921203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6DE745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F21FFA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76597F8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27E8AC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B9DDBD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2AD83CB2"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38BCD2A"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Desistimiento </w:t>
            </w:r>
          </w:p>
        </w:tc>
        <w:tc>
          <w:tcPr>
            <w:tcW w:w="0" w:type="pct"/>
            <w:shd w:val="clear" w:color="auto" w:fill="auto"/>
            <w:vAlign w:val="bottom"/>
          </w:tcPr>
          <w:p w14:paraId="154AA28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B498F1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0048B0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957560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tcPr>
          <w:p w14:paraId="368D12E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D1A277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F69D9E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1518CD3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49D35BB"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Rechazado </w:t>
            </w:r>
          </w:p>
        </w:tc>
        <w:tc>
          <w:tcPr>
            <w:tcW w:w="0" w:type="pct"/>
            <w:shd w:val="clear" w:color="auto" w:fill="auto"/>
            <w:vAlign w:val="bottom"/>
            <w:hideMark/>
          </w:tcPr>
          <w:p w14:paraId="5E23223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w:t>
            </w:r>
          </w:p>
        </w:tc>
        <w:tc>
          <w:tcPr>
            <w:tcW w:w="0" w:type="pct"/>
            <w:shd w:val="clear" w:color="auto" w:fill="auto"/>
            <w:vAlign w:val="bottom"/>
            <w:hideMark/>
          </w:tcPr>
          <w:p w14:paraId="04E3BB2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13</w:t>
            </w:r>
          </w:p>
        </w:tc>
        <w:tc>
          <w:tcPr>
            <w:tcW w:w="0" w:type="pct"/>
            <w:shd w:val="clear" w:color="auto" w:fill="auto"/>
            <w:vAlign w:val="bottom"/>
            <w:hideMark/>
          </w:tcPr>
          <w:p w14:paraId="2F8F524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13</w:t>
            </w:r>
          </w:p>
        </w:tc>
        <w:tc>
          <w:tcPr>
            <w:tcW w:w="0" w:type="pct"/>
            <w:shd w:val="clear" w:color="auto" w:fill="auto"/>
            <w:vAlign w:val="bottom"/>
            <w:hideMark/>
          </w:tcPr>
          <w:p w14:paraId="2853835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11</w:t>
            </w:r>
          </w:p>
        </w:tc>
        <w:tc>
          <w:tcPr>
            <w:tcW w:w="0" w:type="pct"/>
            <w:shd w:val="clear" w:color="auto" w:fill="auto"/>
            <w:vAlign w:val="bottom"/>
            <w:hideMark/>
          </w:tcPr>
          <w:p w14:paraId="26E1B65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24</w:t>
            </w:r>
          </w:p>
        </w:tc>
        <w:tc>
          <w:tcPr>
            <w:tcW w:w="0" w:type="pct"/>
            <w:shd w:val="clear" w:color="auto" w:fill="auto"/>
            <w:vAlign w:val="bottom"/>
            <w:hideMark/>
          </w:tcPr>
          <w:p w14:paraId="3C1DAB8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7</w:t>
            </w:r>
          </w:p>
        </w:tc>
        <w:tc>
          <w:tcPr>
            <w:tcW w:w="0" w:type="pct"/>
            <w:shd w:val="clear" w:color="auto" w:fill="auto"/>
            <w:vAlign w:val="bottom"/>
            <w:hideMark/>
          </w:tcPr>
          <w:p w14:paraId="594A5E8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74</w:t>
            </w:r>
          </w:p>
        </w:tc>
      </w:tr>
      <w:tr w:rsidR="00210112" w:rsidRPr="00210112" w14:paraId="63B7AD2E"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3847F1B"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Remisión </w:t>
            </w:r>
          </w:p>
        </w:tc>
        <w:tc>
          <w:tcPr>
            <w:tcW w:w="0" w:type="pct"/>
            <w:shd w:val="clear" w:color="auto" w:fill="auto"/>
            <w:vAlign w:val="bottom"/>
          </w:tcPr>
          <w:p w14:paraId="3D0D126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3987493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6118AD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A093B1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0F2CD66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629AFE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84D977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06F4665D"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87BA377"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Sobreseído </w:t>
            </w:r>
          </w:p>
        </w:tc>
        <w:tc>
          <w:tcPr>
            <w:tcW w:w="0" w:type="pct"/>
            <w:shd w:val="clear" w:color="auto" w:fill="auto"/>
            <w:vAlign w:val="bottom"/>
          </w:tcPr>
          <w:p w14:paraId="5A3AD95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EB0683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709A299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653A877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116C5CD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05317D5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56A1598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7</w:t>
            </w:r>
          </w:p>
        </w:tc>
      </w:tr>
      <w:tr w:rsidR="00210112" w:rsidRPr="00210112" w14:paraId="65328D8D"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907BAD9"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Chuquisaca </w:t>
            </w:r>
          </w:p>
        </w:tc>
        <w:tc>
          <w:tcPr>
            <w:tcW w:w="0" w:type="pct"/>
            <w:shd w:val="clear" w:color="auto" w:fill="auto"/>
            <w:vAlign w:val="bottom"/>
            <w:hideMark/>
          </w:tcPr>
          <w:p w14:paraId="6898187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24</w:t>
            </w:r>
          </w:p>
        </w:tc>
        <w:tc>
          <w:tcPr>
            <w:tcW w:w="0" w:type="pct"/>
            <w:shd w:val="clear" w:color="auto" w:fill="auto"/>
            <w:vAlign w:val="bottom"/>
            <w:hideMark/>
          </w:tcPr>
          <w:p w14:paraId="2DEF237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16</w:t>
            </w:r>
          </w:p>
        </w:tc>
        <w:tc>
          <w:tcPr>
            <w:tcW w:w="0" w:type="pct"/>
            <w:shd w:val="clear" w:color="auto" w:fill="auto"/>
            <w:vAlign w:val="bottom"/>
            <w:hideMark/>
          </w:tcPr>
          <w:p w14:paraId="4A3123D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7</w:t>
            </w:r>
          </w:p>
        </w:tc>
        <w:tc>
          <w:tcPr>
            <w:tcW w:w="0" w:type="pct"/>
            <w:shd w:val="clear" w:color="auto" w:fill="auto"/>
            <w:vAlign w:val="bottom"/>
            <w:hideMark/>
          </w:tcPr>
          <w:p w14:paraId="5A39AAA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8</w:t>
            </w:r>
          </w:p>
        </w:tc>
        <w:tc>
          <w:tcPr>
            <w:tcW w:w="0" w:type="pct"/>
            <w:shd w:val="clear" w:color="auto" w:fill="auto"/>
            <w:vAlign w:val="bottom"/>
            <w:hideMark/>
          </w:tcPr>
          <w:p w14:paraId="7153B80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10</w:t>
            </w:r>
          </w:p>
        </w:tc>
        <w:tc>
          <w:tcPr>
            <w:tcW w:w="0" w:type="pct"/>
            <w:shd w:val="clear" w:color="auto" w:fill="auto"/>
            <w:vAlign w:val="bottom"/>
            <w:hideMark/>
          </w:tcPr>
          <w:p w14:paraId="33C8DB8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8</w:t>
            </w:r>
          </w:p>
        </w:tc>
        <w:tc>
          <w:tcPr>
            <w:tcW w:w="0" w:type="pct"/>
            <w:shd w:val="clear" w:color="auto" w:fill="auto"/>
            <w:vAlign w:val="bottom"/>
            <w:hideMark/>
          </w:tcPr>
          <w:p w14:paraId="3B9BDB2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33</w:t>
            </w:r>
          </w:p>
        </w:tc>
      </w:tr>
      <w:tr w:rsidR="00210112" w:rsidRPr="00210112" w14:paraId="54688EF3"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F6D5122"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Abierto</w:t>
            </w:r>
          </w:p>
        </w:tc>
        <w:tc>
          <w:tcPr>
            <w:tcW w:w="0" w:type="pct"/>
            <w:shd w:val="clear" w:color="auto" w:fill="auto"/>
            <w:vAlign w:val="bottom"/>
            <w:hideMark/>
          </w:tcPr>
          <w:p w14:paraId="7FCE694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2CAABB0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2CD54EA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E378AC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3D4B96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12D9A9F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4359504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13</w:t>
            </w:r>
          </w:p>
        </w:tc>
      </w:tr>
      <w:tr w:rsidR="00210112" w:rsidRPr="00210112" w14:paraId="57DEC8DB"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A40E91A"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Abreviado</w:t>
            </w:r>
          </w:p>
        </w:tc>
        <w:tc>
          <w:tcPr>
            <w:tcW w:w="0" w:type="pct"/>
            <w:shd w:val="clear" w:color="auto" w:fill="auto"/>
            <w:vAlign w:val="bottom"/>
          </w:tcPr>
          <w:p w14:paraId="373B68B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D2CAE8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363196B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770B4F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9DC301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F2CD41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5D06C7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4082346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8CC647C"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lastRenderedPageBreak/>
              <w:t xml:space="preserve">Con condena </w:t>
            </w:r>
          </w:p>
        </w:tc>
        <w:tc>
          <w:tcPr>
            <w:tcW w:w="0" w:type="pct"/>
            <w:shd w:val="clear" w:color="auto" w:fill="auto"/>
            <w:vAlign w:val="bottom"/>
          </w:tcPr>
          <w:p w14:paraId="7437A43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5A4A50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tcPr>
          <w:p w14:paraId="685BFAE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BB51EF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E7212F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94F80A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5A06589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5</w:t>
            </w:r>
          </w:p>
        </w:tc>
      </w:tr>
      <w:tr w:rsidR="00210112" w:rsidRPr="00210112" w14:paraId="3506BE87"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E207A07"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Desestimado </w:t>
            </w:r>
          </w:p>
        </w:tc>
        <w:tc>
          <w:tcPr>
            <w:tcW w:w="0" w:type="pct"/>
            <w:shd w:val="clear" w:color="auto" w:fill="auto"/>
            <w:vAlign w:val="bottom"/>
          </w:tcPr>
          <w:p w14:paraId="1EF6440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89B653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2C8748E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5D0374F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8AA2AE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633CA23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82881C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1A8EB4C5"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EC80CB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Extinguido </w:t>
            </w:r>
          </w:p>
        </w:tc>
        <w:tc>
          <w:tcPr>
            <w:tcW w:w="0" w:type="pct"/>
            <w:shd w:val="clear" w:color="auto" w:fill="auto"/>
            <w:vAlign w:val="bottom"/>
          </w:tcPr>
          <w:p w14:paraId="3B9CDA3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B6C54F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56051BB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D042E7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4776AE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344D6B2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913757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43EC0B6B"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FB9AF2C"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Rechazado</w:t>
            </w:r>
          </w:p>
        </w:tc>
        <w:tc>
          <w:tcPr>
            <w:tcW w:w="0" w:type="pct"/>
            <w:shd w:val="clear" w:color="auto" w:fill="auto"/>
            <w:vAlign w:val="bottom"/>
            <w:hideMark/>
          </w:tcPr>
          <w:p w14:paraId="4182215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20</w:t>
            </w:r>
          </w:p>
        </w:tc>
        <w:tc>
          <w:tcPr>
            <w:tcW w:w="0" w:type="pct"/>
            <w:shd w:val="clear" w:color="auto" w:fill="auto"/>
            <w:vAlign w:val="bottom"/>
            <w:hideMark/>
          </w:tcPr>
          <w:p w14:paraId="3847130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7</w:t>
            </w:r>
          </w:p>
        </w:tc>
        <w:tc>
          <w:tcPr>
            <w:tcW w:w="0" w:type="pct"/>
            <w:shd w:val="clear" w:color="auto" w:fill="auto"/>
            <w:vAlign w:val="bottom"/>
            <w:hideMark/>
          </w:tcPr>
          <w:p w14:paraId="19B2B5E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77F888F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14ABAB8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18E0F3B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08F1EBB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44</w:t>
            </w:r>
          </w:p>
        </w:tc>
      </w:tr>
      <w:tr w:rsidR="00210112" w:rsidRPr="00210112" w14:paraId="7F4F254B"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17ED61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Cochabamba </w:t>
            </w:r>
          </w:p>
        </w:tc>
        <w:tc>
          <w:tcPr>
            <w:tcW w:w="0" w:type="pct"/>
            <w:shd w:val="clear" w:color="auto" w:fill="auto"/>
            <w:vAlign w:val="bottom"/>
            <w:hideMark/>
          </w:tcPr>
          <w:p w14:paraId="09E848D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111</w:t>
            </w:r>
          </w:p>
        </w:tc>
        <w:tc>
          <w:tcPr>
            <w:tcW w:w="0" w:type="pct"/>
            <w:shd w:val="clear" w:color="auto" w:fill="auto"/>
            <w:vAlign w:val="bottom"/>
            <w:hideMark/>
          </w:tcPr>
          <w:p w14:paraId="2F3F05B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40</w:t>
            </w:r>
          </w:p>
        </w:tc>
        <w:tc>
          <w:tcPr>
            <w:tcW w:w="0" w:type="pct"/>
            <w:shd w:val="clear" w:color="auto" w:fill="auto"/>
            <w:vAlign w:val="bottom"/>
            <w:hideMark/>
          </w:tcPr>
          <w:p w14:paraId="1FCB44B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85</w:t>
            </w:r>
          </w:p>
        </w:tc>
        <w:tc>
          <w:tcPr>
            <w:tcW w:w="0" w:type="pct"/>
            <w:shd w:val="clear" w:color="auto" w:fill="auto"/>
            <w:vAlign w:val="bottom"/>
            <w:hideMark/>
          </w:tcPr>
          <w:p w14:paraId="5418681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76</w:t>
            </w:r>
          </w:p>
        </w:tc>
        <w:tc>
          <w:tcPr>
            <w:tcW w:w="0" w:type="pct"/>
            <w:shd w:val="clear" w:color="auto" w:fill="auto"/>
            <w:vAlign w:val="bottom"/>
            <w:hideMark/>
          </w:tcPr>
          <w:p w14:paraId="475E100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66</w:t>
            </w:r>
          </w:p>
        </w:tc>
        <w:tc>
          <w:tcPr>
            <w:tcW w:w="0" w:type="pct"/>
            <w:shd w:val="clear" w:color="auto" w:fill="auto"/>
            <w:vAlign w:val="bottom"/>
            <w:hideMark/>
          </w:tcPr>
          <w:p w14:paraId="7E989B1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65</w:t>
            </w:r>
          </w:p>
        </w:tc>
        <w:tc>
          <w:tcPr>
            <w:tcW w:w="0" w:type="pct"/>
            <w:shd w:val="clear" w:color="auto" w:fill="auto"/>
            <w:vAlign w:val="bottom"/>
            <w:hideMark/>
          </w:tcPr>
          <w:p w14:paraId="3F82284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443</w:t>
            </w:r>
          </w:p>
        </w:tc>
      </w:tr>
      <w:tr w:rsidR="00210112" w:rsidRPr="00210112" w14:paraId="004A1CA1"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A56ACBA"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Abierto</w:t>
            </w:r>
          </w:p>
        </w:tc>
        <w:tc>
          <w:tcPr>
            <w:tcW w:w="0" w:type="pct"/>
            <w:shd w:val="clear" w:color="auto" w:fill="auto"/>
            <w:vAlign w:val="bottom"/>
            <w:hideMark/>
          </w:tcPr>
          <w:p w14:paraId="0A2D266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7</w:t>
            </w:r>
          </w:p>
        </w:tc>
        <w:tc>
          <w:tcPr>
            <w:tcW w:w="0" w:type="pct"/>
            <w:shd w:val="clear" w:color="auto" w:fill="auto"/>
            <w:vAlign w:val="bottom"/>
            <w:hideMark/>
          </w:tcPr>
          <w:p w14:paraId="0127E8B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7316472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8</w:t>
            </w:r>
          </w:p>
        </w:tc>
        <w:tc>
          <w:tcPr>
            <w:tcW w:w="0" w:type="pct"/>
            <w:shd w:val="clear" w:color="auto" w:fill="auto"/>
            <w:vAlign w:val="bottom"/>
            <w:hideMark/>
          </w:tcPr>
          <w:p w14:paraId="38B5A61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13</w:t>
            </w:r>
          </w:p>
        </w:tc>
        <w:tc>
          <w:tcPr>
            <w:tcW w:w="0" w:type="pct"/>
            <w:shd w:val="clear" w:color="auto" w:fill="auto"/>
            <w:vAlign w:val="bottom"/>
            <w:hideMark/>
          </w:tcPr>
          <w:p w14:paraId="2BB1F22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11</w:t>
            </w:r>
          </w:p>
        </w:tc>
        <w:tc>
          <w:tcPr>
            <w:tcW w:w="0" w:type="pct"/>
            <w:shd w:val="clear" w:color="auto" w:fill="auto"/>
            <w:vAlign w:val="bottom"/>
            <w:hideMark/>
          </w:tcPr>
          <w:p w14:paraId="64A3EA0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39</w:t>
            </w:r>
          </w:p>
        </w:tc>
        <w:tc>
          <w:tcPr>
            <w:tcW w:w="0" w:type="pct"/>
            <w:shd w:val="clear" w:color="auto" w:fill="auto"/>
            <w:vAlign w:val="bottom"/>
            <w:hideMark/>
          </w:tcPr>
          <w:p w14:paraId="7F5523C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80</w:t>
            </w:r>
          </w:p>
        </w:tc>
      </w:tr>
      <w:tr w:rsidR="00210112" w:rsidRPr="00210112" w14:paraId="5C9E3A2B"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638FADF"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Abreviado</w:t>
            </w:r>
            <w:r w:rsidR="00DB2928" w:rsidRPr="00777507">
              <w:rPr>
                <w:rFonts w:eastAsia="SimSun"/>
                <w:sz w:val="18"/>
              </w:rPr>
              <w:t xml:space="preserve"> </w:t>
            </w:r>
          </w:p>
        </w:tc>
        <w:tc>
          <w:tcPr>
            <w:tcW w:w="0" w:type="pct"/>
            <w:shd w:val="clear" w:color="auto" w:fill="auto"/>
            <w:vAlign w:val="bottom"/>
          </w:tcPr>
          <w:p w14:paraId="42FD013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F23CEA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1BBACCC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84FDE4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5B0EB1F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DCE33B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AA2A4E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0680514F"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D2A5931"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Cerrado otros </w:t>
            </w:r>
          </w:p>
        </w:tc>
        <w:tc>
          <w:tcPr>
            <w:tcW w:w="0" w:type="pct"/>
            <w:shd w:val="clear" w:color="auto" w:fill="auto"/>
            <w:vAlign w:val="bottom"/>
            <w:hideMark/>
          </w:tcPr>
          <w:p w14:paraId="1CAC70E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1E7478C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549635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6</w:t>
            </w:r>
          </w:p>
        </w:tc>
        <w:tc>
          <w:tcPr>
            <w:tcW w:w="0" w:type="pct"/>
            <w:shd w:val="clear" w:color="auto" w:fill="auto"/>
            <w:vAlign w:val="bottom"/>
            <w:hideMark/>
          </w:tcPr>
          <w:p w14:paraId="1B75220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77A63DB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tcPr>
          <w:p w14:paraId="3F9AFFB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p>
        </w:tc>
        <w:tc>
          <w:tcPr>
            <w:tcW w:w="0" w:type="pct"/>
            <w:shd w:val="clear" w:color="auto" w:fill="auto"/>
            <w:vAlign w:val="bottom"/>
            <w:hideMark/>
          </w:tcPr>
          <w:p w14:paraId="3850956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15</w:t>
            </w:r>
          </w:p>
        </w:tc>
      </w:tr>
      <w:tr w:rsidR="00210112" w:rsidRPr="00210112" w14:paraId="69566C97"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3BC02B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Con absolución</w:t>
            </w:r>
          </w:p>
        </w:tc>
        <w:tc>
          <w:tcPr>
            <w:tcW w:w="0" w:type="pct"/>
            <w:shd w:val="clear" w:color="auto" w:fill="auto"/>
            <w:vAlign w:val="bottom"/>
          </w:tcPr>
          <w:p w14:paraId="5EC0F71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BD48B5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3F376B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7E1DC44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6FF154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2DF536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C905D4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67A3B268"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390BEDD"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Con condena</w:t>
            </w:r>
          </w:p>
        </w:tc>
        <w:tc>
          <w:tcPr>
            <w:tcW w:w="0" w:type="pct"/>
            <w:shd w:val="clear" w:color="auto" w:fill="auto"/>
            <w:vAlign w:val="bottom"/>
            <w:hideMark/>
          </w:tcPr>
          <w:p w14:paraId="52F6EE3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661E7EB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AF0032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24B6C73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3064C9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3B5507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DDCB8A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4D1E0F0F"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E002949"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Conexitud o acumulación </w:t>
            </w:r>
          </w:p>
        </w:tc>
        <w:tc>
          <w:tcPr>
            <w:tcW w:w="0" w:type="pct"/>
            <w:shd w:val="clear" w:color="auto" w:fill="auto"/>
            <w:vAlign w:val="bottom"/>
          </w:tcPr>
          <w:p w14:paraId="373C7F6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6F080D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738C6E1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D6806A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AD310A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E32992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629654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4D3AC127"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5347EE1"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Declaratoria de competencia </w:t>
            </w:r>
          </w:p>
        </w:tc>
        <w:tc>
          <w:tcPr>
            <w:tcW w:w="0" w:type="pct"/>
            <w:shd w:val="clear" w:color="auto" w:fill="auto"/>
            <w:vAlign w:val="bottom"/>
          </w:tcPr>
          <w:p w14:paraId="19F43BB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9A34A8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186FB4C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6</w:t>
            </w:r>
          </w:p>
        </w:tc>
        <w:tc>
          <w:tcPr>
            <w:tcW w:w="0" w:type="pct"/>
            <w:shd w:val="clear" w:color="auto" w:fill="auto"/>
            <w:vAlign w:val="bottom"/>
            <w:hideMark/>
          </w:tcPr>
          <w:p w14:paraId="1076061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9</w:t>
            </w:r>
          </w:p>
        </w:tc>
        <w:tc>
          <w:tcPr>
            <w:tcW w:w="0" w:type="pct"/>
            <w:shd w:val="clear" w:color="auto" w:fill="auto"/>
            <w:vAlign w:val="bottom"/>
            <w:hideMark/>
          </w:tcPr>
          <w:p w14:paraId="1AD3654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3AE07FD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51949C3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24</w:t>
            </w:r>
          </w:p>
        </w:tc>
      </w:tr>
      <w:tr w:rsidR="00210112" w:rsidRPr="00210112" w14:paraId="4F012594"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210CBB5"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Desestimado</w:t>
            </w:r>
          </w:p>
        </w:tc>
        <w:tc>
          <w:tcPr>
            <w:tcW w:w="0" w:type="pct"/>
            <w:shd w:val="clear" w:color="auto" w:fill="auto"/>
            <w:vAlign w:val="bottom"/>
          </w:tcPr>
          <w:p w14:paraId="3963D71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63F5C4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07C30DB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w:t>
            </w:r>
          </w:p>
        </w:tc>
        <w:tc>
          <w:tcPr>
            <w:tcW w:w="0" w:type="pct"/>
            <w:shd w:val="clear" w:color="auto" w:fill="auto"/>
            <w:vAlign w:val="bottom"/>
            <w:hideMark/>
          </w:tcPr>
          <w:p w14:paraId="60F2191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9</w:t>
            </w:r>
          </w:p>
        </w:tc>
        <w:tc>
          <w:tcPr>
            <w:tcW w:w="0" w:type="pct"/>
            <w:shd w:val="clear" w:color="auto" w:fill="auto"/>
            <w:vAlign w:val="bottom"/>
            <w:hideMark/>
          </w:tcPr>
          <w:p w14:paraId="42B991F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6421D8A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01810DF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24</w:t>
            </w:r>
          </w:p>
        </w:tc>
      </w:tr>
      <w:tr w:rsidR="00210112" w:rsidRPr="00210112" w14:paraId="246BA0AF"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A0B73BB"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Extinguido</w:t>
            </w:r>
          </w:p>
        </w:tc>
        <w:tc>
          <w:tcPr>
            <w:tcW w:w="0" w:type="pct"/>
            <w:shd w:val="clear" w:color="auto" w:fill="auto"/>
            <w:vAlign w:val="bottom"/>
          </w:tcPr>
          <w:p w14:paraId="2463D7D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55C970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C1B5A7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06A360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35A8CB8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79480B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71AA65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r>
      <w:tr w:rsidR="00210112" w:rsidRPr="00210112" w14:paraId="3381A34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0002DF1"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Rechazado</w:t>
            </w:r>
          </w:p>
        </w:tc>
        <w:tc>
          <w:tcPr>
            <w:tcW w:w="0" w:type="pct"/>
            <w:shd w:val="clear" w:color="auto" w:fill="auto"/>
            <w:vAlign w:val="bottom"/>
            <w:hideMark/>
          </w:tcPr>
          <w:p w14:paraId="31EF649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94</w:t>
            </w:r>
          </w:p>
        </w:tc>
        <w:tc>
          <w:tcPr>
            <w:tcW w:w="0" w:type="pct"/>
            <w:shd w:val="clear" w:color="auto" w:fill="auto"/>
            <w:vAlign w:val="bottom"/>
            <w:hideMark/>
          </w:tcPr>
          <w:p w14:paraId="47F3FB1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30</w:t>
            </w:r>
          </w:p>
        </w:tc>
        <w:tc>
          <w:tcPr>
            <w:tcW w:w="0" w:type="pct"/>
            <w:shd w:val="clear" w:color="auto" w:fill="auto"/>
            <w:vAlign w:val="bottom"/>
            <w:hideMark/>
          </w:tcPr>
          <w:p w14:paraId="75F42DD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60</w:t>
            </w:r>
          </w:p>
        </w:tc>
        <w:tc>
          <w:tcPr>
            <w:tcW w:w="0" w:type="pct"/>
            <w:shd w:val="clear" w:color="auto" w:fill="auto"/>
            <w:vAlign w:val="bottom"/>
            <w:hideMark/>
          </w:tcPr>
          <w:p w14:paraId="3390844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42</w:t>
            </w:r>
          </w:p>
        </w:tc>
        <w:tc>
          <w:tcPr>
            <w:tcW w:w="0" w:type="pct"/>
            <w:shd w:val="clear" w:color="auto" w:fill="auto"/>
            <w:vAlign w:val="bottom"/>
            <w:hideMark/>
          </w:tcPr>
          <w:p w14:paraId="4A30521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43</w:t>
            </w:r>
          </w:p>
        </w:tc>
        <w:tc>
          <w:tcPr>
            <w:tcW w:w="0" w:type="pct"/>
            <w:shd w:val="clear" w:color="auto" w:fill="auto"/>
            <w:vAlign w:val="bottom"/>
            <w:hideMark/>
          </w:tcPr>
          <w:p w14:paraId="3ACB221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22</w:t>
            </w:r>
          </w:p>
        </w:tc>
        <w:tc>
          <w:tcPr>
            <w:tcW w:w="0" w:type="pct"/>
            <w:shd w:val="clear" w:color="auto" w:fill="auto"/>
            <w:vAlign w:val="bottom"/>
            <w:hideMark/>
          </w:tcPr>
          <w:p w14:paraId="1DE69F8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291</w:t>
            </w:r>
          </w:p>
        </w:tc>
      </w:tr>
      <w:tr w:rsidR="00210112" w:rsidRPr="00210112" w14:paraId="11DEF3D1"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F60BF7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Sobrese</w:t>
            </w:r>
            <w:r w:rsidR="00621AFD">
              <w:rPr>
                <w:rFonts w:ascii="Times New Roman" w:eastAsia="SimSun" w:hAnsi="Times New Roman"/>
                <w:b w:val="0"/>
                <w:color w:val="auto"/>
                <w:sz w:val="18"/>
              </w:rPr>
              <w:t>í</w:t>
            </w:r>
            <w:r w:rsidRPr="00777507">
              <w:rPr>
                <w:rFonts w:eastAsia="SimSun"/>
                <w:sz w:val="18"/>
              </w:rPr>
              <w:t>do</w:t>
            </w:r>
          </w:p>
        </w:tc>
        <w:tc>
          <w:tcPr>
            <w:tcW w:w="0" w:type="pct"/>
            <w:shd w:val="clear" w:color="auto" w:fill="auto"/>
            <w:vAlign w:val="bottom"/>
            <w:hideMark/>
          </w:tcPr>
          <w:p w14:paraId="0D9E23A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7</w:t>
            </w:r>
          </w:p>
        </w:tc>
        <w:tc>
          <w:tcPr>
            <w:tcW w:w="0" w:type="pct"/>
            <w:shd w:val="clear" w:color="auto" w:fill="auto"/>
            <w:vAlign w:val="bottom"/>
            <w:hideMark/>
          </w:tcPr>
          <w:p w14:paraId="06CB8FD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4A593B5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5C45459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688C011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5E1352A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p>
        </w:tc>
        <w:tc>
          <w:tcPr>
            <w:tcW w:w="0" w:type="pct"/>
            <w:shd w:val="clear" w:color="auto" w:fill="auto"/>
            <w:vAlign w:val="bottom"/>
            <w:hideMark/>
          </w:tcPr>
          <w:p w14:paraId="2657D04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18</w:t>
            </w:r>
          </w:p>
        </w:tc>
      </w:tr>
      <w:tr w:rsidR="00210112" w:rsidRPr="00210112" w14:paraId="6EAEE13C"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13C443C"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La Paz </w:t>
            </w:r>
          </w:p>
        </w:tc>
        <w:tc>
          <w:tcPr>
            <w:tcW w:w="0" w:type="pct"/>
            <w:shd w:val="clear" w:color="auto" w:fill="auto"/>
            <w:vAlign w:val="bottom"/>
            <w:hideMark/>
          </w:tcPr>
          <w:p w14:paraId="70128B2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228</w:t>
            </w:r>
          </w:p>
        </w:tc>
        <w:tc>
          <w:tcPr>
            <w:tcW w:w="0" w:type="pct"/>
            <w:shd w:val="clear" w:color="auto" w:fill="auto"/>
            <w:vAlign w:val="bottom"/>
            <w:hideMark/>
          </w:tcPr>
          <w:p w14:paraId="12727EA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248</w:t>
            </w:r>
          </w:p>
        </w:tc>
        <w:tc>
          <w:tcPr>
            <w:tcW w:w="0" w:type="pct"/>
            <w:shd w:val="clear" w:color="auto" w:fill="auto"/>
            <w:vAlign w:val="bottom"/>
            <w:hideMark/>
          </w:tcPr>
          <w:p w14:paraId="4D720B8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347</w:t>
            </w:r>
          </w:p>
        </w:tc>
        <w:tc>
          <w:tcPr>
            <w:tcW w:w="0" w:type="pct"/>
            <w:shd w:val="clear" w:color="auto" w:fill="auto"/>
            <w:vAlign w:val="bottom"/>
            <w:hideMark/>
          </w:tcPr>
          <w:p w14:paraId="2B306C9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343</w:t>
            </w:r>
          </w:p>
        </w:tc>
        <w:tc>
          <w:tcPr>
            <w:tcW w:w="0" w:type="pct"/>
            <w:shd w:val="clear" w:color="auto" w:fill="auto"/>
            <w:vAlign w:val="bottom"/>
            <w:hideMark/>
          </w:tcPr>
          <w:p w14:paraId="7BC1D78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228</w:t>
            </w:r>
          </w:p>
        </w:tc>
        <w:tc>
          <w:tcPr>
            <w:tcW w:w="0" w:type="pct"/>
            <w:shd w:val="clear" w:color="auto" w:fill="auto"/>
            <w:vAlign w:val="bottom"/>
            <w:hideMark/>
          </w:tcPr>
          <w:p w14:paraId="56775D7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323</w:t>
            </w:r>
          </w:p>
        </w:tc>
        <w:tc>
          <w:tcPr>
            <w:tcW w:w="0" w:type="pct"/>
            <w:shd w:val="clear" w:color="auto" w:fill="auto"/>
            <w:vAlign w:val="bottom"/>
            <w:hideMark/>
          </w:tcPr>
          <w:p w14:paraId="3C499A3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r w:rsidR="00584263" w:rsidRPr="00777507">
              <w:rPr>
                <w:rFonts w:eastAsia="SimSun"/>
                <w:sz w:val="18"/>
              </w:rPr>
              <w:t xml:space="preserve"> </w:t>
            </w:r>
            <w:r w:rsidRPr="00777507">
              <w:rPr>
                <w:rFonts w:eastAsia="SimSun"/>
                <w:sz w:val="18"/>
              </w:rPr>
              <w:t>717</w:t>
            </w:r>
          </w:p>
        </w:tc>
      </w:tr>
      <w:tr w:rsidR="00210112" w:rsidRPr="00210112" w14:paraId="2195AF50"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603BB26"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Abierto</w:t>
            </w:r>
          </w:p>
        </w:tc>
        <w:tc>
          <w:tcPr>
            <w:tcW w:w="0" w:type="pct"/>
            <w:shd w:val="clear" w:color="auto" w:fill="auto"/>
            <w:vAlign w:val="bottom"/>
            <w:hideMark/>
          </w:tcPr>
          <w:p w14:paraId="182F807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41</w:t>
            </w:r>
          </w:p>
        </w:tc>
        <w:tc>
          <w:tcPr>
            <w:tcW w:w="0" w:type="pct"/>
            <w:shd w:val="clear" w:color="auto" w:fill="auto"/>
            <w:vAlign w:val="bottom"/>
            <w:hideMark/>
          </w:tcPr>
          <w:p w14:paraId="7161138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46</w:t>
            </w:r>
          </w:p>
        </w:tc>
        <w:tc>
          <w:tcPr>
            <w:tcW w:w="0" w:type="pct"/>
            <w:shd w:val="clear" w:color="auto" w:fill="auto"/>
            <w:vAlign w:val="bottom"/>
            <w:hideMark/>
          </w:tcPr>
          <w:p w14:paraId="3436ECE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66</w:t>
            </w:r>
          </w:p>
        </w:tc>
        <w:tc>
          <w:tcPr>
            <w:tcW w:w="0" w:type="pct"/>
            <w:shd w:val="clear" w:color="auto" w:fill="auto"/>
            <w:vAlign w:val="bottom"/>
            <w:hideMark/>
          </w:tcPr>
          <w:p w14:paraId="3A2AF8B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66</w:t>
            </w:r>
          </w:p>
        </w:tc>
        <w:tc>
          <w:tcPr>
            <w:tcW w:w="0" w:type="pct"/>
            <w:shd w:val="clear" w:color="auto" w:fill="auto"/>
            <w:vAlign w:val="bottom"/>
            <w:hideMark/>
          </w:tcPr>
          <w:p w14:paraId="1D94510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103</w:t>
            </w:r>
          </w:p>
        </w:tc>
        <w:tc>
          <w:tcPr>
            <w:tcW w:w="0" w:type="pct"/>
            <w:shd w:val="clear" w:color="auto" w:fill="auto"/>
            <w:vAlign w:val="bottom"/>
            <w:hideMark/>
          </w:tcPr>
          <w:p w14:paraId="5DF6785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262</w:t>
            </w:r>
          </w:p>
        </w:tc>
        <w:tc>
          <w:tcPr>
            <w:tcW w:w="0" w:type="pct"/>
            <w:shd w:val="clear" w:color="auto" w:fill="auto"/>
            <w:vAlign w:val="bottom"/>
            <w:hideMark/>
          </w:tcPr>
          <w:p w14:paraId="5373EE9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584</w:t>
            </w:r>
          </w:p>
        </w:tc>
      </w:tr>
      <w:tr w:rsidR="00210112" w:rsidRPr="00210112" w14:paraId="60C5E52E"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6736556"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Abreviado</w:t>
            </w:r>
          </w:p>
        </w:tc>
        <w:tc>
          <w:tcPr>
            <w:tcW w:w="0" w:type="pct"/>
            <w:shd w:val="clear" w:color="auto" w:fill="auto"/>
            <w:vAlign w:val="bottom"/>
            <w:hideMark/>
          </w:tcPr>
          <w:p w14:paraId="14033C7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5B3402E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7560A8B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183663C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799EB2B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83B061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B66C5F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5</w:t>
            </w:r>
          </w:p>
        </w:tc>
      </w:tr>
      <w:tr w:rsidR="00210112" w:rsidRPr="00210112" w14:paraId="44D4121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2F5FC24"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Cerrado otros </w:t>
            </w:r>
          </w:p>
        </w:tc>
        <w:tc>
          <w:tcPr>
            <w:tcW w:w="0" w:type="pct"/>
            <w:shd w:val="clear" w:color="auto" w:fill="auto"/>
            <w:vAlign w:val="bottom"/>
            <w:hideMark/>
          </w:tcPr>
          <w:p w14:paraId="51D6B02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11</w:t>
            </w:r>
          </w:p>
        </w:tc>
        <w:tc>
          <w:tcPr>
            <w:tcW w:w="0" w:type="pct"/>
            <w:shd w:val="clear" w:color="auto" w:fill="auto"/>
            <w:vAlign w:val="bottom"/>
            <w:hideMark/>
          </w:tcPr>
          <w:p w14:paraId="3431393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tcPr>
          <w:p w14:paraId="5F6CB36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p>
        </w:tc>
        <w:tc>
          <w:tcPr>
            <w:tcW w:w="0" w:type="pct"/>
            <w:shd w:val="clear" w:color="auto" w:fill="auto"/>
            <w:vAlign w:val="bottom"/>
            <w:hideMark/>
          </w:tcPr>
          <w:p w14:paraId="682BF1C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78E82ED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7E5916F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3AD2D22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18</w:t>
            </w:r>
          </w:p>
        </w:tc>
      </w:tr>
      <w:tr w:rsidR="00210112" w:rsidRPr="00210112" w14:paraId="38D6AD2A"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6C67E2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Con condena </w:t>
            </w:r>
          </w:p>
        </w:tc>
        <w:tc>
          <w:tcPr>
            <w:tcW w:w="0" w:type="pct"/>
            <w:shd w:val="clear" w:color="auto" w:fill="auto"/>
            <w:vAlign w:val="bottom"/>
          </w:tcPr>
          <w:p w14:paraId="57E285C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8339E9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5F585C5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5BDAC8F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35BE23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7029DA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A667D0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11A6492C"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EBDEC44"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Conexitud o acumulación</w:t>
            </w:r>
          </w:p>
        </w:tc>
        <w:tc>
          <w:tcPr>
            <w:tcW w:w="0" w:type="pct"/>
            <w:shd w:val="clear" w:color="auto" w:fill="auto"/>
            <w:vAlign w:val="bottom"/>
          </w:tcPr>
          <w:p w14:paraId="771DB58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9CA118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80F29E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28C7762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70CC45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FD3D42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C7DD02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373408C3"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351E5E4"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Declinatoria</w:t>
            </w:r>
            <w:r w:rsidR="00DB2928" w:rsidRPr="00777507">
              <w:rPr>
                <w:rFonts w:eastAsia="SimSun"/>
                <w:sz w:val="18"/>
              </w:rPr>
              <w:t xml:space="preserve"> </w:t>
            </w:r>
            <w:r w:rsidRPr="00777507">
              <w:rPr>
                <w:rFonts w:eastAsia="SimSun"/>
                <w:sz w:val="18"/>
              </w:rPr>
              <w:t xml:space="preserve">competencia </w:t>
            </w:r>
          </w:p>
        </w:tc>
        <w:tc>
          <w:tcPr>
            <w:tcW w:w="0" w:type="pct"/>
            <w:shd w:val="clear" w:color="auto" w:fill="auto"/>
            <w:vAlign w:val="bottom"/>
          </w:tcPr>
          <w:p w14:paraId="67ED2B8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0ACA44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A2617E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326F949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DA3597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7EACEFF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B7DE12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128DB83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240E805"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Desestimada </w:t>
            </w:r>
          </w:p>
        </w:tc>
        <w:tc>
          <w:tcPr>
            <w:tcW w:w="0" w:type="pct"/>
            <w:shd w:val="clear" w:color="auto" w:fill="auto"/>
            <w:vAlign w:val="bottom"/>
          </w:tcPr>
          <w:p w14:paraId="6F11F71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F40D6B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157A0E8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068B7DE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28</w:t>
            </w:r>
          </w:p>
        </w:tc>
        <w:tc>
          <w:tcPr>
            <w:tcW w:w="0" w:type="pct"/>
            <w:shd w:val="clear" w:color="auto" w:fill="auto"/>
            <w:vAlign w:val="bottom"/>
            <w:hideMark/>
          </w:tcPr>
          <w:p w14:paraId="3068BC6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3D0FFCC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29613DD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35</w:t>
            </w:r>
          </w:p>
        </w:tc>
      </w:tr>
      <w:tr w:rsidR="00210112" w:rsidRPr="00210112" w14:paraId="19E98FEB"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1E02942"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Extinguido </w:t>
            </w:r>
          </w:p>
        </w:tc>
        <w:tc>
          <w:tcPr>
            <w:tcW w:w="0" w:type="pct"/>
            <w:shd w:val="clear" w:color="auto" w:fill="auto"/>
            <w:vAlign w:val="bottom"/>
            <w:hideMark/>
          </w:tcPr>
          <w:p w14:paraId="6F9BB3A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4348C08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90DC17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FC30F2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92A063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C3E4AB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5CC558B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0C55ABA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042F4A0"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Rechazado </w:t>
            </w:r>
          </w:p>
        </w:tc>
        <w:tc>
          <w:tcPr>
            <w:tcW w:w="0" w:type="pct"/>
            <w:shd w:val="clear" w:color="auto" w:fill="auto"/>
            <w:vAlign w:val="bottom"/>
            <w:hideMark/>
          </w:tcPr>
          <w:p w14:paraId="13AF783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166</w:t>
            </w:r>
          </w:p>
        </w:tc>
        <w:tc>
          <w:tcPr>
            <w:tcW w:w="0" w:type="pct"/>
            <w:shd w:val="clear" w:color="auto" w:fill="auto"/>
            <w:vAlign w:val="bottom"/>
            <w:hideMark/>
          </w:tcPr>
          <w:p w14:paraId="4DA2B00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187</w:t>
            </w:r>
          </w:p>
        </w:tc>
        <w:tc>
          <w:tcPr>
            <w:tcW w:w="0" w:type="pct"/>
            <w:shd w:val="clear" w:color="auto" w:fill="auto"/>
            <w:vAlign w:val="bottom"/>
            <w:hideMark/>
          </w:tcPr>
          <w:p w14:paraId="7547567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263</w:t>
            </w:r>
          </w:p>
        </w:tc>
        <w:tc>
          <w:tcPr>
            <w:tcW w:w="0" w:type="pct"/>
            <w:shd w:val="clear" w:color="auto" w:fill="auto"/>
            <w:vAlign w:val="bottom"/>
            <w:hideMark/>
          </w:tcPr>
          <w:p w14:paraId="4CCD7C0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219</w:t>
            </w:r>
          </w:p>
        </w:tc>
        <w:tc>
          <w:tcPr>
            <w:tcW w:w="0" w:type="pct"/>
            <w:shd w:val="clear" w:color="auto" w:fill="auto"/>
            <w:vAlign w:val="bottom"/>
            <w:hideMark/>
          </w:tcPr>
          <w:p w14:paraId="021C268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107</w:t>
            </w:r>
          </w:p>
        </w:tc>
        <w:tc>
          <w:tcPr>
            <w:tcW w:w="0" w:type="pct"/>
            <w:shd w:val="clear" w:color="auto" w:fill="auto"/>
            <w:vAlign w:val="bottom"/>
            <w:hideMark/>
          </w:tcPr>
          <w:p w14:paraId="0CFF114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53</w:t>
            </w:r>
          </w:p>
        </w:tc>
        <w:tc>
          <w:tcPr>
            <w:tcW w:w="0" w:type="pct"/>
            <w:shd w:val="clear" w:color="auto" w:fill="auto"/>
            <w:vAlign w:val="bottom"/>
            <w:hideMark/>
          </w:tcPr>
          <w:p w14:paraId="304619B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995</w:t>
            </w:r>
          </w:p>
        </w:tc>
      </w:tr>
      <w:tr w:rsidR="00210112" w:rsidRPr="00210112" w14:paraId="3165DB05"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DA643D9"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Salida alternativa </w:t>
            </w:r>
          </w:p>
        </w:tc>
        <w:tc>
          <w:tcPr>
            <w:tcW w:w="0" w:type="pct"/>
            <w:shd w:val="clear" w:color="auto" w:fill="auto"/>
            <w:vAlign w:val="bottom"/>
          </w:tcPr>
          <w:p w14:paraId="7E85C3C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CB530B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7E1BB55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80A015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2E1210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11BC972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B009BC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w:t>
            </w:r>
          </w:p>
        </w:tc>
      </w:tr>
      <w:tr w:rsidR="00210112" w:rsidRPr="00210112" w14:paraId="00F5C0CF"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B901699"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Sobreseído</w:t>
            </w:r>
          </w:p>
        </w:tc>
        <w:tc>
          <w:tcPr>
            <w:tcW w:w="0" w:type="pct"/>
            <w:shd w:val="clear" w:color="auto" w:fill="auto"/>
            <w:vAlign w:val="bottom"/>
            <w:hideMark/>
          </w:tcPr>
          <w:p w14:paraId="51BFC5D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8</w:t>
            </w:r>
          </w:p>
        </w:tc>
        <w:tc>
          <w:tcPr>
            <w:tcW w:w="0" w:type="pct"/>
            <w:shd w:val="clear" w:color="auto" w:fill="auto"/>
            <w:vAlign w:val="bottom"/>
            <w:hideMark/>
          </w:tcPr>
          <w:p w14:paraId="4516D12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1761C60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12</w:t>
            </w:r>
          </w:p>
        </w:tc>
        <w:tc>
          <w:tcPr>
            <w:tcW w:w="0" w:type="pct"/>
            <w:shd w:val="clear" w:color="auto" w:fill="auto"/>
            <w:vAlign w:val="bottom"/>
            <w:hideMark/>
          </w:tcPr>
          <w:p w14:paraId="1CF657E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27</w:t>
            </w:r>
          </w:p>
        </w:tc>
        <w:tc>
          <w:tcPr>
            <w:tcW w:w="0" w:type="pct"/>
            <w:shd w:val="clear" w:color="auto" w:fill="auto"/>
            <w:vAlign w:val="bottom"/>
            <w:hideMark/>
          </w:tcPr>
          <w:p w14:paraId="3197FC1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15</w:t>
            </w:r>
          </w:p>
        </w:tc>
        <w:tc>
          <w:tcPr>
            <w:tcW w:w="0" w:type="pct"/>
            <w:shd w:val="clear" w:color="auto" w:fill="auto"/>
            <w:vAlign w:val="bottom"/>
            <w:hideMark/>
          </w:tcPr>
          <w:p w14:paraId="2EAE9B6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7B8D90B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71</w:t>
            </w:r>
          </w:p>
        </w:tc>
      </w:tr>
      <w:tr w:rsidR="00210112" w:rsidRPr="00210112" w14:paraId="1356AFA8"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EF2704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Oruro</w:t>
            </w:r>
          </w:p>
        </w:tc>
        <w:tc>
          <w:tcPr>
            <w:tcW w:w="0" w:type="pct"/>
            <w:shd w:val="clear" w:color="auto" w:fill="auto"/>
            <w:vAlign w:val="bottom"/>
            <w:hideMark/>
          </w:tcPr>
          <w:p w14:paraId="65CA650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8</w:t>
            </w:r>
          </w:p>
        </w:tc>
        <w:tc>
          <w:tcPr>
            <w:tcW w:w="0" w:type="pct"/>
            <w:shd w:val="clear" w:color="auto" w:fill="auto"/>
            <w:vAlign w:val="bottom"/>
            <w:hideMark/>
          </w:tcPr>
          <w:p w14:paraId="2091BD7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21</w:t>
            </w:r>
          </w:p>
        </w:tc>
        <w:tc>
          <w:tcPr>
            <w:tcW w:w="0" w:type="pct"/>
            <w:shd w:val="clear" w:color="auto" w:fill="auto"/>
            <w:vAlign w:val="bottom"/>
            <w:hideMark/>
          </w:tcPr>
          <w:p w14:paraId="121F545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22</w:t>
            </w:r>
          </w:p>
        </w:tc>
        <w:tc>
          <w:tcPr>
            <w:tcW w:w="0" w:type="pct"/>
            <w:shd w:val="clear" w:color="auto" w:fill="auto"/>
            <w:vAlign w:val="bottom"/>
            <w:hideMark/>
          </w:tcPr>
          <w:p w14:paraId="56F3E8C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43</w:t>
            </w:r>
          </w:p>
        </w:tc>
        <w:tc>
          <w:tcPr>
            <w:tcW w:w="0" w:type="pct"/>
            <w:shd w:val="clear" w:color="auto" w:fill="auto"/>
            <w:vAlign w:val="bottom"/>
            <w:hideMark/>
          </w:tcPr>
          <w:p w14:paraId="6635B2D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21</w:t>
            </w:r>
          </w:p>
        </w:tc>
        <w:tc>
          <w:tcPr>
            <w:tcW w:w="0" w:type="pct"/>
            <w:shd w:val="clear" w:color="auto" w:fill="auto"/>
            <w:vAlign w:val="bottom"/>
            <w:hideMark/>
          </w:tcPr>
          <w:p w14:paraId="351BDEA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46</w:t>
            </w:r>
          </w:p>
        </w:tc>
        <w:tc>
          <w:tcPr>
            <w:tcW w:w="0" w:type="pct"/>
            <w:shd w:val="clear" w:color="auto" w:fill="auto"/>
            <w:vAlign w:val="bottom"/>
            <w:hideMark/>
          </w:tcPr>
          <w:p w14:paraId="093A0EC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161</w:t>
            </w:r>
          </w:p>
        </w:tc>
      </w:tr>
      <w:tr w:rsidR="00210112" w:rsidRPr="00210112" w14:paraId="10070A7C"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F9D8A0F"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Abierto</w:t>
            </w:r>
          </w:p>
        </w:tc>
        <w:tc>
          <w:tcPr>
            <w:tcW w:w="0" w:type="pct"/>
            <w:shd w:val="clear" w:color="auto" w:fill="auto"/>
            <w:vAlign w:val="bottom"/>
            <w:hideMark/>
          </w:tcPr>
          <w:p w14:paraId="59C64CF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2783B91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03613A0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43FC8DC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4AD8576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689DB5C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31</w:t>
            </w:r>
          </w:p>
        </w:tc>
        <w:tc>
          <w:tcPr>
            <w:tcW w:w="0" w:type="pct"/>
            <w:shd w:val="clear" w:color="auto" w:fill="auto"/>
            <w:vAlign w:val="bottom"/>
            <w:hideMark/>
          </w:tcPr>
          <w:p w14:paraId="055459D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47</w:t>
            </w:r>
          </w:p>
        </w:tc>
      </w:tr>
      <w:tr w:rsidR="00210112" w:rsidRPr="00210112" w14:paraId="0C566657"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92A032C"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Abreviado </w:t>
            </w:r>
          </w:p>
        </w:tc>
        <w:tc>
          <w:tcPr>
            <w:tcW w:w="0" w:type="pct"/>
            <w:shd w:val="clear" w:color="auto" w:fill="auto"/>
            <w:vAlign w:val="bottom"/>
          </w:tcPr>
          <w:p w14:paraId="5BC89DC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A5AB43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44BF72C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FA3E26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D30C77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361998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24B430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0459F879"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9A0DD70"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Con absolución </w:t>
            </w:r>
          </w:p>
        </w:tc>
        <w:tc>
          <w:tcPr>
            <w:tcW w:w="0" w:type="pct"/>
            <w:shd w:val="clear" w:color="auto" w:fill="auto"/>
            <w:vAlign w:val="bottom"/>
          </w:tcPr>
          <w:p w14:paraId="5B5BF69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210D89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B515CB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4B5DAB5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3824B6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8933D0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3991F7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1C54605B"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A9DE951"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Con condena</w:t>
            </w:r>
          </w:p>
        </w:tc>
        <w:tc>
          <w:tcPr>
            <w:tcW w:w="0" w:type="pct"/>
            <w:shd w:val="clear" w:color="auto" w:fill="auto"/>
            <w:vAlign w:val="bottom"/>
          </w:tcPr>
          <w:p w14:paraId="670C741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3CF2C0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1DD95B9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69C8A0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2E67E8E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35F1F9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534BC1B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1FB0DDFD"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C013DBA"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Desestimado</w:t>
            </w:r>
          </w:p>
        </w:tc>
        <w:tc>
          <w:tcPr>
            <w:tcW w:w="0" w:type="pct"/>
            <w:shd w:val="clear" w:color="auto" w:fill="auto"/>
            <w:vAlign w:val="bottom"/>
          </w:tcPr>
          <w:p w14:paraId="06A9EB0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3FAA391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05D277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10C08AC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597C54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6A77778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4327B4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6</w:t>
            </w:r>
          </w:p>
        </w:tc>
      </w:tr>
      <w:tr w:rsidR="00210112" w:rsidRPr="00210112" w14:paraId="2F306BBF"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F41026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Rechazado</w:t>
            </w:r>
          </w:p>
        </w:tc>
        <w:tc>
          <w:tcPr>
            <w:tcW w:w="0" w:type="pct"/>
            <w:shd w:val="clear" w:color="auto" w:fill="auto"/>
            <w:vAlign w:val="bottom"/>
            <w:hideMark/>
          </w:tcPr>
          <w:p w14:paraId="5C06454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779C3AB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15</w:t>
            </w:r>
          </w:p>
        </w:tc>
        <w:tc>
          <w:tcPr>
            <w:tcW w:w="0" w:type="pct"/>
            <w:shd w:val="clear" w:color="auto" w:fill="auto"/>
            <w:vAlign w:val="bottom"/>
            <w:hideMark/>
          </w:tcPr>
          <w:p w14:paraId="3F853F5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11</w:t>
            </w:r>
          </w:p>
        </w:tc>
        <w:tc>
          <w:tcPr>
            <w:tcW w:w="0" w:type="pct"/>
            <w:shd w:val="clear" w:color="auto" w:fill="auto"/>
            <w:vAlign w:val="bottom"/>
            <w:hideMark/>
          </w:tcPr>
          <w:p w14:paraId="75DCDEA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41</w:t>
            </w:r>
          </w:p>
        </w:tc>
        <w:tc>
          <w:tcPr>
            <w:tcW w:w="0" w:type="pct"/>
            <w:shd w:val="clear" w:color="auto" w:fill="auto"/>
            <w:vAlign w:val="bottom"/>
            <w:hideMark/>
          </w:tcPr>
          <w:p w14:paraId="3557716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12</w:t>
            </w:r>
          </w:p>
        </w:tc>
        <w:tc>
          <w:tcPr>
            <w:tcW w:w="0" w:type="pct"/>
            <w:shd w:val="clear" w:color="auto" w:fill="auto"/>
            <w:vAlign w:val="bottom"/>
            <w:hideMark/>
          </w:tcPr>
          <w:p w14:paraId="76A6859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12</w:t>
            </w:r>
          </w:p>
        </w:tc>
        <w:tc>
          <w:tcPr>
            <w:tcW w:w="0" w:type="pct"/>
            <w:shd w:val="clear" w:color="auto" w:fill="auto"/>
            <w:vAlign w:val="bottom"/>
            <w:hideMark/>
          </w:tcPr>
          <w:p w14:paraId="6D60A1E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94</w:t>
            </w:r>
          </w:p>
        </w:tc>
      </w:tr>
      <w:tr w:rsidR="00210112" w:rsidRPr="00210112" w14:paraId="04EA7F3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FA23ADA"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Salida Alternativa</w:t>
            </w:r>
          </w:p>
        </w:tc>
        <w:tc>
          <w:tcPr>
            <w:tcW w:w="0" w:type="pct"/>
            <w:shd w:val="clear" w:color="auto" w:fill="auto"/>
            <w:vAlign w:val="bottom"/>
          </w:tcPr>
          <w:p w14:paraId="3DB8AD7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0E27F6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3C3F34F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FE0B75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AE6278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A870BE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9DFAC8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0142C2D6"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31E9E4C"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Sobreseído</w:t>
            </w:r>
          </w:p>
        </w:tc>
        <w:tc>
          <w:tcPr>
            <w:tcW w:w="0" w:type="pct"/>
            <w:shd w:val="clear" w:color="auto" w:fill="auto"/>
            <w:vAlign w:val="bottom"/>
            <w:hideMark/>
          </w:tcPr>
          <w:p w14:paraId="38AB8A2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27DEB02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518FA2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tcPr>
          <w:p w14:paraId="4A40605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2BBA9D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1470641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36BCBA4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8</w:t>
            </w:r>
          </w:p>
        </w:tc>
      </w:tr>
      <w:tr w:rsidR="00210112" w:rsidRPr="00210112" w14:paraId="6895DF0C"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9393014"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Pando</w:t>
            </w:r>
          </w:p>
        </w:tc>
        <w:tc>
          <w:tcPr>
            <w:tcW w:w="0" w:type="pct"/>
            <w:shd w:val="clear" w:color="auto" w:fill="auto"/>
            <w:vAlign w:val="bottom"/>
            <w:hideMark/>
          </w:tcPr>
          <w:p w14:paraId="21F6732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06AC057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105A9AD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12</w:t>
            </w:r>
          </w:p>
        </w:tc>
        <w:tc>
          <w:tcPr>
            <w:tcW w:w="0" w:type="pct"/>
            <w:shd w:val="clear" w:color="auto" w:fill="auto"/>
            <w:vAlign w:val="bottom"/>
            <w:hideMark/>
          </w:tcPr>
          <w:p w14:paraId="7EF2360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6</w:t>
            </w:r>
          </w:p>
        </w:tc>
        <w:tc>
          <w:tcPr>
            <w:tcW w:w="0" w:type="pct"/>
            <w:shd w:val="clear" w:color="auto" w:fill="auto"/>
            <w:vAlign w:val="bottom"/>
            <w:hideMark/>
          </w:tcPr>
          <w:p w14:paraId="2D100FF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13</w:t>
            </w:r>
          </w:p>
        </w:tc>
        <w:tc>
          <w:tcPr>
            <w:tcW w:w="0" w:type="pct"/>
            <w:shd w:val="clear" w:color="auto" w:fill="auto"/>
            <w:vAlign w:val="bottom"/>
            <w:hideMark/>
          </w:tcPr>
          <w:p w14:paraId="5C41A47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5D5031D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40</w:t>
            </w:r>
          </w:p>
        </w:tc>
      </w:tr>
      <w:tr w:rsidR="00210112" w:rsidRPr="00210112" w14:paraId="13BCF1CC"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89AC18D"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Abierto</w:t>
            </w:r>
          </w:p>
        </w:tc>
        <w:tc>
          <w:tcPr>
            <w:tcW w:w="0" w:type="pct"/>
            <w:shd w:val="clear" w:color="auto" w:fill="auto"/>
            <w:vAlign w:val="bottom"/>
          </w:tcPr>
          <w:p w14:paraId="4400112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519F7B6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6E4D337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2BD614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5648FDD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493DF06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83D539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6835D0CD"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294D116"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Con condena </w:t>
            </w:r>
          </w:p>
        </w:tc>
        <w:tc>
          <w:tcPr>
            <w:tcW w:w="0" w:type="pct"/>
            <w:shd w:val="clear" w:color="auto" w:fill="auto"/>
            <w:vAlign w:val="bottom"/>
          </w:tcPr>
          <w:p w14:paraId="322618C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A905CD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F46447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15BDC1C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BBFD7B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9C475C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0E83B4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1E185078"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3983E6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Desestimado</w:t>
            </w:r>
          </w:p>
        </w:tc>
        <w:tc>
          <w:tcPr>
            <w:tcW w:w="0" w:type="pct"/>
            <w:shd w:val="clear" w:color="auto" w:fill="auto"/>
            <w:vAlign w:val="bottom"/>
          </w:tcPr>
          <w:p w14:paraId="329F23B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E29770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7C8EC3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321AC03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474BD2D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w:t>
            </w:r>
          </w:p>
        </w:tc>
        <w:tc>
          <w:tcPr>
            <w:tcW w:w="0" w:type="pct"/>
            <w:shd w:val="clear" w:color="auto" w:fill="auto"/>
            <w:vAlign w:val="bottom"/>
            <w:hideMark/>
          </w:tcPr>
          <w:p w14:paraId="42E4876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542B599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12</w:t>
            </w:r>
          </w:p>
        </w:tc>
      </w:tr>
      <w:tr w:rsidR="00210112" w:rsidRPr="00210112" w14:paraId="1E7206B7"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5D3CCEF"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Rechazado</w:t>
            </w:r>
          </w:p>
        </w:tc>
        <w:tc>
          <w:tcPr>
            <w:tcW w:w="0" w:type="pct"/>
            <w:shd w:val="clear" w:color="auto" w:fill="auto"/>
            <w:vAlign w:val="bottom"/>
            <w:hideMark/>
          </w:tcPr>
          <w:p w14:paraId="4969AF4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767661C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3691FC7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8</w:t>
            </w:r>
          </w:p>
        </w:tc>
        <w:tc>
          <w:tcPr>
            <w:tcW w:w="0" w:type="pct"/>
            <w:shd w:val="clear" w:color="auto" w:fill="auto"/>
            <w:vAlign w:val="bottom"/>
            <w:hideMark/>
          </w:tcPr>
          <w:p w14:paraId="198F2DB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24DA4A3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655E977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78E5AED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22</w:t>
            </w:r>
          </w:p>
        </w:tc>
      </w:tr>
      <w:tr w:rsidR="00210112" w:rsidRPr="00210112" w14:paraId="3DC6E0F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7785766"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Sobreseído</w:t>
            </w:r>
          </w:p>
        </w:tc>
        <w:tc>
          <w:tcPr>
            <w:tcW w:w="0" w:type="pct"/>
            <w:shd w:val="clear" w:color="auto" w:fill="auto"/>
            <w:vAlign w:val="bottom"/>
          </w:tcPr>
          <w:p w14:paraId="7EBDB16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E4AC17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24ECA30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2536671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331D64E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9B598D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6B5213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6803E07D"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1B0415D"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lastRenderedPageBreak/>
              <w:t xml:space="preserve">Potosí </w:t>
            </w:r>
          </w:p>
        </w:tc>
        <w:tc>
          <w:tcPr>
            <w:tcW w:w="0" w:type="pct"/>
            <w:shd w:val="clear" w:color="auto" w:fill="auto"/>
            <w:vAlign w:val="bottom"/>
            <w:hideMark/>
          </w:tcPr>
          <w:p w14:paraId="31C84F0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8</w:t>
            </w:r>
          </w:p>
        </w:tc>
        <w:tc>
          <w:tcPr>
            <w:tcW w:w="0" w:type="pct"/>
            <w:shd w:val="clear" w:color="auto" w:fill="auto"/>
            <w:vAlign w:val="bottom"/>
            <w:hideMark/>
          </w:tcPr>
          <w:p w14:paraId="6C8C628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17</w:t>
            </w:r>
          </w:p>
        </w:tc>
        <w:tc>
          <w:tcPr>
            <w:tcW w:w="0" w:type="pct"/>
            <w:shd w:val="clear" w:color="auto" w:fill="auto"/>
            <w:vAlign w:val="bottom"/>
            <w:hideMark/>
          </w:tcPr>
          <w:p w14:paraId="60ACF4F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10</w:t>
            </w:r>
          </w:p>
        </w:tc>
        <w:tc>
          <w:tcPr>
            <w:tcW w:w="0" w:type="pct"/>
            <w:shd w:val="clear" w:color="auto" w:fill="auto"/>
            <w:vAlign w:val="bottom"/>
            <w:hideMark/>
          </w:tcPr>
          <w:p w14:paraId="663D8D0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14</w:t>
            </w:r>
          </w:p>
        </w:tc>
        <w:tc>
          <w:tcPr>
            <w:tcW w:w="0" w:type="pct"/>
            <w:shd w:val="clear" w:color="auto" w:fill="auto"/>
            <w:vAlign w:val="bottom"/>
            <w:hideMark/>
          </w:tcPr>
          <w:p w14:paraId="625735D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21</w:t>
            </w:r>
          </w:p>
        </w:tc>
        <w:tc>
          <w:tcPr>
            <w:tcW w:w="0" w:type="pct"/>
            <w:shd w:val="clear" w:color="auto" w:fill="auto"/>
            <w:vAlign w:val="bottom"/>
            <w:hideMark/>
          </w:tcPr>
          <w:p w14:paraId="46B8F76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18</w:t>
            </w:r>
          </w:p>
        </w:tc>
        <w:tc>
          <w:tcPr>
            <w:tcW w:w="0" w:type="pct"/>
            <w:shd w:val="clear" w:color="auto" w:fill="auto"/>
            <w:vAlign w:val="bottom"/>
            <w:hideMark/>
          </w:tcPr>
          <w:p w14:paraId="40F73D9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88</w:t>
            </w:r>
          </w:p>
        </w:tc>
      </w:tr>
      <w:tr w:rsidR="00210112" w:rsidRPr="00210112" w14:paraId="2DF1BCC8"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7C8128B"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Abierto</w:t>
            </w:r>
          </w:p>
        </w:tc>
        <w:tc>
          <w:tcPr>
            <w:tcW w:w="0" w:type="pct"/>
            <w:shd w:val="clear" w:color="auto" w:fill="auto"/>
            <w:vAlign w:val="bottom"/>
          </w:tcPr>
          <w:p w14:paraId="517C575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A30177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1200650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42FA31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229181E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w:t>
            </w:r>
          </w:p>
        </w:tc>
        <w:tc>
          <w:tcPr>
            <w:tcW w:w="0" w:type="pct"/>
            <w:shd w:val="clear" w:color="auto" w:fill="auto"/>
            <w:vAlign w:val="bottom"/>
            <w:hideMark/>
          </w:tcPr>
          <w:p w14:paraId="43304F4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w:t>
            </w:r>
          </w:p>
        </w:tc>
        <w:tc>
          <w:tcPr>
            <w:tcW w:w="0" w:type="pct"/>
            <w:shd w:val="clear" w:color="auto" w:fill="auto"/>
            <w:vAlign w:val="bottom"/>
            <w:hideMark/>
          </w:tcPr>
          <w:p w14:paraId="2F5D6B7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17</w:t>
            </w:r>
          </w:p>
        </w:tc>
      </w:tr>
      <w:tr w:rsidR="00210112" w:rsidRPr="00210112" w14:paraId="34B6AF22"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DE40FBC"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Abreviado</w:t>
            </w:r>
            <w:r w:rsidR="00DB2928" w:rsidRPr="00777507">
              <w:rPr>
                <w:rFonts w:eastAsia="SimSun"/>
                <w:sz w:val="18"/>
              </w:rPr>
              <w:t xml:space="preserve"> </w:t>
            </w:r>
          </w:p>
        </w:tc>
        <w:tc>
          <w:tcPr>
            <w:tcW w:w="0" w:type="pct"/>
            <w:shd w:val="clear" w:color="auto" w:fill="auto"/>
            <w:vAlign w:val="bottom"/>
          </w:tcPr>
          <w:p w14:paraId="213C794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805C52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068542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3D7091B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291F80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54E4629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58A7B42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41982986"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F696DF6"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Cerrado otros</w:t>
            </w:r>
          </w:p>
        </w:tc>
        <w:tc>
          <w:tcPr>
            <w:tcW w:w="0" w:type="pct"/>
            <w:shd w:val="clear" w:color="auto" w:fill="auto"/>
            <w:vAlign w:val="bottom"/>
            <w:hideMark/>
          </w:tcPr>
          <w:p w14:paraId="6AAC629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724E133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3844FEB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9EBF67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C5AFA1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939FDE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50CF73B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026F1CF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57DC9EF"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Con condena </w:t>
            </w:r>
          </w:p>
        </w:tc>
        <w:tc>
          <w:tcPr>
            <w:tcW w:w="0" w:type="pct"/>
            <w:shd w:val="clear" w:color="auto" w:fill="auto"/>
            <w:vAlign w:val="bottom"/>
            <w:hideMark/>
          </w:tcPr>
          <w:p w14:paraId="45B8778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50CEDF4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B592B3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6DCD20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3072FF1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6B1AC7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9321C2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760D9A9E"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BB657C3"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Declinatoria competencia </w:t>
            </w:r>
          </w:p>
        </w:tc>
        <w:tc>
          <w:tcPr>
            <w:tcW w:w="0" w:type="pct"/>
            <w:shd w:val="clear" w:color="auto" w:fill="auto"/>
            <w:vAlign w:val="bottom"/>
          </w:tcPr>
          <w:p w14:paraId="1D51CA9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5D662F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C9F829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3E617AB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CAD068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54DF8F2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F82C00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7CC7150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2F18395"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Desestimada </w:t>
            </w:r>
          </w:p>
        </w:tc>
        <w:tc>
          <w:tcPr>
            <w:tcW w:w="0" w:type="pct"/>
            <w:shd w:val="clear" w:color="auto" w:fill="auto"/>
            <w:vAlign w:val="bottom"/>
          </w:tcPr>
          <w:p w14:paraId="0651991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369BB8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A4CFEA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46D259F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tcPr>
          <w:p w14:paraId="0ED1162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64AEBA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033E015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10</w:t>
            </w:r>
          </w:p>
        </w:tc>
      </w:tr>
      <w:tr w:rsidR="00210112" w:rsidRPr="00210112" w14:paraId="20DA56DF"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C7E1830"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Rechazada</w:t>
            </w:r>
          </w:p>
        </w:tc>
        <w:tc>
          <w:tcPr>
            <w:tcW w:w="0" w:type="pct"/>
            <w:shd w:val="clear" w:color="auto" w:fill="auto"/>
            <w:vAlign w:val="bottom"/>
            <w:hideMark/>
          </w:tcPr>
          <w:p w14:paraId="0C72E33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w:t>
            </w:r>
          </w:p>
        </w:tc>
        <w:tc>
          <w:tcPr>
            <w:tcW w:w="0" w:type="pct"/>
            <w:shd w:val="clear" w:color="auto" w:fill="auto"/>
            <w:vAlign w:val="bottom"/>
            <w:hideMark/>
          </w:tcPr>
          <w:p w14:paraId="2E82D57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13</w:t>
            </w:r>
          </w:p>
        </w:tc>
        <w:tc>
          <w:tcPr>
            <w:tcW w:w="0" w:type="pct"/>
            <w:shd w:val="clear" w:color="auto" w:fill="auto"/>
            <w:vAlign w:val="bottom"/>
            <w:hideMark/>
          </w:tcPr>
          <w:p w14:paraId="6C435FE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7</w:t>
            </w:r>
          </w:p>
        </w:tc>
        <w:tc>
          <w:tcPr>
            <w:tcW w:w="0" w:type="pct"/>
            <w:shd w:val="clear" w:color="auto" w:fill="auto"/>
            <w:vAlign w:val="bottom"/>
            <w:hideMark/>
          </w:tcPr>
          <w:p w14:paraId="6FC3644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7</w:t>
            </w:r>
          </w:p>
        </w:tc>
        <w:tc>
          <w:tcPr>
            <w:tcW w:w="0" w:type="pct"/>
            <w:shd w:val="clear" w:color="auto" w:fill="auto"/>
            <w:vAlign w:val="bottom"/>
            <w:hideMark/>
          </w:tcPr>
          <w:p w14:paraId="35EA002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12</w:t>
            </w:r>
          </w:p>
        </w:tc>
        <w:tc>
          <w:tcPr>
            <w:tcW w:w="0" w:type="pct"/>
            <w:shd w:val="clear" w:color="auto" w:fill="auto"/>
            <w:vAlign w:val="bottom"/>
            <w:hideMark/>
          </w:tcPr>
          <w:p w14:paraId="6D13EF3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8</w:t>
            </w:r>
          </w:p>
        </w:tc>
        <w:tc>
          <w:tcPr>
            <w:tcW w:w="0" w:type="pct"/>
            <w:shd w:val="clear" w:color="auto" w:fill="auto"/>
            <w:vAlign w:val="bottom"/>
            <w:hideMark/>
          </w:tcPr>
          <w:p w14:paraId="30CC18A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53</w:t>
            </w:r>
          </w:p>
        </w:tc>
      </w:tr>
      <w:tr w:rsidR="00210112" w:rsidRPr="00210112" w14:paraId="73D94EC0"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343762F"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Sobrese</w:t>
            </w:r>
            <w:r w:rsidR="00621AFD">
              <w:rPr>
                <w:rFonts w:ascii="Times New Roman" w:eastAsia="SimSun" w:hAnsi="Times New Roman"/>
                <w:b w:val="0"/>
                <w:color w:val="auto"/>
                <w:sz w:val="18"/>
              </w:rPr>
              <w:t>í</w:t>
            </w:r>
            <w:r w:rsidRPr="00777507">
              <w:rPr>
                <w:rFonts w:eastAsia="SimSun"/>
                <w:sz w:val="18"/>
              </w:rPr>
              <w:t xml:space="preserve">do </w:t>
            </w:r>
          </w:p>
        </w:tc>
        <w:tc>
          <w:tcPr>
            <w:tcW w:w="0" w:type="pct"/>
            <w:shd w:val="clear" w:color="auto" w:fill="auto"/>
            <w:vAlign w:val="bottom"/>
          </w:tcPr>
          <w:p w14:paraId="7E19ECB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39B549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3909078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A72F51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730BFB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44383D0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C89218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30DCD3E5"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2AF19DA"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Santa Cruz </w:t>
            </w:r>
          </w:p>
        </w:tc>
        <w:tc>
          <w:tcPr>
            <w:tcW w:w="0" w:type="pct"/>
            <w:shd w:val="clear" w:color="auto" w:fill="auto"/>
            <w:vAlign w:val="bottom"/>
            <w:hideMark/>
          </w:tcPr>
          <w:p w14:paraId="427FB50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103</w:t>
            </w:r>
          </w:p>
        </w:tc>
        <w:tc>
          <w:tcPr>
            <w:tcW w:w="0" w:type="pct"/>
            <w:shd w:val="clear" w:color="auto" w:fill="auto"/>
            <w:vAlign w:val="bottom"/>
            <w:hideMark/>
          </w:tcPr>
          <w:p w14:paraId="384FEE7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118</w:t>
            </w:r>
          </w:p>
        </w:tc>
        <w:tc>
          <w:tcPr>
            <w:tcW w:w="0" w:type="pct"/>
            <w:shd w:val="clear" w:color="auto" w:fill="auto"/>
            <w:vAlign w:val="bottom"/>
            <w:hideMark/>
          </w:tcPr>
          <w:p w14:paraId="6D7BEB7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93</w:t>
            </w:r>
          </w:p>
        </w:tc>
        <w:tc>
          <w:tcPr>
            <w:tcW w:w="0" w:type="pct"/>
            <w:shd w:val="clear" w:color="auto" w:fill="auto"/>
            <w:vAlign w:val="bottom"/>
            <w:hideMark/>
          </w:tcPr>
          <w:p w14:paraId="460478A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62</w:t>
            </w:r>
          </w:p>
        </w:tc>
        <w:tc>
          <w:tcPr>
            <w:tcW w:w="0" w:type="pct"/>
            <w:shd w:val="clear" w:color="auto" w:fill="auto"/>
            <w:vAlign w:val="bottom"/>
            <w:hideMark/>
          </w:tcPr>
          <w:p w14:paraId="3495DC2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55</w:t>
            </w:r>
          </w:p>
        </w:tc>
        <w:tc>
          <w:tcPr>
            <w:tcW w:w="0" w:type="pct"/>
            <w:shd w:val="clear" w:color="auto" w:fill="auto"/>
            <w:vAlign w:val="bottom"/>
            <w:hideMark/>
          </w:tcPr>
          <w:p w14:paraId="742BF8E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54</w:t>
            </w:r>
          </w:p>
        </w:tc>
        <w:tc>
          <w:tcPr>
            <w:tcW w:w="0" w:type="pct"/>
            <w:shd w:val="clear" w:color="auto" w:fill="auto"/>
            <w:vAlign w:val="bottom"/>
            <w:hideMark/>
          </w:tcPr>
          <w:p w14:paraId="55F8478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485</w:t>
            </w:r>
          </w:p>
        </w:tc>
      </w:tr>
      <w:tr w:rsidR="00210112" w:rsidRPr="00210112" w14:paraId="1FBC09F7"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2B9C77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Abierto</w:t>
            </w:r>
          </w:p>
        </w:tc>
        <w:tc>
          <w:tcPr>
            <w:tcW w:w="0" w:type="pct"/>
            <w:shd w:val="clear" w:color="auto" w:fill="auto"/>
            <w:vAlign w:val="bottom"/>
            <w:hideMark/>
          </w:tcPr>
          <w:p w14:paraId="4C2600D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32</w:t>
            </w:r>
          </w:p>
        </w:tc>
        <w:tc>
          <w:tcPr>
            <w:tcW w:w="0" w:type="pct"/>
            <w:shd w:val="clear" w:color="auto" w:fill="auto"/>
            <w:vAlign w:val="bottom"/>
            <w:hideMark/>
          </w:tcPr>
          <w:p w14:paraId="68FA0A9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20</w:t>
            </w:r>
          </w:p>
        </w:tc>
        <w:tc>
          <w:tcPr>
            <w:tcW w:w="0" w:type="pct"/>
            <w:shd w:val="clear" w:color="auto" w:fill="auto"/>
            <w:vAlign w:val="bottom"/>
            <w:hideMark/>
          </w:tcPr>
          <w:p w14:paraId="5B74692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14</w:t>
            </w:r>
          </w:p>
        </w:tc>
        <w:tc>
          <w:tcPr>
            <w:tcW w:w="0" w:type="pct"/>
            <w:shd w:val="clear" w:color="auto" w:fill="auto"/>
            <w:vAlign w:val="bottom"/>
            <w:hideMark/>
          </w:tcPr>
          <w:p w14:paraId="1BF3603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16</w:t>
            </w:r>
          </w:p>
        </w:tc>
        <w:tc>
          <w:tcPr>
            <w:tcW w:w="0" w:type="pct"/>
            <w:shd w:val="clear" w:color="auto" w:fill="auto"/>
            <w:vAlign w:val="bottom"/>
            <w:hideMark/>
          </w:tcPr>
          <w:p w14:paraId="62BE6C9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24</w:t>
            </w:r>
          </w:p>
        </w:tc>
        <w:tc>
          <w:tcPr>
            <w:tcW w:w="0" w:type="pct"/>
            <w:shd w:val="clear" w:color="auto" w:fill="auto"/>
            <w:vAlign w:val="bottom"/>
            <w:hideMark/>
          </w:tcPr>
          <w:p w14:paraId="3E59354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34</w:t>
            </w:r>
          </w:p>
        </w:tc>
        <w:tc>
          <w:tcPr>
            <w:tcW w:w="0" w:type="pct"/>
            <w:shd w:val="clear" w:color="auto" w:fill="auto"/>
            <w:vAlign w:val="bottom"/>
            <w:hideMark/>
          </w:tcPr>
          <w:p w14:paraId="7F5CA1E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140</w:t>
            </w:r>
          </w:p>
        </w:tc>
      </w:tr>
      <w:tr w:rsidR="00210112" w:rsidRPr="00210112" w14:paraId="3F4FB15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BD703B4"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Abreviado</w:t>
            </w:r>
          </w:p>
        </w:tc>
        <w:tc>
          <w:tcPr>
            <w:tcW w:w="0" w:type="pct"/>
            <w:shd w:val="clear" w:color="auto" w:fill="auto"/>
            <w:vAlign w:val="bottom"/>
            <w:hideMark/>
          </w:tcPr>
          <w:p w14:paraId="52B5C1F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21E0108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BE7E4E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A45A9D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D9280B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860C90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40C84C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030E82A7"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F527280"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Cerrado otros</w:t>
            </w:r>
          </w:p>
        </w:tc>
        <w:tc>
          <w:tcPr>
            <w:tcW w:w="0" w:type="pct"/>
            <w:shd w:val="clear" w:color="auto" w:fill="auto"/>
            <w:vAlign w:val="bottom"/>
            <w:hideMark/>
          </w:tcPr>
          <w:p w14:paraId="48FF7EE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CB52FA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13</w:t>
            </w:r>
          </w:p>
        </w:tc>
        <w:tc>
          <w:tcPr>
            <w:tcW w:w="0" w:type="pct"/>
            <w:shd w:val="clear" w:color="auto" w:fill="auto"/>
            <w:vAlign w:val="bottom"/>
            <w:hideMark/>
          </w:tcPr>
          <w:p w14:paraId="1DF0EBB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3E8E7B4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7B1B4EE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61AF733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22E33FA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25</w:t>
            </w:r>
          </w:p>
        </w:tc>
      </w:tr>
      <w:tr w:rsidR="00210112" w:rsidRPr="00210112" w14:paraId="3F26FB58"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EB6F9FD"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Con absolución</w:t>
            </w:r>
          </w:p>
        </w:tc>
        <w:tc>
          <w:tcPr>
            <w:tcW w:w="0" w:type="pct"/>
            <w:shd w:val="clear" w:color="auto" w:fill="auto"/>
            <w:vAlign w:val="bottom"/>
            <w:hideMark/>
          </w:tcPr>
          <w:p w14:paraId="2CA1370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3FC8E96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19AED07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27F1F1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1D9B83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87CC23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5328BB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09AC836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5852F37"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Con condena </w:t>
            </w:r>
          </w:p>
        </w:tc>
        <w:tc>
          <w:tcPr>
            <w:tcW w:w="0" w:type="pct"/>
            <w:shd w:val="clear" w:color="auto" w:fill="auto"/>
            <w:vAlign w:val="bottom"/>
            <w:hideMark/>
          </w:tcPr>
          <w:p w14:paraId="71713F6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209B086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769DF5C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24EA295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640868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47500E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7B0189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10</w:t>
            </w:r>
          </w:p>
        </w:tc>
      </w:tr>
      <w:tr w:rsidR="00210112" w:rsidRPr="00210112" w14:paraId="5626019B"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A397D0D"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Declinatoria competencia </w:t>
            </w:r>
          </w:p>
        </w:tc>
        <w:tc>
          <w:tcPr>
            <w:tcW w:w="0" w:type="pct"/>
            <w:shd w:val="clear" w:color="auto" w:fill="auto"/>
            <w:vAlign w:val="bottom"/>
          </w:tcPr>
          <w:p w14:paraId="4A7F40E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EE8B37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039606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435160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39B01F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6CA7C23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AD19AA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3DC7367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B187F8A"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Desestimado </w:t>
            </w:r>
          </w:p>
        </w:tc>
        <w:tc>
          <w:tcPr>
            <w:tcW w:w="0" w:type="pct"/>
            <w:shd w:val="clear" w:color="auto" w:fill="auto"/>
            <w:vAlign w:val="bottom"/>
          </w:tcPr>
          <w:p w14:paraId="45E177A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5B7DCB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99B484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45307F9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16</w:t>
            </w:r>
          </w:p>
        </w:tc>
        <w:tc>
          <w:tcPr>
            <w:tcW w:w="0" w:type="pct"/>
            <w:shd w:val="clear" w:color="auto" w:fill="auto"/>
            <w:vAlign w:val="bottom"/>
            <w:hideMark/>
          </w:tcPr>
          <w:p w14:paraId="709ACB3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13</w:t>
            </w:r>
          </w:p>
        </w:tc>
        <w:tc>
          <w:tcPr>
            <w:tcW w:w="0" w:type="pct"/>
            <w:shd w:val="clear" w:color="auto" w:fill="auto"/>
            <w:vAlign w:val="bottom"/>
            <w:hideMark/>
          </w:tcPr>
          <w:p w14:paraId="7D73129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429DE0D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34</w:t>
            </w:r>
          </w:p>
        </w:tc>
      </w:tr>
      <w:tr w:rsidR="00210112" w:rsidRPr="00210112" w14:paraId="4956765D"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E80C946"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Rechazado </w:t>
            </w:r>
          </w:p>
        </w:tc>
        <w:tc>
          <w:tcPr>
            <w:tcW w:w="0" w:type="pct"/>
            <w:shd w:val="clear" w:color="auto" w:fill="auto"/>
            <w:vAlign w:val="bottom"/>
            <w:hideMark/>
          </w:tcPr>
          <w:p w14:paraId="4DB640B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59</w:t>
            </w:r>
          </w:p>
        </w:tc>
        <w:tc>
          <w:tcPr>
            <w:tcW w:w="0" w:type="pct"/>
            <w:shd w:val="clear" w:color="auto" w:fill="auto"/>
            <w:vAlign w:val="bottom"/>
            <w:hideMark/>
          </w:tcPr>
          <w:p w14:paraId="63DCC45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67</w:t>
            </w:r>
          </w:p>
        </w:tc>
        <w:tc>
          <w:tcPr>
            <w:tcW w:w="0" w:type="pct"/>
            <w:shd w:val="clear" w:color="auto" w:fill="auto"/>
            <w:vAlign w:val="bottom"/>
            <w:hideMark/>
          </w:tcPr>
          <w:p w14:paraId="2764B84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71</w:t>
            </w:r>
          </w:p>
        </w:tc>
        <w:tc>
          <w:tcPr>
            <w:tcW w:w="0" w:type="pct"/>
            <w:shd w:val="clear" w:color="auto" w:fill="auto"/>
            <w:vAlign w:val="bottom"/>
            <w:hideMark/>
          </w:tcPr>
          <w:p w14:paraId="5DFEA65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24</w:t>
            </w:r>
          </w:p>
        </w:tc>
        <w:tc>
          <w:tcPr>
            <w:tcW w:w="0" w:type="pct"/>
            <w:shd w:val="clear" w:color="auto" w:fill="auto"/>
            <w:vAlign w:val="bottom"/>
            <w:hideMark/>
          </w:tcPr>
          <w:p w14:paraId="0D3FCE3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12</w:t>
            </w:r>
          </w:p>
        </w:tc>
        <w:tc>
          <w:tcPr>
            <w:tcW w:w="0" w:type="pct"/>
            <w:shd w:val="clear" w:color="auto" w:fill="auto"/>
            <w:vAlign w:val="bottom"/>
            <w:hideMark/>
          </w:tcPr>
          <w:p w14:paraId="63D7DF5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9</w:t>
            </w:r>
          </w:p>
        </w:tc>
        <w:tc>
          <w:tcPr>
            <w:tcW w:w="0" w:type="pct"/>
            <w:shd w:val="clear" w:color="auto" w:fill="auto"/>
            <w:vAlign w:val="bottom"/>
            <w:hideMark/>
          </w:tcPr>
          <w:p w14:paraId="6B9EE22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242</w:t>
            </w:r>
          </w:p>
        </w:tc>
      </w:tr>
      <w:tr w:rsidR="00210112" w:rsidRPr="00210112" w14:paraId="0066020B"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507AE39"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Salida alternativa</w:t>
            </w:r>
          </w:p>
        </w:tc>
        <w:tc>
          <w:tcPr>
            <w:tcW w:w="0" w:type="pct"/>
            <w:shd w:val="clear" w:color="auto" w:fill="auto"/>
            <w:vAlign w:val="bottom"/>
            <w:hideMark/>
          </w:tcPr>
          <w:p w14:paraId="62B36B6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182CAFE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564139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B4F90C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672A3E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5706749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2DB47E8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4651FAD8"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469180A"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Sobreseído </w:t>
            </w:r>
          </w:p>
        </w:tc>
        <w:tc>
          <w:tcPr>
            <w:tcW w:w="0" w:type="pct"/>
            <w:shd w:val="clear" w:color="auto" w:fill="auto"/>
            <w:vAlign w:val="bottom"/>
            <w:hideMark/>
          </w:tcPr>
          <w:p w14:paraId="2ECC32B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5</w:t>
            </w:r>
          </w:p>
        </w:tc>
        <w:tc>
          <w:tcPr>
            <w:tcW w:w="0" w:type="pct"/>
            <w:shd w:val="clear" w:color="auto" w:fill="auto"/>
            <w:vAlign w:val="bottom"/>
            <w:hideMark/>
          </w:tcPr>
          <w:p w14:paraId="6AC3759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11</w:t>
            </w:r>
          </w:p>
        </w:tc>
        <w:tc>
          <w:tcPr>
            <w:tcW w:w="0" w:type="pct"/>
            <w:shd w:val="clear" w:color="auto" w:fill="auto"/>
            <w:vAlign w:val="bottom"/>
            <w:hideMark/>
          </w:tcPr>
          <w:p w14:paraId="6783288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2DB5A00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2BC7F04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30588F5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507F7FA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26</w:t>
            </w:r>
          </w:p>
        </w:tc>
      </w:tr>
      <w:tr w:rsidR="00210112" w:rsidRPr="00210112" w14:paraId="01721B6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21118FE"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 xml:space="preserve">Tarija </w:t>
            </w:r>
          </w:p>
        </w:tc>
        <w:tc>
          <w:tcPr>
            <w:tcW w:w="0" w:type="pct"/>
            <w:shd w:val="clear" w:color="auto" w:fill="auto"/>
            <w:vAlign w:val="bottom"/>
            <w:hideMark/>
          </w:tcPr>
          <w:p w14:paraId="74F8B10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47</w:t>
            </w:r>
          </w:p>
        </w:tc>
        <w:tc>
          <w:tcPr>
            <w:tcW w:w="0" w:type="pct"/>
            <w:shd w:val="clear" w:color="auto" w:fill="auto"/>
            <w:vAlign w:val="bottom"/>
            <w:hideMark/>
          </w:tcPr>
          <w:p w14:paraId="03AC0A7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30</w:t>
            </w:r>
          </w:p>
        </w:tc>
        <w:tc>
          <w:tcPr>
            <w:tcW w:w="0" w:type="pct"/>
            <w:shd w:val="clear" w:color="auto" w:fill="auto"/>
            <w:vAlign w:val="bottom"/>
            <w:hideMark/>
          </w:tcPr>
          <w:p w14:paraId="7A1A8EF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31</w:t>
            </w:r>
          </w:p>
        </w:tc>
        <w:tc>
          <w:tcPr>
            <w:tcW w:w="0" w:type="pct"/>
            <w:shd w:val="clear" w:color="auto" w:fill="auto"/>
            <w:vAlign w:val="bottom"/>
            <w:hideMark/>
          </w:tcPr>
          <w:p w14:paraId="67EB466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26</w:t>
            </w:r>
          </w:p>
        </w:tc>
        <w:tc>
          <w:tcPr>
            <w:tcW w:w="0" w:type="pct"/>
            <w:shd w:val="clear" w:color="auto" w:fill="auto"/>
            <w:vAlign w:val="bottom"/>
            <w:hideMark/>
          </w:tcPr>
          <w:p w14:paraId="47F827B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27</w:t>
            </w:r>
          </w:p>
        </w:tc>
        <w:tc>
          <w:tcPr>
            <w:tcW w:w="0" w:type="pct"/>
            <w:shd w:val="clear" w:color="auto" w:fill="auto"/>
            <w:vAlign w:val="bottom"/>
            <w:hideMark/>
          </w:tcPr>
          <w:p w14:paraId="1617A87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33</w:t>
            </w:r>
          </w:p>
        </w:tc>
        <w:tc>
          <w:tcPr>
            <w:tcW w:w="0" w:type="pct"/>
            <w:shd w:val="clear" w:color="auto" w:fill="auto"/>
            <w:vAlign w:val="bottom"/>
            <w:hideMark/>
          </w:tcPr>
          <w:p w14:paraId="24A5A32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194</w:t>
            </w:r>
          </w:p>
        </w:tc>
      </w:tr>
      <w:tr w:rsidR="00210112" w:rsidRPr="00210112" w14:paraId="2E951AA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1919297"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Abierto</w:t>
            </w:r>
          </w:p>
        </w:tc>
        <w:tc>
          <w:tcPr>
            <w:tcW w:w="0" w:type="pct"/>
            <w:shd w:val="clear" w:color="auto" w:fill="auto"/>
            <w:vAlign w:val="bottom"/>
            <w:hideMark/>
          </w:tcPr>
          <w:p w14:paraId="18B1545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7</w:t>
            </w:r>
          </w:p>
        </w:tc>
        <w:tc>
          <w:tcPr>
            <w:tcW w:w="0" w:type="pct"/>
            <w:shd w:val="clear" w:color="auto" w:fill="auto"/>
            <w:vAlign w:val="bottom"/>
            <w:hideMark/>
          </w:tcPr>
          <w:p w14:paraId="65FE714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6D4B974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7F84E7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5BE7483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hideMark/>
          </w:tcPr>
          <w:p w14:paraId="52C9E15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25D6700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17</w:t>
            </w:r>
          </w:p>
        </w:tc>
      </w:tr>
      <w:tr w:rsidR="00210112" w:rsidRPr="00210112" w14:paraId="7214B5A0"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92B7B04"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Abreviado</w:t>
            </w:r>
          </w:p>
        </w:tc>
        <w:tc>
          <w:tcPr>
            <w:tcW w:w="0" w:type="pct"/>
            <w:shd w:val="clear" w:color="auto" w:fill="auto"/>
            <w:vAlign w:val="bottom"/>
            <w:hideMark/>
          </w:tcPr>
          <w:p w14:paraId="041B0AD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1C7BB16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05160F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D026F9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180286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C9BFAB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6EE613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085F7F09"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F88A6E0"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Cerrado otros</w:t>
            </w:r>
          </w:p>
        </w:tc>
        <w:tc>
          <w:tcPr>
            <w:tcW w:w="0" w:type="pct"/>
            <w:shd w:val="clear" w:color="auto" w:fill="auto"/>
            <w:vAlign w:val="bottom"/>
            <w:hideMark/>
          </w:tcPr>
          <w:p w14:paraId="58769AA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tcPr>
          <w:p w14:paraId="5917796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499D0A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BE6FEF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7CF670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AB12F1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A688FC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430AD26B"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2993E48"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Con absolución</w:t>
            </w:r>
          </w:p>
        </w:tc>
        <w:tc>
          <w:tcPr>
            <w:tcW w:w="0" w:type="pct"/>
            <w:shd w:val="clear" w:color="auto" w:fill="auto"/>
            <w:vAlign w:val="bottom"/>
          </w:tcPr>
          <w:p w14:paraId="5BF72AF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34384BA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6EBA29A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6DD583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48E20C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B8B5FC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CE75DE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60203FD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13728BE"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Con condena</w:t>
            </w:r>
          </w:p>
        </w:tc>
        <w:tc>
          <w:tcPr>
            <w:tcW w:w="0" w:type="pct"/>
            <w:shd w:val="clear" w:color="auto" w:fill="auto"/>
            <w:vAlign w:val="bottom"/>
            <w:hideMark/>
          </w:tcPr>
          <w:p w14:paraId="0C22BAA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2B5F199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A64B06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03D072B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6ECE279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75D23D9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D91095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w:t>
            </w:r>
          </w:p>
        </w:tc>
      </w:tr>
      <w:tr w:rsidR="00210112" w:rsidRPr="00210112" w14:paraId="5E1CF8AB"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03D46BC"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Declinatoria competencia</w:t>
            </w:r>
          </w:p>
        </w:tc>
        <w:tc>
          <w:tcPr>
            <w:tcW w:w="0" w:type="pct"/>
            <w:shd w:val="clear" w:color="auto" w:fill="auto"/>
            <w:vAlign w:val="bottom"/>
          </w:tcPr>
          <w:p w14:paraId="59CF864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95ED51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621ACE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24F2A95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0C57CB9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1F296CC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133E750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r>
      <w:tr w:rsidR="00210112" w:rsidRPr="00210112" w14:paraId="2E49004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87C9183"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Desestimado</w:t>
            </w:r>
          </w:p>
        </w:tc>
        <w:tc>
          <w:tcPr>
            <w:tcW w:w="0" w:type="pct"/>
            <w:shd w:val="clear" w:color="auto" w:fill="auto"/>
            <w:vAlign w:val="bottom"/>
          </w:tcPr>
          <w:p w14:paraId="7DE71CD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64949A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649C644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tcPr>
          <w:p w14:paraId="5EBF463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AF4963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4432F88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7275DA6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9</w:t>
            </w:r>
          </w:p>
        </w:tc>
      </w:tr>
      <w:tr w:rsidR="00210112" w:rsidRPr="00210112" w14:paraId="11C03F5B"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19B9F3F"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Rechazado</w:t>
            </w:r>
          </w:p>
        </w:tc>
        <w:tc>
          <w:tcPr>
            <w:tcW w:w="0" w:type="pct"/>
            <w:shd w:val="clear" w:color="auto" w:fill="auto"/>
            <w:vAlign w:val="bottom"/>
            <w:hideMark/>
          </w:tcPr>
          <w:p w14:paraId="0A39015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28</w:t>
            </w:r>
          </w:p>
        </w:tc>
        <w:tc>
          <w:tcPr>
            <w:tcW w:w="0" w:type="pct"/>
            <w:shd w:val="clear" w:color="auto" w:fill="auto"/>
            <w:vAlign w:val="bottom"/>
            <w:hideMark/>
          </w:tcPr>
          <w:p w14:paraId="47F61F9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18</w:t>
            </w:r>
          </w:p>
        </w:tc>
        <w:tc>
          <w:tcPr>
            <w:tcW w:w="0" w:type="pct"/>
            <w:shd w:val="clear" w:color="auto" w:fill="auto"/>
            <w:vAlign w:val="bottom"/>
            <w:hideMark/>
          </w:tcPr>
          <w:p w14:paraId="482665F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22</w:t>
            </w:r>
          </w:p>
        </w:tc>
        <w:tc>
          <w:tcPr>
            <w:tcW w:w="0" w:type="pct"/>
            <w:shd w:val="clear" w:color="auto" w:fill="auto"/>
            <w:vAlign w:val="bottom"/>
            <w:hideMark/>
          </w:tcPr>
          <w:p w14:paraId="04221EC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23</w:t>
            </w:r>
          </w:p>
        </w:tc>
        <w:tc>
          <w:tcPr>
            <w:tcW w:w="0" w:type="pct"/>
            <w:shd w:val="clear" w:color="auto" w:fill="auto"/>
            <w:vAlign w:val="bottom"/>
            <w:hideMark/>
          </w:tcPr>
          <w:p w14:paraId="2C0389A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22</w:t>
            </w:r>
          </w:p>
        </w:tc>
        <w:tc>
          <w:tcPr>
            <w:tcW w:w="0" w:type="pct"/>
            <w:shd w:val="clear" w:color="auto" w:fill="auto"/>
            <w:vAlign w:val="bottom"/>
            <w:hideMark/>
          </w:tcPr>
          <w:p w14:paraId="1EC522A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16</w:t>
            </w:r>
          </w:p>
        </w:tc>
        <w:tc>
          <w:tcPr>
            <w:tcW w:w="0" w:type="pct"/>
            <w:shd w:val="clear" w:color="auto" w:fill="auto"/>
            <w:vAlign w:val="bottom"/>
            <w:hideMark/>
          </w:tcPr>
          <w:p w14:paraId="0BCEA5E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139</w:t>
            </w:r>
          </w:p>
        </w:tc>
      </w:tr>
      <w:tr w:rsidR="00210112" w:rsidRPr="00210112" w14:paraId="7435DD6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74B39C3"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Salida alternativa</w:t>
            </w:r>
          </w:p>
        </w:tc>
        <w:tc>
          <w:tcPr>
            <w:tcW w:w="0" w:type="pct"/>
            <w:shd w:val="clear" w:color="auto" w:fill="auto"/>
            <w:vAlign w:val="bottom"/>
            <w:hideMark/>
          </w:tcPr>
          <w:p w14:paraId="3BF3AE0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c>
          <w:tcPr>
            <w:tcW w:w="0" w:type="pct"/>
            <w:shd w:val="clear" w:color="auto" w:fill="auto"/>
            <w:vAlign w:val="bottom"/>
          </w:tcPr>
          <w:p w14:paraId="0E691C1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16853E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4A66ECA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69919DB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125BF6D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6D19073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2</w:t>
            </w:r>
          </w:p>
        </w:tc>
      </w:tr>
      <w:tr w:rsidR="00210112" w:rsidRPr="00210112" w14:paraId="00790F5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17AD8BC"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Sobrese</w:t>
            </w:r>
            <w:r w:rsidR="00621AFD">
              <w:rPr>
                <w:rFonts w:ascii="Times New Roman" w:eastAsia="SimSun" w:hAnsi="Times New Roman"/>
                <w:b w:val="0"/>
                <w:color w:val="auto"/>
                <w:sz w:val="18"/>
              </w:rPr>
              <w:t>í</w:t>
            </w:r>
            <w:r w:rsidRPr="00777507">
              <w:rPr>
                <w:rFonts w:eastAsia="SimSun"/>
                <w:sz w:val="18"/>
              </w:rPr>
              <w:t>do</w:t>
            </w:r>
          </w:p>
        </w:tc>
        <w:tc>
          <w:tcPr>
            <w:tcW w:w="0" w:type="pct"/>
            <w:shd w:val="clear" w:color="auto" w:fill="auto"/>
            <w:vAlign w:val="bottom"/>
            <w:hideMark/>
          </w:tcPr>
          <w:p w14:paraId="70D97FE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630DD34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4</w:t>
            </w:r>
          </w:p>
        </w:tc>
        <w:tc>
          <w:tcPr>
            <w:tcW w:w="0" w:type="pct"/>
            <w:shd w:val="clear" w:color="auto" w:fill="auto"/>
            <w:vAlign w:val="bottom"/>
            <w:hideMark/>
          </w:tcPr>
          <w:p w14:paraId="246F5AE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3</w:t>
            </w:r>
          </w:p>
        </w:tc>
        <w:tc>
          <w:tcPr>
            <w:tcW w:w="0" w:type="pct"/>
            <w:shd w:val="clear" w:color="auto" w:fill="auto"/>
            <w:vAlign w:val="bottom"/>
            <w:hideMark/>
          </w:tcPr>
          <w:p w14:paraId="5EFE4EE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5D2562E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E50559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hideMark/>
          </w:tcPr>
          <w:p w14:paraId="6AEF7C1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13</w:t>
            </w:r>
          </w:p>
        </w:tc>
      </w:tr>
      <w:tr w:rsidR="00210112" w:rsidRPr="00210112" w14:paraId="5B56362F"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F4D8BD7"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(En blanco)</w:t>
            </w:r>
          </w:p>
        </w:tc>
        <w:tc>
          <w:tcPr>
            <w:tcW w:w="0" w:type="pct"/>
            <w:shd w:val="clear" w:color="auto" w:fill="auto"/>
            <w:vAlign w:val="bottom"/>
          </w:tcPr>
          <w:p w14:paraId="1CFA82C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5178297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09DCA3C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7083334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7452F08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2CE32F4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298CF5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7F2A5E7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5698829"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Sobrese</w:t>
            </w:r>
            <w:r w:rsidR="00621AFD">
              <w:rPr>
                <w:rFonts w:ascii="Times New Roman" w:eastAsia="SimSun" w:hAnsi="Times New Roman"/>
                <w:b w:val="0"/>
                <w:color w:val="auto"/>
                <w:sz w:val="18"/>
              </w:rPr>
              <w:t>í</w:t>
            </w:r>
            <w:r w:rsidRPr="00777507">
              <w:rPr>
                <w:rFonts w:eastAsia="SimSun"/>
                <w:sz w:val="18"/>
              </w:rPr>
              <w:t>do</w:t>
            </w:r>
          </w:p>
        </w:tc>
        <w:tc>
          <w:tcPr>
            <w:tcW w:w="0" w:type="pct"/>
            <w:shd w:val="clear" w:color="auto" w:fill="auto"/>
            <w:vAlign w:val="bottom"/>
          </w:tcPr>
          <w:p w14:paraId="0C9953A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12A0CF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p>
        </w:tc>
        <w:tc>
          <w:tcPr>
            <w:tcW w:w="0" w:type="pct"/>
            <w:shd w:val="clear" w:color="auto" w:fill="auto"/>
            <w:vAlign w:val="bottom"/>
          </w:tcPr>
          <w:p w14:paraId="753F885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215F39B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c>
          <w:tcPr>
            <w:tcW w:w="0" w:type="pct"/>
            <w:shd w:val="clear" w:color="auto" w:fill="auto"/>
            <w:vAlign w:val="bottom"/>
          </w:tcPr>
          <w:p w14:paraId="5D360AE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tcPr>
          <w:p w14:paraId="7D4D2F8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w:t>
            </w:r>
          </w:p>
        </w:tc>
        <w:tc>
          <w:tcPr>
            <w:tcW w:w="0" w:type="pct"/>
            <w:shd w:val="clear" w:color="auto" w:fill="auto"/>
            <w:vAlign w:val="bottom"/>
            <w:hideMark/>
          </w:tcPr>
          <w:p w14:paraId="1526738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18"/>
              </w:rPr>
            </w:pPr>
            <w:r w:rsidRPr="00777507">
              <w:rPr>
                <w:rFonts w:eastAsia="SimSun"/>
                <w:sz w:val="18"/>
              </w:rPr>
              <w:t>1</w:t>
            </w:r>
          </w:p>
        </w:tc>
      </w:tr>
      <w:tr w:rsidR="00210112" w:rsidRPr="00210112" w14:paraId="59CF3814"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auto"/>
            </w:tcBorders>
            <w:shd w:val="clear" w:color="auto" w:fill="auto"/>
            <w:hideMark/>
          </w:tcPr>
          <w:p w14:paraId="17765745" w14:textId="77777777" w:rsidR="00B36B7E" w:rsidRPr="00777507" w:rsidRDefault="00B36B7E" w:rsidP="00777507">
            <w:pPr>
              <w:spacing w:before="40" w:after="40" w:line="220" w:lineRule="exact"/>
              <w:rPr>
                <w:rFonts w:ascii="Times New Roman" w:eastAsia="SimSun" w:hAnsi="Times New Roman"/>
                <w:b w:val="0"/>
                <w:color w:val="auto"/>
                <w:sz w:val="18"/>
              </w:rPr>
            </w:pPr>
            <w:r w:rsidRPr="00777507">
              <w:rPr>
                <w:rFonts w:eastAsia="SimSun"/>
                <w:sz w:val="18"/>
              </w:rPr>
              <w:t>Total</w:t>
            </w:r>
          </w:p>
        </w:tc>
        <w:tc>
          <w:tcPr>
            <w:tcW w:w="0" w:type="pct"/>
            <w:tcBorders>
              <w:bottom w:val="single" w:sz="12" w:space="0" w:color="auto"/>
            </w:tcBorders>
            <w:shd w:val="clear" w:color="auto" w:fill="auto"/>
            <w:vAlign w:val="bottom"/>
            <w:hideMark/>
          </w:tcPr>
          <w:p w14:paraId="31FE9E5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18"/>
              </w:rPr>
            </w:pPr>
            <w:r w:rsidRPr="00777507">
              <w:rPr>
                <w:rFonts w:eastAsia="SimSun"/>
                <w:bCs/>
                <w:sz w:val="18"/>
              </w:rPr>
              <w:t>541</w:t>
            </w:r>
          </w:p>
        </w:tc>
        <w:tc>
          <w:tcPr>
            <w:tcW w:w="0" w:type="pct"/>
            <w:tcBorders>
              <w:bottom w:val="single" w:sz="12" w:space="0" w:color="auto"/>
            </w:tcBorders>
            <w:shd w:val="clear" w:color="auto" w:fill="auto"/>
            <w:vAlign w:val="bottom"/>
            <w:hideMark/>
          </w:tcPr>
          <w:p w14:paraId="100DA39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18"/>
              </w:rPr>
            </w:pPr>
            <w:r w:rsidRPr="00777507">
              <w:rPr>
                <w:rFonts w:eastAsia="SimSun"/>
                <w:bCs/>
                <w:sz w:val="18"/>
              </w:rPr>
              <w:t>512</w:t>
            </w:r>
          </w:p>
        </w:tc>
        <w:tc>
          <w:tcPr>
            <w:tcW w:w="0" w:type="pct"/>
            <w:tcBorders>
              <w:bottom w:val="single" w:sz="12" w:space="0" w:color="auto"/>
            </w:tcBorders>
            <w:shd w:val="clear" w:color="auto" w:fill="auto"/>
            <w:vAlign w:val="bottom"/>
            <w:hideMark/>
          </w:tcPr>
          <w:p w14:paraId="7649708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18"/>
              </w:rPr>
            </w:pPr>
            <w:r w:rsidRPr="00777507">
              <w:rPr>
                <w:rFonts w:eastAsia="SimSun"/>
                <w:bCs/>
                <w:sz w:val="18"/>
              </w:rPr>
              <w:t>622</w:t>
            </w:r>
          </w:p>
        </w:tc>
        <w:tc>
          <w:tcPr>
            <w:tcW w:w="0" w:type="pct"/>
            <w:tcBorders>
              <w:bottom w:val="single" w:sz="12" w:space="0" w:color="auto"/>
            </w:tcBorders>
            <w:shd w:val="clear" w:color="auto" w:fill="auto"/>
            <w:vAlign w:val="bottom"/>
            <w:hideMark/>
          </w:tcPr>
          <w:p w14:paraId="7A6DFBD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18"/>
              </w:rPr>
            </w:pPr>
            <w:r w:rsidRPr="00777507">
              <w:rPr>
                <w:rFonts w:eastAsia="SimSun"/>
                <w:bCs/>
                <w:sz w:val="18"/>
              </w:rPr>
              <w:t>602</w:t>
            </w:r>
          </w:p>
        </w:tc>
        <w:tc>
          <w:tcPr>
            <w:tcW w:w="0" w:type="pct"/>
            <w:tcBorders>
              <w:bottom w:val="single" w:sz="12" w:space="0" w:color="auto"/>
            </w:tcBorders>
            <w:shd w:val="clear" w:color="auto" w:fill="auto"/>
            <w:vAlign w:val="bottom"/>
            <w:hideMark/>
          </w:tcPr>
          <w:p w14:paraId="68639EC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18"/>
              </w:rPr>
            </w:pPr>
            <w:r w:rsidRPr="00777507">
              <w:rPr>
                <w:rFonts w:eastAsia="SimSun"/>
                <w:bCs/>
                <w:sz w:val="18"/>
              </w:rPr>
              <w:t>476</w:t>
            </w:r>
          </w:p>
        </w:tc>
        <w:tc>
          <w:tcPr>
            <w:tcW w:w="0" w:type="pct"/>
            <w:tcBorders>
              <w:bottom w:val="single" w:sz="12" w:space="0" w:color="auto"/>
            </w:tcBorders>
            <w:shd w:val="clear" w:color="auto" w:fill="auto"/>
            <w:vAlign w:val="bottom"/>
            <w:hideMark/>
          </w:tcPr>
          <w:p w14:paraId="50CE33B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18"/>
              </w:rPr>
            </w:pPr>
            <w:r w:rsidRPr="00777507">
              <w:rPr>
                <w:rFonts w:eastAsia="SimSun"/>
                <w:bCs/>
                <w:sz w:val="18"/>
              </w:rPr>
              <w:t>572</w:t>
            </w:r>
          </w:p>
        </w:tc>
        <w:tc>
          <w:tcPr>
            <w:tcW w:w="0" w:type="pct"/>
            <w:tcBorders>
              <w:bottom w:val="single" w:sz="12" w:space="0" w:color="auto"/>
            </w:tcBorders>
            <w:shd w:val="clear" w:color="auto" w:fill="auto"/>
            <w:vAlign w:val="bottom"/>
            <w:hideMark/>
          </w:tcPr>
          <w:p w14:paraId="11A3F3D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18"/>
              </w:rPr>
            </w:pPr>
            <w:r w:rsidRPr="00777507">
              <w:rPr>
                <w:rFonts w:eastAsia="SimSun"/>
                <w:bCs/>
                <w:sz w:val="18"/>
              </w:rPr>
              <w:t>3</w:t>
            </w:r>
            <w:r w:rsidR="00584263" w:rsidRPr="00777507">
              <w:rPr>
                <w:rFonts w:eastAsia="SimSun"/>
                <w:bCs/>
                <w:sz w:val="18"/>
              </w:rPr>
              <w:t xml:space="preserve"> </w:t>
            </w:r>
            <w:r w:rsidRPr="00777507">
              <w:rPr>
                <w:rFonts w:eastAsia="SimSun"/>
                <w:bCs/>
                <w:sz w:val="18"/>
              </w:rPr>
              <w:t>325</w:t>
            </w:r>
          </w:p>
        </w:tc>
      </w:tr>
    </w:tbl>
    <w:p w14:paraId="7DA74C73" w14:textId="77777777" w:rsidR="00B36B7E" w:rsidRP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FGE </w:t>
      </w:r>
      <w:r w:rsidR="00584263">
        <w:rPr>
          <w:lang w:eastAsia="en-US"/>
        </w:rPr>
        <w:t>–</w:t>
      </w:r>
      <w:r w:rsidRPr="00B36B7E">
        <w:rPr>
          <w:lang w:eastAsia="en-US"/>
        </w:rPr>
        <w:t xml:space="preserve"> Sistema JL1 13/08/2020 (Datos del 1 de enero al 31 de diciembre de 2019).</w:t>
      </w:r>
    </w:p>
    <w:p w14:paraId="162CDB48" w14:textId="77777777" w:rsidR="00B36B7E" w:rsidRPr="00B36B7E" w:rsidRDefault="00235247" w:rsidP="00777507">
      <w:pPr>
        <w:pStyle w:val="SingleTxtG"/>
        <w:spacing w:before="120"/>
        <w:rPr>
          <w:lang w:eastAsia="en-US"/>
        </w:rPr>
      </w:pPr>
      <w:r w:rsidRPr="00B36B7E">
        <w:rPr>
          <w:lang w:eastAsia="en-US"/>
        </w:rPr>
        <w:t>45.</w:t>
      </w:r>
      <w:r w:rsidRPr="00B36B7E">
        <w:rPr>
          <w:lang w:eastAsia="en-US"/>
        </w:rPr>
        <w:tab/>
      </w:r>
      <w:r w:rsidR="00B36B7E" w:rsidRPr="00B36B7E">
        <w:rPr>
          <w:lang w:eastAsia="en-US"/>
        </w:rPr>
        <w:t xml:space="preserve">Asimismo, el Sistema JL1 registra 415 víctimas atendidas por casos de trata de personas, durante la gestión 2019, </w:t>
      </w:r>
      <w:r w:rsidR="000553C1">
        <w:rPr>
          <w:lang w:eastAsia="en-US"/>
        </w:rPr>
        <w:t>como se detalla a continuación.</w:t>
      </w:r>
    </w:p>
    <w:p w14:paraId="51E5043D" w14:textId="77777777" w:rsidR="00732C2F" w:rsidRDefault="00732C2F"/>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9"/>
        <w:gridCol w:w="1038"/>
        <w:gridCol w:w="1130"/>
        <w:gridCol w:w="1265"/>
        <w:gridCol w:w="886"/>
        <w:gridCol w:w="1582"/>
      </w:tblGrid>
      <w:tr w:rsidR="00210112" w:rsidRPr="00210112" w14:paraId="71A7F40D"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auto"/>
              <w:bottom w:val="single" w:sz="12" w:space="0" w:color="auto"/>
            </w:tcBorders>
            <w:shd w:val="clear" w:color="auto" w:fill="auto"/>
            <w:noWrap/>
            <w:vAlign w:val="bottom"/>
          </w:tcPr>
          <w:p w14:paraId="59E08302" w14:textId="77777777" w:rsidR="00732C2F" w:rsidRPr="00777507" w:rsidRDefault="00732C2F" w:rsidP="00777507">
            <w:pPr>
              <w:spacing w:before="80" w:after="80" w:line="200" w:lineRule="exact"/>
              <w:rPr>
                <w:rFonts w:ascii="Times New Roman" w:hAnsi="Times New Roman"/>
                <w:b w:val="0"/>
                <w:bCs w:val="0"/>
                <w:i/>
                <w:color w:val="auto"/>
                <w:sz w:val="16"/>
              </w:rPr>
            </w:pPr>
            <w:r w:rsidRPr="00777507">
              <w:rPr>
                <w:i/>
                <w:sz w:val="16"/>
              </w:rPr>
              <w:t>Departamento</w:t>
            </w:r>
          </w:p>
        </w:tc>
        <w:tc>
          <w:tcPr>
            <w:tcW w:w="0" w:type="pct"/>
            <w:gridSpan w:val="5"/>
            <w:tcBorders>
              <w:top w:val="single" w:sz="4" w:space="0" w:color="auto"/>
              <w:bottom w:val="single" w:sz="12" w:space="0" w:color="auto"/>
            </w:tcBorders>
            <w:shd w:val="clear" w:color="auto" w:fill="auto"/>
            <w:vAlign w:val="bottom"/>
          </w:tcPr>
          <w:p w14:paraId="150EBE51" w14:textId="77777777" w:rsidR="00732C2F" w:rsidRPr="00777507" w:rsidRDefault="00732C2F"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r w:rsidRPr="00210112">
              <w:rPr>
                <w:i/>
                <w:sz w:val="16"/>
              </w:rPr>
              <w:t>Víctimas de trata de personas</w:t>
            </w:r>
          </w:p>
        </w:tc>
      </w:tr>
      <w:tr w:rsidR="00210112" w:rsidRPr="00210112" w14:paraId="554B31E8"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vMerge/>
            <w:tcBorders>
              <w:top w:val="single" w:sz="12" w:space="0" w:color="auto"/>
            </w:tcBorders>
            <w:shd w:val="clear" w:color="auto" w:fill="auto"/>
            <w:noWrap/>
            <w:vAlign w:val="bottom"/>
            <w:hideMark/>
          </w:tcPr>
          <w:p w14:paraId="534A93A1" w14:textId="77777777" w:rsidR="00732C2F" w:rsidRPr="00777507" w:rsidRDefault="00732C2F" w:rsidP="00777507">
            <w:pPr>
              <w:spacing w:before="40" w:after="40" w:line="220" w:lineRule="exact"/>
              <w:rPr>
                <w:rFonts w:ascii="Times New Roman" w:hAnsi="Times New Roman"/>
                <w:b w:val="0"/>
                <w:color w:val="auto"/>
                <w:sz w:val="18"/>
              </w:rPr>
            </w:pPr>
          </w:p>
        </w:tc>
        <w:tc>
          <w:tcPr>
            <w:tcW w:w="0" w:type="pct"/>
            <w:tcBorders>
              <w:top w:val="single" w:sz="12" w:space="0" w:color="auto"/>
            </w:tcBorders>
            <w:shd w:val="clear" w:color="auto" w:fill="auto"/>
            <w:noWrap/>
            <w:vAlign w:val="bottom"/>
            <w:hideMark/>
          </w:tcPr>
          <w:p w14:paraId="6F0E5988" w14:textId="77777777" w:rsidR="00732C2F" w:rsidRPr="00777507" w:rsidRDefault="00732C2F"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0 a 12</w:t>
            </w:r>
          </w:p>
        </w:tc>
        <w:tc>
          <w:tcPr>
            <w:tcW w:w="0" w:type="pct"/>
            <w:tcBorders>
              <w:top w:val="single" w:sz="12" w:space="0" w:color="auto"/>
            </w:tcBorders>
            <w:shd w:val="clear" w:color="auto" w:fill="auto"/>
            <w:noWrap/>
            <w:vAlign w:val="bottom"/>
            <w:hideMark/>
          </w:tcPr>
          <w:p w14:paraId="148DB2A4" w14:textId="77777777" w:rsidR="00732C2F" w:rsidRPr="00777507" w:rsidRDefault="00732C2F"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12 a 18</w:t>
            </w:r>
          </w:p>
        </w:tc>
        <w:tc>
          <w:tcPr>
            <w:tcW w:w="0" w:type="pct"/>
            <w:tcBorders>
              <w:top w:val="single" w:sz="12" w:space="0" w:color="auto"/>
            </w:tcBorders>
            <w:shd w:val="clear" w:color="auto" w:fill="auto"/>
            <w:noWrap/>
            <w:vAlign w:val="bottom"/>
            <w:hideMark/>
          </w:tcPr>
          <w:p w14:paraId="1B0AF75A" w14:textId="77777777" w:rsidR="00732C2F" w:rsidRPr="00777507" w:rsidRDefault="00732C2F"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18 a Más</w:t>
            </w:r>
          </w:p>
        </w:tc>
        <w:tc>
          <w:tcPr>
            <w:tcW w:w="0" w:type="pct"/>
            <w:tcBorders>
              <w:top w:val="single" w:sz="12" w:space="0" w:color="auto"/>
            </w:tcBorders>
            <w:shd w:val="clear" w:color="auto" w:fill="auto"/>
            <w:noWrap/>
            <w:vAlign w:val="bottom"/>
            <w:hideMark/>
          </w:tcPr>
          <w:p w14:paraId="0EBFECE6" w14:textId="77777777" w:rsidR="00732C2F" w:rsidRPr="00777507" w:rsidRDefault="00732C2F"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N/C</w:t>
            </w:r>
          </w:p>
        </w:tc>
        <w:tc>
          <w:tcPr>
            <w:tcW w:w="0" w:type="pct"/>
            <w:tcBorders>
              <w:top w:val="single" w:sz="12" w:space="0" w:color="auto"/>
            </w:tcBorders>
            <w:shd w:val="clear" w:color="auto" w:fill="auto"/>
            <w:noWrap/>
            <w:vAlign w:val="bottom"/>
            <w:hideMark/>
          </w:tcPr>
          <w:p w14:paraId="73EFE5AE" w14:textId="77777777" w:rsidR="00732C2F" w:rsidRPr="00777507" w:rsidRDefault="00732C2F"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Total general</w:t>
            </w:r>
          </w:p>
        </w:tc>
      </w:tr>
      <w:tr w:rsidR="00210112" w:rsidRPr="00210112" w14:paraId="5619A818"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noWrap/>
            <w:hideMark/>
          </w:tcPr>
          <w:p w14:paraId="40C66820"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Beni</w:t>
            </w:r>
          </w:p>
        </w:tc>
        <w:tc>
          <w:tcPr>
            <w:tcW w:w="0" w:type="pct"/>
            <w:shd w:val="clear" w:color="auto" w:fill="auto"/>
            <w:noWrap/>
            <w:vAlign w:val="bottom"/>
            <w:hideMark/>
          </w:tcPr>
          <w:p w14:paraId="16955B1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7AD4FF9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w:t>
            </w:r>
          </w:p>
        </w:tc>
        <w:tc>
          <w:tcPr>
            <w:tcW w:w="0" w:type="pct"/>
            <w:shd w:val="clear" w:color="auto" w:fill="auto"/>
            <w:noWrap/>
            <w:vAlign w:val="bottom"/>
            <w:hideMark/>
          </w:tcPr>
          <w:p w14:paraId="585E031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29A9954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4</w:t>
            </w:r>
          </w:p>
        </w:tc>
        <w:tc>
          <w:tcPr>
            <w:tcW w:w="0" w:type="pct"/>
            <w:shd w:val="clear" w:color="auto" w:fill="auto"/>
            <w:noWrap/>
            <w:vAlign w:val="bottom"/>
            <w:hideMark/>
          </w:tcPr>
          <w:p w14:paraId="69CF707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7</w:t>
            </w:r>
          </w:p>
        </w:tc>
      </w:tr>
      <w:tr w:rsidR="00210112" w:rsidRPr="00210112" w14:paraId="74E901AA"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noWrap/>
            <w:hideMark/>
          </w:tcPr>
          <w:p w14:paraId="31528307"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Chuquisaca</w:t>
            </w:r>
          </w:p>
        </w:tc>
        <w:tc>
          <w:tcPr>
            <w:tcW w:w="0" w:type="pct"/>
            <w:shd w:val="clear" w:color="auto" w:fill="auto"/>
            <w:noWrap/>
            <w:vAlign w:val="bottom"/>
            <w:hideMark/>
          </w:tcPr>
          <w:p w14:paraId="4579630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5CD817C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c>
          <w:tcPr>
            <w:tcW w:w="0" w:type="pct"/>
            <w:shd w:val="clear" w:color="auto" w:fill="auto"/>
            <w:noWrap/>
            <w:vAlign w:val="bottom"/>
            <w:hideMark/>
          </w:tcPr>
          <w:p w14:paraId="6915BF4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0258F72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w:t>
            </w:r>
          </w:p>
        </w:tc>
        <w:tc>
          <w:tcPr>
            <w:tcW w:w="0" w:type="pct"/>
            <w:shd w:val="clear" w:color="auto" w:fill="auto"/>
            <w:noWrap/>
            <w:vAlign w:val="bottom"/>
            <w:hideMark/>
          </w:tcPr>
          <w:p w14:paraId="2A0DF7D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3</w:t>
            </w:r>
          </w:p>
        </w:tc>
      </w:tr>
      <w:tr w:rsidR="00210112" w:rsidRPr="00210112" w14:paraId="731F864B"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noWrap/>
            <w:hideMark/>
          </w:tcPr>
          <w:p w14:paraId="29F1C774"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lastRenderedPageBreak/>
              <w:t>Cochabamba</w:t>
            </w:r>
          </w:p>
        </w:tc>
        <w:tc>
          <w:tcPr>
            <w:tcW w:w="0" w:type="pct"/>
            <w:shd w:val="clear" w:color="auto" w:fill="auto"/>
            <w:noWrap/>
            <w:vAlign w:val="bottom"/>
            <w:hideMark/>
          </w:tcPr>
          <w:p w14:paraId="3B7D67C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550452A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4</w:t>
            </w:r>
          </w:p>
        </w:tc>
        <w:tc>
          <w:tcPr>
            <w:tcW w:w="0" w:type="pct"/>
            <w:shd w:val="clear" w:color="auto" w:fill="auto"/>
            <w:noWrap/>
            <w:vAlign w:val="bottom"/>
            <w:hideMark/>
          </w:tcPr>
          <w:p w14:paraId="21E3C46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9</w:t>
            </w:r>
          </w:p>
        </w:tc>
        <w:tc>
          <w:tcPr>
            <w:tcW w:w="0" w:type="pct"/>
            <w:shd w:val="clear" w:color="auto" w:fill="auto"/>
            <w:noWrap/>
            <w:vAlign w:val="bottom"/>
            <w:hideMark/>
          </w:tcPr>
          <w:p w14:paraId="39F3A22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22</w:t>
            </w:r>
          </w:p>
        </w:tc>
        <w:tc>
          <w:tcPr>
            <w:tcW w:w="0" w:type="pct"/>
            <w:shd w:val="clear" w:color="auto" w:fill="auto"/>
            <w:noWrap/>
            <w:vAlign w:val="bottom"/>
            <w:hideMark/>
          </w:tcPr>
          <w:p w14:paraId="52A0851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35</w:t>
            </w:r>
          </w:p>
        </w:tc>
      </w:tr>
      <w:tr w:rsidR="00210112" w:rsidRPr="00210112" w14:paraId="3B209914"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noWrap/>
            <w:hideMark/>
          </w:tcPr>
          <w:p w14:paraId="1B6FE681"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La Paz</w:t>
            </w:r>
          </w:p>
        </w:tc>
        <w:tc>
          <w:tcPr>
            <w:tcW w:w="0" w:type="pct"/>
            <w:shd w:val="clear" w:color="auto" w:fill="auto"/>
            <w:noWrap/>
            <w:vAlign w:val="bottom"/>
            <w:hideMark/>
          </w:tcPr>
          <w:p w14:paraId="2EEAB51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8</w:t>
            </w:r>
          </w:p>
        </w:tc>
        <w:tc>
          <w:tcPr>
            <w:tcW w:w="0" w:type="pct"/>
            <w:shd w:val="clear" w:color="auto" w:fill="auto"/>
            <w:noWrap/>
            <w:vAlign w:val="bottom"/>
            <w:hideMark/>
          </w:tcPr>
          <w:p w14:paraId="7D30E44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61</w:t>
            </w:r>
          </w:p>
        </w:tc>
        <w:tc>
          <w:tcPr>
            <w:tcW w:w="0" w:type="pct"/>
            <w:shd w:val="clear" w:color="auto" w:fill="auto"/>
            <w:noWrap/>
            <w:vAlign w:val="bottom"/>
            <w:hideMark/>
          </w:tcPr>
          <w:p w14:paraId="57B1695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82</w:t>
            </w:r>
          </w:p>
        </w:tc>
        <w:tc>
          <w:tcPr>
            <w:tcW w:w="0" w:type="pct"/>
            <w:shd w:val="clear" w:color="auto" w:fill="auto"/>
            <w:noWrap/>
            <w:vAlign w:val="bottom"/>
            <w:hideMark/>
          </w:tcPr>
          <w:p w14:paraId="4C23968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149</w:t>
            </w:r>
          </w:p>
        </w:tc>
        <w:tc>
          <w:tcPr>
            <w:tcW w:w="0" w:type="pct"/>
            <w:shd w:val="clear" w:color="auto" w:fill="auto"/>
            <w:noWrap/>
            <w:vAlign w:val="bottom"/>
            <w:hideMark/>
          </w:tcPr>
          <w:p w14:paraId="0C51D9E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300</w:t>
            </w:r>
          </w:p>
        </w:tc>
      </w:tr>
      <w:tr w:rsidR="00210112" w:rsidRPr="00210112" w14:paraId="48B91B2E"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noWrap/>
            <w:hideMark/>
          </w:tcPr>
          <w:p w14:paraId="6C9D7645"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Oruro</w:t>
            </w:r>
          </w:p>
        </w:tc>
        <w:tc>
          <w:tcPr>
            <w:tcW w:w="0" w:type="pct"/>
            <w:shd w:val="clear" w:color="auto" w:fill="auto"/>
            <w:noWrap/>
            <w:vAlign w:val="bottom"/>
            <w:hideMark/>
          </w:tcPr>
          <w:p w14:paraId="6FCF256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78DA053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w:t>
            </w:r>
          </w:p>
        </w:tc>
        <w:tc>
          <w:tcPr>
            <w:tcW w:w="0" w:type="pct"/>
            <w:shd w:val="clear" w:color="auto" w:fill="auto"/>
            <w:noWrap/>
            <w:vAlign w:val="bottom"/>
            <w:hideMark/>
          </w:tcPr>
          <w:p w14:paraId="5F07802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w:t>
            </w:r>
          </w:p>
        </w:tc>
        <w:tc>
          <w:tcPr>
            <w:tcW w:w="0" w:type="pct"/>
            <w:shd w:val="clear" w:color="auto" w:fill="auto"/>
            <w:noWrap/>
            <w:vAlign w:val="bottom"/>
            <w:hideMark/>
          </w:tcPr>
          <w:p w14:paraId="3DCD0CC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22</w:t>
            </w:r>
          </w:p>
        </w:tc>
        <w:tc>
          <w:tcPr>
            <w:tcW w:w="0" w:type="pct"/>
            <w:shd w:val="clear" w:color="auto" w:fill="auto"/>
            <w:noWrap/>
            <w:vAlign w:val="bottom"/>
            <w:hideMark/>
          </w:tcPr>
          <w:p w14:paraId="7E70CEC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25</w:t>
            </w:r>
          </w:p>
        </w:tc>
      </w:tr>
      <w:tr w:rsidR="00210112" w:rsidRPr="00210112" w14:paraId="297F22F0"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noWrap/>
            <w:hideMark/>
          </w:tcPr>
          <w:p w14:paraId="005495CC"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Pando</w:t>
            </w:r>
          </w:p>
        </w:tc>
        <w:tc>
          <w:tcPr>
            <w:tcW w:w="0" w:type="pct"/>
            <w:shd w:val="clear" w:color="auto" w:fill="auto"/>
            <w:noWrap/>
            <w:vAlign w:val="bottom"/>
            <w:hideMark/>
          </w:tcPr>
          <w:p w14:paraId="48035DA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442D498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186BAC0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c>
          <w:tcPr>
            <w:tcW w:w="0" w:type="pct"/>
            <w:shd w:val="clear" w:color="auto" w:fill="auto"/>
            <w:noWrap/>
            <w:vAlign w:val="bottom"/>
            <w:hideMark/>
          </w:tcPr>
          <w:p w14:paraId="75B40B9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3</w:t>
            </w:r>
          </w:p>
        </w:tc>
        <w:tc>
          <w:tcPr>
            <w:tcW w:w="0" w:type="pct"/>
            <w:shd w:val="clear" w:color="auto" w:fill="auto"/>
            <w:noWrap/>
            <w:vAlign w:val="bottom"/>
            <w:hideMark/>
          </w:tcPr>
          <w:p w14:paraId="172CB74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4</w:t>
            </w:r>
          </w:p>
        </w:tc>
      </w:tr>
      <w:tr w:rsidR="00210112" w:rsidRPr="00210112" w14:paraId="47871801"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noWrap/>
            <w:hideMark/>
          </w:tcPr>
          <w:p w14:paraId="0D6C215D"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Potosí</w:t>
            </w:r>
          </w:p>
        </w:tc>
        <w:tc>
          <w:tcPr>
            <w:tcW w:w="0" w:type="pct"/>
            <w:shd w:val="clear" w:color="auto" w:fill="auto"/>
            <w:noWrap/>
            <w:vAlign w:val="bottom"/>
            <w:hideMark/>
          </w:tcPr>
          <w:p w14:paraId="0848ADE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6744247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w:t>
            </w:r>
          </w:p>
        </w:tc>
        <w:tc>
          <w:tcPr>
            <w:tcW w:w="0" w:type="pct"/>
            <w:shd w:val="clear" w:color="auto" w:fill="auto"/>
            <w:noWrap/>
            <w:vAlign w:val="bottom"/>
            <w:hideMark/>
          </w:tcPr>
          <w:p w14:paraId="3C38209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5046B9D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5</w:t>
            </w:r>
          </w:p>
        </w:tc>
        <w:tc>
          <w:tcPr>
            <w:tcW w:w="0" w:type="pct"/>
            <w:shd w:val="clear" w:color="auto" w:fill="auto"/>
            <w:noWrap/>
            <w:vAlign w:val="bottom"/>
            <w:hideMark/>
          </w:tcPr>
          <w:p w14:paraId="4453378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7</w:t>
            </w:r>
          </w:p>
        </w:tc>
      </w:tr>
      <w:tr w:rsidR="00210112" w:rsidRPr="00210112" w14:paraId="48AE4AE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noWrap/>
            <w:hideMark/>
          </w:tcPr>
          <w:p w14:paraId="24B0BAE7"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Santa Cruz</w:t>
            </w:r>
          </w:p>
        </w:tc>
        <w:tc>
          <w:tcPr>
            <w:tcW w:w="0" w:type="pct"/>
            <w:shd w:val="clear" w:color="auto" w:fill="auto"/>
            <w:noWrap/>
            <w:vAlign w:val="bottom"/>
            <w:hideMark/>
          </w:tcPr>
          <w:p w14:paraId="2AFEEFE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114675C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7</w:t>
            </w:r>
          </w:p>
        </w:tc>
        <w:tc>
          <w:tcPr>
            <w:tcW w:w="0" w:type="pct"/>
            <w:shd w:val="clear" w:color="auto" w:fill="auto"/>
            <w:noWrap/>
            <w:vAlign w:val="bottom"/>
            <w:hideMark/>
          </w:tcPr>
          <w:p w14:paraId="5720BBE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10</w:t>
            </w:r>
          </w:p>
        </w:tc>
        <w:tc>
          <w:tcPr>
            <w:tcW w:w="0" w:type="pct"/>
            <w:shd w:val="clear" w:color="auto" w:fill="auto"/>
            <w:noWrap/>
            <w:vAlign w:val="bottom"/>
            <w:hideMark/>
          </w:tcPr>
          <w:p w14:paraId="1DD5E67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11</w:t>
            </w:r>
          </w:p>
        </w:tc>
        <w:tc>
          <w:tcPr>
            <w:tcW w:w="0" w:type="pct"/>
            <w:shd w:val="clear" w:color="auto" w:fill="auto"/>
            <w:noWrap/>
            <w:vAlign w:val="bottom"/>
            <w:hideMark/>
          </w:tcPr>
          <w:p w14:paraId="31F615C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28</w:t>
            </w:r>
          </w:p>
        </w:tc>
      </w:tr>
      <w:tr w:rsidR="00210112" w:rsidRPr="00210112" w14:paraId="5133BB80"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noWrap/>
            <w:hideMark/>
          </w:tcPr>
          <w:p w14:paraId="617BA6E7"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Tarija</w:t>
            </w:r>
          </w:p>
        </w:tc>
        <w:tc>
          <w:tcPr>
            <w:tcW w:w="0" w:type="pct"/>
            <w:shd w:val="clear" w:color="auto" w:fill="auto"/>
            <w:noWrap/>
            <w:vAlign w:val="bottom"/>
            <w:hideMark/>
          </w:tcPr>
          <w:p w14:paraId="5FBECDD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35EBE72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shd w:val="clear" w:color="auto" w:fill="auto"/>
            <w:noWrap/>
            <w:vAlign w:val="bottom"/>
            <w:hideMark/>
          </w:tcPr>
          <w:p w14:paraId="3610B86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w:t>
            </w:r>
          </w:p>
        </w:tc>
        <w:tc>
          <w:tcPr>
            <w:tcW w:w="0" w:type="pct"/>
            <w:shd w:val="clear" w:color="auto" w:fill="auto"/>
            <w:noWrap/>
            <w:vAlign w:val="bottom"/>
            <w:hideMark/>
          </w:tcPr>
          <w:p w14:paraId="3A7E7E4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w:t>
            </w:r>
          </w:p>
        </w:tc>
        <w:tc>
          <w:tcPr>
            <w:tcW w:w="0" w:type="pct"/>
            <w:shd w:val="clear" w:color="auto" w:fill="auto"/>
            <w:noWrap/>
            <w:vAlign w:val="bottom"/>
            <w:hideMark/>
          </w:tcPr>
          <w:p w14:paraId="21BFABE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6</w:t>
            </w:r>
          </w:p>
        </w:tc>
      </w:tr>
      <w:tr w:rsidR="00210112" w:rsidRPr="00210112" w14:paraId="22D883E3"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auto"/>
            </w:tcBorders>
            <w:shd w:val="clear" w:color="auto" w:fill="auto"/>
            <w:noWrap/>
            <w:hideMark/>
          </w:tcPr>
          <w:p w14:paraId="48AD08DF"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 xml:space="preserve">Total </w:t>
            </w:r>
            <w:r w:rsidR="00732C2F" w:rsidRPr="00777507">
              <w:rPr>
                <w:sz w:val="18"/>
              </w:rPr>
              <w:t>g</w:t>
            </w:r>
            <w:r w:rsidRPr="00777507">
              <w:rPr>
                <w:sz w:val="18"/>
              </w:rPr>
              <w:t>eneral</w:t>
            </w:r>
          </w:p>
        </w:tc>
        <w:tc>
          <w:tcPr>
            <w:tcW w:w="0" w:type="pct"/>
            <w:tcBorders>
              <w:bottom w:val="single" w:sz="12" w:space="0" w:color="auto"/>
            </w:tcBorders>
            <w:shd w:val="clear" w:color="auto" w:fill="auto"/>
            <w:noWrap/>
            <w:vAlign w:val="bottom"/>
            <w:hideMark/>
          </w:tcPr>
          <w:p w14:paraId="313A380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8</w:t>
            </w:r>
          </w:p>
        </w:tc>
        <w:tc>
          <w:tcPr>
            <w:tcW w:w="0" w:type="pct"/>
            <w:tcBorders>
              <w:bottom w:val="single" w:sz="12" w:space="0" w:color="auto"/>
            </w:tcBorders>
            <w:shd w:val="clear" w:color="auto" w:fill="auto"/>
            <w:noWrap/>
            <w:vAlign w:val="bottom"/>
            <w:hideMark/>
          </w:tcPr>
          <w:p w14:paraId="2183C59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79</w:t>
            </w:r>
          </w:p>
        </w:tc>
        <w:tc>
          <w:tcPr>
            <w:tcW w:w="0" w:type="pct"/>
            <w:tcBorders>
              <w:bottom w:val="single" w:sz="12" w:space="0" w:color="auto"/>
            </w:tcBorders>
            <w:shd w:val="clear" w:color="auto" w:fill="auto"/>
            <w:noWrap/>
            <w:vAlign w:val="bottom"/>
            <w:hideMark/>
          </w:tcPr>
          <w:p w14:paraId="574057B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107</w:t>
            </w:r>
          </w:p>
        </w:tc>
        <w:tc>
          <w:tcPr>
            <w:tcW w:w="0" w:type="pct"/>
            <w:tcBorders>
              <w:bottom w:val="single" w:sz="12" w:space="0" w:color="auto"/>
            </w:tcBorders>
            <w:shd w:val="clear" w:color="auto" w:fill="auto"/>
            <w:noWrap/>
            <w:vAlign w:val="bottom"/>
            <w:hideMark/>
          </w:tcPr>
          <w:p w14:paraId="5A731A1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221</w:t>
            </w:r>
          </w:p>
        </w:tc>
        <w:tc>
          <w:tcPr>
            <w:tcW w:w="0" w:type="pct"/>
            <w:tcBorders>
              <w:bottom w:val="single" w:sz="12" w:space="0" w:color="auto"/>
            </w:tcBorders>
            <w:shd w:val="clear" w:color="auto" w:fill="auto"/>
            <w:noWrap/>
            <w:vAlign w:val="bottom"/>
            <w:hideMark/>
          </w:tcPr>
          <w:p w14:paraId="0CBBFCA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415</w:t>
            </w:r>
          </w:p>
        </w:tc>
      </w:tr>
    </w:tbl>
    <w:p w14:paraId="6748608C"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FGE </w:t>
      </w:r>
      <w:r w:rsidR="00886DE8">
        <w:rPr>
          <w:lang w:eastAsia="en-US"/>
        </w:rPr>
        <w:t>–</w:t>
      </w:r>
      <w:r w:rsidRPr="00B36B7E">
        <w:rPr>
          <w:lang w:eastAsia="en-US"/>
        </w:rPr>
        <w:t xml:space="preserve"> Sistema JL1 13/08/2020 (Datos del 1 de enero al 31 de diciembre de 2019).</w:t>
      </w:r>
    </w:p>
    <w:p w14:paraId="5EACC6D4" w14:textId="77777777" w:rsidR="00B36B7E" w:rsidRPr="00660E27" w:rsidRDefault="00235247" w:rsidP="00777507">
      <w:pPr>
        <w:pStyle w:val="SingleTxtG"/>
        <w:rPr>
          <w:lang w:eastAsia="en-US"/>
        </w:rPr>
      </w:pPr>
      <w:r w:rsidRPr="00660E27">
        <w:rPr>
          <w:lang w:eastAsia="en-US"/>
        </w:rPr>
        <w:t>46.</w:t>
      </w:r>
      <w:r w:rsidRPr="00660E27">
        <w:rPr>
          <w:lang w:eastAsia="en-US"/>
        </w:rPr>
        <w:tab/>
      </w:r>
      <w:r w:rsidR="00B36B7E" w:rsidRPr="00B36B7E">
        <w:rPr>
          <w:lang w:eastAsia="en-US"/>
        </w:rPr>
        <w:t>Respecto a los casos por tráfico de personas, en el Sistema JL1, se hallan 184 víctimas atendidas durante la gestión 2019,</w:t>
      </w:r>
      <w:r w:rsidR="000553C1">
        <w:rPr>
          <w:lang w:eastAsia="en-US"/>
        </w:rPr>
        <w:t xml:space="preserve"> como se detalla a continuación.</w:t>
      </w:r>
    </w:p>
    <w:p w14:paraId="2554A967" w14:textId="77777777" w:rsidR="00886DE8" w:rsidRDefault="00886DE8"/>
    <w:tbl>
      <w:tblPr>
        <w:tblStyle w:val="GridTable5Dark-Accent6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71"/>
        <w:gridCol w:w="1040"/>
        <w:gridCol w:w="1132"/>
        <w:gridCol w:w="1256"/>
        <w:gridCol w:w="888"/>
        <w:gridCol w:w="1583"/>
      </w:tblGrid>
      <w:tr w:rsidR="00210112" w:rsidRPr="00210112" w14:paraId="63F37121"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auto"/>
              <w:bottom w:val="single" w:sz="12" w:space="0" w:color="auto"/>
            </w:tcBorders>
            <w:shd w:val="clear" w:color="auto" w:fill="auto"/>
            <w:noWrap/>
            <w:vAlign w:val="bottom"/>
          </w:tcPr>
          <w:p w14:paraId="3BF3ADF5" w14:textId="77777777" w:rsidR="00886DE8" w:rsidRPr="00777507" w:rsidRDefault="00886DE8" w:rsidP="00777507">
            <w:pPr>
              <w:spacing w:before="80" w:after="80" w:line="200" w:lineRule="exact"/>
              <w:rPr>
                <w:rFonts w:ascii="Times New Roman" w:hAnsi="Times New Roman"/>
                <w:b w:val="0"/>
                <w:i/>
                <w:color w:val="auto"/>
                <w:sz w:val="16"/>
              </w:rPr>
            </w:pPr>
            <w:r w:rsidRPr="00777507">
              <w:rPr>
                <w:i/>
                <w:sz w:val="16"/>
              </w:rPr>
              <w:t>D</w:t>
            </w:r>
            <w:r w:rsidRPr="00210112">
              <w:rPr>
                <w:i/>
                <w:sz w:val="16"/>
              </w:rPr>
              <w:t>epartamento</w:t>
            </w:r>
          </w:p>
        </w:tc>
        <w:tc>
          <w:tcPr>
            <w:tcW w:w="0" w:type="pct"/>
            <w:gridSpan w:val="5"/>
            <w:tcBorders>
              <w:top w:val="single" w:sz="4" w:space="0" w:color="auto"/>
              <w:bottom w:val="single" w:sz="12" w:space="0" w:color="auto"/>
            </w:tcBorders>
            <w:shd w:val="clear" w:color="auto" w:fill="auto"/>
            <w:noWrap/>
            <w:vAlign w:val="bottom"/>
          </w:tcPr>
          <w:p w14:paraId="0E656C2B" w14:textId="77777777" w:rsidR="00886DE8" w:rsidRPr="00777507" w:rsidRDefault="00886DE8"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auto"/>
                <w:sz w:val="16"/>
              </w:rPr>
            </w:pPr>
            <w:r w:rsidRPr="00210112">
              <w:rPr>
                <w:i/>
                <w:sz w:val="16"/>
              </w:rPr>
              <w:t>Víctimas – tráfico de personas</w:t>
            </w:r>
          </w:p>
        </w:tc>
      </w:tr>
      <w:tr w:rsidR="00210112" w:rsidRPr="00210112" w14:paraId="74786913"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vMerge/>
            <w:tcBorders>
              <w:top w:val="single" w:sz="12" w:space="0" w:color="auto"/>
            </w:tcBorders>
            <w:shd w:val="clear" w:color="auto" w:fill="auto"/>
            <w:noWrap/>
            <w:vAlign w:val="bottom"/>
            <w:hideMark/>
          </w:tcPr>
          <w:p w14:paraId="0D47F215" w14:textId="77777777" w:rsidR="00886DE8" w:rsidRPr="00777507" w:rsidRDefault="00886DE8" w:rsidP="00777507">
            <w:pPr>
              <w:spacing w:before="40" w:after="40" w:line="220" w:lineRule="exact"/>
              <w:rPr>
                <w:rFonts w:ascii="Times New Roman" w:hAnsi="Times New Roman"/>
                <w:b w:val="0"/>
                <w:color w:val="auto"/>
                <w:sz w:val="18"/>
              </w:rPr>
            </w:pPr>
          </w:p>
        </w:tc>
        <w:tc>
          <w:tcPr>
            <w:tcW w:w="0" w:type="pct"/>
            <w:tcBorders>
              <w:top w:val="single" w:sz="12" w:space="0" w:color="auto"/>
            </w:tcBorders>
            <w:shd w:val="clear" w:color="auto" w:fill="auto"/>
            <w:noWrap/>
            <w:vAlign w:val="bottom"/>
            <w:hideMark/>
          </w:tcPr>
          <w:p w14:paraId="1C1EC31B"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0 a 12</w:t>
            </w:r>
          </w:p>
        </w:tc>
        <w:tc>
          <w:tcPr>
            <w:tcW w:w="0" w:type="pct"/>
            <w:tcBorders>
              <w:top w:val="single" w:sz="12" w:space="0" w:color="auto"/>
            </w:tcBorders>
            <w:shd w:val="clear" w:color="auto" w:fill="auto"/>
            <w:noWrap/>
            <w:vAlign w:val="bottom"/>
            <w:hideMark/>
          </w:tcPr>
          <w:p w14:paraId="632FB47B"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12 a 18</w:t>
            </w:r>
          </w:p>
        </w:tc>
        <w:tc>
          <w:tcPr>
            <w:tcW w:w="0" w:type="pct"/>
            <w:tcBorders>
              <w:top w:val="single" w:sz="12" w:space="0" w:color="auto"/>
            </w:tcBorders>
            <w:shd w:val="clear" w:color="auto" w:fill="auto"/>
            <w:noWrap/>
            <w:vAlign w:val="bottom"/>
            <w:hideMark/>
          </w:tcPr>
          <w:p w14:paraId="382BAC13"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18 a más</w:t>
            </w:r>
          </w:p>
        </w:tc>
        <w:tc>
          <w:tcPr>
            <w:tcW w:w="0" w:type="pct"/>
            <w:tcBorders>
              <w:top w:val="single" w:sz="12" w:space="0" w:color="auto"/>
            </w:tcBorders>
            <w:shd w:val="clear" w:color="auto" w:fill="auto"/>
            <w:noWrap/>
            <w:vAlign w:val="bottom"/>
            <w:hideMark/>
          </w:tcPr>
          <w:p w14:paraId="7E752320"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N/C</w:t>
            </w:r>
          </w:p>
        </w:tc>
        <w:tc>
          <w:tcPr>
            <w:tcW w:w="0" w:type="pct"/>
            <w:tcBorders>
              <w:top w:val="single" w:sz="12" w:space="0" w:color="auto"/>
            </w:tcBorders>
            <w:shd w:val="clear" w:color="auto" w:fill="auto"/>
            <w:noWrap/>
            <w:vAlign w:val="bottom"/>
            <w:hideMark/>
          </w:tcPr>
          <w:p w14:paraId="6ED174BD"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777507">
              <w:rPr>
                <w:sz w:val="18"/>
              </w:rPr>
              <w:t>Total general</w:t>
            </w:r>
          </w:p>
        </w:tc>
      </w:tr>
      <w:tr w:rsidR="00210112" w:rsidRPr="00210112" w14:paraId="3ECF7A27"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uto"/>
            <w:noWrap/>
            <w:hideMark/>
          </w:tcPr>
          <w:p w14:paraId="4A63E5D4"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Beni</w:t>
            </w:r>
          </w:p>
        </w:tc>
        <w:tc>
          <w:tcPr>
            <w:tcW w:w="0" w:type="pct"/>
            <w:tcBorders>
              <w:top w:val="nil"/>
            </w:tcBorders>
            <w:shd w:val="clear" w:color="auto" w:fill="auto"/>
            <w:noWrap/>
            <w:vAlign w:val="bottom"/>
            <w:hideMark/>
          </w:tcPr>
          <w:p w14:paraId="7574CD7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1CFADA5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5E98327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0FD51C2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w:t>
            </w:r>
          </w:p>
        </w:tc>
        <w:tc>
          <w:tcPr>
            <w:tcW w:w="0" w:type="pct"/>
            <w:tcBorders>
              <w:top w:val="nil"/>
            </w:tcBorders>
            <w:shd w:val="clear" w:color="auto" w:fill="auto"/>
            <w:noWrap/>
            <w:vAlign w:val="bottom"/>
            <w:hideMark/>
          </w:tcPr>
          <w:p w14:paraId="7DA5057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w:t>
            </w:r>
          </w:p>
        </w:tc>
      </w:tr>
      <w:tr w:rsidR="00210112" w:rsidRPr="00210112" w14:paraId="4AA4DFF5"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uto"/>
            <w:noWrap/>
            <w:hideMark/>
          </w:tcPr>
          <w:p w14:paraId="388DEE6E"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Chuquisaca</w:t>
            </w:r>
          </w:p>
        </w:tc>
        <w:tc>
          <w:tcPr>
            <w:tcW w:w="0" w:type="pct"/>
            <w:tcBorders>
              <w:top w:val="nil"/>
            </w:tcBorders>
            <w:shd w:val="clear" w:color="auto" w:fill="auto"/>
            <w:noWrap/>
            <w:vAlign w:val="bottom"/>
            <w:hideMark/>
          </w:tcPr>
          <w:p w14:paraId="3800B7A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0E920BF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13E0A53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2C30181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c>
          <w:tcPr>
            <w:tcW w:w="0" w:type="pct"/>
            <w:tcBorders>
              <w:top w:val="nil"/>
            </w:tcBorders>
            <w:shd w:val="clear" w:color="auto" w:fill="auto"/>
            <w:noWrap/>
            <w:vAlign w:val="bottom"/>
            <w:hideMark/>
          </w:tcPr>
          <w:p w14:paraId="4C17DDC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r>
      <w:tr w:rsidR="00210112" w:rsidRPr="00210112" w14:paraId="7EEFBC46"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uto"/>
            <w:noWrap/>
            <w:hideMark/>
          </w:tcPr>
          <w:p w14:paraId="323095B8"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Cochabamba</w:t>
            </w:r>
          </w:p>
        </w:tc>
        <w:tc>
          <w:tcPr>
            <w:tcW w:w="0" w:type="pct"/>
            <w:tcBorders>
              <w:top w:val="nil"/>
            </w:tcBorders>
            <w:shd w:val="clear" w:color="auto" w:fill="auto"/>
            <w:noWrap/>
            <w:vAlign w:val="bottom"/>
            <w:hideMark/>
          </w:tcPr>
          <w:p w14:paraId="0CEC73E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662770B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w:t>
            </w:r>
          </w:p>
        </w:tc>
        <w:tc>
          <w:tcPr>
            <w:tcW w:w="0" w:type="pct"/>
            <w:tcBorders>
              <w:top w:val="nil"/>
            </w:tcBorders>
            <w:shd w:val="clear" w:color="auto" w:fill="auto"/>
            <w:noWrap/>
            <w:vAlign w:val="bottom"/>
            <w:hideMark/>
          </w:tcPr>
          <w:p w14:paraId="121CB3E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6</w:t>
            </w:r>
          </w:p>
        </w:tc>
        <w:tc>
          <w:tcPr>
            <w:tcW w:w="0" w:type="pct"/>
            <w:tcBorders>
              <w:top w:val="nil"/>
            </w:tcBorders>
            <w:shd w:val="clear" w:color="auto" w:fill="auto"/>
            <w:noWrap/>
            <w:vAlign w:val="bottom"/>
            <w:hideMark/>
          </w:tcPr>
          <w:p w14:paraId="722DF24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20</w:t>
            </w:r>
          </w:p>
        </w:tc>
        <w:tc>
          <w:tcPr>
            <w:tcW w:w="0" w:type="pct"/>
            <w:tcBorders>
              <w:top w:val="nil"/>
            </w:tcBorders>
            <w:shd w:val="clear" w:color="auto" w:fill="auto"/>
            <w:noWrap/>
            <w:vAlign w:val="bottom"/>
            <w:hideMark/>
          </w:tcPr>
          <w:p w14:paraId="67B3FCA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29</w:t>
            </w:r>
          </w:p>
        </w:tc>
      </w:tr>
      <w:tr w:rsidR="00210112" w:rsidRPr="00210112" w14:paraId="78ECFCBE"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uto"/>
            <w:noWrap/>
            <w:hideMark/>
          </w:tcPr>
          <w:p w14:paraId="4E16B913"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La Paz</w:t>
            </w:r>
          </w:p>
        </w:tc>
        <w:tc>
          <w:tcPr>
            <w:tcW w:w="0" w:type="pct"/>
            <w:tcBorders>
              <w:top w:val="nil"/>
            </w:tcBorders>
            <w:shd w:val="clear" w:color="auto" w:fill="auto"/>
            <w:noWrap/>
            <w:vAlign w:val="bottom"/>
            <w:hideMark/>
          </w:tcPr>
          <w:p w14:paraId="58C6DA4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w:t>
            </w:r>
          </w:p>
        </w:tc>
        <w:tc>
          <w:tcPr>
            <w:tcW w:w="0" w:type="pct"/>
            <w:tcBorders>
              <w:top w:val="nil"/>
            </w:tcBorders>
            <w:shd w:val="clear" w:color="auto" w:fill="auto"/>
            <w:noWrap/>
            <w:vAlign w:val="bottom"/>
            <w:hideMark/>
          </w:tcPr>
          <w:p w14:paraId="5FAFCCF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29</w:t>
            </w:r>
          </w:p>
        </w:tc>
        <w:tc>
          <w:tcPr>
            <w:tcW w:w="0" w:type="pct"/>
            <w:tcBorders>
              <w:top w:val="nil"/>
            </w:tcBorders>
            <w:shd w:val="clear" w:color="auto" w:fill="auto"/>
            <w:noWrap/>
            <w:vAlign w:val="bottom"/>
            <w:hideMark/>
          </w:tcPr>
          <w:p w14:paraId="765752B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30</w:t>
            </w:r>
          </w:p>
        </w:tc>
        <w:tc>
          <w:tcPr>
            <w:tcW w:w="0" w:type="pct"/>
            <w:tcBorders>
              <w:top w:val="nil"/>
            </w:tcBorders>
            <w:shd w:val="clear" w:color="auto" w:fill="auto"/>
            <w:noWrap/>
            <w:vAlign w:val="bottom"/>
            <w:hideMark/>
          </w:tcPr>
          <w:p w14:paraId="0F0DCDD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24</w:t>
            </w:r>
          </w:p>
        </w:tc>
        <w:tc>
          <w:tcPr>
            <w:tcW w:w="0" w:type="pct"/>
            <w:tcBorders>
              <w:top w:val="nil"/>
            </w:tcBorders>
            <w:shd w:val="clear" w:color="auto" w:fill="auto"/>
            <w:noWrap/>
            <w:vAlign w:val="bottom"/>
            <w:hideMark/>
          </w:tcPr>
          <w:p w14:paraId="1F9D846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85</w:t>
            </w:r>
          </w:p>
        </w:tc>
      </w:tr>
      <w:tr w:rsidR="00210112" w:rsidRPr="00210112" w14:paraId="02FB3E0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uto"/>
            <w:noWrap/>
            <w:hideMark/>
          </w:tcPr>
          <w:p w14:paraId="36A8EE00"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Oruro</w:t>
            </w:r>
          </w:p>
        </w:tc>
        <w:tc>
          <w:tcPr>
            <w:tcW w:w="0" w:type="pct"/>
            <w:tcBorders>
              <w:top w:val="nil"/>
            </w:tcBorders>
            <w:shd w:val="clear" w:color="auto" w:fill="auto"/>
            <w:noWrap/>
            <w:vAlign w:val="bottom"/>
            <w:hideMark/>
          </w:tcPr>
          <w:p w14:paraId="09BF3BE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086A1F2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w:t>
            </w:r>
          </w:p>
        </w:tc>
        <w:tc>
          <w:tcPr>
            <w:tcW w:w="0" w:type="pct"/>
            <w:tcBorders>
              <w:top w:val="nil"/>
            </w:tcBorders>
            <w:shd w:val="clear" w:color="auto" w:fill="auto"/>
            <w:noWrap/>
            <w:vAlign w:val="bottom"/>
            <w:hideMark/>
          </w:tcPr>
          <w:p w14:paraId="6A3AF0C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6</w:t>
            </w:r>
          </w:p>
        </w:tc>
        <w:tc>
          <w:tcPr>
            <w:tcW w:w="0" w:type="pct"/>
            <w:tcBorders>
              <w:top w:val="nil"/>
            </w:tcBorders>
            <w:shd w:val="clear" w:color="auto" w:fill="auto"/>
            <w:noWrap/>
            <w:vAlign w:val="bottom"/>
            <w:hideMark/>
          </w:tcPr>
          <w:p w14:paraId="72336CD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17</w:t>
            </w:r>
          </w:p>
        </w:tc>
        <w:tc>
          <w:tcPr>
            <w:tcW w:w="0" w:type="pct"/>
            <w:tcBorders>
              <w:top w:val="nil"/>
            </w:tcBorders>
            <w:shd w:val="clear" w:color="auto" w:fill="auto"/>
            <w:noWrap/>
            <w:vAlign w:val="bottom"/>
            <w:hideMark/>
          </w:tcPr>
          <w:p w14:paraId="39E4361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25</w:t>
            </w:r>
          </w:p>
        </w:tc>
      </w:tr>
      <w:tr w:rsidR="00210112" w:rsidRPr="00210112" w14:paraId="0AA17077"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uto"/>
            <w:noWrap/>
            <w:hideMark/>
          </w:tcPr>
          <w:p w14:paraId="7B86BB06"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Potosí</w:t>
            </w:r>
          </w:p>
        </w:tc>
        <w:tc>
          <w:tcPr>
            <w:tcW w:w="0" w:type="pct"/>
            <w:tcBorders>
              <w:top w:val="nil"/>
            </w:tcBorders>
            <w:shd w:val="clear" w:color="auto" w:fill="auto"/>
            <w:noWrap/>
            <w:vAlign w:val="bottom"/>
            <w:hideMark/>
          </w:tcPr>
          <w:p w14:paraId="7AC1CF6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783E039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7E1DD1E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590BC2A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11</w:t>
            </w:r>
          </w:p>
        </w:tc>
        <w:tc>
          <w:tcPr>
            <w:tcW w:w="0" w:type="pct"/>
            <w:tcBorders>
              <w:top w:val="nil"/>
            </w:tcBorders>
            <w:shd w:val="clear" w:color="auto" w:fill="auto"/>
            <w:noWrap/>
            <w:vAlign w:val="bottom"/>
            <w:hideMark/>
          </w:tcPr>
          <w:p w14:paraId="33381C4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11</w:t>
            </w:r>
          </w:p>
        </w:tc>
      </w:tr>
      <w:tr w:rsidR="00210112" w:rsidRPr="00210112" w14:paraId="11A2340A"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uto"/>
            <w:noWrap/>
            <w:hideMark/>
          </w:tcPr>
          <w:p w14:paraId="6E644032"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Santa Cruz</w:t>
            </w:r>
          </w:p>
        </w:tc>
        <w:tc>
          <w:tcPr>
            <w:tcW w:w="0" w:type="pct"/>
            <w:tcBorders>
              <w:top w:val="nil"/>
            </w:tcBorders>
            <w:shd w:val="clear" w:color="auto" w:fill="auto"/>
            <w:noWrap/>
            <w:vAlign w:val="bottom"/>
            <w:hideMark/>
          </w:tcPr>
          <w:p w14:paraId="16FFBC7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w:t>
            </w:r>
          </w:p>
        </w:tc>
        <w:tc>
          <w:tcPr>
            <w:tcW w:w="0" w:type="pct"/>
            <w:tcBorders>
              <w:top w:val="nil"/>
            </w:tcBorders>
            <w:shd w:val="clear" w:color="auto" w:fill="auto"/>
            <w:noWrap/>
            <w:vAlign w:val="bottom"/>
            <w:hideMark/>
          </w:tcPr>
          <w:p w14:paraId="6BEF113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w:t>
            </w:r>
          </w:p>
        </w:tc>
        <w:tc>
          <w:tcPr>
            <w:tcW w:w="0" w:type="pct"/>
            <w:tcBorders>
              <w:top w:val="nil"/>
            </w:tcBorders>
            <w:shd w:val="clear" w:color="auto" w:fill="auto"/>
            <w:noWrap/>
            <w:vAlign w:val="bottom"/>
            <w:hideMark/>
          </w:tcPr>
          <w:p w14:paraId="4D73D32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w:t>
            </w:r>
          </w:p>
        </w:tc>
        <w:tc>
          <w:tcPr>
            <w:tcW w:w="0" w:type="pct"/>
            <w:tcBorders>
              <w:top w:val="nil"/>
            </w:tcBorders>
            <w:shd w:val="clear" w:color="auto" w:fill="auto"/>
            <w:noWrap/>
            <w:vAlign w:val="bottom"/>
            <w:hideMark/>
          </w:tcPr>
          <w:p w14:paraId="6F78624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4</w:t>
            </w:r>
          </w:p>
        </w:tc>
        <w:tc>
          <w:tcPr>
            <w:tcW w:w="0" w:type="pct"/>
            <w:tcBorders>
              <w:top w:val="nil"/>
            </w:tcBorders>
            <w:shd w:val="clear" w:color="auto" w:fill="auto"/>
            <w:noWrap/>
            <w:vAlign w:val="bottom"/>
            <w:hideMark/>
          </w:tcPr>
          <w:p w14:paraId="785FE35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8</w:t>
            </w:r>
          </w:p>
        </w:tc>
      </w:tr>
      <w:tr w:rsidR="00210112" w:rsidRPr="00210112" w14:paraId="788ED9B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uto"/>
            <w:noWrap/>
            <w:hideMark/>
          </w:tcPr>
          <w:p w14:paraId="16B3219A"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Tarija</w:t>
            </w:r>
          </w:p>
        </w:tc>
        <w:tc>
          <w:tcPr>
            <w:tcW w:w="0" w:type="pct"/>
            <w:tcBorders>
              <w:top w:val="nil"/>
            </w:tcBorders>
            <w:shd w:val="clear" w:color="auto" w:fill="auto"/>
            <w:noWrap/>
            <w:vAlign w:val="bottom"/>
            <w:hideMark/>
          </w:tcPr>
          <w:p w14:paraId="711CCCB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0" w:type="pct"/>
            <w:tcBorders>
              <w:top w:val="nil"/>
            </w:tcBorders>
            <w:shd w:val="clear" w:color="auto" w:fill="auto"/>
            <w:noWrap/>
            <w:vAlign w:val="bottom"/>
            <w:hideMark/>
          </w:tcPr>
          <w:p w14:paraId="78E7468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c>
          <w:tcPr>
            <w:tcW w:w="0" w:type="pct"/>
            <w:tcBorders>
              <w:top w:val="nil"/>
            </w:tcBorders>
            <w:shd w:val="clear" w:color="auto" w:fill="auto"/>
            <w:noWrap/>
            <w:vAlign w:val="bottom"/>
            <w:hideMark/>
          </w:tcPr>
          <w:p w14:paraId="5B8A6B9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4</w:t>
            </w:r>
          </w:p>
        </w:tc>
        <w:tc>
          <w:tcPr>
            <w:tcW w:w="0" w:type="pct"/>
            <w:tcBorders>
              <w:top w:val="nil"/>
            </w:tcBorders>
            <w:shd w:val="clear" w:color="auto" w:fill="auto"/>
            <w:noWrap/>
            <w:vAlign w:val="bottom"/>
            <w:hideMark/>
          </w:tcPr>
          <w:p w14:paraId="684F182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17</w:t>
            </w:r>
          </w:p>
        </w:tc>
        <w:tc>
          <w:tcPr>
            <w:tcW w:w="0" w:type="pct"/>
            <w:tcBorders>
              <w:top w:val="nil"/>
            </w:tcBorders>
            <w:shd w:val="clear" w:color="auto" w:fill="auto"/>
            <w:noWrap/>
            <w:vAlign w:val="bottom"/>
            <w:hideMark/>
          </w:tcPr>
          <w:p w14:paraId="3D5ECA9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22</w:t>
            </w:r>
          </w:p>
        </w:tc>
      </w:tr>
      <w:tr w:rsidR="00210112" w:rsidRPr="00210112" w14:paraId="051CB6E6"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bottom w:val="single" w:sz="12" w:space="0" w:color="auto"/>
            </w:tcBorders>
            <w:shd w:val="clear" w:color="auto" w:fill="auto"/>
            <w:noWrap/>
            <w:hideMark/>
          </w:tcPr>
          <w:p w14:paraId="1B426F83"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Total general</w:t>
            </w:r>
          </w:p>
        </w:tc>
        <w:tc>
          <w:tcPr>
            <w:tcW w:w="0" w:type="pct"/>
            <w:tcBorders>
              <w:top w:val="nil"/>
              <w:bottom w:val="single" w:sz="12" w:space="0" w:color="auto"/>
            </w:tcBorders>
            <w:shd w:val="clear" w:color="auto" w:fill="auto"/>
            <w:noWrap/>
            <w:vAlign w:val="bottom"/>
            <w:hideMark/>
          </w:tcPr>
          <w:p w14:paraId="5EBCB32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w:t>
            </w:r>
          </w:p>
        </w:tc>
        <w:tc>
          <w:tcPr>
            <w:tcW w:w="0" w:type="pct"/>
            <w:tcBorders>
              <w:top w:val="nil"/>
              <w:bottom w:val="single" w:sz="12" w:space="0" w:color="auto"/>
            </w:tcBorders>
            <w:shd w:val="clear" w:color="auto" w:fill="auto"/>
            <w:noWrap/>
            <w:vAlign w:val="bottom"/>
            <w:hideMark/>
          </w:tcPr>
          <w:p w14:paraId="0831D2B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36</w:t>
            </w:r>
          </w:p>
        </w:tc>
        <w:tc>
          <w:tcPr>
            <w:tcW w:w="0" w:type="pct"/>
            <w:tcBorders>
              <w:top w:val="nil"/>
              <w:bottom w:val="single" w:sz="12" w:space="0" w:color="auto"/>
            </w:tcBorders>
            <w:shd w:val="clear" w:color="auto" w:fill="auto"/>
            <w:noWrap/>
            <w:vAlign w:val="bottom"/>
            <w:hideMark/>
          </w:tcPr>
          <w:p w14:paraId="7A6D470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48</w:t>
            </w:r>
          </w:p>
        </w:tc>
        <w:tc>
          <w:tcPr>
            <w:tcW w:w="0" w:type="pct"/>
            <w:tcBorders>
              <w:top w:val="nil"/>
              <w:bottom w:val="single" w:sz="12" w:space="0" w:color="auto"/>
            </w:tcBorders>
            <w:shd w:val="clear" w:color="auto" w:fill="auto"/>
            <w:noWrap/>
            <w:vAlign w:val="bottom"/>
            <w:hideMark/>
          </w:tcPr>
          <w:p w14:paraId="4D4B29F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97</w:t>
            </w:r>
          </w:p>
        </w:tc>
        <w:tc>
          <w:tcPr>
            <w:tcW w:w="0" w:type="pct"/>
            <w:tcBorders>
              <w:top w:val="nil"/>
              <w:bottom w:val="single" w:sz="12" w:space="0" w:color="auto"/>
            </w:tcBorders>
            <w:shd w:val="clear" w:color="auto" w:fill="auto"/>
            <w:noWrap/>
            <w:vAlign w:val="bottom"/>
            <w:hideMark/>
          </w:tcPr>
          <w:p w14:paraId="5794DE3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184</w:t>
            </w:r>
          </w:p>
        </w:tc>
      </w:tr>
    </w:tbl>
    <w:p w14:paraId="39A158C4"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FGE -Sistema JL1 13/08/2020 (Datos del 1 de enero al 31 de diciembre de 2019).</w:t>
      </w:r>
    </w:p>
    <w:p w14:paraId="7DD72E6B" w14:textId="77777777" w:rsidR="00B36B7E" w:rsidRDefault="00235247" w:rsidP="00777507">
      <w:pPr>
        <w:pStyle w:val="SingleTxtG"/>
        <w:spacing w:before="120"/>
        <w:rPr>
          <w:lang w:eastAsia="en-US"/>
        </w:rPr>
      </w:pPr>
      <w:r>
        <w:rPr>
          <w:lang w:eastAsia="en-US"/>
        </w:rPr>
        <w:t>47.</w:t>
      </w:r>
      <w:r>
        <w:rPr>
          <w:lang w:eastAsia="en-US"/>
        </w:rPr>
        <w:tab/>
      </w:r>
      <w:r w:rsidR="00B36B7E" w:rsidRPr="00B36B7E">
        <w:rPr>
          <w:lang w:eastAsia="en-US"/>
        </w:rPr>
        <w:t>Con relación a víctimas atendidas por delitos conexos, en el Sistema JL1, se tienen 184 casos en 2019,</w:t>
      </w:r>
      <w:r w:rsidR="000553C1">
        <w:rPr>
          <w:lang w:eastAsia="en-US"/>
        </w:rPr>
        <w:t xml:space="preserve"> como se detalla a continuación.</w:t>
      </w:r>
    </w:p>
    <w:p w14:paraId="431CA932" w14:textId="77777777" w:rsidR="00886DE8" w:rsidRDefault="00886DE8"/>
    <w:tbl>
      <w:tblPr>
        <w:tblStyle w:val="Tablaconcuadrcula5oscura-nfasis6"/>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6"/>
        <w:gridCol w:w="427"/>
        <w:gridCol w:w="616"/>
        <w:gridCol w:w="616"/>
        <w:gridCol w:w="427"/>
        <w:gridCol w:w="616"/>
        <w:gridCol w:w="616"/>
        <w:gridCol w:w="427"/>
        <w:gridCol w:w="616"/>
        <w:gridCol w:w="616"/>
        <w:gridCol w:w="897"/>
      </w:tblGrid>
      <w:tr w:rsidR="00210112" w:rsidRPr="00210112" w14:paraId="627B36E7"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bottom w:val="single" w:sz="12" w:space="0" w:color="auto"/>
            </w:tcBorders>
            <w:shd w:val="clear" w:color="auto" w:fill="auto"/>
            <w:noWrap/>
            <w:vAlign w:val="bottom"/>
          </w:tcPr>
          <w:p w14:paraId="3D93B36A" w14:textId="77777777" w:rsidR="00886DE8" w:rsidRPr="00777507" w:rsidRDefault="00886DE8" w:rsidP="00777507">
            <w:pPr>
              <w:spacing w:before="80" w:after="80" w:line="200" w:lineRule="exact"/>
              <w:rPr>
                <w:b w:val="0"/>
                <w:i/>
                <w:color w:val="auto"/>
                <w:sz w:val="16"/>
              </w:rPr>
            </w:pPr>
            <w:r w:rsidRPr="00210112">
              <w:rPr>
                <w:i/>
                <w:sz w:val="16"/>
              </w:rPr>
              <w:t>Departamento</w:t>
            </w:r>
          </w:p>
        </w:tc>
        <w:tc>
          <w:tcPr>
            <w:tcW w:w="0" w:type="dxa"/>
            <w:gridSpan w:val="3"/>
            <w:tcBorders>
              <w:top w:val="single" w:sz="4" w:space="0" w:color="auto"/>
              <w:bottom w:val="single" w:sz="12" w:space="0" w:color="auto"/>
            </w:tcBorders>
            <w:shd w:val="clear" w:color="auto" w:fill="auto"/>
            <w:noWrap/>
            <w:vAlign w:val="bottom"/>
          </w:tcPr>
          <w:p w14:paraId="6656B196" w14:textId="77777777" w:rsidR="00886DE8" w:rsidRPr="00777507" w:rsidRDefault="00886DE8"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b w:val="0"/>
                <w:i/>
                <w:color w:val="auto"/>
                <w:sz w:val="16"/>
              </w:rPr>
            </w:pPr>
            <w:r w:rsidRPr="00210112">
              <w:rPr>
                <w:i/>
                <w:sz w:val="16"/>
              </w:rPr>
              <w:t>Pornografía, Art. 323 bis</w:t>
            </w:r>
          </w:p>
        </w:tc>
        <w:tc>
          <w:tcPr>
            <w:tcW w:w="0" w:type="dxa"/>
            <w:gridSpan w:val="3"/>
            <w:tcBorders>
              <w:top w:val="single" w:sz="4" w:space="0" w:color="auto"/>
              <w:bottom w:val="single" w:sz="12" w:space="0" w:color="auto"/>
            </w:tcBorders>
            <w:shd w:val="clear" w:color="auto" w:fill="auto"/>
            <w:noWrap/>
            <w:vAlign w:val="bottom"/>
          </w:tcPr>
          <w:p w14:paraId="26E7BDA8" w14:textId="77777777" w:rsidR="00886DE8" w:rsidRPr="00777507" w:rsidRDefault="00886DE8"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b w:val="0"/>
                <w:i/>
                <w:color w:val="auto"/>
                <w:sz w:val="16"/>
              </w:rPr>
            </w:pPr>
            <w:r w:rsidRPr="00210112">
              <w:rPr>
                <w:i/>
                <w:sz w:val="16"/>
              </w:rPr>
              <w:t>Proxenetismo, Art. 321</w:t>
            </w:r>
          </w:p>
        </w:tc>
        <w:tc>
          <w:tcPr>
            <w:tcW w:w="0" w:type="dxa"/>
            <w:gridSpan w:val="3"/>
            <w:tcBorders>
              <w:top w:val="single" w:sz="4" w:space="0" w:color="auto"/>
              <w:bottom w:val="single" w:sz="12" w:space="0" w:color="auto"/>
            </w:tcBorders>
            <w:shd w:val="clear" w:color="auto" w:fill="auto"/>
            <w:noWrap/>
            <w:vAlign w:val="bottom"/>
          </w:tcPr>
          <w:p w14:paraId="23639AAB" w14:textId="77777777" w:rsidR="00886DE8" w:rsidRPr="00777507" w:rsidRDefault="00886DE8"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b w:val="0"/>
                <w:i/>
                <w:color w:val="auto"/>
                <w:sz w:val="16"/>
              </w:rPr>
            </w:pPr>
            <w:r w:rsidRPr="00210112">
              <w:rPr>
                <w:i/>
                <w:sz w:val="16"/>
              </w:rPr>
              <w:t>Violencia Sexual Comercial, Art. 322</w:t>
            </w:r>
          </w:p>
        </w:tc>
        <w:tc>
          <w:tcPr>
            <w:tcW w:w="0" w:type="dxa"/>
            <w:vMerge w:val="restart"/>
            <w:tcBorders>
              <w:top w:val="single" w:sz="4" w:space="0" w:color="auto"/>
              <w:bottom w:val="single" w:sz="12" w:space="0" w:color="auto"/>
            </w:tcBorders>
            <w:shd w:val="clear" w:color="auto" w:fill="auto"/>
            <w:noWrap/>
            <w:vAlign w:val="bottom"/>
          </w:tcPr>
          <w:p w14:paraId="3F315448" w14:textId="77777777" w:rsidR="00886DE8" w:rsidRPr="00777507" w:rsidRDefault="00886DE8"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b w:val="0"/>
                <w:i/>
                <w:color w:val="auto"/>
                <w:sz w:val="16"/>
              </w:rPr>
            </w:pPr>
            <w:r w:rsidRPr="00210112">
              <w:rPr>
                <w:i/>
                <w:sz w:val="16"/>
              </w:rPr>
              <w:t>Total general</w:t>
            </w:r>
          </w:p>
        </w:tc>
      </w:tr>
      <w:tr w:rsidR="004D4A48" w:rsidRPr="00210112" w14:paraId="1CD66C58" w14:textId="77777777" w:rsidTr="0021011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vMerge/>
            <w:tcBorders>
              <w:top w:val="single" w:sz="12" w:space="0" w:color="auto"/>
            </w:tcBorders>
            <w:shd w:val="clear" w:color="auto" w:fill="auto"/>
            <w:vAlign w:val="bottom"/>
            <w:hideMark/>
          </w:tcPr>
          <w:p w14:paraId="2BF63993" w14:textId="77777777" w:rsidR="00886DE8" w:rsidRPr="00777507" w:rsidRDefault="00886DE8" w:rsidP="00777507">
            <w:pPr>
              <w:spacing w:before="40" w:after="40" w:line="220" w:lineRule="exact"/>
              <w:rPr>
                <w:b w:val="0"/>
                <w:color w:val="auto"/>
                <w:sz w:val="18"/>
              </w:rPr>
            </w:pPr>
          </w:p>
        </w:tc>
        <w:tc>
          <w:tcPr>
            <w:tcW w:w="0" w:type="dxa"/>
            <w:tcBorders>
              <w:top w:val="single" w:sz="12" w:space="0" w:color="auto"/>
            </w:tcBorders>
            <w:shd w:val="clear" w:color="auto" w:fill="auto"/>
            <w:noWrap/>
            <w:vAlign w:val="bottom"/>
            <w:hideMark/>
          </w:tcPr>
          <w:p w14:paraId="200B8755"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r w:rsidRPr="00777507">
              <w:rPr>
                <w:sz w:val="18"/>
              </w:rPr>
              <w:t>12 a 18</w:t>
            </w:r>
          </w:p>
        </w:tc>
        <w:tc>
          <w:tcPr>
            <w:tcW w:w="0" w:type="dxa"/>
            <w:tcBorders>
              <w:top w:val="single" w:sz="12" w:space="0" w:color="auto"/>
            </w:tcBorders>
            <w:shd w:val="clear" w:color="auto" w:fill="auto"/>
            <w:noWrap/>
            <w:vAlign w:val="bottom"/>
            <w:hideMark/>
          </w:tcPr>
          <w:p w14:paraId="755393EE"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r w:rsidRPr="00777507">
              <w:rPr>
                <w:sz w:val="18"/>
              </w:rPr>
              <w:t>18 a más</w:t>
            </w:r>
          </w:p>
        </w:tc>
        <w:tc>
          <w:tcPr>
            <w:tcW w:w="0" w:type="dxa"/>
            <w:tcBorders>
              <w:top w:val="single" w:sz="12" w:space="0" w:color="auto"/>
            </w:tcBorders>
            <w:shd w:val="clear" w:color="auto" w:fill="auto"/>
            <w:noWrap/>
            <w:vAlign w:val="bottom"/>
            <w:hideMark/>
          </w:tcPr>
          <w:p w14:paraId="225EF950"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r w:rsidRPr="00777507">
              <w:rPr>
                <w:sz w:val="18"/>
              </w:rPr>
              <w:t>N/C</w:t>
            </w:r>
          </w:p>
        </w:tc>
        <w:tc>
          <w:tcPr>
            <w:tcW w:w="0" w:type="dxa"/>
            <w:tcBorders>
              <w:top w:val="single" w:sz="12" w:space="0" w:color="auto"/>
            </w:tcBorders>
            <w:shd w:val="clear" w:color="auto" w:fill="auto"/>
            <w:noWrap/>
            <w:vAlign w:val="bottom"/>
            <w:hideMark/>
          </w:tcPr>
          <w:p w14:paraId="308F429D"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r w:rsidRPr="00777507">
              <w:rPr>
                <w:sz w:val="18"/>
              </w:rPr>
              <w:t>12 a 18</w:t>
            </w:r>
          </w:p>
        </w:tc>
        <w:tc>
          <w:tcPr>
            <w:tcW w:w="0" w:type="dxa"/>
            <w:tcBorders>
              <w:top w:val="single" w:sz="12" w:space="0" w:color="auto"/>
            </w:tcBorders>
            <w:shd w:val="clear" w:color="auto" w:fill="auto"/>
            <w:noWrap/>
            <w:vAlign w:val="bottom"/>
            <w:hideMark/>
          </w:tcPr>
          <w:p w14:paraId="02FB3EA1"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r w:rsidRPr="00777507">
              <w:rPr>
                <w:sz w:val="18"/>
              </w:rPr>
              <w:t>18 a más</w:t>
            </w:r>
          </w:p>
        </w:tc>
        <w:tc>
          <w:tcPr>
            <w:tcW w:w="0" w:type="dxa"/>
            <w:tcBorders>
              <w:top w:val="single" w:sz="12" w:space="0" w:color="auto"/>
            </w:tcBorders>
            <w:shd w:val="clear" w:color="auto" w:fill="auto"/>
            <w:noWrap/>
            <w:vAlign w:val="bottom"/>
            <w:hideMark/>
          </w:tcPr>
          <w:p w14:paraId="7B9E65CD"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r w:rsidRPr="00777507">
              <w:rPr>
                <w:sz w:val="18"/>
              </w:rPr>
              <w:t>N/C</w:t>
            </w:r>
          </w:p>
        </w:tc>
        <w:tc>
          <w:tcPr>
            <w:tcW w:w="0" w:type="dxa"/>
            <w:tcBorders>
              <w:top w:val="single" w:sz="12" w:space="0" w:color="auto"/>
            </w:tcBorders>
            <w:shd w:val="clear" w:color="auto" w:fill="auto"/>
            <w:noWrap/>
            <w:vAlign w:val="bottom"/>
            <w:hideMark/>
          </w:tcPr>
          <w:p w14:paraId="06B455FA"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r w:rsidRPr="00777507">
              <w:rPr>
                <w:sz w:val="18"/>
              </w:rPr>
              <w:t>12 a 18</w:t>
            </w:r>
          </w:p>
        </w:tc>
        <w:tc>
          <w:tcPr>
            <w:tcW w:w="0" w:type="dxa"/>
            <w:tcBorders>
              <w:top w:val="single" w:sz="12" w:space="0" w:color="auto"/>
            </w:tcBorders>
            <w:shd w:val="clear" w:color="auto" w:fill="auto"/>
            <w:noWrap/>
            <w:vAlign w:val="bottom"/>
            <w:hideMark/>
          </w:tcPr>
          <w:p w14:paraId="4F52FC9C"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r w:rsidRPr="00777507">
              <w:rPr>
                <w:sz w:val="18"/>
              </w:rPr>
              <w:t>18 a más</w:t>
            </w:r>
          </w:p>
        </w:tc>
        <w:tc>
          <w:tcPr>
            <w:tcW w:w="0" w:type="dxa"/>
            <w:tcBorders>
              <w:top w:val="single" w:sz="12" w:space="0" w:color="auto"/>
            </w:tcBorders>
            <w:shd w:val="clear" w:color="auto" w:fill="auto"/>
            <w:noWrap/>
            <w:vAlign w:val="bottom"/>
            <w:hideMark/>
          </w:tcPr>
          <w:p w14:paraId="3DB1CDA1"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r w:rsidRPr="00777507">
              <w:rPr>
                <w:sz w:val="18"/>
              </w:rPr>
              <w:t>N/C</w:t>
            </w:r>
          </w:p>
        </w:tc>
        <w:tc>
          <w:tcPr>
            <w:tcW w:w="0" w:type="dxa"/>
            <w:vMerge/>
            <w:tcBorders>
              <w:top w:val="single" w:sz="12" w:space="0" w:color="auto"/>
            </w:tcBorders>
            <w:shd w:val="clear" w:color="auto" w:fill="auto"/>
            <w:vAlign w:val="bottom"/>
            <w:hideMark/>
          </w:tcPr>
          <w:p w14:paraId="692A74F9" w14:textId="77777777" w:rsidR="00886DE8" w:rsidRPr="00777507" w:rsidRDefault="00886DE8"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b w:val="0"/>
                <w:color w:val="auto"/>
                <w:sz w:val="18"/>
              </w:rPr>
            </w:pPr>
          </w:p>
        </w:tc>
      </w:tr>
      <w:tr w:rsidR="00777507" w:rsidRPr="00210112" w14:paraId="0F60C43F"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6907376B" w14:textId="77777777" w:rsidR="008F1A6A" w:rsidRPr="00777507" w:rsidRDefault="008F1A6A" w:rsidP="00777507">
            <w:pPr>
              <w:spacing w:before="40" w:after="40" w:line="220" w:lineRule="exact"/>
              <w:rPr>
                <w:b w:val="0"/>
                <w:bCs w:val="0"/>
                <w:color w:val="auto"/>
                <w:sz w:val="18"/>
                <w:szCs w:val="18"/>
              </w:rPr>
            </w:pPr>
            <w:r w:rsidRPr="00777507">
              <w:rPr>
                <w:sz w:val="18"/>
                <w:szCs w:val="18"/>
              </w:rPr>
              <w:t>Beni</w:t>
            </w:r>
          </w:p>
        </w:tc>
        <w:tc>
          <w:tcPr>
            <w:tcW w:w="0" w:type="dxa"/>
            <w:shd w:val="clear" w:color="auto" w:fill="auto"/>
            <w:noWrap/>
            <w:vAlign w:val="bottom"/>
            <w:hideMark/>
          </w:tcPr>
          <w:p w14:paraId="54E600B3"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16B5C466"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4</w:t>
            </w:r>
          </w:p>
        </w:tc>
        <w:tc>
          <w:tcPr>
            <w:tcW w:w="0" w:type="dxa"/>
            <w:shd w:val="clear" w:color="auto" w:fill="auto"/>
            <w:noWrap/>
            <w:vAlign w:val="bottom"/>
            <w:hideMark/>
          </w:tcPr>
          <w:p w14:paraId="563C29B6"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4</w:t>
            </w:r>
          </w:p>
        </w:tc>
        <w:tc>
          <w:tcPr>
            <w:tcW w:w="0" w:type="dxa"/>
            <w:shd w:val="clear" w:color="auto" w:fill="auto"/>
            <w:noWrap/>
            <w:vAlign w:val="bottom"/>
            <w:hideMark/>
          </w:tcPr>
          <w:p w14:paraId="5D190ED8"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255B6B9B"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3F3BEBCE"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78D21726"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2ECEFA6D"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5569F78C"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5D4A886E"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9</w:t>
            </w:r>
          </w:p>
        </w:tc>
      </w:tr>
      <w:tr w:rsidR="00777507" w:rsidRPr="00210112" w14:paraId="156D6EE7"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0E556807" w14:textId="77777777" w:rsidR="008F1A6A" w:rsidRPr="00777507" w:rsidRDefault="008F1A6A" w:rsidP="00777507">
            <w:pPr>
              <w:spacing w:before="40" w:after="40" w:line="220" w:lineRule="exact"/>
              <w:rPr>
                <w:b w:val="0"/>
                <w:bCs w:val="0"/>
                <w:color w:val="auto"/>
                <w:sz w:val="18"/>
                <w:szCs w:val="18"/>
              </w:rPr>
            </w:pPr>
            <w:r w:rsidRPr="00777507">
              <w:rPr>
                <w:sz w:val="18"/>
                <w:szCs w:val="18"/>
              </w:rPr>
              <w:t>Chuquisaca</w:t>
            </w:r>
          </w:p>
        </w:tc>
        <w:tc>
          <w:tcPr>
            <w:tcW w:w="0" w:type="dxa"/>
            <w:shd w:val="clear" w:color="auto" w:fill="auto"/>
            <w:noWrap/>
            <w:vAlign w:val="bottom"/>
            <w:hideMark/>
          </w:tcPr>
          <w:p w14:paraId="7D847E6D"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5EF30A0A"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7</w:t>
            </w:r>
          </w:p>
        </w:tc>
        <w:tc>
          <w:tcPr>
            <w:tcW w:w="0" w:type="dxa"/>
            <w:shd w:val="clear" w:color="auto" w:fill="auto"/>
            <w:noWrap/>
            <w:vAlign w:val="bottom"/>
            <w:hideMark/>
          </w:tcPr>
          <w:p w14:paraId="2CD517F2"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4</w:t>
            </w:r>
          </w:p>
        </w:tc>
        <w:tc>
          <w:tcPr>
            <w:tcW w:w="0" w:type="dxa"/>
            <w:shd w:val="clear" w:color="auto" w:fill="auto"/>
            <w:noWrap/>
            <w:vAlign w:val="bottom"/>
            <w:hideMark/>
          </w:tcPr>
          <w:p w14:paraId="0604717D"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73828254"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70CEBA03"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45C2FBB4"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643EF08B"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5D9F01A0"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380E3E01"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12</w:t>
            </w:r>
          </w:p>
        </w:tc>
      </w:tr>
      <w:tr w:rsidR="00777507" w:rsidRPr="00210112" w14:paraId="45F79C2C"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224452C9" w14:textId="77777777" w:rsidR="008F1A6A" w:rsidRPr="00777507" w:rsidRDefault="008F1A6A" w:rsidP="00777507">
            <w:pPr>
              <w:spacing w:before="40" w:after="40" w:line="220" w:lineRule="exact"/>
              <w:rPr>
                <w:b w:val="0"/>
                <w:bCs w:val="0"/>
                <w:color w:val="auto"/>
                <w:sz w:val="18"/>
                <w:szCs w:val="18"/>
              </w:rPr>
            </w:pPr>
            <w:r w:rsidRPr="00777507">
              <w:rPr>
                <w:sz w:val="18"/>
                <w:szCs w:val="18"/>
              </w:rPr>
              <w:t>Cochabamba</w:t>
            </w:r>
          </w:p>
        </w:tc>
        <w:tc>
          <w:tcPr>
            <w:tcW w:w="0" w:type="dxa"/>
            <w:shd w:val="clear" w:color="auto" w:fill="auto"/>
            <w:noWrap/>
            <w:vAlign w:val="bottom"/>
            <w:hideMark/>
          </w:tcPr>
          <w:p w14:paraId="3228ABB5"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3</w:t>
            </w:r>
          </w:p>
        </w:tc>
        <w:tc>
          <w:tcPr>
            <w:tcW w:w="0" w:type="dxa"/>
            <w:shd w:val="clear" w:color="auto" w:fill="auto"/>
            <w:noWrap/>
            <w:vAlign w:val="bottom"/>
            <w:hideMark/>
          </w:tcPr>
          <w:p w14:paraId="5D500B8E"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12</w:t>
            </w:r>
          </w:p>
        </w:tc>
        <w:tc>
          <w:tcPr>
            <w:tcW w:w="0" w:type="dxa"/>
            <w:shd w:val="clear" w:color="auto" w:fill="auto"/>
            <w:noWrap/>
            <w:vAlign w:val="bottom"/>
            <w:hideMark/>
          </w:tcPr>
          <w:p w14:paraId="62D82764"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3</w:t>
            </w:r>
          </w:p>
        </w:tc>
        <w:tc>
          <w:tcPr>
            <w:tcW w:w="0" w:type="dxa"/>
            <w:shd w:val="clear" w:color="auto" w:fill="auto"/>
            <w:noWrap/>
            <w:vAlign w:val="bottom"/>
            <w:hideMark/>
          </w:tcPr>
          <w:p w14:paraId="196C1B3F"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2</w:t>
            </w:r>
          </w:p>
        </w:tc>
        <w:tc>
          <w:tcPr>
            <w:tcW w:w="0" w:type="dxa"/>
            <w:shd w:val="clear" w:color="auto" w:fill="auto"/>
            <w:noWrap/>
            <w:vAlign w:val="bottom"/>
            <w:hideMark/>
          </w:tcPr>
          <w:p w14:paraId="635DF349"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7</w:t>
            </w:r>
          </w:p>
        </w:tc>
        <w:tc>
          <w:tcPr>
            <w:tcW w:w="0" w:type="dxa"/>
            <w:shd w:val="clear" w:color="auto" w:fill="auto"/>
            <w:noWrap/>
            <w:vAlign w:val="bottom"/>
            <w:hideMark/>
          </w:tcPr>
          <w:p w14:paraId="264B2897"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4</w:t>
            </w:r>
          </w:p>
        </w:tc>
        <w:tc>
          <w:tcPr>
            <w:tcW w:w="0" w:type="dxa"/>
            <w:shd w:val="clear" w:color="auto" w:fill="auto"/>
            <w:noWrap/>
            <w:vAlign w:val="bottom"/>
            <w:hideMark/>
          </w:tcPr>
          <w:p w14:paraId="2C60E001"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1B7E5437"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58719141"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2</w:t>
            </w:r>
          </w:p>
        </w:tc>
        <w:tc>
          <w:tcPr>
            <w:tcW w:w="0" w:type="dxa"/>
            <w:shd w:val="clear" w:color="auto" w:fill="auto"/>
            <w:noWrap/>
            <w:vAlign w:val="bottom"/>
            <w:hideMark/>
          </w:tcPr>
          <w:p w14:paraId="17DE4B33"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33</w:t>
            </w:r>
          </w:p>
        </w:tc>
      </w:tr>
      <w:tr w:rsidR="00777507" w:rsidRPr="00210112" w14:paraId="3BA799D4"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472F2A1D" w14:textId="77777777" w:rsidR="008F1A6A" w:rsidRPr="00777507" w:rsidRDefault="008F1A6A" w:rsidP="00777507">
            <w:pPr>
              <w:spacing w:before="40" w:after="40" w:line="220" w:lineRule="exact"/>
              <w:rPr>
                <w:b w:val="0"/>
                <w:bCs w:val="0"/>
                <w:color w:val="auto"/>
                <w:sz w:val="18"/>
                <w:szCs w:val="18"/>
              </w:rPr>
            </w:pPr>
            <w:r w:rsidRPr="00777507">
              <w:rPr>
                <w:sz w:val="18"/>
                <w:szCs w:val="18"/>
              </w:rPr>
              <w:t>La Paz</w:t>
            </w:r>
          </w:p>
        </w:tc>
        <w:tc>
          <w:tcPr>
            <w:tcW w:w="0" w:type="dxa"/>
            <w:shd w:val="clear" w:color="auto" w:fill="auto"/>
            <w:noWrap/>
            <w:vAlign w:val="bottom"/>
            <w:hideMark/>
          </w:tcPr>
          <w:p w14:paraId="776F641D"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2</w:t>
            </w:r>
          </w:p>
        </w:tc>
        <w:tc>
          <w:tcPr>
            <w:tcW w:w="0" w:type="dxa"/>
            <w:shd w:val="clear" w:color="auto" w:fill="auto"/>
            <w:noWrap/>
            <w:vAlign w:val="bottom"/>
            <w:hideMark/>
          </w:tcPr>
          <w:p w14:paraId="0760949D"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18</w:t>
            </w:r>
          </w:p>
        </w:tc>
        <w:tc>
          <w:tcPr>
            <w:tcW w:w="0" w:type="dxa"/>
            <w:shd w:val="clear" w:color="auto" w:fill="auto"/>
            <w:noWrap/>
            <w:vAlign w:val="bottom"/>
            <w:hideMark/>
          </w:tcPr>
          <w:p w14:paraId="1F320A0D"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12</w:t>
            </w:r>
          </w:p>
        </w:tc>
        <w:tc>
          <w:tcPr>
            <w:tcW w:w="0" w:type="dxa"/>
            <w:shd w:val="clear" w:color="auto" w:fill="auto"/>
            <w:noWrap/>
            <w:vAlign w:val="bottom"/>
            <w:hideMark/>
          </w:tcPr>
          <w:p w14:paraId="5DB86558"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0614CBE5"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40</w:t>
            </w:r>
          </w:p>
        </w:tc>
        <w:tc>
          <w:tcPr>
            <w:tcW w:w="0" w:type="dxa"/>
            <w:shd w:val="clear" w:color="auto" w:fill="auto"/>
            <w:noWrap/>
            <w:vAlign w:val="bottom"/>
            <w:hideMark/>
          </w:tcPr>
          <w:p w14:paraId="66DECB62"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39</w:t>
            </w:r>
          </w:p>
        </w:tc>
        <w:tc>
          <w:tcPr>
            <w:tcW w:w="0" w:type="dxa"/>
            <w:shd w:val="clear" w:color="auto" w:fill="auto"/>
            <w:noWrap/>
            <w:vAlign w:val="bottom"/>
            <w:hideMark/>
          </w:tcPr>
          <w:p w14:paraId="0C2D5B7A"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431B07E0"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7F09EAD2"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3A82814F"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112</w:t>
            </w:r>
          </w:p>
        </w:tc>
      </w:tr>
      <w:tr w:rsidR="00777507" w:rsidRPr="00210112" w14:paraId="270CB528"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27C52399" w14:textId="77777777" w:rsidR="008F1A6A" w:rsidRPr="00777507" w:rsidRDefault="008F1A6A" w:rsidP="00777507">
            <w:pPr>
              <w:spacing w:before="40" w:after="40" w:line="220" w:lineRule="exact"/>
              <w:rPr>
                <w:b w:val="0"/>
                <w:bCs w:val="0"/>
                <w:color w:val="auto"/>
                <w:sz w:val="18"/>
                <w:szCs w:val="18"/>
              </w:rPr>
            </w:pPr>
            <w:r w:rsidRPr="00777507">
              <w:rPr>
                <w:sz w:val="18"/>
                <w:szCs w:val="18"/>
              </w:rPr>
              <w:t>Oruro</w:t>
            </w:r>
          </w:p>
        </w:tc>
        <w:tc>
          <w:tcPr>
            <w:tcW w:w="0" w:type="dxa"/>
            <w:shd w:val="clear" w:color="auto" w:fill="auto"/>
            <w:noWrap/>
            <w:vAlign w:val="bottom"/>
            <w:hideMark/>
          </w:tcPr>
          <w:p w14:paraId="50F3664B"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24A8308D"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635B5AE0"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42BA326B"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7C2D140D"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6867271D"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58546F0E"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3A355F07"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2C8B5B72"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793FFE53"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3</w:t>
            </w:r>
          </w:p>
        </w:tc>
      </w:tr>
      <w:tr w:rsidR="00777507" w:rsidRPr="00210112" w14:paraId="7B030C1E"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2D8E94E0" w14:textId="77777777" w:rsidR="008F1A6A" w:rsidRPr="00777507" w:rsidRDefault="008F1A6A" w:rsidP="00777507">
            <w:pPr>
              <w:spacing w:before="40" w:after="40" w:line="220" w:lineRule="exact"/>
              <w:rPr>
                <w:b w:val="0"/>
                <w:bCs w:val="0"/>
                <w:color w:val="auto"/>
                <w:sz w:val="18"/>
                <w:szCs w:val="18"/>
              </w:rPr>
            </w:pPr>
            <w:r w:rsidRPr="00777507">
              <w:rPr>
                <w:sz w:val="18"/>
                <w:szCs w:val="18"/>
              </w:rPr>
              <w:t>Pando</w:t>
            </w:r>
          </w:p>
        </w:tc>
        <w:tc>
          <w:tcPr>
            <w:tcW w:w="0" w:type="dxa"/>
            <w:shd w:val="clear" w:color="auto" w:fill="auto"/>
            <w:noWrap/>
            <w:vAlign w:val="bottom"/>
            <w:hideMark/>
          </w:tcPr>
          <w:p w14:paraId="51F22AF1"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52664A06"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3932A64A"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6722441D"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289C0792"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04DB2942"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66CA8BD0"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0362854E"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75A0B389"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3114836F"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2</w:t>
            </w:r>
          </w:p>
        </w:tc>
      </w:tr>
      <w:tr w:rsidR="00777507" w:rsidRPr="00210112" w14:paraId="584C3A57"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3EF4D016" w14:textId="77777777" w:rsidR="008F1A6A" w:rsidRPr="00777507" w:rsidRDefault="008F1A6A" w:rsidP="00777507">
            <w:pPr>
              <w:spacing w:before="40" w:after="40" w:line="220" w:lineRule="exact"/>
              <w:rPr>
                <w:b w:val="0"/>
                <w:bCs w:val="0"/>
                <w:color w:val="auto"/>
                <w:sz w:val="18"/>
                <w:szCs w:val="18"/>
              </w:rPr>
            </w:pPr>
            <w:r w:rsidRPr="00777507">
              <w:rPr>
                <w:sz w:val="18"/>
                <w:szCs w:val="18"/>
              </w:rPr>
              <w:t>Potosí</w:t>
            </w:r>
          </w:p>
        </w:tc>
        <w:tc>
          <w:tcPr>
            <w:tcW w:w="0" w:type="dxa"/>
            <w:shd w:val="clear" w:color="auto" w:fill="auto"/>
            <w:noWrap/>
            <w:vAlign w:val="bottom"/>
            <w:hideMark/>
          </w:tcPr>
          <w:p w14:paraId="50DFB921"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31CDF85D"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45BDC54D"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2</w:t>
            </w:r>
          </w:p>
        </w:tc>
        <w:tc>
          <w:tcPr>
            <w:tcW w:w="0" w:type="dxa"/>
            <w:shd w:val="clear" w:color="auto" w:fill="auto"/>
            <w:noWrap/>
            <w:vAlign w:val="bottom"/>
            <w:hideMark/>
          </w:tcPr>
          <w:p w14:paraId="1C46F9AF"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69E578D3"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23593715"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5</w:t>
            </w:r>
          </w:p>
        </w:tc>
        <w:tc>
          <w:tcPr>
            <w:tcW w:w="0" w:type="dxa"/>
            <w:shd w:val="clear" w:color="auto" w:fill="auto"/>
            <w:noWrap/>
            <w:vAlign w:val="bottom"/>
            <w:hideMark/>
          </w:tcPr>
          <w:p w14:paraId="30A2E0D8"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73988B7E"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3E2C567C"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45FEBAAC"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8</w:t>
            </w:r>
          </w:p>
        </w:tc>
      </w:tr>
      <w:tr w:rsidR="00777507" w:rsidRPr="00210112" w14:paraId="065EEA9D"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7F66FDFC" w14:textId="77777777" w:rsidR="008F1A6A" w:rsidRPr="00777507" w:rsidRDefault="008F1A6A" w:rsidP="00777507">
            <w:pPr>
              <w:spacing w:before="40" w:after="40" w:line="220" w:lineRule="exact"/>
              <w:rPr>
                <w:b w:val="0"/>
                <w:bCs w:val="0"/>
                <w:color w:val="auto"/>
                <w:sz w:val="18"/>
                <w:szCs w:val="18"/>
              </w:rPr>
            </w:pPr>
            <w:r w:rsidRPr="00777507">
              <w:rPr>
                <w:sz w:val="18"/>
                <w:szCs w:val="18"/>
              </w:rPr>
              <w:t>Santa Cruz</w:t>
            </w:r>
          </w:p>
        </w:tc>
        <w:tc>
          <w:tcPr>
            <w:tcW w:w="0" w:type="dxa"/>
            <w:shd w:val="clear" w:color="auto" w:fill="auto"/>
            <w:noWrap/>
            <w:vAlign w:val="bottom"/>
            <w:hideMark/>
          </w:tcPr>
          <w:p w14:paraId="2D2A9958"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3</w:t>
            </w:r>
          </w:p>
        </w:tc>
        <w:tc>
          <w:tcPr>
            <w:tcW w:w="0" w:type="dxa"/>
            <w:shd w:val="clear" w:color="auto" w:fill="auto"/>
            <w:noWrap/>
            <w:vAlign w:val="bottom"/>
            <w:hideMark/>
          </w:tcPr>
          <w:p w14:paraId="564994EB"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8</w:t>
            </w:r>
          </w:p>
        </w:tc>
        <w:tc>
          <w:tcPr>
            <w:tcW w:w="0" w:type="dxa"/>
            <w:shd w:val="clear" w:color="auto" w:fill="auto"/>
            <w:noWrap/>
            <w:vAlign w:val="bottom"/>
            <w:hideMark/>
          </w:tcPr>
          <w:p w14:paraId="5FE2CDF1"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4</w:t>
            </w:r>
          </w:p>
        </w:tc>
        <w:tc>
          <w:tcPr>
            <w:tcW w:w="0" w:type="dxa"/>
            <w:shd w:val="clear" w:color="auto" w:fill="auto"/>
            <w:noWrap/>
            <w:vAlign w:val="bottom"/>
            <w:hideMark/>
          </w:tcPr>
          <w:p w14:paraId="1B0376D6"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2</w:t>
            </w:r>
          </w:p>
        </w:tc>
        <w:tc>
          <w:tcPr>
            <w:tcW w:w="0" w:type="dxa"/>
            <w:shd w:val="clear" w:color="auto" w:fill="auto"/>
            <w:noWrap/>
            <w:vAlign w:val="bottom"/>
            <w:hideMark/>
          </w:tcPr>
          <w:p w14:paraId="6EF2B2E0"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7</w:t>
            </w:r>
          </w:p>
        </w:tc>
        <w:tc>
          <w:tcPr>
            <w:tcW w:w="0" w:type="dxa"/>
            <w:shd w:val="clear" w:color="auto" w:fill="auto"/>
            <w:noWrap/>
            <w:vAlign w:val="bottom"/>
            <w:hideMark/>
          </w:tcPr>
          <w:p w14:paraId="6FC531FC"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7B1B7F10"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3</w:t>
            </w:r>
          </w:p>
        </w:tc>
        <w:tc>
          <w:tcPr>
            <w:tcW w:w="0" w:type="dxa"/>
            <w:shd w:val="clear" w:color="auto" w:fill="auto"/>
            <w:noWrap/>
            <w:vAlign w:val="bottom"/>
            <w:hideMark/>
          </w:tcPr>
          <w:p w14:paraId="68E68604"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6EB0355F"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2</w:t>
            </w:r>
          </w:p>
        </w:tc>
        <w:tc>
          <w:tcPr>
            <w:tcW w:w="0" w:type="dxa"/>
            <w:shd w:val="clear" w:color="auto" w:fill="auto"/>
            <w:noWrap/>
            <w:vAlign w:val="bottom"/>
            <w:hideMark/>
          </w:tcPr>
          <w:p w14:paraId="78FC6941"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30</w:t>
            </w:r>
          </w:p>
        </w:tc>
      </w:tr>
      <w:tr w:rsidR="00777507" w:rsidRPr="00210112" w14:paraId="6A38FE6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025B303A" w14:textId="77777777" w:rsidR="008F1A6A" w:rsidRPr="00777507" w:rsidRDefault="008F1A6A" w:rsidP="00777507">
            <w:pPr>
              <w:spacing w:before="40" w:after="40" w:line="220" w:lineRule="exact"/>
              <w:rPr>
                <w:b w:val="0"/>
                <w:bCs w:val="0"/>
                <w:color w:val="auto"/>
                <w:sz w:val="18"/>
                <w:szCs w:val="18"/>
              </w:rPr>
            </w:pPr>
            <w:r w:rsidRPr="00777507">
              <w:rPr>
                <w:sz w:val="18"/>
                <w:szCs w:val="18"/>
              </w:rPr>
              <w:t>Tarija</w:t>
            </w:r>
          </w:p>
        </w:tc>
        <w:tc>
          <w:tcPr>
            <w:tcW w:w="0" w:type="dxa"/>
            <w:shd w:val="clear" w:color="auto" w:fill="auto"/>
            <w:noWrap/>
            <w:vAlign w:val="bottom"/>
            <w:hideMark/>
          </w:tcPr>
          <w:p w14:paraId="7F55D478"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1AC4F0AA"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105177E9"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2071EA6E"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1</w:t>
            </w:r>
          </w:p>
        </w:tc>
        <w:tc>
          <w:tcPr>
            <w:tcW w:w="0" w:type="dxa"/>
            <w:shd w:val="clear" w:color="auto" w:fill="auto"/>
            <w:noWrap/>
            <w:vAlign w:val="bottom"/>
            <w:hideMark/>
          </w:tcPr>
          <w:p w14:paraId="4D3B4E0F"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772E75F4"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4C70100B"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02246053"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488FF9F6"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0</w:t>
            </w:r>
          </w:p>
        </w:tc>
        <w:tc>
          <w:tcPr>
            <w:tcW w:w="0" w:type="dxa"/>
            <w:shd w:val="clear" w:color="auto" w:fill="auto"/>
            <w:noWrap/>
            <w:vAlign w:val="bottom"/>
            <w:hideMark/>
          </w:tcPr>
          <w:p w14:paraId="567539D8" w14:textId="77777777" w:rsidR="008F1A6A" w:rsidRPr="00777507" w:rsidRDefault="008F1A6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szCs w:val="18"/>
              </w:rPr>
            </w:pPr>
            <w:r w:rsidRPr="00777507">
              <w:rPr>
                <w:sz w:val="18"/>
                <w:szCs w:val="18"/>
              </w:rPr>
              <w:t>3</w:t>
            </w:r>
          </w:p>
        </w:tc>
      </w:tr>
      <w:tr w:rsidR="00777507" w:rsidRPr="00210112" w14:paraId="56F2DE3E"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tcBorders>
              <w:bottom w:val="single" w:sz="12" w:space="0" w:color="auto"/>
            </w:tcBorders>
            <w:shd w:val="clear" w:color="auto" w:fill="auto"/>
            <w:noWrap/>
            <w:hideMark/>
          </w:tcPr>
          <w:p w14:paraId="278423E3" w14:textId="77777777" w:rsidR="008F1A6A" w:rsidRPr="00777507" w:rsidRDefault="008F1A6A" w:rsidP="00777507">
            <w:pPr>
              <w:spacing w:before="40" w:after="40" w:line="220" w:lineRule="exact"/>
              <w:rPr>
                <w:b w:val="0"/>
                <w:bCs w:val="0"/>
                <w:color w:val="auto"/>
                <w:sz w:val="18"/>
                <w:szCs w:val="18"/>
              </w:rPr>
            </w:pPr>
            <w:r w:rsidRPr="00777507">
              <w:rPr>
                <w:sz w:val="18"/>
                <w:szCs w:val="18"/>
              </w:rPr>
              <w:t>Total General</w:t>
            </w:r>
          </w:p>
        </w:tc>
        <w:tc>
          <w:tcPr>
            <w:tcW w:w="0" w:type="dxa"/>
            <w:tcBorders>
              <w:bottom w:val="single" w:sz="12" w:space="0" w:color="auto"/>
            </w:tcBorders>
            <w:shd w:val="clear" w:color="auto" w:fill="auto"/>
            <w:noWrap/>
            <w:vAlign w:val="bottom"/>
            <w:hideMark/>
          </w:tcPr>
          <w:p w14:paraId="136181FA"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8</w:t>
            </w:r>
          </w:p>
        </w:tc>
        <w:tc>
          <w:tcPr>
            <w:tcW w:w="0" w:type="dxa"/>
            <w:tcBorders>
              <w:bottom w:val="single" w:sz="12" w:space="0" w:color="auto"/>
            </w:tcBorders>
            <w:shd w:val="clear" w:color="auto" w:fill="auto"/>
            <w:noWrap/>
            <w:vAlign w:val="bottom"/>
            <w:hideMark/>
          </w:tcPr>
          <w:p w14:paraId="1EC40460"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53</w:t>
            </w:r>
          </w:p>
        </w:tc>
        <w:tc>
          <w:tcPr>
            <w:tcW w:w="0" w:type="dxa"/>
            <w:tcBorders>
              <w:bottom w:val="single" w:sz="12" w:space="0" w:color="auto"/>
            </w:tcBorders>
            <w:shd w:val="clear" w:color="auto" w:fill="auto"/>
            <w:noWrap/>
            <w:vAlign w:val="bottom"/>
            <w:hideMark/>
          </w:tcPr>
          <w:p w14:paraId="60E8A553"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31</w:t>
            </w:r>
          </w:p>
        </w:tc>
        <w:tc>
          <w:tcPr>
            <w:tcW w:w="0" w:type="dxa"/>
            <w:tcBorders>
              <w:bottom w:val="single" w:sz="12" w:space="0" w:color="auto"/>
            </w:tcBorders>
            <w:shd w:val="clear" w:color="auto" w:fill="auto"/>
            <w:noWrap/>
            <w:vAlign w:val="bottom"/>
            <w:hideMark/>
          </w:tcPr>
          <w:p w14:paraId="581B41CF"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5</w:t>
            </w:r>
          </w:p>
        </w:tc>
        <w:tc>
          <w:tcPr>
            <w:tcW w:w="0" w:type="dxa"/>
            <w:tcBorders>
              <w:bottom w:val="single" w:sz="12" w:space="0" w:color="auto"/>
            </w:tcBorders>
            <w:shd w:val="clear" w:color="auto" w:fill="auto"/>
            <w:noWrap/>
            <w:vAlign w:val="bottom"/>
            <w:hideMark/>
          </w:tcPr>
          <w:p w14:paraId="28B8882E"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54</w:t>
            </w:r>
          </w:p>
        </w:tc>
        <w:tc>
          <w:tcPr>
            <w:tcW w:w="0" w:type="dxa"/>
            <w:tcBorders>
              <w:bottom w:val="single" w:sz="12" w:space="0" w:color="auto"/>
            </w:tcBorders>
            <w:shd w:val="clear" w:color="auto" w:fill="auto"/>
            <w:noWrap/>
            <w:vAlign w:val="bottom"/>
            <w:hideMark/>
          </w:tcPr>
          <w:p w14:paraId="4A4D085B"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50</w:t>
            </w:r>
          </w:p>
        </w:tc>
        <w:tc>
          <w:tcPr>
            <w:tcW w:w="0" w:type="dxa"/>
            <w:tcBorders>
              <w:bottom w:val="single" w:sz="12" w:space="0" w:color="auto"/>
            </w:tcBorders>
            <w:shd w:val="clear" w:color="auto" w:fill="auto"/>
            <w:noWrap/>
            <w:vAlign w:val="bottom"/>
            <w:hideMark/>
          </w:tcPr>
          <w:p w14:paraId="08465504"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3</w:t>
            </w:r>
          </w:p>
        </w:tc>
        <w:tc>
          <w:tcPr>
            <w:tcW w:w="0" w:type="dxa"/>
            <w:tcBorders>
              <w:bottom w:val="single" w:sz="12" w:space="0" w:color="auto"/>
            </w:tcBorders>
            <w:shd w:val="clear" w:color="auto" w:fill="auto"/>
            <w:noWrap/>
            <w:vAlign w:val="bottom"/>
            <w:hideMark/>
          </w:tcPr>
          <w:p w14:paraId="0D3838A6"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2</w:t>
            </w:r>
          </w:p>
        </w:tc>
        <w:tc>
          <w:tcPr>
            <w:tcW w:w="0" w:type="dxa"/>
            <w:tcBorders>
              <w:bottom w:val="single" w:sz="12" w:space="0" w:color="auto"/>
            </w:tcBorders>
            <w:shd w:val="clear" w:color="auto" w:fill="auto"/>
            <w:noWrap/>
            <w:vAlign w:val="bottom"/>
            <w:hideMark/>
          </w:tcPr>
          <w:p w14:paraId="40E1E2A4"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6</w:t>
            </w:r>
          </w:p>
        </w:tc>
        <w:tc>
          <w:tcPr>
            <w:tcW w:w="0" w:type="dxa"/>
            <w:tcBorders>
              <w:bottom w:val="single" w:sz="12" w:space="0" w:color="auto"/>
            </w:tcBorders>
            <w:shd w:val="clear" w:color="auto" w:fill="auto"/>
            <w:noWrap/>
            <w:vAlign w:val="bottom"/>
            <w:hideMark/>
          </w:tcPr>
          <w:p w14:paraId="34C0791B" w14:textId="77777777" w:rsidR="008F1A6A" w:rsidRPr="00777507" w:rsidRDefault="008F1A6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szCs w:val="18"/>
              </w:rPr>
            </w:pPr>
            <w:r w:rsidRPr="00777507">
              <w:rPr>
                <w:sz w:val="18"/>
                <w:szCs w:val="18"/>
              </w:rPr>
              <w:t>212</w:t>
            </w:r>
          </w:p>
        </w:tc>
      </w:tr>
    </w:tbl>
    <w:p w14:paraId="3E44DDC5"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FGE </w:t>
      </w:r>
      <w:r w:rsidR="00886DE8">
        <w:rPr>
          <w:lang w:eastAsia="en-US"/>
        </w:rPr>
        <w:t>–</w:t>
      </w:r>
      <w:r w:rsidRPr="00B36B7E">
        <w:rPr>
          <w:lang w:eastAsia="en-US"/>
        </w:rPr>
        <w:t xml:space="preserve"> Sistema JL1 13/08/2020 (Datos del 01 de enero al 31 de diciembre de 2019).</w:t>
      </w:r>
    </w:p>
    <w:p w14:paraId="72FCA1F5" w14:textId="77777777" w:rsidR="00B36B7E" w:rsidRPr="00B36B7E" w:rsidRDefault="00235247" w:rsidP="00777507">
      <w:pPr>
        <w:pStyle w:val="SingleTxtG"/>
        <w:spacing w:before="120"/>
        <w:rPr>
          <w:lang w:eastAsia="en-US"/>
        </w:rPr>
      </w:pPr>
      <w:r w:rsidRPr="00B36B7E">
        <w:rPr>
          <w:lang w:eastAsia="en-US"/>
        </w:rPr>
        <w:lastRenderedPageBreak/>
        <w:t>48.</w:t>
      </w:r>
      <w:r w:rsidRPr="00B36B7E">
        <w:rPr>
          <w:lang w:eastAsia="en-US"/>
        </w:rPr>
        <w:tab/>
      </w:r>
      <w:r w:rsidR="00B36B7E" w:rsidRPr="00B36B7E">
        <w:rPr>
          <w:lang w:eastAsia="en-US"/>
        </w:rPr>
        <w:t>Por otro lado, en el marco de la Ley Integral contra la Trata y Tráfico de Personas (Ley 263)</w:t>
      </w:r>
      <w:r w:rsidR="00B36B7E" w:rsidRPr="00777507">
        <w:rPr>
          <w:sz w:val="18"/>
          <w:szCs w:val="18"/>
          <w:vertAlign w:val="superscript"/>
          <w:lang w:eastAsia="en-US"/>
        </w:rPr>
        <w:footnoteReference w:id="18"/>
      </w:r>
      <w:r w:rsidR="00B36B7E" w:rsidRPr="00B36B7E">
        <w:rPr>
          <w:lang w:eastAsia="en-US"/>
        </w:rPr>
        <w:t xml:space="preserve">, se cuenta con un registro de 833 casos atendidos por delitos de trata y tráfico de personas, y delitos conexos </w:t>
      </w:r>
      <w:r w:rsidR="000553C1">
        <w:rPr>
          <w:lang w:eastAsia="en-US"/>
        </w:rPr>
        <w:t>como se detalla a continuación.</w:t>
      </w:r>
    </w:p>
    <w:tbl>
      <w:tblPr>
        <w:tblStyle w:val="GridTable5Dark-Accent6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2"/>
        <w:gridCol w:w="842"/>
        <w:gridCol w:w="842"/>
        <w:gridCol w:w="860"/>
        <w:gridCol w:w="952"/>
        <w:gridCol w:w="1025"/>
        <w:gridCol w:w="876"/>
        <w:gridCol w:w="811"/>
      </w:tblGrid>
      <w:tr w:rsidR="00210112" w:rsidRPr="00210112" w14:paraId="655DFE8C"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bottom w:val="single" w:sz="12" w:space="0" w:color="auto"/>
            </w:tcBorders>
            <w:shd w:val="clear" w:color="auto" w:fill="auto"/>
            <w:vAlign w:val="bottom"/>
            <w:hideMark/>
          </w:tcPr>
          <w:p w14:paraId="60DE3A93" w14:textId="77777777" w:rsidR="00B36B7E" w:rsidRPr="00210112" w:rsidRDefault="00B36B7E" w:rsidP="00777507">
            <w:pPr>
              <w:spacing w:before="80" w:after="80" w:line="200" w:lineRule="exact"/>
              <w:ind w:left="113"/>
              <w:jc w:val="right"/>
              <w:rPr>
                <w:rFonts w:ascii="Times New Roman" w:hAnsi="Times New Roman"/>
                <w:b w:val="0"/>
                <w:i/>
                <w:color w:val="auto"/>
                <w:sz w:val="16"/>
              </w:rPr>
            </w:pPr>
            <w:r w:rsidRPr="00210112">
              <w:rPr>
                <w:i/>
                <w:sz w:val="16"/>
              </w:rPr>
              <w:t>D</w:t>
            </w:r>
            <w:r w:rsidR="00DA769E" w:rsidRPr="00210112">
              <w:rPr>
                <w:i/>
                <w:sz w:val="16"/>
              </w:rPr>
              <w:t>epartamen</w:t>
            </w:r>
            <w:r w:rsidR="00DA769E">
              <w:rPr>
                <w:rFonts w:ascii="Times New Roman" w:hAnsi="Times New Roman"/>
                <w:b w:val="0"/>
                <w:i/>
                <w:color w:val="auto"/>
                <w:sz w:val="16"/>
              </w:rPr>
              <w:t>t</w:t>
            </w:r>
            <w:r w:rsidR="00DA769E" w:rsidRPr="00210112">
              <w:rPr>
                <w:i/>
                <w:sz w:val="16"/>
              </w:rPr>
              <w:t>o</w:t>
            </w:r>
          </w:p>
        </w:tc>
        <w:tc>
          <w:tcPr>
            <w:tcW w:w="0" w:type="dxa"/>
            <w:vMerge w:val="restart"/>
            <w:tcBorders>
              <w:top w:val="single" w:sz="4" w:space="0" w:color="auto"/>
              <w:bottom w:val="single" w:sz="12" w:space="0" w:color="auto"/>
            </w:tcBorders>
            <w:shd w:val="clear" w:color="auto" w:fill="auto"/>
            <w:noWrap/>
            <w:vAlign w:val="bottom"/>
            <w:hideMark/>
          </w:tcPr>
          <w:p w14:paraId="4879FBEF"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r w:rsidRPr="00210112">
              <w:rPr>
                <w:i/>
                <w:sz w:val="16"/>
              </w:rPr>
              <w:t>Tráfico de personas Art. 321 bis</w:t>
            </w:r>
          </w:p>
        </w:tc>
        <w:tc>
          <w:tcPr>
            <w:tcW w:w="0" w:type="dxa"/>
            <w:vMerge w:val="restart"/>
            <w:tcBorders>
              <w:top w:val="single" w:sz="4" w:space="0" w:color="auto"/>
              <w:bottom w:val="single" w:sz="12" w:space="0" w:color="auto"/>
            </w:tcBorders>
            <w:shd w:val="clear" w:color="auto" w:fill="auto"/>
            <w:noWrap/>
            <w:vAlign w:val="bottom"/>
            <w:hideMark/>
          </w:tcPr>
          <w:p w14:paraId="0AC2D432"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r w:rsidRPr="00210112">
              <w:rPr>
                <w:i/>
                <w:sz w:val="16"/>
              </w:rPr>
              <w:t>Trata de personas Art. 281 Bis. Mod.</w:t>
            </w:r>
          </w:p>
        </w:tc>
        <w:tc>
          <w:tcPr>
            <w:tcW w:w="0" w:type="dxa"/>
            <w:vMerge w:val="restart"/>
            <w:tcBorders>
              <w:top w:val="single" w:sz="4" w:space="0" w:color="auto"/>
              <w:bottom w:val="single" w:sz="12" w:space="0" w:color="auto"/>
            </w:tcBorders>
            <w:shd w:val="clear" w:color="auto" w:fill="auto"/>
            <w:noWrap/>
            <w:vAlign w:val="bottom"/>
            <w:hideMark/>
          </w:tcPr>
          <w:p w14:paraId="6F5349DE"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r w:rsidRPr="00210112">
              <w:rPr>
                <w:i/>
                <w:sz w:val="16"/>
              </w:rPr>
              <w:t>Trata de Seres Humanos Art. 281 bis</w:t>
            </w:r>
          </w:p>
        </w:tc>
        <w:tc>
          <w:tcPr>
            <w:tcW w:w="0" w:type="dxa"/>
            <w:gridSpan w:val="3"/>
            <w:tcBorders>
              <w:top w:val="single" w:sz="4" w:space="0" w:color="auto"/>
              <w:bottom w:val="single" w:sz="12" w:space="0" w:color="auto"/>
            </w:tcBorders>
            <w:shd w:val="clear" w:color="auto" w:fill="auto"/>
            <w:noWrap/>
            <w:vAlign w:val="bottom"/>
            <w:hideMark/>
          </w:tcPr>
          <w:p w14:paraId="6945C354"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r w:rsidRPr="00210112">
              <w:rPr>
                <w:i/>
                <w:sz w:val="16"/>
              </w:rPr>
              <w:t>D</w:t>
            </w:r>
            <w:r w:rsidR="00292FA8" w:rsidRPr="00210112">
              <w:rPr>
                <w:i/>
                <w:sz w:val="16"/>
              </w:rPr>
              <w:t>elitos conexos</w:t>
            </w:r>
          </w:p>
        </w:tc>
        <w:tc>
          <w:tcPr>
            <w:tcW w:w="0" w:type="dxa"/>
            <w:vMerge w:val="restart"/>
            <w:tcBorders>
              <w:top w:val="single" w:sz="4" w:space="0" w:color="auto"/>
              <w:bottom w:val="single" w:sz="12" w:space="0" w:color="auto"/>
            </w:tcBorders>
            <w:shd w:val="clear" w:color="auto" w:fill="auto"/>
            <w:noWrap/>
            <w:vAlign w:val="bottom"/>
            <w:hideMark/>
          </w:tcPr>
          <w:p w14:paraId="34636D1F"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r w:rsidRPr="00210112">
              <w:rPr>
                <w:i/>
                <w:sz w:val="16"/>
              </w:rPr>
              <w:t>Total</w:t>
            </w:r>
          </w:p>
        </w:tc>
      </w:tr>
      <w:tr w:rsidR="00210112" w:rsidRPr="00210112" w14:paraId="728326F6"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vMerge/>
            <w:tcBorders>
              <w:top w:val="single" w:sz="12" w:space="0" w:color="auto"/>
            </w:tcBorders>
            <w:shd w:val="clear" w:color="auto" w:fill="auto"/>
            <w:vAlign w:val="bottom"/>
          </w:tcPr>
          <w:p w14:paraId="61FB3B37" w14:textId="77777777" w:rsidR="008F1A6A" w:rsidRPr="00777507" w:rsidRDefault="008F1A6A" w:rsidP="00777507">
            <w:pPr>
              <w:spacing w:before="80" w:after="80" w:line="200" w:lineRule="exact"/>
              <w:ind w:left="113"/>
              <w:jc w:val="right"/>
              <w:rPr>
                <w:rFonts w:ascii="Times New Roman" w:hAnsi="Times New Roman"/>
                <w:b w:val="0"/>
                <w:i/>
                <w:color w:val="auto"/>
                <w:sz w:val="16"/>
              </w:rPr>
            </w:pPr>
          </w:p>
        </w:tc>
        <w:tc>
          <w:tcPr>
            <w:tcW w:w="0" w:type="dxa"/>
            <w:vMerge/>
            <w:tcBorders>
              <w:top w:val="single" w:sz="12" w:space="0" w:color="auto"/>
            </w:tcBorders>
            <w:shd w:val="clear" w:color="auto" w:fill="auto"/>
            <w:noWrap/>
            <w:vAlign w:val="bottom"/>
          </w:tcPr>
          <w:p w14:paraId="7E1B9E91" w14:textId="77777777" w:rsidR="008F1A6A" w:rsidRPr="00777507" w:rsidRDefault="008F1A6A"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p>
        </w:tc>
        <w:tc>
          <w:tcPr>
            <w:tcW w:w="0" w:type="dxa"/>
            <w:vMerge/>
            <w:tcBorders>
              <w:top w:val="single" w:sz="12" w:space="0" w:color="auto"/>
            </w:tcBorders>
            <w:shd w:val="clear" w:color="auto" w:fill="auto"/>
            <w:noWrap/>
            <w:vAlign w:val="bottom"/>
          </w:tcPr>
          <w:p w14:paraId="049F2EF8" w14:textId="77777777" w:rsidR="008F1A6A" w:rsidRPr="00777507" w:rsidRDefault="008F1A6A"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p>
        </w:tc>
        <w:tc>
          <w:tcPr>
            <w:tcW w:w="0" w:type="dxa"/>
            <w:vMerge/>
            <w:tcBorders>
              <w:top w:val="single" w:sz="12" w:space="0" w:color="auto"/>
            </w:tcBorders>
            <w:shd w:val="clear" w:color="auto" w:fill="auto"/>
            <w:noWrap/>
            <w:vAlign w:val="bottom"/>
          </w:tcPr>
          <w:p w14:paraId="69D9912B" w14:textId="77777777" w:rsidR="008F1A6A" w:rsidRPr="00777507" w:rsidRDefault="008F1A6A"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p>
        </w:tc>
        <w:tc>
          <w:tcPr>
            <w:tcW w:w="0" w:type="dxa"/>
            <w:gridSpan w:val="3"/>
            <w:tcBorders>
              <w:top w:val="single" w:sz="12" w:space="0" w:color="auto"/>
            </w:tcBorders>
            <w:shd w:val="clear" w:color="auto" w:fill="auto"/>
            <w:noWrap/>
            <w:vAlign w:val="bottom"/>
          </w:tcPr>
          <w:p w14:paraId="5AA31DD9" w14:textId="77777777" w:rsidR="008F1A6A" w:rsidRPr="00777507" w:rsidRDefault="008F1A6A"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p>
        </w:tc>
        <w:tc>
          <w:tcPr>
            <w:tcW w:w="0" w:type="dxa"/>
            <w:vMerge/>
            <w:tcBorders>
              <w:top w:val="single" w:sz="12" w:space="0" w:color="auto"/>
            </w:tcBorders>
            <w:shd w:val="clear" w:color="auto" w:fill="auto"/>
            <w:noWrap/>
            <w:vAlign w:val="bottom"/>
          </w:tcPr>
          <w:p w14:paraId="3EBCF801" w14:textId="77777777" w:rsidR="008F1A6A" w:rsidRPr="00777507" w:rsidRDefault="008F1A6A"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p>
        </w:tc>
      </w:tr>
      <w:tr w:rsidR="00DA769E" w:rsidRPr="00210112" w14:paraId="27BC9276" w14:textId="77777777" w:rsidTr="0021011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1263" w:type="dxa"/>
            <w:vMerge/>
            <w:shd w:val="clear" w:color="auto" w:fill="auto"/>
            <w:vAlign w:val="bottom"/>
            <w:hideMark/>
          </w:tcPr>
          <w:p w14:paraId="2C7A9B16" w14:textId="77777777" w:rsidR="00B36B7E" w:rsidRPr="00777507" w:rsidRDefault="00B36B7E" w:rsidP="00777507">
            <w:pPr>
              <w:spacing w:before="80" w:after="80" w:line="200" w:lineRule="exact"/>
              <w:ind w:left="113"/>
              <w:jc w:val="right"/>
              <w:rPr>
                <w:rFonts w:ascii="Times New Roman" w:hAnsi="Times New Roman"/>
                <w:b w:val="0"/>
                <w:i/>
                <w:color w:val="auto"/>
                <w:sz w:val="16"/>
              </w:rPr>
            </w:pPr>
          </w:p>
        </w:tc>
        <w:tc>
          <w:tcPr>
            <w:tcW w:w="1010" w:type="dxa"/>
            <w:vMerge/>
            <w:shd w:val="clear" w:color="auto" w:fill="auto"/>
            <w:vAlign w:val="bottom"/>
            <w:hideMark/>
          </w:tcPr>
          <w:p w14:paraId="769C6E3C" w14:textId="77777777" w:rsidR="00B36B7E" w:rsidRPr="00777507"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p>
        </w:tc>
        <w:tc>
          <w:tcPr>
            <w:tcW w:w="1010" w:type="dxa"/>
            <w:vMerge/>
            <w:shd w:val="clear" w:color="auto" w:fill="auto"/>
            <w:vAlign w:val="bottom"/>
            <w:hideMark/>
          </w:tcPr>
          <w:p w14:paraId="6A3DEC6E" w14:textId="77777777" w:rsidR="00B36B7E" w:rsidRPr="00777507"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p>
        </w:tc>
        <w:tc>
          <w:tcPr>
            <w:tcW w:w="1010" w:type="dxa"/>
            <w:vMerge/>
            <w:shd w:val="clear" w:color="auto" w:fill="auto"/>
            <w:vAlign w:val="bottom"/>
            <w:hideMark/>
          </w:tcPr>
          <w:p w14:paraId="64A422E2" w14:textId="77777777" w:rsidR="00B36B7E" w:rsidRPr="00777507"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p>
        </w:tc>
        <w:tc>
          <w:tcPr>
            <w:tcW w:w="1010" w:type="dxa"/>
            <w:shd w:val="clear" w:color="auto" w:fill="auto"/>
            <w:vAlign w:val="bottom"/>
            <w:hideMark/>
          </w:tcPr>
          <w:p w14:paraId="07DB19A9" w14:textId="77777777" w:rsidR="00B36B7E" w:rsidRPr="00777507"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r w:rsidRPr="00777507">
              <w:rPr>
                <w:i/>
                <w:sz w:val="16"/>
              </w:rPr>
              <w:t>Pornografía Art. 323 Bis</w:t>
            </w:r>
          </w:p>
        </w:tc>
        <w:tc>
          <w:tcPr>
            <w:tcW w:w="1010" w:type="dxa"/>
            <w:shd w:val="clear" w:color="auto" w:fill="auto"/>
            <w:vAlign w:val="bottom"/>
            <w:hideMark/>
          </w:tcPr>
          <w:p w14:paraId="7B742EE6" w14:textId="77777777" w:rsidR="00B36B7E" w:rsidRPr="00777507"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r w:rsidRPr="00777507">
              <w:rPr>
                <w:i/>
                <w:sz w:val="16"/>
              </w:rPr>
              <w:t>Proxenetismo Art. 321</w:t>
            </w:r>
          </w:p>
        </w:tc>
        <w:tc>
          <w:tcPr>
            <w:tcW w:w="1010" w:type="dxa"/>
            <w:shd w:val="clear" w:color="auto" w:fill="auto"/>
            <w:vAlign w:val="bottom"/>
            <w:hideMark/>
          </w:tcPr>
          <w:p w14:paraId="33382AD6" w14:textId="77777777" w:rsidR="00B36B7E" w:rsidRPr="00777507"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rPr>
            </w:pPr>
            <w:r w:rsidRPr="00777507">
              <w:rPr>
                <w:i/>
                <w:sz w:val="16"/>
              </w:rPr>
              <w:t>Violencia Sexual Comercial Art. 322</w:t>
            </w:r>
          </w:p>
        </w:tc>
        <w:tc>
          <w:tcPr>
            <w:tcW w:w="1263" w:type="dxa"/>
            <w:vMerge/>
            <w:shd w:val="clear" w:color="auto" w:fill="auto"/>
            <w:vAlign w:val="bottom"/>
            <w:hideMark/>
          </w:tcPr>
          <w:p w14:paraId="0CD02232"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p>
        </w:tc>
      </w:tr>
      <w:tr w:rsidR="00DA769E" w:rsidRPr="00210112" w14:paraId="0991E339" w14:textId="77777777" w:rsidTr="0021011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tcBorders>
            <w:shd w:val="clear" w:color="auto" w:fill="auto"/>
            <w:hideMark/>
          </w:tcPr>
          <w:p w14:paraId="084B787C"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Beni</w:t>
            </w:r>
          </w:p>
        </w:tc>
        <w:tc>
          <w:tcPr>
            <w:tcW w:w="1010" w:type="dxa"/>
            <w:tcBorders>
              <w:top w:val="nil"/>
            </w:tcBorders>
            <w:shd w:val="clear" w:color="auto" w:fill="auto"/>
            <w:vAlign w:val="bottom"/>
            <w:hideMark/>
          </w:tcPr>
          <w:p w14:paraId="5259E8B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w:t>
            </w:r>
          </w:p>
        </w:tc>
        <w:tc>
          <w:tcPr>
            <w:tcW w:w="1010" w:type="dxa"/>
            <w:tcBorders>
              <w:top w:val="nil"/>
            </w:tcBorders>
            <w:shd w:val="clear" w:color="auto" w:fill="auto"/>
            <w:vAlign w:val="bottom"/>
            <w:hideMark/>
          </w:tcPr>
          <w:p w14:paraId="5E40984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16</w:t>
            </w:r>
          </w:p>
        </w:tc>
        <w:tc>
          <w:tcPr>
            <w:tcW w:w="1010" w:type="dxa"/>
            <w:tcBorders>
              <w:top w:val="nil"/>
            </w:tcBorders>
            <w:shd w:val="clear" w:color="auto" w:fill="auto"/>
            <w:vAlign w:val="bottom"/>
            <w:hideMark/>
          </w:tcPr>
          <w:p w14:paraId="6F1DDA2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11</w:t>
            </w:r>
          </w:p>
        </w:tc>
        <w:tc>
          <w:tcPr>
            <w:tcW w:w="1010" w:type="dxa"/>
            <w:tcBorders>
              <w:top w:val="nil"/>
            </w:tcBorders>
            <w:shd w:val="clear" w:color="auto" w:fill="auto"/>
            <w:vAlign w:val="bottom"/>
            <w:hideMark/>
          </w:tcPr>
          <w:p w14:paraId="6747745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16</w:t>
            </w:r>
          </w:p>
        </w:tc>
        <w:tc>
          <w:tcPr>
            <w:tcW w:w="1010" w:type="dxa"/>
            <w:tcBorders>
              <w:top w:val="nil"/>
            </w:tcBorders>
            <w:shd w:val="clear" w:color="auto" w:fill="auto"/>
            <w:vAlign w:val="bottom"/>
            <w:hideMark/>
          </w:tcPr>
          <w:p w14:paraId="3B46396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w:t>
            </w:r>
          </w:p>
        </w:tc>
        <w:tc>
          <w:tcPr>
            <w:tcW w:w="1010" w:type="dxa"/>
            <w:tcBorders>
              <w:top w:val="nil"/>
            </w:tcBorders>
            <w:shd w:val="clear" w:color="auto" w:fill="auto"/>
            <w:vAlign w:val="bottom"/>
            <w:hideMark/>
          </w:tcPr>
          <w:p w14:paraId="101495B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1263" w:type="dxa"/>
            <w:tcBorders>
              <w:top w:val="nil"/>
            </w:tcBorders>
            <w:shd w:val="clear" w:color="auto" w:fill="auto"/>
            <w:vAlign w:val="bottom"/>
            <w:hideMark/>
          </w:tcPr>
          <w:p w14:paraId="00C1101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46</w:t>
            </w:r>
          </w:p>
        </w:tc>
      </w:tr>
      <w:tr w:rsidR="00DA769E" w:rsidRPr="00210112" w14:paraId="205F4AEC" w14:textId="77777777" w:rsidTr="00210112">
        <w:trPr>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tcBorders>
            <w:shd w:val="clear" w:color="auto" w:fill="auto"/>
            <w:hideMark/>
          </w:tcPr>
          <w:p w14:paraId="3CC6B808"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Chuquisaca</w:t>
            </w:r>
          </w:p>
        </w:tc>
        <w:tc>
          <w:tcPr>
            <w:tcW w:w="1010" w:type="dxa"/>
            <w:tcBorders>
              <w:top w:val="nil"/>
            </w:tcBorders>
            <w:shd w:val="clear" w:color="auto" w:fill="auto"/>
            <w:vAlign w:val="bottom"/>
            <w:hideMark/>
          </w:tcPr>
          <w:p w14:paraId="2E8EE45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1010" w:type="dxa"/>
            <w:tcBorders>
              <w:top w:val="nil"/>
            </w:tcBorders>
            <w:shd w:val="clear" w:color="auto" w:fill="auto"/>
            <w:vAlign w:val="bottom"/>
            <w:hideMark/>
          </w:tcPr>
          <w:p w14:paraId="3ADA75B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6</w:t>
            </w:r>
          </w:p>
        </w:tc>
        <w:tc>
          <w:tcPr>
            <w:tcW w:w="1010" w:type="dxa"/>
            <w:tcBorders>
              <w:top w:val="nil"/>
            </w:tcBorders>
            <w:shd w:val="clear" w:color="auto" w:fill="auto"/>
            <w:vAlign w:val="bottom"/>
            <w:hideMark/>
          </w:tcPr>
          <w:p w14:paraId="69E3738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4</w:t>
            </w:r>
          </w:p>
        </w:tc>
        <w:tc>
          <w:tcPr>
            <w:tcW w:w="1010" w:type="dxa"/>
            <w:tcBorders>
              <w:top w:val="nil"/>
            </w:tcBorders>
            <w:shd w:val="clear" w:color="auto" w:fill="auto"/>
            <w:vAlign w:val="bottom"/>
            <w:hideMark/>
          </w:tcPr>
          <w:p w14:paraId="55D2FD4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14</w:t>
            </w:r>
          </w:p>
        </w:tc>
        <w:tc>
          <w:tcPr>
            <w:tcW w:w="1010" w:type="dxa"/>
            <w:tcBorders>
              <w:top w:val="nil"/>
            </w:tcBorders>
            <w:shd w:val="clear" w:color="auto" w:fill="auto"/>
            <w:vAlign w:val="bottom"/>
            <w:hideMark/>
          </w:tcPr>
          <w:p w14:paraId="1A4B1F0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c>
          <w:tcPr>
            <w:tcW w:w="1010" w:type="dxa"/>
            <w:tcBorders>
              <w:top w:val="nil"/>
            </w:tcBorders>
            <w:shd w:val="clear" w:color="auto" w:fill="auto"/>
            <w:vAlign w:val="bottom"/>
            <w:hideMark/>
          </w:tcPr>
          <w:p w14:paraId="4EF1222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c>
          <w:tcPr>
            <w:tcW w:w="1263" w:type="dxa"/>
            <w:tcBorders>
              <w:top w:val="nil"/>
            </w:tcBorders>
            <w:shd w:val="clear" w:color="auto" w:fill="auto"/>
            <w:vAlign w:val="bottom"/>
            <w:hideMark/>
          </w:tcPr>
          <w:p w14:paraId="13B84C9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26</w:t>
            </w:r>
          </w:p>
        </w:tc>
      </w:tr>
      <w:tr w:rsidR="00DA769E" w:rsidRPr="00210112" w14:paraId="7584771E" w14:textId="77777777" w:rsidTr="0021011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tcBorders>
            <w:shd w:val="clear" w:color="auto" w:fill="auto"/>
            <w:hideMark/>
          </w:tcPr>
          <w:p w14:paraId="02CA0233"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Cochabamba</w:t>
            </w:r>
          </w:p>
        </w:tc>
        <w:tc>
          <w:tcPr>
            <w:tcW w:w="1010" w:type="dxa"/>
            <w:tcBorders>
              <w:top w:val="nil"/>
            </w:tcBorders>
            <w:shd w:val="clear" w:color="auto" w:fill="auto"/>
            <w:vAlign w:val="bottom"/>
            <w:hideMark/>
          </w:tcPr>
          <w:p w14:paraId="1AC3166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4</w:t>
            </w:r>
          </w:p>
        </w:tc>
        <w:tc>
          <w:tcPr>
            <w:tcW w:w="1010" w:type="dxa"/>
            <w:tcBorders>
              <w:top w:val="nil"/>
            </w:tcBorders>
            <w:shd w:val="clear" w:color="auto" w:fill="auto"/>
            <w:vAlign w:val="bottom"/>
            <w:hideMark/>
          </w:tcPr>
          <w:p w14:paraId="49401A6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36</w:t>
            </w:r>
          </w:p>
        </w:tc>
        <w:tc>
          <w:tcPr>
            <w:tcW w:w="1010" w:type="dxa"/>
            <w:tcBorders>
              <w:top w:val="nil"/>
            </w:tcBorders>
            <w:shd w:val="clear" w:color="auto" w:fill="auto"/>
            <w:vAlign w:val="bottom"/>
            <w:hideMark/>
          </w:tcPr>
          <w:p w14:paraId="3B41EB3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33</w:t>
            </w:r>
          </w:p>
        </w:tc>
        <w:tc>
          <w:tcPr>
            <w:tcW w:w="1010" w:type="dxa"/>
            <w:tcBorders>
              <w:top w:val="nil"/>
            </w:tcBorders>
            <w:shd w:val="clear" w:color="auto" w:fill="auto"/>
            <w:vAlign w:val="bottom"/>
            <w:hideMark/>
          </w:tcPr>
          <w:p w14:paraId="6AE951E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23</w:t>
            </w:r>
          </w:p>
        </w:tc>
        <w:tc>
          <w:tcPr>
            <w:tcW w:w="1010" w:type="dxa"/>
            <w:tcBorders>
              <w:top w:val="nil"/>
            </w:tcBorders>
            <w:shd w:val="clear" w:color="auto" w:fill="auto"/>
            <w:vAlign w:val="bottom"/>
            <w:hideMark/>
          </w:tcPr>
          <w:p w14:paraId="13F707B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11</w:t>
            </w:r>
          </w:p>
        </w:tc>
        <w:tc>
          <w:tcPr>
            <w:tcW w:w="1010" w:type="dxa"/>
            <w:tcBorders>
              <w:top w:val="nil"/>
            </w:tcBorders>
            <w:shd w:val="clear" w:color="auto" w:fill="auto"/>
            <w:vAlign w:val="bottom"/>
            <w:hideMark/>
          </w:tcPr>
          <w:p w14:paraId="06EFF5B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w:t>
            </w:r>
          </w:p>
        </w:tc>
        <w:tc>
          <w:tcPr>
            <w:tcW w:w="1263" w:type="dxa"/>
            <w:tcBorders>
              <w:top w:val="nil"/>
            </w:tcBorders>
            <w:shd w:val="clear" w:color="auto" w:fill="auto"/>
            <w:vAlign w:val="bottom"/>
            <w:hideMark/>
          </w:tcPr>
          <w:p w14:paraId="3EB3099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109</w:t>
            </w:r>
          </w:p>
        </w:tc>
      </w:tr>
      <w:tr w:rsidR="00DA769E" w:rsidRPr="00210112" w14:paraId="71B3B321" w14:textId="77777777" w:rsidTr="00210112">
        <w:trPr>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tcBorders>
            <w:shd w:val="clear" w:color="auto" w:fill="auto"/>
            <w:hideMark/>
          </w:tcPr>
          <w:p w14:paraId="75DAA4BE"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La Paz</w:t>
            </w:r>
          </w:p>
        </w:tc>
        <w:tc>
          <w:tcPr>
            <w:tcW w:w="1010" w:type="dxa"/>
            <w:tcBorders>
              <w:top w:val="nil"/>
            </w:tcBorders>
            <w:shd w:val="clear" w:color="auto" w:fill="auto"/>
            <w:vAlign w:val="bottom"/>
            <w:hideMark/>
          </w:tcPr>
          <w:p w14:paraId="5FEF0E2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6</w:t>
            </w:r>
          </w:p>
        </w:tc>
        <w:tc>
          <w:tcPr>
            <w:tcW w:w="1010" w:type="dxa"/>
            <w:tcBorders>
              <w:top w:val="nil"/>
            </w:tcBorders>
            <w:shd w:val="clear" w:color="auto" w:fill="auto"/>
            <w:vAlign w:val="bottom"/>
            <w:hideMark/>
          </w:tcPr>
          <w:p w14:paraId="70FDBA4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248</w:t>
            </w:r>
          </w:p>
        </w:tc>
        <w:tc>
          <w:tcPr>
            <w:tcW w:w="1010" w:type="dxa"/>
            <w:tcBorders>
              <w:top w:val="nil"/>
            </w:tcBorders>
            <w:shd w:val="clear" w:color="auto" w:fill="auto"/>
            <w:vAlign w:val="bottom"/>
            <w:hideMark/>
          </w:tcPr>
          <w:p w14:paraId="50DF97F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79</w:t>
            </w:r>
          </w:p>
        </w:tc>
        <w:tc>
          <w:tcPr>
            <w:tcW w:w="1010" w:type="dxa"/>
            <w:tcBorders>
              <w:top w:val="nil"/>
            </w:tcBorders>
            <w:shd w:val="clear" w:color="auto" w:fill="auto"/>
            <w:vAlign w:val="bottom"/>
            <w:hideMark/>
          </w:tcPr>
          <w:p w14:paraId="2CD5FA3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73</w:t>
            </w:r>
          </w:p>
        </w:tc>
        <w:tc>
          <w:tcPr>
            <w:tcW w:w="1010" w:type="dxa"/>
            <w:tcBorders>
              <w:top w:val="nil"/>
            </w:tcBorders>
            <w:shd w:val="clear" w:color="auto" w:fill="auto"/>
            <w:vAlign w:val="bottom"/>
            <w:hideMark/>
          </w:tcPr>
          <w:p w14:paraId="27EC996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24</w:t>
            </w:r>
          </w:p>
        </w:tc>
        <w:tc>
          <w:tcPr>
            <w:tcW w:w="1010" w:type="dxa"/>
            <w:tcBorders>
              <w:top w:val="nil"/>
            </w:tcBorders>
            <w:shd w:val="clear" w:color="auto" w:fill="auto"/>
            <w:vAlign w:val="bottom"/>
            <w:hideMark/>
          </w:tcPr>
          <w:p w14:paraId="3AC699B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c>
          <w:tcPr>
            <w:tcW w:w="1263" w:type="dxa"/>
            <w:tcBorders>
              <w:top w:val="nil"/>
            </w:tcBorders>
            <w:shd w:val="clear" w:color="auto" w:fill="auto"/>
            <w:vAlign w:val="bottom"/>
            <w:hideMark/>
          </w:tcPr>
          <w:p w14:paraId="7004581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431</w:t>
            </w:r>
          </w:p>
        </w:tc>
      </w:tr>
      <w:tr w:rsidR="00DA769E" w:rsidRPr="00210112" w14:paraId="2D1A62F0" w14:textId="77777777" w:rsidTr="0021011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tcBorders>
            <w:shd w:val="clear" w:color="auto" w:fill="auto"/>
            <w:hideMark/>
          </w:tcPr>
          <w:p w14:paraId="15EBFE4A"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Oruro</w:t>
            </w:r>
          </w:p>
        </w:tc>
        <w:tc>
          <w:tcPr>
            <w:tcW w:w="1010" w:type="dxa"/>
            <w:tcBorders>
              <w:top w:val="nil"/>
            </w:tcBorders>
            <w:shd w:val="clear" w:color="auto" w:fill="auto"/>
            <w:vAlign w:val="bottom"/>
            <w:hideMark/>
          </w:tcPr>
          <w:p w14:paraId="198715C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w:t>
            </w:r>
          </w:p>
        </w:tc>
        <w:tc>
          <w:tcPr>
            <w:tcW w:w="1010" w:type="dxa"/>
            <w:tcBorders>
              <w:top w:val="nil"/>
            </w:tcBorders>
            <w:shd w:val="clear" w:color="auto" w:fill="auto"/>
            <w:vAlign w:val="bottom"/>
            <w:hideMark/>
          </w:tcPr>
          <w:p w14:paraId="6E5A61C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17</w:t>
            </w:r>
          </w:p>
        </w:tc>
        <w:tc>
          <w:tcPr>
            <w:tcW w:w="1010" w:type="dxa"/>
            <w:tcBorders>
              <w:top w:val="nil"/>
            </w:tcBorders>
            <w:shd w:val="clear" w:color="auto" w:fill="auto"/>
            <w:vAlign w:val="bottom"/>
            <w:hideMark/>
          </w:tcPr>
          <w:p w14:paraId="1C66193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29</w:t>
            </w:r>
          </w:p>
        </w:tc>
        <w:tc>
          <w:tcPr>
            <w:tcW w:w="1010" w:type="dxa"/>
            <w:tcBorders>
              <w:top w:val="nil"/>
            </w:tcBorders>
            <w:shd w:val="clear" w:color="auto" w:fill="auto"/>
            <w:vAlign w:val="bottom"/>
            <w:hideMark/>
          </w:tcPr>
          <w:p w14:paraId="13E2FC1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w:t>
            </w:r>
          </w:p>
        </w:tc>
        <w:tc>
          <w:tcPr>
            <w:tcW w:w="1010" w:type="dxa"/>
            <w:tcBorders>
              <w:top w:val="nil"/>
            </w:tcBorders>
            <w:shd w:val="clear" w:color="auto" w:fill="auto"/>
            <w:vAlign w:val="bottom"/>
            <w:hideMark/>
          </w:tcPr>
          <w:p w14:paraId="05ED2040"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w:t>
            </w:r>
          </w:p>
        </w:tc>
        <w:tc>
          <w:tcPr>
            <w:tcW w:w="1010" w:type="dxa"/>
            <w:tcBorders>
              <w:top w:val="nil"/>
            </w:tcBorders>
            <w:shd w:val="clear" w:color="auto" w:fill="auto"/>
            <w:vAlign w:val="bottom"/>
            <w:hideMark/>
          </w:tcPr>
          <w:p w14:paraId="74FAE55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w:t>
            </w:r>
          </w:p>
        </w:tc>
        <w:tc>
          <w:tcPr>
            <w:tcW w:w="1263" w:type="dxa"/>
            <w:tcBorders>
              <w:top w:val="nil"/>
            </w:tcBorders>
            <w:shd w:val="clear" w:color="auto" w:fill="auto"/>
            <w:vAlign w:val="bottom"/>
            <w:hideMark/>
          </w:tcPr>
          <w:p w14:paraId="583CBC8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51</w:t>
            </w:r>
          </w:p>
        </w:tc>
      </w:tr>
      <w:tr w:rsidR="00DA769E" w:rsidRPr="00210112" w14:paraId="4182F21A" w14:textId="77777777" w:rsidTr="00210112">
        <w:trPr>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tcBorders>
            <w:shd w:val="clear" w:color="auto" w:fill="auto"/>
            <w:hideMark/>
          </w:tcPr>
          <w:p w14:paraId="6852525F"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Pando</w:t>
            </w:r>
          </w:p>
        </w:tc>
        <w:tc>
          <w:tcPr>
            <w:tcW w:w="1010" w:type="dxa"/>
            <w:tcBorders>
              <w:top w:val="nil"/>
            </w:tcBorders>
            <w:shd w:val="clear" w:color="auto" w:fill="auto"/>
            <w:vAlign w:val="bottom"/>
            <w:hideMark/>
          </w:tcPr>
          <w:p w14:paraId="392F07C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1010" w:type="dxa"/>
            <w:tcBorders>
              <w:top w:val="nil"/>
            </w:tcBorders>
            <w:shd w:val="clear" w:color="auto" w:fill="auto"/>
            <w:vAlign w:val="bottom"/>
            <w:hideMark/>
          </w:tcPr>
          <w:p w14:paraId="5C49AA5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3</w:t>
            </w:r>
          </w:p>
        </w:tc>
        <w:tc>
          <w:tcPr>
            <w:tcW w:w="1010" w:type="dxa"/>
            <w:tcBorders>
              <w:top w:val="nil"/>
            </w:tcBorders>
            <w:shd w:val="clear" w:color="auto" w:fill="auto"/>
            <w:vAlign w:val="bottom"/>
            <w:hideMark/>
          </w:tcPr>
          <w:p w14:paraId="1118B80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1010" w:type="dxa"/>
            <w:tcBorders>
              <w:top w:val="nil"/>
            </w:tcBorders>
            <w:shd w:val="clear" w:color="auto" w:fill="auto"/>
            <w:vAlign w:val="bottom"/>
            <w:hideMark/>
          </w:tcPr>
          <w:p w14:paraId="7C58B80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c>
          <w:tcPr>
            <w:tcW w:w="1010" w:type="dxa"/>
            <w:tcBorders>
              <w:top w:val="nil"/>
            </w:tcBorders>
            <w:shd w:val="clear" w:color="auto" w:fill="auto"/>
            <w:vAlign w:val="bottom"/>
            <w:hideMark/>
          </w:tcPr>
          <w:p w14:paraId="7298324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w:t>
            </w:r>
          </w:p>
        </w:tc>
        <w:tc>
          <w:tcPr>
            <w:tcW w:w="1010" w:type="dxa"/>
            <w:tcBorders>
              <w:top w:val="nil"/>
            </w:tcBorders>
            <w:shd w:val="clear" w:color="auto" w:fill="auto"/>
            <w:vAlign w:val="bottom"/>
            <w:hideMark/>
          </w:tcPr>
          <w:p w14:paraId="53CD393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0</w:t>
            </w:r>
          </w:p>
        </w:tc>
        <w:tc>
          <w:tcPr>
            <w:tcW w:w="1263" w:type="dxa"/>
            <w:tcBorders>
              <w:top w:val="nil"/>
            </w:tcBorders>
            <w:shd w:val="clear" w:color="auto" w:fill="auto"/>
            <w:vAlign w:val="bottom"/>
            <w:hideMark/>
          </w:tcPr>
          <w:p w14:paraId="0317C23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5</w:t>
            </w:r>
          </w:p>
        </w:tc>
      </w:tr>
      <w:tr w:rsidR="00DA769E" w:rsidRPr="00210112" w14:paraId="1DA896EB" w14:textId="77777777" w:rsidTr="0021011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tcBorders>
            <w:shd w:val="clear" w:color="auto" w:fill="auto"/>
            <w:hideMark/>
          </w:tcPr>
          <w:p w14:paraId="578EB0C7"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Potosí</w:t>
            </w:r>
          </w:p>
        </w:tc>
        <w:tc>
          <w:tcPr>
            <w:tcW w:w="1010" w:type="dxa"/>
            <w:tcBorders>
              <w:top w:val="nil"/>
            </w:tcBorders>
            <w:shd w:val="clear" w:color="auto" w:fill="auto"/>
            <w:vAlign w:val="bottom"/>
            <w:hideMark/>
          </w:tcPr>
          <w:p w14:paraId="1820B144"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w:t>
            </w:r>
          </w:p>
        </w:tc>
        <w:tc>
          <w:tcPr>
            <w:tcW w:w="1010" w:type="dxa"/>
            <w:tcBorders>
              <w:top w:val="nil"/>
            </w:tcBorders>
            <w:shd w:val="clear" w:color="auto" w:fill="auto"/>
            <w:vAlign w:val="bottom"/>
            <w:hideMark/>
          </w:tcPr>
          <w:p w14:paraId="393D318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7</w:t>
            </w:r>
          </w:p>
        </w:tc>
        <w:tc>
          <w:tcPr>
            <w:tcW w:w="1010" w:type="dxa"/>
            <w:tcBorders>
              <w:top w:val="nil"/>
            </w:tcBorders>
            <w:shd w:val="clear" w:color="auto" w:fill="auto"/>
            <w:vAlign w:val="bottom"/>
            <w:hideMark/>
          </w:tcPr>
          <w:p w14:paraId="7BA2E2B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13</w:t>
            </w:r>
          </w:p>
        </w:tc>
        <w:tc>
          <w:tcPr>
            <w:tcW w:w="1010" w:type="dxa"/>
            <w:tcBorders>
              <w:top w:val="nil"/>
            </w:tcBorders>
            <w:shd w:val="clear" w:color="auto" w:fill="auto"/>
            <w:vAlign w:val="bottom"/>
            <w:hideMark/>
          </w:tcPr>
          <w:p w14:paraId="32E1317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4</w:t>
            </w:r>
          </w:p>
        </w:tc>
        <w:tc>
          <w:tcPr>
            <w:tcW w:w="1010" w:type="dxa"/>
            <w:tcBorders>
              <w:top w:val="nil"/>
            </w:tcBorders>
            <w:shd w:val="clear" w:color="auto" w:fill="auto"/>
            <w:vAlign w:val="bottom"/>
            <w:hideMark/>
          </w:tcPr>
          <w:p w14:paraId="0432B2A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5</w:t>
            </w:r>
          </w:p>
        </w:tc>
        <w:tc>
          <w:tcPr>
            <w:tcW w:w="1010" w:type="dxa"/>
            <w:tcBorders>
              <w:top w:val="nil"/>
            </w:tcBorders>
            <w:shd w:val="clear" w:color="auto" w:fill="auto"/>
            <w:vAlign w:val="bottom"/>
            <w:hideMark/>
          </w:tcPr>
          <w:p w14:paraId="27FCEBD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1263" w:type="dxa"/>
            <w:tcBorders>
              <w:top w:val="nil"/>
            </w:tcBorders>
            <w:shd w:val="clear" w:color="auto" w:fill="auto"/>
            <w:vAlign w:val="bottom"/>
            <w:hideMark/>
          </w:tcPr>
          <w:p w14:paraId="2CF066E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30</w:t>
            </w:r>
          </w:p>
        </w:tc>
      </w:tr>
      <w:tr w:rsidR="00DA769E" w:rsidRPr="00210112" w14:paraId="0F46BD46" w14:textId="77777777" w:rsidTr="00210112">
        <w:trPr>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tcBorders>
            <w:shd w:val="clear" w:color="auto" w:fill="auto"/>
            <w:hideMark/>
          </w:tcPr>
          <w:p w14:paraId="67B27788"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Santa Cruz</w:t>
            </w:r>
          </w:p>
        </w:tc>
        <w:tc>
          <w:tcPr>
            <w:tcW w:w="1010" w:type="dxa"/>
            <w:tcBorders>
              <w:top w:val="nil"/>
            </w:tcBorders>
            <w:shd w:val="clear" w:color="auto" w:fill="auto"/>
            <w:vAlign w:val="bottom"/>
            <w:hideMark/>
          </w:tcPr>
          <w:p w14:paraId="44A0852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w:t>
            </w:r>
          </w:p>
        </w:tc>
        <w:tc>
          <w:tcPr>
            <w:tcW w:w="1010" w:type="dxa"/>
            <w:tcBorders>
              <w:top w:val="nil"/>
            </w:tcBorders>
            <w:shd w:val="clear" w:color="auto" w:fill="auto"/>
            <w:vAlign w:val="bottom"/>
            <w:hideMark/>
          </w:tcPr>
          <w:p w14:paraId="5D2126D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47</w:t>
            </w:r>
          </w:p>
        </w:tc>
        <w:tc>
          <w:tcPr>
            <w:tcW w:w="1010" w:type="dxa"/>
            <w:tcBorders>
              <w:top w:val="nil"/>
            </w:tcBorders>
            <w:shd w:val="clear" w:color="auto" w:fill="auto"/>
            <w:vAlign w:val="bottom"/>
            <w:hideMark/>
          </w:tcPr>
          <w:p w14:paraId="5BDB379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12</w:t>
            </w:r>
          </w:p>
        </w:tc>
        <w:tc>
          <w:tcPr>
            <w:tcW w:w="1010" w:type="dxa"/>
            <w:tcBorders>
              <w:top w:val="nil"/>
            </w:tcBorders>
            <w:shd w:val="clear" w:color="auto" w:fill="auto"/>
            <w:vAlign w:val="bottom"/>
            <w:hideMark/>
          </w:tcPr>
          <w:p w14:paraId="03F01B2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28</w:t>
            </w:r>
          </w:p>
        </w:tc>
        <w:tc>
          <w:tcPr>
            <w:tcW w:w="1010" w:type="dxa"/>
            <w:tcBorders>
              <w:top w:val="nil"/>
            </w:tcBorders>
            <w:shd w:val="clear" w:color="auto" w:fill="auto"/>
            <w:vAlign w:val="bottom"/>
            <w:hideMark/>
          </w:tcPr>
          <w:p w14:paraId="2D4F9B9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4</w:t>
            </w:r>
          </w:p>
        </w:tc>
        <w:tc>
          <w:tcPr>
            <w:tcW w:w="1010" w:type="dxa"/>
            <w:tcBorders>
              <w:top w:val="nil"/>
            </w:tcBorders>
            <w:shd w:val="clear" w:color="auto" w:fill="auto"/>
            <w:vAlign w:val="bottom"/>
            <w:hideMark/>
          </w:tcPr>
          <w:p w14:paraId="620FB3B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6</w:t>
            </w:r>
          </w:p>
        </w:tc>
        <w:tc>
          <w:tcPr>
            <w:tcW w:w="1263" w:type="dxa"/>
            <w:tcBorders>
              <w:top w:val="nil"/>
            </w:tcBorders>
            <w:shd w:val="clear" w:color="auto" w:fill="auto"/>
            <w:vAlign w:val="bottom"/>
            <w:hideMark/>
          </w:tcPr>
          <w:p w14:paraId="0F6E232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99</w:t>
            </w:r>
          </w:p>
        </w:tc>
      </w:tr>
      <w:tr w:rsidR="00DA769E" w:rsidRPr="00210112" w14:paraId="35091916" w14:textId="77777777" w:rsidTr="0021011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tcBorders>
            <w:shd w:val="clear" w:color="auto" w:fill="auto"/>
            <w:hideMark/>
          </w:tcPr>
          <w:p w14:paraId="27D7EBD1"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Tarija</w:t>
            </w:r>
          </w:p>
        </w:tc>
        <w:tc>
          <w:tcPr>
            <w:tcW w:w="1010" w:type="dxa"/>
            <w:tcBorders>
              <w:top w:val="nil"/>
            </w:tcBorders>
            <w:shd w:val="clear" w:color="auto" w:fill="auto"/>
            <w:vAlign w:val="bottom"/>
            <w:hideMark/>
          </w:tcPr>
          <w:p w14:paraId="217E6C0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1010" w:type="dxa"/>
            <w:tcBorders>
              <w:top w:val="nil"/>
            </w:tcBorders>
            <w:shd w:val="clear" w:color="auto" w:fill="auto"/>
            <w:vAlign w:val="bottom"/>
            <w:hideMark/>
          </w:tcPr>
          <w:p w14:paraId="0A03C7E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9</w:t>
            </w:r>
          </w:p>
        </w:tc>
        <w:tc>
          <w:tcPr>
            <w:tcW w:w="1010" w:type="dxa"/>
            <w:tcBorders>
              <w:top w:val="nil"/>
            </w:tcBorders>
            <w:shd w:val="clear" w:color="auto" w:fill="auto"/>
            <w:vAlign w:val="bottom"/>
            <w:hideMark/>
          </w:tcPr>
          <w:p w14:paraId="4E189D98"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23</w:t>
            </w:r>
          </w:p>
        </w:tc>
        <w:tc>
          <w:tcPr>
            <w:tcW w:w="1010" w:type="dxa"/>
            <w:tcBorders>
              <w:top w:val="nil"/>
            </w:tcBorders>
            <w:shd w:val="clear" w:color="auto" w:fill="auto"/>
            <w:vAlign w:val="bottom"/>
            <w:hideMark/>
          </w:tcPr>
          <w:p w14:paraId="21629E4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w:t>
            </w:r>
          </w:p>
        </w:tc>
        <w:tc>
          <w:tcPr>
            <w:tcW w:w="1010" w:type="dxa"/>
            <w:tcBorders>
              <w:top w:val="nil"/>
            </w:tcBorders>
            <w:shd w:val="clear" w:color="auto" w:fill="auto"/>
            <w:vAlign w:val="bottom"/>
            <w:hideMark/>
          </w:tcPr>
          <w:p w14:paraId="5F5F876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1</w:t>
            </w:r>
          </w:p>
        </w:tc>
        <w:tc>
          <w:tcPr>
            <w:tcW w:w="1010" w:type="dxa"/>
            <w:tcBorders>
              <w:top w:val="nil"/>
            </w:tcBorders>
            <w:shd w:val="clear" w:color="auto" w:fill="auto"/>
            <w:vAlign w:val="bottom"/>
            <w:hideMark/>
          </w:tcPr>
          <w:p w14:paraId="6EDB34D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0</w:t>
            </w:r>
          </w:p>
        </w:tc>
        <w:tc>
          <w:tcPr>
            <w:tcW w:w="1263" w:type="dxa"/>
            <w:tcBorders>
              <w:top w:val="nil"/>
            </w:tcBorders>
            <w:shd w:val="clear" w:color="auto" w:fill="auto"/>
            <w:vAlign w:val="bottom"/>
            <w:hideMark/>
          </w:tcPr>
          <w:p w14:paraId="6A86160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777507">
              <w:rPr>
                <w:sz w:val="18"/>
              </w:rPr>
              <w:t>36</w:t>
            </w:r>
          </w:p>
        </w:tc>
      </w:tr>
      <w:tr w:rsidR="00DA769E" w:rsidRPr="00210112" w14:paraId="4E4CA696" w14:textId="77777777" w:rsidTr="00210112">
        <w:trPr>
          <w:trHeight w:val="240"/>
        </w:trPr>
        <w:tc>
          <w:tcPr>
            <w:cnfStyle w:val="001000000000" w:firstRow="0" w:lastRow="0" w:firstColumn="1" w:lastColumn="0" w:oddVBand="0" w:evenVBand="0" w:oddHBand="0" w:evenHBand="0" w:firstRowFirstColumn="0" w:firstRowLastColumn="0" w:lastRowFirstColumn="0" w:lastRowLastColumn="0"/>
            <w:tcW w:w="1263" w:type="dxa"/>
            <w:tcBorders>
              <w:top w:val="nil"/>
              <w:bottom w:val="single" w:sz="12" w:space="0" w:color="auto"/>
            </w:tcBorders>
            <w:shd w:val="clear" w:color="auto" w:fill="auto"/>
            <w:hideMark/>
          </w:tcPr>
          <w:p w14:paraId="39144074" w14:textId="77777777" w:rsidR="00B36B7E" w:rsidRPr="00777507" w:rsidRDefault="00B36B7E" w:rsidP="00777507">
            <w:pPr>
              <w:spacing w:before="40" w:after="40" w:line="220" w:lineRule="exact"/>
              <w:rPr>
                <w:rFonts w:ascii="Times New Roman" w:hAnsi="Times New Roman"/>
                <w:b w:val="0"/>
                <w:bCs w:val="0"/>
                <w:color w:val="auto"/>
                <w:sz w:val="18"/>
              </w:rPr>
            </w:pPr>
            <w:r w:rsidRPr="00777507">
              <w:rPr>
                <w:sz w:val="18"/>
              </w:rPr>
              <w:t>Total General</w:t>
            </w:r>
          </w:p>
        </w:tc>
        <w:tc>
          <w:tcPr>
            <w:tcW w:w="1010" w:type="dxa"/>
            <w:tcBorders>
              <w:top w:val="nil"/>
              <w:bottom w:val="single" w:sz="12" w:space="0" w:color="auto"/>
            </w:tcBorders>
            <w:shd w:val="clear" w:color="auto" w:fill="auto"/>
            <w:vAlign w:val="bottom"/>
            <w:hideMark/>
          </w:tcPr>
          <w:p w14:paraId="58F9655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16</w:t>
            </w:r>
          </w:p>
        </w:tc>
        <w:tc>
          <w:tcPr>
            <w:tcW w:w="1010" w:type="dxa"/>
            <w:tcBorders>
              <w:top w:val="nil"/>
              <w:bottom w:val="single" w:sz="12" w:space="0" w:color="auto"/>
            </w:tcBorders>
            <w:shd w:val="clear" w:color="auto" w:fill="auto"/>
            <w:vAlign w:val="bottom"/>
            <w:hideMark/>
          </w:tcPr>
          <w:p w14:paraId="72B204E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389</w:t>
            </w:r>
          </w:p>
        </w:tc>
        <w:tc>
          <w:tcPr>
            <w:tcW w:w="1010" w:type="dxa"/>
            <w:tcBorders>
              <w:top w:val="nil"/>
              <w:bottom w:val="single" w:sz="12" w:space="0" w:color="auto"/>
            </w:tcBorders>
            <w:shd w:val="clear" w:color="auto" w:fill="auto"/>
            <w:vAlign w:val="bottom"/>
            <w:hideMark/>
          </w:tcPr>
          <w:p w14:paraId="327348F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204</w:t>
            </w:r>
          </w:p>
        </w:tc>
        <w:tc>
          <w:tcPr>
            <w:tcW w:w="1010" w:type="dxa"/>
            <w:tcBorders>
              <w:top w:val="nil"/>
              <w:bottom w:val="single" w:sz="12" w:space="0" w:color="auto"/>
            </w:tcBorders>
            <w:shd w:val="clear" w:color="auto" w:fill="auto"/>
            <w:vAlign w:val="bottom"/>
            <w:hideMark/>
          </w:tcPr>
          <w:p w14:paraId="0BC3225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163</w:t>
            </w:r>
          </w:p>
        </w:tc>
        <w:tc>
          <w:tcPr>
            <w:tcW w:w="1010" w:type="dxa"/>
            <w:tcBorders>
              <w:top w:val="nil"/>
              <w:bottom w:val="single" w:sz="12" w:space="0" w:color="auto"/>
            </w:tcBorders>
            <w:shd w:val="clear" w:color="auto" w:fill="auto"/>
            <w:vAlign w:val="bottom"/>
            <w:hideMark/>
          </w:tcPr>
          <w:p w14:paraId="5809520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50</w:t>
            </w:r>
          </w:p>
        </w:tc>
        <w:tc>
          <w:tcPr>
            <w:tcW w:w="1010" w:type="dxa"/>
            <w:tcBorders>
              <w:top w:val="nil"/>
              <w:bottom w:val="single" w:sz="12" w:space="0" w:color="auto"/>
            </w:tcBorders>
            <w:shd w:val="clear" w:color="auto" w:fill="auto"/>
            <w:vAlign w:val="bottom"/>
            <w:hideMark/>
          </w:tcPr>
          <w:p w14:paraId="789D8C8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11</w:t>
            </w:r>
          </w:p>
        </w:tc>
        <w:tc>
          <w:tcPr>
            <w:tcW w:w="1263" w:type="dxa"/>
            <w:tcBorders>
              <w:top w:val="nil"/>
              <w:bottom w:val="single" w:sz="12" w:space="0" w:color="auto"/>
            </w:tcBorders>
            <w:shd w:val="clear" w:color="auto" w:fill="auto"/>
            <w:vAlign w:val="bottom"/>
            <w:hideMark/>
          </w:tcPr>
          <w:p w14:paraId="4F24B55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777507">
              <w:rPr>
                <w:sz w:val="18"/>
              </w:rPr>
              <w:t>833</w:t>
            </w:r>
          </w:p>
        </w:tc>
      </w:tr>
    </w:tbl>
    <w:p w14:paraId="6D9FB13D" w14:textId="77777777" w:rsidR="00B36B7E" w:rsidRPr="00B36B7E" w:rsidRDefault="00B36B7E" w:rsidP="00777507">
      <w:pPr>
        <w:pStyle w:val="Textonotapie"/>
        <w:spacing w:before="120" w:after="240"/>
        <w:ind w:firstLine="170"/>
        <w:rPr>
          <w:lang w:val="es-BO" w:eastAsia="en-US"/>
        </w:rPr>
      </w:pPr>
      <w:r w:rsidRPr="00777507">
        <w:rPr>
          <w:i/>
          <w:lang w:eastAsia="en-US"/>
        </w:rPr>
        <w:t>Fuente:</w:t>
      </w:r>
      <w:r w:rsidRPr="00B36B7E">
        <w:rPr>
          <w:lang w:eastAsia="en-US"/>
        </w:rPr>
        <w:t xml:space="preserve"> FGE </w:t>
      </w:r>
      <w:r w:rsidR="00292FA8">
        <w:rPr>
          <w:lang w:eastAsia="en-US"/>
        </w:rPr>
        <w:t>–</w:t>
      </w:r>
      <w:r w:rsidRPr="00B36B7E">
        <w:rPr>
          <w:lang w:eastAsia="en-US"/>
        </w:rPr>
        <w:t xml:space="preserve"> Sistema JL1 13/08/2020 (Datos del 1 de enero al 31 de diciembre de 2019).</w:t>
      </w:r>
    </w:p>
    <w:p w14:paraId="225F6ED1" w14:textId="77777777" w:rsidR="00B36B7E" w:rsidRDefault="00DC4138" w:rsidP="00EB253C">
      <w:pPr>
        <w:pStyle w:val="H4G"/>
        <w:rPr>
          <w:rFonts w:eastAsia="SimSun"/>
        </w:rPr>
      </w:pPr>
      <w:r>
        <w:rPr>
          <w:rFonts w:eastAsia="SimSun"/>
          <w:lang w:val="es-BO"/>
        </w:rPr>
        <w:tab/>
      </w:r>
      <w:r>
        <w:rPr>
          <w:rFonts w:eastAsia="SimSun"/>
          <w:lang w:val="es-BO"/>
        </w:rPr>
        <w:tab/>
      </w:r>
      <w:r w:rsidR="00B36B7E" w:rsidRPr="00B36B7E">
        <w:rPr>
          <w:rFonts w:eastAsia="SimSun"/>
          <w:lang w:val="es-BO"/>
        </w:rPr>
        <w:t xml:space="preserve">Nuevas medidas </w:t>
      </w:r>
      <w:r w:rsidR="00B36B7E" w:rsidRPr="00B36B7E">
        <w:rPr>
          <w:rFonts w:eastAsia="SimSun"/>
        </w:rPr>
        <w:t>para prevenir o combatir el delito de trata de personas</w:t>
      </w:r>
    </w:p>
    <w:p w14:paraId="422B12EE" w14:textId="77777777" w:rsidR="00B36B7E" w:rsidRDefault="00235247" w:rsidP="00777507">
      <w:pPr>
        <w:pStyle w:val="SingleTxtG"/>
        <w:spacing w:before="120"/>
        <w:rPr>
          <w:lang w:eastAsia="en-US"/>
        </w:rPr>
      </w:pPr>
      <w:r>
        <w:rPr>
          <w:lang w:eastAsia="en-US"/>
        </w:rPr>
        <w:t>49.</w:t>
      </w:r>
      <w:r>
        <w:rPr>
          <w:lang w:eastAsia="en-US"/>
        </w:rPr>
        <w:tab/>
      </w:r>
      <w:r w:rsidR="00B36B7E" w:rsidRPr="00B36B7E">
        <w:rPr>
          <w:lang w:eastAsia="en-US"/>
        </w:rPr>
        <w:t xml:space="preserve">Conforme los lineamientos de no re victimización, establecidos en la Ley 1173, el MJTI y la FGE están actualizando el Protocolo Único de Atención Especializada a Víctimas de Trata y Tráfico de Personas, a efectos de dar cumplimiento al artículo 28.II de la Ley 263. </w:t>
      </w:r>
    </w:p>
    <w:p w14:paraId="0982077C" w14:textId="77777777" w:rsidR="00B36B7E" w:rsidRDefault="00DC4138" w:rsidP="00D554B8">
      <w:pPr>
        <w:pStyle w:val="H4G"/>
        <w:rPr>
          <w:rFonts w:eastAsia="SimSun"/>
          <w:lang w:val="es-BO"/>
        </w:rPr>
      </w:pPr>
      <w:r>
        <w:rPr>
          <w:rFonts w:eastAsia="SimSun"/>
          <w:lang w:val="es-BO"/>
        </w:rPr>
        <w:tab/>
      </w:r>
      <w:r>
        <w:rPr>
          <w:rFonts w:eastAsia="SimSun"/>
          <w:lang w:val="es-BO"/>
        </w:rPr>
        <w:tab/>
      </w:r>
      <w:r w:rsidR="00B36B7E" w:rsidRPr="00B36B7E">
        <w:rPr>
          <w:rFonts w:eastAsia="SimSun"/>
          <w:lang w:val="es-BO"/>
        </w:rPr>
        <w:t>Acceso a recursos de reparación efectivos</w:t>
      </w:r>
    </w:p>
    <w:p w14:paraId="5C65DD69" w14:textId="77777777" w:rsidR="00B36B7E" w:rsidRDefault="00235247" w:rsidP="00777507">
      <w:pPr>
        <w:pStyle w:val="SingleTxtG"/>
        <w:spacing w:before="120"/>
      </w:pPr>
      <w:r>
        <w:t>50.</w:t>
      </w:r>
      <w:r>
        <w:tab/>
      </w:r>
      <w:r w:rsidR="00B36B7E" w:rsidRPr="00B36B7E">
        <w:t xml:space="preserve">En </w:t>
      </w:r>
      <w:r w:rsidR="00B36B7E" w:rsidRPr="00B36B7E">
        <w:rPr>
          <w:lang w:eastAsia="en-US"/>
        </w:rPr>
        <w:t>cumplimiento</w:t>
      </w:r>
      <w:r w:rsidR="00B36B7E" w:rsidRPr="00B36B7E">
        <w:t xml:space="preserve"> a la Ley 263, el Ministerio de Trabajo Empleo y Previsión Social (MTEPS) implementó el Programa de Inserción Laboral para Víctimas de Trata y Tráfico de </w:t>
      </w:r>
      <w:r w:rsidR="00B36B7E" w:rsidRPr="00B36B7E">
        <w:rPr>
          <w:lang w:eastAsia="en-US"/>
        </w:rPr>
        <w:t>Personas</w:t>
      </w:r>
      <w:r w:rsidR="00B36B7E" w:rsidRPr="00B36B7E">
        <w:t>, que recientemente insertó a 3 víctimas de trata repatriadas; y llevó a cabo acciones de prevención y socialización, beneficiando a 357 personas.</w:t>
      </w:r>
    </w:p>
    <w:p w14:paraId="4AEBFC48" w14:textId="77777777" w:rsidR="00B36B7E" w:rsidRDefault="00DC4138" w:rsidP="00D554B8">
      <w:pPr>
        <w:pStyle w:val="H4G"/>
        <w:rPr>
          <w:rFonts w:eastAsia="SimSun"/>
          <w:lang w:val="es-BO"/>
        </w:rPr>
      </w:pPr>
      <w:r>
        <w:rPr>
          <w:rFonts w:eastAsia="SimSun"/>
        </w:rPr>
        <w:tab/>
      </w:r>
      <w:r>
        <w:rPr>
          <w:rFonts w:eastAsia="SimSun"/>
        </w:rPr>
        <w:tab/>
      </w:r>
      <w:r w:rsidR="00B36B7E" w:rsidRPr="00B36B7E">
        <w:rPr>
          <w:rFonts w:eastAsia="SimSun"/>
        </w:rPr>
        <w:t>A</w:t>
      </w:r>
      <w:r w:rsidR="00B36B7E" w:rsidRPr="00B36B7E">
        <w:rPr>
          <w:rFonts w:eastAsia="SimSun"/>
          <w:lang w:val="es-BO"/>
        </w:rPr>
        <w:t xml:space="preserve">cuerdos con países interesados </w:t>
      </w:r>
    </w:p>
    <w:p w14:paraId="5A3A28A7" w14:textId="77777777" w:rsidR="00B36B7E" w:rsidRDefault="00235247" w:rsidP="00777507">
      <w:pPr>
        <w:pStyle w:val="SingleTxtG"/>
        <w:spacing w:before="120"/>
        <w:rPr>
          <w:lang w:eastAsia="en-US"/>
        </w:rPr>
      </w:pPr>
      <w:r>
        <w:rPr>
          <w:lang w:eastAsia="en-US"/>
        </w:rPr>
        <w:t>51.</w:t>
      </w:r>
      <w:r>
        <w:rPr>
          <w:lang w:eastAsia="en-US"/>
        </w:rPr>
        <w:tab/>
      </w:r>
      <w:r w:rsidR="00B36B7E" w:rsidRPr="00B36B7E">
        <w:rPr>
          <w:lang w:eastAsia="en-US"/>
        </w:rPr>
        <w:t>Con la finalidad de prevenir y combatir la trata de personas, el Estado boliviano ha suscrito y ratificado los siguientes Acuerdos:</w:t>
      </w:r>
    </w:p>
    <w:p w14:paraId="043667FD"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Acuerdo Bilateral con la República del Perú, que tiene por objeto fortalecer la lucha contra la trata de personas, el tráfico ilícito</w:t>
      </w:r>
      <w:r w:rsidR="00D554B8">
        <w:t xml:space="preserve"> de migrantes y delitos conexos</w:t>
      </w:r>
      <w:r w:rsidR="00B36B7E" w:rsidRPr="00777507">
        <w:rPr>
          <w:sz w:val="18"/>
          <w:szCs w:val="18"/>
          <w:vertAlign w:val="superscript"/>
        </w:rPr>
        <w:footnoteReference w:id="19"/>
      </w:r>
      <w:r w:rsidR="00D554B8">
        <w:t>;</w:t>
      </w:r>
      <w:r w:rsidR="00B36B7E" w:rsidRPr="00B36B7E">
        <w:t xml:space="preserve"> en virtud del cual, en mayo de 2019, se llevó a cabo la </w:t>
      </w:r>
      <w:r w:rsidR="00430519">
        <w:t>“</w:t>
      </w:r>
      <w:r w:rsidR="00B36B7E" w:rsidRPr="00B36B7E">
        <w:t>Reunión Binacional entre la Comisión Multisectorial de Naturaleza Permanente para la Lucha Contra la Trata de Personas</w:t>
      </w:r>
      <w:r w:rsidR="00430519">
        <w:t>”</w:t>
      </w:r>
      <w:r w:rsidR="00292FA8">
        <w:t>.</w:t>
      </w:r>
    </w:p>
    <w:p w14:paraId="363FF5CE" w14:textId="77777777" w:rsidR="00B36B7E" w:rsidRDefault="00235247" w:rsidP="00777507">
      <w:pPr>
        <w:pStyle w:val="Bullet1G"/>
        <w:numPr>
          <w:ilvl w:val="0"/>
          <w:numId w:val="0"/>
        </w:numPr>
        <w:tabs>
          <w:tab w:val="left" w:pos="1701"/>
        </w:tabs>
        <w:ind w:left="1701" w:hanging="170"/>
      </w:pPr>
      <w:r>
        <w:t>•</w:t>
      </w:r>
      <w:r>
        <w:tab/>
      </w:r>
      <w:r w:rsidR="00B36B7E" w:rsidRPr="00B36B7E">
        <w:t>Acuerdo Marco con la República Argentina, para la Prevención e Investigación del Delito de la Trata de Personas y la Asistencia y Protección de sus Víctimas</w:t>
      </w:r>
      <w:r w:rsidR="00B36B7E" w:rsidRPr="00777507">
        <w:rPr>
          <w:sz w:val="18"/>
          <w:szCs w:val="18"/>
          <w:vertAlign w:val="superscript"/>
        </w:rPr>
        <w:footnoteReference w:id="20"/>
      </w:r>
      <w:r w:rsidR="00B36B7E" w:rsidRPr="00B36B7E">
        <w:t xml:space="preserve">. </w:t>
      </w:r>
    </w:p>
    <w:p w14:paraId="4EC5AFB5" w14:textId="77777777" w:rsidR="00B36B7E" w:rsidRDefault="00235247" w:rsidP="00777507">
      <w:pPr>
        <w:pStyle w:val="SingleTxtG"/>
        <w:spacing w:before="120"/>
        <w:rPr>
          <w:lang w:eastAsia="en-US"/>
        </w:rPr>
      </w:pPr>
      <w:r>
        <w:rPr>
          <w:lang w:eastAsia="en-US"/>
        </w:rPr>
        <w:t>52.</w:t>
      </w:r>
      <w:r>
        <w:rPr>
          <w:lang w:eastAsia="en-US"/>
        </w:rPr>
        <w:tab/>
      </w:r>
      <w:r w:rsidR="00B36B7E" w:rsidRPr="00B36B7E">
        <w:rPr>
          <w:lang w:eastAsia="en-US"/>
        </w:rPr>
        <w:t>Asimismo, en 2019, el Estado boliviano ha suscrito con la República del Paraguay un Acuerdo Bilateral, para fortalecer la lucha contra la trata de personas y delitos conexos, mismo que se encuentra en proceso de ratificación.</w:t>
      </w:r>
    </w:p>
    <w:p w14:paraId="10F2A4B9" w14:textId="77777777" w:rsidR="00B36B7E" w:rsidRDefault="00235247" w:rsidP="00777507">
      <w:pPr>
        <w:pStyle w:val="SingleTxtG"/>
        <w:spacing w:before="120"/>
        <w:rPr>
          <w:lang w:eastAsia="en-US"/>
        </w:rPr>
      </w:pPr>
      <w:r>
        <w:rPr>
          <w:lang w:eastAsia="en-US"/>
        </w:rPr>
        <w:lastRenderedPageBreak/>
        <w:t>53.</w:t>
      </w:r>
      <w:r>
        <w:rPr>
          <w:lang w:eastAsia="en-US"/>
        </w:rPr>
        <w:tab/>
      </w:r>
      <w:r w:rsidR="00B36B7E" w:rsidRPr="00B36B7E">
        <w:rPr>
          <w:lang w:eastAsia="en-US"/>
        </w:rPr>
        <w:t>Por otro lado, cabe señalar que Bolivia tiene en proceso de negociación tres Acuerdos Bilaterales con las Repúblicas de Panamá, Uruguay y Brasil.</w:t>
      </w:r>
    </w:p>
    <w:p w14:paraId="47A60B3F"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Artículo 3</w:t>
      </w:r>
    </w:p>
    <w:p w14:paraId="480A5903"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Respuesta al Párrafo 8</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50059BDC" w14:textId="77777777" w:rsidR="00B36B7E" w:rsidRDefault="00D554B8" w:rsidP="00D554B8">
      <w:pPr>
        <w:pStyle w:val="H4G"/>
        <w:rPr>
          <w:lang w:eastAsia="en-US"/>
        </w:rPr>
      </w:pPr>
      <w:r>
        <w:rPr>
          <w:lang w:eastAsia="en-US"/>
        </w:rPr>
        <w:tab/>
      </w:r>
      <w:r>
        <w:rPr>
          <w:lang w:eastAsia="en-US"/>
        </w:rPr>
        <w:tab/>
      </w:r>
      <w:r w:rsidR="00B36B7E" w:rsidRPr="00B36B7E">
        <w:rPr>
          <w:lang w:eastAsia="en-US"/>
        </w:rPr>
        <w:t xml:space="preserve">Requisitos de ingreso a Bolivia para ciudadanos venezolanos </w:t>
      </w:r>
    </w:p>
    <w:p w14:paraId="0239239D" w14:textId="77777777" w:rsidR="00B36B7E" w:rsidRDefault="00235247" w:rsidP="00777507">
      <w:pPr>
        <w:pStyle w:val="SingleTxtG"/>
        <w:spacing w:before="120"/>
        <w:rPr>
          <w:lang w:eastAsia="en-US"/>
        </w:rPr>
      </w:pPr>
      <w:r>
        <w:rPr>
          <w:lang w:eastAsia="en-US"/>
        </w:rPr>
        <w:t>54.</w:t>
      </w:r>
      <w:r>
        <w:rPr>
          <w:lang w:eastAsia="en-US"/>
        </w:rPr>
        <w:tab/>
      </w:r>
      <w:r w:rsidR="00B36B7E" w:rsidRPr="00B36B7E">
        <w:rPr>
          <w:lang w:eastAsia="en-US"/>
        </w:rPr>
        <w:t>Venezuela se encuentra entre los países del Grupo I</w:t>
      </w:r>
      <w:r w:rsidR="00B36B7E" w:rsidRPr="00777507">
        <w:rPr>
          <w:sz w:val="18"/>
          <w:szCs w:val="18"/>
          <w:vertAlign w:val="superscript"/>
          <w:lang w:eastAsia="en-US"/>
        </w:rPr>
        <w:footnoteReference w:id="21"/>
      </w:r>
      <w:r w:rsidR="00B36B7E" w:rsidRPr="00B36B7E">
        <w:rPr>
          <w:lang w:eastAsia="en-US"/>
        </w:rPr>
        <w:t>, que no requieren una visa para ingresar a Bolivia en calidad de turista o visitante, siendo suficiente la autorización de ingreso al Estado boliviano, por otro lado, con la finalidad de preservar la unidad familiar y evitar que los menores estén expuestos a situaciones de riesgo como la trata y tráfico de personas, el Consejo Nacional de Migración, entre las medidas asumidas en la presente gestión, dispuso que los menores venezolanos que no cuenten con una cédula de identidad o pasaporte pueden ingresar de forma regular a Bolivia con su certificado de nacimiento y una declaración jurada de los padres respecto a la relación de filiación.</w:t>
      </w:r>
    </w:p>
    <w:p w14:paraId="6517E598" w14:textId="77777777" w:rsidR="00B36B7E" w:rsidRDefault="00D554B8" w:rsidP="00D554B8">
      <w:pPr>
        <w:pStyle w:val="H4G"/>
        <w:rPr>
          <w:lang w:eastAsia="en-US"/>
        </w:rPr>
      </w:pPr>
      <w:r>
        <w:rPr>
          <w:lang w:eastAsia="en-US"/>
        </w:rPr>
        <w:tab/>
      </w:r>
      <w:r>
        <w:rPr>
          <w:lang w:eastAsia="en-US"/>
        </w:rPr>
        <w:tab/>
      </w:r>
      <w:r w:rsidR="00B36B7E" w:rsidRPr="00B36B7E">
        <w:rPr>
          <w:lang w:eastAsia="en-US"/>
        </w:rPr>
        <w:t xml:space="preserve">Principio de no devolución y expulsión </w:t>
      </w:r>
    </w:p>
    <w:p w14:paraId="60CFF4D3" w14:textId="77777777" w:rsidR="00B36B7E" w:rsidRDefault="00235247" w:rsidP="00777507">
      <w:pPr>
        <w:pStyle w:val="SingleTxtG"/>
        <w:spacing w:before="120"/>
        <w:rPr>
          <w:lang w:eastAsia="en-US"/>
        </w:rPr>
      </w:pPr>
      <w:r>
        <w:rPr>
          <w:lang w:eastAsia="en-US"/>
        </w:rPr>
        <w:t>55.</w:t>
      </w:r>
      <w:r>
        <w:rPr>
          <w:lang w:eastAsia="en-US"/>
        </w:rPr>
        <w:tab/>
      </w:r>
      <w:r w:rsidR="00B36B7E" w:rsidRPr="00B36B7E">
        <w:rPr>
          <w:lang w:eastAsia="en-US"/>
        </w:rPr>
        <w:t>El Estado boliviano ratificó la Convención Internacional sobre el Estatuto de los Refugiados de 1951 mediante Ley 2071 de 14 de abril de 2000 y su Protocolo a través de la Ley 2043 de 21 de diciembre de 1999.</w:t>
      </w:r>
    </w:p>
    <w:p w14:paraId="24F0361E" w14:textId="77777777" w:rsidR="00B36B7E" w:rsidRDefault="00235247" w:rsidP="00777507">
      <w:pPr>
        <w:pStyle w:val="SingleTxtG"/>
        <w:spacing w:before="120"/>
        <w:rPr>
          <w:lang w:eastAsia="en-US"/>
        </w:rPr>
      </w:pPr>
      <w:r>
        <w:rPr>
          <w:lang w:eastAsia="en-US"/>
        </w:rPr>
        <w:t>56.</w:t>
      </w:r>
      <w:r>
        <w:rPr>
          <w:lang w:eastAsia="en-US"/>
        </w:rPr>
        <w:tab/>
      </w:r>
      <w:r w:rsidR="00B36B7E" w:rsidRPr="00B36B7E">
        <w:rPr>
          <w:lang w:eastAsia="en-US"/>
        </w:rPr>
        <w:t>En ese sentido, como firme compromiso para con los derechos humanos de los refugiados y el pleno respeto de los parámetros establecidos en los instrumentos internacionales sobre la materia, se promulgó la Ley de Protección a Personas Refugiadas (Ley 251)</w:t>
      </w:r>
      <w:r w:rsidR="00B36B7E" w:rsidRPr="00777507">
        <w:rPr>
          <w:sz w:val="18"/>
          <w:szCs w:val="18"/>
          <w:vertAlign w:val="superscript"/>
          <w:lang w:eastAsia="en-US"/>
        </w:rPr>
        <w:footnoteReference w:id="22"/>
      </w:r>
      <w:r w:rsidR="00B36B7E" w:rsidRPr="00B36B7E">
        <w:rPr>
          <w:lang w:eastAsia="en-US"/>
        </w:rPr>
        <w:t xml:space="preserve"> y su Decreto Reglamentario (DS 1440)</w:t>
      </w:r>
      <w:r w:rsidR="00B36B7E" w:rsidRPr="00777507">
        <w:rPr>
          <w:sz w:val="18"/>
          <w:szCs w:val="18"/>
          <w:vertAlign w:val="superscript"/>
          <w:lang w:eastAsia="en-US"/>
        </w:rPr>
        <w:footnoteReference w:id="23"/>
      </w:r>
      <w:r w:rsidR="00B36B7E" w:rsidRPr="00B36B7E">
        <w:rPr>
          <w:lang w:eastAsia="en-US"/>
        </w:rPr>
        <w:t xml:space="preserve">. Normativa que recoge los parámetros, lineamientos, plazos y procedimientos establecidos en la Convención Internacional sobre el Estatuto de los Refugiados. </w:t>
      </w:r>
    </w:p>
    <w:p w14:paraId="2E58F338" w14:textId="77777777" w:rsidR="00B36B7E" w:rsidRDefault="00235247" w:rsidP="00777507">
      <w:pPr>
        <w:pStyle w:val="SingleTxtG"/>
        <w:spacing w:before="120"/>
        <w:rPr>
          <w:lang w:eastAsia="en-US"/>
        </w:rPr>
      </w:pPr>
      <w:r>
        <w:rPr>
          <w:lang w:eastAsia="en-US"/>
        </w:rPr>
        <w:t>57.</w:t>
      </w:r>
      <w:r>
        <w:rPr>
          <w:lang w:eastAsia="en-US"/>
        </w:rPr>
        <w:tab/>
      </w:r>
      <w:r w:rsidR="00B36B7E" w:rsidRPr="00B36B7E">
        <w:rPr>
          <w:lang w:eastAsia="en-US"/>
        </w:rPr>
        <w:t>Con relación, al procedimiento de expulsión previsto en el artículo 6 del DS 1440, cabe señalar que éste es compatible con los parámetros establecidos en la Convención sobre el Estatuto de los Refugiados de 1951, específicamente con el artículo 32, que señala que la expulsión de un refugiado puede justificarse sólo por razones de seguridad nacional o de orden público; y los procedimientos conducentes a una decisión de expulsión deben ser justos y equitativos, debiendo conceder al refugiado un plazo razonable para poder gestionar su admisión legal en otro país.</w:t>
      </w:r>
    </w:p>
    <w:p w14:paraId="2577686A" w14:textId="77777777" w:rsidR="00B36B7E" w:rsidRDefault="00235247" w:rsidP="00777507">
      <w:pPr>
        <w:pStyle w:val="SingleTxtG"/>
        <w:spacing w:before="120"/>
        <w:rPr>
          <w:lang w:eastAsia="en-US"/>
        </w:rPr>
      </w:pPr>
      <w:r>
        <w:rPr>
          <w:lang w:eastAsia="en-US"/>
        </w:rPr>
        <w:t>58.</w:t>
      </w:r>
      <w:r>
        <w:rPr>
          <w:lang w:eastAsia="en-US"/>
        </w:rPr>
        <w:tab/>
      </w:r>
      <w:r w:rsidR="00B36B7E" w:rsidRPr="00B36B7E">
        <w:rPr>
          <w:lang w:eastAsia="en-US"/>
        </w:rPr>
        <w:t>Asimismo, el artículo 6 del mencionado Decreto Reglamentario, dispone que la expulsión de personas refugiadas o solicitantes de tal condición procederá única y excepcionalmente, por razones de seguridad del Estado o de orden público; previo informe técnico jurídico del Ministerio competente, en el que se acredite la concurrencia de los extremos legales que autorizan la expulsión. Para lo cual la Comisión Nacional de Refugiados (</w:t>
      </w:r>
      <w:r w:rsidR="00B36B7E" w:rsidRPr="00B36B7E">
        <w:rPr>
          <w:bCs/>
          <w:lang w:eastAsia="en-US"/>
        </w:rPr>
        <w:t>CONARE</w:t>
      </w:r>
      <w:r w:rsidR="00B36B7E" w:rsidRPr="00B36B7E">
        <w:rPr>
          <w:lang w:eastAsia="en-US"/>
        </w:rPr>
        <w:t>), en atención al debido proceso, convocará a la persona refugiada o solicitante de tal condición a una audiencia, a fin de que pueda presentar pruebas exculpatorias, declaraciones, aclaraciones o justificativos que considere convenientes, evaluado el caso, la CONARE emitirá la resolución correspondiente, que será debidamente fundamentada y pasible de recurso de impugnación ante la Comisión de Impugnación. Y en caso de proceder la expulsión, se otorga al refugiado un plazo razonable para gestionar su admisión legal en un tercer país, donde no peligren sus derechos a la vida, a la libertad y seguridad (resguardando, las garantías procesales antes de la expulsión).</w:t>
      </w:r>
    </w:p>
    <w:p w14:paraId="70ED5F68" w14:textId="77777777" w:rsidR="00B36B7E" w:rsidRDefault="00235247" w:rsidP="00777507">
      <w:pPr>
        <w:pStyle w:val="SingleTxtG"/>
        <w:spacing w:before="120"/>
        <w:rPr>
          <w:lang w:eastAsia="en-US"/>
        </w:rPr>
      </w:pPr>
      <w:r>
        <w:rPr>
          <w:lang w:eastAsia="en-US"/>
        </w:rPr>
        <w:t>59.</w:t>
      </w:r>
      <w:r>
        <w:rPr>
          <w:lang w:eastAsia="en-US"/>
        </w:rPr>
        <w:tab/>
      </w:r>
      <w:r w:rsidR="00B36B7E" w:rsidRPr="00B36B7E">
        <w:rPr>
          <w:lang w:eastAsia="en-US"/>
        </w:rPr>
        <w:t xml:space="preserve">Igualmente, el principio de no devolución se consigna en el artículo 4 de la Ley. Este artículo contiene una excepción importante, la cual es que un refugiado no puede invocar los beneficios de la no devolución si existen razones fundadas para considerarlo como un peligro para la seguridad del país, aquellos que amenazan gravemente la </w:t>
      </w:r>
      <w:r w:rsidR="00B36B7E" w:rsidRPr="00B36B7E">
        <w:rPr>
          <w:lang w:eastAsia="en-US"/>
        </w:rPr>
        <w:lastRenderedPageBreak/>
        <w:t>estabilidad del país, su integridad, unidad territorial e independencia o habiendo sido objeto de una condena definitiva por un delito particularmente grave, constituya una amenaza para la sociedad o el orden público (generar disturbios y tensiones internas, tales como motines, actos de violencia aislados y esporádicos y cualquier amenaza para la comunidad del país).</w:t>
      </w:r>
    </w:p>
    <w:p w14:paraId="5D71FBC3" w14:textId="77777777" w:rsidR="00B36B7E" w:rsidRDefault="00235247" w:rsidP="00777507">
      <w:pPr>
        <w:pStyle w:val="SingleTxtG"/>
        <w:spacing w:before="120"/>
        <w:rPr>
          <w:lang w:eastAsia="en-US"/>
        </w:rPr>
      </w:pPr>
      <w:r>
        <w:rPr>
          <w:lang w:eastAsia="en-US"/>
        </w:rPr>
        <w:t>60.</w:t>
      </w:r>
      <w:r>
        <w:rPr>
          <w:lang w:eastAsia="en-US"/>
        </w:rPr>
        <w:tab/>
      </w:r>
      <w:r w:rsidR="00B36B7E" w:rsidRPr="00B36B7E">
        <w:rPr>
          <w:lang w:eastAsia="en-US"/>
        </w:rPr>
        <w:t xml:space="preserve">Cabe mencionar que desde el 20 de junio de 2012, fecha de entrada en vigencia de la Ley 251, no se dio ningún caso de expulsión de un refugiado o solicitante de tal condición. </w:t>
      </w:r>
    </w:p>
    <w:p w14:paraId="78D43FBA"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Respuesta al Párrafo 9</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019DC540" w14:textId="77777777" w:rsidR="00B36B7E" w:rsidRDefault="00D554B8" w:rsidP="00D554B8">
      <w:pPr>
        <w:pStyle w:val="H4G"/>
        <w:rPr>
          <w:lang w:eastAsia="en-US"/>
        </w:rPr>
      </w:pPr>
      <w:r>
        <w:rPr>
          <w:lang w:eastAsia="en-US"/>
        </w:rPr>
        <w:tab/>
      </w:r>
      <w:r>
        <w:rPr>
          <w:lang w:eastAsia="en-US"/>
        </w:rPr>
        <w:tab/>
      </w:r>
      <w:r w:rsidR="00B36B7E" w:rsidRPr="00B36B7E">
        <w:rPr>
          <w:lang w:eastAsia="en-US"/>
        </w:rPr>
        <w:t>Mecanismos de identificación de solicitantes de asilo, apátridas y otros</w:t>
      </w:r>
    </w:p>
    <w:p w14:paraId="1CA4D356" w14:textId="77777777" w:rsidR="00B36B7E" w:rsidRDefault="00235247" w:rsidP="00777507">
      <w:pPr>
        <w:pStyle w:val="SingleTxtG"/>
        <w:spacing w:before="120"/>
        <w:rPr>
          <w:lang w:eastAsia="en-US"/>
        </w:rPr>
      </w:pPr>
      <w:r>
        <w:rPr>
          <w:lang w:eastAsia="en-US"/>
        </w:rPr>
        <w:t>61.</w:t>
      </w:r>
      <w:r>
        <w:rPr>
          <w:lang w:eastAsia="en-US"/>
        </w:rPr>
        <w:tab/>
      </w:r>
      <w:r w:rsidR="00B36B7E" w:rsidRPr="00B36B7E">
        <w:rPr>
          <w:lang w:eastAsia="en-US"/>
        </w:rPr>
        <w:t xml:space="preserve">El artículo 30 de la Ley 251, dispone que: </w:t>
      </w:r>
      <w:r w:rsidR="00430519">
        <w:rPr>
          <w:i/>
          <w:lang w:eastAsia="en-US"/>
        </w:rPr>
        <w:t>“</w:t>
      </w:r>
      <w:r w:rsidR="00B36B7E" w:rsidRPr="00D554B8">
        <w:rPr>
          <w:i/>
          <w:lang w:eastAsia="en-US"/>
        </w:rPr>
        <w:t>Las autoridades locales o de frontera que tuvieran conocimiento de solicitudes de personas extranjeras para obtener la condición de refugiadas, autorizarán su ingreso y deberán derivar al solicitante a la Secretaría Técnica de la CONARE, respetando los principios de confidencialidad y no devolución, previstos en la presente Ley</w:t>
      </w:r>
      <w:r w:rsidR="00430519">
        <w:rPr>
          <w:i/>
          <w:lang w:eastAsia="en-US"/>
        </w:rPr>
        <w:t>”</w:t>
      </w:r>
      <w:r w:rsidR="00B36B7E" w:rsidRPr="00B36B7E">
        <w:rPr>
          <w:lang w:eastAsia="en-US"/>
        </w:rPr>
        <w:t>; por lo que, cualquier ciudadano extranjero que pretenda solicitar refugio en Bolivia, debe manifestarlo al funcionario de migración que se encuentre en el punto fronterizo, para que éste, lo derive a la Secretaría Técnica de la CONARE, en razón a que toda solicitud de refugio conforme el Artículo 32 de la citada Ley, debe ser presentada de forma escrita en un plazo no mayor a noventa (90) días calendario, computable a partir de su ingreso a territorio boliviano.</w:t>
      </w:r>
    </w:p>
    <w:p w14:paraId="7A4C4EB9" w14:textId="77777777" w:rsidR="00B36B7E" w:rsidRDefault="00235247" w:rsidP="00777507">
      <w:pPr>
        <w:pStyle w:val="SingleTxtG"/>
        <w:spacing w:before="120"/>
        <w:rPr>
          <w:lang w:eastAsia="en-US"/>
        </w:rPr>
      </w:pPr>
      <w:r>
        <w:rPr>
          <w:lang w:eastAsia="en-US"/>
        </w:rPr>
        <w:t>62.</w:t>
      </w:r>
      <w:r>
        <w:rPr>
          <w:lang w:eastAsia="en-US"/>
        </w:rPr>
        <w:tab/>
      </w:r>
      <w:r w:rsidR="00B36B7E" w:rsidRPr="00B36B7E">
        <w:rPr>
          <w:lang w:eastAsia="en-US"/>
        </w:rPr>
        <w:t xml:space="preserve">En ese sentido, la CONARE en coordinación con Alto Comisionado de las Naciones Unidas para los Refugiados (ACNUR) y su Agencia Implementadora realiza talleres de capacitación respecto a la temática del refugio y el procedimiento contemplado en la Ley 251 y su Decreto Reglamentario, dirigidos a servidores públicos de diferentes instituciones públicas que trabajan en la materia (DIGEMIG, INTERPOL, Policía Boliviana, Defensoría de la Niñez y Adolescencia, entre otras). </w:t>
      </w:r>
    </w:p>
    <w:p w14:paraId="5C751BA9" w14:textId="77777777" w:rsidR="00B36B7E" w:rsidRDefault="00D554B8" w:rsidP="00D554B8">
      <w:pPr>
        <w:pStyle w:val="H4G"/>
        <w:rPr>
          <w:lang w:eastAsia="en-US"/>
        </w:rPr>
      </w:pPr>
      <w:r>
        <w:rPr>
          <w:lang w:eastAsia="en-US"/>
        </w:rPr>
        <w:tab/>
      </w:r>
      <w:r>
        <w:rPr>
          <w:lang w:eastAsia="en-US"/>
        </w:rPr>
        <w:tab/>
      </w:r>
      <w:r w:rsidR="00B36B7E" w:rsidRPr="00B36B7E">
        <w:rPr>
          <w:lang w:eastAsia="en-US"/>
        </w:rPr>
        <w:t>Presentación y formalización de solicitudes de asilo</w:t>
      </w:r>
    </w:p>
    <w:p w14:paraId="13B2FBC9" w14:textId="77777777" w:rsidR="00B36B7E" w:rsidRDefault="00235247" w:rsidP="00777507">
      <w:pPr>
        <w:pStyle w:val="SingleTxtG"/>
        <w:spacing w:before="120"/>
        <w:rPr>
          <w:lang w:eastAsia="en-US"/>
        </w:rPr>
      </w:pPr>
      <w:r>
        <w:rPr>
          <w:lang w:eastAsia="en-US"/>
        </w:rPr>
        <w:t>63.</w:t>
      </w:r>
      <w:r>
        <w:rPr>
          <w:lang w:eastAsia="en-US"/>
        </w:rPr>
        <w:tab/>
      </w:r>
      <w:r w:rsidR="00B36B7E" w:rsidRPr="00B36B7E">
        <w:rPr>
          <w:lang w:eastAsia="en-US"/>
        </w:rPr>
        <w:t xml:space="preserve">Conforme se mencionó anteriormente, el artículo 32 de la Ley 251, dispone que las solicitudes de refugio deben ser presentadas en la Secretaría Técnica de la CONARE, la cual tiene sus oficinas en dependencias del Ministerio de Relaciones Exteriores, en la ciudad de La Paz. </w:t>
      </w:r>
    </w:p>
    <w:p w14:paraId="54721C3E" w14:textId="77777777" w:rsidR="00B36B7E" w:rsidRDefault="00235247" w:rsidP="00777507">
      <w:pPr>
        <w:pStyle w:val="SingleTxtG"/>
        <w:spacing w:before="120"/>
        <w:rPr>
          <w:lang w:eastAsia="en-US"/>
        </w:rPr>
      </w:pPr>
      <w:r>
        <w:rPr>
          <w:lang w:eastAsia="en-US"/>
        </w:rPr>
        <w:t>64.</w:t>
      </w:r>
      <w:r>
        <w:rPr>
          <w:lang w:eastAsia="en-US"/>
        </w:rPr>
        <w:tab/>
      </w:r>
      <w:r w:rsidR="00B36B7E" w:rsidRPr="00B36B7E">
        <w:rPr>
          <w:lang w:eastAsia="en-US"/>
        </w:rPr>
        <w:t>Empero, en la presente gestión (2020), en previsión del artículo 13.II de la Ley 251, respecto al trato más favorable para los solicitantes de refugio en Bolivia, la CONARE dispuso que la Secretaria Técnica se traslade a las ciudad de Santa Cruz a fin de recibir solicitudes de refugio y proceder con el registro y entrevista respectivos; sin embargo, a</w:t>
      </w:r>
      <w:r w:rsidR="00DB2928">
        <w:rPr>
          <w:lang w:eastAsia="en-US"/>
        </w:rPr>
        <w:t xml:space="preserve"> </w:t>
      </w:r>
      <w:r w:rsidR="00B36B7E" w:rsidRPr="00B36B7E">
        <w:rPr>
          <w:lang w:eastAsia="en-US"/>
        </w:rPr>
        <w:t>causa de la pandemia por coronavirus 19 (</w:t>
      </w:r>
      <w:r w:rsidR="00B36B7E" w:rsidRPr="00B36B7E">
        <w:rPr>
          <w:bCs/>
          <w:lang w:eastAsia="en-US"/>
        </w:rPr>
        <w:t>COVID</w:t>
      </w:r>
      <w:r w:rsidR="00B36B7E" w:rsidRPr="00B36B7E">
        <w:rPr>
          <w:lang w:eastAsia="en-US"/>
        </w:rPr>
        <w:t xml:space="preserve">-19), previo apoyo de la Agencia Implementadora de ACNUR a extranjeros que tengan la intención de solicitar refugio y a efectos de constatar que se encuentra en territorio boliviano, se ha habilitado el correo electrónico institucional: </w:t>
      </w:r>
      <w:r w:rsidR="00B36B7E" w:rsidRPr="000553C1">
        <w:rPr>
          <w:i/>
          <w:lang w:eastAsia="en-US"/>
        </w:rPr>
        <w:t>conare@rree.gob.bo</w:t>
      </w:r>
      <w:r w:rsidR="00B36B7E" w:rsidRPr="00B36B7E">
        <w:rPr>
          <w:lang w:eastAsia="en-US"/>
        </w:rPr>
        <w:t xml:space="preserve"> para recepcionar solicitudes de refugio y cumplir el procedimiento (registro, entrega de documento temporal y entrevista) a través de video llamadas.</w:t>
      </w:r>
    </w:p>
    <w:p w14:paraId="38B268A4" w14:textId="77777777" w:rsidR="00B36B7E" w:rsidRDefault="00235247" w:rsidP="00777507">
      <w:pPr>
        <w:pStyle w:val="SingleTxtG"/>
        <w:spacing w:before="120"/>
        <w:rPr>
          <w:i/>
          <w:lang w:eastAsia="en-US"/>
        </w:rPr>
      </w:pPr>
      <w:r>
        <w:rPr>
          <w:lang w:eastAsia="en-US"/>
        </w:rPr>
        <w:t>65.</w:t>
      </w:r>
      <w:r>
        <w:rPr>
          <w:lang w:eastAsia="en-US"/>
        </w:rPr>
        <w:tab/>
      </w:r>
      <w:r w:rsidR="00B36B7E" w:rsidRPr="00B36B7E">
        <w:rPr>
          <w:lang w:eastAsia="en-US"/>
        </w:rPr>
        <w:t xml:space="preserve">Por otro lado, el artículo 6.III del DS 1440, respecto a la expulsión de personas refugiadas o solicitantes de tal condición dispone: </w:t>
      </w:r>
      <w:r w:rsidR="00430519">
        <w:rPr>
          <w:i/>
          <w:lang w:eastAsia="en-US"/>
        </w:rPr>
        <w:t>“</w:t>
      </w:r>
      <w:r w:rsidR="00B36B7E" w:rsidRPr="00B36B7E">
        <w:rPr>
          <w:i/>
          <w:lang w:eastAsia="en-US"/>
        </w:rPr>
        <w:t>En atención al debido proceso, en forma previa, la CONARE convocará a la persona refugiada o solicitante de tal condición a una audiencia, a fin de que pueda presentar pruebas exculpatorias, declaraciones, aclaraciones o justificativos que considere convenientes Evaluado el caso se emitirá la resolución correspondiente, que será debidamente fundamentada y pasible de recurso de impugnación ante la Comisión de Impugnación.</w:t>
      </w:r>
      <w:r w:rsidR="00430519">
        <w:rPr>
          <w:i/>
          <w:lang w:eastAsia="en-US"/>
        </w:rPr>
        <w:t>”</w:t>
      </w:r>
      <w:r w:rsidR="00B36B7E" w:rsidRPr="00B36B7E">
        <w:rPr>
          <w:i/>
          <w:lang w:eastAsia="en-US"/>
        </w:rPr>
        <w:t>.</w:t>
      </w:r>
    </w:p>
    <w:p w14:paraId="2F65278F" w14:textId="77777777" w:rsidR="00B36B7E" w:rsidRDefault="00235247" w:rsidP="00777507">
      <w:pPr>
        <w:pStyle w:val="SingleTxtG"/>
        <w:spacing w:before="120"/>
        <w:rPr>
          <w:lang w:eastAsia="en-US"/>
        </w:rPr>
      </w:pPr>
      <w:r>
        <w:rPr>
          <w:lang w:eastAsia="en-US"/>
        </w:rPr>
        <w:t>66.</w:t>
      </w:r>
      <w:r>
        <w:rPr>
          <w:lang w:eastAsia="en-US"/>
        </w:rPr>
        <w:tab/>
      </w:r>
      <w:r w:rsidR="00B36B7E" w:rsidRPr="00B36B7E">
        <w:rPr>
          <w:lang w:eastAsia="en-US"/>
        </w:rPr>
        <w:t xml:space="preserve">Respecto a asistencia jurídica, en virtud a lo previsto en el artículo 27 de la Ley 251, la Secretaría Técnica de la CONARE tiene como una de sus funciones: Informar a la persona solicitante acerca de sus derechos y deberes, así como proporcionar información y asesoramiento necesarios y entrevistar a la persona solicitante, efectuando las diligencias pertinentes para proveer de intérprete en caso necesario y elaborar el acta respectiva. Asimismo, conforme el artículo 29 de la citada Ley, la persona solicitante y sus familiares, </w:t>
      </w:r>
      <w:r w:rsidR="00B36B7E" w:rsidRPr="00B36B7E">
        <w:rPr>
          <w:lang w:eastAsia="en-US"/>
        </w:rPr>
        <w:lastRenderedPageBreak/>
        <w:t>durante el procedimiento, tienen derecho a ser asistidos por un intérprete calificado, cuando el idioma de la persona solicitante no fuera el castellano.</w:t>
      </w:r>
    </w:p>
    <w:p w14:paraId="56AB5378" w14:textId="77777777" w:rsidR="00B36B7E" w:rsidRDefault="00235247" w:rsidP="00777507">
      <w:pPr>
        <w:pStyle w:val="SingleTxtG"/>
        <w:spacing w:before="120"/>
        <w:rPr>
          <w:lang w:eastAsia="en-US"/>
        </w:rPr>
      </w:pPr>
      <w:r>
        <w:rPr>
          <w:lang w:eastAsia="en-US"/>
        </w:rPr>
        <w:t>67.</w:t>
      </w:r>
      <w:r>
        <w:rPr>
          <w:lang w:eastAsia="en-US"/>
        </w:rPr>
        <w:tab/>
      </w:r>
      <w:r w:rsidR="00B36B7E" w:rsidRPr="00B36B7E">
        <w:rPr>
          <w:lang w:eastAsia="en-US"/>
        </w:rPr>
        <w:t xml:space="preserve">El Nivel Operativo de la CONARE y la Agencia Implementadora de los Programas de ACNUR en Bolivia, en el marco del Convenio Interinstitucional suscrito con la CONARE, ejecuta las acciones necesarias para facilitar la integración de las personas refugiadas. Además, la Agencia Implementadora (Caritas Bolivia- Pastoral de Movilidad Humana) brinda asistencia jurídica gratuita a las y los extranjeros que deseen solicitar refugio en Bolivia. </w:t>
      </w:r>
    </w:p>
    <w:p w14:paraId="05ADF71E"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Respuesta al Párrafo 10</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7DEDE92D" w14:textId="77777777" w:rsidR="00B36B7E" w:rsidRDefault="00D554B8" w:rsidP="00D554B8">
      <w:pPr>
        <w:pStyle w:val="H4G"/>
        <w:rPr>
          <w:lang w:eastAsia="en-US"/>
        </w:rPr>
      </w:pPr>
      <w:r>
        <w:rPr>
          <w:lang w:eastAsia="en-US"/>
        </w:rPr>
        <w:tab/>
      </w:r>
      <w:r>
        <w:rPr>
          <w:lang w:eastAsia="en-US"/>
        </w:rPr>
        <w:tab/>
      </w:r>
      <w:r w:rsidR="00B36B7E" w:rsidRPr="00B36B7E">
        <w:rPr>
          <w:lang w:eastAsia="en-US"/>
        </w:rPr>
        <w:t>Solicitudes de asilo recibidas</w:t>
      </w:r>
    </w:p>
    <w:p w14:paraId="2B1754CA" w14:textId="77777777" w:rsidR="00B36B7E" w:rsidRPr="00B36B7E" w:rsidRDefault="00235247" w:rsidP="00777507">
      <w:pPr>
        <w:pStyle w:val="SingleTxtG"/>
        <w:spacing w:before="120"/>
        <w:rPr>
          <w:lang w:eastAsia="en-US"/>
        </w:rPr>
      </w:pPr>
      <w:r w:rsidRPr="00B36B7E">
        <w:rPr>
          <w:lang w:eastAsia="en-US"/>
        </w:rPr>
        <w:t>68.</w:t>
      </w:r>
      <w:r w:rsidRPr="00B36B7E">
        <w:rPr>
          <w:lang w:eastAsia="en-US"/>
        </w:rPr>
        <w:tab/>
      </w:r>
      <w:r w:rsidR="00B36B7E" w:rsidRPr="00B36B7E">
        <w:rPr>
          <w:lang w:eastAsia="en-US"/>
        </w:rPr>
        <w:t xml:space="preserve">De acuerdo a los registros que cursan en la Secretaría Técnica de </w:t>
      </w:r>
      <w:r w:rsidR="000553C1">
        <w:rPr>
          <w:lang w:eastAsia="en-US"/>
        </w:rPr>
        <w:t>la CONARE se tiene lo siguiente.</w:t>
      </w:r>
      <w:r w:rsidR="00B36B7E" w:rsidRPr="00B36B7E">
        <w:rPr>
          <w:lang w:eastAsia="en-US"/>
        </w:rPr>
        <w:t xml:space="preserve"> </w:t>
      </w:r>
    </w:p>
    <w:p w14:paraId="391CA386" w14:textId="77777777" w:rsidR="00B36B7E" w:rsidRPr="008F1A6A" w:rsidRDefault="008F1A6A" w:rsidP="008F1A6A">
      <w:pPr>
        <w:pStyle w:val="H23G"/>
      </w:pPr>
      <w:r>
        <w:rPr>
          <w:lang w:eastAsia="es-BO"/>
        </w:rPr>
        <w:tab/>
      </w:r>
      <w:r>
        <w:rPr>
          <w:lang w:eastAsia="es-BO"/>
        </w:rPr>
        <w:tab/>
      </w:r>
      <w:r w:rsidR="00B36B7E" w:rsidRPr="008F1A6A">
        <w:t>Reporte de Solicitantes y Refugiados desde la</w:t>
      </w:r>
      <w:r w:rsidRPr="008F1A6A">
        <w:t xml:space="preserve"> </w:t>
      </w:r>
      <w:r w:rsidR="00B36B7E" w:rsidRPr="008F1A6A">
        <w:t xml:space="preserve">Gestión 2014 al 30 de junio </w:t>
      </w:r>
      <w:r w:rsidR="00FD4654">
        <w:br/>
      </w:r>
      <w:r w:rsidR="00B36B7E" w:rsidRPr="008F1A6A">
        <w:t>de 2020</w:t>
      </w:r>
    </w:p>
    <w:tbl>
      <w:tblPr>
        <w:tblStyle w:val="GridTable5Dark-Accent6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1"/>
        <w:gridCol w:w="2757"/>
        <w:gridCol w:w="2892"/>
      </w:tblGrid>
      <w:tr w:rsidR="00210112" w:rsidRPr="00210112" w14:paraId="3C84DCB6"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12" w:space="0" w:color="auto"/>
            </w:tcBorders>
            <w:shd w:val="clear" w:color="auto" w:fill="auto"/>
            <w:vAlign w:val="bottom"/>
          </w:tcPr>
          <w:p w14:paraId="1ABA12DD" w14:textId="77777777" w:rsidR="00B36B7E" w:rsidRPr="00210112" w:rsidRDefault="00B36B7E">
            <w:pPr>
              <w:spacing w:before="80" w:after="80" w:line="200" w:lineRule="exact"/>
              <w:rPr>
                <w:rFonts w:ascii="Times New Roman" w:hAnsi="Times New Roman"/>
                <w:b w:val="0"/>
                <w:i/>
                <w:color w:val="auto"/>
                <w:sz w:val="16"/>
                <w:szCs w:val="18"/>
                <w:lang w:eastAsia="es-BO"/>
              </w:rPr>
            </w:pPr>
            <w:r w:rsidRPr="00210112">
              <w:rPr>
                <w:i/>
                <w:sz w:val="16"/>
                <w:szCs w:val="18"/>
                <w:lang w:eastAsia="es-BO"/>
              </w:rPr>
              <w:t>Gestión</w:t>
            </w:r>
          </w:p>
        </w:tc>
        <w:tc>
          <w:tcPr>
            <w:tcW w:w="0" w:type="dxa"/>
            <w:tcBorders>
              <w:top w:val="single" w:sz="4" w:space="0" w:color="auto"/>
              <w:bottom w:val="single" w:sz="12" w:space="0" w:color="auto"/>
            </w:tcBorders>
            <w:shd w:val="clear" w:color="auto" w:fill="auto"/>
            <w:noWrap/>
            <w:vAlign w:val="bottom"/>
            <w:hideMark/>
          </w:tcPr>
          <w:p w14:paraId="6F727130"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szCs w:val="18"/>
                <w:lang w:eastAsia="es-BO"/>
              </w:rPr>
            </w:pPr>
            <w:r w:rsidRPr="00210112">
              <w:rPr>
                <w:i/>
                <w:sz w:val="16"/>
                <w:szCs w:val="18"/>
                <w:lang w:eastAsia="es-BO"/>
              </w:rPr>
              <w:t>Solicitudes</w:t>
            </w:r>
          </w:p>
        </w:tc>
        <w:tc>
          <w:tcPr>
            <w:tcW w:w="0" w:type="dxa"/>
            <w:tcBorders>
              <w:top w:val="single" w:sz="4" w:space="0" w:color="auto"/>
              <w:bottom w:val="single" w:sz="12" w:space="0" w:color="auto"/>
            </w:tcBorders>
            <w:shd w:val="clear" w:color="auto" w:fill="auto"/>
            <w:noWrap/>
            <w:vAlign w:val="bottom"/>
            <w:hideMark/>
          </w:tcPr>
          <w:p w14:paraId="146D3487"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szCs w:val="18"/>
                <w:lang w:eastAsia="es-BO"/>
              </w:rPr>
            </w:pPr>
            <w:r w:rsidRPr="00210112">
              <w:rPr>
                <w:i/>
                <w:sz w:val="16"/>
                <w:szCs w:val="18"/>
                <w:lang w:eastAsia="es-BO"/>
              </w:rPr>
              <w:t>Refugiados</w:t>
            </w:r>
          </w:p>
        </w:tc>
      </w:tr>
      <w:tr w:rsidR="00210112" w:rsidRPr="00210112" w14:paraId="0A0A1A78"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shd w:val="clear" w:color="auto" w:fill="auto"/>
          </w:tcPr>
          <w:p w14:paraId="5013F866" w14:textId="77777777" w:rsidR="00B36B7E" w:rsidRPr="00777507" w:rsidRDefault="00B36B7E">
            <w:pPr>
              <w:spacing w:before="40" w:after="40" w:line="220" w:lineRule="exact"/>
              <w:rPr>
                <w:rFonts w:ascii="Times New Roman" w:hAnsi="Times New Roman"/>
                <w:b w:val="0"/>
                <w:bCs w:val="0"/>
                <w:color w:val="auto"/>
                <w:sz w:val="18"/>
                <w:szCs w:val="18"/>
                <w:lang w:eastAsia="es-BO"/>
              </w:rPr>
            </w:pPr>
            <w:r w:rsidRPr="00210112">
              <w:rPr>
                <w:sz w:val="18"/>
                <w:szCs w:val="18"/>
                <w:lang w:eastAsia="es-BO"/>
              </w:rPr>
              <w:t>2014</w:t>
            </w:r>
          </w:p>
        </w:tc>
        <w:tc>
          <w:tcPr>
            <w:tcW w:w="0" w:type="dxa"/>
            <w:tcBorders>
              <w:top w:val="single" w:sz="12" w:space="0" w:color="auto"/>
            </w:tcBorders>
            <w:shd w:val="clear" w:color="auto" w:fill="auto"/>
            <w:noWrap/>
            <w:vAlign w:val="bottom"/>
            <w:hideMark/>
          </w:tcPr>
          <w:p w14:paraId="292D496E"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29</w:t>
            </w:r>
          </w:p>
        </w:tc>
        <w:tc>
          <w:tcPr>
            <w:tcW w:w="0" w:type="dxa"/>
            <w:tcBorders>
              <w:top w:val="single" w:sz="12" w:space="0" w:color="auto"/>
            </w:tcBorders>
            <w:shd w:val="clear" w:color="auto" w:fill="auto"/>
            <w:noWrap/>
            <w:vAlign w:val="bottom"/>
            <w:hideMark/>
          </w:tcPr>
          <w:p w14:paraId="4966DBC6"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18</w:t>
            </w:r>
          </w:p>
        </w:tc>
      </w:tr>
      <w:tr w:rsidR="00210112" w:rsidRPr="00210112" w14:paraId="4BCA7693"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tcBorders>
              <w:top w:val="nil"/>
            </w:tcBorders>
            <w:shd w:val="clear" w:color="auto" w:fill="auto"/>
          </w:tcPr>
          <w:p w14:paraId="40A61169" w14:textId="77777777" w:rsidR="00B36B7E" w:rsidRPr="00777507" w:rsidRDefault="00B36B7E">
            <w:pPr>
              <w:spacing w:before="40" w:after="40" w:line="220" w:lineRule="exact"/>
              <w:rPr>
                <w:rFonts w:ascii="Times New Roman" w:hAnsi="Times New Roman"/>
                <w:b w:val="0"/>
                <w:bCs w:val="0"/>
                <w:color w:val="auto"/>
                <w:sz w:val="18"/>
                <w:szCs w:val="18"/>
                <w:lang w:eastAsia="es-BO"/>
              </w:rPr>
            </w:pPr>
            <w:r w:rsidRPr="00210112">
              <w:rPr>
                <w:sz w:val="18"/>
                <w:szCs w:val="18"/>
                <w:lang w:eastAsia="es-BO"/>
              </w:rPr>
              <w:t>2015</w:t>
            </w:r>
          </w:p>
        </w:tc>
        <w:tc>
          <w:tcPr>
            <w:tcW w:w="0" w:type="dxa"/>
            <w:tcBorders>
              <w:top w:val="nil"/>
            </w:tcBorders>
            <w:shd w:val="clear" w:color="auto" w:fill="auto"/>
            <w:noWrap/>
            <w:vAlign w:val="bottom"/>
            <w:hideMark/>
          </w:tcPr>
          <w:p w14:paraId="3DF6BC3E"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47</w:t>
            </w:r>
          </w:p>
        </w:tc>
        <w:tc>
          <w:tcPr>
            <w:tcW w:w="0" w:type="dxa"/>
            <w:tcBorders>
              <w:top w:val="nil"/>
            </w:tcBorders>
            <w:shd w:val="clear" w:color="auto" w:fill="auto"/>
            <w:noWrap/>
            <w:vAlign w:val="bottom"/>
            <w:hideMark/>
          </w:tcPr>
          <w:p w14:paraId="3DA05ADC"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8</w:t>
            </w:r>
          </w:p>
        </w:tc>
      </w:tr>
      <w:tr w:rsidR="00210112" w:rsidRPr="00210112" w14:paraId="0EF944F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tcBorders>
              <w:top w:val="nil"/>
            </w:tcBorders>
            <w:shd w:val="clear" w:color="auto" w:fill="auto"/>
          </w:tcPr>
          <w:p w14:paraId="3133B846" w14:textId="77777777" w:rsidR="00B36B7E" w:rsidRPr="00777507" w:rsidRDefault="00B36B7E">
            <w:pPr>
              <w:spacing w:before="40" w:after="40" w:line="220" w:lineRule="exact"/>
              <w:rPr>
                <w:rFonts w:ascii="Times New Roman" w:hAnsi="Times New Roman"/>
                <w:b w:val="0"/>
                <w:bCs w:val="0"/>
                <w:color w:val="auto"/>
                <w:sz w:val="18"/>
                <w:szCs w:val="18"/>
                <w:lang w:eastAsia="es-BO"/>
              </w:rPr>
            </w:pPr>
            <w:r w:rsidRPr="00210112">
              <w:rPr>
                <w:sz w:val="18"/>
                <w:szCs w:val="18"/>
                <w:lang w:eastAsia="es-BO"/>
              </w:rPr>
              <w:t>2016</w:t>
            </w:r>
          </w:p>
        </w:tc>
        <w:tc>
          <w:tcPr>
            <w:tcW w:w="0" w:type="dxa"/>
            <w:tcBorders>
              <w:top w:val="nil"/>
            </w:tcBorders>
            <w:shd w:val="clear" w:color="auto" w:fill="auto"/>
            <w:noWrap/>
            <w:vAlign w:val="bottom"/>
            <w:hideMark/>
          </w:tcPr>
          <w:p w14:paraId="28312B39"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17</w:t>
            </w:r>
          </w:p>
        </w:tc>
        <w:tc>
          <w:tcPr>
            <w:tcW w:w="0" w:type="dxa"/>
            <w:tcBorders>
              <w:top w:val="nil"/>
            </w:tcBorders>
            <w:shd w:val="clear" w:color="auto" w:fill="auto"/>
            <w:noWrap/>
            <w:vAlign w:val="bottom"/>
            <w:hideMark/>
          </w:tcPr>
          <w:p w14:paraId="015402BA"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10</w:t>
            </w:r>
          </w:p>
        </w:tc>
      </w:tr>
      <w:tr w:rsidR="00210112" w:rsidRPr="00210112" w14:paraId="42B9ABD3"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tcBorders>
              <w:top w:val="nil"/>
            </w:tcBorders>
            <w:shd w:val="clear" w:color="auto" w:fill="auto"/>
          </w:tcPr>
          <w:p w14:paraId="0BD72501" w14:textId="77777777" w:rsidR="00B36B7E" w:rsidRPr="00777507" w:rsidRDefault="00B36B7E">
            <w:pPr>
              <w:spacing w:before="40" w:after="40" w:line="220" w:lineRule="exact"/>
              <w:rPr>
                <w:rFonts w:ascii="Times New Roman" w:hAnsi="Times New Roman"/>
                <w:b w:val="0"/>
                <w:bCs w:val="0"/>
                <w:color w:val="auto"/>
                <w:sz w:val="18"/>
                <w:szCs w:val="18"/>
                <w:lang w:eastAsia="es-BO"/>
              </w:rPr>
            </w:pPr>
            <w:r w:rsidRPr="00210112">
              <w:rPr>
                <w:sz w:val="18"/>
                <w:szCs w:val="18"/>
                <w:lang w:eastAsia="es-BO"/>
              </w:rPr>
              <w:t>2017</w:t>
            </w:r>
          </w:p>
        </w:tc>
        <w:tc>
          <w:tcPr>
            <w:tcW w:w="0" w:type="dxa"/>
            <w:tcBorders>
              <w:top w:val="nil"/>
            </w:tcBorders>
            <w:shd w:val="clear" w:color="auto" w:fill="auto"/>
            <w:noWrap/>
            <w:vAlign w:val="bottom"/>
            <w:hideMark/>
          </w:tcPr>
          <w:p w14:paraId="57B3469B"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22</w:t>
            </w:r>
          </w:p>
        </w:tc>
        <w:tc>
          <w:tcPr>
            <w:tcW w:w="0" w:type="dxa"/>
            <w:tcBorders>
              <w:top w:val="nil"/>
            </w:tcBorders>
            <w:shd w:val="clear" w:color="auto" w:fill="auto"/>
            <w:noWrap/>
            <w:vAlign w:val="bottom"/>
            <w:hideMark/>
          </w:tcPr>
          <w:p w14:paraId="13A88316"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14</w:t>
            </w:r>
          </w:p>
        </w:tc>
      </w:tr>
      <w:tr w:rsidR="00210112" w:rsidRPr="00210112" w14:paraId="717232D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tcBorders>
              <w:top w:val="nil"/>
            </w:tcBorders>
            <w:shd w:val="clear" w:color="auto" w:fill="auto"/>
          </w:tcPr>
          <w:p w14:paraId="68018668" w14:textId="77777777" w:rsidR="00B36B7E" w:rsidRPr="00777507" w:rsidRDefault="00B36B7E">
            <w:pPr>
              <w:spacing w:before="40" w:after="40" w:line="220" w:lineRule="exact"/>
              <w:rPr>
                <w:rFonts w:ascii="Times New Roman" w:hAnsi="Times New Roman"/>
                <w:b w:val="0"/>
                <w:bCs w:val="0"/>
                <w:color w:val="auto"/>
                <w:sz w:val="18"/>
                <w:szCs w:val="18"/>
                <w:lang w:eastAsia="es-BO"/>
              </w:rPr>
            </w:pPr>
            <w:r w:rsidRPr="00210112">
              <w:rPr>
                <w:sz w:val="18"/>
                <w:szCs w:val="18"/>
                <w:lang w:eastAsia="es-BO"/>
              </w:rPr>
              <w:t>2018</w:t>
            </w:r>
          </w:p>
        </w:tc>
        <w:tc>
          <w:tcPr>
            <w:tcW w:w="0" w:type="dxa"/>
            <w:tcBorders>
              <w:top w:val="nil"/>
            </w:tcBorders>
            <w:shd w:val="clear" w:color="auto" w:fill="auto"/>
            <w:noWrap/>
            <w:vAlign w:val="bottom"/>
            <w:hideMark/>
          </w:tcPr>
          <w:p w14:paraId="1D8E2BEF"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434</w:t>
            </w:r>
          </w:p>
        </w:tc>
        <w:tc>
          <w:tcPr>
            <w:tcW w:w="0" w:type="dxa"/>
            <w:tcBorders>
              <w:top w:val="nil"/>
            </w:tcBorders>
            <w:shd w:val="clear" w:color="auto" w:fill="auto"/>
            <w:noWrap/>
            <w:vAlign w:val="bottom"/>
            <w:hideMark/>
          </w:tcPr>
          <w:p w14:paraId="723835BB"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17</w:t>
            </w:r>
          </w:p>
        </w:tc>
      </w:tr>
      <w:tr w:rsidR="00210112" w:rsidRPr="00210112" w14:paraId="6121E42A"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tcBorders>
              <w:top w:val="nil"/>
            </w:tcBorders>
            <w:shd w:val="clear" w:color="auto" w:fill="auto"/>
          </w:tcPr>
          <w:p w14:paraId="4514DE6F" w14:textId="77777777" w:rsidR="00B36B7E" w:rsidRPr="00777507" w:rsidRDefault="00B36B7E">
            <w:pPr>
              <w:spacing w:before="40" w:after="40" w:line="220" w:lineRule="exact"/>
              <w:rPr>
                <w:rFonts w:ascii="Times New Roman" w:hAnsi="Times New Roman"/>
                <w:b w:val="0"/>
                <w:bCs w:val="0"/>
                <w:color w:val="auto"/>
                <w:sz w:val="18"/>
                <w:szCs w:val="18"/>
                <w:lang w:eastAsia="es-BO"/>
              </w:rPr>
            </w:pPr>
            <w:r w:rsidRPr="00210112">
              <w:rPr>
                <w:sz w:val="18"/>
                <w:szCs w:val="18"/>
                <w:lang w:eastAsia="es-BO"/>
              </w:rPr>
              <w:t>2019</w:t>
            </w:r>
          </w:p>
        </w:tc>
        <w:tc>
          <w:tcPr>
            <w:tcW w:w="0" w:type="dxa"/>
            <w:tcBorders>
              <w:top w:val="nil"/>
            </w:tcBorders>
            <w:shd w:val="clear" w:color="auto" w:fill="auto"/>
            <w:noWrap/>
            <w:vAlign w:val="bottom"/>
            <w:hideMark/>
          </w:tcPr>
          <w:p w14:paraId="4CA6260F"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418</w:t>
            </w:r>
          </w:p>
        </w:tc>
        <w:tc>
          <w:tcPr>
            <w:tcW w:w="0" w:type="dxa"/>
            <w:tcBorders>
              <w:top w:val="nil"/>
            </w:tcBorders>
            <w:shd w:val="clear" w:color="auto" w:fill="auto"/>
            <w:noWrap/>
            <w:vAlign w:val="bottom"/>
            <w:hideMark/>
          </w:tcPr>
          <w:p w14:paraId="1D0EF035"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4</w:t>
            </w:r>
          </w:p>
        </w:tc>
      </w:tr>
      <w:tr w:rsidR="00210112" w:rsidRPr="00210112" w14:paraId="5BDA6640"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12" w:space="0" w:color="auto"/>
            </w:tcBorders>
            <w:shd w:val="clear" w:color="auto" w:fill="auto"/>
          </w:tcPr>
          <w:p w14:paraId="6C3B00F6" w14:textId="77777777" w:rsidR="00B36B7E" w:rsidRPr="00777507" w:rsidRDefault="00B36B7E">
            <w:pPr>
              <w:spacing w:before="40" w:after="40" w:line="220" w:lineRule="exact"/>
              <w:rPr>
                <w:rFonts w:ascii="Times New Roman" w:hAnsi="Times New Roman"/>
                <w:b w:val="0"/>
                <w:bCs w:val="0"/>
                <w:color w:val="auto"/>
                <w:sz w:val="18"/>
                <w:szCs w:val="18"/>
                <w:lang w:eastAsia="es-BO"/>
              </w:rPr>
            </w:pPr>
            <w:r w:rsidRPr="00210112">
              <w:rPr>
                <w:sz w:val="18"/>
                <w:szCs w:val="18"/>
                <w:lang w:eastAsia="es-BO"/>
              </w:rPr>
              <w:t xml:space="preserve">A </w:t>
            </w:r>
            <w:r w:rsidR="00FD4654" w:rsidRPr="00210112">
              <w:rPr>
                <w:sz w:val="18"/>
                <w:szCs w:val="18"/>
                <w:lang w:eastAsia="es-BO"/>
              </w:rPr>
              <w:t>junio de</w:t>
            </w:r>
            <w:r w:rsidRPr="00210112">
              <w:rPr>
                <w:sz w:val="18"/>
                <w:szCs w:val="18"/>
                <w:lang w:eastAsia="es-BO"/>
              </w:rPr>
              <w:t xml:space="preserve"> 2020</w:t>
            </w:r>
          </w:p>
        </w:tc>
        <w:tc>
          <w:tcPr>
            <w:tcW w:w="0" w:type="dxa"/>
            <w:tcBorders>
              <w:top w:val="nil"/>
              <w:bottom w:val="single" w:sz="12" w:space="0" w:color="auto"/>
            </w:tcBorders>
            <w:shd w:val="clear" w:color="auto" w:fill="auto"/>
            <w:noWrap/>
            <w:vAlign w:val="bottom"/>
          </w:tcPr>
          <w:p w14:paraId="2EA0D82D"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679</w:t>
            </w:r>
          </w:p>
        </w:tc>
        <w:tc>
          <w:tcPr>
            <w:tcW w:w="0" w:type="dxa"/>
            <w:tcBorders>
              <w:top w:val="nil"/>
              <w:bottom w:val="single" w:sz="12" w:space="0" w:color="auto"/>
            </w:tcBorders>
            <w:shd w:val="clear" w:color="auto" w:fill="auto"/>
            <w:noWrap/>
            <w:vAlign w:val="bottom"/>
          </w:tcPr>
          <w:p w14:paraId="6B920518"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s-BO"/>
              </w:rPr>
            </w:pPr>
            <w:r w:rsidRPr="00210112">
              <w:rPr>
                <w:sz w:val="18"/>
                <w:szCs w:val="18"/>
                <w:lang w:eastAsia="es-BO"/>
              </w:rPr>
              <w:t>176</w:t>
            </w:r>
          </w:p>
        </w:tc>
      </w:tr>
    </w:tbl>
    <w:p w14:paraId="64917AE4"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CONARE</w:t>
      </w:r>
      <w:r w:rsidR="008F1A6A">
        <w:rPr>
          <w:lang w:eastAsia="en-US"/>
        </w:rPr>
        <w:t>.</w:t>
      </w:r>
    </w:p>
    <w:p w14:paraId="3C246E45" w14:textId="77777777" w:rsidR="00B36B7E" w:rsidRDefault="00235247" w:rsidP="00777507">
      <w:pPr>
        <w:pStyle w:val="SingleTxtG"/>
        <w:spacing w:before="120"/>
        <w:rPr>
          <w:lang w:eastAsia="en-US"/>
        </w:rPr>
      </w:pPr>
      <w:r>
        <w:rPr>
          <w:lang w:eastAsia="en-US"/>
        </w:rPr>
        <w:t>69.</w:t>
      </w:r>
      <w:r>
        <w:rPr>
          <w:lang w:eastAsia="en-US"/>
        </w:rPr>
        <w:tab/>
      </w:r>
      <w:r w:rsidR="00B36B7E" w:rsidRPr="00B36B7E">
        <w:rPr>
          <w:lang w:eastAsia="en-US"/>
        </w:rPr>
        <w:t xml:space="preserve">En virtud al </w:t>
      </w:r>
      <w:r w:rsidR="00B36B7E" w:rsidRPr="008F1A6A">
        <w:t>principio</w:t>
      </w:r>
      <w:r w:rsidR="00B36B7E" w:rsidRPr="00B36B7E">
        <w:rPr>
          <w:lang w:eastAsia="en-US"/>
        </w:rPr>
        <w:t xml:space="preserve"> de confidencialidad previsto en los artículos 10 de la Ley 251 y 8 del DS 1440, la CONARE se encuentra impedida de revelar la información requerida por el Comité, respecto </w:t>
      </w:r>
      <w:r w:rsidR="00B36B7E" w:rsidRPr="00B36B7E">
        <w:rPr>
          <w:i/>
          <w:lang w:eastAsia="en-US"/>
        </w:rPr>
        <w:t>a las solicitudes aceptadas por considerarse que el solicitante había sido torturado o podría serlo en caso de ser devuelto a su país de origen.</w:t>
      </w:r>
    </w:p>
    <w:p w14:paraId="5CA7270E"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 xml:space="preserve">Artículos 5 a 9 </w:t>
      </w:r>
    </w:p>
    <w:p w14:paraId="139223B3"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Repuesta al párrafo 12</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687034CF" w14:textId="77777777" w:rsidR="00B36B7E" w:rsidRDefault="00D554B8" w:rsidP="00D554B8">
      <w:pPr>
        <w:pStyle w:val="H4G"/>
        <w:rPr>
          <w:lang w:eastAsia="en-US"/>
        </w:rPr>
      </w:pPr>
      <w:r>
        <w:rPr>
          <w:lang w:eastAsia="en-US"/>
        </w:rPr>
        <w:tab/>
      </w:r>
      <w:r>
        <w:rPr>
          <w:lang w:eastAsia="en-US"/>
        </w:rPr>
        <w:tab/>
      </w:r>
      <w:r w:rsidR="00B36B7E" w:rsidRPr="00B36B7E">
        <w:rPr>
          <w:lang w:eastAsia="en-US"/>
        </w:rPr>
        <w:t>Aplicación del Artículo 5 de la Convención</w:t>
      </w:r>
    </w:p>
    <w:p w14:paraId="33A6DE8A" w14:textId="77777777" w:rsidR="00B36B7E" w:rsidRDefault="00235247" w:rsidP="00777507">
      <w:pPr>
        <w:pStyle w:val="SingleTxtG"/>
        <w:spacing w:before="120"/>
        <w:rPr>
          <w:i/>
          <w:lang w:eastAsia="en-US"/>
        </w:rPr>
      </w:pPr>
      <w:r>
        <w:rPr>
          <w:lang w:eastAsia="en-US"/>
        </w:rPr>
        <w:t>70.</w:t>
      </w:r>
      <w:r>
        <w:rPr>
          <w:lang w:eastAsia="en-US"/>
        </w:rPr>
        <w:tab/>
      </w:r>
      <w:r w:rsidR="00B36B7E" w:rsidRPr="00B36B7E">
        <w:rPr>
          <w:rFonts w:eastAsia="Calibri"/>
          <w:lang w:val="es-BO" w:eastAsia="es-BO"/>
        </w:rPr>
        <w:t xml:space="preserve">En </w:t>
      </w:r>
      <w:r w:rsidR="00B36B7E" w:rsidRPr="00660E27">
        <w:rPr>
          <w:lang w:eastAsia="en-US"/>
        </w:rPr>
        <w:t>relación</w:t>
      </w:r>
      <w:r w:rsidR="00B36B7E" w:rsidRPr="00B36B7E">
        <w:rPr>
          <w:rFonts w:eastAsia="Calibri"/>
          <w:lang w:val="es-BO" w:eastAsia="es-BO"/>
        </w:rPr>
        <w:t xml:space="preserve"> a los delitos de tortura, el artículo 3 de la Ley 1173, promulgada el 8 de mayo de 2019, modifica el artículo 52.I del CPP, estableciendo que: </w:t>
      </w:r>
      <w:r w:rsidR="00430519">
        <w:rPr>
          <w:rFonts w:eastAsia="Calibri"/>
          <w:lang w:val="es-BO" w:eastAsia="es-BO"/>
        </w:rPr>
        <w:t>“</w:t>
      </w:r>
      <w:r w:rsidR="00B36B7E" w:rsidRPr="00B36B7E">
        <w:rPr>
          <w:i/>
          <w:lang w:eastAsia="en-US"/>
        </w:rPr>
        <w:t>Los Tribunales de Sentencia estarán integrados por tres (3) jueces técnicos, quienes serán competentes para conocer la sustanciación y resolución del juicio, en los siguientes delitos: (…)</w:t>
      </w:r>
      <w:r w:rsidR="00B55F3D">
        <w:rPr>
          <w:i/>
          <w:lang w:eastAsia="en-US"/>
        </w:rPr>
        <w:t xml:space="preserve"> </w:t>
      </w:r>
      <w:r w:rsidR="00B36B7E" w:rsidRPr="00B36B7E">
        <w:rPr>
          <w:i/>
          <w:iCs/>
          <w:lang w:eastAsia="en-US"/>
        </w:rPr>
        <w:t>Artícu</w:t>
      </w:r>
      <w:r w:rsidR="00B55F3D">
        <w:rPr>
          <w:i/>
          <w:iCs/>
          <w:lang w:eastAsia="en-US"/>
        </w:rPr>
        <w:t>lo 295. (Vejaciones y Torturas)</w:t>
      </w:r>
      <w:r w:rsidR="00430519">
        <w:rPr>
          <w:i/>
          <w:iCs/>
          <w:lang w:eastAsia="en-US"/>
        </w:rPr>
        <w:t>”</w:t>
      </w:r>
      <w:r w:rsidR="00B36B7E" w:rsidRPr="00B36B7E">
        <w:rPr>
          <w:i/>
          <w:iCs/>
          <w:lang w:eastAsia="en-US"/>
        </w:rPr>
        <w:t>.</w:t>
      </w:r>
    </w:p>
    <w:p w14:paraId="23B418D8" w14:textId="77777777" w:rsidR="00B36B7E" w:rsidRDefault="00235247" w:rsidP="00777507">
      <w:pPr>
        <w:pStyle w:val="SingleTxtG"/>
        <w:spacing w:before="120"/>
        <w:rPr>
          <w:i/>
          <w:lang w:eastAsia="en-US"/>
        </w:rPr>
      </w:pPr>
      <w:r>
        <w:rPr>
          <w:lang w:eastAsia="en-US"/>
        </w:rPr>
        <w:t>71.</w:t>
      </w:r>
      <w:r>
        <w:rPr>
          <w:lang w:eastAsia="en-US"/>
        </w:rPr>
        <w:tab/>
      </w:r>
      <w:r w:rsidR="00B36B7E" w:rsidRPr="00B36B7E">
        <w:rPr>
          <w:lang w:eastAsia="en-US"/>
        </w:rPr>
        <w:t>Por otro lado, el Estado Boliviano ha suscrito los siguientes tratados de extradición</w:t>
      </w:r>
      <w:r w:rsidR="00B36B7E" w:rsidRPr="00777507">
        <w:rPr>
          <w:sz w:val="18"/>
          <w:szCs w:val="18"/>
          <w:vertAlign w:val="superscript"/>
          <w:lang w:eastAsia="en-US"/>
        </w:rPr>
        <w:footnoteReference w:id="24"/>
      </w:r>
      <w:r w:rsidR="00B36B7E" w:rsidRPr="00B36B7E">
        <w:rPr>
          <w:lang w:eastAsia="en-US"/>
        </w:rPr>
        <w:t>:</w:t>
      </w:r>
    </w:p>
    <w:p w14:paraId="4F29DF99"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 xml:space="preserve">Tratado de Amistad y Extradición entre Bolivia e </w:t>
      </w:r>
      <w:r w:rsidR="00D554B8">
        <w:t>Italia de 18 de octubre de 1890</w:t>
      </w:r>
      <w:r w:rsidR="00FD4654">
        <w:t>.</w:t>
      </w:r>
    </w:p>
    <w:p w14:paraId="1473D537" w14:textId="77777777" w:rsidR="00B36B7E" w:rsidRPr="00B36B7E" w:rsidRDefault="00235247" w:rsidP="00777507">
      <w:pPr>
        <w:pStyle w:val="Bullet1G"/>
        <w:numPr>
          <w:ilvl w:val="0"/>
          <w:numId w:val="0"/>
        </w:numPr>
        <w:tabs>
          <w:tab w:val="left" w:pos="1701"/>
        </w:tabs>
        <w:ind w:left="1701" w:hanging="170"/>
        <w:rPr>
          <w:spacing w:val="-2"/>
        </w:rPr>
      </w:pPr>
      <w:r w:rsidRPr="00B36B7E">
        <w:rPr>
          <w:spacing w:val="-2"/>
        </w:rPr>
        <w:t>•</w:t>
      </w:r>
      <w:r w:rsidRPr="00B36B7E">
        <w:rPr>
          <w:spacing w:val="-2"/>
        </w:rPr>
        <w:tab/>
      </w:r>
      <w:r w:rsidR="00B36B7E" w:rsidRPr="00B36B7E">
        <w:rPr>
          <w:spacing w:val="-2"/>
        </w:rPr>
        <w:t>Tratado de Comercio, Navegación y Extradición entre Portugal y la República de Bolivia de 10 de mayo de 1897, ratificado mediante Decreto p</w:t>
      </w:r>
      <w:r w:rsidR="00D554B8">
        <w:rPr>
          <w:spacing w:val="-2"/>
        </w:rPr>
        <w:t>romulgado el 1 de junio de 1897</w:t>
      </w:r>
      <w:r w:rsidR="00FD4654">
        <w:rPr>
          <w:spacing w:val="-2"/>
        </w:rPr>
        <w:t>.</w:t>
      </w:r>
    </w:p>
    <w:p w14:paraId="3AC75049" w14:textId="77777777" w:rsidR="00B36B7E" w:rsidRPr="00B36B7E" w:rsidRDefault="00235247" w:rsidP="00777507">
      <w:pPr>
        <w:pStyle w:val="Bullet1G"/>
        <w:numPr>
          <w:ilvl w:val="0"/>
          <w:numId w:val="0"/>
        </w:numPr>
        <w:tabs>
          <w:tab w:val="left" w:pos="1701"/>
        </w:tabs>
        <w:ind w:left="1701" w:hanging="170"/>
      </w:pPr>
      <w:r w:rsidRPr="00B36B7E">
        <w:lastRenderedPageBreak/>
        <w:t>•</w:t>
      </w:r>
      <w:r w:rsidRPr="00B36B7E">
        <w:tab/>
      </w:r>
      <w:r w:rsidR="00B36B7E" w:rsidRPr="00B36B7E">
        <w:t>Tratado de Extradición entre la República de Bolivia y el Reino de</w:t>
      </w:r>
      <w:r w:rsidR="00D554B8">
        <w:t xml:space="preserve"> Bélgica de 24 de julio de 1908</w:t>
      </w:r>
      <w:r w:rsidR="00FD4654">
        <w:t>.</w:t>
      </w:r>
    </w:p>
    <w:p w14:paraId="0B5FC7EE" w14:textId="77777777" w:rsidR="00B36B7E" w:rsidRPr="00B36B7E" w:rsidRDefault="00235247" w:rsidP="00777507">
      <w:pPr>
        <w:pStyle w:val="Bullet1G"/>
        <w:numPr>
          <w:ilvl w:val="0"/>
          <w:numId w:val="0"/>
        </w:numPr>
        <w:tabs>
          <w:tab w:val="left" w:pos="1701"/>
        </w:tabs>
        <w:ind w:left="1701" w:hanging="170"/>
        <w:rPr>
          <w:spacing w:val="-2"/>
        </w:rPr>
      </w:pPr>
      <w:r w:rsidRPr="00B36B7E">
        <w:rPr>
          <w:spacing w:val="-2"/>
        </w:rPr>
        <w:t>•</w:t>
      </w:r>
      <w:r w:rsidRPr="00B36B7E">
        <w:rPr>
          <w:spacing w:val="-2"/>
        </w:rPr>
        <w:tab/>
      </w:r>
      <w:r w:rsidR="00B36B7E" w:rsidRPr="00B36B7E">
        <w:rPr>
          <w:spacing w:val="-2"/>
        </w:rPr>
        <w:t>Tratado de Extradición celebrado entre la República de Bolivia y los Estados Unidos de Venezuela de 21 de septiembre de 1883, ratificado median</w:t>
      </w:r>
      <w:r w:rsidR="00D554B8">
        <w:rPr>
          <w:spacing w:val="-2"/>
        </w:rPr>
        <w:t>te Ley de 24 de octubre de</w:t>
      </w:r>
      <w:r w:rsidR="00FD4654">
        <w:rPr>
          <w:spacing w:val="-2"/>
        </w:rPr>
        <w:t> </w:t>
      </w:r>
      <w:r w:rsidR="00D554B8">
        <w:rPr>
          <w:spacing w:val="-2"/>
        </w:rPr>
        <w:t>1911</w:t>
      </w:r>
      <w:r w:rsidR="00FD4654">
        <w:rPr>
          <w:spacing w:val="-2"/>
        </w:rPr>
        <w:t>.</w:t>
      </w:r>
    </w:p>
    <w:p w14:paraId="7485ACE8"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 xml:space="preserve">Tratado de Extradición entre Chile y Bolivia de 15 de diciembre de 1910, ratificado a través </w:t>
      </w:r>
      <w:r w:rsidR="00D554B8">
        <w:t>de Ley de 12 de octubre de 1911</w:t>
      </w:r>
      <w:r w:rsidR="00FD4654">
        <w:t>.</w:t>
      </w:r>
    </w:p>
    <w:p w14:paraId="47472A01"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Tratado de Extradición entre Ecuador y Bolivia de 21 de julio de 1913, ratificado a través d</w:t>
      </w:r>
      <w:r w:rsidR="00D554B8">
        <w:t>e Ley de 4 de diciembre de 1914</w:t>
      </w:r>
      <w:r w:rsidR="00FD4654">
        <w:t>.</w:t>
      </w:r>
    </w:p>
    <w:p w14:paraId="10234D98"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Tratado de Extradición entre Brasil y Bolivia de 25 de febrero de 1938, ratificado</w:t>
      </w:r>
      <w:r w:rsidR="00D554B8">
        <w:t xml:space="preserve"> por Ley de 18 de abril de 1941</w:t>
      </w:r>
      <w:r w:rsidR="00FD4654">
        <w:t>.</w:t>
      </w:r>
    </w:p>
    <w:p w14:paraId="356482E8"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 xml:space="preserve">Tratado de Extradición entre Bolivia y España de 24 de abril de 1990, ratificado mediante </w:t>
      </w:r>
      <w:r w:rsidR="00D554B8">
        <w:t>Ley 1614 de 31 de enero de 1995</w:t>
      </w:r>
      <w:r w:rsidR="00FD4654">
        <w:t>.</w:t>
      </w:r>
    </w:p>
    <w:p w14:paraId="6BFECB15"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Tratado de Extradición entre el Gobierno de la República de Bolivia y el Gobierno de los Estados Unidos de América de 27 de junio de 1995, ratificado mediante Ley 1721 de 6</w:t>
      </w:r>
      <w:r w:rsidR="00D554B8">
        <w:t xml:space="preserve"> de noviembre de 1996</w:t>
      </w:r>
      <w:r w:rsidR="00FD4654">
        <w:t>.</w:t>
      </w:r>
    </w:p>
    <w:p w14:paraId="28C1C570"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Tratado de Extradición entre la República de Bolivia y la República d</w:t>
      </w:r>
      <w:r w:rsidR="00D554B8">
        <w:t>el Perú de 27 de agosto de 2003</w:t>
      </w:r>
      <w:r w:rsidR="00FD4654">
        <w:t>.</w:t>
      </w:r>
    </w:p>
    <w:p w14:paraId="2CC0273D"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Acuerdo sobre Extradición entre los Estados parte del MERCOSUR de 10 de diciembre de 1998, ratificado mediante Ley 2830 de 3 de sep</w:t>
      </w:r>
      <w:r w:rsidR="00D554B8">
        <w:t>tiembre de 2004</w:t>
      </w:r>
      <w:r w:rsidR="00FD4654">
        <w:t>.</w:t>
      </w:r>
    </w:p>
    <w:p w14:paraId="62AE28EC"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Tratado de Extradición entre la República del Paraguay y la República de Bolivia de</w:t>
      </w:r>
      <w:r w:rsidR="00DA769E">
        <w:t> </w:t>
      </w:r>
      <w:r w:rsidR="00B36B7E" w:rsidRPr="00B36B7E">
        <w:t>11 de julio de 2000, ratificado mediante</w:t>
      </w:r>
      <w:r w:rsidR="00D554B8">
        <w:t xml:space="preserve"> Ley 3397 de 23 de mayo de 2006</w:t>
      </w:r>
      <w:r w:rsidR="00FD4654">
        <w:t>.</w:t>
      </w:r>
    </w:p>
    <w:p w14:paraId="4E64D6CD"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t>Tratado de Extradición entre los Estados Unidos Mexicanos y la República de Bolivi</w:t>
      </w:r>
      <w:r w:rsidR="00D554B8">
        <w:t>a de 25 de octubre de 2007</w:t>
      </w:r>
      <w:r w:rsidR="00FD4654">
        <w:t>.</w:t>
      </w:r>
    </w:p>
    <w:p w14:paraId="0D9153FD" w14:textId="77777777" w:rsidR="00B36B7E" w:rsidRDefault="00235247" w:rsidP="00777507">
      <w:pPr>
        <w:pStyle w:val="Bullet1G"/>
        <w:numPr>
          <w:ilvl w:val="0"/>
          <w:numId w:val="0"/>
        </w:numPr>
        <w:tabs>
          <w:tab w:val="left" w:pos="1701"/>
        </w:tabs>
        <w:ind w:left="1701" w:hanging="170"/>
        <w:rPr>
          <w:b/>
          <w:spacing w:val="-2"/>
        </w:rPr>
      </w:pPr>
      <w:r>
        <w:rPr>
          <w:spacing w:val="-2"/>
        </w:rPr>
        <w:t>•</w:t>
      </w:r>
      <w:r>
        <w:rPr>
          <w:spacing w:val="-2"/>
        </w:rPr>
        <w:tab/>
      </w:r>
      <w:r w:rsidR="00B36B7E" w:rsidRPr="00B36B7E">
        <w:rPr>
          <w:spacing w:val="-2"/>
        </w:rPr>
        <w:t>Tratado de Extradición entre la República Argentina y el Estado Plurinacional de Bolivia de 22 de agosto de 2013, ratificado mediante Ley 723 de 24 de agosto de 2015.</w:t>
      </w:r>
      <w:r w:rsidR="00B36B7E" w:rsidRPr="00B36B7E">
        <w:rPr>
          <w:b/>
          <w:spacing w:val="-2"/>
        </w:rPr>
        <w:t xml:space="preserve"> </w:t>
      </w:r>
    </w:p>
    <w:p w14:paraId="1B4FB866"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Artículo 10</w:t>
      </w:r>
    </w:p>
    <w:p w14:paraId="5C61F054"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Repuesta al párrafo 13</w:t>
      </w:r>
      <w:r w:rsidR="00B55F3D" w:rsidRPr="00B55F3D">
        <w:rPr>
          <w:lang w:val="es-CU"/>
        </w:rPr>
        <w:t xml:space="preserve"> </w:t>
      </w:r>
      <w:r w:rsidR="00B55F3D">
        <w:rPr>
          <w:lang w:val="es-CU"/>
        </w:rPr>
        <w:t>de la lista de</w:t>
      </w:r>
      <w:r w:rsidR="00B55F3D">
        <w:rPr>
          <w:lang w:val="es-ES_tradnl"/>
        </w:rPr>
        <w:t xml:space="preserve"> </w:t>
      </w:r>
      <w:r w:rsidR="00B55F3D" w:rsidRPr="00E9029D">
        <w:rPr>
          <w:lang w:val="es-ES_tradnl"/>
        </w:rPr>
        <w:t>cuestiones</w:t>
      </w:r>
    </w:p>
    <w:p w14:paraId="344DA719" w14:textId="77777777" w:rsidR="00B36B7E" w:rsidRDefault="00D554B8" w:rsidP="00D554B8">
      <w:pPr>
        <w:pStyle w:val="H4G"/>
        <w:rPr>
          <w:lang w:eastAsia="en-US"/>
        </w:rPr>
      </w:pPr>
      <w:r>
        <w:rPr>
          <w:lang w:eastAsia="en-US"/>
        </w:rPr>
        <w:tab/>
      </w:r>
      <w:r>
        <w:rPr>
          <w:lang w:eastAsia="en-US"/>
        </w:rPr>
        <w:tab/>
      </w:r>
      <w:r w:rsidR="00B36B7E" w:rsidRPr="00B36B7E">
        <w:rPr>
          <w:lang w:eastAsia="en-US"/>
        </w:rPr>
        <w:t>Programas de formación</w:t>
      </w:r>
    </w:p>
    <w:p w14:paraId="22104918" w14:textId="77777777" w:rsidR="00B36B7E" w:rsidRPr="00B36B7E" w:rsidRDefault="00235247" w:rsidP="00777507">
      <w:pPr>
        <w:pStyle w:val="SingleTxtG"/>
        <w:spacing w:before="120"/>
        <w:rPr>
          <w:lang w:eastAsia="en-US"/>
        </w:rPr>
      </w:pPr>
      <w:r w:rsidRPr="00B36B7E">
        <w:rPr>
          <w:lang w:eastAsia="en-US"/>
        </w:rPr>
        <w:t>72.</w:t>
      </w:r>
      <w:r w:rsidRPr="00B36B7E">
        <w:rPr>
          <w:lang w:eastAsia="en-US"/>
        </w:rPr>
        <w:tab/>
      </w:r>
      <w:r w:rsidR="00B36B7E" w:rsidRPr="00B36B7E">
        <w:rPr>
          <w:rFonts w:eastAsia="SimSun"/>
          <w:lang w:eastAsia="es-BO"/>
        </w:rPr>
        <w:t xml:space="preserve">Adicionalmente, a lo señalado en el Tercer Informe Periódico, el SEPRET realizó talleres de </w:t>
      </w:r>
      <w:r w:rsidR="00B36B7E" w:rsidRPr="00660E27">
        <w:rPr>
          <w:lang w:eastAsia="en-US"/>
        </w:rPr>
        <w:t>promoción</w:t>
      </w:r>
      <w:r w:rsidR="00B36B7E" w:rsidRPr="00B36B7E">
        <w:rPr>
          <w:rFonts w:eastAsia="SimSun"/>
          <w:lang w:eastAsia="es-BO"/>
        </w:rPr>
        <w:t xml:space="preserve">, difusión y capacitación en la temática de prevención de la tortura, </w:t>
      </w:r>
      <w:r w:rsidR="00B36B7E" w:rsidRPr="00B36B7E">
        <w:rPr>
          <w:lang w:eastAsia="en-US"/>
        </w:rPr>
        <w:t>dirigido a funcionarios de la Policial Boliviana; Unidades de Conciliación Ciudadana y Familiar; PPL, funcionarios de Régimen Penitenciario; y sociedad civil.</w:t>
      </w:r>
    </w:p>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2"/>
        <w:gridCol w:w="1297"/>
        <w:gridCol w:w="506"/>
        <w:gridCol w:w="687"/>
        <w:gridCol w:w="1140"/>
        <w:gridCol w:w="650"/>
        <w:gridCol w:w="1285"/>
        <w:gridCol w:w="530"/>
        <w:gridCol w:w="603"/>
      </w:tblGrid>
      <w:tr w:rsidR="00777507" w:rsidRPr="00210112" w14:paraId="6557C876"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12" w:space="0" w:color="auto"/>
            </w:tcBorders>
            <w:shd w:val="clear" w:color="auto" w:fill="auto"/>
            <w:vAlign w:val="bottom"/>
          </w:tcPr>
          <w:p w14:paraId="65D0DD7B" w14:textId="77777777" w:rsidR="00FD4654" w:rsidRPr="00210112" w:rsidRDefault="00B36B7E" w:rsidP="00777507">
            <w:pPr>
              <w:spacing w:before="80" w:after="80" w:line="200" w:lineRule="exact"/>
              <w:rPr>
                <w:rFonts w:ascii="Times New Roman" w:hAnsi="Times New Roman"/>
                <w:b w:val="0"/>
                <w:i/>
                <w:color w:val="auto"/>
                <w:sz w:val="16"/>
                <w:lang w:eastAsia="en-US"/>
              </w:rPr>
            </w:pPr>
            <w:r w:rsidRPr="00210112">
              <w:rPr>
                <w:i/>
                <w:sz w:val="16"/>
                <w:lang w:eastAsia="en-US"/>
              </w:rPr>
              <w:t>Gestión</w:t>
            </w:r>
          </w:p>
        </w:tc>
        <w:tc>
          <w:tcPr>
            <w:tcW w:w="0" w:type="dxa"/>
            <w:tcBorders>
              <w:top w:val="single" w:sz="4" w:space="0" w:color="auto"/>
              <w:bottom w:val="single" w:sz="12" w:space="0" w:color="auto"/>
            </w:tcBorders>
            <w:shd w:val="clear" w:color="auto" w:fill="auto"/>
            <w:vAlign w:val="bottom"/>
          </w:tcPr>
          <w:p w14:paraId="18CDA7A1" w14:textId="77777777" w:rsidR="00B36B7E" w:rsidRPr="00210112" w:rsidRDefault="00B36B7E" w:rsidP="00777507">
            <w:pPr>
              <w:spacing w:before="80" w:after="80" w:line="200" w:lineRule="exact"/>
              <w:ind w:left="113"/>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Ciudad</w:t>
            </w:r>
          </w:p>
        </w:tc>
        <w:tc>
          <w:tcPr>
            <w:tcW w:w="0" w:type="dxa"/>
            <w:tcBorders>
              <w:top w:val="single" w:sz="4" w:space="0" w:color="auto"/>
              <w:bottom w:val="single" w:sz="12" w:space="0" w:color="auto"/>
            </w:tcBorders>
            <w:shd w:val="clear" w:color="auto" w:fill="auto"/>
            <w:vAlign w:val="bottom"/>
          </w:tcPr>
          <w:p w14:paraId="24A48D34"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La Paz</w:t>
            </w:r>
          </w:p>
        </w:tc>
        <w:tc>
          <w:tcPr>
            <w:tcW w:w="0" w:type="dxa"/>
            <w:tcBorders>
              <w:top w:val="single" w:sz="4" w:space="0" w:color="auto"/>
              <w:bottom w:val="single" w:sz="12" w:space="0" w:color="auto"/>
            </w:tcBorders>
            <w:shd w:val="clear" w:color="auto" w:fill="auto"/>
            <w:vAlign w:val="bottom"/>
          </w:tcPr>
          <w:p w14:paraId="57C9C2D4"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Potosí</w:t>
            </w:r>
          </w:p>
        </w:tc>
        <w:tc>
          <w:tcPr>
            <w:tcW w:w="0" w:type="dxa"/>
            <w:tcBorders>
              <w:top w:val="single" w:sz="4" w:space="0" w:color="auto"/>
              <w:bottom w:val="single" w:sz="12" w:space="0" w:color="auto"/>
            </w:tcBorders>
            <w:shd w:val="clear" w:color="auto" w:fill="auto"/>
            <w:vAlign w:val="bottom"/>
          </w:tcPr>
          <w:p w14:paraId="72442F08"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Chuquisaca</w:t>
            </w:r>
          </w:p>
        </w:tc>
        <w:tc>
          <w:tcPr>
            <w:tcW w:w="0" w:type="dxa"/>
            <w:tcBorders>
              <w:top w:val="single" w:sz="4" w:space="0" w:color="auto"/>
              <w:bottom w:val="single" w:sz="12" w:space="0" w:color="auto"/>
            </w:tcBorders>
            <w:shd w:val="clear" w:color="auto" w:fill="auto"/>
            <w:vAlign w:val="bottom"/>
          </w:tcPr>
          <w:p w14:paraId="3CCD34F3"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 xml:space="preserve">Santa Cruz </w:t>
            </w:r>
          </w:p>
        </w:tc>
        <w:tc>
          <w:tcPr>
            <w:tcW w:w="0" w:type="dxa"/>
            <w:tcBorders>
              <w:top w:val="single" w:sz="4" w:space="0" w:color="auto"/>
              <w:bottom w:val="single" w:sz="12" w:space="0" w:color="auto"/>
            </w:tcBorders>
            <w:shd w:val="clear" w:color="auto" w:fill="auto"/>
            <w:vAlign w:val="bottom"/>
          </w:tcPr>
          <w:p w14:paraId="27752F9C"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Cochabamba</w:t>
            </w:r>
          </w:p>
        </w:tc>
        <w:tc>
          <w:tcPr>
            <w:tcW w:w="0" w:type="dxa"/>
            <w:tcBorders>
              <w:top w:val="single" w:sz="4" w:space="0" w:color="auto"/>
              <w:bottom w:val="single" w:sz="12" w:space="0" w:color="auto"/>
            </w:tcBorders>
            <w:shd w:val="clear" w:color="auto" w:fill="auto"/>
            <w:vAlign w:val="bottom"/>
          </w:tcPr>
          <w:p w14:paraId="55B04BA3"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Beni</w:t>
            </w:r>
          </w:p>
        </w:tc>
        <w:tc>
          <w:tcPr>
            <w:tcW w:w="0" w:type="dxa"/>
            <w:tcBorders>
              <w:top w:val="single" w:sz="4" w:space="0" w:color="auto"/>
              <w:bottom w:val="single" w:sz="12" w:space="0" w:color="auto"/>
            </w:tcBorders>
            <w:shd w:val="clear" w:color="auto" w:fill="auto"/>
            <w:vAlign w:val="bottom"/>
          </w:tcPr>
          <w:p w14:paraId="67528F7E"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T</w:t>
            </w:r>
            <w:r w:rsidR="00FD4654" w:rsidRPr="00210112">
              <w:rPr>
                <w:i/>
                <w:sz w:val="16"/>
                <w:lang w:eastAsia="en-US"/>
              </w:rPr>
              <w:t>otal</w:t>
            </w:r>
          </w:p>
        </w:tc>
      </w:tr>
      <w:tr w:rsidR="00210112" w:rsidRPr="00210112" w14:paraId="01841492"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shd w:val="clear" w:color="auto" w:fill="auto"/>
          </w:tcPr>
          <w:p w14:paraId="73B24216" w14:textId="77777777" w:rsidR="00FD4654" w:rsidRPr="00777507" w:rsidRDefault="00FD4654">
            <w:pPr>
              <w:spacing w:before="40" w:after="40" w:line="220" w:lineRule="exact"/>
              <w:rPr>
                <w:rFonts w:ascii="Times New Roman" w:hAnsi="Times New Roman"/>
                <w:b w:val="0"/>
                <w:bCs w:val="0"/>
                <w:color w:val="auto"/>
                <w:sz w:val="18"/>
                <w:lang w:eastAsia="en-US"/>
              </w:rPr>
            </w:pPr>
            <w:r w:rsidRPr="00210112">
              <w:rPr>
                <w:sz w:val="18"/>
                <w:lang w:eastAsia="en-US"/>
              </w:rPr>
              <w:t>2018</w:t>
            </w:r>
          </w:p>
        </w:tc>
        <w:tc>
          <w:tcPr>
            <w:tcW w:w="0" w:type="dxa"/>
            <w:tcBorders>
              <w:top w:val="single" w:sz="12" w:space="0" w:color="auto"/>
            </w:tcBorders>
            <w:shd w:val="clear" w:color="auto" w:fill="auto"/>
            <w:vAlign w:val="bottom"/>
          </w:tcPr>
          <w:p w14:paraId="189E436D" w14:textId="77777777" w:rsidR="00FD4654" w:rsidRPr="00777507" w:rsidRDefault="00FD4654" w:rsidP="00777507">
            <w:pPr>
              <w:spacing w:before="40" w:after="40" w:line="220" w:lineRule="exact"/>
              <w:ind w:left="113"/>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r w:rsidRPr="00210112">
              <w:rPr>
                <w:sz w:val="18"/>
                <w:lang w:eastAsia="en-US"/>
              </w:rPr>
              <w:t>Nº de talleres</w:t>
            </w:r>
          </w:p>
        </w:tc>
        <w:tc>
          <w:tcPr>
            <w:tcW w:w="0" w:type="dxa"/>
            <w:tcBorders>
              <w:top w:val="single" w:sz="12" w:space="0" w:color="auto"/>
            </w:tcBorders>
            <w:shd w:val="clear" w:color="auto" w:fill="auto"/>
            <w:vAlign w:val="bottom"/>
          </w:tcPr>
          <w:p w14:paraId="0A8D62C6"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10</w:t>
            </w:r>
          </w:p>
        </w:tc>
        <w:tc>
          <w:tcPr>
            <w:tcW w:w="0" w:type="dxa"/>
            <w:tcBorders>
              <w:top w:val="single" w:sz="12" w:space="0" w:color="auto"/>
            </w:tcBorders>
            <w:shd w:val="clear" w:color="auto" w:fill="auto"/>
            <w:vAlign w:val="bottom"/>
          </w:tcPr>
          <w:p w14:paraId="6D1305EB"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1</w:t>
            </w:r>
          </w:p>
        </w:tc>
        <w:tc>
          <w:tcPr>
            <w:tcW w:w="0" w:type="dxa"/>
            <w:tcBorders>
              <w:top w:val="single" w:sz="12" w:space="0" w:color="auto"/>
            </w:tcBorders>
            <w:shd w:val="clear" w:color="auto" w:fill="auto"/>
            <w:vAlign w:val="bottom"/>
          </w:tcPr>
          <w:p w14:paraId="0DD6E6DC"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2</w:t>
            </w:r>
          </w:p>
        </w:tc>
        <w:tc>
          <w:tcPr>
            <w:tcW w:w="0" w:type="dxa"/>
            <w:tcBorders>
              <w:top w:val="single" w:sz="12" w:space="0" w:color="auto"/>
            </w:tcBorders>
            <w:shd w:val="clear" w:color="auto" w:fill="auto"/>
            <w:vAlign w:val="bottom"/>
          </w:tcPr>
          <w:p w14:paraId="08633B59"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1</w:t>
            </w:r>
          </w:p>
        </w:tc>
        <w:tc>
          <w:tcPr>
            <w:tcW w:w="0" w:type="dxa"/>
            <w:tcBorders>
              <w:top w:val="single" w:sz="12" w:space="0" w:color="auto"/>
            </w:tcBorders>
            <w:shd w:val="clear" w:color="auto" w:fill="auto"/>
            <w:vAlign w:val="bottom"/>
          </w:tcPr>
          <w:p w14:paraId="61E88C5D"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1</w:t>
            </w:r>
          </w:p>
        </w:tc>
        <w:tc>
          <w:tcPr>
            <w:tcW w:w="0" w:type="dxa"/>
            <w:tcBorders>
              <w:top w:val="single" w:sz="12" w:space="0" w:color="auto"/>
            </w:tcBorders>
            <w:shd w:val="clear" w:color="auto" w:fill="auto"/>
            <w:vAlign w:val="bottom"/>
          </w:tcPr>
          <w:p w14:paraId="315DAD1E"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p>
        </w:tc>
        <w:tc>
          <w:tcPr>
            <w:tcW w:w="0" w:type="dxa"/>
            <w:tcBorders>
              <w:top w:val="single" w:sz="12" w:space="0" w:color="auto"/>
            </w:tcBorders>
            <w:shd w:val="clear" w:color="auto" w:fill="auto"/>
            <w:vAlign w:val="bottom"/>
          </w:tcPr>
          <w:p w14:paraId="71C72FDD"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15</w:t>
            </w:r>
          </w:p>
        </w:tc>
      </w:tr>
      <w:tr w:rsidR="00210112" w:rsidRPr="00210112" w14:paraId="1C277FA7"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14:paraId="4315CC14" w14:textId="77777777" w:rsidR="00FD4654" w:rsidRPr="00777507" w:rsidRDefault="00FD4654">
            <w:pPr>
              <w:spacing w:before="40" w:after="40" w:line="220" w:lineRule="exact"/>
              <w:rPr>
                <w:rFonts w:ascii="Times New Roman" w:hAnsi="Times New Roman"/>
                <w:b w:val="0"/>
                <w:bCs w:val="0"/>
                <w:color w:val="auto"/>
                <w:sz w:val="18"/>
                <w:lang w:eastAsia="en-US"/>
              </w:rPr>
            </w:pPr>
          </w:p>
        </w:tc>
        <w:tc>
          <w:tcPr>
            <w:tcW w:w="0" w:type="dxa"/>
            <w:shd w:val="clear" w:color="auto" w:fill="auto"/>
            <w:vAlign w:val="bottom"/>
          </w:tcPr>
          <w:p w14:paraId="3642E718" w14:textId="77777777" w:rsidR="00FD4654" w:rsidRPr="00777507" w:rsidRDefault="00FD4654" w:rsidP="00777507">
            <w:pPr>
              <w:spacing w:before="40" w:after="40" w:line="220" w:lineRule="exact"/>
              <w:ind w:left="113"/>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r w:rsidRPr="00210112">
              <w:rPr>
                <w:sz w:val="18"/>
                <w:lang w:eastAsia="en-US"/>
              </w:rPr>
              <w:t>Nº de personas capacitadas</w:t>
            </w:r>
          </w:p>
        </w:tc>
        <w:tc>
          <w:tcPr>
            <w:tcW w:w="0" w:type="dxa"/>
            <w:shd w:val="clear" w:color="auto" w:fill="auto"/>
            <w:vAlign w:val="bottom"/>
          </w:tcPr>
          <w:p w14:paraId="3FA86221"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368</w:t>
            </w:r>
          </w:p>
        </w:tc>
        <w:tc>
          <w:tcPr>
            <w:tcW w:w="0" w:type="dxa"/>
            <w:shd w:val="clear" w:color="auto" w:fill="auto"/>
            <w:vAlign w:val="bottom"/>
          </w:tcPr>
          <w:p w14:paraId="39C960BC"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11</w:t>
            </w:r>
          </w:p>
        </w:tc>
        <w:tc>
          <w:tcPr>
            <w:tcW w:w="0" w:type="dxa"/>
            <w:shd w:val="clear" w:color="auto" w:fill="auto"/>
            <w:vAlign w:val="bottom"/>
          </w:tcPr>
          <w:p w14:paraId="7D90D07A"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100</w:t>
            </w:r>
          </w:p>
        </w:tc>
        <w:tc>
          <w:tcPr>
            <w:tcW w:w="0" w:type="dxa"/>
            <w:shd w:val="clear" w:color="auto" w:fill="auto"/>
            <w:vAlign w:val="bottom"/>
          </w:tcPr>
          <w:p w14:paraId="379AE3C3"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12</w:t>
            </w:r>
          </w:p>
        </w:tc>
        <w:tc>
          <w:tcPr>
            <w:tcW w:w="0" w:type="dxa"/>
            <w:shd w:val="clear" w:color="auto" w:fill="auto"/>
            <w:vAlign w:val="bottom"/>
          </w:tcPr>
          <w:p w14:paraId="4C208B07"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100</w:t>
            </w:r>
          </w:p>
        </w:tc>
        <w:tc>
          <w:tcPr>
            <w:tcW w:w="0" w:type="dxa"/>
            <w:shd w:val="clear" w:color="auto" w:fill="auto"/>
            <w:vAlign w:val="bottom"/>
          </w:tcPr>
          <w:p w14:paraId="1782678F"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p>
        </w:tc>
        <w:tc>
          <w:tcPr>
            <w:tcW w:w="0" w:type="dxa"/>
            <w:shd w:val="clear" w:color="auto" w:fill="auto"/>
            <w:vAlign w:val="bottom"/>
          </w:tcPr>
          <w:p w14:paraId="00CB8E87" w14:textId="77777777" w:rsidR="00FD4654" w:rsidRPr="00777507" w:rsidRDefault="00FD4654"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18"/>
                <w:lang w:eastAsia="en-US"/>
              </w:rPr>
            </w:pPr>
            <w:r w:rsidRPr="00210112">
              <w:rPr>
                <w:sz w:val="18"/>
                <w:lang w:eastAsia="en-US"/>
              </w:rPr>
              <w:t>591</w:t>
            </w:r>
          </w:p>
        </w:tc>
      </w:tr>
      <w:tr w:rsidR="00210112" w:rsidRPr="00210112" w14:paraId="3111F381"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3258DC66" w14:textId="77777777" w:rsidR="00B36B7E" w:rsidRPr="00777507" w:rsidRDefault="00B36B7E">
            <w:pPr>
              <w:spacing w:before="40" w:after="40" w:line="220" w:lineRule="exact"/>
              <w:rPr>
                <w:rFonts w:ascii="Times New Roman" w:hAnsi="Times New Roman"/>
                <w:b w:val="0"/>
                <w:bCs w:val="0"/>
                <w:color w:val="auto"/>
                <w:sz w:val="18"/>
                <w:lang w:eastAsia="en-US"/>
              </w:rPr>
            </w:pPr>
          </w:p>
        </w:tc>
        <w:tc>
          <w:tcPr>
            <w:tcW w:w="0" w:type="dxa"/>
            <w:shd w:val="clear" w:color="auto" w:fill="auto"/>
            <w:vAlign w:val="bottom"/>
          </w:tcPr>
          <w:p w14:paraId="160BF2E9" w14:textId="77777777" w:rsidR="00B36B7E" w:rsidRPr="00777507" w:rsidRDefault="00B36B7E" w:rsidP="00777507">
            <w:pPr>
              <w:spacing w:before="40" w:after="40" w:line="220" w:lineRule="exact"/>
              <w:ind w:left="113"/>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shd w:val="clear" w:color="auto" w:fill="auto"/>
            <w:vAlign w:val="bottom"/>
          </w:tcPr>
          <w:p w14:paraId="6372992A"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shd w:val="clear" w:color="auto" w:fill="auto"/>
            <w:vAlign w:val="bottom"/>
          </w:tcPr>
          <w:p w14:paraId="3E6AD183"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shd w:val="clear" w:color="auto" w:fill="auto"/>
            <w:vAlign w:val="bottom"/>
          </w:tcPr>
          <w:p w14:paraId="22F46A4E"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shd w:val="clear" w:color="auto" w:fill="auto"/>
            <w:vAlign w:val="bottom"/>
          </w:tcPr>
          <w:p w14:paraId="159EF267"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shd w:val="clear" w:color="auto" w:fill="auto"/>
            <w:vAlign w:val="bottom"/>
          </w:tcPr>
          <w:p w14:paraId="0DC61883"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shd w:val="clear" w:color="auto" w:fill="auto"/>
            <w:vAlign w:val="bottom"/>
          </w:tcPr>
          <w:p w14:paraId="03A70AD2"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shd w:val="clear" w:color="auto" w:fill="auto"/>
            <w:vAlign w:val="bottom"/>
          </w:tcPr>
          <w:p w14:paraId="3A56DABA"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r>
      <w:tr w:rsidR="00210112" w:rsidRPr="00210112" w14:paraId="5E731091"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14:paraId="18B75EDA" w14:textId="77777777" w:rsidR="00B36B7E" w:rsidRPr="00777507" w:rsidRDefault="00B36B7E">
            <w:pPr>
              <w:spacing w:before="40" w:after="40" w:line="220" w:lineRule="exact"/>
              <w:rPr>
                <w:rFonts w:ascii="Times New Roman" w:hAnsi="Times New Roman"/>
                <w:b w:val="0"/>
                <w:bCs w:val="0"/>
                <w:color w:val="auto"/>
                <w:sz w:val="18"/>
                <w:lang w:eastAsia="en-US"/>
              </w:rPr>
            </w:pPr>
            <w:r w:rsidRPr="00210112">
              <w:rPr>
                <w:sz w:val="18"/>
                <w:lang w:eastAsia="en-US"/>
              </w:rPr>
              <w:t>2019</w:t>
            </w:r>
          </w:p>
        </w:tc>
        <w:tc>
          <w:tcPr>
            <w:tcW w:w="0" w:type="dxa"/>
            <w:shd w:val="clear" w:color="auto" w:fill="auto"/>
            <w:vAlign w:val="bottom"/>
          </w:tcPr>
          <w:p w14:paraId="4DBE9382" w14:textId="77777777" w:rsidR="00B36B7E" w:rsidRPr="00210112" w:rsidRDefault="00B36B7E" w:rsidP="00777507">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Nº de talleres</w:t>
            </w:r>
          </w:p>
        </w:tc>
        <w:tc>
          <w:tcPr>
            <w:tcW w:w="0" w:type="dxa"/>
            <w:shd w:val="clear" w:color="auto" w:fill="auto"/>
            <w:vAlign w:val="bottom"/>
          </w:tcPr>
          <w:p w14:paraId="232DB28D"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5</w:t>
            </w:r>
          </w:p>
        </w:tc>
        <w:tc>
          <w:tcPr>
            <w:tcW w:w="0" w:type="dxa"/>
            <w:shd w:val="clear" w:color="auto" w:fill="auto"/>
            <w:vAlign w:val="bottom"/>
          </w:tcPr>
          <w:p w14:paraId="2B279A46"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shd w:val="clear" w:color="auto" w:fill="auto"/>
            <w:vAlign w:val="bottom"/>
          </w:tcPr>
          <w:p w14:paraId="29563B1C"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shd w:val="clear" w:color="auto" w:fill="auto"/>
            <w:vAlign w:val="bottom"/>
          </w:tcPr>
          <w:p w14:paraId="6C26662E"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shd w:val="clear" w:color="auto" w:fill="auto"/>
            <w:vAlign w:val="bottom"/>
          </w:tcPr>
          <w:p w14:paraId="182AD7B8"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3</w:t>
            </w:r>
          </w:p>
        </w:tc>
        <w:tc>
          <w:tcPr>
            <w:tcW w:w="0" w:type="dxa"/>
            <w:shd w:val="clear" w:color="auto" w:fill="auto"/>
            <w:vAlign w:val="bottom"/>
          </w:tcPr>
          <w:p w14:paraId="3EA25BA0"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2</w:t>
            </w:r>
          </w:p>
        </w:tc>
        <w:tc>
          <w:tcPr>
            <w:tcW w:w="0" w:type="dxa"/>
            <w:shd w:val="clear" w:color="auto" w:fill="auto"/>
            <w:vAlign w:val="bottom"/>
          </w:tcPr>
          <w:p w14:paraId="75A1E249"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r>
      <w:tr w:rsidR="00777507" w:rsidRPr="00210112" w14:paraId="78CBC9BE"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vMerge/>
            <w:tcBorders>
              <w:bottom w:val="single" w:sz="12" w:space="0" w:color="auto"/>
            </w:tcBorders>
            <w:shd w:val="clear" w:color="auto" w:fill="auto"/>
          </w:tcPr>
          <w:p w14:paraId="7F4F62DD" w14:textId="77777777" w:rsidR="00B36B7E" w:rsidRPr="00777507" w:rsidRDefault="00B36B7E">
            <w:pPr>
              <w:spacing w:before="40" w:after="40" w:line="220" w:lineRule="exact"/>
              <w:rPr>
                <w:rFonts w:ascii="Times New Roman" w:hAnsi="Times New Roman"/>
                <w:b w:val="0"/>
                <w:color w:val="auto"/>
                <w:sz w:val="18"/>
                <w:lang w:eastAsia="en-US"/>
              </w:rPr>
            </w:pPr>
          </w:p>
        </w:tc>
        <w:tc>
          <w:tcPr>
            <w:tcW w:w="0" w:type="dxa"/>
            <w:tcBorders>
              <w:bottom w:val="single" w:sz="12" w:space="0" w:color="auto"/>
            </w:tcBorders>
            <w:shd w:val="clear" w:color="auto" w:fill="auto"/>
            <w:vAlign w:val="bottom"/>
          </w:tcPr>
          <w:p w14:paraId="2390B079" w14:textId="77777777" w:rsidR="00B36B7E" w:rsidRPr="00210112" w:rsidRDefault="00B36B7E" w:rsidP="00777507">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210112">
              <w:rPr>
                <w:sz w:val="18"/>
                <w:lang w:eastAsia="en-US"/>
              </w:rPr>
              <w:t>Nº de personas capacitadas</w:t>
            </w:r>
          </w:p>
        </w:tc>
        <w:tc>
          <w:tcPr>
            <w:tcW w:w="0" w:type="dxa"/>
            <w:tcBorders>
              <w:bottom w:val="single" w:sz="12" w:space="0" w:color="auto"/>
            </w:tcBorders>
            <w:shd w:val="clear" w:color="auto" w:fill="auto"/>
            <w:vAlign w:val="bottom"/>
          </w:tcPr>
          <w:p w14:paraId="00CED2ED"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210112">
              <w:rPr>
                <w:sz w:val="18"/>
                <w:lang w:eastAsia="en-US"/>
              </w:rPr>
              <w:t>561</w:t>
            </w:r>
          </w:p>
        </w:tc>
        <w:tc>
          <w:tcPr>
            <w:tcW w:w="0" w:type="dxa"/>
            <w:tcBorders>
              <w:bottom w:val="single" w:sz="12" w:space="0" w:color="auto"/>
            </w:tcBorders>
            <w:shd w:val="clear" w:color="auto" w:fill="auto"/>
            <w:vAlign w:val="bottom"/>
          </w:tcPr>
          <w:p w14:paraId="197E6DB8"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p>
        </w:tc>
        <w:tc>
          <w:tcPr>
            <w:tcW w:w="0" w:type="dxa"/>
            <w:tcBorders>
              <w:bottom w:val="single" w:sz="12" w:space="0" w:color="auto"/>
            </w:tcBorders>
            <w:shd w:val="clear" w:color="auto" w:fill="auto"/>
            <w:vAlign w:val="bottom"/>
          </w:tcPr>
          <w:p w14:paraId="2243F859"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p>
        </w:tc>
        <w:tc>
          <w:tcPr>
            <w:tcW w:w="0" w:type="dxa"/>
            <w:tcBorders>
              <w:bottom w:val="single" w:sz="12" w:space="0" w:color="auto"/>
            </w:tcBorders>
            <w:shd w:val="clear" w:color="auto" w:fill="auto"/>
            <w:vAlign w:val="bottom"/>
          </w:tcPr>
          <w:p w14:paraId="249B3EC5"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p>
        </w:tc>
        <w:tc>
          <w:tcPr>
            <w:tcW w:w="0" w:type="dxa"/>
            <w:tcBorders>
              <w:bottom w:val="single" w:sz="12" w:space="0" w:color="auto"/>
            </w:tcBorders>
            <w:shd w:val="clear" w:color="auto" w:fill="auto"/>
            <w:vAlign w:val="bottom"/>
          </w:tcPr>
          <w:p w14:paraId="72C3D1E2"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210112">
              <w:rPr>
                <w:sz w:val="18"/>
                <w:lang w:eastAsia="en-US"/>
              </w:rPr>
              <w:t>470</w:t>
            </w:r>
          </w:p>
        </w:tc>
        <w:tc>
          <w:tcPr>
            <w:tcW w:w="0" w:type="dxa"/>
            <w:tcBorders>
              <w:bottom w:val="single" w:sz="12" w:space="0" w:color="auto"/>
            </w:tcBorders>
            <w:shd w:val="clear" w:color="auto" w:fill="auto"/>
            <w:vAlign w:val="bottom"/>
          </w:tcPr>
          <w:p w14:paraId="5D57CA24"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210112">
              <w:rPr>
                <w:sz w:val="18"/>
                <w:lang w:eastAsia="en-US"/>
              </w:rPr>
              <w:t>172</w:t>
            </w:r>
          </w:p>
        </w:tc>
        <w:tc>
          <w:tcPr>
            <w:tcW w:w="0" w:type="dxa"/>
            <w:tcBorders>
              <w:bottom w:val="single" w:sz="12" w:space="0" w:color="auto"/>
            </w:tcBorders>
            <w:shd w:val="clear" w:color="auto" w:fill="auto"/>
            <w:vAlign w:val="bottom"/>
          </w:tcPr>
          <w:p w14:paraId="0BF2B30E"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210112">
              <w:rPr>
                <w:sz w:val="18"/>
                <w:lang w:eastAsia="en-US"/>
              </w:rPr>
              <w:t>1</w:t>
            </w:r>
            <w:r w:rsidR="00FD4654" w:rsidRPr="00210112">
              <w:rPr>
                <w:sz w:val="18"/>
                <w:lang w:eastAsia="en-US"/>
              </w:rPr>
              <w:t xml:space="preserve"> </w:t>
            </w:r>
            <w:r w:rsidRPr="00210112">
              <w:rPr>
                <w:sz w:val="18"/>
                <w:lang w:eastAsia="en-US"/>
              </w:rPr>
              <w:t>203</w:t>
            </w:r>
          </w:p>
        </w:tc>
      </w:tr>
    </w:tbl>
    <w:p w14:paraId="3D077DED"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SEPRET</w:t>
      </w:r>
      <w:r w:rsidR="00285DBA">
        <w:rPr>
          <w:lang w:eastAsia="en-US"/>
        </w:rPr>
        <w:t>.</w:t>
      </w:r>
    </w:p>
    <w:p w14:paraId="6376C955" w14:textId="77777777" w:rsidR="00B36B7E" w:rsidRDefault="00235247" w:rsidP="00777507">
      <w:pPr>
        <w:pStyle w:val="SingleTxtG"/>
        <w:spacing w:before="120"/>
        <w:rPr>
          <w:lang w:eastAsia="en-US"/>
        </w:rPr>
      </w:pPr>
      <w:r>
        <w:rPr>
          <w:lang w:eastAsia="en-US"/>
        </w:rPr>
        <w:t>73.</w:t>
      </w:r>
      <w:r>
        <w:rPr>
          <w:lang w:eastAsia="en-US"/>
        </w:rPr>
        <w:tab/>
      </w:r>
      <w:r w:rsidR="00B36B7E" w:rsidRPr="00B36B7E">
        <w:rPr>
          <w:lang w:eastAsia="en-US"/>
        </w:rPr>
        <w:t xml:space="preserve">Durante la gestión 2020, el SEPRET de forma conjunta con la Escuela de Abogados del Estado de la Procuraduría General del Estado (PGE), están ejecutando un </w:t>
      </w:r>
      <w:r w:rsidR="00430519">
        <w:rPr>
          <w:lang w:eastAsia="en-US"/>
        </w:rPr>
        <w:t>“</w:t>
      </w:r>
      <w:r w:rsidR="00B36B7E" w:rsidRPr="00B36B7E">
        <w:rPr>
          <w:lang w:eastAsia="en-US"/>
        </w:rPr>
        <w:t xml:space="preserve">Plan de </w:t>
      </w:r>
      <w:r w:rsidR="00B36B7E" w:rsidRPr="00B36B7E">
        <w:rPr>
          <w:lang w:eastAsia="en-US"/>
        </w:rPr>
        <w:lastRenderedPageBreak/>
        <w:t>Capacitación de Emergencia contra la Tortura</w:t>
      </w:r>
      <w:r w:rsidR="00430519">
        <w:rPr>
          <w:lang w:eastAsia="en-US"/>
        </w:rPr>
        <w:t>”</w:t>
      </w:r>
      <w:r w:rsidR="00B36B7E" w:rsidRPr="00B36B7E">
        <w:rPr>
          <w:lang w:eastAsia="en-US"/>
        </w:rPr>
        <w:t>, dirigido fundamentalmente a funcionarios de la Policía Boliviana y servidores públicos relacionados potencialmente con hechos de tortura, tratos o penas crueles, inhumanas, degradantes o humillantes, con el objetivo de contar con funcionarios públicos de la Policía Boliviana debidamente capacitados a nivel nacional, especialmente con aquellos que tienen bajo su custodia a PPL o e situación de detención a objeto que se respeten los derechos constitucionales de las personas.</w:t>
      </w:r>
    </w:p>
    <w:p w14:paraId="5F16B2B8" w14:textId="77777777" w:rsidR="00B36B7E" w:rsidRDefault="00D554B8" w:rsidP="00D554B8">
      <w:pPr>
        <w:pStyle w:val="H23G"/>
        <w:rPr>
          <w:lang w:eastAsia="en-US"/>
        </w:rPr>
      </w:pPr>
      <w:r>
        <w:rPr>
          <w:lang w:eastAsia="en-US"/>
        </w:rPr>
        <w:tab/>
      </w:r>
      <w:r>
        <w:rPr>
          <w:lang w:eastAsia="en-US"/>
        </w:rPr>
        <w:tab/>
      </w:r>
      <w:r w:rsidR="00B36B7E" w:rsidRPr="00B36B7E">
        <w:rPr>
          <w:lang w:eastAsia="en-US"/>
        </w:rPr>
        <w:t>Repuesta al párrafo 14</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04D32BD1" w14:textId="77777777" w:rsidR="00B36B7E" w:rsidRDefault="00235247" w:rsidP="00777507">
      <w:pPr>
        <w:pStyle w:val="SingleTxtG"/>
        <w:spacing w:before="120"/>
      </w:pPr>
      <w:r>
        <w:t>74.</w:t>
      </w:r>
      <w:r>
        <w:tab/>
      </w:r>
      <w:r w:rsidR="00B36B7E" w:rsidRPr="00B36B7E">
        <w:t>Previamente, corresponde poner en conocimiento del Comité que los Instructivos emitidos por la FGE, a los que se hace referencia en los párrafos 53, 84, incs. iv) y v), y 211, apdo. a), son documentos que contienen disposiciones técnicas o explicativas para el cumplimiento de la función fiscal.</w:t>
      </w:r>
    </w:p>
    <w:p w14:paraId="3444A4C7" w14:textId="77777777" w:rsidR="00B36B7E" w:rsidRDefault="00235247" w:rsidP="00777507">
      <w:pPr>
        <w:pStyle w:val="SingleTxtG"/>
        <w:spacing w:before="120"/>
      </w:pPr>
      <w:r>
        <w:t>75.</w:t>
      </w:r>
      <w:r>
        <w:tab/>
      </w:r>
      <w:r w:rsidR="00B36B7E" w:rsidRPr="00B36B7E">
        <w:t xml:space="preserve">Respecto a cursos de capacitación dirigidos a jueces, fiscales, médicos forenses y personal médico que se ocupan de las </w:t>
      </w:r>
      <w:r w:rsidR="00B36B7E" w:rsidRPr="00B36B7E">
        <w:rPr>
          <w:lang w:eastAsia="en-US"/>
        </w:rPr>
        <w:t>PPL</w:t>
      </w:r>
      <w:r w:rsidR="00B36B7E" w:rsidRPr="00B36B7E">
        <w:t xml:space="preserve">, el SEPRET ha realizado la capacitación en el </w:t>
      </w:r>
      <w:r w:rsidR="00430519">
        <w:t>“</w:t>
      </w:r>
      <w:r w:rsidR="00B36B7E" w:rsidRPr="00B36B7E">
        <w:t xml:space="preserve">Taller de </w:t>
      </w:r>
      <w:r w:rsidR="00B36B7E" w:rsidRPr="00B36B7E">
        <w:rPr>
          <w:lang w:eastAsia="en-US"/>
        </w:rPr>
        <w:t>prevención</w:t>
      </w:r>
      <w:r w:rsidR="00B36B7E" w:rsidRPr="00B36B7E">
        <w:t xml:space="preserve"> de la Tortura y otros Tratos Crueles, Inhumanos o degradantes</w:t>
      </w:r>
      <w:r w:rsidR="00430519">
        <w:t>”</w:t>
      </w:r>
      <w:r w:rsidR="00B36B7E" w:rsidRPr="00B36B7E">
        <w:t xml:space="preserve">, dirigidos a técnicos del régimen penitenciario relacionados con el Protocolo de Estambul, habiéndose capacitado a 95 participantes nivel nacional en la gestión 2017. </w:t>
      </w:r>
    </w:p>
    <w:p w14:paraId="48723471"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Artículo 11</w:t>
      </w:r>
    </w:p>
    <w:p w14:paraId="6052BE32"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Repuesta al párrafo 15</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61577AA0" w14:textId="77777777" w:rsidR="00B36B7E" w:rsidRDefault="00D554B8" w:rsidP="00D554B8">
      <w:pPr>
        <w:pStyle w:val="H4G"/>
        <w:rPr>
          <w:lang w:eastAsia="en-US"/>
        </w:rPr>
      </w:pPr>
      <w:r>
        <w:rPr>
          <w:lang w:eastAsia="en-US"/>
        </w:rPr>
        <w:tab/>
      </w:r>
      <w:r>
        <w:rPr>
          <w:lang w:eastAsia="en-US"/>
        </w:rPr>
        <w:tab/>
      </w:r>
      <w:r w:rsidR="00B36B7E" w:rsidRPr="00B36B7E">
        <w:rPr>
          <w:lang w:eastAsia="en-US"/>
        </w:rPr>
        <w:t>Interrogatorio</w:t>
      </w:r>
    </w:p>
    <w:p w14:paraId="74082CA1" w14:textId="77777777" w:rsidR="00B36B7E" w:rsidRDefault="00235247" w:rsidP="00777507">
      <w:pPr>
        <w:pStyle w:val="SingleTxtG"/>
        <w:spacing w:before="120"/>
        <w:rPr>
          <w:lang w:eastAsia="en-US"/>
        </w:rPr>
      </w:pPr>
      <w:r>
        <w:rPr>
          <w:lang w:eastAsia="en-US"/>
        </w:rPr>
        <w:t>76.</w:t>
      </w:r>
      <w:r>
        <w:rPr>
          <w:lang w:eastAsia="en-US"/>
        </w:rPr>
        <w:tab/>
      </w:r>
      <w:r w:rsidR="00B36B7E" w:rsidRPr="00B36B7E">
        <w:rPr>
          <w:lang w:eastAsia="en-US"/>
        </w:rPr>
        <w:t>El CPP contempla la forma en la que se debe desarrollar el interrogatorio, quienes pueden participar de esta actuación, así como las formalidades que se deben cumplir, que preguntas no están permitidas, las fases en las que se puede hacer uso de este instrumento investigativo.</w:t>
      </w:r>
    </w:p>
    <w:p w14:paraId="78A51AE4" w14:textId="77777777" w:rsidR="00B36B7E" w:rsidRDefault="00235247" w:rsidP="00777507">
      <w:pPr>
        <w:pStyle w:val="SingleTxtG"/>
        <w:spacing w:before="120"/>
        <w:rPr>
          <w:lang w:eastAsia="en-US"/>
        </w:rPr>
      </w:pPr>
      <w:r>
        <w:rPr>
          <w:lang w:eastAsia="en-US"/>
        </w:rPr>
        <w:t>77.</w:t>
      </w:r>
      <w:r>
        <w:rPr>
          <w:lang w:eastAsia="en-US"/>
        </w:rPr>
        <w:tab/>
      </w:r>
      <w:r w:rsidR="00B36B7E" w:rsidRPr="00B36B7E">
        <w:rPr>
          <w:lang w:eastAsia="en-US"/>
        </w:rPr>
        <w:t xml:space="preserve">El artículo 92 del CPP, en su parte </w:t>
      </w:r>
      <w:r w:rsidR="00B36B7E" w:rsidRPr="00B36B7E">
        <w:rPr>
          <w:i/>
          <w:lang w:eastAsia="en-US"/>
        </w:rPr>
        <w:t>in fine,</w:t>
      </w:r>
      <w:r w:rsidR="00B36B7E" w:rsidRPr="00B36B7E">
        <w:rPr>
          <w:lang w:eastAsia="en-US"/>
        </w:rPr>
        <w:t xml:space="preserve"> dispone que los policías solo podrá interrogar al imputado con la presencia del fiscal y su abogado defensor, excepto para constatar su identidad.</w:t>
      </w:r>
    </w:p>
    <w:p w14:paraId="71058726" w14:textId="77777777" w:rsidR="00B36B7E" w:rsidRDefault="00235247" w:rsidP="00777507">
      <w:pPr>
        <w:pStyle w:val="SingleTxtG"/>
        <w:spacing w:before="120"/>
        <w:rPr>
          <w:lang w:eastAsia="en-US"/>
        </w:rPr>
      </w:pPr>
      <w:r>
        <w:rPr>
          <w:lang w:eastAsia="en-US"/>
        </w:rPr>
        <w:t>78.</w:t>
      </w:r>
      <w:r>
        <w:rPr>
          <w:lang w:eastAsia="en-US"/>
        </w:rPr>
        <w:tab/>
      </w:r>
      <w:r w:rsidR="00B36B7E" w:rsidRPr="00B36B7E">
        <w:rPr>
          <w:lang w:eastAsia="en-US"/>
        </w:rPr>
        <w:t xml:space="preserve">Respecto al momento en el que se llevará acabo, el Artículo 97 del mismo Código, establece: </w:t>
      </w:r>
      <w:r w:rsidR="00430519">
        <w:rPr>
          <w:i/>
          <w:lang w:eastAsia="en-US"/>
        </w:rPr>
        <w:t>“</w:t>
      </w:r>
      <w:r w:rsidR="00B36B7E" w:rsidRPr="00D554B8">
        <w:rPr>
          <w:i/>
          <w:lang w:eastAsia="en-US"/>
        </w:rPr>
        <w:t xml:space="preserve">Durante la etapa preparatoria, el imputado </w:t>
      </w:r>
      <w:r w:rsidR="000553C1" w:rsidRPr="00D554B8">
        <w:rPr>
          <w:i/>
          <w:lang w:eastAsia="en-US"/>
        </w:rPr>
        <w:t>prestará</w:t>
      </w:r>
      <w:r w:rsidR="00B36B7E" w:rsidRPr="00D554B8">
        <w:rPr>
          <w:i/>
          <w:lang w:eastAsia="en-US"/>
        </w:rPr>
        <w:t xml:space="preserve"> declaración ante el fiscal previa citación formal. El funcionario policial podrá participar en el acto previa citación formal pudiendo interrogar al imputado bajo la dirección del fiscal. La Autoridad </w:t>
      </w:r>
      <w:r w:rsidR="000553C1" w:rsidRPr="00D554B8">
        <w:rPr>
          <w:i/>
          <w:lang w:eastAsia="en-US"/>
        </w:rPr>
        <w:t>pre ventora</w:t>
      </w:r>
      <w:r w:rsidR="00B36B7E" w:rsidRPr="00D554B8">
        <w:rPr>
          <w:i/>
          <w:lang w:eastAsia="en-US"/>
        </w:rPr>
        <w:t xml:space="preserve"> informará al fiscal dentro de las ocho horas siguientes si el imputado ha sido detenido para que reciba su declaración en el plazo máximo de doce horas por computarse desde el momento de la recepción del informe, el incumplimiento de estas obligaciones se sancionara como delito de incumplimiento de deberes. Durante el juicio la declaración se recibirá en la oportunidad y formas previstas por los artículos 346 y 347 de este código. El imputado podrá solicitar que se le reciba una nueva declaración solicitud que será atendida siempre que la autoridad correspondiente no la considere como procedimiento dilatorio</w:t>
      </w:r>
      <w:r w:rsidR="00430519">
        <w:rPr>
          <w:i/>
          <w:lang w:eastAsia="en-US"/>
        </w:rPr>
        <w:t>”</w:t>
      </w:r>
      <w:r w:rsidR="00B36B7E" w:rsidRPr="00D554B8">
        <w:rPr>
          <w:i/>
          <w:lang w:eastAsia="en-US"/>
        </w:rPr>
        <w:t>.</w:t>
      </w:r>
      <w:r w:rsidR="00B36B7E" w:rsidRPr="00B36B7E">
        <w:rPr>
          <w:lang w:eastAsia="en-US"/>
        </w:rPr>
        <w:t xml:space="preserve"> </w:t>
      </w:r>
    </w:p>
    <w:p w14:paraId="7C1EB36A" w14:textId="77777777" w:rsidR="00B36B7E" w:rsidRDefault="00235247" w:rsidP="00777507">
      <w:pPr>
        <w:pStyle w:val="SingleTxtG"/>
        <w:spacing w:before="120"/>
        <w:rPr>
          <w:lang w:eastAsia="en-US"/>
        </w:rPr>
      </w:pPr>
      <w:r>
        <w:rPr>
          <w:lang w:eastAsia="en-US"/>
        </w:rPr>
        <w:t>79.</w:t>
      </w:r>
      <w:r>
        <w:rPr>
          <w:lang w:eastAsia="en-US"/>
        </w:rPr>
        <w:tab/>
      </w:r>
      <w:r w:rsidR="00B36B7E" w:rsidRPr="00B36B7E">
        <w:rPr>
          <w:lang w:eastAsia="en-US"/>
        </w:rPr>
        <w:t xml:space="preserve">Asimismo, el Artículo 351 del CPP, dispone que durante la sustanciación del juicio, el interrogatorio será: </w:t>
      </w:r>
      <w:r w:rsidR="00430519">
        <w:rPr>
          <w:i/>
          <w:lang w:eastAsia="en-US"/>
        </w:rPr>
        <w:t>“</w:t>
      </w:r>
      <w:r w:rsidR="00B36B7E" w:rsidRPr="00D554B8">
        <w:rPr>
          <w:i/>
          <w:lang w:eastAsia="en-US"/>
        </w:rPr>
        <w:t>Después de que el Juez o presidente del Tribunal interrogue al perito o testigo sobre su identidad personal y las circunstancias generales para valorar su declaración se dará curso al interrogatorio directo comenzando por quien lo propuso, continuando con las otras partes y luego podrán ser interrogados por el Juez, o Presidente y los demás miembros del Tribunal los declarantes responderán directamente a las preguntas que les formulen. Únicamente los peritos tendrán la facultad de consultar documentos, notas escritas, publicaciones y de utilizar medios técnicos durante su declaración. Los testigos no podrán ser interrogados por consultores técnicos. Concluida la declaración, el Juez o presidente del tribunal podrá ordenar que el declarante presencie la audiencia en antesala o se retire</w:t>
      </w:r>
      <w:r w:rsidR="00430519">
        <w:rPr>
          <w:i/>
          <w:lang w:eastAsia="en-US"/>
        </w:rPr>
        <w:t>”</w:t>
      </w:r>
      <w:r w:rsidR="00B36B7E" w:rsidRPr="00D554B8">
        <w:rPr>
          <w:i/>
          <w:lang w:eastAsia="en-US"/>
        </w:rPr>
        <w:t>.</w:t>
      </w:r>
      <w:r w:rsidR="00B36B7E" w:rsidRPr="00B36B7E">
        <w:rPr>
          <w:lang w:eastAsia="en-US"/>
        </w:rPr>
        <w:t xml:space="preserve"> </w:t>
      </w:r>
    </w:p>
    <w:p w14:paraId="40D5D807" w14:textId="77777777" w:rsidR="00B36B7E" w:rsidRDefault="00D554B8" w:rsidP="00D554B8">
      <w:pPr>
        <w:pStyle w:val="H4G"/>
        <w:rPr>
          <w:lang w:eastAsia="en-US"/>
        </w:rPr>
      </w:pPr>
      <w:r>
        <w:rPr>
          <w:lang w:eastAsia="en-US"/>
        </w:rPr>
        <w:lastRenderedPageBreak/>
        <w:tab/>
      </w:r>
      <w:r>
        <w:rPr>
          <w:lang w:eastAsia="en-US"/>
        </w:rPr>
        <w:tab/>
      </w:r>
      <w:r w:rsidR="00B36B7E" w:rsidRPr="00B36B7E">
        <w:rPr>
          <w:lang w:eastAsia="en-US"/>
        </w:rPr>
        <w:t xml:space="preserve">Medidas para reducir el hacinamiento </w:t>
      </w:r>
    </w:p>
    <w:p w14:paraId="66CD5B62" w14:textId="77777777" w:rsidR="00B36B7E" w:rsidRDefault="00235247" w:rsidP="00777507">
      <w:pPr>
        <w:pStyle w:val="SingleTxtG"/>
        <w:rPr>
          <w:lang w:eastAsia="en-US"/>
        </w:rPr>
      </w:pPr>
      <w:r>
        <w:rPr>
          <w:lang w:eastAsia="en-US"/>
        </w:rPr>
        <w:t>80.</w:t>
      </w:r>
      <w:r>
        <w:rPr>
          <w:lang w:eastAsia="en-US"/>
        </w:rPr>
        <w:tab/>
      </w:r>
      <w:r w:rsidR="00B36B7E" w:rsidRPr="00B36B7E">
        <w:rPr>
          <w:lang w:eastAsia="en-US"/>
        </w:rPr>
        <w:t xml:space="preserve">La </w:t>
      </w:r>
      <w:r w:rsidR="00B36B7E" w:rsidRPr="00B36B7E">
        <w:rPr>
          <w:bCs/>
          <w:lang w:eastAsia="en-US"/>
        </w:rPr>
        <w:t>Ley 1173</w:t>
      </w:r>
      <w:r w:rsidR="00B36B7E" w:rsidRPr="00B36B7E">
        <w:rPr>
          <w:lang w:eastAsia="en-US"/>
        </w:rPr>
        <w:t xml:space="preserve"> establece en su artículo 232, las causales de improcedencia de la detención preventiva</w:t>
      </w:r>
      <w:r w:rsidR="00B36B7E" w:rsidRPr="00777507">
        <w:rPr>
          <w:sz w:val="18"/>
          <w:szCs w:val="18"/>
          <w:vertAlign w:val="superscript"/>
          <w:lang w:eastAsia="en-US"/>
        </w:rPr>
        <w:footnoteReference w:id="25"/>
      </w:r>
      <w:r w:rsidR="00B36B7E" w:rsidRPr="00B36B7E">
        <w:rPr>
          <w:lang w:eastAsia="en-US"/>
        </w:rPr>
        <w:t xml:space="preserve">. En ese mismo contexto, el artículo 233 del señalado cuerpo normativo, indica: </w:t>
      </w:r>
      <w:r w:rsidR="00430519">
        <w:rPr>
          <w:i/>
          <w:lang w:eastAsia="en-US"/>
        </w:rPr>
        <w:t>“</w:t>
      </w:r>
      <w:r w:rsidR="00B36B7E" w:rsidRPr="00B36B7E">
        <w:rPr>
          <w:i/>
          <w:lang w:eastAsia="en-US"/>
        </w:rPr>
        <w:t>La detención preventiva únicamente será impuesta cuando las demás medidas cautelares personales sean insuficientes para asegurar la presencia del imputado y el no entorpecimiento de la averiguación del hecho. Será aplicable siempre previa imputación formal y ha pedido del fiscal o víctima, aunque no se hubiera constituido en querellante</w:t>
      </w:r>
      <w:r w:rsidR="00430519">
        <w:rPr>
          <w:i/>
          <w:lang w:eastAsia="en-US"/>
        </w:rPr>
        <w:t>”</w:t>
      </w:r>
      <w:r w:rsidR="00B36B7E" w:rsidRPr="00B36B7E">
        <w:rPr>
          <w:lang w:eastAsia="en-US"/>
        </w:rPr>
        <w:t>.</w:t>
      </w:r>
    </w:p>
    <w:p w14:paraId="6F37AC72" w14:textId="77777777" w:rsidR="00B36B7E" w:rsidRDefault="00235247" w:rsidP="00777507">
      <w:pPr>
        <w:pStyle w:val="SingleTxtG"/>
        <w:spacing w:before="120"/>
        <w:rPr>
          <w:lang w:eastAsia="en-US"/>
        </w:rPr>
      </w:pPr>
      <w:r>
        <w:rPr>
          <w:lang w:eastAsia="en-US"/>
        </w:rPr>
        <w:t>81.</w:t>
      </w:r>
      <w:r>
        <w:rPr>
          <w:lang w:eastAsia="en-US"/>
        </w:rPr>
        <w:tab/>
      </w:r>
      <w:r w:rsidR="00B36B7E" w:rsidRPr="00B36B7E">
        <w:rPr>
          <w:lang w:eastAsia="en-US"/>
        </w:rPr>
        <w:t>En consecuencia, el Estado boliviano con la Ley 1173, propone disminuir el ejercicio de la detención preventiva para reducir la población carcelaria. En el marco del derecho a la libertad de locomoción, tomando en cuenta que el Estado promueve la libertad como regla y la privación de libertad como excepción, establecido en nuestra Constitución y acorde con Instrumentos Internacionales en materia de Derechos Humanos.</w:t>
      </w:r>
    </w:p>
    <w:p w14:paraId="45DF7631" w14:textId="77777777" w:rsidR="00B36B7E" w:rsidRDefault="00D554B8" w:rsidP="00D554B8">
      <w:pPr>
        <w:pStyle w:val="H4G"/>
        <w:rPr>
          <w:lang w:eastAsia="en-US"/>
        </w:rPr>
      </w:pPr>
      <w:r>
        <w:rPr>
          <w:lang w:eastAsia="en-US"/>
        </w:rPr>
        <w:tab/>
      </w:r>
      <w:r>
        <w:rPr>
          <w:lang w:eastAsia="en-US"/>
        </w:rPr>
        <w:tab/>
      </w:r>
      <w:r w:rsidR="00B36B7E" w:rsidRPr="00B36B7E">
        <w:rPr>
          <w:lang w:eastAsia="en-US"/>
        </w:rPr>
        <w:t>Datos estadísticos sobre PPL</w:t>
      </w:r>
    </w:p>
    <w:p w14:paraId="28C61B7B" w14:textId="77777777" w:rsidR="00B36B7E" w:rsidRPr="00B36B7E" w:rsidRDefault="00235247" w:rsidP="00777507">
      <w:pPr>
        <w:pStyle w:val="SingleTxtG"/>
        <w:spacing w:before="120"/>
        <w:rPr>
          <w:sz w:val="18"/>
          <w:szCs w:val="18"/>
          <w:lang w:eastAsia="en-US"/>
        </w:rPr>
      </w:pPr>
      <w:r w:rsidRPr="00B36B7E">
        <w:rPr>
          <w:sz w:val="18"/>
          <w:szCs w:val="18"/>
          <w:lang w:eastAsia="en-US"/>
        </w:rPr>
        <w:t>82.</w:t>
      </w:r>
      <w:r w:rsidRPr="00B36B7E">
        <w:rPr>
          <w:sz w:val="18"/>
          <w:szCs w:val="18"/>
          <w:lang w:eastAsia="en-US"/>
        </w:rPr>
        <w:tab/>
      </w:r>
      <w:r w:rsidR="00B36B7E" w:rsidRPr="00B36B7E">
        <w:rPr>
          <w:lang w:eastAsia="en-US"/>
        </w:rPr>
        <w:t>En abril de 2019, el MJTI, en coordinación con</w:t>
      </w:r>
      <w:r w:rsidR="00B36B7E" w:rsidRPr="00B36B7E">
        <w:rPr>
          <w:highlight w:val="white"/>
          <w:lang w:eastAsia="en-US"/>
        </w:rPr>
        <w:t xml:space="preserve"> el </w:t>
      </w:r>
      <w:r w:rsidR="00B36B7E" w:rsidRPr="00B36B7E">
        <w:rPr>
          <w:lang w:eastAsia="en-US"/>
        </w:rPr>
        <w:t>Ministerio de Gobierno</w:t>
      </w:r>
      <w:r w:rsidR="00B36B7E" w:rsidRPr="00B36B7E">
        <w:rPr>
          <w:highlight w:val="white"/>
          <w:lang w:eastAsia="en-US"/>
        </w:rPr>
        <w:t xml:space="preserve">; </w:t>
      </w:r>
      <w:r w:rsidR="00B36B7E" w:rsidRPr="00B36B7E">
        <w:rPr>
          <w:lang w:eastAsia="en-US"/>
        </w:rPr>
        <w:t xml:space="preserve">Ministerio Público y Tribunal Supremo de Justicia, realizaron el </w:t>
      </w:r>
      <w:r w:rsidR="00430519">
        <w:rPr>
          <w:lang w:eastAsia="en-US"/>
        </w:rPr>
        <w:t>“</w:t>
      </w:r>
      <w:r w:rsidR="00B36B7E" w:rsidRPr="00B36B7E">
        <w:rPr>
          <w:lang w:eastAsia="en-US"/>
        </w:rPr>
        <w:t>Censo Carcelario</w:t>
      </w:r>
      <w:r w:rsidR="00430519">
        <w:rPr>
          <w:lang w:eastAsia="en-US"/>
        </w:rPr>
        <w:t>”</w:t>
      </w:r>
      <w:r w:rsidR="00B36B7E" w:rsidRPr="00B36B7E">
        <w:rPr>
          <w:lang w:eastAsia="en-US"/>
        </w:rPr>
        <w:t xml:space="preserve"> basado en las normas vigentes y convenios internacionales ratificados por nuestro Estado, a fin de identificar el número de PPL a nivel nacional; su situación jurídico procesal; sus condiciones económicas y sociales en los establecimientos penitenciarios y sus expectativas de vida, para la definición e implementación de políticas públicas que permitan garantizar el ejercicio pleno de los derechos de esta población. A </w:t>
      </w:r>
      <w:r w:rsidR="000553C1" w:rsidRPr="00B36B7E">
        <w:rPr>
          <w:lang w:eastAsia="en-US"/>
        </w:rPr>
        <w:t>continuación,</w:t>
      </w:r>
      <w:r w:rsidR="00B36B7E" w:rsidRPr="00B36B7E">
        <w:rPr>
          <w:lang w:eastAsia="en-US"/>
        </w:rPr>
        <w:t xml:space="preserve"> se presentan</w:t>
      </w:r>
      <w:r w:rsidR="000B30EA">
        <w:rPr>
          <w:lang w:eastAsia="en-US"/>
        </w:rPr>
        <w:t xml:space="preserve"> algunos de los datos obtenidos.</w:t>
      </w:r>
    </w:p>
    <w:tbl>
      <w:tblPr>
        <w:tblStyle w:val="GridTable4-Accent6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61"/>
        <w:gridCol w:w="644"/>
        <w:gridCol w:w="811"/>
        <w:gridCol w:w="654"/>
      </w:tblGrid>
      <w:tr w:rsidR="00210112" w:rsidRPr="00210112" w14:paraId="01B4435E"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gridSpan w:val="4"/>
            <w:tcBorders>
              <w:top w:val="single" w:sz="4" w:space="0" w:color="auto"/>
              <w:bottom w:val="single" w:sz="12" w:space="0" w:color="auto"/>
            </w:tcBorders>
            <w:shd w:val="clear" w:color="auto" w:fill="auto"/>
            <w:noWrap/>
            <w:vAlign w:val="bottom"/>
            <w:hideMark/>
          </w:tcPr>
          <w:p w14:paraId="531903D1" w14:textId="77777777" w:rsidR="00B36B7E" w:rsidRPr="00210112" w:rsidRDefault="00B36B7E">
            <w:pPr>
              <w:spacing w:before="80" w:after="80" w:line="200" w:lineRule="exact"/>
              <w:rPr>
                <w:rFonts w:ascii="Times New Roman" w:hAnsi="Times New Roman"/>
                <w:b w:val="0"/>
                <w:i/>
                <w:color w:val="auto"/>
                <w:sz w:val="16"/>
                <w:lang w:eastAsia="es-BO"/>
              </w:rPr>
            </w:pPr>
            <w:r w:rsidRPr="00210112">
              <w:rPr>
                <w:i/>
                <w:sz w:val="16"/>
                <w:lang w:eastAsia="es-BO"/>
              </w:rPr>
              <w:t>BOLIVIA: POBLACIÓN PRIVADA DE LIBERTAD POR SEXO, SEGÚN CARACTERÍSTICA SELECCIONADA, 2019</w:t>
            </w:r>
          </w:p>
        </w:tc>
      </w:tr>
      <w:tr w:rsidR="00210112" w:rsidRPr="00210112" w14:paraId="7920C82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auto"/>
            <w:hideMark/>
          </w:tcPr>
          <w:p w14:paraId="7B8929D6"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CARACTERÍSTICA SELECCIONADA</w:t>
            </w:r>
          </w:p>
        </w:tc>
        <w:tc>
          <w:tcPr>
            <w:tcW w:w="0" w:type="pct"/>
            <w:tcBorders>
              <w:top w:val="single" w:sz="12" w:space="0" w:color="auto"/>
            </w:tcBorders>
            <w:shd w:val="clear" w:color="auto" w:fill="auto"/>
            <w:hideMark/>
          </w:tcPr>
          <w:p w14:paraId="5816FBE4"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TOTAL</w:t>
            </w:r>
          </w:p>
        </w:tc>
        <w:tc>
          <w:tcPr>
            <w:tcW w:w="0" w:type="pct"/>
            <w:tcBorders>
              <w:top w:val="single" w:sz="12" w:space="0" w:color="auto"/>
            </w:tcBorders>
            <w:shd w:val="clear" w:color="auto" w:fill="auto"/>
            <w:hideMark/>
          </w:tcPr>
          <w:p w14:paraId="04CA420F"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HOMBRE</w:t>
            </w:r>
          </w:p>
        </w:tc>
        <w:tc>
          <w:tcPr>
            <w:tcW w:w="0" w:type="pct"/>
            <w:tcBorders>
              <w:top w:val="single" w:sz="12" w:space="0" w:color="auto"/>
            </w:tcBorders>
            <w:shd w:val="clear" w:color="auto" w:fill="auto"/>
            <w:hideMark/>
          </w:tcPr>
          <w:p w14:paraId="5E54DFF6"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MUJER</w:t>
            </w:r>
          </w:p>
        </w:tc>
      </w:tr>
      <w:tr w:rsidR="00210112" w:rsidRPr="00210112" w14:paraId="17004A90"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9AAFCDE"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BOLIVIA</w:t>
            </w:r>
          </w:p>
        </w:tc>
        <w:tc>
          <w:tcPr>
            <w:tcW w:w="0" w:type="pct"/>
            <w:shd w:val="clear" w:color="auto" w:fill="auto"/>
            <w:hideMark/>
          </w:tcPr>
          <w:p w14:paraId="2FB3D127"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18.437</w:t>
            </w:r>
          </w:p>
        </w:tc>
        <w:tc>
          <w:tcPr>
            <w:tcW w:w="0" w:type="pct"/>
            <w:shd w:val="clear" w:color="auto" w:fill="auto"/>
            <w:hideMark/>
          </w:tcPr>
          <w:p w14:paraId="206B8C6D"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16.969</w:t>
            </w:r>
          </w:p>
        </w:tc>
        <w:tc>
          <w:tcPr>
            <w:tcW w:w="0" w:type="pct"/>
            <w:shd w:val="clear" w:color="auto" w:fill="auto"/>
            <w:hideMark/>
          </w:tcPr>
          <w:p w14:paraId="58F70178"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1.468</w:t>
            </w:r>
          </w:p>
        </w:tc>
      </w:tr>
      <w:tr w:rsidR="00210112" w:rsidRPr="00210112" w14:paraId="565F8DD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139345B"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DEPARTAMENTO</w:t>
            </w:r>
          </w:p>
        </w:tc>
        <w:tc>
          <w:tcPr>
            <w:tcW w:w="0" w:type="pct"/>
            <w:shd w:val="clear" w:color="auto" w:fill="auto"/>
            <w:hideMark/>
          </w:tcPr>
          <w:p w14:paraId="0A9A49D3"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5C0ED10F"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3F7714A3"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r>
      <w:tr w:rsidR="00210112" w:rsidRPr="00210112" w14:paraId="0639A48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AD0C4F9"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Chuquisaca</w:t>
            </w:r>
          </w:p>
        </w:tc>
        <w:tc>
          <w:tcPr>
            <w:tcW w:w="0" w:type="pct"/>
            <w:shd w:val="clear" w:color="auto" w:fill="auto"/>
            <w:hideMark/>
          </w:tcPr>
          <w:p w14:paraId="26215ED3"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721</w:t>
            </w:r>
          </w:p>
        </w:tc>
        <w:tc>
          <w:tcPr>
            <w:tcW w:w="0" w:type="pct"/>
            <w:shd w:val="clear" w:color="auto" w:fill="auto"/>
            <w:hideMark/>
          </w:tcPr>
          <w:p w14:paraId="693F7A60"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673</w:t>
            </w:r>
          </w:p>
        </w:tc>
        <w:tc>
          <w:tcPr>
            <w:tcW w:w="0" w:type="pct"/>
            <w:shd w:val="clear" w:color="auto" w:fill="auto"/>
            <w:hideMark/>
          </w:tcPr>
          <w:p w14:paraId="434697C8"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48</w:t>
            </w:r>
          </w:p>
        </w:tc>
      </w:tr>
      <w:tr w:rsidR="00210112" w:rsidRPr="00210112" w14:paraId="25D3E4B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C68C253"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La Paz</w:t>
            </w:r>
          </w:p>
        </w:tc>
        <w:tc>
          <w:tcPr>
            <w:tcW w:w="0" w:type="pct"/>
            <w:shd w:val="clear" w:color="auto" w:fill="auto"/>
            <w:hideMark/>
          </w:tcPr>
          <w:p w14:paraId="09F3E5B6"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4.000</w:t>
            </w:r>
          </w:p>
        </w:tc>
        <w:tc>
          <w:tcPr>
            <w:tcW w:w="0" w:type="pct"/>
            <w:shd w:val="clear" w:color="auto" w:fill="auto"/>
            <w:hideMark/>
          </w:tcPr>
          <w:p w14:paraId="6CC03ED2"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3.576</w:t>
            </w:r>
          </w:p>
        </w:tc>
        <w:tc>
          <w:tcPr>
            <w:tcW w:w="0" w:type="pct"/>
            <w:shd w:val="clear" w:color="auto" w:fill="auto"/>
            <w:hideMark/>
          </w:tcPr>
          <w:p w14:paraId="2636F7F9"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424</w:t>
            </w:r>
          </w:p>
        </w:tc>
      </w:tr>
      <w:tr w:rsidR="00210112" w:rsidRPr="00210112" w14:paraId="6160F51C"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CF96751"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Cochabamba</w:t>
            </w:r>
          </w:p>
        </w:tc>
        <w:tc>
          <w:tcPr>
            <w:tcW w:w="0" w:type="pct"/>
            <w:shd w:val="clear" w:color="auto" w:fill="auto"/>
            <w:hideMark/>
          </w:tcPr>
          <w:p w14:paraId="16FD626C"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2.749</w:t>
            </w:r>
          </w:p>
        </w:tc>
        <w:tc>
          <w:tcPr>
            <w:tcW w:w="0" w:type="pct"/>
            <w:shd w:val="clear" w:color="auto" w:fill="auto"/>
            <w:hideMark/>
          </w:tcPr>
          <w:p w14:paraId="11B59477"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2.507</w:t>
            </w:r>
          </w:p>
        </w:tc>
        <w:tc>
          <w:tcPr>
            <w:tcW w:w="0" w:type="pct"/>
            <w:shd w:val="clear" w:color="auto" w:fill="auto"/>
            <w:hideMark/>
          </w:tcPr>
          <w:p w14:paraId="7E0D5ACA"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242</w:t>
            </w:r>
          </w:p>
        </w:tc>
      </w:tr>
      <w:tr w:rsidR="00210112" w:rsidRPr="00210112" w14:paraId="4FFA61B2"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FA82B94"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Oruro</w:t>
            </w:r>
          </w:p>
        </w:tc>
        <w:tc>
          <w:tcPr>
            <w:tcW w:w="0" w:type="pct"/>
            <w:shd w:val="clear" w:color="auto" w:fill="auto"/>
            <w:hideMark/>
          </w:tcPr>
          <w:p w14:paraId="519CC8FF"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967</w:t>
            </w:r>
          </w:p>
        </w:tc>
        <w:tc>
          <w:tcPr>
            <w:tcW w:w="0" w:type="pct"/>
            <w:shd w:val="clear" w:color="auto" w:fill="auto"/>
            <w:hideMark/>
          </w:tcPr>
          <w:p w14:paraId="06D7BEA0"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829</w:t>
            </w:r>
          </w:p>
        </w:tc>
        <w:tc>
          <w:tcPr>
            <w:tcW w:w="0" w:type="pct"/>
            <w:shd w:val="clear" w:color="auto" w:fill="auto"/>
            <w:hideMark/>
          </w:tcPr>
          <w:p w14:paraId="1DB8A764"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138</w:t>
            </w:r>
          </w:p>
        </w:tc>
      </w:tr>
      <w:tr w:rsidR="00210112" w:rsidRPr="00210112" w14:paraId="4D95591C"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382D69C"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Potosí</w:t>
            </w:r>
          </w:p>
        </w:tc>
        <w:tc>
          <w:tcPr>
            <w:tcW w:w="0" w:type="pct"/>
            <w:shd w:val="clear" w:color="auto" w:fill="auto"/>
            <w:hideMark/>
          </w:tcPr>
          <w:p w14:paraId="5D6FFC8E"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764</w:t>
            </w:r>
          </w:p>
        </w:tc>
        <w:tc>
          <w:tcPr>
            <w:tcW w:w="0" w:type="pct"/>
            <w:shd w:val="clear" w:color="auto" w:fill="auto"/>
            <w:hideMark/>
          </w:tcPr>
          <w:p w14:paraId="2C38C448"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713</w:t>
            </w:r>
          </w:p>
        </w:tc>
        <w:tc>
          <w:tcPr>
            <w:tcW w:w="0" w:type="pct"/>
            <w:shd w:val="clear" w:color="auto" w:fill="auto"/>
            <w:hideMark/>
          </w:tcPr>
          <w:p w14:paraId="18CEB8D4"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51</w:t>
            </w:r>
          </w:p>
        </w:tc>
      </w:tr>
      <w:tr w:rsidR="00210112" w:rsidRPr="00210112" w14:paraId="11480FE6"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5885492"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Tarija</w:t>
            </w:r>
          </w:p>
        </w:tc>
        <w:tc>
          <w:tcPr>
            <w:tcW w:w="0" w:type="pct"/>
            <w:shd w:val="clear" w:color="auto" w:fill="auto"/>
            <w:hideMark/>
          </w:tcPr>
          <w:p w14:paraId="0A21573C"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1.061</w:t>
            </w:r>
          </w:p>
        </w:tc>
        <w:tc>
          <w:tcPr>
            <w:tcW w:w="0" w:type="pct"/>
            <w:shd w:val="clear" w:color="auto" w:fill="auto"/>
            <w:hideMark/>
          </w:tcPr>
          <w:p w14:paraId="3C1C4561"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1.011</w:t>
            </w:r>
          </w:p>
        </w:tc>
        <w:tc>
          <w:tcPr>
            <w:tcW w:w="0" w:type="pct"/>
            <w:shd w:val="clear" w:color="auto" w:fill="auto"/>
            <w:hideMark/>
          </w:tcPr>
          <w:p w14:paraId="239E7700"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50</w:t>
            </w:r>
          </w:p>
        </w:tc>
      </w:tr>
      <w:tr w:rsidR="00210112" w:rsidRPr="00210112" w14:paraId="632FA3F6"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4969651"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Santa Cruz</w:t>
            </w:r>
          </w:p>
        </w:tc>
        <w:tc>
          <w:tcPr>
            <w:tcW w:w="0" w:type="pct"/>
            <w:shd w:val="clear" w:color="auto" w:fill="auto"/>
            <w:hideMark/>
          </w:tcPr>
          <w:p w14:paraId="701157E5"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6.799</w:t>
            </w:r>
          </w:p>
        </w:tc>
        <w:tc>
          <w:tcPr>
            <w:tcW w:w="0" w:type="pct"/>
            <w:shd w:val="clear" w:color="auto" w:fill="auto"/>
            <w:hideMark/>
          </w:tcPr>
          <w:p w14:paraId="6465EE6A"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6.343</w:t>
            </w:r>
          </w:p>
        </w:tc>
        <w:tc>
          <w:tcPr>
            <w:tcW w:w="0" w:type="pct"/>
            <w:shd w:val="clear" w:color="auto" w:fill="auto"/>
            <w:hideMark/>
          </w:tcPr>
          <w:p w14:paraId="35784D06"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456</w:t>
            </w:r>
          </w:p>
        </w:tc>
      </w:tr>
      <w:tr w:rsidR="00210112" w:rsidRPr="00210112" w14:paraId="4A9079EC"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5B20AD4"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Beni</w:t>
            </w:r>
          </w:p>
        </w:tc>
        <w:tc>
          <w:tcPr>
            <w:tcW w:w="0" w:type="pct"/>
            <w:shd w:val="clear" w:color="auto" w:fill="auto"/>
            <w:hideMark/>
          </w:tcPr>
          <w:p w14:paraId="0A564787"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1.038</w:t>
            </w:r>
          </w:p>
        </w:tc>
        <w:tc>
          <w:tcPr>
            <w:tcW w:w="0" w:type="pct"/>
            <w:shd w:val="clear" w:color="auto" w:fill="auto"/>
            <w:hideMark/>
          </w:tcPr>
          <w:p w14:paraId="2B02B7B9"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990</w:t>
            </w:r>
          </w:p>
        </w:tc>
        <w:tc>
          <w:tcPr>
            <w:tcW w:w="0" w:type="pct"/>
            <w:shd w:val="clear" w:color="auto" w:fill="auto"/>
            <w:hideMark/>
          </w:tcPr>
          <w:p w14:paraId="224EF818"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48</w:t>
            </w:r>
          </w:p>
        </w:tc>
      </w:tr>
      <w:tr w:rsidR="00210112" w:rsidRPr="00210112" w14:paraId="3E713A29"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3A23E55"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Pando</w:t>
            </w:r>
          </w:p>
        </w:tc>
        <w:tc>
          <w:tcPr>
            <w:tcW w:w="0" w:type="pct"/>
            <w:shd w:val="clear" w:color="auto" w:fill="auto"/>
            <w:hideMark/>
          </w:tcPr>
          <w:p w14:paraId="223E166D"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338</w:t>
            </w:r>
          </w:p>
        </w:tc>
        <w:tc>
          <w:tcPr>
            <w:tcW w:w="0" w:type="pct"/>
            <w:shd w:val="clear" w:color="auto" w:fill="auto"/>
            <w:hideMark/>
          </w:tcPr>
          <w:p w14:paraId="42EF1B61"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327</w:t>
            </w:r>
          </w:p>
        </w:tc>
        <w:tc>
          <w:tcPr>
            <w:tcW w:w="0" w:type="pct"/>
            <w:shd w:val="clear" w:color="auto" w:fill="auto"/>
            <w:hideMark/>
          </w:tcPr>
          <w:p w14:paraId="69FA3286"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11</w:t>
            </w:r>
          </w:p>
        </w:tc>
      </w:tr>
      <w:tr w:rsidR="00210112" w:rsidRPr="00210112" w14:paraId="24D2AD21"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8D11DEC"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TIPO DE RECINTO O CELDA POLICIAL</w:t>
            </w:r>
          </w:p>
        </w:tc>
        <w:tc>
          <w:tcPr>
            <w:tcW w:w="0" w:type="pct"/>
            <w:shd w:val="clear" w:color="auto" w:fill="auto"/>
            <w:hideMark/>
          </w:tcPr>
          <w:p w14:paraId="2975B736"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2402493E"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06C092F6"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r>
      <w:tr w:rsidR="00210112" w:rsidRPr="00210112" w14:paraId="3653B439"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1488296"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Carceleta Policial</w:t>
            </w:r>
          </w:p>
        </w:tc>
        <w:tc>
          <w:tcPr>
            <w:tcW w:w="0" w:type="pct"/>
            <w:shd w:val="clear" w:color="auto" w:fill="auto"/>
            <w:hideMark/>
          </w:tcPr>
          <w:p w14:paraId="15C685CB"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36</w:t>
            </w:r>
          </w:p>
        </w:tc>
        <w:tc>
          <w:tcPr>
            <w:tcW w:w="0" w:type="pct"/>
            <w:shd w:val="clear" w:color="auto" w:fill="auto"/>
            <w:hideMark/>
          </w:tcPr>
          <w:p w14:paraId="7C07734A"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35</w:t>
            </w:r>
          </w:p>
        </w:tc>
        <w:tc>
          <w:tcPr>
            <w:tcW w:w="0" w:type="pct"/>
            <w:shd w:val="clear" w:color="auto" w:fill="auto"/>
            <w:hideMark/>
          </w:tcPr>
          <w:p w14:paraId="44DEE714"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1</w:t>
            </w:r>
          </w:p>
        </w:tc>
      </w:tr>
      <w:tr w:rsidR="00210112" w:rsidRPr="00210112" w14:paraId="5D96EDD6"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435ACE6"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Provincial</w:t>
            </w:r>
          </w:p>
        </w:tc>
        <w:tc>
          <w:tcPr>
            <w:tcW w:w="0" w:type="pct"/>
            <w:shd w:val="clear" w:color="auto" w:fill="auto"/>
            <w:hideMark/>
          </w:tcPr>
          <w:p w14:paraId="5A36C440"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2.679</w:t>
            </w:r>
          </w:p>
        </w:tc>
        <w:tc>
          <w:tcPr>
            <w:tcW w:w="0" w:type="pct"/>
            <w:shd w:val="clear" w:color="auto" w:fill="auto"/>
            <w:hideMark/>
          </w:tcPr>
          <w:p w14:paraId="0213BD25"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2.548</w:t>
            </w:r>
          </w:p>
        </w:tc>
        <w:tc>
          <w:tcPr>
            <w:tcW w:w="0" w:type="pct"/>
            <w:shd w:val="clear" w:color="auto" w:fill="auto"/>
            <w:hideMark/>
          </w:tcPr>
          <w:p w14:paraId="4A4BEB83"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131</w:t>
            </w:r>
          </w:p>
        </w:tc>
      </w:tr>
      <w:tr w:rsidR="00210112" w:rsidRPr="00210112" w14:paraId="64FB642F"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22F1525"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Urbano</w:t>
            </w:r>
          </w:p>
        </w:tc>
        <w:tc>
          <w:tcPr>
            <w:tcW w:w="0" w:type="pct"/>
            <w:shd w:val="clear" w:color="auto" w:fill="auto"/>
            <w:hideMark/>
          </w:tcPr>
          <w:p w14:paraId="634ADD38"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15.722</w:t>
            </w:r>
          </w:p>
        </w:tc>
        <w:tc>
          <w:tcPr>
            <w:tcW w:w="0" w:type="pct"/>
            <w:shd w:val="clear" w:color="auto" w:fill="auto"/>
            <w:hideMark/>
          </w:tcPr>
          <w:p w14:paraId="4A1590B3"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14.386</w:t>
            </w:r>
          </w:p>
        </w:tc>
        <w:tc>
          <w:tcPr>
            <w:tcW w:w="0" w:type="pct"/>
            <w:shd w:val="clear" w:color="auto" w:fill="auto"/>
            <w:hideMark/>
          </w:tcPr>
          <w:p w14:paraId="385D0E53"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1.336</w:t>
            </w:r>
          </w:p>
        </w:tc>
      </w:tr>
      <w:tr w:rsidR="00210112" w:rsidRPr="00210112" w14:paraId="0794FDFE"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B3F5DB5"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GRUPO DE EDAD</w:t>
            </w:r>
          </w:p>
        </w:tc>
        <w:tc>
          <w:tcPr>
            <w:tcW w:w="0" w:type="pct"/>
            <w:shd w:val="clear" w:color="auto" w:fill="auto"/>
            <w:hideMark/>
          </w:tcPr>
          <w:p w14:paraId="68FA9B2E"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712016EA"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771BFBBA"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r>
      <w:tr w:rsidR="00210112" w:rsidRPr="00210112" w14:paraId="337B2A91"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9E0B0A4"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lastRenderedPageBreak/>
              <w:t>Jóvenes (18 - 28 años de edad)</w:t>
            </w:r>
          </w:p>
        </w:tc>
        <w:tc>
          <w:tcPr>
            <w:tcW w:w="0" w:type="pct"/>
            <w:shd w:val="clear" w:color="auto" w:fill="auto"/>
            <w:hideMark/>
          </w:tcPr>
          <w:p w14:paraId="3BE58CB3"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6.612</w:t>
            </w:r>
          </w:p>
        </w:tc>
        <w:tc>
          <w:tcPr>
            <w:tcW w:w="0" w:type="pct"/>
            <w:shd w:val="clear" w:color="auto" w:fill="auto"/>
            <w:hideMark/>
          </w:tcPr>
          <w:p w14:paraId="70537216"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6.139</w:t>
            </w:r>
          </w:p>
        </w:tc>
        <w:tc>
          <w:tcPr>
            <w:tcW w:w="0" w:type="pct"/>
            <w:shd w:val="clear" w:color="auto" w:fill="auto"/>
            <w:hideMark/>
          </w:tcPr>
          <w:p w14:paraId="4C4CA5A3"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473</w:t>
            </w:r>
          </w:p>
        </w:tc>
      </w:tr>
      <w:tr w:rsidR="00210112" w:rsidRPr="00210112" w14:paraId="433616CE"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71CDA0A"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Adultas(os) (29 - 39 años de edad)</w:t>
            </w:r>
          </w:p>
        </w:tc>
        <w:tc>
          <w:tcPr>
            <w:tcW w:w="0" w:type="pct"/>
            <w:shd w:val="clear" w:color="auto" w:fill="auto"/>
            <w:hideMark/>
          </w:tcPr>
          <w:p w14:paraId="48E5718C"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6.284</w:t>
            </w:r>
          </w:p>
        </w:tc>
        <w:tc>
          <w:tcPr>
            <w:tcW w:w="0" w:type="pct"/>
            <w:shd w:val="clear" w:color="auto" w:fill="auto"/>
            <w:hideMark/>
          </w:tcPr>
          <w:p w14:paraId="2541DF61"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5.795</w:t>
            </w:r>
          </w:p>
        </w:tc>
        <w:tc>
          <w:tcPr>
            <w:tcW w:w="0" w:type="pct"/>
            <w:shd w:val="clear" w:color="auto" w:fill="auto"/>
            <w:hideMark/>
          </w:tcPr>
          <w:p w14:paraId="6B2345B5"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489</w:t>
            </w:r>
          </w:p>
        </w:tc>
      </w:tr>
      <w:tr w:rsidR="00210112" w:rsidRPr="00210112" w14:paraId="37D9AC36"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D15C5F7"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Adultas(os) (40 - 49 años de edad)</w:t>
            </w:r>
          </w:p>
        </w:tc>
        <w:tc>
          <w:tcPr>
            <w:tcW w:w="0" w:type="pct"/>
            <w:shd w:val="clear" w:color="auto" w:fill="auto"/>
            <w:hideMark/>
          </w:tcPr>
          <w:p w14:paraId="17584224"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3.268</w:t>
            </w:r>
          </w:p>
        </w:tc>
        <w:tc>
          <w:tcPr>
            <w:tcW w:w="0" w:type="pct"/>
            <w:shd w:val="clear" w:color="auto" w:fill="auto"/>
            <w:hideMark/>
          </w:tcPr>
          <w:p w14:paraId="2FEE1567"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2.959</w:t>
            </w:r>
          </w:p>
        </w:tc>
        <w:tc>
          <w:tcPr>
            <w:tcW w:w="0" w:type="pct"/>
            <w:shd w:val="clear" w:color="auto" w:fill="auto"/>
            <w:hideMark/>
          </w:tcPr>
          <w:p w14:paraId="5BB7DE58"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309</w:t>
            </w:r>
          </w:p>
        </w:tc>
      </w:tr>
      <w:tr w:rsidR="00210112" w:rsidRPr="00210112" w14:paraId="6985303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4B07014"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Adultas(os) (50 - 59 años de edad)</w:t>
            </w:r>
          </w:p>
        </w:tc>
        <w:tc>
          <w:tcPr>
            <w:tcW w:w="0" w:type="pct"/>
            <w:shd w:val="clear" w:color="auto" w:fill="auto"/>
            <w:hideMark/>
          </w:tcPr>
          <w:p w14:paraId="6FC88EA6"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1.522</w:t>
            </w:r>
          </w:p>
        </w:tc>
        <w:tc>
          <w:tcPr>
            <w:tcW w:w="0" w:type="pct"/>
            <w:shd w:val="clear" w:color="auto" w:fill="auto"/>
            <w:hideMark/>
          </w:tcPr>
          <w:p w14:paraId="7C1558E8"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1.389</w:t>
            </w:r>
          </w:p>
        </w:tc>
        <w:tc>
          <w:tcPr>
            <w:tcW w:w="0" w:type="pct"/>
            <w:shd w:val="clear" w:color="auto" w:fill="auto"/>
            <w:hideMark/>
          </w:tcPr>
          <w:p w14:paraId="5A00BDFB"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133</w:t>
            </w:r>
          </w:p>
        </w:tc>
      </w:tr>
      <w:tr w:rsidR="00210112" w:rsidRPr="00210112" w14:paraId="317B765A"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5973BEB"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Adultas(os) mayores (60 o más años de edad)</w:t>
            </w:r>
          </w:p>
        </w:tc>
        <w:tc>
          <w:tcPr>
            <w:tcW w:w="0" w:type="pct"/>
            <w:shd w:val="clear" w:color="auto" w:fill="auto"/>
            <w:hideMark/>
          </w:tcPr>
          <w:p w14:paraId="05E277F9"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717</w:t>
            </w:r>
          </w:p>
        </w:tc>
        <w:tc>
          <w:tcPr>
            <w:tcW w:w="0" w:type="pct"/>
            <w:shd w:val="clear" w:color="auto" w:fill="auto"/>
            <w:hideMark/>
          </w:tcPr>
          <w:p w14:paraId="5C213783"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662</w:t>
            </w:r>
          </w:p>
        </w:tc>
        <w:tc>
          <w:tcPr>
            <w:tcW w:w="0" w:type="pct"/>
            <w:shd w:val="clear" w:color="auto" w:fill="auto"/>
            <w:hideMark/>
          </w:tcPr>
          <w:p w14:paraId="015B954E"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55</w:t>
            </w:r>
          </w:p>
        </w:tc>
      </w:tr>
      <w:tr w:rsidR="00210112" w:rsidRPr="00210112" w14:paraId="65A51ACD"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8782A31"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Sin especificar</w:t>
            </w:r>
          </w:p>
        </w:tc>
        <w:tc>
          <w:tcPr>
            <w:tcW w:w="0" w:type="pct"/>
            <w:shd w:val="clear" w:color="auto" w:fill="auto"/>
            <w:hideMark/>
          </w:tcPr>
          <w:p w14:paraId="64F79ACA"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34</w:t>
            </w:r>
          </w:p>
        </w:tc>
        <w:tc>
          <w:tcPr>
            <w:tcW w:w="0" w:type="pct"/>
            <w:shd w:val="clear" w:color="auto" w:fill="auto"/>
            <w:hideMark/>
          </w:tcPr>
          <w:p w14:paraId="09FA18A5"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25</w:t>
            </w:r>
          </w:p>
        </w:tc>
        <w:tc>
          <w:tcPr>
            <w:tcW w:w="0" w:type="pct"/>
            <w:shd w:val="clear" w:color="auto" w:fill="auto"/>
            <w:hideMark/>
          </w:tcPr>
          <w:p w14:paraId="5A901C93"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9</w:t>
            </w:r>
          </w:p>
        </w:tc>
      </w:tr>
      <w:tr w:rsidR="00210112" w:rsidRPr="00210112" w14:paraId="1B540D79"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A021DCA"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NACIONALIDAD</w:t>
            </w:r>
          </w:p>
        </w:tc>
        <w:tc>
          <w:tcPr>
            <w:tcW w:w="0" w:type="pct"/>
            <w:shd w:val="clear" w:color="auto" w:fill="auto"/>
            <w:hideMark/>
          </w:tcPr>
          <w:p w14:paraId="0E3D96C4"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6BCDA282"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4AE0561A"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 </w:t>
            </w:r>
          </w:p>
        </w:tc>
      </w:tr>
      <w:tr w:rsidR="00210112" w:rsidRPr="00210112" w14:paraId="2277F9D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2958F43"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Boliviana</w:t>
            </w:r>
          </w:p>
        </w:tc>
        <w:tc>
          <w:tcPr>
            <w:tcW w:w="0" w:type="pct"/>
            <w:shd w:val="clear" w:color="auto" w:fill="auto"/>
            <w:hideMark/>
          </w:tcPr>
          <w:p w14:paraId="3EA5A893"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17.662</w:t>
            </w:r>
          </w:p>
        </w:tc>
        <w:tc>
          <w:tcPr>
            <w:tcW w:w="0" w:type="pct"/>
            <w:shd w:val="clear" w:color="auto" w:fill="auto"/>
            <w:hideMark/>
          </w:tcPr>
          <w:p w14:paraId="7440E1D3"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16.272</w:t>
            </w:r>
          </w:p>
        </w:tc>
        <w:tc>
          <w:tcPr>
            <w:tcW w:w="0" w:type="pct"/>
            <w:shd w:val="clear" w:color="auto" w:fill="auto"/>
            <w:hideMark/>
          </w:tcPr>
          <w:p w14:paraId="78244500"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1.390</w:t>
            </w:r>
          </w:p>
        </w:tc>
      </w:tr>
      <w:tr w:rsidR="00210112" w:rsidRPr="00210112" w14:paraId="7F0D125A"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FB7F1FC"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Extranjera</w:t>
            </w:r>
          </w:p>
        </w:tc>
        <w:tc>
          <w:tcPr>
            <w:tcW w:w="0" w:type="pct"/>
            <w:shd w:val="clear" w:color="auto" w:fill="auto"/>
            <w:hideMark/>
          </w:tcPr>
          <w:p w14:paraId="7ECB44AF"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775</w:t>
            </w:r>
          </w:p>
        </w:tc>
        <w:tc>
          <w:tcPr>
            <w:tcW w:w="0" w:type="pct"/>
            <w:shd w:val="clear" w:color="auto" w:fill="auto"/>
            <w:hideMark/>
          </w:tcPr>
          <w:p w14:paraId="5716DC64"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697</w:t>
            </w:r>
          </w:p>
        </w:tc>
        <w:tc>
          <w:tcPr>
            <w:tcW w:w="0" w:type="pct"/>
            <w:shd w:val="clear" w:color="auto" w:fill="auto"/>
            <w:hideMark/>
          </w:tcPr>
          <w:p w14:paraId="2311DB0C"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78</w:t>
            </w:r>
          </w:p>
        </w:tc>
      </w:tr>
      <w:tr w:rsidR="00210112" w:rsidRPr="00210112" w14:paraId="4CDE71ED"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3861356"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PERTENENCIA A UNA NACIÓN PUEBLO INDÍGENA ORIGINARIO CAMPESINO</w:t>
            </w:r>
          </w:p>
        </w:tc>
        <w:tc>
          <w:tcPr>
            <w:tcW w:w="0" w:type="pct"/>
            <w:shd w:val="clear" w:color="auto" w:fill="auto"/>
            <w:hideMark/>
          </w:tcPr>
          <w:p w14:paraId="39A0A1D6"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626D4F2E"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168379A5"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 </w:t>
            </w:r>
          </w:p>
        </w:tc>
      </w:tr>
      <w:tr w:rsidR="00210112" w:rsidRPr="00210112" w14:paraId="71EDBFB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CC579C7"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Si pertenece</w:t>
            </w:r>
          </w:p>
        </w:tc>
        <w:tc>
          <w:tcPr>
            <w:tcW w:w="0" w:type="pct"/>
            <w:shd w:val="clear" w:color="auto" w:fill="auto"/>
            <w:hideMark/>
          </w:tcPr>
          <w:p w14:paraId="0EDD7142"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7.147</w:t>
            </w:r>
          </w:p>
        </w:tc>
        <w:tc>
          <w:tcPr>
            <w:tcW w:w="0" w:type="pct"/>
            <w:shd w:val="clear" w:color="auto" w:fill="auto"/>
            <w:hideMark/>
          </w:tcPr>
          <w:p w14:paraId="604E99A9"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6.593</w:t>
            </w:r>
          </w:p>
        </w:tc>
        <w:tc>
          <w:tcPr>
            <w:tcW w:w="0" w:type="pct"/>
            <w:shd w:val="clear" w:color="auto" w:fill="auto"/>
            <w:hideMark/>
          </w:tcPr>
          <w:p w14:paraId="4269DA70"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554</w:t>
            </w:r>
          </w:p>
        </w:tc>
      </w:tr>
      <w:tr w:rsidR="00210112" w:rsidRPr="00210112" w14:paraId="1A5231FF"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8DFF4AB"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No pertenece</w:t>
            </w:r>
          </w:p>
        </w:tc>
        <w:tc>
          <w:tcPr>
            <w:tcW w:w="0" w:type="pct"/>
            <w:shd w:val="clear" w:color="auto" w:fill="auto"/>
            <w:hideMark/>
          </w:tcPr>
          <w:p w14:paraId="52BA1844"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10.515</w:t>
            </w:r>
          </w:p>
        </w:tc>
        <w:tc>
          <w:tcPr>
            <w:tcW w:w="0" w:type="pct"/>
            <w:shd w:val="clear" w:color="auto" w:fill="auto"/>
            <w:hideMark/>
          </w:tcPr>
          <w:p w14:paraId="4841C1DE"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9.679</w:t>
            </w:r>
          </w:p>
        </w:tc>
        <w:tc>
          <w:tcPr>
            <w:tcW w:w="0" w:type="pct"/>
            <w:shd w:val="clear" w:color="auto" w:fill="auto"/>
            <w:hideMark/>
          </w:tcPr>
          <w:p w14:paraId="1DB74156"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836</w:t>
            </w:r>
          </w:p>
        </w:tc>
      </w:tr>
      <w:tr w:rsidR="00210112" w:rsidRPr="00210112" w14:paraId="7753D35E"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E54CE7D"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SITUACIÓN JURÍDICA</w:t>
            </w:r>
          </w:p>
        </w:tc>
        <w:tc>
          <w:tcPr>
            <w:tcW w:w="0" w:type="pct"/>
            <w:shd w:val="clear" w:color="auto" w:fill="auto"/>
            <w:hideMark/>
          </w:tcPr>
          <w:p w14:paraId="76827CDB"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06FCC989"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 </w:t>
            </w:r>
          </w:p>
        </w:tc>
        <w:tc>
          <w:tcPr>
            <w:tcW w:w="0" w:type="pct"/>
            <w:shd w:val="clear" w:color="auto" w:fill="auto"/>
            <w:hideMark/>
          </w:tcPr>
          <w:p w14:paraId="2ACC3682"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 </w:t>
            </w:r>
          </w:p>
        </w:tc>
      </w:tr>
      <w:tr w:rsidR="00210112" w:rsidRPr="00210112" w14:paraId="657BFA56"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5E0BB8D"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Con apremio</w:t>
            </w:r>
          </w:p>
        </w:tc>
        <w:tc>
          <w:tcPr>
            <w:tcW w:w="0" w:type="pct"/>
            <w:shd w:val="clear" w:color="auto" w:fill="auto"/>
            <w:hideMark/>
          </w:tcPr>
          <w:p w14:paraId="7987FA8B"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498</w:t>
            </w:r>
          </w:p>
        </w:tc>
        <w:tc>
          <w:tcPr>
            <w:tcW w:w="0" w:type="pct"/>
            <w:shd w:val="clear" w:color="auto" w:fill="auto"/>
            <w:hideMark/>
          </w:tcPr>
          <w:p w14:paraId="70A39D08"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476</w:t>
            </w:r>
          </w:p>
        </w:tc>
        <w:tc>
          <w:tcPr>
            <w:tcW w:w="0" w:type="pct"/>
            <w:shd w:val="clear" w:color="auto" w:fill="auto"/>
            <w:hideMark/>
          </w:tcPr>
          <w:p w14:paraId="4FCC2388"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22</w:t>
            </w:r>
          </w:p>
        </w:tc>
      </w:tr>
      <w:tr w:rsidR="00210112" w:rsidRPr="00210112" w14:paraId="07F7B73A"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03F9E97"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Con detención preventiva</w:t>
            </w:r>
          </w:p>
        </w:tc>
        <w:tc>
          <w:tcPr>
            <w:tcW w:w="0" w:type="pct"/>
            <w:shd w:val="clear" w:color="auto" w:fill="auto"/>
            <w:hideMark/>
          </w:tcPr>
          <w:p w14:paraId="03B3EF89"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8.249</w:t>
            </w:r>
          </w:p>
        </w:tc>
        <w:tc>
          <w:tcPr>
            <w:tcW w:w="0" w:type="pct"/>
            <w:shd w:val="clear" w:color="auto" w:fill="auto"/>
            <w:hideMark/>
          </w:tcPr>
          <w:p w14:paraId="28F904BB"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7.586</w:t>
            </w:r>
          </w:p>
        </w:tc>
        <w:tc>
          <w:tcPr>
            <w:tcW w:w="0" w:type="pct"/>
            <w:shd w:val="clear" w:color="auto" w:fill="auto"/>
            <w:hideMark/>
          </w:tcPr>
          <w:p w14:paraId="743748FB"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663</w:t>
            </w:r>
          </w:p>
        </w:tc>
      </w:tr>
      <w:tr w:rsidR="00210112" w:rsidRPr="00210112" w14:paraId="18BEAF1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53CF13B"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Con sentencia ejecutoriada</w:t>
            </w:r>
          </w:p>
        </w:tc>
        <w:tc>
          <w:tcPr>
            <w:tcW w:w="0" w:type="pct"/>
            <w:shd w:val="clear" w:color="auto" w:fill="auto"/>
            <w:hideMark/>
          </w:tcPr>
          <w:p w14:paraId="4DFF3103"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6.589</w:t>
            </w:r>
          </w:p>
        </w:tc>
        <w:tc>
          <w:tcPr>
            <w:tcW w:w="0" w:type="pct"/>
            <w:shd w:val="clear" w:color="auto" w:fill="auto"/>
            <w:hideMark/>
          </w:tcPr>
          <w:p w14:paraId="52080BFE"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6.059</w:t>
            </w:r>
          </w:p>
        </w:tc>
        <w:tc>
          <w:tcPr>
            <w:tcW w:w="0" w:type="pct"/>
            <w:shd w:val="clear" w:color="auto" w:fill="auto"/>
            <w:hideMark/>
          </w:tcPr>
          <w:p w14:paraId="19C0E931"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s-BO"/>
              </w:rPr>
            </w:pPr>
            <w:r w:rsidRPr="00210112">
              <w:rPr>
                <w:sz w:val="18"/>
                <w:lang w:eastAsia="es-BO"/>
              </w:rPr>
              <w:t>530</w:t>
            </w:r>
          </w:p>
        </w:tc>
      </w:tr>
      <w:tr w:rsidR="00210112" w:rsidRPr="00210112" w14:paraId="20371C3C"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64F6788" w14:textId="77777777" w:rsidR="00B36B7E" w:rsidRPr="00777507" w:rsidRDefault="00B36B7E">
            <w:pPr>
              <w:spacing w:before="40" w:after="40" w:line="220" w:lineRule="exact"/>
              <w:rPr>
                <w:rFonts w:ascii="Times New Roman" w:hAnsi="Times New Roman"/>
                <w:b w:val="0"/>
                <w:sz w:val="18"/>
                <w:lang w:eastAsia="es-BO"/>
              </w:rPr>
            </w:pPr>
            <w:r w:rsidRPr="00210112">
              <w:rPr>
                <w:sz w:val="18"/>
                <w:lang w:eastAsia="es-BO"/>
              </w:rPr>
              <w:t>Desconoce el estado de su proceso</w:t>
            </w:r>
          </w:p>
        </w:tc>
        <w:tc>
          <w:tcPr>
            <w:tcW w:w="0" w:type="pct"/>
            <w:shd w:val="clear" w:color="auto" w:fill="auto"/>
            <w:hideMark/>
          </w:tcPr>
          <w:p w14:paraId="0F43C15F"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3.101</w:t>
            </w:r>
          </w:p>
        </w:tc>
        <w:tc>
          <w:tcPr>
            <w:tcW w:w="0" w:type="pct"/>
            <w:shd w:val="clear" w:color="auto" w:fill="auto"/>
            <w:hideMark/>
          </w:tcPr>
          <w:p w14:paraId="355E21BE"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2.848</w:t>
            </w:r>
          </w:p>
        </w:tc>
        <w:tc>
          <w:tcPr>
            <w:tcW w:w="0" w:type="pct"/>
            <w:shd w:val="clear" w:color="auto" w:fill="auto"/>
            <w:hideMark/>
          </w:tcPr>
          <w:p w14:paraId="774153C1" w14:textId="77777777" w:rsidR="00B36B7E" w:rsidRPr="00210112" w:rsidRDefault="00B36B7E">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s-BO"/>
              </w:rPr>
            </w:pPr>
            <w:r w:rsidRPr="00210112">
              <w:rPr>
                <w:sz w:val="18"/>
                <w:lang w:eastAsia="es-BO"/>
              </w:rPr>
              <w:t>253</w:t>
            </w:r>
          </w:p>
        </w:tc>
      </w:tr>
      <w:tr w:rsidR="00210112" w:rsidRPr="00210112" w14:paraId="0B857D3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gridSpan w:val="4"/>
            <w:tcBorders>
              <w:bottom w:val="single" w:sz="12" w:space="0" w:color="auto"/>
            </w:tcBorders>
            <w:shd w:val="clear" w:color="auto" w:fill="auto"/>
            <w:hideMark/>
          </w:tcPr>
          <w:p w14:paraId="7D42ECDB" w14:textId="77777777" w:rsidR="00B36B7E" w:rsidRPr="00777507" w:rsidRDefault="00B36B7E" w:rsidP="00777507">
            <w:pPr>
              <w:pStyle w:val="Textonotapie"/>
              <w:tabs>
                <w:tab w:val="clear" w:pos="1021"/>
              </w:tabs>
              <w:spacing w:before="40" w:after="40"/>
              <w:ind w:left="0" w:right="0" w:firstLine="0"/>
              <w:rPr>
                <w:rFonts w:ascii="Times New Roman" w:hAnsi="Times New Roman"/>
                <w:b w:val="0"/>
                <w:lang w:eastAsia="en-US"/>
              </w:rPr>
            </w:pPr>
          </w:p>
        </w:tc>
      </w:tr>
    </w:tbl>
    <w:p w14:paraId="1B21003F" w14:textId="77777777" w:rsidR="00210112" w:rsidRDefault="00210112" w:rsidP="00777507">
      <w:pPr>
        <w:pStyle w:val="H4G"/>
        <w:spacing w:before="120" w:after="240"/>
        <w:ind w:firstLine="170"/>
        <w:rPr>
          <w:lang w:eastAsia="en-US"/>
        </w:rPr>
      </w:pPr>
      <w:r w:rsidRPr="00777507">
        <w:rPr>
          <w:sz w:val="18"/>
          <w:lang w:eastAsia="en-US"/>
        </w:rPr>
        <w:t>Fuente:</w:t>
      </w:r>
      <w:r w:rsidRPr="009C0010">
        <w:rPr>
          <w:i w:val="0"/>
          <w:sz w:val="18"/>
          <w:lang w:eastAsia="en-US"/>
        </w:rPr>
        <w:t xml:space="preserve"> Comisión Interinstitucional, Censo Carcelario 2019.</w:t>
      </w:r>
    </w:p>
    <w:p w14:paraId="5C1327E2" w14:textId="77777777" w:rsidR="00B36B7E" w:rsidRDefault="00210112" w:rsidP="00D554B8">
      <w:pPr>
        <w:pStyle w:val="H4G"/>
        <w:rPr>
          <w:lang w:eastAsia="en-US"/>
        </w:rPr>
      </w:pPr>
      <w:r>
        <w:rPr>
          <w:lang w:eastAsia="en-US"/>
        </w:rPr>
        <w:tab/>
      </w:r>
      <w:r w:rsidR="00D554B8">
        <w:rPr>
          <w:lang w:eastAsia="en-US"/>
        </w:rPr>
        <w:tab/>
      </w:r>
      <w:r w:rsidR="00B36B7E" w:rsidRPr="00B36B7E">
        <w:rPr>
          <w:lang w:eastAsia="en-US"/>
        </w:rPr>
        <w:t>Privados de libertad menores de 21 años</w:t>
      </w:r>
    </w:p>
    <w:p w14:paraId="65EDEF60" w14:textId="77777777" w:rsidR="00B36B7E" w:rsidRDefault="00235247" w:rsidP="00777507">
      <w:pPr>
        <w:pStyle w:val="SingleTxtG"/>
        <w:spacing w:before="120"/>
        <w:rPr>
          <w:rFonts w:eastAsia="Calibri"/>
          <w:lang w:val="es-MX" w:eastAsia="en-US"/>
        </w:rPr>
      </w:pPr>
      <w:r>
        <w:rPr>
          <w:rFonts w:eastAsia="Calibri"/>
          <w:lang w:val="es-MX" w:eastAsia="en-US"/>
        </w:rPr>
        <w:t>83.</w:t>
      </w:r>
      <w:r>
        <w:rPr>
          <w:rFonts w:eastAsia="Calibri"/>
          <w:lang w:val="es-MX" w:eastAsia="en-US"/>
        </w:rPr>
        <w:tab/>
      </w:r>
      <w:r w:rsidR="00B36B7E" w:rsidRPr="00660E27">
        <w:rPr>
          <w:lang w:eastAsia="en-US"/>
        </w:rPr>
        <w:t>Con</w:t>
      </w:r>
      <w:r w:rsidR="00B36B7E" w:rsidRPr="00B36B7E">
        <w:rPr>
          <w:rFonts w:eastAsia="Calibri"/>
          <w:lang w:val="es-MX" w:eastAsia="en-US"/>
        </w:rPr>
        <w:t xml:space="preserve"> el Código Niña, Niño y Adolescente (CNNA) y su entrada en vigencia (agosto del mismo año), se promovieron las medidas cautelares no privativas de libertad y las medidas socio educativas en libertad, considerando que la privación de libertad es de última ratio.</w:t>
      </w:r>
    </w:p>
    <w:p w14:paraId="740533C0" w14:textId="77777777" w:rsidR="00B36B7E" w:rsidRDefault="00235247" w:rsidP="00777507">
      <w:pPr>
        <w:pStyle w:val="SingleTxtG"/>
        <w:spacing w:before="120"/>
        <w:rPr>
          <w:rFonts w:eastAsia="Calibri"/>
          <w:lang w:val="es-MX" w:eastAsia="en-US"/>
        </w:rPr>
      </w:pPr>
      <w:r>
        <w:rPr>
          <w:rFonts w:eastAsia="Calibri"/>
          <w:lang w:val="es-MX" w:eastAsia="en-US"/>
        </w:rPr>
        <w:t>84.</w:t>
      </w:r>
      <w:r>
        <w:rPr>
          <w:rFonts w:eastAsia="Calibri"/>
          <w:lang w:val="es-MX" w:eastAsia="en-US"/>
        </w:rPr>
        <w:tab/>
      </w:r>
      <w:r w:rsidR="00B36B7E" w:rsidRPr="00660E27">
        <w:rPr>
          <w:lang w:eastAsia="en-US"/>
        </w:rPr>
        <w:t>Según</w:t>
      </w:r>
      <w:r w:rsidR="00B36B7E" w:rsidRPr="00B36B7E">
        <w:rPr>
          <w:rFonts w:eastAsia="Calibri"/>
          <w:lang w:val="es-MX" w:eastAsia="en-US"/>
        </w:rPr>
        <w:t xml:space="preserve"> la actualización del diagnóstico situacional del Sistema Penal para Adolescentes respecto del período 2015 y 2016, las medidas cautelares aplicadas en los casos conocidos por los Juzgados de la Niñez y Adolescencia de ciudades capitales y El Alto, corresponden 27</w:t>
      </w:r>
      <w:r w:rsidR="00DA769E">
        <w:rPr>
          <w:rFonts w:eastAsia="Calibri"/>
          <w:lang w:val="es-MX" w:eastAsia="en-US"/>
        </w:rPr>
        <w:t> </w:t>
      </w:r>
      <w:r w:rsidR="00B36B7E" w:rsidRPr="00B36B7E">
        <w:rPr>
          <w:rFonts w:eastAsia="Calibri"/>
          <w:lang w:val="es-MX" w:eastAsia="en-US"/>
        </w:rPr>
        <w:t>% a detención preventiva, 44</w:t>
      </w:r>
      <w:r w:rsidR="00DA769E">
        <w:rPr>
          <w:rFonts w:eastAsia="Calibri"/>
          <w:lang w:val="es-MX" w:eastAsia="en-US"/>
        </w:rPr>
        <w:t> </w:t>
      </w:r>
      <w:r w:rsidR="00B36B7E" w:rsidRPr="00B36B7E">
        <w:rPr>
          <w:rFonts w:eastAsia="Calibri"/>
          <w:lang w:val="es-MX" w:eastAsia="en-US"/>
        </w:rPr>
        <w:t>% a medidas cautelares en libertad y 29</w:t>
      </w:r>
      <w:r w:rsidR="00DA769E">
        <w:rPr>
          <w:rFonts w:eastAsia="Calibri"/>
          <w:lang w:val="es-MX" w:eastAsia="en-US"/>
        </w:rPr>
        <w:t> </w:t>
      </w:r>
      <w:r w:rsidR="00B36B7E" w:rsidRPr="00B36B7E">
        <w:rPr>
          <w:rFonts w:eastAsia="Calibri"/>
          <w:lang w:val="es-MX" w:eastAsia="en-US"/>
        </w:rPr>
        <w:t>% a casos en los que no se aplicaron medidas cautelares</w:t>
      </w:r>
      <w:r w:rsidR="00B36B7E" w:rsidRPr="00777507">
        <w:rPr>
          <w:rFonts w:eastAsia="Calibri"/>
          <w:sz w:val="18"/>
          <w:szCs w:val="18"/>
          <w:vertAlign w:val="superscript"/>
          <w:lang w:val="es-MX" w:eastAsia="en-US"/>
        </w:rPr>
        <w:footnoteReference w:id="26"/>
      </w:r>
      <w:r w:rsidR="00B36B7E" w:rsidRPr="00B36B7E">
        <w:rPr>
          <w:rFonts w:eastAsia="Calibri"/>
          <w:lang w:val="es-MX" w:eastAsia="en-US"/>
        </w:rPr>
        <w:t xml:space="preserve">. </w:t>
      </w:r>
    </w:p>
    <w:p w14:paraId="069F52F3" w14:textId="77777777" w:rsidR="00B36B7E" w:rsidRDefault="00235247" w:rsidP="00777507">
      <w:pPr>
        <w:pStyle w:val="SingleTxtG"/>
        <w:spacing w:before="120"/>
        <w:rPr>
          <w:rFonts w:eastAsia="Calibri"/>
          <w:lang w:val="es-MX" w:eastAsia="en-US"/>
        </w:rPr>
      </w:pPr>
      <w:r>
        <w:rPr>
          <w:rFonts w:eastAsia="Calibri"/>
          <w:lang w:val="es-MX" w:eastAsia="en-US"/>
        </w:rPr>
        <w:t>85.</w:t>
      </w:r>
      <w:r>
        <w:rPr>
          <w:rFonts w:eastAsia="Calibri"/>
          <w:lang w:val="es-MX" w:eastAsia="en-US"/>
        </w:rPr>
        <w:tab/>
      </w:r>
      <w:r w:rsidR="00B36B7E" w:rsidRPr="00B36B7E">
        <w:rPr>
          <w:rFonts w:eastAsia="Calibri"/>
          <w:lang w:val="es-MX" w:eastAsia="en-US"/>
        </w:rPr>
        <w:t xml:space="preserve">El </w:t>
      </w:r>
      <w:r w:rsidR="00B36B7E" w:rsidRPr="00660E27">
        <w:rPr>
          <w:lang w:eastAsia="en-US"/>
        </w:rPr>
        <w:t>2018</w:t>
      </w:r>
      <w:r w:rsidR="00B36B7E" w:rsidRPr="00B36B7E">
        <w:rPr>
          <w:rFonts w:eastAsia="Calibri"/>
          <w:lang w:val="es-MX" w:eastAsia="en-US"/>
        </w:rPr>
        <w:t>, en la presentación del Panorama del Sistema Penal para Adolescentes, realizada para el Primer Congreso Internacional, en base al Diagnóstico 2017</w:t>
      </w:r>
      <w:r w:rsidR="00DA769E">
        <w:rPr>
          <w:rFonts w:eastAsia="Calibri"/>
          <w:lang w:val="es-MX" w:eastAsia="en-US"/>
        </w:rPr>
        <w:t>-</w:t>
      </w:r>
      <w:r w:rsidR="00B36B7E" w:rsidRPr="00B36B7E">
        <w:rPr>
          <w:rFonts w:eastAsia="Calibri"/>
          <w:lang w:val="es-MX" w:eastAsia="en-US"/>
        </w:rPr>
        <w:t>2018, se observa la disminución paulatina del porcentaje de detenciones preventivas entre el 2015 al 2018, encontrándose un 39</w:t>
      </w:r>
      <w:r w:rsidR="00DA769E">
        <w:rPr>
          <w:rFonts w:eastAsia="Calibri"/>
          <w:lang w:val="es-MX" w:eastAsia="en-US"/>
        </w:rPr>
        <w:t> </w:t>
      </w:r>
      <w:r w:rsidR="00B36B7E" w:rsidRPr="00B36B7E">
        <w:rPr>
          <w:rFonts w:eastAsia="Calibri"/>
          <w:lang w:val="es-MX" w:eastAsia="en-US"/>
        </w:rPr>
        <w:t>% de detenciones preventivas en 2018.</w:t>
      </w:r>
    </w:p>
    <w:p w14:paraId="293DF40B" w14:textId="77777777" w:rsidR="00B36B7E" w:rsidRPr="00B36B7E" w:rsidRDefault="00B36B7E" w:rsidP="000553C1">
      <w:pPr>
        <w:pStyle w:val="H23G"/>
        <w:ind w:firstLine="0"/>
        <w:rPr>
          <w:rFonts w:eastAsia="Calibri"/>
          <w:lang w:val="es-MX" w:eastAsia="en-US"/>
        </w:rPr>
      </w:pPr>
      <w:r w:rsidRPr="00B36B7E">
        <w:rPr>
          <w:rFonts w:eastAsia="Calibri"/>
          <w:lang w:val="es-MX" w:eastAsia="en-US"/>
        </w:rPr>
        <w:lastRenderedPageBreak/>
        <w:t>A</w:t>
      </w:r>
      <w:r w:rsidR="000553C1">
        <w:rPr>
          <w:rFonts w:eastAsia="Calibri"/>
          <w:lang w:val="es-MX" w:eastAsia="en-US"/>
        </w:rPr>
        <w:t xml:space="preserve">dolescentes con detención preventiva a 2018 </w:t>
      </w:r>
    </w:p>
    <w:p w14:paraId="48C81393" w14:textId="77777777" w:rsidR="00B36B7E" w:rsidRPr="00B36B7E" w:rsidRDefault="00B36B7E" w:rsidP="00B36B7E">
      <w:pPr>
        <w:spacing w:line="360" w:lineRule="auto"/>
        <w:jc w:val="center"/>
        <w:rPr>
          <w:rFonts w:eastAsia="Calibri"/>
          <w:b/>
          <w:sz w:val="18"/>
          <w:szCs w:val="18"/>
          <w:lang w:val="es-MX" w:eastAsia="en-US"/>
        </w:rPr>
      </w:pPr>
      <w:r w:rsidRPr="00B36B7E">
        <w:rPr>
          <w:rFonts w:eastAsia="Calibri"/>
          <w:noProof/>
          <w:sz w:val="18"/>
          <w:szCs w:val="18"/>
          <w:lang w:val="en-GB" w:eastAsia="en-GB"/>
        </w:rPr>
        <w:drawing>
          <wp:inline distT="0" distB="0" distL="0" distR="0" wp14:anchorId="50A027F5" wp14:editId="2B29C223">
            <wp:extent cx="3290943" cy="1959079"/>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047" cy="1981167"/>
                    </a:xfrm>
                    <a:prstGeom prst="rect">
                      <a:avLst/>
                    </a:prstGeom>
                    <a:noFill/>
                    <a:ln>
                      <a:noFill/>
                    </a:ln>
                  </pic:spPr>
                </pic:pic>
              </a:graphicData>
            </a:graphic>
          </wp:inline>
        </w:drawing>
      </w:r>
    </w:p>
    <w:p w14:paraId="3EA3D67A" w14:textId="77777777" w:rsidR="00B36B7E" w:rsidRDefault="00D554B8" w:rsidP="00285DBA">
      <w:pPr>
        <w:pStyle w:val="Textonotapie"/>
        <w:rPr>
          <w:rFonts w:eastAsia="Calibri"/>
          <w:sz w:val="24"/>
          <w:szCs w:val="24"/>
          <w:lang w:val="es-MX" w:eastAsia="en-US"/>
        </w:rPr>
      </w:pPr>
      <w:r>
        <w:rPr>
          <w:rFonts w:eastAsia="Calibri"/>
          <w:lang w:val="es-MX" w:eastAsia="en-US"/>
        </w:rPr>
        <w:tab/>
      </w:r>
      <w:r>
        <w:rPr>
          <w:rFonts w:eastAsia="Calibri"/>
          <w:lang w:val="es-MX" w:eastAsia="en-US"/>
        </w:rPr>
        <w:tab/>
      </w:r>
      <w:r w:rsidR="00B36B7E" w:rsidRPr="00B36B7E">
        <w:rPr>
          <w:rFonts w:eastAsia="Calibri"/>
          <w:lang w:val="es-MX" w:eastAsia="en-US"/>
        </w:rPr>
        <w:t xml:space="preserve">Elaboración </w:t>
      </w:r>
      <w:r w:rsidR="00B36B7E" w:rsidRPr="00285DBA">
        <w:rPr>
          <w:rFonts w:eastAsia="Calibri"/>
        </w:rPr>
        <w:t>en</w:t>
      </w:r>
      <w:r w:rsidR="00B36B7E" w:rsidRPr="00B36B7E">
        <w:rPr>
          <w:rFonts w:eastAsia="Calibri"/>
          <w:lang w:val="es-MX" w:eastAsia="en-US"/>
        </w:rPr>
        <w:t xml:space="preserve"> base al Diagnóstico SPA</w:t>
      </w:r>
      <w:r w:rsidR="00B36B7E" w:rsidRPr="00B36B7E">
        <w:rPr>
          <w:rFonts w:eastAsia="Calibri"/>
          <w:sz w:val="24"/>
          <w:szCs w:val="24"/>
          <w:lang w:val="es-MX" w:eastAsia="en-US"/>
        </w:rPr>
        <w:t>.</w:t>
      </w:r>
    </w:p>
    <w:p w14:paraId="2E67EBA0" w14:textId="77777777" w:rsidR="00B36B7E" w:rsidRDefault="00235247" w:rsidP="00777507">
      <w:pPr>
        <w:pStyle w:val="SingleTxtG"/>
        <w:spacing w:before="120"/>
        <w:rPr>
          <w:rFonts w:eastAsia="Calibri"/>
          <w:lang w:val="es-MX" w:eastAsia="en-US"/>
        </w:rPr>
      </w:pPr>
      <w:r>
        <w:rPr>
          <w:rFonts w:eastAsia="Calibri"/>
          <w:lang w:val="es-MX" w:eastAsia="en-US"/>
        </w:rPr>
        <w:t>86.</w:t>
      </w:r>
      <w:r>
        <w:rPr>
          <w:rFonts w:eastAsia="Calibri"/>
          <w:lang w:val="es-MX" w:eastAsia="en-US"/>
        </w:rPr>
        <w:tab/>
      </w:r>
      <w:r w:rsidR="00B36B7E" w:rsidRPr="00660E27">
        <w:rPr>
          <w:lang w:eastAsia="en-US"/>
        </w:rPr>
        <w:t>Igualmente</w:t>
      </w:r>
      <w:r w:rsidR="00B36B7E" w:rsidRPr="00B36B7E">
        <w:rPr>
          <w:rFonts w:eastAsia="Calibri"/>
          <w:lang w:val="es-MX" w:eastAsia="en-US"/>
        </w:rPr>
        <w:t xml:space="preserve">, en el cuadro referido a los Tipos de Medidas Socio Educativas, se observa entre 2015 y 2018 un elevado porcentaje de medidas no privativas de libertad, con relación a las medidas en privación de libertad, como respuesta del seguimiento al cumplimiento del CNNA y de la normativa internacional desde la Rectoría Técnica del Sistema Penal para Adolescentes (MJTI). </w:t>
      </w:r>
    </w:p>
    <w:p w14:paraId="63C722C7" w14:textId="77777777" w:rsidR="00B36B7E" w:rsidRPr="00B36B7E" w:rsidRDefault="00B36B7E" w:rsidP="000553C1">
      <w:pPr>
        <w:pStyle w:val="H23G"/>
        <w:ind w:firstLine="0"/>
        <w:rPr>
          <w:rFonts w:eastAsia="Calibri"/>
          <w:lang w:val="es-MX" w:eastAsia="en-US"/>
        </w:rPr>
      </w:pPr>
      <w:r w:rsidRPr="00B36B7E">
        <w:rPr>
          <w:rFonts w:eastAsia="Calibri"/>
          <w:lang w:val="es-MX" w:eastAsia="en-US"/>
        </w:rPr>
        <w:t>T</w:t>
      </w:r>
      <w:r w:rsidR="000553C1">
        <w:rPr>
          <w:rFonts w:eastAsia="Calibri"/>
          <w:lang w:val="es-MX" w:eastAsia="en-US"/>
        </w:rPr>
        <w:t xml:space="preserve">ipos de medidas socio educativas </w:t>
      </w:r>
    </w:p>
    <w:p w14:paraId="698E1B56" w14:textId="77777777" w:rsidR="00B36B7E" w:rsidRPr="00B36B7E" w:rsidRDefault="00B36B7E" w:rsidP="00B36B7E">
      <w:pPr>
        <w:spacing w:line="360" w:lineRule="auto"/>
        <w:ind w:left="360"/>
        <w:jc w:val="center"/>
        <w:rPr>
          <w:rFonts w:eastAsia="Calibri"/>
          <w:b/>
          <w:sz w:val="18"/>
          <w:szCs w:val="18"/>
          <w:lang w:val="es-MX" w:eastAsia="en-US"/>
        </w:rPr>
      </w:pPr>
      <w:r w:rsidRPr="00B36B7E">
        <w:rPr>
          <w:rFonts w:eastAsia="Calibri"/>
          <w:noProof/>
          <w:sz w:val="18"/>
          <w:szCs w:val="18"/>
          <w:lang w:val="en-GB" w:eastAsia="en-GB"/>
        </w:rPr>
        <w:drawing>
          <wp:inline distT="0" distB="0" distL="0" distR="0" wp14:anchorId="7C099446" wp14:editId="168A4049">
            <wp:extent cx="3797203" cy="17400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3348" cy="1765819"/>
                    </a:xfrm>
                    <a:prstGeom prst="rect">
                      <a:avLst/>
                    </a:prstGeom>
                    <a:noFill/>
                    <a:ln>
                      <a:noFill/>
                    </a:ln>
                  </pic:spPr>
                </pic:pic>
              </a:graphicData>
            </a:graphic>
          </wp:inline>
        </w:drawing>
      </w:r>
    </w:p>
    <w:p w14:paraId="0BBB936D" w14:textId="77777777" w:rsidR="00B36B7E" w:rsidRDefault="00D554B8" w:rsidP="00D554B8">
      <w:pPr>
        <w:pStyle w:val="Textonotaalfinal"/>
        <w:rPr>
          <w:rFonts w:eastAsia="Calibri"/>
          <w:lang w:val="es-MX" w:eastAsia="en-US"/>
        </w:rPr>
      </w:pPr>
      <w:r>
        <w:rPr>
          <w:rFonts w:eastAsia="Calibri"/>
          <w:lang w:val="es-MX" w:eastAsia="en-US"/>
        </w:rPr>
        <w:tab/>
      </w:r>
      <w:r>
        <w:rPr>
          <w:rFonts w:eastAsia="Calibri"/>
          <w:lang w:val="es-MX" w:eastAsia="en-US"/>
        </w:rPr>
        <w:tab/>
      </w:r>
      <w:r w:rsidR="00B36B7E" w:rsidRPr="00B36B7E">
        <w:rPr>
          <w:rFonts w:eastAsia="Calibri"/>
          <w:lang w:val="es-MX" w:eastAsia="en-US"/>
        </w:rPr>
        <w:t>Elaboración en base al Diagnóstico SPA próximo a concluirse.</w:t>
      </w:r>
    </w:p>
    <w:p w14:paraId="361386A1"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Repuesta al párrafo 16</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262093A6" w14:textId="77777777" w:rsidR="00B36B7E" w:rsidRDefault="00D554B8" w:rsidP="00D554B8">
      <w:pPr>
        <w:pStyle w:val="H4G"/>
        <w:rPr>
          <w:lang w:val="es-MX" w:eastAsia="en-US"/>
        </w:rPr>
      </w:pPr>
      <w:r>
        <w:rPr>
          <w:lang w:val="es-MX" w:eastAsia="en-US"/>
        </w:rPr>
        <w:tab/>
      </w:r>
      <w:r>
        <w:rPr>
          <w:lang w:val="es-MX" w:eastAsia="en-US"/>
        </w:rPr>
        <w:tab/>
      </w:r>
      <w:r w:rsidR="00B36B7E" w:rsidRPr="00B36B7E">
        <w:rPr>
          <w:lang w:val="es-MX" w:eastAsia="en-US"/>
        </w:rPr>
        <w:t>Menores infractores</w:t>
      </w:r>
    </w:p>
    <w:p w14:paraId="4ACD13E2" w14:textId="77777777" w:rsidR="00B36B7E" w:rsidRDefault="00235247" w:rsidP="00777507">
      <w:pPr>
        <w:pStyle w:val="SingleTxtG"/>
        <w:spacing w:before="120"/>
        <w:rPr>
          <w:rFonts w:eastAsia="Calibri"/>
          <w:lang w:val="es-MX" w:eastAsia="en-US"/>
        </w:rPr>
      </w:pPr>
      <w:r>
        <w:rPr>
          <w:rFonts w:eastAsia="Calibri"/>
          <w:lang w:val="es-MX" w:eastAsia="en-US"/>
        </w:rPr>
        <w:t>87.</w:t>
      </w:r>
      <w:r>
        <w:rPr>
          <w:rFonts w:eastAsia="Calibri"/>
          <w:lang w:val="es-MX" w:eastAsia="en-US"/>
        </w:rPr>
        <w:tab/>
      </w:r>
      <w:r w:rsidR="00B36B7E" w:rsidRPr="00B36B7E">
        <w:rPr>
          <w:rFonts w:eastAsia="Calibri"/>
          <w:lang w:val="es-MX" w:eastAsia="en-US"/>
        </w:rPr>
        <w:t xml:space="preserve">El CNNA crea el Sistema Penal para Adolescentes, que determina la responsabilidad penal </w:t>
      </w:r>
      <w:r w:rsidR="00B36B7E" w:rsidRPr="00660E27">
        <w:rPr>
          <w:lang w:eastAsia="en-US"/>
        </w:rPr>
        <w:t>atenuada</w:t>
      </w:r>
      <w:r w:rsidR="00B36B7E" w:rsidRPr="00B36B7E">
        <w:rPr>
          <w:rFonts w:eastAsia="Calibri"/>
          <w:lang w:val="es-MX" w:eastAsia="en-US"/>
        </w:rPr>
        <w:t xml:space="preserve"> para adolescentes de 14 a 18 años, recuperando del procesamiento en la vía penal ordinaria a las y los adolescentes de 16 a 18 años de edad, y por ende separándolos del cumplimiento de sentencias en Centros Penitenciarios para Adultos. También</w:t>
      </w:r>
      <w:r w:rsidR="00B36B7E" w:rsidRPr="00B36B7E">
        <w:rPr>
          <w:lang w:eastAsia="en-US"/>
        </w:rPr>
        <w:t>, incorpora la justicia restaurativa y un sistema sancionatorio integrado por medidas socioeducativas que</w:t>
      </w:r>
      <w:r w:rsidR="00B36B7E" w:rsidRPr="00B36B7E">
        <w:rPr>
          <w:rFonts w:eastAsia="Calibri"/>
          <w:lang w:val="es-MX" w:eastAsia="en-US"/>
        </w:rPr>
        <w:t xml:space="preserve"> tienen la finalidad primordialmente educativa de reintegración social y, cuando fuere posible, de reparación del daño. Asimismo, tendrá la finalidad de evitar la reincidencia por medio de la intervención interdisciplinaria e individualizada a la persona adolescente en el Sistema Penal.</w:t>
      </w:r>
    </w:p>
    <w:p w14:paraId="38809101" w14:textId="77777777" w:rsidR="00B36B7E" w:rsidRDefault="00235247" w:rsidP="00777507">
      <w:pPr>
        <w:pStyle w:val="SingleTxtG"/>
        <w:spacing w:before="120"/>
        <w:rPr>
          <w:rFonts w:eastAsia="SimSun"/>
        </w:rPr>
      </w:pPr>
      <w:r>
        <w:rPr>
          <w:rFonts w:eastAsia="SimSun"/>
        </w:rPr>
        <w:t>88.</w:t>
      </w:r>
      <w:r>
        <w:rPr>
          <w:rFonts w:eastAsia="SimSun"/>
        </w:rPr>
        <w:tab/>
      </w:r>
      <w:r w:rsidR="00B36B7E" w:rsidRPr="00B36B7E">
        <w:rPr>
          <w:rFonts w:eastAsia="SimSun"/>
        </w:rPr>
        <w:t xml:space="preserve">Se </w:t>
      </w:r>
      <w:r w:rsidR="00B36B7E" w:rsidRPr="00660E27">
        <w:rPr>
          <w:lang w:eastAsia="en-US"/>
        </w:rPr>
        <w:t>han</w:t>
      </w:r>
      <w:r w:rsidR="00B36B7E" w:rsidRPr="00B36B7E">
        <w:rPr>
          <w:rFonts w:eastAsia="SimSun"/>
        </w:rPr>
        <w:t xml:space="preserve"> elaborado mecanismos que facilitan la aplicación del mencionado sistema como el Protocolo de Atención y Ruta de Intervención para Adolescentes con Responsabilidad Penal y los Lineamientos Generales de Atención para el Funcionamiento de los Centros de Orientación y Centros de Reintegración Social, se crearon las Mesas Departamentales de Justicia Penal para Adolescentes en todo el país y se realizaron procesos de capacitación a servidoras y servidores públicos de instituciones que trabajan en la temática.</w:t>
      </w:r>
    </w:p>
    <w:p w14:paraId="3747AD47" w14:textId="77777777" w:rsidR="00B36B7E" w:rsidRDefault="00235247" w:rsidP="00777507">
      <w:pPr>
        <w:pStyle w:val="SingleTxtG"/>
        <w:spacing w:before="120"/>
        <w:rPr>
          <w:rFonts w:eastAsia="SimSun"/>
        </w:rPr>
      </w:pPr>
      <w:r>
        <w:rPr>
          <w:rFonts w:eastAsia="SimSun"/>
        </w:rPr>
        <w:lastRenderedPageBreak/>
        <w:t>89.</w:t>
      </w:r>
      <w:r>
        <w:rPr>
          <w:rFonts w:eastAsia="SimSun"/>
        </w:rPr>
        <w:tab/>
      </w:r>
      <w:r w:rsidR="00B36B7E" w:rsidRPr="00B36B7E">
        <w:rPr>
          <w:rFonts w:eastAsia="Calibri"/>
          <w:lang w:val="es-MX"/>
        </w:rPr>
        <w:t xml:space="preserve">Con relación a la separación entre las y los adolescentes detenidos preventivos y adolescentes </w:t>
      </w:r>
      <w:r w:rsidR="00B36B7E" w:rsidRPr="00660E27">
        <w:rPr>
          <w:lang w:eastAsia="en-US"/>
        </w:rPr>
        <w:t>con</w:t>
      </w:r>
      <w:r w:rsidR="00B36B7E" w:rsidRPr="00B36B7E">
        <w:rPr>
          <w:rFonts w:eastAsia="Calibri"/>
          <w:lang w:val="es-MX"/>
        </w:rPr>
        <w:t xml:space="preserve"> sentencia, el CNNA, dispone en su artículo 289.III, que la detención preventiva se practicará en los centros de reintegración social, en forma diferenciada por género y separada de las o los adolescentes que estén cumpliendo la medida socio-educativa con privación de libertad, debiendo ser priorizada la celeridad de su tramitación.</w:t>
      </w:r>
      <w:r w:rsidR="00DB2928">
        <w:rPr>
          <w:rFonts w:eastAsia="Calibri"/>
          <w:lang w:val="es-MX"/>
        </w:rPr>
        <w:t xml:space="preserve"> </w:t>
      </w:r>
    </w:p>
    <w:p w14:paraId="53CF556F"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Respuesta al párrafo 17</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540D5897" w14:textId="77777777" w:rsidR="00B36B7E" w:rsidRDefault="00D554B8" w:rsidP="00D554B8">
      <w:pPr>
        <w:pStyle w:val="H4G"/>
        <w:rPr>
          <w:lang w:eastAsia="en-US"/>
        </w:rPr>
      </w:pPr>
      <w:r>
        <w:rPr>
          <w:lang w:eastAsia="en-US"/>
        </w:rPr>
        <w:tab/>
      </w:r>
      <w:r>
        <w:rPr>
          <w:lang w:eastAsia="en-US"/>
        </w:rPr>
        <w:tab/>
      </w:r>
      <w:r w:rsidR="00B36B7E" w:rsidRPr="00B36B7E">
        <w:rPr>
          <w:lang w:eastAsia="en-US"/>
        </w:rPr>
        <w:t>Sanciones disciplinarias</w:t>
      </w:r>
    </w:p>
    <w:p w14:paraId="1F0C8DD2" w14:textId="77777777" w:rsidR="00B36B7E" w:rsidRDefault="00235247" w:rsidP="00777507">
      <w:pPr>
        <w:pStyle w:val="SingleTxtG"/>
        <w:spacing w:before="120"/>
        <w:rPr>
          <w:lang w:eastAsia="en-US"/>
        </w:rPr>
      </w:pPr>
      <w:r>
        <w:rPr>
          <w:lang w:eastAsia="en-US"/>
        </w:rPr>
        <w:t>90.</w:t>
      </w:r>
      <w:r>
        <w:rPr>
          <w:lang w:eastAsia="en-US"/>
        </w:rPr>
        <w:tab/>
      </w:r>
      <w:r w:rsidR="00B36B7E" w:rsidRPr="00B36B7E">
        <w:rPr>
          <w:lang w:eastAsia="en-US"/>
        </w:rPr>
        <w:t>La LEPS, establece el régimen disciplinario orientado a garantizar la seguridad y convivencia pacífica y ordenada de los internos</w:t>
      </w:r>
      <w:r w:rsidR="00B36B7E" w:rsidRPr="00777507">
        <w:rPr>
          <w:sz w:val="18"/>
          <w:szCs w:val="18"/>
          <w:vertAlign w:val="superscript"/>
          <w:lang w:eastAsia="en-US"/>
        </w:rPr>
        <w:footnoteReference w:id="27"/>
      </w:r>
      <w:r w:rsidR="00B36B7E" w:rsidRPr="00B36B7E">
        <w:rPr>
          <w:lang w:eastAsia="en-US"/>
        </w:rPr>
        <w:t>, clasificando</w:t>
      </w:r>
      <w:r w:rsidR="00B36B7E" w:rsidRPr="00777507">
        <w:rPr>
          <w:sz w:val="18"/>
          <w:szCs w:val="18"/>
          <w:vertAlign w:val="superscript"/>
          <w:lang w:eastAsia="en-US"/>
        </w:rPr>
        <w:footnoteReference w:id="28"/>
      </w:r>
      <w:r w:rsidR="00B36B7E" w:rsidRPr="00B36B7E">
        <w:rPr>
          <w:lang w:eastAsia="en-US"/>
        </w:rPr>
        <w:t xml:space="preserve"> las faltas como leves, graves y muy graves</w:t>
      </w:r>
      <w:r w:rsidR="00B36B7E" w:rsidRPr="00777507">
        <w:rPr>
          <w:sz w:val="18"/>
          <w:szCs w:val="18"/>
          <w:vertAlign w:val="superscript"/>
          <w:lang w:eastAsia="en-US"/>
        </w:rPr>
        <w:footnoteReference w:id="29"/>
      </w:r>
      <w:r w:rsidR="00B36B7E" w:rsidRPr="00B36B7E">
        <w:rPr>
          <w:lang w:eastAsia="en-US"/>
        </w:rPr>
        <w:t>, las cuales tienen sus propias sanciones</w:t>
      </w:r>
      <w:r w:rsidR="00B36B7E" w:rsidRPr="00777507">
        <w:rPr>
          <w:sz w:val="18"/>
          <w:szCs w:val="18"/>
          <w:vertAlign w:val="superscript"/>
          <w:lang w:eastAsia="en-US"/>
        </w:rPr>
        <w:footnoteReference w:id="30"/>
      </w:r>
      <w:r w:rsidR="00B36B7E" w:rsidRPr="00B36B7E">
        <w:rPr>
          <w:lang w:eastAsia="en-US"/>
        </w:rPr>
        <w:t>. Además, determina como una sanción por falta grave la prohibición de recibir visitas por un máximo de 20 días calendario; y como falta muy grave la prohibición de recibir visitas por un máximo de 30 días calendario.</w:t>
      </w:r>
    </w:p>
    <w:p w14:paraId="3FA97985" w14:textId="77777777" w:rsidR="00B36B7E" w:rsidRDefault="00235247" w:rsidP="00777507">
      <w:pPr>
        <w:pStyle w:val="SingleTxtG"/>
        <w:spacing w:before="120"/>
        <w:rPr>
          <w:lang w:eastAsia="en-US"/>
        </w:rPr>
      </w:pPr>
      <w:r>
        <w:rPr>
          <w:lang w:eastAsia="en-US"/>
        </w:rPr>
        <w:t>91.</w:t>
      </w:r>
      <w:r>
        <w:rPr>
          <w:lang w:eastAsia="en-US"/>
        </w:rPr>
        <w:tab/>
      </w:r>
      <w:r w:rsidR="00B36B7E" w:rsidRPr="00B36B7E">
        <w:rPr>
          <w:lang w:eastAsia="en-US"/>
        </w:rPr>
        <w:t>Además dicha norma prohíbe imponer como sanciones la permanencia solitaria de internas embarazadas o con niños lactantes</w:t>
      </w:r>
      <w:r w:rsidR="00B36B7E" w:rsidRPr="00777507">
        <w:rPr>
          <w:sz w:val="18"/>
          <w:szCs w:val="18"/>
          <w:vertAlign w:val="superscript"/>
          <w:lang w:eastAsia="en-US"/>
        </w:rPr>
        <w:footnoteReference w:id="31"/>
      </w:r>
      <w:r w:rsidR="00B36B7E" w:rsidRPr="00B36B7E">
        <w:rPr>
          <w:lang w:eastAsia="en-US"/>
        </w:rPr>
        <w:t>; y prevé que el interno sometido a permanencia solitaria será sujeto a revisión médica diariamente, a efectos de tomar las medidas necesarias para preservar la salud del interno</w:t>
      </w:r>
      <w:r w:rsidR="00B36B7E" w:rsidRPr="00777507">
        <w:rPr>
          <w:sz w:val="18"/>
          <w:szCs w:val="18"/>
          <w:vertAlign w:val="superscript"/>
          <w:lang w:eastAsia="en-US"/>
        </w:rPr>
        <w:footnoteReference w:id="32"/>
      </w:r>
      <w:r w:rsidR="00B36B7E" w:rsidRPr="00B36B7E">
        <w:rPr>
          <w:lang w:eastAsia="en-US"/>
        </w:rPr>
        <w:t>; las cuales se encuentran acordes con las normas internacionales.</w:t>
      </w:r>
    </w:p>
    <w:p w14:paraId="63A7C10D" w14:textId="77777777" w:rsidR="00B36B7E" w:rsidRDefault="00D554B8" w:rsidP="00D554B8">
      <w:pPr>
        <w:pStyle w:val="H4G"/>
        <w:rPr>
          <w:lang w:eastAsia="en-US"/>
        </w:rPr>
      </w:pPr>
      <w:r>
        <w:rPr>
          <w:lang w:eastAsia="en-US"/>
        </w:rPr>
        <w:tab/>
      </w:r>
      <w:r>
        <w:rPr>
          <w:lang w:eastAsia="en-US"/>
        </w:rPr>
        <w:tab/>
      </w:r>
      <w:r w:rsidR="00B36B7E" w:rsidRPr="00B36B7E">
        <w:rPr>
          <w:lang w:eastAsia="en-US"/>
        </w:rPr>
        <w:t xml:space="preserve">Reinserción Social </w:t>
      </w:r>
    </w:p>
    <w:p w14:paraId="35A5F27B" w14:textId="77777777" w:rsidR="00B36B7E" w:rsidRDefault="00235247" w:rsidP="00777507">
      <w:pPr>
        <w:pStyle w:val="SingleTxtG"/>
        <w:spacing w:before="120"/>
        <w:rPr>
          <w:rFonts w:eastAsia="SimSun"/>
        </w:rPr>
      </w:pPr>
      <w:r>
        <w:rPr>
          <w:rFonts w:eastAsia="SimSun"/>
        </w:rPr>
        <w:t>92.</w:t>
      </w:r>
      <w:r>
        <w:rPr>
          <w:rFonts w:eastAsia="SimSun"/>
        </w:rPr>
        <w:tab/>
      </w:r>
      <w:r w:rsidR="00B36B7E" w:rsidRPr="00B36B7E">
        <w:rPr>
          <w:rFonts w:eastAsia="SimSun"/>
        </w:rPr>
        <w:t xml:space="preserve">La política de reinserción social para PPL abarca 5 áreas: salud, educación, trabajo, </w:t>
      </w:r>
      <w:r w:rsidR="00B36B7E" w:rsidRPr="00660E27">
        <w:rPr>
          <w:lang w:eastAsia="en-US"/>
        </w:rPr>
        <w:t>capacitación</w:t>
      </w:r>
      <w:r w:rsidR="00B36B7E" w:rsidRPr="00B36B7E">
        <w:rPr>
          <w:rFonts w:eastAsia="SimSun"/>
        </w:rPr>
        <w:t xml:space="preserve"> laboral y deportes. En el ámbito de salud, personal médico del Programa Mi Salud atiende los centros penitenciarios a nivel nacional, aplicando los programas nacionales de atención</w:t>
      </w:r>
      <w:r w:rsidR="00B36B7E" w:rsidRPr="00777507">
        <w:rPr>
          <w:rFonts w:eastAsia="SimSun"/>
          <w:sz w:val="18"/>
          <w:szCs w:val="18"/>
          <w:vertAlign w:val="superscript"/>
        </w:rPr>
        <w:footnoteReference w:id="33"/>
      </w:r>
      <w:r w:rsidR="00B36B7E" w:rsidRPr="00B36B7E">
        <w:rPr>
          <w:rFonts w:eastAsia="SimSun"/>
        </w:rPr>
        <w:t xml:space="preserve">. Además, se ejecutan el Programa Nacional de Control de Tuberculosis y el Programa Nacional de Prevención y Tratamiento de Adicciones. </w:t>
      </w:r>
    </w:p>
    <w:p w14:paraId="3A541B98" w14:textId="77777777" w:rsidR="00B36B7E" w:rsidRDefault="00235247" w:rsidP="00777507">
      <w:pPr>
        <w:pStyle w:val="SingleTxtG"/>
        <w:spacing w:before="120"/>
        <w:rPr>
          <w:rFonts w:eastAsia="SimSun"/>
        </w:rPr>
      </w:pPr>
      <w:r>
        <w:rPr>
          <w:rFonts w:eastAsia="SimSun"/>
        </w:rPr>
        <w:t>93.</w:t>
      </w:r>
      <w:r>
        <w:rPr>
          <w:rFonts w:eastAsia="SimSun"/>
        </w:rPr>
        <w:tab/>
      </w:r>
      <w:r w:rsidR="00B36B7E" w:rsidRPr="00B36B7E">
        <w:rPr>
          <w:rFonts w:eastAsia="SimSun"/>
        </w:rPr>
        <w:t xml:space="preserve">En el ámbito educativo, se han elaborado los lineamientos curriculares para la educación en contexto de encierro con educación alternativa (primaria, secundaria y técnica). </w:t>
      </w:r>
    </w:p>
    <w:p w14:paraId="47B377ED" w14:textId="77777777" w:rsidR="00B36B7E" w:rsidRDefault="00235247" w:rsidP="00777507">
      <w:pPr>
        <w:pStyle w:val="SingleTxtG"/>
        <w:spacing w:before="120"/>
        <w:rPr>
          <w:rFonts w:eastAsia="SimSun"/>
        </w:rPr>
      </w:pPr>
      <w:r>
        <w:rPr>
          <w:rFonts w:eastAsia="SimSun"/>
        </w:rPr>
        <w:t>94.</w:t>
      </w:r>
      <w:r>
        <w:rPr>
          <w:rFonts w:eastAsia="SimSun"/>
        </w:rPr>
        <w:tab/>
      </w:r>
      <w:r w:rsidR="00B36B7E" w:rsidRPr="00B36B7E">
        <w:rPr>
          <w:rFonts w:eastAsia="SimSun"/>
        </w:rPr>
        <w:t>Por otro lado, en una mesa técnica entre el MTEPS y el Ministerio de Gobierno, se está diseñando un programa laboral en favor de las PPL y un plan específico para la reinserción laboral de personas que hayan estado privadas de libertad.</w:t>
      </w:r>
    </w:p>
    <w:p w14:paraId="4B0C938B" w14:textId="77777777" w:rsidR="00B36B7E" w:rsidRDefault="00D554B8" w:rsidP="00D554B8">
      <w:pPr>
        <w:pStyle w:val="H23G"/>
        <w:rPr>
          <w:lang w:eastAsia="en-US"/>
        </w:rPr>
      </w:pPr>
      <w:r>
        <w:rPr>
          <w:lang w:eastAsia="en-US"/>
        </w:rPr>
        <w:tab/>
      </w:r>
      <w:r>
        <w:rPr>
          <w:lang w:eastAsia="en-US"/>
        </w:rPr>
        <w:tab/>
      </w:r>
      <w:r w:rsidR="00B36B7E" w:rsidRPr="00B36B7E">
        <w:rPr>
          <w:lang w:eastAsia="en-US"/>
        </w:rPr>
        <w:t>Respuesta al párrafo 20</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3C850A2C" w14:textId="77777777" w:rsidR="00B36B7E" w:rsidRDefault="00235247" w:rsidP="00777507">
      <w:pPr>
        <w:pStyle w:val="SingleTxtG"/>
        <w:spacing w:before="120"/>
        <w:rPr>
          <w:lang w:val="es-BO"/>
        </w:rPr>
      </w:pPr>
      <w:r>
        <w:rPr>
          <w:lang w:val="es-BO"/>
        </w:rPr>
        <w:t>95.</w:t>
      </w:r>
      <w:r>
        <w:rPr>
          <w:lang w:val="es-BO"/>
        </w:rPr>
        <w:tab/>
      </w:r>
      <w:r w:rsidR="00B36B7E" w:rsidRPr="00B36B7E">
        <w:rPr>
          <w:lang w:val="es-BO"/>
        </w:rPr>
        <w:t xml:space="preserve">El artículo 7 de la Ley 251, dispone que no se impondrán sanciones penales ni </w:t>
      </w:r>
      <w:r w:rsidR="00B36B7E" w:rsidRPr="00660E27">
        <w:rPr>
          <w:lang w:eastAsia="en-US"/>
        </w:rPr>
        <w:t>administrativas</w:t>
      </w:r>
      <w:r w:rsidR="00B36B7E" w:rsidRPr="00B36B7E">
        <w:rPr>
          <w:lang w:val="es-BO"/>
        </w:rPr>
        <w:t xml:space="preserve">, por causa del ingreso o presencia irregular de la persona solicitante de la condición de refugiada. </w:t>
      </w:r>
    </w:p>
    <w:p w14:paraId="56E4092F" w14:textId="77777777" w:rsidR="00B36B7E" w:rsidRDefault="00235247" w:rsidP="00777507">
      <w:pPr>
        <w:pStyle w:val="SingleTxtG"/>
        <w:spacing w:before="120"/>
        <w:rPr>
          <w:lang w:val="es-BO"/>
        </w:rPr>
      </w:pPr>
      <w:r>
        <w:rPr>
          <w:lang w:val="es-BO"/>
        </w:rPr>
        <w:t>96.</w:t>
      </w:r>
      <w:r>
        <w:rPr>
          <w:lang w:val="es-BO"/>
        </w:rPr>
        <w:tab/>
      </w:r>
      <w:r w:rsidR="00B36B7E" w:rsidRPr="00B36B7E">
        <w:rPr>
          <w:lang w:val="es-BO"/>
        </w:rPr>
        <w:t xml:space="preserve">La </w:t>
      </w:r>
      <w:r w:rsidR="00B36B7E" w:rsidRPr="00660E27">
        <w:rPr>
          <w:lang w:eastAsia="en-US"/>
        </w:rPr>
        <w:t>CONARE</w:t>
      </w:r>
      <w:r w:rsidR="00B36B7E" w:rsidRPr="00B36B7E">
        <w:rPr>
          <w:lang w:val="es-BO"/>
        </w:rPr>
        <w:t xml:space="preserve"> no tiene información sobre el número de solicitantes de asilo que se encuentran privados de libertad en el Estado parte por su situación migratoria irregular, en razón a que la detención no procede, aplicando plenamente el principio de No Sanción. </w:t>
      </w:r>
    </w:p>
    <w:p w14:paraId="054129B1" w14:textId="77777777" w:rsidR="00B36B7E" w:rsidRDefault="00D554B8" w:rsidP="00D554B8">
      <w:pPr>
        <w:pStyle w:val="H23G"/>
        <w:rPr>
          <w:lang w:eastAsia="en-US"/>
        </w:rPr>
      </w:pPr>
      <w:r>
        <w:rPr>
          <w:lang w:eastAsia="en-US"/>
        </w:rPr>
        <w:tab/>
      </w:r>
      <w:r>
        <w:rPr>
          <w:lang w:eastAsia="en-US"/>
        </w:rPr>
        <w:tab/>
      </w:r>
      <w:r w:rsidR="00B36B7E" w:rsidRPr="00B36B7E">
        <w:rPr>
          <w:lang w:eastAsia="en-US"/>
        </w:rPr>
        <w:t>Respuesta al párrafo 21</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2FE92812" w14:textId="77777777" w:rsidR="00B36B7E" w:rsidRDefault="00235247" w:rsidP="00777507">
      <w:pPr>
        <w:pStyle w:val="SingleTxtG"/>
        <w:spacing w:before="120"/>
        <w:rPr>
          <w:lang w:val="es-BO"/>
        </w:rPr>
      </w:pPr>
      <w:r>
        <w:rPr>
          <w:lang w:val="es-BO"/>
        </w:rPr>
        <w:t>97.</w:t>
      </w:r>
      <w:r>
        <w:rPr>
          <w:lang w:val="es-BO"/>
        </w:rPr>
        <w:tab/>
      </w:r>
      <w:r w:rsidR="00B36B7E" w:rsidRPr="00B36B7E">
        <w:rPr>
          <w:lang w:val="es-BO"/>
        </w:rPr>
        <w:t xml:space="preserve">El SEPRET, recientemente, en agosto de 2020, realizó una visita al </w:t>
      </w:r>
      <w:r w:rsidR="00430519">
        <w:rPr>
          <w:lang w:val="es-BO"/>
        </w:rPr>
        <w:t>“</w:t>
      </w:r>
      <w:r w:rsidR="00B36B7E" w:rsidRPr="00B36B7E">
        <w:rPr>
          <w:lang w:val="es-BO"/>
        </w:rPr>
        <w:t xml:space="preserve">Instituto Nacional de </w:t>
      </w:r>
      <w:r w:rsidR="00B36B7E" w:rsidRPr="00660E27">
        <w:rPr>
          <w:lang w:eastAsia="en-US"/>
        </w:rPr>
        <w:t>Psiquiatría</w:t>
      </w:r>
      <w:r w:rsidR="00B36B7E" w:rsidRPr="00B36B7E">
        <w:rPr>
          <w:lang w:val="es-BO"/>
        </w:rPr>
        <w:t xml:space="preserve"> Gregorio Pacheco</w:t>
      </w:r>
      <w:r w:rsidR="00430519">
        <w:rPr>
          <w:lang w:val="es-BO"/>
        </w:rPr>
        <w:t>”</w:t>
      </w:r>
      <w:r w:rsidR="00B36B7E" w:rsidRPr="00B36B7E">
        <w:rPr>
          <w:lang w:val="es-BO"/>
        </w:rPr>
        <w:t xml:space="preserve"> ubicado en la ciudad de Sucre, donde se verificó </w:t>
      </w:r>
      <w:r w:rsidR="00B36B7E" w:rsidRPr="00B36B7E">
        <w:rPr>
          <w:lang w:val="es-BO"/>
        </w:rPr>
        <w:lastRenderedPageBreak/>
        <w:t xml:space="preserve">que cuenta con 4 secciones divididas en 4 salas: sala de agudos </w:t>
      </w:r>
      <w:r w:rsidR="00DA769E">
        <w:rPr>
          <w:lang w:val="es-BO"/>
        </w:rPr>
        <w:t>—</w:t>
      </w:r>
      <w:r w:rsidR="00B36B7E" w:rsidRPr="00B36B7E">
        <w:rPr>
          <w:lang w:val="es-BO"/>
        </w:rPr>
        <w:t>varones y mujeres</w:t>
      </w:r>
      <w:r w:rsidR="00DA769E">
        <w:rPr>
          <w:lang w:val="es-BO"/>
        </w:rPr>
        <w:t>—</w:t>
      </w:r>
      <w:r w:rsidR="00B36B7E" w:rsidRPr="00B36B7E">
        <w:rPr>
          <w:lang w:val="es-BO"/>
        </w:rPr>
        <w:t xml:space="preserve">, sala intermedia </w:t>
      </w:r>
      <w:r w:rsidR="00DA769E">
        <w:rPr>
          <w:lang w:val="es-BO"/>
        </w:rPr>
        <w:t>—</w:t>
      </w:r>
      <w:r w:rsidR="00B36B7E" w:rsidRPr="00B36B7E">
        <w:rPr>
          <w:lang w:val="es-BO"/>
        </w:rPr>
        <w:t>varones y mujeres</w:t>
      </w:r>
      <w:r w:rsidR="00DA769E">
        <w:rPr>
          <w:lang w:val="es-BO"/>
        </w:rPr>
        <w:t>—</w:t>
      </w:r>
      <w:r w:rsidR="00B36B7E" w:rsidRPr="00B36B7E">
        <w:rPr>
          <w:lang w:val="es-BO"/>
        </w:rPr>
        <w:t xml:space="preserve">, área de estancia prolongada y área de geriatría. Actualmente, cuenta con 18 internos de Santa Cruz, Beni y Sucre, que cumplen una sanción penal. </w:t>
      </w:r>
    </w:p>
    <w:p w14:paraId="1EB2F9EE"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Respuesta al párrafo 22</w:t>
      </w:r>
      <w:r w:rsidR="00B55F3D" w:rsidRPr="00B55F3D">
        <w:rPr>
          <w:lang w:val="es-CU"/>
        </w:rPr>
        <w:t xml:space="preserve"> </w:t>
      </w:r>
      <w:r w:rsidR="00B55F3D">
        <w:rPr>
          <w:lang w:val="es-CU"/>
        </w:rPr>
        <w:t>de la lista de</w:t>
      </w:r>
      <w:r w:rsidR="00B55F3D">
        <w:rPr>
          <w:lang w:val="es-ES_tradnl"/>
        </w:rPr>
        <w:t xml:space="preserve"> </w:t>
      </w:r>
      <w:r w:rsidR="00B55F3D" w:rsidRPr="00E9029D">
        <w:rPr>
          <w:lang w:val="es-ES_tradnl"/>
        </w:rPr>
        <w:t>cuestiones</w:t>
      </w:r>
    </w:p>
    <w:p w14:paraId="532AEC90" w14:textId="77777777" w:rsidR="00B36B7E" w:rsidRDefault="00D554B8" w:rsidP="00D554B8">
      <w:pPr>
        <w:pStyle w:val="H4G"/>
        <w:rPr>
          <w:lang w:eastAsia="en-US"/>
        </w:rPr>
      </w:pPr>
      <w:r>
        <w:rPr>
          <w:lang w:eastAsia="en-US"/>
        </w:rPr>
        <w:tab/>
      </w:r>
      <w:r>
        <w:rPr>
          <w:lang w:eastAsia="en-US"/>
        </w:rPr>
        <w:tab/>
      </w:r>
      <w:r w:rsidR="00B36B7E" w:rsidRPr="00B36B7E">
        <w:rPr>
          <w:lang w:eastAsia="en-US"/>
        </w:rPr>
        <w:t>Visitas realizadas a lugares de detención</w:t>
      </w:r>
    </w:p>
    <w:p w14:paraId="30C226A2" w14:textId="77777777" w:rsidR="00B36B7E" w:rsidRDefault="00235247" w:rsidP="00777507">
      <w:pPr>
        <w:pStyle w:val="SingleTxtG"/>
        <w:spacing w:before="120"/>
        <w:rPr>
          <w:lang w:eastAsia="en-US"/>
        </w:rPr>
      </w:pPr>
      <w:r>
        <w:rPr>
          <w:lang w:eastAsia="en-US"/>
        </w:rPr>
        <w:t>98.</w:t>
      </w:r>
      <w:r>
        <w:rPr>
          <w:lang w:eastAsia="en-US"/>
        </w:rPr>
        <w:tab/>
      </w:r>
      <w:r w:rsidR="00B36B7E" w:rsidRPr="00B36B7E">
        <w:rPr>
          <w:lang w:eastAsia="en-US"/>
        </w:rPr>
        <w:t>El SEPRET, en el marco de sus competencias en la gestión 2018 realizó en total 52 visitas no planificadas, como se detalla a continuación.</w:t>
      </w:r>
    </w:p>
    <w:p w14:paraId="2350D1EC" w14:textId="77777777" w:rsidR="00B36B7E" w:rsidRPr="00B36B7E" w:rsidRDefault="00B36B7E" w:rsidP="00C130CA">
      <w:pPr>
        <w:spacing w:line="360" w:lineRule="auto"/>
        <w:ind w:left="567" w:firstLine="567"/>
        <w:rPr>
          <w:rFonts w:eastAsia="Calibri"/>
          <w:b/>
          <w:sz w:val="18"/>
          <w:szCs w:val="18"/>
          <w:lang w:eastAsia="en-US"/>
        </w:rPr>
      </w:pPr>
      <w:r w:rsidRPr="00B36B7E">
        <w:rPr>
          <w:rFonts w:eastAsia="Calibri"/>
          <w:b/>
          <w:sz w:val="18"/>
          <w:szCs w:val="18"/>
          <w:lang w:eastAsia="en-US"/>
        </w:rPr>
        <w:t>V</w:t>
      </w:r>
      <w:r w:rsidR="000553C1">
        <w:rPr>
          <w:rFonts w:eastAsia="Calibri"/>
          <w:b/>
          <w:sz w:val="18"/>
          <w:szCs w:val="18"/>
          <w:lang w:eastAsia="en-US"/>
        </w:rPr>
        <w:t xml:space="preserve">isitas no planificadas </w:t>
      </w:r>
    </w:p>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5"/>
        <w:gridCol w:w="615"/>
        <w:gridCol w:w="426"/>
        <w:gridCol w:w="576"/>
        <w:gridCol w:w="577"/>
        <w:gridCol w:w="604"/>
        <w:gridCol w:w="950"/>
        <w:gridCol w:w="1061"/>
        <w:gridCol w:w="580"/>
        <w:gridCol w:w="626"/>
      </w:tblGrid>
      <w:tr w:rsidR="004D4A48" w:rsidRPr="00210112" w14:paraId="19B9EDD9" w14:textId="77777777" w:rsidTr="0021011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12" w:space="0" w:color="auto"/>
            </w:tcBorders>
            <w:shd w:val="clear" w:color="auto" w:fill="auto"/>
            <w:vAlign w:val="bottom"/>
          </w:tcPr>
          <w:p w14:paraId="6E91FFA2" w14:textId="77777777" w:rsidR="00B36B7E" w:rsidRPr="00210112" w:rsidRDefault="00B36B7E">
            <w:pPr>
              <w:spacing w:before="80" w:after="80" w:line="200" w:lineRule="exact"/>
              <w:rPr>
                <w:rFonts w:ascii="Times New Roman" w:eastAsia="Calibri" w:hAnsi="Times New Roman"/>
                <w:b w:val="0"/>
                <w:i/>
                <w:color w:val="auto"/>
                <w:sz w:val="16"/>
                <w:szCs w:val="18"/>
                <w:lang w:eastAsia="en-US"/>
              </w:rPr>
            </w:pPr>
            <w:r w:rsidRPr="00210112">
              <w:rPr>
                <w:rFonts w:eastAsia="Calibri"/>
                <w:i/>
                <w:sz w:val="16"/>
                <w:szCs w:val="18"/>
                <w:lang w:eastAsia="en-US"/>
              </w:rPr>
              <w:t xml:space="preserve">NOMBRE DE RECINTOS </w:t>
            </w:r>
          </w:p>
        </w:tc>
        <w:tc>
          <w:tcPr>
            <w:tcW w:w="0" w:type="pct"/>
            <w:tcBorders>
              <w:top w:val="single" w:sz="4" w:space="0" w:color="auto"/>
              <w:bottom w:val="single" w:sz="12" w:space="0" w:color="auto"/>
            </w:tcBorders>
            <w:shd w:val="clear" w:color="auto" w:fill="auto"/>
            <w:vAlign w:val="bottom"/>
          </w:tcPr>
          <w:p w14:paraId="7208CCD4"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Pando</w:t>
            </w:r>
          </w:p>
        </w:tc>
        <w:tc>
          <w:tcPr>
            <w:tcW w:w="0" w:type="pct"/>
            <w:tcBorders>
              <w:top w:val="single" w:sz="4" w:space="0" w:color="auto"/>
              <w:bottom w:val="single" w:sz="12" w:space="0" w:color="auto"/>
            </w:tcBorders>
            <w:shd w:val="clear" w:color="auto" w:fill="auto"/>
            <w:vAlign w:val="bottom"/>
          </w:tcPr>
          <w:p w14:paraId="56A6DF45"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La Paz</w:t>
            </w:r>
          </w:p>
        </w:tc>
        <w:tc>
          <w:tcPr>
            <w:tcW w:w="0" w:type="pct"/>
            <w:tcBorders>
              <w:top w:val="single" w:sz="4" w:space="0" w:color="auto"/>
              <w:bottom w:val="single" w:sz="12" w:space="0" w:color="auto"/>
            </w:tcBorders>
            <w:shd w:val="clear" w:color="auto" w:fill="auto"/>
            <w:vAlign w:val="bottom"/>
          </w:tcPr>
          <w:p w14:paraId="5AD03674"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Santa Cruz</w:t>
            </w:r>
          </w:p>
        </w:tc>
        <w:tc>
          <w:tcPr>
            <w:tcW w:w="0" w:type="pct"/>
            <w:tcBorders>
              <w:top w:val="single" w:sz="4" w:space="0" w:color="auto"/>
              <w:bottom w:val="single" w:sz="12" w:space="0" w:color="auto"/>
            </w:tcBorders>
            <w:shd w:val="clear" w:color="auto" w:fill="auto"/>
            <w:vAlign w:val="bottom"/>
          </w:tcPr>
          <w:p w14:paraId="00C5D88F"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Tarija</w:t>
            </w:r>
          </w:p>
        </w:tc>
        <w:tc>
          <w:tcPr>
            <w:tcW w:w="0" w:type="pct"/>
            <w:tcBorders>
              <w:top w:val="single" w:sz="4" w:space="0" w:color="auto"/>
              <w:bottom w:val="single" w:sz="12" w:space="0" w:color="auto"/>
            </w:tcBorders>
            <w:shd w:val="clear" w:color="auto" w:fill="auto"/>
            <w:vAlign w:val="bottom"/>
          </w:tcPr>
          <w:p w14:paraId="4111A650"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Potosí</w:t>
            </w:r>
          </w:p>
        </w:tc>
        <w:tc>
          <w:tcPr>
            <w:tcW w:w="0" w:type="pct"/>
            <w:tcBorders>
              <w:top w:val="single" w:sz="4" w:space="0" w:color="auto"/>
              <w:bottom w:val="single" w:sz="12" w:space="0" w:color="auto"/>
            </w:tcBorders>
            <w:shd w:val="clear" w:color="auto" w:fill="auto"/>
            <w:vAlign w:val="bottom"/>
          </w:tcPr>
          <w:p w14:paraId="5D262606"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Chuquisaca</w:t>
            </w:r>
          </w:p>
        </w:tc>
        <w:tc>
          <w:tcPr>
            <w:tcW w:w="0" w:type="pct"/>
            <w:tcBorders>
              <w:top w:val="single" w:sz="4" w:space="0" w:color="auto"/>
              <w:bottom w:val="single" w:sz="12" w:space="0" w:color="auto"/>
            </w:tcBorders>
            <w:shd w:val="clear" w:color="auto" w:fill="auto"/>
            <w:vAlign w:val="bottom"/>
          </w:tcPr>
          <w:p w14:paraId="1B8DAD1E"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Cochabamba</w:t>
            </w:r>
          </w:p>
        </w:tc>
        <w:tc>
          <w:tcPr>
            <w:tcW w:w="0" w:type="pct"/>
            <w:tcBorders>
              <w:top w:val="single" w:sz="4" w:space="0" w:color="auto"/>
              <w:bottom w:val="single" w:sz="12" w:space="0" w:color="auto"/>
            </w:tcBorders>
            <w:shd w:val="clear" w:color="auto" w:fill="auto"/>
            <w:vAlign w:val="bottom"/>
          </w:tcPr>
          <w:p w14:paraId="253711D2"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Oruro</w:t>
            </w:r>
          </w:p>
        </w:tc>
        <w:tc>
          <w:tcPr>
            <w:tcW w:w="0" w:type="pct"/>
            <w:tcBorders>
              <w:top w:val="single" w:sz="4" w:space="0" w:color="auto"/>
              <w:bottom w:val="single" w:sz="12" w:space="0" w:color="auto"/>
            </w:tcBorders>
            <w:shd w:val="clear" w:color="auto" w:fill="auto"/>
            <w:vAlign w:val="bottom"/>
          </w:tcPr>
          <w:p w14:paraId="4CB3686D"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TOTAL</w:t>
            </w:r>
          </w:p>
        </w:tc>
      </w:tr>
      <w:tr w:rsidR="004D4A48" w:rsidRPr="00210112" w14:paraId="10A287B1" w14:textId="77777777" w:rsidTr="0021011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auto"/>
          </w:tcPr>
          <w:p w14:paraId="0CE665EB" w14:textId="77777777" w:rsidR="00B36B7E" w:rsidRPr="00777507" w:rsidRDefault="00B36B7E">
            <w:pPr>
              <w:spacing w:before="40" w:after="40" w:line="220" w:lineRule="exact"/>
              <w:rPr>
                <w:rFonts w:ascii="Times New Roman" w:eastAsia="Calibri" w:hAnsi="Times New Roman"/>
                <w:b w:val="0"/>
                <w:color w:val="auto"/>
                <w:sz w:val="18"/>
                <w:szCs w:val="18"/>
                <w:lang w:eastAsia="en-US"/>
              </w:rPr>
            </w:pPr>
            <w:r w:rsidRPr="00210112">
              <w:rPr>
                <w:rFonts w:eastAsia="Calibri"/>
                <w:sz w:val="18"/>
                <w:szCs w:val="18"/>
                <w:lang w:eastAsia="en-US"/>
              </w:rPr>
              <w:t>Centros de custodia</w:t>
            </w:r>
          </w:p>
        </w:tc>
        <w:tc>
          <w:tcPr>
            <w:tcW w:w="0" w:type="pct"/>
            <w:tcBorders>
              <w:top w:val="single" w:sz="12" w:space="0" w:color="auto"/>
            </w:tcBorders>
            <w:shd w:val="clear" w:color="auto" w:fill="auto"/>
            <w:vAlign w:val="bottom"/>
          </w:tcPr>
          <w:p w14:paraId="7DE091CE" w14:textId="77777777" w:rsidR="00B36B7E" w:rsidRPr="00777507" w:rsidRDefault="00DB2928"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 xml:space="preserve"> </w:t>
            </w:r>
            <w:r w:rsidR="00B36B7E" w:rsidRPr="00777507">
              <w:rPr>
                <w:rFonts w:eastAsia="Calibri"/>
                <w:sz w:val="18"/>
                <w:szCs w:val="18"/>
                <w:lang w:eastAsia="en-US"/>
              </w:rPr>
              <w:t>-</w:t>
            </w:r>
          </w:p>
        </w:tc>
        <w:tc>
          <w:tcPr>
            <w:tcW w:w="0" w:type="pct"/>
            <w:tcBorders>
              <w:top w:val="single" w:sz="12" w:space="0" w:color="auto"/>
            </w:tcBorders>
            <w:shd w:val="clear" w:color="auto" w:fill="auto"/>
            <w:vAlign w:val="bottom"/>
          </w:tcPr>
          <w:p w14:paraId="2B4676D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tcBorders>
              <w:top w:val="single" w:sz="12" w:space="0" w:color="auto"/>
            </w:tcBorders>
            <w:shd w:val="clear" w:color="auto" w:fill="auto"/>
            <w:vAlign w:val="bottom"/>
          </w:tcPr>
          <w:p w14:paraId="4949B1E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4</w:t>
            </w:r>
          </w:p>
        </w:tc>
        <w:tc>
          <w:tcPr>
            <w:tcW w:w="0" w:type="pct"/>
            <w:tcBorders>
              <w:top w:val="single" w:sz="12" w:space="0" w:color="auto"/>
            </w:tcBorders>
            <w:shd w:val="clear" w:color="auto" w:fill="auto"/>
            <w:vAlign w:val="bottom"/>
          </w:tcPr>
          <w:p w14:paraId="2B3AD3AB" w14:textId="77777777" w:rsidR="00B36B7E" w:rsidRPr="00777507" w:rsidRDefault="00DB2928"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 xml:space="preserve"> </w:t>
            </w:r>
            <w:r w:rsidR="00B36B7E" w:rsidRPr="00777507">
              <w:rPr>
                <w:rFonts w:eastAsia="Calibri"/>
                <w:sz w:val="18"/>
                <w:szCs w:val="18"/>
                <w:lang w:eastAsia="en-US"/>
              </w:rPr>
              <w:t>-</w:t>
            </w:r>
          </w:p>
        </w:tc>
        <w:tc>
          <w:tcPr>
            <w:tcW w:w="0" w:type="pct"/>
            <w:tcBorders>
              <w:top w:val="single" w:sz="12" w:space="0" w:color="auto"/>
            </w:tcBorders>
            <w:shd w:val="clear" w:color="auto" w:fill="auto"/>
            <w:vAlign w:val="bottom"/>
          </w:tcPr>
          <w:p w14:paraId="0AD71E6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10</w:t>
            </w:r>
          </w:p>
        </w:tc>
        <w:tc>
          <w:tcPr>
            <w:tcW w:w="0" w:type="pct"/>
            <w:tcBorders>
              <w:top w:val="single" w:sz="12" w:space="0" w:color="auto"/>
            </w:tcBorders>
            <w:shd w:val="clear" w:color="auto" w:fill="auto"/>
            <w:vAlign w:val="bottom"/>
          </w:tcPr>
          <w:p w14:paraId="79B6936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tcBorders>
              <w:top w:val="single" w:sz="12" w:space="0" w:color="auto"/>
            </w:tcBorders>
            <w:shd w:val="clear" w:color="auto" w:fill="auto"/>
            <w:vAlign w:val="bottom"/>
          </w:tcPr>
          <w:p w14:paraId="6C42FBB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tcBorders>
              <w:top w:val="single" w:sz="12" w:space="0" w:color="auto"/>
            </w:tcBorders>
            <w:shd w:val="clear" w:color="auto" w:fill="auto"/>
            <w:vAlign w:val="bottom"/>
          </w:tcPr>
          <w:p w14:paraId="60C0699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c>
          <w:tcPr>
            <w:tcW w:w="0" w:type="pct"/>
            <w:tcBorders>
              <w:top w:val="single" w:sz="12" w:space="0" w:color="auto"/>
            </w:tcBorders>
            <w:shd w:val="clear" w:color="auto" w:fill="auto"/>
            <w:vAlign w:val="bottom"/>
          </w:tcPr>
          <w:p w14:paraId="509F76E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18</w:t>
            </w:r>
          </w:p>
        </w:tc>
      </w:tr>
      <w:tr w:rsidR="00210112" w:rsidRPr="00210112" w14:paraId="13C9B7DC"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463C551C" w14:textId="77777777" w:rsidR="00B36B7E" w:rsidRPr="00777507" w:rsidRDefault="00B36B7E">
            <w:pPr>
              <w:spacing w:before="40" w:after="40" w:line="220" w:lineRule="exact"/>
              <w:rPr>
                <w:rFonts w:ascii="Times New Roman" w:eastAsia="Calibri" w:hAnsi="Times New Roman"/>
                <w:b w:val="0"/>
                <w:color w:val="auto"/>
                <w:sz w:val="18"/>
                <w:szCs w:val="18"/>
                <w:lang w:eastAsia="en-US"/>
              </w:rPr>
            </w:pPr>
            <w:r w:rsidRPr="00210112">
              <w:rPr>
                <w:rFonts w:eastAsia="Calibri"/>
                <w:sz w:val="18"/>
                <w:szCs w:val="18"/>
                <w:lang w:eastAsia="en-US"/>
              </w:rPr>
              <w:t>Penitenciarias</w:t>
            </w:r>
          </w:p>
        </w:tc>
        <w:tc>
          <w:tcPr>
            <w:tcW w:w="0" w:type="pct"/>
            <w:shd w:val="clear" w:color="auto" w:fill="auto"/>
            <w:vAlign w:val="bottom"/>
          </w:tcPr>
          <w:p w14:paraId="1399FBC6" w14:textId="77777777" w:rsidR="00B36B7E" w:rsidRPr="00777507" w:rsidRDefault="00DB2928"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 xml:space="preserve"> </w:t>
            </w:r>
            <w:r w:rsidR="00B36B7E" w:rsidRPr="00777507">
              <w:rPr>
                <w:rFonts w:eastAsia="Calibri"/>
                <w:sz w:val="18"/>
                <w:szCs w:val="18"/>
                <w:lang w:eastAsia="en-US"/>
              </w:rPr>
              <w:t>-</w:t>
            </w:r>
          </w:p>
        </w:tc>
        <w:tc>
          <w:tcPr>
            <w:tcW w:w="0" w:type="pct"/>
            <w:shd w:val="clear" w:color="auto" w:fill="auto"/>
            <w:vAlign w:val="bottom"/>
          </w:tcPr>
          <w:p w14:paraId="155CA44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4</w:t>
            </w:r>
          </w:p>
        </w:tc>
        <w:tc>
          <w:tcPr>
            <w:tcW w:w="0" w:type="pct"/>
            <w:shd w:val="clear" w:color="auto" w:fill="auto"/>
            <w:vAlign w:val="bottom"/>
          </w:tcPr>
          <w:p w14:paraId="1E1757B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3</w:t>
            </w:r>
          </w:p>
        </w:tc>
        <w:tc>
          <w:tcPr>
            <w:tcW w:w="0" w:type="pct"/>
            <w:shd w:val="clear" w:color="auto" w:fill="auto"/>
            <w:vAlign w:val="bottom"/>
          </w:tcPr>
          <w:p w14:paraId="008BEC9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3</w:t>
            </w:r>
          </w:p>
        </w:tc>
        <w:tc>
          <w:tcPr>
            <w:tcW w:w="0" w:type="pct"/>
            <w:shd w:val="clear" w:color="auto" w:fill="auto"/>
            <w:vAlign w:val="bottom"/>
          </w:tcPr>
          <w:p w14:paraId="1300BED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3</w:t>
            </w:r>
          </w:p>
        </w:tc>
        <w:tc>
          <w:tcPr>
            <w:tcW w:w="0" w:type="pct"/>
            <w:shd w:val="clear" w:color="auto" w:fill="auto"/>
            <w:vAlign w:val="bottom"/>
          </w:tcPr>
          <w:p w14:paraId="1EA6115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3</w:t>
            </w:r>
          </w:p>
        </w:tc>
        <w:tc>
          <w:tcPr>
            <w:tcW w:w="0" w:type="pct"/>
            <w:shd w:val="clear" w:color="auto" w:fill="auto"/>
            <w:vAlign w:val="bottom"/>
          </w:tcPr>
          <w:p w14:paraId="63F4877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6</w:t>
            </w:r>
          </w:p>
        </w:tc>
        <w:tc>
          <w:tcPr>
            <w:tcW w:w="0" w:type="pct"/>
            <w:shd w:val="clear" w:color="auto" w:fill="auto"/>
            <w:vAlign w:val="bottom"/>
          </w:tcPr>
          <w:p w14:paraId="36FDD9A7"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4393AFB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23</w:t>
            </w:r>
          </w:p>
        </w:tc>
      </w:tr>
      <w:tr w:rsidR="00210112" w:rsidRPr="00210112" w14:paraId="29D3469C"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3C9F305D" w14:textId="77777777" w:rsidR="00B36B7E" w:rsidRPr="00777507" w:rsidRDefault="00B36B7E">
            <w:pPr>
              <w:spacing w:before="40" w:after="40" w:line="220" w:lineRule="exact"/>
              <w:rPr>
                <w:rFonts w:ascii="Times New Roman" w:eastAsia="Calibri" w:hAnsi="Times New Roman"/>
                <w:b w:val="0"/>
                <w:color w:val="auto"/>
                <w:sz w:val="18"/>
                <w:szCs w:val="18"/>
                <w:lang w:eastAsia="en-US"/>
              </w:rPr>
            </w:pPr>
            <w:r w:rsidRPr="00210112">
              <w:rPr>
                <w:rFonts w:eastAsia="Calibri"/>
                <w:sz w:val="18"/>
                <w:szCs w:val="18"/>
                <w:lang w:eastAsia="en-US"/>
              </w:rPr>
              <w:t>Cuarteles militares</w:t>
            </w:r>
          </w:p>
        </w:tc>
        <w:tc>
          <w:tcPr>
            <w:tcW w:w="0" w:type="pct"/>
            <w:shd w:val="clear" w:color="auto" w:fill="auto"/>
            <w:vAlign w:val="bottom"/>
          </w:tcPr>
          <w:p w14:paraId="420F3787"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5CD2046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0000569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2805960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95A2BF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3</w:t>
            </w:r>
          </w:p>
        </w:tc>
        <w:tc>
          <w:tcPr>
            <w:tcW w:w="0" w:type="pct"/>
            <w:shd w:val="clear" w:color="auto" w:fill="auto"/>
            <w:vAlign w:val="bottom"/>
          </w:tcPr>
          <w:p w14:paraId="13568A8A"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A0D8CE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4E3394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4C1A58F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4</w:t>
            </w:r>
          </w:p>
        </w:tc>
      </w:tr>
      <w:tr w:rsidR="00210112" w:rsidRPr="00210112" w14:paraId="09D31644"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29488A77" w14:textId="77777777" w:rsidR="00B36B7E" w:rsidRPr="00777507" w:rsidRDefault="00B36B7E">
            <w:pPr>
              <w:spacing w:before="40" w:after="40" w:line="220" w:lineRule="exact"/>
              <w:rPr>
                <w:rFonts w:ascii="Times New Roman" w:eastAsia="Calibri" w:hAnsi="Times New Roman"/>
                <w:b w:val="0"/>
                <w:color w:val="auto"/>
                <w:sz w:val="18"/>
                <w:szCs w:val="18"/>
                <w:lang w:eastAsia="en-US"/>
              </w:rPr>
            </w:pPr>
            <w:r w:rsidRPr="00210112">
              <w:rPr>
                <w:rFonts w:eastAsia="Calibri"/>
                <w:sz w:val="18"/>
                <w:szCs w:val="18"/>
                <w:lang w:eastAsia="en-US"/>
              </w:rPr>
              <w:t>Centros de acogida para PAM</w:t>
            </w:r>
          </w:p>
        </w:tc>
        <w:tc>
          <w:tcPr>
            <w:tcW w:w="0" w:type="pct"/>
            <w:shd w:val="clear" w:color="auto" w:fill="auto"/>
            <w:vAlign w:val="bottom"/>
          </w:tcPr>
          <w:p w14:paraId="5EF4CF1F"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0BAB49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45AE3CD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48613BC1" w14:textId="77777777" w:rsidR="00B36B7E" w:rsidRPr="00777507" w:rsidRDefault="00DB2928"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 xml:space="preserve"> </w:t>
            </w:r>
            <w:r w:rsidR="00B36B7E" w:rsidRPr="00777507">
              <w:rPr>
                <w:rFonts w:eastAsia="Calibri"/>
                <w:sz w:val="18"/>
                <w:szCs w:val="18"/>
                <w:lang w:eastAsia="en-US"/>
              </w:rPr>
              <w:t>-</w:t>
            </w:r>
          </w:p>
        </w:tc>
        <w:tc>
          <w:tcPr>
            <w:tcW w:w="0" w:type="pct"/>
            <w:shd w:val="clear" w:color="auto" w:fill="auto"/>
            <w:vAlign w:val="bottom"/>
          </w:tcPr>
          <w:p w14:paraId="553E3CAB"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c>
          <w:tcPr>
            <w:tcW w:w="0" w:type="pct"/>
            <w:shd w:val="clear" w:color="auto" w:fill="auto"/>
            <w:vAlign w:val="bottom"/>
          </w:tcPr>
          <w:p w14:paraId="4FAA58F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5524DF3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0293294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62A25CE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r>
      <w:tr w:rsidR="00210112" w:rsidRPr="00210112" w14:paraId="29AB15B1"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209DAFD" w14:textId="77777777" w:rsidR="00B36B7E" w:rsidRPr="00777507" w:rsidRDefault="00B36B7E">
            <w:pPr>
              <w:spacing w:before="40" w:after="40" w:line="220" w:lineRule="exact"/>
              <w:rPr>
                <w:rFonts w:ascii="Times New Roman" w:eastAsia="Calibri" w:hAnsi="Times New Roman"/>
                <w:b w:val="0"/>
                <w:color w:val="auto"/>
                <w:sz w:val="18"/>
                <w:szCs w:val="18"/>
                <w:lang w:eastAsia="en-US"/>
              </w:rPr>
            </w:pPr>
            <w:r w:rsidRPr="00210112">
              <w:rPr>
                <w:rFonts w:eastAsia="Calibri"/>
                <w:sz w:val="18"/>
                <w:szCs w:val="18"/>
                <w:lang w:eastAsia="en-US"/>
              </w:rPr>
              <w:t>Centros de Acogida para Niñas, Niños y Adolescentes</w:t>
            </w:r>
          </w:p>
        </w:tc>
        <w:tc>
          <w:tcPr>
            <w:tcW w:w="0" w:type="pct"/>
            <w:shd w:val="clear" w:color="auto" w:fill="auto"/>
            <w:vAlign w:val="bottom"/>
          </w:tcPr>
          <w:p w14:paraId="4F22DCC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077D637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05E9A0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8482D1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03F8072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5D375DF9"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301D0E7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65C1ED5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5BBAD5DB"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r>
      <w:tr w:rsidR="00210112" w:rsidRPr="00210112" w14:paraId="3891648C"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236BE6B1" w14:textId="77777777" w:rsidR="00B36B7E" w:rsidRPr="00777507" w:rsidRDefault="00B36B7E">
            <w:pPr>
              <w:spacing w:before="40" w:after="40" w:line="220" w:lineRule="exact"/>
              <w:rPr>
                <w:rFonts w:ascii="Times New Roman" w:eastAsia="Calibri" w:hAnsi="Times New Roman"/>
                <w:b w:val="0"/>
                <w:color w:val="auto"/>
                <w:sz w:val="18"/>
                <w:szCs w:val="18"/>
                <w:lang w:eastAsia="en-US"/>
              </w:rPr>
            </w:pPr>
            <w:r w:rsidRPr="00210112">
              <w:rPr>
                <w:rFonts w:eastAsia="Calibri"/>
                <w:sz w:val="18"/>
                <w:szCs w:val="18"/>
                <w:lang w:eastAsia="en-US"/>
              </w:rPr>
              <w:t>Establecimientos especiales para adolescentes con responsabilidad Penal</w:t>
            </w:r>
          </w:p>
        </w:tc>
        <w:tc>
          <w:tcPr>
            <w:tcW w:w="0" w:type="pct"/>
            <w:shd w:val="clear" w:color="auto" w:fill="auto"/>
            <w:vAlign w:val="bottom"/>
          </w:tcPr>
          <w:p w14:paraId="7D7DE166"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613D02BC"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C9EC9B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2ADBFD5" w14:textId="77777777" w:rsidR="00B36B7E" w:rsidRPr="00777507" w:rsidRDefault="00DB2928"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 xml:space="preserve"> </w:t>
            </w:r>
            <w:r w:rsidR="00B36B7E" w:rsidRPr="00777507">
              <w:rPr>
                <w:rFonts w:eastAsia="Calibri"/>
                <w:sz w:val="18"/>
                <w:szCs w:val="18"/>
                <w:lang w:eastAsia="en-US"/>
              </w:rPr>
              <w:t>-</w:t>
            </w:r>
          </w:p>
        </w:tc>
        <w:tc>
          <w:tcPr>
            <w:tcW w:w="0" w:type="pct"/>
            <w:shd w:val="clear" w:color="auto" w:fill="auto"/>
            <w:vAlign w:val="bottom"/>
          </w:tcPr>
          <w:p w14:paraId="0EA5318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2692E0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4818A328"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743807E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24930E1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r>
      <w:tr w:rsidR="00210112" w:rsidRPr="00210112" w14:paraId="539598AC"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3CCB2BEC" w14:textId="77777777" w:rsidR="00B36B7E" w:rsidRPr="00777507" w:rsidRDefault="00B36B7E">
            <w:pPr>
              <w:spacing w:before="40" w:after="40" w:line="220" w:lineRule="exact"/>
              <w:rPr>
                <w:rFonts w:ascii="Times New Roman" w:eastAsia="Calibri" w:hAnsi="Times New Roman"/>
                <w:b w:val="0"/>
                <w:color w:val="auto"/>
                <w:sz w:val="18"/>
                <w:szCs w:val="18"/>
                <w:lang w:eastAsia="en-US"/>
              </w:rPr>
            </w:pPr>
            <w:r w:rsidRPr="00210112">
              <w:rPr>
                <w:rFonts w:eastAsia="Calibri"/>
                <w:sz w:val="18"/>
                <w:szCs w:val="18"/>
                <w:lang w:eastAsia="en-US"/>
              </w:rPr>
              <w:t>Centros de formación militar</w:t>
            </w:r>
          </w:p>
        </w:tc>
        <w:tc>
          <w:tcPr>
            <w:tcW w:w="0" w:type="pct"/>
            <w:shd w:val="clear" w:color="auto" w:fill="auto"/>
            <w:vAlign w:val="bottom"/>
          </w:tcPr>
          <w:p w14:paraId="5960C72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0C471B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3B4B57D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5474BAC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1D2E3392"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107D2243"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2B981CF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059CD5AE"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6CBE176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r>
      <w:tr w:rsidR="004D4A48" w:rsidRPr="00210112" w14:paraId="12A29BBC" w14:textId="77777777" w:rsidTr="00210112">
        <w:trPr>
          <w:trHeight w:val="240"/>
        </w:trPr>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auto"/>
            </w:tcBorders>
            <w:shd w:val="clear" w:color="auto" w:fill="auto"/>
          </w:tcPr>
          <w:p w14:paraId="2D0EE3DD" w14:textId="77777777" w:rsidR="00B36B7E" w:rsidRPr="00777507" w:rsidRDefault="00B36B7E">
            <w:pPr>
              <w:spacing w:before="40" w:after="40" w:line="220" w:lineRule="exact"/>
              <w:rPr>
                <w:rFonts w:ascii="Times New Roman" w:eastAsia="Calibri" w:hAnsi="Times New Roman"/>
                <w:b w:val="0"/>
                <w:color w:val="auto"/>
                <w:sz w:val="18"/>
                <w:szCs w:val="18"/>
                <w:lang w:eastAsia="en-US"/>
              </w:rPr>
            </w:pPr>
            <w:r w:rsidRPr="00210112">
              <w:rPr>
                <w:rFonts w:eastAsia="Calibri"/>
                <w:sz w:val="18"/>
                <w:szCs w:val="18"/>
                <w:lang w:eastAsia="en-US"/>
              </w:rPr>
              <w:t>TOTAL GRAL.</w:t>
            </w:r>
          </w:p>
        </w:tc>
        <w:tc>
          <w:tcPr>
            <w:tcW w:w="0" w:type="pct"/>
            <w:tcBorders>
              <w:bottom w:val="single" w:sz="12" w:space="0" w:color="auto"/>
            </w:tcBorders>
            <w:shd w:val="clear" w:color="auto" w:fill="auto"/>
            <w:vAlign w:val="bottom"/>
          </w:tcPr>
          <w:p w14:paraId="2F4865E9" w14:textId="77777777" w:rsidR="00B36B7E" w:rsidRPr="00777507" w:rsidRDefault="00DB2928"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 xml:space="preserve"> </w:t>
            </w:r>
            <w:r w:rsidR="00B36B7E" w:rsidRPr="00777507">
              <w:rPr>
                <w:rFonts w:eastAsia="Calibri"/>
                <w:sz w:val="18"/>
                <w:szCs w:val="18"/>
                <w:lang w:eastAsia="en-US"/>
              </w:rPr>
              <w:t>2</w:t>
            </w:r>
          </w:p>
        </w:tc>
        <w:tc>
          <w:tcPr>
            <w:tcW w:w="0" w:type="pct"/>
            <w:tcBorders>
              <w:bottom w:val="single" w:sz="12" w:space="0" w:color="auto"/>
            </w:tcBorders>
            <w:shd w:val="clear" w:color="auto" w:fill="auto"/>
            <w:vAlign w:val="bottom"/>
          </w:tcPr>
          <w:p w14:paraId="077A6035"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6</w:t>
            </w:r>
          </w:p>
        </w:tc>
        <w:tc>
          <w:tcPr>
            <w:tcW w:w="0" w:type="pct"/>
            <w:tcBorders>
              <w:bottom w:val="single" w:sz="12" w:space="0" w:color="auto"/>
            </w:tcBorders>
            <w:shd w:val="clear" w:color="auto" w:fill="auto"/>
            <w:vAlign w:val="bottom"/>
          </w:tcPr>
          <w:p w14:paraId="7CC98C7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7</w:t>
            </w:r>
          </w:p>
        </w:tc>
        <w:tc>
          <w:tcPr>
            <w:tcW w:w="0" w:type="pct"/>
            <w:tcBorders>
              <w:bottom w:val="single" w:sz="12" w:space="0" w:color="auto"/>
            </w:tcBorders>
            <w:shd w:val="clear" w:color="auto" w:fill="auto"/>
            <w:vAlign w:val="bottom"/>
          </w:tcPr>
          <w:p w14:paraId="5B1DDE49" w14:textId="77777777" w:rsidR="00B36B7E" w:rsidRPr="00777507" w:rsidRDefault="00DB2928"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 xml:space="preserve"> </w:t>
            </w:r>
            <w:r w:rsidR="00B36B7E" w:rsidRPr="00777507">
              <w:rPr>
                <w:rFonts w:eastAsia="Calibri"/>
                <w:sz w:val="18"/>
                <w:szCs w:val="18"/>
                <w:lang w:eastAsia="en-US"/>
              </w:rPr>
              <w:t>3</w:t>
            </w:r>
          </w:p>
        </w:tc>
        <w:tc>
          <w:tcPr>
            <w:tcW w:w="0" w:type="pct"/>
            <w:tcBorders>
              <w:bottom w:val="single" w:sz="12" w:space="0" w:color="auto"/>
            </w:tcBorders>
            <w:shd w:val="clear" w:color="auto" w:fill="auto"/>
            <w:vAlign w:val="bottom"/>
          </w:tcPr>
          <w:p w14:paraId="23E56D83"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18</w:t>
            </w:r>
          </w:p>
        </w:tc>
        <w:tc>
          <w:tcPr>
            <w:tcW w:w="0" w:type="pct"/>
            <w:tcBorders>
              <w:bottom w:val="single" w:sz="12" w:space="0" w:color="auto"/>
            </w:tcBorders>
            <w:shd w:val="clear" w:color="auto" w:fill="auto"/>
            <w:vAlign w:val="bottom"/>
          </w:tcPr>
          <w:p w14:paraId="33A7100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4</w:t>
            </w:r>
          </w:p>
        </w:tc>
        <w:tc>
          <w:tcPr>
            <w:tcW w:w="0" w:type="pct"/>
            <w:tcBorders>
              <w:bottom w:val="single" w:sz="12" w:space="0" w:color="auto"/>
            </w:tcBorders>
            <w:shd w:val="clear" w:color="auto" w:fill="auto"/>
            <w:vAlign w:val="bottom"/>
          </w:tcPr>
          <w:p w14:paraId="2B1DF944"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9</w:t>
            </w:r>
          </w:p>
        </w:tc>
        <w:tc>
          <w:tcPr>
            <w:tcW w:w="0" w:type="pct"/>
            <w:tcBorders>
              <w:bottom w:val="single" w:sz="12" w:space="0" w:color="auto"/>
            </w:tcBorders>
            <w:shd w:val="clear" w:color="auto" w:fill="auto"/>
            <w:vAlign w:val="bottom"/>
          </w:tcPr>
          <w:p w14:paraId="37F065B1"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3</w:t>
            </w:r>
          </w:p>
        </w:tc>
        <w:tc>
          <w:tcPr>
            <w:tcW w:w="0" w:type="pct"/>
            <w:tcBorders>
              <w:bottom w:val="single" w:sz="12" w:space="0" w:color="auto"/>
            </w:tcBorders>
            <w:shd w:val="clear" w:color="auto" w:fill="auto"/>
            <w:vAlign w:val="bottom"/>
          </w:tcPr>
          <w:p w14:paraId="1C7A15CA"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52</w:t>
            </w:r>
          </w:p>
        </w:tc>
      </w:tr>
    </w:tbl>
    <w:p w14:paraId="033D3B5D" w14:textId="77777777" w:rsidR="00B36B7E" w:rsidRDefault="00B36B7E" w:rsidP="00777507">
      <w:pPr>
        <w:pStyle w:val="Textonotapie"/>
        <w:spacing w:before="120" w:after="240"/>
        <w:ind w:firstLine="170"/>
        <w:rPr>
          <w:rFonts w:eastAsia="Calibri"/>
          <w:lang w:eastAsia="en-US"/>
        </w:rPr>
      </w:pPr>
      <w:r w:rsidRPr="00777507">
        <w:rPr>
          <w:rFonts w:eastAsia="Calibri"/>
          <w:i/>
          <w:lang w:eastAsia="en-US"/>
        </w:rPr>
        <w:t>Fuente:</w:t>
      </w:r>
      <w:r w:rsidRPr="00B36B7E">
        <w:rPr>
          <w:rFonts w:eastAsia="Calibri"/>
          <w:lang w:eastAsia="en-US"/>
        </w:rPr>
        <w:t xml:space="preserve"> SEPRET</w:t>
      </w:r>
      <w:r w:rsidR="00311AB2">
        <w:rPr>
          <w:rFonts w:eastAsia="Calibri"/>
          <w:lang w:eastAsia="en-US"/>
        </w:rPr>
        <w:t>.</w:t>
      </w:r>
    </w:p>
    <w:p w14:paraId="5F1B1DE0" w14:textId="77777777" w:rsidR="00B36B7E" w:rsidRPr="00B36B7E" w:rsidRDefault="00235247" w:rsidP="00777507">
      <w:pPr>
        <w:pStyle w:val="SingleTxtG"/>
        <w:spacing w:before="120"/>
        <w:rPr>
          <w:b/>
          <w:sz w:val="18"/>
          <w:szCs w:val="18"/>
          <w:lang w:val="es-ES_tradnl"/>
        </w:rPr>
      </w:pPr>
      <w:r w:rsidRPr="00B36B7E">
        <w:rPr>
          <w:sz w:val="18"/>
          <w:szCs w:val="18"/>
          <w:lang w:val="es-ES_tradnl"/>
        </w:rPr>
        <w:t>99.</w:t>
      </w:r>
      <w:r w:rsidRPr="00B36B7E">
        <w:rPr>
          <w:sz w:val="18"/>
          <w:szCs w:val="18"/>
          <w:lang w:val="es-ES_tradnl"/>
        </w:rPr>
        <w:tab/>
      </w:r>
      <w:r w:rsidR="00B36B7E" w:rsidRPr="00B36B7E">
        <w:rPr>
          <w:lang w:eastAsia="en-US"/>
        </w:rPr>
        <w:t>Asimismo, en 2019, efectuaron 66 visitas no planificadas a nivel nacional,</w:t>
      </w:r>
      <w:r w:rsidR="000553C1">
        <w:rPr>
          <w:lang w:eastAsia="en-US"/>
        </w:rPr>
        <w:t xml:space="preserve"> como se detalla a continuación.</w:t>
      </w:r>
    </w:p>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01"/>
        <w:gridCol w:w="647"/>
        <w:gridCol w:w="637"/>
        <w:gridCol w:w="632"/>
        <w:gridCol w:w="648"/>
        <w:gridCol w:w="629"/>
        <w:gridCol w:w="621"/>
        <w:gridCol w:w="596"/>
        <w:gridCol w:w="661"/>
        <w:gridCol w:w="898"/>
      </w:tblGrid>
      <w:tr w:rsidR="00777507" w:rsidRPr="00210112" w14:paraId="2372A06A"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12" w:space="0" w:color="auto"/>
            </w:tcBorders>
            <w:shd w:val="clear" w:color="auto" w:fill="auto"/>
            <w:vAlign w:val="bottom"/>
          </w:tcPr>
          <w:p w14:paraId="2E55F1F8" w14:textId="77777777" w:rsidR="00B36B7E" w:rsidRPr="00210112" w:rsidRDefault="00B36B7E">
            <w:pPr>
              <w:spacing w:before="80" w:after="80" w:line="200" w:lineRule="exact"/>
              <w:rPr>
                <w:rFonts w:ascii="Times New Roman" w:hAnsi="Times New Roman"/>
                <w:b w:val="0"/>
                <w:i/>
                <w:color w:val="auto"/>
                <w:sz w:val="16"/>
                <w:szCs w:val="18"/>
                <w:lang w:eastAsia="en-US"/>
              </w:rPr>
            </w:pPr>
            <w:r w:rsidRPr="00210112">
              <w:rPr>
                <w:i/>
                <w:sz w:val="16"/>
                <w:szCs w:val="18"/>
                <w:lang w:eastAsia="en-US"/>
              </w:rPr>
              <w:t>NOMBRE DE RECINTOS</w:t>
            </w:r>
          </w:p>
        </w:tc>
        <w:tc>
          <w:tcPr>
            <w:tcW w:w="0" w:type="pct"/>
            <w:tcBorders>
              <w:top w:val="single" w:sz="4" w:space="0" w:color="auto"/>
              <w:bottom w:val="single" w:sz="12" w:space="0" w:color="auto"/>
            </w:tcBorders>
            <w:shd w:val="clear" w:color="auto" w:fill="auto"/>
            <w:vAlign w:val="bottom"/>
          </w:tcPr>
          <w:p w14:paraId="32308E89"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LP</w:t>
            </w:r>
          </w:p>
        </w:tc>
        <w:tc>
          <w:tcPr>
            <w:tcW w:w="0" w:type="pct"/>
            <w:tcBorders>
              <w:top w:val="single" w:sz="4" w:space="0" w:color="auto"/>
              <w:bottom w:val="single" w:sz="12" w:space="0" w:color="auto"/>
            </w:tcBorders>
            <w:shd w:val="clear" w:color="auto" w:fill="auto"/>
            <w:vAlign w:val="bottom"/>
          </w:tcPr>
          <w:p w14:paraId="0BD8F6A3"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CB</w:t>
            </w:r>
          </w:p>
        </w:tc>
        <w:tc>
          <w:tcPr>
            <w:tcW w:w="0" w:type="pct"/>
            <w:tcBorders>
              <w:top w:val="single" w:sz="4" w:space="0" w:color="auto"/>
              <w:bottom w:val="single" w:sz="12" w:space="0" w:color="auto"/>
            </w:tcBorders>
            <w:shd w:val="clear" w:color="auto" w:fill="auto"/>
            <w:vAlign w:val="bottom"/>
          </w:tcPr>
          <w:p w14:paraId="1D7A8F07"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BE</w:t>
            </w:r>
          </w:p>
        </w:tc>
        <w:tc>
          <w:tcPr>
            <w:tcW w:w="0" w:type="pct"/>
            <w:tcBorders>
              <w:top w:val="single" w:sz="4" w:space="0" w:color="auto"/>
              <w:bottom w:val="single" w:sz="12" w:space="0" w:color="auto"/>
            </w:tcBorders>
            <w:shd w:val="clear" w:color="auto" w:fill="auto"/>
            <w:vAlign w:val="bottom"/>
          </w:tcPr>
          <w:p w14:paraId="01CDC1C9"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CH</w:t>
            </w:r>
          </w:p>
        </w:tc>
        <w:tc>
          <w:tcPr>
            <w:tcW w:w="0" w:type="pct"/>
            <w:tcBorders>
              <w:top w:val="single" w:sz="4" w:space="0" w:color="auto"/>
              <w:bottom w:val="single" w:sz="12" w:space="0" w:color="auto"/>
            </w:tcBorders>
            <w:shd w:val="clear" w:color="auto" w:fill="auto"/>
            <w:vAlign w:val="bottom"/>
          </w:tcPr>
          <w:p w14:paraId="4D8FDF03"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PT</w:t>
            </w:r>
          </w:p>
        </w:tc>
        <w:tc>
          <w:tcPr>
            <w:tcW w:w="0" w:type="pct"/>
            <w:tcBorders>
              <w:top w:val="single" w:sz="4" w:space="0" w:color="auto"/>
              <w:bottom w:val="single" w:sz="12" w:space="0" w:color="auto"/>
            </w:tcBorders>
            <w:shd w:val="clear" w:color="auto" w:fill="auto"/>
            <w:vAlign w:val="bottom"/>
          </w:tcPr>
          <w:p w14:paraId="236B4944"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SC</w:t>
            </w:r>
          </w:p>
        </w:tc>
        <w:tc>
          <w:tcPr>
            <w:tcW w:w="0" w:type="pct"/>
            <w:tcBorders>
              <w:top w:val="single" w:sz="4" w:space="0" w:color="auto"/>
              <w:bottom w:val="single" w:sz="12" w:space="0" w:color="auto"/>
            </w:tcBorders>
            <w:shd w:val="clear" w:color="auto" w:fill="auto"/>
            <w:vAlign w:val="bottom"/>
          </w:tcPr>
          <w:p w14:paraId="65E671A5"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TJ</w:t>
            </w:r>
          </w:p>
        </w:tc>
        <w:tc>
          <w:tcPr>
            <w:tcW w:w="0" w:type="pct"/>
            <w:tcBorders>
              <w:top w:val="single" w:sz="4" w:space="0" w:color="auto"/>
              <w:bottom w:val="single" w:sz="12" w:space="0" w:color="auto"/>
            </w:tcBorders>
            <w:shd w:val="clear" w:color="auto" w:fill="auto"/>
            <w:vAlign w:val="bottom"/>
          </w:tcPr>
          <w:p w14:paraId="54A2ACC5"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OR</w:t>
            </w:r>
          </w:p>
        </w:tc>
        <w:tc>
          <w:tcPr>
            <w:tcW w:w="0" w:type="pct"/>
            <w:tcBorders>
              <w:top w:val="single" w:sz="4" w:space="0" w:color="auto"/>
              <w:bottom w:val="single" w:sz="12" w:space="0" w:color="auto"/>
            </w:tcBorders>
            <w:shd w:val="clear" w:color="auto" w:fill="auto"/>
            <w:vAlign w:val="bottom"/>
          </w:tcPr>
          <w:p w14:paraId="7FCAD5A2"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TOTAL</w:t>
            </w:r>
          </w:p>
        </w:tc>
      </w:tr>
      <w:tr w:rsidR="00210112" w:rsidRPr="00210112" w14:paraId="7D3F741C"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auto"/>
          </w:tcPr>
          <w:p w14:paraId="7F80C005" w14:textId="77777777" w:rsidR="00B36B7E" w:rsidRPr="00777507" w:rsidRDefault="00B36B7E">
            <w:pPr>
              <w:spacing w:before="40" w:after="40" w:line="220" w:lineRule="exact"/>
              <w:rPr>
                <w:rFonts w:ascii="Times New Roman" w:hAnsi="Times New Roman"/>
                <w:b w:val="0"/>
                <w:color w:val="auto"/>
                <w:sz w:val="18"/>
                <w:szCs w:val="18"/>
                <w:lang w:eastAsia="en-US"/>
              </w:rPr>
            </w:pPr>
            <w:r w:rsidRPr="00210112">
              <w:rPr>
                <w:sz w:val="18"/>
                <w:szCs w:val="18"/>
                <w:lang w:eastAsia="en-US"/>
              </w:rPr>
              <w:t>Celdas policiales</w:t>
            </w:r>
          </w:p>
        </w:tc>
        <w:tc>
          <w:tcPr>
            <w:tcW w:w="0" w:type="pct"/>
            <w:tcBorders>
              <w:top w:val="single" w:sz="12" w:space="0" w:color="auto"/>
            </w:tcBorders>
            <w:shd w:val="clear" w:color="auto" w:fill="auto"/>
            <w:vAlign w:val="bottom"/>
          </w:tcPr>
          <w:p w14:paraId="095384E5"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8</w:t>
            </w:r>
          </w:p>
        </w:tc>
        <w:tc>
          <w:tcPr>
            <w:tcW w:w="0" w:type="pct"/>
            <w:tcBorders>
              <w:top w:val="single" w:sz="12" w:space="0" w:color="auto"/>
            </w:tcBorders>
            <w:shd w:val="clear" w:color="auto" w:fill="auto"/>
            <w:vAlign w:val="bottom"/>
          </w:tcPr>
          <w:p w14:paraId="641DE915"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tcBorders>
              <w:top w:val="single" w:sz="12" w:space="0" w:color="auto"/>
            </w:tcBorders>
            <w:shd w:val="clear" w:color="auto" w:fill="auto"/>
            <w:vAlign w:val="bottom"/>
          </w:tcPr>
          <w:p w14:paraId="6A83A4B1"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3</w:t>
            </w:r>
          </w:p>
        </w:tc>
        <w:tc>
          <w:tcPr>
            <w:tcW w:w="0" w:type="pct"/>
            <w:tcBorders>
              <w:top w:val="single" w:sz="12" w:space="0" w:color="auto"/>
            </w:tcBorders>
            <w:shd w:val="clear" w:color="auto" w:fill="auto"/>
            <w:vAlign w:val="bottom"/>
          </w:tcPr>
          <w:p w14:paraId="575200E0"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1</w:t>
            </w:r>
          </w:p>
        </w:tc>
        <w:tc>
          <w:tcPr>
            <w:tcW w:w="0" w:type="pct"/>
            <w:tcBorders>
              <w:top w:val="single" w:sz="12" w:space="0" w:color="auto"/>
            </w:tcBorders>
            <w:shd w:val="clear" w:color="auto" w:fill="auto"/>
            <w:vAlign w:val="bottom"/>
          </w:tcPr>
          <w:p w14:paraId="7FF884C3"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tcBorders>
              <w:top w:val="single" w:sz="12" w:space="0" w:color="auto"/>
            </w:tcBorders>
            <w:shd w:val="clear" w:color="auto" w:fill="auto"/>
            <w:vAlign w:val="bottom"/>
          </w:tcPr>
          <w:p w14:paraId="7C0A228D"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3</w:t>
            </w:r>
          </w:p>
        </w:tc>
        <w:tc>
          <w:tcPr>
            <w:tcW w:w="0" w:type="pct"/>
            <w:tcBorders>
              <w:top w:val="single" w:sz="12" w:space="0" w:color="auto"/>
            </w:tcBorders>
            <w:shd w:val="clear" w:color="auto" w:fill="auto"/>
            <w:vAlign w:val="bottom"/>
          </w:tcPr>
          <w:p w14:paraId="2BDC62DA"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3</w:t>
            </w:r>
          </w:p>
        </w:tc>
        <w:tc>
          <w:tcPr>
            <w:tcW w:w="0" w:type="pct"/>
            <w:tcBorders>
              <w:top w:val="single" w:sz="12" w:space="0" w:color="auto"/>
            </w:tcBorders>
            <w:shd w:val="clear" w:color="auto" w:fill="auto"/>
            <w:vAlign w:val="bottom"/>
          </w:tcPr>
          <w:p w14:paraId="40C900C3"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p>
        </w:tc>
        <w:tc>
          <w:tcPr>
            <w:tcW w:w="0" w:type="pct"/>
            <w:tcBorders>
              <w:top w:val="single" w:sz="12" w:space="0" w:color="auto"/>
            </w:tcBorders>
            <w:shd w:val="clear" w:color="auto" w:fill="auto"/>
            <w:vAlign w:val="bottom"/>
          </w:tcPr>
          <w:p w14:paraId="7A2F2230"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18</w:t>
            </w:r>
          </w:p>
        </w:tc>
      </w:tr>
      <w:tr w:rsidR="00210112" w:rsidRPr="00210112" w14:paraId="2B9FD5EA"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6564CF0" w14:textId="77777777" w:rsidR="00B36B7E" w:rsidRPr="00777507" w:rsidRDefault="00B36B7E">
            <w:pPr>
              <w:spacing w:before="40" w:after="40" w:line="220" w:lineRule="exact"/>
              <w:rPr>
                <w:rFonts w:ascii="Times New Roman" w:hAnsi="Times New Roman"/>
                <w:b w:val="0"/>
                <w:color w:val="auto"/>
                <w:sz w:val="18"/>
                <w:szCs w:val="18"/>
                <w:lang w:eastAsia="en-US"/>
              </w:rPr>
            </w:pPr>
            <w:r w:rsidRPr="00210112">
              <w:rPr>
                <w:sz w:val="18"/>
                <w:szCs w:val="18"/>
                <w:lang w:eastAsia="en-US"/>
              </w:rPr>
              <w:t>Cárceles</w:t>
            </w:r>
          </w:p>
        </w:tc>
        <w:tc>
          <w:tcPr>
            <w:tcW w:w="0" w:type="pct"/>
            <w:shd w:val="clear" w:color="auto" w:fill="auto"/>
            <w:vAlign w:val="bottom"/>
          </w:tcPr>
          <w:p w14:paraId="37D242EB"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32</w:t>
            </w:r>
          </w:p>
        </w:tc>
        <w:tc>
          <w:tcPr>
            <w:tcW w:w="0" w:type="pct"/>
            <w:shd w:val="clear" w:color="auto" w:fill="auto"/>
            <w:vAlign w:val="bottom"/>
          </w:tcPr>
          <w:p w14:paraId="185DFFE6"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1</w:t>
            </w:r>
          </w:p>
        </w:tc>
        <w:tc>
          <w:tcPr>
            <w:tcW w:w="0" w:type="pct"/>
            <w:shd w:val="clear" w:color="auto" w:fill="auto"/>
            <w:vAlign w:val="bottom"/>
          </w:tcPr>
          <w:p w14:paraId="692EDBD1"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45B3C2C8"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2</w:t>
            </w:r>
          </w:p>
        </w:tc>
        <w:tc>
          <w:tcPr>
            <w:tcW w:w="0" w:type="pct"/>
            <w:shd w:val="clear" w:color="auto" w:fill="auto"/>
            <w:vAlign w:val="bottom"/>
          </w:tcPr>
          <w:p w14:paraId="1C44550A"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2</w:t>
            </w:r>
          </w:p>
        </w:tc>
        <w:tc>
          <w:tcPr>
            <w:tcW w:w="0" w:type="pct"/>
            <w:shd w:val="clear" w:color="auto" w:fill="auto"/>
            <w:vAlign w:val="bottom"/>
          </w:tcPr>
          <w:p w14:paraId="047F2712"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2</w:t>
            </w:r>
          </w:p>
        </w:tc>
        <w:tc>
          <w:tcPr>
            <w:tcW w:w="0" w:type="pct"/>
            <w:shd w:val="clear" w:color="auto" w:fill="auto"/>
            <w:vAlign w:val="bottom"/>
          </w:tcPr>
          <w:p w14:paraId="1D0A8720"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1</w:t>
            </w:r>
          </w:p>
        </w:tc>
        <w:tc>
          <w:tcPr>
            <w:tcW w:w="0" w:type="pct"/>
            <w:shd w:val="clear" w:color="auto" w:fill="auto"/>
            <w:vAlign w:val="bottom"/>
          </w:tcPr>
          <w:p w14:paraId="37EEA932"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2</w:t>
            </w:r>
          </w:p>
        </w:tc>
        <w:tc>
          <w:tcPr>
            <w:tcW w:w="0" w:type="pct"/>
            <w:shd w:val="clear" w:color="auto" w:fill="auto"/>
            <w:vAlign w:val="bottom"/>
          </w:tcPr>
          <w:p w14:paraId="59DDC372"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42</w:t>
            </w:r>
          </w:p>
        </w:tc>
      </w:tr>
      <w:tr w:rsidR="00210112" w:rsidRPr="00210112" w14:paraId="0C01FB5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2DDE4242" w14:textId="77777777" w:rsidR="00B36B7E" w:rsidRPr="00777507" w:rsidRDefault="00B36B7E">
            <w:pPr>
              <w:spacing w:before="40" w:after="40" w:line="220" w:lineRule="exact"/>
              <w:rPr>
                <w:rFonts w:ascii="Times New Roman" w:hAnsi="Times New Roman"/>
                <w:b w:val="0"/>
                <w:color w:val="auto"/>
                <w:sz w:val="18"/>
                <w:szCs w:val="18"/>
                <w:lang w:eastAsia="en-US"/>
              </w:rPr>
            </w:pPr>
            <w:r w:rsidRPr="00210112">
              <w:rPr>
                <w:sz w:val="18"/>
                <w:szCs w:val="18"/>
                <w:lang w:eastAsia="en-US"/>
              </w:rPr>
              <w:t>Centros del Sistema Penal Para Adolescentes.</w:t>
            </w:r>
          </w:p>
        </w:tc>
        <w:tc>
          <w:tcPr>
            <w:tcW w:w="0" w:type="pct"/>
            <w:shd w:val="clear" w:color="auto" w:fill="auto"/>
            <w:vAlign w:val="bottom"/>
          </w:tcPr>
          <w:p w14:paraId="42A0A60F"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2</w:t>
            </w:r>
          </w:p>
        </w:tc>
        <w:tc>
          <w:tcPr>
            <w:tcW w:w="0" w:type="pct"/>
            <w:shd w:val="clear" w:color="auto" w:fill="auto"/>
            <w:vAlign w:val="bottom"/>
          </w:tcPr>
          <w:p w14:paraId="280F5D40"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707924E2"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7288DAA0"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073814F4"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0D888C9E"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4A8730CF"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3F6863DE"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p>
        </w:tc>
        <w:tc>
          <w:tcPr>
            <w:tcW w:w="0" w:type="pct"/>
            <w:shd w:val="clear" w:color="auto" w:fill="auto"/>
            <w:vAlign w:val="bottom"/>
          </w:tcPr>
          <w:p w14:paraId="22CC205B"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2</w:t>
            </w:r>
          </w:p>
        </w:tc>
      </w:tr>
      <w:tr w:rsidR="00210112" w:rsidRPr="00210112" w14:paraId="7A4D6474"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4313AF2A" w14:textId="77777777" w:rsidR="00B36B7E" w:rsidRPr="00777507" w:rsidRDefault="00B36B7E">
            <w:pPr>
              <w:spacing w:before="40" w:after="40" w:line="220" w:lineRule="exact"/>
              <w:rPr>
                <w:rFonts w:ascii="Times New Roman" w:hAnsi="Times New Roman"/>
                <w:b w:val="0"/>
                <w:color w:val="auto"/>
                <w:sz w:val="18"/>
                <w:szCs w:val="18"/>
                <w:lang w:eastAsia="en-US"/>
              </w:rPr>
            </w:pPr>
            <w:r w:rsidRPr="00210112">
              <w:rPr>
                <w:sz w:val="18"/>
                <w:szCs w:val="18"/>
                <w:lang w:eastAsia="en-US"/>
              </w:rPr>
              <w:t>Centros de Formación Policial</w:t>
            </w:r>
          </w:p>
        </w:tc>
        <w:tc>
          <w:tcPr>
            <w:tcW w:w="0" w:type="pct"/>
            <w:shd w:val="clear" w:color="auto" w:fill="auto"/>
            <w:vAlign w:val="bottom"/>
          </w:tcPr>
          <w:p w14:paraId="6533BC71"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2</w:t>
            </w:r>
          </w:p>
        </w:tc>
        <w:tc>
          <w:tcPr>
            <w:tcW w:w="0" w:type="pct"/>
            <w:shd w:val="clear" w:color="auto" w:fill="auto"/>
            <w:vAlign w:val="bottom"/>
          </w:tcPr>
          <w:p w14:paraId="0CD12142"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4DF58B29"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5FE887D9"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76B07582"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6A98E8B8"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0724DBA6"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2C0B2C00"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p>
        </w:tc>
        <w:tc>
          <w:tcPr>
            <w:tcW w:w="0" w:type="pct"/>
            <w:shd w:val="clear" w:color="auto" w:fill="auto"/>
            <w:vAlign w:val="bottom"/>
          </w:tcPr>
          <w:p w14:paraId="43A3B46C"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2</w:t>
            </w:r>
          </w:p>
        </w:tc>
      </w:tr>
      <w:tr w:rsidR="00210112" w:rsidRPr="00210112" w14:paraId="58C59ED9"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613B273" w14:textId="77777777" w:rsidR="00B36B7E" w:rsidRPr="00777507" w:rsidRDefault="00B36B7E">
            <w:pPr>
              <w:spacing w:before="40" w:after="40" w:line="220" w:lineRule="exact"/>
              <w:rPr>
                <w:rFonts w:ascii="Times New Roman" w:hAnsi="Times New Roman"/>
                <w:b w:val="0"/>
                <w:color w:val="auto"/>
                <w:sz w:val="18"/>
                <w:szCs w:val="18"/>
                <w:lang w:eastAsia="en-US"/>
              </w:rPr>
            </w:pPr>
            <w:r w:rsidRPr="00210112">
              <w:rPr>
                <w:sz w:val="18"/>
                <w:szCs w:val="18"/>
                <w:lang w:eastAsia="en-US"/>
              </w:rPr>
              <w:t>Cuartel</w:t>
            </w:r>
          </w:p>
        </w:tc>
        <w:tc>
          <w:tcPr>
            <w:tcW w:w="0" w:type="pct"/>
            <w:shd w:val="clear" w:color="auto" w:fill="auto"/>
            <w:vAlign w:val="bottom"/>
          </w:tcPr>
          <w:p w14:paraId="3CB1A671"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064B0D87"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0852AAAB"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666A258E"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112FA4B6"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6BCE91B6"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1</w:t>
            </w:r>
          </w:p>
        </w:tc>
        <w:tc>
          <w:tcPr>
            <w:tcW w:w="0" w:type="pct"/>
            <w:shd w:val="clear" w:color="auto" w:fill="auto"/>
            <w:vAlign w:val="bottom"/>
          </w:tcPr>
          <w:p w14:paraId="6EB8EAC6"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4713B147"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p>
        </w:tc>
        <w:tc>
          <w:tcPr>
            <w:tcW w:w="0" w:type="pct"/>
            <w:shd w:val="clear" w:color="auto" w:fill="auto"/>
            <w:vAlign w:val="bottom"/>
          </w:tcPr>
          <w:p w14:paraId="5984DAAA"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1</w:t>
            </w:r>
          </w:p>
        </w:tc>
      </w:tr>
      <w:tr w:rsidR="00210112" w:rsidRPr="00210112" w14:paraId="114875BD"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306BC4AC" w14:textId="77777777" w:rsidR="00B36B7E" w:rsidRPr="00777507" w:rsidRDefault="00B36B7E">
            <w:pPr>
              <w:spacing w:before="40" w:after="40" w:line="220" w:lineRule="exact"/>
              <w:rPr>
                <w:rFonts w:ascii="Times New Roman" w:hAnsi="Times New Roman"/>
                <w:b w:val="0"/>
                <w:color w:val="auto"/>
                <w:sz w:val="18"/>
                <w:szCs w:val="18"/>
                <w:lang w:eastAsia="en-US"/>
              </w:rPr>
            </w:pPr>
            <w:r w:rsidRPr="00210112">
              <w:rPr>
                <w:sz w:val="18"/>
                <w:szCs w:val="18"/>
                <w:lang w:eastAsia="en-US"/>
              </w:rPr>
              <w:t xml:space="preserve">Hospitales Psiquiátricos </w:t>
            </w:r>
          </w:p>
        </w:tc>
        <w:tc>
          <w:tcPr>
            <w:tcW w:w="0" w:type="pct"/>
            <w:shd w:val="clear" w:color="auto" w:fill="auto"/>
            <w:vAlign w:val="bottom"/>
          </w:tcPr>
          <w:p w14:paraId="3164CC28"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1</w:t>
            </w:r>
          </w:p>
        </w:tc>
        <w:tc>
          <w:tcPr>
            <w:tcW w:w="0" w:type="pct"/>
            <w:shd w:val="clear" w:color="auto" w:fill="auto"/>
            <w:vAlign w:val="bottom"/>
          </w:tcPr>
          <w:p w14:paraId="02F8F3ED"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23B272F6"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0FF11320"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2E776F3E"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36F37557"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34E95FF3"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w:t>
            </w:r>
          </w:p>
        </w:tc>
        <w:tc>
          <w:tcPr>
            <w:tcW w:w="0" w:type="pct"/>
            <w:shd w:val="clear" w:color="auto" w:fill="auto"/>
            <w:vAlign w:val="bottom"/>
          </w:tcPr>
          <w:p w14:paraId="7812C2D8"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p>
        </w:tc>
        <w:tc>
          <w:tcPr>
            <w:tcW w:w="0" w:type="pct"/>
            <w:shd w:val="clear" w:color="auto" w:fill="auto"/>
            <w:vAlign w:val="bottom"/>
          </w:tcPr>
          <w:p w14:paraId="02C9C2F2" w14:textId="77777777" w:rsidR="00B36B7E" w:rsidRPr="00210112"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210112">
              <w:rPr>
                <w:rFonts w:eastAsia="Calibri"/>
                <w:sz w:val="18"/>
                <w:szCs w:val="18"/>
                <w:lang w:eastAsia="en-US"/>
              </w:rPr>
              <w:t>1</w:t>
            </w:r>
          </w:p>
        </w:tc>
      </w:tr>
      <w:tr w:rsidR="00210112" w:rsidRPr="00210112" w14:paraId="5DA83214"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auto"/>
            </w:tcBorders>
            <w:shd w:val="clear" w:color="auto" w:fill="auto"/>
          </w:tcPr>
          <w:p w14:paraId="23D99381" w14:textId="77777777" w:rsidR="00B36B7E" w:rsidRPr="00777507" w:rsidRDefault="00B36B7E">
            <w:pPr>
              <w:spacing w:before="40" w:after="40" w:line="220" w:lineRule="exact"/>
              <w:rPr>
                <w:rFonts w:ascii="Times New Roman" w:hAnsi="Times New Roman"/>
                <w:b w:val="0"/>
                <w:color w:val="auto"/>
                <w:sz w:val="18"/>
                <w:szCs w:val="18"/>
                <w:lang w:eastAsia="en-US"/>
              </w:rPr>
            </w:pPr>
            <w:r w:rsidRPr="00210112">
              <w:rPr>
                <w:sz w:val="18"/>
                <w:szCs w:val="18"/>
                <w:lang w:eastAsia="en-US"/>
              </w:rPr>
              <w:t>TOTAL GRAL.</w:t>
            </w:r>
          </w:p>
        </w:tc>
        <w:tc>
          <w:tcPr>
            <w:tcW w:w="0" w:type="pct"/>
            <w:tcBorders>
              <w:bottom w:val="single" w:sz="12" w:space="0" w:color="auto"/>
            </w:tcBorders>
            <w:shd w:val="clear" w:color="auto" w:fill="auto"/>
            <w:vAlign w:val="bottom"/>
          </w:tcPr>
          <w:p w14:paraId="6CFC7D0C"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45</w:t>
            </w:r>
          </w:p>
        </w:tc>
        <w:tc>
          <w:tcPr>
            <w:tcW w:w="0" w:type="pct"/>
            <w:tcBorders>
              <w:bottom w:val="single" w:sz="12" w:space="0" w:color="auto"/>
            </w:tcBorders>
            <w:shd w:val="clear" w:color="auto" w:fill="auto"/>
            <w:vAlign w:val="bottom"/>
          </w:tcPr>
          <w:p w14:paraId="2D56369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tcBorders>
              <w:bottom w:val="single" w:sz="12" w:space="0" w:color="auto"/>
            </w:tcBorders>
            <w:shd w:val="clear" w:color="auto" w:fill="auto"/>
            <w:vAlign w:val="bottom"/>
          </w:tcPr>
          <w:p w14:paraId="5F79E53F"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3</w:t>
            </w:r>
          </w:p>
        </w:tc>
        <w:tc>
          <w:tcPr>
            <w:tcW w:w="0" w:type="pct"/>
            <w:tcBorders>
              <w:bottom w:val="single" w:sz="12" w:space="0" w:color="auto"/>
            </w:tcBorders>
            <w:shd w:val="clear" w:color="auto" w:fill="auto"/>
            <w:vAlign w:val="bottom"/>
          </w:tcPr>
          <w:p w14:paraId="625C9546"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3</w:t>
            </w:r>
          </w:p>
        </w:tc>
        <w:tc>
          <w:tcPr>
            <w:tcW w:w="0" w:type="pct"/>
            <w:tcBorders>
              <w:bottom w:val="single" w:sz="12" w:space="0" w:color="auto"/>
            </w:tcBorders>
            <w:shd w:val="clear" w:color="auto" w:fill="auto"/>
            <w:vAlign w:val="bottom"/>
          </w:tcPr>
          <w:p w14:paraId="14D79425"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c>
          <w:tcPr>
            <w:tcW w:w="0" w:type="pct"/>
            <w:tcBorders>
              <w:bottom w:val="single" w:sz="12" w:space="0" w:color="auto"/>
            </w:tcBorders>
            <w:shd w:val="clear" w:color="auto" w:fill="auto"/>
            <w:vAlign w:val="bottom"/>
          </w:tcPr>
          <w:p w14:paraId="2D5B10A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6</w:t>
            </w:r>
          </w:p>
        </w:tc>
        <w:tc>
          <w:tcPr>
            <w:tcW w:w="0" w:type="pct"/>
            <w:tcBorders>
              <w:bottom w:val="single" w:sz="12" w:space="0" w:color="auto"/>
            </w:tcBorders>
            <w:shd w:val="clear" w:color="auto" w:fill="auto"/>
            <w:vAlign w:val="bottom"/>
          </w:tcPr>
          <w:p w14:paraId="1999CB6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4</w:t>
            </w:r>
          </w:p>
        </w:tc>
        <w:tc>
          <w:tcPr>
            <w:tcW w:w="0" w:type="pct"/>
            <w:tcBorders>
              <w:bottom w:val="single" w:sz="12" w:space="0" w:color="auto"/>
            </w:tcBorders>
            <w:shd w:val="clear" w:color="auto" w:fill="auto"/>
            <w:vAlign w:val="bottom"/>
          </w:tcPr>
          <w:p w14:paraId="3C1C0861"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c>
          <w:tcPr>
            <w:tcW w:w="0" w:type="pct"/>
            <w:tcBorders>
              <w:bottom w:val="single" w:sz="12" w:space="0" w:color="auto"/>
            </w:tcBorders>
            <w:shd w:val="clear" w:color="auto" w:fill="auto"/>
            <w:vAlign w:val="bottom"/>
          </w:tcPr>
          <w:p w14:paraId="1A7A374D" w14:textId="77777777" w:rsidR="00B36B7E" w:rsidRPr="00777507"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66</w:t>
            </w:r>
          </w:p>
        </w:tc>
      </w:tr>
    </w:tbl>
    <w:p w14:paraId="18961072"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SEPRET</w:t>
      </w:r>
      <w:r w:rsidR="00311AB2">
        <w:rPr>
          <w:lang w:eastAsia="en-US"/>
        </w:rPr>
        <w:t>.</w:t>
      </w:r>
    </w:p>
    <w:p w14:paraId="50019D76" w14:textId="77777777" w:rsidR="00B36B7E" w:rsidRPr="00D554B8" w:rsidRDefault="00235247" w:rsidP="00777507">
      <w:pPr>
        <w:pStyle w:val="SingleTxtG"/>
        <w:spacing w:before="120"/>
        <w:rPr>
          <w:lang w:eastAsia="es-BO"/>
        </w:rPr>
      </w:pPr>
      <w:r w:rsidRPr="00D554B8">
        <w:rPr>
          <w:lang w:eastAsia="es-BO"/>
        </w:rPr>
        <w:lastRenderedPageBreak/>
        <w:t>100.</w:t>
      </w:r>
      <w:r w:rsidRPr="00D554B8">
        <w:rPr>
          <w:lang w:eastAsia="es-BO"/>
        </w:rPr>
        <w:tab/>
      </w:r>
      <w:r w:rsidR="00B36B7E" w:rsidRPr="00B36B7E">
        <w:rPr>
          <w:lang w:eastAsia="en-US"/>
        </w:rPr>
        <w:t>Finalmente, durante esta gestión s</w:t>
      </w:r>
      <w:r w:rsidR="00B36B7E" w:rsidRPr="00B36B7E">
        <w:rPr>
          <w:lang w:eastAsia="es-BO"/>
        </w:rPr>
        <w:t>e realizaron 24 operativos de visitas</w:t>
      </w:r>
      <w:r w:rsidR="00B36B7E" w:rsidRPr="00B36B7E">
        <w:rPr>
          <w:b/>
          <w:lang w:eastAsia="es-BO"/>
        </w:rPr>
        <w:t xml:space="preserve"> </w:t>
      </w:r>
      <w:r w:rsidR="00B36B7E" w:rsidRPr="00B36B7E">
        <w:rPr>
          <w:lang w:eastAsia="es-BO"/>
        </w:rPr>
        <w:t xml:space="preserve">sorpresa a nivel </w:t>
      </w:r>
      <w:r w:rsidR="00B36B7E" w:rsidRPr="00B36B7E">
        <w:rPr>
          <w:lang w:eastAsia="en-US"/>
        </w:rPr>
        <w:t>nacional</w:t>
      </w:r>
      <w:r w:rsidR="000553C1">
        <w:rPr>
          <w:lang w:eastAsia="es-BO"/>
        </w:rPr>
        <w:t>, a continuación el detalle.</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30"/>
        <w:gridCol w:w="551"/>
        <w:gridCol w:w="571"/>
        <w:gridCol w:w="691"/>
        <w:gridCol w:w="566"/>
        <w:gridCol w:w="582"/>
        <w:gridCol w:w="563"/>
        <w:gridCol w:w="556"/>
        <w:gridCol w:w="531"/>
        <w:gridCol w:w="596"/>
        <w:gridCol w:w="833"/>
      </w:tblGrid>
      <w:tr w:rsidR="004D4A48" w:rsidRPr="00210112" w14:paraId="778E67EF" w14:textId="77777777" w:rsidTr="0021011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12" w:space="0" w:color="auto"/>
            </w:tcBorders>
            <w:shd w:val="clear" w:color="auto" w:fill="auto"/>
            <w:vAlign w:val="bottom"/>
          </w:tcPr>
          <w:p w14:paraId="69028C9C" w14:textId="77777777" w:rsidR="00B36B7E" w:rsidRPr="00210112" w:rsidRDefault="00B36B7E">
            <w:pPr>
              <w:spacing w:before="80" w:after="80" w:line="200" w:lineRule="exact"/>
              <w:contextualSpacing/>
              <w:rPr>
                <w:rFonts w:ascii="Times New Roman" w:hAnsi="Times New Roman"/>
                <w:b w:val="0"/>
                <w:i/>
                <w:color w:val="auto"/>
                <w:sz w:val="16"/>
                <w:szCs w:val="18"/>
                <w:lang w:eastAsia="en-US"/>
              </w:rPr>
            </w:pPr>
            <w:r w:rsidRPr="00210112">
              <w:rPr>
                <w:i/>
                <w:sz w:val="16"/>
                <w:szCs w:val="18"/>
                <w:lang w:eastAsia="en-US"/>
              </w:rPr>
              <w:t>NOMBRE DE RECINTOS</w:t>
            </w:r>
          </w:p>
        </w:tc>
        <w:tc>
          <w:tcPr>
            <w:tcW w:w="0" w:type="pct"/>
            <w:tcBorders>
              <w:top w:val="single" w:sz="4" w:space="0" w:color="auto"/>
              <w:bottom w:val="single" w:sz="12" w:space="0" w:color="auto"/>
            </w:tcBorders>
            <w:shd w:val="clear" w:color="auto" w:fill="auto"/>
            <w:vAlign w:val="bottom"/>
          </w:tcPr>
          <w:p w14:paraId="21D92739"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LP</w:t>
            </w:r>
          </w:p>
        </w:tc>
        <w:tc>
          <w:tcPr>
            <w:tcW w:w="0" w:type="pct"/>
            <w:tcBorders>
              <w:top w:val="single" w:sz="4" w:space="0" w:color="auto"/>
              <w:bottom w:val="single" w:sz="12" w:space="0" w:color="auto"/>
            </w:tcBorders>
            <w:shd w:val="clear" w:color="auto" w:fill="auto"/>
            <w:vAlign w:val="bottom"/>
          </w:tcPr>
          <w:p w14:paraId="22C2746D"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CB</w:t>
            </w:r>
          </w:p>
        </w:tc>
        <w:tc>
          <w:tcPr>
            <w:tcW w:w="0" w:type="pct"/>
            <w:tcBorders>
              <w:top w:val="single" w:sz="4" w:space="0" w:color="auto"/>
              <w:bottom w:val="single" w:sz="12" w:space="0" w:color="auto"/>
            </w:tcBorders>
            <w:shd w:val="clear" w:color="auto" w:fill="auto"/>
            <w:vAlign w:val="bottom"/>
          </w:tcPr>
          <w:p w14:paraId="18F92E5A"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PDO</w:t>
            </w:r>
          </w:p>
        </w:tc>
        <w:tc>
          <w:tcPr>
            <w:tcW w:w="0" w:type="pct"/>
            <w:tcBorders>
              <w:top w:val="single" w:sz="4" w:space="0" w:color="auto"/>
              <w:bottom w:val="single" w:sz="12" w:space="0" w:color="auto"/>
            </w:tcBorders>
            <w:shd w:val="clear" w:color="auto" w:fill="auto"/>
            <w:vAlign w:val="bottom"/>
          </w:tcPr>
          <w:p w14:paraId="2A73E161"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BE</w:t>
            </w:r>
          </w:p>
        </w:tc>
        <w:tc>
          <w:tcPr>
            <w:tcW w:w="0" w:type="pct"/>
            <w:tcBorders>
              <w:top w:val="single" w:sz="4" w:space="0" w:color="auto"/>
              <w:bottom w:val="single" w:sz="12" w:space="0" w:color="auto"/>
            </w:tcBorders>
            <w:shd w:val="clear" w:color="auto" w:fill="auto"/>
            <w:vAlign w:val="bottom"/>
          </w:tcPr>
          <w:p w14:paraId="3A99FFEF"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CH</w:t>
            </w:r>
          </w:p>
        </w:tc>
        <w:tc>
          <w:tcPr>
            <w:tcW w:w="0" w:type="pct"/>
            <w:tcBorders>
              <w:top w:val="single" w:sz="4" w:space="0" w:color="auto"/>
              <w:bottom w:val="single" w:sz="12" w:space="0" w:color="auto"/>
            </w:tcBorders>
            <w:shd w:val="clear" w:color="auto" w:fill="auto"/>
            <w:vAlign w:val="bottom"/>
          </w:tcPr>
          <w:p w14:paraId="40FC486B"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PT</w:t>
            </w:r>
          </w:p>
        </w:tc>
        <w:tc>
          <w:tcPr>
            <w:tcW w:w="0" w:type="pct"/>
            <w:tcBorders>
              <w:top w:val="single" w:sz="4" w:space="0" w:color="auto"/>
              <w:bottom w:val="single" w:sz="12" w:space="0" w:color="auto"/>
            </w:tcBorders>
            <w:shd w:val="clear" w:color="auto" w:fill="auto"/>
            <w:vAlign w:val="bottom"/>
          </w:tcPr>
          <w:p w14:paraId="29730D7C"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SC</w:t>
            </w:r>
          </w:p>
        </w:tc>
        <w:tc>
          <w:tcPr>
            <w:tcW w:w="0" w:type="pct"/>
            <w:tcBorders>
              <w:top w:val="single" w:sz="4" w:space="0" w:color="auto"/>
              <w:bottom w:val="single" w:sz="12" w:space="0" w:color="auto"/>
            </w:tcBorders>
            <w:shd w:val="clear" w:color="auto" w:fill="auto"/>
            <w:vAlign w:val="bottom"/>
          </w:tcPr>
          <w:p w14:paraId="3DD91501"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TJ</w:t>
            </w:r>
          </w:p>
        </w:tc>
        <w:tc>
          <w:tcPr>
            <w:tcW w:w="0" w:type="pct"/>
            <w:tcBorders>
              <w:top w:val="single" w:sz="4" w:space="0" w:color="auto"/>
              <w:bottom w:val="single" w:sz="12" w:space="0" w:color="auto"/>
            </w:tcBorders>
            <w:shd w:val="clear" w:color="auto" w:fill="auto"/>
            <w:vAlign w:val="bottom"/>
          </w:tcPr>
          <w:p w14:paraId="4C07A1BA"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OR</w:t>
            </w:r>
          </w:p>
        </w:tc>
        <w:tc>
          <w:tcPr>
            <w:tcW w:w="0" w:type="pct"/>
            <w:tcBorders>
              <w:top w:val="single" w:sz="4" w:space="0" w:color="auto"/>
              <w:bottom w:val="single" w:sz="12" w:space="0" w:color="auto"/>
            </w:tcBorders>
            <w:shd w:val="clear" w:color="auto" w:fill="auto"/>
            <w:vAlign w:val="bottom"/>
          </w:tcPr>
          <w:p w14:paraId="5BD438A8" w14:textId="77777777" w:rsidR="00B36B7E" w:rsidRPr="00210112" w:rsidRDefault="00B36B7E" w:rsidP="00777507">
            <w:pPr>
              <w:spacing w:before="80" w:after="80" w:line="200" w:lineRule="exact"/>
              <w:ind w:left="113"/>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i/>
                <w:color w:val="auto"/>
                <w:sz w:val="16"/>
                <w:szCs w:val="18"/>
                <w:lang w:eastAsia="en-US"/>
              </w:rPr>
            </w:pPr>
            <w:r w:rsidRPr="00210112">
              <w:rPr>
                <w:rFonts w:eastAsia="Calibri"/>
                <w:i/>
                <w:sz w:val="16"/>
                <w:szCs w:val="18"/>
                <w:lang w:eastAsia="en-US"/>
              </w:rPr>
              <w:t>TOTAL</w:t>
            </w:r>
          </w:p>
        </w:tc>
      </w:tr>
      <w:tr w:rsidR="004D4A48" w:rsidRPr="00210112" w14:paraId="01B65C7A" w14:textId="77777777" w:rsidTr="0021011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auto"/>
          </w:tcPr>
          <w:p w14:paraId="2D363309" w14:textId="77777777" w:rsidR="00B36B7E" w:rsidRPr="00777507" w:rsidRDefault="00B36B7E">
            <w:pPr>
              <w:spacing w:before="40" w:after="40" w:line="220" w:lineRule="exact"/>
              <w:contextualSpacing/>
              <w:rPr>
                <w:rFonts w:ascii="Times New Roman" w:hAnsi="Times New Roman"/>
                <w:b w:val="0"/>
                <w:sz w:val="18"/>
                <w:szCs w:val="18"/>
                <w:lang w:eastAsia="en-US"/>
              </w:rPr>
            </w:pPr>
            <w:r w:rsidRPr="00210112">
              <w:rPr>
                <w:sz w:val="18"/>
                <w:szCs w:val="18"/>
                <w:lang w:eastAsia="en-US"/>
              </w:rPr>
              <w:t>Celdas policiales</w:t>
            </w:r>
          </w:p>
        </w:tc>
        <w:tc>
          <w:tcPr>
            <w:tcW w:w="0" w:type="pct"/>
            <w:tcBorders>
              <w:top w:val="single" w:sz="12" w:space="0" w:color="auto"/>
            </w:tcBorders>
            <w:shd w:val="clear" w:color="auto" w:fill="auto"/>
            <w:vAlign w:val="bottom"/>
          </w:tcPr>
          <w:p w14:paraId="1350B9D0"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c>
          <w:tcPr>
            <w:tcW w:w="0" w:type="pct"/>
            <w:tcBorders>
              <w:top w:val="single" w:sz="12" w:space="0" w:color="auto"/>
            </w:tcBorders>
            <w:shd w:val="clear" w:color="auto" w:fill="auto"/>
            <w:vAlign w:val="bottom"/>
          </w:tcPr>
          <w:p w14:paraId="1AF5165D"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tcBorders>
              <w:top w:val="single" w:sz="12" w:space="0" w:color="auto"/>
            </w:tcBorders>
            <w:shd w:val="clear" w:color="auto" w:fill="auto"/>
            <w:vAlign w:val="bottom"/>
          </w:tcPr>
          <w:p w14:paraId="4767B14C"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tcBorders>
              <w:top w:val="single" w:sz="12" w:space="0" w:color="auto"/>
            </w:tcBorders>
            <w:shd w:val="clear" w:color="auto" w:fill="auto"/>
            <w:vAlign w:val="bottom"/>
          </w:tcPr>
          <w:p w14:paraId="70097D55"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tcBorders>
              <w:top w:val="single" w:sz="12" w:space="0" w:color="auto"/>
            </w:tcBorders>
            <w:shd w:val="clear" w:color="auto" w:fill="auto"/>
            <w:vAlign w:val="bottom"/>
          </w:tcPr>
          <w:p w14:paraId="371A2615"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tcBorders>
              <w:top w:val="single" w:sz="12" w:space="0" w:color="auto"/>
            </w:tcBorders>
            <w:shd w:val="clear" w:color="auto" w:fill="auto"/>
            <w:vAlign w:val="bottom"/>
          </w:tcPr>
          <w:p w14:paraId="0133C561"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tcBorders>
              <w:top w:val="single" w:sz="12" w:space="0" w:color="auto"/>
            </w:tcBorders>
            <w:shd w:val="clear" w:color="auto" w:fill="auto"/>
            <w:vAlign w:val="bottom"/>
          </w:tcPr>
          <w:p w14:paraId="3A27D43C"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tcBorders>
              <w:top w:val="single" w:sz="12" w:space="0" w:color="auto"/>
            </w:tcBorders>
            <w:shd w:val="clear" w:color="auto" w:fill="auto"/>
            <w:vAlign w:val="bottom"/>
          </w:tcPr>
          <w:p w14:paraId="2505CBE7"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tcBorders>
              <w:top w:val="single" w:sz="12" w:space="0" w:color="auto"/>
            </w:tcBorders>
            <w:shd w:val="clear" w:color="auto" w:fill="auto"/>
            <w:vAlign w:val="bottom"/>
          </w:tcPr>
          <w:p w14:paraId="6A6C3482"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p>
        </w:tc>
        <w:tc>
          <w:tcPr>
            <w:tcW w:w="0" w:type="pct"/>
            <w:tcBorders>
              <w:top w:val="single" w:sz="12" w:space="0" w:color="auto"/>
            </w:tcBorders>
            <w:shd w:val="clear" w:color="auto" w:fill="auto"/>
            <w:vAlign w:val="bottom"/>
          </w:tcPr>
          <w:p w14:paraId="54274607"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r>
      <w:tr w:rsidR="00210112" w:rsidRPr="00210112" w14:paraId="1B35EE77"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4C06774E" w14:textId="77777777" w:rsidR="00B36B7E" w:rsidRPr="00777507" w:rsidRDefault="00B36B7E">
            <w:pPr>
              <w:spacing w:before="40" w:after="40" w:line="220" w:lineRule="exact"/>
              <w:contextualSpacing/>
              <w:rPr>
                <w:rFonts w:ascii="Times New Roman" w:hAnsi="Times New Roman"/>
                <w:b w:val="0"/>
                <w:sz w:val="18"/>
                <w:szCs w:val="18"/>
                <w:lang w:eastAsia="en-US"/>
              </w:rPr>
            </w:pPr>
            <w:r w:rsidRPr="00210112">
              <w:rPr>
                <w:sz w:val="18"/>
                <w:szCs w:val="18"/>
                <w:lang w:eastAsia="en-US"/>
              </w:rPr>
              <w:t>Cárceles</w:t>
            </w:r>
          </w:p>
        </w:tc>
        <w:tc>
          <w:tcPr>
            <w:tcW w:w="0" w:type="pct"/>
            <w:shd w:val="clear" w:color="auto" w:fill="auto"/>
            <w:vAlign w:val="bottom"/>
          </w:tcPr>
          <w:p w14:paraId="2F1BD404"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4</w:t>
            </w:r>
          </w:p>
        </w:tc>
        <w:tc>
          <w:tcPr>
            <w:tcW w:w="0" w:type="pct"/>
            <w:shd w:val="clear" w:color="auto" w:fill="auto"/>
            <w:vAlign w:val="bottom"/>
          </w:tcPr>
          <w:p w14:paraId="59A15E6A"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6</w:t>
            </w:r>
          </w:p>
        </w:tc>
        <w:tc>
          <w:tcPr>
            <w:tcW w:w="0" w:type="pct"/>
            <w:shd w:val="clear" w:color="auto" w:fill="auto"/>
            <w:vAlign w:val="bottom"/>
          </w:tcPr>
          <w:p w14:paraId="1EAFF4DB"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c>
          <w:tcPr>
            <w:tcW w:w="0" w:type="pct"/>
            <w:shd w:val="clear" w:color="auto" w:fill="auto"/>
            <w:vAlign w:val="bottom"/>
          </w:tcPr>
          <w:p w14:paraId="5F51420F"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4B6024BF"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426E916C"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26CDB480"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3C926B4A"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582AD916"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c>
          <w:tcPr>
            <w:tcW w:w="0" w:type="pct"/>
            <w:shd w:val="clear" w:color="auto" w:fill="auto"/>
            <w:vAlign w:val="bottom"/>
          </w:tcPr>
          <w:p w14:paraId="7ED70DB6"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19</w:t>
            </w:r>
          </w:p>
        </w:tc>
      </w:tr>
      <w:tr w:rsidR="00210112" w:rsidRPr="00210112" w14:paraId="76DBA6C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7F09FBB5" w14:textId="77777777" w:rsidR="00B36B7E" w:rsidRPr="00777507" w:rsidRDefault="00B36B7E">
            <w:pPr>
              <w:spacing w:before="40" w:after="40" w:line="220" w:lineRule="exact"/>
              <w:contextualSpacing/>
              <w:rPr>
                <w:rFonts w:ascii="Times New Roman" w:hAnsi="Times New Roman"/>
                <w:b w:val="0"/>
                <w:sz w:val="18"/>
                <w:szCs w:val="18"/>
                <w:lang w:eastAsia="en-US"/>
              </w:rPr>
            </w:pPr>
            <w:r w:rsidRPr="00210112">
              <w:rPr>
                <w:sz w:val="18"/>
                <w:szCs w:val="18"/>
                <w:lang w:eastAsia="en-US"/>
              </w:rPr>
              <w:t>Centros del Sistema Penal Para Adolescentes.</w:t>
            </w:r>
          </w:p>
        </w:tc>
        <w:tc>
          <w:tcPr>
            <w:tcW w:w="0" w:type="pct"/>
            <w:shd w:val="clear" w:color="auto" w:fill="auto"/>
            <w:vAlign w:val="bottom"/>
          </w:tcPr>
          <w:p w14:paraId="3D0A3C99"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 xml:space="preserve"> 1</w:t>
            </w:r>
          </w:p>
        </w:tc>
        <w:tc>
          <w:tcPr>
            <w:tcW w:w="0" w:type="pct"/>
            <w:shd w:val="clear" w:color="auto" w:fill="auto"/>
            <w:vAlign w:val="bottom"/>
          </w:tcPr>
          <w:p w14:paraId="4CC39E83"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07A4D4C5"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5983407D"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1B4DDAB9"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14CCA07C"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09356E25"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61CF44A6"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678991E2"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p>
        </w:tc>
        <w:tc>
          <w:tcPr>
            <w:tcW w:w="0" w:type="pct"/>
            <w:shd w:val="clear" w:color="auto" w:fill="auto"/>
            <w:vAlign w:val="bottom"/>
          </w:tcPr>
          <w:p w14:paraId="23AE756D"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r>
      <w:tr w:rsidR="00210112" w:rsidRPr="00210112" w14:paraId="0E775048"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6399BB0A" w14:textId="77777777" w:rsidR="00B36B7E" w:rsidRPr="00777507" w:rsidRDefault="00B36B7E">
            <w:pPr>
              <w:spacing w:before="40" w:after="40" w:line="220" w:lineRule="exact"/>
              <w:contextualSpacing/>
              <w:rPr>
                <w:rFonts w:ascii="Times New Roman" w:hAnsi="Times New Roman"/>
                <w:b w:val="0"/>
                <w:sz w:val="18"/>
                <w:szCs w:val="18"/>
                <w:lang w:eastAsia="en-US"/>
              </w:rPr>
            </w:pPr>
            <w:r w:rsidRPr="00210112">
              <w:rPr>
                <w:sz w:val="18"/>
                <w:szCs w:val="18"/>
                <w:lang w:eastAsia="en-US"/>
              </w:rPr>
              <w:t>Centros de Formación Policial</w:t>
            </w:r>
          </w:p>
        </w:tc>
        <w:tc>
          <w:tcPr>
            <w:tcW w:w="0" w:type="pct"/>
            <w:shd w:val="clear" w:color="auto" w:fill="auto"/>
            <w:vAlign w:val="bottom"/>
          </w:tcPr>
          <w:p w14:paraId="1BA968FE"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4D2DA380"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6AE64D6C"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203525F7"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31FE46C7"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02EE162A"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02D502E2"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40DC3F5E"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5C77CA84"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p>
        </w:tc>
        <w:tc>
          <w:tcPr>
            <w:tcW w:w="0" w:type="pct"/>
            <w:shd w:val="clear" w:color="auto" w:fill="auto"/>
            <w:vAlign w:val="bottom"/>
          </w:tcPr>
          <w:p w14:paraId="7AA10630"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p>
        </w:tc>
      </w:tr>
      <w:tr w:rsidR="00210112" w:rsidRPr="00210112" w14:paraId="26B81F2F"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124FA2EA" w14:textId="77777777" w:rsidR="00B36B7E" w:rsidRPr="00777507" w:rsidRDefault="00B36B7E">
            <w:pPr>
              <w:spacing w:before="40" w:after="40" w:line="220" w:lineRule="exact"/>
              <w:contextualSpacing/>
              <w:rPr>
                <w:rFonts w:ascii="Times New Roman" w:hAnsi="Times New Roman"/>
                <w:b w:val="0"/>
                <w:sz w:val="18"/>
                <w:szCs w:val="18"/>
                <w:lang w:eastAsia="en-US"/>
              </w:rPr>
            </w:pPr>
            <w:r w:rsidRPr="00210112">
              <w:rPr>
                <w:sz w:val="18"/>
                <w:szCs w:val="18"/>
                <w:lang w:eastAsia="en-US"/>
              </w:rPr>
              <w:t xml:space="preserve">Cuartel militar </w:t>
            </w:r>
          </w:p>
        </w:tc>
        <w:tc>
          <w:tcPr>
            <w:tcW w:w="0" w:type="pct"/>
            <w:shd w:val="clear" w:color="auto" w:fill="auto"/>
            <w:vAlign w:val="bottom"/>
          </w:tcPr>
          <w:p w14:paraId="1429ACCC"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1DD6D405"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55908959"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24F20AC1"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4934568"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50DAA8EE"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6F8F9FEE"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3F755C2"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72A1EDAF"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p>
        </w:tc>
        <w:tc>
          <w:tcPr>
            <w:tcW w:w="0" w:type="pct"/>
            <w:shd w:val="clear" w:color="auto" w:fill="auto"/>
            <w:vAlign w:val="bottom"/>
          </w:tcPr>
          <w:p w14:paraId="4928364E"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p>
        </w:tc>
      </w:tr>
      <w:tr w:rsidR="00210112" w:rsidRPr="00210112" w14:paraId="03D2D6A8"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091278B" w14:textId="77777777" w:rsidR="00B36B7E" w:rsidRPr="00777507" w:rsidRDefault="00B36B7E">
            <w:pPr>
              <w:spacing w:before="40" w:after="40" w:line="220" w:lineRule="exact"/>
              <w:contextualSpacing/>
              <w:rPr>
                <w:rFonts w:ascii="Times New Roman" w:hAnsi="Times New Roman"/>
                <w:b w:val="0"/>
                <w:sz w:val="18"/>
                <w:szCs w:val="18"/>
                <w:lang w:eastAsia="en-US"/>
              </w:rPr>
            </w:pPr>
            <w:r w:rsidRPr="00210112">
              <w:rPr>
                <w:sz w:val="18"/>
                <w:szCs w:val="18"/>
                <w:lang w:eastAsia="en-US"/>
              </w:rPr>
              <w:t xml:space="preserve">Hospitales Psiquiátricos </w:t>
            </w:r>
          </w:p>
        </w:tc>
        <w:tc>
          <w:tcPr>
            <w:tcW w:w="0" w:type="pct"/>
            <w:shd w:val="clear" w:color="auto" w:fill="auto"/>
            <w:vAlign w:val="bottom"/>
          </w:tcPr>
          <w:p w14:paraId="5BA6AE53"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247A9426"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0D924DA0"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40B8A21B"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062FBB61"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shd w:val="clear" w:color="auto" w:fill="auto"/>
            <w:vAlign w:val="bottom"/>
          </w:tcPr>
          <w:p w14:paraId="70343C58"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1EFC0072"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44A9CE49"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w:t>
            </w:r>
          </w:p>
        </w:tc>
        <w:tc>
          <w:tcPr>
            <w:tcW w:w="0" w:type="pct"/>
            <w:shd w:val="clear" w:color="auto" w:fill="auto"/>
            <w:vAlign w:val="bottom"/>
          </w:tcPr>
          <w:p w14:paraId="415B9B30"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p>
        </w:tc>
        <w:tc>
          <w:tcPr>
            <w:tcW w:w="0" w:type="pct"/>
            <w:shd w:val="clear" w:color="auto" w:fill="auto"/>
            <w:vAlign w:val="bottom"/>
          </w:tcPr>
          <w:p w14:paraId="725D6404" w14:textId="77777777" w:rsidR="00B36B7E" w:rsidRPr="00777507" w:rsidRDefault="00B36B7E" w:rsidP="00777507">
            <w:pPr>
              <w:spacing w:before="40" w:after="40" w:line="220" w:lineRule="exact"/>
              <w:ind w:left="113"/>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r>
      <w:tr w:rsidR="00777507" w:rsidRPr="00210112" w14:paraId="12808C33"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auto"/>
            </w:tcBorders>
            <w:shd w:val="clear" w:color="auto" w:fill="auto"/>
          </w:tcPr>
          <w:p w14:paraId="4A819F68" w14:textId="77777777" w:rsidR="00B36B7E" w:rsidRPr="00777507" w:rsidRDefault="00B36B7E">
            <w:pPr>
              <w:spacing w:before="40" w:after="40" w:line="220" w:lineRule="exact"/>
              <w:contextualSpacing/>
              <w:rPr>
                <w:rFonts w:ascii="Times New Roman" w:hAnsi="Times New Roman"/>
                <w:b w:val="0"/>
                <w:sz w:val="18"/>
                <w:szCs w:val="18"/>
                <w:lang w:eastAsia="en-US"/>
              </w:rPr>
            </w:pPr>
            <w:r w:rsidRPr="00210112">
              <w:rPr>
                <w:sz w:val="18"/>
                <w:szCs w:val="18"/>
                <w:lang w:eastAsia="en-US"/>
              </w:rPr>
              <w:t>TOTAL GRAL.</w:t>
            </w:r>
          </w:p>
        </w:tc>
        <w:tc>
          <w:tcPr>
            <w:tcW w:w="0" w:type="pct"/>
            <w:tcBorders>
              <w:bottom w:val="single" w:sz="12" w:space="0" w:color="auto"/>
            </w:tcBorders>
            <w:shd w:val="clear" w:color="auto" w:fill="auto"/>
            <w:vAlign w:val="bottom"/>
          </w:tcPr>
          <w:p w14:paraId="69CD3158"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7</w:t>
            </w:r>
          </w:p>
        </w:tc>
        <w:tc>
          <w:tcPr>
            <w:tcW w:w="0" w:type="pct"/>
            <w:tcBorders>
              <w:bottom w:val="single" w:sz="12" w:space="0" w:color="auto"/>
            </w:tcBorders>
            <w:shd w:val="clear" w:color="auto" w:fill="auto"/>
            <w:vAlign w:val="bottom"/>
          </w:tcPr>
          <w:p w14:paraId="7FEAF1A1"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6</w:t>
            </w:r>
          </w:p>
        </w:tc>
        <w:tc>
          <w:tcPr>
            <w:tcW w:w="0" w:type="pct"/>
            <w:tcBorders>
              <w:bottom w:val="single" w:sz="12" w:space="0" w:color="auto"/>
            </w:tcBorders>
            <w:shd w:val="clear" w:color="auto" w:fill="auto"/>
            <w:vAlign w:val="bottom"/>
          </w:tcPr>
          <w:p w14:paraId="7344A692"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3</w:t>
            </w:r>
          </w:p>
        </w:tc>
        <w:tc>
          <w:tcPr>
            <w:tcW w:w="0" w:type="pct"/>
            <w:tcBorders>
              <w:bottom w:val="single" w:sz="12" w:space="0" w:color="auto"/>
            </w:tcBorders>
            <w:shd w:val="clear" w:color="auto" w:fill="auto"/>
            <w:vAlign w:val="bottom"/>
          </w:tcPr>
          <w:p w14:paraId="2BB71D43"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tcBorders>
              <w:bottom w:val="single" w:sz="12" w:space="0" w:color="auto"/>
            </w:tcBorders>
            <w:shd w:val="clear" w:color="auto" w:fill="auto"/>
            <w:vAlign w:val="bottom"/>
          </w:tcPr>
          <w:p w14:paraId="2AEA4E4F"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tcBorders>
              <w:bottom w:val="single" w:sz="12" w:space="0" w:color="auto"/>
            </w:tcBorders>
            <w:shd w:val="clear" w:color="auto" w:fill="auto"/>
            <w:vAlign w:val="bottom"/>
          </w:tcPr>
          <w:p w14:paraId="79CB04A9"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tcBorders>
              <w:bottom w:val="single" w:sz="12" w:space="0" w:color="auto"/>
            </w:tcBorders>
            <w:shd w:val="clear" w:color="auto" w:fill="auto"/>
            <w:vAlign w:val="bottom"/>
          </w:tcPr>
          <w:p w14:paraId="7C7ED109"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tcBorders>
              <w:bottom w:val="single" w:sz="12" w:space="0" w:color="auto"/>
            </w:tcBorders>
            <w:shd w:val="clear" w:color="auto" w:fill="auto"/>
            <w:vAlign w:val="bottom"/>
          </w:tcPr>
          <w:p w14:paraId="28263A09"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1</w:t>
            </w:r>
          </w:p>
        </w:tc>
        <w:tc>
          <w:tcPr>
            <w:tcW w:w="0" w:type="pct"/>
            <w:tcBorders>
              <w:bottom w:val="single" w:sz="12" w:space="0" w:color="auto"/>
            </w:tcBorders>
            <w:shd w:val="clear" w:color="auto" w:fill="auto"/>
            <w:vAlign w:val="bottom"/>
          </w:tcPr>
          <w:p w14:paraId="5D8D372C"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w:t>
            </w:r>
          </w:p>
        </w:tc>
        <w:tc>
          <w:tcPr>
            <w:tcW w:w="0" w:type="pct"/>
            <w:tcBorders>
              <w:bottom w:val="single" w:sz="12" w:space="0" w:color="auto"/>
            </w:tcBorders>
            <w:shd w:val="clear" w:color="auto" w:fill="auto"/>
            <w:vAlign w:val="bottom"/>
          </w:tcPr>
          <w:p w14:paraId="0D8A6CE7" w14:textId="77777777" w:rsidR="00B36B7E" w:rsidRPr="00777507" w:rsidRDefault="00B36B7E" w:rsidP="00777507">
            <w:pPr>
              <w:spacing w:before="40" w:after="40" w:line="220" w:lineRule="exact"/>
              <w:ind w:left="113"/>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777507">
              <w:rPr>
                <w:rFonts w:eastAsia="Calibri"/>
                <w:sz w:val="18"/>
                <w:szCs w:val="18"/>
                <w:lang w:eastAsia="en-US"/>
              </w:rPr>
              <w:t>24</w:t>
            </w:r>
          </w:p>
        </w:tc>
      </w:tr>
    </w:tbl>
    <w:p w14:paraId="688F2F6E"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SEPRET</w:t>
      </w:r>
      <w:r w:rsidR="00311AB2">
        <w:rPr>
          <w:lang w:eastAsia="en-US"/>
        </w:rPr>
        <w:t>.</w:t>
      </w:r>
    </w:p>
    <w:p w14:paraId="581B83EC"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Artículos 12 y 13</w:t>
      </w:r>
    </w:p>
    <w:p w14:paraId="32A0E354" w14:textId="77777777" w:rsidR="00B36B7E" w:rsidRDefault="00D554B8" w:rsidP="00D554B8">
      <w:pPr>
        <w:pStyle w:val="H23G"/>
        <w:rPr>
          <w:lang w:eastAsia="en-US"/>
        </w:rPr>
      </w:pPr>
      <w:r>
        <w:rPr>
          <w:lang w:eastAsia="en-US"/>
        </w:rPr>
        <w:tab/>
      </w:r>
      <w:r>
        <w:rPr>
          <w:lang w:eastAsia="en-US"/>
        </w:rPr>
        <w:tab/>
      </w:r>
      <w:r w:rsidR="00B36B7E" w:rsidRPr="00B36B7E">
        <w:rPr>
          <w:lang w:eastAsia="en-US"/>
        </w:rPr>
        <w:t>Repuesta al párrafo 23</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613DEB40" w14:textId="77777777" w:rsidR="00B36B7E" w:rsidRPr="00B36B7E" w:rsidRDefault="00235247" w:rsidP="00777507">
      <w:pPr>
        <w:pStyle w:val="SingleTxtG"/>
        <w:spacing w:before="120"/>
        <w:rPr>
          <w:lang w:eastAsia="es-BO"/>
        </w:rPr>
      </w:pPr>
      <w:r w:rsidRPr="00B36B7E">
        <w:rPr>
          <w:lang w:eastAsia="es-BO"/>
        </w:rPr>
        <w:t>101.</w:t>
      </w:r>
      <w:r w:rsidRPr="00B36B7E">
        <w:rPr>
          <w:lang w:eastAsia="es-BO"/>
        </w:rPr>
        <w:tab/>
      </w:r>
      <w:r w:rsidR="00B36B7E" w:rsidRPr="00B36B7E">
        <w:rPr>
          <w:lang w:eastAsia="es-BO"/>
        </w:rPr>
        <w:t xml:space="preserve">El </w:t>
      </w:r>
      <w:r w:rsidR="00B36B7E" w:rsidRPr="00B36B7E">
        <w:rPr>
          <w:lang w:eastAsia="en-US"/>
        </w:rPr>
        <w:t>SEPRET</w:t>
      </w:r>
      <w:r w:rsidR="00B36B7E" w:rsidRPr="00B36B7E">
        <w:rPr>
          <w:lang w:eastAsia="es-BO"/>
        </w:rPr>
        <w:t xml:space="preserve"> durante el período comprendido de 1 de septiembre de 2019 al 31 de diciembre de 2019, ha recibido 11 denuncias por Tortura.</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3"/>
        <w:gridCol w:w="660"/>
        <w:gridCol w:w="691"/>
        <w:gridCol w:w="1292"/>
        <w:gridCol w:w="1146"/>
        <w:gridCol w:w="655"/>
        <w:gridCol w:w="705"/>
        <w:gridCol w:w="533"/>
        <w:gridCol w:w="654"/>
        <w:gridCol w:w="721"/>
      </w:tblGrid>
      <w:tr w:rsidR="004D4A48" w:rsidRPr="00210112" w14:paraId="31B1430B" w14:textId="77777777" w:rsidTr="0021011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12" w:space="0" w:color="auto"/>
            </w:tcBorders>
            <w:shd w:val="clear" w:color="auto" w:fill="auto"/>
            <w:vAlign w:val="bottom"/>
          </w:tcPr>
          <w:p w14:paraId="1F76D902" w14:textId="77777777" w:rsidR="00B36B7E" w:rsidRPr="00210112" w:rsidRDefault="00B36B7E" w:rsidP="00777507">
            <w:pPr>
              <w:spacing w:before="80" w:after="80" w:line="200" w:lineRule="exact"/>
              <w:rPr>
                <w:rFonts w:ascii="Times New Roman" w:hAnsi="Times New Roman"/>
                <w:b w:val="0"/>
                <w:i/>
                <w:color w:val="auto"/>
                <w:sz w:val="16"/>
                <w:lang w:eastAsia="en-US"/>
              </w:rPr>
            </w:pPr>
            <w:r w:rsidRPr="00210112">
              <w:rPr>
                <w:i/>
                <w:sz w:val="16"/>
                <w:lang w:eastAsia="en-US"/>
              </w:rPr>
              <w:t>La Paz</w:t>
            </w:r>
          </w:p>
        </w:tc>
        <w:tc>
          <w:tcPr>
            <w:tcW w:w="0" w:type="dxa"/>
            <w:tcBorders>
              <w:top w:val="single" w:sz="4" w:space="0" w:color="auto"/>
              <w:bottom w:val="single" w:sz="12" w:space="0" w:color="auto"/>
            </w:tcBorders>
            <w:shd w:val="clear" w:color="auto" w:fill="auto"/>
            <w:vAlign w:val="bottom"/>
          </w:tcPr>
          <w:p w14:paraId="2D6FE4A4"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Oruro</w:t>
            </w:r>
          </w:p>
        </w:tc>
        <w:tc>
          <w:tcPr>
            <w:tcW w:w="0" w:type="dxa"/>
            <w:tcBorders>
              <w:top w:val="single" w:sz="4" w:space="0" w:color="auto"/>
              <w:bottom w:val="single" w:sz="12" w:space="0" w:color="auto"/>
            </w:tcBorders>
            <w:shd w:val="clear" w:color="auto" w:fill="auto"/>
            <w:vAlign w:val="bottom"/>
          </w:tcPr>
          <w:p w14:paraId="38A322EC"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Potosí</w:t>
            </w:r>
          </w:p>
        </w:tc>
        <w:tc>
          <w:tcPr>
            <w:tcW w:w="0" w:type="dxa"/>
            <w:tcBorders>
              <w:top w:val="single" w:sz="4" w:space="0" w:color="auto"/>
              <w:bottom w:val="single" w:sz="12" w:space="0" w:color="auto"/>
            </w:tcBorders>
            <w:shd w:val="clear" w:color="auto" w:fill="auto"/>
            <w:vAlign w:val="bottom"/>
          </w:tcPr>
          <w:p w14:paraId="657F8C2D"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Cochabamba</w:t>
            </w:r>
          </w:p>
        </w:tc>
        <w:tc>
          <w:tcPr>
            <w:tcW w:w="0" w:type="dxa"/>
            <w:tcBorders>
              <w:top w:val="single" w:sz="4" w:space="0" w:color="auto"/>
              <w:bottom w:val="single" w:sz="12" w:space="0" w:color="auto"/>
            </w:tcBorders>
            <w:shd w:val="clear" w:color="auto" w:fill="auto"/>
            <w:vAlign w:val="bottom"/>
          </w:tcPr>
          <w:p w14:paraId="69318F62"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Chuquisaca</w:t>
            </w:r>
          </w:p>
        </w:tc>
        <w:tc>
          <w:tcPr>
            <w:tcW w:w="0" w:type="dxa"/>
            <w:tcBorders>
              <w:top w:val="single" w:sz="4" w:space="0" w:color="auto"/>
              <w:bottom w:val="single" w:sz="12" w:space="0" w:color="auto"/>
            </w:tcBorders>
            <w:shd w:val="clear" w:color="auto" w:fill="auto"/>
            <w:vAlign w:val="bottom"/>
          </w:tcPr>
          <w:p w14:paraId="2D56982A"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Tarija</w:t>
            </w:r>
          </w:p>
        </w:tc>
        <w:tc>
          <w:tcPr>
            <w:tcW w:w="0" w:type="dxa"/>
            <w:tcBorders>
              <w:top w:val="single" w:sz="4" w:space="0" w:color="auto"/>
              <w:bottom w:val="single" w:sz="12" w:space="0" w:color="auto"/>
            </w:tcBorders>
            <w:shd w:val="clear" w:color="auto" w:fill="auto"/>
            <w:vAlign w:val="bottom"/>
          </w:tcPr>
          <w:p w14:paraId="6E185CDF"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Pando</w:t>
            </w:r>
          </w:p>
        </w:tc>
        <w:tc>
          <w:tcPr>
            <w:tcW w:w="0" w:type="dxa"/>
            <w:tcBorders>
              <w:top w:val="single" w:sz="4" w:space="0" w:color="auto"/>
              <w:bottom w:val="single" w:sz="12" w:space="0" w:color="auto"/>
            </w:tcBorders>
            <w:shd w:val="clear" w:color="auto" w:fill="auto"/>
            <w:vAlign w:val="bottom"/>
          </w:tcPr>
          <w:p w14:paraId="37AFBA25"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Beni</w:t>
            </w:r>
          </w:p>
        </w:tc>
        <w:tc>
          <w:tcPr>
            <w:tcW w:w="0" w:type="dxa"/>
            <w:tcBorders>
              <w:top w:val="single" w:sz="4" w:space="0" w:color="auto"/>
              <w:bottom w:val="single" w:sz="12" w:space="0" w:color="auto"/>
            </w:tcBorders>
            <w:shd w:val="clear" w:color="auto" w:fill="auto"/>
            <w:vAlign w:val="bottom"/>
          </w:tcPr>
          <w:p w14:paraId="6B84DCE7"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Santa Cruz</w:t>
            </w:r>
          </w:p>
        </w:tc>
        <w:tc>
          <w:tcPr>
            <w:tcW w:w="0" w:type="dxa"/>
            <w:tcBorders>
              <w:top w:val="single" w:sz="4" w:space="0" w:color="auto"/>
              <w:bottom w:val="single" w:sz="12" w:space="0" w:color="auto"/>
            </w:tcBorders>
            <w:shd w:val="clear" w:color="auto" w:fill="auto"/>
            <w:vAlign w:val="bottom"/>
          </w:tcPr>
          <w:p w14:paraId="631B8459"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TOTAL</w:t>
            </w:r>
          </w:p>
        </w:tc>
      </w:tr>
      <w:tr w:rsidR="00210112" w:rsidRPr="00210112" w14:paraId="481C0325"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shd w:val="clear" w:color="auto" w:fill="auto"/>
          </w:tcPr>
          <w:p w14:paraId="7865C85F" w14:textId="77777777" w:rsidR="00285DBA" w:rsidRPr="00777507" w:rsidRDefault="00285DBA" w:rsidP="00777507">
            <w:pPr>
              <w:spacing w:before="40" w:after="40" w:line="220" w:lineRule="exact"/>
              <w:rPr>
                <w:rFonts w:ascii="Times New Roman" w:hAnsi="Times New Roman"/>
                <w:b w:val="0"/>
                <w:sz w:val="18"/>
                <w:lang w:eastAsia="en-US"/>
              </w:rPr>
            </w:pPr>
          </w:p>
        </w:tc>
        <w:tc>
          <w:tcPr>
            <w:tcW w:w="0" w:type="dxa"/>
            <w:tcBorders>
              <w:top w:val="single" w:sz="12" w:space="0" w:color="auto"/>
            </w:tcBorders>
            <w:shd w:val="clear" w:color="auto" w:fill="auto"/>
            <w:vAlign w:val="bottom"/>
          </w:tcPr>
          <w:p w14:paraId="73C4DA5F"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tcBorders>
              <w:top w:val="single" w:sz="12" w:space="0" w:color="auto"/>
            </w:tcBorders>
            <w:shd w:val="clear" w:color="auto" w:fill="auto"/>
            <w:vAlign w:val="bottom"/>
          </w:tcPr>
          <w:p w14:paraId="61FA6413"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tcBorders>
              <w:top w:val="single" w:sz="12" w:space="0" w:color="auto"/>
            </w:tcBorders>
            <w:shd w:val="clear" w:color="auto" w:fill="auto"/>
            <w:vAlign w:val="bottom"/>
          </w:tcPr>
          <w:p w14:paraId="5DDE0697"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tcBorders>
              <w:top w:val="single" w:sz="12" w:space="0" w:color="auto"/>
            </w:tcBorders>
            <w:shd w:val="clear" w:color="auto" w:fill="auto"/>
            <w:vAlign w:val="bottom"/>
          </w:tcPr>
          <w:p w14:paraId="29AFB8F5"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tcBorders>
              <w:top w:val="single" w:sz="12" w:space="0" w:color="auto"/>
            </w:tcBorders>
            <w:shd w:val="clear" w:color="auto" w:fill="auto"/>
            <w:vAlign w:val="bottom"/>
          </w:tcPr>
          <w:p w14:paraId="55574A45"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tcBorders>
              <w:top w:val="single" w:sz="12" w:space="0" w:color="auto"/>
            </w:tcBorders>
            <w:shd w:val="clear" w:color="auto" w:fill="auto"/>
            <w:vAlign w:val="bottom"/>
          </w:tcPr>
          <w:p w14:paraId="10C92CE9"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tcBorders>
              <w:top w:val="single" w:sz="12" w:space="0" w:color="auto"/>
            </w:tcBorders>
            <w:shd w:val="clear" w:color="auto" w:fill="auto"/>
            <w:vAlign w:val="bottom"/>
          </w:tcPr>
          <w:p w14:paraId="10CC9315"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tcBorders>
              <w:top w:val="single" w:sz="12" w:space="0" w:color="auto"/>
            </w:tcBorders>
            <w:shd w:val="clear" w:color="auto" w:fill="auto"/>
            <w:vAlign w:val="bottom"/>
          </w:tcPr>
          <w:p w14:paraId="13333518"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c>
          <w:tcPr>
            <w:tcW w:w="0" w:type="dxa"/>
            <w:tcBorders>
              <w:top w:val="single" w:sz="12" w:space="0" w:color="auto"/>
            </w:tcBorders>
            <w:shd w:val="clear" w:color="auto" w:fill="auto"/>
            <w:vAlign w:val="bottom"/>
          </w:tcPr>
          <w:p w14:paraId="2E88907E"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p>
        </w:tc>
      </w:tr>
      <w:tr w:rsidR="00210112" w:rsidRPr="00210112" w14:paraId="63083330"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tcBorders>
              <w:bottom w:val="single" w:sz="12" w:space="0" w:color="auto"/>
            </w:tcBorders>
            <w:shd w:val="clear" w:color="auto" w:fill="auto"/>
          </w:tcPr>
          <w:p w14:paraId="75B18651" w14:textId="77777777" w:rsidR="00B36B7E" w:rsidRPr="00777507" w:rsidRDefault="00B36B7E" w:rsidP="00777507">
            <w:pPr>
              <w:spacing w:before="40" w:after="40" w:line="220" w:lineRule="exact"/>
              <w:rPr>
                <w:rFonts w:ascii="Times New Roman" w:hAnsi="Times New Roman"/>
                <w:b w:val="0"/>
                <w:sz w:val="18"/>
                <w:lang w:eastAsia="en-US"/>
              </w:rPr>
            </w:pPr>
            <w:r w:rsidRPr="00777507">
              <w:rPr>
                <w:sz w:val="18"/>
                <w:lang w:eastAsia="en-US"/>
              </w:rPr>
              <w:t>11</w:t>
            </w:r>
          </w:p>
        </w:tc>
        <w:tc>
          <w:tcPr>
            <w:tcW w:w="0" w:type="dxa"/>
            <w:tcBorders>
              <w:bottom w:val="single" w:sz="12" w:space="0" w:color="auto"/>
            </w:tcBorders>
            <w:shd w:val="clear" w:color="auto" w:fill="auto"/>
            <w:vAlign w:val="bottom"/>
          </w:tcPr>
          <w:p w14:paraId="367AD68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dxa"/>
            <w:tcBorders>
              <w:bottom w:val="single" w:sz="12" w:space="0" w:color="auto"/>
            </w:tcBorders>
            <w:shd w:val="clear" w:color="auto" w:fill="auto"/>
            <w:vAlign w:val="bottom"/>
          </w:tcPr>
          <w:p w14:paraId="2183B6C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dxa"/>
            <w:tcBorders>
              <w:bottom w:val="single" w:sz="12" w:space="0" w:color="auto"/>
            </w:tcBorders>
            <w:shd w:val="clear" w:color="auto" w:fill="auto"/>
            <w:vAlign w:val="bottom"/>
          </w:tcPr>
          <w:p w14:paraId="5506E42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dxa"/>
            <w:tcBorders>
              <w:bottom w:val="single" w:sz="12" w:space="0" w:color="auto"/>
            </w:tcBorders>
            <w:shd w:val="clear" w:color="auto" w:fill="auto"/>
            <w:vAlign w:val="bottom"/>
          </w:tcPr>
          <w:p w14:paraId="046C78EE"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dxa"/>
            <w:tcBorders>
              <w:bottom w:val="single" w:sz="12" w:space="0" w:color="auto"/>
            </w:tcBorders>
            <w:shd w:val="clear" w:color="auto" w:fill="auto"/>
            <w:vAlign w:val="bottom"/>
          </w:tcPr>
          <w:p w14:paraId="5067E920"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dxa"/>
            <w:tcBorders>
              <w:bottom w:val="single" w:sz="12" w:space="0" w:color="auto"/>
            </w:tcBorders>
            <w:shd w:val="clear" w:color="auto" w:fill="auto"/>
            <w:vAlign w:val="bottom"/>
          </w:tcPr>
          <w:p w14:paraId="3D673FF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dxa"/>
            <w:tcBorders>
              <w:bottom w:val="single" w:sz="12" w:space="0" w:color="auto"/>
            </w:tcBorders>
            <w:shd w:val="clear" w:color="auto" w:fill="auto"/>
            <w:vAlign w:val="bottom"/>
          </w:tcPr>
          <w:p w14:paraId="3D0E1B02"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dxa"/>
            <w:tcBorders>
              <w:bottom w:val="single" w:sz="12" w:space="0" w:color="auto"/>
            </w:tcBorders>
            <w:shd w:val="clear" w:color="auto" w:fill="auto"/>
            <w:vAlign w:val="bottom"/>
          </w:tcPr>
          <w:p w14:paraId="612EF69D"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0</w:t>
            </w:r>
          </w:p>
        </w:tc>
        <w:tc>
          <w:tcPr>
            <w:tcW w:w="0" w:type="dxa"/>
            <w:tcBorders>
              <w:bottom w:val="single" w:sz="12" w:space="0" w:color="auto"/>
            </w:tcBorders>
            <w:shd w:val="clear" w:color="auto" w:fill="auto"/>
            <w:vAlign w:val="bottom"/>
          </w:tcPr>
          <w:p w14:paraId="61B7CB89" w14:textId="77777777" w:rsidR="00B36B7E" w:rsidRPr="00777507" w:rsidRDefault="00B36B7E"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US"/>
              </w:rPr>
            </w:pPr>
            <w:r w:rsidRPr="00777507">
              <w:rPr>
                <w:sz w:val="18"/>
                <w:lang w:eastAsia="en-US"/>
              </w:rPr>
              <w:t>11</w:t>
            </w:r>
          </w:p>
        </w:tc>
      </w:tr>
    </w:tbl>
    <w:p w14:paraId="4CA0B245"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SEPRET</w:t>
      </w:r>
      <w:r w:rsidR="00311AB2">
        <w:rPr>
          <w:lang w:eastAsia="en-US"/>
        </w:rPr>
        <w:t>.</w:t>
      </w:r>
    </w:p>
    <w:p w14:paraId="4BE3E83E" w14:textId="77777777" w:rsidR="00B36B7E" w:rsidRPr="00B36B7E" w:rsidRDefault="00235247" w:rsidP="00777507">
      <w:pPr>
        <w:pStyle w:val="SingleTxtG"/>
        <w:spacing w:before="120"/>
        <w:rPr>
          <w:lang w:eastAsia="es-BO"/>
        </w:rPr>
      </w:pPr>
      <w:r w:rsidRPr="00B36B7E">
        <w:rPr>
          <w:lang w:eastAsia="es-BO"/>
        </w:rPr>
        <w:t>102.</w:t>
      </w:r>
      <w:r w:rsidRPr="00B36B7E">
        <w:rPr>
          <w:lang w:eastAsia="es-BO"/>
        </w:rPr>
        <w:tab/>
      </w:r>
      <w:r w:rsidR="00B36B7E" w:rsidRPr="00B36B7E">
        <w:rPr>
          <w:lang w:eastAsia="es-BO"/>
        </w:rPr>
        <w:t xml:space="preserve">Asimismo, el SEPRET ha presentado las denuncias correspondientes a la Fiscalía </w:t>
      </w:r>
      <w:r w:rsidR="00B36B7E" w:rsidRPr="00B36B7E">
        <w:rPr>
          <w:lang w:eastAsia="en-US"/>
        </w:rPr>
        <w:t>Departamental</w:t>
      </w:r>
      <w:r w:rsidR="00B36B7E" w:rsidRPr="00B36B7E">
        <w:rPr>
          <w:lang w:eastAsia="es-BO"/>
        </w:rPr>
        <w:t xml:space="preserve"> de La Paz, de los siguientes casos de denuncias efectuadas, mismas que se encuentran bajo investigación en el Ministerio Público.</w:t>
      </w:r>
    </w:p>
    <w:p w14:paraId="015170F0" w14:textId="77777777" w:rsidR="00B36B7E" w:rsidRPr="00B36B7E" w:rsidRDefault="00B36B7E" w:rsidP="00B36B7E">
      <w:pPr>
        <w:spacing w:line="360" w:lineRule="auto"/>
        <w:jc w:val="center"/>
        <w:rPr>
          <w:sz w:val="18"/>
          <w:szCs w:val="18"/>
          <w:lang w:eastAsia="es-BO"/>
        </w:rPr>
      </w:pPr>
    </w:p>
    <w:tbl>
      <w:tblPr>
        <w:tblStyle w:val="GridTable4-Accent6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2"/>
        <w:gridCol w:w="347"/>
        <w:gridCol w:w="705"/>
        <w:gridCol w:w="540"/>
        <w:gridCol w:w="548"/>
        <w:gridCol w:w="548"/>
        <w:gridCol w:w="548"/>
        <w:gridCol w:w="568"/>
        <w:gridCol w:w="1186"/>
        <w:gridCol w:w="988"/>
        <w:gridCol w:w="1190"/>
      </w:tblGrid>
      <w:tr w:rsidR="00210112" w:rsidRPr="00210112" w14:paraId="17FB3FDE"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bottom w:val="single" w:sz="12" w:space="0" w:color="auto"/>
            </w:tcBorders>
            <w:shd w:val="clear" w:color="auto" w:fill="auto"/>
            <w:vAlign w:val="bottom"/>
          </w:tcPr>
          <w:p w14:paraId="2C665592" w14:textId="77777777" w:rsidR="00B36B7E" w:rsidRPr="00210112" w:rsidRDefault="00B36B7E">
            <w:pPr>
              <w:spacing w:before="80" w:after="80" w:line="200" w:lineRule="exact"/>
              <w:rPr>
                <w:rFonts w:ascii="Times New Roman" w:hAnsi="Times New Roman"/>
                <w:b w:val="0"/>
                <w:i/>
                <w:color w:val="auto"/>
                <w:sz w:val="16"/>
                <w:lang w:eastAsia="en-US"/>
              </w:rPr>
            </w:pPr>
            <w:r w:rsidRPr="00210112">
              <w:rPr>
                <w:i/>
                <w:sz w:val="16"/>
                <w:lang w:eastAsia="en-US"/>
              </w:rPr>
              <w:t>SEXO</w:t>
            </w:r>
          </w:p>
        </w:tc>
        <w:tc>
          <w:tcPr>
            <w:tcW w:w="0" w:type="dxa"/>
            <w:vMerge w:val="restart"/>
            <w:tcBorders>
              <w:top w:val="single" w:sz="4" w:space="0" w:color="auto"/>
              <w:bottom w:val="single" w:sz="12" w:space="0" w:color="auto"/>
            </w:tcBorders>
            <w:shd w:val="clear" w:color="auto" w:fill="auto"/>
            <w:vAlign w:val="bottom"/>
          </w:tcPr>
          <w:p w14:paraId="6CED8639"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LGTB</w:t>
            </w:r>
          </w:p>
        </w:tc>
        <w:tc>
          <w:tcPr>
            <w:tcW w:w="0" w:type="dxa"/>
            <w:vMerge w:val="restart"/>
            <w:tcBorders>
              <w:top w:val="single" w:sz="4" w:space="0" w:color="auto"/>
              <w:bottom w:val="single" w:sz="12" w:space="0" w:color="auto"/>
            </w:tcBorders>
            <w:shd w:val="clear" w:color="auto" w:fill="auto"/>
            <w:vAlign w:val="bottom"/>
          </w:tcPr>
          <w:p w14:paraId="6F432949"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IOC</w:t>
            </w:r>
          </w:p>
        </w:tc>
        <w:tc>
          <w:tcPr>
            <w:tcW w:w="0" w:type="dxa"/>
            <w:gridSpan w:val="4"/>
            <w:tcBorders>
              <w:top w:val="single" w:sz="4" w:space="0" w:color="auto"/>
              <w:bottom w:val="single" w:sz="12" w:space="0" w:color="auto"/>
            </w:tcBorders>
            <w:shd w:val="clear" w:color="auto" w:fill="auto"/>
            <w:vAlign w:val="bottom"/>
          </w:tcPr>
          <w:p w14:paraId="7E93BF64"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EDADES</w:t>
            </w:r>
          </w:p>
        </w:tc>
        <w:tc>
          <w:tcPr>
            <w:tcW w:w="0" w:type="dxa"/>
            <w:vMerge w:val="restart"/>
            <w:tcBorders>
              <w:top w:val="single" w:sz="4" w:space="0" w:color="auto"/>
              <w:bottom w:val="single" w:sz="12" w:space="0" w:color="auto"/>
            </w:tcBorders>
            <w:shd w:val="clear" w:color="auto" w:fill="auto"/>
            <w:vAlign w:val="bottom"/>
          </w:tcPr>
          <w:p w14:paraId="0522527F"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TORTURA</w:t>
            </w:r>
          </w:p>
        </w:tc>
        <w:tc>
          <w:tcPr>
            <w:tcW w:w="0" w:type="dxa"/>
            <w:vMerge w:val="restart"/>
            <w:tcBorders>
              <w:top w:val="single" w:sz="4" w:space="0" w:color="auto"/>
              <w:bottom w:val="single" w:sz="12" w:space="0" w:color="auto"/>
            </w:tcBorders>
            <w:shd w:val="clear" w:color="auto" w:fill="auto"/>
            <w:vAlign w:val="bottom"/>
          </w:tcPr>
          <w:p w14:paraId="10C38CA9"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USO FUERZA</w:t>
            </w:r>
          </w:p>
        </w:tc>
        <w:tc>
          <w:tcPr>
            <w:tcW w:w="0" w:type="dxa"/>
            <w:vMerge w:val="restart"/>
            <w:tcBorders>
              <w:top w:val="single" w:sz="4" w:space="0" w:color="auto"/>
              <w:bottom w:val="single" w:sz="12" w:space="0" w:color="auto"/>
            </w:tcBorders>
            <w:shd w:val="clear" w:color="auto" w:fill="auto"/>
            <w:vAlign w:val="bottom"/>
          </w:tcPr>
          <w:p w14:paraId="38F7DD8D" w14:textId="77777777" w:rsidR="00B36B7E" w:rsidRPr="00210112" w:rsidRDefault="00B36B7E"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16"/>
                <w:lang w:eastAsia="en-US"/>
              </w:rPr>
            </w:pPr>
            <w:r w:rsidRPr="00210112">
              <w:rPr>
                <w:i/>
                <w:sz w:val="16"/>
                <w:lang w:eastAsia="en-US"/>
              </w:rPr>
              <w:t>MUERTES</w:t>
            </w:r>
          </w:p>
        </w:tc>
      </w:tr>
      <w:tr w:rsidR="00210112" w:rsidRPr="00210112" w14:paraId="49BBCDCF"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12" w:space="0" w:color="auto"/>
            </w:tcBorders>
            <w:shd w:val="clear" w:color="auto" w:fill="auto"/>
          </w:tcPr>
          <w:p w14:paraId="1CCDF2BB" w14:textId="77777777" w:rsidR="00285DBA" w:rsidRPr="00777507" w:rsidRDefault="00285DBA">
            <w:pPr>
              <w:spacing w:before="40" w:after="40" w:line="220" w:lineRule="exact"/>
              <w:rPr>
                <w:rFonts w:ascii="Times New Roman" w:hAnsi="Times New Roman"/>
                <w:b w:val="0"/>
                <w:color w:val="auto"/>
                <w:sz w:val="18"/>
                <w:lang w:eastAsia="en-US"/>
              </w:rPr>
            </w:pPr>
          </w:p>
        </w:tc>
        <w:tc>
          <w:tcPr>
            <w:tcW w:w="0" w:type="dxa"/>
            <w:vMerge/>
            <w:tcBorders>
              <w:top w:val="single" w:sz="12" w:space="0" w:color="auto"/>
            </w:tcBorders>
            <w:shd w:val="clear" w:color="auto" w:fill="auto"/>
            <w:vAlign w:val="bottom"/>
          </w:tcPr>
          <w:p w14:paraId="23E5A390" w14:textId="77777777" w:rsidR="00285DBA" w:rsidRPr="00777507" w:rsidRDefault="00285DBA"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vMerge/>
            <w:tcBorders>
              <w:top w:val="single" w:sz="12" w:space="0" w:color="auto"/>
            </w:tcBorders>
            <w:shd w:val="clear" w:color="auto" w:fill="auto"/>
            <w:vAlign w:val="bottom"/>
          </w:tcPr>
          <w:p w14:paraId="3BC0848F" w14:textId="77777777" w:rsidR="00285DBA" w:rsidRPr="00777507" w:rsidRDefault="00285DBA"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gridSpan w:val="4"/>
            <w:tcBorders>
              <w:top w:val="single" w:sz="12" w:space="0" w:color="auto"/>
            </w:tcBorders>
            <w:shd w:val="clear" w:color="auto" w:fill="auto"/>
            <w:vAlign w:val="bottom"/>
          </w:tcPr>
          <w:p w14:paraId="63AA3318" w14:textId="77777777" w:rsidR="00285DBA" w:rsidRPr="00777507" w:rsidRDefault="00285DBA"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vMerge/>
            <w:tcBorders>
              <w:top w:val="single" w:sz="12" w:space="0" w:color="auto"/>
            </w:tcBorders>
            <w:shd w:val="clear" w:color="auto" w:fill="auto"/>
            <w:vAlign w:val="bottom"/>
          </w:tcPr>
          <w:p w14:paraId="1377150F" w14:textId="77777777" w:rsidR="00285DBA" w:rsidRPr="00777507" w:rsidRDefault="00285DBA"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vMerge/>
            <w:tcBorders>
              <w:top w:val="single" w:sz="12" w:space="0" w:color="auto"/>
            </w:tcBorders>
            <w:shd w:val="clear" w:color="auto" w:fill="auto"/>
            <w:vAlign w:val="bottom"/>
          </w:tcPr>
          <w:p w14:paraId="5A6FA528" w14:textId="77777777" w:rsidR="00285DBA" w:rsidRPr="00777507" w:rsidRDefault="00285DBA"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vMerge/>
            <w:tcBorders>
              <w:top w:val="single" w:sz="12" w:space="0" w:color="auto"/>
            </w:tcBorders>
            <w:shd w:val="clear" w:color="auto" w:fill="auto"/>
            <w:vAlign w:val="bottom"/>
          </w:tcPr>
          <w:p w14:paraId="081FDF07" w14:textId="77777777" w:rsidR="00285DBA" w:rsidRPr="00777507" w:rsidRDefault="00285DBA"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r>
      <w:tr w:rsidR="00210112" w:rsidRPr="00210112" w14:paraId="1D5463A5"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4D355DE" w14:textId="77777777" w:rsidR="00B36B7E" w:rsidRPr="00777507" w:rsidRDefault="00B36B7E">
            <w:pPr>
              <w:spacing w:before="40" w:after="40" w:line="220" w:lineRule="exact"/>
              <w:rPr>
                <w:rFonts w:ascii="Times New Roman" w:hAnsi="Times New Roman"/>
                <w:b w:val="0"/>
                <w:color w:val="auto"/>
                <w:sz w:val="18"/>
                <w:lang w:eastAsia="en-US"/>
              </w:rPr>
            </w:pPr>
            <w:r w:rsidRPr="00210112">
              <w:rPr>
                <w:sz w:val="18"/>
                <w:lang w:eastAsia="en-US"/>
              </w:rPr>
              <w:t>F</w:t>
            </w:r>
          </w:p>
        </w:tc>
        <w:tc>
          <w:tcPr>
            <w:tcW w:w="0" w:type="dxa"/>
            <w:shd w:val="clear" w:color="auto" w:fill="auto"/>
          </w:tcPr>
          <w:p w14:paraId="7A91ED0D" w14:textId="77777777" w:rsidR="00B36B7E" w:rsidRPr="00777507" w:rsidRDefault="00B36B7E">
            <w:pPr>
              <w:spacing w:before="40" w:after="40" w:line="22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r w:rsidRPr="00210112">
              <w:rPr>
                <w:sz w:val="18"/>
                <w:lang w:eastAsia="en-US"/>
              </w:rPr>
              <w:t>M</w:t>
            </w:r>
          </w:p>
        </w:tc>
        <w:tc>
          <w:tcPr>
            <w:tcW w:w="0" w:type="dxa"/>
            <w:vMerge/>
            <w:shd w:val="clear" w:color="auto" w:fill="auto"/>
            <w:vAlign w:val="bottom"/>
          </w:tcPr>
          <w:p w14:paraId="4B400FE5"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vMerge/>
            <w:shd w:val="clear" w:color="auto" w:fill="auto"/>
            <w:vAlign w:val="bottom"/>
          </w:tcPr>
          <w:p w14:paraId="73AEADEA"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shd w:val="clear" w:color="auto" w:fill="auto"/>
            <w:vAlign w:val="bottom"/>
          </w:tcPr>
          <w:p w14:paraId="0F52CF2A"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r w:rsidRPr="00210112">
              <w:rPr>
                <w:sz w:val="18"/>
                <w:lang w:eastAsia="en-US"/>
              </w:rPr>
              <w:t>20-30</w:t>
            </w:r>
          </w:p>
        </w:tc>
        <w:tc>
          <w:tcPr>
            <w:tcW w:w="0" w:type="dxa"/>
            <w:shd w:val="clear" w:color="auto" w:fill="auto"/>
            <w:vAlign w:val="bottom"/>
          </w:tcPr>
          <w:p w14:paraId="76E23A1F"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r w:rsidRPr="00210112">
              <w:rPr>
                <w:sz w:val="18"/>
                <w:lang w:eastAsia="en-US"/>
              </w:rPr>
              <w:t>30-40</w:t>
            </w:r>
          </w:p>
        </w:tc>
        <w:tc>
          <w:tcPr>
            <w:tcW w:w="0" w:type="dxa"/>
            <w:shd w:val="clear" w:color="auto" w:fill="auto"/>
            <w:vAlign w:val="bottom"/>
          </w:tcPr>
          <w:p w14:paraId="5FDCBC7C"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r w:rsidRPr="00210112">
              <w:rPr>
                <w:sz w:val="18"/>
                <w:lang w:eastAsia="en-US"/>
              </w:rPr>
              <w:t>40-50</w:t>
            </w:r>
          </w:p>
        </w:tc>
        <w:tc>
          <w:tcPr>
            <w:tcW w:w="0" w:type="dxa"/>
            <w:shd w:val="clear" w:color="auto" w:fill="auto"/>
            <w:vAlign w:val="bottom"/>
          </w:tcPr>
          <w:p w14:paraId="3237B963"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r w:rsidRPr="00210112">
              <w:rPr>
                <w:sz w:val="18"/>
                <w:lang w:eastAsia="en-US"/>
              </w:rPr>
              <w:t>S/E</w:t>
            </w:r>
          </w:p>
        </w:tc>
        <w:tc>
          <w:tcPr>
            <w:tcW w:w="0" w:type="dxa"/>
            <w:vMerge/>
            <w:shd w:val="clear" w:color="auto" w:fill="auto"/>
            <w:vAlign w:val="bottom"/>
          </w:tcPr>
          <w:p w14:paraId="1ECFEABA"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vMerge/>
            <w:shd w:val="clear" w:color="auto" w:fill="auto"/>
            <w:vAlign w:val="bottom"/>
          </w:tcPr>
          <w:p w14:paraId="296C9A4B"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c>
          <w:tcPr>
            <w:tcW w:w="0" w:type="dxa"/>
            <w:vMerge/>
            <w:shd w:val="clear" w:color="auto" w:fill="auto"/>
            <w:vAlign w:val="bottom"/>
          </w:tcPr>
          <w:p w14:paraId="4667F5FA" w14:textId="77777777" w:rsidR="00B36B7E" w:rsidRPr="00777507" w:rsidRDefault="00B36B7E" w:rsidP="00777507">
            <w:pPr>
              <w:spacing w:before="40" w:after="40" w:line="22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lang w:eastAsia="en-US"/>
              </w:rPr>
            </w:pPr>
          </w:p>
        </w:tc>
      </w:tr>
      <w:tr w:rsidR="00210112" w:rsidRPr="00210112" w14:paraId="4E3D48AF"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tcBorders>
              <w:bottom w:val="single" w:sz="12" w:space="0" w:color="auto"/>
            </w:tcBorders>
            <w:shd w:val="clear" w:color="auto" w:fill="auto"/>
          </w:tcPr>
          <w:p w14:paraId="497F7307" w14:textId="77777777" w:rsidR="00B36B7E" w:rsidRPr="00777507" w:rsidRDefault="00B36B7E">
            <w:pPr>
              <w:spacing w:before="40" w:after="40" w:line="220" w:lineRule="exact"/>
              <w:rPr>
                <w:rFonts w:ascii="Times New Roman" w:hAnsi="Times New Roman"/>
                <w:b w:val="0"/>
                <w:sz w:val="18"/>
                <w:lang w:eastAsia="en-US"/>
              </w:rPr>
            </w:pPr>
            <w:r w:rsidRPr="00210112">
              <w:rPr>
                <w:sz w:val="18"/>
                <w:lang w:eastAsia="en-US"/>
              </w:rPr>
              <w:t>2</w:t>
            </w:r>
          </w:p>
        </w:tc>
        <w:tc>
          <w:tcPr>
            <w:tcW w:w="0" w:type="dxa"/>
            <w:tcBorders>
              <w:bottom w:val="single" w:sz="12" w:space="0" w:color="auto"/>
            </w:tcBorders>
            <w:shd w:val="clear" w:color="auto" w:fill="auto"/>
          </w:tcPr>
          <w:p w14:paraId="396CB553" w14:textId="77777777" w:rsidR="00B36B7E" w:rsidRPr="00210112" w:rsidRDefault="00B36B7E">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9</w:t>
            </w:r>
          </w:p>
        </w:tc>
        <w:tc>
          <w:tcPr>
            <w:tcW w:w="0" w:type="dxa"/>
            <w:tcBorders>
              <w:bottom w:val="single" w:sz="12" w:space="0" w:color="auto"/>
            </w:tcBorders>
            <w:shd w:val="clear" w:color="auto" w:fill="auto"/>
            <w:vAlign w:val="bottom"/>
          </w:tcPr>
          <w:p w14:paraId="1A750C91"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0</w:t>
            </w:r>
          </w:p>
        </w:tc>
        <w:tc>
          <w:tcPr>
            <w:tcW w:w="0" w:type="dxa"/>
            <w:tcBorders>
              <w:bottom w:val="single" w:sz="12" w:space="0" w:color="auto"/>
            </w:tcBorders>
            <w:shd w:val="clear" w:color="auto" w:fill="auto"/>
            <w:vAlign w:val="bottom"/>
          </w:tcPr>
          <w:p w14:paraId="176FE13B"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0</w:t>
            </w:r>
          </w:p>
        </w:tc>
        <w:tc>
          <w:tcPr>
            <w:tcW w:w="0" w:type="dxa"/>
            <w:tcBorders>
              <w:bottom w:val="single" w:sz="12" w:space="0" w:color="auto"/>
            </w:tcBorders>
            <w:shd w:val="clear" w:color="auto" w:fill="auto"/>
            <w:vAlign w:val="bottom"/>
          </w:tcPr>
          <w:p w14:paraId="3A206402"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4</w:t>
            </w:r>
          </w:p>
        </w:tc>
        <w:tc>
          <w:tcPr>
            <w:tcW w:w="0" w:type="dxa"/>
            <w:tcBorders>
              <w:bottom w:val="single" w:sz="12" w:space="0" w:color="auto"/>
            </w:tcBorders>
            <w:shd w:val="clear" w:color="auto" w:fill="auto"/>
            <w:vAlign w:val="bottom"/>
          </w:tcPr>
          <w:p w14:paraId="07A976D3"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2</w:t>
            </w:r>
          </w:p>
        </w:tc>
        <w:tc>
          <w:tcPr>
            <w:tcW w:w="0" w:type="dxa"/>
            <w:tcBorders>
              <w:bottom w:val="single" w:sz="12" w:space="0" w:color="auto"/>
            </w:tcBorders>
            <w:shd w:val="clear" w:color="auto" w:fill="auto"/>
            <w:vAlign w:val="bottom"/>
          </w:tcPr>
          <w:p w14:paraId="0B4024D1"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3</w:t>
            </w:r>
          </w:p>
        </w:tc>
        <w:tc>
          <w:tcPr>
            <w:tcW w:w="0" w:type="dxa"/>
            <w:tcBorders>
              <w:bottom w:val="single" w:sz="12" w:space="0" w:color="auto"/>
            </w:tcBorders>
            <w:shd w:val="clear" w:color="auto" w:fill="auto"/>
            <w:vAlign w:val="bottom"/>
          </w:tcPr>
          <w:p w14:paraId="36D12730"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2</w:t>
            </w:r>
          </w:p>
        </w:tc>
        <w:tc>
          <w:tcPr>
            <w:tcW w:w="0" w:type="dxa"/>
            <w:tcBorders>
              <w:bottom w:val="single" w:sz="12" w:space="0" w:color="auto"/>
            </w:tcBorders>
            <w:shd w:val="clear" w:color="auto" w:fill="auto"/>
            <w:vAlign w:val="bottom"/>
          </w:tcPr>
          <w:p w14:paraId="10D93E4C"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0</w:t>
            </w:r>
          </w:p>
        </w:tc>
        <w:tc>
          <w:tcPr>
            <w:tcW w:w="0" w:type="dxa"/>
            <w:tcBorders>
              <w:bottom w:val="single" w:sz="12" w:space="0" w:color="auto"/>
            </w:tcBorders>
            <w:shd w:val="clear" w:color="auto" w:fill="auto"/>
            <w:vAlign w:val="bottom"/>
          </w:tcPr>
          <w:p w14:paraId="7937A5A0"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11</w:t>
            </w:r>
          </w:p>
        </w:tc>
        <w:tc>
          <w:tcPr>
            <w:tcW w:w="0" w:type="dxa"/>
            <w:tcBorders>
              <w:bottom w:val="single" w:sz="12" w:space="0" w:color="auto"/>
            </w:tcBorders>
            <w:shd w:val="clear" w:color="auto" w:fill="auto"/>
            <w:vAlign w:val="bottom"/>
          </w:tcPr>
          <w:p w14:paraId="66D9D7EB" w14:textId="77777777" w:rsidR="00B36B7E" w:rsidRPr="00210112" w:rsidRDefault="00B36B7E"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US"/>
              </w:rPr>
            </w:pPr>
            <w:r w:rsidRPr="00210112">
              <w:rPr>
                <w:sz w:val="18"/>
                <w:lang w:eastAsia="en-US"/>
              </w:rPr>
              <w:t>0</w:t>
            </w:r>
          </w:p>
        </w:tc>
      </w:tr>
    </w:tbl>
    <w:p w14:paraId="201A3426" w14:textId="77777777" w:rsidR="00B36B7E" w:rsidRDefault="00B36B7E" w:rsidP="00777507">
      <w:pPr>
        <w:pStyle w:val="Textonotapie"/>
        <w:spacing w:before="120" w:after="240"/>
        <w:ind w:firstLine="170"/>
        <w:rPr>
          <w:lang w:eastAsia="en-US"/>
        </w:rPr>
      </w:pPr>
      <w:r w:rsidRPr="00777507">
        <w:rPr>
          <w:i/>
          <w:lang w:eastAsia="en-US"/>
        </w:rPr>
        <w:t>Fuente:</w:t>
      </w:r>
      <w:r w:rsidRPr="00B36B7E">
        <w:rPr>
          <w:lang w:eastAsia="en-US"/>
        </w:rPr>
        <w:t xml:space="preserve"> SEPRET</w:t>
      </w:r>
      <w:r w:rsidR="00311AB2">
        <w:rPr>
          <w:lang w:eastAsia="en-US"/>
        </w:rPr>
        <w:t>.</w:t>
      </w:r>
    </w:p>
    <w:p w14:paraId="284F4FBA" w14:textId="77777777" w:rsidR="00B36B7E" w:rsidRDefault="00D554B8" w:rsidP="00D554B8">
      <w:pPr>
        <w:pStyle w:val="H4G"/>
        <w:rPr>
          <w:rFonts w:eastAsia="SimSun"/>
        </w:rPr>
      </w:pPr>
      <w:r>
        <w:rPr>
          <w:rFonts w:eastAsia="SimSun"/>
        </w:rPr>
        <w:tab/>
      </w:r>
      <w:r>
        <w:rPr>
          <w:rFonts w:eastAsia="SimSun"/>
        </w:rPr>
        <w:tab/>
      </w:r>
      <w:r w:rsidR="00B36B7E" w:rsidRPr="00B36B7E">
        <w:rPr>
          <w:rFonts w:eastAsia="SimSun"/>
        </w:rPr>
        <w:t xml:space="preserve">Mecanismo de queja específico </w:t>
      </w:r>
    </w:p>
    <w:p w14:paraId="05B255B6" w14:textId="77777777" w:rsidR="00B36B7E" w:rsidRDefault="00235247" w:rsidP="00777507">
      <w:pPr>
        <w:pStyle w:val="SingleTxtG"/>
        <w:spacing w:before="120"/>
        <w:rPr>
          <w:rFonts w:eastAsia="SimSun"/>
          <w:lang w:val="es-BO" w:eastAsia="es-BO"/>
        </w:rPr>
      </w:pPr>
      <w:r>
        <w:rPr>
          <w:rFonts w:eastAsia="SimSun"/>
          <w:lang w:val="es-BO" w:eastAsia="es-BO"/>
        </w:rPr>
        <w:t>103.</w:t>
      </w:r>
      <w:r>
        <w:rPr>
          <w:rFonts w:eastAsia="SimSun"/>
          <w:lang w:val="es-BO" w:eastAsia="es-BO"/>
        </w:rPr>
        <w:tab/>
      </w:r>
      <w:r w:rsidR="00B36B7E" w:rsidRPr="00B36B7E">
        <w:rPr>
          <w:rFonts w:eastAsia="SimSun"/>
          <w:lang w:val="es-BO" w:eastAsia="es-BO"/>
        </w:rPr>
        <w:t xml:space="preserve">Como se mencionó en el párrafo 80 del Tercer Informe, en el marco de los artículos 9.f y 13.c </w:t>
      </w:r>
      <w:r w:rsidR="00B36B7E" w:rsidRPr="00660E27">
        <w:rPr>
          <w:lang w:eastAsia="en-US"/>
        </w:rPr>
        <w:t>del</w:t>
      </w:r>
      <w:r w:rsidR="00B36B7E" w:rsidRPr="00B36B7E">
        <w:rPr>
          <w:rFonts w:eastAsia="SimSun"/>
          <w:lang w:val="es-BO" w:eastAsia="es-BO"/>
        </w:rPr>
        <w:t xml:space="preserve"> Decreto Supremo 2082</w:t>
      </w:r>
      <w:r w:rsidR="00B36B7E" w:rsidRPr="00777507">
        <w:rPr>
          <w:rFonts w:eastAsia="SimSun"/>
          <w:sz w:val="18"/>
          <w:szCs w:val="18"/>
          <w:vertAlign w:val="superscript"/>
          <w:lang w:val="es-BO" w:eastAsia="es-BO"/>
        </w:rPr>
        <w:footnoteReference w:id="34"/>
      </w:r>
      <w:r w:rsidR="00B36B7E" w:rsidRPr="00B36B7E">
        <w:rPr>
          <w:rFonts w:eastAsia="SimSun"/>
          <w:lang w:val="es-BO" w:eastAsia="es-BO"/>
        </w:rPr>
        <w:t>, el SEPRET, recibe quejas y denuncias de tortura y otros tratos o penas crueles, inhumanos o degradantes; teniendo la atribución de constituirse de oficio en parte querellante en las denuncias relativas a tortura; y, realizar seguimiento a las investigaciones y procesos por tortura.</w:t>
      </w:r>
    </w:p>
    <w:p w14:paraId="258ED101" w14:textId="77777777" w:rsidR="00B36B7E" w:rsidRDefault="00235247" w:rsidP="00777507">
      <w:pPr>
        <w:pStyle w:val="SingleTxtG"/>
        <w:spacing w:before="120"/>
        <w:rPr>
          <w:rFonts w:eastAsia="SimSun"/>
          <w:lang w:val="es-BO" w:eastAsia="es-BO"/>
        </w:rPr>
      </w:pPr>
      <w:r>
        <w:rPr>
          <w:rFonts w:eastAsia="SimSun"/>
          <w:lang w:val="es-BO" w:eastAsia="es-BO"/>
        </w:rPr>
        <w:t>104.</w:t>
      </w:r>
      <w:r>
        <w:rPr>
          <w:rFonts w:eastAsia="SimSun"/>
          <w:lang w:val="es-BO" w:eastAsia="es-BO"/>
        </w:rPr>
        <w:tab/>
      </w:r>
      <w:r w:rsidR="00B36B7E" w:rsidRPr="00B36B7E">
        <w:rPr>
          <w:rFonts w:eastAsia="SimSun"/>
        </w:rPr>
        <w:t xml:space="preserve">En ese entendido, el SEPRET desde su creación ha recibido denuncias de posibles casos de </w:t>
      </w:r>
      <w:r w:rsidR="00B36B7E" w:rsidRPr="00660E27">
        <w:rPr>
          <w:lang w:eastAsia="en-US"/>
        </w:rPr>
        <w:t>tortura</w:t>
      </w:r>
      <w:r w:rsidR="00B36B7E" w:rsidRPr="00B36B7E">
        <w:rPr>
          <w:rFonts w:eastAsia="SimSun"/>
        </w:rPr>
        <w:t xml:space="preserve"> vía whatsapp, vía SMS, publicaciones de prensa digital, entrevistas a </w:t>
      </w:r>
      <w:r w:rsidR="00B36B7E" w:rsidRPr="00B36B7E">
        <w:rPr>
          <w:rFonts w:eastAsia="SimSun"/>
        </w:rPr>
        <w:lastRenderedPageBreak/>
        <w:t>víctimas de tortura en visitas no planificadas, aplicando la confidencialidad de acuerdo al Protocolo Facultativo.</w:t>
      </w:r>
    </w:p>
    <w:p w14:paraId="72F4DB71" w14:textId="77777777" w:rsidR="00B36B7E" w:rsidRDefault="00235247" w:rsidP="00777507">
      <w:pPr>
        <w:pStyle w:val="SingleTxtG"/>
        <w:spacing w:before="120"/>
        <w:rPr>
          <w:rFonts w:eastAsia="SimSun"/>
        </w:rPr>
      </w:pPr>
      <w:r>
        <w:rPr>
          <w:rFonts w:eastAsia="SimSun"/>
        </w:rPr>
        <w:t>105.</w:t>
      </w:r>
      <w:r>
        <w:rPr>
          <w:rFonts w:eastAsia="SimSun"/>
        </w:rPr>
        <w:tab/>
      </w:r>
      <w:r w:rsidR="00B36B7E" w:rsidRPr="00B36B7E">
        <w:rPr>
          <w:rFonts w:eastAsia="SimSun"/>
        </w:rPr>
        <w:t>Asimismo, tratándose la tortura de un delito tipificado en el CP, tramitado conforme el CPP, y la Ley Orgánica del Ministerio Público (LOMP)</w:t>
      </w:r>
      <w:r w:rsidR="00B36B7E" w:rsidRPr="00777507">
        <w:rPr>
          <w:rFonts w:eastAsia="SimSun"/>
          <w:sz w:val="18"/>
          <w:szCs w:val="18"/>
          <w:vertAlign w:val="superscript"/>
        </w:rPr>
        <w:footnoteReference w:id="35"/>
      </w:r>
      <w:r w:rsidR="00B36B7E" w:rsidRPr="00B36B7E">
        <w:rPr>
          <w:rFonts w:eastAsia="SimSun"/>
        </w:rPr>
        <w:t xml:space="preserve">, es aplicable el procedimiento común u </w:t>
      </w:r>
      <w:r w:rsidR="00B36B7E" w:rsidRPr="00660E27">
        <w:rPr>
          <w:lang w:eastAsia="en-US"/>
        </w:rPr>
        <w:t>ordinario</w:t>
      </w:r>
      <w:r w:rsidR="00B36B7E" w:rsidRPr="00B36B7E">
        <w:rPr>
          <w:rFonts w:eastAsia="SimSun"/>
        </w:rPr>
        <w:t xml:space="preserve"> a los delitos de acción pública, en los que la víctima presenta su denuncia y la titularidad de la acción penal es del Ministerio Público, que puede disponer el inicio de las investigaciones, la imputación formal o la acusación, actuando el órgano jurisdiccional (Jueces de Instrucción, de Sentencia, Tribunales de Sentencia, Departamentales, etc.), como contralor de garantías, celebrando audiencias y actuaciones establecidas por ley, el juicio oral, dictando sentencia, resolviendo recursos e incidentes, etc.</w:t>
      </w:r>
    </w:p>
    <w:p w14:paraId="36937437" w14:textId="77777777" w:rsidR="00B36B7E" w:rsidRDefault="00235247" w:rsidP="00777507">
      <w:pPr>
        <w:pStyle w:val="SingleTxtG"/>
        <w:spacing w:before="120"/>
        <w:rPr>
          <w:rFonts w:eastAsia="SimSun"/>
        </w:rPr>
      </w:pPr>
      <w:r>
        <w:rPr>
          <w:rFonts w:eastAsia="SimSun"/>
        </w:rPr>
        <w:t>106.</w:t>
      </w:r>
      <w:r>
        <w:rPr>
          <w:rFonts w:eastAsia="SimSun"/>
        </w:rPr>
        <w:tab/>
      </w:r>
      <w:r w:rsidR="00B36B7E" w:rsidRPr="00B36B7E">
        <w:rPr>
          <w:rFonts w:eastAsia="SimSun"/>
        </w:rPr>
        <w:t>Respecto a otros mecanismos que disponen PPL, mediante Instructivo 027/2018 de 31 de julio, el SEPDEP dispuso que se realicen visitas a Centros Penitenciarios de todos los Defensores Públicos y Directores Departamentales los días sábados de 08:30 a 12:30, incrementando la prestación del Servicio a los Centros Penitenciarios a nivel nacional, esto para garantizar un mejor acceso a la justicia y con el objetivo de registrar todas las consultas, quejas, dudas y denuncias, además de brindar el asesoramiento técnico penal y las actuaciones realizadas en los casos de los usuarios del SEPDEP.</w:t>
      </w:r>
    </w:p>
    <w:p w14:paraId="51DE26B0" w14:textId="77777777" w:rsidR="00B36B7E" w:rsidRDefault="00235247" w:rsidP="00777507">
      <w:pPr>
        <w:pStyle w:val="SingleTxtG"/>
        <w:spacing w:before="120"/>
        <w:rPr>
          <w:rFonts w:eastAsia="SimSun"/>
        </w:rPr>
      </w:pPr>
      <w:r>
        <w:rPr>
          <w:rFonts w:eastAsia="SimSun"/>
        </w:rPr>
        <w:t>107.</w:t>
      </w:r>
      <w:r>
        <w:rPr>
          <w:rFonts w:eastAsia="SimSun"/>
        </w:rPr>
        <w:tab/>
      </w:r>
      <w:r w:rsidR="00B36B7E" w:rsidRPr="00B36B7E">
        <w:rPr>
          <w:rFonts w:eastAsia="SimSun"/>
        </w:rPr>
        <w:t xml:space="preserve">Asimismo, en caso de evidenciarse hechos de tortura o tratos inhumanos, se debe cumplir el </w:t>
      </w:r>
      <w:r w:rsidR="00B36B7E" w:rsidRPr="00660E27">
        <w:rPr>
          <w:lang w:eastAsia="en-US"/>
        </w:rPr>
        <w:t>Protocolo</w:t>
      </w:r>
      <w:r w:rsidR="00B36B7E" w:rsidRPr="00B36B7E">
        <w:rPr>
          <w:rFonts w:eastAsia="SimSun"/>
        </w:rPr>
        <w:t xml:space="preserve"> de Actuación del Defensor Público, en el cual se informa al SEPRET. De igual manera, en caso de evidenciar que el aprehendido y/o arrestado presente lesiones físicas, se solicita de forma verbal y/o escrita al fiscal de turno a que emita el requerimiento fiscal del Instituto de Investigaciones Forenses a fin de que el sindicado sea valorado físicamente.</w:t>
      </w:r>
    </w:p>
    <w:p w14:paraId="527F1D6E" w14:textId="77777777" w:rsidR="00B36B7E" w:rsidRPr="00B36B7E" w:rsidRDefault="00D554B8" w:rsidP="00D554B8">
      <w:pPr>
        <w:pStyle w:val="H23G"/>
        <w:rPr>
          <w:lang w:eastAsia="en-US"/>
        </w:rPr>
      </w:pPr>
      <w:r>
        <w:rPr>
          <w:lang w:eastAsia="en-US"/>
        </w:rPr>
        <w:tab/>
      </w:r>
      <w:r>
        <w:rPr>
          <w:lang w:eastAsia="en-US"/>
        </w:rPr>
        <w:tab/>
      </w:r>
      <w:r w:rsidR="00B36B7E" w:rsidRPr="00B36B7E">
        <w:rPr>
          <w:lang w:eastAsia="en-US"/>
        </w:rPr>
        <w:t>Repuesta al párrafo 24</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7198E996" w14:textId="77777777" w:rsidR="00B36B7E" w:rsidRDefault="00D554B8" w:rsidP="00D554B8">
      <w:pPr>
        <w:pStyle w:val="H4G"/>
        <w:rPr>
          <w:rFonts w:eastAsia="SimSun"/>
        </w:rPr>
      </w:pPr>
      <w:r>
        <w:rPr>
          <w:rFonts w:eastAsia="SimSun"/>
        </w:rPr>
        <w:tab/>
      </w:r>
      <w:r>
        <w:rPr>
          <w:rFonts w:eastAsia="SimSun"/>
        </w:rPr>
        <w:tab/>
      </w:r>
      <w:r w:rsidR="00B36B7E" w:rsidRPr="00B36B7E">
        <w:rPr>
          <w:rFonts w:eastAsia="SimSun"/>
        </w:rPr>
        <w:t>Protección a testigos</w:t>
      </w:r>
    </w:p>
    <w:p w14:paraId="12461D86" w14:textId="77777777" w:rsidR="00B36B7E" w:rsidRDefault="00235247" w:rsidP="00777507">
      <w:pPr>
        <w:pStyle w:val="SingleTxtG"/>
        <w:spacing w:before="120"/>
        <w:rPr>
          <w:lang w:eastAsia="en-US"/>
        </w:rPr>
      </w:pPr>
      <w:r>
        <w:rPr>
          <w:lang w:eastAsia="en-US"/>
        </w:rPr>
        <w:t>108.</w:t>
      </w:r>
      <w:r>
        <w:rPr>
          <w:lang w:eastAsia="en-US"/>
        </w:rPr>
        <w:tab/>
      </w:r>
      <w:r w:rsidR="00B36B7E" w:rsidRPr="00B36B7E">
        <w:rPr>
          <w:lang w:eastAsia="en-US"/>
        </w:rPr>
        <w:t>Conforme se mencionó en el Tercer Informe Periódico, la Dirección de Protección a Víctimas, Testigos y Miembros del Ministerio Público</w:t>
      </w:r>
      <w:r w:rsidR="00B36B7E" w:rsidRPr="00777507">
        <w:rPr>
          <w:sz w:val="18"/>
          <w:szCs w:val="18"/>
          <w:vertAlign w:val="superscript"/>
          <w:lang w:eastAsia="en-US"/>
        </w:rPr>
        <w:footnoteReference w:id="36"/>
      </w:r>
      <w:r w:rsidR="00B36B7E" w:rsidRPr="00B36B7E">
        <w:rPr>
          <w:lang w:eastAsia="en-US"/>
        </w:rPr>
        <w:t>, tiene el objetivo de promover la protección y asistencia a las víctimas de delitos, testigos, personas que colaboran con la persecución penal y servidoras o servidores del Ministerio Público; cuyas actuaciones se rigen en las disposiciones emanadas de la LOMP</w:t>
      </w:r>
      <w:r w:rsidR="00B36B7E" w:rsidRPr="00777507">
        <w:rPr>
          <w:sz w:val="18"/>
          <w:szCs w:val="18"/>
          <w:vertAlign w:val="superscript"/>
          <w:lang w:eastAsia="en-US"/>
        </w:rPr>
        <w:footnoteReference w:id="37"/>
      </w:r>
      <w:r w:rsidR="00B36B7E" w:rsidRPr="00B36B7E">
        <w:rPr>
          <w:lang w:eastAsia="en-US"/>
        </w:rPr>
        <w:t xml:space="preserve"> y la Ley de Protección de Denunciantes y Testigos (Ley 458)</w:t>
      </w:r>
      <w:r w:rsidR="00B36B7E" w:rsidRPr="00777507">
        <w:rPr>
          <w:sz w:val="18"/>
          <w:szCs w:val="18"/>
          <w:vertAlign w:val="superscript"/>
          <w:lang w:eastAsia="en-US"/>
        </w:rPr>
        <w:footnoteReference w:id="38"/>
      </w:r>
      <w:r w:rsidR="00B36B7E" w:rsidRPr="00B36B7E">
        <w:rPr>
          <w:lang w:val="es-BO" w:eastAsia="en-US"/>
        </w:rPr>
        <w:t>.</w:t>
      </w:r>
    </w:p>
    <w:p w14:paraId="26E7653D" w14:textId="77777777" w:rsidR="00B36B7E" w:rsidRDefault="00235247" w:rsidP="00777507">
      <w:pPr>
        <w:pStyle w:val="SingleTxtG"/>
        <w:spacing w:before="120"/>
        <w:rPr>
          <w:lang w:eastAsia="en-US"/>
        </w:rPr>
      </w:pPr>
      <w:r>
        <w:rPr>
          <w:lang w:eastAsia="en-US"/>
        </w:rPr>
        <w:t>109.</w:t>
      </w:r>
      <w:r>
        <w:rPr>
          <w:lang w:eastAsia="en-US"/>
        </w:rPr>
        <w:tab/>
      </w:r>
      <w:r w:rsidR="00B36B7E" w:rsidRPr="00B36B7E">
        <w:rPr>
          <w:lang w:eastAsia="en-US"/>
        </w:rPr>
        <w:t>Esta Dirección tiene a su cargo a las Unidades de Protección a Víctimas y Testigos (UPAVT), ubicadas en las Fiscalías Departamentales de Beni, Chuquisaca, Cochabamba, Oruro, Pando, Potosí, Santa Cruz, Tarija y La Paz incluyendo El Alto. Estas Unidades cuentan con un equipo interdisciplinario conformado por profesionales en las áreas de Trabajo Social y Psicología, quienes son los encargados de brindar asistencia y protección a víctimas, testigos, denunciantes y miembros del Ministerio Público, que coadyuven con la de persecución penal.</w:t>
      </w:r>
    </w:p>
    <w:p w14:paraId="16239A8C" w14:textId="77777777" w:rsidR="00B36B7E" w:rsidRDefault="00235247" w:rsidP="00777507">
      <w:pPr>
        <w:pStyle w:val="SingleTxtG"/>
        <w:spacing w:before="120"/>
        <w:rPr>
          <w:lang w:eastAsia="en-US"/>
        </w:rPr>
      </w:pPr>
      <w:r>
        <w:rPr>
          <w:lang w:eastAsia="en-US"/>
        </w:rPr>
        <w:t>110.</w:t>
      </w:r>
      <w:r>
        <w:rPr>
          <w:lang w:eastAsia="en-US"/>
        </w:rPr>
        <w:tab/>
      </w:r>
      <w:r w:rsidR="00B36B7E" w:rsidRPr="00660E27">
        <w:rPr>
          <w:lang w:eastAsia="en-US"/>
        </w:rPr>
        <w:t>Ahora</w:t>
      </w:r>
      <w:r w:rsidR="00B36B7E" w:rsidRPr="00B36B7E">
        <w:rPr>
          <w:lang w:val="es-BO" w:eastAsia="en-US"/>
        </w:rPr>
        <w:t xml:space="preserve"> bien, el Programa de protección a víctimas, testigos, denunciantes y miembros del Ministerio Público, se constituye en un conjunto de instrucciones precisas que establecen el procedimiento o forma de actuar de las personas responsables o a cargo de realizar la solicitud, valoración, otorgamiento, seguimiento y evaluación de medidas de protección.</w:t>
      </w:r>
    </w:p>
    <w:p w14:paraId="6EECA7FA" w14:textId="77777777" w:rsidR="00B36B7E" w:rsidRPr="00B36B7E" w:rsidRDefault="00235247" w:rsidP="00777507">
      <w:pPr>
        <w:pStyle w:val="SingleTxtG"/>
        <w:spacing w:before="120"/>
        <w:rPr>
          <w:lang w:eastAsia="en-US"/>
        </w:rPr>
      </w:pPr>
      <w:r w:rsidRPr="00B36B7E">
        <w:rPr>
          <w:lang w:eastAsia="en-US"/>
        </w:rPr>
        <w:t>111.</w:t>
      </w:r>
      <w:r w:rsidRPr="00B36B7E">
        <w:rPr>
          <w:lang w:eastAsia="en-US"/>
        </w:rPr>
        <w:tab/>
      </w:r>
      <w:r w:rsidR="00B36B7E" w:rsidRPr="00B36B7E">
        <w:rPr>
          <w:bCs/>
          <w:lang w:val="es-BO" w:eastAsia="en-US"/>
        </w:rPr>
        <w:t>El objetivo general del programa es</w:t>
      </w:r>
      <w:r w:rsidR="00B36B7E" w:rsidRPr="00B36B7E">
        <w:rPr>
          <w:b/>
          <w:bCs/>
          <w:lang w:val="es-BO" w:eastAsia="en-US"/>
        </w:rPr>
        <w:t xml:space="preserve"> </w:t>
      </w:r>
      <w:r w:rsidR="00B36B7E" w:rsidRPr="00B36B7E">
        <w:rPr>
          <w:lang w:val="es-BO" w:eastAsia="en-US"/>
        </w:rPr>
        <w:t xml:space="preserve">promover la protección y asistencia a víctimas, testigos, </w:t>
      </w:r>
      <w:r w:rsidR="00B36B7E" w:rsidRPr="00660E27">
        <w:rPr>
          <w:lang w:eastAsia="en-US"/>
        </w:rPr>
        <w:t>denunciantes</w:t>
      </w:r>
      <w:r w:rsidR="00B36B7E" w:rsidRPr="00B36B7E">
        <w:rPr>
          <w:lang w:val="es-BO" w:eastAsia="en-US"/>
        </w:rPr>
        <w:t xml:space="preserve"> y miembros del Ministerio Público, que realizaron, realicen o se dispongan a realizar una actividad protegida respecto a los delitos de crimen organizado, terrorismo, corrupción y narcotráfico, en contra de niñas, niños y adolescentes, violencia contra la mujer, trata y tráfico de personas y/o violación de derechos fundamentales.</w:t>
      </w:r>
    </w:p>
    <w:p w14:paraId="07F507BA" w14:textId="77777777" w:rsidR="00B36B7E" w:rsidRDefault="00235247" w:rsidP="00777507">
      <w:pPr>
        <w:pStyle w:val="SingleTxtG"/>
        <w:spacing w:before="120"/>
        <w:rPr>
          <w:lang w:eastAsia="en-US"/>
        </w:rPr>
      </w:pPr>
      <w:r>
        <w:rPr>
          <w:lang w:eastAsia="en-US"/>
        </w:rPr>
        <w:lastRenderedPageBreak/>
        <w:t>112.</w:t>
      </w:r>
      <w:r>
        <w:rPr>
          <w:lang w:eastAsia="en-US"/>
        </w:rPr>
        <w:tab/>
      </w:r>
      <w:r w:rsidR="00B36B7E" w:rsidRPr="00B36B7E">
        <w:rPr>
          <w:lang w:val="es-ES_tradnl" w:eastAsia="en-US"/>
        </w:rPr>
        <w:t>Las medidas de protección son todos aquellos mecanismos que tienen como finalidad otorgar un resguardo a determinada persona o grupo de personas</w:t>
      </w:r>
      <w:r w:rsidR="00B36B7E" w:rsidRPr="00B36B7E">
        <w:rPr>
          <w:lang w:eastAsia="en-US"/>
        </w:rPr>
        <w:t xml:space="preserve"> </w:t>
      </w:r>
      <w:r w:rsidR="00B36B7E" w:rsidRPr="00B36B7E">
        <w:rPr>
          <w:lang w:val="es-ES_tradnl" w:eastAsia="en-US"/>
        </w:rPr>
        <w:t xml:space="preserve">que, por su situación, función o </w:t>
      </w:r>
      <w:r w:rsidR="00B36B7E" w:rsidRPr="00660E27">
        <w:rPr>
          <w:lang w:eastAsia="en-US"/>
        </w:rPr>
        <w:t>calidad</w:t>
      </w:r>
      <w:r w:rsidR="00B36B7E" w:rsidRPr="00B36B7E">
        <w:rPr>
          <w:lang w:val="es-ES_tradnl" w:eastAsia="en-US"/>
        </w:rPr>
        <w:t xml:space="preserve"> de víctimas, testigos, denunciantes o miembros del Ministerio Público, consideran que su integridad y seguridad o la de su entorno familiar cercano se encuentran en situación de peligro, por la actividad que realizaron, realizan o vayan a realizar dentro de un proceso penal.</w:t>
      </w:r>
    </w:p>
    <w:p w14:paraId="5E361F3E" w14:textId="77777777" w:rsidR="00B36B7E" w:rsidRDefault="00235247" w:rsidP="00777507">
      <w:pPr>
        <w:pStyle w:val="SingleTxtG"/>
        <w:spacing w:before="120"/>
        <w:rPr>
          <w:lang w:eastAsia="en-US"/>
        </w:rPr>
      </w:pPr>
      <w:r>
        <w:rPr>
          <w:lang w:eastAsia="en-US"/>
        </w:rPr>
        <w:t>113.</w:t>
      </w:r>
      <w:r>
        <w:rPr>
          <w:lang w:eastAsia="en-US"/>
        </w:rPr>
        <w:tab/>
      </w:r>
      <w:r w:rsidR="00B36B7E" w:rsidRPr="00B36B7E">
        <w:rPr>
          <w:lang w:eastAsia="en-US"/>
        </w:rPr>
        <w:t>De conformidad con el artículo 17 de la Ley 458, toda persona que sea víctima o testigo o denunciante y requiera medidas de protección puede acudir al:</w:t>
      </w:r>
    </w:p>
    <w:p w14:paraId="5D5981F6"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lang w:val="es-BO"/>
        </w:rPr>
        <w:t>Ministerio de Gobierno; cuando la solicitud de medidas de protección se reali</w:t>
      </w:r>
      <w:r w:rsidR="00D554B8">
        <w:rPr>
          <w:lang w:val="es-BO"/>
        </w:rPr>
        <w:t>ce fuera de un proceso judicial</w:t>
      </w:r>
      <w:r w:rsidR="00210112">
        <w:rPr>
          <w:lang w:val="es-BO"/>
        </w:rPr>
        <w:t>.</w:t>
      </w:r>
    </w:p>
    <w:p w14:paraId="4DDB9E8C"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lang w:val="es-BO"/>
        </w:rPr>
        <w:t>Ministerio Público; cuando la solicitud de medidas de protección la realice por el Fiscal competente, dentro de un proceso penal o cuando la solicitud es efectuada por cualquier persona que haya realizado o se disponga a r</w:t>
      </w:r>
      <w:r w:rsidR="00D554B8">
        <w:rPr>
          <w:lang w:val="es-BO"/>
        </w:rPr>
        <w:t>ealizar una actividad protegida</w:t>
      </w:r>
      <w:r w:rsidR="00210112">
        <w:rPr>
          <w:lang w:val="es-BO"/>
        </w:rPr>
        <w:t>.</w:t>
      </w:r>
    </w:p>
    <w:p w14:paraId="7D5E3513"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lang w:val="es-BO"/>
        </w:rPr>
        <w:t>Ministerio de Trabajo Empleo y Previsión Social; cuando la solicitud de medidas de protección requiera la p</w:t>
      </w:r>
      <w:r w:rsidR="00D554B8">
        <w:rPr>
          <w:lang w:val="es-BO"/>
        </w:rPr>
        <w:t>rotección de derechos laborales</w:t>
      </w:r>
      <w:r w:rsidR="00210112">
        <w:rPr>
          <w:lang w:val="es-BO"/>
        </w:rPr>
        <w:t>.</w:t>
      </w:r>
    </w:p>
    <w:p w14:paraId="22272067" w14:textId="77777777" w:rsidR="00B36B7E" w:rsidRDefault="00235247" w:rsidP="00777507">
      <w:pPr>
        <w:pStyle w:val="Bullet1G"/>
        <w:numPr>
          <w:ilvl w:val="0"/>
          <w:numId w:val="0"/>
        </w:numPr>
        <w:tabs>
          <w:tab w:val="left" w:pos="1701"/>
        </w:tabs>
        <w:ind w:left="1701" w:hanging="170"/>
      </w:pPr>
      <w:r>
        <w:t>•</w:t>
      </w:r>
      <w:r>
        <w:tab/>
      </w:r>
      <w:r w:rsidR="00B36B7E" w:rsidRPr="00B36B7E">
        <w:rPr>
          <w:lang w:val="es-BO"/>
        </w:rPr>
        <w:t>Ministerio de Justicia y Transparencia Institucional; cuando la solicitud de medidas de protección haga referencia a delitos de corrupción.</w:t>
      </w:r>
    </w:p>
    <w:p w14:paraId="5212C4B1" w14:textId="77777777" w:rsidR="00B36B7E" w:rsidRDefault="00D554B8" w:rsidP="00D554B8">
      <w:pPr>
        <w:pStyle w:val="H23G"/>
        <w:rPr>
          <w:lang w:eastAsia="en-US"/>
        </w:rPr>
      </w:pPr>
      <w:r>
        <w:rPr>
          <w:lang w:eastAsia="en-US"/>
        </w:rPr>
        <w:tab/>
      </w:r>
      <w:r>
        <w:rPr>
          <w:lang w:eastAsia="en-US"/>
        </w:rPr>
        <w:tab/>
      </w:r>
      <w:r w:rsidR="00B36B7E" w:rsidRPr="00B36B7E">
        <w:rPr>
          <w:lang w:eastAsia="en-US"/>
        </w:rPr>
        <w:t>Repuesta al párrafo 25</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351099C3" w14:textId="77777777" w:rsidR="00B36B7E" w:rsidRDefault="00235247" w:rsidP="00777507">
      <w:pPr>
        <w:pStyle w:val="SingleTxtG"/>
        <w:spacing w:before="120"/>
        <w:rPr>
          <w:lang w:val="es-BO" w:eastAsia="en-US"/>
        </w:rPr>
      </w:pPr>
      <w:r>
        <w:rPr>
          <w:lang w:val="es-BO" w:eastAsia="en-US"/>
        </w:rPr>
        <w:t>114.</w:t>
      </w:r>
      <w:r>
        <w:rPr>
          <w:lang w:val="es-BO" w:eastAsia="en-US"/>
        </w:rPr>
        <w:tab/>
      </w:r>
      <w:r w:rsidR="00B36B7E" w:rsidRPr="00B36B7E">
        <w:rPr>
          <w:lang w:val="es-BO" w:eastAsia="en-US"/>
        </w:rPr>
        <w:t>La Ley Orgánica de las Fuerzas Armadas (Ley 1405)</w:t>
      </w:r>
      <w:r w:rsidR="00B36B7E" w:rsidRPr="00777507">
        <w:rPr>
          <w:sz w:val="18"/>
          <w:szCs w:val="18"/>
          <w:vertAlign w:val="superscript"/>
          <w:lang w:val="es-BO" w:eastAsia="en-US"/>
        </w:rPr>
        <w:footnoteReference w:id="39"/>
      </w:r>
      <w:r w:rsidR="00B36B7E" w:rsidRPr="00B36B7E">
        <w:rPr>
          <w:lang w:val="es-BO" w:eastAsia="en-US"/>
        </w:rPr>
        <w:t xml:space="preserve"> se encuentra en proceso de adecuación a </w:t>
      </w:r>
      <w:r w:rsidR="00B36B7E" w:rsidRPr="00660E27">
        <w:rPr>
          <w:lang w:eastAsia="en-US"/>
        </w:rPr>
        <w:t>la</w:t>
      </w:r>
      <w:r w:rsidR="00B36B7E" w:rsidRPr="00B36B7E">
        <w:rPr>
          <w:lang w:val="es-BO" w:eastAsia="en-US"/>
        </w:rPr>
        <w:t xml:space="preserve"> Constitución; habiéndose realizado seminarios y tallares con la participación de las Fuerzas Armadas (FFAA) y el Ministerio de Defensa, para la elaboración, difusión y evaluación de un anteproyecto de ley para su posterior presentación a la Asamblea Legislativa Plurinacional.</w:t>
      </w:r>
    </w:p>
    <w:p w14:paraId="58E7910D" w14:textId="77777777" w:rsidR="00B36B7E" w:rsidRDefault="00235247" w:rsidP="00777507">
      <w:pPr>
        <w:pStyle w:val="SingleTxtG"/>
        <w:spacing w:before="120"/>
        <w:rPr>
          <w:rFonts w:eastAsia="SimSun"/>
        </w:rPr>
      </w:pPr>
      <w:r>
        <w:rPr>
          <w:rFonts w:eastAsia="SimSun"/>
        </w:rPr>
        <w:t>115.</w:t>
      </w:r>
      <w:r>
        <w:rPr>
          <w:rFonts w:eastAsia="SimSun"/>
        </w:rPr>
        <w:tab/>
      </w:r>
      <w:r w:rsidR="00B36B7E" w:rsidRPr="00B36B7E">
        <w:rPr>
          <w:rFonts w:eastAsia="SimSun"/>
        </w:rPr>
        <w:t>Por otro lado, conforme la CPE</w:t>
      </w:r>
      <w:r w:rsidR="00B36B7E" w:rsidRPr="00777507">
        <w:rPr>
          <w:rFonts w:eastAsia="SimSun"/>
          <w:sz w:val="18"/>
          <w:szCs w:val="18"/>
          <w:vertAlign w:val="superscript"/>
        </w:rPr>
        <w:footnoteReference w:id="40"/>
      </w:r>
      <w:r w:rsidR="00D554B8">
        <w:rPr>
          <w:rFonts w:eastAsia="SimSun"/>
        </w:rPr>
        <w:t>,</w:t>
      </w:r>
      <w:r w:rsidR="00B36B7E" w:rsidRPr="00B36B7E">
        <w:rPr>
          <w:rFonts w:eastAsia="SimSun"/>
        </w:rPr>
        <w:t xml:space="preserve"> la Ley 1405, la Ley de Organización Judicial Militar, los Códigos Penal Militar, y de Procedimiento Penal Militar, las autoridades judiciales militares y </w:t>
      </w:r>
      <w:r w:rsidR="00B36B7E" w:rsidRPr="00660E27">
        <w:rPr>
          <w:lang w:eastAsia="en-US"/>
        </w:rPr>
        <w:t>tribunales</w:t>
      </w:r>
      <w:r w:rsidR="00B36B7E" w:rsidRPr="00B36B7E">
        <w:rPr>
          <w:rFonts w:eastAsia="SimSun"/>
        </w:rPr>
        <w:t xml:space="preserve"> castrenses tienen competencia para administrar justicia sólo en casos por delitos determinados en el Código Penal Militar, cometidos en actos del servicio o con ocasión de él, conductas que deben cumplir necesariamente con lo establecido en la SCP 2540/2012 de 21 de diciembre, que dispuso que en ningún caso las graves violaciones a derechos humanos constituidos en delitos de lesa humanidad son competencia de la jurisdicción penal militar.</w:t>
      </w:r>
    </w:p>
    <w:p w14:paraId="46B476F0" w14:textId="77777777" w:rsidR="00B36B7E" w:rsidRDefault="00235247" w:rsidP="00777507">
      <w:pPr>
        <w:pStyle w:val="SingleTxtG"/>
        <w:spacing w:before="120"/>
        <w:rPr>
          <w:rFonts w:eastAsia="SimSun"/>
        </w:rPr>
      </w:pPr>
      <w:r>
        <w:rPr>
          <w:rFonts w:eastAsia="SimSun"/>
        </w:rPr>
        <w:t>116.</w:t>
      </w:r>
      <w:r>
        <w:rPr>
          <w:rFonts w:eastAsia="SimSun"/>
        </w:rPr>
        <w:tab/>
      </w:r>
      <w:r w:rsidR="00B36B7E" w:rsidRPr="00B36B7E">
        <w:rPr>
          <w:rFonts w:eastAsia="SimSun"/>
        </w:rPr>
        <w:t>En ese sentido, la competencia de los tribunales militares está restringida al ámbito estrictamente militar y concretamente a los deberes propios de la función militar, configurándose entonces, lo que en doctrina se denomina el delito de función, que para ser tal debe reunir los siguientes elementos: 1) que el bien jurídico sea militar; 2) que el delito se encuentre previsto en la legislación penal militar (principio de legalidad)</w:t>
      </w:r>
      <w:r w:rsidR="00DA769E">
        <w:rPr>
          <w:rFonts w:eastAsia="SimSun"/>
        </w:rPr>
        <w:t>;</w:t>
      </w:r>
      <w:r w:rsidR="00B36B7E" w:rsidRPr="00B36B7E">
        <w:rPr>
          <w:rFonts w:eastAsia="SimSun"/>
        </w:rPr>
        <w:t xml:space="preserve"> y 3) que exista un nexo de causalidad entre la función encomendada y el delito cometido, entendiéndose que la tarea ordenada constituye en sí misma un desarrollo legítimo de la misión encomendada a las FFAA dentro de los límites que la Constitución establece.</w:t>
      </w:r>
    </w:p>
    <w:p w14:paraId="1443BF84" w14:textId="77777777" w:rsidR="00B36B7E" w:rsidRDefault="00235247" w:rsidP="00777507">
      <w:pPr>
        <w:pStyle w:val="SingleTxtG"/>
        <w:spacing w:before="120"/>
        <w:rPr>
          <w:rFonts w:eastAsia="SimSun"/>
        </w:rPr>
      </w:pPr>
      <w:r>
        <w:rPr>
          <w:rFonts w:eastAsia="SimSun"/>
        </w:rPr>
        <w:t>117.</w:t>
      </w:r>
      <w:r>
        <w:rPr>
          <w:rFonts w:eastAsia="SimSun"/>
        </w:rPr>
        <w:tab/>
      </w:r>
      <w:r w:rsidR="00B36B7E" w:rsidRPr="00B36B7E">
        <w:rPr>
          <w:rFonts w:eastAsia="SimSun"/>
        </w:rPr>
        <w:t>Por otro lado, en atención al Oficio INSP. FF.AA. S.G. 110/19 referente a DIRECTIVA 22/</w:t>
      </w:r>
      <w:r w:rsidR="00B36B7E" w:rsidRPr="00660E27">
        <w:rPr>
          <w:lang w:eastAsia="en-US"/>
        </w:rPr>
        <w:t>14</w:t>
      </w:r>
      <w:r w:rsidR="00B36B7E" w:rsidRPr="00B36B7E">
        <w:rPr>
          <w:rFonts w:eastAsia="SimSun"/>
        </w:rPr>
        <w:t xml:space="preserve"> e INSTRUCTIVO FGE/RIGO/DGFSE 181/14 del Comando en Jefe de las Fuerzas Armadas, sobre la Competencia y Jurisdicción Penal Militar, a la que deben recurrir el personal militar y otros funcionarios civiles por hechos relacionados con el ejercicio de sus funciones en el ámbito militar; se dispuso la difusión e interpretación de la mencionada documentación. </w:t>
      </w:r>
    </w:p>
    <w:p w14:paraId="0616D4C4" w14:textId="77777777" w:rsidR="00B36B7E" w:rsidRDefault="00235247" w:rsidP="00777507">
      <w:pPr>
        <w:pStyle w:val="SingleTxtG"/>
        <w:spacing w:before="120"/>
        <w:rPr>
          <w:rFonts w:eastAsia="SimSun"/>
        </w:rPr>
      </w:pPr>
      <w:r>
        <w:rPr>
          <w:rFonts w:eastAsia="SimSun"/>
        </w:rPr>
        <w:lastRenderedPageBreak/>
        <w:t>118.</w:t>
      </w:r>
      <w:r>
        <w:rPr>
          <w:rFonts w:eastAsia="SimSun"/>
        </w:rPr>
        <w:tab/>
      </w:r>
      <w:r w:rsidR="00B36B7E" w:rsidRPr="00660E27">
        <w:rPr>
          <w:lang w:eastAsia="en-US"/>
        </w:rPr>
        <w:t>Asimismo</w:t>
      </w:r>
      <w:r w:rsidR="00B36B7E" w:rsidRPr="00B36B7E">
        <w:rPr>
          <w:rFonts w:eastAsia="SimSun"/>
        </w:rPr>
        <w:t xml:space="preserve">, en atención a los oficios Dpto: I-PERS. DIV. </w:t>
      </w:r>
      <w:r w:rsidR="00430519">
        <w:rPr>
          <w:rFonts w:eastAsia="SimSun"/>
        </w:rPr>
        <w:t>“</w:t>
      </w:r>
      <w:r w:rsidR="00B36B7E" w:rsidRPr="00B36B7E">
        <w:rPr>
          <w:rFonts w:eastAsia="SimSun"/>
        </w:rPr>
        <w:t>G</w:t>
      </w:r>
      <w:r w:rsidR="00430519">
        <w:rPr>
          <w:rFonts w:eastAsia="SimSun"/>
        </w:rPr>
        <w:t>”</w:t>
      </w:r>
      <w:r w:rsidR="00B36B7E" w:rsidRPr="00B36B7E">
        <w:rPr>
          <w:rFonts w:eastAsia="SimSun"/>
        </w:rPr>
        <w:t xml:space="preserve"> 67/19 y MD-SG.DG.U. DD.HH y DIH. 1293 del Ministerio de Defensa y de conformidad a la Resolución Ministerial 0747 de 13 de agosto, de la misma institución, se faculta a la Dirección General de Derechos Humanos e Interculturalidad en las FFAA del Ministerio de Defensa, la emisión de </w:t>
      </w:r>
      <w:r w:rsidR="00430519">
        <w:rPr>
          <w:rFonts w:eastAsia="SimSun"/>
        </w:rPr>
        <w:t>“</w:t>
      </w:r>
      <w:r w:rsidR="00B36B7E" w:rsidRPr="00B36B7E">
        <w:rPr>
          <w:rFonts w:eastAsia="SimSun"/>
        </w:rPr>
        <w:t>certificados de no vulneración de Derechos Humanos</w:t>
      </w:r>
      <w:r w:rsidR="00430519">
        <w:rPr>
          <w:rFonts w:eastAsia="SimSun"/>
        </w:rPr>
        <w:t>”</w:t>
      </w:r>
      <w:r w:rsidR="00B36B7E" w:rsidRPr="00B36B7E">
        <w:rPr>
          <w:rFonts w:eastAsia="SimSun"/>
        </w:rPr>
        <w:t xml:space="preserve"> que deben ser presentados por el personal de las Fuerzas Armadas que son convocados a ascenso</w:t>
      </w:r>
      <w:r w:rsidR="00430519">
        <w:rPr>
          <w:rFonts w:eastAsia="SimSun"/>
        </w:rPr>
        <w:t>”</w:t>
      </w:r>
      <w:r w:rsidR="00B36B7E" w:rsidRPr="00B36B7E">
        <w:rPr>
          <w:rFonts w:eastAsia="SimSun"/>
        </w:rPr>
        <w:t xml:space="preserve">. </w:t>
      </w:r>
    </w:p>
    <w:p w14:paraId="34ED2451" w14:textId="77777777" w:rsidR="00B36B7E" w:rsidRDefault="00235247" w:rsidP="00777507">
      <w:pPr>
        <w:pStyle w:val="SingleTxtG"/>
        <w:spacing w:before="120"/>
        <w:rPr>
          <w:rFonts w:eastAsia="SimSun"/>
        </w:rPr>
      </w:pPr>
      <w:r>
        <w:rPr>
          <w:rFonts w:eastAsia="SimSun"/>
        </w:rPr>
        <w:t>119.</w:t>
      </w:r>
      <w:r>
        <w:rPr>
          <w:rFonts w:eastAsia="SimSun"/>
        </w:rPr>
        <w:tab/>
      </w:r>
      <w:r w:rsidR="00B36B7E" w:rsidRPr="00B36B7E">
        <w:rPr>
          <w:rFonts w:eastAsia="SimSun"/>
        </w:rPr>
        <w:t xml:space="preserve">Se da cumplimiento al </w:t>
      </w:r>
      <w:r w:rsidR="00430519">
        <w:rPr>
          <w:rFonts w:eastAsia="SimSun"/>
        </w:rPr>
        <w:t>“</w:t>
      </w:r>
      <w:r w:rsidR="00B36B7E" w:rsidRPr="00B36B7E">
        <w:rPr>
          <w:rFonts w:eastAsia="SimSun"/>
        </w:rPr>
        <w:t>Plan de Género en el Sector Defensa</w:t>
      </w:r>
      <w:r w:rsidR="00430519">
        <w:rPr>
          <w:rFonts w:eastAsia="SimSun"/>
        </w:rPr>
        <w:t>”</w:t>
      </w:r>
      <w:r w:rsidR="00B36B7E" w:rsidRPr="00B36B7E">
        <w:rPr>
          <w:rFonts w:eastAsia="SimSun"/>
        </w:rPr>
        <w:t xml:space="preserve"> y sus protocolos de atención en caso de vulneración a los Derechos Humanos y su remisión a la jurisdicción común cuando así lo amerite, o cuando el caso constituya un delito tipificado en las Leyes que protegen a las mujeres, niños, adolescentes, y otros en estado de vulnerabilidad.</w:t>
      </w:r>
    </w:p>
    <w:p w14:paraId="08970B59" w14:textId="77777777" w:rsidR="00B36B7E" w:rsidRPr="00B36B7E" w:rsidRDefault="00DB2928" w:rsidP="00DB2928">
      <w:pPr>
        <w:pStyle w:val="H23G"/>
        <w:rPr>
          <w:lang w:eastAsia="en-US"/>
        </w:rPr>
      </w:pPr>
      <w:r>
        <w:rPr>
          <w:lang w:eastAsia="en-US"/>
        </w:rPr>
        <w:tab/>
      </w:r>
      <w:r>
        <w:rPr>
          <w:lang w:eastAsia="en-US"/>
        </w:rPr>
        <w:tab/>
      </w:r>
      <w:r w:rsidR="00B36B7E" w:rsidRPr="00B36B7E">
        <w:rPr>
          <w:lang w:eastAsia="en-US"/>
        </w:rPr>
        <w:t>Repuesta al párrafo 26</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259B1998" w14:textId="77777777" w:rsidR="00B36B7E" w:rsidRDefault="00DB2928" w:rsidP="00DB2928">
      <w:pPr>
        <w:pStyle w:val="H4G"/>
        <w:rPr>
          <w:lang w:eastAsia="en-US"/>
        </w:rPr>
      </w:pPr>
      <w:r>
        <w:rPr>
          <w:lang w:eastAsia="en-US"/>
        </w:rPr>
        <w:tab/>
      </w:r>
      <w:r>
        <w:rPr>
          <w:lang w:eastAsia="en-US"/>
        </w:rPr>
        <w:tab/>
      </w:r>
      <w:r w:rsidR="00B36B7E" w:rsidRPr="00B36B7E">
        <w:rPr>
          <w:lang w:eastAsia="en-US"/>
        </w:rPr>
        <w:t>Comisión de la Verdad</w:t>
      </w:r>
    </w:p>
    <w:p w14:paraId="4A31A1E7" w14:textId="77777777" w:rsidR="00B36B7E" w:rsidRDefault="00235247" w:rsidP="00777507">
      <w:pPr>
        <w:pStyle w:val="SingleTxtG"/>
        <w:spacing w:before="120"/>
        <w:rPr>
          <w:rFonts w:eastAsia="SimSun"/>
        </w:rPr>
      </w:pPr>
      <w:r>
        <w:rPr>
          <w:rFonts w:eastAsia="SimSun"/>
        </w:rPr>
        <w:t>120.</w:t>
      </w:r>
      <w:r>
        <w:rPr>
          <w:rFonts w:eastAsia="SimSun"/>
        </w:rPr>
        <w:tab/>
      </w:r>
      <w:r w:rsidR="00B36B7E" w:rsidRPr="00660E27">
        <w:rPr>
          <w:lang w:eastAsia="en-US"/>
        </w:rPr>
        <w:t>Como</w:t>
      </w:r>
      <w:r w:rsidR="00B36B7E" w:rsidRPr="00B36B7E">
        <w:rPr>
          <w:rFonts w:eastAsia="SimSun"/>
        </w:rPr>
        <w:t xml:space="preserve"> se mencionó en el Tercer Informe Periódico, la Comisión de la Verdad fue creada en 2016, misma que concluyó su período de vigencia en noviembre de 2019, </w:t>
      </w:r>
      <w:r w:rsidR="00B36B7E" w:rsidRPr="00B36B7E">
        <w:rPr>
          <w:rFonts w:eastAsia="SimSun"/>
          <w:lang w:val="x-none"/>
        </w:rPr>
        <w:t xml:space="preserve">y en el marco de sus funciones </w:t>
      </w:r>
      <w:r w:rsidR="00B36B7E" w:rsidRPr="00B36B7E">
        <w:rPr>
          <w:rFonts w:eastAsia="SimSun"/>
        </w:rPr>
        <w:t>y objetivos establecidos en la Ley de la Comisión de Verdad</w:t>
      </w:r>
      <w:r w:rsidR="00B36B7E" w:rsidRPr="00777507">
        <w:rPr>
          <w:rFonts w:eastAsia="SimSun"/>
          <w:sz w:val="18"/>
          <w:szCs w:val="18"/>
          <w:vertAlign w:val="superscript"/>
        </w:rPr>
        <w:footnoteReference w:id="41"/>
      </w:r>
      <w:r w:rsidR="00B36B7E" w:rsidRPr="00B36B7E">
        <w:rPr>
          <w:rFonts w:eastAsia="SimSun"/>
        </w:rPr>
        <w:t>, elaboró una memoria histórica sobre condiciones geopolíticas, políticas, sociales, económicas y culturales en el marco de las cuales se dio lugar a la violación de derechos humanos y la comisión de delitos de lesa humanidad contra la población boliviana, y un Informe Final con relación a los hechos de grave violación a los derechos humanos investigados.</w:t>
      </w:r>
    </w:p>
    <w:p w14:paraId="6D1CF1E8" w14:textId="77777777" w:rsidR="00B36B7E" w:rsidRDefault="00235247" w:rsidP="00777507">
      <w:pPr>
        <w:pStyle w:val="SingleTxtG"/>
        <w:spacing w:before="120"/>
        <w:rPr>
          <w:rFonts w:eastAsia="SimSun"/>
          <w:sz w:val="18"/>
          <w:szCs w:val="18"/>
        </w:rPr>
      </w:pPr>
      <w:r w:rsidRPr="00777507">
        <w:rPr>
          <w:rFonts w:eastAsia="SimSun"/>
        </w:rPr>
        <w:t>121.</w:t>
      </w:r>
      <w:r w:rsidRPr="00777507">
        <w:rPr>
          <w:rFonts w:eastAsia="SimSun"/>
        </w:rPr>
        <w:tab/>
      </w:r>
      <w:r w:rsidR="00B36B7E" w:rsidRPr="005A5C95">
        <w:rPr>
          <w:rFonts w:eastAsia="SimSun"/>
        </w:rPr>
        <w:t>En</w:t>
      </w:r>
      <w:r w:rsidR="00B36B7E" w:rsidRPr="00777507">
        <w:rPr>
          <w:rFonts w:eastAsia="SimSun"/>
          <w:sz w:val="22"/>
          <w:szCs w:val="22"/>
        </w:rPr>
        <w:t xml:space="preserve"> </w:t>
      </w:r>
      <w:r w:rsidR="00B36B7E" w:rsidRPr="00B36B7E">
        <w:rPr>
          <w:rFonts w:eastAsia="SimSun"/>
        </w:rPr>
        <w:t xml:space="preserve">cuanto a desapariciones forzadas señala: </w:t>
      </w:r>
      <w:r w:rsidR="00430519">
        <w:rPr>
          <w:rFonts w:eastAsia="SimSun"/>
          <w:i/>
        </w:rPr>
        <w:t>“</w:t>
      </w:r>
      <w:r w:rsidR="00B36B7E" w:rsidRPr="00DB2928">
        <w:rPr>
          <w:rFonts w:eastAsia="SimSun"/>
          <w:i/>
        </w:rPr>
        <w:t>De acuerdo a las investigaciones realizadas, efectuadas los trabajos de campo, revisada al bibliografía concerniente al caso, encontrados los hechos y noticias en páginas digitales de periódicos, información recabada del Departamento II de Inteligencia del Estado Mayor del Ejército, documentos de las entidades: SEGIP, SERECI, IDIF, COMTECA, ASOFAMD, CIEDEF e instituciones como el Gobierno Autónomo Municipal de El Alto (ex cementerio de Rio Seco), Cementerio General de La Paz, Cementerio Alemán y otros</w:t>
      </w:r>
      <w:r w:rsidR="00430519">
        <w:rPr>
          <w:rFonts w:eastAsia="SimSun"/>
          <w:i/>
        </w:rPr>
        <w:t>”</w:t>
      </w:r>
      <w:r w:rsidR="00B36B7E" w:rsidRPr="00B36B7E">
        <w:rPr>
          <w:rFonts w:eastAsia="SimSun"/>
        </w:rPr>
        <w:t xml:space="preserve">, se pudo establecer lo siguiente, respecto a la de situación de desapariciones forzadas en Bolivia de 1964 a </w:t>
      </w:r>
    </w:p>
    <w:p w14:paraId="0A794D11" w14:textId="77777777" w:rsidR="00B36B7E" w:rsidRDefault="00DB2928" w:rsidP="00DB2928">
      <w:pPr>
        <w:pStyle w:val="H23G"/>
        <w:rPr>
          <w:rFonts w:eastAsia="SimSun"/>
        </w:rPr>
      </w:pPr>
      <w:r>
        <w:rPr>
          <w:rFonts w:eastAsia="SimSun"/>
        </w:rPr>
        <w:tab/>
      </w:r>
      <w:r>
        <w:rPr>
          <w:rFonts w:eastAsia="SimSun"/>
        </w:rPr>
        <w:tab/>
      </w:r>
      <w:r w:rsidR="00B36B7E" w:rsidRPr="00B36B7E">
        <w:rPr>
          <w:rFonts w:eastAsia="SimSun"/>
        </w:rPr>
        <w:t>Cuantificación por casos</w:t>
      </w:r>
    </w:p>
    <w:tbl>
      <w:tblPr>
        <w:tblStyle w:val="Tablaconcuadrcula4-nfasis6"/>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41"/>
        <w:gridCol w:w="1929"/>
      </w:tblGrid>
      <w:tr w:rsidR="00210112" w:rsidRPr="00210112" w14:paraId="08D23710" w14:textId="77777777" w:rsidTr="0077750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12" w:space="0" w:color="auto"/>
            </w:tcBorders>
            <w:shd w:val="clear" w:color="auto" w:fill="auto"/>
            <w:vAlign w:val="bottom"/>
          </w:tcPr>
          <w:p w14:paraId="6A8E3B59" w14:textId="77777777" w:rsidR="00285DBA" w:rsidRPr="00210112" w:rsidRDefault="00285DBA">
            <w:pPr>
              <w:spacing w:before="80" w:after="80" w:line="200" w:lineRule="exact"/>
              <w:rPr>
                <w:b w:val="0"/>
                <w:i/>
                <w:color w:val="auto"/>
                <w:sz w:val="16"/>
              </w:rPr>
            </w:pPr>
            <w:r w:rsidRPr="00210112">
              <w:rPr>
                <w:i/>
                <w:sz w:val="16"/>
              </w:rPr>
              <w:t xml:space="preserve">A) Detenido – Desaparecido Forzado </w:t>
            </w:r>
          </w:p>
        </w:tc>
        <w:tc>
          <w:tcPr>
            <w:tcW w:w="0" w:type="dxa"/>
            <w:tcBorders>
              <w:top w:val="single" w:sz="4" w:space="0" w:color="auto"/>
              <w:bottom w:val="single" w:sz="12" w:space="0" w:color="auto"/>
            </w:tcBorders>
            <w:shd w:val="clear" w:color="auto" w:fill="auto"/>
            <w:vAlign w:val="bottom"/>
          </w:tcPr>
          <w:p w14:paraId="6D87ABAE" w14:textId="77777777" w:rsidR="00285DBA" w:rsidRPr="00210112" w:rsidRDefault="00285DBA" w:rsidP="00777507">
            <w:pPr>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b w:val="0"/>
                <w:i/>
                <w:color w:val="auto"/>
                <w:sz w:val="16"/>
              </w:rPr>
            </w:pPr>
            <w:r w:rsidRPr="00210112">
              <w:rPr>
                <w:i/>
                <w:sz w:val="16"/>
              </w:rPr>
              <w:t>74</w:t>
            </w:r>
          </w:p>
        </w:tc>
      </w:tr>
      <w:tr w:rsidR="00210112" w:rsidRPr="00210112" w14:paraId="79CADE21"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shd w:val="clear" w:color="auto" w:fill="auto"/>
          </w:tcPr>
          <w:p w14:paraId="0397163E" w14:textId="77777777" w:rsidR="00285DBA" w:rsidRPr="00777507" w:rsidRDefault="00285DBA">
            <w:pPr>
              <w:spacing w:before="40" w:after="40" w:line="220" w:lineRule="exact"/>
              <w:rPr>
                <w:b w:val="0"/>
                <w:sz w:val="18"/>
              </w:rPr>
            </w:pPr>
            <w:r w:rsidRPr="00210112">
              <w:rPr>
                <w:sz w:val="18"/>
              </w:rPr>
              <w:t>B) Detenido – Desaparecido Forzado – Restos óseos encontrados</w:t>
            </w:r>
          </w:p>
        </w:tc>
        <w:tc>
          <w:tcPr>
            <w:tcW w:w="0" w:type="dxa"/>
            <w:tcBorders>
              <w:top w:val="single" w:sz="12" w:space="0" w:color="auto"/>
            </w:tcBorders>
            <w:shd w:val="clear" w:color="auto" w:fill="auto"/>
            <w:vAlign w:val="bottom"/>
          </w:tcPr>
          <w:p w14:paraId="563CE931" w14:textId="77777777" w:rsidR="00285DBA" w:rsidRPr="00210112"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rPr>
            </w:pPr>
            <w:r w:rsidRPr="00210112">
              <w:rPr>
                <w:sz w:val="18"/>
              </w:rPr>
              <w:t>26</w:t>
            </w:r>
          </w:p>
        </w:tc>
      </w:tr>
      <w:tr w:rsidR="00210112" w:rsidRPr="00210112" w14:paraId="11D4A0E6"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6B89650" w14:textId="77777777" w:rsidR="00285DBA" w:rsidRPr="00777507" w:rsidRDefault="00285DBA">
            <w:pPr>
              <w:spacing w:before="40" w:after="40" w:line="220" w:lineRule="exact"/>
              <w:rPr>
                <w:b w:val="0"/>
                <w:sz w:val="18"/>
              </w:rPr>
            </w:pPr>
            <w:r w:rsidRPr="00210112">
              <w:rPr>
                <w:sz w:val="18"/>
              </w:rPr>
              <w:t>C) Persona Desparecida</w:t>
            </w:r>
          </w:p>
        </w:tc>
        <w:tc>
          <w:tcPr>
            <w:tcW w:w="0" w:type="dxa"/>
            <w:shd w:val="clear" w:color="auto" w:fill="auto"/>
            <w:vAlign w:val="bottom"/>
          </w:tcPr>
          <w:p w14:paraId="226B84DC" w14:textId="77777777" w:rsidR="00285DBA" w:rsidRPr="00210112" w:rsidRDefault="00285DB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rPr>
            </w:pPr>
            <w:r w:rsidRPr="00210112">
              <w:rPr>
                <w:sz w:val="18"/>
              </w:rPr>
              <w:t>39</w:t>
            </w:r>
          </w:p>
        </w:tc>
      </w:tr>
      <w:tr w:rsidR="00210112" w:rsidRPr="00210112" w14:paraId="36E44CA6"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52D5B24" w14:textId="77777777" w:rsidR="00285DBA" w:rsidRPr="00777507" w:rsidRDefault="00285DBA">
            <w:pPr>
              <w:spacing w:before="40" w:after="40" w:line="220" w:lineRule="exact"/>
              <w:rPr>
                <w:b w:val="0"/>
                <w:sz w:val="18"/>
              </w:rPr>
            </w:pPr>
            <w:r w:rsidRPr="00210112">
              <w:rPr>
                <w:sz w:val="18"/>
              </w:rPr>
              <w:t>D) Denuncia de detenidos – desaparecidos bolivianos en la República de Argentina</w:t>
            </w:r>
          </w:p>
        </w:tc>
        <w:tc>
          <w:tcPr>
            <w:tcW w:w="0" w:type="dxa"/>
            <w:shd w:val="clear" w:color="auto" w:fill="auto"/>
            <w:vAlign w:val="bottom"/>
          </w:tcPr>
          <w:p w14:paraId="580E47C6" w14:textId="77777777" w:rsidR="00285DBA" w:rsidRPr="00210112"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rPr>
            </w:pPr>
            <w:r w:rsidRPr="00210112">
              <w:rPr>
                <w:sz w:val="18"/>
              </w:rPr>
              <w:t>19</w:t>
            </w:r>
          </w:p>
        </w:tc>
      </w:tr>
      <w:tr w:rsidR="00210112" w:rsidRPr="00210112" w14:paraId="60B67C72" w14:textId="77777777" w:rsidTr="00777507">
        <w:trPr>
          <w:trHeight w:val="24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F5D4E59" w14:textId="77777777" w:rsidR="00285DBA" w:rsidRPr="00777507" w:rsidRDefault="00285DBA">
            <w:pPr>
              <w:spacing w:before="40" w:after="40" w:line="220" w:lineRule="exact"/>
              <w:rPr>
                <w:b w:val="0"/>
                <w:sz w:val="18"/>
              </w:rPr>
            </w:pPr>
            <w:r w:rsidRPr="00210112">
              <w:rPr>
                <w:sz w:val="18"/>
              </w:rPr>
              <w:t xml:space="preserve">E) Denuncia de Detenidos – desaparecidos en la República de Argentina </w:t>
            </w:r>
          </w:p>
        </w:tc>
        <w:tc>
          <w:tcPr>
            <w:tcW w:w="0" w:type="dxa"/>
            <w:shd w:val="clear" w:color="auto" w:fill="auto"/>
            <w:vAlign w:val="bottom"/>
          </w:tcPr>
          <w:p w14:paraId="6993A890" w14:textId="77777777" w:rsidR="00285DBA" w:rsidRPr="00210112" w:rsidRDefault="00285DBA" w:rsidP="00777507">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rPr>
            </w:pPr>
            <w:r w:rsidRPr="00210112">
              <w:rPr>
                <w:sz w:val="18"/>
              </w:rPr>
              <w:t>2</w:t>
            </w:r>
          </w:p>
        </w:tc>
      </w:tr>
      <w:tr w:rsidR="00210112" w:rsidRPr="00210112" w14:paraId="113B5366" w14:textId="77777777" w:rsidTr="007775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tcBorders>
              <w:bottom w:val="single" w:sz="12" w:space="0" w:color="auto"/>
            </w:tcBorders>
            <w:shd w:val="clear" w:color="auto" w:fill="auto"/>
          </w:tcPr>
          <w:p w14:paraId="53D0FCFA" w14:textId="77777777" w:rsidR="00285DBA" w:rsidRPr="00777507" w:rsidRDefault="00285DBA" w:rsidP="00777507">
            <w:pPr>
              <w:spacing w:before="40" w:after="40" w:line="220" w:lineRule="exact"/>
              <w:rPr>
                <w:b w:val="0"/>
                <w:sz w:val="18"/>
              </w:rPr>
            </w:pPr>
            <w:r w:rsidRPr="00210112">
              <w:rPr>
                <w:sz w:val="18"/>
              </w:rPr>
              <w:t>Total, casos denunciados</w:t>
            </w:r>
          </w:p>
        </w:tc>
        <w:tc>
          <w:tcPr>
            <w:tcW w:w="0" w:type="dxa"/>
            <w:tcBorders>
              <w:bottom w:val="single" w:sz="12" w:space="0" w:color="auto"/>
            </w:tcBorders>
            <w:shd w:val="clear" w:color="auto" w:fill="auto"/>
            <w:vAlign w:val="bottom"/>
          </w:tcPr>
          <w:p w14:paraId="1385DB50" w14:textId="77777777" w:rsidR="00285DBA" w:rsidRPr="00777507" w:rsidRDefault="00285DBA" w:rsidP="00777507">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sz w:val="18"/>
              </w:rPr>
            </w:pPr>
            <w:r w:rsidRPr="00777507">
              <w:rPr>
                <w:sz w:val="18"/>
              </w:rPr>
              <w:t>160</w:t>
            </w:r>
          </w:p>
        </w:tc>
      </w:tr>
    </w:tbl>
    <w:p w14:paraId="2BFB2089" w14:textId="77777777" w:rsidR="00285DBA" w:rsidRDefault="00285DBA" w:rsidP="00777507">
      <w:pPr>
        <w:pStyle w:val="Textonotapie"/>
        <w:spacing w:before="120" w:after="240"/>
        <w:ind w:firstLine="170"/>
      </w:pPr>
      <w:r w:rsidRPr="00777507">
        <w:rPr>
          <w:i/>
        </w:rPr>
        <w:t>Fuente:</w:t>
      </w:r>
      <w:r>
        <w:t xml:space="preserve"> Comisión de la Verdad</w:t>
      </w:r>
      <w:r w:rsidR="00311AB2">
        <w:t>.</w:t>
      </w:r>
    </w:p>
    <w:p w14:paraId="5C1BEF40" w14:textId="77777777" w:rsidR="00B36B7E" w:rsidRPr="00DB2928" w:rsidRDefault="00235247" w:rsidP="00777507">
      <w:pPr>
        <w:pStyle w:val="SingleTxtG"/>
        <w:spacing w:before="120"/>
        <w:rPr>
          <w:rFonts w:eastAsia="SimSun"/>
          <w:i/>
        </w:rPr>
      </w:pPr>
      <w:r w:rsidRPr="00DB2928">
        <w:rPr>
          <w:rFonts w:eastAsia="SimSun"/>
        </w:rPr>
        <w:t>122.</w:t>
      </w:r>
      <w:r w:rsidRPr="00DB2928">
        <w:rPr>
          <w:rFonts w:eastAsia="SimSun"/>
        </w:rPr>
        <w:tab/>
      </w:r>
      <w:r w:rsidR="00B36B7E" w:rsidRPr="00660E27">
        <w:rPr>
          <w:lang w:eastAsia="en-US"/>
        </w:rPr>
        <w:t>Respecto</w:t>
      </w:r>
      <w:r w:rsidR="00B36B7E" w:rsidRPr="00B36B7E">
        <w:rPr>
          <w:rFonts w:eastAsia="SimSun"/>
        </w:rPr>
        <w:t xml:space="preserve"> a los casos de tortura, la Comisión de la Verdad </w:t>
      </w:r>
      <w:r w:rsidR="00430519">
        <w:rPr>
          <w:rFonts w:eastAsia="SimSun"/>
          <w:i/>
        </w:rPr>
        <w:t>“</w:t>
      </w:r>
      <w:r w:rsidR="00B36B7E" w:rsidRPr="00DB2928">
        <w:rPr>
          <w:rFonts w:eastAsia="SimSun"/>
          <w:i/>
        </w:rPr>
        <w:t>…ha identificado los tipos y métodos de tortura aplicados y otros tratos crueles, inhumanos y degradantes. Durante las dictaduras las personas que sufrieron algún tipo de tortura llegan al número de 5</w:t>
      </w:r>
      <w:r w:rsidR="00DA769E">
        <w:rPr>
          <w:rFonts w:eastAsia="SimSun"/>
          <w:i/>
        </w:rPr>
        <w:t>.</w:t>
      </w:r>
      <w:r w:rsidR="00B36B7E" w:rsidRPr="00DB2928">
        <w:rPr>
          <w:rFonts w:eastAsia="SimSun"/>
          <w:i/>
        </w:rPr>
        <w:t>405. (…) Esta cifra supone que todos los detenidos, es decir, 5</w:t>
      </w:r>
      <w:r w:rsidR="00DA769E">
        <w:rPr>
          <w:rFonts w:eastAsia="SimSun"/>
          <w:i/>
        </w:rPr>
        <w:t>.</w:t>
      </w:r>
      <w:r w:rsidR="00B36B7E" w:rsidRPr="00DB2928">
        <w:rPr>
          <w:rFonts w:eastAsia="SimSun"/>
          <w:i/>
        </w:rPr>
        <w:t>215 personas han sufrido algún tipo y grado de tortura. Se puede concluir que el 100 por ciento de los ‘presos políticos’ fueron torturado. El restante, es decir 190 personas murieron siendo torturados y algunos salvaron la vida con el exilio forzoso.</w:t>
      </w:r>
      <w:r w:rsidR="00DB2928" w:rsidRPr="00DB2928">
        <w:rPr>
          <w:rFonts w:eastAsia="SimSun"/>
          <w:i/>
        </w:rPr>
        <w:t xml:space="preserve"> </w:t>
      </w:r>
      <w:r w:rsidR="00B36B7E" w:rsidRPr="00DB2928">
        <w:rPr>
          <w:rFonts w:eastAsia="SimSun"/>
          <w:i/>
          <w:sz w:val="24"/>
          <w:szCs w:val="24"/>
        </w:rPr>
        <w:t>(…)</w:t>
      </w:r>
      <w:r w:rsidR="00DB2928">
        <w:rPr>
          <w:rFonts w:eastAsia="SimSun"/>
          <w:i/>
        </w:rPr>
        <w:t xml:space="preserve"> </w:t>
      </w:r>
      <w:r w:rsidR="00B36B7E" w:rsidRPr="00DB2928">
        <w:rPr>
          <w:rFonts w:eastAsia="SimSun"/>
          <w:i/>
        </w:rPr>
        <w:t xml:space="preserve">Entre las dificultades para investigar los casos de tortura además de las limitaciones materiales, se encuentra que las víctimas tan sólo cuentan con su testimonio como evidencia, ya sea verbal o escrito. Por el tiempo transcurrido desde los hechos acaecidos suele haber confusión e imprecisión en </w:t>
      </w:r>
      <w:r w:rsidR="00B36B7E" w:rsidRPr="00DB2928">
        <w:rPr>
          <w:rFonts w:eastAsia="SimSun"/>
          <w:i/>
        </w:rPr>
        <w:lastRenderedPageBreak/>
        <w:t>algunos datos, confusión de fechas, lugares o de las personas torturadas. Todavía existe temor a realizar la denuncia entre las víctimas. Hay personas que han decidido ya no hablar de ese pasado para no afectar la estabilidad familiar (…).</w:t>
      </w:r>
      <w:r w:rsidR="00DB2928">
        <w:rPr>
          <w:rFonts w:eastAsia="SimSun"/>
          <w:i/>
        </w:rPr>
        <w:t xml:space="preserve"> </w:t>
      </w:r>
      <w:r w:rsidR="00B36B7E" w:rsidRPr="00DB2928">
        <w:rPr>
          <w:rFonts w:eastAsia="SimSun"/>
          <w:i/>
        </w:rPr>
        <w:t>La Comisión de la Verdad, a través de su investigación identifica a 1.498 represores como brazo ejecutor de los crimines de lesa humanidad y de la violación sistemática de derechos humanos cometida durante los 18 años de dictaduras en Bolivia. Del total de la nómina, 34 son extranjeros</w:t>
      </w:r>
      <w:r w:rsidR="00430519">
        <w:rPr>
          <w:rFonts w:eastAsia="SimSun"/>
          <w:i/>
        </w:rPr>
        <w:t>”</w:t>
      </w:r>
      <w:r w:rsidR="00B36B7E" w:rsidRPr="00DB2928">
        <w:rPr>
          <w:rFonts w:eastAsia="SimSun"/>
          <w:i/>
        </w:rPr>
        <w:t xml:space="preserve">. </w:t>
      </w:r>
    </w:p>
    <w:p w14:paraId="36B64F08" w14:textId="77777777" w:rsidR="00B36B7E" w:rsidRDefault="00DB2928" w:rsidP="00DB2928">
      <w:pPr>
        <w:pStyle w:val="H4G"/>
        <w:rPr>
          <w:rFonts w:eastAsia="SimSun"/>
        </w:rPr>
      </w:pPr>
      <w:r>
        <w:rPr>
          <w:rFonts w:eastAsia="SimSun"/>
        </w:rPr>
        <w:tab/>
      </w:r>
      <w:r>
        <w:rPr>
          <w:rFonts w:eastAsia="SimSun"/>
        </w:rPr>
        <w:tab/>
      </w:r>
      <w:r w:rsidR="00B36B7E" w:rsidRPr="00B36B7E">
        <w:rPr>
          <w:rFonts w:eastAsia="SimSun"/>
        </w:rPr>
        <w:t>Desclasificación de archivos</w:t>
      </w:r>
    </w:p>
    <w:p w14:paraId="0B02A526" w14:textId="77777777" w:rsidR="00B36B7E" w:rsidRDefault="00235247" w:rsidP="00777507">
      <w:pPr>
        <w:pStyle w:val="SingleTxtG"/>
        <w:spacing w:before="120"/>
        <w:rPr>
          <w:lang w:eastAsia="en-US"/>
        </w:rPr>
      </w:pPr>
      <w:r>
        <w:rPr>
          <w:lang w:eastAsia="en-US"/>
        </w:rPr>
        <w:t>123.</w:t>
      </w:r>
      <w:r>
        <w:rPr>
          <w:lang w:eastAsia="en-US"/>
        </w:rPr>
        <w:tab/>
      </w:r>
      <w:r w:rsidR="00B36B7E" w:rsidRPr="00B36B7E">
        <w:rPr>
          <w:lang w:eastAsia="en-US"/>
        </w:rPr>
        <w:t>El Ministerio de Defensa emitió la Resolución Ministerial 31G de 19 de mayo de 2009, autorizando al Comando en Jefe de las FFAA, facilitar el acceso a familiares y víctimas de regímenes sujetos a dictaduras militares, a archivos, registros públicos y documentos existentes que lo soliciten y demuestren su interés legítimo.</w:t>
      </w:r>
    </w:p>
    <w:p w14:paraId="7F8661F7" w14:textId="77777777" w:rsidR="00B36B7E" w:rsidRDefault="00235247" w:rsidP="00777507">
      <w:pPr>
        <w:pStyle w:val="SingleTxtG"/>
        <w:spacing w:before="120"/>
        <w:rPr>
          <w:lang w:eastAsia="en-US"/>
        </w:rPr>
      </w:pPr>
      <w:r>
        <w:rPr>
          <w:lang w:eastAsia="en-US"/>
        </w:rPr>
        <w:t>124.</w:t>
      </w:r>
      <w:r>
        <w:rPr>
          <w:lang w:eastAsia="en-US"/>
        </w:rPr>
        <w:tab/>
      </w:r>
      <w:r w:rsidR="00B36B7E" w:rsidRPr="00B36B7E">
        <w:rPr>
          <w:lang w:eastAsia="en-US"/>
        </w:rPr>
        <w:t>Asimismo, el Tribunal Supremo de Justicia, mediante Auto Supremo 125/2010 de 1 de abril, ordenó al Comandante General de las FFAA del Estado Plurinacional de Bolivia, conjuntamente un representante del Ministerio Público, procedan a la desclasificación de archivos existentes en el Departamento Segundo del Estado Mayor de junio de 1979 a diciembre de 1980 y del reporte de ingresos y salidas al Estado Mayor del Ejército del 10 al 20 de julio de 1980, debiendo remitir fotocopias legalizadas al Tribunal Supremo de Justicia, con la finalidad de esclarecer los hechos.</w:t>
      </w:r>
    </w:p>
    <w:p w14:paraId="616945A7" w14:textId="77777777" w:rsidR="00B36B7E" w:rsidRDefault="00235247" w:rsidP="00777507">
      <w:pPr>
        <w:pStyle w:val="SingleTxtG"/>
        <w:spacing w:before="120"/>
        <w:rPr>
          <w:lang w:eastAsia="en-US"/>
        </w:rPr>
      </w:pPr>
      <w:r>
        <w:rPr>
          <w:lang w:eastAsia="en-US"/>
        </w:rPr>
        <w:t>125.</w:t>
      </w:r>
      <w:r>
        <w:rPr>
          <w:lang w:eastAsia="en-US"/>
        </w:rPr>
        <w:tab/>
      </w:r>
      <w:r w:rsidR="00B36B7E" w:rsidRPr="00660E27">
        <w:rPr>
          <w:lang w:eastAsia="en-US"/>
        </w:rPr>
        <w:t>Posteriormente</w:t>
      </w:r>
      <w:r w:rsidR="00B36B7E" w:rsidRPr="00B36B7E">
        <w:rPr>
          <w:bCs/>
          <w:lang w:eastAsia="en-US"/>
        </w:rPr>
        <w:t xml:space="preserve">, el Artículo 7 de la Ley 879, </w:t>
      </w:r>
      <w:r w:rsidR="00B36B7E" w:rsidRPr="00B36B7E">
        <w:rPr>
          <w:lang w:eastAsia="en-US"/>
        </w:rPr>
        <w:t>dispone la desclasificación de los documentos militares (físicos o digitales), policiales y de otro tipo de documentos clasificados o que cuyo acceso se encuentre restringido, sean confidenciales o cualquier otra categorización que impida su revisión o acceso, correspondientes al periodo: 4 de noviembre de 1964 al 10 de octubre 1982.</w:t>
      </w:r>
    </w:p>
    <w:p w14:paraId="1EA1FA80" w14:textId="77777777" w:rsidR="00B36B7E" w:rsidRDefault="00235247" w:rsidP="00777507">
      <w:pPr>
        <w:pStyle w:val="SingleTxtG"/>
        <w:spacing w:before="120"/>
        <w:rPr>
          <w:lang w:eastAsia="en-US"/>
        </w:rPr>
      </w:pPr>
      <w:r>
        <w:rPr>
          <w:lang w:eastAsia="en-US"/>
        </w:rPr>
        <w:t>126.</w:t>
      </w:r>
      <w:r>
        <w:rPr>
          <w:lang w:eastAsia="en-US"/>
        </w:rPr>
        <w:tab/>
      </w:r>
      <w:r w:rsidR="00B36B7E" w:rsidRPr="00B36B7E">
        <w:rPr>
          <w:lang w:eastAsia="en-US"/>
        </w:rPr>
        <w:t>En ese sentido, el equipo técnico de la Comisión de la Verdad tuvo acceso al Archivo del Departamento II del Estado Mayor del Ejército. Asimismo, el Ministerio de Relaciones Exteriores, la Biblioteca y Archivo Histórico de la Asamblea Legislativa Plurinacional, el Tribunal Supremo de Justicia y el Ministerio de Justicia y Transparencia Institucional entregaron y también transfirieron información y documentación entorno a violaciones de derechos humanos, a la Comisión documentación que sirvió para el esclarecimiento de los hechos.</w:t>
      </w:r>
    </w:p>
    <w:p w14:paraId="4713CA61" w14:textId="77777777" w:rsidR="00B36B7E" w:rsidRPr="00B36B7E" w:rsidRDefault="00DB2928" w:rsidP="00DB2928">
      <w:pPr>
        <w:pStyle w:val="H23G"/>
        <w:rPr>
          <w:lang w:eastAsia="en-US"/>
        </w:rPr>
      </w:pPr>
      <w:r>
        <w:rPr>
          <w:lang w:eastAsia="en-US"/>
        </w:rPr>
        <w:tab/>
      </w:r>
      <w:r>
        <w:rPr>
          <w:lang w:eastAsia="en-US"/>
        </w:rPr>
        <w:tab/>
      </w:r>
      <w:r w:rsidR="00B36B7E" w:rsidRPr="00B36B7E">
        <w:rPr>
          <w:lang w:eastAsia="en-US"/>
        </w:rPr>
        <w:t>Artículo 14</w:t>
      </w:r>
    </w:p>
    <w:p w14:paraId="5D47C8D2" w14:textId="77777777" w:rsidR="00B36B7E" w:rsidRPr="00B36B7E" w:rsidRDefault="00DB2928" w:rsidP="00DB2928">
      <w:pPr>
        <w:pStyle w:val="H23G"/>
        <w:rPr>
          <w:lang w:eastAsia="en-US"/>
        </w:rPr>
      </w:pPr>
      <w:r>
        <w:rPr>
          <w:lang w:eastAsia="en-US"/>
        </w:rPr>
        <w:tab/>
      </w:r>
      <w:r>
        <w:rPr>
          <w:lang w:eastAsia="en-US"/>
        </w:rPr>
        <w:tab/>
      </w:r>
      <w:r w:rsidR="00B36B7E" w:rsidRPr="00B36B7E">
        <w:rPr>
          <w:lang w:eastAsia="en-US"/>
        </w:rPr>
        <w:t>Repuesta al párrafo 27</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25F01B79" w14:textId="77777777" w:rsidR="00B36B7E" w:rsidRDefault="00DB2928" w:rsidP="00DB2928">
      <w:pPr>
        <w:pStyle w:val="H4G"/>
        <w:rPr>
          <w:lang w:eastAsia="en-US"/>
        </w:rPr>
      </w:pPr>
      <w:r>
        <w:rPr>
          <w:lang w:eastAsia="en-US"/>
        </w:rPr>
        <w:tab/>
      </w:r>
      <w:r>
        <w:rPr>
          <w:lang w:eastAsia="en-US"/>
        </w:rPr>
        <w:tab/>
      </w:r>
      <w:r w:rsidR="00B36B7E" w:rsidRPr="00B36B7E">
        <w:rPr>
          <w:lang w:eastAsia="en-US"/>
        </w:rPr>
        <w:t>Medidas de reparación</w:t>
      </w:r>
    </w:p>
    <w:p w14:paraId="075ABC1D" w14:textId="77777777" w:rsidR="00B36B7E" w:rsidRDefault="00235247" w:rsidP="00777507">
      <w:pPr>
        <w:pStyle w:val="SingleTxtG"/>
        <w:spacing w:before="120"/>
      </w:pPr>
      <w:r>
        <w:t>127.</w:t>
      </w:r>
      <w:r>
        <w:tab/>
      </w:r>
      <w:r w:rsidR="00B36B7E" w:rsidRPr="00B36B7E">
        <w:t xml:space="preserve">El </w:t>
      </w:r>
      <w:r w:rsidR="00B36B7E" w:rsidRPr="00B36B7E">
        <w:rPr>
          <w:lang w:eastAsia="en-US"/>
        </w:rPr>
        <w:t>artículo</w:t>
      </w:r>
      <w:r w:rsidR="00B36B7E" w:rsidRPr="00B36B7E">
        <w:t xml:space="preserve"> 14 del CPP, establece que: </w:t>
      </w:r>
      <w:r w:rsidR="00430519">
        <w:rPr>
          <w:i/>
        </w:rPr>
        <w:t>“</w:t>
      </w:r>
      <w:r w:rsidR="00B36B7E" w:rsidRPr="00DB2928">
        <w:rPr>
          <w:i/>
        </w:rPr>
        <w:t>...</w:t>
      </w:r>
      <w:r w:rsidR="00DA769E">
        <w:rPr>
          <w:i/>
        </w:rPr>
        <w:t xml:space="preserve"> </w:t>
      </w:r>
      <w:r w:rsidR="00B36B7E" w:rsidRPr="00DB2928">
        <w:rPr>
          <w:i/>
        </w:rPr>
        <w:t>de la comisión de todo delito nacen: la acción penal para la investigación del hecho, su juzgamiento y la imposición de una pena o medida de seguridad y la acción civil para la reparación de los daños emergentes</w:t>
      </w:r>
      <w:r w:rsidR="00430519">
        <w:rPr>
          <w:i/>
        </w:rPr>
        <w:t>”</w:t>
      </w:r>
      <w:r w:rsidR="00B36B7E" w:rsidRPr="00B36B7E">
        <w:t xml:space="preserve"> y respecto al procedimiento se dispone que emitida la correspondiente sentencia condenatoria la víctima puede optar por acudir a la vía civil o al juez de sentencia para: </w:t>
      </w:r>
      <w:r w:rsidR="00430519">
        <w:rPr>
          <w:i/>
        </w:rPr>
        <w:t>“</w:t>
      </w:r>
      <w:r w:rsidR="00B36B7E" w:rsidRPr="00DB2928">
        <w:rPr>
          <w:i/>
        </w:rPr>
        <w:t>...</w:t>
      </w:r>
      <w:r w:rsidR="00DA769E">
        <w:rPr>
          <w:i/>
        </w:rPr>
        <w:t xml:space="preserve"> </w:t>
      </w:r>
      <w:r w:rsidR="00B36B7E" w:rsidRPr="00DB2928">
        <w:rPr>
          <w:i/>
        </w:rPr>
        <w:t>solicitar al juez de sentencia que ordene la reparación del daño causado o la indemnización correspondiente...</w:t>
      </w:r>
      <w:r w:rsidR="00430519">
        <w:rPr>
          <w:i/>
        </w:rPr>
        <w:t>”</w:t>
      </w:r>
      <w:r w:rsidR="00B36B7E" w:rsidRPr="00DB2928">
        <w:rPr>
          <w:i/>
        </w:rPr>
        <w:t>,</w:t>
      </w:r>
      <w:r w:rsidR="00B36B7E" w:rsidRPr="00B36B7E">
        <w:t xml:space="preserve"> debiendo la demanda dirigirse contra: </w:t>
      </w:r>
      <w:r w:rsidR="00430519">
        <w:rPr>
          <w:i/>
        </w:rPr>
        <w:t>“</w:t>
      </w:r>
      <w:r w:rsidR="00B36B7E" w:rsidRPr="00DB2928">
        <w:rPr>
          <w:i/>
        </w:rPr>
        <w:t>... el condenado o contra aquel a quien se le aplicó una medida de seguridad por inimputabilidad o semi-imputabilidad y/o contra los terceros que, por previsión legal o relación contractual son responsables de los daños causados...</w:t>
      </w:r>
      <w:r w:rsidR="00430519">
        <w:rPr>
          <w:i/>
        </w:rPr>
        <w:t>”</w:t>
      </w:r>
      <w:r w:rsidR="000B30EA">
        <w:t>.</w:t>
      </w:r>
    </w:p>
    <w:p w14:paraId="3EEF5F21" w14:textId="77777777" w:rsidR="00B36B7E" w:rsidRPr="00B36B7E" w:rsidRDefault="00DB2928" w:rsidP="00DB2928">
      <w:pPr>
        <w:pStyle w:val="H23G"/>
        <w:rPr>
          <w:lang w:eastAsia="en-US"/>
        </w:rPr>
      </w:pPr>
      <w:r>
        <w:rPr>
          <w:lang w:eastAsia="en-US"/>
        </w:rPr>
        <w:tab/>
      </w:r>
      <w:r>
        <w:rPr>
          <w:lang w:eastAsia="en-US"/>
        </w:rPr>
        <w:tab/>
      </w:r>
      <w:r w:rsidR="00B36B7E" w:rsidRPr="00B36B7E">
        <w:rPr>
          <w:lang w:eastAsia="en-US"/>
        </w:rPr>
        <w:t>Artículo 15</w:t>
      </w:r>
    </w:p>
    <w:p w14:paraId="0021507B" w14:textId="77777777" w:rsidR="00B36B7E" w:rsidRPr="00B36B7E" w:rsidRDefault="00DB2928" w:rsidP="00DB2928">
      <w:pPr>
        <w:pStyle w:val="H23G"/>
        <w:rPr>
          <w:lang w:eastAsia="en-US"/>
        </w:rPr>
      </w:pPr>
      <w:r>
        <w:rPr>
          <w:lang w:eastAsia="en-US"/>
        </w:rPr>
        <w:tab/>
      </w:r>
      <w:r>
        <w:rPr>
          <w:lang w:eastAsia="en-US"/>
        </w:rPr>
        <w:tab/>
      </w:r>
      <w:r w:rsidR="00B36B7E" w:rsidRPr="00B36B7E">
        <w:rPr>
          <w:lang w:eastAsia="en-US"/>
        </w:rPr>
        <w:t>Repuesta al párrafo 28</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191929D8" w14:textId="77777777" w:rsidR="00B36B7E" w:rsidRDefault="00DB2928" w:rsidP="00DB2928">
      <w:pPr>
        <w:pStyle w:val="H4G"/>
        <w:rPr>
          <w:rFonts w:eastAsia="SimSun"/>
        </w:rPr>
      </w:pPr>
      <w:r>
        <w:rPr>
          <w:rFonts w:eastAsia="SimSun"/>
        </w:rPr>
        <w:tab/>
      </w:r>
      <w:r>
        <w:rPr>
          <w:rFonts w:eastAsia="SimSun"/>
        </w:rPr>
        <w:tab/>
      </w:r>
      <w:r w:rsidR="00B36B7E" w:rsidRPr="00B36B7E">
        <w:rPr>
          <w:rFonts w:eastAsia="SimSun"/>
        </w:rPr>
        <w:t>Principio de inadmisibilidad de pruebas obtenidas mediante tortura</w:t>
      </w:r>
    </w:p>
    <w:p w14:paraId="75670EEC" w14:textId="77777777" w:rsidR="00B36B7E" w:rsidRDefault="00235247" w:rsidP="00777507">
      <w:pPr>
        <w:pStyle w:val="SingleTxtG"/>
        <w:spacing w:before="120"/>
      </w:pPr>
      <w:r>
        <w:t>128.</w:t>
      </w:r>
      <w:r>
        <w:tab/>
      </w:r>
      <w:r w:rsidR="00B36B7E" w:rsidRPr="00B36B7E">
        <w:rPr>
          <w:rFonts w:eastAsia="SimSun"/>
        </w:rPr>
        <w:t>E</w:t>
      </w:r>
      <w:r w:rsidR="00B36B7E" w:rsidRPr="00B36B7E">
        <w:rPr>
          <w:rFonts w:eastAsia="SimSun"/>
          <w:shd w:val="clear" w:color="auto" w:fill="FFFFFF"/>
        </w:rPr>
        <w:t>l art</w:t>
      </w:r>
      <w:r w:rsidR="00DB2928">
        <w:rPr>
          <w:rFonts w:eastAsia="SimSun"/>
          <w:shd w:val="clear" w:color="auto" w:fill="FFFFFF"/>
        </w:rPr>
        <w:t>ículo 13 del CPP, establece que</w:t>
      </w:r>
      <w:r w:rsidR="00B36B7E" w:rsidRPr="00B36B7E">
        <w:rPr>
          <w:rFonts w:eastAsia="SimSun"/>
          <w:shd w:val="clear" w:color="auto" w:fill="FFFFFF"/>
        </w:rPr>
        <w:t>:</w:t>
      </w:r>
      <w:r w:rsidR="00DB2928">
        <w:rPr>
          <w:rFonts w:eastAsia="SimSun"/>
          <w:shd w:val="clear" w:color="auto" w:fill="FFFFFF"/>
        </w:rPr>
        <w:t xml:space="preserve"> </w:t>
      </w:r>
      <w:r w:rsidR="00430519">
        <w:rPr>
          <w:rFonts w:eastAsia="SimSun"/>
          <w:i/>
          <w:shd w:val="clear" w:color="auto" w:fill="FFFFFF"/>
        </w:rPr>
        <w:t>“</w:t>
      </w:r>
      <w:r w:rsidR="00B36B7E" w:rsidRPr="00DB2928">
        <w:rPr>
          <w:rFonts w:eastAsia="SimSun"/>
          <w:i/>
          <w:shd w:val="clear" w:color="auto" w:fill="FFFFFF"/>
        </w:rPr>
        <w:t xml:space="preserve">Los elementos de prueba sólo tendrán valor si han sido obtenidos por medios Lícitos e incorporados al proceso conforme a las </w:t>
      </w:r>
      <w:r w:rsidR="00B36B7E" w:rsidRPr="00DB2928">
        <w:rPr>
          <w:rFonts w:eastAsia="SimSun"/>
          <w:i/>
          <w:shd w:val="clear" w:color="auto" w:fill="FFFFFF"/>
        </w:rPr>
        <w:lastRenderedPageBreak/>
        <w:t>disposiciones de la Constitución Política del Estado y de este Código. No tendrá valor la prueba obtenida mediante torturas, malos tratos, coacciones, amenazas, engaños o violación de los derechos fundamentales de las personas, ni la obtenida en virtud de la información originada en un procedimiento o medio ilícito</w:t>
      </w:r>
      <w:r w:rsidR="00430519">
        <w:rPr>
          <w:rFonts w:eastAsia="SimSun"/>
          <w:i/>
          <w:shd w:val="clear" w:color="auto" w:fill="FFFFFF"/>
        </w:rPr>
        <w:t>”</w:t>
      </w:r>
      <w:r w:rsidR="00B36B7E" w:rsidRPr="00B36B7E">
        <w:rPr>
          <w:rFonts w:eastAsia="SimSun"/>
          <w:shd w:val="clear" w:color="auto" w:fill="FFFFFF"/>
        </w:rPr>
        <w:t xml:space="preserve">. </w:t>
      </w:r>
    </w:p>
    <w:p w14:paraId="0DB45893" w14:textId="77777777" w:rsidR="00B36B7E" w:rsidRDefault="00235247" w:rsidP="00777507">
      <w:pPr>
        <w:pStyle w:val="SingleTxtG"/>
        <w:spacing w:before="120"/>
      </w:pPr>
      <w:r>
        <w:t>129.</w:t>
      </w:r>
      <w:r>
        <w:tab/>
      </w:r>
      <w:r w:rsidR="00B36B7E" w:rsidRPr="00B36B7E">
        <w:rPr>
          <w:rFonts w:eastAsia="SimSun"/>
          <w:shd w:val="clear" w:color="auto" w:fill="FFFFFF"/>
        </w:rPr>
        <w:t xml:space="preserve">Disposición que obliga a generar una actividad probatoria basada en la no violación de </w:t>
      </w:r>
      <w:r w:rsidR="00B36B7E" w:rsidRPr="00660E27">
        <w:rPr>
          <w:lang w:eastAsia="en-US"/>
        </w:rPr>
        <w:t>procedimientos</w:t>
      </w:r>
      <w:r w:rsidR="00B36B7E" w:rsidRPr="00B36B7E">
        <w:rPr>
          <w:rFonts w:eastAsia="SimSun"/>
          <w:shd w:val="clear" w:color="auto" w:fill="FFFFFF"/>
        </w:rPr>
        <w:t>, formalidades, derechos y garantías, puesto que de ocurrir alguna de estas circunstancias prohibidas en la obtención del medio de prueba, este se torna inadmisible para el órgano jurisdiccional, lo cual significa que el contenido o información que el medio de prueba tiene dentro de sí no es incorporado al proceso.</w:t>
      </w:r>
    </w:p>
    <w:p w14:paraId="5AB6A730" w14:textId="77777777" w:rsidR="00B36B7E" w:rsidRPr="00B36B7E" w:rsidRDefault="00DB2928" w:rsidP="00DB2928">
      <w:pPr>
        <w:pStyle w:val="H23G"/>
        <w:rPr>
          <w:lang w:eastAsia="en-US"/>
        </w:rPr>
      </w:pPr>
      <w:r>
        <w:rPr>
          <w:lang w:eastAsia="en-US"/>
        </w:rPr>
        <w:tab/>
      </w:r>
      <w:r>
        <w:rPr>
          <w:lang w:eastAsia="en-US"/>
        </w:rPr>
        <w:tab/>
      </w:r>
      <w:r w:rsidR="00B36B7E" w:rsidRPr="00B36B7E">
        <w:rPr>
          <w:lang w:eastAsia="en-US"/>
        </w:rPr>
        <w:t>Artículo 16</w:t>
      </w:r>
    </w:p>
    <w:p w14:paraId="2C38C796" w14:textId="77777777" w:rsidR="00B36B7E" w:rsidRDefault="00DB2928" w:rsidP="00DB2928">
      <w:pPr>
        <w:pStyle w:val="H23G"/>
        <w:rPr>
          <w:lang w:eastAsia="en-US"/>
        </w:rPr>
      </w:pPr>
      <w:r>
        <w:rPr>
          <w:lang w:eastAsia="en-US"/>
        </w:rPr>
        <w:tab/>
      </w:r>
      <w:r>
        <w:rPr>
          <w:lang w:eastAsia="en-US"/>
        </w:rPr>
        <w:tab/>
      </w:r>
      <w:r w:rsidR="00B36B7E" w:rsidRPr="00B36B7E">
        <w:rPr>
          <w:lang w:eastAsia="en-US"/>
        </w:rPr>
        <w:t>Repuesta al párrafo 30</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194D9598" w14:textId="77777777" w:rsidR="00B36B7E" w:rsidRDefault="00235247" w:rsidP="00777507">
      <w:pPr>
        <w:pStyle w:val="SingleTxtG"/>
        <w:spacing w:before="120"/>
        <w:rPr>
          <w:lang w:eastAsia="en-US"/>
        </w:rPr>
      </w:pPr>
      <w:r>
        <w:rPr>
          <w:lang w:eastAsia="en-US"/>
        </w:rPr>
        <w:t>130.</w:t>
      </w:r>
      <w:r>
        <w:rPr>
          <w:lang w:eastAsia="en-US"/>
        </w:rPr>
        <w:tab/>
      </w:r>
      <w:r w:rsidR="00B36B7E" w:rsidRPr="00B36B7E">
        <w:rPr>
          <w:lang w:eastAsia="en-US"/>
        </w:rPr>
        <w:t xml:space="preserve">La SCP 0206/2014 de 5 de febrero, eliminó el requisito de autorización judicial para acceder a un aborto legal cuando el embarazo es consecuencia de violación, estupro, incesto, rapto o cuando por el embarazo corra peligro la vida o la salud de la mujer, por lo que únicamente se debe presentar una copia de la denuncia efectuada </w:t>
      </w:r>
      <w:r w:rsidR="00B36B7E" w:rsidRPr="00B36B7E">
        <w:rPr>
          <w:lang w:val="es-BO" w:eastAsia="en-US"/>
        </w:rPr>
        <w:t>ante las autoridades competentes,</w:t>
      </w:r>
      <w:r w:rsidR="00B36B7E" w:rsidRPr="00B36B7E">
        <w:rPr>
          <w:lang w:eastAsia="en-US"/>
        </w:rPr>
        <w:t xml:space="preserve"> para que el servicio de salud (público o privado) realice la interrupción legal del embarazo. </w:t>
      </w:r>
    </w:p>
    <w:p w14:paraId="5070A25D" w14:textId="77777777" w:rsidR="00B36B7E" w:rsidRDefault="00235247" w:rsidP="00777507">
      <w:pPr>
        <w:pStyle w:val="SingleTxtG"/>
        <w:spacing w:before="120"/>
        <w:rPr>
          <w:lang w:eastAsia="en-US"/>
        </w:rPr>
      </w:pPr>
      <w:r>
        <w:rPr>
          <w:lang w:eastAsia="en-US"/>
        </w:rPr>
        <w:t>131.</w:t>
      </w:r>
      <w:r>
        <w:rPr>
          <w:lang w:eastAsia="en-US"/>
        </w:rPr>
        <w:tab/>
      </w:r>
      <w:r w:rsidR="00B36B7E" w:rsidRPr="00B36B7E">
        <w:rPr>
          <w:lang w:eastAsia="en-US"/>
        </w:rPr>
        <w:t>En ese marco, el Ministerio de Salud desarrolló el Procedimiento Técnico para la Prestación de Servicios de Salud para la interrupción legal y segura del embarazo.</w:t>
      </w:r>
    </w:p>
    <w:p w14:paraId="0C11A1D4" w14:textId="77777777" w:rsidR="00B36B7E" w:rsidRDefault="00235247" w:rsidP="00777507">
      <w:pPr>
        <w:pStyle w:val="SingleTxtG"/>
        <w:spacing w:before="120"/>
        <w:rPr>
          <w:lang w:eastAsia="en-US"/>
        </w:rPr>
      </w:pPr>
      <w:r>
        <w:rPr>
          <w:lang w:eastAsia="en-US"/>
        </w:rPr>
        <w:t>132.</w:t>
      </w:r>
      <w:r>
        <w:rPr>
          <w:lang w:eastAsia="en-US"/>
        </w:rPr>
        <w:tab/>
      </w:r>
      <w:r w:rsidR="00B36B7E" w:rsidRPr="00B36B7E">
        <w:rPr>
          <w:lang w:eastAsia="en-US"/>
        </w:rPr>
        <w:t xml:space="preserve">Respecto </w:t>
      </w:r>
      <w:r w:rsidR="00B36B7E" w:rsidRPr="00B36B7E">
        <w:rPr>
          <w:lang w:val="es-BO" w:eastAsia="en-US"/>
        </w:rPr>
        <w:t>al aborto terapéutico, el sistema de salud en Bolivia cuenta con Normas y Protocolos Clínicos para el personal de salud sobre el empleo del Misoprostol en Ginecología y Obstetricia</w:t>
      </w:r>
      <w:r w:rsidR="00B36B7E" w:rsidRPr="00B36B7E">
        <w:rPr>
          <w:i/>
          <w:lang w:val="es-BO" w:eastAsia="en-US"/>
        </w:rPr>
        <w:t xml:space="preserve">. </w:t>
      </w:r>
    </w:p>
    <w:p w14:paraId="1B7A05E7" w14:textId="77777777" w:rsidR="00B36B7E" w:rsidRDefault="00DB2928" w:rsidP="00DB2928">
      <w:pPr>
        <w:pStyle w:val="H23G"/>
        <w:rPr>
          <w:lang w:eastAsia="en-US"/>
        </w:rPr>
      </w:pPr>
      <w:r>
        <w:rPr>
          <w:lang w:eastAsia="en-US"/>
        </w:rPr>
        <w:tab/>
      </w:r>
      <w:r>
        <w:rPr>
          <w:lang w:eastAsia="en-US"/>
        </w:rPr>
        <w:tab/>
      </w:r>
      <w:r w:rsidR="00B36B7E" w:rsidRPr="00B36B7E">
        <w:rPr>
          <w:lang w:eastAsia="en-US"/>
        </w:rPr>
        <w:t>Repuesta al párrafo 32</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33413820" w14:textId="77777777" w:rsidR="00B36B7E" w:rsidRDefault="00235247" w:rsidP="00777507">
      <w:pPr>
        <w:pStyle w:val="SingleTxtG"/>
        <w:spacing w:before="120"/>
        <w:rPr>
          <w:lang w:eastAsia="en-US"/>
        </w:rPr>
      </w:pPr>
      <w:r>
        <w:rPr>
          <w:lang w:eastAsia="en-US"/>
        </w:rPr>
        <w:t>133.</w:t>
      </w:r>
      <w:r>
        <w:rPr>
          <w:lang w:eastAsia="en-US"/>
        </w:rPr>
        <w:tab/>
      </w:r>
      <w:r w:rsidR="00B36B7E" w:rsidRPr="00B36B7E">
        <w:rPr>
          <w:lang w:eastAsia="en-US"/>
        </w:rPr>
        <w:t xml:space="preserve">El CNNA establece el derecho a la integridad personal y protección a las niñas, niños y adolescentes contra cualquier forma de violencia que afecte a su integridad física, psicológica y sexual, especificando que toda niña, niño y adolescente tiene derecho al </w:t>
      </w:r>
      <w:r w:rsidR="00430519">
        <w:rPr>
          <w:lang w:eastAsia="en-US"/>
        </w:rPr>
        <w:t>“</w:t>
      </w:r>
      <w:r w:rsidR="00B36B7E" w:rsidRPr="00B36B7E">
        <w:rPr>
          <w:lang w:eastAsia="en-US"/>
        </w:rPr>
        <w:t>buen trato</w:t>
      </w:r>
      <w:r w:rsidR="00430519">
        <w:rPr>
          <w:lang w:eastAsia="en-US"/>
        </w:rPr>
        <w:t>”</w:t>
      </w:r>
      <w:r w:rsidR="00B36B7E" w:rsidRPr="00B36B7E">
        <w:rPr>
          <w:lang w:eastAsia="en-US"/>
        </w:rPr>
        <w:t xml:space="preserve">, lo que comprende una crianza y educación no violenta, por lo que prohíbe cualquier tipo de castigo físico, violento y humillante. </w:t>
      </w:r>
    </w:p>
    <w:p w14:paraId="6812E8DB" w14:textId="77777777" w:rsidR="00B36B7E" w:rsidRDefault="00235247" w:rsidP="00777507">
      <w:pPr>
        <w:pStyle w:val="SingleTxtG"/>
        <w:spacing w:before="120"/>
        <w:rPr>
          <w:lang w:eastAsia="en-US"/>
        </w:rPr>
      </w:pPr>
      <w:r>
        <w:rPr>
          <w:lang w:eastAsia="en-US"/>
        </w:rPr>
        <w:t>134.</w:t>
      </w:r>
      <w:r>
        <w:rPr>
          <w:lang w:eastAsia="en-US"/>
        </w:rPr>
        <w:tab/>
      </w:r>
      <w:r w:rsidR="00B36B7E" w:rsidRPr="00B36B7E">
        <w:rPr>
          <w:lang w:eastAsia="en-US"/>
        </w:rPr>
        <w:t>Para proteger el derecho a la integridad personal, las Defensorías de la Niñez y Adolescencia tienen como atribución sin necesidad de mandato expreso, -aun en las poblaciones rurales y de los pueblos indígenas, originario campesino- interponer demandas, solicitudes, denuncias y recursos ante las autoridades competentes por conducta y hechos de violencia, infracciones, o delitos cometidos en contra de NNA.</w:t>
      </w:r>
    </w:p>
    <w:p w14:paraId="387C1378" w14:textId="77777777" w:rsidR="00B36B7E" w:rsidRDefault="00235247" w:rsidP="00777507">
      <w:pPr>
        <w:pStyle w:val="SingleTxtG"/>
        <w:spacing w:before="120"/>
        <w:rPr>
          <w:lang w:eastAsia="en-US"/>
        </w:rPr>
      </w:pPr>
      <w:r>
        <w:rPr>
          <w:lang w:eastAsia="en-US"/>
        </w:rPr>
        <w:t>135.</w:t>
      </w:r>
      <w:r>
        <w:rPr>
          <w:lang w:eastAsia="en-US"/>
        </w:rPr>
        <w:tab/>
      </w:r>
      <w:r w:rsidR="00B36B7E" w:rsidRPr="00B36B7E">
        <w:rPr>
          <w:lang w:eastAsia="en-US"/>
        </w:rPr>
        <w:t>Asimismo, el CNNA establece que las personas particulares y servidores públicos que tengan conocimiento de hechos de violencia en contra de niñas, niños y adolescentes están obligados a denunciarlos en un plazo máximo de 24 horas de conocido el hecho, ante la Defensoría de la Niñez y Adolescencia o cualquier otra autoridad competente.</w:t>
      </w:r>
    </w:p>
    <w:p w14:paraId="0B03AA61" w14:textId="77777777" w:rsidR="00B36B7E" w:rsidRDefault="00235247" w:rsidP="00777507">
      <w:pPr>
        <w:pStyle w:val="SingleTxtG"/>
        <w:spacing w:before="120"/>
        <w:rPr>
          <w:lang w:eastAsia="en-US"/>
        </w:rPr>
      </w:pPr>
      <w:r>
        <w:rPr>
          <w:lang w:eastAsia="en-US"/>
        </w:rPr>
        <w:t>136.</w:t>
      </w:r>
      <w:r>
        <w:rPr>
          <w:lang w:eastAsia="en-US"/>
        </w:rPr>
        <w:tab/>
      </w:r>
      <w:r w:rsidR="00B36B7E" w:rsidRPr="00B36B7E">
        <w:rPr>
          <w:lang w:eastAsia="en-US"/>
        </w:rPr>
        <w:t>Con relación a las campañas de prevención del castigo corporal, el Estado boliviano fijó la construcción de una cultura de buen trato, a través de la campaña</w:t>
      </w:r>
      <w:r w:rsidR="00DB2928">
        <w:rPr>
          <w:lang w:eastAsia="en-US"/>
        </w:rPr>
        <w:t xml:space="preserve"> </w:t>
      </w:r>
      <w:r w:rsidR="00B36B7E" w:rsidRPr="00B36B7E">
        <w:rPr>
          <w:lang w:eastAsia="en-US"/>
        </w:rPr>
        <w:t>#YoPorLaNiñez, basada en la difusión de mensajes de amor y protección a las niñas, niños y adolescentes, la prevención de delitos contra la niñez y adolescencia, el acceso a la justicia y la restitución de derechos a estas víctimas. En ese entendido, se firmaron acuerdos interinstitucionales con entidades descentralizadas del Estado promoviendo la concientización y sensibilización a la sociedad y a las familias para la construcción de una cultura de buen traro que rompa el ciclo de la violencia.</w:t>
      </w:r>
    </w:p>
    <w:p w14:paraId="26ABFF2A" w14:textId="77777777" w:rsidR="00B36B7E" w:rsidRDefault="00DB2928" w:rsidP="00DB2928">
      <w:pPr>
        <w:pStyle w:val="H1G"/>
        <w:rPr>
          <w:lang w:eastAsia="en-US"/>
        </w:rPr>
      </w:pPr>
      <w:r>
        <w:rPr>
          <w:lang w:eastAsia="en-US"/>
        </w:rPr>
        <w:tab/>
      </w:r>
      <w:r w:rsidR="00D57A5A">
        <w:rPr>
          <w:lang w:eastAsia="en-US"/>
        </w:rPr>
        <w:t>B</w:t>
      </w:r>
      <w:r>
        <w:rPr>
          <w:lang w:eastAsia="en-US"/>
        </w:rPr>
        <w:t>.</w:t>
      </w:r>
      <w:r>
        <w:rPr>
          <w:lang w:eastAsia="en-US"/>
        </w:rPr>
        <w:tab/>
      </w:r>
      <w:r w:rsidR="00B36B7E" w:rsidRPr="00B36B7E">
        <w:rPr>
          <w:lang w:eastAsia="en-US"/>
        </w:rPr>
        <w:t>Otras cuestiones</w:t>
      </w:r>
    </w:p>
    <w:p w14:paraId="2F68C361" w14:textId="77777777" w:rsidR="00B36B7E" w:rsidRDefault="00DB2928" w:rsidP="00DB2928">
      <w:pPr>
        <w:pStyle w:val="H23G"/>
        <w:rPr>
          <w:lang w:eastAsia="en-US"/>
        </w:rPr>
      </w:pPr>
      <w:r>
        <w:rPr>
          <w:lang w:eastAsia="en-US"/>
        </w:rPr>
        <w:tab/>
      </w:r>
      <w:r>
        <w:rPr>
          <w:lang w:eastAsia="en-US"/>
        </w:rPr>
        <w:tab/>
      </w:r>
      <w:r w:rsidR="00B36B7E" w:rsidRPr="00B36B7E">
        <w:rPr>
          <w:lang w:eastAsia="en-US"/>
        </w:rPr>
        <w:t>Repuesta al párrafo 33</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611C20E6" w14:textId="77777777" w:rsidR="00B36B7E" w:rsidRDefault="00235247" w:rsidP="00777507">
      <w:pPr>
        <w:pStyle w:val="SingleTxtG"/>
        <w:spacing w:before="120"/>
        <w:rPr>
          <w:lang w:eastAsia="en-US"/>
        </w:rPr>
      </w:pPr>
      <w:r>
        <w:rPr>
          <w:lang w:eastAsia="en-US"/>
        </w:rPr>
        <w:t>137.</w:t>
      </w:r>
      <w:r>
        <w:rPr>
          <w:lang w:eastAsia="en-US"/>
        </w:rPr>
        <w:tab/>
      </w:r>
      <w:r w:rsidR="00B36B7E" w:rsidRPr="00B36B7E">
        <w:rPr>
          <w:lang w:eastAsia="en-US"/>
        </w:rPr>
        <w:t xml:space="preserve">La FGE, mediante Resolución FGE/RJGP/DAJ 166/2017 de 3 de julio, de creación y reestructuración, implementó la Fiscalía Especializada contra el Crimen Organizado, </w:t>
      </w:r>
      <w:r w:rsidR="00B36B7E" w:rsidRPr="00B36B7E">
        <w:rPr>
          <w:lang w:eastAsia="en-US"/>
        </w:rPr>
        <w:lastRenderedPageBreak/>
        <w:t xml:space="preserve">Legitimación de Ganancias Ilícitas y Financiamiento al Terrorismo, misma que realiza seguimiento y coordinación con los Fiscales de Materia especializados que asumen la dirección funcional de todos los procesos a nivel nacional relacionados a los artículos 132 </w:t>
      </w:r>
      <w:r w:rsidR="00B36B7E" w:rsidRPr="00777507">
        <w:rPr>
          <w:i/>
          <w:lang w:eastAsia="en-US"/>
        </w:rPr>
        <w:t>bis</w:t>
      </w:r>
      <w:r w:rsidR="00B36B7E" w:rsidRPr="00B36B7E">
        <w:rPr>
          <w:lang w:eastAsia="en-US"/>
        </w:rPr>
        <w:t xml:space="preserve"> (Organización Criminal), 133 </w:t>
      </w:r>
      <w:r w:rsidR="00B36B7E" w:rsidRPr="00777507">
        <w:rPr>
          <w:i/>
          <w:lang w:eastAsia="en-US"/>
        </w:rPr>
        <w:t>bis</w:t>
      </w:r>
      <w:r w:rsidR="00B36B7E" w:rsidRPr="00B36B7E">
        <w:rPr>
          <w:lang w:eastAsia="en-US"/>
        </w:rPr>
        <w:t xml:space="preserve"> (Financiamiento al terrorismo) y 185 </w:t>
      </w:r>
      <w:r w:rsidR="00B36B7E" w:rsidRPr="00777507">
        <w:rPr>
          <w:i/>
          <w:lang w:eastAsia="en-US"/>
        </w:rPr>
        <w:t>bis</w:t>
      </w:r>
      <w:r w:rsidR="00B36B7E" w:rsidRPr="00B36B7E">
        <w:rPr>
          <w:lang w:eastAsia="en-US"/>
        </w:rPr>
        <w:t xml:space="preserve"> (Legitimación de Ganancias ilícitas), todos del CP.</w:t>
      </w:r>
    </w:p>
    <w:p w14:paraId="0F270E65" w14:textId="77777777" w:rsidR="00B36B7E" w:rsidRDefault="00235247" w:rsidP="00777507">
      <w:pPr>
        <w:pStyle w:val="SingleTxtG"/>
        <w:spacing w:before="120"/>
        <w:rPr>
          <w:lang w:eastAsia="en-US"/>
        </w:rPr>
      </w:pPr>
      <w:r>
        <w:rPr>
          <w:lang w:eastAsia="en-US"/>
        </w:rPr>
        <w:t>138.</w:t>
      </w:r>
      <w:r>
        <w:rPr>
          <w:lang w:eastAsia="en-US"/>
        </w:rPr>
        <w:tab/>
      </w:r>
      <w:r w:rsidR="00B36B7E" w:rsidRPr="00B36B7E">
        <w:rPr>
          <w:lang w:eastAsia="en-US"/>
        </w:rPr>
        <w:t>La Fiscalía Especializada contra el Crimen Organizado, Legitimación de Ganancias Ilícitas y Financiamiento al Terrorismo tiene el objetivo de coordinar y supervisar el ejercicio de la acción penal pública en delitos de crimen organizado, legitimación de ganancias ilícitas y financiamiento al terrorismo y ejercer la codirección funcional en determinados casos, dentro del marco de la política institucional.</w:t>
      </w:r>
    </w:p>
    <w:p w14:paraId="685FEF50" w14:textId="77777777" w:rsidR="00B36B7E" w:rsidRPr="00B36B7E" w:rsidRDefault="00235247" w:rsidP="00777507">
      <w:pPr>
        <w:pStyle w:val="SingleTxtG"/>
        <w:spacing w:before="120"/>
        <w:rPr>
          <w:lang w:eastAsia="en-US"/>
        </w:rPr>
      </w:pPr>
      <w:r w:rsidRPr="00B36B7E">
        <w:rPr>
          <w:lang w:eastAsia="en-US"/>
        </w:rPr>
        <w:t>139.</w:t>
      </w:r>
      <w:r w:rsidRPr="00B36B7E">
        <w:rPr>
          <w:lang w:eastAsia="en-US"/>
        </w:rPr>
        <w:tab/>
      </w:r>
      <w:r w:rsidR="00B36B7E" w:rsidRPr="00B36B7E">
        <w:rPr>
          <w:lang w:eastAsia="en-US"/>
        </w:rPr>
        <w:t xml:space="preserve">Con relación a denuncias por incumplimiento de las normas internacionales en aplicación de las medidas de lucha contra el terrorismo, cabe mencionar que la PGE, por mandato constitucional y legal ejerce la representación jurídica de la defensa legal del Estado; y en los </w:t>
      </w:r>
      <w:r w:rsidR="00B36B7E" w:rsidRPr="00B36B7E">
        <w:rPr>
          <w:bCs/>
          <w:lang w:eastAsia="en-US"/>
        </w:rPr>
        <w:t>casos en materia de derechos humanos</w:t>
      </w:r>
      <w:r w:rsidR="00B36B7E" w:rsidRPr="00B36B7E">
        <w:rPr>
          <w:lang w:eastAsia="en-US"/>
        </w:rPr>
        <w:t xml:space="preserve">, derivados de los tratados internacionales de derechos humanos de los que forma parte el Estado boliviano, ejerce la representación estatal ante la Comisión Interamericana de Derechos Humanos, peticiones que si bien derivan de procesos iniciados por delitos de terrorismo; empero, los peticionarios alegan </w:t>
      </w:r>
      <w:r w:rsidR="00B36B7E" w:rsidRPr="00B36B7E">
        <w:rPr>
          <w:lang w:val="es-MX" w:eastAsia="en-US"/>
        </w:rPr>
        <w:t xml:space="preserve">vulneraciones a derechos </w:t>
      </w:r>
      <w:r w:rsidR="00B36B7E" w:rsidRPr="00B36B7E">
        <w:rPr>
          <w:lang w:eastAsia="en-US"/>
        </w:rPr>
        <w:t>dentro de la sustanciación de los procesos tramitados.</w:t>
      </w:r>
    </w:p>
    <w:p w14:paraId="436CB9DD" w14:textId="77777777" w:rsidR="00B36B7E" w:rsidRPr="00B36B7E" w:rsidRDefault="00DB2928" w:rsidP="00DB2928">
      <w:pPr>
        <w:pStyle w:val="H23G"/>
        <w:rPr>
          <w:lang w:eastAsia="en-US"/>
        </w:rPr>
      </w:pPr>
      <w:r>
        <w:rPr>
          <w:lang w:eastAsia="en-US"/>
        </w:rPr>
        <w:tab/>
      </w:r>
      <w:r>
        <w:rPr>
          <w:lang w:eastAsia="en-US"/>
        </w:rPr>
        <w:tab/>
      </w:r>
      <w:r w:rsidR="00B36B7E" w:rsidRPr="00B36B7E">
        <w:rPr>
          <w:lang w:eastAsia="en-US"/>
        </w:rPr>
        <w:t>Repuesta al párrafo 34</w:t>
      </w:r>
      <w:r w:rsidR="00C130CA" w:rsidRPr="00C130CA">
        <w:rPr>
          <w:lang w:val="es-CU"/>
        </w:rPr>
        <w:t xml:space="preserve"> </w:t>
      </w:r>
      <w:r w:rsidR="00C130CA">
        <w:rPr>
          <w:lang w:val="es-CU"/>
        </w:rPr>
        <w:t>de la lista de</w:t>
      </w:r>
      <w:r w:rsidR="00C130CA">
        <w:rPr>
          <w:lang w:val="es-ES_tradnl"/>
        </w:rPr>
        <w:t xml:space="preserve"> </w:t>
      </w:r>
      <w:r w:rsidR="00C130CA" w:rsidRPr="00E9029D">
        <w:rPr>
          <w:lang w:val="es-ES_tradnl"/>
        </w:rPr>
        <w:t>cuestiones</w:t>
      </w:r>
    </w:p>
    <w:p w14:paraId="3D23190B" w14:textId="77777777" w:rsidR="00B36B7E" w:rsidRDefault="00DB2928" w:rsidP="00DB2928">
      <w:pPr>
        <w:pStyle w:val="H4G"/>
        <w:rPr>
          <w:rFonts w:eastAsia="SimSun"/>
        </w:rPr>
      </w:pPr>
      <w:r>
        <w:rPr>
          <w:rFonts w:eastAsia="SimSun"/>
        </w:rPr>
        <w:tab/>
      </w:r>
      <w:r>
        <w:rPr>
          <w:rFonts w:eastAsia="SimSun"/>
        </w:rPr>
        <w:tab/>
      </w:r>
      <w:r w:rsidR="00B36B7E" w:rsidRPr="00B36B7E">
        <w:rPr>
          <w:rFonts w:eastAsia="SimSun"/>
        </w:rPr>
        <w:t xml:space="preserve">Medidas adoptadas durante la pandemia de enfermedad por COVID-19 </w:t>
      </w:r>
    </w:p>
    <w:p w14:paraId="068498F6" w14:textId="77777777" w:rsidR="00B36B7E" w:rsidRDefault="00235247" w:rsidP="00777507">
      <w:pPr>
        <w:pStyle w:val="SingleTxtG"/>
        <w:spacing w:before="120"/>
        <w:rPr>
          <w:rFonts w:eastAsia="Libre Baskerville"/>
          <w:lang w:eastAsia="en-US"/>
        </w:rPr>
      </w:pPr>
      <w:r>
        <w:rPr>
          <w:rFonts w:eastAsia="Libre Baskerville"/>
          <w:lang w:eastAsia="en-US"/>
        </w:rPr>
        <w:t>140.</w:t>
      </w:r>
      <w:r>
        <w:rPr>
          <w:rFonts w:eastAsia="Libre Baskerville"/>
          <w:lang w:eastAsia="en-US"/>
        </w:rPr>
        <w:tab/>
      </w:r>
      <w:r w:rsidR="00B36B7E" w:rsidRPr="00B36B7E">
        <w:rPr>
          <w:rFonts w:eastAsia="Libre Baskerville"/>
          <w:lang w:eastAsia="en-US"/>
        </w:rPr>
        <w:t xml:space="preserve">Con la finalidad de continuar con la implementación de acciones de prevención y contención contra </w:t>
      </w:r>
      <w:r w:rsidR="00B36B7E" w:rsidRPr="00660E27">
        <w:rPr>
          <w:lang w:eastAsia="en-US"/>
        </w:rPr>
        <w:t>el</w:t>
      </w:r>
      <w:r w:rsidR="00B36B7E" w:rsidRPr="00B36B7E">
        <w:rPr>
          <w:rFonts w:eastAsia="Libre Baskerville"/>
          <w:lang w:eastAsia="en-US"/>
        </w:rPr>
        <w:t xml:space="preserve"> COVID-19, se vio necesario reducir el hacinamiento en los centros penitenciarios y permitir que </w:t>
      </w:r>
      <w:r w:rsidR="00B36B7E" w:rsidRPr="00B36B7E">
        <w:rPr>
          <w:lang w:eastAsia="en-US"/>
        </w:rPr>
        <w:t>PPL</w:t>
      </w:r>
      <w:r w:rsidR="00B36B7E" w:rsidRPr="00B36B7E">
        <w:rPr>
          <w:rFonts w:eastAsia="Libre Baskerville"/>
          <w:lang w:eastAsia="en-US"/>
        </w:rPr>
        <w:t xml:space="preserve"> a nivel nacional, pertenecientes a grupos vulnerables y de riesgo recuperen su libertad, a fin de evitar que el contagio del COVID-19 ponga en riesgo su vida, reduciendo además las posibilidades de contagio y propagación de esta enfermedad.</w:t>
      </w:r>
    </w:p>
    <w:p w14:paraId="27ECC04E" w14:textId="77777777" w:rsidR="00B36B7E" w:rsidRDefault="00235247" w:rsidP="00777507">
      <w:pPr>
        <w:pStyle w:val="SingleTxtG"/>
        <w:spacing w:before="120"/>
        <w:rPr>
          <w:rFonts w:eastAsia="Libre Baskerville"/>
          <w:lang w:eastAsia="en-US"/>
        </w:rPr>
      </w:pPr>
      <w:r>
        <w:rPr>
          <w:rFonts w:eastAsia="Libre Baskerville"/>
          <w:lang w:eastAsia="en-US"/>
        </w:rPr>
        <w:t>141.</w:t>
      </w:r>
      <w:r>
        <w:rPr>
          <w:rFonts w:eastAsia="Libre Baskerville"/>
          <w:lang w:eastAsia="en-US"/>
        </w:rPr>
        <w:tab/>
      </w:r>
      <w:r w:rsidR="00B36B7E" w:rsidRPr="00B36B7E">
        <w:rPr>
          <w:rFonts w:eastAsia="Libre Baskerville"/>
          <w:lang w:eastAsia="en-US"/>
        </w:rPr>
        <w:t xml:space="preserve">Es </w:t>
      </w:r>
      <w:r w:rsidR="00B36B7E" w:rsidRPr="00660E27">
        <w:rPr>
          <w:lang w:eastAsia="en-US"/>
        </w:rPr>
        <w:t>así</w:t>
      </w:r>
      <w:r w:rsidR="00B36B7E" w:rsidRPr="00B36B7E">
        <w:rPr>
          <w:rFonts w:eastAsia="Libre Baskerville"/>
          <w:lang w:eastAsia="en-US"/>
        </w:rPr>
        <w:t xml:space="preserve"> que mediante Decreto Presidencial 4226</w:t>
      </w:r>
      <w:r w:rsidR="00B36B7E" w:rsidRPr="00777507">
        <w:rPr>
          <w:rFonts w:eastAsia="Libre Baskerville"/>
          <w:sz w:val="18"/>
          <w:szCs w:val="18"/>
          <w:vertAlign w:val="superscript"/>
          <w:lang w:eastAsia="en-US"/>
        </w:rPr>
        <w:footnoteReference w:id="42"/>
      </w:r>
      <w:r w:rsidR="00B36B7E" w:rsidRPr="00B36B7E">
        <w:rPr>
          <w:rFonts w:eastAsia="Libre Baskerville"/>
          <w:lang w:eastAsia="en-US"/>
        </w:rPr>
        <w:t xml:space="preserve"> </w:t>
      </w:r>
      <w:r w:rsidR="00B36B7E" w:rsidRPr="00DB2928">
        <w:rPr>
          <w:rFonts w:eastAsia="Libre Baskerville"/>
        </w:rPr>
        <w:t>de Amnistía e Indulto por Razones Humanitarias y de Emergencia Sanitaria Nacional en todo el Territorio del Estado Plurinacional de Bolivia contra el Contagio y Propagación del COVID-19</w:t>
      </w:r>
      <w:r w:rsidR="00B36B7E" w:rsidRPr="00B36B7E">
        <w:rPr>
          <w:rFonts w:eastAsia="Libre Baskerville"/>
          <w:lang w:eastAsia="en-US"/>
        </w:rPr>
        <w:t>, se dispuso establecer la concesión de amnistía o indulto por razones humanitarias en el marco de la emergencia sanitaria nacional, en todo el territorio del Estado Plurinacional de Bolivia, contra el cont</w:t>
      </w:r>
      <w:r w:rsidR="00DB2928">
        <w:rPr>
          <w:rFonts w:eastAsia="Libre Baskerville"/>
          <w:lang w:eastAsia="en-US"/>
        </w:rPr>
        <w:t>agio y propagación del COVID-19</w:t>
      </w:r>
      <w:r w:rsidR="00B36B7E" w:rsidRPr="00777507">
        <w:rPr>
          <w:sz w:val="18"/>
          <w:szCs w:val="18"/>
          <w:vertAlign w:val="superscript"/>
          <w:lang w:eastAsia="en-US"/>
        </w:rPr>
        <w:footnoteReference w:id="43"/>
      </w:r>
      <w:r w:rsidR="00DB2928">
        <w:rPr>
          <w:rFonts w:eastAsia="Libre Baskerville"/>
          <w:lang w:eastAsia="en-US"/>
        </w:rPr>
        <w:t>.</w:t>
      </w:r>
    </w:p>
    <w:p w14:paraId="409A26E2" w14:textId="77777777" w:rsidR="00B36B7E" w:rsidRDefault="00235247" w:rsidP="00777507">
      <w:pPr>
        <w:pStyle w:val="SingleTxtG"/>
        <w:spacing w:before="120"/>
        <w:rPr>
          <w:rFonts w:eastAsia="Libre Baskerville"/>
          <w:lang w:eastAsia="en-US"/>
        </w:rPr>
      </w:pPr>
      <w:r>
        <w:rPr>
          <w:rFonts w:eastAsia="Libre Baskerville"/>
          <w:lang w:eastAsia="en-US"/>
        </w:rPr>
        <w:t>142.</w:t>
      </w:r>
      <w:r>
        <w:rPr>
          <w:rFonts w:eastAsia="Libre Baskerville"/>
          <w:lang w:eastAsia="en-US"/>
        </w:rPr>
        <w:tab/>
      </w:r>
      <w:r w:rsidR="00B36B7E" w:rsidRPr="00B36B7E">
        <w:rPr>
          <w:rFonts w:eastAsia="Libre Baskerville"/>
          <w:lang w:eastAsia="en-US"/>
        </w:rPr>
        <w:t xml:space="preserve">Por su lado, la DGRP, como instancia encargada del Sistema Nacional Penitenciario, ha </w:t>
      </w:r>
      <w:r w:rsidR="00B36B7E" w:rsidRPr="00660E27">
        <w:rPr>
          <w:lang w:eastAsia="en-US"/>
        </w:rPr>
        <w:t>asumido</w:t>
      </w:r>
      <w:r w:rsidR="00B36B7E" w:rsidRPr="00B36B7E">
        <w:rPr>
          <w:rFonts w:eastAsia="Libre Baskerville"/>
          <w:lang w:eastAsia="en-US"/>
        </w:rPr>
        <w:t xml:space="preserve"> una serie de acciones orientas a prevenir, contener y mitigar la propagación del COVID-19 en los Centros Penitenciarios de Bolivia, elaborando los siguientes instrumentos en los que se determinan medidas preventivas para el ingreso del virus, así como también actuaciones para cuando se presenten casos sospechosos y positivos:</w:t>
      </w:r>
    </w:p>
    <w:p w14:paraId="74D28EEE"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rFonts w:eastAsia="Libre Baskerville"/>
        </w:rPr>
        <w:t xml:space="preserve">Plan de Contención en Centros Penitenciarios </w:t>
      </w:r>
      <w:r w:rsidR="00DB2928">
        <w:rPr>
          <w:rFonts w:eastAsia="Libre Baskerville"/>
        </w:rPr>
        <w:t>de Bolivia frente al COVID-19</w:t>
      </w:r>
      <w:r w:rsidR="00210112">
        <w:rPr>
          <w:rFonts w:eastAsia="Libre Baskerville"/>
        </w:rPr>
        <w:t>.</w:t>
      </w:r>
    </w:p>
    <w:p w14:paraId="4CC230B4"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rFonts w:eastAsia="Libre Baskerville"/>
        </w:rPr>
        <w:t>Plan de Acción y Contingencia en Centros Peni</w:t>
      </w:r>
      <w:r w:rsidR="00DB2928">
        <w:rPr>
          <w:rFonts w:eastAsia="Libre Baskerville"/>
        </w:rPr>
        <w:t>tenciarios frente al COVID-19</w:t>
      </w:r>
      <w:r w:rsidR="00210112">
        <w:rPr>
          <w:rFonts w:eastAsia="Libre Baskerville"/>
        </w:rPr>
        <w:t>.</w:t>
      </w:r>
    </w:p>
    <w:p w14:paraId="50D34720"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rFonts w:eastAsia="Libre Baskerville"/>
        </w:rPr>
        <w:t xml:space="preserve">Plan de Intervención y Evacuación frente a la </w:t>
      </w:r>
      <w:r w:rsidR="00DB2928">
        <w:rPr>
          <w:rFonts w:eastAsia="Libre Baskerville"/>
        </w:rPr>
        <w:t>Emergencia Sanitaria de COVID-</w:t>
      </w:r>
      <w:r w:rsidR="00B36B7E" w:rsidRPr="00B36B7E">
        <w:rPr>
          <w:rFonts w:eastAsia="Libre Baskerville"/>
        </w:rPr>
        <w:t xml:space="preserve">19 en los Centros </w:t>
      </w:r>
      <w:r w:rsidR="00DB2928">
        <w:rPr>
          <w:rFonts w:eastAsia="Libre Baskerville"/>
        </w:rPr>
        <w:t>Penitenciarios de Bolivia</w:t>
      </w:r>
      <w:r w:rsidR="00210112">
        <w:rPr>
          <w:rFonts w:eastAsia="Libre Baskerville"/>
        </w:rPr>
        <w:t>.</w:t>
      </w:r>
    </w:p>
    <w:p w14:paraId="545C7961" w14:textId="77777777" w:rsidR="00B36B7E" w:rsidRDefault="00235247" w:rsidP="00777507">
      <w:pPr>
        <w:pStyle w:val="Bullet1G"/>
        <w:numPr>
          <w:ilvl w:val="0"/>
          <w:numId w:val="0"/>
        </w:numPr>
        <w:tabs>
          <w:tab w:val="left" w:pos="1701"/>
        </w:tabs>
        <w:ind w:left="1701" w:hanging="170"/>
      </w:pPr>
      <w:r>
        <w:t>•</w:t>
      </w:r>
      <w:r>
        <w:tab/>
      </w:r>
      <w:r w:rsidR="00B36B7E" w:rsidRPr="00B36B7E">
        <w:rPr>
          <w:rFonts w:eastAsia="Libre Baskerville"/>
        </w:rPr>
        <w:t>Protocolo de atención ante un caso sospechoso y confirmado de COVID-19 en Centros Penitenciaros del país.</w:t>
      </w:r>
    </w:p>
    <w:p w14:paraId="7AA96782" w14:textId="77777777" w:rsidR="00B36B7E" w:rsidRDefault="00235247" w:rsidP="00777507">
      <w:pPr>
        <w:pStyle w:val="SingleTxtG"/>
        <w:spacing w:before="120"/>
        <w:rPr>
          <w:rFonts w:eastAsia="Libre Baskerville"/>
          <w:lang w:eastAsia="en-US"/>
        </w:rPr>
      </w:pPr>
      <w:r>
        <w:rPr>
          <w:rFonts w:eastAsia="Libre Baskerville"/>
          <w:lang w:eastAsia="en-US"/>
        </w:rPr>
        <w:lastRenderedPageBreak/>
        <w:t>143.</w:t>
      </w:r>
      <w:r>
        <w:rPr>
          <w:rFonts w:eastAsia="Libre Baskerville"/>
          <w:lang w:eastAsia="en-US"/>
        </w:rPr>
        <w:tab/>
      </w:r>
      <w:r w:rsidR="00B36B7E" w:rsidRPr="00660E27">
        <w:rPr>
          <w:lang w:eastAsia="en-US"/>
        </w:rPr>
        <w:t>Asimismo</w:t>
      </w:r>
      <w:r w:rsidR="00B36B7E" w:rsidRPr="00B36B7E">
        <w:rPr>
          <w:rFonts w:eastAsia="Libre Baskerville"/>
          <w:lang w:eastAsia="en-US"/>
        </w:rPr>
        <w:t>, por medio del Área Administrativa de la DGRP se han destinado recursos para la compra de insumos de bioseguridad y de limpieza destinados a la población privada de libertad, personal administrativo y personal policial, desarrollándose asimismo reuniones de coordinación con los Servicios Departamentales de Salud (SEDES) en todos los departamentos del país, para determinar acciones frente a la Emergencia Sanitaria.</w:t>
      </w:r>
    </w:p>
    <w:p w14:paraId="4FF4EE4C" w14:textId="77777777" w:rsidR="00B36B7E" w:rsidRDefault="00235247" w:rsidP="00777507">
      <w:pPr>
        <w:pStyle w:val="SingleTxtG"/>
        <w:spacing w:before="120"/>
        <w:rPr>
          <w:rFonts w:eastAsia="Libre Baskerville"/>
          <w:lang w:eastAsia="en-US"/>
        </w:rPr>
      </w:pPr>
      <w:r>
        <w:rPr>
          <w:rFonts w:eastAsia="Libre Baskerville"/>
          <w:lang w:eastAsia="en-US"/>
        </w:rPr>
        <w:t>144.</w:t>
      </w:r>
      <w:r>
        <w:rPr>
          <w:rFonts w:eastAsia="Libre Baskerville"/>
          <w:lang w:eastAsia="en-US"/>
        </w:rPr>
        <w:tab/>
      </w:r>
      <w:r w:rsidR="00B36B7E" w:rsidRPr="00B36B7E">
        <w:rPr>
          <w:rFonts w:eastAsia="Libre Baskerville"/>
          <w:lang w:eastAsia="en-US"/>
        </w:rPr>
        <w:t xml:space="preserve">Adicionalmente, la alimentación de las </w:t>
      </w:r>
      <w:r w:rsidR="00B36B7E" w:rsidRPr="00B36B7E">
        <w:rPr>
          <w:lang w:eastAsia="en-US"/>
        </w:rPr>
        <w:t>PPL</w:t>
      </w:r>
      <w:r w:rsidR="00B36B7E" w:rsidRPr="00B36B7E">
        <w:rPr>
          <w:rFonts w:eastAsia="Libre Baskerville"/>
          <w:lang w:eastAsia="en-US"/>
        </w:rPr>
        <w:t xml:space="preserve"> ha estado garantizada durante toda la cuarentena, </w:t>
      </w:r>
      <w:r w:rsidR="00B36B7E" w:rsidRPr="00660E27">
        <w:rPr>
          <w:lang w:eastAsia="en-US"/>
        </w:rPr>
        <w:t>realizándose</w:t>
      </w:r>
      <w:r w:rsidR="00B36B7E" w:rsidRPr="00B36B7E">
        <w:rPr>
          <w:rFonts w:eastAsia="Libre Baskerville"/>
          <w:lang w:eastAsia="en-US"/>
        </w:rPr>
        <w:t xml:space="preserve"> a su vez todas las gestiones para la cancelación de la Renta Dignidad y Bonos (Canasta familiar, Bono Universal y Bono Familia) a la población privada de libertad.</w:t>
      </w:r>
    </w:p>
    <w:p w14:paraId="0266AE0F" w14:textId="77777777" w:rsidR="00B36B7E" w:rsidRDefault="00235247" w:rsidP="00777507">
      <w:pPr>
        <w:pStyle w:val="SingleTxtG"/>
        <w:spacing w:before="120"/>
        <w:rPr>
          <w:rFonts w:eastAsia="Libre Baskerville"/>
          <w:lang w:eastAsia="en-US"/>
        </w:rPr>
      </w:pPr>
      <w:r>
        <w:rPr>
          <w:rFonts w:eastAsia="Libre Baskerville"/>
          <w:lang w:eastAsia="en-US"/>
        </w:rPr>
        <w:t>145.</w:t>
      </w:r>
      <w:r>
        <w:rPr>
          <w:rFonts w:eastAsia="Libre Baskerville"/>
          <w:lang w:eastAsia="en-US"/>
        </w:rPr>
        <w:tab/>
      </w:r>
      <w:r w:rsidR="00B36B7E" w:rsidRPr="00B36B7E">
        <w:rPr>
          <w:rFonts w:eastAsia="Libre Baskerville"/>
          <w:lang w:eastAsia="en-US"/>
        </w:rPr>
        <w:t xml:space="preserve">Además, la DGRP con el objetivo de minimizar el impacto diferenciado que sufren las </w:t>
      </w:r>
      <w:r w:rsidR="00B36B7E" w:rsidRPr="00B36B7E">
        <w:rPr>
          <w:lang w:eastAsia="en-US"/>
        </w:rPr>
        <w:t>PPL</w:t>
      </w:r>
      <w:r w:rsidR="00B36B7E" w:rsidRPr="00B36B7E">
        <w:rPr>
          <w:rFonts w:eastAsia="Libre Baskerville"/>
          <w:lang w:eastAsia="en-US"/>
        </w:rPr>
        <w:t>, en el ámbito legal realizó las siguientes acciones:</w:t>
      </w:r>
    </w:p>
    <w:p w14:paraId="38301DC3"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rFonts w:eastAsia="Libre Baskerville"/>
        </w:rPr>
        <w:t>Instruyó que en los centros penitenciarios del país se habiliten espacios para la realización de las audiencias virtuales con la asignación de un equipo de computación, laptop o celular independiente, garantizando la conectividad del internet y la presencia de la PPL, esto con el objetivo de que las audiencias programadas se desarrollen, evitando la retardación de justicia de tal manera que los privados de libertad puedan acceder a una salida alternativa al proceso. Habiéndose realizado más de 500 audiencias virtuales, obteniendo como resultado que los privados de libertad accedan a la detención domiciliaria, libertad condicional o una medida sustit</w:t>
      </w:r>
      <w:r w:rsidR="00DB2928">
        <w:rPr>
          <w:rFonts w:eastAsia="Libre Baskerville"/>
        </w:rPr>
        <w:t>utiva a la detención preventiva</w:t>
      </w:r>
      <w:r w:rsidR="00B36B7E" w:rsidRPr="00777507">
        <w:rPr>
          <w:rFonts w:eastAsia="Libre Baskerville"/>
          <w:sz w:val="18"/>
          <w:szCs w:val="18"/>
          <w:vertAlign w:val="superscript"/>
        </w:rPr>
        <w:footnoteReference w:id="44"/>
      </w:r>
      <w:r w:rsidR="00210112">
        <w:rPr>
          <w:rFonts w:eastAsia="Libre Baskerville"/>
        </w:rPr>
        <w:t>.</w:t>
      </w:r>
    </w:p>
    <w:p w14:paraId="28F2910B"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rFonts w:eastAsia="Libre Baskerville"/>
        </w:rPr>
        <w:t>Instruyó a las Direcciones Departamentales de Régimen Penitenciario, el levantamiento de nóminas de PPL correspondientes a los grupos vulnerables, con la finalidad que sean puestas a conocimiento de los Tribunales Departamentales de Justicia y del SEPDEP, para que a través de los mismos soliciten alguna salida alternativa o arresto domiciliario</w:t>
      </w:r>
      <w:r w:rsidR="00B36B7E" w:rsidRPr="00777507">
        <w:rPr>
          <w:rFonts w:eastAsia="Libre Baskerville"/>
          <w:sz w:val="18"/>
          <w:szCs w:val="18"/>
          <w:vertAlign w:val="superscript"/>
        </w:rPr>
        <w:footnoteReference w:id="45"/>
      </w:r>
      <w:r w:rsidR="00210112">
        <w:rPr>
          <w:rFonts w:eastAsia="Libre Baskerville"/>
        </w:rPr>
        <w:t>.</w:t>
      </w:r>
    </w:p>
    <w:p w14:paraId="7CB31D3F"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rFonts w:eastAsia="Libre Baskerville"/>
        </w:rPr>
        <w:t>Instruyó levantar información respecto a la cantidad de audiencias virtuales realizadas en cada Centro Penitenciario; además de coordinar con los Tribunales Departamentales la realización de las Jornadas de Descongestionamiento Judicial y registrar y detallar solicitudes de amnistía e indulto</w:t>
      </w:r>
      <w:r w:rsidR="00B36B7E" w:rsidRPr="00777507">
        <w:rPr>
          <w:rFonts w:eastAsia="Libre Baskerville"/>
          <w:sz w:val="18"/>
          <w:szCs w:val="18"/>
          <w:vertAlign w:val="superscript"/>
        </w:rPr>
        <w:footnoteReference w:id="46"/>
      </w:r>
      <w:r w:rsidR="00210112">
        <w:rPr>
          <w:rFonts w:eastAsia="Libre Baskerville"/>
        </w:rPr>
        <w:t>.</w:t>
      </w:r>
    </w:p>
    <w:p w14:paraId="7E75FA4F" w14:textId="77777777" w:rsidR="00B36B7E" w:rsidRPr="00B36B7E" w:rsidRDefault="00235247" w:rsidP="00777507">
      <w:pPr>
        <w:pStyle w:val="Bullet1G"/>
        <w:numPr>
          <w:ilvl w:val="0"/>
          <w:numId w:val="0"/>
        </w:numPr>
        <w:tabs>
          <w:tab w:val="left" w:pos="1701"/>
        </w:tabs>
        <w:ind w:left="1701" w:hanging="170"/>
      </w:pPr>
      <w:r w:rsidRPr="00B36B7E">
        <w:t>•</w:t>
      </w:r>
      <w:r w:rsidRPr="00B36B7E">
        <w:tab/>
      </w:r>
      <w:r w:rsidR="00B36B7E" w:rsidRPr="00B36B7E">
        <w:rPr>
          <w:rFonts w:eastAsia="Libre Baskerville"/>
        </w:rPr>
        <w:t>Remitió al SEPDEP la nómina de posibles beneficiarios de amnistía e indulto, conforme al Decreto Presidencial 4226</w:t>
      </w:r>
      <w:r w:rsidR="00B36B7E" w:rsidRPr="00777507">
        <w:rPr>
          <w:rFonts w:eastAsia="Libre Baskerville"/>
          <w:sz w:val="18"/>
          <w:szCs w:val="18"/>
          <w:vertAlign w:val="superscript"/>
        </w:rPr>
        <w:footnoteReference w:id="47"/>
      </w:r>
      <w:r w:rsidR="00B36B7E" w:rsidRPr="00B36B7E">
        <w:rPr>
          <w:rFonts w:eastAsia="Libre Baskerville"/>
        </w:rPr>
        <w:t>; y trabajar de forma coordinada entre las Direcciones Departamentales de Régimen Penitenciario y los abogados del SEPDEP</w:t>
      </w:r>
      <w:r w:rsidR="00B36B7E" w:rsidRPr="00777507">
        <w:rPr>
          <w:rFonts w:eastAsia="Libre Baskerville"/>
          <w:sz w:val="18"/>
          <w:szCs w:val="18"/>
          <w:vertAlign w:val="superscript"/>
        </w:rPr>
        <w:footnoteReference w:id="48"/>
      </w:r>
      <w:r w:rsidR="00B36B7E" w:rsidRPr="00B36B7E">
        <w:rPr>
          <w:rFonts w:eastAsia="Libre Baskerville"/>
        </w:rPr>
        <w:t>.</w:t>
      </w:r>
    </w:p>
    <w:p w14:paraId="0F10B5CB" w14:textId="77777777" w:rsidR="00381C24" w:rsidRDefault="00235247" w:rsidP="00777507">
      <w:pPr>
        <w:pStyle w:val="SingleTxtG"/>
        <w:spacing w:before="120"/>
        <w:rPr>
          <w:rFonts w:eastAsia="Libre Baskerville"/>
          <w:lang w:eastAsia="en-US"/>
        </w:rPr>
      </w:pPr>
      <w:r>
        <w:rPr>
          <w:rFonts w:eastAsia="Libre Baskerville"/>
          <w:lang w:eastAsia="en-US"/>
        </w:rPr>
        <w:t>146.</w:t>
      </w:r>
      <w:r>
        <w:rPr>
          <w:rFonts w:eastAsia="Libre Baskerville"/>
          <w:lang w:eastAsia="en-US"/>
        </w:rPr>
        <w:tab/>
      </w:r>
      <w:r w:rsidR="00B36B7E" w:rsidRPr="00B36B7E">
        <w:rPr>
          <w:rFonts w:eastAsia="Libre Baskerville"/>
          <w:lang w:eastAsia="en-US"/>
        </w:rPr>
        <w:t xml:space="preserve">En </w:t>
      </w:r>
      <w:r w:rsidR="00B36B7E" w:rsidRPr="00660E27">
        <w:rPr>
          <w:lang w:eastAsia="en-US"/>
        </w:rPr>
        <w:t>coordinación</w:t>
      </w:r>
      <w:r w:rsidR="00B36B7E" w:rsidRPr="00B36B7E">
        <w:rPr>
          <w:rFonts w:eastAsia="Libre Baskerville"/>
          <w:lang w:eastAsia="en-US"/>
        </w:rPr>
        <w:t xml:space="preserve"> con los Tribunales Departamentales de Justicia, FGE y SEPDEP se viene llevando adelante las Jornadas de Descongestionamiento Judicial en las cuales se identifican a los privados de libertad por el tipo de delito, tiempo de permanencia u otros datos, para la realización de audiencias y que puedan optar por alguna salida alternativa y obtener su libertad inmediata o algún otro beneficio penitenciario.</w:t>
      </w:r>
    </w:p>
    <w:p w14:paraId="0F1AE16D" w14:textId="77777777" w:rsidR="00DB2928" w:rsidRPr="00DB2928" w:rsidRDefault="00DB2928" w:rsidP="00DB2928">
      <w:pPr>
        <w:pStyle w:val="SingleTxtG"/>
        <w:suppressAutoHyphens/>
        <w:spacing w:before="240" w:after="0"/>
        <w:jc w:val="center"/>
        <w:rPr>
          <w:u w:val="single"/>
        </w:rPr>
      </w:pPr>
      <w:bookmarkStart w:id="0" w:name="_GoBack"/>
      <w:bookmarkEnd w:id="0"/>
      <w:r>
        <w:rPr>
          <w:rFonts w:eastAsia="Libre Baskerville"/>
          <w:u w:val="single"/>
          <w:lang w:eastAsia="en-US"/>
        </w:rPr>
        <w:tab/>
      </w:r>
      <w:r>
        <w:rPr>
          <w:rFonts w:eastAsia="Libre Baskerville"/>
          <w:u w:val="single"/>
          <w:lang w:eastAsia="en-US"/>
        </w:rPr>
        <w:tab/>
      </w:r>
      <w:r w:rsidR="00210112">
        <w:rPr>
          <w:rFonts w:eastAsia="Libre Baskerville"/>
          <w:u w:val="single"/>
          <w:lang w:eastAsia="en-US"/>
        </w:rPr>
        <w:tab/>
      </w:r>
    </w:p>
    <w:sectPr w:rsidR="00DB2928" w:rsidRPr="00DB2928" w:rsidSect="00E56EE3">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36E3" w14:textId="77777777" w:rsidR="00C00146" w:rsidRDefault="00C00146">
      <w:pPr>
        <w:spacing w:line="240" w:lineRule="auto"/>
      </w:pPr>
      <w:r>
        <w:separator/>
      </w:r>
    </w:p>
  </w:endnote>
  <w:endnote w:type="continuationSeparator" w:id="0">
    <w:p w14:paraId="52DF911C" w14:textId="77777777" w:rsidR="00C00146" w:rsidRDefault="00C00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e Baskervill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3656" w14:textId="77777777" w:rsidR="00235247" w:rsidRDefault="00235247" w:rsidP="00F90511">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2F6D32">
      <w:rPr>
        <w:b/>
        <w:noProof/>
        <w:sz w:val="18"/>
      </w:rPr>
      <w:t>2</w:t>
    </w:r>
    <w:r w:rsidRPr="001A4396">
      <w:rPr>
        <w:b/>
        <w:sz w:val="18"/>
      </w:rPr>
      <w:fldChar w:fldCharType="end"/>
    </w:r>
    <w:r>
      <w:rPr>
        <w:b/>
        <w:sz w:val="18"/>
      </w:rPr>
      <w:tab/>
    </w:r>
  </w:p>
  <w:p w14:paraId="033F2B6E" w14:textId="77777777" w:rsidR="00235247" w:rsidRDefault="002352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7EE8" w14:textId="77777777" w:rsidR="00235247" w:rsidRDefault="00235247"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2F6D32">
      <w:rPr>
        <w:b/>
        <w:noProof/>
        <w:sz w:val="18"/>
      </w:rPr>
      <w:t>3</w:t>
    </w:r>
    <w:r w:rsidRPr="001A4396">
      <w:rPr>
        <w:b/>
        <w:sz w:val="18"/>
      </w:rPr>
      <w:fldChar w:fldCharType="end"/>
    </w:r>
  </w:p>
  <w:p w14:paraId="424A410E" w14:textId="77777777" w:rsidR="00235247" w:rsidRDefault="002352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CC52" w14:textId="77777777" w:rsidR="00235247" w:rsidRPr="00945D44" w:rsidRDefault="00945D44" w:rsidP="00945D44">
    <w:pPr>
      <w:pStyle w:val="Piedepgina"/>
      <w:spacing w:before="120" w:line="240" w:lineRule="auto"/>
      <w:rPr>
        <w:sz w:val="20"/>
      </w:rPr>
    </w:pPr>
    <w:proofErr w:type="spellStart"/>
    <w:r>
      <w:rPr>
        <w:sz w:val="20"/>
      </w:rPr>
      <w:t>GE.20</w:t>
    </w:r>
    <w:proofErr w:type="spellEnd"/>
    <w:r>
      <w:rPr>
        <w:sz w:val="20"/>
      </w:rPr>
      <w:t>-</w:t>
    </w:r>
    <w:proofErr w:type="gramStart"/>
    <w:r>
      <w:rPr>
        <w:sz w:val="20"/>
      </w:rPr>
      <w:t>12933  (</w:t>
    </w:r>
    <w:proofErr w:type="gramEnd"/>
    <w:r>
      <w:rPr>
        <w:sz w:val="20"/>
      </w:rPr>
      <w:t>S)</w:t>
    </w:r>
    <w:r>
      <w:rPr>
        <w:sz w:val="20"/>
      </w:rPr>
      <w:br/>
    </w:r>
    <w:r w:rsidRPr="00945D44">
      <w:rPr>
        <w:rFonts w:ascii="C39T30Lfz" w:hAnsi="C39T30Lfz"/>
        <w:sz w:val="56"/>
      </w:rPr>
      <w:t>*2012933*</w:t>
    </w:r>
    <w:r w:rsidRPr="00945D44">
      <w:rPr>
        <w:rFonts w:ascii="C39T30Lfz" w:hAnsi="C39T30Lfz"/>
        <w:noProof/>
        <w:sz w:val="56"/>
        <w:lang w:val="fr-CH" w:eastAsia="zh-CN"/>
      </w:rPr>
      <w:drawing>
        <wp:anchor distT="0" distB="0" distL="114300" distR="114300" simplePos="0" relativeHeight="251660288" behindDoc="0" locked="1" layoutInCell="1" allowOverlap="1" wp14:anchorId="0CC7D504" wp14:editId="6943AA68">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63ED3B36" wp14:editId="1F0561E2">
          <wp:simplePos x="0" y="0"/>
          <wp:positionH relativeFrom="margin">
            <wp:posOffset>5489575</wp:posOffset>
          </wp:positionH>
          <wp:positionV relativeFrom="margin">
            <wp:posOffset>8891905</wp:posOffset>
          </wp:positionV>
          <wp:extent cx="561975" cy="561975"/>
          <wp:effectExtent l="0" t="0" r="9525" b="952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2C37" w14:textId="77777777" w:rsidR="00C00146" w:rsidRPr="001075E9" w:rsidRDefault="00C00146" w:rsidP="001075E9">
      <w:pPr>
        <w:tabs>
          <w:tab w:val="right" w:pos="2155"/>
        </w:tabs>
        <w:spacing w:after="80" w:line="240" w:lineRule="auto"/>
        <w:ind w:left="680"/>
        <w:rPr>
          <w:u w:val="single"/>
        </w:rPr>
      </w:pPr>
      <w:r>
        <w:rPr>
          <w:u w:val="single"/>
        </w:rPr>
        <w:tab/>
      </w:r>
    </w:p>
  </w:footnote>
  <w:footnote w:type="continuationSeparator" w:id="0">
    <w:p w14:paraId="3F5682EC" w14:textId="77777777" w:rsidR="00C00146" w:rsidRDefault="00C00146" w:rsidP="00407B78">
      <w:pPr>
        <w:tabs>
          <w:tab w:val="right" w:pos="2155"/>
        </w:tabs>
        <w:spacing w:after="80"/>
        <w:ind w:left="680"/>
        <w:rPr>
          <w:u w:val="single"/>
        </w:rPr>
      </w:pPr>
      <w:r>
        <w:rPr>
          <w:u w:val="single"/>
        </w:rPr>
        <w:tab/>
      </w:r>
    </w:p>
  </w:footnote>
  <w:footnote w:id="1">
    <w:p w14:paraId="2C88D7B8" w14:textId="77777777" w:rsidR="00235247" w:rsidRPr="00F63C43" w:rsidRDefault="00235247" w:rsidP="00E41208">
      <w:pPr>
        <w:pStyle w:val="Textonotapie"/>
        <w:rPr>
          <w:sz w:val="20"/>
        </w:rPr>
      </w:pPr>
      <w:r>
        <w:tab/>
      </w:r>
      <w:r w:rsidRPr="00F63C43">
        <w:rPr>
          <w:rStyle w:val="Refdenotaalpie"/>
          <w:sz w:val="20"/>
          <w:vertAlign w:val="baseline"/>
        </w:rPr>
        <w:t>*</w:t>
      </w:r>
      <w:r w:rsidRPr="00F63C43">
        <w:tab/>
      </w:r>
      <w:r w:rsidRPr="004C5304">
        <w:t>El presente documento se publica sin haber sido objeto de revisión editorial oficial.</w:t>
      </w:r>
    </w:p>
  </w:footnote>
  <w:footnote w:id="2">
    <w:p w14:paraId="18C885AA"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Creado mediante Convenio interinstitucional de 1 de diciembre de 2015, para la Elaboración, Presentación y Defensa de Informes del Estado Plurinacional de Bolivia, conformado por el Ministerio de Justicia y Transparencia Institucional, Ministerio de Relaciones Exteriores y Procuraduría General del Estado.</w:t>
      </w:r>
    </w:p>
  </w:footnote>
  <w:footnote w:id="3">
    <w:p w14:paraId="5FBC79BC"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Decreto Supremo 2082 de 21 de agosto de 2014</w:t>
      </w:r>
      <w:r>
        <w:rPr>
          <w:szCs w:val="18"/>
        </w:rPr>
        <w:t>.</w:t>
      </w:r>
    </w:p>
  </w:footnote>
  <w:footnote w:id="4">
    <w:p w14:paraId="5C971D3A"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Ley 2298 de 20 de diciembre de 2001</w:t>
      </w:r>
      <w:r>
        <w:rPr>
          <w:szCs w:val="18"/>
        </w:rPr>
        <w:t>.</w:t>
      </w:r>
    </w:p>
  </w:footnote>
  <w:footnote w:id="5">
    <w:p w14:paraId="2C49248C"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CPE, artículo 180. II. Se garantiza el principio de impugnación en los procesos judiciales.</w:t>
      </w:r>
    </w:p>
  </w:footnote>
  <w:footnote w:id="6">
    <w:p w14:paraId="0D0BC69C"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CPE, artículo 125. Toda persona que considere que su vida está en peligro, que es ilegalmente perseguida, o que es indebidamente procesada o privada de libertad personal, podrá interponer Acción de Libertad y acudir, de manera oral o escrita, por sí o por cualquiera a su nombre y sin ninguna formalidad procesal, ante cualquier juez o tribunal competente en materia penal, y solicitará que se guarde tutela a su vida, cese la persecución indebida, se restablezcan las formalidades legales o se restituya su derecho a la libertad.</w:t>
      </w:r>
    </w:p>
  </w:footnote>
  <w:footnote w:id="7">
    <w:p w14:paraId="17CF078C"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Ley 254 de 5 de junio de 2012.</w:t>
      </w:r>
    </w:p>
  </w:footnote>
  <w:footnote w:id="8">
    <w:p w14:paraId="7C613429"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Decreto Supremo 26715 de 26 de julio de 2002.</w:t>
      </w:r>
    </w:p>
  </w:footnote>
  <w:footnote w:id="9">
    <w:p w14:paraId="381B12D7"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Ley del</w:t>
      </w:r>
      <w:r w:rsidRPr="00587CC3">
        <w:rPr>
          <w:b/>
          <w:bCs/>
          <w:szCs w:val="18"/>
        </w:rPr>
        <w:t xml:space="preserve"> </w:t>
      </w:r>
      <w:r w:rsidRPr="00587CC3">
        <w:rPr>
          <w:bCs/>
          <w:szCs w:val="18"/>
        </w:rPr>
        <w:t>Servicio para la Prevención de la Tortura, Ley 474</w:t>
      </w:r>
      <w:r>
        <w:rPr>
          <w:bCs/>
          <w:szCs w:val="18"/>
        </w:rPr>
        <w:t xml:space="preserve"> de</w:t>
      </w:r>
      <w:r w:rsidRPr="00587CC3">
        <w:rPr>
          <w:bCs/>
          <w:szCs w:val="18"/>
        </w:rPr>
        <w:t xml:space="preserve"> 30 de diciembre de 2013.</w:t>
      </w:r>
    </w:p>
  </w:footnote>
  <w:footnote w:id="10">
    <w:p w14:paraId="01AE8505" w14:textId="77777777" w:rsidR="00235247" w:rsidRPr="00587CC3" w:rsidRDefault="00235247" w:rsidP="00DC4138">
      <w:pPr>
        <w:pStyle w:val="Textonotapie"/>
      </w:pPr>
      <w:r>
        <w:tab/>
      </w:r>
      <w:r w:rsidRPr="00587CC3">
        <w:rPr>
          <w:rStyle w:val="Refdenotaalpie"/>
          <w:szCs w:val="18"/>
        </w:rPr>
        <w:footnoteRef/>
      </w:r>
      <w:r w:rsidRPr="00587CC3">
        <w:t xml:space="preserve"> </w:t>
      </w:r>
      <w:r>
        <w:tab/>
      </w:r>
      <w:r w:rsidRPr="00587CC3">
        <w:t>Decreto Supremo 3774 de 16 de enero de 2019</w:t>
      </w:r>
      <w:r>
        <w:t>.</w:t>
      </w:r>
    </w:p>
  </w:footnote>
  <w:footnote w:id="11">
    <w:p w14:paraId="1F31CC29"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DS 2145 de 14 de octubre de 2014</w:t>
      </w:r>
      <w:r>
        <w:rPr>
          <w:szCs w:val="18"/>
        </w:rPr>
        <w:t>.</w:t>
      </w:r>
    </w:p>
  </w:footnote>
  <w:footnote w:id="12">
    <w:p w14:paraId="54721557"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Ley 348 de 9 de marzo de 2013, Ley Integral para Garantizar a las Mujeres una Vida Libre de Violencia.</w:t>
      </w:r>
    </w:p>
  </w:footnote>
  <w:footnote w:id="13">
    <w:p w14:paraId="37A99049" w14:textId="77777777" w:rsidR="00235247" w:rsidRPr="00587CC3" w:rsidRDefault="00235247" w:rsidP="00DC4138">
      <w:pPr>
        <w:pStyle w:val="Textonotapie"/>
      </w:pPr>
      <w:r>
        <w:tab/>
      </w:r>
      <w:r w:rsidRPr="00587CC3">
        <w:rPr>
          <w:rStyle w:val="Refdenotaalpie"/>
          <w:szCs w:val="18"/>
        </w:rPr>
        <w:footnoteRef/>
      </w:r>
      <w:r w:rsidRPr="00587CC3">
        <w:t xml:space="preserve"> </w:t>
      </w:r>
      <w:r>
        <w:tab/>
      </w:r>
      <w:r w:rsidRPr="00587CC3">
        <w:t>Aprobado por Resolución Minister</w:t>
      </w:r>
      <w:r>
        <w:t>ial 154/2019 el 31 de diciembre</w:t>
      </w:r>
      <w:r w:rsidRPr="00587CC3">
        <w:t>.</w:t>
      </w:r>
    </w:p>
  </w:footnote>
  <w:footnote w:id="14">
    <w:p w14:paraId="7F1106A6" w14:textId="77777777" w:rsidR="00235247" w:rsidRPr="00587CC3" w:rsidRDefault="00235247" w:rsidP="00DC4138">
      <w:pPr>
        <w:pStyle w:val="Textonotapie"/>
      </w:pPr>
      <w:r>
        <w:tab/>
      </w:r>
      <w:r w:rsidRPr="00587CC3">
        <w:rPr>
          <w:rStyle w:val="Refdenotaalpie"/>
          <w:szCs w:val="18"/>
        </w:rPr>
        <w:footnoteRef/>
      </w:r>
      <w:r w:rsidRPr="00587CC3">
        <w:t xml:space="preserve"> </w:t>
      </w:r>
      <w:r>
        <w:tab/>
      </w:r>
      <w:r w:rsidRPr="00587CC3">
        <w:t>Ley 1173 de 8 de mayo de 2019</w:t>
      </w:r>
      <w:r>
        <w:t>.</w:t>
      </w:r>
    </w:p>
  </w:footnote>
  <w:footnote w:id="15">
    <w:p w14:paraId="4B390F1B"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Año de la promulgación de la Ley 348.</w:t>
      </w:r>
    </w:p>
  </w:footnote>
  <w:footnote w:id="16">
    <w:p w14:paraId="670561F0" w14:textId="77777777" w:rsidR="00235247" w:rsidRPr="00587CC3" w:rsidRDefault="00235247" w:rsidP="00DC4138">
      <w:pPr>
        <w:pStyle w:val="Textonotapie"/>
        <w:rPr>
          <w:lang w:val="es-BO"/>
        </w:rPr>
      </w:pPr>
      <w:r>
        <w:tab/>
      </w:r>
      <w:r w:rsidRPr="00587CC3">
        <w:rPr>
          <w:rStyle w:val="Refdenotaalpie"/>
          <w:szCs w:val="18"/>
        </w:rPr>
        <w:footnoteRef/>
      </w:r>
      <w:r w:rsidRPr="00587CC3">
        <w:t xml:space="preserve"> </w:t>
      </w:r>
      <w:r>
        <w:tab/>
      </w:r>
      <w:r w:rsidRPr="00587CC3">
        <w:rPr>
          <w:lang w:val="es-BO"/>
        </w:rPr>
        <w:t xml:space="preserve">Con la ONG Alianza de Noruega en </w:t>
      </w:r>
      <w:r w:rsidRPr="00DC4138">
        <w:t>Bolivia</w:t>
      </w:r>
      <w:r w:rsidRPr="00587CC3">
        <w:rPr>
          <w:lang w:val="es-BO"/>
        </w:rPr>
        <w:t>.</w:t>
      </w:r>
    </w:p>
  </w:footnote>
  <w:footnote w:id="17">
    <w:p w14:paraId="548B19F0" w14:textId="77777777" w:rsidR="00235247" w:rsidRPr="00587CC3" w:rsidRDefault="00235247" w:rsidP="00DC4138">
      <w:pPr>
        <w:pStyle w:val="Textonotapie"/>
      </w:pPr>
      <w:r>
        <w:tab/>
      </w:r>
      <w:r w:rsidRPr="00587CC3">
        <w:rPr>
          <w:rStyle w:val="Refdenotaalpie"/>
          <w:szCs w:val="18"/>
        </w:rPr>
        <w:footnoteRef/>
      </w:r>
      <w:r w:rsidRPr="00587CC3">
        <w:t xml:space="preserve"> </w:t>
      </w:r>
      <w:r>
        <w:tab/>
      </w:r>
      <w:r w:rsidRPr="00587CC3">
        <w:t>Artículo 154 de la Ley 548 de 17 de julio de 2014, Código Niña, Niño y Adolescente.</w:t>
      </w:r>
    </w:p>
  </w:footnote>
  <w:footnote w:id="18">
    <w:p w14:paraId="776EFFA6"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Ley 263 de 31 de julio de 2012.</w:t>
      </w:r>
    </w:p>
  </w:footnote>
  <w:footnote w:id="19">
    <w:p w14:paraId="78527FFB" w14:textId="77777777" w:rsidR="00235247" w:rsidRPr="00587CC3" w:rsidRDefault="00235247" w:rsidP="00B36B7E">
      <w:pPr>
        <w:pStyle w:val="Textonotapie"/>
        <w:jc w:val="both"/>
        <w:rPr>
          <w:szCs w:val="18"/>
          <w:lang w:val="es-BO"/>
        </w:rPr>
      </w:pPr>
      <w:r>
        <w:rPr>
          <w:szCs w:val="18"/>
        </w:rPr>
        <w:tab/>
      </w:r>
      <w:r w:rsidRPr="00587CC3">
        <w:rPr>
          <w:rStyle w:val="Refdenotaalpie"/>
          <w:szCs w:val="18"/>
        </w:rPr>
        <w:footnoteRef/>
      </w:r>
      <w:r w:rsidRPr="00587CC3">
        <w:rPr>
          <w:szCs w:val="18"/>
        </w:rPr>
        <w:t xml:space="preserve"> </w:t>
      </w:r>
      <w:r>
        <w:rPr>
          <w:szCs w:val="18"/>
        </w:rPr>
        <w:tab/>
      </w:r>
      <w:r w:rsidRPr="00587CC3">
        <w:rPr>
          <w:szCs w:val="18"/>
          <w:lang w:val="es-BO"/>
        </w:rPr>
        <w:t>Suscrito el 23 de junio de 2015 y ratificado mediante Ley 765 de 11 de diciembre de 2015.</w:t>
      </w:r>
    </w:p>
  </w:footnote>
  <w:footnote w:id="20">
    <w:p w14:paraId="1004C9FB" w14:textId="77777777" w:rsidR="00235247" w:rsidRPr="00587CC3" w:rsidRDefault="00235247" w:rsidP="00DC4138">
      <w:pPr>
        <w:pStyle w:val="Textonotapie"/>
      </w:pPr>
      <w:r>
        <w:tab/>
      </w:r>
      <w:r w:rsidRPr="00587CC3">
        <w:rPr>
          <w:rStyle w:val="Refdenotaalpie"/>
          <w:szCs w:val="18"/>
        </w:rPr>
        <w:footnoteRef/>
      </w:r>
      <w:r w:rsidRPr="00587CC3">
        <w:t xml:space="preserve"> </w:t>
      </w:r>
      <w:r>
        <w:tab/>
      </w:r>
      <w:r w:rsidRPr="00587CC3">
        <w:t>Suscrito el 15 de julio de 2015 y ratificado mediante Ley 787 de 28 de marzo de 2016.</w:t>
      </w:r>
    </w:p>
  </w:footnote>
  <w:footnote w:id="21">
    <w:p w14:paraId="22C55729" w14:textId="27307BA8"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 xml:space="preserve">Dirección General de Migración (DIGEMIG) Autorización de Ingreso por Turismo o Visita, disponible en: </w:t>
      </w:r>
      <w:hyperlink r:id="rId1" w:history="1">
        <w:r w:rsidRPr="00587CC3">
          <w:rPr>
            <w:rStyle w:val="Hipervnculo"/>
            <w:szCs w:val="18"/>
          </w:rPr>
          <w:t>https://</w:t>
        </w:r>
        <w:proofErr w:type="spellStart"/>
        <w:r w:rsidRPr="00587CC3">
          <w:rPr>
            <w:rStyle w:val="Hipervnculo"/>
            <w:szCs w:val="18"/>
          </w:rPr>
          <w:t>www.migracion.gob.bo</w:t>
        </w:r>
        <w:proofErr w:type="spellEnd"/>
        <w:r w:rsidRPr="00587CC3">
          <w:rPr>
            <w:rStyle w:val="Hipervnculo"/>
            <w:szCs w:val="18"/>
          </w:rPr>
          <w:t>/</w:t>
        </w:r>
        <w:proofErr w:type="spellStart"/>
        <w:r w:rsidRPr="00587CC3">
          <w:rPr>
            <w:rStyle w:val="Hipervnculo"/>
            <w:szCs w:val="18"/>
          </w:rPr>
          <w:t>index.php?r</w:t>
        </w:r>
        <w:proofErr w:type="spellEnd"/>
        <w:r w:rsidRPr="00587CC3">
          <w:rPr>
            <w:rStyle w:val="Hipervnculo"/>
            <w:szCs w:val="18"/>
          </w:rPr>
          <w:t>=page/</w:t>
        </w:r>
        <w:proofErr w:type="spellStart"/>
        <w:r w:rsidRPr="00587CC3">
          <w:rPr>
            <w:rStyle w:val="Hipervnculo"/>
            <w:szCs w:val="18"/>
          </w:rPr>
          <w:t>detail&amp;id</w:t>
        </w:r>
        <w:proofErr w:type="spellEnd"/>
        <w:r w:rsidRPr="00587CC3">
          <w:rPr>
            <w:rStyle w:val="Hipervnculo"/>
            <w:szCs w:val="18"/>
          </w:rPr>
          <w:t>=105</w:t>
        </w:r>
      </w:hyperlink>
      <w:r>
        <w:rPr>
          <w:rStyle w:val="Hipervnculo"/>
          <w:color w:val="auto"/>
          <w:szCs w:val="18"/>
        </w:rPr>
        <w:t>.</w:t>
      </w:r>
    </w:p>
  </w:footnote>
  <w:footnote w:id="22">
    <w:p w14:paraId="07AD837C"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Ley 251 de 20 de junio de 2012</w:t>
      </w:r>
      <w:r>
        <w:rPr>
          <w:szCs w:val="18"/>
        </w:rPr>
        <w:t>.</w:t>
      </w:r>
    </w:p>
  </w:footnote>
  <w:footnote w:id="23">
    <w:p w14:paraId="2699D961"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Decreto Supremo 1440 de 19 de diciembre de 2012</w:t>
      </w:r>
      <w:r>
        <w:rPr>
          <w:szCs w:val="18"/>
        </w:rPr>
        <w:t>.</w:t>
      </w:r>
    </w:p>
  </w:footnote>
  <w:footnote w:id="24">
    <w:p w14:paraId="773533F4" w14:textId="0A04B008" w:rsidR="00235247" w:rsidRPr="00587CC3" w:rsidRDefault="00235247" w:rsidP="00777507">
      <w:pPr>
        <w:pStyle w:val="Textonotapie"/>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 xml:space="preserve">Ministerio de Relaciones exteriores, </w:t>
      </w:r>
      <w:r w:rsidRPr="00587CC3">
        <w:rPr>
          <w:bCs/>
          <w:szCs w:val="18"/>
        </w:rPr>
        <w:t>Lista de Instrumentos Internacionales y Acuerdos Bilaterales Sobre Cooperación Jurídica Internacional Ratificados por el Estado Plurinacional de Bolivia</w:t>
      </w:r>
      <w:r w:rsidRPr="00587CC3">
        <w:rPr>
          <w:szCs w:val="18"/>
        </w:rPr>
        <w:t xml:space="preserve">, disponible: </w:t>
      </w:r>
      <w:hyperlink r:id="rId2" w:history="1">
        <w:r w:rsidRPr="00587CC3">
          <w:rPr>
            <w:rStyle w:val="Hipervnculo"/>
            <w:szCs w:val="18"/>
          </w:rPr>
          <w:t>https://</w:t>
        </w:r>
        <w:proofErr w:type="spellStart"/>
        <w:r w:rsidRPr="00587CC3">
          <w:rPr>
            <w:rStyle w:val="Hipervnculo"/>
            <w:szCs w:val="18"/>
          </w:rPr>
          <w:t>www.cancilleria.gob.bo</w:t>
        </w:r>
        <w:proofErr w:type="spellEnd"/>
        <w:r w:rsidRPr="00587CC3">
          <w:rPr>
            <w:rStyle w:val="Hipervnculo"/>
            <w:szCs w:val="18"/>
          </w:rPr>
          <w:t>/</w:t>
        </w:r>
        <w:proofErr w:type="spellStart"/>
        <w:r w:rsidRPr="00587CC3">
          <w:rPr>
            <w:rStyle w:val="Hipervnculo"/>
            <w:szCs w:val="18"/>
          </w:rPr>
          <w:t>webmre</w:t>
        </w:r>
        <w:proofErr w:type="spellEnd"/>
        <w:r w:rsidRPr="00587CC3">
          <w:rPr>
            <w:rStyle w:val="Hipervnculo"/>
            <w:szCs w:val="18"/>
          </w:rPr>
          <w:t>/</w:t>
        </w:r>
        <w:proofErr w:type="spellStart"/>
        <w:r w:rsidRPr="00587CC3">
          <w:rPr>
            <w:rStyle w:val="Hipervnculo"/>
            <w:szCs w:val="18"/>
          </w:rPr>
          <w:t>node</w:t>
        </w:r>
        <w:proofErr w:type="spellEnd"/>
        <w:r w:rsidRPr="00587CC3">
          <w:rPr>
            <w:rStyle w:val="Hipervnculo"/>
            <w:szCs w:val="18"/>
          </w:rPr>
          <w:t>/3567</w:t>
        </w:r>
      </w:hyperlink>
      <w:r>
        <w:rPr>
          <w:szCs w:val="18"/>
        </w:rPr>
        <w:t>.</w:t>
      </w:r>
    </w:p>
  </w:footnote>
  <w:footnote w:id="25">
    <w:p w14:paraId="4F17100D" w14:textId="77777777" w:rsidR="00235247" w:rsidRPr="00587CC3" w:rsidRDefault="00235247" w:rsidP="00DC4138">
      <w:pPr>
        <w:pStyle w:val="Textonotapie"/>
      </w:pPr>
      <w:r>
        <w:tab/>
      </w:r>
      <w:r w:rsidRPr="00587CC3">
        <w:rPr>
          <w:rStyle w:val="Refdenotaalpie"/>
          <w:szCs w:val="18"/>
        </w:rPr>
        <w:footnoteRef/>
      </w:r>
      <w:r w:rsidRPr="00587CC3">
        <w:t xml:space="preserve"> </w:t>
      </w:r>
      <w:r>
        <w:tab/>
      </w:r>
      <w:r w:rsidRPr="00587CC3">
        <w:t xml:space="preserve">Artículo 232 Ley 1173, </w:t>
      </w:r>
      <w:r w:rsidR="00430519">
        <w:t>“</w:t>
      </w:r>
      <w:r w:rsidRPr="00587CC3">
        <w:t>1) Delitos de acción privada; 2) En los delitos que no tenga prevista pena privativa de libertad; 3) Cuando se trate de personas con enfermedad en grado terminal, debidamente certificada; 4) Cuando se trate de personas mayores de sesenta y cinco (65) años; 5) En los delitos sancionados con pena privativa de libertad, cuyo máximo legal sea inferior o igual a cuatro (4) años; 6) En los delitos de contenido patrimonial con pena privativa de libertad cuyo máximo legal sea inferior o igual a seis (6) años, siempre que no afecte a otro bien jurídico tutelado; 7) Cuando se trate de mujeres embarazadas; 8) Cuando se trate de madres durante la lactancia de hijos menores un (1) año; y 9) Cuando la persona imputada sea la única que tenga bajo su guarda, custodia o cuidado a una niña o niño menor de seis (6) años o a una persona con un grado de discapacidad que le impida valerse por sí mismo.</w:t>
      </w:r>
      <w:r w:rsidR="00430519">
        <w:t>“</w:t>
      </w:r>
    </w:p>
  </w:footnote>
  <w:footnote w:id="26">
    <w:p w14:paraId="42CF98AA"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Ministerio de Justicia y Transparencia Institucional – UNICEF. 2016.</w:t>
      </w:r>
      <w:r>
        <w:rPr>
          <w:szCs w:val="18"/>
        </w:rPr>
        <w:t xml:space="preserve"> </w:t>
      </w:r>
      <w:r w:rsidRPr="00587CC3">
        <w:rPr>
          <w:szCs w:val="18"/>
        </w:rPr>
        <w:t>Actualización del Diagnóstico del Sistema Penal para Adolescentes. Pp. 42. Cuadro 12.</w:t>
      </w:r>
    </w:p>
  </w:footnote>
  <w:footnote w:id="27">
    <w:p w14:paraId="312098B6"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LEPS Artículo 117.</w:t>
      </w:r>
    </w:p>
  </w:footnote>
  <w:footnote w:id="28">
    <w:p w14:paraId="4A8F479F"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LEPS, Artículo 127.</w:t>
      </w:r>
    </w:p>
  </w:footnote>
  <w:footnote w:id="29">
    <w:p w14:paraId="75BB7FDE"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LEPS, Artículos 128 a 130</w:t>
      </w:r>
      <w:r w:rsidR="000A478C">
        <w:rPr>
          <w:szCs w:val="18"/>
        </w:rPr>
        <w:t>.</w:t>
      </w:r>
    </w:p>
  </w:footnote>
  <w:footnote w:id="30">
    <w:p w14:paraId="35255113"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LEPS, Artículos 131 a 133.</w:t>
      </w:r>
    </w:p>
  </w:footnote>
  <w:footnote w:id="31">
    <w:p w14:paraId="73A40F41"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LEPS, Artículo 134.</w:t>
      </w:r>
    </w:p>
  </w:footnote>
  <w:footnote w:id="32">
    <w:p w14:paraId="77EA2A25"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LEPS, Artículo 135.</w:t>
      </w:r>
    </w:p>
  </w:footnote>
  <w:footnote w:id="33">
    <w:p w14:paraId="6D5FBF41"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Pr>
          <w:szCs w:val="18"/>
        </w:rPr>
        <w:tab/>
      </w:r>
      <w:r w:rsidRPr="00587CC3">
        <w:rPr>
          <w:szCs w:val="18"/>
        </w:rPr>
        <w:t>Programa Nacional de Zoonosis y Enfermedades Transmitidas por Vectores, Programa Nacional de Prevención y Control de Dengue, Programa Nacional de Control de Tuberculosis, Programa Ampliado de Inmunización, Programa Nacional de ITS/VIH/SIDA, Programa Nacional de Enfermedades Crónicas no Transmisibles, Programa Nacional de Cólera ETAS/VETAS.</w:t>
      </w:r>
    </w:p>
  </w:footnote>
  <w:footnote w:id="34">
    <w:p w14:paraId="0D391D86"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 xml:space="preserve">DS 2082 de 20 de agosto de 2014, </w:t>
      </w:r>
      <w:r w:rsidRPr="00587CC3">
        <w:rPr>
          <w:bCs/>
          <w:szCs w:val="18"/>
          <w:lang w:val="es-BO"/>
        </w:rPr>
        <w:t>Reglamento de la Ley del Servicio para la Prevención de la Tortura</w:t>
      </w:r>
      <w:r>
        <w:rPr>
          <w:bCs/>
          <w:szCs w:val="18"/>
          <w:lang w:val="es-BO"/>
        </w:rPr>
        <w:t>.</w:t>
      </w:r>
    </w:p>
  </w:footnote>
  <w:footnote w:id="35">
    <w:p w14:paraId="632E495C" w14:textId="77777777" w:rsidR="00235247" w:rsidRPr="00587CC3" w:rsidRDefault="00235247" w:rsidP="00B36B7E">
      <w:pPr>
        <w:pStyle w:val="Textonotapie"/>
        <w:jc w:val="both"/>
        <w:rPr>
          <w:spacing w:val="-2"/>
          <w:szCs w:val="18"/>
        </w:rPr>
      </w:pPr>
      <w:r>
        <w:rPr>
          <w:spacing w:val="-2"/>
          <w:szCs w:val="18"/>
        </w:rPr>
        <w:tab/>
      </w:r>
      <w:r w:rsidRPr="00587CC3">
        <w:rPr>
          <w:rStyle w:val="Refdenotaalpie"/>
          <w:spacing w:val="-2"/>
          <w:szCs w:val="18"/>
        </w:rPr>
        <w:footnoteRef/>
      </w:r>
      <w:r w:rsidRPr="00587CC3">
        <w:rPr>
          <w:spacing w:val="-2"/>
          <w:szCs w:val="18"/>
        </w:rPr>
        <w:t xml:space="preserve"> </w:t>
      </w:r>
      <w:r>
        <w:rPr>
          <w:spacing w:val="-2"/>
          <w:szCs w:val="18"/>
        </w:rPr>
        <w:tab/>
      </w:r>
      <w:r w:rsidRPr="00587CC3">
        <w:rPr>
          <w:spacing w:val="-2"/>
          <w:szCs w:val="18"/>
        </w:rPr>
        <w:t>Ley 206 de 11 de julio de 2012, Artículo 8.</w:t>
      </w:r>
    </w:p>
  </w:footnote>
  <w:footnote w:id="36">
    <w:p w14:paraId="01C14AA8" w14:textId="70E1C7C5" w:rsidR="00235247" w:rsidRPr="00587CC3" w:rsidRDefault="00235247" w:rsidP="00B36B7E">
      <w:pPr>
        <w:pStyle w:val="Textonotapie"/>
        <w:jc w:val="both"/>
        <w:rPr>
          <w:szCs w:val="18"/>
        </w:rPr>
      </w:pPr>
      <w:r>
        <w:rPr>
          <w:szCs w:val="18"/>
        </w:rPr>
        <w:tab/>
      </w:r>
      <w:r w:rsidRPr="00587CC3">
        <w:rPr>
          <w:rStyle w:val="Refdenotaalpie"/>
          <w:szCs w:val="18"/>
        </w:rPr>
        <w:footnoteRef/>
      </w:r>
      <w:r>
        <w:rPr>
          <w:szCs w:val="18"/>
        </w:rPr>
        <w:tab/>
      </w:r>
      <w:hyperlink r:id="rId3" w:history="1">
        <w:r w:rsidRPr="00587CC3">
          <w:rPr>
            <w:rStyle w:val="Hipervnculo"/>
            <w:szCs w:val="18"/>
          </w:rPr>
          <w:t>https://fiscalia.gob.bo/index.php/institucional/escuelafisc/87-fge/1707-victimas-y-testigos</w:t>
        </w:r>
      </w:hyperlink>
      <w:r>
        <w:rPr>
          <w:rStyle w:val="Hipervnculo"/>
          <w:color w:val="auto"/>
          <w:szCs w:val="18"/>
        </w:rPr>
        <w:t>.</w:t>
      </w:r>
    </w:p>
  </w:footnote>
  <w:footnote w:id="37">
    <w:p w14:paraId="6F59C8A6"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Ley 260 de 11 de julio de 2012</w:t>
      </w:r>
      <w:r>
        <w:rPr>
          <w:szCs w:val="18"/>
        </w:rPr>
        <w:t>.</w:t>
      </w:r>
    </w:p>
  </w:footnote>
  <w:footnote w:id="38">
    <w:p w14:paraId="62737C4B"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Ley 458 de 19 de diciembre de 2013</w:t>
      </w:r>
      <w:r>
        <w:rPr>
          <w:szCs w:val="18"/>
        </w:rPr>
        <w:t>.</w:t>
      </w:r>
    </w:p>
  </w:footnote>
  <w:footnote w:id="39">
    <w:p w14:paraId="0374410F"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Ley 1405 de 30 de diciembre de 1992</w:t>
      </w:r>
      <w:r>
        <w:rPr>
          <w:szCs w:val="18"/>
        </w:rPr>
        <w:t>.</w:t>
      </w:r>
    </w:p>
  </w:footnote>
  <w:footnote w:id="40">
    <w:p w14:paraId="1DF0A0F0"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 xml:space="preserve">Artículo 245 de la CPE, </w:t>
      </w:r>
      <w:r w:rsidR="00430519">
        <w:rPr>
          <w:szCs w:val="18"/>
        </w:rPr>
        <w:t>“</w:t>
      </w:r>
      <w:r w:rsidRPr="00587CC3">
        <w:rPr>
          <w:szCs w:val="18"/>
        </w:rPr>
        <w:t>La organización de las Fuerzas Armadas descansa en su jerarquía y disciplina. Es esencialmente obediente, no delibera y está sujeta a las leyes y a los reglamentos militares. Como organismo institucional no realiza acción política; individualmente, sus miembros gozan y ejercen los derechos de ciudadanía en las condiciones est</w:t>
      </w:r>
      <w:r>
        <w:rPr>
          <w:szCs w:val="18"/>
        </w:rPr>
        <w:t>ablecidas por la ley</w:t>
      </w:r>
      <w:r w:rsidR="00430519">
        <w:rPr>
          <w:szCs w:val="18"/>
        </w:rPr>
        <w:t>“</w:t>
      </w:r>
      <w:r>
        <w:rPr>
          <w:szCs w:val="18"/>
        </w:rPr>
        <w:t>.</w:t>
      </w:r>
    </w:p>
  </w:footnote>
  <w:footnote w:id="41">
    <w:p w14:paraId="335ACB6A" w14:textId="77777777" w:rsidR="00235247" w:rsidRPr="00587CC3" w:rsidRDefault="00235247" w:rsidP="00B36B7E">
      <w:pPr>
        <w:pStyle w:val="Textonotapie"/>
        <w:rPr>
          <w:szCs w:val="18"/>
        </w:rPr>
      </w:pPr>
      <w:r>
        <w:rPr>
          <w:szCs w:val="18"/>
        </w:rPr>
        <w:tab/>
      </w:r>
      <w:r w:rsidRPr="00587CC3">
        <w:rPr>
          <w:rStyle w:val="Refdenotaalpie"/>
          <w:szCs w:val="18"/>
        </w:rPr>
        <w:footnoteRef/>
      </w:r>
      <w:r>
        <w:rPr>
          <w:szCs w:val="18"/>
        </w:rPr>
        <w:tab/>
      </w:r>
      <w:r w:rsidRPr="00587CC3">
        <w:rPr>
          <w:szCs w:val="18"/>
        </w:rPr>
        <w:t>Ley 879 de 23 de diciembre de 2016.</w:t>
      </w:r>
    </w:p>
  </w:footnote>
  <w:footnote w:id="42">
    <w:p w14:paraId="3D3A6C23" w14:textId="77777777" w:rsidR="00235247" w:rsidRPr="00587CC3" w:rsidRDefault="00235247" w:rsidP="00B36B7E">
      <w:pPr>
        <w:pStyle w:val="Textonotapie"/>
        <w:jc w:val="both"/>
        <w:rPr>
          <w:szCs w:val="18"/>
        </w:rPr>
      </w:pPr>
      <w:r>
        <w:rPr>
          <w:szCs w:val="18"/>
        </w:rPr>
        <w:tab/>
      </w:r>
      <w:r w:rsidRPr="00587CC3">
        <w:rPr>
          <w:rStyle w:val="Refdenotaalpie"/>
          <w:szCs w:val="18"/>
        </w:rPr>
        <w:footnoteRef/>
      </w:r>
      <w:r w:rsidRPr="00587CC3">
        <w:rPr>
          <w:szCs w:val="18"/>
        </w:rPr>
        <w:t xml:space="preserve"> </w:t>
      </w:r>
      <w:r>
        <w:rPr>
          <w:szCs w:val="18"/>
        </w:rPr>
        <w:tab/>
      </w:r>
      <w:r w:rsidRPr="00587CC3">
        <w:rPr>
          <w:szCs w:val="18"/>
        </w:rPr>
        <w:t xml:space="preserve">Promulgado el </w:t>
      </w:r>
      <w:r w:rsidRPr="00587CC3">
        <w:rPr>
          <w:rFonts w:eastAsia="Libre Baskerville"/>
          <w:szCs w:val="18"/>
        </w:rPr>
        <w:t>4 de mayo de 2020</w:t>
      </w:r>
      <w:r>
        <w:rPr>
          <w:rFonts w:eastAsia="Libre Baskerville"/>
          <w:szCs w:val="18"/>
        </w:rPr>
        <w:t>.</w:t>
      </w:r>
    </w:p>
  </w:footnote>
  <w:footnote w:id="43">
    <w:p w14:paraId="05535143" w14:textId="77777777" w:rsidR="00235247" w:rsidRPr="00587CC3" w:rsidRDefault="00235247" w:rsidP="00DC4138">
      <w:pPr>
        <w:pStyle w:val="Textonotapie"/>
      </w:pPr>
      <w:r>
        <w:tab/>
      </w:r>
      <w:r w:rsidRPr="00587CC3">
        <w:rPr>
          <w:vertAlign w:val="superscript"/>
        </w:rPr>
        <w:footnoteRef/>
      </w:r>
      <w:r w:rsidRPr="00587CC3">
        <w:t xml:space="preserve"> </w:t>
      </w:r>
      <w:r>
        <w:tab/>
      </w:r>
      <w:r w:rsidRPr="00587CC3">
        <w:t xml:space="preserve">Decreto Presidencial 4226. </w:t>
      </w:r>
      <w:r w:rsidR="00430519">
        <w:rPr>
          <w:i/>
        </w:rPr>
        <w:t>“</w:t>
      </w:r>
      <w:r w:rsidRPr="00DC4138">
        <w:rPr>
          <w:i/>
        </w:rPr>
        <w:t>Artículo 1.- (Objeto).</w:t>
      </w:r>
      <w:r w:rsidRPr="00DC4138">
        <w:rPr>
          <w:b/>
          <w:i/>
        </w:rPr>
        <w:t xml:space="preserve"> </w:t>
      </w:r>
      <w:r w:rsidRPr="00DC4138">
        <w:rPr>
          <w:i/>
        </w:rPr>
        <w:t>El presente Decreto Presidencial tiene por objeto: a) Establecer la concesión de amnistía o indulto por razones humanitarias en el marco de la emergencia sanitaria nacional, en todo el territorio del Estado Plurinacional de Bolivia, contra el contagio y propagación del Coronavirus (COVID-19); y b) Establecer el procedimiento para la concesión del indulto o amnistía.</w:t>
      </w:r>
      <w:r w:rsidR="00430519">
        <w:rPr>
          <w:i/>
        </w:rPr>
        <w:t>“</w:t>
      </w:r>
    </w:p>
  </w:footnote>
  <w:footnote w:id="44">
    <w:p w14:paraId="686122F2" w14:textId="77777777" w:rsidR="00235247" w:rsidRPr="00587CC3" w:rsidRDefault="00235247" w:rsidP="00DC4138">
      <w:pPr>
        <w:pStyle w:val="Textonotapie"/>
      </w:pPr>
      <w:r>
        <w:tab/>
      </w:r>
      <w:r w:rsidRPr="00587CC3">
        <w:rPr>
          <w:vertAlign w:val="superscript"/>
        </w:rPr>
        <w:footnoteRef/>
      </w:r>
      <w:r w:rsidRPr="00587CC3">
        <w:t xml:space="preserve"> </w:t>
      </w:r>
      <w:r>
        <w:tab/>
      </w:r>
      <w:r w:rsidRPr="00587CC3">
        <w:t>Instructivo MG-DGRP N° 055/2020 de 23 de marzo emitido por la DGRP.</w:t>
      </w:r>
    </w:p>
  </w:footnote>
  <w:footnote w:id="45">
    <w:p w14:paraId="7186932D" w14:textId="77777777" w:rsidR="00235247" w:rsidRPr="00587CC3" w:rsidRDefault="00235247" w:rsidP="00DC4138">
      <w:pPr>
        <w:pStyle w:val="Textonotapie"/>
      </w:pPr>
      <w:r>
        <w:tab/>
      </w:r>
      <w:r w:rsidRPr="00587CC3">
        <w:rPr>
          <w:vertAlign w:val="superscript"/>
        </w:rPr>
        <w:footnoteRef/>
      </w:r>
      <w:r w:rsidRPr="00587CC3">
        <w:t xml:space="preserve"> </w:t>
      </w:r>
      <w:r>
        <w:tab/>
      </w:r>
      <w:r w:rsidRPr="00587CC3">
        <w:t>Instructivo MG-DGRP N° 026/2020 de 20 de abril</w:t>
      </w:r>
      <w:r>
        <w:t>,</w:t>
      </w:r>
      <w:r w:rsidRPr="00587CC3">
        <w:t xml:space="preserve"> emitido por la DGRP.</w:t>
      </w:r>
    </w:p>
  </w:footnote>
  <w:footnote w:id="46">
    <w:p w14:paraId="52C90973" w14:textId="77777777" w:rsidR="00235247" w:rsidRPr="00587CC3" w:rsidRDefault="00235247" w:rsidP="00DC4138">
      <w:pPr>
        <w:pStyle w:val="Textonotapie"/>
      </w:pPr>
      <w:r>
        <w:tab/>
      </w:r>
      <w:r w:rsidRPr="00587CC3">
        <w:rPr>
          <w:rStyle w:val="Refdenotaalpie"/>
          <w:szCs w:val="18"/>
        </w:rPr>
        <w:footnoteRef/>
      </w:r>
      <w:r w:rsidRPr="00587CC3">
        <w:t xml:space="preserve"> </w:t>
      </w:r>
      <w:r>
        <w:tab/>
      </w:r>
      <w:r w:rsidRPr="00587CC3">
        <w:t>Instructivo MG-</w:t>
      </w:r>
      <w:r w:rsidRPr="00DC4138">
        <w:t>DGRP</w:t>
      </w:r>
      <w:r w:rsidRPr="00587CC3">
        <w:t xml:space="preserve"> N° 063/2020 de 5 de junio</w:t>
      </w:r>
      <w:r>
        <w:t>,</w:t>
      </w:r>
      <w:r w:rsidRPr="00587CC3">
        <w:t xml:space="preserve"> emitido por la DGRP.</w:t>
      </w:r>
    </w:p>
  </w:footnote>
  <w:footnote w:id="47">
    <w:p w14:paraId="057C7465" w14:textId="77777777" w:rsidR="00235247" w:rsidRPr="00DC4138" w:rsidRDefault="00235247" w:rsidP="00DC4138">
      <w:pPr>
        <w:pStyle w:val="Textonotapie"/>
      </w:pPr>
      <w:r>
        <w:tab/>
      </w:r>
      <w:r w:rsidRPr="00587CC3">
        <w:rPr>
          <w:rStyle w:val="Refdenotaalpie"/>
          <w:szCs w:val="18"/>
        </w:rPr>
        <w:footnoteRef/>
      </w:r>
      <w:r w:rsidRPr="00587CC3">
        <w:t xml:space="preserve"> </w:t>
      </w:r>
      <w:r>
        <w:tab/>
      </w:r>
      <w:r w:rsidRPr="00587CC3">
        <w:t>Promulgado el 4 de mayo de 2020</w:t>
      </w:r>
      <w:r>
        <w:t>.</w:t>
      </w:r>
    </w:p>
  </w:footnote>
  <w:footnote w:id="48">
    <w:p w14:paraId="128A0496" w14:textId="77777777" w:rsidR="00235247" w:rsidRPr="00587CC3" w:rsidRDefault="00235247" w:rsidP="00DC4138">
      <w:pPr>
        <w:pStyle w:val="Textonotapie"/>
      </w:pPr>
      <w:r>
        <w:tab/>
      </w:r>
      <w:r w:rsidRPr="00587CC3">
        <w:rPr>
          <w:rStyle w:val="Refdenotaalpie"/>
          <w:szCs w:val="18"/>
        </w:rPr>
        <w:footnoteRef/>
      </w:r>
      <w:r w:rsidRPr="00587CC3">
        <w:t xml:space="preserve"> </w:t>
      </w:r>
      <w:r>
        <w:tab/>
      </w:r>
      <w:r w:rsidRPr="00587CC3">
        <w:t>Instructivo MG-DGRP N° 061/2020 de 22 de mayo</w:t>
      </w:r>
      <w:r>
        <w:t>,</w:t>
      </w:r>
      <w:r w:rsidRPr="00587CC3">
        <w:t xml:space="preserve"> emitido por la DGRP.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1442" w14:textId="77777777" w:rsidR="00235247" w:rsidRDefault="00235247">
    <w:pPr>
      <w:pStyle w:val="Encabezado"/>
    </w:pPr>
    <w:r>
      <w:t>CAT/C/BOL/RQ/3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0B76" w14:textId="77777777" w:rsidR="00235247" w:rsidRDefault="00235247" w:rsidP="00935A0B">
    <w:pPr>
      <w:pStyle w:val="Encabezado"/>
      <w:jc w:val="right"/>
      <w:rPr>
        <w:u w:val="double"/>
      </w:rPr>
    </w:pPr>
    <w:r>
      <w:t>CAT/C/BOL/RQ/3</w:t>
    </w:r>
  </w:p>
  <w:p w14:paraId="569D8828" w14:textId="77777777" w:rsidR="00235247" w:rsidRDefault="002352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7763" w14:textId="77777777" w:rsidR="00235247" w:rsidRPr="00590C9F" w:rsidRDefault="00235247" w:rsidP="00590C9F">
    <w:pPr>
      <w:pStyle w:val="Encabezado"/>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7766006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E5F0E14C" w:tentative="1">
      <w:start w:val="1"/>
      <w:numFmt w:val="lowerLetter"/>
      <w:lvlText w:val="%2."/>
      <w:lvlJc w:val="left"/>
      <w:pPr>
        <w:tabs>
          <w:tab w:val="num" w:pos="1440"/>
        </w:tabs>
        <w:ind w:left="1440" w:hanging="360"/>
      </w:pPr>
    </w:lvl>
    <w:lvl w:ilvl="2" w:tplc="E1507364" w:tentative="1">
      <w:start w:val="1"/>
      <w:numFmt w:val="lowerRoman"/>
      <w:lvlText w:val="%3."/>
      <w:lvlJc w:val="right"/>
      <w:pPr>
        <w:tabs>
          <w:tab w:val="num" w:pos="2160"/>
        </w:tabs>
        <w:ind w:left="2160" w:hanging="180"/>
      </w:pPr>
    </w:lvl>
    <w:lvl w:ilvl="3" w:tplc="5B7C1C6E" w:tentative="1">
      <w:start w:val="1"/>
      <w:numFmt w:val="decimal"/>
      <w:lvlText w:val="%4."/>
      <w:lvlJc w:val="left"/>
      <w:pPr>
        <w:tabs>
          <w:tab w:val="num" w:pos="2880"/>
        </w:tabs>
        <w:ind w:left="2880" w:hanging="360"/>
      </w:pPr>
    </w:lvl>
    <w:lvl w:ilvl="4" w:tplc="1048E47E" w:tentative="1">
      <w:start w:val="1"/>
      <w:numFmt w:val="lowerLetter"/>
      <w:lvlText w:val="%5."/>
      <w:lvlJc w:val="left"/>
      <w:pPr>
        <w:tabs>
          <w:tab w:val="num" w:pos="3600"/>
        </w:tabs>
        <w:ind w:left="3600" w:hanging="360"/>
      </w:pPr>
    </w:lvl>
    <w:lvl w:ilvl="5" w:tplc="6F0818CC" w:tentative="1">
      <w:start w:val="1"/>
      <w:numFmt w:val="lowerRoman"/>
      <w:lvlText w:val="%6."/>
      <w:lvlJc w:val="right"/>
      <w:pPr>
        <w:tabs>
          <w:tab w:val="num" w:pos="4320"/>
        </w:tabs>
        <w:ind w:left="4320" w:hanging="180"/>
      </w:pPr>
    </w:lvl>
    <w:lvl w:ilvl="6" w:tplc="A7D2D23E" w:tentative="1">
      <w:start w:val="1"/>
      <w:numFmt w:val="decimal"/>
      <w:lvlText w:val="%7."/>
      <w:lvlJc w:val="left"/>
      <w:pPr>
        <w:tabs>
          <w:tab w:val="num" w:pos="5040"/>
        </w:tabs>
        <w:ind w:left="5040" w:hanging="360"/>
      </w:pPr>
    </w:lvl>
    <w:lvl w:ilvl="7" w:tplc="2872ECE2" w:tentative="1">
      <w:start w:val="1"/>
      <w:numFmt w:val="lowerLetter"/>
      <w:lvlText w:val="%8."/>
      <w:lvlJc w:val="left"/>
      <w:pPr>
        <w:tabs>
          <w:tab w:val="num" w:pos="5760"/>
        </w:tabs>
        <w:ind w:left="5760" w:hanging="360"/>
      </w:pPr>
    </w:lvl>
    <w:lvl w:ilvl="8" w:tplc="3EA0F548" w:tentative="1">
      <w:start w:val="1"/>
      <w:numFmt w:val="lowerRoman"/>
      <w:lvlText w:val="%9."/>
      <w:lvlJc w:val="right"/>
      <w:pPr>
        <w:tabs>
          <w:tab w:val="num" w:pos="6480"/>
        </w:tabs>
        <w:ind w:left="6480" w:hanging="180"/>
      </w:pPr>
    </w:lvl>
  </w:abstractNum>
  <w:abstractNum w:abstractNumId="11" w15:restartNumberingAfterBreak="0">
    <w:nsid w:val="2ADC6534"/>
    <w:multiLevelType w:val="hybridMultilevel"/>
    <w:tmpl w:val="839C8442"/>
    <w:lvl w:ilvl="0" w:tplc="694AA536">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EF2AC386">
      <w:start w:val="1"/>
      <w:numFmt w:val="bullet"/>
      <w:pStyle w:val="Bullet2G"/>
      <w:lvlText w:val="•"/>
      <w:lvlJc w:val="left"/>
      <w:pPr>
        <w:tabs>
          <w:tab w:val="num" w:pos="2268"/>
        </w:tabs>
        <w:ind w:left="2268" w:hanging="170"/>
      </w:pPr>
      <w:rPr>
        <w:rFonts w:ascii="Times New Roman" w:hAnsi="Times New Roman" w:cs="Times New Roman" w:hint="default"/>
      </w:rPr>
    </w:lvl>
    <w:lvl w:ilvl="1" w:tplc="793A38E4" w:tentative="1">
      <w:start w:val="1"/>
      <w:numFmt w:val="bullet"/>
      <w:lvlText w:val="o"/>
      <w:lvlJc w:val="left"/>
      <w:pPr>
        <w:tabs>
          <w:tab w:val="num" w:pos="1440"/>
        </w:tabs>
        <w:ind w:left="1440" w:hanging="360"/>
      </w:pPr>
      <w:rPr>
        <w:rFonts w:ascii="Courier New" w:hAnsi="Courier New" w:hint="default"/>
      </w:rPr>
    </w:lvl>
    <w:lvl w:ilvl="2" w:tplc="EF82DC5C" w:tentative="1">
      <w:start w:val="1"/>
      <w:numFmt w:val="bullet"/>
      <w:lvlText w:val=""/>
      <w:lvlJc w:val="left"/>
      <w:pPr>
        <w:tabs>
          <w:tab w:val="num" w:pos="2160"/>
        </w:tabs>
        <w:ind w:left="2160" w:hanging="360"/>
      </w:pPr>
      <w:rPr>
        <w:rFonts w:ascii="Wingdings" w:hAnsi="Wingdings" w:hint="default"/>
      </w:rPr>
    </w:lvl>
    <w:lvl w:ilvl="3" w:tplc="77DA47C0" w:tentative="1">
      <w:start w:val="1"/>
      <w:numFmt w:val="bullet"/>
      <w:lvlText w:val=""/>
      <w:lvlJc w:val="left"/>
      <w:pPr>
        <w:tabs>
          <w:tab w:val="num" w:pos="2880"/>
        </w:tabs>
        <w:ind w:left="2880" w:hanging="360"/>
      </w:pPr>
      <w:rPr>
        <w:rFonts w:ascii="Symbol" w:hAnsi="Symbol" w:hint="default"/>
      </w:rPr>
    </w:lvl>
    <w:lvl w:ilvl="4" w:tplc="04D23442" w:tentative="1">
      <w:start w:val="1"/>
      <w:numFmt w:val="bullet"/>
      <w:lvlText w:val="o"/>
      <w:lvlJc w:val="left"/>
      <w:pPr>
        <w:tabs>
          <w:tab w:val="num" w:pos="3600"/>
        </w:tabs>
        <w:ind w:left="3600" w:hanging="360"/>
      </w:pPr>
      <w:rPr>
        <w:rFonts w:ascii="Courier New" w:hAnsi="Courier New" w:hint="default"/>
      </w:rPr>
    </w:lvl>
    <w:lvl w:ilvl="5" w:tplc="109214D4" w:tentative="1">
      <w:start w:val="1"/>
      <w:numFmt w:val="bullet"/>
      <w:lvlText w:val=""/>
      <w:lvlJc w:val="left"/>
      <w:pPr>
        <w:tabs>
          <w:tab w:val="num" w:pos="4320"/>
        </w:tabs>
        <w:ind w:left="4320" w:hanging="360"/>
      </w:pPr>
      <w:rPr>
        <w:rFonts w:ascii="Wingdings" w:hAnsi="Wingdings" w:hint="default"/>
      </w:rPr>
    </w:lvl>
    <w:lvl w:ilvl="6" w:tplc="6E9A9084" w:tentative="1">
      <w:start w:val="1"/>
      <w:numFmt w:val="bullet"/>
      <w:lvlText w:val=""/>
      <w:lvlJc w:val="left"/>
      <w:pPr>
        <w:tabs>
          <w:tab w:val="num" w:pos="5040"/>
        </w:tabs>
        <w:ind w:left="5040" w:hanging="360"/>
      </w:pPr>
      <w:rPr>
        <w:rFonts w:ascii="Symbol" w:hAnsi="Symbol" w:hint="default"/>
      </w:rPr>
    </w:lvl>
    <w:lvl w:ilvl="7" w:tplc="BD865206" w:tentative="1">
      <w:start w:val="1"/>
      <w:numFmt w:val="bullet"/>
      <w:lvlText w:val="o"/>
      <w:lvlJc w:val="left"/>
      <w:pPr>
        <w:tabs>
          <w:tab w:val="num" w:pos="5760"/>
        </w:tabs>
        <w:ind w:left="5760" w:hanging="360"/>
      </w:pPr>
      <w:rPr>
        <w:rFonts w:ascii="Courier New" w:hAnsi="Courier New" w:hint="default"/>
      </w:rPr>
    </w:lvl>
    <w:lvl w:ilvl="8" w:tplc="325A1D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416A974">
      <w:start w:val="1"/>
      <w:numFmt w:val="bullet"/>
      <w:pStyle w:val="Bullet1G"/>
      <w:lvlText w:val="•"/>
      <w:lvlJc w:val="left"/>
      <w:pPr>
        <w:tabs>
          <w:tab w:val="num" w:pos="1701"/>
        </w:tabs>
        <w:ind w:left="1701" w:hanging="170"/>
      </w:pPr>
      <w:rPr>
        <w:rFonts w:ascii="Times New Roman" w:hAnsi="Times New Roman" w:cs="Times New Roman" w:hint="default"/>
      </w:rPr>
    </w:lvl>
    <w:lvl w:ilvl="1" w:tplc="69740E78" w:tentative="1">
      <w:start w:val="1"/>
      <w:numFmt w:val="bullet"/>
      <w:lvlText w:val="o"/>
      <w:lvlJc w:val="left"/>
      <w:pPr>
        <w:tabs>
          <w:tab w:val="num" w:pos="1440"/>
        </w:tabs>
        <w:ind w:left="1440" w:hanging="360"/>
      </w:pPr>
      <w:rPr>
        <w:rFonts w:ascii="Courier New" w:hAnsi="Courier New" w:hint="default"/>
      </w:rPr>
    </w:lvl>
    <w:lvl w:ilvl="2" w:tplc="831A23F0" w:tentative="1">
      <w:start w:val="1"/>
      <w:numFmt w:val="bullet"/>
      <w:lvlText w:val=""/>
      <w:lvlJc w:val="left"/>
      <w:pPr>
        <w:tabs>
          <w:tab w:val="num" w:pos="2160"/>
        </w:tabs>
        <w:ind w:left="2160" w:hanging="360"/>
      </w:pPr>
      <w:rPr>
        <w:rFonts w:ascii="Wingdings" w:hAnsi="Wingdings" w:hint="default"/>
      </w:rPr>
    </w:lvl>
    <w:lvl w:ilvl="3" w:tplc="3830F96A" w:tentative="1">
      <w:start w:val="1"/>
      <w:numFmt w:val="bullet"/>
      <w:lvlText w:val=""/>
      <w:lvlJc w:val="left"/>
      <w:pPr>
        <w:tabs>
          <w:tab w:val="num" w:pos="2880"/>
        </w:tabs>
        <w:ind w:left="2880" w:hanging="360"/>
      </w:pPr>
      <w:rPr>
        <w:rFonts w:ascii="Symbol" w:hAnsi="Symbol" w:hint="default"/>
      </w:rPr>
    </w:lvl>
    <w:lvl w:ilvl="4" w:tplc="E1C60C0E" w:tentative="1">
      <w:start w:val="1"/>
      <w:numFmt w:val="bullet"/>
      <w:lvlText w:val="o"/>
      <w:lvlJc w:val="left"/>
      <w:pPr>
        <w:tabs>
          <w:tab w:val="num" w:pos="3600"/>
        </w:tabs>
        <w:ind w:left="3600" w:hanging="360"/>
      </w:pPr>
      <w:rPr>
        <w:rFonts w:ascii="Courier New" w:hAnsi="Courier New" w:hint="default"/>
      </w:rPr>
    </w:lvl>
    <w:lvl w:ilvl="5" w:tplc="F8E61A12" w:tentative="1">
      <w:start w:val="1"/>
      <w:numFmt w:val="bullet"/>
      <w:lvlText w:val=""/>
      <w:lvlJc w:val="left"/>
      <w:pPr>
        <w:tabs>
          <w:tab w:val="num" w:pos="4320"/>
        </w:tabs>
        <w:ind w:left="4320" w:hanging="360"/>
      </w:pPr>
      <w:rPr>
        <w:rFonts w:ascii="Wingdings" w:hAnsi="Wingdings" w:hint="default"/>
      </w:rPr>
    </w:lvl>
    <w:lvl w:ilvl="6" w:tplc="6CF08B9C" w:tentative="1">
      <w:start w:val="1"/>
      <w:numFmt w:val="bullet"/>
      <w:lvlText w:val=""/>
      <w:lvlJc w:val="left"/>
      <w:pPr>
        <w:tabs>
          <w:tab w:val="num" w:pos="5040"/>
        </w:tabs>
        <w:ind w:left="5040" w:hanging="360"/>
      </w:pPr>
      <w:rPr>
        <w:rFonts w:ascii="Symbol" w:hAnsi="Symbol" w:hint="default"/>
      </w:rPr>
    </w:lvl>
    <w:lvl w:ilvl="7" w:tplc="6712828E" w:tentative="1">
      <w:start w:val="1"/>
      <w:numFmt w:val="bullet"/>
      <w:lvlText w:val="o"/>
      <w:lvlJc w:val="left"/>
      <w:pPr>
        <w:tabs>
          <w:tab w:val="num" w:pos="5760"/>
        </w:tabs>
        <w:ind w:left="5760" w:hanging="360"/>
      </w:pPr>
      <w:rPr>
        <w:rFonts w:ascii="Courier New" w:hAnsi="Courier New" w:hint="default"/>
      </w:rPr>
    </w:lvl>
    <w:lvl w:ilvl="8" w:tplc="0C1629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33EE1"/>
    <w:rsid w:val="00042B72"/>
    <w:rsid w:val="000553C1"/>
    <w:rsid w:val="000558BD"/>
    <w:rsid w:val="00077EFA"/>
    <w:rsid w:val="000A478C"/>
    <w:rsid w:val="000A67ED"/>
    <w:rsid w:val="000B30EA"/>
    <w:rsid w:val="000B432F"/>
    <w:rsid w:val="000B57E7"/>
    <w:rsid w:val="000B6373"/>
    <w:rsid w:val="000D3664"/>
    <w:rsid w:val="000F09DF"/>
    <w:rsid w:val="000F61B2"/>
    <w:rsid w:val="001075E9"/>
    <w:rsid w:val="001240B0"/>
    <w:rsid w:val="00130514"/>
    <w:rsid w:val="0016404C"/>
    <w:rsid w:val="00180183"/>
    <w:rsid w:val="0018024D"/>
    <w:rsid w:val="0018649F"/>
    <w:rsid w:val="00196389"/>
    <w:rsid w:val="001A4396"/>
    <w:rsid w:val="001B3EF6"/>
    <w:rsid w:val="001C7A89"/>
    <w:rsid w:val="001D0C2C"/>
    <w:rsid w:val="001D4AD3"/>
    <w:rsid w:val="00210112"/>
    <w:rsid w:val="00235247"/>
    <w:rsid w:val="002541C7"/>
    <w:rsid w:val="00257743"/>
    <w:rsid w:val="00285DBA"/>
    <w:rsid w:val="00292FA8"/>
    <w:rsid w:val="00296F94"/>
    <w:rsid w:val="002A02C6"/>
    <w:rsid w:val="002A2EFC"/>
    <w:rsid w:val="002B69F9"/>
    <w:rsid w:val="002C0E18"/>
    <w:rsid w:val="002C3864"/>
    <w:rsid w:val="002C7B60"/>
    <w:rsid w:val="002D4172"/>
    <w:rsid w:val="002D5AAC"/>
    <w:rsid w:val="002E2A0D"/>
    <w:rsid w:val="002F405F"/>
    <w:rsid w:val="002F6D32"/>
    <w:rsid w:val="00301299"/>
    <w:rsid w:val="00307FB6"/>
    <w:rsid w:val="00311AB2"/>
    <w:rsid w:val="00317339"/>
    <w:rsid w:val="00320734"/>
    <w:rsid w:val="00322004"/>
    <w:rsid w:val="003228BD"/>
    <w:rsid w:val="00330FE9"/>
    <w:rsid w:val="00332065"/>
    <w:rsid w:val="003402C2"/>
    <w:rsid w:val="00356166"/>
    <w:rsid w:val="00365854"/>
    <w:rsid w:val="00373C71"/>
    <w:rsid w:val="00376E4E"/>
    <w:rsid w:val="00381C24"/>
    <w:rsid w:val="00383E23"/>
    <w:rsid w:val="003958D0"/>
    <w:rsid w:val="003A3CE4"/>
    <w:rsid w:val="003B00E5"/>
    <w:rsid w:val="003B01F5"/>
    <w:rsid w:val="003D01D8"/>
    <w:rsid w:val="003D3526"/>
    <w:rsid w:val="003E0332"/>
    <w:rsid w:val="003F13AB"/>
    <w:rsid w:val="003F43D1"/>
    <w:rsid w:val="003F46D8"/>
    <w:rsid w:val="003F6FF0"/>
    <w:rsid w:val="00407B78"/>
    <w:rsid w:val="00424203"/>
    <w:rsid w:val="00430519"/>
    <w:rsid w:val="004452DE"/>
    <w:rsid w:val="00454E07"/>
    <w:rsid w:val="004D1828"/>
    <w:rsid w:val="004D3AE5"/>
    <w:rsid w:val="004D4A48"/>
    <w:rsid w:val="004E6A62"/>
    <w:rsid w:val="0050108D"/>
    <w:rsid w:val="0050760E"/>
    <w:rsid w:val="00511CC1"/>
    <w:rsid w:val="00513081"/>
    <w:rsid w:val="00517901"/>
    <w:rsid w:val="00521DC1"/>
    <w:rsid w:val="00526683"/>
    <w:rsid w:val="00526EF4"/>
    <w:rsid w:val="00545EA7"/>
    <w:rsid w:val="005709E0"/>
    <w:rsid w:val="00572E19"/>
    <w:rsid w:val="005821F5"/>
    <w:rsid w:val="00584263"/>
    <w:rsid w:val="00590C9F"/>
    <w:rsid w:val="005961C8"/>
    <w:rsid w:val="005A5C95"/>
    <w:rsid w:val="005B22ED"/>
    <w:rsid w:val="005D3EE7"/>
    <w:rsid w:val="005D7914"/>
    <w:rsid w:val="005F0B42"/>
    <w:rsid w:val="00615628"/>
    <w:rsid w:val="00621949"/>
    <w:rsid w:val="00621AFD"/>
    <w:rsid w:val="0065273B"/>
    <w:rsid w:val="00660E27"/>
    <w:rsid w:val="006704EC"/>
    <w:rsid w:val="006807C1"/>
    <w:rsid w:val="00681A10"/>
    <w:rsid w:val="006C2031"/>
    <w:rsid w:val="006D461A"/>
    <w:rsid w:val="006D5C5E"/>
    <w:rsid w:val="006F35EE"/>
    <w:rsid w:val="007021FF"/>
    <w:rsid w:val="00712895"/>
    <w:rsid w:val="00732C2F"/>
    <w:rsid w:val="00752388"/>
    <w:rsid w:val="00754B77"/>
    <w:rsid w:val="00757357"/>
    <w:rsid w:val="00760AD9"/>
    <w:rsid w:val="00764B5D"/>
    <w:rsid w:val="00777507"/>
    <w:rsid w:val="007C333F"/>
    <w:rsid w:val="007E072F"/>
    <w:rsid w:val="007E134A"/>
    <w:rsid w:val="007E2C6D"/>
    <w:rsid w:val="007E7D23"/>
    <w:rsid w:val="00805D1C"/>
    <w:rsid w:val="00825F8D"/>
    <w:rsid w:val="00834B71"/>
    <w:rsid w:val="00841CBA"/>
    <w:rsid w:val="00853DEF"/>
    <w:rsid w:val="0086445C"/>
    <w:rsid w:val="00883F51"/>
    <w:rsid w:val="00884342"/>
    <w:rsid w:val="00886DE8"/>
    <w:rsid w:val="00894693"/>
    <w:rsid w:val="008A08D7"/>
    <w:rsid w:val="008B4378"/>
    <w:rsid w:val="008B6909"/>
    <w:rsid w:val="008F1A6A"/>
    <w:rsid w:val="00906890"/>
    <w:rsid w:val="00911112"/>
    <w:rsid w:val="00911BE4"/>
    <w:rsid w:val="009127BC"/>
    <w:rsid w:val="00935A0B"/>
    <w:rsid w:val="00941377"/>
    <w:rsid w:val="00945D44"/>
    <w:rsid w:val="00951972"/>
    <w:rsid w:val="00953B31"/>
    <w:rsid w:val="009608F3"/>
    <w:rsid w:val="009B6F1A"/>
    <w:rsid w:val="009D1E3D"/>
    <w:rsid w:val="009D4F26"/>
    <w:rsid w:val="009F37BE"/>
    <w:rsid w:val="00A32382"/>
    <w:rsid w:val="00A44B2D"/>
    <w:rsid w:val="00A666C3"/>
    <w:rsid w:val="00A66947"/>
    <w:rsid w:val="00A84021"/>
    <w:rsid w:val="00A86F80"/>
    <w:rsid w:val="00A90C2B"/>
    <w:rsid w:val="00A917B3"/>
    <w:rsid w:val="00AB4B51"/>
    <w:rsid w:val="00AE5F3B"/>
    <w:rsid w:val="00B10CC7"/>
    <w:rsid w:val="00B261BA"/>
    <w:rsid w:val="00B36B7E"/>
    <w:rsid w:val="00B539E7"/>
    <w:rsid w:val="00B55F3D"/>
    <w:rsid w:val="00B563EB"/>
    <w:rsid w:val="00B62458"/>
    <w:rsid w:val="00B80A93"/>
    <w:rsid w:val="00B83A17"/>
    <w:rsid w:val="00B960DF"/>
    <w:rsid w:val="00BD33EE"/>
    <w:rsid w:val="00BF2E5C"/>
    <w:rsid w:val="00C00146"/>
    <w:rsid w:val="00C106D6"/>
    <w:rsid w:val="00C130CA"/>
    <w:rsid w:val="00C24BEB"/>
    <w:rsid w:val="00C60F0C"/>
    <w:rsid w:val="00C805C9"/>
    <w:rsid w:val="00C92939"/>
    <w:rsid w:val="00CA1679"/>
    <w:rsid w:val="00CB151C"/>
    <w:rsid w:val="00CB242B"/>
    <w:rsid w:val="00CB3E0E"/>
    <w:rsid w:val="00CE5A1A"/>
    <w:rsid w:val="00CF55F6"/>
    <w:rsid w:val="00D04407"/>
    <w:rsid w:val="00D25A1F"/>
    <w:rsid w:val="00D33D63"/>
    <w:rsid w:val="00D4778E"/>
    <w:rsid w:val="00D51E90"/>
    <w:rsid w:val="00D554B8"/>
    <w:rsid w:val="00D57A5A"/>
    <w:rsid w:val="00D844FB"/>
    <w:rsid w:val="00D90138"/>
    <w:rsid w:val="00DA769E"/>
    <w:rsid w:val="00DB2928"/>
    <w:rsid w:val="00DB6E49"/>
    <w:rsid w:val="00DC4138"/>
    <w:rsid w:val="00DC61A4"/>
    <w:rsid w:val="00E13371"/>
    <w:rsid w:val="00E31CF9"/>
    <w:rsid w:val="00E41208"/>
    <w:rsid w:val="00E5206E"/>
    <w:rsid w:val="00E56EE3"/>
    <w:rsid w:val="00E73F76"/>
    <w:rsid w:val="00E831D7"/>
    <w:rsid w:val="00E86371"/>
    <w:rsid w:val="00EA2C9F"/>
    <w:rsid w:val="00EB253C"/>
    <w:rsid w:val="00ED0BDA"/>
    <w:rsid w:val="00EE7654"/>
    <w:rsid w:val="00EF1360"/>
    <w:rsid w:val="00EF3220"/>
    <w:rsid w:val="00F43810"/>
    <w:rsid w:val="00F63772"/>
    <w:rsid w:val="00F63C43"/>
    <w:rsid w:val="00F76A49"/>
    <w:rsid w:val="00F90511"/>
    <w:rsid w:val="00F9377E"/>
    <w:rsid w:val="00F94155"/>
    <w:rsid w:val="00FD234F"/>
    <w:rsid w:val="00FD2EF7"/>
    <w:rsid w:val="00FD4654"/>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E31429F"/>
  <w15:docId w15:val="{C452249F-AC49-4EB0-8B9F-0E81C1F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qFormat/>
    <w:rsid w:val="00521DC1"/>
    <w:pPr>
      <w:keepNext/>
      <w:outlineLvl w:val="1"/>
    </w:pPr>
    <w:rPr>
      <w:rFonts w:cs="Arial"/>
      <w:bCs/>
      <w:iCs/>
      <w:szCs w:val="28"/>
    </w:rPr>
  </w:style>
  <w:style w:type="paragraph" w:styleId="Ttulo3">
    <w:name w:val="heading 3"/>
    <w:basedOn w:val="Normal"/>
    <w:next w:val="Normal"/>
    <w:link w:val="Ttulo3Car"/>
    <w:qFormat/>
    <w:rsid w:val="00521DC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21DC1"/>
    <w:pPr>
      <w:keepNext/>
      <w:spacing w:before="240" w:after="60"/>
      <w:outlineLvl w:val="3"/>
    </w:pPr>
    <w:rPr>
      <w:b/>
      <w:bCs/>
      <w:sz w:val="28"/>
      <w:szCs w:val="28"/>
    </w:rPr>
  </w:style>
  <w:style w:type="paragraph" w:styleId="Ttulo5">
    <w:name w:val="heading 5"/>
    <w:basedOn w:val="Normal"/>
    <w:next w:val="Normal"/>
    <w:link w:val="Ttulo5Car"/>
    <w:qFormat/>
    <w:rsid w:val="00521DC1"/>
    <w:pPr>
      <w:spacing w:before="240" w:after="60"/>
      <w:outlineLvl w:val="4"/>
    </w:pPr>
    <w:rPr>
      <w:b/>
      <w:bCs/>
      <w:i/>
      <w:iCs/>
      <w:sz w:val="26"/>
      <w:szCs w:val="26"/>
    </w:rPr>
  </w:style>
  <w:style w:type="paragraph" w:styleId="Ttulo6">
    <w:name w:val="heading 6"/>
    <w:basedOn w:val="Normal"/>
    <w:next w:val="Normal"/>
    <w:link w:val="Ttulo6Car"/>
    <w:qFormat/>
    <w:rsid w:val="00521DC1"/>
    <w:pPr>
      <w:spacing w:before="240" w:after="60"/>
      <w:outlineLvl w:val="5"/>
    </w:pPr>
    <w:rPr>
      <w:b/>
      <w:bCs/>
      <w:sz w:val="22"/>
      <w:szCs w:val="22"/>
    </w:rPr>
  </w:style>
  <w:style w:type="paragraph" w:styleId="Ttulo7">
    <w:name w:val="heading 7"/>
    <w:basedOn w:val="Normal"/>
    <w:next w:val="Normal"/>
    <w:link w:val="Ttulo7Car"/>
    <w:uiPriority w:val="9"/>
    <w:semiHidden/>
    <w:qFormat/>
    <w:rsid w:val="00521DC1"/>
    <w:pPr>
      <w:spacing w:before="240" w:after="60"/>
      <w:outlineLvl w:val="6"/>
    </w:pPr>
    <w:rPr>
      <w:sz w:val="24"/>
      <w:szCs w:val="24"/>
    </w:rPr>
  </w:style>
  <w:style w:type="paragraph" w:styleId="Ttulo8">
    <w:name w:val="heading 8"/>
    <w:basedOn w:val="Normal"/>
    <w:next w:val="Normal"/>
    <w:link w:val="Ttulo8Car"/>
    <w:uiPriority w:val="9"/>
    <w:semiHidden/>
    <w:qFormat/>
    <w:rsid w:val="00521DC1"/>
    <w:pPr>
      <w:spacing w:before="240" w:after="60"/>
      <w:outlineLvl w:val="7"/>
    </w:pPr>
    <w:rPr>
      <w:i/>
      <w:iCs/>
      <w:sz w:val="24"/>
      <w:szCs w:val="24"/>
    </w:rPr>
  </w:style>
  <w:style w:type="paragraph" w:styleId="Ttulo9">
    <w:name w:val="heading 9"/>
    <w:basedOn w:val="Normal"/>
    <w:next w:val="Normal"/>
    <w:link w:val="Ttulo9Car"/>
    <w:uiPriority w:val="9"/>
    <w:semiHidden/>
    <w:qFormat/>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16 Point,4_G,BVI fnr,Footnote,Footnote Refernece,Footnote symbol,Fußnotenzeichen_Raxen,Superscript 6 Point,Texto de nota al pie,ftref,Footnotes refss,Appel note de bas de page,referencia nota al pie,Footnote number"/>
    <w:link w:val="BVIfnrCar1CarCarCarCar"/>
    <w:uiPriority w:val="99"/>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Char,F1,FOOTNOTES,Footnote Text Char Char,Footnote Text Char Char Char,Fußnote,Geneva,fn,fn Cha,footnote text Char,ft,ft Char,ft Char Char,ft Char Char Char,single space,single space Char,single space Char Char Char,footnote text"/>
    <w:basedOn w:val="Normal"/>
    <w:link w:val="TextonotapieCar"/>
    <w:uiPriority w:val="99"/>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1"/>
      </w:numPr>
    </w:pPr>
  </w:style>
  <w:style w:type="numbering" w:styleId="1ai">
    <w:name w:val="Outline List 1"/>
    <w:basedOn w:val="Sinlista"/>
    <w:semiHidden/>
    <w:rsid w:val="00521DC1"/>
    <w:pPr>
      <w:numPr>
        <w:numId w:val="2"/>
      </w:numPr>
    </w:pPr>
  </w:style>
  <w:style w:type="character" w:styleId="AcrnimoHTML">
    <w:name w:val="HTML Acronym"/>
    <w:basedOn w:val="Fuentedeprrafopredeter"/>
    <w:uiPriority w:val="99"/>
    <w:semiHidden/>
    <w:rsid w:val="00521DC1"/>
  </w:style>
  <w:style w:type="numbering" w:styleId="ArtculoSeccin">
    <w:name w:val="Outline List 3"/>
    <w:basedOn w:val="Sinlista"/>
    <w:semiHidden/>
    <w:rsid w:val="00521DC1"/>
    <w:pPr>
      <w:numPr>
        <w:numId w:val="3"/>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uiPriority w:val="20"/>
    <w:qFormat/>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uiPriority w:val="99"/>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6"/>
      </w:numPr>
    </w:pPr>
  </w:style>
  <w:style w:type="paragraph" w:styleId="Listaconnmeros2">
    <w:name w:val="List Number 2"/>
    <w:basedOn w:val="Normal"/>
    <w:semiHidden/>
    <w:rsid w:val="00521DC1"/>
    <w:pPr>
      <w:numPr>
        <w:numId w:val="7"/>
      </w:numPr>
    </w:pPr>
  </w:style>
  <w:style w:type="paragraph" w:styleId="Listaconnmeros3">
    <w:name w:val="List Number 3"/>
    <w:basedOn w:val="Normal"/>
    <w:semiHidden/>
    <w:rsid w:val="00521DC1"/>
    <w:pPr>
      <w:numPr>
        <w:numId w:val="8"/>
      </w:numPr>
    </w:pPr>
  </w:style>
  <w:style w:type="paragraph" w:styleId="Listaconnmeros4">
    <w:name w:val="List Number 4"/>
    <w:basedOn w:val="Normal"/>
    <w:semiHidden/>
    <w:rsid w:val="00521DC1"/>
    <w:pPr>
      <w:numPr>
        <w:numId w:val="9"/>
      </w:numPr>
    </w:pPr>
  </w:style>
  <w:style w:type="paragraph" w:styleId="Listaconnmeros5">
    <w:name w:val="List Number 5"/>
    <w:basedOn w:val="Normal"/>
    <w:semiHidden/>
    <w:rsid w:val="00521DC1"/>
    <w:pPr>
      <w:numPr>
        <w:numId w:val="10"/>
      </w:numPr>
    </w:pPr>
  </w:style>
  <w:style w:type="paragraph" w:styleId="Listaconvietas">
    <w:name w:val="List Bullet"/>
    <w:basedOn w:val="Normal"/>
    <w:uiPriority w:val="99"/>
    <w:semiHidden/>
    <w:rsid w:val="00521DC1"/>
    <w:pPr>
      <w:numPr>
        <w:numId w:val="11"/>
      </w:numPr>
    </w:pPr>
  </w:style>
  <w:style w:type="paragraph" w:styleId="Listaconvietas2">
    <w:name w:val="List Bullet 2"/>
    <w:basedOn w:val="Normal"/>
    <w:semiHidden/>
    <w:rsid w:val="00521DC1"/>
    <w:pPr>
      <w:numPr>
        <w:numId w:val="12"/>
      </w:numPr>
    </w:pPr>
  </w:style>
  <w:style w:type="paragraph" w:styleId="Listaconvietas3">
    <w:name w:val="List Bullet 3"/>
    <w:basedOn w:val="Normal"/>
    <w:semiHidden/>
    <w:rsid w:val="00521DC1"/>
    <w:pPr>
      <w:numPr>
        <w:numId w:val="13"/>
      </w:numPr>
    </w:pPr>
  </w:style>
  <w:style w:type="paragraph" w:styleId="Listaconvietas4">
    <w:name w:val="List Bullet 4"/>
    <w:basedOn w:val="Normal"/>
    <w:semiHidden/>
    <w:rsid w:val="00521DC1"/>
    <w:pPr>
      <w:numPr>
        <w:numId w:val="14"/>
      </w:numPr>
    </w:pPr>
  </w:style>
  <w:style w:type="paragraph" w:styleId="Listaconvietas5">
    <w:name w:val="List Bullet 5"/>
    <w:basedOn w:val="Normal"/>
    <w:semiHidden/>
    <w:rsid w:val="00521DC1"/>
    <w:pPr>
      <w:numPr>
        <w:numId w:val="15"/>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aliases w:val="Normal (Web) Char1 Char,Normal (Web) Char Char Char,Normal (Web) Char1"/>
    <w:basedOn w:val="Normal"/>
    <w:uiPriority w:val="99"/>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uiPriority w:val="99"/>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link w:val="SubttuloCar"/>
    <w:qFormat/>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uiPriority w:val="22"/>
    <w:qFormat/>
    <w:rsid w:val="00521DC1"/>
    <w:rPr>
      <w:b/>
      <w:bCs/>
    </w:rPr>
  </w:style>
  <w:style w:type="paragraph" w:styleId="Textoindependiente">
    <w:name w:val="Body Text"/>
    <w:basedOn w:val="Normal"/>
    <w:semiHidden/>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link w:val="TextonotaalfinalCar"/>
    <w:uiPriority w:val="99"/>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link w:val="TtuloCar"/>
    <w:qFormat/>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4"/>
      </w:numPr>
      <w:spacing w:after="120"/>
      <w:ind w:right="1134"/>
      <w:jc w:val="both"/>
    </w:pPr>
    <w:rPr>
      <w:lang w:eastAsia="en-US"/>
    </w:rPr>
  </w:style>
  <w:style w:type="paragraph" w:customStyle="1" w:styleId="Bullet2G">
    <w:name w:val="_Bullet 2_G"/>
    <w:basedOn w:val="Normal"/>
    <w:qFormat/>
    <w:rsid w:val="00521DC1"/>
    <w:pPr>
      <w:numPr>
        <w:numId w:val="5"/>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qFormat/>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21DC1"/>
    <w:rPr>
      <w:b/>
      <w:bCs/>
      <w:i/>
      <w:iCs/>
      <w:color w:val="4F81BD"/>
      <w:lang w:val="es-ES" w:eastAsia="es-ES"/>
    </w:rPr>
  </w:style>
  <w:style w:type="character" w:styleId="nfasisintenso">
    <w:name w:val="Intense Emphasis"/>
    <w:uiPriority w:val="21"/>
    <w:qFormat/>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16"/>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4E6A62"/>
    <w:rPr>
      <w:lang w:val="es-ES" w:eastAsia="es-ES"/>
    </w:rPr>
  </w:style>
  <w:style w:type="character" w:customStyle="1" w:styleId="TextonotapieCar">
    <w:name w:val="Texto nota pie Car"/>
    <w:aliases w:val="5_G Car,Char Car,F1 Car,FOOTNOTES Car,Footnote Text Char Char Car,Footnote Text Char Char Char Car,Fußnote Car,Geneva Car,fn Car,fn Cha Car,footnote text Char Car,ft Car,ft Char Car,ft Char Char Car,ft Char Char Char Car"/>
    <w:link w:val="Textonotapie"/>
    <w:uiPriority w:val="99"/>
    <w:locked/>
    <w:rsid w:val="003D01D8"/>
    <w:rPr>
      <w:sz w:val="18"/>
      <w:lang w:val="es-ES" w:eastAsia="es-ES"/>
    </w:rPr>
  </w:style>
  <w:style w:type="character" w:customStyle="1" w:styleId="H23GChar">
    <w:name w:val="_ H_2/3_G Char"/>
    <w:link w:val="H23G"/>
    <w:locked/>
    <w:rsid w:val="003D01D8"/>
    <w:rPr>
      <w:b/>
      <w:lang w:val="es-ES" w:eastAsia="es-ES"/>
    </w:rPr>
  </w:style>
  <w:style w:type="numbering" w:customStyle="1" w:styleId="NoList1">
    <w:name w:val="No List1"/>
    <w:next w:val="Sinlista"/>
    <w:uiPriority w:val="99"/>
    <w:semiHidden/>
    <w:unhideWhenUsed/>
    <w:rsid w:val="00B36B7E"/>
  </w:style>
  <w:style w:type="character" w:customStyle="1" w:styleId="Ttulo2Car">
    <w:name w:val="Título 2 Car"/>
    <w:basedOn w:val="Fuentedeprrafopredeter"/>
    <w:link w:val="Ttulo2"/>
    <w:rsid w:val="00B36B7E"/>
    <w:rPr>
      <w:rFonts w:cs="Arial"/>
      <w:bCs/>
      <w:iCs/>
      <w:szCs w:val="28"/>
      <w:lang w:val="es-ES" w:eastAsia="es-ES"/>
    </w:rPr>
  </w:style>
  <w:style w:type="character" w:customStyle="1" w:styleId="Ttulo3Car">
    <w:name w:val="Título 3 Car"/>
    <w:basedOn w:val="Fuentedeprrafopredeter"/>
    <w:link w:val="Ttulo3"/>
    <w:rsid w:val="00B36B7E"/>
    <w:rPr>
      <w:rFonts w:ascii="Arial" w:hAnsi="Arial" w:cs="Arial"/>
      <w:b/>
      <w:bCs/>
      <w:sz w:val="26"/>
      <w:szCs w:val="26"/>
      <w:lang w:val="es-ES" w:eastAsia="es-ES"/>
    </w:rPr>
  </w:style>
  <w:style w:type="character" w:customStyle="1" w:styleId="Ttulo4Car">
    <w:name w:val="Título 4 Car"/>
    <w:basedOn w:val="Fuentedeprrafopredeter"/>
    <w:link w:val="Ttulo4"/>
    <w:rsid w:val="00B36B7E"/>
    <w:rPr>
      <w:b/>
      <w:bCs/>
      <w:sz w:val="28"/>
      <w:szCs w:val="28"/>
      <w:lang w:val="es-ES" w:eastAsia="es-ES"/>
    </w:rPr>
  </w:style>
  <w:style w:type="character" w:customStyle="1" w:styleId="Ttulo5Car">
    <w:name w:val="Título 5 Car"/>
    <w:basedOn w:val="Fuentedeprrafopredeter"/>
    <w:link w:val="Ttulo5"/>
    <w:rsid w:val="00B36B7E"/>
    <w:rPr>
      <w:b/>
      <w:bCs/>
      <w:i/>
      <w:iCs/>
      <w:sz w:val="26"/>
      <w:szCs w:val="26"/>
      <w:lang w:val="es-ES" w:eastAsia="es-ES"/>
    </w:rPr>
  </w:style>
  <w:style w:type="character" w:customStyle="1" w:styleId="Ttulo6Car">
    <w:name w:val="Título 6 Car"/>
    <w:basedOn w:val="Fuentedeprrafopredeter"/>
    <w:link w:val="Ttulo6"/>
    <w:rsid w:val="00B36B7E"/>
    <w:rPr>
      <w:b/>
      <w:bCs/>
      <w:sz w:val="22"/>
      <w:szCs w:val="22"/>
      <w:lang w:val="es-ES" w:eastAsia="es-ES"/>
    </w:rPr>
  </w:style>
  <w:style w:type="character" w:customStyle="1" w:styleId="Ttulo7Car">
    <w:name w:val="Título 7 Car"/>
    <w:basedOn w:val="Fuentedeprrafopredeter"/>
    <w:link w:val="Ttulo7"/>
    <w:uiPriority w:val="9"/>
    <w:semiHidden/>
    <w:rsid w:val="00B36B7E"/>
    <w:rPr>
      <w:sz w:val="24"/>
      <w:szCs w:val="24"/>
      <w:lang w:val="es-ES" w:eastAsia="es-ES"/>
    </w:rPr>
  </w:style>
  <w:style w:type="character" w:customStyle="1" w:styleId="Ttulo8Car">
    <w:name w:val="Título 8 Car"/>
    <w:basedOn w:val="Fuentedeprrafopredeter"/>
    <w:link w:val="Ttulo8"/>
    <w:uiPriority w:val="9"/>
    <w:semiHidden/>
    <w:rsid w:val="00B36B7E"/>
    <w:rPr>
      <w:i/>
      <w:iCs/>
      <w:sz w:val="24"/>
      <w:szCs w:val="24"/>
      <w:lang w:val="es-ES" w:eastAsia="es-ES"/>
    </w:rPr>
  </w:style>
  <w:style w:type="character" w:customStyle="1" w:styleId="Ttulo9Car">
    <w:name w:val="Título 9 Car"/>
    <w:basedOn w:val="Fuentedeprrafopredeter"/>
    <w:link w:val="Ttulo9"/>
    <w:uiPriority w:val="9"/>
    <w:semiHidden/>
    <w:rsid w:val="00B36B7E"/>
    <w:rPr>
      <w:rFonts w:ascii="Arial" w:hAnsi="Arial" w:cs="Arial"/>
      <w:sz w:val="22"/>
      <w:szCs w:val="22"/>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B36B7E"/>
    <w:pPr>
      <w:spacing w:before="200" w:after="160" w:line="240" w:lineRule="exact"/>
    </w:pPr>
    <w:rPr>
      <w:sz w:val="18"/>
      <w:vertAlign w:val="superscript"/>
      <w:lang w:val="fr-FR" w:eastAsia="fr-FR"/>
    </w:rPr>
  </w:style>
  <w:style w:type="paragraph" w:customStyle="1" w:styleId="Prrafodelista11">
    <w:name w:val="Párrafo de lista11"/>
    <w:basedOn w:val="Normal"/>
    <w:next w:val="Prrafodelista"/>
    <w:link w:val="ListParagraphChar"/>
    <w:uiPriority w:val="34"/>
    <w:qFormat/>
    <w:rsid w:val="00B36B7E"/>
    <w:pPr>
      <w:spacing w:after="160" w:line="259" w:lineRule="auto"/>
      <w:ind w:left="720"/>
      <w:contextualSpacing/>
    </w:pPr>
    <w:rPr>
      <w:rFonts w:ascii="Calibri" w:hAnsi="Calibri"/>
      <w:sz w:val="22"/>
      <w:szCs w:val="22"/>
      <w:lang w:eastAsia="en-US"/>
    </w:rPr>
  </w:style>
  <w:style w:type="character" w:customStyle="1" w:styleId="ListParagraphChar">
    <w:name w:val="List Paragraph Char"/>
    <w:aliases w:val="Premier Char,Superíndice Char,titulo 5 Char,RECUADRO Char,BULLET Liste Char,MAPA Char,GRÁFICOS Char,List Paragraph-Thesis Char,List Paragraph 1 Char,List-Bulleted Char,Numeracion Informes Char,Subtitulos Char,GRAFICO Char,RAFO Char"/>
    <w:basedOn w:val="Fuentedeprrafopredeter"/>
    <w:link w:val="Prrafodelista11"/>
    <w:uiPriority w:val="34"/>
    <w:qFormat/>
    <w:rsid w:val="00B36B7E"/>
  </w:style>
  <w:style w:type="character" w:customStyle="1" w:styleId="EncabezadoCar">
    <w:name w:val="Encabezado Car"/>
    <w:aliases w:val="6_G Car"/>
    <w:basedOn w:val="Fuentedeprrafopredeter"/>
    <w:link w:val="Encabezado"/>
    <w:uiPriority w:val="99"/>
    <w:rsid w:val="00B36B7E"/>
    <w:rPr>
      <w:b/>
      <w:sz w:val="18"/>
      <w:lang w:val="es-ES" w:eastAsia="es-ES"/>
    </w:rPr>
  </w:style>
  <w:style w:type="character" w:customStyle="1" w:styleId="PiedepginaCar">
    <w:name w:val="Pie de página Car"/>
    <w:aliases w:val="3_G Car"/>
    <w:basedOn w:val="Fuentedeprrafopredeter"/>
    <w:link w:val="Piedepgina"/>
    <w:uiPriority w:val="99"/>
    <w:rsid w:val="00B36B7E"/>
    <w:rPr>
      <w:sz w:val="16"/>
      <w:lang w:val="es-ES" w:eastAsia="es-ES"/>
    </w:rPr>
  </w:style>
  <w:style w:type="table" w:customStyle="1" w:styleId="TableGrid1">
    <w:name w:val="Table Grid1"/>
    <w:basedOn w:val="Tablanormal"/>
    <w:next w:val="Tablaconcuadrcula"/>
    <w:uiPriority w:val="39"/>
    <w:rsid w:val="00B36B7E"/>
    <w:rPr>
      <w:rFonts w:ascii="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
    <w:name w:val="Texto nota al final Car"/>
    <w:aliases w:val="2_G Car"/>
    <w:basedOn w:val="Fuentedeprrafopredeter"/>
    <w:link w:val="Textonotaalfinal"/>
    <w:uiPriority w:val="99"/>
    <w:rsid w:val="00B36B7E"/>
    <w:rPr>
      <w:sz w:val="18"/>
      <w:lang w:val="es-ES" w:eastAsia="es-ES"/>
    </w:rPr>
  </w:style>
  <w:style w:type="character" w:styleId="Refdecomentario">
    <w:name w:val="annotation reference"/>
    <w:basedOn w:val="Fuentedeprrafopredeter"/>
    <w:uiPriority w:val="99"/>
    <w:semiHidden/>
    <w:unhideWhenUsed/>
    <w:rsid w:val="00B36B7E"/>
    <w:rPr>
      <w:sz w:val="16"/>
      <w:szCs w:val="16"/>
    </w:rPr>
  </w:style>
  <w:style w:type="paragraph" w:customStyle="1" w:styleId="CommentText1">
    <w:name w:val="Comment Text1"/>
    <w:basedOn w:val="Normal"/>
    <w:next w:val="Textocomentario"/>
    <w:link w:val="CommentTextChar"/>
    <w:uiPriority w:val="99"/>
    <w:semiHidden/>
    <w:unhideWhenUsed/>
    <w:rsid w:val="00B36B7E"/>
    <w:pPr>
      <w:spacing w:after="160" w:line="240" w:lineRule="auto"/>
    </w:pPr>
    <w:rPr>
      <w:lang w:val="fr-FR" w:eastAsia="fr-FR"/>
    </w:rPr>
  </w:style>
  <w:style w:type="character" w:customStyle="1" w:styleId="CommentTextChar">
    <w:name w:val="Comment Text Char"/>
    <w:basedOn w:val="Fuentedeprrafopredeter"/>
    <w:link w:val="CommentText1"/>
    <w:uiPriority w:val="99"/>
    <w:semiHidden/>
    <w:rsid w:val="00B36B7E"/>
    <w:rPr>
      <w:sz w:val="20"/>
      <w:szCs w:val="20"/>
    </w:rPr>
  </w:style>
  <w:style w:type="paragraph" w:customStyle="1" w:styleId="CommentSubject1">
    <w:name w:val="Comment Subject1"/>
    <w:basedOn w:val="Textocomentario"/>
    <w:next w:val="Textocomentario"/>
    <w:uiPriority w:val="99"/>
    <w:semiHidden/>
    <w:unhideWhenUsed/>
    <w:rsid w:val="00B36B7E"/>
    <w:pPr>
      <w:spacing w:after="160"/>
    </w:pPr>
    <w:rPr>
      <w:rFonts w:ascii="Calibri" w:hAnsi="Calibri"/>
      <w:b/>
      <w:bCs/>
      <w:lang w:eastAsia="en-US"/>
    </w:rPr>
  </w:style>
  <w:style w:type="character" w:customStyle="1" w:styleId="AsuntodelcomentarioCar">
    <w:name w:val="Asunto del comentario Car"/>
    <w:basedOn w:val="CommentTextChar"/>
    <w:link w:val="Asuntodelcomentario"/>
    <w:uiPriority w:val="99"/>
    <w:semiHidden/>
    <w:rsid w:val="00B36B7E"/>
    <w:rPr>
      <w:sz w:val="20"/>
      <w:szCs w:val="20"/>
    </w:rPr>
  </w:style>
  <w:style w:type="paragraph" w:customStyle="1" w:styleId="ftrefCharCharChar">
    <w:name w:val="ftref Char Char Char"/>
    <w:aliases w:val="Heading 2 Char1 Char Char Char Char,Heading 2 Char2 Char Char Char Char Char,Heading 2 Char Char Char Char Char1 Char Char"/>
    <w:basedOn w:val="Normal"/>
    <w:uiPriority w:val="99"/>
    <w:rsid w:val="00B36B7E"/>
    <w:pPr>
      <w:spacing w:after="160" w:line="240" w:lineRule="exact"/>
    </w:pPr>
    <w:rPr>
      <w:sz w:val="18"/>
      <w:vertAlign w:val="superscript"/>
      <w:lang w:val="fr-FR" w:eastAsia="fr-FR"/>
    </w:rPr>
  </w:style>
  <w:style w:type="paragraph" w:styleId="z-Principiodelformulario">
    <w:name w:val="HTML Top of Form"/>
    <w:basedOn w:val="Normal"/>
    <w:next w:val="Normal"/>
    <w:link w:val="z-PrincipiodelformularioCar"/>
    <w:hidden/>
    <w:uiPriority w:val="99"/>
    <w:semiHidden/>
    <w:unhideWhenUsed/>
    <w:rsid w:val="00B36B7E"/>
    <w:pPr>
      <w:pBdr>
        <w:bottom w:val="single" w:sz="6" w:space="1" w:color="auto"/>
      </w:pBdr>
      <w:spacing w:line="240" w:lineRule="auto"/>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B36B7E"/>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B36B7E"/>
    <w:pPr>
      <w:pBdr>
        <w:top w:val="single" w:sz="6" w:space="1" w:color="auto"/>
      </w:pBdr>
      <w:spacing w:line="240" w:lineRule="auto"/>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B36B7E"/>
    <w:rPr>
      <w:rFonts w:ascii="Arial" w:hAnsi="Arial" w:cs="Arial"/>
      <w:vanish/>
      <w:sz w:val="16"/>
      <w:szCs w:val="16"/>
      <w:lang w:val="es-ES" w:eastAsia="es-ES"/>
    </w:rPr>
  </w:style>
  <w:style w:type="table" w:customStyle="1" w:styleId="Tablaconcuadrcula11">
    <w:name w:val="Tabla con cuadrícula11"/>
    <w:basedOn w:val="Tablanormal"/>
    <w:next w:val="Tablaconcuadrcula"/>
    <w:uiPriority w:val="39"/>
    <w:rsid w:val="00B36B7E"/>
    <w:rPr>
      <w:rFonts w:ascii="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B7E"/>
    <w:pPr>
      <w:autoSpaceDE w:val="0"/>
      <w:autoSpaceDN w:val="0"/>
      <w:adjustRightInd w:val="0"/>
    </w:pPr>
    <w:rPr>
      <w:rFonts w:ascii="Arial" w:hAnsi="Arial" w:cs="Arial"/>
      <w:color w:val="000000"/>
      <w:sz w:val="24"/>
      <w:szCs w:val="24"/>
      <w:lang w:val="es-ES" w:eastAsia="es-ES"/>
    </w:rPr>
  </w:style>
  <w:style w:type="paragraph" w:customStyle="1" w:styleId="Caption1">
    <w:name w:val="Caption1"/>
    <w:basedOn w:val="Normal"/>
    <w:next w:val="Normal"/>
    <w:uiPriority w:val="35"/>
    <w:semiHidden/>
    <w:unhideWhenUsed/>
    <w:qFormat/>
    <w:rsid w:val="00B36B7E"/>
    <w:pPr>
      <w:spacing w:after="160" w:line="240" w:lineRule="auto"/>
    </w:pPr>
    <w:rPr>
      <w:rFonts w:ascii="Calibri" w:hAnsi="Calibri"/>
      <w:b/>
      <w:bCs/>
      <w:smallCaps/>
      <w:color w:val="44546A"/>
      <w:sz w:val="22"/>
      <w:szCs w:val="22"/>
      <w:lang w:eastAsia="en-US"/>
    </w:rPr>
  </w:style>
  <w:style w:type="character" w:customStyle="1" w:styleId="TtuloCar">
    <w:name w:val="Título Car"/>
    <w:basedOn w:val="Fuentedeprrafopredeter"/>
    <w:link w:val="Ttulo"/>
    <w:rsid w:val="00B36B7E"/>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B36B7E"/>
    <w:rPr>
      <w:rFonts w:ascii="Arial" w:hAnsi="Arial" w:cs="Arial"/>
      <w:sz w:val="24"/>
      <w:szCs w:val="24"/>
      <w:lang w:val="es-ES" w:eastAsia="es-ES"/>
    </w:rPr>
  </w:style>
  <w:style w:type="paragraph" w:customStyle="1" w:styleId="NoSpacing1">
    <w:name w:val="No Spacing1"/>
    <w:next w:val="Sinespaciado"/>
    <w:uiPriority w:val="1"/>
    <w:qFormat/>
    <w:rsid w:val="00B36B7E"/>
    <w:rPr>
      <w:rFonts w:ascii="Calibri" w:hAnsi="Calibri"/>
      <w:sz w:val="22"/>
      <w:szCs w:val="22"/>
      <w:lang w:val="es-ES" w:eastAsia="en-US"/>
    </w:rPr>
  </w:style>
  <w:style w:type="paragraph" w:customStyle="1" w:styleId="Quote1">
    <w:name w:val="Quote1"/>
    <w:basedOn w:val="Normal"/>
    <w:next w:val="Normal"/>
    <w:uiPriority w:val="29"/>
    <w:qFormat/>
    <w:rsid w:val="00B36B7E"/>
    <w:pPr>
      <w:spacing w:before="120" w:after="120" w:line="259" w:lineRule="auto"/>
      <w:ind w:left="720"/>
    </w:pPr>
    <w:rPr>
      <w:rFonts w:ascii="Calibri" w:hAnsi="Calibri"/>
      <w:color w:val="44546A"/>
      <w:sz w:val="24"/>
      <w:szCs w:val="24"/>
      <w:lang w:eastAsia="en-US"/>
    </w:rPr>
  </w:style>
  <w:style w:type="character" w:customStyle="1" w:styleId="CitaCar">
    <w:name w:val="Cita Car"/>
    <w:basedOn w:val="Fuentedeprrafopredeter"/>
    <w:link w:val="Cita"/>
    <w:uiPriority w:val="29"/>
    <w:rsid w:val="00B36B7E"/>
    <w:rPr>
      <w:color w:val="44546A"/>
      <w:sz w:val="24"/>
      <w:szCs w:val="24"/>
    </w:rPr>
  </w:style>
  <w:style w:type="character" w:customStyle="1" w:styleId="SubtleEmphasis1">
    <w:name w:val="Subtle Emphasis1"/>
    <w:basedOn w:val="Fuentedeprrafopredeter"/>
    <w:uiPriority w:val="19"/>
    <w:qFormat/>
    <w:rsid w:val="00B36B7E"/>
    <w:rPr>
      <w:i/>
      <w:iCs/>
      <w:color w:val="595959"/>
    </w:rPr>
  </w:style>
  <w:style w:type="character" w:customStyle="1" w:styleId="SubtleReference1">
    <w:name w:val="Subtle Reference1"/>
    <w:basedOn w:val="Fuentedeprrafopredeter"/>
    <w:uiPriority w:val="31"/>
    <w:qFormat/>
    <w:rsid w:val="00B36B7E"/>
    <w:rPr>
      <w:smallCaps/>
      <w:color w:val="595959"/>
      <w:u w:val="none" w:color="7F7F7F"/>
      <w:bdr w:val="none" w:sz="0" w:space="0" w:color="auto"/>
    </w:rPr>
  </w:style>
  <w:style w:type="character" w:customStyle="1" w:styleId="IntenseReference1">
    <w:name w:val="Intense Reference1"/>
    <w:basedOn w:val="Fuentedeprrafopredeter"/>
    <w:uiPriority w:val="32"/>
    <w:qFormat/>
    <w:rsid w:val="00B36B7E"/>
    <w:rPr>
      <w:b/>
      <w:bCs/>
      <w:smallCaps/>
      <w:color w:val="44546A"/>
      <w:u w:val="single"/>
    </w:rPr>
  </w:style>
  <w:style w:type="character" w:styleId="Ttulodellibro">
    <w:name w:val="Book Title"/>
    <w:basedOn w:val="Fuentedeprrafopredeter"/>
    <w:uiPriority w:val="33"/>
    <w:qFormat/>
    <w:rsid w:val="00B36B7E"/>
    <w:rPr>
      <w:b/>
      <w:bCs/>
      <w:smallCaps/>
      <w:spacing w:val="10"/>
    </w:rPr>
  </w:style>
  <w:style w:type="paragraph" w:customStyle="1" w:styleId="TOCHeading1">
    <w:name w:val="TOC Heading1"/>
    <w:basedOn w:val="Ttulo1"/>
    <w:next w:val="Normal"/>
    <w:uiPriority w:val="39"/>
    <w:semiHidden/>
    <w:unhideWhenUsed/>
    <w:qFormat/>
    <w:rsid w:val="00B36B7E"/>
    <w:pPr>
      <w:suppressAutoHyphens w:val="0"/>
      <w:kinsoku/>
      <w:overflowPunct/>
      <w:autoSpaceDE/>
      <w:autoSpaceDN/>
      <w:adjustRightInd/>
      <w:snapToGrid/>
      <w:spacing w:before="400" w:after="40"/>
      <w:ind w:left="0"/>
      <w:outlineLvl w:val="9"/>
    </w:pPr>
    <w:rPr>
      <w:rFonts w:ascii="Calibri Light" w:hAnsi="Calibri Light"/>
      <w:color w:val="1F4E79"/>
      <w:sz w:val="36"/>
      <w:szCs w:val="36"/>
      <w:lang w:val="es-ES"/>
    </w:rPr>
  </w:style>
  <w:style w:type="table" w:customStyle="1" w:styleId="GridTable4-Accent61">
    <w:name w:val="Grid Table 4 - Accent 61"/>
    <w:basedOn w:val="Tablanormal"/>
    <w:next w:val="Tablaconcuadrcula4-nfasis6"/>
    <w:uiPriority w:val="49"/>
    <w:rsid w:val="00B36B7E"/>
    <w:rPr>
      <w:rFonts w:ascii="Calibri" w:hAnsi="Calibri"/>
      <w:sz w:val="22"/>
      <w:szCs w:val="22"/>
      <w:lang w:val="es-E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1">
    <w:name w:val="Table Normal1"/>
    <w:rsid w:val="00B36B7E"/>
    <w:pPr>
      <w:spacing w:before="240" w:after="240" w:line="276" w:lineRule="auto"/>
    </w:pPr>
    <w:rPr>
      <w:rFonts w:ascii="Libre Baskerville" w:eastAsia="Libre Baskerville" w:hAnsi="Libre Baskerville" w:cs="Libre Baskerville"/>
      <w:b/>
      <w:lang w:val="es-BO" w:eastAsia="es-VE"/>
    </w:rPr>
    <w:tblPr>
      <w:tblCellMar>
        <w:top w:w="0" w:type="dxa"/>
        <w:left w:w="0" w:type="dxa"/>
        <w:bottom w:w="0" w:type="dxa"/>
        <w:right w:w="0" w:type="dxa"/>
      </w:tblCellMar>
    </w:tblPr>
  </w:style>
  <w:style w:type="table" w:customStyle="1" w:styleId="78">
    <w:name w:val="78"/>
    <w:basedOn w:val="TableNormal1"/>
    <w:rsid w:val="00B36B7E"/>
    <w:tblPr/>
  </w:style>
  <w:style w:type="table" w:customStyle="1" w:styleId="77">
    <w:name w:val="77"/>
    <w:basedOn w:val="TableNormal1"/>
    <w:rsid w:val="00B36B7E"/>
    <w:tblPr/>
  </w:style>
  <w:style w:type="table" w:customStyle="1" w:styleId="76">
    <w:name w:val="76"/>
    <w:basedOn w:val="TableNormal1"/>
    <w:rsid w:val="00B36B7E"/>
    <w:tblPr/>
  </w:style>
  <w:style w:type="table" w:customStyle="1" w:styleId="75">
    <w:name w:val="75"/>
    <w:basedOn w:val="TableNormal1"/>
    <w:rsid w:val="00B36B7E"/>
    <w:tblPr/>
  </w:style>
  <w:style w:type="table" w:customStyle="1" w:styleId="74">
    <w:name w:val="74"/>
    <w:basedOn w:val="TableNormal1"/>
    <w:rsid w:val="00B36B7E"/>
    <w:tblPr/>
  </w:style>
  <w:style w:type="table" w:customStyle="1" w:styleId="73">
    <w:name w:val="73"/>
    <w:basedOn w:val="TableNormal1"/>
    <w:rsid w:val="00B36B7E"/>
    <w:tblPr/>
  </w:style>
  <w:style w:type="table" w:customStyle="1" w:styleId="72">
    <w:name w:val="72"/>
    <w:basedOn w:val="TableNormal1"/>
    <w:rsid w:val="00B36B7E"/>
    <w:tblPr/>
  </w:style>
  <w:style w:type="table" w:customStyle="1" w:styleId="71">
    <w:name w:val="71"/>
    <w:basedOn w:val="TableNormal1"/>
    <w:rsid w:val="00B36B7E"/>
    <w:tblPr/>
  </w:style>
  <w:style w:type="table" w:customStyle="1" w:styleId="70">
    <w:name w:val="70"/>
    <w:basedOn w:val="TableNormal1"/>
    <w:rsid w:val="00B36B7E"/>
    <w:tblPr/>
  </w:style>
  <w:style w:type="table" w:customStyle="1" w:styleId="69">
    <w:name w:val="69"/>
    <w:basedOn w:val="TableNormal1"/>
    <w:rsid w:val="00B36B7E"/>
    <w:tblPr/>
  </w:style>
  <w:style w:type="table" w:customStyle="1" w:styleId="68">
    <w:name w:val="68"/>
    <w:basedOn w:val="TableNormal1"/>
    <w:rsid w:val="00B36B7E"/>
    <w:tblPr/>
  </w:style>
  <w:style w:type="table" w:customStyle="1" w:styleId="67">
    <w:name w:val="67"/>
    <w:basedOn w:val="TableNormal1"/>
    <w:rsid w:val="00B36B7E"/>
    <w:tblPr/>
  </w:style>
  <w:style w:type="table" w:customStyle="1" w:styleId="66">
    <w:name w:val="66"/>
    <w:basedOn w:val="TableNormal1"/>
    <w:rsid w:val="00B36B7E"/>
    <w:tblPr/>
  </w:style>
  <w:style w:type="table" w:customStyle="1" w:styleId="65">
    <w:name w:val="65"/>
    <w:basedOn w:val="TableNormal1"/>
    <w:rsid w:val="00B36B7E"/>
    <w:tblPr/>
  </w:style>
  <w:style w:type="table" w:customStyle="1" w:styleId="64">
    <w:name w:val="64"/>
    <w:basedOn w:val="TableNormal1"/>
    <w:rsid w:val="00B36B7E"/>
    <w:tblPr/>
  </w:style>
  <w:style w:type="table" w:customStyle="1" w:styleId="63">
    <w:name w:val="63"/>
    <w:basedOn w:val="TableNormal1"/>
    <w:rsid w:val="00B36B7E"/>
    <w:tblPr/>
  </w:style>
  <w:style w:type="table" w:customStyle="1" w:styleId="62">
    <w:name w:val="62"/>
    <w:basedOn w:val="TableNormal1"/>
    <w:rsid w:val="00B36B7E"/>
    <w:tblPr/>
  </w:style>
  <w:style w:type="table" w:customStyle="1" w:styleId="61">
    <w:name w:val="61"/>
    <w:basedOn w:val="TableNormal1"/>
    <w:rsid w:val="00B36B7E"/>
    <w:tblPr/>
  </w:style>
  <w:style w:type="table" w:customStyle="1" w:styleId="60">
    <w:name w:val="60"/>
    <w:basedOn w:val="TableNormal1"/>
    <w:rsid w:val="00B36B7E"/>
    <w:tblPr/>
  </w:style>
  <w:style w:type="table" w:customStyle="1" w:styleId="59">
    <w:name w:val="59"/>
    <w:basedOn w:val="TableNormal1"/>
    <w:rsid w:val="00B36B7E"/>
    <w:tblPr/>
  </w:style>
  <w:style w:type="table" w:customStyle="1" w:styleId="58">
    <w:name w:val="58"/>
    <w:basedOn w:val="TableNormal1"/>
    <w:rsid w:val="00B36B7E"/>
    <w:tblPr/>
  </w:style>
  <w:style w:type="table" w:customStyle="1" w:styleId="57">
    <w:name w:val="57"/>
    <w:basedOn w:val="TableNormal1"/>
    <w:rsid w:val="00B36B7E"/>
    <w:tblPr/>
  </w:style>
  <w:style w:type="table" w:customStyle="1" w:styleId="56">
    <w:name w:val="56"/>
    <w:basedOn w:val="TableNormal1"/>
    <w:rsid w:val="00B36B7E"/>
    <w:tblPr/>
  </w:style>
  <w:style w:type="table" w:customStyle="1" w:styleId="55">
    <w:name w:val="55"/>
    <w:basedOn w:val="TableNormal1"/>
    <w:rsid w:val="00B36B7E"/>
    <w:tblPr/>
  </w:style>
  <w:style w:type="table" w:customStyle="1" w:styleId="54">
    <w:name w:val="54"/>
    <w:basedOn w:val="TableNormal1"/>
    <w:rsid w:val="00B36B7E"/>
    <w:tblPr/>
  </w:style>
  <w:style w:type="table" w:customStyle="1" w:styleId="53">
    <w:name w:val="53"/>
    <w:basedOn w:val="TableNormal1"/>
    <w:rsid w:val="00B36B7E"/>
    <w:tblPr/>
  </w:style>
  <w:style w:type="table" w:customStyle="1" w:styleId="52">
    <w:name w:val="52"/>
    <w:basedOn w:val="TableNormal1"/>
    <w:rsid w:val="00B36B7E"/>
    <w:tblPr/>
  </w:style>
  <w:style w:type="table" w:customStyle="1" w:styleId="51">
    <w:name w:val="51"/>
    <w:basedOn w:val="TableNormal1"/>
    <w:rsid w:val="00B36B7E"/>
    <w:tblPr/>
  </w:style>
  <w:style w:type="table" w:customStyle="1" w:styleId="50">
    <w:name w:val="50"/>
    <w:basedOn w:val="TableNormal1"/>
    <w:rsid w:val="00B36B7E"/>
    <w:tblPr/>
  </w:style>
  <w:style w:type="table" w:customStyle="1" w:styleId="49">
    <w:name w:val="49"/>
    <w:basedOn w:val="TableNormal1"/>
    <w:rsid w:val="00B36B7E"/>
    <w:tblPr/>
  </w:style>
  <w:style w:type="table" w:customStyle="1" w:styleId="48">
    <w:name w:val="48"/>
    <w:basedOn w:val="TableNormal1"/>
    <w:rsid w:val="00B36B7E"/>
    <w:tblPr/>
  </w:style>
  <w:style w:type="table" w:customStyle="1" w:styleId="47">
    <w:name w:val="47"/>
    <w:basedOn w:val="TableNormal1"/>
    <w:rsid w:val="00B36B7E"/>
    <w:tblPr/>
  </w:style>
  <w:style w:type="table" w:customStyle="1" w:styleId="46">
    <w:name w:val="46"/>
    <w:basedOn w:val="TableNormal1"/>
    <w:rsid w:val="00B36B7E"/>
    <w:tblPr/>
  </w:style>
  <w:style w:type="table" w:customStyle="1" w:styleId="45">
    <w:name w:val="45"/>
    <w:basedOn w:val="TableNormal1"/>
    <w:rsid w:val="00B36B7E"/>
    <w:tblPr/>
  </w:style>
  <w:style w:type="table" w:customStyle="1" w:styleId="44">
    <w:name w:val="44"/>
    <w:basedOn w:val="TableNormal1"/>
    <w:rsid w:val="00B36B7E"/>
    <w:tblPr/>
  </w:style>
  <w:style w:type="table" w:customStyle="1" w:styleId="43">
    <w:name w:val="43"/>
    <w:basedOn w:val="TableNormal1"/>
    <w:rsid w:val="00B36B7E"/>
    <w:tblPr/>
  </w:style>
  <w:style w:type="table" w:customStyle="1" w:styleId="42">
    <w:name w:val="42"/>
    <w:basedOn w:val="TableNormal1"/>
    <w:rsid w:val="00B36B7E"/>
    <w:tblPr/>
  </w:style>
  <w:style w:type="table" w:customStyle="1" w:styleId="41">
    <w:name w:val="41"/>
    <w:basedOn w:val="TableNormal1"/>
    <w:rsid w:val="00B36B7E"/>
    <w:tblPr/>
  </w:style>
  <w:style w:type="table" w:customStyle="1" w:styleId="40">
    <w:name w:val="40"/>
    <w:basedOn w:val="TableNormal1"/>
    <w:rsid w:val="00B36B7E"/>
    <w:tblPr/>
  </w:style>
  <w:style w:type="table" w:customStyle="1" w:styleId="39">
    <w:name w:val="39"/>
    <w:basedOn w:val="TableNormal1"/>
    <w:rsid w:val="00B36B7E"/>
    <w:tblPr/>
  </w:style>
  <w:style w:type="table" w:customStyle="1" w:styleId="38">
    <w:name w:val="38"/>
    <w:basedOn w:val="TableNormal1"/>
    <w:rsid w:val="00B36B7E"/>
    <w:tblPr/>
  </w:style>
  <w:style w:type="table" w:customStyle="1" w:styleId="37">
    <w:name w:val="37"/>
    <w:basedOn w:val="TableNormal1"/>
    <w:rsid w:val="00B36B7E"/>
    <w:tblPr/>
  </w:style>
  <w:style w:type="table" w:customStyle="1" w:styleId="36">
    <w:name w:val="36"/>
    <w:basedOn w:val="TableNormal1"/>
    <w:rsid w:val="00B36B7E"/>
    <w:tblPr/>
  </w:style>
  <w:style w:type="table" w:customStyle="1" w:styleId="35">
    <w:name w:val="35"/>
    <w:basedOn w:val="TableNormal1"/>
    <w:rsid w:val="00B36B7E"/>
    <w:tblPr/>
  </w:style>
  <w:style w:type="table" w:customStyle="1" w:styleId="34">
    <w:name w:val="34"/>
    <w:basedOn w:val="TableNormal1"/>
    <w:rsid w:val="00B36B7E"/>
    <w:tblPr/>
  </w:style>
  <w:style w:type="table" w:customStyle="1" w:styleId="33">
    <w:name w:val="33"/>
    <w:basedOn w:val="TableNormal1"/>
    <w:rsid w:val="00B36B7E"/>
    <w:tblPr/>
  </w:style>
  <w:style w:type="table" w:customStyle="1" w:styleId="32">
    <w:name w:val="32"/>
    <w:basedOn w:val="TableNormal1"/>
    <w:rsid w:val="00B36B7E"/>
    <w:tblPr/>
  </w:style>
  <w:style w:type="table" w:customStyle="1" w:styleId="31">
    <w:name w:val="31"/>
    <w:basedOn w:val="TableNormal1"/>
    <w:rsid w:val="00B36B7E"/>
    <w:tblPr/>
  </w:style>
  <w:style w:type="table" w:customStyle="1" w:styleId="30">
    <w:name w:val="30"/>
    <w:basedOn w:val="TableNormal1"/>
    <w:rsid w:val="00B36B7E"/>
    <w:tblPr/>
  </w:style>
  <w:style w:type="table" w:customStyle="1" w:styleId="29">
    <w:name w:val="29"/>
    <w:basedOn w:val="TableNormal1"/>
    <w:rsid w:val="00B36B7E"/>
    <w:tblPr/>
  </w:style>
  <w:style w:type="table" w:customStyle="1" w:styleId="28">
    <w:name w:val="28"/>
    <w:basedOn w:val="TableNormal1"/>
    <w:rsid w:val="00B36B7E"/>
    <w:tblPr/>
  </w:style>
  <w:style w:type="table" w:customStyle="1" w:styleId="27">
    <w:name w:val="27"/>
    <w:basedOn w:val="TableNormal1"/>
    <w:rsid w:val="00B36B7E"/>
    <w:tblPr/>
  </w:style>
  <w:style w:type="table" w:customStyle="1" w:styleId="26">
    <w:name w:val="26"/>
    <w:basedOn w:val="TableNormal1"/>
    <w:rsid w:val="00B36B7E"/>
    <w:tblPr/>
  </w:style>
  <w:style w:type="table" w:customStyle="1" w:styleId="25">
    <w:name w:val="25"/>
    <w:basedOn w:val="TableNormal1"/>
    <w:rsid w:val="00B36B7E"/>
    <w:tblPr/>
  </w:style>
  <w:style w:type="table" w:customStyle="1" w:styleId="24">
    <w:name w:val="24"/>
    <w:basedOn w:val="TableNormal1"/>
    <w:rsid w:val="00B36B7E"/>
    <w:tblPr/>
  </w:style>
  <w:style w:type="table" w:customStyle="1" w:styleId="23">
    <w:name w:val="23"/>
    <w:basedOn w:val="TableNormal1"/>
    <w:rsid w:val="00B36B7E"/>
    <w:tblPr/>
  </w:style>
  <w:style w:type="table" w:customStyle="1" w:styleId="22">
    <w:name w:val="22"/>
    <w:basedOn w:val="TableNormal1"/>
    <w:rsid w:val="00B36B7E"/>
    <w:tblPr/>
  </w:style>
  <w:style w:type="table" w:customStyle="1" w:styleId="21">
    <w:name w:val="21"/>
    <w:basedOn w:val="TableNormal1"/>
    <w:rsid w:val="00B36B7E"/>
    <w:tblPr/>
  </w:style>
  <w:style w:type="table" w:customStyle="1" w:styleId="20">
    <w:name w:val="20"/>
    <w:basedOn w:val="TableNormal1"/>
    <w:rsid w:val="00B36B7E"/>
    <w:tblPr/>
  </w:style>
  <w:style w:type="table" w:customStyle="1" w:styleId="19">
    <w:name w:val="19"/>
    <w:basedOn w:val="TableNormal1"/>
    <w:rsid w:val="00B36B7E"/>
    <w:tblPr/>
  </w:style>
  <w:style w:type="table" w:customStyle="1" w:styleId="18">
    <w:name w:val="18"/>
    <w:basedOn w:val="TableNormal1"/>
    <w:rsid w:val="00B36B7E"/>
    <w:tblPr/>
  </w:style>
  <w:style w:type="table" w:customStyle="1" w:styleId="17">
    <w:name w:val="17"/>
    <w:basedOn w:val="TableNormal1"/>
    <w:rsid w:val="00B36B7E"/>
    <w:tblPr/>
  </w:style>
  <w:style w:type="table" w:customStyle="1" w:styleId="16">
    <w:name w:val="16"/>
    <w:basedOn w:val="TableNormal1"/>
    <w:rsid w:val="00B36B7E"/>
    <w:tblPr/>
  </w:style>
  <w:style w:type="table" w:customStyle="1" w:styleId="15">
    <w:name w:val="15"/>
    <w:basedOn w:val="TableNormal1"/>
    <w:rsid w:val="00B36B7E"/>
    <w:tblPr/>
  </w:style>
  <w:style w:type="table" w:customStyle="1" w:styleId="14">
    <w:name w:val="14"/>
    <w:basedOn w:val="TableNormal1"/>
    <w:rsid w:val="00B36B7E"/>
    <w:tblPr/>
  </w:style>
  <w:style w:type="table" w:customStyle="1" w:styleId="13">
    <w:name w:val="13"/>
    <w:basedOn w:val="TableNormal1"/>
    <w:rsid w:val="00B36B7E"/>
    <w:tblPr/>
  </w:style>
  <w:style w:type="table" w:customStyle="1" w:styleId="12">
    <w:name w:val="12"/>
    <w:basedOn w:val="TableNormal1"/>
    <w:rsid w:val="00B36B7E"/>
    <w:tblPr/>
  </w:style>
  <w:style w:type="table" w:customStyle="1" w:styleId="11">
    <w:name w:val="11"/>
    <w:basedOn w:val="TableNormal1"/>
    <w:rsid w:val="00B36B7E"/>
    <w:tblPr/>
  </w:style>
  <w:style w:type="table" w:customStyle="1" w:styleId="10">
    <w:name w:val="10"/>
    <w:basedOn w:val="TableNormal1"/>
    <w:rsid w:val="00B36B7E"/>
    <w:tblPr/>
  </w:style>
  <w:style w:type="table" w:customStyle="1" w:styleId="9">
    <w:name w:val="9"/>
    <w:basedOn w:val="TableNormal1"/>
    <w:rsid w:val="00B36B7E"/>
    <w:tblPr/>
  </w:style>
  <w:style w:type="table" w:customStyle="1" w:styleId="8">
    <w:name w:val="8"/>
    <w:basedOn w:val="TableNormal1"/>
    <w:rsid w:val="00B36B7E"/>
    <w:tblPr/>
  </w:style>
  <w:style w:type="table" w:customStyle="1" w:styleId="7">
    <w:name w:val="7"/>
    <w:basedOn w:val="TableNormal1"/>
    <w:rsid w:val="00B36B7E"/>
    <w:tblPr/>
  </w:style>
  <w:style w:type="table" w:customStyle="1" w:styleId="6">
    <w:name w:val="6"/>
    <w:basedOn w:val="TableNormal1"/>
    <w:rsid w:val="00B36B7E"/>
    <w:tblPr/>
  </w:style>
  <w:style w:type="table" w:customStyle="1" w:styleId="5">
    <w:name w:val="5"/>
    <w:basedOn w:val="TableNormal1"/>
    <w:rsid w:val="00B36B7E"/>
    <w:tblPr/>
  </w:style>
  <w:style w:type="table" w:customStyle="1" w:styleId="4">
    <w:name w:val="4"/>
    <w:basedOn w:val="TableNormal1"/>
    <w:rsid w:val="00B36B7E"/>
    <w:tblPr/>
  </w:style>
  <w:style w:type="table" w:customStyle="1" w:styleId="3">
    <w:name w:val="3"/>
    <w:basedOn w:val="TableNormal1"/>
    <w:rsid w:val="00B36B7E"/>
    <w:tblPr/>
  </w:style>
  <w:style w:type="table" w:customStyle="1" w:styleId="2">
    <w:name w:val="2"/>
    <w:basedOn w:val="TableNormal1"/>
    <w:rsid w:val="00B36B7E"/>
    <w:tblPr/>
  </w:style>
  <w:style w:type="table" w:customStyle="1" w:styleId="1">
    <w:name w:val="1"/>
    <w:basedOn w:val="TableNormal1"/>
    <w:rsid w:val="00B36B7E"/>
    <w:tblPr/>
  </w:style>
  <w:style w:type="character" w:customStyle="1" w:styleId="s1">
    <w:name w:val="s1"/>
    <w:basedOn w:val="Fuentedeprrafopredeter"/>
    <w:rsid w:val="00B36B7E"/>
  </w:style>
  <w:style w:type="paragraph" w:styleId="TDC1">
    <w:name w:val="toc 1"/>
    <w:basedOn w:val="Normal"/>
    <w:next w:val="Normal"/>
    <w:autoRedefine/>
    <w:uiPriority w:val="39"/>
    <w:unhideWhenUsed/>
    <w:qFormat/>
    <w:rsid w:val="00B36B7E"/>
    <w:pPr>
      <w:spacing w:before="240" w:after="100" w:line="276" w:lineRule="auto"/>
    </w:pPr>
    <w:rPr>
      <w:rFonts w:ascii="Libre Baskerville" w:eastAsia="Libre Baskerville" w:hAnsi="Libre Baskerville" w:cs="Libre Baskerville"/>
      <w:b/>
      <w:lang w:val="es-BO" w:eastAsia="es-VE"/>
    </w:rPr>
  </w:style>
  <w:style w:type="paragraph" w:styleId="TDC3">
    <w:name w:val="toc 3"/>
    <w:basedOn w:val="Normal"/>
    <w:next w:val="Normal"/>
    <w:autoRedefine/>
    <w:uiPriority w:val="39"/>
    <w:unhideWhenUsed/>
    <w:qFormat/>
    <w:rsid w:val="00B36B7E"/>
    <w:pPr>
      <w:spacing w:before="240" w:after="100" w:line="276" w:lineRule="auto"/>
      <w:ind w:left="400"/>
    </w:pPr>
    <w:rPr>
      <w:rFonts w:ascii="Libre Baskerville" w:eastAsia="Libre Baskerville" w:hAnsi="Libre Baskerville" w:cs="Libre Baskerville"/>
      <w:b/>
      <w:lang w:val="es-BO" w:eastAsia="es-VE"/>
    </w:rPr>
  </w:style>
  <w:style w:type="paragraph" w:styleId="TDC4">
    <w:name w:val="toc 4"/>
    <w:basedOn w:val="Normal"/>
    <w:next w:val="Normal"/>
    <w:autoRedefine/>
    <w:uiPriority w:val="39"/>
    <w:unhideWhenUsed/>
    <w:rsid w:val="00B36B7E"/>
    <w:pPr>
      <w:spacing w:before="240" w:after="100" w:line="276" w:lineRule="auto"/>
      <w:ind w:left="600"/>
    </w:pPr>
    <w:rPr>
      <w:rFonts w:ascii="Libre Baskerville" w:eastAsia="Libre Baskerville" w:hAnsi="Libre Baskerville" w:cs="Libre Baskerville"/>
      <w:b/>
      <w:lang w:val="es-BO" w:eastAsia="es-VE"/>
    </w:rPr>
  </w:style>
  <w:style w:type="paragraph" w:customStyle="1" w:styleId="TOC21">
    <w:name w:val="TOC 21"/>
    <w:basedOn w:val="Normal"/>
    <w:next w:val="Normal"/>
    <w:autoRedefine/>
    <w:uiPriority w:val="39"/>
    <w:unhideWhenUsed/>
    <w:qFormat/>
    <w:rsid w:val="00B36B7E"/>
    <w:pPr>
      <w:spacing w:after="100" w:line="276" w:lineRule="auto"/>
      <w:ind w:left="220"/>
    </w:pPr>
    <w:rPr>
      <w:rFonts w:ascii="Calibri" w:hAnsi="Calibri"/>
      <w:sz w:val="22"/>
      <w:szCs w:val="22"/>
      <w:lang w:val="es-BO" w:eastAsia="es-BO"/>
    </w:rPr>
  </w:style>
  <w:style w:type="paragraph" w:customStyle="1" w:styleId="TOC51">
    <w:name w:val="TOC 51"/>
    <w:basedOn w:val="Normal"/>
    <w:next w:val="Normal"/>
    <w:autoRedefine/>
    <w:uiPriority w:val="39"/>
    <w:unhideWhenUsed/>
    <w:rsid w:val="00B36B7E"/>
    <w:pPr>
      <w:spacing w:after="100" w:line="276" w:lineRule="auto"/>
      <w:ind w:left="880"/>
    </w:pPr>
    <w:rPr>
      <w:rFonts w:ascii="Calibri" w:hAnsi="Calibri"/>
      <w:sz w:val="22"/>
      <w:szCs w:val="22"/>
      <w:lang w:val="es-BO" w:eastAsia="es-BO"/>
    </w:rPr>
  </w:style>
  <w:style w:type="paragraph" w:customStyle="1" w:styleId="TOC61">
    <w:name w:val="TOC 61"/>
    <w:basedOn w:val="Normal"/>
    <w:next w:val="Normal"/>
    <w:autoRedefine/>
    <w:uiPriority w:val="39"/>
    <w:unhideWhenUsed/>
    <w:rsid w:val="00B36B7E"/>
    <w:pPr>
      <w:spacing w:after="100" w:line="276" w:lineRule="auto"/>
      <w:ind w:left="1100"/>
    </w:pPr>
    <w:rPr>
      <w:rFonts w:ascii="Calibri" w:hAnsi="Calibri"/>
      <w:sz w:val="22"/>
      <w:szCs w:val="22"/>
      <w:lang w:val="es-BO" w:eastAsia="es-BO"/>
    </w:rPr>
  </w:style>
  <w:style w:type="paragraph" w:customStyle="1" w:styleId="TOC71">
    <w:name w:val="TOC 71"/>
    <w:basedOn w:val="Normal"/>
    <w:next w:val="Normal"/>
    <w:autoRedefine/>
    <w:uiPriority w:val="39"/>
    <w:unhideWhenUsed/>
    <w:rsid w:val="00B36B7E"/>
    <w:pPr>
      <w:spacing w:after="100" w:line="276" w:lineRule="auto"/>
      <w:ind w:left="1320"/>
    </w:pPr>
    <w:rPr>
      <w:rFonts w:ascii="Calibri" w:hAnsi="Calibri"/>
      <w:sz w:val="22"/>
      <w:szCs w:val="22"/>
      <w:lang w:val="es-BO" w:eastAsia="es-BO"/>
    </w:rPr>
  </w:style>
  <w:style w:type="paragraph" w:customStyle="1" w:styleId="TOC81">
    <w:name w:val="TOC 81"/>
    <w:basedOn w:val="Normal"/>
    <w:next w:val="Normal"/>
    <w:autoRedefine/>
    <w:uiPriority w:val="39"/>
    <w:unhideWhenUsed/>
    <w:rsid w:val="00B36B7E"/>
    <w:pPr>
      <w:spacing w:after="100" w:line="276" w:lineRule="auto"/>
      <w:ind w:left="1540"/>
    </w:pPr>
    <w:rPr>
      <w:rFonts w:ascii="Calibri" w:hAnsi="Calibri"/>
      <w:sz w:val="22"/>
      <w:szCs w:val="22"/>
      <w:lang w:val="es-BO" w:eastAsia="es-BO"/>
    </w:rPr>
  </w:style>
  <w:style w:type="paragraph" w:customStyle="1" w:styleId="TOC91">
    <w:name w:val="TOC 91"/>
    <w:basedOn w:val="Normal"/>
    <w:next w:val="Normal"/>
    <w:autoRedefine/>
    <w:uiPriority w:val="39"/>
    <w:unhideWhenUsed/>
    <w:rsid w:val="00B36B7E"/>
    <w:pPr>
      <w:spacing w:after="100" w:line="276" w:lineRule="auto"/>
      <w:ind w:left="1760"/>
    </w:pPr>
    <w:rPr>
      <w:rFonts w:ascii="Calibri" w:hAnsi="Calibri"/>
      <w:sz w:val="22"/>
      <w:szCs w:val="22"/>
      <w:lang w:val="es-BO" w:eastAsia="es-BO"/>
    </w:rPr>
  </w:style>
  <w:style w:type="character" w:customStyle="1" w:styleId="A5">
    <w:name w:val="A5"/>
    <w:uiPriority w:val="99"/>
    <w:unhideWhenUsed/>
    <w:rsid w:val="00B36B7E"/>
    <w:rPr>
      <w:rFonts w:hint="default"/>
      <w:i/>
      <w:sz w:val="19"/>
    </w:rPr>
  </w:style>
  <w:style w:type="table" w:customStyle="1" w:styleId="PlainTable21">
    <w:name w:val="Plain Table 21"/>
    <w:basedOn w:val="Tablanormal"/>
    <w:next w:val="Tablanormal2"/>
    <w:uiPriority w:val="42"/>
    <w:rsid w:val="00B36B7E"/>
    <w:rPr>
      <w:rFonts w:ascii="Calibri" w:hAnsi="Calibri"/>
      <w:sz w:val="22"/>
      <w:szCs w:val="22"/>
      <w:lang w:val="es-E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4-Accent61">
    <w:name w:val="List Table 4 - Accent 61"/>
    <w:basedOn w:val="Tablanormal"/>
    <w:next w:val="Tabladelista4-nfasis6"/>
    <w:uiPriority w:val="49"/>
    <w:rsid w:val="00B36B7E"/>
    <w:rPr>
      <w:rFonts w:ascii="Calibri" w:hAnsi="Calibri"/>
      <w:sz w:val="22"/>
      <w:szCs w:val="22"/>
      <w:lang w:val="es-E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anormal"/>
    <w:next w:val="Tablaconcuadrcula5oscura-nfasis6"/>
    <w:uiPriority w:val="50"/>
    <w:rsid w:val="00B36B7E"/>
    <w:rPr>
      <w:rFonts w:ascii="Calibri" w:hAnsi="Calibri"/>
      <w:sz w:val="22"/>
      <w:szCs w:val="22"/>
      <w:lang w:val="es-E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5Dark-Accent61">
    <w:name w:val="List Table 5 Dark - Accent 61"/>
    <w:basedOn w:val="Tablanormal"/>
    <w:next w:val="Tabladelista5oscura-nfasis6"/>
    <w:uiPriority w:val="50"/>
    <w:rsid w:val="00B36B7E"/>
    <w:rPr>
      <w:rFonts w:ascii="Calibri" w:hAnsi="Calibri"/>
      <w:color w:val="FFFFFF"/>
      <w:sz w:val="22"/>
      <w:szCs w:val="22"/>
      <w:lang w:val="es-ES" w:eastAsia="en-U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Prrafodelista">
    <w:name w:val="List Paragraph"/>
    <w:basedOn w:val="Normal"/>
    <w:uiPriority w:val="34"/>
    <w:semiHidden/>
    <w:qFormat/>
    <w:rsid w:val="00B36B7E"/>
    <w:pPr>
      <w:ind w:left="720"/>
      <w:contextualSpacing/>
    </w:pPr>
  </w:style>
  <w:style w:type="paragraph" w:styleId="Textocomentario">
    <w:name w:val="annotation text"/>
    <w:basedOn w:val="Normal"/>
    <w:link w:val="TextocomentarioCar"/>
    <w:semiHidden/>
    <w:unhideWhenUsed/>
    <w:rsid w:val="00B36B7E"/>
    <w:pPr>
      <w:spacing w:line="240" w:lineRule="auto"/>
    </w:pPr>
  </w:style>
  <w:style w:type="character" w:customStyle="1" w:styleId="TextocomentarioCar">
    <w:name w:val="Texto comentario Car"/>
    <w:basedOn w:val="Fuentedeprrafopredeter"/>
    <w:link w:val="Textocomentario"/>
    <w:semiHidden/>
    <w:rsid w:val="00B36B7E"/>
    <w:rPr>
      <w:lang w:val="es-ES" w:eastAsia="es-ES"/>
    </w:rPr>
  </w:style>
  <w:style w:type="paragraph" w:styleId="Asuntodelcomentario">
    <w:name w:val="annotation subject"/>
    <w:basedOn w:val="Textocomentario"/>
    <w:next w:val="Textocomentario"/>
    <w:link w:val="AsuntodelcomentarioCar"/>
    <w:uiPriority w:val="99"/>
    <w:semiHidden/>
    <w:unhideWhenUsed/>
    <w:rsid w:val="00B36B7E"/>
    <w:rPr>
      <w:lang w:val="fr-FR" w:eastAsia="fr-FR"/>
    </w:rPr>
  </w:style>
  <w:style w:type="character" w:customStyle="1" w:styleId="CommentSubjectChar1">
    <w:name w:val="Comment Subject Char1"/>
    <w:basedOn w:val="TextocomentarioCar"/>
    <w:semiHidden/>
    <w:rsid w:val="00B36B7E"/>
    <w:rPr>
      <w:b/>
      <w:bCs/>
      <w:lang w:val="es-ES" w:eastAsia="es-ES"/>
    </w:rPr>
  </w:style>
  <w:style w:type="paragraph" w:styleId="Sinespaciado">
    <w:name w:val="No Spacing"/>
    <w:uiPriority w:val="1"/>
    <w:semiHidden/>
    <w:qFormat/>
    <w:rsid w:val="00B36B7E"/>
    <w:rPr>
      <w:lang w:val="es-ES" w:eastAsia="es-ES"/>
    </w:rPr>
  </w:style>
  <w:style w:type="paragraph" w:styleId="Cita">
    <w:name w:val="Quote"/>
    <w:basedOn w:val="Normal"/>
    <w:next w:val="Normal"/>
    <w:link w:val="CitaCar"/>
    <w:uiPriority w:val="29"/>
    <w:semiHidden/>
    <w:qFormat/>
    <w:rsid w:val="00B36B7E"/>
    <w:pPr>
      <w:spacing w:before="200" w:after="160"/>
      <w:ind w:left="864" w:right="864"/>
      <w:jc w:val="center"/>
    </w:pPr>
    <w:rPr>
      <w:color w:val="44546A"/>
      <w:sz w:val="24"/>
      <w:szCs w:val="24"/>
      <w:lang w:val="fr-FR" w:eastAsia="fr-FR"/>
    </w:rPr>
  </w:style>
  <w:style w:type="character" w:customStyle="1" w:styleId="QuoteChar1">
    <w:name w:val="Quote Char1"/>
    <w:basedOn w:val="Fuentedeprrafopredeter"/>
    <w:uiPriority w:val="29"/>
    <w:semiHidden/>
    <w:rsid w:val="00B36B7E"/>
    <w:rPr>
      <w:i/>
      <w:iCs/>
      <w:color w:val="404040" w:themeColor="text1" w:themeTint="BF"/>
      <w:lang w:val="es-ES" w:eastAsia="es-ES"/>
    </w:rPr>
  </w:style>
  <w:style w:type="character" w:styleId="nfasissutil">
    <w:name w:val="Subtle Emphasis"/>
    <w:basedOn w:val="Fuentedeprrafopredeter"/>
    <w:uiPriority w:val="19"/>
    <w:semiHidden/>
    <w:qFormat/>
    <w:rsid w:val="00B36B7E"/>
    <w:rPr>
      <w:i/>
      <w:iCs/>
      <w:color w:val="404040" w:themeColor="text1" w:themeTint="BF"/>
    </w:rPr>
  </w:style>
  <w:style w:type="character" w:styleId="Referenciasutil">
    <w:name w:val="Subtle Reference"/>
    <w:basedOn w:val="Fuentedeprrafopredeter"/>
    <w:uiPriority w:val="31"/>
    <w:semiHidden/>
    <w:qFormat/>
    <w:rsid w:val="00B36B7E"/>
    <w:rPr>
      <w:smallCaps/>
      <w:color w:val="5A5A5A" w:themeColor="text1" w:themeTint="A5"/>
    </w:rPr>
  </w:style>
  <w:style w:type="character" w:styleId="Referenciaintensa">
    <w:name w:val="Intense Reference"/>
    <w:basedOn w:val="Fuentedeprrafopredeter"/>
    <w:uiPriority w:val="32"/>
    <w:semiHidden/>
    <w:qFormat/>
    <w:rsid w:val="00B36B7E"/>
    <w:rPr>
      <w:b/>
      <w:bCs/>
      <w:smallCaps/>
      <w:color w:val="4F81BD" w:themeColor="accent1"/>
      <w:spacing w:val="5"/>
    </w:rPr>
  </w:style>
  <w:style w:type="table" w:styleId="Tablaconcuadrcula4-nfasis6">
    <w:name w:val="Grid Table 4 Accent 6"/>
    <w:basedOn w:val="Tablanormal"/>
    <w:uiPriority w:val="49"/>
    <w:rsid w:val="00B36B7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normal2">
    <w:name w:val="Plain Table 2"/>
    <w:basedOn w:val="Tablanormal"/>
    <w:uiPriority w:val="42"/>
    <w:rsid w:val="00B36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4-nfasis6">
    <w:name w:val="List Table 4 Accent 6"/>
    <w:basedOn w:val="Tablanormal"/>
    <w:uiPriority w:val="49"/>
    <w:rsid w:val="00B36B7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nfasis6">
    <w:name w:val="Grid Table 5 Dark Accent 6"/>
    <w:basedOn w:val="Tablanormal"/>
    <w:uiPriority w:val="50"/>
    <w:rsid w:val="00B36B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lista5oscura-nfasis6">
    <w:name w:val="List Table 5 Dark Accent 6"/>
    <w:basedOn w:val="Tablanormal"/>
    <w:uiPriority w:val="50"/>
    <w:rsid w:val="00B36B7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fiscalia.gob.bo/index.php/institucional/escuelafisc/87-fge/1707-victimas-y-testigos" TargetMode="External"/><Relationship Id="rId2" Type="http://schemas.openxmlformats.org/officeDocument/2006/relationships/hyperlink" Target="https://www.cancilleria.gob.bo/webmre/node/3567" TargetMode="External"/><Relationship Id="rId1" Type="http://schemas.openxmlformats.org/officeDocument/2006/relationships/hyperlink" Target="https://www.migracion.gob.bo/index.php?r=page/detail&amp;id=1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A014-4028-4552-874A-CBF1A3E5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13786</Words>
  <Characters>75827</Characters>
  <Application>Microsoft Office Word</Application>
  <DocSecurity>0</DocSecurity>
  <Lines>631</Lines>
  <Paragraphs>178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CAT/C/BOL/RQ/3</vt:lpstr>
      <vt:lpstr>CAT/C/BOL/RQ/3</vt:lpstr>
      <vt:lpstr>CAT/C/XXX/Y</vt:lpstr>
    </vt:vector>
  </TitlesOfParts>
  <Company>DCM</Company>
  <LinksUpToDate>false</LinksUpToDate>
  <CharactersWithSpaces>89435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CAT/C/BOL/RQ/3</dc:title>
  <dc:subject/>
  <dc:creator>Gloria</dc:creator>
  <cp:keywords/>
  <dc:description/>
  <cp:lastModifiedBy>Maria DE-LA-PLAZA</cp:lastModifiedBy>
  <cp:revision>3</cp:revision>
  <cp:lastPrinted>2020-10-05T06:19:00Z</cp:lastPrinted>
  <dcterms:created xsi:type="dcterms:W3CDTF">2020-10-05T06:19:00Z</dcterms:created>
  <dcterms:modified xsi:type="dcterms:W3CDTF">2020-10-05T06:20:00Z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unt">
    <vt:lpwstr>del Estado Plurinacional de Bolivia</vt:lpwstr>
  </property>
  <property fmtid="{D5CDD505-2E9C-101B-9397-08002B2CF9AE}" pid="8" name="countw">
    <vt:lpwstr>Estado Plurinacional de Bolivia</vt:lpwstr>
  </property>
  <property fmtid="{D5CDD505-2E9C-101B-9397-08002B2CF9AE}" pid="9" name="countwd">
    <vt:lpwstr>el Estado Plurinacional de Bolivia</vt:lpwstr>
  </property>
  <property fmtid="{D5CDD505-2E9C-101B-9397-08002B2CF9AE}" pid="10" name="date">
    <vt:lpwstr>9 de septiembre de 2020</vt:lpwstr>
  </property>
  <property fmtid="{D5CDD505-2E9C-101B-9397-08002B2CF9AE}" pid="11" name="Date-Generated">
    <vt:filetime>2020-09-07T08:27:56Z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List of Issues - Written replies</vt:lpwstr>
  </property>
  <property fmtid="{D5CDD505-2E9C-101B-9397-08002B2CF9AE}" pid="15" name="gdoc">
    <vt:lpwstr/>
  </property>
  <property fmtid="{D5CDD505-2E9C-101B-9397-08002B2CF9AE}" pid="16" name="gdocf">
    <vt:lpwstr/>
  </property>
  <property fmtid="{D5CDD505-2E9C-101B-9397-08002B2CF9AE}" pid="17" name="olang">
    <vt:lpwstr>español</vt:lpwstr>
  </property>
  <property fmtid="{D5CDD505-2E9C-101B-9397-08002B2CF9AE}" pid="18" name="Org">
    <vt:lpwstr>OHCHR</vt:lpwstr>
  </property>
  <property fmtid="{D5CDD505-2E9C-101B-9397-08002B2CF9AE}" pid="19" name="prep">
    <vt:lpwstr>al tercer informe periódico del Estado Plurinacional de Bolivia</vt:lpwstr>
  </property>
  <property fmtid="{D5CDD505-2E9C-101B-9397-08002B2CF9AE}" pid="20" name="preps">
    <vt:lpwstr>tercer informe periódico del Estado Plurinacional de Bolivia</vt:lpwstr>
  </property>
  <property fmtid="{D5CDD505-2E9C-101B-9397-08002B2CF9AE}" pid="21" name="prepw">
    <vt:lpwstr>al tercer informe periódico </vt:lpwstr>
  </property>
  <property fmtid="{D5CDD505-2E9C-101B-9397-08002B2CF9AE}" pid="22" name="prepwc">
    <vt:lpwstr>Tercer informe periódico </vt:lpwstr>
  </property>
  <property fmtid="{D5CDD505-2E9C-101B-9397-08002B2CF9AE}" pid="23" name="prepws">
    <vt:lpwstr>tercer informe periódico del Estado Plurinacional de Bolivia</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C/BOL/RQ/3</vt:lpwstr>
  </property>
  <property fmtid="{D5CDD505-2E9C-101B-9397-08002B2CF9AE}" pid="28" name="symh">
    <vt:lpwstr>CAT/C/BOL/RQ/3</vt:lpwstr>
  </property>
  <property fmtid="{D5CDD505-2E9C-101B-9397-08002B2CF9AE}" pid="29" name="tlang">
    <vt:lpwstr/>
  </property>
  <property fmtid="{D5CDD505-2E9C-101B-9397-08002B2CF9AE}" pid="30" name="virs">
    <vt:lpwstr>Español, francés e inglés únicamente</vt:lpwstr>
  </property>
</Properties>
</file>