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1"/>
        <w:spacing w:after="240"/>
      </w:pPr>
      <w:r>
        <w:rPr>
          <w:rStyle w:val="CommentReference"/>
          <w:vanish/>
        </w:rPr>
        <w:commentReference w:id="0"/>
      </w:r>
      <w:r>
        <w:rPr>
          <w:rFonts w:hint="eastAsia"/>
        </w:rPr>
        <w:t>消除对妇女歧视委员会</w:t>
      </w:r>
    </w:p>
    <w:p w:rsidR="00000000" w:rsidRDefault="00000000">
      <w:pPr>
        <w:pStyle w:val="CH"/>
        <w:keepLines w:val="0"/>
        <w:spacing w:after="140" w:line="360" w:lineRule="exact"/>
        <w:ind w:left="1276" w:right="1276"/>
        <w:jc w:val="both"/>
      </w:pPr>
      <w:r>
        <w:rPr>
          <w:rFonts w:hint="eastAsia"/>
        </w:rPr>
        <w:t>审议缔约国根据《消除对妇女一切形式歧视公约》</w:t>
      </w:r>
      <w:r>
        <w:br/>
      </w:r>
      <w:r>
        <w:rPr>
          <w:rFonts w:hint="eastAsia"/>
        </w:rPr>
        <w:t>第</w:t>
      </w:r>
      <w:r>
        <w:t>18</w:t>
      </w:r>
      <w:r>
        <w:rPr>
          <w:rFonts w:hint="eastAsia"/>
        </w:rPr>
        <w:t>条提交的报告</w:t>
      </w:r>
    </w:p>
    <w:p w:rsidR="00000000" w:rsidRDefault="00000000">
      <w:pPr>
        <w:pStyle w:val="H1"/>
        <w:keepLines w:val="0"/>
        <w:spacing w:after="140" w:line="280" w:lineRule="exact"/>
        <w:ind w:left="1276" w:right="1276"/>
        <w:jc w:val="both"/>
      </w:pPr>
      <w:r>
        <w:rPr>
          <w:rFonts w:hint="eastAsia"/>
        </w:rPr>
        <w:t>缔约国的第四次定期报告</w:t>
      </w:r>
    </w:p>
    <w:p w:rsidR="00000000" w:rsidRDefault="00000000">
      <w:pPr>
        <w:pStyle w:val="H2"/>
        <w:keepLines w:val="0"/>
        <w:spacing w:line="280" w:lineRule="exact"/>
        <w:ind w:left="1276" w:right="1276"/>
        <w:jc w:val="both"/>
      </w:pPr>
      <w:r>
        <w:rPr>
          <w:rFonts w:hint="eastAsia"/>
        </w:rPr>
        <w:t>增编</w:t>
      </w:r>
    </w:p>
    <w:p w:rsidR="00000000" w:rsidRDefault="00000000">
      <w:pPr>
        <w:pStyle w:val="CH"/>
        <w:keepLines w:val="0"/>
        <w:spacing w:after="120" w:line="360" w:lineRule="exact"/>
        <w:ind w:left="1276" w:right="1276"/>
        <w:jc w:val="both"/>
      </w:pPr>
      <w:r>
        <w:rPr>
          <w:rFonts w:hint="eastAsia"/>
        </w:rPr>
        <w:t>大不列颠及北爱尔兰联合王国</w:t>
      </w:r>
      <w:r>
        <w:rPr>
          <w:rStyle w:val="FootnoteReference"/>
          <w:kern w:val="18"/>
          <w:position w:val="-8"/>
          <w:sz w:val="32"/>
        </w:rPr>
        <w:footnoteReference w:customMarkFollows="1" w:id="1"/>
        <w:t>*</w:t>
      </w:r>
      <w:r>
        <w:t xml:space="preserve"> </w:t>
      </w:r>
      <w:r>
        <w:br/>
        <w:t>(</w:t>
      </w:r>
      <w:r>
        <w:rPr>
          <w:rFonts w:hint="eastAsia"/>
        </w:rPr>
        <w:t>马恩岛</w:t>
      </w:r>
      <w:r>
        <w:t>)</w:t>
      </w:r>
    </w:p>
    <w:p w:rsidR="00000000" w:rsidRDefault="00000000">
      <w:pPr>
        <w:pStyle w:val="CH"/>
        <w:keepLines w:val="0"/>
        <w:spacing w:after="140" w:line="280" w:lineRule="exact"/>
        <w:ind w:left="1276" w:right="1276"/>
        <w:jc w:val="both"/>
      </w:pPr>
      <w:r>
        <w:tab/>
      </w:r>
      <w:r>
        <w:rPr>
          <w:rFonts w:hint="eastAsia"/>
        </w:rPr>
        <w:t>总的背景</w:t>
      </w:r>
    </w:p>
    <w:p w:rsidR="00000000" w:rsidRDefault="00000000">
      <w:pPr>
        <w:spacing w:line="280" w:lineRule="exact"/>
        <w:ind w:left="1276" w:right="1276"/>
      </w:pPr>
      <w:r>
        <w:t>1.</w:t>
      </w:r>
      <w:r>
        <w:tab/>
      </w:r>
      <w:r>
        <w:rPr>
          <w:rFonts w:hint="eastAsia"/>
        </w:rPr>
        <w:t>马恩岛总的政治、法律、社会和经济情况已在联合王国海外领土和属地核心文件附件十二</w:t>
      </w:r>
      <w:r>
        <w:t>(HRI/CORE/1/Add.62,1996</w:t>
      </w:r>
      <w:r>
        <w:rPr>
          <w:rFonts w:hint="eastAsia"/>
        </w:rPr>
        <w:t>年</w:t>
      </w:r>
      <w:r>
        <w:t>1</w:t>
      </w:r>
      <w:r>
        <w:rPr>
          <w:rFonts w:hint="eastAsia"/>
        </w:rPr>
        <w:t>月</w:t>
      </w:r>
      <w:r>
        <w:t>)</w:t>
      </w:r>
      <w:r>
        <w:rPr>
          <w:rFonts w:hint="eastAsia"/>
        </w:rPr>
        <w:t>中给予叙述</w:t>
      </w:r>
      <w:r>
        <w:t>,</w:t>
      </w:r>
      <w:r>
        <w:rPr>
          <w:rFonts w:hint="eastAsia"/>
        </w:rPr>
        <w:t>并由马恩岛初次报告</w:t>
      </w:r>
      <w:r>
        <w:t>(CEDAW/C/5/Add.52/Amend.3)</w:t>
      </w:r>
      <w:r>
        <w:rPr>
          <w:rFonts w:hint="eastAsia"/>
        </w:rPr>
        <w:t>第一部分加以补充。</w:t>
      </w:r>
    </w:p>
    <w:p w:rsidR="00000000" w:rsidRDefault="00000000">
      <w:pPr>
        <w:spacing w:line="280" w:lineRule="exact"/>
        <w:ind w:left="1276" w:right="1276"/>
      </w:pPr>
      <w:r>
        <w:t>2.</w:t>
      </w:r>
      <w:r>
        <w:tab/>
      </w:r>
      <w:r>
        <w:rPr>
          <w:rFonts w:hint="eastAsia"/>
        </w:rPr>
        <w:t>本报告载有初次报告以来的发展变化的资料。</w:t>
      </w:r>
    </w:p>
    <w:p w:rsidR="00000000" w:rsidRDefault="00000000">
      <w:pPr>
        <w:pStyle w:val="H2"/>
        <w:keepLines w:val="0"/>
        <w:spacing w:line="280" w:lineRule="exact"/>
        <w:ind w:left="1276" w:right="1276"/>
        <w:jc w:val="both"/>
      </w:pPr>
      <w:r>
        <w:tab/>
      </w:r>
      <w:r>
        <w:rPr>
          <w:rFonts w:hint="eastAsia"/>
        </w:rPr>
        <w:t>人口</w:t>
      </w:r>
    </w:p>
    <w:p w:rsidR="00000000" w:rsidRDefault="00000000">
      <w:pPr>
        <w:spacing w:line="280" w:lineRule="exact"/>
        <w:ind w:left="1276" w:right="1276"/>
      </w:pPr>
      <w:r>
        <w:t>3.</w:t>
      </w:r>
      <w:r>
        <w:tab/>
      </w:r>
      <w:r>
        <w:rPr>
          <w:rFonts w:hint="eastAsia"/>
        </w:rPr>
        <w:t>本岛人口继续增长。上次</w:t>
      </w:r>
      <w:r>
        <w:t>1996</w:t>
      </w:r>
      <w:r>
        <w:rPr>
          <w:rFonts w:hint="eastAsia"/>
        </w:rPr>
        <w:t>年</w:t>
      </w:r>
      <w:r>
        <w:t>4</w:t>
      </w:r>
      <w:r>
        <w:rPr>
          <w:rFonts w:hint="eastAsia"/>
        </w:rPr>
        <w:t>月</w:t>
      </w:r>
      <w:r>
        <w:t>(</w:t>
      </w:r>
      <w:r>
        <w:rPr>
          <w:rFonts w:hint="eastAsia"/>
        </w:rPr>
        <w:t>临时</w:t>
      </w:r>
      <w:r>
        <w:t>)</w:t>
      </w:r>
      <w:r>
        <w:rPr>
          <w:rFonts w:hint="eastAsia"/>
        </w:rPr>
        <w:t>人口普查时</w:t>
      </w:r>
      <w:r>
        <w:t>,</w:t>
      </w:r>
      <w:r>
        <w:rPr>
          <w:rFonts w:hint="eastAsia"/>
        </w:rPr>
        <w:t>居民人口为</w:t>
      </w:r>
      <w:r>
        <w:t>71 714</w:t>
      </w:r>
      <w:r>
        <w:rPr>
          <w:rFonts w:hint="eastAsia"/>
        </w:rPr>
        <w:t>人</w:t>
      </w:r>
      <w:r>
        <w:t>,</w:t>
      </w:r>
      <w:r>
        <w:rPr>
          <w:rFonts w:hint="eastAsia"/>
        </w:rPr>
        <w:t>男子</w:t>
      </w:r>
      <w:r>
        <w:t>34 797</w:t>
      </w:r>
      <w:r>
        <w:rPr>
          <w:rFonts w:hint="eastAsia"/>
        </w:rPr>
        <w:t>人</w:t>
      </w:r>
      <w:r>
        <w:t>,</w:t>
      </w:r>
      <w:r>
        <w:rPr>
          <w:rFonts w:hint="eastAsia"/>
        </w:rPr>
        <w:t>女子</w:t>
      </w:r>
      <w:r>
        <w:t>36 917</w:t>
      </w:r>
      <w:r>
        <w:rPr>
          <w:rFonts w:hint="eastAsia"/>
        </w:rPr>
        <w:t>人。女子人数和女子就业比重也增加了。见下文第</w:t>
      </w:r>
      <w:r>
        <w:t>15</w:t>
      </w:r>
      <w:r>
        <w:rPr>
          <w:rFonts w:hint="eastAsia"/>
        </w:rPr>
        <w:t>段参加经济活动人口表。</w:t>
      </w:r>
    </w:p>
    <w:p w:rsidR="00000000" w:rsidRDefault="00000000">
      <w:pPr>
        <w:pStyle w:val="H2"/>
        <w:keepLines w:val="0"/>
        <w:spacing w:line="280" w:lineRule="exact"/>
        <w:ind w:left="1276" w:right="1276"/>
        <w:jc w:val="both"/>
      </w:pPr>
      <w:r>
        <w:br w:type="page"/>
      </w:r>
      <w:r>
        <w:tab/>
      </w:r>
      <w:r>
        <w:rPr>
          <w:rFonts w:hint="eastAsia"/>
        </w:rPr>
        <w:t>经济</w:t>
      </w:r>
    </w:p>
    <w:p w:rsidR="00000000" w:rsidRDefault="00000000">
      <w:pPr>
        <w:spacing w:line="280" w:lineRule="exact"/>
        <w:ind w:left="1276" w:right="1276"/>
      </w:pPr>
      <w:r>
        <w:t>4.</w:t>
      </w:r>
      <w:r>
        <w:tab/>
      </w:r>
      <w:r>
        <w:rPr>
          <w:rFonts w:hint="eastAsia"/>
        </w:rPr>
        <w:t>金融服务和制造业仍是最重要的经济部门。近几年中</w:t>
      </w:r>
      <w:r>
        <w:t>,</w:t>
      </w:r>
      <w:r>
        <w:rPr>
          <w:rFonts w:hint="eastAsia"/>
        </w:rPr>
        <w:t>船只管理和电信业扩大了。</w:t>
      </w:r>
    </w:p>
    <w:p w:rsidR="00000000" w:rsidRDefault="00000000">
      <w:pPr>
        <w:pStyle w:val="H2"/>
        <w:keepLines w:val="0"/>
        <w:spacing w:line="280" w:lineRule="exact"/>
        <w:ind w:left="1276" w:right="1276"/>
        <w:jc w:val="both"/>
      </w:pPr>
      <w:r>
        <w:tab/>
      </w:r>
      <w:r>
        <w:rPr>
          <w:rFonts w:hint="eastAsia"/>
        </w:rPr>
        <w:t>政府和法律</w:t>
      </w:r>
    </w:p>
    <w:p w:rsidR="00000000" w:rsidRDefault="00000000">
      <w:pPr>
        <w:spacing w:line="280" w:lineRule="exact"/>
        <w:ind w:left="1276" w:right="1276"/>
      </w:pPr>
      <w:r>
        <w:t>5.</w:t>
      </w:r>
      <w:r>
        <w:tab/>
      </w:r>
      <w:r>
        <w:rPr>
          <w:rFonts w:hint="eastAsia"/>
        </w:rPr>
        <w:t>上议院和下议院联合会议构成马恩岛议会</w:t>
      </w:r>
      <w:r>
        <w:t>,</w:t>
      </w:r>
      <w:r>
        <w:rPr>
          <w:rFonts w:hint="eastAsia"/>
        </w:rPr>
        <w:t>即立法机构</w:t>
      </w:r>
      <w:r>
        <w:t>,</w:t>
      </w:r>
      <w:r>
        <w:rPr>
          <w:rFonts w:hint="eastAsia"/>
        </w:rPr>
        <w:t>现在由马恩岛议长主持</w:t>
      </w:r>
      <w:r>
        <w:t>,</w:t>
      </w:r>
      <w:r>
        <w:rPr>
          <w:rFonts w:hint="eastAsia"/>
        </w:rPr>
        <w:t>议长是选举产生的</w:t>
      </w:r>
      <w:r>
        <w:t>,</w:t>
      </w:r>
      <w:r>
        <w:rPr>
          <w:rFonts w:hint="eastAsia"/>
        </w:rPr>
        <w:t>代替副总督。原来的咨询会议现在改名为部长理事会。又新设了一个专业执法官</w:t>
      </w:r>
      <w:r>
        <w:t>,</w:t>
      </w:r>
      <w:r>
        <w:rPr>
          <w:rFonts w:hint="eastAsia"/>
        </w:rPr>
        <w:t>副司法长官。小额索偿仲裁制度的索偿限额由</w:t>
      </w:r>
      <w:r>
        <w:t>1 000</w:t>
      </w:r>
      <w:r>
        <w:rPr>
          <w:rFonts w:hint="eastAsia"/>
        </w:rPr>
        <w:t>英镑提高到</w:t>
      </w:r>
      <w:r>
        <w:t>2 000</w:t>
      </w:r>
      <w:r>
        <w:rPr>
          <w:rFonts w:hint="eastAsia"/>
        </w:rPr>
        <w:t>英镑。</w:t>
      </w:r>
    </w:p>
    <w:p w:rsidR="00000000" w:rsidRDefault="00000000">
      <w:pPr>
        <w:pStyle w:val="H2"/>
        <w:keepLines w:val="0"/>
        <w:spacing w:line="280" w:lineRule="exact"/>
        <w:ind w:left="1276" w:right="1276"/>
        <w:jc w:val="both"/>
      </w:pPr>
      <w:r>
        <w:tab/>
      </w:r>
      <w:r>
        <w:rPr>
          <w:rFonts w:hint="eastAsia"/>
        </w:rPr>
        <w:t>法律和其他措施</w:t>
      </w:r>
    </w:p>
    <w:p w:rsidR="00000000" w:rsidRDefault="00000000">
      <w:pPr>
        <w:spacing w:line="280" w:lineRule="exact"/>
        <w:ind w:left="1276" w:right="1276"/>
      </w:pPr>
      <w:r>
        <w:t>6.</w:t>
      </w:r>
      <w:r>
        <w:tab/>
      </w:r>
      <w:r>
        <w:rPr>
          <w:rFonts w:hint="eastAsia"/>
        </w:rPr>
        <w:t>下文第</w:t>
      </w:r>
      <w:r>
        <w:t>8</w:t>
      </w:r>
      <w:r>
        <w:rPr>
          <w:rFonts w:hint="eastAsia"/>
        </w:rPr>
        <w:t>和第</w:t>
      </w:r>
      <w:r>
        <w:t>19</w:t>
      </w:r>
      <w:r>
        <w:rPr>
          <w:rFonts w:hint="eastAsia"/>
        </w:rPr>
        <w:t>段中载有拟议的有关就业歧视的立法</w:t>
      </w:r>
      <w:r>
        <w:t>,</w:t>
      </w:r>
      <w:r>
        <w:rPr>
          <w:rFonts w:hint="eastAsia"/>
        </w:rPr>
        <w:t>第</w:t>
      </w:r>
      <w:r>
        <w:t>22</w:t>
      </w:r>
      <w:r>
        <w:rPr>
          <w:rFonts w:hint="eastAsia"/>
        </w:rPr>
        <w:t>段载有关于终止妊娠的新立法。</w:t>
      </w:r>
    </w:p>
    <w:p w:rsidR="00000000" w:rsidRDefault="00000000">
      <w:pPr>
        <w:pStyle w:val="CH"/>
        <w:keepLines w:val="0"/>
        <w:spacing w:after="140" w:line="280" w:lineRule="exact"/>
        <w:ind w:left="1276" w:right="1276"/>
        <w:jc w:val="both"/>
      </w:pPr>
      <w:r>
        <w:tab/>
      </w:r>
      <w:r>
        <w:rPr>
          <w:rFonts w:hint="eastAsia"/>
        </w:rPr>
        <w:t>具体条文</w:t>
      </w:r>
    </w:p>
    <w:p w:rsidR="00000000" w:rsidRDefault="00000000">
      <w:pPr>
        <w:pStyle w:val="H1"/>
        <w:keepLines w:val="0"/>
        <w:spacing w:after="140" w:line="280" w:lineRule="exact"/>
        <w:ind w:left="1276" w:right="1276"/>
        <w:jc w:val="both"/>
      </w:pPr>
      <w:r>
        <w:tab/>
      </w:r>
      <w:r>
        <w:rPr>
          <w:rFonts w:hint="eastAsia"/>
        </w:rPr>
        <w:t>第</w:t>
      </w:r>
      <w:r>
        <w:t>3</w:t>
      </w:r>
      <w:r>
        <w:rPr>
          <w:rFonts w:hint="eastAsia"/>
        </w:rPr>
        <w:t>条－人权和基本自由</w:t>
      </w:r>
    </w:p>
    <w:p w:rsidR="00000000" w:rsidRDefault="00000000">
      <w:pPr>
        <w:spacing w:line="280" w:lineRule="exact"/>
        <w:ind w:left="1276" w:right="1276"/>
      </w:pPr>
      <w:r>
        <w:t>7.</w:t>
      </w:r>
      <w:r>
        <w:tab/>
      </w:r>
      <w:r>
        <w:rPr>
          <w:rFonts w:hint="eastAsia"/>
        </w:rPr>
        <w:t>已经建议</w:t>
      </w:r>
      <w:r>
        <w:t>,1999</w:t>
      </w:r>
      <w:r>
        <w:rPr>
          <w:rFonts w:hint="eastAsia"/>
        </w:rPr>
        <w:t>年初向立法机构提交一份人权法案。该法案的目的是使《欧洲人权公约》在国内法中生效</w:t>
      </w:r>
      <w:r>
        <w:t>,</w:t>
      </w:r>
      <w:r>
        <w:rPr>
          <w:rFonts w:hint="eastAsia"/>
        </w:rPr>
        <w:t>条款同威斯明斯特议会《</w:t>
      </w:r>
      <w:r>
        <w:t>1998</w:t>
      </w:r>
      <w:r>
        <w:rPr>
          <w:rFonts w:hint="eastAsia"/>
        </w:rPr>
        <w:t>年人权法》类似。</w:t>
      </w:r>
    </w:p>
    <w:p w:rsidR="00000000" w:rsidRDefault="00000000">
      <w:pPr>
        <w:pStyle w:val="H1"/>
        <w:keepLines w:val="0"/>
        <w:spacing w:after="140" w:line="280" w:lineRule="exact"/>
        <w:ind w:left="1276" w:right="1276"/>
        <w:jc w:val="both"/>
      </w:pPr>
      <w:r>
        <w:tab/>
      </w:r>
      <w:r>
        <w:rPr>
          <w:rFonts w:hint="eastAsia"/>
        </w:rPr>
        <w:t>第四条－临时措施</w:t>
      </w:r>
    </w:p>
    <w:p w:rsidR="00000000" w:rsidRDefault="00000000">
      <w:pPr>
        <w:spacing w:line="280" w:lineRule="exact"/>
        <w:ind w:left="1276" w:right="1276"/>
      </w:pPr>
      <w:r>
        <w:t>8.</w:t>
      </w:r>
      <w:r>
        <w:tab/>
      </w:r>
      <w:r>
        <w:rPr>
          <w:rFonts w:hint="eastAsia"/>
        </w:rPr>
        <w:t>已起草了就业</w:t>
      </w:r>
      <w:r>
        <w:t>(</w:t>
      </w:r>
      <w:r>
        <w:rPr>
          <w:rFonts w:hint="eastAsia"/>
        </w:rPr>
        <w:t>禁止性别歧视</w:t>
      </w:r>
      <w:r>
        <w:t>)</w:t>
      </w:r>
      <w:r>
        <w:rPr>
          <w:rFonts w:hint="eastAsia"/>
        </w:rPr>
        <w:t>法案</w:t>
      </w:r>
      <w:r>
        <w:t>,</w:t>
      </w:r>
      <w:r>
        <w:rPr>
          <w:rFonts w:hint="eastAsia"/>
        </w:rPr>
        <w:t>并打算不久提交立法机构。该草案中规定允许举办单一性别培训</w:t>
      </w:r>
      <w:r>
        <w:t>,</w:t>
      </w:r>
      <w:r>
        <w:rPr>
          <w:rFonts w:hint="eastAsia"/>
        </w:rPr>
        <w:t>帮助支持妇女进入劳动市场。这是要弥补给妇女的培训机会不平衡</w:t>
      </w:r>
      <w:r>
        <w:t>,</w:t>
      </w:r>
      <w:r>
        <w:rPr>
          <w:rFonts w:hint="eastAsia"/>
        </w:rPr>
        <w:t>并为因抚育子女职业中断而设法再就业的妇女提供优惠培训。</w:t>
      </w:r>
    </w:p>
    <w:p w:rsidR="00000000" w:rsidRDefault="00000000">
      <w:pPr>
        <w:pStyle w:val="H1"/>
        <w:keepLines w:val="0"/>
        <w:spacing w:after="140" w:line="280" w:lineRule="exact"/>
        <w:ind w:left="1276" w:right="1276"/>
        <w:jc w:val="both"/>
      </w:pPr>
      <w:r>
        <w:tab/>
      </w:r>
      <w:r>
        <w:rPr>
          <w:rFonts w:hint="eastAsia"/>
        </w:rPr>
        <w:t>第六条－对妇女的性剥削</w:t>
      </w:r>
    </w:p>
    <w:p w:rsidR="00000000" w:rsidRDefault="00000000">
      <w:pPr>
        <w:spacing w:line="280" w:lineRule="exact"/>
        <w:ind w:left="1276" w:right="1276"/>
      </w:pPr>
      <w:r>
        <w:t>9.</w:t>
      </w:r>
      <w:r>
        <w:tab/>
      </w:r>
      <w:r>
        <w:rPr>
          <w:rFonts w:hint="eastAsia"/>
        </w:rPr>
        <w:t>保护妇女的法律《</w:t>
      </w:r>
      <w:r>
        <w:t>1967</w:t>
      </w:r>
      <w:r>
        <w:rPr>
          <w:rFonts w:hint="eastAsia"/>
        </w:rPr>
        <w:t>年性犯罪法》已在初次报告中加以说明。</w:t>
      </w:r>
      <w:r>
        <w:t>1998</w:t>
      </w:r>
      <w:r>
        <w:rPr>
          <w:rFonts w:hint="eastAsia"/>
        </w:rPr>
        <w:t>年发生的</w:t>
      </w:r>
      <w:r>
        <w:t>46</w:t>
      </w:r>
      <w:r>
        <w:rPr>
          <w:rFonts w:hint="eastAsia"/>
        </w:rPr>
        <w:t>起有记录的对妇女和儿童的性犯罪案如下</w:t>
      </w:r>
      <w:r>
        <w:t>:</w:t>
      </w:r>
    </w:p>
    <w:p w:rsidR="00000000" w:rsidRDefault="00000000">
      <w:pPr>
        <w:spacing w:line="280" w:lineRule="exact"/>
        <w:ind w:left="1276" w:right="1276"/>
      </w:pPr>
      <w:r>
        <w:tab/>
      </w:r>
      <w:r>
        <w:rPr>
          <w:rFonts w:hint="eastAsia"/>
        </w:rPr>
        <w:t>强奸</w:t>
      </w:r>
      <w:r>
        <w:t>:11</w:t>
      </w:r>
    </w:p>
    <w:p w:rsidR="00000000" w:rsidRDefault="00000000">
      <w:pPr>
        <w:spacing w:line="280" w:lineRule="exact"/>
        <w:ind w:left="1276" w:right="1276"/>
      </w:pPr>
      <w:r>
        <w:tab/>
      </w:r>
      <w:r>
        <w:rPr>
          <w:rFonts w:hint="eastAsia"/>
        </w:rPr>
        <w:t>对妇女的猥亵攻击</w:t>
      </w:r>
      <w:r>
        <w:t>:28</w:t>
      </w:r>
    </w:p>
    <w:p w:rsidR="00000000" w:rsidRDefault="00000000">
      <w:pPr>
        <w:spacing w:line="280" w:lineRule="exact"/>
        <w:ind w:left="1276" w:right="1276"/>
      </w:pPr>
      <w:r>
        <w:tab/>
      </w:r>
      <w:r>
        <w:rPr>
          <w:rFonts w:hint="eastAsia"/>
        </w:rPr>
        <w:t>同</w:t>
      </w:r>
      <w:r>
        <w:t>16</w:t>
      </w:r>
      <w:r>
        <w:rPr>
          <w:rFonts w:hint="eastAsia"/>
        </w:rPr>
        <w:t>岁以下女孩非法性交</w:t>
      </w:r>
      <w:r>
        <w:t>:5</w:t>
      </w:r>
    </w:p>
    <w:p w:rsidR="00000000" w:rsidRDefault="00000000">
      <w:pPr>
        <w:spacing w:line="280" w:lineRule="exact"/>
        <w:ind w:left="1276" w:right="1276"/>
      </w:pPr>
      <w:r>
        <w:tab/>
      </w:r>
      <w:r>
        <w:rPr>
          <w:rFonts w:hint="eastAsia"/>
        </w:rPr>
        <w:t>猥亵儿童</w:t>
      </w:r>
      <w:r>
        <w:t>:2</w:t>
      </w:r>
    </w:p>
    <w:p w:rsidR="00000000" w:rsidRDefault="00000000">
      <w:pPr>
        <w:pStyle w:val="H1"/>
        <w:keepLines w:val="0"/>
        <w:spacing w:after="140" w:line="280" w:lineRule="exact"/>
        <w:ind w:left="1276" w:right="1276"/>
        <w:jc w:val="both"/>
      </w:pPr>
      <w:r>
        <w:tab/>
      </w:r>
      <w:r>
        <w:rPr>
          <w:rFonts w:hint="eastAsia"/>
        </w:rPr>
        <w:t>第</w:t>
      </w:r>
      <w:r>
        <w:t>7</w:t>
      </w:r>
      <w:r>
        <w:rPr>
          <w:rFonts w:hint="eastAsia"/>
        </w:rPr>
        <w:t>条－公职任命</w:t>
      </w:r>
    </w:p>
    <w:p w:rsidR="00000000" w:rsidRDefault="00000000">
      <w:pPr>
        <w:spacing w:line="280" w:lineRule="exact"/>
        <w:ind w:left="1276" w:right="1276"/>
      </w:pPr>
      <w:r>
        <w:t>10.</w:t>
      </w:r>
      <w:r>
        <w:tab/>
      </w:r>
      <w:r>
        <w:rPr>
          <w:rFonts w:hint="eastAsia"/>
        </w:rPr>
        <w:t>目前</w:t>
      </w:r>
      <w:r>
        <w:t>,24</w:t>
      </w:r>
      <w:r>
        <w:rPr>
          <w:rFonts w:hint="eastAsia"/>
        </w:rPr>
        <w:t>名下议院议员中有两名妇女</w:t>
      </w:r>
      <w:r>
        <w:t>,</w:t>
      </w:r>
      <w:r>
        <w:rPr>
          <w:rFonts w:hint="eastAsia"/>
        </w:rPr>
        <w:t>上议院</w:t>
      </w:r>
      <w:r>
        <w:t>10</w:t>
      </w:r>
      <w:r>
        <w:rPr>
          <w:rFonts w:hint="eastAsia"/>
        </w:rPr>
        <w:t>名议员中有一名妇女。岛上选举产生的地方当局中有一些妇女。</w:t>
      </w:r>
    </w:p>
    <w:p w:rsidR="00000000" w:rsidRDefault="00000000">
      <w:pPr>
        <w:spacing w:line="280" w:lineRule="exact"/>
        <w:ind w:left="1276" w:right="1276"/>
      </w:pPr>
      <w:r>
        <w:t>11.</w:t>
      </w:r>
      <w:r>
        <w:tab/>
      </w:r>
      <w:r>
        <w:rPr>
          <w:rFonts w:hint="eastAsia"/>
        </w:rPr>
        <w:t>马恩岛政府公开宣布的政策是</w:t>
      </w:r>
      <w:r>
        <w:t>,</w:t>
      </w:r>
      <w:r>
        <w:rPr>
          <w:rFonts w:hint="eastAsia"/>
        </w:rPr>
        <w:t>公共部门的任何空缺应任命现有的最佳人选填补</w:t>
      </w:r>
      <w:r>
        <w:t>,</w:t>
      </w:r>
      <w:r>
        <w:rPr>
          <w:rFonts w:hint="eastAsia"/>
        </w:rPr>
        <w:t>方法是确保征聘和挑选程序不带任何歧视地公平运作。男女有平等机会就业</w:t>
      </w:r>
      <w:r>
        <w:t>,</w:t>
      </w:r>
      <w:r>
        <w:rPr>
          <w:rFonts w:hint="eastAsia"/>
        </w:rPr>
        <w:t>并根据他们的能力、资历和对工作的适应性得到晋升。公共部门多年来任职的特点是男女同酬加上培训和发展机会。公务员中</w:t>
      </w:r>
      <w:r>
        <w:t>52%</w:t>
      </w:r>
      <w:r>
        <w:rPr>
          <w:rFonts w:hint="eastAsia"/>
        </w:rPr>
        <w:t>是妇女。附件</w:t>
      </w:r>
      <w:r>
        <w:t>A</w:t>
      </w:r>
      <w:r>
        <w:rPr>
          <w:rFonts w:hint="eastAsia"/>
        </w:rPr>
        <w:t>载有按性别和薪酬差距分列的公务人员表。</w:t>
      </w:r>
    </w:p>
    <w:p w:rsidR="00000000" w:rsidRDefault="00000000">
      <w:pPr>
        <w:pStyle w:val="H1"/>
        <w:keepLines w:val="0"/>
        <w:spacing w:after="140" w:line="280" w:lineRule="exact"/>
        <w:ind w:left="1276" w:right="1276"/>
        <w:jc w:val="both"/>
      </w:pPr>
      <w:r>
        <w:tab/>
      </w:r>
      <w:r>
        <w:rPr>
          <w:rFonts w:hint="eastAsia"/>
        </w:rPr>
        <w:t>第</w:t>
      </w:r>
      <w:r>
        <w:t>10</w:t>
      </w:r>
      <w:r>
        <w:rPr>
          <w:rFonts w:hint="eastAsia"/>
        </w:rPr>
        <w:t>条－教育</w:t>
      </w:r>
    </w:p>
    <w:p w:rsidR="00000000" w:rsidRDefault="00000000">
      <w:pPr>
        <w:spacing w:line="280" w:lineRule="exact"/>
        <w:ind w:left="1276" w:right="1276"/>
      </w:pPr>
      <w:r>
        <w:t>12.</w:t>
      </w:r>
      <w:r>
        <w:tab/>
        <w:t>1998</w:t>
      </w:r>
      <w:r>
        <w:rPr>
          <w:rFonts w:hint="eastAsia"/>
        </w:rPr>
        <w:t>年马恩岛中小学入学儿童约有</w:t>
      </w:r>
      <w:r>
        <w:t>11 157</w:t>
      </w:r>
      <w:r>
        <w:rPr>
          <w:rFonts w:hint="eastAsia"/>
        </w:rPr>
        <w:t>人。</w:t>
      </w:r>
    </w:p>
    <w:tbl>
      <w:tblPr>
        <w:tblW w:w="0" w:type="auto"/>
        <w:jc w:val="center"/>
        <w:tblLayout w:type="fixed"/>
        <w:tblCellMar>
          <w:left w:w="28" w:type="dxa"/>
          <w:right w:w="28" w:type="dxa"/>
        </w:tblCellMar>
        <w:tblLook w:val="0000" w:firstRow="0" w:lastRow="0" w:firstColumn="0" w:lastColumn="0" w:noHBand="0" w:noVBand="0"/>
      </w:tblPr>
      <w:tblGrid>
        <w:gridCol w:w="3629"/>
        <w:gridCol w:w="3629"/>
      </w:tblGrid>
      <w:tr w:rsidR="00000000">
        <w:tblPrEx>
          <w:tblCellMar>
            <w:top w:w="0" w:type="dxa"/>
            <w:bottom w:w="0" w:type="dxa"/>
          </w:tblCellMar>
        </w:tblPrEx>
        <w:trPr>
          <w:jc w:val="center"/>
        </w:trPr>
        <w:tc>
          <w:tcPr>
            <w:tcW w:w="3629" w:type="dxa"/>
          </w:tcPr>
          <w:p w:rsidR="00000000" w:rsidRDefault="00000000">
            <w:pPr>
              <w:spacing w:line="280" w:lineRule="exact"/>
            </w:pPr>
            <w:r>
              <w:rPr>
                <w:rFonts w:hint="eastAsia"/>
              </w:rPr>
              <w:t>小学</w:t>
            </w:r>
            <w:r>
              <w:t>:</w:t>
            </w:r>
          </w:p>
        </w:tc>
        <w:tc>
          <w:tcPr>
            <w:tcW w:w="3629" w:type="dxa"/>
          </w:tcPr>
          <w:p w:rsidR="00000000" w:rsidRDefault="00000000">
            <w:pPr>
              <w:spacing w:line="280" w:lineRule="exact"/>
            </w:pPr>
            <w:r>
              <w:t>35</w:t>
            </w:r>
          </w:p>
        </w:tc>
      </w:tr>
      <w:tr w:rsidR="00000000">
        <w:tblPrEx>
          <w:tblCellMar>
            <w:top w:w="0" w:type="dxa"/>
            <w:bottom w:w="0" w:type="dxa"/>
          </w:tblCellMar>
        </w:tblPrEx>
        <w:trPr>
          <w:jc w:val="center"/>
        </w:trPr>
        <w:tc>
          <w:tcPr>
            <w:tcW w:w="3629" w:type="dxa"/>
          </w:tcPr>
          <w:p w:rsidR="00000000" w:rsidRDefault="00000000">
            <w:pPr>
              <w:spacing w:line="280" w:lineRule="exact"/>
            </w:pPr>
            <w:r>
              <w:rPr>
                <w:rFonts w:hint="eastAsia"/>
              </w:rPr>
              <w:t>小学生</w:t>
            </w:r>
            <w:r>
              <w:t>:</w:t>
            </w:r>
          </w:p>
        </w:tc>
        <w:tc>
          <w:tcPr>
            <w:tcW w:w="3629" w:type="dxa"/>
          </w:tcPr>
          <w:p w:rsidR="00000000" w:rsidRDefault="00000000">
            <w:pPr>
              <w:spacing w:line="280" w:lineRule="exact"/>
            </w:pPr>
            <w:r>
              <w:t>6 364(3 271</w:t>
            </w:r>
            <w:r>
              <w:rPr>
                <w:rFonts w:hint="eastAsia"/>
              </w:rPr>
              <w:t>男生</w:t>
            </w:r>
            <w:r>
              <w:t>,3 093</w:t>
            </w:r>
            <w:r>
              <w:rPr>
                <w:rFonts w:hint="eastAsia"/>
              </w:rPr>
              <w:t>女生</w:t>
            </w:r>
            <w:r>
              <w:t>)</w:t>
            </w:r>
          </w:p>
        </w:tc>
      </w:tr>
      <w:tr w:rsidR="00000000">
        <w:tblPrEx>
          <w:tblCellMar>
            <w:top w:w="0" w:type="dxa"/>
            <w:bottom w:w="0" w:type="dxa"/>
          </w:tblCellMar>
        </w:tblPrEx>
        <w:trPr>
          <w:jc w:val="center"/>
        </w:trPr>
        <w:tc>
          <w:tcPr>
            <w:tcW w:w="3629" w:type="dxa"/>
          </w:tcPr>
          <w:p w:rsidR="00000000" w:rsidRDefault="00000000">
            <w:pPr>
              <w:spacing w:line="280" w:lineRule="exact"/>
            </w:pPr>
            <w:r>
              <w:rPr>
                <w:rFonts w:hint="eastAsia"/>
              </w:rPr>
              <w:t>中学</w:t>
            </w:r>
            <w:r>
              <w:t>:</w:t>
            </w:r>
          </w:p>
        </w:tc>
        <w:tc>
          <w:tcPr>
            <w:tcW w:w="3629" w:type="dxa"/>
          </w:tcPr>
          <w:p w:rsidR="00000000" w:rsidRDefault="00000000">
            <w:pPr>
              <w:spacing w:line="280" w:lineRule="exact"/>
            </w:pPr>
            <w:r>
              <w:t>5</w:t>
            </w:r>
          </w:p>
        </w:tc>
      </w:tr>
      <w:tr w:rsidR="00000000">
        <w:tblPrEx>
          <w:tblCellMar>
            <w:top w:w="0" w:type="dxa"/>
            <w:bottom w:w="0" w:type="dxa"/>
          </w:tblCellMar>
        </w:tblPrEx>
        <w:trPr>
          <w:jc w:val="center"/>
        </w:trPr>
        <w:tc>
          <w:tcPr>
            <w:tcW w:w="3629" w:type="dxa"/>
          </w:tcPr>
          <w:p w:rsidR="00000000" w:rsidRDefault="00000000">
            <w:pPr>
              <w:spacing w:line="280" w:lineRule="exact"/>
            </w:pPr>
            <w:r>
              <w:rPr>
                <w:rFonts w:hint="eastAsia"/>
              </w:rPr>
              <w:t>中学生</w:t>
            </w:r>
            <w:r>
              <w:t>:</w:t>
            </w:r>
          </w:p>
        </w:tc>
        <w:tc>
          <w:tcPr>
            <w:tcW w:w="3629" w:type="dxa"/>
          </w:tcPr>
          <w:p w:rsidR="00000000" w:rsidRDefault="00000000">
            <w:pPr>
              <w:spacing w:line="280" w:lineRule="exact"/>
            </w:pPr>
            <w:r>
              <w:t>4 793(</w:t>
            </w:r>
            <w:r>
              <w:rPr>
                <w:rFonts w:hint="eastAsia"/>
              </w:rPr>
              <w:t>没有按性别分列的数字</w:t>
            </w:r>
            <w:r>
              <w:t>)</w:t>
            </w:r>
          </w:p>
        </w:tc>
      </w:tr>
    </w:tbl>
    <w:p w:rsidR="00000000" w:rsidRDefault="00000000">
      <w:pPr>
        <w:spacing w:line="280" w:lineRule="exact"/>
        <w:ind w:left="1276" w:right="1276"/>
      </w:pPr>
      <w:r>
        <w:tab/>
      </w:r>
      <w:r>
        <w:rPr>
          <w:rFonts w:hint="eastAsia"/>
        </w:rPr>
        <w:t>另有</w:t>
      </w:r>
      <w:r>
        <w:t>9 430</w:t>
      </w:r>
      <w:r>
        <w:rPr>
          <w:rFonts w:hint="eastAsia"/>
        </w:rPr>
        <w:t>学生</w:t>
      </w:r>
      <w:r>
        <w:t>(</w:t>
      </w:r>
      <w:r>
        <w:rPr>
          <w:rFonts w:hint="eastAsia"/>
        </w:rPr>
        <w:t>没有按性别分列的数字</w:t>
      </w:r>
      <w:r>
        <w:t>)</w:t>
      </w:r>
      <w:r>
        <w:rPr>
          <w:rFonts w:hint="eastAsia"/>
        </w:rPr>
        <w:t>选学了马恩岛进修学院的课程。还有一所</w:t>
      </w:r>
      <w:r>
        <w:t>(</w:t>
      </w:r>
      <w:r>
        <w:rPr>
          <w:rFonts w:hint="eastAsia"/>
        </w:rPr>
        <w:t>收费的</w:t>
      </w:r>
      <w:r>
        <w:t>)</w:t>
      </w:r>
      <w:r>
        <w:rPr>
          <w:rFonts w:hint="eastAsia"/>
        </w:rPr>
        <w:t>男女生兼收的独立学校。</w:t>
      </w:r>
    </w:p>
    <w:p w:rsidR="00000000" w:rsidRDefault="00000000">
      <w:pPr>
        <w:spacing w:line="280" w:lineRule="exact"/>
        <w:ind w:left="1276" w:right="1276"/>
      </w:pPr>
      <w:r>
        <w:t>13.</w:t>
      </w:r>
      <w:r>
        <w:tab/>
        <w:t>1 190</w:t>
      </w:r>
      <w:r>
        <w:rPr>
          <w:rFonts w:hint="eastAsia"/>
        </w:rPr>
        <w:t>名学生</w:t>
      </w:r>
      <w:r>
        <w:t>(575</w:t>
      </w:r>
      <w:r>
        <w:rPr>
          <w:rFonts w:hint="eastAsia"/>
        </w:rPr>
        <w:t>男生和</w:t>
      </w:r>
      <w:r>
        <w:t>615</w:t>
      </w:r>
      <w:r>
        <w:rPr>
          <w:rFonts w:hint="eastAsia"/>
        </w:rPr>
        <w:t>女生</w:t>
      </w:r>
      <w:r>
        <w:t>)</w:t>
      </w:r>
      <w:r>
        <w:rPr>
          <w:rFonts w:hint="eastAsia"/>
        </w:rPr>
        <w:t>接受本岛教育部的奖学金</w:t>
      </w:r>
      <w:r>
        <w:t>,</w:t>
      </w:r>
      <w:r>
        <w:rPr>
          <w:rFonts w:hint="eastAsia"/>
        </w:rPr>
        <w:t>其中</w:t>
      </w:r>
      <w:r>
        <w:t>943</w:t>
      </w:r>
      <w:r>
        <w:rPr>
          <w:rFonts w:hint="eastAsia"/>
        </w:rPr>
        <w:t>人</w:t>
      </w:r>
      <w:r>
        <w:t>(470</w:t>
      </w:r>
      <w:r>
        <w:rPr>
          <w:rFonts w:hint="eastAsia"/>
        </w:rPr>
        <w:t>男生和</w:t>
      </w:r>
      <w:r>
        <w:t>473</w:t>
      </w:r>
      <w:r>
        <w:rPr>
          <w:rFonts w:hint="eastAsia"/>
        </w:rPr>
        <w:t>女生</w:t>
      </w:r>
      <w:r>
        <w:t>)</w:t>
      </w:r>
      <w:r>
        <w:rPr>
          <w:rFonts w:hint="eastAsia"/>
        </w:rPr>
        <w:t>是在联合王国的大学读学位。</w:t>
      </w:r>
    </w:p>
    <w:p w:rsidR="00000000" w:rsidRDefault="00000000">
      <w:pPr>
        <w:spacing w:line="280" w:lineRule="exact"/>
        <w:ind w:left="1276" w:right="1276"/>
      </w:pPr>
      <w:r>
        <w:t>14.</w:t>
      </w:r>
      <w:r>
        <w:tab/>
        <w:t>St. Ninian</w:t>
      </w:r>
      <w:r>
        <w:rPr>
          <w:rFonts w:hint="eastAsia"/>
        </w:rPr>
        <w:t>中学曾有一个阶段试行将科学作为单一性别课程讲授。这是因为这一科目男生一贯比女生学得好。实验的目的是要看看女生在没有同男生竞争的感觉时</w:t>
      </w:r>
      <w:r>
        <w:t>,</w:t>
      </w:r>
      <w:r>
        <w:rPr>
          <w:rFonts w:hint="eastAsia"/>
        </w:rPr>
        <w:t>是否会学得好些。</w:t>
      </w:r>
    </w:p>
    <w:p w:rsidR="00000000" w:rsidRDefault="00000000">
      <w:pPr>
        <w:pStyle w:val="H1"/>
        <w:keepLines w:val="0"/>
        <w:spacing w:after="140" w:line="280" w:lineRule="exact"/>
        <w:ind w:left="1276" w:right="1276"/>
        <w:jc w:val="both"/>
      </w:pPr>
      <w:r>
        <w:tab/>
      </w:r>
      <w:r>
        <w:rPr>
          <w:rFonts w:hint="eastAsia"/>
        </w:rPr>
        <w:t>第</w:t>
      </w:r>
      <w:r>
        <w:t>11</w:t>
      </w:r>
      <w:r>
        <w:rPr>
          <w:rFonts w:hint="eastAsia"/>
        </w:rPr>
        <w:t>条－就业</w:t>
      </w:r>
    </w:p>
    <w:p w:rsidR="00000000" w:rsidRDefault="00000000">
      <w:pPr>
        <w:pStyle w:val="H2"/>
        <w:keepLines w:val="0"/>
        <w:spacing w:line="280" w:lineRule="exact"/>
        <w:ind w:left="1276" w:right="1276"/>
        <w:jc w:val="both"/>
      </w:pPr>
      <w:r>
        <w:tab/>
      </w:r>
      <w:r>
        <w:rPr>
          <w:rFonts w:hint="eastAsia"/>
        </w:rPr>
        <w:t>就业</w:t>
      </w:r>
    </w:p>
    <w:p w:rsidR="00000000" w:rsidRDefault="00000000">
      <w:pPr>
        <w:spacing w:line="280" w:lineRule="exact"/>
        <w:ind w:left="1276" w:right="1276"/>
      </w:pPr>
      <w:r>
        <w:t>15.</w:t>
      </w:r>
      <w:r>
        <w:tab/>
      </w:r>
      <w:r>
        <w:rPr>
          <w:rFonts w:hint="eastAsia"/>
        </w:rPr>
        <w:t>下表显示</w:t>
      </w:r>
      <w:r>
        <w:t>1996</w:t>
      </w:r>
      <w:r>
        <w:rPr>
          <w:rFonts w:hint="eastAsia"/>
        </w:rPr>
        <w:t>年从事经济活动的人口</w:t>
      </w:r>
      <w:r>
        <w:t>,</w:t>
      </w:r>
      <w:r>
        <w:rPr>
          <w:rFonts w:hint="eastAsia"/>
        </w:rPr>
        <w:t>按性别和职业分列</w:t>
      </w:r>
      <w:r>
        <w:t>:</w:t>
      </w:r>
    </w:p>
    <w:tbl>
      <w:tblPr>
        <w:tblW w:w="0" w:type="auto"/>
        <w:jc w:val="center"/>
        <w:tblLayout w:type="fixed"/>
        <w:tblCellMar>
          <w:left w:w="28" w:type="dxa"/>
          <w:right w:w="28" w:type="dxa"/>
        </w:tblCellMar>
        <w:tblLook w:val="0000" w:firstRow="0" w:lastRow="0" w:firstColumn="0" w:lastColumn="0" w:noHBand="0" w:noVBand="0"/>
      </w:tblPr>
      <w:tblGrid>
        <w:gridCol w:w="2419"/>
        <w:gridCol w:w="1613"/>
        <w:gridCol w:w="546"/>
        <w:gridCol w:w="1067"/>
        <w:gridCol w:w="1611"/>
        <w:gridCol w:w="2"/>
      </w:tblGrid>
      <w:tr w:rsidR="00000000">
        <w:tblPrEx>
          <w:tblCellMar>
            <w:top w:w="0" w:type="dxa"/>
            <w:bottom w:w="0" w:type="dxa"/>
          </w:tblCellMar>
        </w:tblPrEx>
        <w:trPr>
          <w:gridAfter w:val="1"/>
          <w:jc w:val="center"/>
        </w:trPr>
        <w:tc>
          <w:tcPr>
            <w:tcW w:w="4578" w:type="dxa"/>
            <w:gridSpan w:val="3"/>
          </w:tcPr>
          <w:p w:rsidR="00000000" w:rsidRDefault="00000000">
            <w:pPr>
              <w:spacing w:line="280" w:lineRule="exact"/>
              <w:jc w:val="left"/>
              <w:rPr>
                <w:rFonts w:eastAsia="SimHei"/>
                <w:color w:val="FF0000"/>
              </w:rPr>
            </w:pPr>
          </w:p>
        </w:tc>
        <w:tc>
          <w:tcPr>
            <w:tcW w:w="2678" w:type="dxa"/>
            <w:gridSpan w:val="2"/>
          </w:tcPr>
          <w:p w:rsidR="00000000" w:rsidRDefault="00000000">
            <w:pPr>
              <w:spacing w:line="280" w:lineRule="exact"/>
              <w:jc w:val="left"/>
              <w:rPr>
                <w:rFonts w:eastAsia="SimHei"/>
                <w:color w:val="FF0000"/>
              </w:rPr>
            </w:pPr>
            <w:r>
              <w:rPr>
                <w:rFonts w:eastAsia="SimHei" w:hint="eastAsia"/>
                <w:color w:val="FF0000"/>
              </w:rPr>
              <w:t>性别</w:t>
            </w:r>
          </w:p>
        </w:tc>
      </w:tr>
      <w:tr w:rsidR="00000000">
        <w:tblPrEx>
          <w:tblCellMar>
            <w:top w:w="0" w:type="dxa"/>
            <w:bottom w:w="0" w:type="dxa"/>
          </w:tblCellMar>
        </w:tblPrEx>
        <w:trPr>
          <w:jc w:val="center"/>
        </w:trPr>
        <w:tc>
          <w:tcPr>
            <w:tcW w:w="2419" w:type="dxa"/>
            <w:tcBorders>
              <w:bottom w:val="single" w:sz="6" w:space="0" w:color="auto"/>
            </w:tcBorders>
          </w:tcPr>
          <w:p w:rsidR="00000000" w:rsidRDefault="00000000">
            <w:pPr>
              <w:spacing w:line="280" w:lineRule="exact"/>
            </w:pPr>
            <w:r>
              <w:rPr>
                <w:rFonts w:hint="eastAsia"/>
              </w:rPr>
              <w:t>职业</w:t>
            </w:r>
          </w:p>
        </w:tc>
        <w:tc>
          <w:tcPr>
            <w:tcW w:w="1613" w:type="dxa"/>
            <w:tcBorders>
              <w:bottom w:val="single" w:sz="6" w:space="0" w:color="auto"/>
            </w:tcBorders>
          </w:tcPr>
          <w:p w:rsidR="00000000" w:rsidRDefault="00000000">
            <w:pPr>
              <w:spacing w:line="280" w:lineRule="exact"/>
              <w:jc w:val="right"/>
            </w:pPr>
            <w:r>
              <w:rPr>
                <w:rFonts w:hint="eastAsia"/>
              </w:rPr>
              <w:t>男</w:t>
            </w:r>
          </w:p>
        </w:tc>
        <w:tc>
          <w:tcPr>
            <w:tcW w:w="1613" w:type="dxa"/>
            <w:gridSpan w:val="2"/>
            <w:tcBorders>
              <w:bottom w:val="single" w:sz="6" w:space="0" w:color="auto"/>
            </w:tcBorders>
          </w:tcPr>
          <w:p w:rsidR="00000000" w:rsidRDefault="00000000">
            <w:pPr>
              <w:spacing w:line="280" w:lineRule="exact"/>
              <w:jc w:val="right"/>
            </w:pPr>
            <w:r>
              <w:rPr>
                <w:rFonts w:hint="eastAsia"/>
              </w:rPr>
              <w:t>女</w:t>
            </w:r>
          </w:p>
        </w:tc>
        <w:tc>
          <w:tcPr>
            <w:tcW w:w="1613" w:type="dxa"/>
            <w:gridSpan w:val="2"/>
            <w:tcBorders>
              <w:bottom w:val="single" w:sz="6" w:space="0" w:color="auto"/>
            </w:tcBorders>
          </w:tcPr>
          <w:p w:rsidR="00000000" w:rsidRDefault="00000000">
            <w:pPr>
              <w:spacing w:line="280" w:lineRule="exact"/>
              <w:jc w:val="right"/>
            </w:pPr>
            <w:r>
              <w:rPr>
                <w:rFonts w:hint="eastAsia"/>
              </w:rPr>
              <w:t>合计</w:t>
            </w:r>
          </w:p>
        </w:tc>
      </w:tr>
      <w:tr w:rsidR="00000000">
        <w:tblPrEx>
          <w:tblCellMar>
            <w:top w:w="0" w:type="dxa"/>
            <w:bottom w:w="0" w:type="dxa"/>
          </w:tblCellMar>
        </w:tblPrEx>
        <w:trPr>
          <w:jc w:val="center"/>
        </w:trPr>
        <w:tc>
          <w:tcPr>
            <w:tcW w:w="2419" w:type="dxa"/>
          </w:tcPr>
          <w:p w:rsidR="00000000" w:rsidRDefault="00000000">
            <w:pPr>
              <w:spacing w:line="280" w:lineRule="exact"/>
            </w:pPr>
            <w:r>
              <w:t>1</w:t>
            </w:r>
            <w:r>
              <w:rPr>
                <w:rFonts w:hint="eastAsia"/>
              </w:rPr>
              <w:t>－专业人员</w:t>
            </w:r>
          </w:p>
        </w:tc>
        <w:tc>
          <w:tcPr>
            <w:tcW w:w="1613" w:type="dxa"/>
          </w:tcPr>
          <w:p w:rsidR="00000000" w:rsidRDefault="00000000">
            <w:pPr>
              <w:spacing w:line="280" w:lineRule="exact"/>
              <w:jc w:val="right"/>
            </w:pPr>
            <w:r>
              <w:t>1 218</w:t>
            </w:r>
          </w:p>
        </w:tc>
        <w:tc>
          <w:tcPr>
            <w:tcW w:w="1613" w:type="dxa"/>
            <w:gridSpan w:val="2"/>
          </w:tcPr>
          <w:p w:rsidR="00000000" w:rsidRDefault="00000000">
            <w:pPr>
              <w:spacing w:line="280" w:lineRule="exact"/>
              <w:jc w:val="right"/>
            </w:pPr>
            <w:r>
              <w:t>258</w:t>
            </w:r>
          </w:p>
        </w:tc>
        <w:tc>
          <w:tcPr>
            <w:tcW w:w="1613" w:type="dxa"/>
            <w:gridSpan w:val="2"/>
          </w:tcPr>
          <w:p w:rsidR="00000000" w:rsidRDefault="00000000">
            <w:pPr>
              <w:spacing w:line="280" w:lineRule="exact"/>
              <w:jc w:val="right"/>
            </w:pPr>
            <w:r>
              <w:t>1 476</w:t>
            </w:r>
          </w:p>
        </w:tc>
      </w:tr>
      <w:tr w:rsidR="00000000">
        <w:tblPrEx>
          <w:tblCellMar>
            <w:top w:w="0" w:type="dxa"/>
            <w:bottom w:w="0" w:type="dxa"/>
          </w:tblCellMar>
        </w:tblPrEx>
        <w:trPr>
          <w:jc w:val="center"/>
        </w:trPr>
        <w:tc>
          <w:tcPr>
            <w:tcW w:w="2419" w:type="dxa"/>
          </w:tcPr>
          <w:p w:rsidR="00000000" w:rsidRDefault="00000000">
            <w:pPr>
              <w:spacing w:line="280" w:lineRule="exact"/>
            </w:pPr>
            <w:r>
              <w:t>2</w:t>
            </w:r>
            <w:r>
              <w:rPr>
                <w:rFonts w:hint="eastAsia"/>
              </w:rPr>
              <w:t>－管理和技术人员</w:t>
            </w:r>
          </w:p>
        </w:tc>
        <w:tc>
          <w:tcPr>
            <w:tcW w:w="1613" w:type="dxa"/>
          </w:tcPr>
          <w:p w:rsidR="00000000" w:rsidRDefault="00000000">
            <w:pPr>
              <w:spacing w:line="280" w:lineRule="exact"/>
              <w:jc w:val="right"/>
            </w:pPr>
            <w:r>
              <w:t>5 692</w:t>
            </w:r>
          </w:p>
        </w:tc>
        <w:tc>
          <w:tcPr>
            <w:tcW w:w="1613" w:type="dxa"/>
            <w:gridSpan w:val="2"/>
          </w:tcPr>
          <w:p w:rsidR="00000000" w:rsidRDefault="00000000">
            <w:pPr>
              <w:spacing w:line="280" w:lineRule="exact"/>
              <w:jc w:val="right"/>
            </w:pPr>
            <w:r>
              <w:t>4 206</w:t>
            </w:r>
          </w:p>
        </w:tc>
        <w:tc>
          <w:tcPr>
            <w:tcW w:w="1613" w:type="dxa"/>
            <w:gridSpan w:val="2"/>
          </w:tcPr>
          <w:p w:rsidR="00000000" w:rsidRDefault="00000000">
            <w:pPr>
              <w:spacing w:line="280" w:lineRule="exact"/>
              <w:jc w:val="right"/>
            </w:pPr>
            <w:r>
              <w:t>9 898</w:t>
            </w:r>
          </w:p>
        </w:tc>
      </w:tr>
      <w:tr w:rsidR="00000000">
        <w:tblPrEx>
          <w:tblCellMar>
            <w:top w:w="0" w:type="dxa"/>
            <w:bottom w:w="0" w:type="dxa"/>
          </w:tblCellMar>
        </w:tblPrEx>
        <w:trPr>
          <w:jc w:val="center"/>
        </w:trPr>
        <w:tc>
          <w:tcPr>
            <w:tcW w:w="2419" w:type="dxa"/>
          </w:tcPr>
          <w:p w:rsidR="00000000" w:rsidRDefault="00000000">
            <w:pPr>
              <w:spacing w:line="280" w:lineRule="exact"/>
            </w:pPr>
            <w:r>
              <w:t>3</w:t>
            </w:r>
            <w:r>
              <w:rPr>
                <w:rFonts w:hint="eastAsia"/>
              </w:rPr>
              <w:t>－技术工</w:t>
            </w:r>
            <w:r>
              <w:t>,</w:t>
            </w:r>
            <w:r>
              <w:rPr>
                <w:rFonts w:hint="eastAsia"/>
              </w:rPr>
              <w:t>非体力劳动</w:t>
            </w:r>
          </w:p>
        </w:tc>
        <w:tc>
          <w:tcPr>
            <w:tcW w:w="1613" w:type="dxa"/>
          </w:tcPr>
          <w:p w:rsidR="00000000" w:rsidRDefault="00000000">
            <w:pPr>
              <w:spacing w:line="280" w:lineRule="exact"/>
              <w:jc w:val="right"/>
            </w:pPr>
            <w:r>
              <w:t>2 560</w:t>
            </w:r>
          </w:p>
        </w:tc>
        <w:tc>
          <w:tcPr>
            <w:tcW w:w="1613" w:type="dxa"/>
            <w:gridSpan w:val="2"/>
          </w:tcPr>
          <w:p w:rsidR="00000000" w:rsidRDefault="00000000">
            <w:pPr>
              <w:spacing w:line="280" w:lineRule="exact"/>
              <w:jc w:val="right"/>
            </w:pPr>
            <w:r>
              <w:t>6 574</w:t>
            </w:r>
          </w:p>
        </w:tc>
        <w:tc>
          <w:tcPr>
            <w:tcW w:w="1613" w:type="dxa"/>
            <w:gridSpan w:val="2"/>
          </w:tcPr>
          <w:p w:rsidR="00000000" w:rsidRDefault="00000000">
            <w:pPr>
              <w:spacing w:line="280" w:lineRule="exact"/>
              <w:jc w:val="right"/>
            </w:pPr>
            <w:r>
              <w:t>9 134</w:t>
            </w:r>
          </w:p>
        </w:tc>
      </w:tr>
      <w:tr w:rsidR="00000000">
        <w:tblPrEx>
          <w:tblCellMar>
            <w:top w:w="0" w:type="dxa"/>
            <w:bottom w:w="0" w:type="dxa"/>
          </w:tblCellMar>
        </w:tblPrEx>
        <w:trPr>
          <w:jc w:val="center"/>
        </w:trPr>
        <w:tc>
          <w:tcPr>
            <w:tcW w:w="2419" w:type="dxa"/>
          </w:tcPr>
          <w:p w:rsidR="00000000" w:rsidRDefault="00000000">
            <w:pPr>
              <w:spacing w:line="280" w:lineRule="exact"/>
            </w:pPr>
            <w:r>
              <w:t>4</w:t>
            </w:r>
            <w:r>
              <w:rPr>
                <w:rFonts w:hint="eastAsia"/>
              </w:rPr>
              <w:t>－技术工</w:t>
            </w:r>
            <w:r>
              <w:t>,</w:t>
            </w:r>
            <w:r>
              <w:rPr>
                <w:rFonts w:hint="eastAsia"/>
              </w:rPr>
              <w:t>体力劳动</w:t>
            </w:r>
          </w:p>
        </w:tc>
        <w:tc>
          <w:tcPr>
            <w:tcW w:w="1613" w:type="dxa"/>
          </w:tcPr>
          <w:p w:rsidR="00000000" w:rsidRDefault="00000000">
            <w:pPr>
              <w:spacing w:line="280" w:lineRule="exact"/>
              <w:jc w:val="right"/>
            </w:pPr>
            <w:r>
              <w:t>5 950</w:t>
            </w:r>
          </w:p>
        </w:tc>
        <w:tc>
          <w:tcPr>
            <w:tcW w:w="1613" w:type="dxa"/>
            <w:gridSpan w:val="2"/>
          </w:tcPr>
          <w:p w:rsidR="00000000" w:rsidRDefault="00000000">
            <w:pPr>
              <w:spacing w:line="280" w:lineRule="exact"/>
              <w:jc w:val="right"/>
            </w:pPr>
            <w:r>
              <w:t>1 058</w:t>
            </w:r>
          </w:p>
        </w:tc>
        <w:tc>
          <w:tcPr>
            <w:tcW w:w="1613" w:type="dxa"/>
            <w:gridSpan w:val="2"/>
          </w:tcPr>
          <w:p w:rsidR="00000000" w:rsidRDefault="00000000">
            <w:pPr>
              <w:spacing w:line="280" w:lineRule="exact"/>
              <w:jc w:val="right"/>
            </w:pPr>
            <w:r>
              <w:t>7 008</w:t>
            </w:r>
          </w:p>
        </w:tc>
      </w:tr>
      <w:tr w:rsidR="00000000">
        <w:tblPrEx>
          <w:tblCellMar>
            <w:top w:w="0" w:type="dxa"/>
            <w:bottom w:w="0" w:type="dxa"/>
          </w:tblCellMar>
        </w:tblPrEx>
        <w:trPr>
          <w:jc w:val="center"/>
        </w:trPr>
        <w:tc>
          <w:tcPr>
            <w:tcW w:w="2419" w:type="dxa"/>
          </w:tcPr>
          <w:p w:rsidR="00000000" w:rsidRDefault="00000000">
            <w:pPr>
              <w:spacing w:line="280" w:lineRule="exact"/>
            </w:pPr>
            <w:r>
              <w:t>5</w:t>
            </w:r>
            <w:r>
              <w:rPr>
                <w:rFonts w:hint="eastAsia"/>
              </w:rPr>
              <w:t>－半技术工</w:t>
            </w:r>
          </w:p>
        </w:tc>
        <w:tc>
          <w:tcPr>
            <w:tcW w:w="1613" w:type="dxa"/>
          </w:tcPr>
          <w:p w:rsidR="00000000" w:rsidRDefault="00000000">
            <w:pPr>
              <w:spacing w:line="280" w:lineRule="exact"/>
              <w:jc w:val="right"/>
            </w:pPr>
            <w:r>
              <w:t>2 720</w:t>
            </w:r>
          </w:p>
        </w:tc>
        <w:tc>
          <w:tcPr>
            <w:tcW w:w="1613" w:type="dxa"/>
            <w:gridSpan w:val="2"/>
          </w:tcPr>
          <w:p w:rsidR="00000000" w:rsidRDefault="00000000">
            <w:pPr>
              <w:spacing w:line="280" w:lineRule="exact"/>
              <w:jc w:val="right"/>
            </w:pPr>
            <w:r>
              <w:t>2 041</w:t>
            </w:r>
          </w:p>
        </w:tc>
        <w:tc>
          <w:tcPr>
            <w:tcW w:w="1613" w:type="dxa"/>
            <w:gridSpan w:val="2"/>
          </w:tcPr>
          <w:p w:rsidR="00000000" w:rsidRDefault="00000000">
            <w:pPr>
              <w:spacing w:line="280" w:lineRule="exact"/>
              <w:jc w:val="right"/>
            </w:pPr>
            <w:r>
              <w:t>4 761</w:t>
            </w:r>
          </w:p>
        </w:tc>
      </w:tr>
      <w:tr w:rsidR="00000000">
        <w:tblPrEx>
          <w:tblCellMar>
            <w:top w:w="0" w:type="dxa"/>
            <w:bottom w:w="0" w:type="dxa"/>
          </w:tblCellMar>
        </w:tblPrEx>
        <w:trPr>
          <w:jc w:val="center"/>
        </w:trPr>
        <w:tc>
          <w:tcPr>
            <w:tcW w:w="2419" w:type="dxa"/>
          </w:tcPr>
          <w:p w:rsidR="00000000" w:rsidRDefault="00000000">
            <w:pPr>
              <w:spacing w:line="280" w:lineRule="exact"/>
            </w:pPr>
            <w:r>
              <w:t>6</w:t>
            </w:r>
            <w:r>
              <w:rPr>
                <w:rFonts w:hint="eastAsia"/>
              </w:rPr>
              <w:t>－非技术工</w:t>
            </w:r>
          </w:p>
        </w:tc>
        <w:tc>
          <w:tcPr>
            <w:tcW w:w="1613" w:type="dxa"/>
          </w:tcPr>
          <w:p w:rsidR="00000000" w:rsidRDefault="00000000">
            <w:pPr>
              <w:spacing w:line="280" w:lineRule="exact"/>
              <w:jc w:val="right"/>
            </w:pPr>
            <w:r>
              <w:t>1 048</w:t>
            </w:r>
          </w:p>
        </w:tc>
        <w:tc>
          <w:tcPr>
            <w:tcW w:w="1613" w:type="dxa"/>
            <w:gridSpan w:val="2"/>
          </w:tcPr>
          <w:p w:rsidR="00000000" w:rsidRDefault="00000000">
            <w:pPr>
              <w:spacing w:line="280" w:lineRule="exact"/>
              <w:jc w:val="right"/>
            </w:pPr>
            <w:r>
              <w:t>1 053</w:t>
            </w:r>
          </w:p>
        </w:tc>
        <w:tc>
          <w:tcPr>
            <w:tcW w:w="1613" w:type="dxa"/>
            <w:gridSpan w:val="2"/>
          </w:tcPr>
          <w:p w:rsidR="00000000" w:rsidRDefault="00000000">
            <w:pPr>
              <w:spacing w:line="280" w:lineRule="exact"/>
              <w:jc w:val="right"/>
            </w:pPr>
            <w:r>
              <w:t>2 101</w:t>
            </w:r>
          </w:p>
        </w:tc>
      </w:tr>
      <w:tr w:rsidR="00000000">
        <w:tblPrEx>
          <w:tblCellMar>
            <w:top w:w="0" w:type="dxa"/>
            <w:bottom w:w="0" w:type="dxa"/>
          </w:tblCellMar>
        </w:tblPrEx>
        <w:trPr>
          <w:jc w:val="center"/>
        </w:trPr>
        <w:tc>
          <w:tcPr>
            <w:tcW w:w="2419" w:type="dxa"/>
          </w:tcPr>
          <w:p w:rsidR="00000000" w:rsidRDefault="00000000">
            <w:pPr>
              <w:spacing w:line="280" w:lineRule="exact"/>
            </w:pPr>
            <w:r>
              <w:t>7</w:t>
            </w:r>
            <w:r>
              <w:rPr>
                <w:rFonts w:hint="eastAsia"/>
              </w:rPr>
              <w:t>－其他</w:t>
            </w:r>
          </w:p>
        </w:tc>
        <w:tc>
          <w:tcPr>
            <w:tcW w:w="1613" w:type="dxa"/>
          </w:tcPr>
          <w:p w:rsidR="00000000" w:rsidRDefault="00000000">
            <w:pPr>
              <w:spacing w:line="280" w:lineRule="exact"/>
              <w:jc w:val="right"/>
            </w:pPr>
            <w:r>
              <w:t>89</w:t>
            </w:r>
          </w:p>
        </w:tc>
        <w:tc>
          <w:tcPr>
            <w:tcW w:w="1613" w:type="dxa"/>
            <w:gridSpan w:val="2"/>
          </w:tcPr>
          <w:p w:rsidR="00000000" w:rsidRDefault="00000000">
            <w:pPr>
              <w:spacing w:line="280" w:lineRule="exact"/>
              <w:jc w:val="right"/>
            </w:pPr>
            <w:r>
              <w:t>10</w:t>
            </w:r>
          </w:p>
        </w:tc>
        <w:tc>
          <w:tcPr>
            <w:tcW w:w="1613" w:type="dxa"/>
            <w:gridSpan w:val="2"/>
          </w:tcPr>
          <w:p w:rsidR="00000000" w:rsidRDefault="00000000">
            <w:pPr>
              <w:spacing w:line="280" w:lineRule="exact"/>
              <w:jc w:val="right"/>
            </w:pPr>
            <w:r>
              <w:t>99</w:t>
            </w:r>
          </w:p>
        </w:tc>
      </w:tr>
      <w:tr w:rsidR="00000000">
        <w:tblPrEx>
          <w:tblCellMar>
            <w:top w:w="0" w:type="dxa"/>
            <w:bottom w:w="0" w:type="dxa"/>
          </w:tblCellMar>
        </w:tblPrEx>
        <w:trPr>
          <w:jc w:val="center"/>
        </w:trPr>
        <w:tc>
          <w:tcPr>
            <w:tcW w:w="2419" w:type="dxa"/>
          </w:tcPr>
          <w:p w:rsidR="00000000" w:rsidRDefault="00000000">
            <w:pPr>
              <w:spacing w:line="280" w:lineRule="exact"/>
            </w:pPr>
            <w:r>
              <w:t>8</w:t>
            </w:r>
            <w:r>
              <w:rPr>
                <w:rFonts w:hint="eastAsia"/>
              </w:rPr>
              <w:t>－原来无职业</w:t>
            </w:r>
          </w:p>
        </w:tc>
        <w:tc>
          <w:tcPr>
            <w:tcW w:w="1613" w:type="dxa"/>
          </w:tcPr>
          <w:p w:rsidR="00000000" w:rsidRDefault="00000000">
            <w:pPr>
              <w:spacing w:line="280" w:lineRule="exact"/>
              <w:jc w:val="right"/>
            </w:pPr>
            <w:r>
              <w:t>200</w:t>
            </w:r>
          </w:p>
        </w:tc>
        <w:tc>
          <w:tcPr>
            <w:tcW w:w="1613" w:type="dxa"/>
            <w:gridSpan w:val="2"/>
          </w:tcPr>
          <w:p w:rsidR="00000000" w:rsidRDefault="00000000">
            <w:pPr>
              <w:spacing w:line="280" w:lineRule="exact"/>
              <w:jc w:val="right"/>
            </w:pPr>
            <w:r>
              <w:t>89</w:t>
            </w:r>
          </w:p>
        </w:tc>
        <w:tc>
          <w:tcPr>
            <w:tcW w:w="1613" w:type="dxa"/>
            <w:gridSpan w:val="2"/>
          </w:tcPr>
          <w:p w:rsidR="00000000" w:rsidRDefault="00000000">
            <w:pPr>
              <w:spacing w:line="280" w:lineRule="exact"/>
              <w:jc w:val="right"/>
            </w:pPr>
            <w:r>
              <w:t>289</w:t>
            </w:r>
          </w:p>
        </w:tc>
      </w:tr>
      <w:tr w:rsidR="00000000">
        <w:tblPrEx>
          <w:tblCellMar>
            <w:top w:w="0" w:type="dxa"/>
            <w:bottom w:w="0" w:type="dxa"/>
          </w:tblCellMar>
        </w:tblPrEx>
        <w:trPr>
          <w:jc w:val="center"/>
        </w:trPr>
        <w:tc>
          <w:tcPr>
            <w:tcW w:w="2419" w:type="dxa"/>
          </w:tcPr>
          <w:p w:rsidR="00000000" w:rsidRDefault="00000000">
            <w:pPr>
              <w:spacing w:line="280" w:lineRule="exact"/>
            </w:pPr>
            <w:r>
              <w:t>10</w:t>
            </w:r>
            <w:r>
              <w:rPr>
                <w:rFonts w:hint="eastAsia"/>
              </w:rPr>
              <w:t>－情况不明的</w:t>
            </w:r>
          </w:p>
        </w:tc>
        <w:tc>
          <w:tcPr>
            <w:tcW w:w="1613" w:type="dxa"/>
          </w:tcPr>
          <w:p w:rsidR="00000000" w:rsidRDefault="00000000">
            <w:pPr>
              <w:spacing w:line="280" w:lineRule="exact"/>
              <w:jc w:val="right"/>
            </w:pPr>
            <w:r>
              <w:t>31</w:t>
            </w:r>
          </w:p>
        </w:tc>
        <w:tc>
          <w:tcPr>
            <w:tcW w:w="1613" w:type="dxa"/>
            <w:gridSpan w:val="2"/>
          </w:tcPr>
          <w:p w:rsidR="00000000" w:rsidRDefault="00000000">
            <w:pPr>
              <w:spacing w:line="280" w:lineRule="exact"/>
              <w:jc w:val="right"/>
            </w:pPr>
            <w:r>
              <w:t>14</w:t>
            </w:r>
          </w:p>
        </w:tc>
        <w:tc>
          <w:tcPr>
            <w:tcW w:w="1613" w:type="dxa"/>
            <w:gridSpan w:val="2"/>
          </w:tcPr>
          <w:p w:rsidR="00000000" w:rsidRDefault="00000000">
            <w:pPr>
              <w:spacing w:line="280" w:lineRule="exact"/>
              <w:jc w:val="right"/>
            </w:pPr>
            <w:r>
              <w:t>45</w:t>
            </w:r>
          </w:p>
        </w:tc>
      </w:tr>
      <w:tr w:rsidR="00000000">
        <w:tblPrEx>
          <w:tblCellMar>
            <w:top w:w="0" w:type="dxa"/>
            <w:bottom w:w="0" w:type="dxa"/>
          </w:tblCellMar>
        </w:tblPrEx>
        <w:trPr>
          <w:jc w:val="center"/>
        </w:trPr>
        <w:tc>
          <w:tcPr>
            <w:tcW w:w="2419" w:type="dxa"/>
            <w:tcBorders>
              <w:top w:val="single" w:sz="6" w:space="0" w:color="auto"/>
            </w:tcBorders>
          </w:tcPr>
          <w:p w:rsidR="00000000" w:rsidRDefault="00000000">
            <w:pPr>
              <w:spacing w:line="280" w:lineRule="exact"/>
            </w:pPr>
            <w:r>
              <w:rPr>
                <w:rFonts w:hint="eastAsia"/>
              </w:rPr>
              <w:t>合计</w:t>
            </w:r>
          </w:p>
        </w:tc>
        <w:tc>
          <w:tcPr>
            <w:tcW w:w="1613" w:type="dxa"/>
            <w:tcBorders>
              <w:top w:val="single" w:sz="6" w:space="0" w:color="auto"/>
            </w:tcBorders>
          </w:tcPr>
          <w:p w:rsidR="00000000" w:rsidRDefault="00000000">
            <w:pPr>
              <w:spacing w:line="280" w:lineRule="exact"/>
              <w:jc w:val="right"/>
            </w:pPr>
            <w:r>
              <w:t>19 508</w:t>
            </w:r>
          </w:p>
        </w:tc>
        <w:tc>
          <w:tcPr>
            <w:tcW w:w="1613" w:type="dxa"/>
            <w:gridSpan w:val="2"/>
            <w:tcBorders>
              <w:top w:val="single" w:sz="6" w:space="0" w:color="auto"/>
            </w:tcBorders>
          </w:tcPr>
          <w:p w:rsidR="00000000" w:rsidRDefault="00000000">
            <w:pPr>
              <w:spacing w:line="280" w:lineRule="exact"/>
              <w:jc w:val="right"/>
            </w:pPr>
            <w:r>
              <w:t>15 303</w:t>
            </w:r>
          </w:p>
        </w:tc>
        <w:tc>
          <w:tcPr>
            <w:tcW w:w="1613" w:type="dxa"/>
            <w:gridSpan w:val="2"/>
            <w:tcBorders>
              <w:top w:val="single" w:sz="6" w:space="0" w:color="auto"/>
            </w:tcBorders>
          </w:tcPr>
          <w:p w:rsidR="00000000" w:rsidRDefault="00000000">
            <w:pPr>
              <w:spacing w:line="280" w:lineRule="exact"/>
              <w:jc w:val="right"/>
            </w:pPr>
            <w:r>
              <w:t>34 811</w:t>
            </w:r>
          </w:p>
        </w:tc>
      </w:tr>
    </w:tbl>
    <w:p w:rsidR="00000000" w:rsidRDefault="00000000">
      <w:pPr>
        <w:pStyle w:val="H2"/>
        <w:keepLines w:val="0"/>
        <w:spacing w:line="280" w:lineRule="exact"/>
        <w:ind w:left="1276" w:right="1276"/>
        <w:jc w:val="both"/>
      </w:pPr>
      <w:r>
        <w:rPr>
          <w:rFonts w:eastAsia="SimSun"/>
          <w:color w:val="auto"/>
        </w:rPr>
        <w:t>16.</w:t>
      </w:r>
      <w:r>
        <w:rPr>
          <w:rFonts w:eastAsia="SimSun"/>
          <w:color w:val="auto"/>
        </w:rPr>
        <w:tab/>
      </w:r>
      <w:r>
        <w:rPr>
          <w:rFonts w:eastAsia="SimSun" w:hint="eastAsia"/>
          <w:color w:val="auto"/>
        </w:rPr>
        <w:t>目前的失业率约占劳动力的</w:t>
      </w:r>
      <w:r>
        <w:rPr>
          <w:rFonts w:eastAsia="SimSun"/>
          <w:color w:val="auto"/>
        </w:rPr>
        <w:t>1.1%</w:t>
      </w:r>
      <w:r>
        <w:rPr>
          <w:rFonts w:eastAsia="SimSun" w:hint="eastAsia"/>
          <w:color w:val="auto"/>
        </w:rPr>
        <w:t>。</w:t>
      </w:r>
      <w:r>
        <w:rPr>
          <w:rFonts w:eastAsia="SimSun"/>
          <w:color w:val="auto"/>
        </w:rPr>
        <w:br w:type="page"/>
      </w:r>
      <w:r>
        <w:tab/>
      </w:r>
      <w:r>
        <w:rPr>
          <w:rFonts w:hint="eastAsia"/>
        </w:rPr>
        <w:t>立法</w:t>
      </w:r>
    </w:p>
    <w:p w:rsidR="00000000" w:rsidRDefault="00000000">
      <w:pPr>
        <w:spacing w:line="280" w:lineRule="exact"/>
        <w:ind w:left="1276" w:right="1276"/>
      </w:pPr>
      <w:r>
        <w:t>17.</w:t>
      </w:r>
      <w:r>
        <w:tab/>
      </w:r>
      <w:r>
        <w:rPr>
          <w:rFonts w:hint="eastAsia"/>
        </w:rPr>
        <w:t>初次报告中指出颁布《</w:t>
      </w:r>
      <w:r>
        <w:t>1991</w:t>
      </w:r>
      <w:r>
        <w:rPr>
          <w:rFonts w:hint="eastAsia"/>
        </w:rPr>
        <w:t>年就业法》使</w:t>
      </w:r>
      <w:r>
        <w:t xml:space="preserve">Collinson </w:t>
      </w:r>
      <w:r>
        <w:rPr>
          <w:rFonts w:hint="eastAsia"/>
        </w:rPr>
        <w:t>总报告中的建议生效</w:t>
      </w:r>
      <w:r>
        <w:t>,</w:t>
      </w:r>
      <w:r>
        <w:rPr>
          <w:rFonts w:hint="eastAsia"/>
        </w:rPr>
        <w:t>并巩固了就业立法。该法对防止工作场所因性别和婚姻状况而歧视提供了保护。该法第</w:t>
      </w:r>
      <w:r>
        <w:t>51</w:t>
      </w:r>
      <w:r>
        <w:rPr>
          <w:rFonts w:hint="eastAsia"/>
        </w:rPr>
        <w:t>节规定</w:t>
      </w:r>
      <w:r>
        <w:t>:</w:t>
      </w:r>
    </w:p>
    <w:p w:rsidR="00000000" w:rsidRDefault="00000000">
      <w:pPr>
        <w:spacing w:line="280" w:lineRule="exact"/>
        <w:ind w:left="1680" w:right="1276"/>
      </w:pPr>
      <w:r>
        <w:tab/>
      </w:r>
      <w:r>
        <w:rPr>
          <w:rFonts w:hint="eastAsia"/>
        </w:rPr>
        <w:t>“</w:t>
      </w:r>
      <w:r>
        <w:t>(1)</w:t>
      </w:r>
      <w:r>
        <w:rPr>
          <w:rFonts w:hint="eastAsia"/>
        </w:rPr>
        <w:t>凡雇主解雇一个雇员时</w:t>
      </w:r>
      <w:r>
        <w:t>,</w:t>
      </w:r>
      <w:r>
        <w:rPr>
          <w:rFonts w:hint="eastAsia"/>
        </w:rPr>
        <w:t>如果－</w:t>
      </w:r>
    </w:p>
    <w:p w:rsidR="00000000" w:rsidRDefault="00000000">
      <w:pPr>
        <w:spacing w:line="280" w:lineRule="exact"/>
        <w:ind w:left="1680" w:right="1276"/>
      </w:pPr>
      <w:r>
        <w:tab/>
      </w:r>
      <w:r>
        <w:tab/>
        <w:t>(a)</w:t>
      </w:r>
      <w:r>
        <w:rPr>
          <w:rFonts w:hint="eastAsia"/>
        </w:rPr>
        <w:t>雇员受到的待遇不如他如果属于另一个性别时会受到的待遇好</w:t>
      </w:r>
      <w:r>
        <w:t>,</w:t>
      </w:r>
      <w:r>
        <w:rPr>
          <w:rFonts w:hint="eastAsia"/>
        </w:rPr>
        <w:t>或</w:t>
      </w:r>
    </w:p>
    <w:p w:rsidR="00000000" w:rsidRDefault="00000000">
      <w:pPr>
        <w:spacing w:line="280" w:lineRule="exact"/>
        <w:ind w:left="1680" w:right="1276"/>
      </w:pPr>
      <w:r>
        <w:tab/>
      </w:r>
      <w:r>
        <w:tab/>
        <w:t>(b)</w:t>
      </w:r>
      <w:r>
        <w:rPr>
          <w:rFonts w:hint="eastAsia"/>
        </w:rPr>
        <w:t>因为该雇员不符合或没有达到同样适用于另一性别雇员的标准</w:t>
      </w:r>
      <w:r>
        <w:t>,</w:t>
      </w:r>
      <w:r>
        <w:rPr>
          <w:rFonts w:hint="eastAsia"/>
        </w:rPr>
        <w:t>但是</w:t>
      </w:r>
      <w:r>
        <w:t>-</w:t>
      </w:r>
    </w:p>
    <w:p w:rsidR="00000000" w:rsidRDefault="00000000">
      <w:pPr>
        <w:spacing w:line="280" w:lineRule="exact"/>
        <w:ind w:left="2105" w:right="1276" w:hanging="425"/>
      </w:pPr>
      <w:r>
        <w:tab/>
      </w:r>
      <w:r>
        <w:rPr>
          <w:rFonts w:hint="eastAsia"/>
        </w:rPr>
        <w:t>㈠如果与该雇员同一性别的能符合或达到标准的人数远少于另一性别能</w:t>
      </w:r>
      <w:r>
        <w:tab/>
      </w:r>
      <w:r>
        <w:tab/>
      </w:r>
      <w:r>
        <w:rPr>
          <w:rFonts w:hint="eastAsia"/>
        </w:rPr>
        <w:t>够符合或达到标准的人数</w:t>
      </w:r>
      <w:r>
        <w:t>,</w:t>
      </w:r>
      <w:r>
        <w:rPr>
          <w:rFonts w:hint="eastAsia"/>
        </w:rPr>
        <w:t>并</w:t>
      </w:r>
    </w:p>
    <w:p w:rsidR="00000000" w:rsidRDefault="00000000">
      <w:pPr>
        <w:spacing w:line="280" w:lineRule="exact"/>
        <w:ind w:left="1680" w:right="1276"/>
      </w:pPr>
      <w:r>
        <w:tab/>
      </w:r>
      <w:r>
        <w:tab/>
      </w:r>
      <w:r>
        <w:rPr>
          <w:rFonts w:hint="eastAsia"/>
        </w:rPr>
        <w:t>㈡雇主不能合理表明标准不分性别适用于人</w:t>
      </w:r>
      <w:r>
        <w:t>:</w:t>
      </w:r>
      <w:r>
        <w:rPr>
          <w:rFonts w:hint="eastAsia"/>
        </w:rPr>
        <w:t>并</w:t>
      </w:r>
    </w:p>
    <w:p w:rsidR="00000000" w:rsidRDefault="00000000">
      <w:pPr>
        <w:spacing w:line="280" w:lineRule="exact"/>
        <w:ind w:left="1680" w:right="1276"/>
      </w:pPr>
      <w:r>
        <w:tab/>
      </w:r>
      <w:r>
        <w:tab/>
      </w:r>
      <w:r>
        <w:rPr>
          <w:rFonts w:hint="eastAsia"/>
        </w:rPr>
        <w:t>㈢因为他不符合或达不到标准而有损于雇主</w:t>
      </w:r>
      <w:r>
        <w:t>,</w:t>
      </w:r>
    </w:p>
    <w:p w:rsidR="00000000" w:rsidRDefault="00000000">
      <w:pPr>
        <w:spacing w:line="280" w:lineRule="exact"/>
        <w:ind w:left="1680" w:right="1276"/>
      </w:pPr>
      <w:r>
        <w:tab/>
      </w:r>
      <w:r>
        <w:tab/>
      </w:r>
      <w:r>
        <w:tab/>
      </w:r>
      <w:r>
        <w:rPr>
          <w:rFonts w:hint="eastAsia"/>
        </w:rPr>
        <w:t>则解雇应视为不公平</w:t>
      </w:r>
      <w:r>
        <w:t>...</w:t>
      </w:r>
      <w:r>
        <w:rPr>
          <w:rFonts w:hint="eastAsia"/>
        </w:rPr>
        <w:t>”</w:t>
      </w:r>
    </w:p>
    <w:p w:rsidR="00000000" w:rsidRDefault="00000000">
      <w:pPr>
        <w:spacing w:line="280" w:lineRule="exact"/>
        <w:ind w:left="1680" w:right="1276"/>
      </w:pPr>
      <w:r>
        <w:tab/>
      </w:r>
      <w:r>
        <w:rPr>
          <w:rFonts w:hint="eastAsia"/>
        </w:rPr>
        <w:t>“</w:t>
      </w:r>
      <w:r>
        <w:t>(2)</w:t>
      </w:r>
      <w:r>
        <w:rPr>
          <w:rFonts w:hint="eastAsia"/>
        </w:rPr>
        <w:t>凡雇主解雇一个已婚雇员时</w:t>
      </w:r>
      <w:r>
        <w:t>,</w:t>
      </w:r>
      <w:r>
        <w:rPr>
          <w:rFonts w:hint="eastAsia"/>
        </w:rPr>
        <w:t>如果－</w:t>
      </w:r>
    </w:p>
    <w:p w:rsidR="00000000" w:rsidRDefault="00000000">
      <w:pPr>
        <w:spacing w:line="280" w:lineRule="exact"/>
        <w:ind w:left="1680" w:right="1276"/>
      </w:pPr>
      <w:r>
        <w:tab/>
      </w:r>
      <w:r>
        <w:tab/>
        <w:t>(a)</w:t>
      </w:r>
      <w:r>
        <w:rPr>
          <w:rFonts w:hint="eastAsia"/>
        </w:rPr>
        <w:t>雇员受到的待遇不如他如果未婚会受到的待遇好</w:t>
      </w:r>
      <w:r>
        <w:t>,</w:t>
      </w:r>
      <w:r>
        <w:rPr>
          <w:rFonts w:hint="eastAsia"/>
        </w:rPr>
        <w:t>或</w:t>
      </w:r>
    </w:p>
    <w:p w:rsidR="00000000" w:rsidRDefault="00000000">
      <w:pPr>
        <w:spacing w:line="280" w:lineRule="exact"/>
        <w:ind w:left="1680" w:right="1276"/>
      </w:pPr>
      <w:r>
        <w:tab/>
      </w:r>
      <w:r>
        <w:tab/>
        <w:t>(b)</w:t>
      </w:r>
      <w:r>
        <w:rPr>
          <w:rFonts w:hint="eastAsia"/>
        </w:rPr>
        <w:t>因为该雇员不符合或没有达到同样适用于未婚者的标准</w:t>
      </w:r>
      <w:r>
        <w:t>,</w:t>
      </w:r>
      <w:r>
        <w:rPr>
          <w:rFonts w:hint="eastAsia"/>
        </w:rPr>
        <w:t>但是</w:t>
      </w:r>
      <w:r>
        <w:t>,</w:t>
      </w:r>
    </w:p>
    <w:p w:rsidR="00000000" w:rsidRDefault="00000000">
      <w:pPr>
        <w:spacing w:line="280" w:lineRule="exact"/>
        <w:ind w:left="2103" w:right="1276" w:hanging="425"/>
      </w:pPr>
      <w:r>
        <w:tab/>
      </w:r>
      <w:r>
        <w:tab/>
      </w:r>
      <w:r>
        <w:rPr>
          <w:rFonts w:hint="eastAsia"/>
        </w:rPr>
        <w:t>㈠</w:t>
      </w:r>
      <w:r>
        <w:rPr>
          <w:rFonts w:hint="eastAsia"/>
          <w:spacing w:val="2"/>
        </w:rPr>
        <w:t>如果已婚者符合或达到标准的人数远</w:t>
      </w:r>
      <w:r>
        <w:rPr>
          <w:rFonts w:hint="eastAsia"/>
          <w:spacing w:val="4"/>
        </w:rPr>
        <w:t>少于未婚者能够符合或达到</w:t>
      </w:r>
      <w:r>
        <w:rPr>
          <w:rFonts w:hint="eastAsia"/>
          <w:spacing w:val="2"/>
        </w:rPr>
        <w:t>标</w:t>
      </w:r>
      <w:r>
        <w:tab/>
      </w:r>
      <w:r>
        <w:tab/>
      </w:r>
      <w:r>
        <w:tab/>
      </w:r>
      <w:r>
        <w:rPr>
          <w:rFonts w:hint="eastAsia"/>
        </w:rPr>
        <w:t>准的人数</w:t>
      </w:r>
      <w:r>
        <w:t>,</w:t>
      </w:r>
      <w:r>
        <w:rPr>
          <w:rFonts w:hint="eastAsia"/>
        </w:rPr>
        <w:t>并</w:t>
      </w:r>
    </w:p>
    <w:p w:rsidR="00000000" w:rsidRDefault="00000000">
      <w:pPr>
        <w:spacing w:line="280" w:lineRule="exact"/>
        <w:ind w:left="1680" w:right="1276"/>
      </w:pPr>
      <w:r>
        <w:tab/>
      </w:r>
      <w:r>
        <w:tab/>
      </w:r>
      <w:r>
        <w:rPr>
          <w:rFonts w:hint="eastAsia"/>
        </w:rPr>
        <w:t>㈡雇主不能合理表明标准不分婚姻状况适用于人</w:t>
      </w:r>
      <w:r>
        <w:t>:</w:t>
      </w:r>
      <w:r>
        <w:rPr>
          <w:rFonts w:hint="eastAsia"/>
        </w:rPr>
        <w:t>并</w:t>
      </w:r>
    </w:p>
    <w:p w:rsidR="00000000" w:rsidRDefault="00000000">
      <w:pPr>
        <w:spacing w:line="280" w:lineRule="exact"/>
        <w:ind w:left="1680" w:right="1276"/>
      </w:pPr>
      <w:r>
        <w:tab/>
      </w:r>
      <w:r>
        <w:tab/>
      </w:r>
      <w:r>
        <w:rPr>
          <w:rFonts w:hint="eastAsia"/>
        </w:rPr>
        <w:t>㈢因为他不符合或达不到标准而有损于雇主</w:t>
      </w:r>
      <w:r>
        <w:t>,</w:t>
      </w:r>
    </w:p>
    <w:p w:rsidR="00000000" w:rsidRDefault="00000000">
      <w:pPr>
        <w:spacing w:line="280" w:lineRule="exact"/>
        <w:ind w:left="1680" w:right="1276"/>
      </w:pPr>
      <w:r>
        <w:tab/>
      </w:r>
      <w:r>
        <w:tab/>
      </w:r>
      <w:r>
        <w:tab/>
      </w:r>
      <w:r>
        <w:rPr>
          <w:rFonts w:hint="eastAsia"/>
        </w:rPr>
        <w:t>则解雇应视为不公平</w:t>
      </w:r>
      <w:r>
        <w:t>...</w:t>
      </w:r>
      <w:r>
        <w:rPr>
          <w:rFonts w:hint="eastAsia"/>
        </w:rPr>
        <w:t>”</w:t>
      </w:r>
    </w:p>
    <w:p w:rsidR="00000000" w:rsidRDefault="00000000">
      <w:pPr>
        <w:spacing w:line="280" w:lineRule="exact"/>
        <w:ind w:left="1276" w:right="1276"/>
      </w:pPr>
      <w:r>
        <w:tab/>
        <w:t>(</w:t>
      </w:r>
      <w:r>
        <w:rPr>
          <w:rFonts w:hint="eastAsia"/>
        </w:rPr>
        <w:t>应当记住</w:t>
      </w:r>
      <w:r>
        <w:t>,</w:t>
      </w:r>
      <w:r>
        <w:rPr>
          <w:rFonts w:hint="eastAsia"/>
        </w:rPr>
        <w:t>根据立法惯例和法律</w:t>
      </w:r>
      <w:r>
        <w:t>,</w:t>
      </w:r>
      <w:r>
        <w:rPr>
          <w:rFonts w:hint="eastAsia"/>
        </w:rPr>
        <w:t>阳性的字眼通常包括阴性。</w:t>
      </w:r>
      <w:r>
        <w:t>)</w:t>
      </w:r>
      <w:r>
        <w:rPr>
          <w:rFonts w:hint="eastAsia"/>
        </w:rPr>
        <w:t>一个人受到不公平解雇可向就业法庭申请补偿。</w:t>
      </w:r>
    </w:p>
    <w:p w:rsidR="00000000" w:rsidRDefault="00000000">
      <w:pPr>
        <w:spacing w:line="280" w:lineRule="exact"/>
        <w:ind w:left="1276" w:right="1276"/>
      </w:pPr>
      <w:r>
        <w:t>18.</w:t>
      </w:r>
      <w:r>
        <w:tab/>
        <w:t>1991</w:t>
      </w:r>
      <w:r>
        <w:rPr>
          <w:rFonts w:hint="eastAsia"/>
        </w:rPr>
        <w:t>年法还延长了产假</w:t>
      </w:r>
      <w:r>
        <w:t>,</w:t>
      </w:r>
      <w:r>
        <w:rPr>
          <w:rFonts w:hint="eastAsia"/>
        </w:rPr>
        <w:t>实施该法后妇女可以从</w:t>
      </w:r>
      <w:r>
        <w:t>7</w:t>
      </w:r>
      <w:r>
        <w:rPr>
          <w:rFonts w:hint="eastAsia"/>
        </w:rPr>
        <w:t>个星期延长到</w:t>
      </w:r>
      <w:r>
        <w:t>12</w:t>
      </w:r>
      <w:r>
        <w:rPr>
          <w:rFonts w:hint="eastAsia"/>
        </w:rPr>
        <w:t>星期后回去上班</w:t>
      </w:r>
      <w:r>
        <w:t>,</w:t>
      </w:r>
      <w:r>
        <w:rPr>
          <w:rFonts w:hint="eastAsia"/>
        </w:rPr>
        <w:t>并且将对不公平解雇的保护扩大到因生育而旷工的情况。</w:t>
      </w:r>
    </w:p>
    <w:p w:rsidR="00000000" w:rsidRDefault="00000000">
      <w:pPr>
        <w:spacing w:line="280" w:lineRule="exact"/>
        <w:ind w:left="1276" w:right="1276"/>
      </w:pPr>
      <w:r>
        <w:t>19.</w:t>
      </w:r>
      <w:r>
        <w:tab/>
      </w:r>
      <w:r>
        <w:rPr>
          <w:rFonts w:hint="eastAsia"/>
        </w:rPr>
        <w:t>现已草拟了一项就业</w:t>
      </w:r>
      <w:r>
        <w:t>(</w:t>
      </w:r>
      <w:r>
        <w:rPr>
          <w:rFonts w:hint="eastAsia"/>
        </w:rPr>
        <w:t>禁止性别歧视</w:t>
      </w:r>
      <w:r>
        <w:t>)</w:t>
      </w:r>
      <w:r>
        <w:rPr>
          <w:rFonts w:hint="eastAsia"/>
        </w:rPr>
        <w:t>法案</w:t>
      </w:r>
      <w:r>
        <w:t>,</w:t>
      </w:r>
      <w:r>
        <w:rPr>
          <w:rFonts w:hint="eastAsia"/>
        </w:rPr>
        <w:t>扩大了</w:t>
      </w:r>
      <w:r>
        <w:t>1991</w:t>
      </w:r>
      <w:r>
        <w:rPr>
          <w:rFonts w:hint="eastAsia"/>
        </w:rPr>
        <w:t>年法给予的保护。该法案预计</w:t>
      </w:r>
      <w:r>
        <w:t>1999</w:t>
      </w:r>
      <w:r>
        <w:rPr>
          <w:rFonts w:hint="eastAsia"/>
        </w:rPr>
        <w:t>年初提交立法机构。该法的依据是《</w:t>
      </w:r>
      <w:r>
        <w:t>1970</w:t>
      </w:r>
      <w:r>
        <w:rPr>
          <w:rFonts w:hint="eastAsia"/>
        </w:rPr>
        <w:t>年同等报酬法》和《</w:t>
      </w:r>
      <w:r>
        <w:t>1975</w:t>
      </w:r>
      <w:r>
        <w:rPr>
          <w:rFonts w:hint="eastAsia"/>
        </w:rPr>
        <w:t>年禁止性别歧视法》中的就业规定</w:t>
      </w:r>
      <w:r>
        <w:t>(</w:t>
      </w:r>
      <w:r>
        <w:rPr>
          <w:rFonts w:hint="eastAsia"/>
        </w:rPr>
        <w:t>两者都是联合王国议会的法律</w:t>
      </w:r>
      <w:r>
        <w:t>),</w:t>
      </w:r>
      <w:r>
        <w:rPr>
          <w:rFonts w:hint="eastAsia"/>
        </w:rPr>
        <w:t>目的是对在刊登招工广告和录用、雇佣要求和条件</w:t>
      </w:r>
      <w:r>
        <w:t>(</w:t>
      </w:r>
      <w:r>
        <w:rPr>
          <w:rFonts w:hint="eastAsia"/>
        </w:rPr>
        <w:t>包括薪酬</w:t>
      </w:r>
      <w:r>
        <w:t>)</w:t>
      </w:r>
      <w:r>
        <w:rPr>
          <w:rFonts w:hint="eastAsia"/>
        </w:rPr>
        <w:t>以及终止雇佣方面因性别或婚姻状况而实行的歧视作出补救。</w:t>
      </w:r>
    </w:p>
    <w:p w:rsidR="00000000" w:rsidRDefault="00000000">
      <w:pPr>
        <w:pStyle w:val="H2"/>
        <w:keepLines w:val="0"/>
        <w:spacing w:line="280" w:lineRule="exact"/>
        <w:ind w:left="1276" w:right="1276"/>
        <w:jc w:val="both"/>
      </w:pPr>
      <w:r>
        <w:tab/>
      </w:r>
      <w:r>
        <w:rPr>
          <w:rFonts w:hint="eastAsia"/>
        </w:rPr>
        <w:t>培训</w:t>
      </w:r>
    </w:p>
    <w:p w:rsidR="00000000" w:rsidRDefault="00000000">
      <w:pPr>
        <w:spacing w:line="280" w:lineRule="exact"/>
        <w:ind w:left="1276" w:right="1276"/>
      </w:pPr>
      <w:r>
        <w:t>20.</w:t>
      </w:r>
      <w:r>
        <w:tab/>
      </w:r>
      <w:r>
        <w:rPr>
          <w:rFonts w:hint="eastAsia"/>
        </w:rPr>
        <w:t>男女有同等权利参加贸易和工业部培训司支持的所有培训计划和方案。参加目前举办的培训计划的妇女的百分率如下</w:t>
      </w:r>
      <w:r>
        <w:t>:</w:t>
      </w:r>
      <w:r>
        <w:br/>
      </w:r>
    </w:p>
    <w:tbl>
      <w:tblPr>
        <w:tblW w:w="0" w:type="auto"/>
        <w:jc w:val="center"/>
        <w:tblLayout w:type="fixed"/>
        <w:tblCellMar>
          <w:left w:w="28" w:type="dxa"/>
          <w:right w:w="28" w:type="dxa"/>
        </w:tblCellMar>
        <w:tblLook w:val="0000" w:firstRow="0" w:lastRow="0" w:firstColumn="0" w:lastColumn="0" w:noHBand="0" w:noVBand="0"/>
      </w:tblPr>
      <w:tblGrid>
        <w:gridCol w:w="3620"/>
        <w:gridCol w:w="3620"/>
      </w:tblGrid>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动画</w:t>
            </w:r>
          </w:p>
        </w:tc>
        <w:tc>
          <w:tcPr>
            <w:tcW w:w="3620" w:type="dxa"/>
          </w:tcPr>
          <w:p w:rsidR="00000000" w:rsidRDefault="00000000">
            <w:pPr>
              <w:spacing w:line="280" w:lineRule="exact"/>
              <w:ind w:right="113"/>
              <w:jc w:val="right"/>
            </w:pPr>
            <w:r>
              <w:t>22%</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餐饮供应</w:t>
            </w:r>
          </w:p>
        </w:tc>
        <w:tc>
          <w:tcPr>
            <w:tcW w:w="3620" w:type="dxa"/>
          </w:tcPr>
          <w:p w:rsidR="00000000" w:rsidRDefault="00000000">
            <w:pPr>
              <w:spacing w:line="280" w:lineRule="exact"/>
              <w:ind w:right="113"/>
              <w:jc w:val="right"/>
            </w:pPr>
            <w:r>
              <w:t>23%</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厨师</w:t>
            </w:r>
          </w:p>
        </w:tc>
        <w:tc>
          <w:tcPr>
            <w:tcW w:w="3620" w:type="dxa"/>
          </w:tcPr>
          <w:p w:rsidR="00000000" w:rsidRDefault="00000000">
            <w:pPr>
              <w:spacing w:line="280" w:lineRule="exact"/>
              <w:ind w:right="113"/>
              <w:jc w:val="right"/>
            </w:pPr>
            <w:r>
              <w:t>26%</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建筑</w:t>
            </w:r>
          </w:p>
        </w:tc>
        <w:tc>
          <w:tcPr>
            <w:tcW w:w="3620" w:type="dxa"/>
          </w:tcPr>
          <w:p w:rsidR="00000000" w:rsidRDefault="00000000">
            <w:pPr>
              <w:spacing w:line="280" w:lineRule="exact"/>
              <w:ind w:right="113"/>
              <w:jc w:val="right"/>
            </w:pPr>
            <w:r>
              <w:t>2%</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工程</w:t>
            </w:r>
          </w:p>
        </w:tc>
        <w:tc>
          <w:tcPr>
            <w:tcW w:w="3620" w:type="dxa"/>
          </w:tcPr>
          <w:p w:rsidR="00000000" w:rsidRDefault="00000000">
            <w:pPr>
              <w:spacing w:line="280" w:lineRule="exact"/>
              <w:ind w:right="113"/>
              <w:jc w:val="right"/>
            </w:pPr>
            <w:r>
              <w:t>9%</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理发</w:t>
            </w:r>
          </w:p>
        </w:tc>
        <w:tc>
          <w:tcPr>
            <w:tcW w:w="3620" w:type="dxa"/>
          </w:tcPr>
          <w:p w:rsidR="00000000" w:rsidRDefault="00000000">
            <w:pPr>
              <w:spacing w:line="280" w:lineRule="exact"/>
              <w:ind w:right="113"/>
              <w:jc w:val="right"/>
            </w:pPr>
            <w:r>
              <w:t>86%</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招待管理</w:t>
            </w:r>
          </w:p>
        </w:tc>
        <w:tc>
          <w:tcPr>
            <w:tcW w:w="3620" w:type="dxa"/>
          </w:tcPr>
          <w:p w:rsidR="00000000" w:rsidRDefault="00000000">
            <w:pPr>
              <w:spacing w:line="280" w:lineRule="exact"/>
              <w:ind w:right="113"/>
              <w:jc w:val="right"/>
            </w:pPr>
            <w:r>
              <w:t>50%</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办公室技术</w:t>
            </w:r>
          </w:p>
        </w:tc>
        <w:tc>
          <w:tcPr>
            <w:tcW w:w="3620" w:type="dxa"/>
          </w:tcPr>
          <w:p w:rsidR="00000000" w:rsidRDefault="00000000">
            <w:pPr>
              <w:spacing w:line="280" w:lineRule="exact"/>
              <w:ind w:right="113"/>
              <w:jc w:val="right"/>
            </w:pPr>
            <w:r>
              <w:t>65%</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旅游</w:t>
            </w:r>
          </w:p>
        </w:tc>
        <w:tc>
          <w:tcPr>
            <w:tcW w:w="3620" w:type="dxa"/>
          </w:tcPr>
          <w:p w:rsidR="00000000" w:rsidRDefault="00000000">
            <w:pPr>
              <w:spacing w:line="280" w:lineRule="exact"/>
              <w:ind w:right="113"/>
              <w:jc w:val="right"/>
            </w:pPr>
            <w:r>
              <w:t>70%</w:t>
            </w:r>
          </w:p>
        </w:tc>
      </w:tr>
      <w:tr w:rsidR="00000000">
        <w:tblPrEx>
          <w:tblCellMar>
            <w:top w:w="0" w:type="dxa"/>
            <w:bottom w:w="0" w:type="dxa"/>
          </w:tblCellMar>
        </w:tblPrEx>
        <w:trPr>
          <w:jc w:val="center"/>
        </w:trPr>
        <w:tc>
          <w:tcPr>
            <w:tcW w:w="3620" w:type="dxa"/>
          </w:tcPr>
          <w:p w:rsidR="00000000" w:rsidRDefault="00000000">
            <w:pPr>
              <w:spacing w:line="280" w:lineRule="exact"/>
              <w:ind w:left="397"/>
            </w:pPr>
            <w:r>
              <w:rPr>
                <w:rFonts w:hint="eastAsia"/>
              </w:rPr>
              <w:t>小商业启动计划</w:t>
            </w:r>
          </w:p>
        </w:tc>
        <w:tc>
          <w:tcPr>
            <w:tcW w:w="3620" w:type="dxa"/>
          </w:tcPr>
          <w:p w:rsidR="00000000" w:rsidRDefault="00000000">
            <w:pPr>
              <w:spacing w:line="280" w:lineRule="exact"/>
              <w:ind w:right="113"/>
              <w:jc w:val="right"/>
            </w:pPr>
            <w:r>
              <w:t>32%</w:t>
            </w:r>
          </w:p>
        </w:tc>
      </w:tr>
    </w:tbl>
    <w:p w:rsidR="00000000" w:rsidRDefault="00000000">
      <w:pPr>
        <w:pStyle w:val="H1"/>
        <w:keepLines w:val="0"/>
        <w:spacing w:after="140" w:line="280" w:lineRule="exact"/>
        <w:ind w:left="1276" w:right="1276"/>
        <w:jc w:val="both"/>
      </w:pPr>
      <w:r>
        <w:tab/>
      </w:r>
      <w:r>
        <w:rPr>
          <w:rFonts w:hint="eastAsia"/>
        </w:rPr>
        <w:t>第</w:t>
      </w:r>
      <w:r>
        <w:t>12</w:t>
      </w:r>
      <w:r>
        <w:rPr>
          <w:rFonts w:hint="eastAsia"/>
        </w:rPr>
        <w:t>条－保健服务</w:t>
      </w:r>
    </w:p>
    <w:p w:rsidR="00000000" w:rsidRDefault="00000000">
      <w:pPr>
        <w:pStyle w:val="H2"/>
        <w:keepLines w:val="0"/>
        <w:spacing w:line="280" w:lineRule="exact"/>
        <w:ind w:left="1276" w:right="1276"/>
        <w:jc w:val="both"/>
      </w:pPr>
      <w:r>
        <w:tab/>
      </w:r>
      <w:r>
        <w:rPr>
          <w:rFonts w:hint="eastAsia"/>
        </w:rPr>
        <w:t>保健服务</w:t>
      </w:r>
    </w:p>
    <w:p w:rsidR="00000000" w:rsidRDefault="00000000">
      <w:pPr>
        <w:spacing w:line="280" w:lineRule="exact"/>
        <w:ind w:left="1276" w:right="1276"/>
      </w:pPr>
      <w:r>
        <w:t>21.</w:t>
      </w:r>
      <w:r>
        <w:tab/>
      </w:r>
      <w:r>
        <w:rPr>
          <w:rFonts w:hint="eastAsia"/>
        </w:rPr>
        <w:t>初次报告指出</w:t>
      </w:r>
      <w:r>
        <w:t>,</w:t>
      </w:r>
      <w:r>
        <w:rPr>
          <w:rFonts w:hint="eastAsia"/>
        </w:rPr>
        <w:t>保健服务是通过国家卫生局和一些专为妇女服务的机构提供的。下列服务仍在提供</w:t>
      </w:r>
      <w:r>
        <w:t>:</w:t>
      </w:r>
      <w:r>
        <w:rPr>
          <w:rFonts w:hint="eastAsia"/>
        </w:rPr>
        <w:t>人人免费的计划生育服务</w:t>
      </w:r>
      <w:r>
        <w:t>,</w:t>
      </w:r>
      <w:r>
        <w:rPr>
          <w:rFonts w:hint="eastAsia"/>
        </w:rPr>
        <w:t>围产期死亡率降至</w:t>
      </w:r>
      <w:r>
        <w:t>6.6/1 000(</w:t>
      </w:r>
      <w:r>
        <w:rPr>
          <w:rFonts w:hint="eastAsia"/>
        </w:rPr>
        <w:t>包括</w:t>
      </w:r>
      <w:r>
        <w:t>1994</w:t>
      </w:r>
      <w:r>
        <w:rPr>
          <w:rFonts w:hint="eastAsia"/>
        </w:rPr>
        <w:t>至</w:t>
      </w:r>
      <w:r>
        <w:t>1997</w:t>
      </w:r>
      <w:r>
        <w:rPr>
          <w:rFonts w:hint="eastAsia"/>
        </w:rPr>
        <w:t>年的平均数</w:t>
      </w:r>
      <w:r>
        <w:t>)</w:t>
      </w:r>
      <w:r>
        <w:rPr>
          <w:rFonts w:hint="eastAsia"/>
        </w:rPr>
        <w:t>。鼓励戒烟的支出增加</w:t>
      </w:r>
      <w:r>
        <w:t>,</w:t>
      </w:r>
      <w:r>
        <w:rPr>
          <w:rFonts w:hint="eastAsia"/>
        </w:rPr>
        <w:t>但是吸烟人数没有大量减少。</w:t>
      </w:r>
    </w:p>
    <w:p w:rsidR="00000000" w:rsidRDefault="00000000">
      <w:pPr>
        <w:pStyle w:val="H2"/>
        <w:keepLines w:val="0"/>
        <w:spacing w:line="280" w:lineRule="exact"/>
        <w:ind w:left="1276" w:right="1276"/>
        <w:jc w:val="both"/>
      </w:pPr>
      <w:r>
        <w:tab/>
      </w:r>
      <w:r>
        <w:rPr>
          <w:rFonts w:hint="eastAsia"/>
        </w:rPr>
        <w:t>法律</w:t>
      </w:r>
    </w:p>
    <w:p w:rsidR="00000000" w:rsidRDefault="00000000">
      <w:pPr>
        <w:spacing w:line="280" w:lineRule="exact"/>
        <w:ind w:left="1276" w:right="1276"/>
      </w:pPr>
      <w:r>
        <w:t>22.</w:t>
      </w:r>
      <w:r>
        <w:tab/>
      </w:r>
      <w:r>
        <w:rPr>
          <w:rFonts w:hint="eastAsia"/>
        </w:rPr>
        <w:t>《</w:t>
      </w:r>
      <w:r>
        <w:t>1995</w:t>
      </w:r>
      <w:r>
        <w:rPr>
          <w:rFonts w:hint="eastAsia"/>
        </w:rPr>
        <w:t>年终止妊娠</w:t>
      </w:r>
      <w:r>
        <w:t>(</w:t>
      </w:r>
      <w:r>
        <w:rPr>
          <w:rFonts w:hint="eastAsia"/>
        </w:rPr>
        <w:t>医疗原因</w:t>
      </w:r>
      <w:r>
        <w:t>)</w:t>
      </w:r>
      <w:r>
        <w:rPr>
          <w:rFonts w:hint="eastAsia"/>
        </w:rPr>
        <w:t>法》于</w:t>
      </w:r>
      <w:r>
        <w:t>1996</w:t>
      </w:r>
      <w:r>
        <w:rPr>
          <w:rFonts w:hint="eastAsia"/>
        </w:rPr>
        <w:t>年</w:t>
      </w:r>
      <w:r>
        <w:t>1</w:t>
      </w:r>
      <w:r>
        <w:rPr>
          <w:rFonts w:hint="eastAsia"/>
        </w:rPr>
        <w:t>月生效。该法为医生为保护妇女生命</w:t>
      </w:r>
      <w:r>
        <w:t>,</w:t>
      </w:r>
      <w:r>
        <w:rPr>
          <w:rFonts w:hint="eastAsia"/>
        </w:rPr>
        <w:t>或因身体或精神不正常</w:t>
      </w:r>
      <w:r>
        <w:t>,</w:t>
      </w:r>
      <w:r>
        <w:rPr>
          <w:rFonts w:hint="eastAsia"/>
        </w:rPr>
        <w:t>小孩出生后也难于成活或将有严重残疾</w:t>
      </w:r>
      <w:r>
        <w:t>,</w:t>
      </w:r>
      <w:r>
        <w:rPr>
          <w:rFonts w:hint="eastAsia"/>
        </w:rPr>
        <w:t>或因孕妇是强奸、乱伦或猥亵攻击的受害人而终止妊娠</w:t>
      </w:r>
      <w:r>
        <w:t>,</w:t>
      </w:r>
      <w:r>
        <w:rPr>
          <w:rFonts w:hint="eastAsia"/>
        </w:rPr>
        <w:t>提供法定辩护。这一法律是一大进步</w:t>
      </w:r>
      <w:r>
        <w:t>,</w:t>
      </w:r>
      <w:r>
        <w:rPr>
          <w:rFonts w:hint="eastAsia"/>
        </w:rPr>
        <w:t>因为除该法规定的情况外</w:t>
      </w:r>
      <w:r>
        <w:t>,</w:t>
      </w:r>
      <w:r>
        <w:rPr>
          <w:rFonts w:hint="eastAsia"/>
        </w:rPr>
        <w:t>堕胎在本岛是非法的。</w:t>
      </w:r>
    </w:p>
    <w:p w:rsidR="00000000" w:rsidRDefault="00000000">
      <w:pPr>
        <w:pStyle w:val="H1"/>
        <w:keepLines w:val="0"/>
        <w:spacing w:after="140" w:line="280" w:lineRule="exact"/>
        <w:ind w:left="1276" w:right="1276"/>
        <w:jc w:val="both"/>
      </w:pPr>
      <w:r>
        <w:tab/>
      </w:r>
      <w:r>
        <w:rPr>
          <w:rFonts w:hint="eastAsia"/>
        </w:rPr>
        <w:t>第</w:t>
      </w:r>
      <w:r>
        <w:t>16</w:t>
      </w:r>
      <w:r>
        <w:rPr>
          <w:rFonts w:hint="eastAsia"/>
        </w:rPr>
        <w:t>条－婚姻和家庭关系</w:t>
      </w:r>
    </w:p>
    <w:p w:rsidR="00000000" w:rsidRDefault="00000000">
      <w:pPr>
        <w:spacing w:line="280" w:lineRule="exact"/>
        <w:ind w:left="1276" w:right="1276"/>
      </w:pPr>
      <w:r>
        <w:t>23.</w:t>
      </w:r>
      <w:r>
        <w:tab/>
      </w:r>
      <w:r>
        <w:rPr>
          <w:rFonts w:hint="eastAsia"/>
        </w:rPr>
        <w:t>马恩岛的法律在有关婚姻和家庭事务上不歧视妇女。</w:t>
      </w:r>
    </w:p>
    <w:p w:rsidR="00000000" w:rsidRDefault="00000000">
      <w:pPr>
        <w:spacing w:line="280" w:lineRule="exact"/>
        <w:ind w:left="1276" w:right="1276"/>
      </w:pPr>
      <w:r>
        <w:t>24.</w:t>
      </w:r>
      <w:r>
        <w:tab/>
      </w:r>
      <w:r>
        <w:rPr>
          <w:rFonts w:hint="eastAsia"/>
        </w:rPr>
        <w:t>初次报告提到了</w:t>
      </w:r>
      <w:r>
        <w:t>(1984</w:t>
      </w:r>
      <w:r>
        <w:rPr>
          <w:rFonts w:hint="eastAsia"/>
        </w:rPr>
        <w:t>年婚姻法</w:t>
      </w:r>
      <w:r>
        <w:t>)</w:t>
      </w:r>
      <w:r>
        <w:rPr>
          <w:rFonts w:hint="eastAsia"/>
        </w:rPr>
        <w:t>和《</w:t>
      </w:r>
      <w:r>
        <w:t>1978</w:t>
      </w:r>
      <w:r>
        <w:rPr>
          <w:rFonts w:hint="eastAsia"/>
        </w:rPr>
        <w:t>年家庭暴力和婚姻诉讼法》。《</w:t>
      </w:r>
      <w:r>
        <w:t>1991</w:t>
      </w:r>
      <w:r>
        <w:rPr>
          <w:rFonts w:hint="eastAsia"/>
        </w:rPr>
        <w:t>年家庭法》关于抚养责任作了各种规定。根据该法</w:t>
      </w:r>
      <w:r>
        <w:t>,</w:t>
      </w:r>
      <w:r>
        <w:rPr>
          <w:rFonts w:hint="eastAsia"/>
        </w:rPr>
        <w:t>一个婚生子女的父亲与母亲和一个养父和养母对一个未成年的孩子负有同样的抚养责任。遇到死亡</w:t>
      </w:r>
      <w:r>
        <w:t>,</w:t>
      </w:r>
      <w:r>
        <w:rPr>
          <w:rFonts w:hint="eastAsia"/>
        </w:rPr>
        <w:t>父亲或母亲都可指定孩子的监护人。虽然一个非婚生子女的母亲或一个养子女的母亲按照法律是唯一有抚养责任的人</w:t>
      </w:r>
      <w:r>
        <w:t>,</w:t>
      </w:r>
      <w:r>
        <w:rPr>
          <w:rFonts w:hint="eastAsia"/>
        </w:rPr>
        <w:t>但是父亲也可通过同母亲的协议或法院命令获得抚养责任。父亲或母亲都可被要求为他们子女的利益提供抚养费。</w:t>
      </w:r>
    </w:p>
    <w:p w:rsidR="00000000" w:rsidRDefault="00000000">
      <w:pPr>
        <w:spacing w:line="280" w:lineRule="exact"/>
        <w:ind w:left="1276" w:right="1276"/>
      </w:pPr>
      <w:r>
        <w:tab/>
        <w:t>1999</w:t>
      </w:r>
      <w:r>
        <w:rPr>
          <w:rFonts w:hint="eastAsia"/>
        </w:rPr>
        <w:t>年</w:t>
      </w:r>
      <w:r>
        <w:t>1</w:t>
      </w:r>
      <w:r>
        <w:rPr>
          <w:rFonts w:hint="eastAsia"/>
        </w:rPr>
        <w:t>月</w:t>
      </w:r>
    </w:p>
    <w:p w:rsidR="00000000" w:rsidRDefault="00000000">
      <w:pPr>
        <w:spacing w:line="280" w:lineRule="exact"/>
        <w:ind w:left="1276" w:right="1276"/>
        <w:jc w:val="center"/>
      </w:pPr>
      <w:r>
        <w:t>––––––––––––––</w:t>
      </w:r>
    </w:p>
    <w:p w:rsidR="00000000" w:rsidRDefault="00000000">
      <w:pPr>
        <w:spacing w:line="280" w:lineRule="exact"/>
        <w:ind w:left="1276" w:right="1276"/>
      </w:pPr>
    </w:p>
    <w:sectPr w:rsidR="00000000">
      <w:headerReference w:type="even" r:id="rId7"/>
      <w:headerReference w:type="default" r:id="rId8"/>
      <w:footerReference w:type="even" r:id="rId9"/>
      <w:footerReference w:type="default" r:id="rId10"/>
      <w:pgSz w:w="12242" w:h="15842" w:code="1"/>
      <w:pgMar w:top="1729" w:right="1191" w:bottom="1814" w:left="1191"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NO&gt;&gt;N9905734C&lt;&lt;ODS JOB NO&gt;&gt;</w:t>
      </w:r>
    </w:p>
    <w:p w:rsidR="00000000" w:rsidRDefault="00000000">
      <w:pPr>
        <w:pStyle w:val="CommentText"/>
      </w:pPr>
      <w:r>
        <w:t>&lt;&lt;ODS DOC SYMBOL1&gt;&gt;CEDAW/C/UK/4/Add.4&lt;&lt;ODS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ind w:left="851"/>
      </w:pPr>
      <w:r>
        <w:t>————————</w:t>
      </w:r>
    </w:p>
  </w:footnote>
  <w:footnote w:type="continuationSeparator" w:id="0">
    <w:p w:rsidR="00000000" w:rsidRDefault="00000000">
      <w:r>
        <w:t>————————</w:t>
      </w:r>
    </w:p>
  </w:footnote>
  <w:footnote w:id="1">
    <w:p w:rsidR="00000000" w:rsidRDefault="00000000">
      <w:pPr>
        <w:tabs>
          <w:tab w:val="right" w:pos="1134"/>
          <w:tab w:val="left" w:pos="1276"/>
        </w:tabs>
        <w:spacing w:after="120" w:line="260" w:lineRule="exact"/>
        <w:ind w:left="1276" w:right="1276" w:hanging="1276"/>
      </w:pPr>
      <w:r>
        <w:tab/>
      </w:r>
      <w:r>
        <w:rPr>
          <w:rStyle w:val="FootnoteReference"/>
          <w:kern w:val="18"/>
          <w:position w:val="-8"/>
          <w:sz w:val="32"/>
        </w:rPr>
        <w:t>*</w:t>
      </w:r>
      <w:r>
        <w:t xml:space="preserve"> </w:t>
      </w:r>
      <w:r>
        <w:tab/>
      </w:r>
      <w:r>
        <w:rPr>
          <w:rFonts w:hint="eastAsia"/>
          <w:sz w:val="18"/>
        </w:rPr>
        <w:t>关于联合王国政府提交的初次报告</w:t>
      </w:r>
      <w:r>
        <w:rPr>
          <w:sz w:val="18"/>
        </w:rPr>
        <w:t>,</w:t>
      </w:r>
      <w:r>
        <w:rPr>
          <w:rFonts w:hint="eastAsia"/>
          <w:sz w:val="18"/>
        </w:rPr>
        <w:t>见</w:t>
      </w:r>
      <w:r>
        <w:rPr>
          <w:sz w:val="18"/>
        </w:rPr>
        <w:t>CEDAW/C/5/Add.52</w:t>
      </w:r>
      <w:r>
        <w:rPr>
          <w:rFonts w:hint="eastAsia"/>
          <w:sz w:val="18"/>
        </w:rPr>
        <w:t>和</w:t>
      </w:r>
      <w:r>
        <w:rPr>
          <w:sz w:val="18"/>
        </w:rPr>
        <w:t>Amend.1-4;</w:t>
      </w:r>
      <w:r>
        <w:rPr>
          <w:rFonts w:hint="eastAsia"/>
          <w:sz w:val="18"/>
        </w:rPr>
        <w:t>关于委员会对该报告的审议情况</w:t>
      </w:r>
      <w:r>
        <w:rPr>
          <w:sz w:val="18"/>
        </w:rPr>
        <w:t xml:space="preserve">, </w:t>
      </w:r>
      <w:r>
        <w:rPr>
          <w:rFonts w:hint="eastAsia"/>
          <w:sz w:val="18"/>
        </w:rPr>
        <w:t>见</w:t>
      </w:r>
      <w:r>
        <w:rPr>
          <w:sz w:val="18"/>
        </w:rPr>
        <w:t>CEDAW/C/SR.155</w:t>
      </w:r>
      <w:r>
        <w:rPr>
          <w:rFonts w:hint="eastAsia"/>
          <w:sz w:val="18"/>
        </w:rPr>
        <w:t>、</w:t>
      </w:r>
      <w:r>
        <w:rPr>
          <w:sz w:val="18"/>
        </w:rPr>
        <w:t>CEDAW/C/SR.156</w:t>
      </w:r>
      <w:r>
        <w:rPr>
          <w:rFonts w:hint="eastAsia"/>
          <w:sz w:val="18"/>
        </w:rPr>
        <w:t>、</w:t>
      </w:r>
      <w:r>
        <w:rPr>
          <w:sz w:val="18"/>
        </w:rPr>
        <w:t>CEDAW/C/SR.159</w:t>
      </w:r>
      <w:r>
        <w:rPr>
          <w:rFonts w:hint="eastAsia"/>
          <w:sz w:val="18"/>
        </w:rPr>
        <w:t>和</w:t>
      </w:r>
      <w:r>
        <w:rPr>
          <w:sz w:val="18"/>
        </w:rPr>
        <w:t>CEDAW/</w:t>
      </w:r>
      <w:r>
        <w:rPr>
          <w:sz w:val="18"/>
        </w:rPr>
        <w:br/>
        <w:t>C/SR.160,</w:t>
      </w:r>
      <w:r>
        <w:rPr>
          <w:rFonts w:hint="eastAsia"/>
          <w:sz w:val="18"/>
        </w:rPr>
        <w:t>以及《大会正式记录</w:t>
      </w:r>
      <w:r>
        <w:rPr>
          <w:sz w:val="18"/>
        </w:rPr>
        <w:t>,</w:t>
      </w:r>
      <w:r>
        <w:rPr>
          <w:rFonts w:hint="eastAsia"/>
          <w:sz w:val="18"/>
        </w:rPr>
        <w:t>第四十五届会议</w:t>
      </w:r>
      <w:r>
        <w:rPr>
          <w:sz w:val="18"/>
        </w:rPr>
        <w:t>,</w:t>
      </w:r>
      <w:r>
        <w:rPr>
          <w:rFonts w:hint="eastAsia"/>
          <w:sz w:val="18"/>
        </w:rPr>
        <w:t>补编第</w:t>
      </w:r>
      <w:r>
        <w:rPr>
          <w:sz w:val="18"/>
        </w:rPr>
        <w:t>38</w:t>
      </w:r>
      <w:r>
        <w:rPr>
          <w:rFonts w:hint="eastAsia"/>
          <w:sz w:val="18"/>
        </w:rPr>
        <w:t>号》</w:t>
      </w:r>
      <w:r>
        <w:rPr>
          <w:sz w:val="18"/>
        </w:rPr>
        <w:t>(A/45/38),</w:t>
      </w:r>
      <w:r>
        <w:rPr>
          <w:rFonts w:hint="eastAsia"/>
          <w:sz w:val="18"/>
        </w:rPr>
        <w:t>第</w:t>
      </w:r>
      <w:r>
        <w:rPr>
          <w:sz w:val="18"/>
        </w:rPr>
        <w:t>167-213</w:t>
      </w:r>
      <w:r>
        <w:rPr>
          <w:rFonts w:hint="eastAsia"/>
          <w:sz w:val="18"/>
        </w:rPr>
        <w:t>段。关于联合王国政府提交的第二次定期报告</w:t>
      </w:r>
      <w:r>
        <w:rPr>
          <w:sz w:val="18"/>
        </w:rPr>
        <w:t>,</w:t>
      </w:r>
      <w:r>
        <w:rPr>
          <w:rFonts w:hint="eastAsia"/>
          <w:sz w:val="18"/>
        </w:rPr>
        <w:t>见</w:t>
      </w:r>
      <w:r>
        <w:rPr>
          <w:sz w:val="18"/>
        </w:rPr>
        <w:t>CEDAW/C/UK/2</w:t>
      </w:r>
      <w:r>
        <w:rPr>
          <w:rFonts w:hint="eastAsia"/>
          <w:sz w:val="18"/>
        </w:rPr>
        <w:t>和</w:t>
      </w:r>
      <w:r>
        <w:rPr>
          <w:sz w:val="18"/>
        </w:rPr>
        <w:t>Amend.1;</w:t>
      </w:r>
      <w:r>
        <w:rPr>
          <w:rFonts w:hint="eastAsia"/>
          <w:sz w:val="18"/>
        </w:rPr>
        <w:t>关于委员会对该报告的审议情况</w:t>
      </w:r>
      <w:r>
        <w:rPr>
          <w:sz w:val="18"/>
        </w:rPr>
        <w:t>,</w:t>
      </w:r>
      <w:r>
        <w:rPr>
          <w:rFonts w:hint="eastAsia"/>
          <w:sz w:val="18"/>
        </w:rPr>
        <w:t>见</w:t>
      </w:r>
      <w:r>
        <w:rPr>
          <w:sz w:val="18"/>
        </w:rPr>
        <w:t>CEDAW/C/SR.223,</w:t>
      </w:r>
      <w:r>
        <w:rPr>
          <w:rFonts w:hint="eastAsia"/>
          <w:sz w:val="18"/>
        </w:rPr>
        <w:t>以及《大会正式记录</w:t>
      </w:r>
      <w:r>
        <w:rPr>
          <w:sz w:val="18"/>
        </w:rPr>
        <w:t>,</w:t>
      </w:r>
      <w:r>
        <w:rPr>
          <w:rFonts w:hint="eastAsia"/>
          <w:sz w:val="18"/>
        </w:rPr>
        <w:t>第四十八届会议</w:t>
      </w:r>
      <w:r>
        <w:rPr>
          <w:sz w:val="18"/>
        </w:rPr>
        <w:t>,</w:t>
      </w:r>
      <w:r>
        <w:rPr>
          <w:rFonts w:hint="eastAsia"/>
          <w:sz w:val="18"/>
        </w:rPr>
        <w:t>补编第</w:t>
      </w:r>
      <w:r>
        <w:rPr>
          <w:sz w:val="18"/>
        </w:rPr>
        <w:t>38</w:t>
      </w:r>
      <w:r>
        <w:rPr>
          <w:rFonts w:hint="eastAsia"/>
          <w:sz w:val="18"/>
        </w:rPr>
        <w:t>号》</w:t>
      </w:r>
      <w:r>
        <w:rPr>
          <w:sz w:val="18"/>
        </w:rPr>
        <w:t>(A/48/38),</w:t>
      </w:r>
      <w:r>
        <w:rPr>
          <w:rFonts w:hint="eastAsia"/>
          <w:sz w:val="18"/>
        </w:rPr>
        <w:t>第</w:t>
      </w:r>
      <w:r>
        <w:rPr>
          <w:sz w:val="18"/>
        </w:rPr>
        <w:t>523-589</w:t>
      </w:r>
      <w:r>
        <w:rPr>
          <w:rFonts w:hint="eastAsia"/>
          <w:sz w:val="18"/>
        </w:rPr>
        <w:t>段。关于联合王国政府提交的第三次定期报告</w:t>
      </w:r>
      <w:r>
        <w:rPr>
          <w:sz w:val="18"/>
        </w:rPr>
        <w:t>,</w:t>
      </w:r>
      <w:r>
        <w:rPr>
          <w:rFonts w:hint="eastAsia"/>
          <w:sz w:val="18"/>
        </w:rPr>
        <w:t>见</w:t>
      </w:r>
      <w:r>
        <w:rPr>
          <w:sz w:val="18"/>
        </w:rPr>
        <w:t>CEDAW/C/UK/3</w:t>
      </w:r>
      <w:r>
        <w:rPr>
          <w:rFonts w:hint="eastAsia"/>
          <w:sz w:val="18"/>
        </w:rPr>
        <w:t>和</w:t>
      </w:r>
      <w:r>
        <w:rPr>
          <w:sz w:val="18"/>
        </w:rPr>
        <w:t>Add.1</w:t>
      </w:r>
      <w:r>
        <w:rPr>
          <w:rFonts w:hint="eastAsia"/>
          <w:sz w:val="18"/>
        </w:rPr>
        <w:t>和</w:t>
      </w:r>
      <w:r>
        <w:rPr>
          <w:sz w:val="18"/>
        </w:rPr>
        <w:t>Add.2</w:t>
      </w:r>
      <w:r>
        <w:rPr>
          <w:rFonts w:hint="eastAsia"/>
          <w:sz w:val="18"/>
        </w:rPr>
        <w:t>。</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left"/>
      <w:rPr>
        <w:kern w:val="10"/>
      </w:rPr>
    </w:pPr>
    <w:r>
      <w:rPr>
        <w:kern w:val="10"/>
      </w:rPr>
      <w:t>CEDAW/C/UK/4/Add.4</w:t>
    </w:r>
  </w:p>
  <w:p w:rsidR="00000000" w:rsidRDefault="00000000">
    <w:pPr>
      <w:pStyle w:val="Header"/>
      <w:pBdr>
        <w:bottom w:val="single" w:sz="6" w:space="1" w:color="auto"/>
      </w:pBdr>
      <w:spacing w:line="20" w:lineRule="atLeast"/>
      <w:jc w:val="left"/>
      <w:rPr>
        <w:b w:val="0"/>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right"/>
    </w:pPr>
    <w:r>
      <w:t>CEDAW/C/UK/4/Add.4</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sz w:val="38"/>
      </w:rPr>
      <w:t>CEDAW</w:t>
    </w:r>
    <w:r>
      <w:t>/C/UK/4/Add.4</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notBeside" w:vAnchor="page" w:hAnchor="margin" w:y="1617" w:anchorLock="1"/>
      <w:pBdr>
        <w:top w:val="single" w:sz="6" w:space="1" w:color="auto"/>
      </w:pBdr>
    </w:pPr>
  </w:p>
  <w:p w:rsidR="00000000" w:rsidRDefault="00000000">
    <w:pPr>
      <w:framePr w:w="9866" w:h="85" w:hRule="exact" w:hSpace="181" w:wrap="notBeside"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spacing w:line="180" w:lineRule="atLeast"/>
      <w:jc w:val="center"/>
    </w:pPr>
    <w:rPr>
      <w:b/>
      <w:spacing w:val="4"/>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Header"/>
    <w:next w:val="Normal"/>
    <w:semiHidden/>
    <w:pPr>
      <w:jc w:val="left"/>
    </w:pPr>
    <w:rPr>
      <w:b w:val="0"/>
    </w:rPr>
  </w:style>
  <w:style w:type="paragraph" w:styleId="EndnoteText">
    <w:name w:val="endnote text"/>
    <w:basedOn w:val="FootnoteText"/>
    <w:semiHidden/>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pPr>
      <w:framePr w:w="6747" w:h="284" w:hRule="exact" w:hSpace="181" w:vSpace="181" w:wrap="notBeside" w:vAnchor="page" w:hAnchor="page" w:x="4310" w:y="1163" w:anchorLock="1"/>
      <w:widowControl w:val="0"/>
      <w:adjustRightInd w:val="0"/>
      <w:spacing w:line="300" w:lineRule="exact"/>
      <w:jc w:val="right"/>
      <w:textAlignment w:val="baseline"/>
    </w:pPr>
    <w:rPr>
      <w:noProof/>
      <w:spacing w:val="4"/>
      <w:kern w:val="21"/>
      <w:sz w:val="21"/>
      <w:lang w:eastAsia="zh-CN"/>
    </w:rPr>
  </w:style>
  <w:style w:type="paragraph" w:customStyle="1" w:styleId="2">
    <w:name w:val="页眉2"/>
    <w:pPr>
      <w:framePr w:w="3402" w:h="2268" w:hRule="exact" w:hSpace="181" w:vSpace="181" w:wrap="notBeside" w:vAnchor="page" w:hAnchor="page" w:x="2484" w:y="1883" w:anchorLock="1"/>
      <w:widowControl w:val="0"/>
      <w:adjustRightInd w:val="0"/>
      <w:spacing w:after="60" w:line="340" w:lineRule="exact"/>
      <w:textAlignment w:val="baseline"/>
    </w:pPr>
    <w:rPr>
      <w:rFonts w:eastAsia="SimHei"/>
      <w:b/>
      <w:noProof/>
      <w:spacing w:val="140"/>
      <w:kern w:val="34"/>
      <w:sz w:val="34"/>
      <w:lang w:eastAsia="zh-CN"/>
    </w:rPr>
  </w:style>
  <w:style w:type="paragraph" w:customStyle="1" w:styleId="3">
    <w:name w:val="页眉3"/>
    <w:basedOn w:val="Normal"/>
    <w:pPr>
      <w:framePr w:w="3119" w:h="1985" w:hRule="exact" w:hSpace="181" w:vSpace="181" w:wrap="notBeside" w:vAnchor="page" w:hAnchor="page" w:x="7882" w:y="1883" w:anchorLock="1"/>
      <w:spacing w:after="0" w:line="240" w:lineRule="auto"/>
      <w:jc w:val="left"/>
    </w:pPr>
    <w:rPr>
      <w:spacing w:val="4"/>
    </w:r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90</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5</cp:revision>
  <cp:lastPrinted>1999-04-14T20:00:00Z</cp:lastPrinted>
  <dcterms:created xsi:type="dcterms:W3CDTF">1999-04-14T17:32:00Z</dcterms:created>
  <dcterms:modified xsi:type="dcterms:W3CDTF">1999-04-14T20:01:00Z</dcterms:modified>
</cp:coreProperties>
</file>