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FF" w:rsidRDefault="007267FF" w:rsidP="007267FF">
      <w:pPr>
        <w:spacing w:line="240" w:lineRule="auto"/>
        <w:jc w:val="left"/>
        <w:rPr>
          <w:szCs w:val="6"/>
        </w:rPr>
        <w:sectPr w:rsidR="007267FF" w:rsidSect="007267FF">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DF7E80" w:rsidRDefault="00DF7E80" w:rsidP="00DF7E80">
      <w:pPr>
        <w:spacing w:line="240" w:lineRule="auto"/>
        <w:jc w:val="left"/>
        <w:rPr>
          <w:szCs w:val="6"/>
        </w:rPr>
        <w:sectPr w:rsidR="00DF7E80" w:rsidSect="009E61E4">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1"/>
      </w:r>
    </w:p>
    <w:p w:rsidR="00DF7E80" w:rsidRPr="00863EC0" w:rsidRDefault="00DF7E80" w:rsidP="00DF7E80">
      <w:pPr>
        <w:pStyle w:val="H1"/>
        <w:tabs>
          <w:tab w:val="left" w:pos="1325"/>
          <w:tab w:val="left" w:pos="1987"/>
          <w:tab w:val="left" w:pos="2650"/>
          <w:tab w:val="left" w:pos="3312"/>
          <w:tab w:val="left" w:pos="4637"/>
          <w:tab w:val="left" w:pos="5299"/>
          <w:tab w:val="left" w:pos="5962"/>
          <w:tab w:val="left" w:pos="6624"/>
          <w:tab w:val="left" w:pos="7286"/>
        </w:tabs>
        <w:ind w:left="65" w:right="5562"/>
        <w:rPr>
          <w:rFonts w:hint="cs"/>
          <w:rtl/>
          <w:lang w:bidi="ar"/>
        </w:rPr>
      </w:pPr>
      <w:r w:rsidRPr="00863EC0">
        <w:rPr>
          <w:rFonts w:hint="cs"/>
          <w:rtl/>
          <w:lang w:bidi="ar"/>
        </w:rPr>
        <w:t>اللجنة المعنية بالقضاء على التمييز ضد المرأة</w:t>
      </w:r>
      <w:r>
        <w:rPr>
          <w:rFonts w:hint="cs"/>
          <w:rtl/>
          <w:lang w:bidi="ar"/>
        </w:rPr>
        <w:t xml:space="preserve"> </w:t>
      </w:r>
      <w:r w:rsidRPr="00863EC0">
        <w:rPr>
          <w:rFonts w:hint="cs"/>
          <w:rtl/>
          <w:lang w:bidi="ar"/>
        </w:rPr>
        <w:t>الفريق العامل لما قبل الدورة الثانية والأربعين</w:t>
      </w:r>
    </w:p>
    <w:p w:rsidR="00DF7E80" w:rsidRPr="00863EC0" w:rsidRDefault="00AB59B6" w:rsidP="00AB59B6">
      <w:pPr>
        <w:tabs>
          <w:tab w:val="left" w:pos="662"/>
          <w:tab w:val="left" w:pos="1267"/>
          <w:tab w:val="left" w:pos="1987"/>
          <w:tab w:val="left" w:pos="2650"/>
        </w:tabs>
        <w:rPr>
          <w:rFonts w:hint="cs"/>
          <w:rtl/>
          <w:lang w:bidi="ar"/>
        </w:rPr>
      </w:pPr>
      <w:r>
        <w:rPr>
          <w:rFonts w:hint="cs"/>
          <w:rtl/>
          <w:lang w:bidi="ar"/>
        </w:rPr>
        <w:t xml:space="preserve">20 تشرين الأول/أكتوبر </w:t>
      </w:r>
      <w:r w:rsidR="00672810">
        <w:rPr>
          <w:rtl/>
          <w:lang w:bidi="ar"/>
        </w:rPr>
        <w:t>-</w:t>
      </w:r>
      <w:r>
        <w:rPr>
          <w:rFonts w:hint="cs"/>
          <w:rtl/>
          <w:lang w:bidi="ar"/>
        </w:rPr>
        <w:t xml:space="preserve"> تشرين الثاني/نوفمبر 2008</w:t>
      </w:r>
    </w:p>
    <w:p w:rsidR="00DF7E80" w:rsidRPr="00863EC0" w:rsidRDefault="00DF7E80" w:rsidP="00DF7E80">
      <w:pPr>
        <w:pStyle w:val="SingleTxt"/>
        <w:spacing w:after="0" w:line="120" w:lineRule="exact"/>
        <w:rPr>
          <w:rFonts w:hint="cs"/>
          <w:sz w:val="12"/>
          <w:rtl/>
          <w:lang w:bidi="ar"/>
        </w:rPr>
      </w:pPr>
    </w:p>
    <w:p w:rsidR="00DF7E80" w:rsidRPr="00863EC0" w:rsidRDefault="00DF7E80" w:rsidP="00DF7E8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
        </w:rPr>
      </w:pPr>
      <w:r>
        <w:rPr>
          <w:rFonts w:hint="cs"/>
          <w:rtl/>
          <w:lang w:bidi="ar"/>
        </w:rPr>
        <w:tab/>
      </w:r>
      <w:r>
        <w:rPr>
          <w:rFonts w:hint="cs"/>
          <w:rtl/>
          <w:lang w:bidi="ar"/>
        </w:rPr>
        <w:tab/>
      </w:r>
      <w:r w:rsidRPr="00863EC0">
        <w:rPr>
          <w:rFonts w:hint="cs"/>
          <w:rtl/>
          <w:lang w:bidi="ar"/>
        </w:rPr>
        <w:t>قائمة القضايا والأسئلة المطروحة المتعلقة بالنظر في التقارير الدورية</w:t>
      </w:r>
    </w:p>
    <w:p w:rsidR="00DF7E80" w:rsidRPr="00863EC0" w:rsidRDefault="00DF7E80" w:rsidP="00DF7E80">
      <w:pPr>
        <w:pStyle w:val="SingleTxt"/>
        <w:spacing w:after="0" w:line="120" w:lineRule="exact"/>
        <w:rPr>
          <w:rFonts w:hint="cs"/>
          <w:sz w:val="12"/>
          <w:rtl/>
          <w:lang w:bidi="ar"/>
        </w:rPr>
      </w:pPr>
    </w:p>
    <w:p w:rsidR="00DF7E80" w:rsidRPr="00863EC0" w:rsidRDefault="00DF7E80" w:rsidP="00DF7E8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lang w:bidi="ar"/>
        </w:rPr>
        <w:tab/>
      </w:r>
      <w:r>
        <w:rPr>
          <w:rFonts w:hint="cs"/>
          <w:rtl/>
          <w:lang w:bidi="ar"/>
        </w:rPr>
        <w:tab/>
      </w:r>
      <w:r w:rsidRPr="00863EC0">
        <w:rPr>
          <w:rFonts w:hint="cs"/>
          <w:rtl/>
          <w:lang w:bidi="ar"/>
        </w:rPr>
        <w:t>أوروغواي</w:t>
      </w:r>
    </w:p>
    <w:p w:rsidR="00DF7E80" w:rsidRPr="00863EC0" w:rsidRDefault="00DF7E80" w:rsidP="00DF7E80">
      <w:pPr>
        <w:pStyle w:val="SingleTxt"/>
        <w:rPr>
          <w:rFonts w:hint="cs"/>
          <w:rtl/>
          <w:lang w:bidi="ar"/>
        </w:rPr>
      </w:pPr>
      <w:r>
        <w:rPr>
          <w:rFonts w:hint="cs"/>
          <w:rtl/>
          <w:lang w:bidi="ar"/>
        </w:rPr>
        <w:tab/>
      </w:r>
      <w:r w:rsidRPr="00863EC0">
        <w:rPr>
          <w:rFonts w:hint="cs"/>
          <w:rtl/>
          <w:lang w:bidi="ar"/>
        </w:rPr>
        <w:t xml:space="preserve">نظر الفريق العامل لما قبل الدورة في التقرير الجامع للتقارير الدورية الرابع والخامس والسادس والسابع لأوروغواي </w:t>
      </w:r>
      <w:r w:rsidRPr="00863EC0">
        <w:rPr>
          <w:lang w:val="es-ES_tradnl"/>
        </w:rPr>
        <w:t>(CEDAW/C/URY/7)</w:t>
      </w:r>
      <w:r w:rsidRPr="00863EC0">
        <w:rPr>
          <w:rtl/>
          <w:lang w:bidi="ar"/>
        </w:rPr>
        <w:t>.</w:t>
      </w:r>
    </w:p>
    <w:p w:rsidR="00DF7E80" w:rsidRPr="00863EC0" w:rsidRDefault="00DF7E80" w:rsidP="00DF7E80">
      <w:pPr>
        <w:pStyle w:val="SingleTxt"/>
        <w:spacing w:after="0" w:line="120" w:lineRule="exact"/>
        <w:rPr>
          <w:rFonts w:hint="cs"/>
          <w:sz w:val="10"/>
          <w:rtl/>
          <w:lang w:bidi="ar"/>
        </w:rPr>
      </w:pPr>
    </w:p>
    <w:p w:rsidR="00DF7E80" w:rsidRPr="00863EC0" w:rsidRDefault="00DF7E80" w:rsidP="00DF7E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r>
      <w:r w:rsidRPr="00863EC0">
        <w:rPr>
          <w:rFonts w:hint="cs"/>
          <w:rtl/>
          <w:lang w:bidi="ar"/>
        </w:rPr>
        <w:t>الإطار التشريعي والمؤسسي</w:t>
      </w:r>
    </w:p>
    <w:p w:rsidR="00DF7E80" w:rsidRDefault="00DF7E80" w:rsidP="00672810">
      <w:pPr>
        <w:pStyle w:val="SingleTxt"/>
        <w:rPr>
          <w:rFonts w:hint="cs"/>
          <w:rtl/>
          <w:lang w:val="es-ES_tradnl"/>
        </w:rPr>
      </w:pPr>
      <w:r>
        <w:rPr>
          <w:rFonts w:hint="cs"/>
          <w:rtl/>
          <w:lang w:bidi="ar"/>
        </w:rPr>
        <w:t>1 -</w:t>
      </w:r>
      <w:r>
        <w:rPr>
          <w:rFonts w:hint="cs"/>
          <w:rtl/>
          <w:lang w:bidi="ar"/>
        </w:rPr>
        <w:tab/>
      </w:r>
      <w:r w:rsidRPr="00863EC0">
        <w:rPr>
          <w:rFonts w:hint="cs"/>
          <w:rtl/>
          <w:lang w:bidi="ar"/>
        </w:rPr>
        <w:t xml:space="preserve">حسب التقرير، فإن القانون رقم 17-817، الصادر بتاريخ 18 آب/أغسطس 2004، بشأن مكافحة العنصرية وكراهية الأجانب والتمييز، </w:t>
      </w:r>
      <w:r>
        <w:rPr>
          <w:rFonts w:hint="cs"/>
          <w:rtl/>
          <w:lang w:bidi="ar"/>
        </w:rPr>
        <w:t xml:space="preserve">وضع تعريفا لمفهوم </w:t>
      </w:r>
      <w:r w:rsidR="00AB59B6">
        <w:rPr>
          <w:rFonts w:hint="cs"/>
          <w:rtl/>
          <w:lang w:bidi="ar"/>
        </w:rPr>
        <w:t>ا</w:t>
      </w:r>
      <w:r>
        <w:rPr>
          <w:rFonts w:hint="cs"/>
          <w:rtl/>
          <w:lang w:bidi="ar"/>
        </w:rPr>
        <w:t>لتمييز</w:t>
      </w:r>
      <w:r w:rsidR="00AB59B6">
        <w:rPr>
          <w:rFonts w:hint="cs"/>
          <w:rtl/>
          <w:lang w:bidi="ar"/>
        </w:rPr>
        <w:t xml:space="preserve"> </w:t>
      </w:r>
      <w:r w:rsidRPr="00863EC0">
        <w:rPr>
          <w:rFonts w:hint="cs"/>
          <w:rtl/>
          <w:lang w:bidi="ar"/>
        </w:rPr>
        <w:t>يشمل التمييز الجنساني في المجالات السياسية والاجتماعية وا</w:t>
      </w:r>
      <w:r>
        <w:rPr>
          <w:rFonts w:hint="cs"/>
          <w:rtl/>
          <w:lang w:bidi="ar"/>
        </w:rPr>
        <w:t>لثقافية. غير أن هذا التعريف لا</w:t>
      </w:r>
      <w:r>
        <w:rPr>
          <w:rFonts w:hint="eastAsia"/>
          <w:rtl/>
          <w:lang w:bidi="ar"/>
        </w:rPr>
        <w:t> </w:t>
      </w:r>
      <w:r w:rsidRPr="00863EC0">
        <w:rPr>
          <w:rFonts w:hint="cs"/>
          <w:rtl/>
          <w:lang w:bidi="ar"/>
        </w:rPr>
        <w:t>يخص المرأة لوحدها، ولا يحمي حياتها الخاصة كما يعترف بذلك التقرير (الصفح</w:t>
      </w:r>
      <w:r w:rsidR="00AB59B6">
        <w:rPr>
          <w:rFonts w:hint="cs"/>
          <w:rtl/>
          <w:lang w:bidi="ar"/>
        </w:rPr>
        <w:t>ة</w:t>
      </w:r>
      <w:r w:rsidRPr="00863EC0">
        <w:rPr>
          <w:rFonts w:hint="cs"/>
          <w:rtl/>
          <w:lang w:bidi="ar"/>
        </w:rPr>
        <w:t xml:space="preserve"> </w:t>
      </w:r>
      <w:r w:rsidR="00AB59B6">
        <w:rPr>
          <w:rFonts w:hint="cs"/>
          <w:rtl/>
          <w:lang w:bidi="ar"/>
        </w:rPr>
        <w:t xml:space="preserve">6 </w:t>
      </w:r>
      <w:r w:rsidRPr="00863EC0">
        <w:rPr>
          <w:rFonts w:hint="cs"/>
          <w:rtl/>
          <w:lang w:bidi="ar"/>
        </w:rPr>
        <w:t>من النص ال</w:t>
      </w:r>
      <w:r w:rsidR="00672810">
        <w:rPr>
          <w:rFonts w:hint="cs"/>
          <w:rtl/>
          <w:lang w:bidi="ar"/>
        </w:rPr>
        <w:t>انكليز</w:t>
      </w:r>
      <w:r w:rsidR="00AB59B6">
        <w:rPr>
          <w:rFonts w:hint="cs"/>
          <w:rtl/>
          <w:lang w:bidi="ar"/>
        </w:rPr>
        <w:t>ي</w:t>
      </w:r>
      <w:r>
        <w:rPr>
          <w:rtl/>
          <w:lang w:bidi="ar"/>
        </w:rPr>
        <w:t>).</w:t>
      </w:r>
      <w:r w:rsidRPr="00863EC0">
        <w:rPr>
          <w:rtl/>
          <w:lang w:bidi="ar"/>
        </w:rPr>
        <w:t xml:space="preserve"> </w:t>
      </w:r>
      <w:r w:rsidRPr="00863EC0">
        <w:rPr>
          <w:rFonts w:hint="cs"/>
          <w:rtl/>
          <w:lang w:bidi="ar"/>
        </w:rPr>
        <w:t xml:space="preserve">يرجى، بناء على توصية اللجنة في إطار نظرها في التقريرين الدوريين الثاني والثالث للدولة الطرف، ذكر التدابير الأخرى المتخذة لإدراج تعريف </w:t>
      </w:r>
      <w:r>
        <w:rPr>
          <w:rFonts w:hint="cs"/>
          <w:rtl/>
          <w:lang w:bidi="ar"/>
        </w:rPr>
        <w:t>التمييز ضد المرأة</w:t>
      </w:r>
      <w:r w:rsidR="00AB59B6">
        <w:rPr>
          <w:rFonts w:hint="cs"/>
          <w:rtl/>
          <w:lang w:bidi="ar"/>
        </w:rPr>
        <w:t xml:space="preserve"> </w:t>
      </w:r>
      <w:r w:rsidRPr="00863EC0">
        <w:rPr>
          <w:rFonts w:hint="cs"/>
          <w:rtl/>
          <w:lang w:bidi="ar"/>
        </w:rPr>
        <w:t>الوارد في المادة 1 من الاتفاقية</w:t>
      </w:r>
      <w:r w:rsidR="00672810" w:rsidRPr="00672810">
        <w:rPr>
          <w:vertAlign w:val="superscript"/>
          <w:rtl/>
        </w:rPr>
        <w:t>(</w:t>
      </w:r>
      <w:r w:rsidR="00672810">
        <w:rPr>
          <w:rStyle w:val="FootnoteReference"/>
          <w:rtl/>
        </w:rPr>
        <w:footnoteReference w:id="1"/>
      </w:r>
      <w:r w:rsidR="00672810" w:rsidRPr="00672810">
        <w:rPr>
          <w:vertAlign w:val="superscript"/>
          <w:rtl/>
        </w:rPr>
        <w:t>)</w:t>
      </w:r>
      <w:r w:rsidRPr="00672810">
        <w:rPr>
          <w:rFonts w:hint="cs"/>
          <w:rtl/>
        </w:rPr>
        <w:t xml:space="preserve"> </w:t>
      </w:r>
      <w:r w:rsidRPr="00863EC0">
        <w:rPr>
          <w:rFonts w:hint="cs"/>
          <w:rtl/>
          <w:lang w:bidi="ar"/>
        </w:rPr>
        <w:t>في التشريعات المحلية.</w:t>
      </w:r>
    </w:p>
    <w:p w:rsidR="00DF7E80" w:rsidRPr="00863EC0" w:rsidRDefault="00DF7E80" w:rsidP="00672810">
      <w:pPr>
        <w:pStyle w:val="SingleTxt"/>
        <w:rPr>
          <w:rFonts w:hint="cs"/>
          <w:lang w:val="es-ES_tradnl"/>
        </w:rPr>
      </w:pPr>
      <w:r>
        <w:rPr>
          <w:rFonts w:hint="cs"/>
          <w:rtl/>
          <w:lang w:bidi="ar"/>
        </w:rPr>
        <w:t>2 -</w:t>
      </w:r>
      <w:r>
        <w:rPr>
          <w:rFonts w:hint="cs"/>
          <w:rtl/>
          <w:lang w:bidi="ar"/>
        </w:rPr>
        <w:tab/>
      </w:r>
      <w:r w:rsidRPr="00863EC0">
        <w:rPr>
          <w:rFonts w:hint="cs"/>
          <w:rtl/>
          <w:lang w:bidi="ar"/>
        </w:rPr>
        <w:t xml:space="preserve">يشير التقرير إلى أن المعهد الوطني للمرأة، </w:t>
      </w:r>
      <w:r w:rsidRPr="00863EC0">
        <w:rPr>
          <w:rFonts w:hint="cs"/>
          <w:rtl/>
        </w:rPr>
        <w:t>المنشأ بموجب القانون رقم 17-8</w:t>
      </w:r>
      <w:r w:rsidR="00672810">
        <w:rPr>
          <w:rFonts w:hint="cs"/>
          <w:rtl/>
        </w:rPr>
        <w:t>66</w:t>
      </w:r>
      <w:r w:rsidRPr="00863EC0">
        <w:rPr>
          <w:rFonts w:hint="cs"/>
          <w:rtl/>
        </w:rPr>
        <w:t xml:space="preserve"> المؤرخ 21 آذار/مارس 2005</w:t>
      </w:r>
      <w:r w:rsidRPr="00863EC0">
        <w:rPr>
          <w:rFonts w:hint="cs"/>
          <w:rtl/>
          <w:lang w:bidi="ar"/>
        </w:rPr>
        <w:t xml:space="preserve">، شرع في تصحيح الوضع السائد سابقا أثناء ولاية المعهد الوطني للأسرة والمرأة، والذي كان موضع انشغال بالنسبة للجنة خلال نظرها في التقريرين الدوريين الثاني والثالث عام 2002. وبموجب القانون رقم 17-296، ارتفعت قيمة ميزانية المعهد الوطني للمرأة، التي لا يخصص منها سوى ما يزيد قليلا على 50 في المائة لدفع المرتبات (الصفحات من </w:t>
      </w:r>
      <w:r w:rsidR="00AB59B6">
        <w:rPr>
          <w:rFonts w:hint="cs"/>
          <w:rtl/>
          <w:lang w:bidi="ar"/>
        </w:rPr>
        <w:t>11</w:t>
      </w:r>
      <w:r w:rsidRPr="00863EC0">
        <w:rPr>
          <w:rFonts w:hint="cs"/>
          <w:rtl/>
          <w:lang w:bidi="ar"/>
        </w:rPr>
        <w:t xml:space="preserve"> إلى</w:t>
      </w:r>
      <w:r w:rsidR="00AB59B6">
        <w:rPr>
          <w:rFonts w:hint="cs"/>
          <w:rtl/>
          <w:lang w:bidi="ar"/>
        </w:rPr>
        <w:t xml:space="preserve"> 14 </w:t>
      </w:r>
      <w:r w:rsidRPr="00863EC0">
        <w:rPr>
          <w:rFonts w:hint="cs"/>
          <w:rtl/>
          <w:lang w:bidi="ar"/>
        </w:rPr>
        <w:t>في النص</w:t>
      </w:r>
      <w:r w:rsidR="00784428">
        <w:rPr>
          <w:rFonts w:hint="cs"/>
          <w:rtl/>
          <w:lang w:bidi="ar"/>
        </w:rPr>
        <w:t xml:space="preserve"> الانكليزي</w:t>
      </w:r>
      <w:r w:rsidRPr="00863EC0">
        <w:rPr>
          <w:rFonts w:hint="cs"/>
          <w:rtl/>
          <w:lang w:bidi="ar"/>
        </w:rPr>
        <w:t xml:space="preserve">). يرجى ذكر ما إذا كانت هذه الميزانية كافية لأداء المعهد مهمته. </w:t>
      </w:r>
      <w:r>
        <w:rPr>
          <w:rFonts w:hint="cs"/>
          <w:rtl/>
          <w:lang w:bidi="ar"/>
        </w:rPr>
        <w:t>ولا يوضح التقرير إلى أي حد تحسن</w:t>
      </w:r>
      <w:r w:rsidRPr="00863EC0">
        <w:rPr>
          <w:rFonts w:hint="cs"/>
          <w:rtl/>
          <w:lang w:bidi="ar"/>
        </w:rPr>
        <w:t xml:space="preserve"> مستوى المعهد المذكور من حيث الموارد البشرية والهياكل اللامركزية وآليات المساءلة في السلطة التنفيذية. يرجى تقديم معلومات محددة، بما فيها معلومات إحصائية، عن مدى زيادة عدد الموظفين والنسبة المئوية للهياكل الوزارية والهيئات البلدية التي تخضع للآلية المذكورة.</w:t>
      </w:r>
    </w:p>
    <w:p w:rsidR="00DF7E80" w:rsidRPr="00863EC0" w:rsidRDefault="00DF7E80" w:rsidP="00AB59B6">
      <w:pPr>
        <w:pStyle w:val="SingleTxt"/>
        <w:rPr>
          <w:rFonts w:hint="cs"/>
          <w:lang w:val="es-ES_tradnl"/>
        </w:rPr>
      </w:pPr>
      <w:r>
        <w:rPr>
          <w:rFonts w:hint="cs"/>
          <w:rtl/>
          <w:lang w:bidi="ar"/>
        </w:rPr>
        <w:t>3 -</w:t>
      </w:r>
      <w:r>
        <w:rPr>
          <w:rFonts w:hint="cs"/>
          <w:rtl/>
          <w:lang w:bidi="ar"/>
        </w:rPr>
        <w:tab/>
      </w:r>
      <w:r w:rsidRPr="00863EC0">
        <w:rPr>
          <w:rFonts w:hint="cs"/>
          <w:rtl/>
          <w:lang w:bidi="ar"/>
        </w:rPr>
        <w:t xml:space="preserve">يذكر التقرير أن القانون الجنائي الساري </w:t>
      </w:r>
      <w:r w:rsidRPr="00863EC0">
        <w:rPr>
          <w:rFonts w:hint="cs"/>
          <w:rtl/>
        </w:rPr>
        <w:t>يتطلب إعادة نظر متعمقة</w:t>
      </w:r>
      <w:r w:rsidRPr="00863EC0">
        <w:rPr>
          <w:rFonts w:hint="cs"/>
          <w:rtl/>
          <w:lang w:bidi="ar"/>
        </w:rPr>
        <w:t xml:space="preserve"> (الصفحة </w:t>
      </w:r>
      <w:r w:rsidR="00AB59B6">
        <w:rPr>
          <w:rFonts w:hint="cs"/>
          <w:rtl/>
          <w:lang w:bidi="ar"/>
        </w:rPr>
        <w:t>11</w:t>
      </w:r>
      <w:r w:rsidR="00784428">
        <w:rPr>
          <w:rFonts w:hint="cs"/>
          <w:rtl/>
          <w:lang w:bidi="ar"/>
        </w:rPr>
        <w:t xml:space="preserve"> </w:t>
      </w:r>
      <w:r w:rsidRPr="00863EC0">
        <w:rPr>
          <w:rFonts w:hint="cs"/>
          <w:rtl/>
          <w:lang w:bidi="ar"/>
        </w:rPr>
        <w:t>من النص ال</w:t>
      </w:r>
      <w:r w:rsidR="00672810">
        <w:rPr>
          <w:rFonts w:hint="cs"/>
          <w:rtl/>
          <w:lang w:bidi="ar"/>
        </w:rPr>
        <w:t>انكليز</w:t>
      </w:r>
      <w:r w:rsidR="00AB59B6">
        <w:rPr>
          <w:rFonts w:hint="cs"/>
          <w:rtl/>
          <w:lang w:bidi="ar"/>
        </w:rPr>
        <w:t>ي</w:t>
      </w:r>
      <w:r w:rsidRPr="00863EC0">
        <w:rPr>
          <w:rFonts w:hint="cs"/>
          <w:rtl/>
          <w:lang w:bidi="ar"/>
        </w:rPr>
        <w:t xml:space="preserve">)، ويعترف على الخصوص بأن </w:t>
      </w:r>
      <w:r w:rsidRPr="00863EC0">
        <w:rPr>
          <w:rFonts w:hint="cs"/>
          <w:rtl/>
        </w:rPr>
        <w:t xml:space="preserve">الفصل العاشر منه، المتعلق بموضوع </w:t>
      </w:r>
      <w:r w:rsidRPr="00863EC0">
        <w:rPr>
          <w:rFonts w:hint="eastAsia"/>
          <w:rtl/>
        </w:rPr>
        <w:t>”</w:t>
      </w:r>
      <w:r w:rsidRPr="00863EC0">
        <w:rPr>
          <w:rFonts w:hint="cs"/>
          <w:rtl/>
        </w:rPr>
        <w:t>ال</w:t>
      </w:r>
      <w:r w:rsidRPr="00863EC0">
        <w:rPr>
          <w:rFonts w:hint="eastAsia"/>
          <w:rtl/>
        </w:rPr>
        <w:t>جرائم ضد العادات الحميدة ونظام الأسرة</w:t>
      </w:r>
      <w:r>
        <w:rPr>
          <w:rFonts w:hint="eastAsia"/>
          <w:rtl/>
        </w:rPr>
        <w:t>“</w:t>
      </w:r>
      <w:r w:rsidRPr="00863EC0">
        <w:rPr>
          <w:rFonts w:hint="cs"/>
          <w:rtl/>
        </w:rPr>
        <w:t>،</w:t>
      </w:r>
      <w:r w:rsidRPr="00863EC0">
        <w:rPr>
          <w:rFonts w:hint="cs"/>
          <w:rtl/>
          <w:lang w:bidi="ar"/>
        </w:rPr>
        <w:t xml:space="preserve"> تجسيد لتصور إيديولوجي كان سائدا في القرن الماضي، </w:t>
      </w:r>
      <w:r w:rsidRPr="00863EC0">
        <w:rPr>
          <w:rFonts w:hint="cs"/>
          <w:rtl/>
        </w:rPr>
        <w:t xml:space="preserve">كما يظهر من توصيف الجرائم الجنسية بعبارات مثل هتك العرض والحشمة والإخلال بالآداب العامة </w:t>
      </w:r>
      <w:r>
        <w:rPr>
          <w:rFonts w:hint="cs"/>
          <w:rtl/>
        </w:rPr>
        <w:t xml:space="preserve">(الفقرة </w:t>
      </w:r>
      <w:r w:rsidR="00AB59B6">
        <w:rPr>
          <w:rFonts w:hint="cs"/>
          <w:rtl/>
        </w:rPr>
        <w:t>21</w:t>
      </w:r>
      <w:r>
        <w:rPr>
          <w:rFonts w:hint="cs"/>
          <w:rtl/>
        </w:rPr>
        <w:t xml:space="preserve"> من النص ال</w:t>
      </w:r>
      <w:r w:rsidR="00672810">
        <w:rPr>
          <w:rFonts w:hint="cs"/>
          <w:rtl/>
        </w:rPr>
        <w:t>انكليز</w:t>
      </w:r>
      <w:r w:rsidR="00AB59B6">
        <w:rPr>
          <w:rFonts w:hint="cs"/>
          <w:rtl/>
        </w:rPr>
        <w:t>ي</w:t>
      </w:r>
      <w:r>
        <w:rPr>
          <w:rFonts w:hint="cs"/>
          <w:rtl/>
        </w:rPr>
        <w:t>).</w:t>
      </w:r>
      <w:r w:rsidRPr="00863EC0">
        <w:rPr>
          <w:rFonts w:hint="cs"/>
          <w:rtl/>
          <w:lang w:bidi="ar"/>
        </w:rPr>
        <w:t xml:space="preserve"> يرجى ذكر الجهود المبذولة في إطار التشريعات الجديدة لتعديل التشريعات الحالية، لا</w:t>
      </w:r>
      <w:r>
        <w:rPr>
          <w:rFonts w:hint="cs"/>
          <w:rtl/>
          <w:lang w:bidi="ar"/>
        </w:rPr>
        <w:t xml:space="preserve"> </w:t>
      </w:r>
      <w:r w:rsidRPr="00863EC0">
        <w:rPr>
          <w:rFonts w:hint="cs"/>
          <w:rtl/>
          <w:lang w:bidi="ar"/>
        </w:rPr>
        <w:t>سيما القانون الجنائي، لمواءمتها مع الاتفاقية</w:t>
      </w:r>
      <w:r w:rsidRPr="00863EC0">
        <w:rPr>
          <w:vertAlign w:val="superscript"/>
          <w:rtl/>
          <w:lang w:bidi="ar"/>
        </w:rPr>
        <w:t>(</w:t>
      </w:r>
      <w:r>
        <w:rPr>
          <w:rStyle w:val="FootnoteReference"/>
          <w:rtl/>
        </w:rPr>
        <w:footnoteReference w:id="2"/>
      </w:r>
      <w:r w:rsidRPr="00863EC0">
        <w:rPr>
          <w:vertAlign w:val="superscript"/>
          <w:rtl/>
          <w:lang w:bidi="ar"/>
        </w:rPr>
        <w:t>)</w:t>
      </w:r>
      <w:r w:rsidRPr="00863EC0">
        <w:rPr>
          <w:rFonts w:hint="cs"/>
          <w:rtl/>
          <w:lang w:bidi="ar"/>
        </w:rPr>
        <w:t>. ويرجى تقديم معلومات تتعلق على الخصوص بالمرحلة التي وصلها النظر في مشروع تعديل الفصل العاشر من القانون الجنائي، وذكر ما إذا تم تجريم الاعتداء الجنسي في إطار العلاقة الزوجية.</w:t>
      </w:r>
    </w:p>
    <w:p w:rsidR="00DF7E80" w:rsidRPr="00863EC0" w:rsidRDefault="00DF7E80" w:rsidP="00AB59B6">
      <w:pPr>
        <w:pStyle w:val="SingleTxt"/>
        <w:rPr>
          <w:rFonts w:hint="cs"/>
          <w:lang w:val="es-ES_tradnl"/>
        </w:rPr>
      </w:pPr>
      <w:r>
        <w:rPr>
          <w:rFonts w:hint="cs"/>
          <w:rtl/>
          <w:lang w:bidi="ar"/>
        </w:rPr>
        <w:t>4 -</w:t>
      </w:r>
      <w:r>
        <w:rPr>
          <w:rFonts w:hint="cs"/>
          <w:rtl/>
          <w:lang w:bidi="ar"/>
        </w:rPr>
        <w:tab/>
      </w:r>
      <w:r w:rsidRPr="00863EC0">
        <w:rPr>
          <w:rFonts w:hint="cs"/>
          <w:rtl/>
          <w:lang w:bidi="ar"/>
        </w:rPr>
        <w:t xml:space="preserve">يشير التقرير إلى أن القانون الجنائي الساري لا يحظر صراحة العنف المرتكب ضد المرأة ولا يوفر </w:t>
      </w:r>
      <w:r>
        <w:rPr>
          <w:rFonts w:hint="eastAsia"/>
          <w:rtl/>
        </w:rPr>
        <w:t>”</w:t>
      </w:r>
      <w:r w:rsidRPr="00863EC0">
        <w:rPr>
          <w:rFonts w:hint="cs"/>
          <w:rtl/>
        </w:rPr>
        <w:t>الحماية والرعاية للضحايا الذين يرف</w:t>
      </w:r>
      <w:r>
        <w:rPr>
          <w:rFonts w:hint="cs"/>
          <w:rtl/>
        </w:rPr>
        <w:t>عون قضايا أمام المحاكم الجنائية</w:t>
      </w:r>
      <w:r>
        <w:rPr>
          <w:rFonts w:hint="eastAsia"/>
          <w:rtl/>
        </w:rPr>
        <w:t>“</w:t>
      </w:r>
      <w:r w:rsidRPr="00863EC0">
        <w:rPr>
          <w:rFonts w:hint="cs"/>
          <w:rtl/>
        </w:rPr>
        <w:t>، وهو ما يجعل من الصعب إصدار أحكام بالإدانة في القضايا القليلة التي ترفع أمام تلك المحاكم، وجاء في التقرير</w:t>
      </w:r>
      <w:r>
        <w:rPr>
          <w:rFonts w:hint="cs"/>
          <w:rtl/>
        </w:rPr>
        <w:t xml:space="preserve"> أيضا أن القانون الجنائي يتطلب </w:t>
      </w:r>
      <w:r>
        <w:rPr>
          <w:rFonts w:hint="eastAsia"/>
          <w:rtl/>
        </w:rPr>
        <w:t>”</w:t>
      </w:r>
      <w:r>
        <w:rPr>
          <w:rFonts w:hint="cs"/>
          <w:rtl/>
        </w:rPr>
        <w:t>إعادة نظر متعمقة</w:t>
      </w:r>
      <w:r>
        <w:rPr>
          <w:rFonts w:hint="eastAsia"/>
          <w:rtl/>
        </w:rPr>
        <w:t>“</w:t>
      </w:r>
      <w:r w:rsidRPr="00863EC0">
        <w:rPr>
          <w:rFonts w:hint="cs"/>
          <w:rtl/>
        </w:rPr>
        <w:t xml:space="preserve"> بهذا الشأن </w:t>
      </w:r>
      <w:r w:rsidR="00784428">
        <w:rPr>
          <w:rFonts w:hint="cs"/>
          <w:rtl/>
        </w:rPr>
        <w:t>(</w:t>
      </w:r>
      <w:r w:rsidRPr="00863EC0">
        <w:rPr>
          <w:rFonts w:hint="cs"/>
          <w:rtl/>
        </w:rPr>
        <w:t>الصفح</w:t>
      </w:r>
      <w:r w:rsidR="00AB59B6">
        <w:rPr>
          <w:rFonts w:hint="cs"/>
          <w:rtl/>
        </w:rPr>
        <w:t>ة</w:t>
      </w:r>
      <w:r w:rsidRPr="00863EC0">
        <w:rPr>
          <w:rFonts w:hint="cs"/>
          <w:rtl/>
        </w:rPr>
        <w:t xml:space="preserve"> </w:t>
      </w:r>
      <w:r w:rsidR="00AB59B6">
        <w:rPr>
          <w:rFonts w:hint="cs"/>
          <w:rtl/>
        </w:rPr>
        <w:t>1</w:t>
      </w:r>
      <w:r w:rsidRPr="00863EC0">
        <w:rPr>
          <w:rFonts w:hint="cs"/>
          <w:rtl/>
        </w:rPr>
        <w:t>1 من النص ال</w:t>
      </w:r>
      <w:r w:rsidR="00672810">
        <w:rPr>
          <w:rFonts w:hint="cs"/>
          <w:rtl/>
        </w:rPr>
        <w:t>انكليز</w:t>
      </w:r>
      <w:r w:rsidR="00AB59B6">
        <w:rPr>
          <w:rFonts w:hint="cs"/>
          <w:rtl/>
        </w:rPr>
        <w:t>ي</w:t>
      </w:r>
      <w:r w:rsidRPr="00863EC0">
        <w:rPr>
          <w:rFonts w:hint="cs"/>
          <w:rtl/>
        </w:rPr>
        <w:t>). يرجى التطرق للجهود التي بذلتها الدولة الطرف من أجل تعديل القانون الجنائي فيما يتعلق بالعنف المرتكب ضد المرأة.</w:t>
      </w:r>
    </w:p>
    <w:p w:rsidR="00DF7E80" w:rsidRPr="00863EC0" w:rsidRDefault="00DF7E80" w:rsidP="00DF7E80">
      <w:pPr>
        <w:pStyle w:val="SingleTxt"/>
        <w:rPr>
          <w:rFonts w:hint="cs"/>
          <w:lang w:val="es-ES_tradnl"/>
        </w:rPr>
      </w:pPr>
      <w:r>
        <w:rPr>
          <w:rFonts w:hint="cs"/>
          <w:rtl/>
        </w:rPr>
        <w:t>5 -</w:t>
      </w:r>
      <w:r>
        <w:rPr>
          <w:rFonts w:hint="cs"/>
          <w:rtl/>
        </w:rPr>
        <w:tab/>
      </w:r>
      <w:r w:rsidRPr="00863EC0">
        <w:rPr>
          <w:rFonts w:hint="cs"/>
          <w:rtl/>
        </w:rPr>
        <w:t>يرجى عرض الإنجازات المحققة في إطار تطبيق الخطة الأولى لتحقيق تكافؤ الفرص والحقوق (2002-2005) والتحديات التي تعترضه، بما في ذلك معلومات مفصلة عن الإجراءات والبرامج المنفذة في إطار خطة العمل المذكورة.</w:t>
      </w:r>
    </w:p>
    <w:p w:rsidR="00DF7E80" w:rsidRPr="00863EC0" w:rsidRDefault="00DF7E80" w:rsidP="00DF7E80">
      <w:pPr>
        <w:pStyle w:val="SingleTxt"/>
        <w:spacing w:after="0" w:line="120" w:lineRule="exact"/>
        <w:rPr>
          <w:rFonts w:hint="cs"/>
          <w:sz w:val="10"/>
          <w:rtl/>
          <w:lang w:bidi="ar"/>
        </w:rPr>
      </w:pPr>
    </w:p>
    <w:p w:rsidR="00DF7E80" w:rsidRPr="00863EC0" w:rsidRDefault="00DF7E80" w:rsidP="00DF7E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r>
      <w:r w:rsidRPr="00863EC0">
        <w:rPr>
          <w:rFonts w:hint="cs"/>
          <w:rtl/>
          <w:lang w:bidi="ar"/>
        </w:rPr>
        <w:t>العنف المرتكب ضد المرأة</w:t>
      </w:r>
    </w:p>
    <w:p w:rsidR="00DF7E80" w:rsidRPr="00863EC0" w:rsidRDefault="00DF7E80" w:rsidP="00AB59B6">
      <w:pPr>
        <w:pStyle w:val="SingleTxt"/>
        <w:rPr>
          <w:rFonts w:hint="cs"/>
          <w:lang w:val="es-ES_tradnl"/>
        </w:rPr>
      </w:pPr>
      <w:r>
        <w:rPr>
          <w:rFonts w:hint="cs"/>
          <w:rtl/>
          <w:lang w:bidi="ar"/>
        </w:rPr>
        <w:t>6 -</w:t>
      </w:r>
      <w:r>
        <w:rPr>
          <w:rFonts w:hint="cs"/>
          <w:rtl/>
          <w:lang w:bidi="ar"/>
        </w:rPr>
        <w:tab/>
      </w:r>
      <w:r w:rsidRPr="00863EC0">
        <w:rPr>
          <w:rFonts w:hint="cs"/>
          <w:rtl/>
          <w:lang w:bidi="ar"/>
        </w:rPr>
        <w:t xml:space="preserve">يعترف التقرير بالتمييز الحاصل في معاملة الطفلات والمراهقات من ضحايا العنف العائلي، بسبب </w:t>
      </w:r>
      <w:r w:rsidRPr="00863EC0">
        <w:rPr>
          <w:rFonts w:hint="cs"/>
          <w:rtl/>
        </w:rPr>
        <w:t xml:space="preserve">إعطاء الأولوية، من حيث السوابق القضائية، </w:t>
      </w:r>
      <w:r w:rsidRPr="00863EC0">
        <w:rPr>
          <w:rFonts w:hint="cs"/>
          <w:rtl/>
          <w:lang w:bidi="ar"/>
        </w:rPr>
        <w:t xml:space="preserve">لقانون الطفل والمراهق، </w:t>
      </w:r>
      <w:r w:rsidRPr="00863EC0">
        <w:rPr>
          <w:rFonts w:hint="cs"/>
          <w:rtl/>
        </w:rPr>
        <w:t>الذي لا يشتمل على ضمانات في حالات الاعتداء و/أو سوء المعاملة الجنسيين (الصفحة 1</w:t>
      </w:r>
      <w:r w:rsidR="00AB59B6">
        <w:rPr>
          <w:rFonts w:hint="cs"/>
          <w:rtl/>
        </w:rPr>
        <w:t xml:space="preserve">1 </w:t>
      </w:r>
      <w:r w:rsidRPr="00863EC0">
        <w:rPr>
          <w:rFonts w:hint="cs"/>
          <w:rtl/>
        </w:rPr>
        <w:t>من النص ال</w:t>
      </w:r>
      <w:r w:rsidR="00672810">
        <w:rPr>
          <w:rFonts w:hint="cs"/>
          <w:rtl/>
        </w:rPr>
        <w:t>انكليز</w:t>
      </w:r>
      <w:r w:rsidR="00AB59B6">
        <w:rPr>
          <w:rFonts w:hint="cs"/>
          <w:rtl/>
        </w:rPr>
        <w:t>ي</w:t>
      </w:r>
      <w:r w:rsidRPr="00863EC0">
        <w:rPr>
          <w:rFonts w:hint="cs"/>
          <w:rtl/>
        </w:rPr>
        <w:t>). يرجى تقديم معلومات عن المرحلة التي وصلها النظر في مشروع القانون المعد</w:t>
      </w:r>
      <w:r w:rsidRPr="00863EC0">
        <w:rPr>
          <w:rFonts w:hint="cs"/>
          <w:rtl/>
          <w:lang w:bidi="ar"/>
        </w:rPr>
        <w:t>ل لقانون الطفل والمراهق، وكذلك عرض مفصل لمحتواه، ولا</w:t>
      </w:r>
      <w:r>
        <w:rPr>
          <w:rFonts w:hint="cs"/>
          <w:rtl/>
          <w:lang w:bidi="ar"/>
        </w:rPr>
        <w:t xml:space="preserve"> </w:t>
      </w:r>
      <w:r w:rsidRPr="00863EC0">
        <w:rPr>
          <w:rFonts w:hint="cs"/>
          <w:rtl/>
          <w:lang w:bidi="ar"/>
        </w:rPr>
        <w:t>سيما العقوبات المنصوص عليها بحق مرتكبي الجرائم المذكورة.</w:t>
      </w:r>
    </w:p>
    <w:p w:rsidR="00DF7E80" w:rsidRPr="00863EC0" w:rsidRDefault="00DF7E80" w:rsidP="00784428">
      <w:pPr>
        <w:pStyle w:val="SingleTxt"/>
        <w:rPr>
          <w:rFonts w:hint="cs"/>
          <w:lang w:val="es-ES_tradnl"/>
        </w:rPr>
      </w:pPr>
      <w:r>
        <w:rPr>
          <w:rFonts w:hint="cs"/>
          <w:rtl/>
          <w:lang w:bidi="ar"/>
        </w:rPr>
        <w:t>7 -</w:t>
      </w:r>
      <w:r>
        <w:rPr>
          <w:rFonts w:hint="cs"/>
          <w:rtl/>
          <w:lang w:bidi="ar"/>
        </w:rPr>
        <w:tab/>
      </w:r>
      <w:r w:rsidRPr="00863EC0">
        <w:rPr>
          <w:rFonts w:hint="cs"/>
          <w:rtl/>
          <w:lang w:bidi="ar"/>
        </w:rPr>
        <w:t xml:space="preserve">يذكر التقرير </w:t>
      </w:r>
      <w:r w:rsidRPr="00863EC0">
        <w:rPr>
          <w:rFonts w:hint="cs"/>
          <w:rtl/>
        </w:rPr>
        <w:t xml:space="preserve">إنشاء أربع محاكم متخصصة في شؤون الأسرة في مقاطعة مونتفيديو، بموجب </w:t>
      </w:r>
      <w:r w:rsidRPr="00863EC0">
        <w:rPr>
          <w:rFonts w:hint="cs"/>
          <w:rtl/>
          <w:lang w:bidi="ar"/>
        </w:rPr>
        <w:t>القانون رقم 17-514 الصادر بتاريخ 2 تموز/يوليه 2002 بشأن العنف العائلي</w:t>
      </w:r>
      <w:r w:rsidRPr="00863EC0">
        <w:rPr>
          <w:rFonts w:hint="cs"/>
          <w:rtl/>
        </w:rPr>
        <w:t xml:space="preserve"> (الصفح</w:t>
      </w:r>
      <w:r w:rsidR="002E14FF">
        <w:rPr>
          <w:rFonts w:hint="cs"/>
          <w:rtl/>
        </w:rPr>
        <w:t>ة</w:t>
      </w:r>
      <w:r w:rsidR="00784428">
        <w:rPr>
          <w:rFonts w:hint="cs"/>
          <w:rtl/>
        </w:rPr>
        <w:t xml:space="preserve"> </w:t>
      </w:r>
      <w:r w:rsidR="002E14FF">
        <w:rPr>
          <w:rFonts w:hint="cs"/>
          <w:rtl/>
        </w:rPr>
        <w:t>17</w:t>
      </w:r>
      <w:r w:rsidRPr="00863EC0">
        <w:rPr>
          <w:rFonts w:hint="cs"/>
          <w:rtl/>
        </w:rPr>
        <w:t xml:space="preserve"> من النص ال</w:t>
      </w:r>
      <w:r w:rsidR="00672810">
        <w:rPr>
          <w:rFonts w:hint="cs"/>
          <w:rtl/>
        </w:rPr>
        <w:t>انكليز</w:t>
      </w:r>
      <w:r w:rsidR="002E14FF">
        <w:rPr>
          <w:rFonts w:hint="cs"/>
          <w:rtl/>
        </w:rPr>
        <w:t>ي</w:t>
      </w:r>
      <w:r w:rsidRPr="00863EC0">
        <w:rPr>
          <w:rFonts w:hint="cs"/>
          <w:rtl/>
        </w:rPr>
        <w:t xml:space="preserve">). غير أنه يعترف </w:t>
      </w:r>
      <w:r w:rsidRPr="00863EC0">
        <w:rPr>
          <w:rFonts w:hint="cs"/>
          <w:rtl/>
          <w:lang w:bidi="ar"/>
        </w:rPr>
        <w:t xml:space="preserve">بأنه تقع على تلك المحاكم ضغوط شديدة من كثرة قضايا العنف العائلي المعروضة عليها والقضايا الأخرى المتعلقة بالقصّر، وأن نسبة قضايا العنف العائلي التي تحال لاحقا إلى المحاكم الجنائية تبلغ 4 في المائة بالكاد (الصفحة </w:t>
      </w:r>
      <w:r w:rsidR="002E14FF">
        <w:rPr>
          <w:rFonts w:hint="cs"/>
          <w:rtl/>
          <w:lang w:bidi="ar"/>
        </w:rPr>
        <w:t>17</w:t>
      </w:r>
      <w:r w:rsidRPr="00863EC0">
        <w:rPr>
          <w:rFonts w:hint="cs"/>
          <w:rtl/>
          <w:lang w:bidi="ar"/>
        </w:rPr>
        <w:t xml:space="preserve"> من النص ال</w:t>
      </w:r>
      <w:r w:rsidR="00672810">
        <w:rPr>
          <w:rFonts w:hint="cs"/>
          <w:rtl/>
          <w:lang w:bidi="ar"/>
        </w:rPr>
        <w:t>انكليز</w:t>
      </w:r>
      <w:r w:rsidR="002E14FF">
        <w:rPr>
          <w:rFonts w:hint="cs"/>
          <w:rtl/>
          <w:lang w:bidi="ar"/>
        </w:rPr>
        <w:t>ي</w:t>
      </w:r>
      <w:r w:rsidRPr="00863EC0">
        <w:rPr>
          <w:rFonts w:hint="cs"/>
          <w:rtl/>
          <w:lang w:bidi="ar"/>
        </w:rPr>
        <w:t>). يرجى من الدولة الطرف تقديم معلومات عن الموارد المالية والبشرية المخصصة لتلك المحاكم لضمان حسن سير عملها. ويرجى منها أيضا تقديم معلومات إحصائية بشأن عدد حالات العنف العائلي التي تعرض على المحاكم المذكورة، وعدد الأحكام التي تصدر عنها ونوع العقوبات المفروضة، في حال وجودها.</w:t>
      </w:r>
    </w:p>
    <w:p w:rsidR="00DF7E80" w:rsidRPr="0027462B" w:rsidRDefault="00DF7E80" w:rsidP="00DF7E80">
      <w:pPr>
        <w:pStyle w:val="SingleTxt"/>
        <w:spacing w:after="0" w:line="120" w:lineRule="exact"/>
        <w:rPr>
          <w:rFonts w:hint="cs"/>
          <w:sz w:val="10"/>
          <w:rtl/>
          <w:lang w:bidi="ar"/>
        </w:rPr>
      </w:pPr>
    </w:p>
    <w:p w:rsidR="00DF7E80" w:rsidRPr="00863EC0" w:rsidRDefault="00DF7E80" w:rsidP="00DF7E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bidi="ar"/>
        </w:rPr>
        <w:tab/>
      </w:r>
      <w:r>
        <w:rPr>
          <w:rFonts w:hint="cs"/>
          <w:rtl/>
          <w:lang w:bidi="ar"/>
        </w:rPr>
        <w:tab/>
      </w:r>
      <w:r w:rsidRPr="00863EC0">
        <w:rPr>
          <w:rFonts w:hint="cs"/>
          <w:rtl/>
          <w:lang w:bidi="ar"/>
        </w:rPr>
        <w:t>الاتجار بالمرأة واستغلالها في البغاء</w:t>
      </w:r>
    </w:p>
    <w:p w:rsidR="00DF7E80" w:rsidRPr="00863EC0" w:rsidRDefault="00DF7E80" w:rsidP="002E14FF">
      <w:pPr>
        <w:pStyle w:val="SingleTxt"/>
        <w:rPr>
          <w:rFonts w:hint="cs"/>
          <w:lang w:val="es-ES_tradnl"/>
        </w:rPr>
      </w:pPr>
      <w:r>
        <w:rPr>
          <w:rFonts w:hint="cs"/>
          <w:rtl/>
        </w:rPr>
        <w:t>8 -</w:t>
      </w:r>
      <w:r>
        <w:rPr>
          <w:rFonts w:hint="cs"/>
          <w:rtl/>
        </w:rPr>
        <w:tab/>
      </w:r>
      <w:r w:rsidRPr="00863EC0">
        <w:rPr>
          <w:rFonts w:hint="cs"/>
          <w:rtl/>
        </w:rPr>
        <w:t xml:space="preserve">يرجى إيضاح السبب وراء عدم وجود سجلات رسمية أو بيانات إحصائية أو دراسات بشأن الاتجار بالمرأة في أوروغواي، سواء في إطار شبكات وطنية أو دولية، بالإشارة إلى ما يرد في الصفحة </w:t>
      </w:r>
      <w:r w:rsidR="002E14FF">
        <w:rPr>
          <w:rFonts w:hint="cs"/>
          <w:rtl/>
        </w:rPr>
        <w:t>26</w:t>
      </w:r>
      <w:r w:rsidRPr="00863EC0">
        <w:rPr>
          <w:rFonts w:hint="cs"/>
          <w:rtl/>
        </w:rPr>
        <w:t xml:space="preserve"> من التقرير (النص ال</w:t>
      </w:r>
      <w:r w:rsidR="00672810">
        <w:rPr>
          <w:rFonts w:hint="cs"/>
          <w:rtl/>
        </w:rPr>
        <w:t>انكليز</w:t>
      </w:r>
      <w:r w:rsidR="002E14FF">
        <w:rPr>
          <w:rFonts w:hint="cs"/>
          <w:rtl/>
        </w:rPr>
        <w:t>ي</w:t>
      </w:r>
      <w:r w:rsidRPr="00863EC0">
        <w:rPr>
          <w:rFonts w:hint="cs"/>
          <w:rtl/>
        </w:rPr>
        <w:t>). ويرجى ذكر ما إذا أجريت، أو يعتزم إجراء، دراسات لتقييم حجم هذه المشكلة، وتقديم معلومات عن الجهود الرامية إلى مكافحة هذه الظاهرة التي تعاني منها الدولة الطرف والقضاء عليها، ولا</w:t>
      </w:r>
      <w:r>
        <w:rPr>
          <w:rFonts w:hint="cs"/>
          <w:rtl/>
        </w:rPr>
        <w:t xml:space="preserve"> سيما ما</w:t>
      </w:r>
      <w:r>
        <w:rPr>
          <w:rFonts w:hint="eastAsia"/>
          <w:rtl/>
        </w:rPr>
        <w:t> </w:t>
      </w:r>
      <w:r w:rsidRPr="00863EC0">
        <w:rPr>
          <w:rFonts w:hint="cs"/>
          <w:rtl/>
        </w:rPr>
        <w:t>إذا كان من الممكن تقديم مشروع قانون لتجريم الاتجار بالمرأة والعقوبات المنصوص عليها في هذا الصدد في حال وجودها. ويرجى أيضا ذكر ما إذا جرى التعاون مع بلدان مجاورة تستخدم معبرا أو وجهة نهائية لعمليات الاتجار بالمرأة.</w:t>
      </w:r>
    </w:p>
    <w:p w:rsidR="00DF7E80" w:rsidRPr="0027462B" w:rsidRDefault="00DF7E80" w:rsidP="00DF7E80">
      <w:pPr>
        <w:pStyle w:val="SingleTxt"/>
        <w:spacing w:after="0" w:line="120" w:lineRule="exact"/>
        <w:rPr>
          <w:rFonts w:hint="cs"/>
          <w:sz w:val="10"/>
          <w:rtl/>
        </w:rPr>
      </w:pPr>
    </w:p>
    <w:p w:rsidR="00DF7E80" w:rsidRPr="00863EC0" w:rsidRDefault="00DF7E80" w:rsidP="00EA6D1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3EC0">
        <w:rPr>
          <w:rFonts w:hint="cs"/>
          <w:rtl/>
        </w:rPr>
        <w:t>الحياة السياسية والعامة</w:t>
      </w:r>
    </w:p>
    <w:p w:rsidR="00DF7E80" w:rsidRPr="00863EC0" w:rsidRDefault="00DF7E80" w:rsidP="00EA6D18">
      <w:pPr>
        <w:pStyle w:val="SingleTxt"/>
        <w:rPr>
          <w:rFonts w:hint="cs"/>
          <w:lang w:val="es-ES_tradnl"/>
        </w:rPr>
      </w:pPr>
      <w:r>
        <w:rPr>
          <w:rFonts w:hint="cs"/>
          <w:rtl/>
        </w:rPr>
        <w:t>9 -</w:t>
      </w:r>
      <w:r>
        <w:rPr>
          <w:rFonts w:hint="cs"/>
          <w:rtl/>
        </w:rPr>
        <w:tab/>
      </w:r>
      <w:r w:rsidRPr="00863EC0">
        <w:rPr>
          <w:rFonts w:hint="cs"/>
          <w:rtl/>
        </w:rPr>
        <w:t xml:space="preserve">يرجى ذكر ما إذا اتخذت إجراءات لمتابعة توصية اللجنة </w:t>
      </w:r>
      <w:r w:rsidR="002E14FF">
        <w:rPr>
          <w:rFonts w:hint="cs"/>
          <w:rtl/>
        </w:rPr>
        <w:t>فيما يتعلق با</w:t>
      </w:r>
      <w:r w:rsidRPr="00863EC0">
        <w:rPr>
          <w:rFonts w:hint="cs"/>
          <w:rtl/>
        </w:rPr>
        <w:t xml:space="preserve">لتقريرين الدوريين الثاني والثالث للدولة الطرف، </w:t>
      </w:r>
      <w:r w:rsidR="002E14FF">
        <w:rPr>
          <w:rFonts w:hint="cs"/>
          <w:rtl/>
        </w:rPr>
        <w:t xml:space="preserve">والتي تدعو إلى </w:t>
      </w:r>
      <w:r w:rsidRPr="00863EC0">
        <w:rPr>
          <w:rFonts w:hint="cs"/>
          <w:rtl/>
        </w:rPr>
        <w:t>اتخاذ تدابير مناسبة وتطبيق استراتيجيات شاملة، بما فيها تدابير خاصة وفقا للفقرة 1 من المادة 4، لزيادة مشاركة المرأة في الحياة العامة، ولا</w:t>
      </w:r>
      <w:r>
        <w:rPr>
          <w:rFonts w:hint="cs"/>
          <w:rtl/>
        </w:rPr>
        <w:t xml:space="preserve"> </w:t>
      </w:r>
      <w:r w:rsidRPr="00863EC0">
        <w:rPr>
          <w:rFonts w:hint="cs"/>
          <w:rtl/>
        </w:rPr>
        <w:t>سيما في عمليات صنع القرار</w:t>
      </w:r>
      <w:r w:rsidRPr="0027462B">
        <w:rPr>
          <w:vertAlign w:val="superscript"/>
          <w:rtl/>
        </w:rPr>
        <w:t>(</w:t>
      </w:r>
      <w:r>
        <w:rPr>
          <w:rStyle w:val="FootnoteReference"/>
          <w:rtl/>
        </w:rPr>
        <w:footnoteReference w:id="3"/>
      </w:r>
      <w:r w:rsidRPr="0027462B">
        <w:rPr>
          <w:vertAlign w:val="superscript"/>
          <w:rtl/>
        </w:rPr>
        <w:t>)</w:t>
      </w:r>
      <w:r w:rsidRPr="00863EC0">
        <w:rPr>
          <w:rFonts w:hint="cs"/>
          <w:rtl/>
          <w:lang w:bidi="ar"/>
        </w:rPr>
        <w:t>.</w:t>
      </w:r>
    </w:p>
    <w:p w:rsidR="00DF7E80" w:rsidRPr="00863EC0" w:rsidRDefault="00DF7E80" w:rsidP="00DF7E80">
      <w:pPr>
        <w:pStyle w:val="SingleTxt"/>
        <w:rPr>
          <w:rFonts w:hint="cs"/>
          <w:lang w:val="es-ES_tradnl"/>
        </w:rPr>
      </w:pPr>
      <w:r>
        <w:rPr>
          <w:rFonts w:hint="cs"/>
          <w:rtl/>
          <w:lang w:bidi="ar"/>
        </w:rPr>
        <w:t>10 -</w:t>
      </w:r>
      <w:r>
        <w:rPr>
          <w:rFonts w:hint="cs"/>
          <w:rtl/>
          <w:lang w:bidi="ar"/>
        </w:rPr>
        <w:tab/>
      </w:r>
      <w:r w:rsidRPr="00863EC0">
        <w:rPr>
          <w:rFonts w:hint="cs"/>
          <w:rtl/>
          <w:lang w:bidi="ar"/>
        </w:rPr>
        <w:t xml:space="preserve">يرجى </w:t>
      </w:r>
      <w:r w:rsidRPr="00863EC0">
        <w:rPr>
          <w:rFonts w:hint="cs"/>
          <w:rtl/>
        </w:rPr>
        <w:t>تقديم</w:t>
      </w:r>
      <w:r w:rsidRPr="00863EC0">
        <w:rPr>
          <w:rFonts w:hint="cs"/>
          <w:rtl/>
          <w:lang w:bidi="ar"/>
        </w:rPr>
        <w:t xml:space="preserve"> معلومات عن المرحلة التي وصلها النظر في مشروع القانون المتعلق بتنظيم عملية إعداد القوائم الانتخابية للأحزاب في أوروغواي،</w:t>
      </w:r>
      <w:r w:rsidRPr="00863EC0">
        <w:rPr>
          <w:rFonts w:hint="cs"/>
          <w:rtl/>
        </w:rPr>
        <w:t xml:space="preserve"> وكذلك عن محتوى المشروع.</w:t>
      </w:r>
    </w:p>
    <w:p w:rsidR="00DF7E80" w:rsidRPr="00863EC0" w:rsidRDefault="00DF7E80" w:rsidP="002E14FF">
      <w:pPr>
        <w:pStyle w:val="SingleTxt"/>
        <w:rPr>
          <w:rFonts w:hint="cs"/>
          <w:lang w:val="es-ES_tradnl"/>
        </w:rPr>
      </w:pPr>
      <w:r>
        <w:rPr>
          <w:rFonts w:hint="cs"/>
          <w:rtl/>
        </w:rPr>
        <w:t>11 -</w:t>
      </w:r>
      <w:r>
        <w:rPr>
          <w:rFonts w:hint="cs"/>
          <w:rtl/>
        </w:rPr>
        <w:tab/>
      </w:r>
      <w:r w:rsidRPr="00863EC0">
        <w:rPr>
          <w:rFonts w:hint="cs"/>
          <w:rtl/>
        </w:rPr>
        <w:t xml:space="preserve">يرجى تقديم معلومات مستكملة عن عملية مناقشة وإقرار مشروع القانون المعروض على مجلس الشيوخ بشأن المشاركة السياسية، عند تقديم هذا التقرير (الصفحة </w:t>
      </w:r>
      <w:r w:rsidR="002E14FF">
        <w:rPr>
          <w:rFonts w:hint="cs"/>
          <w:rtl/>
        </w:rPr>
        <w:t>28</w:t>
      </w:r>
      <w:r w:rsidRPr="00863EC0">
        <w:rPr>
          <w:rFonts w:hint="cs"/>
          <w:rtl/>
        </w:rPr>
        <w:t xml:space="preserve"> من النص ال</w:t>
      </w:r>
      <w:r w:rsidR="00672810">
        <w:rPr>
          <w:rFonts w:hint="cs"/>
          <w:rtl/>
        </w:rPr>
        <w:t>انكليز</w:t>
      </w:r>
      <w:r w:rsidR="002E14FF">
        <w:rPr>
          <w:rFonts w:hint="cs"/>
          <w:rtl/>
        </w:rPr>
        <w:t>ي</w:t>
      </w:r>
      <w:r w:rsidRPr="00863EC0">
        <w:rPr>
          <w:rFonts w:hint="cs"/>
          <w:rtl/>
        </w:rPr>
        <w:t>).</w:t>
      </w:r>
    </w:p>
    <w:p w:rsidR="00DF7E80" w:rsidRPr="00863EC0" w:rsidRDefault="00DF7E80" w:rsidP="00784428">
      <w:pPr>
        <w:pStyle w:val="SingleTxt"/>
        <w:rPr>
          <w:rFonts w:hint="cs"/>
          <w:lang w:val="es-ES_tradnl"/>
        </w:rPr>
      </w:pPr>
      <w:r>
        <w:rPr>
          <w:rFonts w:hint="cs"/>
          <w:rtl/>
        </w:rPr>
        <w:t>12 -</w:t>
      </w:r>
      <w:r>
        <w:rPr>
          <w:rFonts w:hint="cs"/>
          <w:rtl/>
        </w:rPr>
        <w:tab/>
      </w:r>
      <w:r w:rsidRPr="00863EC0">
        <w:rPr>
          <w:rFonts w:hint="cs"/>
          <w:rtl/>
        </w:rPr>
        <w:t>يقدم التقرير إيضاحات وافية عن وضع المرأة في الهيئات المنتخبة بمختلف مواقع السلطة (الصفحات من</w:t>
      </w:r>
      <w:r w:rsidR="002E14FF">
        <w:rPr>
          <w:rFonts w:hint="cs"/>
          <w:rtl/>
        </w:rPr>
        <w:t xml:space="preserve"> 28 إلى 32 </w:t>
      </w:r>
      <w:r w:rsidR="00784428">
        <w:rPr>
          <w:rFonts w:hint="cs"/>
          <w:rtl/>
        </w:rPr>
        <w:t xml:space="preserve">في </w:t>
      </w:r>
      <w:r w:rsidR="002E14FF">
        <w:rPr>
          <w:rFonts w:hint="cs"/>
          <w:rtl/>
        </w:rPr>
        <w:t>النص ال</w:t>
      </w:r>
      <w:r w:rsidR="00672810">
        <w:rPr>
          <w:rFonts w:hint="cs"/>
          <w:rtl/>
        </w:rPr>
        <w:t>انكليز</w:t>
      </w:r>
      <w:r w:rsidR="002E14FF">
        <w:rPr>
          <w:rFonts w:hint="cs"/>
          <w:rtl/>
        </w:rPr>
        <w:t>ي</w:t>
      </w:r>
      <w:r w:rsidRPr="00863EC0">
        <w:rPr>
          <w:rFonts w:hint="cs"/>
          <w:rtl/>
        </w:rPr>
        <w:t>). يرجى تقديم معلومات إحصائية عن نسبة النساء في المناصب التي تُشغل عن طريق التعيين على جميع مستويات إدارة الدولة.</w:t>
      </w:r>
    </w:p>
    <w:p w:rsidR="00DF7E80" w:rsidRPr="008D596D" w:rsidRDefault="00DF7E80" w:rsidP="00DF7E80">
      <w:pPr>
        <w:pStyle w:val="SingleTxt"/>
        <w:spacing w:after="0" w:line="120" w:lineRule="exact"/>
        <w:rPr>
          <w:rFonts w:hint="cs"/>
          <w:b/>
          <w:bCs/>
          <w:sz w:val="10"/>
          <w:rtl/>
        </w:rPr>
      </w:pPr>
    </w:p>
    <w:p w:rsidR="00DF7E80" w:rsidRPr="00863EC0" w:rsidRDefault="00DF7E80" w:rsidP="00DF7E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3EC0">
        <w:rPr>
          <w:rFonts w:hint="cs"/>
          <w:rtl/>
        </w:rPr>
        <w:t>القوالب النمطية والتعليم</w:t>
      </w:r>
    </w:p>
    <w:p w:rsidR="00DF7E80" w:rsidRPr="00863EC0" w:rsidRDefault="00DF7E80" w:rsidP="002E14FF">
      <w:pPr>
        <w:pStyle w:val="SingleTxt"/>
        <w:rPr>
          <w:rFonts w:hint="cs"/>
          <w:lang w:val="es-ES_tradnl"/>
        </w:rPr>
      </w:pPr>
      <w:r>
        <w:rPr>
          <w:rFonts w:hint="cs"/>
          <w:rtl/>
        </w:rPr>
        <w:t>13 -</w:t>
      </w:r>
      <w:r>
        <w:rPr>
          <w:rFonts w:hint="cs"/>
          <w:rtl/>
        </w:rPr>
        <w:tab/>
      </w:r>
      <w:r w:rsidRPr="00863EC0">
        <w:rPr>
          <w:rFonts w:hint="cs"/>
          <w:rtl/>
        </w:rPr>
        <w:t xml:space="preserve">يرجى، بناء على التوصية الصادرة عن اللجنة </w:t>
      </w:r>
      <w:r w:rsidR="002E14FF">
        <w:rPr>
          <w:rFonts w:hint="cs"/>
          <w:rtl/>
        </w:rPr>
        <w:t>فيما يتعلق با</w:t>
      </w:r>
      <w:r w:rsidRPr="00863EC0">
        <w:rPr>
          <w:rFonts w:hint="cs"/>
          <w:rtl/>
        </w:rPr>
        <w:t>لتقريرين الدوريين الثاني والثالث للدولة الطرف، تقديم معلومات عن التدابير المتخذة للقضاء على القوالب النمطية الاجتماعية والثقافية التي ما زالت تميز ضد المرأة في أوروغواي، لا</w:t>
      </w:r>
      <w:r>
        <w:rPr>
          <w:rFonts w:hint="cs"/>
          <w:rtl/>
        </w:rPr>
        <w:t xml:space="preserve"> </w:t>
      </w:r>
      <w:r w:rsidRPr="00863EC0">
        <w:rPr>
          <w:rFonts w:hint="cs"/>
          <w:rtl/>
        </w:rPr>
        <w:t>سيما الجهود المبذولة على مستوى وسائط الإعلام والقائمين على النظام القضائي والمشتغلين بالتعليم</w:t>
      </w:r>
      <w:r w:rsidRPr="008D596D">
        <w:rPr>
          <w:vertAlign w:val="superscript"/>
          <w:rtl/>
        </w:rPr>
        <w:t>(</w:t>
      </w:r>
      <w:r>
        <w:rPr>
          <w:rStyle w:val="FootnoteReference"/>
          <w:rtl/>
        </w:rPr>
        <w:footnoteReference w:id="4"/>
      </w:r>
      <w:r w:rsidRPr="008D596D">
        <w:rPr>
          <w:vertAlign w:val="superscript"/>
          <w:rtl/>
        </w:rPr>
        <w:t>)</w:t>
      </w:r>
      <w:r w:rsidRPr="00863EC0">
        <w:rPr>
          <w:rFonts w:hint="cs"/>
          <w:rtl/>
          <w:lang w:bidi="ar"/>
        </w:rPr>
        <w:t>.</w:t>
      </w:r>
    </w:p>
    <w:p w:rsidR="00DF7E80" w:rsidRPr="00863EC0" w:rsidRDefault="00DF7E80" w:rsidP="00DF7E80">
      <w:pPr>
        <w:pStyle w:val="SingleTxt"/>
        <w:rPr>
          <w:rFonts w:hint="cs"/>
          <w:lang w:val="es-ES_tradnl"/>
        </w:rPr>
      </w:pPr>
      <w:r>
        <w:rPr>
          <w:rFonts w:hint="cs"/>
          <w:rtl/>
          <w:lang w:bidi="ar"/>
        </w:rPr>
        <w:t>14 -</w:t>
      </w:r>
      <w:r>
        <w:rPr>
          <w:rFonts w:hint="cs"/>
          <w:rtl/>
          <w:lang w:bidi="ar"/>
        </w:rPr>
        <w:tab/>
      </w:r>
      <w:r w:rsidRPr="00863EC0">
        <w:rPr>
          <w:rFonts w:hint="cs"/>
          <w:rtl/>
          <w:lang w:bidi="ar"/>
        </w:rPr>
        <w:t>يرجى تقديم معلومات مستكملة عن المقترحات المقدمة من الدولة الطرف لإدراج التربية الجنسية في المناهج الدراسية.</w:t>
      </w:r>
    </w:p>
    <w:p w:rsidR="00DF7E80" w:rsidRPr="00863EC0" w:rsidRDefault="00DF7E80" w:rsidP="002E14FF">
      <w:pPr>
        <w:pStyle w:val="SingleTxt"/>
        <w:rPr>
          <w:rFonts w:hint="cs"/>
          <w:lang w:val="es-ES_tradnl"/>
        </w:rPr>
      </w:pPr>
      <w:r>
        <w:rPr>
          <w:rFonts w:hint="cs"/>
          <w:rtl/>
        </w:rPr>
        <w:t>15 -</w:t>
      </w:r>
      <w:r>
        <w:rPr>
          <w:rFonts w:hint="cs"/>
          <w:rtl/>
        </w:rPr>
        <w:tab/>
      </w:r>
      <w:r w:rsidRPr="00863EC0">
        <w:rPr>
          <w:rFonts w:hint="cs"/>
          <w:rtl/>
        </w:rPr>
        <w:t xml:space="preserve">يذكر التقرير إنشاء لجنة للتربية الجنسية في كانون الأول/ديسمبر 2005، </w:t>
      </w:r>
      <w:r w:rsidRPr="00863EC0">
        <w:rPr>
          <w:rFonts w:hint="cs"/>
          <w:rtl/>
          <w:lang w:bidi="ar"/>
        </w:rPr>
        <w:t xml:space="preserve">واكتسابها طابعا رسميا في عام 2006. وكان من المفروض أن تعد هذه اللجنة برنامجا جديدا للتربية الجنسية لتطبيقه في عام 2007 (الصفحتان </w:t>
      </w:r>
      <w:r w:rsidR="002E14FF">
        <w:rPr>
          <w:rFonts w:hint="cs"/>
          <w:rtl/>
          <w:lang w:bidi="ar"/>
        </w:rPr>
        <w:t xml:space="preserve">36 و 37 </w:t>
      </w:r>
      <w:r w:rsidRPr="00863EC0">
        <w:rPr>
          <w:rFonts w:hint="cs"/>
          <w:rtl/>
          <w:lang w:bidi="ar"/>
        </w:rPr>
        <w:t>من النص ال</w:t>
      </w:r>
      <w:r w:rsidR="00672810">
        <w:rPr>
          <w:rFonts w:hint="cs"/>
          <w:rtl/>
          <w:lang w:bidi="ar"/>
        </w:rPr>
        <w:t>انكليز</w:t>
      </w:r>
      <w:r w:rsidR="002E14FF">
        <w:rPr>
          <w:rFonts w:hint="cs"/>
          <w:rtl/>
          <w:lang w:bidi="ar"/>
        </w:rPr>
        <w:t>ي</w:t>
      </w:r>
      <w:r w:rsidRPr="00863EC0">
        <w:rPr>
          <w:rFonts w:hint="cs"/>
          <w:rtl/>
          <w:lang w:bidi="ar"/>
        </w:rPr>
        <w:t>). يرجى تقديم معلومات عن محتوى البرنامج المذكور والنتائج المحققة في السنة الأولى من تطبيقه.</w:t>
      </w:r>
    </w:p>
    <w:p w:rsidR="00DF7E80" w:rsidRPr="00863EC0" w:rsidRDefault="00DF7E80" w:rsidP="00DF7E80">
      <w:pPr>
        <w:pStyle w:val="SingleTxt"/>
        <w:rPr>
          <w:rFonts w:hint="cs"/>
          <w:lang w:val="es-ES_tradnl"/>
        </w:rPr>
      </w:pPr>
      <w:r>
        <w:rPr>
          <w:rFonts w:hint="cs"/>
          <w:rtl/>
          <w:lang w:bidi="ar"/>
        </w:rPr>
        <w:t>16 -</w:t>
      </w:r>
      <w:r>
        <w:rPr>
          <w:rFonts w:hint="cs"/>
          <w:rtl/>
          <w:lang w:bidi="ar"/>
        </w:rPr>
        <w:tab/>
      </w:r>
      <w:r w:rsidRPr="00863EC0">
        <w:rPr>
          <w:rFonts w:hint="cs"/>
          <w:rtl/>
          <w:lang w:bidi="ar"/>
        </w:rPr>
        <w:t xml:space="preserve">يرجى تقديم معلومات عن التدابير التي اتخذتها الدولة الطرف لتجنب انقطاع المراهقات </w:t>
      </w:r>
      <w:r w:rsidRPr="00863EC0">
        <w:rPr>
          <w:rFonts w:hint="cs"/>
          <w:rtl/>
        </w:rPr>
        <w:t>الحوامل عن الدراسة وضمان استئنافهن للدراسة بعد الوضع.</w:t>
      </w:r>
    </w:p>
    <w:p w:rsidR="00DF7E80" w:rsidRPr="00863EC0" w:rsidRDefault="00DF7E80" w:rsidP="00DF7E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3EC0">
        <w:rPr>
          <w:rFonts w:hint="cs"/>
          <w:rtl/>
        </w:rPr>
        <w:t>العمالة</w:t>
      </w:r>
    </w:p>
    <w:p w:rsidR="00DF7E80" w:rsidRPr="00863EC0" w:rsidRDefault="00DF7E80" w:rsidP="002E14FF">
      <w:pPr>
        <w:pStyle w:val="SingleTxt"/>
        <w:rPr>
          <w:rFonts w:hint="cs"/>
          <w:lang w:val="es-ES_tradnl"/>
        </w:rPr>
      </w:pPr>
      <w:r>
        <w:rPr>
          <w:rFonts w:hint="cs"/>
          <w:rtl/>
        </w:rPr>
        <w:t>17 -</w:t>
      </w:r>
      <w:r>
        <w:rPr>
          <w:rFonts w:hint="cs"/>
          <w:rtl/>
        </w:rPr>
        <w:tab/>
      </w:r>
      <w:r w:rsidRPr="00863EC0">
        <w:rPr>
          <w:rFonts w:hint="cs"/>
          <w:rtl/>
        </w:rPr>
        <w:t>يرجى ذكر الأثر المترتب على البرامج المعدة لمكافحة التمييز ضد المرأة في مجال العمل، لا</w:t>
      </w:r>
      <w:r>
        <w:rPr>
          <w:rFonts w:hint="cs"/>
          <w:rtl/>
        </w:rPr>
        <w:t xml:space="preserve"> </w:t>
      </w:r>
      <w:r w:rsidRPr="00863EC0">
        <w:rPr>
          <w:rFonts w:hint="cs"/>
          <w:rtl/>
        </w:rPr>
        <w:t xml:space="preserve">سيما ما يتعلق بمشكلتي البطالة وتدني مستوى الدخل اللتين تؤثران سلبا على المرأة، ولتعزيز المساواة بين الجنسين في العمل (الصفحات من </w:t>
      </w:r>
      <w:r w:rsidR="002E14FF">
        <w:rPr>
          <w:rFonts w:hint="cs"/>
          <w:rtl/>
        </w:rPr>
        <w:t>45</w:t>
      </w:r>
      <w:r w:rsidRPr="00863EC0">
        <w:rPr>
          <w:rFonts w:hint="cs"/>
          <w:rtl/>
        </w:rPr>
        <w:t xml:space="preserve"> إلى </w:t>
      </w:r>
      <w:r w:rsidR="002E14FF">
        <w:rPr>
          <w:rFonts w:hint="cs"/>
          <w:rtl/>
        </w:rPr>
        <w:t>49</w:t>
      </w:r>
      <w:r w:rsidRPr="00863EC0">
        <w:rPr>
          <w:rFonts w:hint="cs"/>
          <w:rtl/>
        </w:rPr>
        <w:t xml:space="preserve"> في النص ال</w:t>
      </w:r>
      <w:r w:rsidR="00672810">
        <w:rPr>
          <w:rFonts w:hint="cs"/>
          <w:rtl/>
        </w:rPr>
        <w:t>انكليز</w:t>
      </w:r>
      <w:r w:rsidR="002E14FF">
        <w:rPr>
          <w:rFonts w:hint="cs"/>
          <w:rtl/>
        </w:rPr>
        <w:t>ي</w:t>
      </w:r>
      <w:r w:rsidRPr="00863EC0">
        <w:rPr>
          <w:rFonts w:hint="cs"/>
          <w:rtl/>
        </w:rPr>
        <w:t xml:space="preserve">). ويرجى أيضا ذكر المرحلة التي وصل إليها </w:t>
      </w:r>
      <w:r w:rsidRPr="00863EC0">
        <w:rPr>
          <w:rFonts w:hint="cs"/>
          <w:rtl/>
          <w:lang w:bidi="ar"/>
        </w:rPr>
        <w:t>الاقتراح المتعلق باعتماد خطة وطنية لتكافؤ المعاملة والفرص في العمل (2004).</w:t>
      </w:r>
    </w:p>
    <w:p w:rsidR="00DF7E80" w:rsidRPr="00863EC0" w:rsidRDefault="00DF7E80" w:rsidP="00DF7E80">
      <w:pPr>
        <w:pStyle w:val="SingleTxt"/>
        <w:rPr>
          <w:rFonts w:hint="cs"/>
          <w:lang w:val="es-ES_tradnl"/>
        </w:rPr>
      </w:pPr>
      <w:r>
        <w:rPr>
          <w:rFonts w:hint="cs"/>
          <w:rtl/>
          <w:lang w:val="es-ES_tradnl" w:bidi="ar"/>
        </w:rPr>
        <w:t>18 -</w:t>
      </w:r>
      <w:r>
        <w:rPr>
          <w:rFonts w:hint="cs"/>
          <w:rtl/>
          <w:lang w:val="es-ES_tradnl" w:bidi="ar"/>
        </w:rPr>
        <w:tab/>
      </w:r>
      <w:r w:rsidRPr="00863EC0">
        <w:rPr>
          <w:rFonts w:hint="cs"/>
          <w:rtl/>
          <w:lang w:bidi="ar"/>
        </w:rPr>
        <w:t>يرجى تقديم معلومات عن الإجراءات المتخذة بشأن الشكاوى المقدمة خلال عامي 2005 و</w:t>
      </w:r>
      <w:r>
        <w:rPr>
          <w:rFonts w:hint="cs"/>
          <w:rtl/>
          <w:lang w:bidi="ar"/>
        </w:rPr>
        <w:t xml:space="preserve"> </w:t>
      </w:r>
      <w:r w:rsidRPr="00863EC0">
        <w:rPr>
          <w:rFonts w:hint="cs"/>
          <w:rtl/>
          <w:lang w:bidi="ar"/>
        </w:rPr>
        <w:t>2006 من التحرش الجنسي في العمل. ويرجى ذكر ما إذا أجريت تحقيقات بشأن تلك الشكاوى، ونوع العقوبات المفروضة على المسؤولين عنها في حال إجراء تحقيقات.</w:t>
      </w:r>
    </w:p>
    <w:p w:rsidR="00DF7E80" w:rsidRPr="00863EC0" w:rsidRDefault="00DF7E80" w:rsidP="00DF7E80">
      <w:pPr>
        <w:pStyle w:val="SingleTxt"/>
        <w:rPr>
          <w:rFonts w:hint="cs"/>
          <w:lang w:val="es-ES_tradnl"/>
        </w:rPr>
      </w:pPr>
      <w:r>
        <w:rPr>
          <w:rFonts w:hint="cs"/>
          <w:rtl/>
          <w:lang w:bidi="ar"/>
        </w:rPr>
        <w:t>19 -</w:t>
      </w:r>
      <w:r>
        <w:rPr>
          <w:rFonts w:hint="cs"/>
          <w:rtl/>
          <w:lang w:bidi="ar"/>
        </w:rPr>
        <w:tab/>
      </w:r>
      <w:r w:rsidRPr="00863EC0">
        <w:rPr>
          <w:rFonts w:hint="cs"/>
          <w:rtl/>
          <w:lang w:bidi="ar"/>
        </w:rPr>
        <w:t>يرجى توضيح نتائج تطبيق القانون رقم 18-065، الصادر في تشرين الثاني/نوفمبر 2006، بشأن العمل المنزلي. ويفيد التقرير أن نظام الضمان الاجتماعي لم يشمل 87.1 في المائة من الخادمات في المنازل في عام 2004. يرجى تقديم معلومات للجنة بشأن النظام الحالي للتغطية الاجتماعية الخاصة بالخادمات في المنازل.</w:t>
      </w:r>
    </w:p>
    <w:p w:rsidR="00DF7E80" w:rsidRPr="00863EC0" w:rsidRDefault="00DF7E80" w:rsidP="002E14FF">
      <w:pPr>
        <w:pStyle w:val="SingleTxt"/>
        <w:rPr>
          <w:rFonts w:hint="cs"/>
          <w:lang w:val="es-ES_tradnl"/>
        </w:rPr>
      </w:pPr>
      <w:r>
        <w:rPr>
          <w:rFonts w:hint="cs"/>
          <w:rtl/>
          <w:lang w:bidi="ar"/>
        </w:rPr>
        <w:t>20 -</w:t>
      </w:r>
      <w:r>
        <w:rPr>
          <w:rFonts w:hint="cs"/>
          <w:rtl/>
          <w:lang w:bidi="ar"/>
        </w:rPr>
        <w:tab/>
      </w:r>
      <w:r w:rsidRPr="00863EC0">
        <w:rPr>
          <w:rFonts w:hint="cs"/>
          <w:rtl/>
          <w:lang w:bidi="ar"/>
        </w:rPr>
        <w:t xml:space="preserve">جاء في التقرير أن بإمكان القضاة المختصين بشؤون العمل اتخاذ التدابير اللازمة لوقف التمييز ضد المرأة. غير أن القانون لا ينص على إمكانية الالتحاق بالعمل من جديد (الصفحة </w:t>
      </w:r>
      <w:r w:rsidR="002E14FF">
        <w:rPr>
          <w:rFonts w:hint="cs"/>
          <w:rtl/>
          <w:lang w:bidi="ar"/>
        </w:rPr>
        <w:t>54</w:t>
      </w:r>
      <w:r w:rsidRPr="00863EC0">
        <w:rPr>
          <w:rFonts w:hint="cs"/>
          <w:rtl/>
          <w:lang w:bidi="ar"/>
        </w:rPr>
        <w:t xml:space="preserve"> من النص ال</w:t>
      </w:r>
      <w:r w:rsidR="00672810">
        <w:rPr>
          <w:rFonts w:hint="cs"/>
          <w:rtl/>
          <w:lang w:bidi="ar"/>
        </w:rPr>
        <w:t>انكليز</w:t>
      </w:r>
      <w:r w:rsidR="002E14FF">
        <w:rPr>
          <w:rFonts w:hint="cs"/>
          <w:rtl/>
          <w:lang w:bidi="ar"/>
        </w:rPr>
        <w:t>ي</w:t>
      </w:r>
      <w:r w:rsidRPr="00863EC0">
        <w:rPr>
          <w:rFonts w:hint="cs"/>
          <w:rtl/>
          <w:lang w:bidi="ar"/>
        </w:rPr>
        <w:t>). هل تعتزم الدولة الطرف تعديل قانون العمل بهذا الشأن؟</w:t>
      </w:r>
    </w:p>
    <w:p w:rsidR="00DF7E80" w:rsidRPr="00863EC0" w:rsidRDefault="00DF7E80" w:rsidP="002E14FF">
      <w:pPr>
        <w:pStyle w:val="SingleTxt"/>
        <w:rPr>
          <w:rFonts w:hint="cs"/>
          <w:lang w:val="es-ES_tradnl"/>
        </w:rPr>
      </w:pPr>
      <w:r>
        <w:rPr>
          <w:rFonts w:hint="cs"/>
          <w:rtl/>
        </w:rPr>
        <w:t>21 -</w:t>
      </w:r>
      <w:r>
        <w:rPr>
          <w:rFonts w:hint="cs"/>
          <w:rtl/>
        </w:rPr>
        <w:tab/>
      </w:r>
      <w:r w:rsidRPr="00863EC0">
        <w:rPr>
          <w:rFonts w:hint="cs"/>
          <w:rtl/>
        </w:rPr>
        <w:t xml:space="preserve">يذكر التقرير عدم وجود أي قانون ينص على </w:t>
      </w:r>
      <w:r w:rsidRPr="00863EC0">
        <w:rPr>
          <w:rFonts w:hint="cs"/>
          <w:rtl/>
          <w:lang w:bidi="ar"/>
        </w:rPr>
        <w:t>وجوب إنشاء دور للحضانة أو رياض للأطفال في أماكن العمل العامة أو الخاصة، وفقا للاتفاقية رقم 156 والتوصية رقم 165 لمنظمة العمل الدولية (الصفحة</w:t>
      </w:r>
      <w:r w:rsidR="002E14FF">
        <w:rPr>
          <w:rFonts w:hint="cs"/>
          <w:rtl/>
          <w:lang w:bidi="ar"/>
        </w:rPr>
        <w:t xml:space="preserve"> 54</w:t>
      </w:r>
      <w:r w:rsidRPr="00863EC0">
        <w:rPr>
          <w:rFonts w:hint="cs"/>
          <w:rtl/>
          <w:lang w:bidi="ar"/>
        </w:rPr>
        <w:t xml:space="preserve"> من النص ال</w:t>
      </w:r>
      <w:r w:rsidR="00672810">
        <w:rPr>
          <w:rFonts w:hint="cs"/>
          <w:rtl/>
          <w:lang w:bidi="ar"/>
        </w:rPr>
        <w:t>انكليز</w:t>
      </w:r>
      <w:r w:rsidR="002E14FF">
        <w:rPr>
          <w:rFonts w:hint="cs"/>
          <w:rtl/>
          <w:lang w:bidi="ar"/>
        </w:rPr>
        <w:t>ي</w:t>
      </w:r>
      <w:r w:rsidRPr="00863EC0">
        <w:rPr>
          <w:rFonts w:hint="cs"/>
          <w:rtl/>
          <w:lang w:bidi="ar"/>
        </w:rPr>
        <w:t>). هل تعتزم الدولة الطرف التصديق على القواعد الدولية المذكورة، وإذا كان الرد بالنفي، ما هي العقبات التي تحول دون تصديقها على تلك القواعد؟</w:t>
      </w:r>
    </w:p>
    <w:p w:rsidR="00DF7E80" w:rsidRPr="008D596D" w:rsidRDefault="00DF7E80" w:rsidP="00DF7E80">
      <w:pPr>
        <w:pStyle w:val="SingleTxt"/>
        <w:spacing w:after="0" w:line="120" w:lineRule="exact"/>
        <w:rPr>
          <w:rFonts w:hint="cs"/>
          <w:sz w:val="10"/>
          <w:rtl/>
        </w:rPr>
      </w:pPr>
    </w:p>
    <w:p w:rsidR="00DF7E80" w:rsidRPr="00863EC0" w:rsidRDefault="00DF7E80" w:rsidP="00DF7E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3EC0">
        <w:rPr>
          <w:rFonts w:hint="cs"/>
          <w:rtl/>
        </w:rPr>
        <w:t>الصحة</w:t>
      </w:r>
    </w:p>
    <w:p w:rsidR="00DF7E80" w:rsidRPr="00863EC0" w:rsidRDefault="00DF7E80" w:rsidP="002C6C04">
      <w:pPr>
        <w:pStyle w:val="SingleTxt"/>
        <w:rPr>
          <w:rFonts w:hint="cs"/>
          <w:lang w:val="es-ES_tradnl"/>
        </w:rPr>
      </w:pPr>
      <w:r>
        <w:rPr>
          <w:rFonts w:hint="cs"/>
          <w:rtl/>
        </w:rPr>
        <w:t>22 -</w:t>
      </w:r>
      <w:r>
        <w:rPr>
          <w:rFonts w:hint="cs"/>
          <w:rtl/>
        </w:rPr>
        <w:tab/>
      </w:r>
      <w:r w:rsidRPr="00863EC0">
        <w:rPr>
          <w:rFonts w:hint="cs"/>
          <w:rtl/>
        </w:rPr>
        <w:t>يعترف التقرير بالثغرات التي تشوب القا</w:t>
      </w:r>
      <w:r>
        <w:rPr>
          <w:rFonts w:hint="cs"/>
          <w:rtl/>
        </w:rPr>
        <w:t>نون رقم 9-763، الصادر بتاريخ 24</w:t>
      </w:r>
      <w:r>
        <w:rPr>
          <w:rFonts w:hint="eastAsia"/>
          <w:rtl/>
        </w:rPr>
        <w:t> </w:t>
      </w:r>
      <w:r w:rsidRPr="00863EC0">
        <w:rPr>
          <w:rFonts w:hint="cs"/>
          <w:rtl/>
        </w:rPr>
        <w:t xml:space="preserve">كانون الثاني/يناير 1938، الذي يجرم </w:t>
      </w:r>
      <w:r>
        <w:rPr>
          <w:rFonts w:hint="cs"/>
          <w:rtl/>
        </w:rPr>
        <w:t xml:space="preserve">الإجهاض الاختياري ويعتبر إنقاذ </w:t>
      </w:r>
      <w:r>
        <w:rPr>
          <w:rFonts w:hint="eastAsia"/>
          <w:rtl/>
        </w:rPr>
        <w:t>”</w:t>
      </w:r>
      <w:r>
        <w:rPr>
          <w:rFonts w:hint="cs"/>
          <w:rtl/>
        </w:rPr>
        <w:t>شرف العائلة</w:t>
      </w:r>
      <w:r>
        <w:rPr>
          <w:rFonts w:hint="eastAsia"/>
          <w:rtl/>
        </w:rPr>
        <w:t>“</w:t>
      </w:r>
      <w:r w:rsidRPr="00863EC0">
        <w:rPr>
          <w:rFonts w:hint="cs"/>
          <w:rtl/>
        </w:rPr>
        <w:t xml:space="preserve"> من الظروف المخففة للمسؤولية الجنائية. ويع</w:t>
      </w:r>
      <w:r>
        <w:rPr>
          <w:rFonts w:hint="cs"/>
          <w:rtl/>
        </w:rPr>
        <w:t>ترف أيضا بأن القانون المذكور لم</w:t>
      </w:r>
      <w:r>
        <w:rPr>
          <w:rFonts w:hint="eastAsia"/>
          <w:rtl/>
        </w:rPr>
        <w:t> </w:t>
      </w:r>
      <w:r w:rsidRPr="00863EC0">
        <w:rPr>
          <w:rFonts w:hint="cs"/>
          <w:rtl/>
        </w:rPr>
        <w:t xml:space="preserve">يساهم في تقليص عمليات الإجهاض السري في ظروف غير آمنة، التي هي في ازدياد مطرد (الصفحتان </w:t>
      </w:r>
      <w:r w:rsidR="002E14FF">
        <w:rPr>
          <w:rFonts w:hint="cs"/>
          <w:rtl/>
        </w:rPr>
        <w:t>20</w:t>
      </w:r>
      <w:r w:rsidR="002C6C04">
        <w:rPr>
          <w:rFonts w:hint="cs"/>
          <w:rtl/>
        </w:rPr>
        <w:t xml:space="preserve"> </w:t>
      </w:r>
      <w:r w:rsidRPr="00863EC0">
        <w:rPr>
          <w:rFonts w:hint="cs"/>
          <w:rtl/>
        </w:rPr>
        <w:t>و</w:t>
      </w:r>
      <w:r>
        <w:rPr>
          <w:rFonts w:hint="cs"/>
          <w:rtl/>
        </w:rPr>
        <w:t xml:space="preserve"> </w:t>
      </w:r>
      <w:r w:rsidR="002E14FF">
        <w:rPr>
          <w:rFonts w:hint="cs"/>
          <w:rtl/>
        </w:rPr>
        <w:t xml:space="preserve">21 </w:t>
      </w:r>
      <w:r w:rsidRPr="00863EC0">
        <w:rPr>
          <w:rFonts w:hint="cs"/>
          <w:rtl/>
        </w:rPr>
        <w:t>من النص ال</w:t>
      </w:r>
      <w:r w:rsidR="00672810">
        <w:rPr>
          <w:rFonts w:hint="cs"/>
          <w:rtl/>
        </w:rPr>
        <w:t>انكليز</w:t>
      </w:r>
      <w:r w:rsidR="002E14FF">
        <w:rPr>
          <w:rFonts w:hint="cs"/>
          <w:rtl/>
        </w:rPr>
        <w:t>ي</w:t>
      </w:r>
      <w:r w:rsidRPr="00863EC0">
        <w:rPr>
          <w:rFonts w:hint="cs"/>
          <w:rtl/>
        </w:rPr>
        <w:t>). يرجى ذكر ما إذا كان هناك حاليا مشروع لتعديل القانون المذكور وتقديم معلومات مستكملة عن المرحلة التي وصل إليها النظر في مشروع القانون المتعلق بحماية الصحة الإنجابية.</w:t>
      </w:r>
    </w:p>
    <w:p w:rsidR="00DF7E80" w:rsidRPr="00863EC0" w:rsidRDefault="00DF7E80" w:rsidP="0027273B">
      <w:pPr>
        <w:pStyle w:val="SingleTxt"/>
        <w:rPr>
          <w:rFonts w:hint="cs"/>
          <w:lang w:val="es-ES_tradnl"/>
        </w:rPr>
      </w:pPr>
      <w:r>
        <w:rPr>
          <w:rFonts w:hint="cs"/>
          <w:rtl/>
        </w:rPr>
        <w:t>23 -</w:t>
      </w:r>
      <w:r>
        <w:rPr>
          <w:rFonts w:hint="cs"/>
          <w:rtl/>
        </w:rPr>
        <w:tab/>
      </w:r>
      <w:r w:rsidRPr="00863EC0">
        <w:rPr>
          <w:rFonts w:hint="cs"/>
          <w:rtl/>
        </w:rPr>
        <w:t>يرجى تقديم بيانات إحصائية محددة عن عمليات الإجهاض في ظروف غير آمنة، التي تشكل سببا رئيسيا في الوفيات النفاسية بالدولة الطر</w:t>
      </w:r>
      <w:r>
        <w:rPr>
          <w:rFonts w:hint="cs"/>
          <w:rtl/>
        </w:rPr>
        <w:t>ف حسب ما جاء في التقرير (الصفحة</w:t>
      </w:r>
      <w:bookmarkStart w:id="2" w:name="TmpSave"/>
      <w:bookmarkEnd w:id="2"/>
      <w:r>
        <w:rPr>
          <w:rFonts w:hint="eastAsia"/>
          <w:rtl/>
        </w:rPr>
        <w:t> </w:t>
      </w:r>
      <w:r w:rsidR="002E14FF">
        <w:rPr>
          <w:rFonts w:hint="cs"/>
          <w:rtl/>
        </w:rPr>
        <w:t>6</w:t>
      </w:r>
      <w:r w:rsidR="0027273B">
        <w:rPr>
          <w:rFonts w:hint="cs"/>
          <w:rtl/>
        </w:rPr>
        <w:t>2 م</w:t>
      </w:r>
      <w:r w:rsidRPr="00863EC0">
        <w:rPr>
          <w:rFonts w:hint="cs"/>
          <w:rtl/>
        </w:rPr>
        <w:t>ن النص ال</w:t>
      </w:r>
      <w:r w:rsidR="00672810">
        <w:rPr>
          <w:rFonts w:hint="cs"/>
          <w:rtl/>
        </w:rPr>
        <w:t>انكليز</w:t>
      </w:r>
      <w:r w:rsidR="002E14FF">
        <w:rPr>
          <w:rFonts w:hint="cs"/>
          <w:rtl/>
        </w:rPr>
        <w:t>ي</w:t>
      </w:r>
      <w:r w:rsidRPr="00863EC0">
        <w:rPr>
          <w:rFonts w:hint="cs"/>
          <w:rtl/>
        </w:rPr>
        <w:t>).</w:t>
      </w:r>
    </w:p>
    <w:p w:rsidR="00DF7E80" w:rsidRPr="00863EC0" w:rsidRDefault="00DF7E80" w:rsidP="0027273B">
      <w:pPr>
        <w:pStyle w:val="SingleTxt"/>
        <w:rPr>
          <w:rFonts w:hint="cs"/>
          <w:lang w:val="es-ES_tradnl"/>
        </w:rPr>
      </w:pPr>
      <w:r>
        <w:rPr>
          <w:rFonts w:hint="cs"/>
          <w:rtl/>
          <w:lang w:val="es-ES_tradnl"/>
        </w:rPr>
        <w:t>24 -</w:t>
      </w:r>
      <w:r>
        <w:rPr>
          <w:rFonts w:hint="cs"/>
          <w:rtl/>
          <w:lang w:val="es-ES_tradnl"/>
        </w:rPr>
        <w:tab/>
      </w:r>
      <w:r w:rsidRPr="00863EC0">
        <w:rPr>
          <w:rFonts w:hint="cs"/>
          <w:rtl/>
        </w:rPr>
        <w:t>يرجى تقديم معلومات عن أثر تطبيق القرار الوزاري رقم 369 وبروتوكولاته وأدلته العملية، وكذلك مختلف البرامج المذكورة في التقرير، على منع وقوع حالات الحمل غير المرغوب فيه (الصفحة</w:t>
      </w:r>
      <w:r w:rsidR="0027273B">
        <w:rPr>
          <w:rFonts w:hint="cs"/>
          <w:rtl/>
        </w:rPr>
        <w:t xml:space="preserve"> 63</w:t>
      </w:r>
      <w:r w:rsidRPr="00863EC0">
        <w:rPr>
          <w:rFonts w:hint="cs"/>
          <w:rtl/>
        </w:rPr>
        <w:t xml:space="preserve"> النص ال</w:t>
      </w:r>
      <w:r w:rsidR="00672810">
        <w:rPr>
          <w:rFonts w:hint="cs"/>
          <w:rtl/>
        </w:rPr>
        <w:t>انكليز</w:t>
      </w:r>
      <w:r w:rsidR="0027273B">
        <w:rPr>
          <w:rFonts w:hint="cs"/>
          <w:rtl/>
        </w:rPr>
        <w:t>ي</w:t>
      </w:r>
      <w:r w:rsidRPr="00863EC0">
        <w:rPr>
          <w:rFonts w:hint="cs"/>
          <w:rtl/>
        </w:rPr>
        <w:t>).</w:t>
      </w:r>
    </w:p>
    <w:p w:rsidR="00DF7E80" w:rsidRPr="00863EC0" w:rsidRDefault="00DF7E80" w:rsidP="0027273B">
      <w:pPr>
        <w:pStyle w:val="SingleTxt"/>
        <w:rPr>
          <w:rFonts w:hint="cs"/>
          <w:lang w:val="es-ES_tradnl"/>
        </w:rPr>
      </w:pPr>
      <w:r>
        <w:rPr>
          <w:rFonts w:hint="cs"/>
          <w:rtl/>
        </w:rPr>
        <w:t>25 -</w:t>
      </w:r>
      <w:r>
        <w:rPr>
          <w:rFonts w:hint="cs"/>
          <w:rtl/>
        </w:rPr>
        <w:tab/>
      </w:r>
      <w:r w:rsidRPr="00863EC0">
        <w:rPr>
          <w:rFonts w:hint="cs"/>
          <w:rtl/>
        </w:rPr>
        <w:t xml:space="preserve">تعترف الدولة الطرف بأنه ليس لديها معلومات مستكملة ومصنفة حسب نوع الجنس بشأن مدى شمولية خدمات تنظيم الأسرة. يرجى التطرق للجهود المبذولة لتغيير هذا الوضع والنتائج التي حققتها مختلف البرامج المذكورة في التقرير (الصفحة </w:t>
      </w:r>
      <w:r w:rsidR="0027273B">
        <w:rPr>
          <w:rFonts w:hint="cs"/>
          <w:rtl/>
        </w:rPr>
        <w:t>57</w:t>
      </w:r>
      <w:r w:rsidRPr="00863EC0">
        <w:rPr>
          <w:rFonts w:hint="cs"/>
          <w:rtl/>
        </w:rPr>
        <w:t xml:space="preserve"> من النص ال</w:t>
      </w:r>
      <w:r w:rsidR="00672810">
        <w:rPr>
          <w:rFonts w:hint="cs"/>
          <w:rtl/>
        </w:rPr>
        <w:t>انكليز</w:t>
      </w:r>
      <w:r w:rsidR="0027273B">
        <w:rPr>
          <w:rFonts w:hint="cs"/>
          <w:rtl/>
        </w:rPr>
        <w:t>ي</w:t>
      </w:r>
      <w:r w:rsidRPr="00863EC0">
        <w:rPr>
          <w:rFonts w:hint="cs"/>
          <w:rtl/>
        </w:rPr>
        <w:t>).</w:t>
      </w:r>
    </w:p>
    <w:p w:rsidR="00DF7E80" w:rsidRPr="00863EC0" w:rsidRDefault="00DF7E80" w:rsidP="0027273B">
      <w:pPr>
        <w:pStyle w:val="SingleTxt"/>
        <w:rPr>
          <w:rFonts w:hint="cs"/>
          <w:lang w:val="es-ES_tradnl"/>
        </w:rPr>
      </w:pPr>
      <w:r>
        <w:rPr>
          <w:rFonts w:hint="cs"/>
          <w:rtl/>
          <w:lang w:val="es-ES_tradnl"/>
        </w:rPr>
        <w:t>26 -</w:t>
      </w:r>
      <w:r>
        <w:rPr>
          <w:rFonts w:hint="cs"/>
          <w:rtl/>
          <w:lang w:val="es-ES_tradnl"/>
        </w:rPr>
        <w:tab/>
      </w:r>
      <w:r w:rsidRPr="00863EC0">
        <w:rPr>
          <w:rFonts w:hint="cs"/>
          <w:rtl/>
        </w:rPr>
        <w:t xml:space="preserve">يشير التقرير إلى ارتفاع معدل الإصابة بفيروس نقص المناعة البشرية/الإيدز من 0.23 في المائة إلى 0.45 في المائة خلال عام 2004 (الصفحة </w:t>
      </w:r>
      <w:r w:rsidR="0027273B">
        <w:rPr>
          <w:rFonts w:hint="cs"/>
          <w:rtl/>
        </w:rPr>
        <w:t xml:space="preserve">61 </w:t>
      </w:r>
      <w:r w:rsidRPr="00863EC0">
        <w:rPr>
          <w:rFonts w:hint="cs"/>
          <w:rtl/>
        </w:rPr>
        <w:t>من النص ال</w:t>
      </w:r>
      <w:r w:rsidR="00672810">
        <w:rPr>
          <w:rFonts w:hint="cs"/>
          <w:rtl/>
        </w:rPr>
        <w:t>انكليز</w:t>
      </w:r>
      <w:r w:rsidR="0027273B">
        <w:rPr>
          <w:rFonts w:hint="cs"/>
          <w:rtl/>
        </w:rPr>
        <w:t>ي</w:t>
      </w:r>
      <w:r w:rsidRPr="00863EC0">
        <w:rPr>
          <w:rFonts w:hint="cs"/>
          <w:rtl/>
        </w:rPr>
        <w:t>). يرجى تقديم بيانات مستكملة عن معدل الإصابة بهذا المرض في نهاية عام 2007، وذكر التدابير الصحية والتثقيفية التي يعتزم اتخاذها لمكافحته</w:t>
      </w:r>
      <w:r w:rsidR="0027273B">
        <w:rPr>
          <w:rFonts w:hint="cs"/>
          <w:rtl/>
        </w:rPr>
        <w:t>.</w:t>
      </w:r>
      <w:r w:rsidRPr="00863EC0">
        <w:rPr>
          <w:rFonts w:hint="cs"/>
          <w:rtl/>
        </w:rPr>
        <w:t xml:space="preserve"> ويرجى أيضا تقديم معلومات، لا</w:t>
      </w:r>
      <w:r>
        <w:rPr>
          <w:rFonts w:hint="cs"/>
          <w:rtl/>
        </w:rPr>
        <w:t xml:space="preserve"> </w:t>
      </w:r>
      <w:r w:rsidRPr="00863EC0">
        <w:rPr>
          <w:rFonts w:hint="cs"/>
          <w:rtl/>
        </w:rPr>
        <w:t xml:space="preserve">سيما عن التدابير الوقائية وتدابير الرعاية المخصصة للنساء الحوامل، وذكر ما إذا كانت هذه الفئة السكانية تستطيع الحصول على </w:t>
      </w:r>
      <w:r w:rsidRPr="00863EC0">
        <w:rPr>
          <w:rFonts w:hint="cs"/>
          <w:rtl/>
          <w:lang w:bidi="ar"/>
        </w:rPr>
        <w:t>العلاج المضاد للفيروسات الرجعية</w:t>
      </w:r>
      <w:r w:rsidRPr="00863EC0">
        <w:rPr>
          <w:rFonts w:hint="cs"/>
          <w:rtl/>
        </w:rPr>
        <w:t>.</w:t>
      </w:r>
    </w:p>
    <w:p w:rsidR="00DF7E80" w:rsidRPr="008D596D" w:rsidRDefault="00DF7E80" w:rsidP="00DF7E80">
      <w:pPr>
        <w:pStyle w:val="SingleTxt"/>
        <w:spacing w:after="0" w:line="120" w:lineRule="exact"/>
        <w:rPr>
          <w:rFonts w:hint="cs"/>
          <w:sz w:val="10"/>
          <w:rtl/>
        </w:rPr>
      </w:pPr>
    </w:p>
    <w:p w:rsidR="00DF7E80" w:rsidRPr="00863EC0" w:rsidRDefault="00DF7E80" w:rsidP="00DF7E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3EC0">
        <w:rPr>
          <w:rFonts w:hint="cs"/>
          <w:rtl/>
        </w:rPr>
        <w:t>المرأة الريفية والأقليات</w:t>
      </w:r>
    </w:p>
    <w:p w:rsidR="00DF7E80" w:rsidRPr="00863EC0" w:rsidRDefault="00DF7E80" w:rsidP="0027273B">
      <w:pPr>
        <w:pStyle w:val="SingleTxt"/>
        <w:rPr>
          <w:rFonts w:hint="cs"/>
          <w:lang w:val="es-ES_tradnl"/>
        </w:rPr>
      </w:pPr>
      <w:r>
        <w:rPr>
          <w:rFonts w:hint="cs"/>
          <w:rtl/>
        </w:rPr>
        <w:t>27 -</w:t>
      </w:r>
      <w:r>
        <w:rPr>
          <w:rFonts w:hint="cs"/>
          <w:rtl/>
        </w:rPr>
        <w:tab/>
      </w:r>
      <w:r w:rsidRPr="00863EC0">
        <w:rPr>
          <w:rFonts w:hint="cs"/>
          <w:rtl/>
        </w:rPr>
        <w:t xml:space="preserve">يشير التقرير إلى وجود أوجه تفاوت ملحوظة بين </w:t>
      </w:r>
      <w:r w:rsidRPr="00863EC0">
        <w:rPr>
          <w:rFonts w:hint="cs"/>
          <w:rtl/>
          <w:lang w:bidi="ar"/>
        </w:rPr>
        <w:t>متوسط دخل الأسر التي تعولها امرأة والأسر التي يعولها رجل، لا</w:t>
      </w:r>
      <w:r>
        <w:rPr>
          <w:rFonts w:hint="cs"/>
          <w:rtl/>
          <w:lang w:bidi="ar"/>
        </w:rPr>
        <w:t xml:space="preserve"> </w:t>
      </w:r>
      <w:r w:rsidRPr="00863EC0">
        <w:rPr>
          <w:rFonts w:hint="cs"/>
          <w:rtl/>
          <w:lang w:bidi="ar"/>
        </w:rPr>
        <w:t xml:space="preserve">سيما في المناطق الريفية. كما توجد نسب عالية من العاملات بدون أجر في الأرياف. وفي هذا الصدد، يذكر التقرير عدم وجود سياسات عامة مخصصة للمرأة الريفية (الصفحة </w:t>
      </w:r>
      <w:r w:rsidR="0027273B">
        <w:rPr>
          <w:rFonts w:hint="cs"/>
          <w:rtl/>
          <w:lang w:bidi="ar"/>
        </w:rPr>
        <w:t>77</w:t>
      </w:r>
      <w:r w:rsidRPr="00863EC0">
        <w:rPr>
          <w:rFonts w:hint="cs"/>
          <w:rtl/>
          <w:lang w:bidi="ar"/>
        </w:rPr>
        <w:t xml:space="preserve"> من النص ال</w:t>
      </w:r>
      <w:r w:rsidR="00672810">
        <w:rPr>
          <w:rFonts w:hint="cs"/>
          <w:rtl/>
          <w:lang w:bidi="ar"/>
        </w:rPr>
        <w:t>انكليز</w:t>
      </w:r>
      <w:r w:rsidR="0027273B">
        <w:rPr>
          <w:rFonts w:hint="cs"/>
          <w:rtl/>
          <w:lang w:bidi="ar"/>
        </w:rPr>
        <w:t>ي</w:t>
      </w:r>
      <w:r w:rsidRPr="00863EC0">
        <w:rPr>
          <w:rFonts w:hint="cs"/>
          <w:rtl/>
          <w:lang w:bidi="ar"/>
        </w:rPr>
        <w:t>). يرجى ذكر ما إذا اتخذت تدابير محددة، أو من المعتزم اتخاذها، لضمان احترام حقوق الإنسان الخاصة بهذه الفئة السكانية، لا</w:t>
      </w:r>
      <w:r>
        <w:rPr>
          <w:rFonts w:hint="eastAsia"/>
          <w:rtl/>
          <w:lang w:bidi="ar"/>
        </w:rPr>
        <w:t> </w:t>
      </w:r>
      <w:r w:rsidRPr="00863EC0">
        <w:rPr>
          <w:rFonts w:hint="cs"/>
          <w:rtl/>
          <w:lang w:bidi="ar"/>
        </w:rPr>
        <w:t>سيما في مجالي العمل والصحة.</w:t>
      </w:r>
    </w:p>
    <w:p w:rsidR="00DF7E80" w:rsidRPr="00863EC0" w:rsidRDefault="00DF7E80" w:rsidP="00DF7E80">
      <w:pPr>
        <w:pStyle w:val="SingleTxt"/>
        <w:rPr>
          <w:rFonts w:hint="cs"/>
          <w:lang w:val="es-ES_tradnl"/>
        </w:rPr>
      </w:pPr>
      <w:r>
        <w:rPr>
          <w:rFonts w:hint="cs"/>
          <w:rtl/>
          <w:lang w:bidi="ar"/>
        </w:rPr>
        <w:t>28 -</w:t>
      </w:r>
      <w:r>
        <w:rPr>
          <w:rFonts w:hint="cs"/>
          <w:rtl/>
          <w:lang w:bidi="ar"/>
        </w:rPr>
        <w:tab/>
      </w:r>
      <w:r w:rsidRPr="00863EC0">
        <w:rPr>
          <w:rFonts w:hint="cs"/>
          <w:rtl/>
          <w:lang w:bidi="ar"/>
        </w:rPr>
        <w:t xml:space="preserve">بناء على </w:t>
      </w:r>
      <w:r w:rsidRPr="00863EC0">
        <w:rPr>
          <w:rFonts w:hint="cs"/>
          <w:rtl/>
        </w:rPr>
        <w:t>توصية سابقة للجنة، يرجى تقديم معلومات عن حالة حقوق الإنسان الخاصة بنساء الشعوب الأصلية</w:t>
      </w:r>
      <w:r w:rsidRPr="00863EC0">
        <w:rPr>
          <w:rFonts w:hint="cs"/>
          <w:rtl/>
          <w:lang w:bidi="ar"/>
        </w:rPr>
        <w:t xml:space="preserve"> والنساء المنحدرات من أصل أفريقي</w:t>
      </w:r>
      <w:r w:rsidRPr="008D596D">
        <w:rPr>
          <w:vertAlign w:val="superscript"/>
          <w:rtl/>
          <w:lang w:bidi="ar"/>
        </w:rPr>
        <w:t>(</w:t>
      </w:r>
      <w:r>
        <w:rPr>
          <w:rStyle w:val="FootnoteReference"/>
          <w:rtl/>
        </w:rPr>
        <w:footnoteReference w:id="5"/>
      </w:r>
      <w:r w:rsidRPr="008D596D">
        <w:rPr>
          <w:vertAlign w:val="superscript"/>
          <w:rtl/>
          <w:lang w:bidi="ar"/>
        </w:rPr>
        <w:t>)</w:t>
      </w:r>
      <w:r w:rsidRPr="00863EC0">
        <w:rPr>
          <w:rFonts w:hint="cs"/>
          <w:rtl/>
          <w:lang w:bidi="ar"/>
        </w:rPr>
        <w:t>.</w:t>
      </w:r>
    </w:p>
    <w:p w:rsidR="00DF7E80" w:rsidRPr="008D596D" w:rsidRDefault="00DF7E80" w:rsidP="00DF7E80">
      <w:pPr>
        <w:pStyle w:val="SingleTxt"/>
        <w:spacing w:after="0" w:line="120" w:lineRule="exact"/>
        <w:rPr>
          <w:rFonts w:hint="cs"/>
          <w:sz w:val="10"/>
          <w:rtl/>
          <w:lang w:bidi="ar"/>
        </w:rPr>
      </w:pPr>
    </w:p>
    <w:p w:rsidR="00DF7E80" w:rsidRPr="00863EC0" w:rsidRDefault="00DF7E80" w:rsidP="00DF7E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r>
      <w:r w:rsidRPr="00863EC0">
        <w:rPr>
          <w:rFonts w:hint="cs"/>
          <w:rtl/>
          <w:lang w:bidi="ar"/>
        </w:rPr>
        <w:t>الزواج والأسرة</w:t>
      </w:r>
    </w:p>
    <w:p w:rsidR="00DF7E80" w:rsidRDefault="00DF7E80" w:rsidP="00DF7E80">
      <w:pPr>
        <w:pStyle w:val="SingleTxt"/>
        <w:rPr>
          <w:rFonts w:hint="cs"/>
          <w:rtl/>
        </w:rPr>
      </w:pPr>
      <w:r>
        <w:rPr>
          <w:rFonts w:hint="cs"/>
          <w:rtl/>
          <w:lang w:bidi="ar"/>
        </w:rPr>
        <w:t>29 -</w:t>
      </w:r>
      <w:r>
        <w:rPr>
          <w:rFonts w:hint="cs"/>
          <w:rtl/>
          <w:lang w:bidi="ar"/>
        </w:rPr>
        <w:tab/>
      </w:r>
      <w:r w:rsidRPr="00863EC0">
        <w:rPr>
          <w:rFonts w:hint="cs"/>
          <w:rtl/>
          <w:lang w:bidi="ar"/>
        </w:rPr>
        <w:t>يرجى ذكر إلى أي مدى يعتزَم تنفيذ التوصيات الصادرة عن كل من اللجنة المعنية بالقضاء على التمييز ضد المرأة</w:t>
      </w:r>
      <w:r w:rsidRPr="008D596D">
        <w:rPr>
          <w:vertAlign w:val="superscript"/>
          <w:rtl/>
          <w:lang w:bidi="ar"/>
        </w:rPr>
        <w:t>(</w:t>
      </w:r>
      <w:r>
        <w:rPr>
          <w:rStyle w:val="FootnoteReference"/>
          <w:rtl/>
        </w:rPr>
        <w:footnoteReference w:id="6"/>
      </w:r>
      <w:r w:rsidRPr="008D596D">
        <w:rPr>
          <w:vertAlign w:val="superscript"/>
          <w:rtl/>
          <w:lang w:bidi="ar"/>
        </w:rPr>
        <w:t>)</w:t>
      </w:r>
      <w:r>
        <w:rPr>
          <w:rFonts w:hint="cs"/>
          <w:vertAlign w:val="superscript"/>
          <w:rtl/>
          <w:lang w:bidi="ar"/>
        </w:rPr>
        <w:t xml:space="preserve"> </w:t>
      </w:r>
      <w:r w:rsidRPr="00863EC0">
        <w:rPr>
          <w:rFonts w:hint="cs"/>
          <w:rtl/>
          <w:lang w:bidi="ar"/>
        </w:rPr>
        <w:t>ولجنة حقوق الطفل في إطار تقييم التقرير الدوري الثاني (</w:t>
      </w:r>
      <w:r w:rsidRPr="00863EC0">
        <w:rPr>
          <w:lang w:val="es-ES_tradnl"/>
        </w:rPr>
        <w:t>CRC/C/URY/CO/2</w:t>
      </w:r>
      <w:r w:rsidRPr="00863EC0">
        <w:rPr>
          <w:rFonts w:hint="cs"/>
          <w:rtl/>
          <w:lang w:bidi="ar"/>
        </w:rPr>
        <w:t xml:space="preserve">، الفقرة 26)، عن طريق تعديل بعض الأحكام التمييزية الواردة في </w:t>
      </w:r>
      <w:r w:rsidRPr="00863EC0">
        <w:rPr>
          <w:rFonts w:hint="cs"/>
          <w:rtl/>
        </w:rPr>
        <w:t>القانون المدني بشأن الأسرة والزواج. ويرجى ذكر ما إذا عدلت على الخصوص الفقرة 2 من المادة 16، التي تحدد الحد الأدنى لسن الزواج. ويرجى أيضا تقديم معلومات عن استمرار حظر الزواج الذي تفرضه المادة 112 من القانون المدني على الأرملة أو المطلقة خلال فترة مدتها 301 يوما بعد الطلاق أو وفاة الزوج</w:t>
      </w:r>
      <w:r>
        <w:rPr>
          <w:rFonts w:hint="cs"/>
          <w:rtl/>
        </w:rPr>
        <w:t xml:space="preserve">، وكذلك حرمان المرأة التي تعيش </w:t>
      </w:r>
      <w:r>
        <w:rPr>
          <w:rFonts w:hint="eastAsia"/>
          <w:rtl/>
        </w:rPr>
        <w:t>”</w:t>
      </w:r>
      <w:r>
        <w:rPr>
          <w:rFonts w:hint="cs"/>
          <w:rtl/>
        </w:rPr>
        <w:t>حياة لا</w:t>
      </w:r>
      <w:r>
        <w:rPr>
          <w:rFonts w:hint="eastAsia"/>
          <w:rtl/>
        </w:rPr>
        <w:t> </w:t>
      </w:r>
      <w:r>
        <w:rPr>
          <w:rFonts w:hint="cs"/>
          <w:rtl/>
        </w:rPr>
        <w:t>أخلاقية</w:t>
      </w:r>
      <w:r>
        <w:rPr>
          <w:rFonts w:hint="eastAsia"/>
          <w:rtl/>
        </w:rPr>
        <w:t>“</w:t>
      </w:r>
      <w:r w:rsidRPr="00863EC0">
        <w:rPr>
          <w:rFonts w:hint="cs"/>
          <w:rtl/>
        </w:rPr>
        <w:t xml:space="preserve"> من الحصول على النفقة (المادة 183).</w:t>
      </w:r>
    </w:p>
    <w:p w:rsidR="00376BD9" w:rsidRPr="00EA6D18" w:rsidRDefault="00EA6D18" w:rsidP="00376BD9">
      <w:pPr>
        <w:pStyle w:val="SingleTxt"/>
        <w:spacing w:after="0" w:line="240" w:lineRule="auto"/>
        <w:rPr>
          <w:rFonts w:hint="cs"/>
          <w:rtl/>
        </w:rPr>
      </w:pPr>
      <w:r>
        <w:rPr>
          <w:rFonts w:hint="cs"/>
          <w:noProof/>
          <w:w w:val="100"/>
          <w:rtl/>
        </w:rPr>
        <w:pict>
          <v:line id="_x0000_s1031" style="position:absolute;left:0;text-align:left;z-index:1" from="206.6pt,24pt" to="278.6pt,24pt" strokeweight=".25pt">
            <w10:wrap anchorx="page"/>
          </v:line>
        </w:pict>
      </w:r>
    </w:p>
    <w:sectPr w:rsidR="00376BD9" w:rsidRPr="00EA6D18" w:rsidSect="009E61E4">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18T17:06:00Z" w:initials="Start">
    <w:p w:rsidR="003D1C5D" w:rsidRDefault="003D1C5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NO&gt;&gt;N0822024A&lt;&lt;ODS JOB NO</w:t>
      </w:r>
      <w:r>
        <w:rPr>
          <w:rtl/>
        </w:rPr>
        <w:t>&gt;&gt;</w:t>
      </w:r>
    </w:p>
    <w:p w:rsidR="003D1C5D" w:rsidRDefault="003D1C5D">
      <w:pPr>
        <w:pStyle w:val="CommentText"/>
        <w:rPr>
          <w:rtl/>
        </w:rPr>
      </w:pPr>
      <w:r>
        <w:rPr>
          <w:rtl/>
        </w:rPr>
        <w:t>&lt;&lt;</w:t>
      </w:r>
      <w:r>
        <w:t>ODS DOC SYMBOL1&gt;&gt;CEDAW/C/URY/Q/7*&lt;&lt;ODS DOC SYMBOL1</w:t>
      </w:r>
      <w:r>
        <w:rPr>
          <w:rtl/>
        </w:rPr>
        <w:t>&gt;&gt;</w:t>
      </w:r>
    </w:p>
    <w:p w:rsidR="003D1C5D" w:rsidRDefault="003D1C5D">
      <w:pPr>
        <w:pStyle w:val="CommentText"/>
      </w:pPr>
      <w:r>
        <w:rPr>
          <w:rtl/>
        </w:rPr>
        <w:t>&lt;&lt;</w:t>
      </w:r>
      <w:r>
        <w:t>ODS DOC SYMBOL2&gt;&gt;&lt;&lt;ODS DOC SYMBOL2</w:t>
      </w:r>
      <w:r>
        <w:rPr>
          <w:rtl/>
        </w:rPr>
        <w:t>&gt;&gt;</w:t>
      </w:r>
    </w:p>
  </w:comment>
  <w:comment w:id="1" w:author="Start" w:date="2008-03-18T17:10:00Z" w:initials="Start">
    <w:p w:rsidR="003D1C5D" w:rsidRDefault="003D1C5D" w:rsidP="00DF7E80">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NO&gt;&gt;N0822024A&lt;&lt;ODS JOB NO</w:t>
      </w:r>
      <w:r>
        <w:rPr>
          <w:rtl/>
        </w:rPr>
        <w:t>&gt;&gt;</w:t>
      </w:r>
    </w:p>
    <w:p w:rsidR="003D1C5D" w:rsidRDefault="003D1C5D" w:rsidP="00DF7E80">
      <w:pPr>
        <w:pStyle w:val="CommentText"/>
        <w:rPr>
          <w:rtl/>
        </w:rPr>
      </w:pPr>
      <w:r>
        <w:rPr>
          <w:rtl/>
        </w:rPr>
        <w:t>&lt;&lt;</w:t>
      </w:r>
      <w:r>
        <w:t>ODS DOC SYMBOL1&gt;&gt;CEDAW/C/URY/Q/7&lt;&lt;ODS DOC SYMBOL1</w:t>
      </w:r>
      <w:r>
        <w:rPr>
          <w:rtl/>
        </w:rPr>
        <w:t>&gt;&gt;</w:t>
      </w:r>
    </w:p>
    <w:p w:rsidR="003D1C5D" w:rsidRDefault="003D1C5D" w:rsidP="00DF7E80">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C6" w:rsidRDefault="008B59C6">
      <w:r>
        <w:separator/>
      </w:r>
    </w:p>
  </w:endnote>
  <w:endnote w:type="continuationSeparator" w:id="0">
    <w:p w:rsidR="008B59C6" w:rsidRDefault="008B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D1C5D">
      <w:tblPrEx>
        <w:tblCellMar>
          <w:top w:w="0" w:type="dxa"/>
          <w:bottom w:w="0" w:type="dxa"/>
        </w:tblCellMar>
      </w:tblPrEx>
      <w:tc>
        <w:tcPr>
          <w:tcW w:w="5033" w:type="dxa"/>
          <w:shd w:val="clear" w:color="auto" w:fill="auto"/>
        </w:tcPr>
        <w:p w:rsidR="003D1C5D" w:rsidRPr="007267FF" w:rsidRDefault="003D1C5D" w:rsidP="007267FF">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3D1C5D" w:rsidRPr="007267FF" w:rsidRDefault="003D1C5D" w:rsidP="007267F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08-22024</w:t>
          </w:r>
          <w:r>
            <w:rPr>
              <w:b w:val="0"/>
              <w:w w:val="103"/>
            </w:rPr>
            <w:fldChar w:fldCharType="end"/>
          </w:r>
        </w:p>
      </w:tc>
    </w:tr>
  </w:tbl>
  <w:p w:rsidR="003D1C5D" w:rsidRPr="007267FF" w:rsidRDefault="003D1C5D" w:rsidP="00726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D1C5D">
      <w:tblPrEx>
        <w:tblCellMar>
          <w:top w:w="0" w:type="dxa"/>
          <w:bottom w:w="0" w:type="dxa"/>
        </w:tblCellMar>
      </w:tblPrEx>
      <w:tc>
        <w:tcPr>
          <w:tcW w:w="5033" w:type="dxa"/>
          <w:shd w:val="clear" w:color="auto" w:fill="auto"/>
        </w:tcPr>
        <w:p w:rsidR="003D1C5D" w:rsidRPr="007267FF" w:rsidRDefault="003D1C5D" w:rsidP="007267FF">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08-22024</w:t>
          </w:r>
          <w:r>
            <w:rPr>
              <w:b w:val="0"/>
              <w:w w:val="103"/>
            </w:rPr>
            <w:fldChar w:fldCharType="end"/>
          </w:r>
        </w:p>
      </w:tc>
      <w:tc>
        <w:tcPr>
          <w:tcW w:w="5033" w:type="dxa"/>
          <w:shd w:val="clear" w:color="auto" w:fill="auto"/>
        </w:tcPr>
        <w:p w:rsidR="003D1C5D" w:rsidRPr="007267FF" w:rsidRDefault="003D1C5D" w:rsidP="007267FF">
          <w:pPr>
            <w:pStyle w:val="Footer"/>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r>
  </w:tbl>
  <w:p w:rsidR="003D1C5D" w:rsidRPr="007267FF" w:rsidRDefault="003D1C5D" w:rsidP="00726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5D" w:rsidRDefault="003D1C5D">
    <w:pPr>
      <w:pStyle w:val="Footer"/>
    </w:pPr>
  </w:p>
  <w:p w:rsidR="003D1C5D" w:rsidRDefault="003D1C5D" w:rsidP="007267FF">
    <w:pPr>
      <w:pStyle w:val="Footer"/>
      <w:jc w:val="right"/>
      <w:rPr>
        <w:rFonts w:cs="Times New Roman"/>
        <w:b w:val="0"/>
        <w:w w:val="103"/>
        <w:sz w:val="20"/>
      </w:rPr>
    </w:pPr>
    <w:r>
      <w:rPr>
        <w:rFonts w:cs="Times New Roman"/>
        <w:b w:val="0"/>
        <w:w w:val="103"/>
        <w:sz w:val="20"/>
      </w:rPr>
      <w:t xml:space="preserve">180308    180308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08-22024 (A)</w:t>
    </w:r>
    <w:r>
      <w:rPr>
        <w:rFonts w:cs="Times New Roman"/>
        <w:b w:val="0"/>
        <w:w w:val="103"/>
        <w:sz w:val="20"/>
      </w:rPr>
      <w:fldChar w:fldCharType="end"/>
    </w:r>
  </w:p>
  <w:p w:rsidR="003D1C5D" w:rsidRPr="007267FF" w:rsidRDefault="003D1C5D" w:rsidP="007267FF">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*0822024*</w:t>
    </w:r>
    <w:r>
      <w:rPr>
        <w:rFonts w:ascii="Barcode 3 of 9 by request" w:hAnsi="Barcode 3 of 9 by request" w:cs="Times New Roman"/>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D1C5D">
      <w:tblPrEx>
        <w:tblCellMar>
          <w:top w:w="0" w:type="dxa"/>
          <w:bottom w:w="0" w:type="dxa"/>
        </w:tblCellMar>
      </w:tblPrEx>
      <w:tc>
        <w:tcPr>
          <w:tcW w:w="5033" w:type="dxa"/>
          <w:shd w:val="clear" w:color="auto" w:fill="auto"/>
        </w:tcPr>
        <w:p w:rsidR="003D1C5D" w:rsidRPr="001529E4" w:rsidRDefault="003D1C5D" w:rsidP="009E61E4">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p>
      </w:tc>
      <w:tc>
        <w:tcPr>
          <w:tcW w:w="5033" w:type="dxa"/>
          <w:shd w:val="clear" w:color="auto" w:fill="auto"/>
        </w:tcPr>
        <w:p w:rsidR="003D1C5D" w:rsidRPr="001529E4" w:rsidRDefault="003D1C5D" w:rsidP="009E61E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08-22024</w:t>
          </w:r>
          <w:r>
            <w:rPr>
              <w:b w:val="0"/>
              <w:w w:val="103"/>
            </w:rPr>
            <w:fldChar w:fldCharType="end"/>
          </w:r>
        </w:p>
      </w:tc>
    </w:tr>
  </w:tbl>
  <w:p w:rsidR="003D1C5D" w:rsidRPr="001529E4" w:rsidRDefault="003D1C5D" w:rsidP="009E61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D1C5D">
      <w:tblPrEx>
        <w:tblCellMar>
          <w:top w:w="0" w:type="dxa"/>
          <w:bottom w:w="0" w:type="dxa"/>
        </w:tblCellMar>
      </w:tblPrEx>
      <w:tc>
        <w:tcPr>
          <w:tcW w:w="5033" w:type="dxa"/>
          <w:shd w:val="clear" w:color="auto" w:fill="auto"/>
        </w:tcPr>
        <w:p w:rsidR="003D1C5D" w:rsidRPr="001529E4" w:rsidRDefault="003D1C5D" w:rsidP="009E61E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08-22024</w:t>
          </w:r>
          <w:r>
            <w:rPr>
              <w:b w:val="0"/>
              <w:w w:val="103"/>
            </w:rPr>
            <w:fldChar w:fldCharType="end"/>
          </w:r>
        </w:p>
      </w:tc>
      <w:tc>
        <w:tcPr>
          <w:tcW w:w="5033" w:type="dxa"/>
          <w:shd w:val="clear" w:color="auto" w:fill="auto"/>
        </w:tcPr>
        <w:p w:rsidR="003D1C5D" w:rsidRPr="001529E4" w:rsidRDefault="003D1C5D" w:rsidP="009E61E4">
          <w:pPr>
            <w:pStyle w:val="Footer"/>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r>
  </w:tbl>
  <w:p w:rsidR="003D1C5D" w:rsidRPr="001529E4" w:rsidRDefault="003D1C5D" w:rsidP="009E61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5D" w:rsidRDefault="003D1C5D">
    <w:pPr>
      <w:pStyle w:val="Footer"/>
    </w:pPr>
  </w:p>
  <w:p w:rsidR="003D1C5D" w:rsidRDefault="003D1C5D" w:rsidP="009E61E4">
    <w:pPr>
      <w:pStyle w:val="Footer"/>
      <w:jc w:val="right"/>
      <w:rPr>
        <w:rFonts w:cs="Times New Roman"/>
        <w:b w:val="0"/>
        <w:w w:val="103"/>
        <w:sz w:val="20"/>
      </w:rPr>
    </w:pPr>
    <w:r>
      <w:rPr>
        <w:rFonts w:cs="Times New Roman"/>
        <w:b w:val="0"/>
        <w:w w:val="103"/>
        <w:sz w:val="20"/>
      </w:rPr>
      <w:t xml:space="preserve">300108    300108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08-22024 (A)</w:t>
    </w:r>
    <w:r>
      <w:rPr>
        <w:rFonts w:cs="Times New Roman"/>
        <w:b w:val="0"/>
        <w:w w:val="103"/>
        <w:sz w:val="20"/>
      </w:rPr>
      <w:fldChar w:fldCharType="end"/>
    </w:r>
  </w:p>
  <w:p w:rsidR="003D1C5D" w:rsidRPr="001529E4" w:rsidRDefault="003D1C5D" w:rsidP="009E61E4">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*0822024*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C6" w:rsidRPr="00672810" w:rsidRDefault="008B59C6" w:rsidP="00672810">
      <w:pPr>
        <w:pStyle w:val="Footer"/>
        <w:bidi/>
        <w:spacing w:after="80"/>
        <w:ind w:left="792"/>
        <w:rPr>
          <w:sz w:val="16"/>
        </w:rPr>
      </w:pPr>
      <w:r w:rsidRPr="00672810">
        <w:rPr>
          <w:sz w:val="16"/>
          <w:rtl/>
        </w:rPr>
        <w:t>__________</w:t>
      </w:r>
    </w:p>
  </w:footnote>
  <w:footnote w:type="continuationSeparator" w:id="0">
    <w:p w:rsidR="008B59C6" w:rsidRPr="00672810" w:rsidRDefault="008B59C6" w:rsidP="00672810">
      <w:pPr>
        <w:pStyle w:val="Footer"/>
        <w:spacing w:after="80"/>
        <w:ind w:left="792"/>
        <w:rPr>
          <w:sz w:val="16"/>
        </w:rPr>
      </w:pPr>
      <w:r w:rsidRPr="00672810">
        <w:rPr>
          <w:sz w:val="16"/>
        </w:rPr>
        <w:t>__________</w:t>
      </w:r>
    </w:p>
  </w:footnote>
  <w:footnote w:id="1">
    <w:p w:rsidR="003D1C5D" w:rsidRDefault="003D1C5D" w:rsidP="00672810">
      <w:pPr>
        <w:pStyle w:val="FootnoteText"/>
        <w:tabs>
          <w:tab w:val="clear" w:pos="418"/>
          <w:tab w:val="right" w:pos="1195"/>
          <w:tab w:val="left" w:pos="1267"/>
          <w:tab w:val="left" w:pos="1656"/>
          <w:tab w:val="left" w:pos="2088"/>
        </w:tabs>
        <w:spacing w:after="80"/>
        <w:ind w:left="1267" w:right="1267" w:hanging="547"/>
        <w:rPr>
          <w:rFonts w:hint="cs"/>
          <w:rtl/>
        </w:rPr>
      </w:pPr>
      <w:r>
        <w:rPr>
          <w:rFonts w:hint="cs"/>
          <w:rtl/>
        </w:rPr>
        <w:tab/>
        <w:t>*</w:t>
      </w:r>
      <w:r>
        <w:rPr>
          <w:rFonts w:hint="cs"/>
          <w:rtl/>
        </w:rPr>
        <w:tab/>
        <w:t>أعيد إصدارها لأسباب فنية.</w:t>
      </w:r>
    </w:p>
    <w:p w:rsidR="003D1C5D" w:rsidRPr="00672810" w:rsidRDefault="003D1C5D" w:rsidP="0067281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72810">
        <w:rPr>
          <w:w w:val="103"/>
          <w:rtl/>
        </w:rPr>
        <w:t>(</w:t>
      </w:r>
      <w:r w:rsidRPr="00672810">
        <w:rPr>
          <w:rStyle w:val="FootnoteReference"/>
          <w:spacing w:val="0"/>
          <w:w w:val="103"/>
          <w:vertAlign w:val="baseline"/>
          <w:rtl/>
        </w:rPr>
        <w:footnoteRef/>
      </w:r>
      <w:r w:rsidRPr="00672810">
        <w:rPr>
          <w:w w:val="103"/>
          <w:rtl/>
        </w:rPr>
        <w:t>)</w:t>
      </w:r>
      <w:r w:rsidRPr="00672810">
        <w:rPr>
          <w:w w:val="103"/>
          <w:rtl/>
        </w:rPr>
        <w:tab/>
      </w:r>
      <w:r>
        <w:rPr>
          <w:rFonts w:hint="cs"/>
          <w:rtl/>
        </w:rPr>
        <w:t xml:space="preserve">انظر </w:t>
      </w:r>
      <w:r w:rsidRPr="00672810">
        <w:rPr>
          <w:rFonts w:hint="cs"/>
          <w:i/>
          <w:iCs/>
          <w:rtl/>
        </w:rPr>
        <w:t>الوثائق الرسمية للجمعية العامة،الدورة السابعة والخمسون، الملحق رقم 38</w:t>
      </w:r>
      <w:r>
        <w:rPr>
          <w:rFonts w:hint="cs"/>
          <w:rtl/>
        </w:rPr>
        <w:t xml:space="preserve"> (</w:t>
      </w:r>
      <w:r>
        <w:t>A/57/38</w:t>
      </w:r>
      <w:r>
        <w:rPr>
          <w:rFonts w:hint="cs"/>
          <w:rtl/>
        </w:rPr>
        <w:t>)، الجزء الأول، الفقرة 187.</w:t>
      </w:r>
    </w:p>
  </w:footnote>
  <w:footnote w:id="2">
    <w:p w:rsidR="003D1C5D" w:rsidRPr="00863EC0" w:rsidRDefault="003D1C5D" w:rsidP="00DF7E8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63EC0">
        <w:rPr>
          <w:w w:val="103"/>
          <w:rtl/>
          <w:lang w:bidi="ar"/>
        </w:rPr>
        <w:t>(</w:t>
      </w:r>
      <w:r w:rsidRPr="00863EC0">
        <w:rPr>
          <w:rStyle w:val="FootnoteReference"/>
          <w:spacing w:val="0"/>
          <w:w w:val="103"/>
          <w:vertAlign w:val="baseline"/>
          <w:rtl/>
        </w:rPr>
        <w:footnoteRef/>
      </w:r>
      <w:r w:rsidRPr="00863EC0">
        <w:rPr>
          <w:w w:val="103"/>
          <w:rtl/>
          <w:lang w:bidi="ar"/>
        </w:rPr>
        <w:t>)</w:t>
      </w:r>
      <w:r w:rsidRPr="00863EC0">
        <w:rPr>
          <w:w w:val="103"/>
          <w:rtl/>
        </w:rPr>
        <w:tab/>
      </w:r>
      <w:r>
        <w:rPr>
          <w:rFonts w:hint="cs"/>
          <w:rtl/>
        </w:rPr>
        <w:t>المرجع نفسه، الفقرة 197.</w:t>
      </w:r>
    </w:p>
  </w:footnote>
  <w:footnote w:id="3">
    <w:p w:rsidR="003D1C5D" w:rsidRPr="0027462B" w:rsidRDefault="003D1C5D" w:rsidP="00DF7E8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7462B">
        <w:rPr>
          <w:w w:val="103"/>
          <w:rtl/>
        </w:rPr>
        <w:t>(</w:t>
      </w:r>
      <w:r w:rsidRPr="0027462B">
        <w:rPr>
          <w:rStyle w:val="FootnoteReference"/>
          <w:spacing w:val="0"/>
          <w:w w:val="103"/>
          <w:vertAlign w:val="baseline"/>
          <w:rtl/>
        </w:rPr>
        <w:footnoteRef/>
      </w:r>
      <w:r w:rsidRPr="0027462B">
        <w:rPr>
          <w:w w:val="103"/>
          <w:rtl/>
        </w:rPr>
        <w:t>)</w:t>
      </w:r>
      <w:r w:rsidRPr="0027462B">
        <w:rPr>
          <w:w w:val="103"/>
          <w:rtl/>
        </w:rPr>
        <w:tab/>
      </w:r>
      <w:r w:rsidRPr="0027462B">
        <w:rPr>
          <w:rFonts w:hint="cs"/>
          <w:w w:val="103"/>
          <w:rtl/>
        </w:rPr>
        <w:t>المرجع نفسه، الفقرة 201.</w:t>
      </w:r>
    </w:p>
  </w:footnote>
  <w:footnote w:id="4">
    <w:p w:rsidR="003D1C5D" w:rsidRPr="008D596D" w:rsidRDefault="003D1C5D" w:rsidP="00DF7E8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D596D">
        <w:rPr>
          <w:w w:val="103"/>
          <w:rtl/>
        </w:rPr>
        <w:t>(</w:t>
      </w:r>
      <w:r w:rsidRPr="008D596D">
        <w:rPr>
          <w:rStyle w:val="FootnoteReference"/>
          <w:spacing w:val="0"/>
          <w:w w:val="103"/>
          <w:vertAlign w:val="baseline"/>
          <w:rtl/>
        </w:rPr>
        <w:footnoteRef/>
      </w:r>
      <w:r w:rsidRPr="008D596D">
        <w:rPr>
          <w:w w:val="103"/>
          <w:rtl/>
        </w:rPr>
        <w:t>)</w:t>
      </w:r>
      <w:r w:rsidRPr="008D596D">
        <w:rPr>
          <w:w w:val="103"/>
          <w:rtl/>
        </w:rPr>
        <w:tab/>
      </w:r>
      <w:r w:rsidRPr="008D596D">
        <w:rPr>
          <w:rFonts w:hint="cs"/>
          <w:w w:val="103"/>
          <w:rtl/>
        </w:rPr>
        <w:t>المرجع نفسه، الفقرة 193</w:t>
      </w:r>
      <w:r>
        <w:rPr>
          <w:rFonts w:hint="cs"/>
          <w:w w:val="103"/>
          <w:rtl/>
        </w:rPr>
        <w:t>.</w:t>
      </w:r>
    </w:p>
  </w:footnote>
  <w:footnote w:id="5">
    <w:p w:rsidR="003D1C5D" w:rsidRPr="008D596D" w:rsidRDefault="003D1C5D" w:rsidP="00DF7E8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D596D">
        <w:rPr>
          <w:w w:val="103"/>
          <w:rtl/>
          <w:lang w:bidi="ar"/>
        </w:rPr>
        <w:t>(</w:t>
      </w:r>
      <w:r w:rsidRPr="008D596D">
        <w:rPr>
          <w:rStyle w:val="FootnoteReference"/>
          <w:spacing w:val="0"/>
          <w:w w:val="103"/>
          <w:vertAlign w:val="baseline"/>
          <w:rtl/>
        </w:rPr>
        <w:footnoteRef/>
      </w:r>
      <w:r w:rsidRPr="008D596D">
        <w:rPr>
          <w:w w:val="103"/>
          <w:rtl/>
          <w:lang w:bidi="ar"/>
        </w:rPr>
        <w:t>)</w:t>
      </w:r>
      <w:r w:rsidRPr="008D596D">
        <w:rPr>
          <w:w w:val="103"/>
          <w:rtl/>
        </w:rPr>
        <w:tab/>
      </w:r>
      <w:r w:rsidRPr="008D596D">
        <w:rPr>
          <w:rFonts w:hint="cs"/>
          <w:w w:val="103"/>
          <w:rtl/>
        </w:rPr>
        <w:t>المرجع نفسه، الفقرة 209.</w:t>
      </w:r>
    </w:p>
  </w:footnote>
  <w:footnote w:id="6">
    <w:p w:rsidR="003D1C5D" w:rsidRPr="008D596D" w:rsidRDefault="003D1C5D" w:rsidP="00DF7E8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D596D">
        <w:rPr>
          <w:w w:val="103"/>
          <w:rtl/>
          <w:lang w:bidi="ar"/>
        </w:rPr>
        <w:t>(</w:t>
      </w:r>
      <w:r w:rsidRPr="008D596D">
        <w:rPr>
          <w:rStyle w:val="FootnoteReference"/>
          <w:spacing w:val="0"/>
          <w:w w:val="103"/>
          <w:vertAlign w:val="baseline"/>
          <w:rtl/>
        </w:rPr>
        <w:footnoteRef/>
      </w:r>
      <w:r w:rsidRPr="008D596D">
        <w:rPr>
          <w:w w:val="103"/>
          <w:rtl/>
          <w:lang w:bidi="ar"/>
        </w:rPr>
        <w:t>)</w:t>
      </w:r>
      <w:r w:rsidRPr="008D596D">
        <w:rPr>
          <w:w w:val="103"/>
          <w:rtl/>
        </w:rPr>
        <w:tab/>
      </w:r>
      <w:r w:rsidRPr="008D596D">
        <w:rPr>
          <w:rFonts w:hint="cs"/>
          <w:w w:val="103"/>
          <w:rtl/>
        </w:rPr>
        <w:t>المرجع نفسه، الفقرة 205</w:t>
      </w:r>
      <w:r>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5"/>
      <w:gridCol w:w="4945"/>
    </w:tblGrid>
    <w:tr w:rsidR="003D1C5D">
      <w:tblPrEx>
        <w:tblCellMar>
          <w:top w:w="0" w:type="dxa"/>
          <w:bottom w:w="0" w:type="dxa"/>
        </w:tblCellMar>
      </w:tblPrEx>
      <w:trPr>
        <w:trHeight w:hRule="exact" w:val="864"/>
        <w:jc w:val="center"/>
      </w:trPr>
      <w:tc>
        <w:tcPr>
          <w:tcW w:w="5033" w:type="dxa"/>
          <w:shd w:val="clear" w:color="auto" w:fill="auto"/>
          <w:vAlign w:val="bottom"/>
        </w:tcPr>
        <w:p w:rsidR="003D1C5D" w:rsidRDefault="003D1C5D" w:rsidP="007267FF">
          <w:pPr>
            <w:pStyle w:val="Header"/>
            <w:bidi/>
            <w:jc w:val="right"/>
          </w:pPr>
        </w:p>
      </w:tc>
      <w:tc>
        <w:tcPr>
          <w:tcW w:w="5033" w:type="dxa"/>
          <w:shd w:val="clear" w:color="auto" w:fill="auto"/>
          <w:vAlign w:val="bottom"/>
        </w:tcPr>
        <w:p w:rsidR="003D1C5D" w:rsidRPr="007267FF" w:rsidRDefault="003D1C5D" w:rsidP="007267FF">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CEDAW/C/URY/Q/7</w:t>
          </w:r>
          <w:r>
            <w:rPr>
              <w:w w:val="103"/>
            </w:rPr>
            <w:fldChar w:fldCharType="end"/>
          </w:r>
        </w:p>
      </w:tc>
    </w:tr>
  </w:tbl>
  <w:p w:rsidR="003D1C5D" w:rsidRPr="007267FF" w:rsidRDefault="003D1C5D" w:rsidP="00726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5"/>
      <w:gridCol w:w="4905"/>
    </w:tblGrid>
    <w:tr w:rsidR="003D1C5D">
      <w:tblPrEx>
        <w:tblCellMar>
          <w:top w:w="0" w:type="dxa"/>
          <w:bottom w:w="0" w:type="dxa"/>
        </w:tblCellMar>
      </w:tblPrEx>
      <w:trPr>
        <w:trHeight w:hRule="exact" w:val="864"/>
        <w:jc w:val="center"/>
      </w:trPr>
      <w:tc>
        <w:tcPr>
          <w:tcW w:w="5033" w:type="dxa"/>
          <w:shd w:val="clear" w:color="auto" w:fill="auto"/>
          <w:vAlign w:val="bottom"/>
        </w:tcPr>
        <w:p w:rsidR="003D1C5D" w:rsidRPr="007267FF" w:rsidRDefault="003D1C5D" w:rsidP="007267FF">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CEDAW/C/URY/Q/7</w:t>
          </w:r>
          <w:r>
            <w:rPr>
              <w:w w:val="103"/>
              <w:rtl/>
            </w:rPr>
            <w:fldChar w:fldCharType="end"/>
          </w:r>
        </w:p>
      </w:tc>
      <w:tc>
        <w:tcPr>
          <w:tcW w:w="5033" w:type="dxa"/>
          <w:shd w:val="clear" w:color="auto" w:fill="auto"/>
          <w:vAlign w:val="bottom"/>
        </w:tcPr>
        <w:p w:rsidR="003D1C5D" w:rsidRDefault="003D1C5D" w:rsidP="007267FF">
          <w:pPr>
            <w:pStyle w:val="Header"/>
          </w:pPr>
        </w:p>
      </w:tc>
    </w:tr>
  </w:tbl>
  <w:p w:rsidR="003D1C5D" w:rsidRPr="007267FF" w:rsidRDefault="003D1C5D" w:rsidP="00726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D1C5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D1C5D" w:rsidRDefault="003D1C5D" w:rsidP="007267FF">
          <w:pPr>
            <w:pStyle w:val="Header"/>
            <w:spacing w:after="120"/>
          </w:pPr>
        </w:p>
      </w:tc>
      <w:tc>
        <w:tcPr>
          <w:tcW w:w="1786" w:type="dxa"/>
          <w:tcBorders>
            <w:bottom w:val="single" w:sz="4" w:space="0" w:color="auto"/>
          </w:tcBorders>
          <w:shd w:val="clear" w:color="auto" w:fill="auto"/>
          <w:vAlign w:val="bottom"/>
        </w:tcPr>
        <w:p w:rsidR="003D1C5D" w:rsidRPr="007267FF" w:rsidRDefault="003D1C5D" w:rsidP="007267F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D1C5D" w:rsidRDefault="003D1C5D" w:rsidP="007267FF">
          <w:pPr>
            <w:pStyle w:val="Header"/>
            <w:spacing w:after="120"/>
          </w:pPr>
        </w:p>
      </w:tc>
      <w:tc>
        <w:tcPr>
          <w:tcW w:w="6523" w:type="dxa"/>
          <w:gridSpan w:val="3"/>
          <w:tcBorders>
            <w:bottom w:val="single" w:sz="4" w:space="0" w:color="auto"/>
          </w:tcBorders>
          <w:shd w:val="clear" w:color="auto" w:fill="auto"/>
          <w:vAlign w:val="bottom"/>
        </w:tcPr>
        <w:p w:rsidR="003D1C5D" w:rsidRPr="007267FF" w:rsidRDefault="003D1C5D" w:rsidP="007267FF">
          <w:pPr>
            <w:spacing w:line="380" w:lineRule="exact"/>
            <w:jc w:val="right"/>
          </w:pPr>
          <w:r>
            <w:rPr>
              <w:sz w:val="40"/>
            </w:rPr>
            <w:t>CEDAW</w:t>
          </w:r>
          <w:r>
            <w:t>/C/URY/Q/7*</w:t>
          </w:r>
        </w:p>
      </w:tc>
    </w:tr>
    <w:tr w:rsidR="003D1C5D" w:rsidRPr="007267FF">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D1C5D" w:rsidRDefault="003D1C5D" w:rsidP="007267FF">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D1C5D" w:rsidRPr="007267FF" w:rsidRDefault="003D1C5D" w:rsidP="007267FF">
          <w:pPr>
            <w:pStyle w:val="Header"/>
            <w:spacing w:before="109"/>
            <w:jc w:val="right"/>
          </w:pPr>
        </w:p>
      </w:tc>
      <w:tc>
        <w:tcPr>
          <w:tcW w:w="5227" w:type="dxa"/>
          <w:gridSpan w:val="3"/>
          <w:tcBorders>
            <w:top w:val="single" w:sz="4" w:space="0" w:color="auto"/>
            <w:bottom w:val="single" w:sz="12" w:space="0" w:color="auto"/>
          </w:tcBorders>
          <w:shd w:val="clear" w:color="auto" w:fill="auto"/>
        </w:tcPr>
        <w:p w:rsidR="003D1C5D" w:rsidRPr="007267FF" w:rsidRDefault="003D1C5D" w:rsidP="007267FF">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D1C5D" w:rsidRPr="007267FF" w:rsidRDefault="003D1C5D" w:rsidP="007267FF">
          <w:pPr>
            <w:pStyle w:val="Header"/>
            <w:spacing w:before="109"/>
          </w:pPr>
        </w:p>
      </w:tc>
      <w:tc>
        <w:tcPr>
          <w:tcW w:w="3100" w:type="dxa"/>
          <w:gridSpan w:val="2"/>
          <w:tcBorders>
            <w:top w:val="single" w:sz="4" w:space="0" w:color="auto"/>
            <w:bottom w:val="single" w:sz="12" w:space="0" w:color="auto"/>
          </w:tcBorders>
          <w:shd w:val="clear" w:color="auto" w:fill="auto"/>
        </w:tcPr>
        <w:p w:rsidR="003D1C5D" w:rsidRDefault="003D1C5D" w:rsidP="007267FF">
          <w:pPr>
            <w:bidi w:val="0"/>
            <w:spacing w:before="240" w:line="240" w:lineRule="exact"/>
          </w:pPr>
          <w:r>
            <w:t>Distr.: General</w:t>
          </w:r>
        </w:p>
        <w:p w:rsidR="003D1C5D" w:rsidRDefault="003D1C5D" w:rsidP="007267FF">
          <w:pPr>
            <w:bidi w:val="0"/>
            <w:spacing w:line="240" w:lineRule="exact"/>
            <w:jc w:val="left"/>
          </w:pPr>
          <w:r>
            <w:t>6 March 2008</w:t>
          </w:r>
        </w:p>
        <w:p w:rsidR="003D1C5D" w:rsidRDefault="003D1C5D" w:rsidP="007267FF">
          <w:pPr>
            <w:bidi w:val="0"/>
            <w:spacing w:line="240" w:lineRule="exact"/>
            <w:jc w:val="left"/>
          </w:pPr>
          <w:r>
            <w:t>Arabic</w:t>
          </w:r>
        </w:p>
        <w:p w:rsidR="003D1C5D" w:rsidRPr="007267FF" w:rsidRDefault="003D1C5D" w:rsidP="007267FF">
          <w:pPr>
            <w:bidi w:val="0"/>
            <w:spacing w:line="240" w:lineRule="exact"/>
            <w:jc w:val="left"/>
          </w:pPr>
          <w:r>
            <w:t>Original: English/Spanish</w:t>
          </w:r>
        </w:p>
      </w:tc>
    </w:tr>
  </w:tbl>
  <w:p w:rsidR="003D1C5D" w:rsidRPr="007267FF" w:rsidRDefault="003D1C5D" w:rsidP="007267FF">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5"/>
      <w:gridCol w:w="4945"/>
    </w:tblGrid>
    <w:tr w:rsidR="003D1C5D">
      <w:tblPrEx>
        <w:tblCellMar>
          <w:top w:w="0" w:type="dxa"/>
          <w:bottom w:w="0" w:type="dxa"/>
        </w:tblCellMar>
      </w:tblPrEx>
      <w:trPr>
        <w:trHeight w:hRule="exact" w:val="864"/>
        <w:jc w:val="center"/>
      </w:trPr>
      <w:tc>
        <w:tcPr>
          <w:tcW w:w="5033" w:type="dxa"/>
          <w:shd w:val="clear" w:color="auto" w:fill="auto"/>
          <w:vAlign w:val="bottom"/>
        </w:tcPr>
        <w:p w:rsidR="003D1C5D" w:rsidRDefault="003D1C5D" w:rsidP="009E61E4">
          <w:pPr>
            <w:pStyle w:val="Header"/>
            <w:bidi/>
            <w:jc w:val="right"/>
          </w:pPr>
        </w:p>
      </w:tc>
      <w:tc>
        <w:tcPr>
          <w:tcW w:w="5033" w:type="dxa"/>
          <w:shd w:val="clear" w:color="auto" w:fill="auto"/>
          <w:vAlign w:val="bottom"/>
        </w:tcPr>
        <w:p w:rsidR="003D1C5D" w:rsidRPr="001529E4" w:rsidRDefault="003D1C5D" w:rsidP="009E61E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CEDAW/C/URY/Q/7</w:t>
          </w:r>
          <w:r>
            <w:rPr>
              <w:w w:val="103"/>
            </w:rPr>
            <w:fldChar w:fldCharType="end"/>
          </w:r>
        </w:p>
      </w:tc>
    </w:tr>
  </w:tbl>
  <w:p w:rsidR="003D1C5D" w:rsidRPr="001529E4" w:rsidRDefault="003D1C5D" w:rsidP="009E61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5"/>
      <w:gridCol w:w="4905"/>
    </w:tblGrid>
    <w:tr w:rsidR="003D1C5D">
      <w:tblPrEx>
        <w:tblCellMar>
          <w:top w:w="0" w:type="dxa"/>
          <w:bottom w:w="0" w:type="dxa"/>
        </w:tblCellMar>
      </w:tblPrEx>
      <w:trPr>
        <w:trHeight w:hRule="exact" w:val="864"/>
        <w:jc w:val="center"/>
      </w:trPr>
      <w:tc>
        <w:tcPr>
          <w:tcW w:w="5033" w:type="dxa"/>
          <w:shd w:val="clear" w:color="auto" w:fill="auto"/>
          <w:vAlign w:val="bottom"/>
        </w:tcPr>
        <w:p w:rsidR="003D1C5D" w:rsidRPr="001529E4" w:rsidRDefault="003D1C5D" w:rsidP="009E61E4">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CEDAW/C/URY/Q/7</w:t>
          </w:r>
          <w:r>
            <w:rPr>
              <w:w w:val="103"/>
              <w:rtl/>
            </w:rPr>
            <w:fldChar w:fldCharType="end"/>
          </w:r>
        </w:p>
      </w:tc>
      <w:tc>
        <w:tcPr>
          <w:tcW w:w="5033" w:type="dxa"/>
          <w:shd w:val="clear" w:color="auto" w:fill="auto"/>
          <w:vAlign w:val="bottom"/>
        </w:tcPr>
        <w:p w:rsidR="003D1C5D" w:rsidRDefault="003D1C5D" w:rsidP="009E61E4">
          <w:pPr>
            <w:pStyle w:val="Header"/>
          </w:pPr>
        </w:p>
      </w:tc>
    </w:tr>
  </w:tbl>
  <w:p w:rsidR="003D1C5D" w:rsidRPr="001529E4" w:rsidRDefault="003D1C5D" w:rsidP="009E61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D1C5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D1C5D" w:rsidRDefault="003D1C5D" w:rsidP="009E61E4">
          <w:pPr>
            <w:pStyle w:val="Header"/>
            <w:spacing w:after="120"/>
          </w:pPr>
        </w:p>
      </w:tc>
      <w:tc>
        <w:tcPr>
          <w:tcW w:w="1786" w:type="dxa"/>
          <w:tcBorders>
            <w:bottom w:val="single" w:sz="4" w:space="0" w:color="auto"/>
          </w:tcBorders>
          <w:shd w:val="clear" w:color="auto" w:fill="auto"/>
          <w:vAlign w:val="bottom"/>
        </w:tcPr>
        <w:p w:rsidR="003D1C5D" w:rsidRPr="001529E4" w:rsidRDefault="003D1C5D" w:rsidP="009E61E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D1C5D" w:rsidRDefault="003D1C5D" w:rsidP="009E61E4">
          <w:pPr>
            <w:pStyle w:val="Header"/>
            <w:spacing w:after="120"/>
          </w:pPr>
        </w:p>
      </w:tc>
      <w:tc>
        <w:tcPr>
          <w:tcW w:w="6523" w:type="dxa"/>
          <w:gridSpan w:val="3"/>
          <w:tcBorders>
            <w:bottom w:val="single" w:sz="4" w:space="0" w:color="auto"/>
          </w:tcBorders>
          <w:shd w:val="clear" w:color="auto" w:fill="auto"/>
          <w:vAlign w:val="bottom"/>
        </w:tcPr>
        <w:p w:rsidR="003D1C5D" w:rsidRPr="001529E4" w:rsidRDefault="003D1C5D" w:rsidP="009E61E4">
          <w:pPr>
            <w:spacing w:line="380" w:lineRule="exact"/>
            <w:jc w:val="right"/>
          </w:pPr>
          <w:r>
            <w:rPr>
              <w:sz w:val="40"/>
            </w:rPr>
            <w:t>CEDAW</w:t>
          </w:r>
          <w:r>
            <w:t>/C/URY/Q/7</w:t>
          </w:r>
        </w:p>
      </w:tc>
    </w:tr>
    <w:tr w:rsidR="003D1C5D" w:rsidRPr="001529E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D1C5D" w:rsidRDefault="003D1C5D" w:rsidP="009E61E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3D1C5D" w:rsidRPr="001529E4" w:rsidRDefault="003D1C5D" w:rsidP="009E61E4">
          <w:pPr>
            <w:pStyle w:val="Header"/>
            <w:spacing w:before="109"/>
            <w:jc w:val="right"/>
          </w:pPr>
        </w:p>
      </w:tc>
      <w:tc>
        <w:tcPr>
          <w:tcW w:w="5227" w:type="dxa"/>
          <w:gridSpan w:val="3"/>
          <w:tcBorders>
            <w:top w:val="single" w:sz="4" w:space="0" w:color="auto"/>
            <w:bottom w:val="single" w:sz="12" w:space="0" w:color="auto"/>
          </w:tcBorders>
          <w:shd w:val="clear" w:color="auto" w:fill="auto"/>
        </w:tcPr>
        <w:p w:rsidR="003D1C5D" w:rsidRPr="001529E4" w:rsidRDefault="003D1C5D" w:rsidP="009E61E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D1C5D" w:rsidRPr="001529E4" w:rsidRDefault="003D1C5D" w:rsidP="009E61E4">
          <w:pPr>
            <w:pStyle w:val="Header"/>
            <w:spacing w:before="109"/>
          </w:pPr>
        </w:p>
      </w:tc>
      <w:tc>
        <w:tcPr>
          <w:tcW w:w="3100" w:type="dxa"/>
          <w:gridSpan w:val="2"/>
          <w:tcBorders>
            <w:top w:val="single" w:sz="4" w:space="0" w:color="auto"/>
            <w:bottom w:val="single" w:sz="12" w:space="0" w:color="auto"/>
          </w:tcBorders>
          <w:shd w:val="clear" w:color="auto" w:fill="auto"/>
        </w:tcPr>
        <w:p w:rsidR="003D1C5D" w:rsidRDefault="003D1C5D" w:rsidP="009E61E4">
          <w:pPr>
            <w:bidi w:val="0"/>
            <w:spacing w:before="240"/>
            <w:rPr>
              <w:rtl/>
            </w:rPr>
          </w:pPr>
          <w:r>
            <w:t>Distr.: General</w:t>
          </w:r>
        </w:p>
        <w:p w:rsidR="003D1C5D" w:rsidRDefault="003D1C5D" w:rsidP="009E61E4">
          <w:pPr>
            <w:bidi w:val="0"/>
            <w:spacing w:line="240" w:lineRule="exact"/>
            <w:jc w:val="left"/>
          </w:pPr>
          <w:r>
            <w:t>29 January 2008</w:t>
          </w:r>
        </w:p>
        <w:p w:rsidR="003D1C5D" w:rsidRDefault="003D1C5D" w:rsidP="009E61E4">
          <w:pPr>
            <w:bidi w:val="0"/>
            <w:spacing w:line="240" w:lineRule="exact"/>
            <w:jc w:val="left"/>
          </w:pPr>
          <w:r>
            <w:t>Arabic</w:t>
          </w:r>
        </w:p>
        <w:p w:rsidR="003D1C5D" w:rsidRPr="001529E4" w:rsidRDefault="003D1C5D" w:rsidP="009E61E4">
          <w:pPr>
            <w:bidi w:val="0"/>
            <w:spacing w:line="240" w:lineRule="exact"/>
            <w:jc w:val="left"/>
          </w:pPr>
          <w:r>
            <w:t>Original: Spanish</w:t>
          </w:r>
        </w:p>
      </w:tc>
    </w:tr>
  </w:tbl>
  <w:p w:rsidR="003D1C5D" w:rsidRPr="001529E4" w:rsidRDefault="003D1C5D" w:rsidP="009E61E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2024*"/>
    <w:docVar w:name="CreationDt" w:val="18/03/2008 5:06: PM"/>
    <w:docVar w:name="DocCategory" w:val="Doc"/>
    <w:docVar w:name="DocType" w:val="Final"/>
    <w:docVar w:name="FooterJN" w:val="08-22024"/>
    <w:docVar w:name="jobn" w:val="08-22024 (A)"/>
    <w:docVar w:name="jobnDT" w:val="08-22024 (A)   180308"/>
    <w:docVar w:name="jobnDTDT" w:val="08-22024 (A)   180308   180308"/>
    <w:docVar w:name="JobNo" w:val="0822024A"/>
    <w:docVar w:name="OandT" w:val=" "/>
    <w:docVar w:name="sss1" w:val="CEDAW/C/URY/Q/7"/>
    <w:docVar w:name="sss2" w:val="-"/>
    <w:docVar w:name="Symbol1" w:val="CEDAW/C/URY/Q/7*"/>
    <w:docVar w:name="Symbol2" w:val="-"/>
  </w:docVars>
  <w:rsids>
    <w:rsidRoot w:val="0092313F"/>
    <w:rsid w:val="00042425"/>
    <w:rsid w:val="0006648F"/>
    <w:rsid w:val="00087310"/>
    <w:rsid w:val="0009732C"/>
    <w:rsid w:val="000C4EED"/>
    <w:rsid w:val="000D2CEC"/>
    <w:rsid w:val="00101EE8"/>
    <w:rsid w:val="00113349"/>
    <w:rsid w:val="001519A9"/>
    <w:rsid w:val="001737F8"/>
    <w:rsid w:val="00187870"/>
    <w:rsid w:val="001901E5"/>
    <w:rsid w:val="001E5A7A"/>
    <w:rsid w:val="001F6786"/>
    <w:rsid w:val="002416C5"/>
    <w:rsid w:val="0025002E"/>
    <w:rsid w:val="00266F59"/>
    <w:rsid w:val="0027273B"/>
    <w:rsid w:val="00272B6C"/>
    <w:rsid w:val="0027623A"/>
    <w:rsid w:val="00290F2F"/>
    <w:rsid w:val="002937DA"/>
    <w:rsid w:val="002A09C6"/>
    <w:rsid w:val="002C2AF2"/>
    <w:rsid w:val="002C4E1B"/>
    <w:rsid w:val="002C6C04"/>
    <w:rsid w:val="002E1490"/>
    <w:rsid w:val="002E14FF"/>
    <w:rsid w:val="00312162"/>
    <w:rsid w:val="003501D5"/>
    <w:rsid w:val="00371AC4"/>
    <w:rsid w:val="00376BD9"/>
    <w:rsid w:val="00383CA8"/>
    <w:rsid w:val="003A65ED"/>
    <w:rsid w:val="003D1C5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72810"/>
    <w:rsid w:val="00696B7A"/>
    <w:rsid w:val="006C38EE"/>
    <w:rsid w:val="00700F06"/>
    <w:rsid w:val="0071531E"/>
    <w:rsid w:val="0071645B"/>
    <w:rsid w:val="00716E9D"/>
    <w:rsid w:val="007267FF"/>
    <w:rsid w:val="0074279A"/>
    <w:rsid w:val="00747B9E"/>
    <w:rsid w:val="007524BE"/>
    <w:rsid w:val="007525FA"/>
    <w:rsid w:val="00774FF0"/>
    <w:rsid w:val="00784428"/>
    <w:rsid w:val="0079046D"/>
    <w:rsid w:val="0079753A"/>
    <w:rsid w:val="007A6DD9"/>
    <w:rsid w:val="007D60E0"/>
    <w:rsid w:val="007D6B8D"/>
    <w:rsid w:val="007E32B9"/>
    <w:rsid w:val="0081284F"/>
    <w:rsid w:val="00814843"/>
    <w:rsid w:val="008170DE"/>
    <w:rsid w:val="00830E32"/>
    <w:rsid w:val="00873A11"/>
    <w:rsid w:val="00873AF9"/>
    <w:rsid w:val="008B59C6"/>
    <w:rsid w:val="008D1C04"/>
    <w:rsid w:val="008F04A0"/>
    <w:rsid w:val="008F64A7"/>
    <w:rsid w:val="0090012B"/>
    <w:rsid w:val="0090351F"/>
    <w:rsid w:val="0092313F"/>
    <w:rsid w:val="00970BAD"/>
    <w:rsid w:val="00970DBD"/>
    <w:rsid w:val="009768D1"/>
    <w:rsid w:val="009829B7"/>
    <w:rsid w:val="009927C0"/>
    <w:rsid w:val="009961E6"/>
    <w:rsid w:val="009B6C65"/>
    <w:rsid w:val="009C0017"/>
    <w:rsid w:val="009C15F4"/>
    <w:rsid w:val="009D62A3"/>
    <w:rsid w:val="009E2A1F"/>
    <w:rsid w:val="009E61E4"/>
    <w:rsid w:val="00A37C4B"/>
    <w:rsid w:val="00A66F66"/>
    <w:rsid w:val="00A71AE5"/>
    <w:rsid w:val="00AA1E16"/>
    <w:rsid w:val="00AB59B6"/>
    <w:rsid w:val="00AC002C"/>
    <w:rsid w:val="00AC6CDD"/>
    <w:rsid w:val="00AD38D0"/>
    <w:rsid w:val="00AE108C"/>
    <w:rsid w:val="00AF1A53"/>
    <w:rsid w:val="00AF7AC7"/>
    <w:rsid w:val="00B05ADC"/>
    <w:rsid w:val="00B272BE"/>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01EAF"/>
    <w:rsid w:val="00D2343D"/>
    <w:rsid w:val="00D30EAE"/>
    <w:rsid w:val="00D318F1"/>
    <w:rsid w:val="00D40B0E"/>
    <w:rsid w:val="00D44FE0"/>
    <w:rsid w:val="00DA66B7"/>
    <w:rsid w:val="00DB0865"/>
    <w:rsid w:val="00DE5433"/>
    <w:rsid w:val="00DE68A7"/>
    <w:rsid w:val="00DF5F38"/>
    <w:rsid w:val="00DF7E80"/>
    <w:rsid w:val="00E23336"/>
    <w:rsid w:val="00E31661"/>
    <w:rsid w:val="00E32B52"/>
    <w:rsid w:val="00E47EB8"/>
    <w:rsid w:val="00E750E1"/>
    <w:rsid w:val="00E9114A"/>
    <w:rsid w:val="00EA489C"/>
    <w:rsid w:val="00EA6D18"/>
    <w:rsid w:val="00EB0CA7"/>
    <w:rsid w:val="00EB4992"/>
    <w:rsid w:val="00EF2E52"/>
    <w:rsid w:val="00F031FB"/>
    <w:rsid w:val="00F32E4A"/>
    <w:rsid w:val="00F36D8C"/>
    <w:rsid w:val="00F93545"/>
    <w:rsid w:val="00F9663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267FF"/>
    <w:rPr>
      <w:szCs w:val="20"/>
    </w:rPr>
  </w:style>
  <w:style w:type="paragraph" w:styleId="CommentSubject">
    <w:name w:val="annotation subject"/>
    <w:basedOn w:val="CommentText"/>
    <w:next w:val="CommentText"/>
    <w:semiHidden/>
    <w:rsid w:val="00726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1832</Words>
  <Characters>9179</Characters>
  <Application>Microsoft Office Word</Application>
  <DocSecurity>4</DocSecurity>
  <Lines>173</Lines>
  <Paragraphs>51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Eman.Fouad</dc:creator>
  <cp:keywords/>
  <dc:description/>
  <cp:lastModifiedBy>ABDELTAWAB</cp:lastModifiedBy>
  <cp:revision>5</cp:revision>
  <cp:lastPrinted>2008-03-18T18:19:00Z</cp:lastPrinted>
  <dcterms:created xsi:type="dcterms:W3CDTF">2008-03-18T18:18:00Z</dcterms:created>
  <dcterms:modified xsi:type="dcterms:W3CDTF">2008-03-18T18:29:00Z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0822024</vt:lpwstr>
  </property>
  <property fmtid="{D5CDD505-2E9C-101B-9397-08002B2CF9AE}" pid="3" name="Symbol1">
    <vt:lpwstr>CEDAW/C/URY/Q/7*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