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387" w:rsidRDefault="00386387" w:rsidP="00386387">
      <w:pPr>
        <w:spacing w:line="60" w:lineRule="exact"/>
        <w:rPr>
          <w:sz w:val="6"/>
        </w:rPr>
        <w:sectPr w:rsidR="00386387" w:rsidSect="00386387">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742" w:right="1200" w:bottom="1898" w:left="1200" w:header="576" w:footer="1030" w:gutter="0"/>
          <w:cols w:space="425"/>
          <w:titlePg/>
          <w:docGrid w:linePitch="312"/>
        </w:sectPr>
      </w:pPr>
      <w:r>
        <w:rPr>
          <w:rStyle w:val="a9"/>
        </w:rPr>
        <w:commentReference w:id="0"/>
      </w:r>
      <w:bookmarkStart w:id="1" w:name="_GoBack"/>
      <w:bookmarkEnd w:id="1"/>
    </w:p>
    <w:p w:rsidR="00B0321E" w:rsidRDefault="00B0321E" w:rsidP="00B0321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40"/>
        <w:ind w:left="1264" w:right="1259" w:hanging="1264"/>
      </w:pPr>
      <w:r>
        <w:rPr>
          <w:rFonts w:hint="eastAsia"/>
        </w:rPr>
        <w:lastRenderedPageBreak/>
        <w:t>消除对妇女歧视委员会</w:t>
      </w:r>
    </w:p>
    <w:p w:rsidR="00B0321E" w:rsidRPr="00B0321E" w:rsidRDefault="00B0321E" w:rsidP="00B0321E">
      <w:pPr>
        <w:pStyle w:val="SingleTxt"/>
        <w:spacing w:after="0" w:line="120" w:lineRule="exact"/>
        <w:rPr>
          <w:sz w:val="10"/>
        </w:rPr>
      </w:pPr>
    </w:p>
    <w:p w:rsidR="00B0321E" w:rsidRPr="00B0321E" w:rsidRDefault="00B0321E" w:rsidP="00B0321E">
      <w:pPr>
        <w:pStyle w:val="SingleTxt"/>
        <w:spacing w:after="0" w:line="120" w:lineRule="exact"/>
        <w:rPr>
          <w:sz w:val="10"/>
        </w:rPr>
      </w:pPr>
    </w:p>
    <w:p w:rsidR="00B0321E" w:rsidRDefault="00B0321E" w:rsidP="00B0321E">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Pr>
          <w:rFonts w:hint="eastAsia"/>
        </w:rPr>
        <w:tab/>
        <w:t>关于乌拉圭第八次和第九次合并定期报告的结论意见</w:t>
      </w:r>
      <w:r w:rsidRPr="00CA719D">
        <w:rPr>
          <w:rStyle w:val="a3"/>
          <w:position w:val="6"/>
          <w:szCs w:val="28"/>
        </w:rPr>
        <w:footnoteReference w:customMarkFollows="1" w:id="1"/>
        <w:sym w:font="Symbol" w:char="F02A"/>
      </w:r>
    </w:p>
    <w:p w:rsidR="00B0321E" w:rsidRPr="00B0321E" w:rsidRDefault="00B0321E" w:rsidP="00B0321E">
      <w:pPr>
        <w:pStyle w:val="SingleTxt"/>
        <w:spacing w:after="0" w:line="120" w:lineRule="exact"/>
        <w:rPr>
          <w:sz w:val="10"/>
        </w:rPr>
      </w:pPr>
    </w:p>
    <w:p w:rsidR="00B0321E" w:rsidRPr="00B0321E" w:rsidRDefault="00B0321E" w:rsidP="00B0321E">
      <w:pPr>
        <w:pStyle w:val="SingleTxt"/>
        <w:spacing w:after="0" w:line="120" w:lineRule="exact"/>
        <w:rPr>
          <w:sz w:val="10"/>
        </w:rPr>
      </w:pPr>
    </w:p>
    <w:p w:rsidR="00B0321E" w:rsidRDefault="00B0321E" w:rsidP="00B0321E">
      <w:pPr>
        <w:pStyle w:val="SingleTxt"/>
      </w:pPr>
      <w:r>
        <w:rPr>
          <w:rFonts w:hint="eastAsia"/>
        </w:rPr>
        <w:t>1.</w:t>
      </w:r>
      <w:r>
        <w:rPr>
          <w:rFonts w:hint="eastAsia"/>
        </w:rPr>
        <w:tab/>
      </w:r>
      <w:r w:rsidRPr="00B0321E">
        <w:rPr>
          <w:rFonts w:hint="eastAsia"/>
          <w:spacing w:val="-4"/>
        </w:rPr>
        <w:t>2016</w:t>
      </w:r>
      <w:r w:rsidRPr="00B0321E">
        <w:rPr>
          <w:rFonts w:hint="eastAsia"/>
          <w:spacing w:val="-4"/>
        </w:rPr>
        <w:t>年</w:t>
      </w:r>
      <w:r w:rsidRPr="00B0321E">
        <w:rPr>
          <w:rFonts w:hint="eastAsia"/>
          <w:spacing w:val="-4"/>
        </w:rPr>
        <w:t>7</w:t>
      </w:r>
      <w:r w:rsidRPr="00B0321E">
        <w:rPr>
          <w:rFonts w:hint="eastAsia"/>
          <w:spacing w:val="-4"/>
        </w:rPr>
        <w:t>月</w:t>
      </w:r>
      <w:r w:rsidRPr="00B0321E">
        <w:rPr>
          <w:rFonts w:hint="eastAsia"/>
          <w:spacing w:val="-4"/>
        </w:rPr>
        <w:t>14</w:t>
      </w:r>
      <w:r w:rsidRPr="00B0321E">
        <w:rPr>
          <w:rFonts w:hint="eastAsia"/>
          <w:spacing w:val="-4"/>
        </w:rPr>
        <w:t>日，委员会第</w:t>
      </w:r>
      <w:r w:rsidRPr="00B0321E">
        <w:rPr>
          <w:rFonts w:hint="eastAsia"/>
          <w:spacing w:val="-4"/>
        </w:rPr>
        <w:t>1417</w:t>
      </w:r>
      <w:r w:rsidRPr="00B0321E">
        <w:rPr>
          <w:rFonts w:hint="eastAsia"/>
          <w:spacing w:val="-4"/>
        </w:rPr>
        <w:t>次和第</w:t>
      </w:r>
      <w:r w:rsidRPr="00B0321E">
        <w:rPr>
          <w:rFonts w:hint="eastAsia"/>
          <w:spacing w:val="-4"/>
        </w:rPr>
        <w:t>1418</w:t>
      </w:r>
      <w:r w:rsidRPr="00B0321E">
        <w:rPr>
          <w:rFonts w:hint="eastAsia"/>
          <w:spacing w:val="-4"/>
        </w:rPr>
        <w:t>次会议审议了乌拉圭第八次和第九次合并定期报告</w:t>
      </w:r>
      <w:r w:rsidRPr="00B0321E">
        <w:rPr>
          <w:rFonts w:hint="eastAsia"/>
          <w:spacing w:val="-4"/>
        </w:rPr>
        <w:t>(</w:t>
      </w:r>
      <w:hyperlink r:id="rId16" w:history="1">
        <w:r w:rsidRPr="00E36974">
          <w:rPr>
            <w:rStyle w:val="ad"/>
            <w:rFonts w:hint="eastAsia"/>
            <w:spacing w:val="-4"/>
          </w:rPr>
          <w:t>CEDAW/C/URY/8-9)</w:t>
        </w:r>
      </w:hyperlink>
      <w:r w:rsidRPr="00B0321E">
        <w:rPr>
          <w:rFonts w:hint="eastAsia"/>
          <w:spacing w:val="-4"/>
        </w:rPr>
        <w:t>(</w:t>
      </w:r>
      <w:r w:rsidRPr="00B0321E">
        <w:rPr>
          <w:rFonts w:hint="eastAsia"/>
          <w:spacing w:val="-4"/>
        </w:rPr>
        <w:t>见</w:t>
      </w:r>
      <w:hyperlink r:id="rId17" w:history="1">
        <w:r w:rsidRPr="00E36974">
          <w:rPr>
            <w:rStyle w:val="ad"/>
            <w:rFonts w:hint="eastAsia"/>
            <w:spacing w:val="-4"/>
          </w:rPr>
          <w:t>CEDAW/C/SR.1417</w:t>
        </w:r>
      </w:hyperlink>
      <w:r w:rsidRPr="00B0321E">
        <w:rPr>
          <w:rFonts w:hint="eastAsia"/>
          <w:spacing w:val="-4"/>
        </w:rPr>
        <w:t>和</w:t>
      </w:r>
      <w:r w:rsidRPr="00B0321E">
        <w:rPr>
          <w:rFonts w:hint="eastAsia"/>
          <w:spacing w:val="-4"/>
        </w:rPr>
        <w:t>1418)</w:t>
      </w:r>
      <w:r w:rsidRPr="00B0321E">
        <w:rPr>
          <w:rFonts w:hint="eastAsia"/>
          <w:spacing w:val="-4"/>
        </w:rPr>
        <w:t>。委员会的议题和问题清单载于</w:t>
      </w:r>
      <w:hyperlink r:id="rId18" w:history="1">
        <w:r w:rsidRPr="00E36974">
          <w:rPr>
            <w:rStyle w:val="ad"/>
            <w:rFonts w:hint="eastAsia"/>
            <w:spacing w:val="-4"/>
          </w:rPr>
          <w:t>CEDAW/C/URY/Q/8-9</w:t>
        </w:r>
      </w:hyperlink>
      <w:r w:rsidRPr="00B0321E">
        <w:rPr>
          <w:rFonts w:hint="eastAsia"/>
          <w:spacing w:val="-4"/>
        </w:rPr>
        <w:t>，乌拉圭的答复载于</w:t>
      </w:r>
      <w:hyperlink r:id="rId19" w:history="1">
        <w:r w:rsidRPr="00E36974">
          <w:rPr>
            <w:rStyle w:val="ad"/>
            <w:rFonts w:hint="eastAsia"/>
            <w:spacing w:val="-4"/>
          </w:rPr>
          <w:t>CEDAW/C/URY/</w:t>
        </w:r>
      </w:hyperlink>
      <w:r>
        <w:rPr>
          <w:rFonts w:hint="eastAsia"/>
          <w:spacing w:val="-4"/>
        </w:rPr>
        <w:t xml:space="preserve"> </w:t>
      </w:r>
      <w:r w:rsidRPr="00B0321E">
        <w:rPr>
          <w:rFonts w:hint="eastAsia"/>
          <w:spacing w:val="-4"/>
        </w:rPr>
        <w:t>Q/8-9/Add.1</w:t>
      </w:r>
      <w:r w:rsidRPr="00B0321E">
        <w:rPr>
          <w:rFonts w:hint="eastAsia"/>
          <w:spacing w:val="-4"/>
        </w:rPr>
        <w:t>。</w:t>
      </w:r>
    </w:p>
    <w:p w:rsidR="00B0321E" w:rsidRDefault="00B0321E" w:rsidP="00B0321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t>A.</w:t>
      </w:r>
      <w:r>
        <w:rPr>
          <w:rFonts w:hint="eastAsia"/>
        </w:rPr>
        <w:tab/>
        <w:t>导言</w:t>
      </w:r>
    </w:p>
    <w:p w:rsidR="00B0321E" w:rsidRPr="00B0321E" w:rsidRDefault="00B0321E" w:rsidP="00B0321E">
      <w:pPr>
        <w:pStyle w:val="SingleTxt"/>
        <w:spacing w:after="0" w:line="120" w:lineRule="exact"/>
        <w:rPr>
          <w:sz w:val="10"/>
        </w:rPr>
      </w:pPr>
    </w:p>
    <w:p w:rsidR="00B0321E" w:rsidRDefault="00B0321E" w:rsidP="00B0321E">
      <w:pPr>
        <w:pStyle w:val="SingleTxt"/>
      </w:pPr>
      <w:r>
        <w:rPr>
          <w:rFonts w:hint="eastAsia"/>
        </w:rPr>
        <w:t>2.</w:t>
      </w:r>
      <w:r>
        <w:rPr>
          <w:rFonts w:hint="eastAsia"/>
        </w:rPr>
        <w:tab/>
      </w:r>
      <w:r>
        <w:rPr>
          <w:rFonts w:hint="eastAsia"/>
        </w:rPr>
        <w:t>委员会感谢缔约国提交其第八次和第九次合并定期报告。委员会还感谢缔约国对会前工作组提出的议题和问题清单的书面答复，并对代表团所作的口头说明以及就委员会在对话期间口头提出的问题所作的进一步澄清表示欢迎。</w:t>
      </w:r>
    </w:p>
    <w:p w:rsidR="00B0321E" w:rsidRDefault="00B0321E" w:rsidP="00B0321E">
      <w:pPr>
        <w:pStyle w:val="SingleTxt"/>
      </w:pPr>
      <w:r>
        <w:rPr>
          <w:rFonts w:hint="eastAsia"/>
        </w:rPr>
        <w:t>3.</w:t>
      </w:r>
      <w:r>
        <w:rPr>
          <w:rFonts w:hint="eastAsia"/>
        </w:rPr>
        <w:tab/>
      </w:r>
      <w:r>
        <w:rPr>
          <w:rFonts w:hint="eastAsia"/>
        </w:rPr>
        <w:t>委员会赞赏缔约国派遣乌拉圭常驻联合国日内瓦办事处和其他国际组织代表里卡多·冈萨雷斯·阿雷纳斯大使率领的代表团出席会议，成员包括全国妇女事务局局长、议员、司法机构官员及检察官办公室、外交部、社会发展部和内政部的代表。</w:t>
      </w:r>
    </w:p>
    <w:p w:rsidR="00B0321E" w:rsidRDefault="00B0321E" w:rsidP="00B0321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t>B.</w:t>
      </w:r>
      <w:r>
        <w:rPr>
          <w:rFonts w:hint="eastAsia"/>
        </w:rPr>
        <w:tab/>
        <w:t>积极方面</w:t>
      </w:r>
    </w:p>
    <w:p w:rsidR="00B0321E" w:rsidRPr="00B0321E" w:rsidRDefault="00B0321E" w:rsidP="00B0321E">
      <w:pPr>
        <w:pStyle w:val="SingleTxt"/>
        <w:spacing w:after="0" w:line="120" w:lineRule="exact"/>
        <w:rPr>
          <w:sz w:val="10"/>
        </w:rPr>
      </w:pPr>
    </w:p>
    <w:p w:rsidR="00B0321E" w:rsidRDefault="00B0321E" w:rsidP="00B0321E">
      <w:pPr>
        <w:pStyle w:val="SingleTxt"/>
      </w:pPr>
      <w:r>
        <w:rPr>
          <w:rFonts w:hint="eastAsia"/>
        </w:rPr>
        <w:t>4.</w:t>
      </w:r>
      <w:r>
        <w:rPr>
          <w:rFonts w:hint="eastAsia"/>
        </w:rPr>
        <w:tab/>
      </w:r>
      <w:r>
        <w:rPr>
          <w:rFonts w:hint="eastAsia"/>
        </w:rPr>
        <w:t>委员会欢迎自</w:t>
      </w:r>
      <w:r>
        <w:rPr>
          <w:rFonts w:hint="eastAsia"/>
        </w:rPr>
        <w:t>2008</w:t>
      </w:r>
      <w:r>
        <w:rPr>
          <w:rFonts w:hint="eastAsia"/>
        </w:rPr>
        <w:t>年审议缔约国第四次至第七次合并定期报告</w:t>
      </w:r>
      <w:r>
        <w:rPr>
          <w:rFonts w:hint="eastAsia"/>
        </w:rPr>
        <w:t>(</w:t>
      </w:r>
      <w:hyperlink r:id="rId20" w:history="1">
        <w:r w:rsidRPr="00E36974">
          <w:rPr>
            <w:rStyle w:val="ad"/>
            <w:rFonts w:hint="eastAsia"/>
          </w:rPr>
          <w:t>CEDAW/C/</w:t>
        </w:r>
      </w:hyperlink>
      <w:r>
        <w:rPr>
          <w:rFonts w:hint="eastAsia"/>
        </w:rPr>
        <w:t xml:space="preserve"> URY/7)</w:t>
      </w:r>
      <w:r>
        <w:rPr>
          <w:rFonts w:hint="eastAsia"/>
        </w:rPr>
        <w:t>以来所取得的进展，尤其是通过了下列立法：</w:t>
      </w:r>
    </w:p>
    <w:p w:rsidR="00B0321E" w:rsidRDefault="00B0321E" w:rsidP="00B0321E">
      <w:pPr>
        <w:pStyle w:val="SingleTxt"/>
      </w:pPr>
      <w:r>
        <w:rPr>
          <w:rFonts w:hint="eastAsia"/>
        </w:rPr>
        <w:tab/>
        <w:t>(a)</w:t>
      </w:r>
      <w:r>
        <w:rPr>
          <w:rFonts w:hint="eastAsia"/>
        </w:rPr>
        <w:tab/>
        <w:t>2015</w:t>
      </w:r>
      <w:r>
        <w:rPr>
          <w:rFonts w:hint="eastAsia"/>
        </w:rPr>
        <w:t>年</w:t>
      </w:r>
      <w:r>
        <w:rPr>
          <w:rFonts w:hint="eastAsia"/>
        </w:rPr>
        <w:t>11</w:t>
      </w:r>
      <w:r>
        <w:rPr>
          <w:rFonts w:hint="eastAsia"/>
        </w:rPr>
        <w:t>月</w:t>
      </w:r>
      <w:r>
        <w:rPr>
          <w:rFonts w:hint="eastAsia"/>
        </w:rPr>
        <w:t>27</w:t>
      </w:r>
      <w:r>
        <w:rPr>
          <w:rFonts w:hint="eastAsia"/>
        </w:rPr>
        <w:t>日第</w:t>
      </w:r>
      <w:r>
        <w:rPr>
          <w:rFonts w:hint="eastAsia"/>
        </w:rPr>
        <w:t>19.353</w:t>
      </w:r>
      <w:r>
        <w:rPr>
          <w:rFonts w:hint="eastAsia"/>
        </w:rPr>
        <w:t>号法，建立全国综合护理制度；</w:t>
      </w:r>
    </w:p>
    <w:p w:rsidR="00B0321E" w:rsidRDefault="00B0321E" w:rsidP="00B0321E">
      <w:pPr>
        <w:pStyle w:val="SingleTxt"/>
      </w:pPr>
      <w:r>
        <w:rPr>
          <w:rFonts w:hint="eastAsia"/>
        </w:rPr>
        <w:tab/>
        <w:t>(b)</w:t>
      </w:r>
      <w:r>
        <w:rPr>
          <w:rFonts w:hint="eastAsia"/>
        </w:rPr>
        <w:tab/>
        <w:t>2011</w:t>
      </w:r>
      <w:r>
        <w:rPr>
          <w:rFonts w:hint="eastAsia"/>
        </w:rPr>
        <w:t>年</w:t>
      </w:r>
      <w:r>
        <w:rPr>
          <w:rFonts w:hint="eastAsia"/>
        </w:rPr>
        <w:t>12</w:t>
      </w:r>
      <w:r>
        <w:rPr>
          <w:rFonts w:hint="eastAsia"/>
        </w:rPr>
        <w:t>月</w:t>
      </w:r>
      <w:r>
        <w:rPr>
          <w:rFonts w:hint="eastAsia"/>
        </w:rPr>
        <w:t>23</w:t>
      </w:r>
      <w:r>
        <w:rPr>
          <w:rFonts w:hint="eastAsia"/>
        </w:rPr>
        <w:t>日第</w:t>
      </w:r>
      <w:r>
        <w:rPr>
          <w:rFonts w:hint="eastAsia"/>
        </w:rPr>
        <w:t>18.868</w:t>
      </w:r>
      <w:r>
        <w:rPr>
          <w:rFonts w:hint="eastAsia"/>
        </w:rPr>
        <w:t>号法，禁止在招聘时或在雇佣关系存续期间的任何其他时候要求验孕证明未孕；</w:t>
      </w:r>
    </w:p>
    <w:p w:rsidR="00B0321E" w:rsidRDefault="00B0321E" w:rsidP="00B0321E">
      <w:pPr>
        <w:pStyle w:val="SingleTxt"/>
      </w:pPr>
      <w:r>
        <w:rPr>
          <w:rFonts w:hint="eastAsia"/>
        </w:rPr>
        <w:tab/>
        <w:t>(c)</w:t>
      </w:r>
      <w:r>
        <w:rPr>
          <w:rFonts w:hint="eastAsia"/>
        </w:rPr>
        <w:tab/>
        <w:t>2013</w:t>
      </w:r>
      <w:r>
        <w:rPr>
          <w:rFonts w:hint="eastAsia"/>
        </w:rPr>
        <w:t>年</w:t>
      </w:r>
      <w:r>
        <w:rPr>
          <w:rFonts w:hint="eastAsia"/>
        </w:rPr>
        <w:t>11</w:t>
      </w:r>
      <w:r>
        <w:rPr>
          <w:rFonts w:hint="eastAsia"/>
        </w:rPr>
        <w:t>月</w:t>
      </w:r>
      <w:r>
        <w:rPr>
          <w:rFonts w:hint="eastAsia"/>
        </w:rPr>
        <w:t>1</w:t>
      </w:r>
      <w:r>
        <w:rPr>
          <w:rFonts w:hint="eastAsia"/>
        </w:rPr>
        <w:t>日第</w:t>
      </w:r>
      <w:r>
        <w:rPr>
          <w:rFonts w:hint="eastAsia"/>
        </w:rPr>
        <w:t>19.161</w:t>
      </w:r>
      <w:r>
        <w:rPr>
          <w:rFonts w:hint="eastAsia"/>
        </w:rPr>
        <w:t>号法，规定产假、育儿假和哺乳假；</w:t>
      </w:r>
    </w:p>
    <w:p w:rsidR="00B0321E" w:rsidRDefault="00B0321E" w:rsidP="00B0321E">
      <w:pPr>
        <w:pStyle w:val="SingleTxt"/>
      </w:pPr>
      <w:r>
        <w:rPr>
          <w:rFonts w:hint="eastAsia"/>
        </w:rPr>
        <w:tab/>
        <w:t>(d)</w:t>
      </w:r>
      <w:r>
        <w:rPr>
          <w:rFonts w:hint="eastAsia"/>
        </w:rPr>
        <w:tab/>
        <w:t>2008</w:t>
      </w:r>
      <w:r>
        <w:rPr>
          <w:rFonts w:hint="eastAsia"/>
        </w:rPr>
        <w:t>年</w:t>
      </w:r>
      <w:r>
        <w:rPr>
          <w:rFonts w:hint="eastAsia"/>
        </w:rPr>
        <w:t>1</w:t>
      </w:r>
      <w:r>
        <w:rPr>
          <w:rFonts w:hint="eastAsia"/>
        </w:rPr>
        <w:t>月</w:t>
      </w:r>
      <w:r>
        <w:rPr>
          <w:rFonts w:hint="eastAsia"/>
        </w:rPr>
        <w:t>6</w:t>
      </w:r>
      <w:r>
        <w:rPr>
          <w:rFonts w:hint="eastAsia"/>
        </w:rPr>
        <w:t>日第</w:t>
      </w:r>
      <w:r>
        <w:rPr>
          <w:rFonts w:hint="eastAsia"/>
        </w:rPr>
        <w:t>18.250</w:t>
      </w:r>
      <w:r>
        <w:rPr>
          <w:rFonts w:hint="eastAsia"/>
        </w:rPr>
        <w:t>号法，承认乌拉圭国民和外国人权利平等；</w:t>
      </w:r>
    </w:p>
    <w:p w:rsidR="00B0321E" w:rsidRDefault="00B0321E" w:rsidP="00B0321E">
      <w:pPr>
        <w:pStyle w:val="SingleTxt"/>
        <w:spacing w:after="120"/>
      </w:pPr>
      <w:r>
        <w:rPr>
          <w:rFonts w:hint="eastAsia"/>
        </w:rPr>
        <w:lastRenderedPageBreak/>
        <w:tab/>
        <w:t>(e)</w:t>
      </w:r>
      <w:r>
        <w:rPr>
          <w:rFonts w:hint="eastAsia"/>
        </w:rPr>
        <w:tab/>
        <w:t>2013</w:t>
      </w:r>
      <w:r>
        <w:rPr>
          <w:rFonts w:hint="eastAsia"/>
        </w:rPr>
        <w:t>年</w:t>
      </w:r>
      <w:r>
        <w:rPr>
          <w:rFonts w:hint="eastAsia"/>
        </w:rPr>
        <w:t>8</w:t>
      </w:r>
      <w:r>
        <w:rPr>
          <w:rFonts w:hint="eastAsia"/>
        </w:rPr>
        <w:t>月</w:t>
      </w:r>
      <w:r>
        <w:rPr>
          <w:rFonts w:hint="eastAsia"/>
        </w:rPr>
        <w:t>21</w:t>
      </w:r>
      <w:r>
        <w:rPr>
          <w:rFonts w:hint="eastAsia"/>
        </w:rPr>
        <w:t>日第</w:t>
      </w:r>
      <w:r>
        <w:rPr>
          <w:rFonts w:hint="eastAsia"/>
        </w:rPr>
        <w:t>19.122</w:t>
      </w:r>
      <w:r>
        <w:rPr>
          <w:rFonts w:hint="eastAsia"/>
        </w:rPr>
        <w:t>号法和</w:t>
      </w:r>
      <w:r>
        <w:rPr>
          <w:rFonts w:hint="eastAsia"/>
        </w:rPr>
        <w:t>2014</w:t>
      </w:r>
      <w:r>
        <w:rPr>
          <w:rFonts w:hint="eastAsia"/>
        </w:rPr>
        <w:t>年</w:t>
      </w:r>
      <w:r>
        <w:rPr>
          <w:rFonts w:hint="eastAsia"/>
        </w:rPr>
        <w:t>5</w:t>
      </w:r>
      <w:r>
        <w:rPr>
          <w:rFonts w:hint="eastAsia"/>
        </w:rPr>
        <w:t>月</w:t>
      </w:r>
      <w:r>
        <w:rPr>
          <w:rFonts w:hint="eastAsia"/>
        </w:rPr>
        <w:t>22</w:t>
      </w:r>
      <w:r>
        <w:rPr>
          <w:rFonts w:hint="eastAsia"/>
        </w:rPr>
        <w:t>日第</w:t>
      </w:r>
      <w:r>
        <w:rPr>
          <w:rFonts w:hint="eastAsia"/>
        </w:rPr>
        <w:t>144/014</w:t>
      </w:r>
      <w:r>
        <w:rPr>
          <w:rFonts w:hint="eastAsia"/>
        </w:rPr>
        <w:t>号法令，承认非裔人受到歧视并规定积极纠正措施；</w:t>
      </w:r>
    </w:p>
    <w:p w:rsidR="00B0321E" w:rsidRDefault="00B0321E" w:rsidP="00B0321E">
      <w:pPr>
        <w:pStyle w:val="SingleTxt"/>
        <w:spacing w:after="120"/>
      </w:pPr>
      <w:r>
        <w:rPr>
          <w:rFonts w:hint="eastAsia"/>
        </w:rPr>
        <w:tab/>
        <w:t>(f)</w:t>
      </w:r>
      <w:r>
        <w:rPr>
          <w:rFonts w:hint="eastAsia"/>
        </w:rPr>
        <w:tab/>
        <w:t>20</w:t>
      </w:r>
      <w:r w:rsidRPr="00B0321E">
        <w:rPr>
          <w:rFonts w:hint="eastAsia"/>
          <w:spacing w:val="-3"/>
        </w:rPr>
        <w:t>12</w:t>
      </w:r>
      <w:r w:rsidRPr="00B0321E">
        <w:rPr>
          <w:rFonts w:hint="eastAsia"/>
          <w:spacing w:val="-3"/>
        </w:rPr>
        <w:t>年</w:t>
      </w:r>
      <w:r w:rsidRPr="00B0321E">
        <w:rPr>
          <w:rFonts w:hint="eastAsia"/>
          <w:spacing w:val="-3"/>
        </w:rPr>
        <w:t>10</w:t>
      </w:r>
      <w:r w:rsidRPr="00B0321E">
        <w:rPr>
          <w:rFonts w:hint="eastAsia"/>
          <w:spacing w:val="-3"/>
        </w:rPr>
        <w:t>月</w:t>
      </w:r>
      <w:r w:rsidRPr="00B0321E">
        <w:rPr>
          <w:rFonts w:hint="eastAsia"/>
          <w:spacing w:val="-3"/>
        </w:rPr>
        <w:t>22</w:t>
      </w:r>
      <w:r w:rsidRPr="00B0321E">
        <w:rPr>
          <w:rFonts w:hint="eastAsia"/>
          <w:spacing w:val="-3"/>
        </w:rPr>
        <w:t>日第</w:t>
      </w:r>
      <w:r w:rsidRPr="00B0321E">
        <w:rPr>
          <w:rFonts w:hint="eastAsia"/>
          <w:spacing w:val="-3"/>
        </w:rPr>
        <w:t>18.987</w:t>
      </w:r>
      <w:r w:rsidRPr="00B0321E">
        <w:rPr>
          <w:rFonts w:hint="eastAsia"/>
          <w:spacing w:val="-3"/>
        </w:rPr>
        <w:t>号法，提供在怀孕头</w:t>
      </w:r>
      <w:r w:rsidRPr="00B0321E">
        <w:rPr>
          <w:rFonts w:hint="eastAsia"/>
          <w:spacing w:val="-3"/>
        </w:rPr>
        <w:t>12</w:t>
      </w:r>
      <w:r w:rsidRPr="00B0321E">
        <w:rPr>
          <w:rFonts w:hint="eastAsia"/>
          <w:spacing w:val="-3"/>
        </w:rPr>
        <w:t>周内中断妊娠的渠道；</w:t>
      </w:r>
    </w:p>
    <w:p w:rsidR="00B0321E" w:rsidRDefault="00B0321E" w:rsidP="00B0321E">
      <w:pPr>
        <w:pStyle w:val="SingleTxt"/>
        <w:spacing w:after="120"/>
      </w:pPr>
      <w:r>
        <w:rPr>
          <w:rFonts w:hint="eastAsia"/>
        </w:rPr>
        <w:tab/>
        <w:t>(g)</w:t>
      </w:r>
      <w:r>
        <w:rPr>
          <w:rFonts w:hint="eastAsia"/>
        </w:rPr>
        <w:tab/>
        <w:t>2010</w:t>
      </w:r>
      <w:r>
        <w:rPr>
          <w:rFonts w:hint="eastAsia"/>
        </w:rPr>
        <w:t>年</w:t>
      </w:r>
      <w:r>
        <w:rPr>
          <w:rFonts w:hint="eastAsia"/>
        </w:rPr>
        <w:t>2</w:t>
      </w:r>
      <w:r>
        <w:rPr>
          <w:rFonts w:hint="eastAsia"/>
        </w:rPr>
        <w:t>月</w:t>
      </w:r>
      <w:r>
        <w:rPr>
          <w:rFonts w:hint="eastAsia"/>
        </w:rPr>
        <w:t>19</w:t>
      </w:r>
      <w:r>
        <w:rPr>
          <w:rFonts w:hint="eastAsia"/>
        </w:rPr>
        <w:t>日第</w:t>
      </w:r>
      <w:r>
        <w:rPr>
          <w:rFonts w:hint="eastAsia"/>
        </w:rPr>
        <w:t>18.651</w:t>
      </w:r>
      <w:r>
        <w:rPr>
          <w:rFonts w:hint="eastAsia"/>
        </w:rPr>
        <w:t>号法，建立全面保护残疾人的制度；</w:t>
      </w:r>
    </w:p>
    <w:p w:rsidR="00B0321E" w:rsidRDefault="00B0321E" w:rsidP="00B0321E">
      <w:pPr>
        <w:pStyle w:val="SingleTxt"/>
        <w:spacing w:after="120"/>
      </w:pPr>
      <w:r>
        <w:rPr>
          <w:rFonts w:hint="eastAsia"/>
        </w:rPr>
        <w:tab/>
        <w:t>(h)</w:t>
      </w:r>
      <w:r>
        <w:rPr>
          <w:rFonts w:hint="eastAsia"/>
        </w:rPr>
        <w:tab/>
        <w:t>2009</w:t>
      </w:r>
      <w:r>
        <w:rPr>
          <w:rFonts w:hint="eastAsia"/>
        </w:rPr>
        <w:t>年</w:t>
      </w:r>
      <w:r>
        <w:rPr>
          <w:rFonts w:hint="eastAsia"/>
        </w:rPr>
        <w:t>10</w:t>
      </w:r>
      <w:r>
        <w:rPr>
          <w:rFonts w:hint="eastAsia"/>
        </w:rPr>
        <w:t>月</w:t>
      </w:r>
      <w:r>
        <w:rPr>
          <w:rFonts w:hint="eastAsia"/>
        </w:rPr>
        <w:t>25</w:t>
      </w:r>
      <w:r>
        <w:rPr>
          <w:rFonts w:hint="eastAsia"/>
        </w:rPr>
        <w:t>日第</w:t>
      </w:r>
      <w:r>
        <w:rPr>
          <w:rFonts w:hint="eastAsia"/>
        </w:rPr>
        <w:t>18.620</w:t>
      </w:r>
      <w:r>
        <w:rPr>
          <w:rFonts w:hint="eastAsia"/>
        </w:rPr>
        <w:t>号法，规定享有性别认同和变更身份证件上本人姓名和性别的权利；</w:t>
      </w:r>
    </w:p>
    <w:p w:rsidR="00B0321E" w:rsidRDefault="00B0321E" w:rsidP="00B0321E">
      <w:pPr>
        <w:pStyle w:val="SingleTxt"/>
        <w:spacing w:after="120"/>
      </w:pPr>
      <w:r>
        <w:rPr>
          <w:rFonts w:hint="eastAsia"/>
        </w:rPr>
        <w:tab/>
        <w:t>(i)</w:t>
      </w:r>
      <w:r>
        <w:rPr>
          <w:rFonts w:hint="eastAsia"/>
        </w:rPr>
        <w:tab/>
        <w:t>2009</w:t>
      </w:r>
      <w:r>
        <w:rPr>
          <w:rFonts w:hint="eastAsia"/>
        </w:rPr>
        <w:t>年</w:t>
      </w:r>
      <w:r>
        <w:rPr>
          <w:rFonts w:hint="eastAsia"/>
        </w:rPr>
        <w:t>9</w:t>
      </w:r>
      <w:r>
        <w:rPr>
          <w:rFonts w:hint="eastAsia"/>
        </w:rPr>
        <w:t>月</w:t>
      </w:r>
      <w:r>
        <w:rPr>
          <w:rFonts w:hint="eastAsia"/>
        </w:rPr>
        <w:t>11</w:t>
      </w:r>
      <w:r>
        <w:rPr>
          <w:rFonts w:hint="eastAsia"/>
        </w:rPr>
        <w:t>日第</w:t>
      </w:r>
      <w:r>
        <w:rPr>
          <w:rFonts w:hint="eastAsia"/>
        </w:rPr>
        <w:t>18.561</w:t>
      </w:r>
      <w:r>
        <w:rPr>
          <w:rFonts w:hint="eastAsia"/>
        </w:rPr>
        <w:t>号法，禁止性骚扰；</w:t>
      </w:r>
    </w:p>
    <w:p w:rsidR="00B0321E" w:rsidRDefault="00B0321E" w:rsidP="00B0321E">
      <w:pPr>
        <w:pStyle w:val="SingleTxt"/>
        <w:spacing w:after="120"/>
      </w:pPr>
      <w:r>
        <w:rPr>
          <w:rFonts w:hint="eastAsia"/>
        </w:rPr>
        <w:tab/>
        <w:t>(j)</w:t>
      </w:r>
      <w:r>
        <w:rPr>
          <w:rFonts w:hint="eastAsia"/>
        </w:rPr>
        <w:tab/>
        <w:t>2009</w:t>
      </w:r>
      <w:r>
        <w:rPr>
          <w:rFonts w:hint="eastAsia"/>
        </w:rPr>
        <w:t>年</w:t>
      </w:r>
      <w:r>
        <w:rPr>
          <w:rFonts w:hint="eastAsia"/>
        </w:rPr>
        <w:t>9</w:t>
      </w:r>
      <w:r>
        <w:rPr>
          <w:rFonts w:hint="eastAsia"/>
        </w:rPr>
        <w:t>月</w:t>
      </w:r>
      <w:r>
        <w:rPr>
          <w:rFonts w:hint="eastAsia"/>
        </w:rPr>
        <w:t>18</w:t>
      </w:r>
      <w:r>
        <w:rPr>
          <w:rFonts w:hint="eastAsia"/>
        </w:rPr>
        <w:t>日第</w:t>
      </w:r>
      <w:r>
        <w:rPr>
          <w:rFonts w:hint="eastAsia"/>
        </w:rPr>
        <w:t>18.590</w:t>
      </w:r>
      <w:r>
        <w:rPr>
          <w:rFonts w:hint="eastAsia"/>
        </w:rPr>
        <w:t>号法，对同性伴侣领养作出规定；</w:t>
      </w:r>
    </w:p>
    <w:p w:rsidR="00B0321E" w:rsidRDefault="00B0321E" w:rsidP="00B0321E">
      <w:pPr>
        <w:pStyle w:val="SingleTxt"/>
        <w:spacing w:after="120"/>
      </w:pPr>
      <w:r>
        <w:rPr>
          <w:rFonts w:hint="eastAsia"/>
        </w:rPr>
        <w:tab/>
        <w:t>(k)</w:t>
      </w:r>
      <w:r>
        <w:rPr>
          <w:rFonts w:hint="eastAsia"/>
        </w:rPr>
        <w:tab/>
        <w:t>2008</w:t>
      </w:r>
      <w:r>
        <w:rPr>
          <w:rFonts w:hint="eastAsia"/>
        </w:rPr>
        <w:t>年</w:t>
      </w:r>
      <w:r>
        <w:rPr>
          <w:rFonts w:hint="eastAsia"/>
        </w:rPr>
        <w:t>12</w:t>
      </w:r>
      <w:r>
        <w:rPr>
          <w:rFonts w:hint="eastAsia"/>
        </w:rPr>
        <w:t>月</w:t>
      </w:r>
      <w:r>
        <w:rPr>
          <w:rFonts w:hint="eastAsia"/>
        </w:rPr>
        <w:t>1</w:t>
      </w:r>
      <w:r>
        <w:rPr>
          <w:rFonts w:hint="eastAsia"/>
        </w:rPr>
        <w:t>日第</w:t>
      </w:r>
      <w:r>
        <w:rPr>
          <w:rFonts w:hint="eastAsia"/>
        </w:rPr>
        <w:t>18.426</w:t>
      </w:r>
      <w:r>
        <w:rPr>
          <w:rFonts w:hint="eastAsia"/>
        </w:rPr>
        <w:t>号法及</w:t>
      </w:r>
      <w:r>
        <w:rPr>
          <w:rFonts w:hint="eastAsia"/>
        </w:rPr>
        <w:t>2010</w:t>
      </w:r>
      <w:r>
        <w:rPr>
          <w:rFonts w:hint="eastAsia"/>
        </w:rPr>
        <w:t>年通过的相关条例，规定性与生殖健康权利；</w:t>
      </w:r>
    </w:p>
    <w:p w:rsidR="00B0321E" w:rsidRDefault="00B0321E" w:rsidP="00B0321E">
      <w:pPr>
        <w:pStyle w:val="SingleTxt"/>
        <w:spacing w:after="120"/>
      </w:pPr>
      <w:r>
        <w:rPr>
          <w:rFonts w:hint="eastAsia"/>
        </w:rPr>
        <w:tab/>
        <w:t>(l)</w:t>
      </w:r>
      <w:r>
        <w:rPr>
          <w:rFonts w:hint="eastAsia"/>
        </w:rPr>
        <w:tab/>
        <w:t>2013</w:t>
      </w:r>
      <w:r>
        <w:rPr>
          <w:rFonts w:hint="eastAsia"/>
        </w:rPr>
        <w:t>年</w:t>
      </w:r>
      <w:r>
        <w:rPr>
          <w:rFonts w:hint="eastAsia"/>
        </w:rPr>
        <w:t>12</w:t>
      </w:r>
      <w:r>
        <w:rPr>
          <w:rFonts w:hint="eastAsia"/>
        </w:rPr>
        <w:t>月</w:t>
      </w:r>
      <w:r>
        <w:rPr>
          <w:rFonts w:hint="eastAsia"/>
        </w:rPr>
        <w:t>13</w:t>
      </w:r>
      <w:r>
        <w:rPr>
          <w:rFonts w:hint="eastAsia"/>
        </w:rPr>
        <w:t>日第</w:t>
      </w:r>
      <w:r>
        <w:rPr>
          <w:rFonts w:hint="eastAsia"/>
        </w:rPr>
        <w:t>398/13</w:t>
      </w:r>
      <w:r>
        <w:rPr>
          <w:rFonts w:hint="eastAsia"/>
        </w:rPr>
        <w:t>号法令，防止在旅游活动中对女童、男童和青少年进行商业性剥削。</w:t>
      </w:r>
    </w:p>
    <w:p w:rsidR="00B0321E" w:rsidRDefault="00B0321E" w:rsidP="00B0321E">
      <w:pPr>
        <w:pStyle w:val="SingleTxt"/>
        <w:spacing w:after="120"/>
      </w:pPr>
      <w:r>
        <w:rPr>
          <w:rFonts w:hint="eastAsia"/>
        </w:rPr>
        <w:t>5.</w:t>
      </w:r>
      <w:r>
        <w:rPr>
          <w:rFonts w:hint="eastAsia"/>
        </w:rPr>
        <w:tab/>
      </w:r>
      <w:r>
        <w:rPr>
          <w:rFonts w:hint="eastAsia"/>
        </w:rPr>
        <w:t>委员会注意到</w:t>
      </w:r>
      <w:r>
        <w:rPr>
          <w:rFonts w:hint="eastAsia"/>
        </w:rPr>
        <w:t>2013</w:t>
      </w:r>
      <w:r>
        <w:rPr>
          <w:rFonts w:hint="eastAsia"/>
        </w:rPr>
        <w:t>年</w:t>
      </w:r>
      <w:r>
        <w:rPr>
          <w:rFonts w:hint="eastAsia"/>
        </w:rPr>
        <w:t>5</w:t>
      </w:r>
      <w:r>
        <w:rPr>
          <w:rFonts w:hint="eastAsia"/>
        </w:rPr>
        <w:t>月</w:t>
      </w:r>
      <w:r>
        <w:rPr>
          <w:rFonts w:hint="eastAsia"/>
        </w:rPr>
        <w:t>3</w:t>
      </w:r>
      <w:r>
        <w:rPr>
          <w:rFonts w:hint="eastAsia"/>
        </w:rPr>
        <w:t>日通过了允许同性婚姻的第</w:t>
      </w:r>
      <w:r>
        <w:rPr>
          <w:rFonts w:hint="eastAsia"/>
        </w:rPr>
        <w:t>19.075</w:t>
      </w:r>
      <w:r>
        <w:rPr>
          <w:rFonts w:hint="eastAsia"/>
        </w:rPr>
        <w:t>号法。</w:t>
      </w:r>
    </w:p>
    <w:p w:rsidR="00B0321E" w:rsidRDefault="00B0321E" w:rsidP="00B0321E">
      <w:pPr>
        <w:pStyle w:val="SingleTxt"/>
        <w:spacing w:after="120"/>
      </w:pPr>
      <w:r>
        <w:rPr>
          <w:rFonts w:hint="eastAsia"/>
        </w:rPr>
        <w:t>6.</w:t>
      </w:r>
      <w:r>
        <w:rPr>
          <w:rFonts w:hint="eastAsia"/>
        </w:rPr>
        <w:tab/>
      </w:r>
      <w:r>
        <w:rPr>
          <w:rFonts w:hint="eastAsia"/>
        </w:rPr>
        <w:t>委员会欢迎缔约国努力完善其旨在促进性别平等和保护妇女人权的体制和政策框架，包括制定：</w:t>
      </w:r>
    </w:p>
    <w:p w:rsidR="00B0321E" w:rsidRDefault="00B0321E" w:rsidP="00B0321E">
      <w:pPr>
        <w:pStyle w:val="SingleTxt"/>
        <w:spacing w:after="110"/>
      </w:pPr>
      <w:r>
        <w:rPr>
          <w:rFonts w:hint="eastAsia"/>
        </w:rPr>
        <w:tab/>
        <w:t>(a)</w:t>
      </w:r>
      <w:r>
        <w:rPr>
          <w:rFonts w:hint="eastAsia"/>
        </w:rPr>
        <w:tab/>
        <w:t>2016-2019</w:t>
      </w:r>
      <w:r>
        <w:rPr>
          <w:rFonts w:hint="eastAsia"/>
        </w:rPr>
        <w:t>年无性别暴力生活行动计划；</w:t>
      </w:r>
    </w:p>
    <w:p w:rsidR="00B0321E" w:rsidRDefault="00B0321E" w:rsidP="00B0321E">
      <w:pPr>
        <w:pStyle w:val="SingleTxt"/>
        <w:spacing w:after="110"/>
      </w:pPr>
      <w:r>
        <w:rPr>
          <w:rFonts w:hint="eastAsia"/>
        </w:rPr>
        <w:tab/>
        <w:t>(b)</w:t>
      </w:r>
      <w:r>
        <w:rPr>
          <w:rFonts w:hint="eastAsia"/>
        </w:rPr>
        <w:tab/>
        <w:t>2015</w:t>
      </w:r>
      <w:r>
        <w:rPr>
          <w:rFonts w:hint="eastAsia"/>
        </w:rPr>
        <w:t>年第</w:t>
      </w:r>
      <w:r>
        <w:rPr>
          <w:rFonts w:hint="eastAsia"/>
        </w:rPr>
        <w:t>321/015</w:t>
      </w:r>
      <w:r>
        <w:rPr>
          <w:rFonts w:hint="eastAsia"/>
        </w:rPr>
        <w:t>号法令，建立性多样性公共政策全国协调委员会；</w:t>
      </w:r>
    </w:p>
    <w:p w:rsidR="00B0321E" w:rsidRDefault="00B0321E" w:rsidP="00B0321E">
      <w:pPr>
        <w:pStyle w:val="SingleTxt"/>
        <w:spacing w:after="110"/>
      </w:pPr>
      <w:r>
        <w:rPr>
          <w:rFonts w:hint="eastAsia"/>
        </w:rPr>
        <w:tab/>
        <w:t>(c)</w:t>
      </w:r>
      <w:r>
        <w:rPr>
          <w:rFonts w:hint="eastAsia"/>
        </w:rPr>
        <w:tab/>
        <w:t>2014</w:t>
      </w:r>
      <w:r>
        <w:rPr>
          <w:rFonts w:hint="eastAsia"/>
        </w:rPr>
        <w:t>年第</w:t>
      </w:r>
      <w:r>
        <w:rPr>
          <w:rFonts w:hint="eastAsia"/>
        </w:rPr>
        <w:t>588</w:t>
      </w:r>
      <w:r>
        <w:rPr>
          <w:rFonts w:hint="eastAsia"/>
        </w:rPr>
        <w:t>号行政法令，建立保护和援助被贩运者制度；</w:t>
      </w:r>
    </w:p>
    <w:p w:rsidR="00B0321E" w:rsidRDefault="00B0321E" w:rsidP="00B0321E">
      <w:pPr>
        <w:pStyle w:val="SingleTxt"/>
        <w:spacing w:after="110"/>
      </w:pPr>
      <w:r>
        <w:rPr>
          <w:rFonts w:hint="eastAsia"/>
        </w:rPr>
        <w:tab/>
        <w:t>(d)</w:t>
      </w:r>
      <w:r>
        <w:rPr>
          <w:rFonts w:hint="eastAsia"/>
        </w:rPr>
        <w:tab/>
        <w:t>2012</w:t>
      </w:r>
      <w:r>
        <w:rPr>
          <w:rFonts w:hint="eastAsia"/>
        </w:rPr>
        <w:t>年预防宫颈癌国家计划；</w:t>
      </w:r>
    </w:p>
    <w:p w:rsidR="00B0321E" w:rsidRDefault="00B0321E" w:rsidP="00B0321E">
      <w:pPr>
        <w:pStyle w:val="SingleTxt"/>
        <w:spacing w:after="110"/>
      </w:pPr>
      <w:r>
        <w:rPr>
          <w:rFonts w:hint="eastAsia"/>
        </w:rPr>
        <w:tab/>
        <w:t>(e)</w:t>
      </w:r>
      <w:r>
        <w:rPr>
          <w:rFonts w:hint="eastAsia"/>
        </w:rPr>
        <w:tab/>
        <w:t>2012</w:t>
      </w:r>
      <w:r>
        <w:rPr>
          <w:rFonts w:hint="eastAsia"/>
        </w:rPr>
        <w:t>年第</w:t>
      </w:r>
      <w:r>
        <w:rPr>
          <w:rFonts w:hint="eastAsia"/>
        </w:rPr>
        <w:t>382</w:t>
      </w:r>
      <w:r>
        <w:rPr>
          <w:rFonts w:hint="eastAsia"/>
        </w:rPr>
        <w:t>号法令，建立防止家庭暴力和性别暴力全国办公室，向国家警察报告暴力事件；</w:t>
      </w:r>
    </w:p>
    <w:p w:rsidR="00B0321E" w:rsidRDefault="00B0321E" w:rsidP="00B0321E">
      <w:pPr>
        <w:pStyle w:val="SingleTxt"/>
        <w:spacing w:after="120"/>
      </w:pPr>
      <w:r>
        <w:rPr>
          <w:rFonts w:hint="eastAsia"/>
        </w:rPr>
        <w:tab/>
        <w:t>(f)</w:t>
      </w:r>
      <w:r>
        <w:rPr>
          <w:rFonts w:hint="eastAsia"/>
        </w:rPr>
        <w:tab/>
        <w:t>2011</w:t>
      </w:r>
      <w:r>
        <w:rPr>
          <w:rFonts w:hint="eastAsia"/>
        </w:rPr>
        <w:t>年全面打击性别暴力行为方案。</w:t>
      </w:r>
    </w:p>
    <w:p w:rsidR="00B0321E" w:rsidRDefault="00B0321E" w:rsidP="00B0321E">
      <w:pPr>
        <w:pStyle w:val="SingleTxt"/>
        <w:spacing w:after="120"/>
      </w:pPr>
      <w:r>
        <w:rPr>
          <w:rFonts w:hint="eastAsia"/>
        </w:rPr>
        <w:t>7.</w:t>
      </w:r>
      <w:r>
        <w:rPr>
          <w:rFonts w:hint="eastAsia"/>
        </w:rPr>
        <w:tab/>
      </w:r>
      <w:r>
        <w:rPr>
          <w:rFonts w:hint="eastAsia"/>
        </w:rPr>
        <w:t>委员会欢迎自审议上一份报告以来，缔约国已批准或加入下列文书：</w:t>
      </w:r>
    </w:p>
    <w:p w:rsidR="00B0321E" w:rsidRDefault="00B0321E" w:rsidP="00B0321E">
      <w:pPr>
        <w:pStyle w:val="SingleTxt"/>
        <w:spacing w:after="120"/>
      </w:pPr>
      <w:r>
        <w:rPr>
          <w:rFonts w:hint="eastAsia"/>
        </w:rPr>
        <w:tab/>
        <w:t>(a)</w:t>
      </w:r>
      <w:r>
        <w:rPr>
          <w:rFonts w:hint="eastAsia"/>
        </w:rPr>
        <w:tab/>
        <w:t>2011</w:t>
      </w:r>
      <w:r>
        <w:rPr>
          <w:rFonts w:hint="eastAsia"/>
        </w:rPr>
        <w:t>年国际劳工组织《家庭工人公约》</w:t>
      </w:r>
      <w:r>
        <w:rPr>
          <w:rFonts w:hint="eastAsia"/>
        </w:rPr>
        <w:t>(</w:t>
      </w:r>
      <w:r>
        <w:rPr>
          <w:rFonts w:hint="eastAsia"/>
        </w:rPr>
        <w:t>第</w:t>
      </w:r>
      <w:r>
        <w:rPr>
          <w:rFonts w:hint="eastAsia"/>
        </w:rPr>
        <w:t>189</w:t>
      </w:r>
      <w:r>
        <w:rPr>
          <w:rFonts w:hint="eastAsia"/>
        </w:rPr>
        <w:t>号</w:t>
      </w:r>
      <w:r>
        <w:rPr>
          <w:rFonts w:hint="eastAsia"/>
        </w:rPr>
        <w:t>)(2012</w:t>
      </w:r>
      <w:r>
        <w:rPr>
          <w:rFonts w:hint="eastAsia"/>
        </w:rPr>
        <w:t>年</w:t>
      </w:r>
      <w:r>
        <w:rPr>
          <w:rFonts w:hint="eastAsia"/>
        </w:rPr>
        <w:t>)</w:t>
      </w:r>
      <w:r>
        <w:rPr>
          <w:rFonts w:hint="eastAsia"/>
        </w:rPr>
        <w:t>；</w:t>
      </w:r>
    </w:p>
    <w:p w:rsidR="00B0321E" w:rsidRDefault="00B0321E" w:rsidP="00B0321E">
      <w:pPr>
        <w:pStyle w:val="SingleTxt"/>
        <w:spacing w:after="120"/>
      </w:pPr>
      <w:r>
        <w:rPr>
          <w:rFonts w:hint="eastAsia"/>
        </w:rPr>
        <w:tab/>
        <w:t xml:space="preserve">(b) </w:t>
      </w:r>
      <w:r>
        <w:rPr>
          <w:rFonts w:hint="eastAsia"/>
        </w:rPr>
        <w:t>《保护所有人免遭强迫失踪国际公约》</w:t>
      </w:r>
      <w:r>
        <w:rPr>
          <w:rFonts w:hint="eastAsia"/>
        </w:rPr>
        <w:t>(2009</w:t>
      </w:r>
      <w:r>
        <w:rPr>
          <w:rFonts w:hint="eastAsia"/>
        </w:rPr>
        <w:t>年</w:t>
      </w:r>
      <w:r>
        <w:rPr>
          <w:rFonts w:hint="eastAsia"/>
        </w:rPr>
        <w:t>)</w:t>
      </w:r>
      <w:r>
        <w:rPr>
          <w:rFonts w:hint="eastAsia"/>
        </w:rPr>
        <w:t>；</w:t>
      </w:r>
    </w:p>
    <w:p w:rsidR="00B0321E" w:rsidRDefault="00B0321E" w:rsidP="00B0321E">
      <w:pPr>
        <w:pStyle w:val="SingleTxt"/>
      </w:pPr>
      <w:r>
        <w:rPr>
          <w:rFonts w:hint="eastAsia"/>
        </w:rPr>
        <w:tab/>
        <w:t xml:space="preserve">(c) </w:t>
      </w:r>
      <w:r>
        <w:rPr>
          <w:rFonts w:hint="eastAsia"/>
        </w:rPr>
        <w:t>《残疾人权利公约》</w:t>
      </w:r>
      <w:r>
        <w:rPr>
          <w:rFonts w:hint="eastAsia"/>
        </w:rPr>
        <w:t>(2009</w:t>
      </w:r>
      <w:r>
        <w:rPr>
          <w:rFonts w:hint="eastAsia"/>
        </w:rPr>
        <w:t>年</w:t>
      </w:r>
      <w:r>
        <w:rPr>
          <w:rFonts w:hint="eastAsia"/>
        </w:rPr>
        <w:t>)</w:t>
      </w:r>
      <w:r>
        <w:rPr>
          <w:rFonts w:hint="eastAsia"/>
        </w:rPr>
        <w:t>及其《任择议定书》</w:t>
      </w:r>
      <w:r>
        <w:rPr>
          <w:rFonts w:hint="eastAsia"/>
        </w:rPr>
        <w:t>(2011</w:t>
      </w:r>
      <w:r>
        <w:rPr>
          <w:rFonts w:hint="eastAsia"/>
        </w:rPr>
        <w:t>年</w:t>
      </w:r>
      <w:r>
        <w:rPr>
          <w:rFonts w:hint="eastAsia"/>
        </w:rPr>
        <w:t>)</w:t>
      </w:r>
      <w:r>
        <w:rPr>
          <w:rFonts w:hint="eastAsia"/>
        </w:rPr>
        <w:t>。</w:t>
      </w:r>
    </w:p>
    <w:p w:rsidR="00B0321E" w:rsidRDefault="00B0321E" w:rsidP="00B0321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t>C.</w:t>
      </w:r>
      <w:r>
        <w:rPr>
          <w:rFonts w:hint="eastAsia"/>
        </w:rPr>
        <w:tab/>
        <w:t>主要关切领域和建议</w:t>
      </w:r>
    </w:p>
    <w:p w:rsidR="00B0321E" w:rsidRPr="00B0321E" w:rsidRDefault="00B0321E" w:rsidP="00B0321E">
      <w:pPr>
        <w:pStyle w:val="SingleTxt"/>
        <w:spacing w:after="0" w:line="120" w:lineRule="exact"/>
        <w:rPr>
          <w:sz w:val="10"/>
        </w:rPr>
      </w:pPr>
    </w:p>
    <w:p w:rsidR="00B0321E" w:rsidRPr="00B0321E" w:rsidRDefault="00B0321E" w:rsidP="00B0321E">
      <w:pPr>
        <w:pStyle w:val="SingleTxt"/>
        <w:spacing w:after="100"/>
        <w:rPr>
          <w:rFonts w:ascii="黑体" w:eastAsia="黑体" w:hAnsi="黑体"/>
        </w:rPr>
      </w:pPr>
      <w:r w:rsidRPr="00B0321E">
        <w:rPr>
          <w:rFonts w:ascii="黑体" w:eastAsia="黑体" w:hAnsi="黑体" w:hint="eastAsia"/>
        </w:rPr>
        <w:t>议会</w:t>
      </w:r>
    </w:p>
    <w:p w:rsidR="00B0321E" w:rsidRDefault="00B0321E" w:rsidP="00B0321E">
      <w:pPr>
        <w:pStyle w:val="SingleTxt"/>
      </w:pPr>
      <w:r>
        <w:rPr>
          <w:rFonts w:hint="eastAsia"/>
        </w:rPr>
        <w:t>8.</w:t>
      </w:r>
      <w:r>
        <w:rPr>
          <w:rFonts w:hint="eastAsia"/>
        </w:rPr>
        <w:tab/>
      </w:r>
      <w:r w:rsidRPr="00B0321E">
        <w:rPr>
          <w:rFonts w:ascii="黑体" w:eastAsia="黑体" w:hAnsi="黑体" w:hint="eastAsia"/>
        </w:rPr>
        <w:t>委员会强调立法部门在确保充分执行《公约》方面的关键作用(见2010年委员会第四十五届会议通过的关于委员会与议会议员关系的声明)。委员会邀请议会依据其任务规定，从现在到根据《公约》提交下一次定期报告期间，采取必要步骤落实本结论意见</w:t>
      </w:r>
      <w:r>
        <w:rPr>
          <w:rFonts w:hint="eastAsia"/>
        </w:rPr>
        <w:t>。</w:t>
      </w:r>
    </w:p>
    <w:p w:rsidR="00B0321E" w:rsidRPr="00B0321E" w:rsidRDefault="00B0321E" w:rsidP="00B0321E">
      <w:pPr>
        <w:pStyle w:val="SingleTxt"/>
        <w:rPr>
          <w:rFonts w:ascii="黑体" w:eastAsia="黑体" w:hAnsi="黑体"/>
        </w:rPr>
      </w:pPr>
      <w:r w:rsidRPr="00B0321E">
        <w:rPr>
          <w:rFonts w:ascii="黑体" w:eastAsia="黑体" w:hAnsi="黑体" w:hint="eastAsia"/>
        </w:rPr>
        <w:t>非裔妇女</w:t>
      </w:r>
    </w:p>
    <w:p w:rsidR="00B0321E" w:rsidRDefault="00B0321E" w:rsidP="00B0321E">
      <w:pPr>
        <w:pStyle w:val="SingleTxt"/>
      </w:pPr>
      <w:r>
        <w:rPr>
          <w:rFonts w:hint="eastAsia"/>
        </w:rPr>
        <w:t>9.</w:t>
      </w:r>
      <w:r>
        <w:rPr>
          <w:rFonts w:hint="eastAsia"/>
        </w:rPr>
        <w:tab/>
      </w:r>
      <w:r>
        <w:rPr>
          <w:rFonts w:hint="eastAsia"/>
        </w:rPr>
        <w:t>委</w:t>
      </w:r>
      <w:r w:rsidRPr="00B0321E">
        <w:rPr>
          <w:rFonts w:hint="eastAsia"/>
          <w:spacing w:val="-3"/>
        </w:rPr>
        <w:t>员会赞扬缔约国针对非裔乌拉圭人历史上所受歧视采取重要行动促进种族平等，并欢迎缔约国在最近的人口普查中承认该部分人口。然而，此一行动并没有消除问题，非裔乌拉圭妇女事实上仍然受到交叉歧视，反映于特别严重的教育排斥、早孕、薪资较低、参加劳动队伍时处于弱势地位及公共和政治参与程度偏低。</w:t>
      </w:r>
    </w:p>
    <w:p w:rsidR="00B0321E" w:rsidRDefault="00B0321E" w:rsidP="00B0321E">
      <w:pPr>
        <w:pStyle w:val="SingleTxt"/>
      </w:pPr>
      <w:r>
        <w:rPr>
          <w:rFonts w:hint="eastAsia"/>
        </w:rPr>
        <w:t>10.</w:t>
      </w:r>
      <w:r>
        <w:rPr>
          <w:rFonts w:hint="eastAsia"/>
        </w:rPr>
        <w:tab/>
      </w:r>
      <w:r w:rsidRPr="00B0321E">
        <w:rPr>
          <w:rFonts w:ascii="黑体" w:eastAsia="黑体" w:hAnsi="黑体" w:hint="eastAsia"/>
        </w:rPr>
        <w:t>委员会建议缔约国按照第19.122号法和第144/014号法令的规定采取反歧视措施支持非裔乌拉圭妇女，包括</w:t>
      </w:r>
      <w:r>
        <w:rPr>
          <w:rFonts w:hint="eastAsia"/>
        </w:rPr>
        <w:t>：</w:t>
      </w:r>
    </w:p>
    <w:p w:rsidR="00B0321E" w:rsidRDefault="00B0321E" w:rsidP="00B0321E">
      <w:pPr>
        <w:pStyle w:val="SingleTxt"/>
      </w:pPr>
      <w:r>
        <w:rPr>
          <w:rFonts w:hint="eastAsia"/>
        </w:rPr>
        <w:tab/>
        <w:t>(a)</w:t>
      </w:r>
      <w:r>
        <w:rPr>
          <w:rFonts w:hint="eastAsia"/>
        </w:rPr>
        <w:tab/>
      </w:r>
      <w:r w:rsidRPr="00B0321E">
        <w:rPr>
          <w:rFonts w:ascii="黑体" w:eastAsia="黑体" w:hAnsi="黑体" w:hint="eastAsia"/>
        </w:rPr>
        <w:t>继续加强提高认识活动，使人们了解非裔乌拉圭妇女所受种族歧视</w:t>
      </w:r>
      <w:r>
        <w:rPr>
          <w:rFonts w:hint="eastAsia"/>
        </w:rPr>
        <w:t>；</w:t>
      </w:r>
    </w:p>
    <w:p w:rsidR="00B0321E" w:rsidRDefault="00B0321E" w:rsidP="00B0321E">
      <w:pPr>
        <w:pStyle w:val="SingleTxt"/>
      </w:pPr>
      <w:r>
        <w:rPr>
          <w:rFonts w:hint="eastAsia"/>
        </w:rPr>
        <w:tab/>
        <w:t>(b)</w:t>
      </w:r>
      <w:r>
        <w:rPr>
          <w:rFonts w:hint="eastAsia"/>
        </w:rPr>
        <w:tab/>
      </w:r>
      <w:r w:rsidRPr="00B0321E">
        <w:rPr>
          <w:rFonts w:ascii="黑体" w:eastAsia="黑体" w:hAnsi="黑体" w:hint="eastAsia"/>
        </w:rPr>
        <w:t>制定暂行特别措施，以增加享有经济、社会及文化权利的机会和提高政治参与</w:t>
      </w:r>
      <w:r>
        <w:rPr>
          <w:rFonts w:hint="eastAsia"/>
        </w:rPr>
        <w:t>；</w:t>
      </w:r>
    </w:p>
    <w:p w:rsidR="00B0321E" w:rsidRDefault="00B0321E" w:rsidP="00B0321E">
      <w:pPr>
        <w:pStyle w:val="SingleTxt"/>
      </w:pPr>
      <w:r>
        <w:rPr>
          <w:rFonts w:hint="eastAsia"/>
        </w:rPr>
        <w:tab/>
        <w:t>(c)</w:t>
      </w:r>
      <w:r>
        <w:rPr>
          <w:rFonts w:hint="eastAsia"/>
        </w:rPr>
        <w:tab/>
      </w:r>
      <w:r w:rsidRPr="00B0321E">
        <w:rPr>
          <w:rFonts w:ascii="黑体" w:eastAsia="黑体" w:hAnsi="黑体" w:hint="eastAsia"/>
        </w:rPr>
        <w:t>积极监测、监督和协调国家旨在消除系统性歧视的对策</w:t>
      </w:r>
      <w:r>
        <w:rPr>
          <w:rFonts w:hint="eastAsia"/>
        </w:rPr>
        <w:t>。</w:t>
      </w:r>
    </w:p>
    <w:p w:rsidR="00B0321E" w:rsidRPr="00B0321E" w:rsidRDefault="00B0321E" w:rsidP="00B0321E">
      <w:pPr>
        <w:pStyle w:val="SingleTxt"/>
        <w:rPr>
          <w:rFonts w:ascii="黑体" w:eastAsia="黑体" w:hAnsi="黑体"/>
        </w:rPr>
      </w:pPr>
      <w:r w:rsidRPr="00B0321E">
        <w:rPr>
          <w:rFonts w:ascii="黑体" w:eastAsia="黑体" w:hAnsi="黑体" w:hint="eastAsia"/>
        </w:rPr>
        <w:t>立法框架和《公约》的知名度</w:t>
      </w:r>
    </w:p>
    <w:p w:rsidR="00B0321E" w:rsidRDefault="00B0321E" w:rsidP="00B0321E">
      <w:pPr>
        <w:pStyle w:val="SingleTxt"/>
      </w:pPr>
      <w:r>
        <w:rPr>
          <w:rFonts w:hint="eastAsia"/>
        </w:rPr>
        <w:t>11.</w:t>
      </w:r>
      <w:r>
        <w:rPr>
          <w:rFonts w:hint="eastAsia"/>
        </w:rPr>
        <w:tab/>
      </w:r>
      <w:r>
        <w:rPr>
          <w:rFonts w:hint="eastAsia"/>
        </w:rPr>
        <w:t>委员会注意到《公约》优先于乌拉圭国内法，并且是国家立法框架的一部分，法院可予援引和直接适用。委员会赞扬缔约国努力培训公共当局，推行《公约》所载的国际标准，但委员会关切地注意到：</w:t>
      </w:r>
    </w:p>
    <w:p w:rsidR="00B0321E" w:rsidRDefault="00B0321E" w:rsidP="00B0321E">
      <w:pPr>
        <w:pStyle w:val="SingleTxt"/>
      </w:pPr>
      <w:r>
        <w:rPr>
          <w:rFonts w:hint="eastAsia"/>
        </w:rPr>
        <w:tab/>
        <w:t>(a)</w:t>
      </w:r>
      <w:r>
        <w:rPr>
          <w:rFonts w:hint="eastAsia"/>
        </w:rPr>
        <w:tab/>
      </w:r>
      <w:r>
        <w:rPr>
          <w:rFonts w:hint="eastAsia"/>
        </w:rPr>
        <w:t>法律裁判极少提及《公约》，由此可见政府官员和级别较低的法官对《公约》的了解和认识有限；</w:t>
      </w:r>
    </w:p>
    <w:p w:rsidR="00B0321E" w:rsidRDefault="00B0321E" w:rsidP="00B0321E">
      <w:pPr>
        <w:pStyle w:val="SingleTxt"/>
      </w:pPr>
      <w:r>
        <w:rPr>
          <w:rFonts w:hint="eastAsia"/>
        </w:rPr>
        <w:tab/>
        <w:t xml:space="preserve">(b) </w:t>
      </w:r>
      <w:r>
        <w:rPr>
          <w:rFonts w:hint="eastAsia"/>
        </w:rPr>
        <w:t>《公约》及其《任择议定书》知名度低，以致许多妇女不甚了解其享受无歧视生活的权利和可用以要求保护其《公约》所定权利的机制；</w:t>
      </w:r>
    </w:p>
    <w:p w:rsidR="00B0321E" w:rsidRDefault="00B0321E" w:rsidP="00B0321E">
      <w:pPr>
        <w:pStyle w:val="SingleTxt"/>
      </w:pPr>
      <w:r>
        <w:rPr>
          <w:rFonts w:hint="eastAsia"/>
        </w:rPr>
        <w:tab/>
        <w:t>(c)</w:t>
      </w:r>
      <w:r>
        <w:rPr>
          <w:rFonts w:hint="eastAsia"/>
        </w:rPr>
        <w:tab/>
      </w:r>
      <w:r w:rsidRPr="00B0321E">
        <w:rPr>
          <w:rFonts w:hint="eastAsia"/>
          <w:spacing w:val="-2"/>
        </w:rPr>
        <w:t>法律框架，特别是《刑法》和《刑事诉讼法》，仍然含有歧视妇女的规定；</w:t>
      </w:r>
    </w:p>
    <w:p w:rsidR="00B0321E" w:rsidRDefault="00B0321E" w:rsidP="00B0321E">
      <w:pPr>
        <w:pStyle w:val="SingleTxt"/>
      </w:pPr>
      <w:r>
        <w:rPr>
          <w:rFonts w:hint="eastAsia"/>
        </w:rPr>
        <w:tab/>
        <w:t>(d)</w:t>
      </w:r>
      <w:r>
        <w:rPr>
          <w:rFonts w:hint="eastAsia"/>
        </w:rPr>
        <w:tab/>
      </w:r>
      <w:r>
        <w:rPr>
          <w:rFonts w:hint="eastAsia"/>
        </w:rPr>
        <w:t>禁止性别歧视的立法在全国各地的执行情况不一。</w:t>
      </w:r>
    </w:p>
    <w:p w:rsidR="00B0321E" w:rsidRDefault="00B0321E" w:rsidP="00B0321E">
      <w:pPr>
        <w:pStyle w:val="SingleTxt"/>
      </w:pPr>
      <w:r>
        <w:rPr>
          <w:rFonts w:hint="eastAsia"/>
        </w:rPr>
        <w:t>12.</w:t>
      </w:r>
      <w:r>
        <w:rPr>
          <w:rFonts w:hint="eastAsia"/>
        </w:rPr>
        <w:tab/>
      </w:r>
      <w:r>
        <w:rPr>
          <w:rFonts w:hint="eastAsia"/>
        </w:rPr>
        <w:t>委员会建议缔约国：</w:t>
      </w:r>
    </w:p>
    <w:p w:rsidR="00B0321E" w:rsidRDefault="00B0321E" w:rsidP="00B0321E">
      <w:pPr>
        <w:pStyle w:val="SingleTxt"/>
      </w:pPr>
      <w:r>
        <w:rPr>
          <w:rFonts w:hint="eastAsia"/>
        </w:rPr>
        <w:tab/>
        <w:t>(a)</w:t>
      </w:r>
      <w:r>
        <w:rPr>
          <w:rFonts w:hint="eastAsia"/>
        </w:rPr>
        <w:tab/>
      </w:r>
      <w:r w:rsidRPr="00B0321E">
        <w:rPr>
          <w:rFonts w:ascii="黑体" w:eastAsia="黑体" w:hAnsi="黑体" w:hint="eastAsia"/>
        </w:rPr>
        <w:t>采取更有力的措施在政府官员和议员中传播《公约》及其《任择议定书》和委员会一般性建议，并加强目前在司法系统和法律专业人员中开展的能力建设活动，介绍在法庭诉讼程序中援引或直接适用《公约》的方法</w:t>
      </w:r>
      <w:r>
        <w:rPr>
          <w:rFonts w:hint="eastAsia"/>
        </w:rPr>
        <w:t>；</w:t>
      </w:r>
    </w:p>
    <w:p w:rsidR="00B0321E" w:rsidRDefault="00B0321E" w:rsidP="00B0321E">
      <w:pPr>
        <w:pStyle w:val="SingleTxt"/>
      </w:pPr>
      <w:r>
        <w:rPr>
          <w:rFonts w:hint="eastAsia"/>
        </w:rPr>
        <w:tab/>
        <w:t>(b)</w:t>
      </w:r>
      <w:r>
        <w:rPr>
          <w:rFonts w:hint="eastAsia"/>
        </w:rPr>
        <w:tab/>
      </w:r>
      <w:r w:rsidRPr="00B0321E">
        <w:rPr>
          <w:rFonts w:ascii="黑体" w:eastAsia="黑体" w:hAnsi="黑体" w:hint="eastAsia"/>
        </w:rPr>
        <w:t>制定一项战略使妇女更多地认识到《公约》所定妇女权利和规定的执行手段，并在这方面动员民间社会组织、妇女组织、工会和学术机构等各相关利益攸关方参与</w:t>
      </w:r>
      <w:r>
        <w:rPr>
          <w:rFonts w:hint="eastAsia"/>
        </w:rPr>
        <w:t>；</w:t>
      </w:r>
    </w:p>
    <w:p w:rsidR="00B0321E" w:rsidRDefault="00B0321E" w:rsidP="00B0321E">
      <w:pPr>
        <w:pStyle w:val="SingleTxt"/>
      </w:pPr>
      <w:r>
        <w:rPr>
          <w:rFonts w:hint="eastAsia"/>
        </w:rPr>
        <w:tab/>
        <w:t>(c)</w:t>
      </w:r>
      <w:r>
        <w:rPr>
          <w:rFonts w:hint="eastAsia"/>
        </w:rPr>
        <w:tab/>
      </w:r>
      <w:r w:rsidRPr="00B0321E">
        <w:rPr>
          <w:rFonts w:ascii="黑体" w:eastAsia="黑体" w:hAnsi="黑体" w:hint="eastAsia"/>
        </w:rPr>
        <w:t>修正立法以消除性别歧视，特别是修正《刑法》和《刑事诉讼法》；并制定定期审查和修改歧视妇女的立法和规定的机制</w:t>
      </w:r>
      <w:r>
        <w:rPr>
          <w:rFonts w:hint="eastAsia"/>
        </w:rPr>
        <w:t>；</w:t>
      </w:r>
    </w:p>
    <w:p w:rsidR="00B0321E" w:rsidRDefault="00B0321E" w:rsidP="00B0321E">
      <w:pPr>
        <w:pStyle w:val="SingleTxt"/>
      </w:pPr>
      <w:r>
        <w:rPr>
          <w:rFonts w:hint="eastAsia"/>
        </w:rPr>
        <w:tab/>
        <w:t>(d)</w:t>
      </w:r>
      <w:r>
        <w:rPr>
          <w:rFonts w:hint="eastAsia"/>
        </w:rPr>
        <w:tab/>
      </w:r>
      <w:r w:rsidRPr="00B0321E">
        <w:rPr>
          <w:rFonts w:ascii="黑体" w:eastAsia="黑体" w:hAnsi="黑体" w:hint="eastAsia"/>
        </w:rPr>
        <w:t>采用指标监测旨在在全国范围内消除性别歧视的立法和公共政策的执行情况</w:t>
      </w:r>
      <w:r>
        <w:rPr>
          <w:rFonts w:hint="eastAsia"/>
        </w:rPr>
        <w:t>。</w:t>
      </w:r>
    </w:p>
    <w:p w:rsidR="00B0321E" w:rsidRPr="00B0321E" w:rsidRDefault="00B0321E" w:rsidP="00B0321E">
      <w:pPr>
        <w:pStyle w:val="SingleTxt"/>
        <w:rPr>
          <w:rFonts w:ascii="黑体" w:eastAsia="黑体" w:hAnsi="黑体"/>
        </w:rPr>
      </w:pPr>
      <w:r w:rsidRPr="00B0321E">
        <w:rPr>
          <w:rFonts w:ascii="黑体" w:eastAsia="黑体" w:hAnsi="黑体" w:hint="eastAsia"/>
        </w:rPr>
        <w:t>司法救助和补救措施</w:t>
      </w:r>
    </w:p>
    <w:p w:rsidR="00B0321E" w:rsidRDefault="00B0321E" w:rsidP="00B0321E">
      <w:pPr>
        <w:pStyle w:val="SingleTxt"/>
      </w:pPr>
      <w:r>
        <w:rPr>
          <w:rFonts w:hint="eastAsia"/>
        </w:rPr>
        <w:t>13.</w:t>
      </w:r>
      <w:r>
        <w:rPr>
          <w:rFonts w:hint="eastAsia"/>
        </w:rPr>
        <w:tab/>
      </w:r>
      <w:r>
        <w:rPr>
          <w:rFonts w:hint="eastAsia"/>
        </w:rPr>
        <w:t>委员会注意到，缔约国设立了专门负责审理家庭暴力案件的特设家庭法院，并设立了多学科咨询小组和监察员办公室就家庭暴力相关问题提供咨询意见和建议。但委员会仍然关切司法系统长期存在下列结构障碍，妨碍妇女获得司法救助和补救措施：</w:t>
      </w:r>
    </w:p>
    <w:p w:rsidR="00B0321E" w:rsidRDefault="003D4AF2" w:rsidP="00B0321E">
      <w:pPr>
        <w:pStyle w:val="SingleTxt"/>
      </w:pPr>
      <w:r>
        <w:rPr>
          <w:rFonts w:hint="eastAsia"/>
        </w:rPr>
        <w:tab/>
      </w:r>
      <w:r w:rsidR="00B0321E">
        <w:rPr>
          <w:rFonts w:hint="eastAsia"/>
        </w:rPr>
        <w:t>(a)</w:t>
      </w:r>
      <w:r w:rsidR="00B0321E">
        <w:rPr>
          <w:rFonts w:hint="eastAsia"/>
        </w:rPr>
        <w:tab/>
      </w:r>
      <w:r w:rsidR="00B0321E">
        <w:rPr>
          <w:rFonts w:hint="eastAsia"/>
        </w:rPr>
        <w:t>家庭法院的诉讼程序冗长、复杂，而且在多个辖区重复进行；</w:t>
      </w:r>
    </w:p>
    <w:p w:rsidR="00B0321E" w:rsidRDefault="003D4AF2" w:rsidP="00B0321E">
      <w:pPr>
        <w:pStyle w:val="SingleTxt"/>
      </w:pPr>
      <w:r>
        <w:rPr>
          <w:rFonts w:hint="eastAsia"/>
        </w:rPr>
        <w:tab/>
      </w:r>
      <w:r w:rsidR="00B0321E">
        <w:rPr>
          <w:rFonts w:hint="eastAsia"/>
        </w:rPr>
        <w:t>(b)</w:t>
      </w:r>
      <w:r w:rsidR="00B0321E">
        <w:rPr>
          <w:rFonts w:hint="eastAsia"/>
        </w:rPr>
        <w:tab/>
      </w:r>
      <w:r w:rsidR="00B0321E">
        <w:rPr>
          <w:rFonts w:hint="eastAsia"/>
        </w:rPr>
        <w:t>农村地区和边境地区特设家庭法院不足，而且不便于使用；</w:t>
      </w:r>
    </w:p>
    <w:p w:rsidR="00B0321E" w:rsidRDefault="003D4AF2" w:rsidP="00B0321E">
      <w:pPr>
        <w:pStyle w:val="SingleTxt"/>
      </w:pPr>
      <w:r>
        <w:rPr>
          <w:rFonts w:hint="eastAsia"/>
        </w:rPr>
        <w:tab/>
      </w:r>
      <w:r w:rsidR="00B0321E">
        <w:rPr>
          <w:rFonts w:hint="eastAsia"/>
        </w:rPr>
        <w:t>(c)</w:t>
      </w:r>
      <w:r w:rsidR="00B0321E">
        <w:rPr>
          <w:rFonts w:hint="eastAsia"/>
        </w:rPr>
        <w:tab/>
      </w:r>
      <w:r w:rsidR="00B0321E">
        <w:rPr>
          <w:rFonts w:hint="eastAsia"/>
        </w:rPr>
        <w:t>缺乏一个可以就各种形式性别歧视情事提出申诉的具体机制；</w:t>
      </w:r>
    </w:p>
    <w:p w:rsidR="00B0321E" w:rsidRDefault="003D4AF2" w:rsidP="00B0321E">
      <w:pPr>
        <w:pStyle w:val="SingleTxt"/>
      </w:pPr>
      <w:r>
        <w:rPr>
          <w:rFonts w:hint="eastAsia"/>
        </w:rPr>
        <w:tab/>
      </w:r>
      <w:r w:rsidR="00B0321E">
        <w:rPr>
          <w:rFonts w:hint="eastAsia"/>
        </w:rPr>
        <w:t>(d)</w:t>
      </w:r>
      <w:r w:rsidR="00B0321E">
        <w:rPr>
          <w:rFonts w:hint="eastAsia"/>
        </w:rPr>
        <w:tab/>
      </w:r>
      <w:r w:rsidR="00B0321E">
        <w:rPr>
          <w:rFonts w:hint="eastAsia"/>
        </w:rPr>
        <w:t>妇女难以获得法律援助和关于其可用补救措施的资料；</w:t>
      </w:r>
    </w:p>
    <w:p w:rsidR="00B0321E" w:rsidRDefault="003D4AF2" w:rsidP="00B0321E">
      <w:pPr>
        <w:pStyle w:val="SingleTxt"/>
      </w:pPr>
      <w:r>
        <w:rPr>
          <w:rFonts w:hint="eastAsia"/>
        </w:rPr>
        <w:tab/>
      </w:r>
      <w:r w:rsidR="00B0321E">
        <w:rPr>
          <w:rFonts w:hint="eastAsia"/>
        </w:rPr>
        <w:t>(e)</w:t>
      </w:r>
      <w:r w:rsidR="00B0321E">
        <w:rPr>
          <w:rFonts w:hint="eastAsia"/>
        </w:rPr>
        <w:tab/>
      </w:r>
      <w:r w:rsidR="00B0321E">
        <w:rPr>
          <w:rFonts w:hint="eastAsia"/>
        </w:rPr>
        <w:t>司法判决持续存在偏见，导致诉诸法院的妇女得不到保护；检察官和警察也缺乏关于妇女权利的专门知识；</w:t>
      </w:r>
    </w:p>
    <w:p w:rsidR="00B0321E" w:rsidRDefault="003D4AF2" w:rsidP="00B0321E">
      <w:pPr>
        <w:pStyle w:val="SingleTxt"/>
      </w:pPr>
      <w:r>
        <w:rPr>
          <w:rFonts w:hint="eastAsia"/>
        </w:rPr>
        <w:tab/>
      </w:r>
      <w:r w:rsidR="00B0321E">
        <w:rPr>
          <w:rFonts w:hint="eastAsia"/>
        </w:rPr>
        <w:t>(f)</w:t>
      </w:r>
      <w:r>
        <w:rPr>
          <w:rFonts w:hint="eastAsia"/>
        </w:rPr>
        <w:tab/>
      </w:r>
      <w:r w:rsidR="00B0321E">
        <w:rPr>
          <w:rFonts w:hint="eastAsia"/>
        </w:rPr>
        <w:t>国家人权机构和监察员办公室人力和财政资源不足。</w:t>
      </w:r>
    </w:p>
    <w:p w:rsidR="00B0321E" w:rsidRDefault="00B0321E" w:rsidP="00B0321E">
      <w:pPr>
        <w:pStyle w:val="SingleTxt"/>
      </w:pPr>
      <w:r>
        <w:rPr>
          <w:rFonts w:hint="eastAsia"/>
        </w:rPr>
        <w:t>14.</w:t>
      </w:r>
      <w:r>
        <w:rPr>
          <w:rFonts w:hint="eastAsia"/>
        </w:rPr>
        <w:tab/>
      </w:r>
      <w:r w:rsidRPr="003D4AF2">
        <w:rPr>
          <w:rFonts w:ascii="黑体" w:eastAsia="黑体" w:hAnsi="黑体" w:hint="eastAsia"/>
          <w:spacing w:val="-4"/>
        </w:rPr>
        <w:t>委员会根据其关于妇女获得司法救助的第33(2015)号一般性建议吁请缔约国</w:t>
      </w:r>
      <w:r>
        <w:rPr>
          <w:rFonts w:hint="eastAsia"/>
        </w:rPr>
        <w:t>：</w:t>
      </w:r>
    </w:p>
    <w:p w:rsidR="00B0321E" w:rsidRDefault="003D4AF2" w:rsidP="00B0321E">
      <w:pPr>
        <w:pStyle w:val="SingleTxt"/>
      </w:pPr>
      <w:r>
        <w:rPr>
          <w:rFonts w:hint="eastAsia"/>
        </w:rPr>
        <w:tab/>
      </w:r>
      <w:r w:rsidR="00B0321E">
        <w:rPr>
          <w:rFonts w:hint="eastAsia"/>
        </w:rPr>
        <w:t>(a)</w:t>
      </w:r>
      <w:r w:rsidR="00B0321E">
        <w:rPr>
          <w:rFonts w:hint="eastAsia"/>
        </w:rPr>
        <w:tab/>
      </w:r>
      <w:r w:rsidR="00B0321E" w:rsidRPr="003D4AF2">
        <w:rPr>
          <w:rFonts w:ascii="黑体" w:eastAsia="黑体" w:hAnsi="黑体" w:hint="eastAsia"/>
        </w:rPr>
        <w:t>审查和简化妇女到特设家庭法院寻求司法保护的诉讼程序，特别是在涉及性别暴力的情况下；为暴力行为妇女受害人提供直接诉诸刑事法院的机会；并加快妇女请求人与司法机构之间的通讯联系</w:t>
      </w:r>
      <w:r w:rsidR="00B0321E">
        <w:rPr>
          <w:rFonts w:hint="eastAsia"/>
        </w:rPr>
        <w:t>；</w:t>
      </w:r>
    </w:p>
    <w:p w:rsidR="00B0321E" w:rsidRDefault="003D4AF2" w:rsidP="00B0321E">
      <w:pPr>
        <w:pStyle w:val="SingleTxt"/>
      </w:pPr>
      <w:r>
        <w:rPr>
          <w:rFonts w:hint="eastAsia"/>
        </w:rPr>
        <w:tab/>
      </w:r>
      <w:r w:rsidR="00B0321E">
        <w:rPr>
          <w:rFonts w:hint="eastAsia"/>
        </w:rPr>
        <w:t>(b)</w:t>
      </w:r>
      <w:r w:rsidR="00B0321E">
        <w:rPr>
          <w:rFonts w:hint="eastAsia"/>
        </w:rPr>
        <w:tab/>
      </w:r>
      <w:r w:rsidR="00B0321E" w:rsidRPr="003D4AF2">
        <w:rPr>
          <w:rFonts w:ascii="黑体" w:eastAsia="黑体" w:hAnsi="黑体" w:hint="eastAsia"/>
        </w:rPr>
        <w:t>在缔约国全国境内，包括农村和边境地区，扩大特设家庭法院覆盖范围；并确保不断为执法人员，包括法官和检察官，开展关于妇女人权和性别平等的能力建设方案</w:t>
      </w:r>
      <w:r w:rsidR="00B0321E">
        <w:rPr>
          <w:rFonts w:hint="eastAsia"/>
        </w:rPr>
        <w:t>；</w:t>
      </w:r>
    </w:p>
    <w:p w:rsidR="00B0321E" w:rsidRDefault="003D4AF2" w:rsidP="00B0321E">
      <w:pPr>
        <w:pStyle w:val="SingleTxt"/>
      </w:pPr>
      <w:r>
        <w:rPr>
          <w:rFonts w:hint="eastAsia"/>
        </w:rPr>
        <w:tab/>
      </w:r>
      <w:r w:rsidR="00B0321E">
        <w:rPr>
          <w:rFonts w:hint="eastAsia"/>
        </w:rPr>
        <w:t>(c)</w:t>
      </w:r>
      <w:r w:rsidR="00B0321E">
        <w:rPr>
          <w:rFonts w:hint="eastAsia"/>
        </w:rPr>
        <w:tab/>
      </w:r>
      <w:r w:rsidR="00B0321E" w:rsidRPr="003D4AF2">
        <w:rPr>
          <w:rFonts w:ascii="黑体" w:eastAsia="黑体" w:hAnsi="黑体" w:hint="eastAsia"/>
        </w:rPr>
        <w:t>为面对性别歧视的妇女制定有效补救措施，包括能够向行政当局提出申诉和准司法补救措施</w:t>
      </w:r>
      <w:r w:rsidR="00B0321E">
        <w:rPr>
          <w:rFonts w:hint="eastAsia"/>
        </w:rPr>
        <w:t>；</w:t>
      </w:r>
    </w:p>
    <w:p w:rsidR="00B0321E" w:rsidRDefault="003D4AF2" w:rsidP="00B0321E">
      <w:pPr>
        <w:pStyle w:val="SingleTxt"/>
      </w:pPr>
      <w:r>
        <w:rPr>
          <w:rFonts w:hint="eastAsia"/>
        </w:rPr>
        <w:tab/>
      </w:r>
      <w:r w:rsidR="00B0321E">
        <w:rPr>
          <w:rFonts w:hint="eastAsia"/>
        </w:rPr>
        <w:t>(d)</w:t>
      </w:r>
      <w:r w:rsidR="00B0321E">
        <w:rPr>
          <w:rFonts w:hint="eastAsia"/>
        </w:rPr>
        <w:tab/>
      </w:r>
      <w:r w:rsidR="00B0321E" w:rsidRPr="003D4AF2">
        <w:rPr>
          <w:rFonts w:ascii="黑体" w:eastAsia="黑体" w:hAnsi="黑体" w:hint="eastAsia"/>
        </w:rPr>
        <w:t>确保向所有因其人权受到侵犯而寻求正义的妇女提供对性别敏感的法律援助</w:t>
      </w:r>
      <w:r w:rsidR="00B0321E">
        <w:rPr>
          <w:rFonts w:hint="eastAsia"/>
        </w:rPr>
        <w:t>；</w:t>
      </w:r>
    </w:p>
    <w:p w:rsidR="00B0321E" w:rsidRDefault="003D4AF2" w:rsidP="00B0321E">
      <w:pPr>
        <w:pStyle w:val="SingleTxt"/>
      </w:pPr>
      <w:r>
        <w:rPr>
          <w:rFonts w:hint="eastAsia"/>
        </w:rPr>
        <w:tab/>
      </w:r>
      <w:r w:rsidR="00B0321E">
        <w:rPr>
          <w:rFonts w:hint="eastAsia"/>
        </w:rPr>
        <w:t>(e)</w:t>
      </w:r>
      <w:r w:rsidR="00B0321E">
        <w:rPr>
          <w:rFonts w:hint="eastAsia"/>
        </w:rPr>
        <w:tab/>
      </w:r>
      <w:r w:rsidR="00B0321E" w:rsidRPr="003D4AF2">
        <w:rPr>
          <w:rFonts w:ascii="黑体" w:eastAsia="黑体" w:hAnsi="黑体" w:hint="eastAsia"/>
        </w:rPr>
        <w:t>建立机制收集司法系统各级机构的案例法资料，以监测就妇女投诉，特别是有关暴力和其他形式歧视的投诉而采取的执法措施的效力</w:t>
      </w:r>
      <w:r w:rsidR="00B0321E">
        <w:rPr>
          <w:rFonts w:hint="eastAsia"/>
        </w:rPr>
        <w:t>；</w:t>
      </w:r>
    </w:p>
    <w:p w:rsidR="00B0321E" w:rsidRDefault="003D4AF2" w:rsidP="00B0321E">
      <w:pPr>
        <w:pStyle w:val="SingleTxt"/>
      </w:pPr>
      <w:r>
        <w:rPr>
          <w:rFonts w:hint="eastAsia"/>
        </w:rPr>
        <w:tab/>
      </w:r>
      <w:r w:rsidR="00B0321E">
        <w:rPr>
          <w:rFonts w:hint="eastAsia"/>
        </w:rPr>
        <w:t>(f)</w:t>
      </w:r>
      <w:r>
        <w:rPr>
          <w:rFonts w:hint="eastAsia"/>
        </w:rPr>
        <w:tab/>
      </w:r>
      <w:r w:rsidR="00B0321E" w:rsidRPr="003D4AF2">
        <w:rPr>
          <w:rFonts w:ascii="黑体" w:eastAsia="黑体" w:hAnsi="黑体" w:hint="eastAsia"/>
        </w:rPr>
        <w:t>确保向国家人权机构和监察员办公室提供充分的人力和财政资源，使其能够有效履行任务</w:t>
      </w:r>
      <w:r w:rsidR="00B0321E">
        <w:rPr>
          <w:rFonts w:hint="eastAsia"/>
        </w:rPr>
        <w:t>。</w:t>
      </w:r>
    </w:p>
    <w:p w:rsidR="00B0321E" w:rsidRPr="003D4AF2" w:rsidRDefault="00B0321E" w:rsidP="00B0321E">
      <w:pPr>
        <w:pStyle w:val="SingleTxt"/>
        <w:rPr>
          <w:rFonts w:ascii="黑体" w:eastAsia="黑体" w:hAnsi="黑体"/>
        </w:rPr>
      </w:pPr>
      <w:r w:rsidRPr="003D4AF2">
        <w:rPr>
          <w:rFonts w:ascii="黑体" w:eastAsia="黑体" w:hAnsi="黑体" w:hint="eastAsia"/>
        </w:rPr>
        <w:t>提高妇女地位国家机构</w:t>
      </w:r>
    </w:p>
    <w:p w:rsidR="00B0321E" w:rsidRDefault="00B0321E" w:rsidP="00B0321E">
      <w:pPr>
        <w:pStyle w:val="SingleTxt"/>
      </w:pPr>
      <w:r>
        <w:rPr>
          <w:rFonts w:hint="eastAsia"/>
        </w:rPr>
        <w:t>15.</w:t>
      </w:r>
      <w:r>
        <w:rPr>
          <w:rFonts w:hint="eastAsia"/>
        </w:rPr>
        <w:tab/>
      </w:r>
      <w:r>
        <w:rPr>
          <w:rFonts w:hint="eastAsia"/>
        </w:rPr>
        <w:t>委员会欢迎全国妇女事务局发挥的作用和进行的许多举措，包括促进性别平等的预算拨款。委员会还注意到存在另一些协助执行性别平等议程的机构，如全国性别平等问题理事会和政府内部的性别平等委员会、质量委员会和性别平等网络。但委员会关切的是：</w:t>
      </w:r>
    </w:p>
    <w:p w:rsidR="00B0321E" w:rsidRDefault="003D4AF2" w:rsidP="00B0321E">
      <w:pPr>
        <w:pStyle w:val="SingleTxt"/>
      </w:pPr>
      <w:r>
        <w:rPr>
          <w:rFonts w:hint="eastAsia"/>
        </w:rPr>
        <w:tab/>
      </w:r>
      <w:r w:rsidR="00B0321E">
        <w:rPr>
          <w:rFonts w:hint="eastAsia"/>
        </w:rPr>
        <w:t>(a)</w:t>
      </w:r>
      <w:r w:rsidR="00B0321E">
        <w:rPr>
          <w:rFonts w:hint="eastAsia"/>
        </w:rPr>
        <w:tab/>
      </w:r>
      <w:r w:rsidR="00B0321E">
        <w:rPr>
          <w:rFonts w:hint="eastAsia"/>
        </w:rPr>
        <w:t>正如委员会在先前的结论意见</w:t>
      </w:r>
      <w:r w:rsidR="00B0321E">
        <w:rPr>
          <w:rFonts w:hint="eastAsia"/>
        </w:rPr>
        <w:t>(</w:t>
      </w:r>
      <w:hyperlink r:id="rId21" w:history="1">
        <w:r w:rsidR="00B0321E" w:rsidRPr="00E36974">
          <w:rPr>
            <w:rStyle w:val="ad"/>
            <w:rFonts w:hint="eastAsia"/>
          </w:rPr>
          <w:t>CEDAW/C/URY/CO/7</w:t>
        </w:r>
      </w:hyperlink>
      <w:r w:rsidR="00B0321E">
        <w:rPr>
          <w:rFonts w:hint="eastAsia"/>
        </w:rPr>
        <w:t>，第</w:t>
      </w:r>
      <w:r w:rsidR="00B0321E">
        <w:rPr>
          <w:rFonts w:hint="eastAsia"/>
        </w:rPr>
        <w:t>15</w:t>
      </w:r>
      <w:r w:rsidR="00B0321E">
        <w:rPr>
          <w:rFonts w:hint="eastAsia"/>
        </w:rPr>
        <w:t>段</w:t>
      </w:r>
      <w:r w:rsidR="00B0321E">
        <w:rPr>
          <w:rFonts w:hint="eastAsia"/>
        </w:rPr>
        <w:t>)</w:t>
      </w:r>
      <w:r w:rsidR="00B0321E">
        <w:rPr>
          <w:rFonts w:hint="eastAsia"/>
        </w:rPr>
        <w:t>中所指出，全国妇女事务局缺乏机构自治，因为事务局仍然是社会发展部属下的一个局；</w:t>
      </w:r>
    </w:p>
    <w:p w:rsidR="00B0321E" w:rsidRDefault="003D4AF2" w:rsidP="00B0321E">
      <w:pPr>
        <w:pStyle w:val="SingleTxt"/>
      </w:pPr>
      <w:r>
        <w:rPr>
          <w:rFonts w:hint="eastAsia"/>
        </w:rPr>
        <w:tab/>
      </w:r>
      <w:r w:rsidR="00B0321E">
        <w:rPr>
          <w:rFonts w:hint="eastAsia"/>
        </w:rPr>
        <w:t>(b)</w:t>
      </w:r>
      <w:r w:rsidR="00B0321E">
        <w:rPr>
          <w:rFonts w:hint="eastAsia"/>
        </w:rPr>
        <w:tab/>
      </w:r>
      <w:r w:rsidR="00B0321E">
        <w:rPr>
          <w:rFonts w:hint="eastAsia"/>
        </w:rPr>
        <w:t>在各部委和事权分散的公共实体内设置的理事会和性别平等委员会重床叠架，妨碍了在国家、国家以下和地方各级政策和预算中有系统地实行性别平等主流化；</w:t>
      </w:r>
    </w:p>
    <w:p w:rsidR="00B0321E" w:rsidRDefault="003D4AF2" w:rsidP="00B0321E">
      <w:pPr>
        <w:pStyle w:val="SingleTxt"/>
      </w:pPr>
      <w:r>
        <w:rPr>
          <w:rFonts w:hint="eastAsia"/>
        </w:rPr>
        <w:tab/>
      </w:r>
      <w:r w:rsidR="00B0321E">
        <w:rPr>
          <w:rFonts w:hint="eastAsia"/>
        </w:rPr>
        <w:t>(c)</w:t>
      </w:r>
      <w:r w:rsidR="00B0321E">
        <w:rPr>
          <w:rFonts w:hint="eastAsia"/>
        </w:rPr>
        <w:tab/>
      </w:r>
      <w:r w:rsidR="00B0321E">
        <w:rPr>
          <w:rFonts w:hint="eastAsia"/>
        </w:rPr>
        <w:t>妇女组织对提高妇女地位的公共部门举措的参与程度不一，地方一级的情况尤其如此。</w:t>
      </w:r>
    </w:p>
    <w:p w:rsidR="00B0321E" w:rsidRDefault="00B0321E" w:rsidP="00B0321E">
      <w:pPr>
        <w:pStyle w:val="SingleTxt"/>
      </w:pPr>
      <w:r>
        <w:rPr>
          <w:rFonts w:hint="eastAsia"/>
        </w:rPr>
        <w:t>16.</w:t>
      </w:r>
      <w:r>
        <w:rPr>
          <w:rFonts w:hint="eastAsia"/>
        </w:rPr>
        <w:tab/>
      </w:r>
      <w:r w:rsidRPr="003D4AF2">
        <w:rPr>
          <w:rFonts w:ascii="黑体" w:eastAsia="黑体" w:hAnsi="黑体" w:hint="eastAsia"/>
        </w:rPr>
        <w:t>委员会建议缔约国</w:t>
      </w:r>
      <w:r>
        <w:rPr>
          <w:rFonts w:hint="eastAsia"/>
        </w:rPr>
        <w:t>：</w:t>
      </w:r>
    </w:p>
    <w:p w:rsidR="00B0321E" w:rsidRDefault="003D4AF2" w:rsidP="00B0321E">
      <w:pPr>
        <w:pStyle w:val="SingleTxt"/>
      </w:pPr>
      <w:r>
        <w:rPr>
          <w:rFonts w:hint="eastAsia"/>
        </w:rPr>
        <w:tab/>
      </w:r>
      <w:r w:rsidR="00B0321E">
        <w:rPr>
          <w:rFonts w:hint="eastAsia"/>
        </w:rPr>
        <w:t>(a)</w:t>
      </w:r>
      <w:r w:rsidR="00B0321E">
        <w:rPr>
          <w:rFonts w:hint="eastAsia"/>
        </w:rPr>
        <w:tab/>
      </w:r>
      <w:r w:rsidR="00B0321E">
        <w:rPr>
          <w:rFonts w:hint="eastAsia"/>
        </w:rPr>
        <w:t>考</w:t>
      </w:r>
      <w:r w:rsidR="00B0321E" w:rsidRPr="003D4AF2">
        <w:rPr>
          <w:rFonts w:ascii="黑体" w:eastAsia="黑体" w:hAnsi="黑体" w:hint="eastAsia"/>
          <w:spacing w:val="-3"/>
        </w:rPr>
        <w:t>虑将全国妇女事务局升格至部委一级，有权直接协调促进性别平等的所有公共政策和战略及确保提供适当的财政资源，并根据授权与国家一级以下的相关性别平等单位执行提高妇女地位的方案，包括以促进性别平等的方式编制预算</w:t>
      </w:r>
      <w:r w:rsidR="00B0321E">
        <w:rPr>
          <w:rFonts w:hint="eastAsia"/>
        </w:rPr>
        <w:t>；</w:t>
      </w:r>
    </w:p>
    <w:p w:rsidR="00B0321E" w:rsidRDefault="003D4AF2" w:rsidP="00B0321E">
      <w:pPr>
        <w:pStyle w:val="SingleTxt"/>
      </w:pPr>
      <w:r>
        <w:rPr>
          <w:rFonts w:hint="eastAsia"/>
        </w:rPr>
        <w:tab/>
      </w:r>
      <w:r w:rsidR="00B0321E">
        <w:rPr>
          <w:rFonts w:hint="eastAsia"/>
        </w:rPr>
        <w:t>(b)</w:t>
      </w:r>
      <w:r w:rsidR="00B0321E">
        <w:rPr>
          <w:rFonts w:hint="eastAsia"/>
        </w:rPr>
        <w:tab/>
      </w:r>
      <w:r w:rsidR="00B0321E" w:rsidRPr="003D4AF2">
        <w:rPr>
          <w:rFonts w:ascii="黑体" w:eastAsia="黑体" w:hAnsi="黑体" w:hint="eastAsia"/>
        </w:rPr>
        <w:t>加强作为牵头机构的全国妇女事务局与各性别平等委员会之间的协调，并加强特别是在国家、国家以下和地方各级的监测机制，以执行提高妇女地位的立法和公共政策</w:t>
      </w:r>
      <w:r w:rsidR="00B0321E">
        <w:rPr>
          <w:rFonts w:hint="eastAsia"/>
        </w:rPr>
        <w:t>；</w:t>
      </w:r>
    </w:p>
    <w:p w:rsidR="00B0321E" w:rsidRDefault="003D4AF2" w:rsidP="00B0321E">
      <w:pPr>
        <w:pStyle w:val="SingleTxt"/>
      </w:pPr>
      <w:r>
        <w:rPr>
          <w:rFonts w:hint="eastAsia"/>
        </w:rPr>
        <w:tab/>
      </w:r>
      <w:r w:rsidR="00B0321E">
        <w:rPr>
          <w:rFonts w:hint="eastAsia"/>
        </w:rPr>
        <w:t>(c)</w:t>
      </w:r>
      <w:r w:rsidR="00B0321E">
        <w:rPr>
          <w:rFonts w:hint="eastAsia"/>
        </w:rPr>
        <w:tab/>
      </w:r>
      <w:r w:rsidR="00B0321E" w:rsidRPr="003D4AF2">
        <w:rPr>
          <w:rFonts w:ascii="黑体" w:eastAsia="黑体" w:hAnsi="黑体" w:hint="eastAsia"/>
        </w:rPr>
        <w:t>确保妇女组织和其他民间社会组织，包括学术机构、研究机构、工会、非裔乌拉圭妇女组织和残疾妇女组织，积极参与执行提高妇女地位的公共政策</w:t>
      </w:r>
      <w:r w:rsidR="00B0321E">
        <w:rPr>
          <w:rFonts w:hint="eastAsia"/>
        </w:rPr>
        <w:t>。</w:t>
      </w:r>
    </w:p>
    <w:p w:rsidR="00B0321E" w:rsidRPr="003D4AF2" w:rsidRDefault="00B0321E" w:rsidP="00B0321E">
      <w:pPr>
        <w:pStyle w:val="SingleTxt"/>
        <w:rPr>
          <w:rFonts w:ascii="黑体" w:eastAsia="黑体" w:hAnsi="黑体"/>
        </w:rPr>
      </w:pPr>
      <w:r w:rsidRPr="003D4AF2">
        <w:rPr>
          <w:rFonts w:ascii="黑体" w:eastAsia="黑体" w:hAnsi="黑体" w:hint="eastAsia"/>
        </w:rPr>
        <w:t>陈规定型观念和歧视性做法</w:t>
      </w:r>
    </w:p>
    <w:p w:rsidR="00B0321E" w:rsidRDefault="00B0321E" w:rsidP="00B0321E">
      <w:pPr>
        <w:pStyle w:val="SingleTxt"/>
      </w:pPr>
      <w:r>
        <w:rPr>
          <w:rFonts w:hint="eastAsia"/>
        </w:rPr>
        <w:t>17.</w:t>
      </w:r>
      <w:r>
        <w:rPr>
          <w:rFonts w:hint="eastAsia"/>
        </w:rPr>
        <w:tab/>
      </w:r>
      <w:r>
        <w:rPr>
          <w:rFonts w:hint="eastAsia"/>
        </w:rPr>
        <w:t>委员会欢迎缔约国采取措施，消除歧视性的性别陈规定型观念，包括立法打击对女同性恋、跨性别者、变性者和双性人的歧视和对同性恋的仇视，但委员会仍对下列情况感到关切：</w:t>
      </w:r>
    </w:p>
    <w:p w:rsidR="00B0321E" w:rsidRDefault="003D4AF2" w:rsidP="00B0321E">
      <w:pPr>
        <w:pStyle w:val="SingleTxt"/>
      </w:pPr>
      <w:r>
        <w:rPr>
          <w:rFonts w:hint="eastAsia"/>
        </w:rPr>
        <w:tab/>
      </w:r>
      <w:r w:rsidR="00B0321E">
        <w:rPr>
          <w:rFonts w:hint="eastAsia"/>
        </w:rPr>
        <w:t>(a)</w:t>
      </w:r>
      <w:r w:rsidR="00B0321E">
        <w:rPr>
          <w:rFonts w:hint="eastAsia"/>
        </w:rPr>
        <w:tab/>
      </w:r>
      <w:r w:rsidR="00B0321E">
        <w:rPr>
          <w:rFonts w:hint="eastAsia"/>
        </w:rPr>
        <w:t>在男女的家庭和社会角色和责任方面的重男轻女态度和歧视性陈规定型观念持续存在，助长了教育、就业和健康等领域对妇女的暴力和歧视；</w:t>
      </w:r>
    </w:p>
    <w:p w:rsidR="00B0321E" w:rsidRDefault="003D4AF2" w:rsidP="00B0321E">
      <w:pPr>
        <w:pStyle w:val="SingleTxt"/>
      </w:pPr>
      <w:r>
        <w:rPr>
          <w:rFonts w:hint="eastAsia"/>
        </w:rPr>
        <w:tab/>
      </w:r>
      <w:r w:rsidR="00B0321E">
        <w:rPr>
          <w:rFonts w:hint="eastAsia"/>
        </w:rPr>
        <w:t>(b)</w:t>
      </w:r>
      <w:r w:rsidR="00B0321E">
        <w:rPr>
          <w:rFonts w:hint="eastAsia"/>
        </w:rPr>
        <w:tab/>
      </w:r>
      <w:r w:rsidR="00B0321E">
        <w:rPr>
          <w:rFonts w:hint="eastAsia"/>
        </w:rPr>
        <w:t>尽管国家电视台通过了道德守则以监测歧视性做法，但媒体仍广泛使用性别陈规定型观念；</w:t>
      </w:r>
    </w:p>
    <w:p w:rsidR="00B0321E" w:rsidRDefault="003D4AF2" w:rsidP="00B0321E">
      <w:pPr>
        <w:pStyle w:val="SingleTxt"/>
      </w:pPr>
      <w:r>
        <w:rPr>
          <w:rFonts w:hint="eastAsia"/>
        </w:rPr>
        <w:tab/>
      </w:r>
      <w:r w:rsidR="00B0321E">
        <w:rPr>
          <w:rFonts w:hint="eastAsia"/>
        </w:rPr>
        <w:t>(c)</w:t>
      </w:r>
      <w:r w:rsidR="00B0321E">
        <w:rPr>
          <w:rFonts w:hint="eastAsia"/>
        </w:rPr>
        <w:tab/>
      </w:r>
      <w:r w:rsidR="00B0321E">
        <w:rPr>
          <w:rFonts w:hint="eastAsia"/>
        </w:rPr>
        <w:t>尽管存在打击种族歧视的一般性法律，但非裔乌拉圭妇女仍然受到种族主义、偏见和社会排斥的打击。</w:t>
      </w:r>
    </w:p>
    <w:p w:rsidR="000D736A" w:rsidRDefault="000D736A" w:rsidP="00B0321E">
      <w:pPr>
        <w:pStyle w:val="SingleTxt"/>
      </w:pPr>
    </w:p>
    <w:p w:rsidR="00B0321E" w:rsidRDefault="00B0321E" w:rsidP="00B0321E">
      <w:pPr>
        <w:pStyle w:val="SingleTxt"/>
      </w:pPr>
      <w:r>
        <w:rPr>
          <w:rFonts w:hint="eastAsia"/>
        </w:rPr>
        <w:t>18.</w:t>
      </w:r>
      <w:r>
        <w:rPr>
          <w:rFonts w:hint="eastAsia"/>
        </w:rPr>
        <w:tab/>
      </w:r>
      <w:r w:rsidRPr="003D4AF2">
        <w:rPr>
          <w:rFonts w:ascii="黑体" w:eastAsia="黑体" w:hAnsi="黑体" w:hint="eastAsia"/>
        </w:rPr>
        <w:t>委员会建议缔约国</w:t>
      </w:r>
      <w:r>
        <w:rPr>
          <w:rFonts w:hint="eastAsia"/>
        </w:rPr>
        <w:t>：</w:t>
      </w:r>
    </w:p>
    <w:p w:rsidR="00B0321E" w:rsidRDefault="003D4AF2" w:rsidP="00B0321E">
      <w:pPr>
        <w:pStyle w:val="SingleTxt"/>
      </w:pPr>
      <w:r>
        <w:rPr>
          <w:rFonts w:hint="eastAsia"/>
        </w:rPr>
        <w:tab/>
      </w:r>
      <w:r w:rsidR="00B0321E">
        <w:rPr>
          <w:rFonts w:hint="eastAsia"/>
        </w:rPr>
        <w:t>(a)</w:t>
      </w:r>
      <w:r w:rsidR="00B0321E">
        <w:rPr>
          <w:rFonts w:hint="eastAsia"/>
        </w:rPr>
        <w:tab/>
      </w:r>
      <w:r w:rsidR="00B0321E" w:rsidRPr="003D4AF2">
        <w:rPr>
          <w:rFonts w:ascii="黑体" w:eastAsia="黑体" w:hAnsi="黑体" w:hint="eastAsia"/>
        </w:rPr>
        <w:t>制定针对妇女、男子、女童和男童的通盘战略，以克服有关男女在家庭、教育系统、工作场所和整个社会中的角色和责任的重男轻女和性别陈规定型态度</w:t>
      </w:r>
      <w:r w:rsidR="00B0321E">
        <w:rPr>
          <w:rFonts w:hint="eastAsia"/>
        </w:rPr>
        <w:t>；</w:t>
      </w:r>
    </w:p>
    <w:p w:rsidR="00B0321E" w:rsidRDefault="003D4AF2" w:rsidP="00B0321E">
      <w:pPr>
        <w:pStyle w:val="SingleTxt"/>
      </w:pPr>
      <w:r>
        <w:rPr>
          <w:rFonts w:hint="eastAsia"/>
        </w:rPr>
        <w:tab/>
      </w:r>
      <w:r w:rsidR="00B0321E">
        <w:rPr>
          <w:rFonts w:hint="eastAsia"/>
        </w:rPr>
        <w:t>(b)</w:t>
      </w:r>
      <w:r w:rsidR="00B0321E">
        <w:rPr>
          <w:rFonts w:hint="eastAsia"/>
        </w:rPr>
        <w:tab/>
      </w:r>
      <w:r w:rsidR="00B0321E" w:rsidRPr="003D4AF2">
        <w:rPr>
          <w:rFonts w:ascii="黑体" w:eastAsia="黑体" w:hAnsi="黑体" w:hint="eastAsia"/>
        </w:rPr>
        <w:t>建设公共和私营媒体雇员有关性别平等的能力，以防止在媒体中出现歧视性性别陈规定型观念</w:t>
      </w:r>
      <w:r w:rsidR="00B0321E">
        <w:rPr>
          <w:rFonts w:hint="eastAsia"/>
        </w:rPr>
        <w:t>；</w:t>
      </w:r>
    </w:p>
    <w:p w:rsidR="00B0321E" w:rsidRDefault="003D4AF2" w:rsidP="00B0321E">
      <w:pPr>
        <w:pStyle w:val="SingleTxt"/>
      </w:pPr>
      <w:r>
        <w:rPr>
          <w:rFonts w:hint="eastAsia"/>
        </w:rPr>
        <w:tab/>
      </w:r>
      <w:r w:rsidR="00B0321E">
        <w:rPr>
          <w:rFonts w:hint="eastAsia"/>
        </w:rPr>
        <w:t>(c)</w:t>
      </w:r>
      <w:r w:rsidR="00B0321E">
        <w:rPr>
          <w:rFonts w:hint="eastAsia"/>
        </w:rPr>
        <w:tab/>
      </w:r>
      <w:r w:rsidR="00B0321E" w:rsidRPr="003D4AF2">
        <w:rPr>
          <w:rFonts w:ascii="黑体" w:eastAsia="黑体" w:hAnsi="黑体" w:hint="eastAsia"/>
        </w:rPr>
        <w:t>拟订国家战略以提高人们对非裔乌拉圭妇女所受歧视的认识，并在性别平等议程内制定具体行动步骤以辨识妇女由于交叉形式歧视而遭受的鄙视贬斥</w:t>
      </w:r>
      <w:r w:rsidR="00B0321E">
        <w:rPr>
          <w:rFonts w:hint="eastAsia"/>
        </w:rPr>
        <w:t>。</w:t>
      </w:r>
    </w:p>
    <w:p w:rsidR="00B0321E" w:rsidRPr="003D4AF2" w:rsidRDefault="00B0321E" w:rsidP="00B0321E">
      <w:pPr>
        <w:pStyle w:val="SingleTxt"/>
        <w:rPr>
          <w:rFonts w:ascii="黑体" w:eastAsia="黑体" w:hAnsi="黑体"/>
        </w:rPr>
      </w:pPr>
      <w:r w:rsidRPr="003D4AF2">
        <w:rPr>
          <w:rFonts w:ascii="黑体" w:eastAsia="黑体" w:hAnsi="黑体" w:hint="eastAsia"/>
        </w:rPr>
        <w:t>性别暴力侵害妇女行为</w:t>
      </w:r>
    </w:p>
    <w:p w:rsidR="00B0321E" w:rsidRDefault="00B0321E" w:rsidP="00B0321E">
      <w:pPr>
        <w:pStyle w:val="SingleTxt"/>
      </w:pPr>
      <w:r>
        <w:rPr>
          <w:rFonts w:hint="eastAsia"/>
        </w:rPr>
        <w:t>19.</w:t>
      </w:r>
      <w:r>
        <w:rPr>
          <w:rFonts w:hint="eastAsia"/>
        </w:rPr>
        <w:tab/>
      </w:r>
      <w:r>
        <w:rPr>
          <w:rFonts w:hint="eastAsia"/>
        </w:rPr>
        <w:t>委员会注意到缔约国在</w:t>
      </w:r>
      <w:r>
        <w:rPr>
          <w:rFonts w:hint="eastAsia"/>
        </w:rPr>
        <w:t>2016-2019</w:t>
      </w:r>
      <w:r>
        <w:rPr>
          <w:rFonts w:hint="eastAsia"/>
        </w:rPr>
        <w:t>年无性别暴力生活行动计划以及全面打击性别暴力方案下采取的措施。委员会也欢迎内政部建立了全国家庭暴力和性别暴力办公室和设立了</w:t>
      </w:r>
      <w:r>
        <w:rPr>
          <w:rFonts w:hint="eastAsia"/>
        </w:rPr>
        <w:t>47</w:t>
      </w:r>
      <w:r>
        <w:rPr>
          <w:rFonts w:hint="eastAsia"/>
        </w:rPr>
        <w:t>个专门处理家庭暴力和性别暴力问题的单位。委员会赞扬缔约国采取电子踝镯措施保护妇女。但委员会仍然对下列情况感到关切：</w:t>
      </w:r>
    </w:p>
    <w:p w:rsidR="00B0321E" w:rsidRDefault="003D4AF2" w:rsidP="00B0321E">
      <w:pPr>
        <w:pStyle w:val="SingleTxt"/>
      </w:pPr>
      <w:r>
        <w:rPr>
          <w:rFonts w:hint="eastAsia"/>
        </w:rPr>
        <w:tab/>
      </w:r>
      <w:r w:rsidR="00B0321E">
        <w:rPr>
          <w:rFonts w:hint="eastAsia"/>
        </w:rPr>
        <w:t>(a)</w:t>
      </w:r>
      <w:r w:rsidR="00B0321E">
        <w:rPr>
          <w:rFonts w:hint="eastAsia"/>
        </w:rPr>
        <w:tab/>
      </w:r>
      <w:r w:rsidR="00B0321E">
        <w:rPr>
          <w:rFonts w:hint="eastAsia"/>
        </w:rPr>
        <w:t>侵害妇女的家庭暴力包括身心暴力和性暴力非常普遍，杀害妇女行为增加，而且法律不承认某些形式暴力侵害妇女行为，包括杀害妇女和婚内强奸等为犯罪行为；</w:t>
      </w:r>
    </w:p>
    <w:p w:rsidR="00B0321E" w:rsidRDefault="003D4AF2" w:rsidP="00B0321E">
      <w:pPr>
        <w:pStyle w:val="SingleTxt"/>
      </w:pPr>
      <w:r>
        <w:rPr>
          <w:rFonts w:hint="eastAsia"/>
        </w:rPr>
        <w:tab/>
      </w:r>
      <w:r w:rsidR="00B0321E">
        <w:rPr>
          <w:rFonts w:hint="eastAsia"/>
        </w:rPr>
        <w:t>(b)</w:t>
      </w:r>
      <w:r>
        <w:rPr>
          <w:rFonts w:hint="eastAsia"/>
        </w:rPr>
        <w:t xml:space="preserve"> </w:t>
      </w:r>
      <w:r w:rsidR="00B0321E">
        <w:rPr>
          <w:rFonts w:hint="eastAsia"/>
        </w:rPr>
        <w:t>《刑法》中的歧视性规定，包括“忠贞”、“美德”和“公共丑闻”等男权概念，妨碍对一些形式的性暴力侵害妇女行为进行起诉；</w:t>
      </w:r>
      <w:r w:rsidR="00B0321E">
        <w:rPr>
          <w:rFonts w:hint="eastAsia"/>
        </w:rPr>
        <w:tab/>
      </w:r>
    </w:p>
    <w:p w:rsidR="00B0321E" w:rsidRDefault="003D4AF2" w:rsidP="00B0321E">
      <w:pPr>
        <w:pStyle w:val="SingleTxt"/>
      </w:pPr>
      <w:r>
        <w:rPr>
          <w:rFonts w:hint="eastAsia"/>
        </w:rPr>
        <w:tab/>
      </w:r>
      <w:r w:rsidR="00B0321E">
        <w:rPr>
          <w:rFonts w:hint="eastAsia"/>
        </w:rPr>
        <w:t>(c)</w:t>
      </w:r>
      <w:r w:rsidR="00B0321E">
        <w:rPr>
          <w:rFonts w:hint="eastAsia"/>
        </w:rPr>
        <w:tab/>
      </w:r>
      <w:r w:rsidR="00B0321E">
        <w:rPr>
          <w:rFonts w:hint="eastAsia"/>
        </w:rPr>
        <w:t>暴力侵害妇女的案件，包括杀害妇女和杀害跨性别妇女的案件的起诉和定罪率低；对性别暴力行为的起诉受到延缓；</w:t>
      </w:r>
    </w:p>
    <w:p w:rsidR="00B0321E" w:rsidRDefault="003D4AF2" w:rsidP="00B0321E">
      <w:pPr>
        <w:pStyle w:val="SingleTxt"/>
      </w:pPr>
      <w:r>
        <w:rPr>
          <w:rFonts w:hint="eastAsia"/>
        </w:rPr>
        <w:tab/>
      </w:r>
      <w:r w:rsidR="00B0321E">
        <w:rPr>
          <w:rFonts w:hint="eastAsia"/>
        </w:rPr>
        <w:t>(d)</w:t>
      </w:r>
      <w:r w:rsidR="00B0321E">
        <w:rPr>
          <w:rFonts w:hint="eastAsia"/>
        </w:rPr>
        <w:tab/>
      </w:r>
      <w:r w:rsidR="00B0321E">
        <w:rPr>
          <w:rFonts w:hint="eastAsia"/>
        </w:rPr>
        <w:t>除</w:t>
      </w:r>
      <w:r w:rsidR="00B0321E" w:rsidRPr="003D4AF2">
        <w:rPr>
          <w:rFonts w:hint="eastAsia"/>
          <w:spacing w:val="-6"/>
        </w:rPr>
        <w:t>了关于家庭暴力的资料，缺乏关于暴力侵害妇女行为报案数的分列资料；</w:t>
      </w:r>
    </w:p>
    <w:p w:rsidR="00B0321E" w:rsidRDefault="003D4AF2" w:rsidP="00B0321E">
      <w:pPr>
        <w:pStyle w:val="SingleTxt"/>
      </w:pPr>
      <w:r>
        <w:rPr>
          <w:rFonts w:hint="eastAsia"/>
        </w:rPr>
        <w:tab/>
      </w:r>
      <w:r w:rsidR="00B0321E">
        <w:rPr>
          <w:rFonts w:hint="eastAsia"/>
        </w:rPr>
        <w:t>(e)</w:t>
      </w:r>
      <w:r w:rsidR="00B0321E">
        <w:rPr>
          <w:rFonts w:hint="eastAsia"/>
        </w:rPr>
        <w:tab/>
      </w:r>
      <w:r w:rsidR="00B0321E">
        <w:rPr>
          <w:rFonts w:hint="eastAsia"/>
        </w:rPr>
        <w:t>暴力侵害妇女案件被交付调解程序，尽管最高法院已核准普遍禁止在家庭暴力案件中适用调解程序；</w:t>
      </w:r>
    </w:p>
    <w:p w:rsidR="00B0321E" w:rsidRDefault="003D4AF2" w:rsidP="00B0321E">
      <w:pPr>
        <w:pStyle w:val="SingleTxt"/>
      </w:pPr>
      <w:r>
        <w:rPr>
          <w:rFonts w:hint="eastAsia"/>
        </w:rPr>
        <w:tab/>
      </w:r>
      <w:r w:rsidR="00B0321E">
        <w:rPr>
          <w:rFonts w:hint="eastAsia"/>
        </w:rPr>
        <w:t>(f)</w:t>
      </w:r>
      <w:r w:rsidR="00B0321E">
        <w:rPr>
          <w:rFonts w:hint="eastAsia"/>
        </w:rPr>
        <w:tab/>
      </w:r>
      <w:r w:rsidR="00B0321E">
        <w:rPr>
          <w:rFonts w:hint="eastAsia"/>
        </w:rPr>
        <w:tab/>
      </w:r>
      <w:r w:rsidR="00B0321E">
        <w:rPr>
          <w:rFonts w:hint="eastAsia"/>
        </w:rPr>
        <w:t>关于缔约国全国各地受暴力侵害妇女获得医疗服务、心理辅导、法律援助、财政支助和收容处所等支助服务情况的资料不足，也缺乏考虑到弱势妇女，特别是非裔乌拉圭妇女和残疾妇女情况的资料。</w:t>
      </w:r>
    </w:p>
    <w:p w:rsidR="00B0321E" w:rsidRDefault="00B0321E" w:rsidP="00B0321E">
      <w:pPr>
        <w:pStyle w:val="SingleTxt"/>
      </w:pPr>
      <w:r>
        <w:rPr>
          <w:rFonts w:hint="eastAsia"/>
        </w:rPr>
        <w:t>20.</w:t>
      </w:r>
      <w:r>
        <w:rPr>
          <w:rFonts w:hint="eastAsia"/>
        </w:rPr>
        <w:tab/>
      </w:r>
      <w:r w:rsidRPr="003D4AF2">
        <w:rPr>
          <w:rFonts w:ascii="黑体" w:eastAsia="黑体" w:hAnsi="黑体" w:hint="eastAsia"/>
        </w:rPr>
        <w:t>委员会促请缔约国</w:t>
      </w:r>
      <w:r>
        <w:rPr>
          <w:rFonts w:hint="eastAsia"/>
        </w:rPr>
        <w:t>：</w:t>
      </w:r>
    </w:p>
    <w:p w:rsidR="00B0321E" w:rsidRDefault="003D4AF2" w:rsidP="00B0321E">
      <w:pPr>
        <w:pStyle w:val="SingleTxt"/>
      </w:pPr>
      <w:r>
        <w:rPr>
          <w:rFonts w:hint="eastAsia"/>
        </w:rPr>
        <w:tab/>
      </w:r>
      <w:r w:rsidR="00B0321E">
        <w:rPr>
          <w:rFonts w:hint="eastAsia"/>
        </w:rPr>
        <w:t>(a)</w:t>
      </w:r>
      <w:r w:rsidR="00B0321E">
        <w:rPr>
          <w:rFonts w:hint="eastAsia"/>
        </w:rPr>
        <w:tab/>
      </w:r>
      <w:r w:rsidR="00B0321E" w:rsidRPr="003D4AF2">
        <w:rPr>
          <w:rFonts w:ascii="黑体" w:eastAsia="黑体" w:hAnsi="黑体" w:hint="eastAsia"/>
        </w:rPr>
        <w:t>提供充分经费执行防止和打击侵害妇女的家庭暴力行为的全国战略和方案，包括开展活动提高对暴力侵害妇女行为的犯罪性质的认识，并加速《刑法》改革和制定一项综合性法律，将一切形式暴力侵害妇女行为按刑事罪论处，确保《刑法》的改革包括认定杀害妇女和婚内强奸为刑事犯罪行为</w:t>
      </w:r>
      <w:r w:rsidR="00B0321E">
        <w:rPr>
          <w:rFonts w:hint="eastAsia"/>
        </w:rPr>
        <w:t>；</w:t>
      </w:r>
    </w:p>
    <w:p w:rsidR="00B0321E" w:rsidRDefault="003D4AF2" w:rsidP="00B0321E">
      <w:pPr>
        <w:pStyle w:val="SingleTxt"/>
      </w:pPr>
      <w:r>
        <w:rPr>
          <w:rFonts w:hint="eastAsia"/>
        </w:rPr>
        <w:tab/>
      </w:r>
      <w:r w:rsidR="00B0321E">
        <w:rPr>
          <w:rFonts w:hint="eastAsia"/>
        </w:rPr>
        <w:t>(b)</w:t>
      </w:r>
      <w:r w:rsidR="00B0321E">
        <w:rPr>
          <w:rFonts w:hint="eastAsia"/>
        </w:rPr>
        <w:tab/>
      </w:r>
      <w:r w:rsidR="00B0321E" w:rsidRPr="003D4AF2">
        <w:rPr>
          <w:rFonts w:ascii="黑体" w:eastAsia="黑体" w:hAnsi="黑体" w:hint="eastAsia"/>
        </w:rPr>
        <w:t>在关涉妇女的刑事犯罪方面，废止《刑法》中以“忠贞”、“美德”和“公共丑闻”等男权概念作为犯罪要件的规定</w:t>
      </w:r>
      <w:r w:rsidR="00B0321E">
        <w:rPr>
          <w:rFonts w:hint="eastAsia"/>
        </w:rPr>
        <w:t>；</w:t>
      </w:r>
    </w:p>
    <w:p w:rsidR="00B0321E" w:rsidRDefault="003D4AF2" w:rsidP="00B0321E">
      <w:pPr>
        <w:pStyle w:val="SingleTxt"/>
      </w:pPr>
      <w:r>
        <w:rPr>
          <w:rFonts w:hint="eastAsia"/>
        </w:rPr>
        <w:tab/>
      </w:r>
      <w:r w:rsidR="00B0321E">
        <w:rPr>
          <w:rFonts w:hint="eastAsia"/>
        </w:rPr>
        <w:t>(c)</w:t>
      </w:r>
      <w:r w:rsidR="00B0321E">
        <w:rPr>
          <w:rFonts w:hint="eastAsia"/>
        </w:rPr>
        <w:tab/>
      </w:r>
      <w:r w:rsidR="00B0321E" w:rsidRPr="003D4AF2">
        <w:rPr>
          <w:rFonts w:ascii="黑体" w:eastAsia="黑体" w:hAnsi="黑体" w:hint="eastAsia"/>
        </w:rPr>
        <w:t>优先制定战略简化起诉性别暴力行为的刑事诉讼程序，为查证性别暴力案件以追究行为人责任制定合理时间框架并为检察官和警务人员提供导则，说明在涉及暴力侵害妇女和女童的案件中如何采用对性别敏感的侦查技术和适当使用妇女证言</w:t>
      </w:r>
      <w:r w:rsidR="00B0321E">
        <w:rPr>
          <w:rFonts w:hint="eastAsia"/>
        </w:rPr>
        <w:t>；</w:t>
      </w:r>
    </w:p>
    <w:p w:rsidR="00B0321E" w:rsidRDefault="003D4AF2" w:rsidP="00B0321E">
      <w:pPr>
        <w:pStyle w:val="SingleTxt"/>
      </w:pPr>
      <w:r>
        <w:rPr>
          <w:rFonts w:hint="eastAsia"/>
        </w:rPr>
        <w:tab/>
      </w:r>
      <w:r w:rsidR="00B0321E">
        <w:rPr>
          <w:rFonts w:hint="eastAsia"/>
        </w:rPr>
        <w:t>(d)</w:t>
      </w:r>
      <w:r w:rsidR="00B0321E">
        <w:rPr>
          <w:rFonts w:hint="eastAsia"/>
        </w:rPr>
        <w:tab/>
      </w:r>
      <w:r w:rsidR="00B0321E" w:rsidRPr="003D4AF2">
        <w:rPr>
          <w:rFonts w:ascii="黑体" w:eastAsia="黑体" w:hAnsi="黑体" w:hint="eastAsia"/>
        </w:rPr>
        <w:t>落实一个全面收集一切形式暴力侵害妇女行为资料的全国系统</w:t>
      </w:r>
      <w:r w:rsidR="00B0321E">
        <w:rPr>
          <w:rFonts w:hint="eastAsia"/>
        </w:rPr>
        <w:t>；</w:t>
      </w:r>
    </w:p>
    <w:p w:rsidR="00B0321E" w:rsidRDefault="003D4AF2" w:rsidP="00B0321E">
      <w:pPr>
        <w:pStyle w:val="SingleTxt"/>
      </w:pPr>
      <w:r>
        <w:rPr>
          <w:rFonts w:hint="eastAsia"/>
        </w:rPr>
        <w:tab/>
      </w:r>
      <w:r w:rsidR="00B0321E">
        <w:rPr>
          <w:rFonts w:hint="eastAsia"/>
        </w:rPr>
        <w:t>(e)</w:t>
      </w:r>
      <w:r w:rsidR="00B0321E">
        <w:rPr>
          <w:rFonts w:hint="eastAsia"/>
        </w:rPr>
        <w:tab/>
      </w:r>
      <w:r w:rsidR="00B0321E" w:rsidRPr="003D4AF2">
        <w:rPr>
          <w:rFonts w:ascii="黑体" w:eastAsia="黑体" w:hAnsi="黑体" w:hint="eastAsia"/>
        </w:rPr>
        <w:t>在暴力侵害妇女包括家庭暴力的案件中，确保民事和刑事诉讼程序明确优先于调解或其他非诉讼纠纷解决程序</w:t>
      </w:r>
      <w:r w:rsidR="00B0321E">
        <w:rPr>
          <w:rFonts w:hint="eastAsia"/>
        </w:rPr>
        <w:t>；</w:t>
      </w:r>
    </w:p>
    <w:p w:rsidR="00B0321E" w:rsidRDefault="003D4AF2" w:rsidP="00B0321E">
      <w:pPr>
        <w:pStyle w:val="SingleTxt"/>
      </w:pPr>
      <w:r>
        <w:rPr>
          <w:rFonts w:hint="eastAsia"/>
        </w:rPr>
        <w:tab/>
      </w:r>
      <w:r w:rsidR="00B0321E">
        <w:rPr>
          <w:rFonts w:hint="eastAsia"/>
        </w:rPr>
        <w:t>(f)</w:t>
      </w:r>
      <w:r>
        <w:rPr>
          <w:rFonts w:hint="eastAsia"/>
        </w:rPr>
        <w:tab/>
      </w:r>
      <w:r w:rsidR="00B0321E" w:rsidRPr="003D4AF2">
        <w:rPr>
          <w:rFonts w:ascii="黑体" w:eastAsia="黑体" w:hAnsi="黑体" w:hint="eastAsia"/>
        </w:rPr>
        <w:t>建</w:t>
      </w:r>
      <w:r w:rsidR="00B0321E" w:rsidRPr="003D4AF2">
        <w:rPr>
          <w:rFonts w:ascii="黑体" w:eastAsia="黑体" w:hAnsi="黑体" w:hint="eastAsia"/>
          <w:spacing w:val="-2"/>
        </w:rPr>
        <w:t>立监测机制，以评价性别暴力行为受害人获得保护和援助服务的机会</w:t>
      </w:r>
      <w:r w:rsidR="00B0321E" w:rsidRPr="003D4AF2">
        <w:rPr>
          <w:rFonts w:ascii="黑体" w:eastAsia="黑体" w:hAnsi="黑体" w:hint="eastAsia"/>
        </w:rPr>
        <w:t>，特别是弱势妇女群体，如非裔妇女、残疾妇女及难民、寻求庇护和移徙妇女获得这些服务的情况</w:t>
      </w:r>
      <w:r w:rsidR="00B0321E">
        <w:rPr>
          <w:rFonts w:hint="eastAsia"/>
        </w:rPr>
        <w:t>。</w:t>
      </w:r>
    </w:p>
    <w:p w:rsidR="00B0321E" w:rsidRPr="003D4AF2" w:rsidRDefault="00B0321E" w:rsidP="00B0321E">
      <w:pPr>
        <w:pStyle w:val="SingleTxt"/>
        <w:rPr>
          <w:rFonts w:ascii="黑体" w:eastAsia="黑体" w:hAnsi="黑体"/>
        </w:rPr>
      </w:pPr>
      <w:r w:rsidRPr="003D4AF2">
        <w:rPr>
          <w:rFonts w:ascii="黑体" w:eastAsia="黑体" w:hAnsi="黑体" w:hint="eastAsia"/>
        </w:rPr>
        <w:t>在事实政权期间的性别暴力侵害妇女行为</w:t>
      </w:r>
    </w:p>
    <w:p w:rsidR="00B0321E" w:rsidRDefault="00B0321E" w:rsidP="00B0321E">
      <w:pPr>
        <w:pStyle w:val="SingleTxt"/>
      </w:pPr>
      <w:r>
        <w:rPr>
          <w:rFonts w:hint="eastAsia"/>
        </w:rPr>
        <w:t>21.</w:t>
      </w:r>
      <w:r>
        <w:rPr>
          <w:rFonts w:hint="eastAsia"/>
        </w:rPr>
        <w:tab/>
      </w:r>
      <w:r>
        <w:rPr>
          <w:rFonts w:hint="eastAsia"/>
        </w:rPr>
        <w:t>委员会关切地注意到，司法系统内没有专设机制，向</w:t>
      </w:r>
      <w:r>
        <w:rPr>
          <w:rFonts w:hint="eastAsia"/>
        </w:rPr>
        <w:t>1973</w:t>
      </w:r>
      <w:r>
        <w:rPr>
          <w:rFonts w:hint="eastAsia"/>
        </w:rPr>
        <w:t>至</w:t>
      </w:r>
      <w:r>
        <w:rPr>
          <w:rFonts w:hint="eastAsia"/>
        </w:rPr>
        <w:t>1985</w:t>
      </w:r>
      <w:r>
        <w:rPr>
          <w:rFonts w:hint="eastAsia"/>
        </w:rPr>
        <w:t>年缔约国事实政权期间性暴力和其他侵犯人权行为的受害妇女提供赔偿和补偿。委员会还注意到，缔约国没有任何旨在查明在该期间侵犯妇女人权的真相的程序。</w:t>
      </w:r>
    </w:p>
    <w:p w:rsidR="00B0321E" w:rsidRDefault="00B0321E" w:rsidP="00B0321E">
      <w:pPr>
        <w:pStyle w:val="SingleTxt"/>
      </w:pPr>
      <w:r>
        <w:rPr>
          <w:rFonts w:hint="eastAsia"/>
        </w:rPr>
        <w:t>22.</w:t>
      </w:r>
      <w:r>
        <w:rPr>
          <w:rFonts w:hint="eastAsia"/>
        </w:rPr>
        <w:tab/>
      </w:r>
      <w:r w:rsidRPr="003D4AF2">
        <w:rPr>
          <w:rFonts w:ascii="黑体" w:eastAsia="黑体" w:hAnsi="黑体" w:hint="eastAsia"/>
        </w:rPr>
        <w:t>委员会回顾其于妇女在预防冲突、冲突及冲突后局势中的作用的第30(2013)号一般性建议，建议缔约国制定一项战略起诉和适当惩罚在事实政权期间侵犯妇女人权的行为人。委员会还建议缔约国采取措施，向此类侵害行为的受害妇女迅速提供补救，包括补偿和象征性赔偿</w:t>
      </w:r>
      <w:r>
        <w:rPr>
          <w:rFonts w:hint="eastAsia"/>
        </w:rPr>
        <w:t>。</w:t>
      </w:r>
    </w:p>
    <w:p w:rsidR="00B0321E" w:rsidRPr="003D4AF2" w:rsidRDefault="00B0321E" w:rsidP="00B0321E">
      <w:pPr>
        <w:pStyle w:val="SingleTxt"/>
        <w:rPr>
          <w:rFonts w:ascii="黑体" w:eastAsia="黑体" w:hAnsi="黑体"/>
        </w:rPr>
      </w:pPr>
      <w:r w:rsidRPr="003D4AF2">
        <w:rPr>
          <w:rFonts w:ascii="黑体" w:eastAsia="黑体" w:hAnsi="黑体" w:hint="eastAsia"/>
        </w:rPr>
        <w:t>贩运人口与利用妇女卖淫营利</w:t>
      </w:r>
    </w:p>
    <w:p w:rsidR="00B0321E" w:rsidRDefault="00B0321E" w:rsidP="00B0321E">
      <w:pPr>
        <w:pStyle w:val="SingleTxt"/>
      </w:pPr>
      <w:r>
        <w:rPr>
          <w:rFonts w:hint="eastAsia"/>
        </w:rPr>
        <w:t>23.</w:t>
      </w:r>
      <w:r>
        <w:rPr>
          <w:rFonts w:hint="eastAsia"/>
        </w:rPr>
        <w:tab/>
      </w:r>
      <w:r>
        <w:rPr>
          <w:rFonts w:hint="eastAsia"/>
        </w:rPr>
        <w:t>委员会注意到内政部和全国妇女事务局为解决贩运人口问题设立了机构委员会；还注意到已制订一项有关这个问题的国家行动计划以及保护和援助贩运活动受害人的导则。但委员会对下列情况感到关切：</w:t>
      </w:r>
    </w:p>
    <w:p w:rsidR="00B0321E" w:rsidRDefault="003D4AF2" w:rsidP="00B0321E">
      <w:pPr>
        <w:pStyle w:val="SingleTxt"/>
      </w:pPr>
      <w:r>
        <w:rPr>
          <w:rFonts w:hint="eastAsia"/>
        </w:rPr>
        <w:tab/>
      </w:r>
      <w:r w:rsidR="00B0321E">
        <w:rPr>
          <w:rFonts w:hint="eastAsia"/>
        </w:rPr>
        <w:t>(a)</w:t>
      </w:r>
      <w:r w:rsidR="00B0321E">
        <w:rPr>
          <w:rFonts w:hint="eastAsia"/>
        </w:rPr>
        <w:tab/>
      </w:r>
      <w:r w:rsidR="00B0321E">
        <w:rPr>
          <w:rFonts w:hint="eastAsia"/>
        </w:rPr>
        <w:t>就人贩活动，特别是贩运妇女和女童的活动而言，缔约国既是过境国也是目的地国；</w:t>
      </w:r>
    </w:p>
    <w:p w:rsidR="00B0321E" w:rsidRDefault="003D4AF2" w:rsidP="00B0321E">
      <w:pPr>
        <w:pStyle w:val="SingleTxt"/>
      </w:pPr>
      <w:r>
        <w:rPr>
          <w:rFonts w:hint="eastAsia"/>
        </w:rPr>
        <w:tab/>
      </w:r>
      <w:r w:rsidR="00B0321E">
        <w:rPr>
          <w:rFonts w:hint="eastAsia"/>
        </w:rPr>
        <w:t>(b)</w:t>
      </w:r>
      <w:r w:rsidR="00B0321E">
        <w:rPr>
          <w:rFonts w:hint="eastAsia"/>
        </w:rPr>
        <w:tab/>
      </w:r>
      <w:r w:rsidR="00B0321E">
        <w:rPr>
          <w:rFonts w:hint="eastAsia"/>
        </w:rPr>
        <w:t>关于为查明、防止和起诉剥削劳工的贩运活动而采取的措施以及关于人贩案件的起诉和定罪数的资料不足。</w:t>
      </w:r>
    </w:p>
    <w:p w:rsidR="00B0321E" w:rsidRDefault="00B0321E" w:rsidP="00B0321E">
      <w:pPr>
        <w:pStyle w:val="SingleTxt"/>
      </w:pPr>
      <w:r>
        <w:rPr>
          <w:rFonts w:hint="eastAsia"/>
        </w:rPr>
        <w:t>24.</w:t>
      </w:r>
      <w:r>
        <w:rPr>
          <w:rFonts w:hint="eastAsia"/>
        </w:rPr>
        <w:tab/>
      </w:r>
      <w:r w:rsidRPr="003D4AF2">
        <w:rPr>
          <w:rFonts w:ascii="黑体" w:eastAsia="黑体" w:hAnsi="黑体" w:hint="eastAsia"/>
        </w:rPr>
        <w:t>委员会建议缔约国</w:t>
      </w:r>
      <w:r>
        <w:rPr>
          <w:rFonts w:hint="eastAsia"/>
        </w:rPr>
        <w:t>：</w:t>
      </w:r>
    </w:p>
    <w:p w:rsidR="00B0321E" w:rsidRDefault="003D4AF2" w:rsidP="00B0321E">
      <w:pPr>
        <w:pStyle w:val="SingleTxt"/>
      </w:pPr>
      <w:r>
        <w:rPr>
          <w:rFonts w:hint="eastAsia"/>
        </w:rPr>
        <w:tab/>
      </w:r>
      <w:r w:rsidR="00B0321E">
        <w:rPr>
          <w:rFonts w:hint="eastAsia"/>
        </w:rPr>
        <w:t>(a)</w:t>
      </w:r>
      <w:r w:rsidR="00B0321E">
        <w:rPr>
          <w:rFonts w:hint="eastAsia"/>
        </w:rPr>
        <w:tab/>
      </w:r>
      <w:r w:rsidR="00B0321E" w:rsidRPr="003D4AF2">
        <w:rPr>
          <w:rFonts w:ascii="黑体" w:eastAsia="黑体" w:hAnsi="黑体" w:hint="eastAsia"/>
        </w:rPr>
        <w:t>制定一个更全面的国家框架以打击贩运妇女和女童的行为</w:t>
      </w:r>
      <w:r w:rsidR="00B0321E">
        <w:rPr>
          <w:rFonts w:hint="eastAsia"/>
        </w:rPr>
        <w:t>；</w:t>
      </w:r>
    </w:p>
    <w:p w:rsidR="00B0321E" w:rsidRDefault="003D4AF2" w:rsidP="00B0321E">
      <w:pPr>
        <w:pStyle w:val="SingleTxt"/>
      </w:pPr>
      <w:r>
        <w:rPr>
          <w:rFonts w:hint="eastAsia"/>
        </w:rPr>
        <w:tab/>
      </w:r>
      <w:r w:rsidR="00B0321E">
        <w:rPr>
          <w:rFonts w:hint="eastAsia"/>
        </w:rPr>
        <w:t>(b)</w:t>
      </w:r>
      <w:r w:rsidR="00B0321E">
        <w:rPr>
          <w:rFonts w:hint="eastAsia"/>
        </w:rPr>
        <w:tab/>
      </w:r>
      <w:r w:rsidR="00B0321E" w:rsidRPr="003D4AF2">
        <w:rPr>
          <w:rFonts w:ascii="黑体" w:eastAsia="黑体" w:hAnsi="黑体" w:hint="eastAsia"/>
        </w:rPr>
        <w:t>建立一个系统收集按年龄、族裔背景和社会经济条件分列的贩运妇女和女童数据，以便查明打击贩运活动的国家框架不足之处，并继续努力防止和起诉人贩活动，加强防止贩运人口的双边、区域和国际合作，包括与区域内其他国家交流信息和协调统一起诉人贩子的法律程序</w:t>
      </w:r>
      <w:r w:rsidR="00B0321E">
        <w:rPr>
          <w:rFonts w:hint="eastAsia"/>
        </w:rPr>
        <w:t>。</w:t>
      </w:r>
    </w:p>
    <w:p w:rsidR="00B0321E" w:rsidRDefault="00B0321E" w:rsidP="00D50FBE">
      <w:pPr>
        <w:pStyle w:val="SingleTxt"/>
        <w:spacing w:after="100"/>
      </w:pPr>
      <w:r>
        <w:rPr>
          <w:rFonts w:hint="eastAsia"/>
        </w:rPr>
        <w:t>25.</w:t>
      </w:r>
      <w:r>
        <w:rPr>
          <w:rFonts w:hint="eastAsia"/>
        </w:rPr>
        <w:tab/>
      </w:r>
      <w:r>
        <w:rPr>
          <w:rFonts w:hint="eastAsia"/>
        </w:rPr>
        <w:t>委员会注意到，缔约国承认性工作</w:t>
      </w:r>
      <w:r>
        <w:rPr>
          <w:rFonts w:hint="eastAsia"/>
        </w:rPr>
        <w:t>(2002</w:t>
      </w:r>
      <w:r>
        <w:rPr>
          <w:rFonts w:hint="eastAsia"/>
        </w:rPr>
        <w:t>年</w:t>
      </w:r>
      <w:r>
        <w:rPr>
          <w:rFonts w:hint="eastAsia"/>
        </w:rPr>
        <w:t>7</w:t>
      </w:r>
      <w:r>
        <w:rPr>
          <w:rFonts w:hint="eastAsia"/>
        </w:rPr>
        <w:t>月</w:t>
      </w:r>
      <w:r>
        <w:rPr>
          <w:rFonts w:hint="eastAsia"/>
        </w:rPr>
        <w:t>4</w:t>
      </w:r>
      <w:r>
        <w:rPr>
          <w:rFonts w:hint="eastAsia"/>
        </w:rPr>
        <w:t>日第</w:t>
      </w:r>
      <w:r>
        <w:rPr>
          <w:rFonts w:hint="eastAsia"/>
        </w:rPr>
        <w:t>17.515</w:t>
      </w:r>
      <w:r>
        <w:rPr>
          <w:rFonts w:hint="eastAsia"/>
        </w:rPr>
        <w:t>号法</w:t>
      </w:r>
      <w:r>
        <w:rPr>
          <w:rFonts w:hint="eastAsia"/>
        </w:rPr>
        <w:t>)</w:t>
      </w:r>
      <w:r>
        <w:rPr>
          <w:rFonts w:hint="eastAsia"/>
        </w:rPr>
        <w:t>并建立了由内政部管理的性工作者全国登记册。然而，委员会感到关切的是没有为想摆脱性工作的妇女提供支助的方案。</w:t>
      </w:r>
    </w:p>
    <w:p w:rsidR="00B0321E" w:rsidRDefault="00B0321E" w:rsidP="00D50FBE">
      <w:pPr>
        <w:pStyle w:val="SingleTxt"/>
        <w:spacing w:after="100"/>
      </w:pPr>
      <w:r>
        <w:rPr>
          <w:rFonts w:hint="eastAsia"/>
        </w:rPr>
        <w:t>26.</w:t>
      </w:r>
      <w:r>
        <w:rPr>
          <w:rFonts w:hint="eastAsia"/>
        </w:rPr>
        <w:tab/>
      </w:r>
      <w:r w:rsidRPr="003D4AF2">
        <w:rPr>
          <w:rFonts w:ascii="黑体" w:eastAsia="黑体" w:hAnsi="黑体" w:hint="eastAsia"/>
        </w:rPr>
        <w:t>委员会建议缔约国为想摆脱性工作的妇女提供出路，包括其他创收机会</w:t>
      </w:r>
      <w:r>
        <w:rPr>
          <w:rFonts w:hint="eastAsia"/>
        </w:rPr>
        <w:t>。</w:t>
      </w:r>
    </w:p>
    <w:p w:rsidR="00B0321E" w:rsidRPr="003D4AF2" w:rsidRDefault="00B0321E" w:rsidP="00D50FBE">
      <w:pPr>
        <w:pStyle w:val="SingleTxt"/>
        <w:spacing w:after="100"/>
        <w:rPr>
          <w:rFonts w:ascii="黑体" w:eastAsia="黑体" w:hAnsi="黑体"/>
        </w:rPr>
      </w:pPr>
      <w:r w:rsidRPr="003D4AF2">
        <w:rPr>
          <w:rFonts w:ascii="黑体" w:eastAsia="黑体" w:hAnsi="黑体" w:hint="eastAsia"/>
        </w:rPr>
        <w:t>参与政治和公共生活</w:t>
      </w:r>
    </w:p>
    <w:p w:rsidR="00B0321E" w:rsidRDefault="00B0321E" w:rsidP="00D50FBE">
      <w:pPr>
        <w:pStyle w:val="SingleTxt"/>
        <w:spacing w:after="100"/>
      </w:pPr>
      <w:r>
        <w:rPr>
          <w:rFonts w:hint="eastAsia"/>
        </w:rPr>
        <w:t>27.</w:t>
      </w:r>
      <w:r>
        <w:rPr>
          <w:rFonts w:hint="eastAsia"/>
        </w:rPr>
        <w:tab/>
      </w:r>
      <w:r>
        <w:rPr>
          <w:rFonts w:hint="eastAsia"/>
        </w:rPr>
        <w:t>委员会仍然感到关切的是，在政治和公共生活中，包括在议会和高层决策职位中，参与妇女人数不足，而且没有拟订任何措施促使和支持女候选人参加民选机构的竞选。在议会的妇女参与率方面，乌拉圭的数据低于区域平均。委员会感到遗憾的是，</w:t>
      </w:r>
      <w:r>
        <w:rPr>
          <w:rFonts w:hint="eastAsia"/>
        </w:rPr>
        <w:t>2009</w:t>
      </w:r>
      <w:r>
        <w:rPr>
          <w:rFonts w:hint="eastAsia"/>
        </w:rPr>
        <w:t>年</w:t>
      </w:r>
      <w:r>
        <w:rPr>
          <w:rFonts w:hint="eastAsia"/>
        </w:rPr>
        <w:t>4</w:t>
      </w:r>
      <w:r>
        <w:rPr>
          <w:rFonts w:hint="eastAsia"/>
        </w:rPr>
        <w:t>月</w:t>
      </w:r>
      <w:r>
        <w:rPr>
          <w:rFonts w:hint="eastAsia"/>
        </w:rPr>
        <w:t>3</w:t>
      </w:r>
      <w:r>
        <w:rPr>
          <w:rFonts w:hint="eastAsia"/>
        </w:rPr>
        <w:t>日第</w:t>
      </w:r>
      <w:r>
        <w:rPr>
          <w:rFonts w:hint="eastAsia"/>
        </w:rPr>
        <w:t>18.476</w:t>
      </w:r>
      <w:r>
        <w:rPr>
          <w:rFonts w:hint="eastAsia"/>
        </w:rPr>
        <w:t>号法规定在民选机构中男女平等参与政治，但该法在</w:t>
      </w:r>
      <w:r>
        <w:rPr>
          <w:rFonts w:hint="eastAsia"/>
        </w:rPr>
        <w:t>2014</w:t>
      </w:r>
      <w:r>
        <w:rPr>
          <w:rFonts w:hint="eastAsia"/>
        </w:rPr>
        <w:t>年选举中只适用了一次。委员会还感到关切的是，最高法院和外交部门的妇女任职人数比例偏低。</w:t>
      </w:r>
    </w:p>
    <w:p w:rsidR="00B0321E" w:rsidRDefault="00B0321E" w:rsidP="00D50FBE">
      <w:pPr>
        <w:pStyle w:val="SingleTxt"/>
        <w:spacing w:after="100"/>
      </w:pPr>
      <w:r>
        <w:rPr>
          <w:rFonts w:hint="eastAsia"/>
        </w:rPr>
        <w:t>28.</w:t>
      </w:r>
      <w:r>
        <w:rPr>
          <w:rFonts w:hint="eastAsia"/>
        </w:rPr>
        <w:tab/>
      </w:r>
      <w:r w:rsidRPr="003D4AF2">
        <w:rPr>
          <w:rFonts w:ascii="黑体" w:eastAsia="黑体" w:hAnsi="黑体" w:hint="eastAsia"/>
        </w:rPr>
        <w:t>委员会建议缔约国</w:t>
      </w:r>
      <w:r>
        <w:rPr>
          <w:rFonts w:hint="eastAsia"/>
        </w:rPr>
        <w:t>：</w:t>
      </w:r>
    </w:p>
    <w:p w:rsidR="00B0321E" w:rsidRDefault="003D4AF2" w:rsidP="00D50FBE">
      <w:pPr>
        <w:pStyle w:val="SingleTxt"/>
        <w:spacing w:after="100"/>
      </w:pPr>
      <w:r>
        <w:rPr>
          <w:rFonts w:hint="eastAsia"/>
        </w:rPr>
        <w:tab/>
      </w:r>
      <w:r w:rsidR="00B0321E">
        <w:rPr>
          <w:rFonts w:hint="eastAsia"/>
        </w:rPr>
        <w:t>(a)</w:t>
      </w:r>
      <w:r w:rsidR="00B0321E">
        <w:rPr>
          <w:rFonts w:hint="eastAsia"/>
        </w:rPr>
        <w:tab/>
      </w:r>
      <w:r w:rsidR="00B0321E" w:rsidRPr="003D4AF2">
        <w:rPr>
          <w:rFonts w:ascii="黑体" w:eastAsia="黑体" w:hAnsi="黑体" w:hint="eastAsia"/>
        </w:rPr>
        <w:t>根据《公约》第四条第1款和委员会关于这个问题的第25(2004)号一般性建议采取措施，包括暂行特别措施，如规定指派或提名女候选人的法定名额，并监测取得的进展</w:t>
      </w:r>
      <w:r w:rsidR="00B0321E">
        <w:rPr>
          <w:rFonts w:hint="eastAsia"/>
        </w:rPr>
        <w:t>；</w:t>
      </w:r>
    </w:p>
    <w:p w:rsidR="00B0321E" w:rsidRDefault="003D4AF2" w:rsidP="00D50FBE">
      <w:pPr>
        <w:pStyle w:val="SingleTxt"/>
        <w:spacing w:after="100"/>
      </w:pPr>
      <w:r>
        <w:rPr>
          <w:rFonts w:hint="eastAsia"/>
        </w:rPr>
        <w:tab/>
      </w:r>
      <w:r w:rsidR="00B0321E">
        <w:rPr>
          <w:rFonts w:hint="eastAsia"/>
        </w:rPr>
        <w:t>(b)</w:t>
      </w:r>
      <w:r w:rsidR="00B0321E">
        <w:rPr>
          <w:rFonts w:hint="eastAsia"/>
        </w:rPr>
        <w:tab/>
      </w:r>
      <w:r w:rsidR="00B0321E" w:rsidRPr="003D4AF2">
        <w:rPr>
          <w:rFonts w:ascii="黑体" w:eastAsia="黑体" w:hAnsi="黑体" w:hint="eastAsia"/>
        </w:rPr>
        <w:t>考虑为促进在政治和公共生活中的妇女代表人数采用一个性别均等制度，包括通过修正选举法</w:t>
      </w:r>
      <w:r w:rsidR="00B0321E">
        <w:rPr>
          <w:rFonts w:hint="eastAsia"/>
        </w:rPr>
        <w:t>；</w:t>
      </w:r>
    </w:p>
    <w:p w:rsidR="00B0321E" w:rsidRDefault="003D4AF2" w:rsidP="00D50FBE">
      <w:pPr>
        <w:pStyle w:val="SingleTxt"/>
        <w:spacing w:after="100"/>
      </w:pPr>
      <w:r>
        <w:rPr>
          <w:rFonts w:hint="eastAsia"/>
        </w:rPr>
        <w:tab/>
      </w:r>
      <w:r w:rsidR="00B0321E">
        <w:rPr>
          <w:rFonts w:hint="eastAsia"/>
        </w:rPr>
        <w:t>(c)</w:t>
      </w:r>
      <w:r w:rsidR="00B0321E">
        <w:rPr>
          <w:rFonts w:hint="eastAsia"/>
        </w:rPr>
        <w:tab/>
      </w:r>
      <w:r w:rsidR="00B0321E" w:rsidRPr="003D4AF2">
        <w:rPr>
          <w:rFonts w:ascii="黑体" w:eastAsia="黑体" w:hAnsi="黑体" w:hint="eastAsia"/>
        </w:rPr>
        <w:t>为女候选人制定领导能力和谈判技巧定向培训和辅导方案</w:t>
      </w:r>
      <w:r w:rsidR="00B0321E">
        <w:rPr>
          <w:rFonts w:hint="eastAsia"/>
        </w:rPr>
        <w:t>。</w:t>
      </w:r>
    </w:p>
    <w:p w:rsidR="00B0321E" w:rsidRPr="003D4AF2" w:rsidRDefault="00B0321E" w:rsidP="00D50FBE">
      <w:pPr>
        <w:pStyle w:val="SingleTxt"/>
        <w:spacing w:after="100"/>
        <w:rPr>
          <w:rFonts w:ascii="黑体" w:eastAsia="黑体" w:hAnsi="黑体"/>
        </w:rPr>
      </w:pPr>
      <w:r w:rsidRPr="003D4AF2">
        <w:rPr>
          <w:rFonts w:ascii="黑体" w:eastAsia="黑体" w:hAnsi="黑体" w:hint="eastAsia"/>
        </w:rPr>
        <w:t>国籍和无国籍妇女</w:t>
      </w:r>
    </w:p>
    <w:p w:rsidR="00B0321E" w:rsidRDefault="00B0321E" w:rsidP="00D50FBE">
      <w:pPr>
        <w:pStyle w:val="SingleTxt"/>
        <w:spacing w:after="100"/>
      </w:pPr>
      <w:r>
        <w:rPr>
          <w:rFonts w:hint="eastAsia"/>
        </w:rPr>
        <w:t>29.</w:t>
      </w:r>
      <w:r>
        <w:rPr>
          <w:rFonts w:hint="eastAsia"/>
        </w:rPr>
        <w:tab/>
      </w:r>
      <w:r>
        <w:rPr>
          <w:rFonts w:hint="eastAsia"/>
        </w:rPr>
        <w:t>委员会赞扬缔约国立法保护妇女免受基于国籍的歧视，但委员会关切的是，缔约国没有关于确定无国籍人地位和提供保护的立法以确保非难民无国籍妇女有平等机会获得证件和基本服务。</w:t>
      </w:r>
    </w:p>
    <w:p w:rsidR="00B0321E" w:rsidRDefault="00B0321E" w:rsidP="00D50FBE">
      <w:pPr>
        <w:pStyle w:val="SingleTxt"/>
        <w:spacing w:after="100"/>
      </w:pPr>
      <w:r>
        <w:rPr>
          <w:rFonts w:hint="eastAsia"/>
        </w:rPr>
        <w:t>30.</w:t>
      </w:r>
      <w:r>
        <w:rPr>
          <w:rFonts w:hint="eastAsia"/>
        </w:rPr>
        <w:tab/>
      </w:r>
      <w:r w:rsidRPr="003D4AF2">
        <w:rPr>
          <w:rFonts w:ascii="黑体" w:eastAsia="黑体" w:hAnsi="黑体" w:hint="eastAsia"/>
        </w:rPr>
        <w:t>委员会建议缔约国依照1954年《关于无国籍人地位的公约》和1961年《减少无国籍状态公约》规定的义务制定关于确定地位的立法，并保护非难民无国籍妇女的人权和减少她们受到歧视的风险。委员会还建议缔约国采取措施使这些妇女能够获得证件和向她们提供获得基本服务的渠道与重新安置的机会，以及建立一个系统以收集关于无国籍妇女的数据</w:t>
      </w:r>
      <w:r>
        <w:rPr>
          <w:rFonts w:hint="eastAsia"/>
        </w:rPr>
        <w:t>。</w:t>
      </w:r>
    </w:p>
    <w:p w:rsidR="00B0321E" w:rsidRPr="003D4AF2" w:rsidRDefault="00B0321E" w:rsidP="00D50FBE">
      <w:pPr>
        <w:pStyle w:val="SingleTxt"/>
        <w:spacing w:after="100"/>
        <w:rPr>
          <w:rFonts w:ascii="黑体" w:eastAsia="黑体" w:hAnsi="黑体"/>
        </w:rPr>
      </w:pPr>
      <w:r w:rsidRPr="003D4AF2">
        <w:rPr>
          <w:rFonts w:ascii="黑体" w:eastAsia="黑体" w:hAnsi="黑体" w:hint="eastAsia"/>
        </w:rPr>
        <w:t>教育</w:t>
      </w:r>
    </w:p>
    <w:p w:rsidR="00B0321E" w:rsidRDefault="00B0321E" w:rsidP="00D50FBE">
      <w:pPr>
        <w:pStyle w:val="SingleTxt"/>
        <w:spacing w:after="100"/>
      </w:pPr>
      <w:r>
        <w:rPr>
          <w:rFonts w:hint="eastAsia"/>
        </w:rPr>
        <w:t>31.</w:t>
      </w:r>
      <w:r>
        <w:rPr>
          <w:rFonts w:hint="eastAsia"/>
        </w:rPr>
        <w:tab/>
      </w:r>
      <w:r>
        <w:rPr>
          <w:rFonts w:hint="eastAsia"/>
        </w:rPr>
        <w:t>委员会欢迎在各级教育妇女入学就读方面所取得的成绩，注意到妇女高中教育毕业率比男子高</w:t>
      </w:r>
      <w:r>
        <w:rPr>
          <w:rFonts w:hint="eastAsia"/>
        </w:rPr>
        <w:t>30.7%</w:t>
      </w:r>
      <w:r>
        <w:rPr>
          <w:rFonts w:hint="eastAsia"/>
        </w:rPr>
        <w:t>。委员会还注意到，妇女占大学生总人数的</w:t>
      </w:r>
      <w:r>
        <w:rPr>
          <w:rFonts w:hint="eastAsia"/>
        </w:rPr>
        <w:t>60%</w:t>
      </w:r>
      <w:r>
        <w:rPr>
          <w:rFonts w:hint="eastAsia"/>
        </w:rPr>
        <w:t>。但委员会对下列情况感到关切：</w:t>
      </w:r>
    </w:p>
    <w:p w:rsidR="00B0321E" w:rsidRDefault="003D4AF2" w:rsidP="00D50FBE">
      <w:pPr>
        <w:pStyle w:val="SingleTxt"/>
        <w:spacing w:after="100"/>
      </w:pPr>
      <w:r>
        <w:rPr>
          <w:rFonts w:hint="eastAsia"/>
        </w:rPr>
        <w:tab/>
      </w:r>
      <w:r w:rsidR="00B0321E">
        <w:rPr>
          <w:rFonts w:hint="eastAsia"/>
        </w:rPr>
        <w:t>(a)</w:t>
      </w:r>
      <w:r w:rsidR="00B0321E">
        <w:rPr>
          <w:rFonts w:hint="eastAsia"/>
        </w:rPr>
        <w:tab/>
      </w:r>
      <w:r w:rsidR="00B0321E">
        <w:rPr>
          <w:rFonts w:hint="eastAsia"/>
        </w:rPr>
        <w:t>主要由于早孕，正规教育女童辍学率偏高，农村地区和城市贫民区的情况尤其如此。这个问题在非裔乌拉圭青少年中特别严重，而且缺乏有关为解决这一情况而采取的措施的资料；</w:t>
      </w:r>
    </w:p>
    <w:p w:rsidR="00B0321E" w:rsidRDefault="003D4AF2" w:rsidP="003D4AF2">
      <w:pPr>
        <w:pStyle w:val="SingleTxt"/>
        <w:spacing w:after="120"/>
      </w:pPr>
      <w:r>
        <w:rPr>
          <w:rFonts w:hint="eastAsia"/>
        </w:rPr>
        <w:tab/>
      </w:r>
      <w:r w:rsidR="00B0321E">
        <w:rPr>
          <w:rFonts w:hint="eastAsia"/>
        </w:rPr>
        <w:t>(b)</w:t>
      </w:r>
      <w:r w:rsidR="00B0321E">
        <w:rPr>
          <w:rFonts w:hint="eastAsia"/>
        </w:rPr>
        <w:tab/>
      </w:r>
      <w:r w:rsidR="00B0321E">
        <w:rPr>
          <w:rFonts w:hint="eastAsia"/>
        </w:rPr>
        <w:t>妇女继续集中于传统上女性居多的学习领域，例如教学；</w:t>
      </w:r>
    </w:p>
    <w:p w:rsidR="00B0321E" w:rsidRDefault="003D4AF2" w:rsidP="003D4AF2">
      <w:pPr>
        <w:pStyle w:val="SingleTxt"/>
        <w:spacing w:after="120"/>
      </w:pPr>
      <w:r>
        <w:rPr>
          <w:rFonts w:hint="eastAsia"/>
        </w:rPr>
        <w:tab/>
      </w:r>
      <w:r w:rsidR="00B0321E">
        <w:rPr>
          <w:rFonts w:hint="eastAsia"/>
        </w:rPr>
        <w:t>(c)</w:t>
      </w:r>
      <w:r w:rsidR="00B0321E">
        <w:rPr>
          <w:rFonts w:hint="eastAsia"/>
        </w:rPr>
        <w:tab/>
      </w:r>
      <w:r w:rsidR="00B0321E">
        <w:rPr>
          <w:rFonts w:hint="eastAsia"/>
        </w:rPr>
        <w:t>担任高级教职的妇女人数偏低；</w:t>
      </w:r>
    </w:p>
    <w:p w:rsidR="00B0321E" w:rsidRDefault="003D4AF2" w:rsidP="003D4AF2">
      <w:pPr>
        <w:pStyle w:val="SingleTxt"/>
        <w:spacing w:after="120"/>
      </w:pPr>
      <w:r>
        <w:rPr>
          <w:rFonts w:hint="eastAsia"/>
        </w:rPr>
        <w:tab/>
      </w:r>
      <w:r w:rsidR="00B0321E">
        <w:rPr>
          <w:rFonts w:hint="eastAsia"/>
        </w:rPr>
        <w:t>(d)</w:t>
      </w:r>
      <w:r w:rsidR="00B0321E">
        <w:rPr>
          <w:rFonts w:hint="eastAsia"/>
        </w:rPr>
        <w:tab/>
      </w:r>
      <w:r w:rsidR="00B0321E">
        <w:rPr>
          <w:rFonts w:hint="eastAsia"/>
        </w:rPr>
        <w:t>关于性与生殖健康和相关权利的适龄教育不足；</w:t>
      </w:r>
    </w:p>
    <w:p w:rsidR="00B0321E" w:rsidRDefault="003D4AF2" w:rsidP="003D4AF2">
      <w:pPr>
        <w:pStyle w:val="SingleTxt"/>
        <w:spacing w:after="120"/>
      </w:pPr>
      <w:r>
        <w:rPr>
          <w:rFonts w:hint="eastAsia"/>
        </w:rPr>
        <w:tab/>
      </w:r>
      <w:r w:rsidR="00B0321E">
        <w:rPr>
          <w:rFonts w:hint="eastAsia"/>
        </w:rPr>
        <w:t>(e)</w:t>
      </w:r>
      <w:r w:rsidR="00B0321E">
        <w:rPr>
          <w:rFonts w:hint="eastAsia"/>
        </w:rPr>
        <w:tab/>
      </w:r>
      <w:r w:rsidR="00B0321E">
        <w:rPr>
          <w:rFonts w:hint="eastAsia"/>
        </w:rPr>
        <w:t>缺乏增加非裔妇女受教育机会的措施。</w:t>
      </w:r>
    </w:p>
    <w:p w:rsidR="00B0321E" w:rsidRDefault="00B0321E" w:rsidP="003D4AF2">
      <w:pPr>
        <w:pStyle w:val="SingleTxt"/>
        <w:spacing w:after="120"/>
      </w:pPr>
      <w:r>
        <w:rPr>
          <w:rFonts w:hint="eastAsia"/>
        </w:rPr>
        <w:t>32.</w:t>
      </w:r>
      <w:r>
        <w:rPr>
          <w:rFonts w:hint="eastAsia"/>
        </w:rPr>
        <w:tab/>
      </w:r>
      <w:r w:rsidRPr="003D4AF2">
        <w:rPr>
          <w:rFonts w:ascii="黑体" w:eastAsia="黑体" w:hAnsi="黑体" w:hint="eastAsia"/>
        </w:rPr>
        <w:t>委员会建议缔约国</w:t>
      </w:r>
      <w:r>
        <w:rPr>
          <w:rFonts w:hint="eastAsia"/>
        </w:rPr>
        <w:t>：</w:t>
      </w:r>
    </w:p>
    <w:p w:rsidR="00B0321E" w:rsidRDefault="003D4AF2" w:rsidP="003D4AF2">
      <w:pPr>
        <w:pStyle w:val="SingleTxt"/>
        <w:spacing w:after="120"/>
      </w:pPr>
      <w:r>
        <w:rPr>
          <w:rFonts w:hint="eastAsia"/>
        </w:rPr>
        <w:tab/>
      </w:r>
      <w:r w:rsidR="00B0321E">
        <w:rPr>
          <w:rFonts w:hint="eastAsia"/>
        </w:rPr>
        <w:t>(a)</w:t>
      </w:r>
      <w:r w:rsidR="00B0321E">
        <w:rPr>
          <w:rFonts w:hint="eastAsia"/>
        </w:rPr>
        <w:tab/>
      </w:r>
      <w:r w:rsidR="00B0321E" w:rsidRPr="003D4AF2">
        <w:rPr>
          <w:rFonts w:ascii="黑体" w:eastAsia="黑体" w:hAnsi="黑体" w:hint="eastAsia"/>
        </w:rPr>
        <w:t>执行有效战略解决高早孕率和辍学率问题，包括采取奖学金等措施以确保年轻母亲留校和促进她们重返学校，重点对象是非裔妇女和女童、农村妇女和女童及生活在城市贫民区的妇女，并积极监测各级教育包括高等教育的情况</w:t>
      </w:r>
      <w:r w:rsidR="00B0321E">
        <w:rPr>
          <w:rFonts w:hint="eastAsia"/>
        </w:rPr>
        <w:t>；</w:t>
      </w:r>
    </w:p>
    <w:p w:rsidR="00B0321E" w:rsidRDefault="003D4AF2" w:rsidP="003D4AF2">
      <w:pPr>
        <w:pStyle w:val="SingleTxt"/>
        <w:spacing w:after="120"/>
      </w:pPr>
      <w:r>
        <w:rPr>
          <w:rFonts w:hint="eastAsia"/>
        </w:rPr>
        <w:tab/>
      </w:r>
      <w:r w:rsidR="00B0321E">
        <w:rPr>
          <w:rFonts w:hint="eastAsia"/>
        </w:rPr>
        <w:t>(b)</w:t>
      </w:r>
      <w:r w:rsidR="00B0321E">
        <w:rPr>
          <w:rFonts w:hint="eastAsia"/>
        </w:rPr>
        <w:tab/>
      </w:r>
      <w:r w:rsidR="00B0321E" w:rsidRPr="003D4AF2">
        <w:rPr>
          <w:rFonts w:ascii="黑体" w:eastAsia="黑体" w:hAnsi="黑体" w:hint="eastAsia"/>
        </w:rPr>
        <w:t>加强职业指导活动，鼓励妇女在非传统职业途径上发展，并提高教育系统各级教职人员对性别平等问题的认识</w:t>
      </w:r>
      <w:r w:rsidR="00B0321E">
        <w:rPr>
          <w:rFonts w:hint="eastAsia"/>
        </w:rPr>
        <w:t>；</w:t>
      </w:r>
    </w:p>
    <w:p w:rsidR="00B0321E" w:rsidRDefault="003D4AF2" w:rsidP="003D4AF2">
      <w:pPr>
        <w:pStyle w:val="SingleTxt"/>
        <w:spacing w:after="120"/>
      </w:pPr>
      <w:r>
        <w:rPr>
          <w:rFonts w:hint="eastAsia"/>
        </w:rPr>
        <w:tab/>
      </w:r>
      <w:r w:rsidR="00B0321E">
        <w:rPr>
          <w:rFonts w:hint="eastAsia"/>
        </w:rPr>
        <w:t>(c)</w:t>
      </w:r>
      <w:r w:rsidR="00B0321E">
        <w:rPr>
          <w:rFonts w:hint="eastAsia"/>
        </w:rPr>
        <w:tab/>
      </w:r>
      <w:r w:rsidR="00B0321E" w:rsidRPr="003D4AF2">
        <w:rPr>
          <w:rFonts w:ascii="黑体" w:eastAsia="黑体" w:hAnsi="黑体" w:hint="eastAsia"/>
        </w:rPr>
        <w:t>推行具体行动，包括暂行特别措施，提高妇女在学术机构决策职位所占比例和增加大学女教授的人数</w:t>
      </w:r>
      <w:r w:rsidR="00B0321E">
        <w:rPr>
          <w:rFonts w:hint="eastAsia"/>
        </w:rPr>
        <w:t>；</w:t>
      </w:r>
    </w:p>
    <w:p w:rsidR="00B0321E" w:rsidRDefault="003D4AF2" w:rsidP="003D4AF2">
      <w:pPr>
        <w:pStyle w:val="SingleTxt"/>
        <w:spacing w:after="120"/>
      </w:pPr>
      <w:r>
        <w:rPr>
          <w:rFonts w:hint="eastAsia"/>
        </w:rPr>
        <w:tab/>
      </w:r>
      <w:r w:rsidR="00B0321E">
        <w:rPr>
          <w:rFonts w:hint="eastAsia"/>
        </w:rPr>
        <w:t>(d)</w:t>
      </w:r>
      <w:r w:rsidR="00B0321E">
        <w:rPr>
          <w:rFonts w:hint="eastAsia"/>
        </w:rPr>
        <w:tab/>
      </w:r>
      <w:r w:rsidR="00B0321E" w:rsidRPr="003D4AF2">
        <w:rPr>
          <w:rFonts w:ascii="黑体" w:eastAsia="黑体" w:hAnsi="黑体" w:hint="eastAsia"/>
        </w:rPr>
        <w:t>定期评估全国教育系统的性教育，以确保提供关于性与生殖健康和权利的适龄教育</w:t>
      </w:r>
      <w:r w:rsidR="00B0321E">
        <w:rPr>
          <w:rFonts w:hint="eastAsia"/>
        </w:rPr>
        <w:t>；</w:t>
      </w:r>
    </w:p>
    <w:p w:rsidR="00B0321E" w:rsidRDefault="003D4AF2" w:rsidP="003D4AF2">
      <w:pPr>
        <w:pStyle w:val="SingleTxt"/>
        <w:spacing w:after="120"/>
      </w:pPr>
      <w:r>
        <w:rPr>
          <w:rFonts w:hint="eastAsia"/>
        </w:rPr>
        <w:tab/>
      </w:r>
      <w:r w:rsidR="00B0321E">
        <w:rPr>
          <w:rFonts w:hint="eastAsia"/>
        </w:rPr>
        <w:t>(e)</w:t>
      </w:r>
      <w:r w:rsidR="00B0321E">
        <w:rPr>
          <w:rFonts w:hint="eastAsia"/>
        </w:rPr>
        <w:tab/>
      </w:r>
      <w:r w:rsidR="00B0321E" w:rsidRPr="003D4AF2">
        <w:rPr>
          <w:rFonts w:ascii="黑体" w:eastAsia="黑体" w:hAnsi="黑体" w:hint="eastAsia"/>
        </w:rPr>
        <w:t>优先采取措施促进非裔乌拉圭妇女受教育的机会，包括在大学一级保留名额，并定期监测进展情况</w:t>
      </w:r>
      <w:r w:rsidR="00B0321E">
        <w:rPr>
          <w:rFonts w:hint="eastAsia"/>
        </w:rPr>
        <w:t>。</w:t>
      </w:r>
    </w:p>
    <w:p w:rsidR="00B0321E" w:rsidRPr="003D4AF2" w:rsidRDefault="00B0321E" w:rsidP="003D4AF2">
      <w:pPr>
        <w:pStyle w:val="SingleTxt"/>
        <w:spacing w:after="120"/>
        <w:rPr>
          <w:rFonts w:ascii="黑体" w:eastAsia="黑体" w:hAnsi="黑体"/>
        </w:rPr>
      </w:pPr>
      <w:r w:rsidRPr="003D4AF2">
        <w:rPr>
          <w:rFonts w:ascii="黑体" w:eastAsia="黑体" w:hAnsi="黑体" w:hint="eastAsia"/>
        </w:rPr>
        <w:t>就业</w:t>
      </w:r>
    </w:p>
    <w:p w:rsidR="00B0321E" w:rsidRDefault="00B0321E" w:rsidP="003D4AF2">
      <w:pPr>
        <w:pStyle w:val="SingleTxt"/>
        <w:spacing w:after="120"/>
      </w:pPr>
      <w:r>
        <w:rPr>
          <w:rFonts w:hint="eastAsia"/>
        </w:rPr>
        <w:t>33.</w:t>
      </w:r>
      <w:r>
        <w:rPr>
          <w:rFonts w:hint="eastAsia"/>
        </w:rPr>
        <w:tab/>
      </w:r>
      <w:r>
        <w:rPr>
          <w:rFonts w:hint="eastAsia"/>
        </w:rPr>
        <w:t>委员会欣见越来越多妇女融入正规劳动力市场。委员会还注意到，在科学领域工作的妇女比男子多一倍。委员会赞扬缔约国建立全国护理系统；此举有助于解决传统上妇女承担大部分无偿工作的问题。但委员会对下列情况感到关切：</w:t>
      </w:r>
    </w:p>
    <w:p w:rsidR="00B0321E" w:rsidRDefault="003D4AF2" w:rsidP="003D4AF2">
      <w:pPr>
        <w:pStyle w:val="SingleTxt"/>
        <w:spacing w:after="120"/>
      </w:pPr>
      <w:r>
        <w:rPr>
          <w:rFonts w:hint="eastAsia"/>
        </w:rPr>
        <w:tab/>
      </w:r>
      <w:r w:rsidR="00B0321E">
        <w:rPr>
          <w:rFonts w:hint="eastAsia"/>
        </w:rPr>
        <w:t>(a)</w:t>
      </w:r>
      <w:r w:rsidR="00B0321E">
        <w:rPr>
          <w:rFonts w:hint="eastAsia"/>
        </w:rPr>
        <w:tab/>
      </w:r>
      <w:r w:rsidR="00B0321E">
        <w:rPr>
          <w:rFonts w:hint="eastAsia"/>
        </w:rPr>
        <w:t>妇女的失业率和自雇率较高，妇女就业率比男子低约</w:t>
      </w:r>
      <w:r w:rsidR="00B0321E">
        <w:rPr>
          <w:rFonts w:hint="eastAsia"/>
        </w:rPr>
        <w:t>20%</w:t>
      </w:r>
      <w:r w:rsidR="00B0321E">
        <w:rPr>
          <w:rFonts w:hint="eastAsia"/>
        </w:rPr>
        <w:t>，而且非裔妇女的失业问题尤为严重；</w:t>
      </w:r>
    </w:p>
    <w:p w:rsidR="00B0321E" w:rsidRDefault="003D4AF2" w:rsidP="003D4AF2">
      <w:pPr>
        <w:pStyle w:val="SingleTxt"/>
        <w:spacing w:after="120"/>
      </w:pPr>
      <w:r>
        <w:rPr>
          <w:rFonts w:hint="eastAsia"/>
        </w:rPr>
        <w:tab/>
      </w:r>
      <w:r w:rsidR="00B0321E">
        <w:rPr>
          <w:rFonts w:hint="eastAsia"/>
        </w:rPr>
        <w:t>(b)</w:t>
      </w:r>
      <w:r w:rsidR="00B0321E">
        <w:rPr>
          <w:rFonts w:hint="eastAsia"/>
        </w:rPr>
        <w:tab/>
      </w:r>
      <w:r w:rsidR="00B0321E">
        <w:rPr>
          <w:rFonts w:hint="eastAsia"/>
        </w:rPr>
        <w:t>性别工资差异，特别是在私营部门，影响到教育水平较高妇女；</w:t>
      </w:r>
    </w:p>
    <w:p w:rsidR="00B0321E" w:rsidRDefault="003D4AF2" w:rsidP="003D4AF2">
      <w:pPr>
        <w:pStyle w:val="SingleTxt"/>
        <w:spacing w:after="120"/>
      </w:pPr>
      <w:r>
        <w:rPr>
          <w:rFonts w:hint="eastAsia"/>
        </w:rPr>
        <w:tab/>
      </w:r>
      <w:r w:rsidR="00B0321E">
        <w:rPr>
          <w:rFonts w:hint="eastAsia"/>
        </w:rPr>
        <w:t>(c)</w:t>
      </w:r>
      <w:r w:rsidR="00B0321E">
        <w:rPr>
          <w:rFonts w:hint="eastAsia"/>
        </w:rPr>
        <w:tab/>
      </w:r>
      <w:r w:rsidR="00B0321E">
        <w:rPr>
          <w:rFonts w:hint="eastAsia"/>
        </w:rPr>
        <w:t>特别多非裔乌拉圭妇女从事家政工作</w:t>
      </w:r>
      <w:r w:rsidR="00B0321E">
        <w:rPr>
          <w:rFonts w:hint="eastAsia"/>
        </w:rPr>
        <w:t>(</w:t>
      </w:r>
      <w:r w:rsidR="00B0321E">
        <w:rPr>
          <w:rFonts w:hint="eastAsia"/>
        </w:rPr>
        <w:t>占家政工人的四分之一</w:t>
      </w:r>
      <w:r w:rsidR="00B0321E">
        <w:rPr>
          <w:rFonts w:hint="eastAsia"/>
        </w:rPr>
        <w:t>)</w:t>
      </w:r>
      <w:r w:rsidR="00B0321E">
        <w:rPr>
          <w:rFonts w:hint="eastAsia"/>
        </w:rPr>
        <w:t>，而且移徙妇女家政工人缺乏有效保护；</w:t>
      </w:r>
    </w:p>
    <w:p w:rsidR="00B0321E" w:rsidRDefault="003D4AF2" w:rsidP="003D4AF2">
      <w:pPr>
        <w:pStyle w:val="SingleTxt"/>
        <w:spacing w:after="120"/>
      </w:pPr>
      <w:r>
        <w:rPr>
          <w:rFonts w:hint="eastAsia"/>
        </w:rPr>
        <w:tab/>
      </w:r>
      <w:r w:rsidR="00B0321E">
        <w:rPr>
          <w:rFonts w:hint="eastAsia"/>
        </w:rPr>
        <w:t>(d)</w:t>
      </w:r>
      <w:r w:rsidR="00B0321E">
        <w:rPr>
          <w:rFonts w:hint="eastAsia"/>
        </w:rPr>
        <w:tab/>
      </w:r>
      <w:r w:rsidR="00B0321E">
        <w:rPr>
          <w:rFonts w:hint="eastAsia"/>
        </w:rPr>
        <w:t>在家政和护理部门工作的妇女的社会保障积累缴款较少；</w:t>
      </w:r>
    </w:p>
    <w:p w:rsidR="00B0321E" w:rsidRDefault="003D4AF2" w:rsidP="00B0321E">
      <w:pPr>
        <w:pStyle w:val="SingleTxt"/>
      </w:pPr>
      <w:r>
        <w:rPr>
          <w:rFonts w:hint="eastAsia"/>
        </w:rPr>
        <w:tab/>
      </w:r>
      <w:r w:rsidR="00B0321E">
        <w:rPr>
          <w:rFonts w:hint="eastAsia"/>
        </w:rPr>
        <w:t>(e)</w:t>
      </w:r>
      <w:r w:rsidR="00B0321E">
        <w:rPr>
          <w:rFonts w:hint="eastAsia"/>
        </w:rPr>
        <w:tab/>
      </w:r>
      <w:r w:rsidR="00B0321E">
        <w:rPr>
          <w:rFonts w:hint="eastAsia"/>
        </w:rPr>
        <w:t>男子使用育儿假的比例偏低，尽管已立法规定所有就业部门的员工均应享有育儿假。</w:t>
      </w:r>
    </w:p>
    <w:p w:rsidR="00B0321E" w:rsidRDefault="00B0321E" w:rsidP="00B0321E">
      <w:pPr>
        <w:pStyle w:val="SingleTxt"/>
      </w:pPr>
      <w:r>
        <w:rPr>
          <w:rFonts w:hint="eastAsia"/>
        </w:rPr>
        <w:t>34.</w:t>
      </w:r>
      <w:r>
        <w:rPr>
          <w:rFonts w:hint="eastAsia"/>
        </w:rPr>
        <w:tab/>
      </w:r>
      <w:r w:rsidRPr="003D4AF2">
        <w:rPr>
          <w:rFonts w:ascii="黑体" w:eastAsia="黑体" w:hAnsi="黑体" w:hint="eastAsia"/>
        </w:rPr>
        <w:t>委员会建议缔约国</w:t>
      </w:r>
      <w:r>
        <w:rPr>
          <w:rFonts w:hint="eastAsia"/>
        </w:rPr>
        <w:t>：</w:t>
      </w:r>
    </w:p>
    <w:p w:rsidR="00B0321E" w:rsidRDefault="003D4AF2" w:rsidP="00B0321E">
      <w:pPr>
        <w:pStyle w:val="SingleTxt"/>
      </w:pPr>
      <w:r>
        <w:rPr>
          <w:rFonts w:hint="eastAsia"/>
        </w:rPr>
        <w:tab/>
      </w:r>
      <w:r w:rsidR="00B0321E">
        <w:rPr>
          <w:rFonts w:hint="eastAsia"/>
        </w:rPr>
        <w:t>(a)</w:t>
      </w:r>
      <w:r w:rsidR="00B0321E">
        <w:rPr>
          <w:rFonts w:hint="eastAsia"/>
        </w:rPr>
        <w:tab/>
      </w:r>
      <w:r w:rsidR="00B0321E" w:rsidRPr="003D4AF2">
        <w:rPr>
          <w:rFonts w:ascii="黑体" w:eastAsia="黑体" w:hAnsi="黑体" w:hint="eastAsia"/>
        </w:rPr>
        <w:t>拟订和有效执行战略和有时限的目标，促进妇女特别是非裔妇女获得各种正规就业的机会</w:t>
      </w:r>
      <w:r w:rsidR="00B0321E">
        <w:rPr>
          <w:rFonts w:hint="eastAsia"/>
        </w:rPr>
        <w:t>；</w:t>
      </w:r>
    </w:p>
    <w:p w:rsidR="00B0321E" w:rsidRDefault="003D4AF2" w:rsidP="00B0321E">
      <w:pPr>
        <w:pStyle w:val="SingleTxt"/>
      </w:pPr>
      <w:r>
        <w:rPr>
          <w:rFonts w:hint="eastAsia"/>
        </w:rPr>
        <w:tab/>
      </w:r>
      <w:r w:rsidR="00B0321E">
        <w:rPr>
          <w:rFonts w:hint="eastAsia"/>
        </w:rPr>
        <w:t>(b)</w:t>
      </w:r>
      <w:r w:rsidR="00B0321E">
        <w:rPr>
          <w:rFonts w:hint="eastAsia"/>
        </w:rPr>
        <w:tab/>
      </w:r>
      <w:r w:rsidR="00B0321E" w:rsidRPr="003D4AF2">
        <w:rPr>
          <w:rFonts w:ascii="黑体" w:eastAsia="黑体" w:hAnsi="黑体" w:hint="eastAsia"/>
        </w:rPr>
        <w:t>适用同值工作同等报酬原则，并建立一个报道良好做法的制度，目的是消除性别工资差异和提高妇女晋升决策职位的机会，包括在所有经济领域优先提升妇女和培训妇女领导技能</w:t>
      </w:r>
      <w:r w:rsidR="00B0321E">
        <w:rPr>
          <w:rFonts w:hint="eastAsia"/>
        </w:rPr>
        <w:t>；</w:t>
      </w:r>
    </w:p>
    <w:p w:rsidR="00B0321E" w:rsidRDefault="003D4AF2" w:rsidP="00B0321E">
      <w:pPr>
        <w:pStyle w:val="SingleTxt"/>
      </w:pPr>
      <w:r>
        <w:rPr>
          <w:rFonts w:hint="eastAsia"/>
        </w:rPr>
        <w:tab/>
      </w:r>
      <w:r w:rsidR="00B0321E">
        <w:rPr>
          <w:rFonts w:hint="eastAsia"/>
        </w:rPr>
        <w:t>(c)</w:t>
      </w:r>
      <w:r w:rsidR="00B0321E">
        <w:rPr>
          <w:rFonts w:hint="eastAsia"/>
        </w:rPr>
        <w:tab/>
      </w:r>
      <w:r w:rsidR="00B0321E" w:rsidRPr="003D4AF2">
        <w:rPr>
          <w:rFonts w:ascii="黑体" w:eastAsia="黑体" w:hAnsi="黑体" w:hint="eastAsia"/>
        </w:rPr>
        <w:t>加强公众对妇女家政工人权利的认识，确保在全国各地设立申诉机制并提供便于获取的信息</w:t>
      </w:r>
      <w:r w:rsidR="00B0321E">
        <w:rPr>
          <w:rFonts w:hint="eastAsia"/>
        </w:rPr>
        <w:t>；</w:t>
      </w:r>
    </w:p>
    <w:p w:rsidR="00B0321E" w:rsidRDefault="003D4AF2" w:rsidP="00B0321E">
      <w:pPr>
        <w:pStyle w:val="SingleTxt"/>
      </w:pPr>
      <w:r>
        <w:rPr>
          <w:rFonts w:hint="eastAsia"/>
        </w:rPr>
        <w:tab/>
      </w:r>
      <w:r w:rsidR="00B0321E">
        <w:rPr>
          <w:rFonts w:hint="eastAsia"/>
        </w:rPr>
        <w:t>(d)</w:t>
      </w:r>
      <w:r w:rsidR="00B0321E">
        <w:rPr>
          <w:rFonts w:hint="eastAsia"/>
        </w:rPr>
        <w:tab/>
      </w:r>
      <w:r w:rsidR="00B0321E" w:rsidRPr="003D4AF2">
        <w:rPr>
          <w:rFonts w:ascii="黑体" w:eastAsia="黑体" w:hAnsi="黑体" w:hint="eastAsia"/>
        </w:rPr>
        <w:t>开展一项全国宣传运动，推动家政工人和护理人员雇主为员工参加社会保障系统和定期缴款，并提高妇女对社会保障的认识</w:t>
      </w:r>
      <w:r w:rsidR="00B0321E">
        <w:rPr>
          <w:rFonts w:hint="eastAsia"/>
        </w:rPr>
        <w:t>；</w:t>
      </w:r>
    </w:p>
    <w:p w:rsidR="00B0321E" w:rsidRDefault="003D4AF2" w:rsidP="00B0321E">
      <w:pPr>
        <w:pStyle w:val="SingleTxt"/>
      </w:pPr>
      <w:r>
        <w:rPr>
          <w:rFonts w:hint="eastAsia"/>
        </w:rPr>
        <w:tab/>
      </w:r>
      <w:r w:rsidR="00B0321E">
        <w:rPr>
          <w:rFonts w:hint="eastAsia"/>
        </w:rPr>
        <w:t>(e)</w:t>
      </w:r>
      <w:r w:rsidR="00B0321E">
        <w:rPr>
          <w:rFonts w:hint="eastAsia"/>
        </w:rPr>
        <w:tab/>
      </w:r>
      <w:r w:rsidR="00B0321E" w:rsidRPr="003D4AF2">
        <w:rPr>
          <w:rFonts w:ascii="黑体" w:eastAsia="黑体" w:hAnsi="黑体" w:hint="eastAsia"/>
        </w:rPr>
        <w:t>在公共和私营部门雇主中开展宣传运动，让男子了解休育儿假和分担照顾责任的重要性</w:t>
      </w:r>
      <w:r w:rsidR="00B0321E">
        <w:rPr>
          <w:rFonts w:hint="eastAsia"/>
        </w:rPr>
        <w:t>。</w:t>
      </w:r>
    </w:p>
    <w:p w:rsidR="00B0321E" w:rsidRPr="003D4AF2" w:rsidRDefault="00B0321E" w:rsidP="00B0321E">
      <w:pPr>
        <w:pStyle w:val="SingleTxt"/>
        <w:rPr>
          <w:rFonts w:ascii="黑体" w:eastAsia="黑体" w:hAnsi="黑体"/>
        </w:rPr>
      </w:pPr>
      <w:r w:rsidRPr="003D4AF2">
        <w:rPr>
          <w:rFonts w:ascii="黑体" w:eastAsia="黑体" w:hAnsi="黑体" w:hint="eastAsia"/>
        </w:rPr>
        <w:t>卫生</w:t>
      </w:r>
    </w:p>
    <w:p w:rsidR="00B0321E" w:rsidRDefault="00B0321E" w:rsidP="00B0321E">
      <w:pPr>
        <w:pStyle w:val="SingleTxt"/>
      </w:pPr>
      <w:r>
        <w:rPr>
          <w:rFonts w:hint="eastAsia"/>
        </w:rPr>
        <w:t>35.</w:t>
      </w:r>
      <w:r>
        <w:rPr>
          <w:rFonts w:hint="eastAsia"/>
        </w:rPr>
        <w:tab/>
      </w:r>
      <w:r>
        <w:rPr>
          <w:rFonts w:hint="eastAsia"/>
        </w:rPr>
        <w:t>委员会赞扬缔约国大幅降低孕产妇死亡率和扩大妇女获得性与生殖健康服务的机会，但委员会关切的是，农村地区妇女获得这些服务的机会仍然有限。委员会还关切地注意到，医务人员广泛使用良心反对原则，从而限制了获得法律保障的安全堕胎服务的机会。委员会还对高早孕率的问题表示关切，这个问题在非裔乌拉圭人及生活在农村地区和城市贫民区的人中尤为严重。</w:t>
      </w:r>
    </w:p>
    <w:p w:rsidR="00B0321E" w:rsidRDefault="00B0321E" w:rsidP="00B0321E">
      <w:pPr>
        <w:pStyle w:val="SingleTxt"/>
      </w:pPr>
      <w:r>
        <w:rPr>
          <w:rFonts w:hint="eastAsia"/>
        </w:rPr>
        <w:t>36.</w:t>
      </w:r>
      <w:r>
        <w:rPr>
          <w:rFonts w:hint="eastAsia"/>
        </w:rPr>
        <w:tab/>
      </w:r>
      <w:r w:rsidRPr="00080BF8">
        <w:rPr>
          <w:rFonts w:ascii="黑体" w:eastAsia="黑体" w:hAnsi="黑体" w:hint="eastAsia"/>
        </w:rPr>
        <w:t>委员会建议缔约国</w:t>
      </w:r>
      <w:r>
        <w:rPr>
          <w:rFonts w:hint="eastAsia"/>
        </w:rPr>
        <w:t>：</w:t>
      </w:r>
    </w:p>
    <w:p w:rsidR="00B0321E" w:rsidRDefault="003D4AF2" w:rsidP="00B0321E">
      <w:pPr>
        <w:pStyle w:val="SingleTxt"/>
      </w:pPr>
      <w:r>
        <w:rPr>
          <w:rFonts w:hint="eastAsia"/>
        </w:rPr>
        <w:tab/>
      </w:r>
      <w:r w:rsidR="00B0321E">
        <w:rPr>
          <w:rFonts w:hint="eastAsia"/>
        </w:rPr>
        <w:t>(a)</w:t>
      </w:r>
      <w:r w:rsidR="00B0321E">
        <w:rPr>
          <w:rFonts w:hint="eastAsia"/>
        </w:rPr>
        <w:tab/>
      </w:r>
      <w:r w:rsidR="00B0321E" w:rsidRPr="00080BF8">
        <w:rPr>
          <w:rFonts w:ascii="黑体" w:eastAsia="黑体" w:hAnsi="黑体" w:hint="eastAsia"/>
        </w:rPr>
        <w:t>评估全国范围内可以获得性与生殖健康服务的情况，以确定服务不足的省市并确保提供适足资金</w:t>
      </w:r>
      <w:r w:rsidR="00B0321E">
        <w:rPr>
          <w:rFonts w:hint="eastAsia"/>
        </w:rPr>
        <w:t>；</w:t>
      </w:r>
    </w:p>
    <w:p w:rsidR="00B0321E" w:rsidRDefault="003D4AF2" w:rsidP="00B0321E">
      <w:pPr>
        <w:pStyle w:val="SingleTxt"/>
      </w:pPr>
      <w:r>
        <w:rPr>
          <w:rFonts w:hint="eastAsia"/>
        </w:rPr>
        <w:tab/>
      </w:r>
      <w:r w:rsidR="00B0321E">
        <w:rPr>
          <w:rFonts w:hint="eastAsia"/>
        </w:rPr>
        <w:t>(b)</w:t>
      </w:r>
      <w:r w:rsidR="00B0321E">
        <w:rPr>
          <w:rFonts w:hint="eastAsia"/>
        </w:rPr>
        <w:tab/>
      </w:r>
      <w:r w:rsidR="00B0321E" w:rsidRPr="00080BF8">
        <w:rPr>
          <w:rFonts w:ascii="黑体" w:eastAsia="黑体" w:hAnsi="黑体" w:hint="eastAsia"/>
        </w:rPr>
        <w:t>采取措施确保妇女能够获得合法堕胎和堕胎后服务，并作出更严格的证明要求，以防止医务人员任意以良心反对权利为由，拒绝进行堕胎</w:t>
      </w:r>
      <w:r w:rsidR="00B0321E">
        <w:rPr>
          <w:rFonts w:hint="eastAsia"/>
        </w:rPr>
        <w:t>；</w:t>
      </w:r>
    </w:p>
    <w:p w:rsidR="00B0321E" w:rsidRDefault="003D4AF2" w:rsidP="00B0321E">
      <w:pPr>
        <w:pStyle w:val="SingleTxt"/>
      </w:pPr>
      <w:r>
        <w:rPr>
          <w:rFonts w:hint="eastAsia"/>
        </w:rPr>
        <w:tab/>
      </w:r>
      <w:r w:rsidR="00B0321E">
        <w:rPr>
          <w:rFonts w:hint="eastAsia"/>
        </w:rPr>
        <w:t>(c)</w:t>
      </w:r>
      <w:r w:rsidR="00B0321E">
        <w:rPr>
          <w:rFonts w:hint="eastAsia"/>
        </w:rPr>
        <w:tab/>
      </w:r>
      <w:r w:rsidR="00B0321E" w:rsidRPr="00080BF8">
        <w:rPr>
          <w:rFonts w:ascii="黑体" w:eastAsia="黑体" w:hAnsi="黑体" w:hint="eastAsia"/>
        </w:rPr>
        <w:t>推行适龄的性与生殖健康教育，并确保向少男少女提供负担得起的性权利和生殖权利咨询和信息，开展宣传运动提高对现代避孕法的认识并增加获得安全和负担得起的避孕药具的机会</w:t>
      </w:r>
      <w:r w:rsidR="00B0321E">
        <w:rPr>
          <w:rFonts w:hint="eastAsia"/>
        </w:rPr>
        <w:t>。</w:t>
      </w:r>
    </w:p>
    <w:p w:rsidR="00B0321E" w:rsidRPr="00080BF8" w:rsidRDefault="00B0321E" w:rsidP="00B0321E">
      <w:pPr>
        <w:pStyle w:val="SingleTxt"/>
        <w:rPr>
          <w:rFonts w:ascii="黑体" w:eastAsia="黑体" w:hAnsi="黑体"/>
        </w:rPr>
      </w:pPr>
      <w:r w:rsidRPr="00080BF8">
        <w:rPr>
          <w:rFonts w:ascii="黑体" w:eastAsia="黑体" w:hAnsi="黑体" w:hint="eastAsia"/>
        </w:rPr>
        <w:t>农村妇女</w:t>
      </w:r>
    </w:p>
    <w:p w:rsidR="00B0321E" w:rsidRDefault="00B0321E" w:rsidP="00B0321E">
      <w:pPr>
        <w:pStyle w:val="SingleTxt"/>
      </w:pPr>
      <w:r>
        <w:rPr>
          <w:rFonts w:hint="eastAsia"/>
        </w:rPr>
        <w:t>37.</w:t>
      </w:r>
      <w:r>
        <w:rPr>
          <w:rFonts w:hint="eastAsia"/>
        </w:rPr>
        <w:tab/>
      </w:r>
      <w:r>
        <w:rPr>
          <w:rFonts w:hint="eastAsia"/>
        </w:rPr>
        <w:t>委员会赞扬缔约国</w:t>
      </w:r>
      <w:r>
        <w:rPr>
          <w:rFonts w:hint="eastAsia"/>
        </w:rPr>
        <w:t>2011</w:t>
      </w:r>
      <w:r>
        <w:rPr>
          <w:rFonts w:hint="eastAsia"/>
        </w:rPr>
        <w:t>年首次以性别视觉进行农业普查。委员会欣见缔约国建设农村妇女经商能力的方案、确保可以获得优质能源服务的方案和培训农村妇女建造简单技术工具的方案。但委员会关切地注意到：</w:t>
      </w:r>
    </w:p>
    <w:p w:rsidR="00B0321E" w:rsidRDefault="00080BF8" w:rsidP="00B0321E">
      <w:pPr>
        <w:pStyle w:val="SingleTxt"/>
      </w:pPr>
      <w:r>
        <w:rPr>
          <w:rFonts w:hint="eastAsia"/>
        </w:rPr>
        <w:tab/>
      </w:r>
      <w:r w:rsidR="00B0321E">
        <w:rPr>
          <w:rFonts w:hint="eastAsia"/>
        </w:rPr>
        <w:t>(a)</w:t>
      </w:r>
      <w:r w:rsidR="00B0321E">
        <w:rPr>
          <w:rFonts w:hint="eastAsia"/>
        </w:rPr>
        <w:tab/>
      </w:r>
      <w:r w:rsidR="00B0321E">
        <w:rPr>
          <w:rFonts w:hint="eastAsia"/>
        </w:rPr>
        <w:t>农村妇女就业率低</w:t>
      </w:r>
      <w:r w:rsidR="00B0321E">
        <w:rPr>
          <w:rFonts w:hint="eastAsia"/>
        </w:rPr>
        <w:t>(</w:t>
      </w:r>
      <w:r w:rsidR="00B0321E">
        <w:rPr>
          <w:rFonts w:hint="eastAsia"/>
        </w:rPr>
        <w:t>只占农村劳动力的</w:t>
      </w:r>
      <w:r w:rsidR="00B0321E">
        <w:rPr>
          <w:rFonts w:hint="eastAsia"/>
        </w:rPr>
        <w:t>37%)</w:t>
      </w:r>
      <w:r w:rsidR="00B0321E">
        <w:rPr>
          <w:rFonts w:hint="eastAsia"/>
        </w:rPr>
        <w:t>；</w:t>
      </w:r>
    </w:p>
    <w:p w:rsidR="00B0321E" w:rsidRDefault="00080BF8" w:rsidP="00B0321E">
      <w:pPr>
        <w:pStyle w:val="SingleTxt"/>
      </w:pPr>
      <w:r>
        <w:rPr>
          <w:rFonts w:hint="eastAsia"/>
        </w:rPr>
        <w:tab/>
      </w:r>
      <w:r w:rsidR="00B0321E">
        <w:rPr>
          <w:rFonts w:hint="eastAsia"/>
        </w:rPr>
        <w:t>(b)</w:t>
      </w:r>
      <w:r w:rsidR="00B0321E">
        <w:rPr>
          <w:rFonts w:hint="eastAsia"/>
        </w:rPr>
        <w:tab/>
      </w:r>
      <w:r w:rsidR="00B0321E">
        <w:rPr>
          <w:rFonts w:hint="eastAsia"/>
        </w:rPr>
        <w:t>农村妇女获得土地所有权和拥有土地的机会有限</w:t>
      </w:r>
      <w:r w:rsidR="00B0321E">
        <w:rPr>
          <w:rFonts w:hint="eastAsia"/>
        </w:rPr>
        <w:t>(</w:t>
      </w:r>
      <w:r w:rsidR="00B0321E">
        <w:rPr>
          <w:rFonts w:hint="eastAsia"/>
        </w:rPr>
        <w:t>仅有</w:t>
      </w:r>
      <w:r w:rsidR="00B0321E">
        <w:rPr>
          <w:rFonts w:hint="eastAsia"/>
        </w:rPr>
        <w:t>11.6%</w:t>
      </w:r>
      <w:r w:rsidR="00B0321E">
        <w:rPr>
          <w:rFonts w:hint="eastAsia"/>
        </w:rPr>
        <w:t>的妇女为土地所有人</w:t>
      </w:r>
      <w:r w:rsidR="00B0321E">
        <w:rPr>
          <w:rFonts w:hint="eastAsia"/>
        </w:rPr>
        <w:t>)</w:t>
      </w:r>
      <w:r w:rsidR="00B0321E">
        <w:rPr>
          <w:rFonts w:hint="eastAsia"/>
        </w:rPr>
        <w:t>，而且农村妇女很少参与有关土地和生产资料使用问题的决策进程；</w:t>
      </w:r>
    </w:p>
    <w:p w:rsidR="00B0321E" w:rsidRDefault="00080BF8" w:rsidP="00B0321E">
      <w:pPr>
        <w:pStyle w:val="SingleTxt"/>
      </w:pPr>
      <w:r>
        <w:rPr>
          <w:rFonts w:hint="eastAsia"/>
        </w:rPr>
        <w:tab/>
      </w:r>
      <w:r w:rsidR="00B0321E">
        <w:rPr>
          <w:rFonts w:hint="eastAsia"/>
        </w:rPr>
        <w:t>(c)</w:t>
      </w:r>
      <w:r w:rsidR="00B0321E">
        <w:rPr>
          <w:rFonts w:hint="eastAsia"/>
        </w:rPr>
        <w:tab/>
      </w:r>
      <w:r w:rsidR="00B0321E">
        <w:rPr>
          <w:rFonts w:hint="eastAsia"/>
        </w:rPr>
        <w:t>影响农村妇女的社会保护不足，特别是在教育、保健、生活条件和社会保障方面。</w:t>
      </w:r>
    </w:p>
    <w:p w:rsidR="00B0321E" w:rsidRDefault="00B0321E" w:rsidP="00B0321E">
      <w:pPr>
        <w:pStyle w:val="SingleTxt"/>
      </w:pPr>
      <w:r>
        <w:rPr>
          <w:rFonts w:hint="eastAsia"/>
        </w:rPr>
        <w:t>38.</w:t>
      </w:r>
      <w:r>
        <w:rPr>
          <w:rFonts w:hint="eastAsia"/>
        </w:rPr>
        <w:tab/>
      </w:r>
      <w:r w:rsidRPr="00080BF8">
        <w:rPr>
          <w:rFonts w:ascii="黑体" w:eastAsia="黑体" w:hAnsi="黑体" w:hint="eastAsia"/>
        </w:rPr>
        <w:t>委员会建议缔约国</w:t>
      </w:r>
      <w:r>
        <w:rPr>
          <w:rFonts w:hint="eastAsia"/>
        </w:rPr>
        <w:t>：</w:t>
      </w:r>
    </w:p>
    <w:p w:rsidR="00B0321E" w:rsidRDefault="00080BF8" w:rsidP="00B0321E">
      <w:pPr>
        <w:pStyle w:val="SingleTxt"/>
      </w:pPr>
      <w:r>
        <w:rPr>
          <w:rFonts w:hint="eastAsia"/>
        </w:rPr>
        <w:tab/>
      </w:r>
      <w:r w:rsidR="00B0321E">
        <w:rPr>
          <w:rFonts w:hint="eastAsia"/>
        </w:rPr>
        <w:t>(a)</w:t>
      </w:r>
      <w:r w:rsidR="00B0321E">
        <w:rPr>
          <w:rFonts w:hint="eastAsia"/>
        </w:rPr>
        <w:tab/>
      </w:r>
      <w:r w:rsidR="00B0321E" w:rsidRPr="00080BF8">
        <w:rPr>
          <w:rFonts w:ascii="黑体" w:eastAsia="黑体" w:hAnsi="黑体" w:hint="eastAsia"/>
        </w:rPr>
        <w:t>继续努力促进农村妇女创收机会和鼓励农村妇女创业</w:t>
      </w:r>
      <w:r w:rsidR="00B0321E">
        <w:rPr>
          <w:rFonts w:hint="eastAsia"/>
        </w:rPr>
        <w:t>；</w:t>
      </w:r>
    </w:p>
    <w:p w:rsidR="00B0321E" w:rsidRDefault="00080BF8" w:rsidP="00B0321E">
      <w:pPr>
        <w:pStyle w:val="SingleTxt"/>
      </w:pPr>
      <w:r>
        <w:rPr>
          <w:rFonts w:hint="eastAsia"/>
        </w:rPr>
        <w:tab/>
      </w:r>
      <w:r w:rsidR="00B0321E">
        <w:rPr>
          <w:rFonts w:hint="eastAsia"/>
        </w:rPr>
        <w:t>(b)</w:t>
      </w:r>
      <w:r w:rsidR="00B0321E">
        <w:rPr>
          <w:rFonts w:hint="eastAsia"/>
        </w:rPr>
        <w:tab/>
      </w:r>
      <w:r w:rsidR="00B0321E" w:rsidRPr="00080BF8">
        <w:rPr>
          <w:rFonts w:ascii="黑体" w:eastAsia="黑体" w:hAnsi="黑体" w:hint="eastAsia"/>
        </w:rPr>
        <w:t>使人们认识到获得土地是促进发展的一个重要因素，以确保农村妇女有机会在与男子平等的基础上获得土地</w:t>
      </w:r>
      <w:r w:rsidR="00B0321E">
        <w:rPr>
          <w:rFonts w:hint="eastAsia"/>
        </w:rPr>
        <w:t>；</w:t>
      </w:r>
    </w:p>
    <w:p w:rsidR="00B0321E" w:rsidRDefault="00080BF8" w:rsidP="00B0321E">
      <w:pPr>
        <w:pStyle w:val="SingleTxt"/>
      </w:pPr>
      <w:r>
        <w:rPr>
          <w:rFonts w:hint="eastAsia"/>
        </w:rPr>
        <w:tab/>
      </w:r>
      <w:r w:rsidR="00B0321E">
        <w:rPr>
          <w:rFonts w:hint="eastAsia"/>
        </w:rPr>
        <w:t>(c)</w:t>
      </w:r>
      <w:r w:rsidR="00B0321E">
        <w:rPr>
          <w:rFonts w:hint="eastAsia"/>
        </w:rPr>
        <w:tab/>
      </w:r>
      <w:r w:rsidR="00B0321E" w:rsidRPr="00080BF8">
        <w:rPr>
          <w:rFonts w:ascii="黑体" w:eastAsia="黑体" w:hAnsi="黑体" w:hint="eastAsia"/>
        </w:rPr>
        <w:t>确保农村妇女享有获得基本服务和社会保护的平等机会</w:t>
      </w:r>
      <w:r w:rsidR="00B0321E">
        <w:rPr>
          <w:rFonts w:hint="eastAsia"/>
        </w:rPr>
        <w:t>。</w:t>
      </w:r>
    </w:p>
    <w:p w:rsidR="00B0321E" w:rsidRPr="00080BF8" w:rsidRDefault="00B0321E" w:rsidP="00B0321E">
      <w:pPr>
        <w:pStyle w:val="SingleTxt"/>
        <w:rPr>
          <w:rFonts w:ascii="黑体" w:eastAsia="黑体" w:hAnsi="黑体"/>
        </w:rPr>
      </w:pPr>
      <w:r w:rsidRPr="00080BF8">
        <w:rPr>
          <w:rFonts w:ascii="黑体" w:eastAsia="黑体" w:hAnsi="黑体" w:hint="eastAsia"/>
        </w:rPr>
        <w:t>弱势妇女群体</w:t>
      </w:r>
    </w:p>
    <w:p w:rsidR="00B0321E" w:rsidRPr="00080BF8" w:rsidRDefault="00B0321E" w:rsidP="00B0321E">
      <w:pPr>
        <w:pStyle w:val="SingleTxt"/>
        <w:rPr>
          <w:rFonts w:ascii="楷体_GB2312" w:eastAsia="楷体_GB2312" w:hAnsi="楷体_GB2312"/>
        </w:rPr>
      </w:pPr>
      <w:r w:rsidRPr="00080BF8">
        <w:rPr>
          <w:rFonts w:ascii="楷体_GB2312" w:eastAsia="楷体_GB2312" w:hAnsi="楷体_GB2312" w:hint="eastAsia"/>
        </w:rPr>
        <w:t>难民与无国籍妇女</w:t>
      </w:r>
    </w:p>
    <w:p w:rsidR="00B0321E" w:rsidRDefault="00B0321E" w:rsidP="00B0321E">
      <w:pPr>
        <w:pStyle w:val="SingleTxt"/>
      </w:pPr>
      <w:r>
        <w:rPr>
          <w:rFonts w:hint="eastAsia"/>
        </w:rPr>
        <w:t>39.</w:t>
      </w:r>
      <w:r>
        <w:rPr>
          <w:rFonts w:hint="eastAsia"/>
        </w:rPr>
        <w:tab/>
      </w:r>
      <w:r>
        <w:rPr>
          <w:rFonts w:hint="eastAsia"/>
        </w:rPr>
        <w:t>委员会注意到，缔约国为哥伦比亚和叙利亚籍难民和无国籍人制定了社会包容和</w:t>
      </w:r>
      <w:r>
        <w:rPr>
          <w:rFonts w:hint="eastAsia"/>
        </w:rPr>
        <w:t>/</w:t>
      </w:r>
      <w:r>
        <w:rPr>
          <w:rFonts w:hint="eastAsia"/>
        </w:rPr>
        <w:t>或安置方案，但委员会关切可能会遭受暴力和可能被贩运的移民和难民妇女的处境。</w:t>
      </w:r>
    </w:p>
    <w:p w:rsidR="00B0321E" w:rsidRDefault="00B0321E" w:rsidP="00B0321E">
      <w:pPr>
        <w:pStyle w:val="SingleTxt"/>
      </w:pPr>
      <w:r>
        <w:rPr>
          <w:rFonts w:hint="eastAsia"/>
        </w:rPr>
        <w:t>40.</w:t>
      </w:r>
      <w:r>
        <w:rPr>
          <w:rFonts w:hint="eastAsia"/>
        </w:rPr>
        <w:tab/>
      </w:r>
      <w:r w:rsidRPr="00080BF8">
        <w:rPr>
          <w:rFonts w:ascii="黑体" w:eastAsia="黑体" w:hAnsi="黑体" w:hint="eastAsia"/>
        </w:rPr>
        <w:t>根据其关于妇女的难民地位、庇护、国籍和无国籍状态与性别相关方面的第32(2014)号一般性建议，委员会建议缔约国保护难民和无国籍妇女使其免受性暴力和人贩活动之害，并适当惩罚行为人。委员会还建议缔约国采用联合国难民事务高级专员办事处制定的规程，以对性别敏感的方式进行确定难民地位的程序，充分尊重需要国际保护的妇女的程序性权利，包括确保由受过训练的女面谈人员和女译员进行面谈</w:t>
      </w:r>
      <w:r>
        <w:rPr>
          <w:rFonts w:hint="eastAsia"/>
        </w:rPr>
        <w:t>。</w:t>
      </w:r>
    </w:p>
    <w:p w:rsidR="00B0321E" w:rsidRPr="00080BF8" w:rsidRDefault="00B0321E" w:rsidP="00B0321E">
      <w:pPr>
        <w:pStyle w:val="SingleTxt"/>
        <w:rPr>
          <w:rFonts w:ascii="楷体_GB2312" w:eastAsia="楷体_GB2312" w:hAnsi="楷体_GB2312"/>
        </w:rPr>
      </w:pPr>
      <w:r w:rsidRPr="00080BF8">
        <w:rPr>
          <w:rFonts w:ascii="楷体_GB2312" w:eastAsia="楷体_GB2312" w:hAnsi="楷体_GB2312" w:hint="eastAsia"/>
        </w:rPr>
        <w:t>残疾妇女</w:t>
      </w:r>
    </w:p>
    <w:p w:rsidR="00B0321E" w:rsidRDefault="00B0321E" w:rsidP="00B0321E">
      <w:pPr>
        <w:pStyle w:val="SingleTxt"/>
      </w:pPr>
      <w:r>
        <w:rPr>
          <w:rFonts w:hint="eastAsia"/>
        </w:rPr>
        <w:t>41.</w:t>
      </w:r>
      <w:r>
        <w:rPr>
          <w:rFonts w:hint="eastAsia"/>
        </w:rPr>
        <w:tab/>
      </w:r>
      <w:r>
        <w:rPr>
          <w:rFonts w:hint="eastAsia"/>
        </w:rPr>
        <w:t>委员会关切的是，《公约》所涉各领域，特别是司法救助、暴力侵害妇女行为、政治和公共生活、教育、就业、保健和经济赋权等领域，缺乏反映残疾妇女与女童状况的分列资料。</w:t>
      </w:r>
    </w:p>
    <w:p w:rsidR="00B0321E" w:rsidRDefault="00B0321E" w:rsidP="00B0321E">
      <w:pPr>
        <w:pStyle w:val="SingleTxt"/>
      </w:pPr>
      <w:r>
        <w:rPr>
          <w:rFonts w:hint="eastAsia"/>
        </w:rPr>
        <w:t>42.</w:t>
      </w:r>
      <w:r>
        <w:rPr>
          <w:rFonts w:hint="eastAsia"/>
        </w:rPr>
        <w:tab/>
      </w:r>
      <w:r w:rsidRPr="00080BF8">
        <w:rPr>
          <w:rFonts w:ascii="黑体" w:eastAsia="黑体" w:hAnsi="黑体" w:hint="eastAsia"/>
        </w:rPr>
        <w:t>委员会建议缔约国建立一个相关数据收集系统并评估残疾妇女在《公约》所涉各领域的情况，特别是在暴力侵害妇女行为、教育、就业和保健领域的情况。委员会还建议缔约国促使残疾妇女组织参加全国妇女事务局的工作</w:t>
      </w:r>
      <w:r>
        <w:rPr>
          <w:rFonts w:hint="eastAsia"/>
        </w:rPr>
        <w:t>。</w:t>
      </w:r>
    </w:p>
    <w:p w:rsidR="00B0321E" w:rsidRPr="00080BF8" w:rsidRDefault="00B0321E" w:rsidP="00B0321E">
      <w:pPr>
        <w:pStyle w:val="SingleTxt"/>
        <w:rPr>
          <w:rFonts w:ascii="楷体_GB2312" w:eastAsia="楷体_GB2312" w:hAnsi="楷体_GB2312"/>
        </w:rPr>
      </w:pPr>
      <w:r w:rsidRPr="00080BF8">
        <w:rPr>
          <w:rFonts w:ascii="楷体_GB2312" w:eastAsia="楷体_GB2312" w:hAnsi="楷体_GB2312" w:hint="eastAsia"/>
        </w:rPr>
        <w:t>被拘留妇女</w:t>
      </w:r>
    </w:p>
    <w:p w:rsidR="00B0321E" w:rsidRDefault="00B0321E" w:rsidP="00B0321E">
      <w:pPr>
        <w:pStyle w:val="SingleTxt"/>
      </w:pPr>
      <w:r>
        <w:rPr>
          <w:rFonts w:hint="eastAsia"/>
        </w:rPr>
        <w:t>43.</w:t>
      </w:r>
      <w:r>
        <w:rPr>
          <w:rFonts w:hint="eastAsia"/>
        </w:rPr>
        <w:tab/>
      </w:r>
      <w:r>
        <w:rPr>
          <w:rFonts w:hint="eastAsia"/>
        </w:rPr>
        <w:t>委员会关切的是，携带子女入所的被拘留妇女在押条件差劣，加上将被拘留母亲移往蒙得维的亚市国家康复所“第</w:t>
      </w:r>
      <w:r>
        <w:rPr>
          <w:rFonts w:hint="eastAsia"/>
        </w:rPr>
        <w:t>5</w:t>
      </w:r>
      <w:r>
        <w:rPr>
          <w:rFonts w:hint="eastAsia"/>
        </w:rPr>
        <w:t>所”的做法，致使这些妇女面临脆弱处境。委员会还感到关切的是，据报有妇女被羁押在专为囚禁男子而设计的设施，而且其中大多数监狱员警也是男子。</w:t>
      </w:r>
    </w:p>
    <w:p w:rsidR="00B0321E" w:rsidRDefault="00B0321E" w:rsidP="00B0321E">
      <w:pPr>
        <w:pStyle w:val="SingleTxt"/>
      </w:pPr>
      <w:r>
        <w:rPr>
          <w:rFonts w:hint="eastAsia"/>
        </w:rPr>
        <w:t>44.</w:t>
      </w:r>
      <w:r>
        <w:rPr>
          <w:rFonts w:hint="eastAsia"/>
        </w:rPr>
        <w:tab/>
      </w:r>
      <w:r w:rsidRPr="00080BF8">
        <w:rPr>
          <w:rFonts w:ascii="黑体" w:eastAsia="黑体" w:hAnsi="黑体" w:hint="eastAsia"/>
        </w:rPr>
        <w:t>委员会回顾《联合国女性囚犯待遇和女性罪犯非拘禁措施规则》(《曼谷规则》)，建议缔约国考虑到儿童的最高利益，为被拘留妇女的子女作出适当安排，包括适用替代拘留的办法。委员会还建议缔约国加强监测被拘留妇女的情况，以防止侵犯人权，并确保有关妇女可以获得法律咨询和有效的补救途径</w:t>
      </w:r>
      <w:r>
        <w:rPr>
          <w:rFonts w:hint="eastAsia"/>
        </w:rPr>
        <w:t>。</w:t>
      </w:r>
    </w:p>
    <w:p w:rsidR="00B0321E" w:rsidRPr="00080BF8" w:rsidRDefault="00B0321E" w:rsidP="00D50FBE">
      <w:pPr>
        <w:pStyle w:val="SingleTxt"/>
        <w:spacing w:after="120"/>
        <w:rPr>
          <w:rFonts w:ascii="黑体" w:eastAsia="黑体" w:hAnsi="黑体"/>
        </w:rPr>
      </w:pPr>
      <w:r w:rsidRPr="00080BF8">
        <w:rPr>
          <w:rFonts w:ascii="黑体" w:eastAsia="黑体" w:hAnsi="黑体" w:hint="eastAsia"/>
        </w:rPr>
        <w:t>婚姻和家庭关系</w:t>
      </w:r>
    </w:p>
    <w:p w:rsidR="00B0321E" w:rsidRDefault="00B0321E" w:rsidP="00D50FBE">
      <w:pPr>
        <w:pStyle w:val="SingleTxt"/>
        <w:spacing w:after="120"/>
      </w:pPr>
      <w:r>
        <w:rPr>
          <w:rFonts w:hint="eastAsia"/>
        </w:rPr>
        <w:t>45.</w:t>
      </w:r>
      <w:r>
        <w:rPr>
          <w:rFonts w:hint="eastAsia"/>
        </w:rPr>
        <w:tab/>
      </w:r>
      <w:r>
        <w:rPr>
          <w:rFonts w:hint="eastAsia"/>
        </w:rPr>
        <w:t>委员会对缔约国的法定婚龄为</w:t>
      </w:r>
      <w:r>
        <w:rPr>
          <w:rFonts w:hint="eastAsia"/>
        </w:rPr>
        <w:t>16</w:t>
      </w:r>
      <w:r>
        <w:rPr>
          <w:rFonts w:hint="eastAsia"/>
        </w:rPr>
        <w:t>周岁表示关切。委员会还注意到，人们对解除婚姻所涉权利不甚了解，特别是在分配婚姻财产时承认无偿家务工作的规定，及婚姻与事实结合</w:t>
      </w:r>
      <w:r>
        <w:rPr>
          <w:rFonts w:hint="eastAsia"/>
        </w:rPr>
        <w:t>(</w:t>
      </w:r>
      <w:r>
        <w:rPr>
          <w:rFonts w:hint="eastAsia"/>
        </w:rPr>
        <w:t>同居</w:t>
      </w:r>
      <w:r>
        <w:rPr>
          <w:rFonts w:hint="eastAsia"/>
        </w:rPr>
        <w:t>)</w:t>
      </w:r>
      <w:r>
        <w:rPr>
          <w:rFonts w:hint="eastAsia"/>
        </w:rPr>
        <w:t>的不同经济后果。</w:t>
      </w:r>
    </w:p>
    <w:p w:rsidR="00B0321E" w:rsidRDefault="00B0321E" w:rsidP="00D50FBE">
      <w:pPr>
        <w:pStyle w:val="SingleTxt"/>
        <w:spacing w:after="120"/>
      </w:pPr>
      <w:r>
        <w:rPr>
          <w:rFonts w:hint="eastAsia"/>
        </w:rPr>
        <w:t>46.</w:t>
      </w:r>
      <w:r>
        <w:rPr>
          <w:rFonts w:hint="eastAsia"/>
        </w:rPr>
        <w:tab/>
      </w:r>
      <w:r w:rsidRPr="00080BF8">
        <w:rPr>
          <w:rFonts w:ascii="黑体" w:eastAsia="黑体" w:hAnsi="黑体" w:hint="eastAsia"/>
        </w:rPr>
        <w:t>委员会建议缔约国</w:t>
      </w:r>
      <w:r>
        <w:rPr>
          <w:rFonts w:hint="eastAsia"/>
        </w:rPr>
        <w:t>：</w:t>
      </w:r>
    </w:p>
    <w:p w:rsidR="00B0321E" w:rsidRDefault="00B0321E" w:rsidP="00D50FBE">
      <w:pPr>
        <w:pStyle w:val="SingleTxt"/>
        <w:spacing w:after="120"/>
      </w:pPr>
      <w:r>
        <w:rPr>
          <w:rFonts w:hint="eastAsia"/>
        </w:rPr>
        <w:tab/>
        <w:t>(a)</w:t>
      </w:r>
      <w:r>
        <w:rPr>
          <w:rFonts w:hint="eastAsia"/>
        </w:rPr>
        <w:tab/>
      </w:r>
      <w:r w:rsidRPr="00080BF8">
        <w:rPr>
          <w:rFonts w:ascii="黑体" w:eastAsia="黑体" w:hAnsi="黑体" w:hint="eastAsia"/>
        </w:rPr>
        <w:t>修正立法，严格禁止早婚，确保除非在严格规定的情况下并经法院许可及配偶双方同意，未满18周岁的男女童不得结婚</w:t>
      </w:r>
      <w:r>
        <w:rPr>
          <w:rFonts w:hint="eastAsia"/>
        </w:rPr>
        <w:t>；</w:t>
      </w:r>
    </w:p>
    <w:p w:rsidR="00B0321E" w:rsidRDefault="00080BF8" w:rsidP="00D50FBE">
      <w:pPr>
        <w:pStyle w:val="SingleTxt"/>
        <w:spacing w:after="120"/>
      </w:pPr>
      <w:r>
        <w:rPr>
          <w:rFonts w:hint="eastAsia"/>
        </w:rPr>
        <w:tab/>
      </w:r>
      <w:r w:rsidR="00B0321E">
        <w:rPr>
          <w:rFonts w:hint="eastAsia"/>
        </w:rPr>
        <w:t>(b)</w:t>
      </w:r>
      <w:r w:rsidR="00B0321E">
        <w:rPr>
          <w:rFonts w:hint="eastAsia"/>
        </w:rPr>
        <w:tab/>
      </w:r>
      <w:r w:rsidR="00B0321E" w:rsidRPr="00080BF8">
        <w:rPr>
          <w:rFonts w:ascii="黑体" w:eastAsia="黑体" w:hAnsi="黑体" w:hint="eastAsia"/>
        </w:rPr>
        <w:t>确保任何关于子女父母责任的评估，以有关儿童最高利益为指导原则并尊重其意见获得充分考虑的权利</w:t>
      </w:r>
      <w:r w:rsidR="00B0321E">
        <w:rPr>
          <w:rFonts w:hint="eastAsia"/>
        </w:rPr>
        <w:t>；</w:t>
      </w:r>
    </w:p>
    <w:p w:rsidR="00B0321E" w:rsidRDefault="00080BF8" w:rsidP="00D50FBE">
      <w:pPr>
        <w:pStyle w:val="SingleTxt"/>
        <w:spacing w:after="120"/>
      </w:pPr>
      <w:r>
        <w:rPr>
          <w:rFonts w:hint="eastAsia"/>
        </w:rPr>
        <w:tab/>
      </w:r>
      <w:r w:rsidR="00B0321E">
        <w:rPr>
          <w:rFonts w:hint="eastAsia"/>
        </w:rPr>
        <w:t>(c)</w:t>
      </w:r>
      <w:r w:rsidR="00B0321E">
        <w:rPr>
          <w:rFonts w:hint="eastAsia"/>
        </w:rPr>
        <w:tab/>
      </w:r>
      <w:r w:rsidR="00B0321E" w:rsidRPr="00080BF8">
        <w:rPr>
          <w:rFonts w:ascii="黑体" w:eastAsia="黑体" w:hAnsi="黑体" w:hint="eastAsia"/>
        </w:rPr>
        <w:t>按照委员会关于《公约》第十六条的第29(2013)号一般性建议(婚姻、</w:t>
      </w:r>
      <w:r w:rsidR="00B0321E" w:rsidRPr="00080BF8">
        <w:rPr>
          <w:rFonts w:ascii="黑体" w:eastAsia="黑体" w:hAnsi="黑体" w:hint="eastAsia"/>
          <w:spacing w:val="-2"/>
        </w:rPr>
        <w:t>家庭关系及其解消的经济后果)，确保在解除婚姻或事实结合(同居)时伴侣双方平等分配共同财产，并采取一切必要措施，确保建立婚姻或事实结合(同居)关系的妇女认识到两者所涉经济后果，并保证在分配共同财产时充分考虑无偿家务工作</w:t>
      </w:r>
      <w:r w:rsidR="00B0321E" w:rsidRPr="00080BF8">
        <w:rPr>
          <w:rFonts w:hint="eastAsia"/>
          <w:spacing w:val="-2"/>
        </w:rPr>
        <w:t>。</w:t>
      </w:r>
    </w:p>
    <w:p w:rsidR="00B0321E" w:rsidRDefault="00B0321E" w:rsidP="00D50FBE">
      <w:pPr>
        <w:pStyle w:val="SingleTxt"/>
        <w:spacing w:after="120"/>
      </w:pPr>
      <w:r>
        <w:rPr>
          <w:rFonts w:hint="eastAsia"/>
        </w:rPr>
        <w:t>《</w:t>
      </w:r>
      <w:r w:rsidRPr="00080BF8">
        <w:rPr>
          <w:rFonts w:ascii="黑体" w:eastAsia="黑体" w:hAnsi="黑体" w:hint="eastAsia"/>
        </w:rPr>
        <w:t>北京宣言</w:t>
      </w:r>
      <w:r>
        <w:rPr>
          <w:rFonts w:hint="eastAsia"/>
        </w:rPr>
        <w:t>》</w:t>
      </w:r>
      <w:r w:rsidRPr="00080BF8">
        <w:rPr>
          <w:rFonts w:ascii="黑体" w:eastAsia="黑体" w:hAnsi="黑体" w:hint="eastAsia"/>
        </w:rPr>
        <w:t>和</w:t>
      </w:r>
      <w:r>
        <w:rPr>
          <w:rFonts w:hint="eastAsia"/>
        </w:rPr>
        <w:t>《</w:t>
      </w:r>
      <w:r w:rsidRPr="00080BF8">
        <w:rPr>
          <w:rFonts w:ascii="黑体" w:eastAsia="黑体" w:hAnsi="黑体" w:hint="eastAsia"/>
        </w:rPr>
        <w:t>行动纲要</w:t>
      </w:r>
      <w:r>
        <w:rPr>
          <w:rFonts w:hint="eastAsia"/>
        </w:rPr>
        <w:t>》</w:t>
      </w:r>
    </w:p>
    <w:p w:rsidR="00B0321E" w:rsidRDefault="00B0321E" w:rsidP="00D50FBE">
      <w:pPr>
        <w:pStyle w:val="SingleTxt"/>
        <w:spacing w:after="120"/>
      </w:pPr>
      <w:r>
        <w:rPr>
          <w:rFonts w:hint="eastAsia"/>
        </w:rPr>
        <w:t>47.</w:t>
      </w:r>
      <w:r>
        <w:rPr>
          <w:rFonts w:hint="eastAsia"/>
        </w:rPr>
        <w:tab/>
      </w:r>
      <w:r w:rsidRPr="00080BF8">
        <w:rPr>
          <w:rFonts w:ascii="黑体" w:eastAsia="黑体" w:hAnsi="黑体" w:hint="eastAsia"/>
        </w:rPr>
        <w:t>委员会促请缔约国以《北京宣言》和《行动纲要》为指导，努力落实《公约》的规定</w:t>
      </w:r>
      <w:r>
        <w:rPr>
          <w:rFonts w:hint="eastAsia"/>
        </w:rPr>
        <w:t>。</w:t>
      </w:r>
    </w:p>
    <w:p w:rsidR="00B0321E" w:rsidRDefault="00B0321E" w:rsidP="00D50FBE">
      <w:pPr>
        <w:pStyle w:val="SingleTxt"/>
        <w:spacing w:after="120"/>
      </w:pPr>
      <w:r>
        <w:rPr>
          <w:rFonts w:hint="eastAsia"/>
        </w:rPr>
        <w:t>《</w:t>
      </w:r>
      <w:r w:rsidRPr="00080BF8">
        <w:rPr>
          <w:rFonts w:ascii="黑体" w:eastAsia="黑体" w:hAnsi="黑体" w:hint="eastAsia"/>
        </w:rPr>
        <w:t>2030年可持续发展议程</w:t>
      </w:r>
      <w:r>
        <w:rPr>
          <w:rFonts w:hint="eastAsia"/>
        </w:rPr>
        <w:t>》</w:t>
      </w:r>
    </w:p>
    <w:p w:rsidR="00B0321E" w:rsidRDefault="00B0321E" w:rsidP="00D50FBE">
      <w:pPr>
        <w:pStyle w:val="SingleTxt"/>
        <w:spacing w:after="120"/>
      </w:pPr>
      <w:r>
        <w:rPr>
          <w:rFonts w:hint="eastAsia"/>
        </w:rPr>
        <w:t>48.</w:t>
      </w:r>
      <w:r>
        <w:rPr>
          <w:rFonts w:hint="eastAsia"/>
        </w:rPr>
        <w:tab/>
      </w:r>
      <w:r w:rsidRPr="00080BF8">
        <w:rPr>
          <w:rFonts w:ascii="黑体" w:eastAsia="黑体" w:hAnsi="黑体" w:hint="eastAsia"/>
        </w:rPr>
        <w:t>委员会呼吁在落实《2030年可持续发展议程》的整个进程中依照《公约》规定实现实质性性别平等</w:t>
      </w:r>
      <w:r>
        <w:rPr>
          <w:rFonts w:hint="eastAsia"/>
        </w:rPr>
        <w:t>。</w:t>
      </w:r>
    </w:p>
    <w:p w:rsidR="00B0321E" w:rsidRPr="00080BF8" w:rsidRDefault="00B0321E" w:rsidP="00D50FBE">
      <w:pPr>
        <w:pStyle w:val="SingleTxt"/>
        <w:spacing w:after="120"/>
        <w:rPr>
          <w:rFonts w:ascii="黑体" w:eastAsia="黑体" w:hAnsi="黑体"/>
        </w:rPr>
      </w:pPr>
      <w:r w:rsidRPr="00080BF8">
        <w:rPr>
          <w:rFonts w:ascii="黑体" w:eastAsia="黑体" w:hAnsi="黑体" w:hint="eastAsia"/>
        </w:rPr>
        <w:t>传播</w:t>
      </w:r>
    </w:p>
    <w:p w:rsidR="00B0321E" w:rsidRDefault="00B0321E" w:rsidP="00D50FBE">
      <w:pPr>
        <w:pStyle w:val="SingleTxt"/>
        <w:spacing w:after="120"/>
      </w:pPr>
      <w:r>
        <w:rPr>
          <w:rFonts w:hint="eastAsia"/>
        </w:rPr>
        <w:t>49.</w:t>
      </w:r>
      <w:r>
        <w:rPr>
          <w:rFonts w:hint="eastAsia"/>
        </w:rPr>
        <w:tab/>
      </w:r>
      <w:r w:rsidRPr="00080BF8">
        <w:rPr>
          <w:rFonts w:ascii="黑体" w:eastAsia="黑体" w:hAnsi="黑体" w:hint="eastAsia"/>
        </w:rPr>
        <w:t>委员会请缔约国确保以缔约国官方语言，及时向各级(国家、区域和地方)相关国家机构，特别是向政府、各部委、议会和司法部门传播本结论意见，使其得到充分落实</w:t>
      </w:r>
      <w:r>
        <w:rPr>
          <w:rFonts w:hint="eastAsia"/>
        </w:rPr>
        <w:t>。</w:t>
      </w:r>
    </w:p>
    <w:p w:rsidR="00B0321E" w:rsidRPr="00080BF8" w:rsidRDefault="00B0321E" w:rsidP="00D50FBE">
      <w:pPr>
        <w:pStyle w:val="SingleTxt"/>
        <w:spacing w:after="120"/>
        <w:rPr>
          <w:rFonts w:ascii="黑体" w:eastAsia="黑体" w:hAnsi="黑体"/>
        </w:rPr>
      </w:pPr>
      <w:r w:rsidRPr="00080BF8">
        <w:rPr>
          <w:rFonts w:ascii="黑体" w:eastAsia="黑体" w:hAnsi="黑体" w:hint="eastAsia"/>
        </w:rPr>
        <w:t>结论意见的后续行动</w:t>
      </w:r>
    </w:p>
    <w:p w:rsidR="00B0321E" w:rsidRDefault="00B0321E" w:rsidP="00D50FBE">
      <w:pPr>
        <w:pStyle w:val="SingleTxt"/>
        <w:spacing w:after="120"/>
      </w:pPr>
      <w:r>
        <w:rPr>
          <w:rFonts w:hint="eastAsia"/>
        </w:rPr>
        <w:t>50.</w:t>
      </w:r>
      <w:r>
        <w:rPr>
          <w:rFonts w:hint="eastAsia"/>
        </w:rPr>
        <w:tab/>
      </w:r>
      <w:r w:rsidRPr="00080BF8">
        <w:rPr>
          <w:rFonts w:ascii="黑体" w:eastAsia="黑体" w:hAnsi="黑体" w:hint="eastAsia"/>
        </w:rPr>
        <w:t>委员会请缔约国在两年内就实施上文第20(a)和(f)段及第32(a)和(c)段所载各项建议而采取的措施提供书面资料</w:t>
      </w:r>
      <w:r>
        <w:rPr>
          <w:rFonts w:hint="eastAsia"/>
        </w:rPr>
        <w:t>。</w:t>
      </w:r>
    </w:p>
    <w:p w:rsidR="00B0321E" w:rsidRPr="00080BF8" w:rsidRDefault="00B0321E" w:rsidP="00D50FBE">
      <w:pPr>
        <w:pStyle w:val="SingleTxt"/>
        <w:spacing w:after="120"/>
        <w:rPr>
          <w:rFonts w:ascii="黑体" w:eastAsia="黑体" w:hAnsi="黑体"/>
        </w:rPr>
      </w:pPr>
      <w:r w:rsidRPr="00080BF8">
        <w:rPr>
          <w:rFonts w:ascii="黑体" w:eastAsia="黑体" w:hAnsi="黑体" w:hint="eastAsia"/>
        </w:rPr>
        <w:t>下一次报告的编写</w:t>
      </w:r>
    </w:p>
    <w:p w:rsidR="00B0321E" w:rsidRDefault="00B0321E" w:rsidP="00D50FBE">
      <w:pPr>
        <w:pStyle w:val="SingleTxt"/>
        <w:spacing w:after="120"/>
      </w:pPr>
      <w:r>
        <w:rPr>
          <w:rFonts w:hint="eastAsia"/>
        </w:rPr>
        <w:t>51.</w:t>
      </w:r>
      <w:r>
        <w:rPr>
          <w:rFonts w:hint="eastAsia"/>
        </w:rPr>
        <w:tab/>
      </w:r>
      <w:r w:rsidRPr="00080BF8">
        <w:rPr>
          <w:rFonts w:ascii="黑体" w:eastAsia="黑体" w:hAnsi="黑体" w:hint="eastAsia"/>
        </w:rPr>
        <w:t>委员会邀请缔约国于2020年7月提交其第十次定期报告</w:t>
      </w:r>
      <w:r>
        <w:rPr>
          <w:rFonts w:hint="eastAsia"/>
        </w:rPr>
        <w:t>。</w:t>
      </w:r>
    </w:p>
    <w:p w:rsidR="00B31E9D" w:rsidRDefault="00D50FBE" w:rsidP="00B0321E">
      <w:pPr>
        <w:pStyle w:val="SingleTxt"/>
      </w:pPr>
      <w:r>
        <w:rPr>
          <w:noProof/>
          <w:sz w:val="20"/>
        </w:rPr>
        <mc:AlternateContent>
          <mc:Choice Requires="wps">
            <w:drawing>
              <wp:anchor distT="0" distB="0" distL="114300" distR="114300" simplePos="0" relativeHeight="251659264" behindDoc="0" locked="0" layoutInCell="1" allowOverlap="1" wp14:anchorId="6B4EF563" wp14:editId="4F28D033">
                <wp:simplePos x="0" y="0"/>
                <wp:positionH relativeFrom="column">
                  <wp:posOffset>2552700</wp:posOffset>
                </wp:positionH>
                <wp:positionV relativeFrom="paragraph">
                  <wp:posOffset>740429</wp:posOffset>
                </wp:positionV>
                <wp:extent cx="914400" cy="0"/>
                <wp:effectExtent l="0" t="0" r="19050" b="1905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01pt,58.3pt" to="273pt,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" strokecolor="#010000" strokeweight=".25pt"/>
            </w:pict>
          </mc:Fallback>
        </mc:AlternateContent>
      </w:r>
      <w:r w:rsidR="00B0321E">
        <w:rPr>
          <w:rFonts w:hint="eastAsia"/>
        </w:rPr>
        <w:t>52.</w:t>
      </w:r>
      <w:r w:rsidR="00B0321E">
        <w:rPr>
          <w:rFonts w:hint="eastAsia"/>
        </w:rPr>
        <w:tab/>
      </w:r>
      <w:r w:rsidR="00B0321E" w:rsidRPr="00080BF8">
        <w:rPr>
          <w:rFonts w:ascii="黑体" w:eastAsia="黑体" w:hAnsi="黑体" w:hint="eastAsia"/>
        </w:rPr>
        <w:t>委员会请缔约国遵循《包括共同核心文件和条约专要文件准则在内的根据国际人权条约提交报告的协调准则》(</w:t>
      </w:r>
      <w:hyperlink r:id="rId22" w:history="1">
        <w:r w:rsidR="00B0321E" w:rsidRPr="00E36974">
          <w:rPr>
            <w:rStyle w:val="ad"/>
            <w:rFonts w:ascii="黑体" w:eastAsia="黑体" w:hAnsi="黑体" w:hint="eastAsia"/>
          </w:rPr>
          <w:t>HRI/GEN/2/Rev.6</w:t>
        </w:r>
      </w:hyperlink>
      <w:r w:rsidR="00B0321E" w:rsidRPr="00080BF8">
        <w:rPr>
          <w:rFonts w:ascii="黑体" w:eastAsia="黑体" w:hAnsi="黑体" w:hint="eastAsia"/>
        </w:rPr>
        <w:t>，第一章)编写报告</w:t>
      </w:r>
      <w:r w:rsidR="00B0321E">
        <w:rPr>
          <w:rFonts w:hint="eastAsia"/>
        </w:rPr>
        <w:t>。</w:t>
      </w:r>
    </w:p>
    <w:sectPr w:rsidR="00B31E9D" w:rsidSect="00386387">
      <w:type w:val="continuous"/>
      <w:pgSz w:w="12240" w:h="15840" w:code="1"/>
      <w:pgMar w:top="1742" w:right="1200" w:bottom="1898" w:left="1200" w:header="576" w:footer="1030" w:gutter="0"/>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8-31T14:58:00Z" w:initials="Start">
    <w:p w:rsidR="00386387" w:rsidRDefault="00386387">
      <w:pPr>
        <w:pStyle w:val="a7"/>
      </w:pPr>
      <w:r>
        <w:fldChar w:fldCharType="begin"/>
      </w:r>
      <w:r>
        <w:rPr>
          <w:rStyle w:val="a9"/>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9"/>
        </w:rPr>
        <w:instrText xml:space="preserve"> </w:instrText>
      </w:r>
      <w:r>
        <w:fldChar w:fldCharType="separate"/>
      </w:r>
      <w:r w:rsidR="00E36974">
        <w:rPr>
          <w:rFonts w:hint="eastAsia"/>
          <w:noProof/>
        </w:rPr>
        <w:t>页</w:t>
      </w:r>
      <w:r w:rsidR="00E36974">
        <w:rPr>
          <w:rFonts w:hint="eastAsia"/>
          <w:noProof/>
        </w:rPr>
        <w:t xml:space="preserve">: </w:t>
      </w:r>
      <w:r w:rsidR="00E36974">
        <w:rPr>
          <w:noProof/>
        </w:rPr>
        <w:t>1</w:t>
      </w:r>
      <w:r w:rsidR="00E36974">
        <w:rPr>
          <w:rFonts w:hint="eastAsia"/>
          <w:noProof/>
        </w:rPr>
        <w:br/>
      </w:r>
      <w:r>
        <w:fldChar w:fldCharType="end"/>
      </w:r>
      <w:r>
        <w:rPr>
          <w:rStyle w:val="a9"/>
        </w:rPr>
        <w:annotationRef/>
      </w:r>
      <w:r>
        <w:t>&lt;&lt;ODS JOB NO&gt;&gt;N1623337C&lt;&lt;ODS JOB NO&gt;&gt;</w:t>
      </w:r>
    </w:p>
    <w:p w:rsidR="00386387" w:rsidRDefault="00386387">
      <w:pPr>
        <w:pStyle w:val="a7"/>
      </w:pPr>
      <w:r>
        <w:t>&lt;&lt;ODS DOC SYMBOL1&gt;&gt;CEDAW/C/URY/CO/8-9&lt;&lt;ODS DOC SYMBOL1&gt;&gt;</w:t>
      </w:r>
    </w:p>
    <w:p w:rsidR="00386387" w:rsidRDefault="00386387">
      <w:pPr>
        <w:pStyle w:val="a7"/>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C15" w:rsidRDefault="00914C15">
      <w:r>
        <w:separator/>
      </w:r>
    </w:p>
  </w:endnote>
  <w:endnote w:type="continuationSeparator" w:id="0">
    <w:p w:rsidR="00914C15" w:rsidRDefault="00914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3" w:usb1="080E0000" w:usb2="00000010" w:usb3="00000000" w:csb0="00040001"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386387" w:rsidTr="00386387">
      <w:tc>
        <w:tcPr>
          <w:tcW w:w="5028" w:type="dxa"/>
          <w:shd w:val="clear" w:color="auto" w:fill="auto"/>
        </w:tcPr>
        <w:p w:rsidR="00386387" w:rsidRPr="00386387" w:rsidRDefault="00386387" w:rsidP="00386387">
          <w:pPr>
            <w:pStyle w:val="ac"/>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36974">
            <w:rPr>
              <w:b w:val="0"/>
              <w:w w:val="103"/>
              <w:sz w:val="14"/>
            </w:rPr>
            <w:t>16-12879 (C)</w:t>
          </w:r>
          <w:r>
            <w:rPr>
              <w:b w:val="0"/>
              <w:w w:val="103"/>
              <w:sz w:val="14"/>
            </w:rPr>
            <w:fldChar w:fldCharType="end"/>
          </w:r>
        </w:p>
      </w:tc>
      <w:tc>
        <w:tcPr>
          <w:tcW w:w="5028" w:type="dxa"/>
          <w:shd w:val="clear" w:color="auto" w:fill="auto"/>
        </w:tcPr>
        <w:p w:rsidR="00386387" w:rsidRPr="00386387" w:rsidRDefault="00386387" w:rsidP="00386387">
          <w:pPr>
            <w:pStyle w:val="ac"/>
            <w:jc w:val="left"/>
            <w:rPr>
              <w:w w:val="103"/>
            </w:rPr>
          </w:pPr>
          <w:r>
            <w:rPr>
              <w:w w:val="103"/>
            </w:rPr>
            <w:fldChar w:fldCharType="begin"/>
          </w:r>
          <w:r>
            <w:rPr>
              <w:w w:val="103"/>
            </w:rPr>
            <w:instrText xml:space="preserve"> PAGE  \* Arabic  \* MERGEFORMAT </w:instrText>
          </w:r>
          <w:r>
            <w:rPr>
              <w:w w:val="103"/>
            </w:rPr>
            <w:fldChar w:fldCharType="separate"/>
          </w:r>
          <w:r w:rsidR="007966DA">
            <w:rPr>
              <w:w w:val="103"/>
            </w:rPr>
            <w:t>12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966DA">
            <w:rPr>
              <w:w w:val="103"/>
            </w:rPr>
            <w:t>12</w:t>
          </w:r>
          <w:r>
            <w:rPr>
              <w:w w:val="103"/>
            </w:rPr>
            <w:fldChar w:fldCharType="end"/>
          </w:r>
        </w:p>
      </w:tc>
    </w:tr>
  </w:tbl>
  <w:p w:rsidR="00386387" w:rsidRPr="00386387" w:rsidRDefault="00386387" w:rsidP="00386387">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386387" w:rsidTr="00386387">
      <w:tc>
        <w:tcPr>
          <w:tcW w:w="5028" w:type="dxa"/>
          <w:shd w:val="clear" w:color="auto" w:fill="auto"/>
        </w:tcPr>
        <w:p w:rsidR="00386387" w:rsidRPr="00386387" w:rsidRDefault="00386387" w:rsidP="00386387">
          <w:pPr>
            <w:pStyle w:val="ac"/>
            <w:jc w:val="right"/>
          </w:pPr>
          <w:r>
            <w:fldChar w:fldCharType="begin"/>
          </w:r>
          <w:r>
            <w:instrText xml:space="preserve"> PAGE  \* Arabic  \* MERGEFORMAT </w:instrText>
          </w:r>
          <w:r>
            <w:fldChar w:fldCharType="separate"/>
          </w:r>
          <w:r w:rsidR="007966DA">
            <w:t>11</w:t>
          </w:r>
          <w:r>
            <w:fldChar w:fldCharType="end"/>
          </w:r>
          <w:r>
            <w:t>/</w:t>
          </w:r>
          <w:fldSimple w:instr=" NUMPAGES  \* Arabic  \* MERGEFORMAT ">
            <w:r w:rsidR="007966DA">
              <w:t>11</w:t>
            </w:r>
          </w:fldSimple>
        </w:p>
      </w:tc>
      <w:tc>
        <w:tcPr>
          <w:tcW w:w="5028" w:type="dxa"/>
          <w:shd w:val="clear" w:color="auto" w:fill="auto"/>
        </w:tcPr>
        <w:p w:rsidR="00386387" w:rsidRPr="00386387" w:rsidRDefault="00386387" w:rsidP="00386387">
          <w:pPr>
            <w:pStyle w:val="ac"/>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36974">
            <w:rPr>
              <w:b w:val="0"/>
              <w:w w:val="103"/>
              <w:sz w:val="14"/>
            </w:rPr>
            <w:t>16-12879 (C)</w:t>
          </w:r>
          <w:r>
            <w:rPr>
              <w:b w:val="0"/>
              <w:w w:val="103"/>
              <w:sz w:val="14"/>
            </w:rPr>
            <w:fldChar w:fldCharType="end"/>
          </w:r>
        </w:p>
      </w:tc>
    </w:tr>
  </w:tbl>
  <w:p w:rsidR="00386387" w:rsidRPr="00386387" w:rsidRDefault="00386387" w:rsidP="00386387">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744"/>
      <w:gridCol w:w="5028"/>
    </w:tblGrid>
    <w:tr w:rsidR="00386387" w:rsidTr="00386387">
      <w:tc>
        <w:tcPr>
          <w:tcW w:w="3744" w:type="dxa"/>
        </w:tcPr>
        <w:p w:rsidR="00386387" w:rsidRDefault="00386387" w:rsidP="00386387">
          <w:pPr>
            <w:pStyle w:val="Release"/>
          </w:pPr>
          <w:r>
            <w:rPr>
              <w:noProof/>
            </w:rPr>
            <w:drawing>
              <wp:anchor distT="0" distB="0" distL="114300" distR="114300" simplePos="0" relativeHeight="251658240" behindDoc="0" locked="0" layoutInCell="1" allowOverlap="1" wp14:anchorId="0542D730" wp14:editId="7045FD10">
                <wp:simplePos x="0" y="0"/>
                <wp:positionH relativeFrom="column">
                  <wp:posOffset>5523529</wp:posOffset>
                </wp:positionH>
                <wp:positionV relativeFrom="paragraph">
                  <wp:posOffset>-346028</wp:posOffset>
                </wp:positionV>
                <wp:extent cx="694690" cy="694690"/>
                <wp:effectExtent l="0" t="0" r="0" b="0"/>
                <wp:wrapNone/>
                <wp:docPr id="3" name="图片 3" descr="http://undocs.org/m2/QRCode2.ashx?DS=CEDAW/C/URY/CO/8-9&amp;Size =1&amp;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URY/CO/8-9&amp;Size =1&amp;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fldSimple w:instr=" DOCVARIABLE &quot;jobn&quot; \* MERGEFORMAT ">
            <w:r w:rsidR="00E36974">
              <w:t>16-12879 (C)</w:t>
            </w:r>
          </w:fldSimple>
          <w:r w:rsidR="004C742D">
            <w:t xml:space="preserve">    </w:t>
          </w:r>
          <w:r w:rsidR="004C742D">
            <w:rPr>
              <w:rFonts w:hint="eastAsia"/>
            </w:rPr>
            <w:t>30</w:t>
          </w:r>
          <w:r>
            <w:t>0816    310816</w:t>
          </w:r>
        </w:p>
        <w:p w:rsidR="00386387" w:rsidRPr="00386387" w:rsidRDefault="00386387" w:rsidP="00386387">
          <w:pPr>
            <w:spacing w:before="80" w:line="210" w:lineRule="exact"/>
            <w:rPr>
              <w:rFonts w:ascii="Barcode 3 of 9 by request" w:hAnsi="Barcode 3 of 9 by request"/>
              <w:sz w:val="24"/>
            </w:rPr>
          </w:pPr>
          <w:r>
            <w:rPr>
              <w:rFonts w:ascii="Barcode 3 of 9 by request" w:hAnsi="Barcode 3 of 9 by request"/>
              <w:sz w:val="24"/>
            </w:rPr>
            <w:t>*1612879*</w:t>
          </w:r>
        </w:p>
      </w:tc>
      <w:tc>
        <w:tcPr>
          <w:tcW w:w="5028" w:type="dxa"/>
        </w:tcPr>
        <w:p w:rsidR="00386387" w:rsidRDefault="00386387" w:rsidP="00386387">
          <w:pPr>
            <w:pStyle w:val="ac"/>
            <w:jc w:val="right"/>
            <w:rPr>
              <w:b w:val="0"/>
              <w:sz w:val="21"/>
            </w:rPr>
          </w:pPr>
          <w:r>
            <w:rPr>
              <w:b w:val="0"/>
              <w:sz w:val="21"/>
            </w:rPr>
            <w:drawing>
              <wp:inline distT="0" distB="0" distL="0" distR="0" wp14:anchorId="480A4A98" wp14:editId="4DDC85C1">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618745" cy="231648"/>
                        </a:xfrm>
                        <a:prstGeom prst="rect">
                          <a:avLst/>
                        </a:prstGeom>
                      </pic:spPr>
                    </pic:pic>
                  </a:graphicData>
                </a:graphic>
              </wp:inline>
            </w:drawing>
          </w:r>
        </w:p>
      </w:tc>
    </w:tr>
  </w:tbl>
  <w:p w:rsidR="00386387" w:rsidRPr="00386387" w:rsidRDefault="00386387" w:rsidP="00386387">
    <w:pPr>
      <w:pStyle w:val="ac"/>
      <w:spacing w:line="56" w:lineRule="auto"/>
      <w:jc w:val="left"/>
      <w:rPr>
        <w:b w:val="0"/>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C15" w:rsidRPr="00B0321E" w:rsidRDefault="00B0321E" w:rsidP="00B0321E">
      <w:pPr>
        <w:pStyle w:val="ac"/>
        <w:spacing w:after="80"/>
        <w:ind w:left="792"/>
        <w:rPr>
          <w:sz w:val="16"/>
        </w:rPr>
      </w:pPr>
      <w:r w:rsidRPr="00B0321E">
        <w:rPr>
          <w:sz w:val="16"/>
        </w:rPr>
        <w:t>__________________</w:t>
      </w:r>
    </w:p>
  </w:footnote>
  <w:footnote w:type="continuationSeparator" w:id="0">
    <w:p w:rsidR="00914C15" w:rsidRPr="00B0321E" w:rsidRDefault="00B0321E" w:rsidP="00B0321E">
      <w:pPr>
        <w:pStyle w:val="ac"/>
        <w:spacing w:after="80"/>
        <w:ind w:left="792"/>
        <w:rPr>
          <w:sz w:val="16"/>
        </w:rPr>
      </w:pPr>
      <w:r w:rsidRPr="00B0321E">
        <w:rPr>
          <w:sz w:val="16"/>
        </w:rPr>
        <w:t>__________________</w:t>
      </w:r>
    </w:p>
  </w:footnote>
  <w:footnote w:id="1">
    <w:p w:rsidR="00B0321E" w:rsidRDefault="00B0321E" w:rsidP="00B0321E">
      <w:pPr>
        <w:pStyle w:val="a5"/>
        <w:tabs>
          <w:tab w:val="clear" w:pos="418"/>
          <w:tab w:val="right" w:pos="1195"/>
          <w:tab w:val="left" w:pos="1264"/>
          <w:tab w:val="left" w:pos="1695"/>
          <w:tab w:val="left" w:pos="2126"/>
          <w:tab w:val="left" w:pos="2557"/>
        </w:tabs>
        <w:ind w:left="1264" w:right="1264" w:hanging="432"/>
      </w:pPr>
      <w:r>
        <w:rPr>
          <w:rFonts w:hint="eastAsia"/>
        </w:rPr>
        <w:tab/>
      </w:r>
      <w:r w:rsidRPr="00B0321E">
        <w:rPr>
          <w:rStyle w:val="a3"/>
        </w:rPr>
        <w:sym w:font="Symbol" w:char="F02A"/>
      </w:r>
      <w:r>
        <w:rPr>
          <w:rFonts w:hint="eastAsia"/>
        </w:rPr>
        <w:tab/>
      </w:r>
      <w:r w:rsidRPr="00B0321E">
        <w:rPr>
          <w:rFonts w:hint="eastAsia"/>
        </w:rPr>
        <w:t>委员会第六十四届会议</w:t>
      </w:r>
      <w:r>
        <w:t>(</w:t>
      </w:r>
      <w:r w:rsidRPr="00B0321E">
        <w:rPr>
          <w:rFonts w:hint="eastAsia"/>
        </w:rPr>
        <w:t>2016</w:t>
      </w:r>
      <w:r w:rsidRPr="00B0321E">
        <w:rPr>
          <w:rFonts w:hint="eastAsia"/>
        </w:rPr>
        <w:t>年</w:t>
      </w:r>
      <w:r w:rsidRPr="00B0321E">
        <w:rPr>
          <w:rFonts w:hint="eastAsia"/>
        </w:rPr>
        <w:t>7</w:t>
      </w:r>
      <w:r w:rsidRPr="00B0321E">
        <w:rPr>
          <w:rFonts w:hint="eastAsia"/>
        </w:rPr>
        <w:t>月</w:t>
      </w:r>
      <w:r w:rsidRPr="00B0321E">
        <w:rPr>
          <w:rFonts w:hint="eastAsia"/>
        </w:rPr>
        <w:t>4</w:t>
      </w:r>
      <w:r w:rsidRPr="00B0321E">
        <w:rPr>
          <w:rFonts w:hint="eastAsia"/>
        </w:rPr>
        <w:t>日至</w:t>
      </w:r>
      <w:r w:rsidRPr="00B0321E">
        <w:rPr>
          <w:rFonts w:hint="eastAsia"/>
        </w:rPr>
        <w:t>22</w:t>
      </w:r>
      <w:r w:rsidRPr="00B0321E">
        <w:rPr>
          <w:rFonts w:hint="eastAsia"/>
        </w:rPr>
        <w:t>日</w:t>
      </w:r>
      <w:r>
        <w:t>)</w:t>
      </w:r>
      <w:r w:rsidRPr="00B0321E">
        <w:rPr>
          <w:rFonts w:hint="eastAsia"/>
        </w:rPr>
        <w:t>通过。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386387" w:rsidTr="00386387">
      <w:trPr>
        <w:trHeight w:hRule="exact" w:val="864"/>
      </w:trPr>
      <w:tc>
        <w:tcPr>
          <w:tcW w:w="4838" w:type="dxa"/>
          <w:shd w:val="clear" w:color="auto" w:fill="auto"/>
          <w:vAlign w:val="bottom"/>
        </w:tcPr>
        <w:p w:rsidR="00386387" w:rsidRPr="00386387" w:rsidRDefault="00386387" w:rsidP="00386387">
          <w:pPr>
            <w:pStyle w:val="ab"/>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E36974">
            <w:rPr>
              <w:b/>
              <w:sz w:val="17"/>
            </w:rPr>
            <w:t>CEDAW/C/URY/CO/8-9</w:t>
          </w:r>
          <w:r>
            <w:rPr>
              <w:b/>
              <w:sz w:val="17"/>
            </w:rPr>
            <w:fldChar w:fldCharType="end"/>
          </w:r>
        </w:p>
      </w:tc>
      <w:tc>
        <w:tcPr>
          <w:tcW w:w="5028" w:type="dxa"/>
          <w:shd w:val="clear" w:color="auto" w:fill="auto"/>
          <w:vAlign w:val="bottom"/>
        </w:tcPr>
        <w:p w:rsidR="00386387" w:rsidRDefault="00386387" w:rsidP="00386387">
          <w:pPr>
            <w:pStyle w:val="ab"/>
          </w:pPr>
        </w:p>
      </w:tc>
    </w:tr>
  </w:tbl>
  <w:p w:rsidR="00386387" w:rsidRPr="00386387" w:rsidRDefault="00386387" w:rsidP="00386387">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386387" w:rsidTr="00386387">
      <w:trPr>
        <w:trHeight w:hRule="exact" w:val="864"/>
      </w:trPr>
      <w:tc>
        <w:tcPr>
          <w:tcW w:w="4838" w:type="dxa"/>
          <w:shd w:val="clear" w:color="auto" w:fill="auto"/>
          <w:vAlign w:val="bottom"/>
        </w:tcPr>
        <w:p w:rsidR="00386387" w:rsidRDefault="00386387" w:rsidP="00386387">
          <w:pPr>
            <w:pStyle w:val="ab"/>
          </w:pPr>
        </w:p>
      </w:tc>
      <w:tc>
        <w:tcPr>
          <w:tcW w:w="5028" w:type="dxa"/>
          <w:shd w:val="clear" w:color="auto" w:fill="auto"/>
          <w:vAlign w:val="bottom"/>
        </w:tcPr>
        <w:p w:rsidR="00386387" w:rsidRPr="00386387" w:rsidRDefault="00386387" w:rsidP="00386387">
          <w:pPr>
            <w:pStyle w:val="ab"/>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E36974">
            <w:rPr>
              <w:b/>
              <w:sz w:val="17"/>
            </w:rPr>
            <w:t>CEDAW/C/URY/CO/8-9</w:t>
          </w:r>
          <w:r>
            <w:rPr>
              <w:b/>
              <w:sz w:val="17"/>
            </w:rPr>
            <w:fldChar w:fldCharType="end"/>
          </w:r>
        </w:p>
      </w:tc>
    </w:tr>
  </w:tbl>
  <w:p w:rsidR="00386387" w:rsidRPr="00386387" w:rsidRDefault="00386387" w:rsidP="00386387">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386387" w:rsidTr="00386387">
      <w:trPr>
        <w:gridAfter w:val="1"/>
        <w:wAfter w:w="12" w:type="dxa"/>
        <w:trHeight w:hRule="exact" w:val="864"/>
      </w:trPr>
      <w:tc>
        <w:tcPr>
          <w:tcW w:w="1267" w:type="dxa"/>
          <w:tcBorders>
            <w:bottom w:val="single" w:sz="4" w:space="0" w:color="auto"/>
          </w:tcBorders>
          <w:shd w:val="clear" w:color="auto" w:fill="auto"/>
          <w:vAlign w:val="bottom"/>
        </w:tcPr>
        <w:p w:rsidR="00386387" w:rsidRDefault="00386387" w:rsidP="00386387">
          <w:pPr>
            <w:pStyle w:val="ab"/>
            <w:spacing w:after="120"/>
          </w:pPr>
        </w:p>
      </w:tc>
      <w:tc>
        <w:tcPr>
          <w:tcW w:w="1872" w:type="dxa"/>
          <w:tcBorders>
            <w:bottom w:val="single" w:sz="4" w:space="0" w:color="auto"/>
          </w:tcBorders>
          <w:shd w:val="clear" w:color="auto" w:fill="auto"/>
          <w:vAlign w:val="bottom"/>
        </w:tcPr>
        <w:p w:rsidR="00386387" w:rsidRPr="00386387" w:rsidRDefault="00386387" w:rsidP="00386387">
          <w:pPr>
            <w:pStyle w:val="HCh"/>
            <w:spacing w:after="8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rsidR="00386387" w:rsidRDefault="00386387" w:rsidP="00386387">
          <w:pPr>
            <w:pStyle w:val="ab"/>
            <w:spacing w:after="120"/>
          </w:pPr>
        </w:p>
      </w:tc>
      <w:tc>
        <w:tcPr>
          <w:tcW w:w="6523" w:type="dxa"/>
          <w:gridSpan w:val="3"/>
          <w:tcBorders>
            <w:bottom w:val="single" w:sz="4" w:space="0" w:color="auto"/>
          </w:tcBorders>
          <w:shd w:val="clear" w:color="auto" w:fill="auto"/>
          <w:vAlign w:val="bottom"/>
        </w:tcPr>
        <w:p w:rsidR="00386387" w:rsidRPr="00386387" w:rsidRDefault="00386387" w:rsidP="00386387">
          <w:pPr>
            <w:spacing w:after="80" w:line="240" w:lineRule="auto"/>
            <w:jc w:val="right"/>
            <w:rPr>
              <w:position w:val="-4"/>
            </w:rPr>
          </w:pPr>
          <w:r>
            <w:rPr>
              <w:position w:val="-4"/>
              <w:sz w:val="40"/>
            </w:rPr>
            <w:t>CEDAW</w:t>
          </w:r>
          <w:r>
            <w:rPr>
              <w:position w:val="-4"/>
            </w:rPr>
            <w:t>/C/URY/CO/8-9</w:t>
          </w:r>
        </w:p>
      </w:tc>
    </w:tr>
    <w:tr w:rsidR="00386387" w:rsidRPr="00386387" w:rsidTr="00386387">
      <w:trPr>
        <w:trHeight w:hRule="exact" w:val="2880"/>
      </w:trPr>
      <w:tc>
        <w:tcPr>
          <w:tcW w:w="1267" w:type="dxa"/>
          <w:tcBorders>
            <w:top w:val="single" w:sz="4" w:space="0" w:color="auto"/>
            <w:bottom w:val="single" w:sz="12" w:space="0" w:color="auto"/>
          </w:tcBorders>
          <w:shd w:val="clear" w:color="auto" w:fill="auto"/>
        </w:tcPr>
        <w:p w:rsidR="00386387" w:rsidRPr="00386387" w:rsidRDefault="00386387" w:rsidP="00386387">
          <w:pPr>
            <w:pStyle w:val="ab"/>
            <w:spacing w:before="109"/>
            <w:ind w:left="-72"/>
          </w:pPr>
          <w:r>
            <w:t xml:space="preserve"> </w:t>
          </w:r>
          <w:r>
            <w:drawing>
              <wp:inline distT="0" distB="0" distL="0" distR="0" wp14:anchorId="32279A61" wp14:editId="345A3F80">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386387" w:rsidRPr="00386387" w:rsidRDefault="00386387" w:rsidP="00386387">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386387" w:rsidRPr="00386387" w:rsidRDefault="00386387" w:rsidP="00386387">
          <w:pPr>
            <w:pStyle w:val="ab"/>
            <w:spacing w:before="109"/>
          </w:pPr>
        </w:p>
      </w:tc>
      <w:tc>
        <w:tcPr>
          <w:tcW w:w="3180" w:type="dxa"/>
          <w:gridSpan w:val="2"/>
          <w:tcBorders>
            <w:top w:val="single" w:sz="4" w:space="0" w:color="auto"/>
            <w:bottom w:val="single" w:sz="12" w:space="0" w:color="auto"/>
          </w:tcBorders>
          <w:shd w:val="clear" w:color="auto" w:fill="auto"/>
        </w:tcPr>
        <w:p w:rsidR="00386387" w:rsidRDefault="00386387" w:rsidP="00386387">
          <w:pPr>
            <w:pStyle w:val="Distr"/>
          </w:pPr>
          <w:r>
            <w:t>Distr.: General</w:t>
          </w:r>
        </w:p>
        <w:p w:rsidR="00386387" w:rsidRDefault="004C742D" w:rsidP="00386387">
          <w:pPr>
            <w:pStyle w:val="Publication"/>
          </w:pPr>
          <w:r>
            <w:t>2</w:t>
          </w:r>
          <w:r>
            <w:rPr>
              <w:rFonts w:hint="eastAsia"/>
            </w:rPr>
            <w:t>5</w:t>
          </w:r>
          <w:r w:rsidR="00386387">
            <w:t xml:space="preserve"> July 2016</w:t>
          </w:r>
        </w:p>
        <w:p w:rsidR="00386387" w:rsidRDefault="00386387" w:rsidP="00386387">
          <w:pPr>
            <w:spacing w:line="240" w:lineRule="exact"/>
          </w:pPr>
          <w:r>
            <w:t>Chinese</w:t>
          </w:r>
        </w:p>
        <w:p w:rsidR="00386387" w:rsidRDefault="00386387" w:rsidP="00386387">
          <w:pPr>
            <w:pStyle w:val="Original"/>
          </w:pPr>
          <w:r>
            <w:t>Original: English</w:t>
          </w:r>
        </w:p>
        <w:p w:rsidR="00386387" w:rsidRPr="00386387" w:rsidRDefault="00386387" w:rsidP="00386387"/>
      </w:tc>
    </w:tr>
  </w:tbl>
  <w:p w:rsidR="00386387" w:rsidRPr="00386387" w:rsidRDefault="00386387" w:rsidP="00386387">
    <w:pPr>
      <w:pStyle w:val="ab"/>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AA0C35A"/>
    <w:lvl w:ilvl="0">
      <w:start w:val="1"/>
      <w:numFmt w:val="decimal"/>
      <w:lvlText w:val="%1."/>
      <w:lvlJc w:val="left"/>
      <w:pPr>
        <w:tabs>
          <w:tab w:val="num" w:pos="1440"/>
        </w:tabs>
        <w:ind w:left="1440" w:hanging="360"/>
      </w:pPr>
    </w:lvl>
  </w:abstractNum>
  <w:abstractNum w:abstractNumId="1">
    <w:nsid w:val="FFFFFF7F"/>
    <w:multiLevelType w:val="singleLevel"/>
    <w:tmpl w:val="C5921156"/>
    <w:lvl w:ilvl="0">
      <w:start w:val="1"/>
      <w:numFmt w:val="decimal"/>
      <w:lvlText w:val="%1."/>
      <w:lvlJc w:val="left"/>
      <w:pPr>
        <w:tabs>
          <w:tab w:val="num" w:pos="720"/>
        </w:tabs>
        <w:ind w:left="720" w:hanging="360"/>
      </w:pPr>
    </w:lvl>
  </w:abstractNum>
  <w:abstractNum w:abstractNumId="2">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5">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18433"/>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12879*"/>
    <w:docVar w:name="CreationDt" w:val="31/08/2016 14:19:28"/>
    <w:docVar w:name="DocCategory" w:val="Doc"/>
    <w:docVar w:name="DocType" w:val="Final"/>
    <w:docVar w:name="DutyStation" w:val="New York"/>
    <w:docVar w:name="FooterJN" w:val="16-12879 (C)"/>
    <w:docVar w:name="jobn" w:val="16-12879 (C)"/>
    <w:docVar w:name="jobnDT" w:val="16-12879 (C)   310816"/>
    <w:docVar w:name="jobnDTDT" w:val="16-12879 (C)   310816   310816"/>
    <w:docVar w:name="JobNo" w:val="1612879C"/>
    <w:docVar w:name="LocalDrive" w:val="0"/>
    <w:docVar w:name="OandT" w:val="jia"/>
    <w:docVar w:name="PaperSize" w:val="Letter"/>
    <w:docVar w:name="sss1" w:val="CEDAW/C/URY/CO/8-9"/>
    <w:docVar w:name="sss2" w:val="-"/>
    <w:docVar w:name="Symbol1" w:val="CEDAW/C/URY/CO/8-9"/>
    <w:docVar w:name="Symbol2" w:val="-"/>
  </w:docVars>
  <w:rsids>
    <w:rsidRoot w:val="00914C15"/>
    <w:rsid w:val="00000689"/>
    <w:rsid w:val="0000347C"/>
    <w:rsid w:val="0000715A"/>
    <w:rsid w:val="000074E0"/>
    <w:rsid w:val="000101C8"/>
    <w:rsid w:val="000125BC"/>
    <w:rsid w:val="00013CD2"/>
    <w:rsid w:val="0001645E"/>
    <w:rsid w:val="0001726F"/>
    <w:rsid w:val="00021314"/>
    <w:rsid w:val="00021A2B"/>
    <w:rsid w:val="00024E72"/>
    <w:rsid w:val="00034465"/>
    <w:rsid w:val="000344BB"/>
    <w:rsid w:val="000366AA"/>
    <w:rsid w:val="0003678F"/>
    <w:rsid w:val="00036AA2"/>
    <w:rsid w:val="00036F1B"/>
    <w:rsid w:val="00037444"/>
    <w:rsid w:val="00037B39"/>
    <w:rsid w:val="00044CA4"/>
    <w:rsid w:val="00044EE9"/>
    <w:rsid w:val="00045EFE"/>
    <w:rsid w:val="00054631"/>
    <w:rsid w:val="00056952"/>
    <w:rsid w:val="0006608A"/>
    <w:rsid w:val="00066B28"/>
    <w:rsid w:val="00067AEB"/>
    <w:rsid w:val="00070DD0"/>
    <w:rsid w:val="00071F3F"/>
    <w:rsid w:val="0007337D"/>
    <w:rsid w:val="00074771"/>
    <w:rsid w:val="000758DF"/>
    <w:rsid w:val="00076EB8"/>
    <w:rsid w:val="000777FC"/>
    <w:rsid w:val="00077AEE"/>
    <w:rsid w:val="00080BF8"/>
    <w:rsid w:val="00082CCB"/>
    <w:rsid w:val="00083CAB"/>
    <w:rsid w:val="00084D46"/>
    <w:rsid w:val="000863AD"/>
    <w:rsid w:val="00086972"/>
    <w:rsid w:val="000946C5"/>
    <w:rsid w:val="00095C67"/>
    <w:rsid w:val="000A31F9"/>
    <w:rsid w:val="000B04CB"/>
    <w:rsid w:val="000C1786"/>
    <w:rsid w:val="000C4C08"/>
    <w:rsid w:val="000C4DDE"/>
    <w:rsid w:val="000C5208"/>
    <w:rsid w:val="000D32BA"/>
    <w:rsid w:val="000D736A"/>
    <w:rsid w:val="000E240F"/>
    <w:rsid w:val="000E49A4"/>
    <w:rsid w:val="000E4FFB"/>
    <w:rsid w:val="000F1058"/>
    <w:rsid w:val="000F55DC"/>
    <w:rsid w:val="001015E4"/>
    <w:rsid w:val="00101C4E"/>
    <w:rsid w:val="00101D5B"/>
    <w:rsid w:val="00101F86"/>
    <w:rsid w:val="0010703A"/>
    <w:rsid w:val="001113F8"/>
    <w:rsid w:val="00114578"/>
    <w:rsid w:val="00114C03"/>
    <w:rsid w:val="00114F57"/>
    <w:rsid w:val="001212F9"/>
    <w:rsid w:val="00121328"/>
    <w:rsid w:val="00124677"/>
    <w:rsid w:val="001267BE"/>
    <w:rsid w:val="0012708E"/>
    <w:rsid w:val="001306F1"/>
    <w:rsid w:val="00130EE5"/>
    <w:rsid w:val="00131015"/>
    <w:rsid w:val="001329F7"/>
    <w:rsid w:val="00140396"/>
    <w:rsid w:val="0014121B"/>
    <w:rsid w:val="00141322"/>
    <w:rsid w:val="0015066B"/>
    <w:rsid w:val="00150D3A"/>
    <w:rsid w:val="00153D29"/>
    <w:rsid w:val="0015414C"/>
    <w:rsid w:val="0015430B"/>
    <w:rsid w:val="0015731C"/>
    <w:rsid w:val="001602C9"/>
    <w:rsid w:val="00161E69"/>
    <w:rsid w:val="00161F54"/>
    <w:rsid w:val="00164626"/>
    <w:rsid w:val="00170FBE"/>
    <w:rsid w:val="001720CC"/>
    <w:rsid w:val="00173F4B"/>
    <w:rsid w:val="00174233"/>
    <w:rsid w:val="001746A8"/>
    <w:rsid w:val="0017506F"/>
    <w:rsid w:val="001845DB"/>
    <w:rsid w:val="001873A2"/>
    <w:rsid w:val="001944A4"/>
    <w:rsid w:val="001A4A37"/>
    <w:rsid w:val="001B0DFD"/>
    <w:rsid w:val="001B2814"/>
    <w:rsid w:val="001B4F95"/>
    <w:rsid w:val="001C1478"/>
    <w:rsid w:val="001C161F"/>
    <w:rsid w:val="001C1E0E"/>
    <w:rsid w:val="001C3329"/>
    <w:rsid w:val="001C3F7F"/>
    <w:rsid w:val="001C45C9"/>
    <w:rsid w:val="001C5166"/>
    <w:rsid w:val="001D0354"/>
    <w:rsid w:val="001D225C"/>
    <w:rsid w:val="001D3F72"/>
    <w:rsid w:val="001D41AE"/>
    <w:rsid w:val="001D558E"/>
    <w:rsid w:val="001E0ADA"/>
    <w:rsid w:val="001E20EC"/>
    <w:rsid w:val="001E340C"/>
    <w:rsid w:val="001E4442"/>
    <w:rsid w:val="001E5A51"/>
    <w:rsid w:val="001F03A7"/>
    <w:rsid w:val="001F24BA"/>
    <w:rsid w:val="001F2F76"/>
    <w:rsid w:val="001F5793"/>
    <w:rsid w:val="001F595B"/>
    <w:rsid w:val="001F6F25"/>
    <w:rsid w:val="001F781D"/>
    <w:rsid w:val="002000B5"/>
    <w:rsid w:val="00201C2E"/>
    <w:rsid w:val="00203760"/>
    <w:rsid w:val="002046D7"/>
    <w:rsid w:val="00207135"/>
    <w:rsid w:val="00212008"/>
    <w:rsid w:val="002145EA"/>
    <w:rsid w:val="002200D0"/>
    <w:rsid w:val="00221884"/>
    <w:rsid w:val="002253E5"/>
    <w:rsid w:val="00225709"/>
    <w:rsid w:val="0022603B"/>
    <w:rsid w:val="00230FAB"/>
    <w:rsid w:val="00231575"/>
    <w:rsid w:val="00232F4A"/>
    <w:rsid w:val="00241DB7"/>
    <w:rsid w:val="002423D2"/>
    <w:rsid w:val="00245212"/>
    <w:rsid w:val="00247382"/>
    <w:rsid w:val="00251744"/>
    <w:rsid w:val="00252E35"/>
    <w:rsid w:val="00254858"/>
    <w:rsid w:val="00254B46"/>
    <w:rsid w:val="00255FC4"/>
    <w:rsid w:val="00257053"/>
    <w:rsid w:val="00260C62"/>
    <w:rsid w:val="00263B7B"/>
    <w:rsid w:val="00266257"/>
    <w:rsid w:val="00271BA5"/>
    <w:rsid w:val="00271BE6"/>
    <w:rsid w:val="00273391"/>
    <w:rsid w:val="0027454D"/>
    <w:rsid w:val="0027574F"/>
    <w:rsid w:val="00277AAE"/>
    <w:rsid w:val="00280671"/>
    <w:rsid w:val="002807DF"/>
    <w:rsid w:val="002814F9"/>
    <w:rsid w:val="00282D17"/>
    <w:rsid w:val="00285DE9"/>
    <w:rsid w:val="00286AD1"/>
    <w:rsid w:val="00290382"/>
    <w:rsid w:val="0029111A"/>
    <w:rsid w:val="00293025"/>
    <w:rsid w:val="002A4AEF"/>
    <w:rsid w:val="002A5E53"/>
    <w:rsid w:val="002B305F"/>
    <w:rsid w:val="002B35DE"/>
    <w:rsid w:val="002B564F"/>
    <w:rsid w:val="002B5F5D"/>
    <w:rsid w:val="002B62ED"/>
    <w:rsid w:val="002B6993"/>
    <w:rsid w:val="002B7E03"/>
    <w:rsid w:val="002C2254"/>
    <w:rsid w:val="002C3BC9"/>
    <w:rsid w:val="002C4439"/>
    <w:rsid w:val="002C48C3"/>
    <w:rsid w:val="002C54DB"/>
    <w:rsid w:val="002D039F"/>
    <w:rsid w:val="002D0694"/>
    <w:rsid w:val="002D0B62"/>
    <w:rsid w:val="002D4ACE"/>
    <w:rsid w:val="002D5503"/>
    <w:rsid w:val="002D65A8"/>
    <w:rsid w:val="002D76B6"/>
    <w:rsid w:val="002E66D5"/>
    <w:rsid w:val="002F41E2"/>
    <w:rsid w:val="002F746E"/>
    <w:rsid w:val="00301C97"/>
    <w:rsid w:val="003063F6"/>
    <w:rsid w:val="00313030"/>
    <w:rsid w:val="00317540"/>
    <w:rsid w:val="00320C99"/>
    <w:rsid w:val="003274A9"/>
    <w:rsid w:val="00327D8B"/>
    <w:rsid w:val="003305F1"/>
    <w:rsid w:val="00331221"/>
    <w:rsid w:val="00346223"/>
    <w:rsid w:val="00346C74"/>
    <w:rsid w:val="00350AE6"/>
    <w:rsid w:val="00355510"/>
    <w:rsid w:val="00363610"/>
    <w:rsid w:val="003649EE"/>
    <w:rsid w:val="00371BC6"/>
    <w:rsid w:val="00373A15"/>
    <w:rsid w:val="00376C04"/>
    <w:rsid w:val="00381AB0"/>
    <w:rsid w:val="00383ACA"/>
    <w:rsid w:val="00384CB1"/>
    <w:rsid w:val="00386387"/>
    <w:rsid w:val="003869FA"/>
    <w:rsid w:val="00394A02"/>
    <w:rsid w:val="003966E8"/>
    <w:rsid w:val="003A1C26"/>
    <w:rsid w:val="003A7B88"/>
    <w:rsid w:val="003C4125"/>
    <w:rsid w:val="003C448D"/>
    <w:rsid w:val="003C7B20"/>
    <w:rsid w:val="003D075F"/>
    <w:rsid w:val="003D4AF2"/>
    <w:rsid w:val="003D5B4D"/>
    <w:rsid w:val="003E4565"/>
    <w:rsid w:val="003E5999"/>
    <w:rsid w:val="003E748F"/>
    <w:rsid w:val="003E7612"/>
    <w:rsid w:val="003F4BD2"/>
    <w:rsid w:val="003F7BF8"/>
    <w:rsid w:val="004044EF"/>
    <w:rsid w:val="00413FBC"/>
    <w:rsid w:val="00414423"/>
    <w:rsid w:val="0041733F"/>
    <w:rsid w:val="00420761"/>
    <w:rsid w:val="0043377F"/>
    <w:rsid w:val="00433853"/>
    <w:rsid w:val="00440B0D"/>
    <w:rsid w:val="004411AD"/>
    <w:rsid w:val="004424EF"/>
    <w:rsid w:val="00453BB0"/>
    <w:rsid w:val="00460162"/>
    <w:rsid w:val="004620A8"/>
    <w:rsid w:val="0046458E"/>
    <w:rsid w:val="00466BB5"/>
    <w:rsid w:val="004700CF"/>
    <w:rsid w:val="004715DF"/>
    <w:rsid w:val="00474C34"/>
    <w:rsid w:val="004821D0"/>
    <w:rsid w:val="00483BDA"/>
    <w:rsid w:val="00487444"/>
    <w:rsid w:val="00493C9C"/>
    <w:rsid w:val="004955C1"/>
    <w:rsid w:val="00495C7E"/>
    <w:rsid w:val="0049799B"/>
    <w:rsid w:val="004A06D1"/>
    <w:rsid w:val="004A0E04"/>
    <w:rsid w:val="004A11FC"/>
    <w:rsid w:val="004A1D1E"/>
    <w:rsid w:val="004B2C67"/>
    <w:rsid w:val="004B4F06"/>
    <w:rsid w:val="004C0224"/>
    <w:rsid w:val="004C053E"/>
    <w:rsid w:val="004C089F"/>
    <w:rsid w:val="004C1456"/>
    <w:rsid w:val="004C3255"/>
    <w:rsid w:val="004C3BAA"/>
    <w:rsid w:val="004C5B65"/>
    <w:rsid w:val="004C742D"/>
    <w:rsid w:val="004D07E1"/>
    <w:rsid w:val="004D1C19"/>
    <w:rsid w:val="004D60D1"/>
    <w:rsid w:val="004E4081"/>
    <w:rsid w:val="004E739A"/>
    <w:rsid w:val="004F29B8"/>
    <w:rsid w:val="004F3649"/>
    <w:rsid w:val="004F4BBB"/>
    <w:rsid w:val="004F4EFB"/>
    <w:rsid w:val="004F5333"/>
    <w:rsid w:val="004F5E26"/>
    <w:rsid w:val="0050413E"/>
    <w:rsid w:val="00512841"/>
    <w:rsid w:val="00515657"/>
    <w:rsid w:val="00515859"/>
    <w:rsid w:val="0051592B"/>
    <w:rsid w:val="00521275"/>
    <w:rsid w:val="0052216F"/>
    <w:rsid w:val="00523247"/>
    <w:rsid w:val="005232CA"/>
    <w:rsid w:val="00523636"/>
    <w:rsid w:val="00530CBB"/>
    <w:rsid w:val="0053111B"/>
    <w:rsid w:val="005335B9"/>
    <w:rsid w:val="00536CCE"/>
    <w:rsid w:val="00537F92"/>
    <w:rsid w:val="00542636"/>
    <w:rsid w:val="00545A99"/>
    <w:rsid w:val="00546CC5"/>
    <w:rsid w:val="00547EC6"/>
    <w:rsid w:val="00552CE5"/>
    <w:rsid w:val="005541E4"/>
    <w:rsid w:val="00554F60"/>
    <w:rsid w:val="00562B21"/>
    <w:rsid w:val="00562FE7"/>
    <w:rsid w:val="00564EAA"/>
    <w:rsid w:val="0057094A"/>
    <w:rsid w:val="00570BD4"/>
    <w:rsid w:val="00572790"/>
    <w:rsid w:val="00572961"/>
    <w:rsid w:val="0057450D"/>
    <w:rsid w:val="0058302A"/>
    <w:rsid w:val="00583305"/>
    <w:rsid w:val="00585A6B"/>
    <w:rsid w:val="0058792C"/>
    <w:rsid w:val="0059033C"/>
    <w:rsid w:val="005A175A"/>
    <w:rsid w:val="005A7200"/>
    <w:rsid w:val="005B04F3"/>
    <w:rsid w:val="005B1476"/>
    <w:rsid w:val="005B1D3C"/>
    <w:rsid w:val="005B3B9A"/>
    <w:rsid w:val="005B4497"/>
    <w:rsid w:val="005B6C71"/>
    <w:rsid w:val="005B7338"/>
    <w:rsid w:val="005C02AB"/>
    <w:rsid w:val="005C5FC3"/>
    <w:rsid w:val="005D0D2E"/>
    <w:rsid w:val="005D0F04"/>
    <w:rsid w:val="005D2204"/>
    <w:rsid w:val="005D680F"/>
    <w:rsid w:val="005F12F0"/>
    <w:rsid w:val="005F1AAD"/>
    <w:rsid w:val="005F3273"/>
    <w:rsid w:val="005F34A3"/>
    <w:rsid w:val="00601DF9"/>
    <w:rsid w:val="00602C6C"/>
    <w:rsid w:val="006107DE"/>
    <w:rsid w:val="00610CF2"/>
    <w:rsid w:val="00615A9C"/>
    <w:rsid w:val="00617802"/>
    <w:rsid w:val="006201CE"/>
    <w:rsid w:val="006328DE"/>
    <w:rsid w:val="006353DE"/>
    <w:rsid w:val="00640671"/>
    <w:rsid w:val="006432CB"/>
    <w:rsid w:val="00646B55"/>
    <w:rsid w:val="006479F1"/>
    <w:rsid w:val="0065055D"/>
    <w:rsid w:val="00650BEE"/>
    <w:rsid w:val="00651B0B"/>
    <w:rsid w:val="006520FA"/>
    <w:rsid w:val="0065377D"/>
    <w:rsid w:val="00661120"/>
    <w:rsid w:val="00666F57"/>
    <w:rsid w:val="006740A7"/>
    <w:rsid w:val="006767D5"/>
    <w:rsid w:val="00691524"/>
    <w:rsid w:val="006926DF"/>
    <w:rsid w:val="00697E61"/>
    <w:rsid w:val="006A2730"/>
    <w:rsid w:val="006A5CFB"/>
    <w:rsid w:val="006A654B"/>
    <w:rsid w:val="006B769C"/>
    <w:rsid w:val="006C4BB3"/>
    <w:rsid w:val="006D4068"/>
    <w:rsid w:val="006E0E32"/>
    <w:rsid w:val="006E2924"/>
    <w:rsid w:val="006E45BF"/>
    <w:rsid w:val="006E4E7C"/>
    <w:rsid w:val="006E7A26"/>
    <w:rsid w:val="006F04EF"/>
    <w:rsid w:val="006F2B3D"/>
    <w:rsid w:val="006F6A4F"/>
    <w:rsid w:val="006F761A"/>
    <w:rsid w:val="006F7749"/>
    <w:rsid w:val="007016DF"/>
    <w:rsid w:val="007038D4"/>
    <w:rsid w:val="00704287"/>
    <w:rsid w:val="007052CC"/>
    <w:rsid w:val="00715C4B"/>
    <w:rsid w:val="00721BC6"/>
    <w:rsid w:val="00722965"/>
    <w:rsid w:val="00724400"/>
    <w:rsid w:val="007319E0"/>
    <w:rsid w:val="00731FBF"/>
    <w:rsid w:val="007328A2"/>
    <w:rsid w:val="00732A10"/>
    <w:rsid w:val="007345AA"/>
    <w:rsid w:val="00735C21"/>
    <w:rsid w:val="00737B00"/>
    <w:rsid w:val="007435A3"/>
    <w:rsid w:val="00744E75"/>
    <w:rsid w:val="00747DB4"/>
    <w:rsid w:val="0075155C"/>
    <w:rsid w:val="0075174D"/>
    <w:rsid w:val="00753A05"/>
    <w:rsid w:val="0075586B"/>
    <w:rsid w:val="00757193"/>
    <w:rsid w:val="007606E1"/>
    <w:rsid w:val="00761190"/>
    <w:rsid w:val="00766FD7"/>
    <w:rsid w:val="00770BE9"/>
    <w:rsid w:val="00774DE5"/>
    <w:rsid w:val="00776537"/>
    <w:rsid w:val="00780C90"/>
    <w:rsid w:val="00782137"/>
    <w:rsid w:val="00783A25"/>
    <w:rsid w:val="007843DB"/>
    <w:rsid w:val="007877F4"/>
    <w:rsid w:val="007908BE"/>
    <w:rsid w:val="007966DA"/>
    <w:rsid w:val="007A6A3A"/>
    <w:rsid w:val="007B2492"/>
    <w:rsid w:val="007B394B"/>
    <w:rsid w:val="007B6BAE"/>
    <w:rsid w:val="007C10AC"/>
    <w:rsid w:val="007C5623"/>
    <w:rsid w:val="007C6FC5"/>
    <w:rsid w:val="007C74B9"/>
    <w:rsid w:val="007D441A"/>
    <w:rsid w:val="007D518C"/>
    <w:rsid w:val="007E0D70"/>
    <w:rsid w:val="007E1B5E"/>
    <w:rsid w:val="007E6253"/>
    <w:rsid w:val="007F0DF8"/>
    <w:rsid w:val="007F2278"/>
    <w:rsid w:val="007F46DF"/>
    <w:rsid w:val="008006AB"/>
    <w:rsid w:val="00803014"/>
    <w:rsid w:val="00805783"/>
    <w:rsid w:val="00806CEF"/>
    <w:rsid w:val="00806F57"/>
    <w:rsid w:val="00806F90"/>
    <w:rsid w:val="00814156"/>
    <w:rsid w:val="00815AB6"/>
    <w:rsid w:val="008246FC"/>
    <w:rsid w:val="00824C19"/>
    <w:rsid w:val="00824E08"/>
    <w:rsid w:val="00826250"/>
    <w:rsid w:val="0083056F"/>
    <w:rsid w:val="008343E5"/>
    <w:rsid w:val="008378D1"/>
    <w:rsid w:val="00843C13"/>
    <w:rsid w:val="00846462"/>
    <w:rsid w:val="00847383"/>
    <w:rsid w:val="00860742"/>
    <w:rsid w:val="00862B69"/>
    <w:rsid w:val="00862B6B"/>
    <w:rsid w:val="00863910"/>
    <w:rsid w:val="0086691F"/>
    <w:rsid w:val="00867929"/>
    <w:rsid w:val="008722B1"/>
    <w:rsid w:val="00872730"/>
    <w:rsid w:val="00883DB0"/>
    <w:rsid w:val="008843BC"/>
    <w:rsid w:val="00884C8F"/>
    <w:rsid w:val="008927AD"/>
    <w:rsid w:val="00893A33"/>
    <w:rsid w:val="00896D38"/>
    <w:rsid w:val="008A0216"/>
    <w:rsid w:val="008A0650"/>
    <w:rsid w:val="008A1208"/>
    <w:rsid w:val="008A1C43"/>
    <w:rsid w:val="008A59EF"/>
    <w:rsid w:val="008B0240"/>
    <w:rsid w:val="008B0349"/>
    <w:rsid w:val="008B1481"/>
    <w:rsid w:val="008B32BC"/>
    <w:rsid w:val="008B5DE8"/>
    <w:rsid w:val="008B6642"/>
    <w:rsid w:val="008C076B"/>
    <w:rsid w:val="008C2456"/>
    <w:rsid w:val="008C3296"/>
    <w:rsid w:val="008C3413"/>
    <w:rsid w:val="008D2BD9"/>
    <w:rsid w:val="008D6C74"/>
    <w:rsid w:val="008E2913"/>
    <w:rsid w:val="008E2C22"/>
    <w:rsid w:val="008E2D03"/>
    <w:rsid w:val="008E7BDF"/>
    <w:rsid w:val="008F2BB5"/>
    <w:rsid w:val="008F425D"/>
    <w:rsid w:val="008F43E4"/>
    <w:rsid w:val="008F5472"/>
    <w:rsid w:val="008F5D0F"/>
    <w:rsid w:val="00907874"/>
    <w:rsid w:val="00911686"/>
    <w:rsid w:val="009122E0"/>
    <w:rsid w:val="00913351"/>
    <w:rsid w:val="00914C15"/>
    <w:rsid w:val="00917344"/>
    <w:rsid w:val="00923D95"/>
    <w:rsid w:val="009248ED"/>
    <w:rsid w:val="009264B1"/>
    <w:rsid w:val="009331FA"/>
    <w:rsid w:val="00941874"/>
    <w:rsid w:val="0094294B"/>
    <w:rsid w:val="00946C87"/>
    <w:rsid w:val="0095295A"/>
    <w:rsid w:val="00957134"/>
    <w:rsid w:val="0096193C"/>
    <w:rsid w:val="009769E1"/>
    <w:rsid w:val="00977E0D"/>
    <w:rsid w:val="0098143C"/>
    <w:rsid w:val="00982D5C"/>
    <w:rsid w:val="00986132"/>
    <w:rsid w:val="00986C04"/>
    <w:rsid w:val="009932F9"/>
    <w:rsid w:val="009A02E7"/>
    <w:rsid w:val="009A11E3"/>
    <w:rsid w:val="009A2F76"/>
    <w:rsid w:val="009A7BA6"/>
    <w:rsid w:val="009B0F1B"/>
    <w:rsid w:val="009B1250"/>
    <w:rsid w:val="009B378F"/>
    <w:rsid w:val="009B6787"/>
    <w:rsid w:val="009C600E"/>
    <w:rsid w:val="009C7B18"/>
    <w:rsid w:val="009D00AA"/>
    <w:rsid w:val="009D0B10"/>
    <w:rsid w:val="009D2AC2"/>
    <w:rsid w:val="009E1774"/>
    <w:rsid w:val="009E2668"/>
    <w:rsid w:val="009E40A3"/>
    <w:rsid w:val="009E5C8C"/>
    <w:rsid w:val="009F10B1"/>
    <w:rsid w:val="009F2F21"/>
    <w:rsid w:val="009F3D89"/>
    <w:rsid w:val="009F47E3"/>
    <w:rsid w:val="009F6938"/>
    <w:rsid w:val="00A0537D"/>
    <w:rsid w:val="00A055AB"/>
    <w:rsid w:val="00A05AE9"/>
    <w:rsid w:val="00A069AD"/>
    <w:rsid w:val="00A07CEC"/>
    <w:rsid w:val="00A1297E"/>
    <w:rsid w:val="00A171EB"/>
    <w:rsid w:val="00A17A85"/>
    <w:rsid w:val="00A20856"/>
    <w:rsid w:val="00A24399"/>
    <w:rsid w:val="00A24CA5"/>
    <w:rsid w:val="00A252DF"/>
    <w:rsid w:val="00A27E35"/>
    <w:rsid w:val="00A31815"/>
    <w:rsid w:val="00A33D4D"/>
    <w:rsid w:val="00A33D6D"/>
    <w:rsid w:val="00A36AEC"/>
    <w:rsid w:val="00A37345"/>
    <w:rsid w:val="00A40AAE"/>
    <w:rsid w:val="00A40EA9"/>
    <w:rsid w:val="00A4532A"/>
    <w:rsid w:val="00A46BEE"/>
    <w:rsid w:val="00A46E28"/>
    <w:rsid w:val="00A5206D"/>
    <w:rsid w:val="00A55E9E"/>
    <w:rsid w:val="00A635A7"/>
    <w:rsid w:val="00A652D9"/>
    <w:rsid w:val="00A67E9B"/>
    <w:rsid w:val="00A72E47"/>
    <w:rsid w:val="00A74DBA"/>
    <w:rsid w:val="00A750A5"/>
    <w:rsid w:val="00A778F1"/>
    <w:rsid w:val="00A90956"/>
    <w:rsid w:val="00A95404"/>
    <w:rsid w:val="00A954C6"/>
    <w:rsid w:val="00A968C5"/>
    <w:rsid w:val="00AA3C28"/>
    <w:rsid w:val="00AA65E5"/>
    <w:rsid w:val="00AA759D"/>
    <w:rsid w:val="00AB1592"/>
    <w:rsid w:val="00AB2786"/>
    <w:rsid w:val="00AB5BEE"/>
    <w:rsid w:val="00AC2EAA"/>
    <w:rsid w:val="00AC373F"/>
    <w:rsid w:val="00AC550F"/>
    <w:rsid w:val="00AD4308"/>
    <w:rsid w:val="00AD6611"/>
    <w:rsid w:val="00AE046A"/>
    <w:rsid w:val="00AE6719"/>
    <w:rsid w:val="00AE6C5D"/>
    <w:rsid w:val="00AF021F"/>
    <w:rsid w:val="00AF114B"/>
    <w:rsid w:val="00AF2A33"/>
    <w:rsid w:val="00AF4C2D"/>
    <w:rsid w:val="00AF4FD7"/>
    <w:rsid w:val="00B014C7"/>
    <w:rsid w:val="00B01FB8"/>
    <w:rsid w:val="00B02C51"/>
    <w:rsid w:val="00B0321E"/>
    <w:rsid w:val="00B03EFA"/>
    <w:rsid w:val="00B16C8C"/>
    <w:rsid w:val="00B171E7"/>
    <w:rsid w:val="00B309DD"/>
    <w:rsid w:val="00B31E9D"/>
    <w:rsid w:val="00B3574C"/>
    <w:rsid w:val="00B36621"/>
    <w:rsid w:val="00B36D64"/>
    <w:rsid w:val="00B40539"/>
    <w:rsid w:val="00B412C8"/>
    <w:rsid w:val="00B41B48"/>
    <w:rsid w:val="00B425CC"/>
    <w:rsid w:val="00B42711"/>
    <w:rsid w:val="00B43CAA"/>
    <w:rsid w:val="00B442F8"/>
    <w:rsid w:val="00B509DC"/>
    <w:rsid w:val="00B5567C"/>
    <w:rsid w:val="00B55E1D"/>
    <w:rsid w:val="00B56194"/>
    <w:rsid w:val="00B60F41"/>
    <w:rsid w:val="00B616F6"/>
    <w:rsid w:val="00B61A34"/>
    <w:rsid w:val="00B62FDC"/>
    <w:rsid w:val="00B64E8E"/>
    <w:rsid w:val="00B65E8B"/>
    <w:rsid w:val="00B677A0"/>
    <w:rsid w:val="00B7141E"/>
    <w:rsid w:val="00B75C92"/>
    <w:rsid w:val="00B8025A"/>
    <w:rsid w:val="00B827B1"/>
    <w:rsid w:val="00B9116F"/>
    <w:rsid w:val="00B9408D"/>
    <w:rsid w:val="00B94698"/>
    <w:rsid w:val="00BA026B"/>
    <w:rsid w:val="00BA51C0"/>
    <w:rsid w:val="00BB23A4"/>
    <w:rsid w:val="00BB6332"/>
    <w:rsid w:val="00BC0F5C"/>
    <w:rsid w:val="00BC2276"/>
    <w:rsid w:val="00BD1B08"/>
    <w:rsid w:val="00BD1BFF"/>
    <w:rsid w:val="00BD2150"/>
    <w:rsid w:val="00BE1CC3"/>
    <w:rsid w:val="00BE1CDE"/>
    <w:rsid w:val="00BE365A"/>
    <w:rsid w:val="00BE47C4"/>
    <w:rsid w:val="00BE4CDC"/>
    <w:rsid w:val="00BE50EF"/>
    <w:rsid w:val="00C052A2"/>
    <w:rsid w:val="00C06A4A"/>
    <w:rsid w:val="00C131AA"/>
    <w:rsid w:val="00C1391A"/>
    <w:rsid w:val="00C14CE6"/>
    <w:rsid w:val="00C15218"/>
    <w:rsid w:val="00C21D51"/>
    <w:rsid w:val="00C22BB2"/>
    <w:rsid w:val="00C22F76"/>
    <w:rsid w:val="00C2725D"/>
    <w:rsid w:val="00C31771"/>
    <w:rsid w:val="00C31E79"/>
    <w:rsid w:val="00C35D84"/>
    <w:rsid w:val="00C403C9"/>
    <w:rsid w:val="00C42033"/>
    <w:rsid w:val="00C464DD"/>
    <w:rsid w:val="00C52423"/>
    <w:rsid w:val="00C52DB6"/>
    <w:rsid w:val="00C53A40"/>
    <w:rsid w:val="00C60D8E"/>
    <w:rsid w:val="00C62EF9"/>
    <w:rsid w:val="00C650F5"/>
    <w:rsid w:val="00C672B6"/>
    <w:rsid w:val="00C75600"/>
    <w:rsid w:val="00C76854"/>
    <w:rsid w:val="00C847BD"/>
    <w:rsid w:val="00C900C5"/>
    <w:rsid w:val="00C92AE0"/>
    <w:rsid w:val="00C92C12"/>
    <w:rsid w:val="00C93BC6"/>
    <w:rsid w:val="00C943B4"/>
    <w:rsid w:val="00C97C0D"/>
    <w:rsid w:val="00CA2BB0"/>
    <w:rsid w:val="00CA450F"/>
    <w:rsid w:val="00CA4BBC"/>
    <w:rsid w:val="00CA719D"/>
    <w:rsid w:val="00CA7E8C"/>
    <w:rsid w:val="00CB298A"/>
    <w:rsid w:val="00CB2B1E"/>
    <w:rsid w:val="00CC053E"/>
    <w:rsid w:val="00CC05C5"/>
    <w:rsid w:val="00CC1E2C"/>
    <w:rsid w:val="00CC213B"/>
    <w:rsid w:val="00CC3E8B"/>
    <w:rsid w:val="00CC4E84"/>
    <w:rsid w:val="00CC6304"/>
    <w:rsid w:val="00CD5641"/>
    <w:rsid w:val="00CD76BE"/>
    <w:rsid w:val="00CE07C5"/>
    <w:rsid w:val="00CE11A2"/>
    <w:rsid w:val="00CE1E7B"/>
    <w:rsid w:val="00CE1F38"/>
    <w:rsid w:val="00CE474E"/>
    <w:rsid w:val="00CE4CEF"/>
    <w:rsid w:val="00CE64AC"/>
    <w:rsid w:val="00CE7DFC"/>
    <w:rsid w:val="00CF02D3"/>
    <w:rsid w:val="00CF060B"/>
    <w:rsid w:val="00CF1FCA"/>
    <w:rsid w:val="00CF49BA"/>
    <w:rsid w:val="00CF6A57"/>
    <w:rsid w:val="00CF7718"/>
    <w:rsid w:val="00D0025B"/>
    <w:rsid w:val="00D0701A"/>
    <w:rsid w:val="00D10888"/>
    <w:rsid w:val="00D10EE5"/>
    <w:rsid w:val="00D177F1"/>
    <w:rsid w:val="00D21209"/>
    <w:rsid w:val="00D21377"/>
    <w:rsid w:val="00D21DF3"/>
    <w:rsid w:val="00D22A31"/>
    <w:rsid w:val="00D24E82"/>
    <w:rsid w:val="00D25E6B"/>
    <w:rsid w:val="00D26510"/>
    <w:rsid w:val="00D32015"/>
    <w:rsid w:val="00D323B5"/>
    <w:rsid w:val="00D344F9"/>
    <w:rsid w:val="00D42ACC"/>
    <w:rsid w:val="00D46BC5"/>
    <w:rsid w:val="00D50FBE"/>
    <w:rsid w:val="00D51DC5"/>
    <w:rsid w:val="00D53449"/>
    <w:rsid w:val="00D5525A"/>
    <w:rsid w:val="00D613E0"/>
    <w:rsid w:val="00D676D7"/>
    <w:rsid w:val="00D7007A"/>
    <w:rsid w:val="00D71517"/>
    <w:rsid w:val="00D7168D"/>
    <w:rsid w:val="00D71A15"/>
    <w:rsid w:val="00D83D1B"/>
    <w:rsid w:val="00D86A32"/>
    <w:rsid w:val="00D874E1"/>
    <w:rsid w:val="00D92B5D"/>
    <w:rsid w:val="00D950BE"/>
    <w:rsid w:val="00D9586D"/>
    <w:rsid w:val="00D95A8C"/>
    <w:rsid w:val="00D964B9"/>
    <w:rsid w:val="00D9749C"/>
    <w:rsid w:val="00DA4C43"/>
    <w:rsid w:val="00DA51B2"/>
    <w:rsid w:val="00DA647E"/>
    <w:rsid w:val="00DA6965"/>
    <w:rsid w:val="00DB0932"/>
    <w:rsid w:val="00DB293E"/>
    <w:rsid w:val="00DB3DBB"/>
    <w:rsid w:val="00DB53E0"/>
    <w:rsid w:val="00DC2506"/>
    <w:rsid w:val="00DC4290"/>
    <w:rsid w:val="00DC49FA"/>
    <w:rsid w:val="00DD3D6B"/>
    <w:rsid w:val="00DD4467"/>
    <w:rsid w:val="00DD5418"/>
    <w:rsid w:val="00DD61C8"/>
    <w:rsid w:val="00DD772B"/>
    <w:rsid w:val="00DE2A3B"/>
    <w:rsid w:val="00DF2A07"/>
    <w:rsid w:val="00DF5B53"/>
    <w:rsid w:val="00DF742A"/>
    <w:rsid w:val="00E030F5"/>
    <w:rsid w:val="00E041F4"/>
    <w:rsid w:val="00E050BA"/>
    <w:rsid w:val="00E06CBE"/>
    <w:rsid w:val="00E076AC"/>
    <w:rsid w:val="00E16655"/>
    <w:rsid w:val="00E16A6B"/>
    <w:rsid w:val="00E21275"/>
    <w:rsid w:val="00E25442"/>
    <w:rsid w:val="00E25A1F"/>
    <w:rsid w:val="00E25D27"/>
    <w:rsid w:val="00E3288B"/>
    <w:rsid w:val="00E34E6A"/>
    <w:rsid w:val="00E35B72"/>
    <w:rsid w:val="00E36974"/>
    <w:rsid w:val="00E37B54"/>
    <w:rsid w:val="00E37EEB"/>
    <w:rsid w:val="00E440B3"/>
    <w:rsid w:val="00E5153D"/>
    <w:rsid w:val="00E56134"/>
    <w:rsid w:val="00E56B5D"/>
    <w:rsid w:val="00E62331"/>
    <w:rsid w:val="00E63A20"/>
    <w:rsid w:val="00E66265"/>
    <w:rsid w:val="00E710FB"/>
    <w:rsid w:val="00E730F1"/>
    <w:rsid w:val="00E73CC9"/>
    <w:rsid w:val="00E75847"/>
    <w:rsid w:val="00E76FCC"/>
    <w:rsid w:val="00E80528"/>
    <w:rsid w:val="00E806D9"/>
    <w:rsid w:val="00E816C7"/>
    <w:rsid w:val="00E82CA2"/>
    <w:rsid w:val="00E94E5A"/>
    <w:rsid w:val="00E95594"/>
    <w:rsid w:val="00E95A55"/>
    <w:rsid w:val="00EA0B27"/>
    <w:rsid w:val="00EA2525"/>
    <w:rsid w:val="00EA31C3"/>
    <w:rsid w:val="00EA4947"/>
    <w:rsid w:val="00EA4B1B"/>
    <w:rsid w:val="00EB33AC"/>
    <w:rsid w:val="00EC25DE"/>
    <w:rsid w:val="00EC669D"/>
    <w:rsid w:val="00EC6F21"/>
    <w:rsid w:val="00EC7887"/>
    <w:rsid w:val="00ED2708"/>
    <w:rsid w:val="00ED2D39"/>
    <w:rsid w:val="00ED3A3A"/>
    <w:rsid w:val="00EE0913"/>
    <w:rsid w:val="00EF23C4"/>
    <w:rsid w:val="00EF2DB0"/>
    <w:rsid w:val="00EF2DD4"/>
    <w:rsid w:val="00EF36AA"/>
    <w:rsid w:val="00EF5D84"/>
    <w:rsid w:val="00EF695D"/>
    <w:rsid w:val="00EF6CA2"/>
    <w:rsid w:val="00F00FBA"/>
    <w:rsid w:val="00F01440"/>
    <w:rsid w:val="00F020E7"/>
    <w:rsid w:val="00F03676"/>
    <w:rsid w:val="00F04C64"/>
    <w:rsid w:val="00F057A4"/>
    <w:rsid w:val="00F13305"/>
    <w:rsid w:val="00F1516C"/>
    <w:rsid w:val="00F170F1"/>
    <w:rsid w:val="00F26864"/>
    <w:rsid w:val="00F3596A"/>
    <w:rsid w:val="00F36446"/>
    <w:rsid w:val="00F40463"/>
    <w:rsid w:val="00F44A01"/>
    <w:rsid w:val="00F50336"/>
    <w:rsid w:val="00F55E5B"/>
    <w:rsid w:val="00F569BC"/>
    <w:rsid w:val="00F6174D"/>
    <w:rsid w:val="00F62E3F"/>
    <w:rsid w:val="00F66D76"/>
    <w:rsid w:val="00F66E5C"/>
    <w:rsid w:val="00F67F90"/>
    <w:rsid w:val="00F708D7"/>
    <w:rsid w:val="00F7756E"/>
    <w:rsid w:val="00F77B3E"/>
    <w:rsid w:val="00F833CB"/>
    <w:rsid w:val="00F87754"/>
    <w:rsid w:val="00F90A4B"/>
    <w:rsid w:val="00F90C56"/>
    <w:rsid w:val="00F94B3C"/>
    <w:rsid w:val="00FA7A95"/>
    <w:rsid w:val="00FB089D"/>
    <w:rsid w:val="00FB282B"/>
    <w:rsid w:val="00FB4F96"/>
    <w:rsid w:val="00FC1CE4"/>
    <w:rsid w:val="00FD4C0F"/>
    <w:rsid w:val="00FD594E"/>
    <w:rsid w:val="00FD75B9"/>
    <w:rsid w:val="00FE0315"/>
    <w:rsid w:val="00FE1E08"/>
    <w:rsid w:val="00FE31B8"/>
    <w:rsid w:val="00FE5FE8"/>
    <w:rsid w:val="00FE6AEC"/>
    <w:rsid w:val="00FF0C55"/>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6611"/>
    <w:pPr>
      <w:spacing w:line="320" w:lineRule="exact"/>
      <w:jc w:val="both"/>
    </w:pPr>
    <w:rPr>
      <w:rFonts w:eastAsia="宋体"/>
      <w:kern w:val="14"/>
      <w:sz w:val="21"/>
      <w:lang w:val="en-US"/>
    </w:rPr>
  </w:style>
  <w:style w:type="paragraph" w:styleId="1">
    <w:name w:val="heading 1"/>
    <w:basedOn w:val="a"/>
    <w:next w:val="HCh"/>
    <w:link w:val="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986132"/>
    <w:pPr>
      <w:keepNext/>
      <w:keepLines/>
      <w:suppressAutoHyphens/>
      <w:outlineLvl w:val="0"/>
    </w:pPr>
    <w:rPr>
      <w:rFonts w:ascii="黑体" w:eastAsia="黑体"/>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a"/>
    <w:qFormat/>
    <w:rsid w:val="001E5A51"/>
    <w:rPr>
      <w:sz w:val="34"/>
    </w:rPr>
  </w:style>
  <w:style w:type="paragraph" w:customStyle="1" w:styleId="H23">
    <w:name w:val="_ H_2/3"/>
    <w:basedOn w:val="a"/>
    <w:next w:val="a"/>
    <w:qFormat/>
    <w:rsid w:val="00986132"/>
    <w:pPr>
      <w:outlineLvl w:val="1"/>
    </w:pPr>
    <w:rPr>
      <w:rFonts w:ascii="黑体" w:eastAsia="黑体"/>
      <w:spacing w:val="2"/>
    </w:rPr>
  </w:style>
  <w:style w:type="paragraph" w:customStyle="1" w:styleId="H4">
    <w:name w:val="_ H_4"/>
    <w:basedOn w:val="a"/>
    <w:next w:val="a"/>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
    <w:next w:val="a"/>
    <w:qFormat/>
    <w:rsid w:val="001E5A51"/>
    <w:pPr>
      <w:keepNext/>
      <w:keepLines/>
      <w:tabs>
        <w:tab w:val="right" w:pos="360"/>
      </w:tabs>
      <w:suppressAutoHyphens/>
      <w:outlineLvl w:val="4"/>
    </w:pPr>
    <w:rPr>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
    <w:qFormat/>
    <w:rsid w:val="001E5A51"/>
    <w:pPr>
      <w:spacing w:line="640" w:lineRule="exact"/>
    </w:pPr>
    <w:rPr>
      <w:spacing w:val="-8"/>
      <w:w w:val="96"/>
      <w:sz w:val="57"/>
    </w:rPr>
  </w:style>
  <w:style w:type="paragraph" w:customStyle="1" w:styleId="SS">
    <w:name w:val="__S_S"/>
    <w:basedOn w:val="HCh"/>
    <w:next w:val="a"/>
    <w:qFormat/>
    <w:rsid w:val="001E5A51"/>
    <w:pPr>
      <w:ind w:left="1264" w:right="1264"/>
    </w:pPr>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basedOn w:val="a0"/>
    <w:semiHidden/>
    <w:rsid w:val="00313030"/>
    <w:rPr>
      <w:color w:val="auto"/>
      <w:spacing w:val="0"/>
      <w:w w:val="150"/>
      <w:position w:val="0"/>
      <w:vertAlign w:val="superscript"/>
    </w:rPr>
  </w:style>
  <w:style w:type="character" w:styleId="a4">
    <w:name w:val="endnote reference"/>
    <w:basedOn w:val="a3"/>
    <w:rsid w:val="00AD6611"/>
    <w:rPr>
      <w:color w:val="auto"/>
      <w:spacing w:val="0"/>
      <w:w w:val="150"/>
      <w:position w:val="0"/>
      <w:vertAlign w:val="superscript"/>
    </w:rPr>
  </w:style>
  <w:style w:type="paragraph" w:styleId="a5">
    <w:name w:val="footnote text"/>
    <w:basedOn w:val="a"/>
    <w:semiHidden/>
    <w:rsid w:val="001E5A51"/>
    <w:pPr>
      <w:tabs>
        <w:tab w:val="right" w:pos="418"/>
      </w:tabs>
      <w:spacing w:after="120" w:line="240" w:lineRule="exact"/>
      <w:ind w:left="170" w:hanging="170"/>
    </w:pPr>
    <w:rPr>
      <w:noProof/>
      <w:sz w:val="18"/>
    </w:rPr>
  </w:style>
  <w:style w:type="paragraph" w:styleId="a6">
    <w:name w:val="endnote text"/>
    <w:basedOn w:val="a5"/>
    <w:semiHidden/>
    <w:rsid w:val="001E5A51"/>
  </w:style>
  <w:style w:type="paragraph" w:styleId="a7">
    <w:name w:val="annotation text"/>
    <w:basedOn w:val="a"/>
    <w:semiHidden/>
    <w:rsid w:val="001E5A51"/>
  </w:style>
  <w:style w:type="paragraph" w:styleId="a8">
    <w:name w:val="annotation subject"/>
    <w:basedOn w:val="a7"/>
    <w:next w:val="a7"/>
    <w:semiHidden/>
    <w:rsid w:val="001E5A51"/>
    <w:rPr>
      <w:b/>
      <w:bCs/>
    </w:rPr>
  </w:style>
  <w:style w:type="character" w:styleId="a9">
    <w:name w:val="annotation reference"/>
    <w:basedOn w:val="a0"/>
    <w:semiHidden/>
    <w:rsid w:val="001E5A51"/>
    <w:rPr>
      <w:sz w:val="21"/>
      <w:szCs w:val="21"/>
    </w:rPr>
  </w:style>
  <w:style w:type="paragraph" w:styleId="aa">
    <w:name w:val="Balloon Text"/>
    <w:basedOn w:val="a"/>
    <w:semiHidden/>
    <w:rsid w:val="001E5A51"/>
    <w:rPr>
      <w:sz w:val="18"/>
      <w:szCs w:val="18"/>
    </w:rPr>
  </w:style>
  <w:style w:type="paragraph" w:customStyle="1" w:styleId="1211022234">
    <w:name w:val="样式 尾注文本 + 左侧:  1.21 厘米 悬挂缩进: 1.02 厘米 右侧:  2.23 厘米 段后: 4 磅"/>
    <w:basedOn w:val="a6"/>
    <w:rsid w:val="001E5A51"/>
    <w:pPr>
      <w:ind w:left="1264" w:right="1264" w:hanging="578"/>
    </w:pPr>
    <w:rPr>
      <w:rFonts w:cs="宋体"/>
    </w:rPr>
  </w:style>
  <w:style w:type="paragraph" w:customStyle="1" w:styleId="12110222341">
    <w:name w:val="样式 尾注文本 + 左侧:  1.21 厘米 悬挂缩进: 1.02 厘米 右侧:  2.23 厘米 段后: 4 磅1"/>
    <w:basedOn w:val="a6"/>
    <w:rsid w:val="001E5A51"/>
    <w:pPr>
      <w:ind w:left="1264" w:right="1264" w:hanging="578"/>
    </w:pPr>
    <w:rPr>
      <w:rFonts w:cs="宋体"/>
    </w:rPr>
  </w:style>
  <w:style w:type="paragraph" w:styleId="ab">
    <w:name w:val="header"/>
    <w:rsid w:val="001E5A51"/>
    <w:pPr>
      <w:tabs>
        <w:tab w:val="center" w:pos="4320"/>
        <w:tab w:val="right" w:pos="8640"/>
      </w:tabs>
      <w:jc w:val="both"/>
    </w:pPr>
    <w:rPr>
      <w:noProof/>
      <w:sz w:val="18"/>
      <w:lang w:val="en-US"/>
    </w:rPr>
  </w:style>
  <w:style w:type="paragraph" w:styleId="ac">
    <w:name w:val="footer"/>
    <w:rsid w:val="001E5A51"/>
    <w:pPr>
      <w:tabs>
        <w:tab w:val="center" w:pos="4320"/>
        <w:tab w:val="right" w:pos="8640"/>
      </w:tabs>
      <w:jc w:val="both"/>
    </w:pPr>
    <w:rPr>
      <w:b/>
      <w:noProof/>
      <w:sz w:val="18"/>
      <w:szCs w:val="18"/>
      <w:lang w:val="en-US"/>
    </w:rPr>
  </w:style>
  <w:style w:type="character" w:styleId="ad">
    <w:name w:val="Hyperlink"/>
    <w:basedOn w:val="a0"/>
    <w:rsid w:val="00036F1B"/>
    <w:rPr>
      <w:color w:val="0000FF"/>
      <w:u w:val="none"/>
    </w:rPr>
  </w:style>
  <w:style w:type="character" w:styleId="ae">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af"/>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
    <w:name w:val="Normal (Web)"/>
    <w:basedOn w:val="a"/>
    <w:rsid w:val="001944A4"/>
    <w:rPr>
      <w:sz w:val="24"/>
      <w:szCs w:val="24"/>
    </w:rPr>
  </w:style>
  <w:style w:type="character" w:customStyle="1" w:styleId="1Char">
    <w:name w:val="标题 1 Char"/>
    <w:basedOn w:val="a0"/>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Char">
    <w:name w:val="标题 2 Char"/>
    <w:basedOn w:val="a0"/>
    <w:link w:val="2"/>
    <w:rsid w:val="005B04F3"/>
    <w:rPr>
      <w:rFonts w:ascii="黑体" w:eastAsiaTheme="majorEastAsia" w:hAnsi="黑体" w:cstheme="majorBidi"/>
      <w:b/>
      <w:bCs/>
      <w:kern w:val="14"/>
      <w:sz w:val="28"/>
      <w:szCs w:val="26"/>
      <w:lang w:val="en-US"/>
    </w:rPr>
  </w:style>
  <w:style w:type="character" w:customStyle="1" w:styleId="3Char">
    <w:name w:val="标题 3 Char"/>
    <w:basedOn w:val="a0"/>
    <w:link w:val="3"/>
    <w:rsid w:val="005B04F3"/>
    <w:rPr>
      <w:rFonts w:asciiTheme="minorEastAsia" w:eastAsiaTheme="majorEastAsia" w:hAnsiTheme="minorEastAsia" w:cstheme="majorBidi"/>
      <w:b/>
      <w:bCs/>
      <w:kern w:val="14"/>
      <w:sz w:val="32"/>
      <w:lang w:val="en-US"/>
    </w:rPr>
  </w:style>
  <w:style w:type="paragraph" w:customStyle="1" w:styleId="10">
    <w:name w:val="日刊标题1"/>
    <w:basedOn w:val="a"/>
    <w:qFormat/>
    <w:rsid w:val="009D00AA"/>
    <w:pPr>
      <w:spacing w:line="560" w:lineRule="exact"/>
    </w:pPr>
    <w:rPr>
      <w:rFonts w:ascii="黑体" w:eastAsia="黑体" w:hAnsi="黑体"/>
      <w:sz w:val="36"/>
    </w:rPr>
  </w:style>
  <w:style w:type="paragraph" w:customStyle="1" w:styleId="20">
    <w:name w:val="日刊标题2"/>
    <w:basedOn w:val="a"/>
    <w:next w:val="a"/>
    <w:qFormat/>
    <w:rsid w:val="009D00AA"/>
    <w:pPr>
      <w:spacing w:line="400" w:lineRule="exact"/>
    </w:pPr>
    <w:rPr>
      <w:rFonts w:ascii="黑体" w:hAnsi="黑体"/>
      <w:sz w:val="28"/>
    </w:rPr>
  </w:style>
  <w:style w:type="paragraph" w:customStyle="1" w:styleId="30">
    <w:name w:val="日刊标题3"/>
    <w:basedOn w:val="a"/>
    <w:next w:val="a"/>
    <w:qFormat/>
    <w:rsid w:val="009D00AA"/>
    <w:pPr>
      <w:spacing w:line="360" w:lineRule="exact"/>
    </w:pPr>
    <w:rPr>
      <w:rFonts w:ascii="黑体" w:eastAsia="黑体" w:hAnsi="黑体"/>
      <w:sz w:val="24"/>
    </w:rPr>
  </w:style>
  <w:style w:type="paragraph" w:customStyle="1" w:styleId="4">
    <w:name w:val="日刊标题4"/>
    <w:basedOn w:val="a"/>
    <w:next w:val="a"/>
    <w:qFormat/>
    <w:rsid w:val="000C5208"/>
    <w:rPr>
      <w:rFonts w:ascii="黑体" w:eastAsia="黑体" w:hAnsi="黑体"/>
      <w:sz w:val="24"/>
    </w:rPr>
  </w:style>
  <w:style w:type="paragraph" w:customStyle="1" w:styleId="Bullet1">
    <w:name w:val="Bullet 1"/>
    <w:basedOn w:val="a"/>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a"/>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
    <w:rsid w:val="00697E61"/>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697E61"/>
    <w:pPr>
      <w:spacing w:after="120"/>
      <w:jc w:val="left"/>
    </w:pPr>
    <w:rPr>
      <w:rFonts w:eastAsia="宋体" w:cs="宋体"/>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6611"/>
    <w:pPr>
      <w:spacing w:line="320" w:lineRule="exact"/>
      <w:jc w:val="both"/>
    </w:pPr>
    <w:rPr>
      <w:rFonts w:eastAsia="宋体"/>
      <w:kern w:val="14"/>
      <w:sz w:val="21"/>
      <w:lang w:val="en-US"/>
    </w:rPr>
  </w:style>
  <w:style w:type="paragraph" w:styleId="1">
    <w:name w:val="heading 1"/>
    <w:basedOn w:val="a"/>
    <w:next w:val="HCh"/>
    <w:link w:val="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986132"/>
    <w:pPr>
      <w:keepNext/>
      <w:keepLines/>
      <w:suppressAutoHyphens/>
      <w:outlineLvl w:val="0"/>
    </w:pPr>
    <w:rPr>
      <w:rFonts w:ascii="黑体" w:eastAsia="黑体"/>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a"/>
    <w:qFormat/>
    <w:rsid w:val="001E5A51"/>
    <w:rPr>
      <w:sz w:val="34"/>
    </w:rPr>
  </w:style>
  <w:style w:type="paragraph" w:customStyle="1" w:styleId="H23">
    <w:name w:val="_ H_2/3"/>
    <w:basedOn w:val="a"/>
    <w:next w:val="a"/>
    <w:qFormat/>
    <w:rsid w:val="00986132"/>
    <w:pPr>
      <w:outlineLvl w:val="1"/>
    </w:pPr>
    <w:rPr>
      <w:rFonts w:ascii="黑体" w:eastAsia="黑体"/>
      <w:spacing w:val="2"/>
    </w:rPr>
  </w:style>
  <w:style w:type="paragraph" w:customStyle="1" w:styleId="H4">
    <w:name w:val="_ H_4"/>
    <w:basedOn w:val="a"/>
    <w:next w:val="a"/>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
    <w:next w:val="a"/>
    <w:qFormat/>
    <w:rsid w:val="001E5A51"/>
    <w:pPr>
      <w:keepNext/>
      <w:keepLines/>
      <w:tabs>
        <w:tab w:val="right" w:pos="360"/>
      </w:tabs>
      <w:suppressAutoHyphens/>
      <w:outlineLvl w:val="4"/>
    </w:pPr>
    <w:rPr>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
    <w:qFormat/>
    <w:rsid w:val="001E5A51"/>
    <w:pPr>
      <w:spacing w:line="640" w:lineRule="exact"/>
    </w:pPr>
    <w:rPr>
      <w:spacing w:val="-8"/>
      <w:w w:val="96"/>
      <w:sz w:val="57"/>
    </w:rPr>
  </w:style>
  <w:style w:type="paragraph" w:customStyle="1" w:styleId="SS">
    <w:name w:val="__S_S"/>
    <w:basedOn w:val="HCh"/>
    <w:next w:val="a"/>
    <w:qFormat/>
    <w:rsid w:val="001E5A51"/>
    <w:pPr>
      <w:ind w:left="1264" w:right="1264"/>
    </w:pPr>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basedOn w:val="a0"/>
    <w:semiHidden/>
    <w:rsid w:val="00313030"/>
    <w:rPr>
      <w:color w:val="auto"/>
      <w:spacing w:val="0"/>
      <w:w w:val="150"/>
      <w:position w:val="0"/>
      <w:vertAlign w:val="superscript"/>
    </w:rPr>
  </w:style>
  <w:style w:type="character" w:styleId="a4">
    <w:name w:val="endnote reference"/>
    <w:basedOn w:val="a3"/>
    <w:rsid w:val="00AD6611"/>
    <w:rPr>
      <w:color w:val="auto"/>
      <w:spacing w:val="0"/>
      <w:w w:val="150"/>
      <w:position w:val="0"/>
      <w:vertAlign w:val="superscript"/>
    </w:rPr>
  </w:style>
  <w:style w:type="paragraph" w:styleId="a5">
    <w:name w:val="footnote text"/>
    <w:basedOn w:val="a"/>
    <w:semiHidden/>
    <w:rsid w:val="001E5A51"/>
    <w:pPr>
      <w:tabs>
        <w:tab w:val="right" w:pos="418"/>
      </w:tabs>
      <w:spacing w:after="120" w:line="240" w:lineRule="exact"/>
      <w:ind w:left="170" w:hanging="170"/>
    </w:pPr>
    <w:rPr>
      <w:noProof/>
      <w:sz w:val="18"/>
    </w:rPr>
  </w:style>
  <w:style w:type="paragraph" w:styleId="a6">
    <w:name w:val="endnote text"/>
    <w:basedOn w:val="a5"/>
    <w:semiHidden/>
    <w:rsid w:val="001E5A51"/>
  </w:style>
  <w:style w:type="paragraph" w:styleId="a7">
    <w:name w:val="annotation text"/>
    <w:basedOn w:val="a"/>
    <w:semiHidden/>
    <w:rsid w:val="001E5A51"/>
  </w:style>
  <w:style w:type="paragraph" w:styleId="a8">
    <w:name w:val="annotation subject"/>
    <w:basedOn w:val="a7"/>
    <w:next w:val="a7"/>
    <w:semiHidden/>
    <w:rsid w:val="001E5A51"/>
    <w:rPr>
      <w:b/>
      <w:bCs/>
    </w:rPr>
  </w:style>
  <w:style w:type="character" w:styleId="a9">
    <w:name w:val="annotation reference"/>
    <w:basedOn w:val="a0"/>
    <w:semiHidden/>
    <w:rsid w:val="001E5A51"/>
    <w:rPr>
      <w:sz w:val="21"/>
      <w:szCs w:val="21"/>
    </w:rPr>
  </w:style>
  <w:style w:type="paragraph" w:styleId="aa">
    <w:name w:val="Balloon Text"/>
    <w:basedOn w:val="a"/>
    <w:semiHidden/>
    <w:rsid w:val="001E5A51"/>
    <w:rPr>
      <w:sz w:val="18"/>
      <w:szCs w:val="18"/>
    </w:rPr>
  </w:style>
  <w:style w:type="paragraph" w:customStyle="1" w:styleId="1211022234">
    <w:name w:val="样式 尾注文本 + 左侧:  1.21 厘米 悬挂缩进: 1.02 厘米 右侧:  2.23 厘米 段后: 4 磅"/>
    <w:basedOn w:val="a6"/>
    <w:rsid w:val="001E5A51"/>
    <w:pPr>
      <w:ind w:left="1264" w:right="1264" w:hanging="578"/>
    </w:pPr>
    <w:rPr>
      <w:rFonts w:cs="宋体"/>
    </w:rPr>
  </w:style>
  <w:style w:type="paragraph" w:customStyle="1" w:styleId="12110222341">
    <w:name w:val="样式 尾注文本 + 左侧:  1.21 厘米 悬挂缩进: 1.02 厘米 右侧:  2.23 厘米 段后: 4 磅1"/>
    <w:basedOn w:val="a6"/>
    <w:rsid w:val="001E5A51"/>
    <w:pPr>
      <w:ind w:left="1264" w:right="1264" w:hanging="578"/>
    </w:pPr>
    <w:rPr>
      <w:rFonts w:cs="宋体"/>
    </w:rPr>
  </w:style>
  <w:style w:type="paragraph" w:styleId="ab">
    <w:name w:val="header"/>
    <w:rsid w:val="001E5A51"/>
    <w:pPr>
      <w:tabs>
        <w:tab w:val="center" w:pos="4320"/>
        <w:tab w:val="right" w:pos="8640"/>
      </w:tabs>
      <w:jc w:val="both"/>
    </w:pPr>
    <w:rPr>
      <w:noProof/>
      <w:sz w:val="18"/>
      <w:lang w:val="en-US"/>
    </w:rPr>
  </w:style>
  <w:style w:type="paragraph" w:styleId="ac">
    <w:name w:val="footer"/>
    <w:rsid w:val="001E5A51"/>
    <w:pPr>
      <w:tabs>
        <w:tab w:val="center" w:pos="4320"/>
        <w:tab w:val="right" w:pos="8640"/>
      </w:tabs>
      <w:jc w:val="both"/>
    </w:pPr>
    <w:rPr>
      <w:b/>
      <w:noProof/>
      <w:sz w:val="18"/>
      <w:szCs w:val="18"/>
      <w:lang w:val="en-US"/>
    </w:rPr>
  </w:style>
  <w:style w:type="character" w:styleId="ad">
    <w:name w:val="Hyperlink"/>
    <w:basedOn w:val="a0"/>
    <w:rsid w:val="00036F1B"/>
    <w:rPr>
      <w:color w:val="0000FF"/>
      <w:u w:val="none"/>
    </w:rPr>
  </w:style>
  <w:style w:type="character" w:styleId="ae">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af"/>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
    <w:name w:val="Normal (Web)"/>
    <w:basedOn w:val="a"/>
    <w:rsid w:val="001944A4"/>
    <w:rPr>
      <w:sz w:val="24"/>
      <w:szCs w:val="24"/>
    </w:rPr>
  </w:style>
  <w:style w:type="character" w:customStyle="1" w:styleId="1Char">
    <w:name w:val="标题 1 Char"/>
    <w:basedOn w:val="a0"/>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Char">
    <w:name w:val="标题 2 Char"/>
    <w:basedOn w:val="a0"/>
    <w:link w:val="2"/>
    <w:rsid w:val="005B04F3"/>
    <w:rPr>
      <w:rFonts w:ascii="黑体" w:eastAsiaTheme="majorEastAsia" w:hAnsi="黑体" w:cstheme="majorBidi"/>
      <w:b/>
      <w:bCs/>
      <w:kern w:val="14"/>
      <w:sz w:val="28"/>
      <w:szCs w:val="26"/>
      <w:lang w:val="en-US"/>
    </w:rPr>
  </w:style>
  <w:style w:type="character" w:customStyle="1" w:styleId="3Char">
    <w:name w:val="标题 3 Char"/>
    <w:basedOn w:val="a0"/>
    <w:link w:val="3"/>
    <w:rsid w:val="005B04F3"/>
    <w:rPr>
      <w:rFonts w:asciiTheme="minorEastAsia" w:eastAsiaTheme="majorEastAsia" w:hAnsiTheme="minorEastAsia" w:cstheme="majorBidi"/>
      <w:b/>
      <w:bCs/>
      <w:kern w:val="14"/>
      <w:sz w:val="32"/>
      <w:lang w:val="en-US"/>
    </w:rPr>
  </w:style>
  <w:style w:type="paragraph" w:customStyle="1" w:styleId="10">
    <w:name w:val="日刊标题1"/>
    <w:basedOn w:val="a"/>
    <w:qFormat/>
    <w:rsid w:val="009D00AA"/>
    <w:pPr>
      <w:spacing w:line="560" w:lineRule="exact"/>
    </w:pPr>
    <w:rPr>
      <w:rFonts w:ascii="黑体" w:eastAsia="黑体" w:hAnsi="黑体"/>
      <w:sz w:val="36"/>
    </w:rPr>
  </w:style>
  <w:style w:type="paragraph" w:customStyle="1" w:styleId="20">
    <w:name w:val="日刊标题2"/>
    <w:basedOn w:val="a"/>
    <w:next w:val="a"/>
    <w:qFormat/>
    <w:rsid w:val="009D00AA"/>
    <w:pPr>
      <w:spacing w:line="400" w:lineRule="exact"/>
    </w:pPr>
    <w:rPr>
      <w:rFonts w:ascii="黑体" w:hAnsi="黑体"/>
      <w:sz w:val="28"/>
    </w:rPr>
  </w:style>
  <w:style w:type="paragraph" w:customStyle="1" w:styleId="30">
    <w:name w:val="日刊标题3"/>
    <w:basedOn w:val="a"/>
    <w:next w:val="a"/>
    <w:qFormat/>
    <w:rsid w:val="009D00AA"/>
    <w:pPr>
      <w:spacing w:line="360" w:lineRule="exact"/>
    </w:pPr>
    <w:rPr>
      <w:rFonts w:ascii="黑体" w:eastAsia="黑体" w:hAnsi="黑体"/>
      <w:sz w:val="24"/>
    </w:rPr>
  </w:style>
  <w:style w:type="paragraph" w:customStyle="1" w:styleId="4">
    <w:name w:val="日刊标题4"/>
    <w:basedOn w:val="a"/>
    <w:next w:val="a"/>
    <w:qFormat/>
    <w:rsid w:val="000C5208"/>
    <w:rPr>
      <w:rFonts w:ascii="黑体" w:eastAsia="黑体" w:hAnsi="黑体"/>
      <w:sz w:val="24"/>
    </w:rPr>
  </w:style>
  <w:style w:type="paragraph" w:customStyle="1" w:styleId="Bullet1">
    <w:name w:val="Bullet 1"/>
    <w:basedOn w:val="a"/>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a"/>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
    <w:rsid w:val="00697E61"/>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697E61"/>
    <w:pPr>
      <w:spacing w:after="120"/>
      <w:jc w:val="left"/>
    </w:pPr>
    <w:rPr>
      <w:rFonts w:eastAsia="宋体" w:cs="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undocs.org/ch/CEDAW/C/URY/Q/8" TargetMode="External"/><Relationship Id="rId3" Type="http://schemas.openxmlformats.org/officeDocument/2006/relationships/styles" Target="styles.xml"/><Relationship Id="rId21" Type="http://schemas.openxmlformats.org/officeDocument/2006/relationships/hyperlink" Target="http://undocs.org/ch/CEDAW/C/URY/CO/7"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ch/CEDAW/C/SR.1417" TargetMode="External"/><Relationship Id="rId2" Type="http://schemas.openxmlformats.org/officeDocument/2006/relationships/numbering" Target="numbering.xml"/><Relationship Id="rId16" Type="http://schemas.openxmlformats.org/officeDocument/2006/relationships/hyperlink" Target="http://undocs.org/ch/CEDAW/C/URY/8" TargetMode="External"/><Relationship Id="rId20" Type="http://schemas.openxmlformats.org/officeDocument/2006/relationships/hyperlink" Target="http://undocs.org/ch/CEDAW/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undocs.org/ch/CEDAW/C/URY/"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undocs.org/ch/HRI/GEN/2/Rev.6"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136F8-C6E2-40BE-A34A-027F6F6A9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1589</Words>
  <Characters>9058</Characters>
  <Application>Microsoft Office Word</Application>
  <DocSecurity>0</DocSecurity>
  <Lines>75</Lines>
  <Paragraphs>21</Paragraphs>
  <ScaleCrop>false</ScaleCrop>
  <Company>United Nations</Company>
  <LinksUpToDate>false</LinksUpToDate>
  <CharactersWithSpaces>10626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qiping jia</dc:creator>
  <cp:keywords/>
  <dc:description/>
  <cp:lastModifiedBy>Ctpu1</cp:lastModifiedBy>
  <cp:revision>19</cp:revision>
  <cp:lastPrinted>2016-08-31T18:59:00Z</cp:lastPrinted>
  <dcterms:created xsi:type="dcterms:W3CDTF">2016-08-31T18:10:00Z</dcterms:created>
  <dcterms:modified xsi:type="dcterms:W3CDTF">2016-08-31T19:08:00Z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1612879</vt:lpwstr>
  </property>
  <property fmtid="{D5CDD505-2E9C-101B-9397-08002B2CF9AE}" pid="3" name="ODSRefJobNo">
    <vt:lpwstr>1623337C</vt:lpwstr>
  </property>
  <property fmtid="{D5CDD505-2E9C-101B-9397-08002B2CF9AE}" pid="4" name="Symbol1">
    <vt:lpwstr>CEDAW/C/URY/CO/8-9</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29 July 2016</vt:lpwstr>
  </property>
  <property fmtid="{D5CDD505-2E9C-101B-9397-08002B2CF9AE}" pid="9" name="Original">
    <vt:lpwstr>English</vt:lpwstr>
  </property>
  <property fmtid="{D5CDD505-2E9C-101B-9397-08002B2CF9AE}" pid="10" name="Release Date">
    <vt:lpwstr>310816</vt:lpwstr>
  </property>
  <property fmtid="{D5CDD505-2E9C-101B-9397-08002B2CF9AE}" pid="11" name="Comment">
    <vt:lpwstr/>
  </property>
  <property fmtid="{D5CDD505-2E9C-101B-9397-08002B2CF9AE}" pid="12" name="DraftPages">
    <vt:lpwstr> </vt:lpwstr>
  </property>
  <property fmtid="{D5CDD505-2E9C-101B-9397-08002B2CF9AE}" pid="13" name="Operator">
    <vt:lpwstr>jia</vt:lpwstr>
  </property>
</Properties>
</file>