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2E0D40" w:rsidRPr="00DB58B5" w:rsidTr="0078670C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E0D40" w:rsidRPr="00DB58B5" w:rsidRDefault="002E0D40" w:rsidP="0059365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E0D40" w:rsidRPr="00DB58B5" w:rsidRDefault="002E0D40" w:rsidP="0059365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2E0D40" w:rsidRPr="00DB58B5" w:rsidRDefault="006537F2" w:rsidP="006537F2">
            <w:pPr>
              <w:jc w:val="right"/>
            </w:pPr>
            <w:r w:rsidRPr="006537F2">
              <w:rPr>
                <w:sz w:val="40"/>
              </w:rPr>
              <w:t>CERD</w:t>
            </w:r>
            <w:r>
              <w:t>/C/QAT/Q/13-16</w:t>
            </w:r>
          </w:p>
        </w:tc>
      </w:tr>
      <w:tr w:rsidR="002E0D40" w:rsidRPr="00DB58B5" w:rsidTr="0059365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E0D40" w:rsidRPr="00DB58B5" w:rsidRDefault="002E0D40" w:rsidP="00593658">
            <w:pPr>
              <w:spacing w:before="120"/>
              <w:jc w:val="center"/>
            </w:pPr>
            <w:r w:rsidRPr="00DB58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E0D40" w:rsidRPr="00740562" w:rsidRDefault="002E0D40" w:rsidP="00593658">
            <w:pPr>
              <w:spacing w:before="120" w:line="380" w:lineRule="exact"/>
              <w:rPr>
                <w:b/>
                <w:sz w:val="40"/>
                <w:szCs w:val="40"/>
              </w:rPr>
            </w:pPr>
            <w:r>
              <w:rPr>
                <w:b/>
                <w:sz w:val="34"/>
                <w:szCs w:val="34"/>
              </w:rPr>
              <w:t>Convention internationale sur</w:t>
            </w:r>
            <w:r>
              <w:rPr>
                <w:b/>
                <w:sz w:val="34"/>
                <w:szCs w:val="34"/>
              </w:rPr>
              <w:br/>
              <w:t>l</w:t>
            </w:r>
            <w:r w:rsidR="00A741F6">
              <w:rPr>
                <w:b/>
                <w:sz w:val="34"/>
                <w:szCs w:val="34"/>
              </w:rPr>
              <w:t>’</w:t>
            </w:r>
            <w:r>
              <w:rPr>
                <w:b/>
                <w:sz w:val="34"/>
                <w:szCs w:val="34"/>
              </w:rPr>
              <w:t>élimination de toutes les formes</w:t>
            </w:r>
            <w:r>
              <w:rPr>
                <w:b/>
                <w:sz w:val="34"/>
                <w:szCs w:val="34"/>
              </w:rPr>
              <w:br/>
              <w:t>de discrimination raciale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6537F2" w:rsidRDefault="006537F2" w:rsidP="00593658">
            <w:pPr>
              <w:spacing w:before="240"/>
            </w:pPr>
            <w:r>
              <w:t>Distr. générale</w:t>
            </w:r>
          </w:p>
          <w:p w:rsidR="006537F2" w:rsidRDefault="006537F2" w:rsidP="006537F2">
            <w:pPr>
              <w:spacing w:line="240" w:lineRule="exact"/>
            </w:pPr>
            <w:r>
              <w:t>31 janvier 2012</w:t>
            </w:r>
          </w:p>
          <w:p w:rsidR="006537F2" w:rsidRDefault="006537F2" w:rsidP="006537F2">
            <w:pPr>
              <w:spacing w:line="240" w:lineRule="exact"/>
            </w:pPr>
            <w:r>
              <w:t>Français</w:t>
            </w:r>
          </w:p>
          <w:p w:rsidR="002E0D40" w:rsidRPr="00DB58B5" w:rsidRDefault="006537F2" w:rsidP="006537F2">
            <w:pPr>
              <w:spacing w:line="240" w:lineRule="exact"/>
            </w:pPr>
            <w:r>
              <w:t>Original: anglais</w:t>
            </w:r>
          </w:p>
        </w:tc>
      </w:tr>
    </w:tbl>
    <w:p w:rsidR="00FF1DBD" w:rsidRDefault="0078670C" w:rsidP="006537F2">
      <w:pPr>
        <w:spacing w:before="120"/>
        <w:rPr>
          <w:b/>
          <w:sz w:val="24"/>
          <w:szCs w:val="24"/>
        </w:rPr>
      </w:pPr>
      <w:r w:rsidRPr="00C56102">
        <w:rPr>
          <w:b/>
          <w:sz w:val="24"/>
          <w:szCs w:val="24"/>
        </w:rPr>
        <w:t>Comité pour l</w:t>
      </w:r>
      <w:r w:rsidR="00A741F6">
        <w:rPr>
          <w:b/>
          <w:sz w:val="24"/>
          <w:szCs w:val="24"/>
        </w:rPr>
        <w:t>’</w:t>
      </w:r>
      <w:r w:rsidRPr="00C56102">
        <w:rPr>
          <w:b/>
          <w:sz w:val="24"/>
          <w:szCs w:val="24"/>
        </w:rPr>
        <w:t>éliminati</w:t>
      </w:r>
      <w:r w:rsidR="006537F2">
        <w:rPr>
          <w:b/>
          <w:sz w:val="24"/>
          <w:szCs w:val="24"/>
        </w:rPr>
        <w:t>on de la discrimination raciale</w:t>
      </w:r>
    </w:p>
    <w:p w:rsidR="006537F2" w:rsidRPr="00D02A13" w:rsidRDefault="006537F2" w:rsidP="006537F2">
      <w:pPr>
        <w:spacing w:line="240" w:lineRule="exact"/>
        <w:rPr>
          <w:b/>
          <w:lang w:val="es-ES"/>
        </w:rPr>
      </w:pPr>
      <w:r w:rsidRPr="00D02A13">
        <w:rPr>
          <w:b/>
          <w:lang w:val="es-ES"/>
        </w:rPr>
        <w:t>Quatre-</w:t>
      </w:r>
      <w:r w:rsidRPr="00D02A13">
        <w:rPr>
          <w:b/>
        </w:rPr>
        <w:t>vingtième session</w:t>
      </w:r>
    </w:p>
    <w:p w:rsidR="006537F2" w:rsidRPr="00BF648F" w:rsidRDefault="006537F2" w:rsidP="006537F2">
      <w:pPr>
        <w:spacing w:line="240" w:lineRule="exact"/>
        <w:rPr>
          <w:lang w:val="es-ES"/>
        </w:rPr>
      </w:pPr>
      <w:r w:rsidRPr="00D02A13">
        <w:rPr>
          <w:lang w:val="es-ES"/>
        </w:rPr>
        <w:t xml:space="preserve">13 </w:t>
      </w:r>
      <w:r w:rsidRPr="00D02A13">
        <w:t>février</w:t>
      </w:r>
      <w:r w:rsidRPr="00D02A13">
        <w:rPr>
          <w:lang w:val="es-ES"/>
        </w:rPr>
        <w:t xml:space="preserve">-9 </w:t>
      </w:r>
      <w:r w:rsidRPr="00D02A13">
        <w:t>mars</w:t>
      </w:r>
      <w:r w:rsidRPr="00D02A13">
        <w:rPr>
          <w:lang w:val="es-ES"/>
        </w:rPr>
        <w:t xml:space="preserve"> 2012</w:t>
      </w:r>
    </w:p>
    <w:p w:rsidR="006537F2" w:rsidRPr="00BF648F" w:rsidRDefault="006537F2" w:rsidP="006537F2">
      <w:pPr>
        <w:pStyle w:val="HChG"/>
        <w:rPr>
          <w:b w:val="0"/>
        </w:rPr>
      </w:pPr>
      <w:r w:rsidRPr="00D322DE">
        <w:tab/>
      </w:r>
      <w:r w:rsidRPr="00D322DE">
        <w:tab/>
      </w:r>
      <w:r w:rsidRPr="00D02A13">
        <w:t xml:space="preserve">Application de la </w:t>
      </w:r>
      <w:r w:rsidRPr="006537F2">
        <w:t>Convention</w:t>
      </w:r>
      <w:r w:rsidRPr="00D02A13">
        <w:t xml:space="preserve"> internationale sur l</w:t>
      </w:r>
      <w:r w:rsidR="00A741F6">
        <w:t>’</w:t>
      </w:r>
      <w:r w:rsidRPr="00D02A13">
        <w:t>élimination de toutes les formes de discrimination raciale</w:t>
      </w:r>
    </w:p>
    <w:p w:rsidR="006537F2" w:rsidRDefault="006537F2" w:rsidP="006537F2">
      <w:pPr>
        <w:pStyle w:val="H1G"/>
        <w:rPr>
          <w:b w:val="0"/>
          <w:sz w:val="20"/>
        </w:rPr>
      </w:pPr>
      <w:r w:rsidRPr="00D322DE">
        <w:tab/>
      </w:r>
      <w:r w:rsidRPr="00D322DE">
        <w:tab/>
      </w:r>
      <w:r w:rsidRPr="00D02A13">
        <w:t>Liste de thèmes à traiter à l</w:t>
      </w:r>
      <w:r w:rsidR="00A741F6">
        <w:t>’</w:t>
      </w:r>
      <w:r w:rsidRPr="00D02A13">
        <w:t>occasion de l</w:t>
      </w:r>
      <w:r w:rsidR="00A741F6">
        <w:t>’</w:t>
      </w:r>
      <w:r w:rsidRPr="00D02A13">
        <w:t>examen</w:t>
      </w:r>
      <w:r w:rsidRPr="00D322DE">
        <w:t xml:space="preserve"> des </w:t>
      </w:r>
      <w:r>
        <w:t>treizième</w:t>
      </w:r>
      <w:r w:rsidRPr="00D322DE">
        <w:t xml:space="preserve"> à </w:t>
      </w:r>
      <w:r>
        <w:t>seizième</w:t>
      </w:r>
      <w:r w:rsidRPr="00D322DE">
        <w:t xml:space="preserve"> rapports périodiques </w:t>
      </w:r>
      <w:r>
        <w:t>du Qatar (CERD/C/QAT</w:t>
      </w:r>
      <w:r w:rsidRPr="00D322DE">
        <w:t>/</w:t>
      </w:r>
      <w:r>
        <w:t>13-16</w:t>
      </w:r>
      <w:r w:rsidRPr="00D322DE">
        <w:t>)</w:t>
      </w:r>
      <w:r w:rsidRPr="006537F2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tbl>
      <w:tblPr>
        <w:tblStyle w:val="TableGrid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142" w:type="dxa"/>
          <w:right w:w="142" w:type="dxa"/>
        </w:tblCellMar>
        <w:tblLook w:val="01E0" w:firstRow="1" w:lastRow="1" w:firstColumn="1" w:lastColumn="1" w:noHBand="0" w:noVBand="0"/>
      </w:tblPr>
      <w:tblGrid>
        <w:gridCol w:w="7653"/>
      </w:tblGrid>
      <w:tr w:rsidR="006537F2" w:rsidTr="006537F2">
        <w:trPr>
          <w:trHeight w:hRule="exact" w:val="240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37F2" w:rsidRDefault="006537F2" w:rsidP="006537F2"/>
        </w:tc>
      </w:tr>
      <w:tr w:rsidR="006537F2" w:rsidTr="006537F2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37F2" w:rsidRDefault="006537F2" w:rsidP="006537F2">
            <w:pPr>
              <w:spacing w:after="120"/>
              <w:ind w:firstLine="567"/>
              <w:jc w:val="both"/>
            </w:pPr>
            <w:r w:rsidRPr="00D02A13">
              <w:t>On trouvera ci-après une liste de thèmes définis par le rapporteur de pays aux fins de l</w:t>
            </w:r>
            <w:r w:rsidR="00A741F6">
              <w:t>’</w:t>
            </w:r>
            <w:r w:rsidRPr="00D02A13">
              <w:t>examen des treizième à seizième rapports périodiques du Qatar. Cette liste a pour but de structurer le dialogue entre la délégation de l</w:t>
            </w:r>
            <w:r w:rsidR="00A741F6">
              <w:t>’</w:t>
            </w:r>
            <w:r w:rsidRPr="00D02A13">
              <w:t xml:space="preserve">État partie et le Comité et </w:t>
            </w:r>
            <w:r w:rsidRPr="00D02A13">
              <w:rPr>
                <w:i/>
              </w:rPr>
              <w:t>n</w:t>
            </w:r>
            <w:r w:rsidR="00A741F6">
              <w:rPr>
                <w:i/>
              </w:rPr>
              <w:t>’</w:t>
            </w:r>
            <w:r w:rsidRPr="00D02A13">
              <w:rPr>
                <w:i/>
              </w:rPr>
              <w:t>appelle pas de réponses écrites</w:t>
            </w:r>
            <w:r w:rsidRPr="00D02A13">
              <w:t>. Elle n</w:t>
            </w:r>
            <w:r w:rsidR="00A741F6">
              <w:t>’</w:t>
            </w:r>
            <w:r w:rsidRPr="00D02A13">
              <w:t>est pas exhaustive; d</w:t>
            </w:r>
            <w:r w:rsidR="00A741F6">
              <w:t>’</w:t>
            </w:r>
            <w:r w:rsidRPr="00D02A13">
              <w:t>autres questions pourront être abordées au cours du dialogue.</w:t>
            </w:r>
          </w:p>
        </w:tc>
      </w:tr>
      <w:tr w:rsidR="006537F2" w:rsidTr="006537F2">
        <w:trPr>
          <w:trHeight w:hRule="exact" w:val="23"/>
          <w:jc w:val="center"/>
        </w:trPr>
        <w:tc>
          <w:tcPr>
            <w:tcW w:w="7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F2" w:rsidRDefault="006537F2" w:rsidP="006537F2"/>
        </w:tc>
      </w:tr>
    </w:tbl>
    <w:p w:rsidR="006537F2" w:rsidRPr="006537F2" w:rsidRDefault="006537F2" w:rsidP="006537F2">
      <w:pPr>
        <w:pStyle w:val="H1G"/>
        <w:rPr>
          <w:rFonts w:eastAsia="Calibri"/>
        </w:rPr>
      </w:pPr>
      <w:r>
        <w:rPr>
          <w:rFonts w:eastAsia="Calibri"/>
          <w:lang w:val="en-US"/>
        </w:rPr>
        <w:tab/>
      </w:r>
      <w:r w:rsidRPr="009E16CD">
        <w:rPr>
          <w:rFonts w:eastAsia="Calibri"/>
          <w:lang w:val="en-US"/>
        </w:rPr>
        <w:t>1.</w:t>
      </w:r>
      <w:r w:rsidRPr="009E16CD">
        <w:rPr>
          <w:rFonts w:eastAsia="Calibri"/>
          <w:lang w:val="en-US"/>
        </w:rPr>
        <w:tab/>
      </w:r>
      <w:r>
        <w:rPr>
          <w:rFonts w:eastAsia="Calibri"/>
        </w:rPr>
        <w:t>Données sur la composition de la</w:t>
      </w:r>
      <w:r w:rsidRPr="009E16CD">
        <w:rPr>
          <w:rFonts w:eastAsia="Calibri"/>
        </w:rPr>
        <w:t xml:space="preserve"> population</w:t>
      </w:r>
    </w:p>
    <w:p w:rsidR="006537F2" w:rsidRPr="00C13EC1" w:rsidRDefault="006537F2" w:rsidP="006537F2">
      <w:pPr>
        <w:pStyle w:val="SingleTxtG"/>
        <w:ind w:firstLine="567"/>
        <w:rPr>
          <w:rFonts w:eastAsia="Calibri"/>
          <w:lang w:val="fr-FR"/>
        </w:rPr>
      </w:pPr>
      <w:r w:rsidRPr="00C13EC1">
        <w:rPr>
          <w:rFonts w:eastAsia="Calibri"/>
          <w:lang w:val="fr-FR"/>
        </w:rPr>
        <w:t>a)</w:t>
      </w:r>
      <w:r w:rsidRPr="00C13EC1">
        <w:rPr>
          <w:rFonts w:eastAsia="Calibri"/>
          <w:lang w:val="fr-FR"/>
        </w:rPr>
        <w:tab/>
        <w:t xml:space="preserve">Composition </w:t>
      </w:r>
      <w:r>
        <w:rPr>
          <w:rFonts w:eastAsia="Calibri"/>
          <w:lang w:val="fr-FR"/>
        </w:rPr>
        <w:t>e</w:t>
      </w:r>
      <w:r w:rsidRPr="00C13EC1">
        <w:rPr>
          <w:rFonts w:eastAsia="Calibri"/>
          <w:lang w:val="fr-FR"/>
        </w:rPr>
        <w:t>thnique de la population de l</w:t>
      </w:r>
      <w:r w:rsidR="00A741F6">
        <w:rPr>
          <w:rFonts w:eastAsia="Calibri"/>
          <w:lang w:val="fr-FR"/>
        </w:rPr>
        <w:t>’</w:t>
      </w:r>
      <w:r w:rsidRPr="00C13EC1">
        <w:rPr>
          <w:rFonts w:eastAsia="Calibri"/>
          <w:lang w:val="fr-FR"/>
        </w:rPr>
        <w:t xml:space="preserve">État partie. </w:t>
      </w:r>
    </w:p>
    <w:p w:rsidR="006537F2" w:rsidRPr="00C13EC1" w:rsidRDefault="006537F2" w:rsidP="006537F2">
      <w:pPr>
        <w:pStyle w:val="H1G"/>
        <w:rPr>
          <w:rFonts w:eastAsia="Calibri"/>
          <w:lang w:val="fr-FR"/>
        </w:rPr>
      </w:pPr>
      <w:r w:rsidRPr="00C13EC1">
        <w:rPr>
          <w:rFonts w:eastAsia="Calibri"/>
          <w:lang w:val="fr-FR"/>
        </w:rPr>
        <w:tab/>
        <w:t>2.</w:t>
      </w:r>
      <w:r w:rsidRPr="00C13EC1">
        <w:rPr>
          <w:rFonts w:eastAsia="Calibri"/>
          <w:lang w:val="fr-FR"/>
        </w:rPr>
        <w:tab/>
        <w:t>Cadre juridique et institutionnel, politiques et programmes aux fins de l</w:t>
      </w:r>
      <w:r w:rsidR="00A741F6">
        <w:rPr>
          <w:rFonts w:eastAsia="Calibri"/>
          <w:lang w:val="fr-FR"/>
        </w:rPr>
        <w:t>’</w:t>
      </w:r>
      <w:r w:rsidRPr="00C13EC1">
        <w:rPr>
          <w:rFonts w:eastAsia="Calibri"/>
          <w:lang w:val="fr-FR"/>
        </w:rPr>
        <w:t>application de la Convention (art. 1, 2, 4, 5</w:t>
      </w:r>
      <w:r>
        <w:rPr>
          <w:rFonts w:eastAsia="Calibri"/>
          <w:lang w:val="fr-FR"/>
        </w:rPr>
        <w:t>, 6 et 7</w:t>
      </w:r>
      <w:r w:rsidRPr="00C13EC1">
        <w:rPr>
          <w:rFonts w:eastAsia="Calibri"/>
          <w:lang w:val="fr-FR"/>
        </w:rPr>
        <w:t>)</w:t>
      </w:r>
    </w:p>
    <w:p w:rsidR="006537F2" w:rsidRPr="00C13EC1" w:rsidRDefault="006537F2" w:rsidP="00A741F6">
      <w:pPr>
        <w:pStyle w:val="SingleTxtG"/>
        <w:ind w:firstLine="567"/>
        <w:rPr>
          <w:lang w:val="fr-FR" w:eastAsia="en-GB"/>
        </w:rPr>
      </w:pPr>
      <w:r w:rsidRPr="00C13EC1">
        <w:rPr>
          <w:lang w:val="fr-FR" w:eastAsia="en-GB"/>
        </w:rPr>
        <w:t>a)</w:t>
      </w:r>
      <w:r w:rsidRPr="00C13EC1">
        <w:rPr>
          <w:lang w:val="fr-FR" w:eastAsia="en-GB"/>
        </w:rPr>
        <w:tab/>
      </w:r>
      <w:r w:rsidRPr="00C13EC1">
        <w:rPr>
          <w:lang w:val="fr-FR"/>
        </w:rPr>
        <w:t>D</w:t>
      </w:r>
      <w:r>
        <w:rPr>
          <w:lang w:val="fr-FR"/>
        </w:rPr>
        <w:t>é</w:t>
      </w:r>
      <w:r w:rsidRPr="00C13EC1">
        <w:rPr>
          <w:lang w:val="fr-FR"/>
        </w:rPr>
        <w:t xml:space="preserve">finition </w:t>
      </w:r>
      <w:r>
        <w:rPr>
          <w:lang w:val="fr-FR"/>
        </w:rPr>
        <w:t xml:space="preserve">de la discrimination raciale </w:t>
      </w:r>
      <w:r w:rsidR="00A741F6">
        <w:rPr>
          <w:lang w:val="fr-FR"/>
        </w:rPr>
        <w:t>conforme à</w:t>
      </w:r>
      <w:r>
        <w:rPr>
          <w:lang w:val="fr-FR"/>
        </w:rPr>
        <w:t xml:space="preserve"> l</w:t>
      </w:r>
      <w:r w:rsidR="00A741F6">
        <w:rPr>
          <w:lang w:val="fr-FR"/>
        </w:rPr>
        <w:t>’</w:t>
      </w:r>
      <w:r>
        <w:rPr>
          <w:lang w:val="fr-FR"/>
        </w:rPr>
        <w:t>article premier de la</w:t>
      </w:r>
      <w:r w:rsidRPr="00C13EC1">
        <w:rPr>
          <w:lang w:val="fr-FR"/>
        </w:rPr>
        <w:t xml:space="preserve"> Convention; </w:t>
      </w:r>
    </w:p>
    <w:p w:rsidR="006537F2" w:rsidRPr="00C13EC1" w:rsidRDefault="006537F2" w:rsidP="006537F2">
      <w:pPr>
        <w:pStyle w:val="SingleTxtG"/>
        <w:ind w:firstLine="567"/>
        <w:rPr>
          <w:rFonts w:eastAsia="Calibri"/>
          <w:lang w:val="fr-FR"/>
        </w:rPr>
      </w:pPr>
      <w:r w:rsidRPr="00C13EC1">
        <w:rPr>
          <w:rFonts w:eastAsia="Calibri"/>
          <w:lang w:val="fr-FR"/>
        </w:rPr>
        <w:t>b)</w:t>
      </w:r>
      <w:r w:rsidRPr="00C13EC1">
        <w:rPr>
          <w:rFonts w:eastAsia="Calibri"/>
          <w:lang w:val="fr-FR"/>
        </w:rPr>
        <w:tab/>
      </w:r>
      <w:r>
        <w:rPr>
          <w:rFonts w:eastAsia="Calibri"/>
          <w:lang w:val="fr-FR"/>
        </w:rPr>
        <w:t xml:space="preserve">Le rôle de la </w:t>
      </w:r>
      <w:r w:rsidRPr="00D02A13">
        <w:rPr>
          <w:rFonts w:eastAsia="Calibri"/>
          <w:lang w:val="fr-FR"/>
        </w:rPr>
        <w:t>Commission nationale des droits de l</w:t>
      </w:r>
      <w:r w:rsidR="00A741F6">
        <w:rPr>
          <w:rFonts w:eastAsia="Calibri"/>
          <w:lang w:val="fr-FR"/>
        </w:rPr>
        <w:t>’</w:t>
      </w:r>
      <w:r w:rsidRPr="00D02A13">
        <w:rPr>
          <w:rFonts w:eastAsia="Calibri"/>
          <w:lang w:val="fr-FR"/>
        </w:rPr>
        <w:t>homme</w:t>
      </w:r>
      <w:r w:rsidR="00A741F6">
        <w:rPr>
          <w:rFonts w:eastAsia="Calibri"/>
          <w:lang w:val="fr-FR"/>
        </w:rPr>
        <w:t xml:space="preserve"> </w:t>
      </w:r>
      <w:r>
        <w:rPr>
          <w:rFonts w:eastAsia="Calibri"/>
          <w:lang w:val="fr-FR"/>
        </w:rPr>
        <w:t>dans la promotion de la Convention et la surveillance de sa mise en œuvre;</w:t>
      </w:r>
    </w:p>
    <w:p w:rsidR="006537F2" w:rsidRPr="00C13EC1" w:rsidRDefault="006537F2" w:rsidP="006537F2">
      <w:pPr>
        <w:pStyle w:val="SingleTxtG"/>
        <w:ind w:firstLine="567"/>
        <w:rPr>
          <w:lang w:val="fr-FR" w:eastAsia="en-GB"/>
        </w:rPr>
      </w:pPr>
      <w:r w:rsidRPr="00C13EC1">
        <w:rPr>
          <w:lang w:val="fr-FR" w:eastAsia="en-GB"/>
        </w:rPr>
        <w:t>c)</w:t>
      </w:r>
      <w:r w:rsidRPr="00C13EC1">
        <w:rPr>
          <w:lang w:val="fr-FR" w:eastAsia="en-GB"/>
        </w:rPr>
        <w:tab/>
      </w:r>
      <w:r w:rsidRPr="00B73E0B">
        <w:rPr>
          <w:lang w:val="fr-FR" w:eastAsia="en-GB"/>
        </w:rPr>
        <w:t>Conformité de la législation pénale contre la discrimination raciale avec l</w:t>
      </w:r>
      <w:r w:rsidR="00A741F6">
        <w:rPr>
          <w:lang w:val="fr-FR" w:eastAsia="en-GB"/>
        </w:rPr>
        <w:t>’</w:t>
      </w:r>
      <w:r w:rsidRPr="00B73E0B">
        <w:rPr>
          <w:lang w:val="fr-FR" w:eastAsia="en-GB"/>
        </w:rPr>
        <w:t>article 4 de la Convention</w:t>
      </w:r>
      <w:r w:rsidRPr="00C13EC1">
        <w:rPr>
          <w:lang w:val="fr-FR" w:eastAsia="en-GB"/>
        </w:rPr>
        <w:t xml:space="preserve">; </w:t>
      </w:r>
    </w:p>
    <w:p w:rsidR="006537F2" w:rsidRDefault="006537F2" w:rsidP="006537F2">
      <w:pPr>
        <w:pStyle w:val="SingleTxtG"/>
        <w:ind w:firstLine="567"/>
        <w:rPr>
          <w:rFonts w:eastAsia="Calibri"/>
          <w:lang w:val="fr-FR"/>
        </w:rPr>
      </w:pPr>
      <w:r w:rsidRPr="00C13EC1">
        <w:rPr>
          <w:rFonts w:eastAsia="Calibri"/>
          <w:lang w:val="fr-FR"/>
        </w:rPr>
        <w:t>d)</w:t>
      </w:r>
      <w:r w:rsidRPr="00C13EC1">
        <w:rPr>
          <w:rFonts w:eastAsia="Calibri"/>
          <w:lang w:val="fr-FR"/>
        </w:rPr>
        <w:tab/>
      </w:r>
      <w:r>
        <w:rPr>
          <w:rFonts w:eastAsia="Calibri"/>
          <w:lang w:val="fr-FR"/>
        </w:rPr>
        <w:t>Mesures prises pour garantir l</w:t>
      </w:r>
      <w:r w:rsidR="00A741F6">
        <w:rPr>
          <w:rFonts w:eastAsia="Calibri"/>
          <w:lang w:val="fr-FR"/>
        </w:rPr>
        <w:t>’</w:t>
      </w:r>
      <w:r>
        <w:rPr>
          <w:rFonts w:eastAsia="Calibri"/>
          <w:lang w:val="fr-FR"/>
        </w:rPr>
        <w:t>accès à la justice</w:t>
      </w:r>
      <w:r w:rsidR="00A741F6">
        <w:rPr>
          <w:rFonts w:eastAsia="Calibri"/>
          <w:lang w:val="fr-FR"/>
        </w:rPr>
        <w:t>,</w:t>
      </w:r>
      <w:r>
        <w:rPr>
          <w:rFonts w:eastAsia="Calibri"/>
          <w:lang w:val="fr-FR"/>
        </w:rPr>
        <w:t xml:space="preserve"> et des recours utiles</w:t>
      </w:r>
      <w:r w:rsidR="00A741F6">
        <w:rPr>
          <w:rFonts w:eastAsia="Calibri"/>
          <w:lang w:val="fr-FR"/>
        </w:rPr>
        <w:t>,</w:t>
      </w:r>
      <w:r>
        <w:rPr>
          <w:rFonts w:eastAsia="Calibri"/>
          <w:lang w:val="fr-FR"/>
        </w:rPr>
        <w:t xml:space="preserve"> aux victimes de discrimination raciale, y compris les dispositions concernant la fourniture d</w:t>
      </w:r>
      <w:r w:rsidR="00A741F6">
        <w:rPr>
          <w:rFonts w:eastAsia="Calibri"/>
          <w:lang w:val="fr-FR"/>
        </w:rPr>
        <w:t>’</w:t>
      </w:r>
      <w:r>
        <w:rPr>
          <w:rFonts w:eastAsia="Calibri"/>
          <w:lang w:val="fr-FR"/>
        </w:rPr>
        <w:t xml:space="preserve">une </w:t>
      </w:r>
      <w:r w:rsidR="00A741F6">
        <w:rPr>
          <w:rFonts w:eastAsia="Calibri"/>
          <w:lang w:val="fr-FR"/>
        </w:rPr>
        <w:t xml:space="preserve">aide juridictionnelle </w:t>
      </w:r>
      <w:r>
        <w:rPr>
          <w:rFonts w:eastAsia="Calibri"/>
          <w:lang w:val="fr-FR"/>
        </w:rPr>
        <w:t>aux groupes vulnérables;</w:t>
      </w:r>
    </w:p>
    <w:p w:rsidR="006537F2" w:rsidRDefault="006537F2" w:rsidP="006537F2">
      <w:pPr>
        <w:pStyle w:val="SingleTxtG"/>
        <w:ind w:firstLine="567"/>
        <w:rPr>
          <w:rFonts w:eastAsia="Calibri"/>
          <w:lang w:val="fr-FR"/>
        </w:rPr>
      </w:pPr>
      <w:r w:rsidRPr="00C13EC1">
        <w:rPr>
          <w:rFonts w:eastAsia="Calibri"/>
          <w:lang w:val="fr-FR"/>
        </w:rPr>
        <w:t>e)</w:t>
      </w:r>
      <w:r w:rsidRPr="00C13EC1">
        <w:rPr>
          <w:rFonts w:eastAsia="Calibri"/>
          <w:lang w:val="fr-FR"/>
        </w:rPr>
        <w:tab/>
      </w:r>
      <w:r>
        <w:rPr>
          <w:rFonts w:eastAsia="Calibri"/>
          <w:lang w:val="fr-FR"/>
        </w:rPr>
        <w:t xml:space="preserve">Nombre de plaintes reçues par la </w:t>
      </w:r>
      <w:r w:rsidRPr="00D02A13">
        <w:rPr>
          <w:rFonts w:eastAsia="Calibri"/>
          <w:lang w:val="fr-FR"/>
        </w:rPr>
        <w:t>Direction des droits de l</w:t>
      </w:r>
      <w:r w:rsidR="00A741F6">
        <w:rPr>
          <w:rFonts w:eastAsia="Calibri"/>
          <w:lang w:val="fr-FR"/>
        </w:rPr>
        <w:t>’</w:t>
      </w:r>
      <w:r w:rsidRPr="00D02A13">
        <w:rPr>
          <w:rFonts w:eastAsia="Calibri"/>
          <w:lang w:val="fr-FR"/>
        </w:rPr>
        <w:t>homme du Ministère de l</w:t>
      </w:r>
      <w:r w:rsidR="00A741F6">
        <w:rPr>
          <w:rFonts w:eastAsia="Calibri"/>
          <w:lang w:val="fr-FR"/>
        </w:rPr>
        <w:t>’</w:t>
      </w:r>
      <w:r w:rsidRPr="00D02A13">
        <w:rPr>
          <w:rFonts w:eastAsia="Calibri"/>
          <w:lang w:val="fr-FR"/>
        </w:rPr>
        <w:t>intérieur</w:t>
      </w:r>
      <w:r>
        <w:rPr>
          <w:rFonts w:eastAsia="Calibri"/>
          <w:lang w:val="fr-FR"/>
        </w:rPr>
        <w:t xml:space="preserve"> </w:t>
      </w:r>
      <w:r w:rsidR="00A741F6">
        <w:rPr>
          <w:rFonts w:eastAsia="Calibri"/>
          <w:lang w:val="fr-FR"/>
        </w:rPr>
        <w:t xml:space="preserve">relative à la </w:t>
      </w:r>
      <w:r>
        <w:rPr>
          <w:rFonts w:eastAsia="Calibri"/>
          <w:lang w:val="fr-FR"/>
        </w:rPr>
        <w:t>discrimination raciale, et suite donnée;</w:t>
      </w:r>
    </w:p>
    <w:p w:rsidR="006537F2" w:rsidRPr="00C13EC1" w:rsidRDefault="006537F2" w:rsidP="006537F2">
      <w:pPr>
        <w:pStyle w:val="SingleTxtG"/>
        <w:ind w:firstLine="567"/>
        <w:rPr>
          <w:rFonts w:eastAsia="Calibri"/>
          <w:lang w:val="fr-FR"/>
        </w:rPr>
      </w:pPr>
      <w:r w:rsidRPr="00C13EC1">
        <w:rPr>
          <w:rFonts w:eastAsia="Calibri"/>
          <w:lang w:val="fr-FR"/>
        </w:rPr>
        <w:t>f)</w:t>
      </w:r>
      <w:r w:rsidRPr="00C13EC1">
        <w:rPr>
          <w:rFonts w:eastAsia="Calibri"/>
          <w:lang w:val="fr-FR"/>
        </w:rPr>
        <w:tab/>
      </w:r>
      <w:r>
        <w:rPr>
          <w:rFonts w:eastAsia="Calibri"/>
          <w:lang w:val="fr-FR"/>
        </w:rPr>
        <w:t>Le rôle de la société civile dans l</w:t>
      </w:r>
      <w:r w:rsidR="00A741F6">
        <w:rPr>
          <w:rFonts w:eastAsia="Calibri"/>
          <w:lang w:val="fr-FR"/>
        </w:rPr>
        <w:t>’</w:t>
      </w:r>
      <w:r>
        <w:rPr>
          <w:rFonts w:eastAsia="Calibri"/>
          <w:lang w:val="fr-FR"/>
        </w:rPr>
        <w:t>élaboration du rapport et dans la lutte contre la discrimination raciale</w:t>
      </w:r>
      <w:r w:rsidRPr="00C13EC1">
        <w:rPr>
          <w:rFonts w:eastAsia="Calibri"/>
          <w:lang w:val="fr-FR"/>
        </w:rPr>
        <w:t>;</w:t>
      </w:r>
    </w:p>
    <w:p w:rsidR="006537F2" w:rsidRPr="00C13EC1" w:rsidRDefault="006537F2" w:rsidP="006537F2">
      <w:pPr>
        <w:pStyle w:val="SingleTxtG"/>
        <w:ind w:firstLine="567"/>
        <w:rPr>
          <w:rFonts w:eastAsia="Calibri"/>
          <w:lang w:val="fr-FR"/>
        </w:rPr>
      </w:pPr>
      <w:r w:rsidRPr="00C13EC1">
        <w:rPr>
          <w:rFonts w:eastAsia="Calibri"/>
          <w:lang w:val="fr-FR"/>
        </w:rPr>
        <w:t>g)</w:t>
      </w:r>
      <w:r w:rsidRPr="00C13EC1">
        <w:rPr>
          <w:rFonts w:eastAsia="Calibri"/>
          <w:lang w:val="fr-FR"/>
        </w:rPr>
        <w:tab/>
      </w:r>
      <w:r w:rsidR="00A741F6">
        <w:rPr>
          <w:rFonts w:eastAsia="Calibri"/>
          <w:lang w:val="fr-FR"/>
        </w:rPr>
        <w:t xml:space="preserve">Sensibilisation </w:t>
      </w:r>
      <w:r>
        <w:rPr>
          <w:rFonts w:eastAsia="Calibri"/>
          <w:lang w:val="fr-FR"/>
        </w:rPr>
        <w:t xml:space="preserve">du grand public et des </w:t>
      </w:r>
      <w:r w:rsidRPr="009F0BC2">
        <w:rPr>
          <w:rFonts w:eastAsia="Calibri"/>
          <w:lang w:val="fr-FR"/>
        </w:rPr>
        <w:t>responsables de l</w:t>
      </w:r>
      <w:r w:rsidR="00A741F6">
        <w:rPr>
          <w:rFonts w:eastAsia="Calibri"/>
          <w:lang w:val="fr-FR"/>
        </w:rPr>
        <w:t>’</w:t>
      </w:r>
      <w:r w:rsidRPr="009F0BC2">
        <w:rPr>
          <w:rFonts w:eastAsia="Calibri"/>
          <w:lang w:val="fr-FR"/>
        </w:rPr>
        <w:t>application des lois</w:t>
      </w:r>
      <w:r>
        <w:rPr>
          <w:rFonts w:eastAsia="Calibri"/>
          <w:lang w:val="fr-FR"/>
        </w:rPr>
        <w:t xml:space="preserve"> </w:t>
      </w:r>
      <w:r w:rsidR="00A741F6">
        <w:rPr>
          <w:rFonts w:eastAsia="Calibri"/>
          <w:lang w:val="fr-FR"/>
        </w:rPr>
        <w:t xml:space="preserve">aux </w:t>
      </w:r>
      <w:r>
        <w:rPr>
          <w:rFonts w:eastAsia="Calibri"/>
          <w:lang w:val="fr-FR"/>
        </w:rPr>
        <w:t>instruments internationaux relatifs aux droits de l</w:t>
      </w:r>
      <w:r w:rsidR="00A741F6">
        <w:rPr>
          <w:rFonts w:eastAsia="Calibri"/>
          <w:lang w:val="fr-FR"/>
        </w:rPr>
        <w:t>’</w:t>
      </w:r>
      <w:r>
        <w:rPr>
          <w:rFonts w:eastAsia="Calibri"/>
          <w:lang w:val="fr-FR"/>
        </w:rPr>
        <w:t xml:space="preserve">homme, </w:t>
      </w:r>
      <w:r w:rsidR="00A741F6">
        <w:rPr>
          <w:rFonts w:eastAsia="Calibri"/>
          <w:lang w:val="fr-FR"/>
        </w:rPr>
        <w:t xml:space="preserve">dont </w:t>
      </w:r>
      <w:r>
        <w:rPr>
          <w:rFonts w:eastAsia="Calibri"/>
          <w:lang w:val="fr-FR"/>
        </w:rPr>
        <w:t>la Convention.</w:t>
      </w:r>
    </w:p>
    <w:p w:rsidR="006537F2" w:rsidRPr="00C13EC1" w:rsidRDefault="006537F2" w:rsidP="006537F2">
      <w:pPr>
        <w:pStyle w:val="H1G"/>
        <w:rPr>
          <w:rFonts w:eastAsia="Calibri"/>
          <w:lang w:val="fr-FR"/>
        </w:rPr>
      </w:pPr>
      <w:r w:rsidRPr="00C13EC1">
        <w:rPr>
          <w:rFonts w:eastAsia="Calibri"/>
          <w:lang w:val="fr-FR"/>
        </w:rPr>
        <w:tab/>
        <w:t>3.</w:t>
      </w:r>
      <w:r w:rsidRPr="00C13EC1">
        <w:rPr>
          <w:rFonts w:eastAsia="Calibri"/>
          <w:lang w:val="fr-FR"/>
        </w:rPr>
        <w:tab/>
      </w:r>
      <w:r>
        <w:rPr>
          <w:rFonts w:eastAsia="Calibri"/>
          <w:lang w:val="fr-FR"/>
        </w:rPr>
        <w:t>Difficultés rencontrées par les non-ressortissants et les citoyens naturalisés dans l</w:t>
      </w:r>
      <w:r w:rsidR="00A741F6">
        <w:rPr>
          <w:rFonts w:eastAsia="Calibri"/>
          <w:lang w:val="fr-FR"/>
        </w:rPr>
        <w:t>’</w:t>
      </w:r>
      <w:r>
        <w:rPr>
          <w:rFonts w:eastAsia="Calibri"/>
          <w:lang w:val="fr-FR"/>
        </w:rPr>
        <w:t>exercice de leurs droits civils, politiques, économiques, sociaux et culturels (</w:t>
      </w:r>
      <w:r w:rsidRPr="00C13EC1">
        <w:rPr>
          <w:rFonts w:eastAsia="Calibri"/>
          <w:lang w:val="fr-FR"/>
        </w:rPr>
        <w:t>art. 5)</w:t>
      </w:r>
    </w:p>
    <w:p w:rsidR="006537F2" w:rsidRPr="00C13EC1" w:rsidRDefault="006537F2" w:rsidP="006537F2">
      <w:pPr>
        <w:pStyle w:val="SingleTxtG"/>
        <w:ind w:firstLine="567"/>
        <w:rPr>
          <w:rFonts w:eastAsia="Calibri"/>
          <w:lang w:val="fr-FR"/>
        </w:rPr>
      </w:pPr>
      <w:r w:rsidRPr="00C13EC1">
        <w:rPr>
          <w:rFonts w:eastAsia="Calibri"/>
          <w:lang w:val="fr-FR"/>
        </w:rPr>
        <w:t>a)</w:t>
      </w:r>
      <w:r w:rsidRPr="00C13EC1">
        <w:rPr>
          <w:rFonts w:eastAsia="Calibri"/>
          <w:lang w:val="fr-FR"/>
        </w:rPr>
        <w:tab/>
        <w:t>Conditions</w:t>
      </w:r>
      <w:r>
        <w:rPr>
          <w:rFonts w:eastAsia="Calibri"/>
          <w:lang w:val="fr-FR"/>
        </w:rPr>
        <w:t xml:space="preserve"> d</w:t>
      </w:r>
      <w:r w:rsidR="00A741F6">
        <w:rPr>
          <w:rFonts w:eastAsia="Calibri"/>
          <w:lang w:val="fr-FR"/>
        </w:rPr>
        <w:t>’</w:t>
      </w:r>
      <w:r>
        <w:rPr>
          <w:rFonts w:eastAsia="Calibri"/>
          <w:lang w:val="fr-FR"/>
        </w:rPr>
        <w:t xml:space="preserve">acquisition de la </w:t>
      </w:r>
      <w:r w:rsidR="00A741F6">
        <w:rPr>
          <w:rFonts w:eastAsia="Calibri"/>
          <w:lang w:val="fr-FR"/>
        </w:rPr>
        <w:t>nationalité</w:t>
      </w:r>
      <w:r w:rsidRPr="00C13EC1">
        <w:rPr>
          <w:rFonts w:eastAsia="Calibri"/>
          <w:lang w:val="fr-FR"/>
        </w:rPr>
        <w:t xml:space="preserve">; </w:t>
      </w:r>
    </w:p>
    <w:p w:rsidR="006537F2" w:rsidRPr="00C13EC1" w:rsidRDefault="006537F2" w:rsidP="006537F2">
      <w:pPr>
        <w:pStyle w:val="SingleTxtG"/>
        <w:ind w:firstLine="567"/>
        <w:rPr>
          <w:rFonts w:eastAsia="Calibri"/>
          <w:lang w:val="fr-FR"/>
        </w:rPr>
      </w:pPr>
      <w:r w:rsidRPr="00C13EC1">
        <w:rPr>
          <w:rFonts w:eastAsia="Calibri"/>
          <w:lang w:val="fr-FR"/>
        </w:rPr>
        <w:t>b)</w:t>
      </w:r>
      <w:r w:rsidRPr="00C13EC1">
        <w:rPr>
          <w:rFonts w:eastAsia="Calibri"/>
          <w:lang w:val="fr-FR"/>
        </w:rPr>
        <w:tab/>
      </w:r>
      <w:r>
        <w:rPr>
          <w:rFonts w:eastAsia="Calibri"/>
          <w:lang w:val="fr-FR"/>
        </w:rPr>
        <w:t xml:space="preserve">Conditions de transmission de la </w:t>
      </w:r>
      <w:r w:rsidR="00A741F6">
        <w:rPr>
          <w:rFonts w:eastAsia="Calibri"/>
          <w:lang w:val="fr-FR"/>
        </w:rPr>
        <w:t xml:space="preserve">nationalité </w:t>
      </w:r>
      <w:r>
        <w:rPr>
          <w:rFonts w:eastAsia="Calibri"/>
          <w:lang w:val="fr-FR"/>
        </w:rPr>
        <w:t>qatarie aux enfants nés d</w:t>
      </w:r>
      <w:r w:rsidR="00A741F6">
        <w:rPr>
          <w:rFonts w:eastAsia="Calibri"/>
          <w:lang w:val="fr-FR"/>
        </w:rPr>
        <w:t>’</w:t>
      </w:r>
      <w:r>
        <w:rPr>
          <w:rFonts w:eastAsia="Calibri"/>
          <w:lang w:val="fr-FR"/>
        </w:rPr>
        <w:t>une mère qatarie et d</w:t>
      </w:r>
      <w:r w:rsidR="00A741F6">
        <w:rPr>
          <w:rFonts w:eastAsia="Calibri"/>
          <w:lang w:val="fr-FR"/>
        </w:rPr>
        <w:t>’</w:t>
      </w:r>
      <w:r w:rsidR="003B28B3">
        <w:rPr>
          <w:rFonts w:eastAsia="Calibri"/>
          <w:lang w:val="fr-FR"/>
        </w:rPr>
        <w:t xml:space="preserve">un père non </w:t>
      </w:r>
      <w:r>
        <w:rPr>
          <w:rFonts w:eastAsia="Calibri"/>
          <w:lang w:val="fr-FR"/>
        </w:rPr>
        <w:t>ressortissant</w:t>
      </w:r>
      <w:r w:rsidRPr="00C13EC1">
        <w:rPr>
          <w:rFonts w:eastAsia="Calibri"/>
          <w:lang w:val="fr-FR"/>
        </w:rPr>
        <w:t xml:space="preserve">; </w:t>
      </w:r>
    </w:p>
    <w:p w:rsidR="006537F2" w:rsidRPr="00C13EC1" w:rsidRDefault="006537F2" w:rsidP="006537F2">
      <w:pPr>
        <w:pStyle w:val="SingleTxtG"/>
        <w:ind w:firstLine="567"/>
        <w:rPr>
          <w:rFonts w:eastAsia="Calibri"/>
          <w:lang w:val="fr-FR"/>
        </w:rPr>
      </w:pPr>
      <w:r w:rsidRPr="00C13EC1">
        <w:rPr>
          <w:rFonts w:eastAsia="Calibri"/>
          <w:lang w:val="fr-FR"/>
        </w:rPr>
        <w:t>c)</w:t>
      </w:r>
      <w:r w:rsidRPr="00C13EC1">
        <w:rPr>
          <w:rFonts w:eastAsia="Calibri"/>
          <w:lang w:val="fr-FR"/>
        </w:rPr>
        <w:tab/>
      </w:r>
      <w:r w:rsidR="00A741F6">
        <w:rPr>
          <w:rFonts w:eastAsia="Calibri"/>
          <w:lang w:val="fr-FR"/>
        </w:rPr>
        <w:t xml:space="preserve">Retour de la </w:t>
      </w:r>
      <w:r>
        <w:rPr>
          <w:rFonts w:eastAsia="Calibri"/>
          <w:lang w:val="fr-FR"/>
        </w:rPr>
        <w:t xml:space="preserve">nationalité </w:t>
      </w:r>
      <w:r w:rsidR="00A741F6">
        <w:rPr>
          <w:rFonts w:eastAsia="Calibri"/>
          <w:lang w:val="fr-FR"/>
        </w:rPr>
        <w:t xml:space="preserve">aux ressortissants naturalisés et protection offerte aux familles des personnes déchues </w:t>
      </w:r>
      <w:r>
        <w:rPr>
          <w:rFonts w:eastAsia="Calibri"/>
          <w:lang w:val="fr-FR"/>
        </w:rPr>
        <w:t>de leur nationalité</w:t>
      </w:r>
      <w:r w:rsidRPr="00C13EC1">
        <w:rPr>
          <w:rFonts w:eastAsia="Calibri"/>
          <w:lang w:val="fr-FR"/>
        </w:rPr>
        <w:t>;</w:t>
      </w:r>
    </w:p>
    <w:p w:rsidR="006537F2" w:rsidRPr="00C13EC1" w:rsidRDefault="006537F2" w:rsidP="006537F2">
      <w:pPr>
        <w:pStyle w:val="SingleTxtG"/>
        <w:ind w:firstLine="567"/>
        <w:rPr>
          <w:rFonts w:eastAsia="Calibri"/>
          <w:lang w:val="fr-FR"/>
        </w:rPr>
      </w:pPr>
      <w:r w:rsidRPr="00C13EC1">
        <w:rPr>
          <w:rFonts w:eastAsia="Calibri"/>
          <w:lang w:val="fr-FR"/>
        </w:rPr>
        <w:t>d)</w:t>
      </w:r>
      <w:r w:rsidRPr="00C13EC1">
        <w:rPr>
          <w:rFonts w:eastAsia="Calibri"/>
          <w:lang w:val="fr-FR"/>
        </w:rPr>
        <w:tab/>
      </w:r>
      <w:r>
        <w:rPr>
          <w:rFonts w:eastAsia="Calibri"/>
          <w:lang w:val="fr-FR"/>
        </w:rPr>
        <w:t xml:space="preserve">Le droit </w:t>
      </w:r>
      <w:r w:rsidR="00A741F6">
        <w:rPr>
          <w:rFonts w:eastAsia="Calibri"/>
          <w:lang w:val="fr-FR"/>
        </w:rPr>
        <w:t xml:space="preserve">d’élire </w:t>
      </w:r>
      <w:r>
        <w:rPr>
          <w:rFonts w:eastAsia="Calibri"/>
          <w:lang w:val="fr-FR"/>
        </w:rPr>
        <w:t>et d</w:t>
      </w:r>
      <w:r w:rsidR="00A741F6">
        <w:rPr>
          <w:rFonts w:eastAsia="Calibri"/>
          <w:lang w:val="fr-FR"/>
        </w:rPr>
        <w:t>’</w:t>
      </w:r>
      <w:r>
        <w:rPr>
          <w:rFonts w:eastAsia="Calibri"/>
          <w:lang w:val="fr-FR"/>
        </w:rPr>
        <w:t xml:space="preserve">être </w:t>
      </w:r>
      <w:r w:rsidR="00A741F6">
        <w:rPr>
          <w:rFonts w:eastAsia="Calibri"/>
          <w:lang w:val="fr-FR"/>
        </w:rPr>
        <w:t xml:space="preserve">élu </w:t>
      </w:r>
      <w:r>
        <w:rPr>
          <w:rFonts w:eastAsia="Calibri"/>
          <w:lang w:val="fr-FR"/>
        </w:rPr>
        <w:t xml:space="preserve">des </w:t>
      </w:r>
      <w:r w:rsidR="00A741F6">
        <w:rPr>
          <w:rFonts w:eastAsia="Calibri"/>
          <w:lang w:val="fr-FR"/>
        </w:rPr>
        <w:t xml:space="preserve">ressortissants </w:t>
      </w:r>
      <w:r>
        <w:rPr>
          <w:rFonts w:eastAsia="Calibri"/>
          <w:lang w:val="fr-FR"/>
        </w:rPr>
        <w:t>naturalisés</w:t>
      </w:r>
      <w:r w:rsidRPr="00C13EC1">
        <w:rPr>
          <w:rFonts w:eastAsia="Calibri"/>
          <w:lang w:val="fr-FR"/>
        </w:rPr>
        <w:t xml:space="preserve">; </w:t>
      </w:r>
    </w:p>
    <w:p w:rsidR="006537F2" w:rsidRPr="00C13EC1" w:rsidRDefault="006537F2" w:rsidP="006537F2">
      <w:pPr>
        <w:pStyle w:val="SingleTxtG"/>
        <w:ind w:firstLine="567"/>
        <w:rPr>
          <w:rFonts w:eastAsia="Calibri"/>
          <w:lang w:val="fr-FR"/>
        </w:rPr>
      </w:pPr>
      <w:r w:rsidRPr="00C13EC1">
        <w:rPr>
          <w:rFonts w:eastAsia="Calibri"/>
          <w:lang w:val="fr-FR"/>
        </w:rPr>
        <w:t>e)</w:t>
      </w:r>
      <w:r w:rsidRPr="00C13EC1">
        <w:rPr>
          <w:rFonts w:eastAsia="Calibri"/>
          <w:lang w:val="fr-FR"/>
        </w:rPr>
        <w:tab/>
      </w:r>
      <w:r>
        <w:rPr>
          <w:rFonts w:eastAsia="Calibri"/>
          <w:lang w:val="fr-FR"/>
        </w:rPr>
        <w:t xml:space="preserve">Situation des travailleurs migrants, </w:t>
      </w:r>
      <w:r w:rsidR="00A741F6">
        <w:rPr>
          <w:rFonts w:eastAsia="Calibri"/>
          <w:lang w:val="fr-FR"/>
        </w:rPr>
        <w:t>dont l</w:t>
      </w:r>
      <w:r>
        <w:rPr>
          <w:rFonts w:eastAsia="Calibri"/>
          <w:lang w:val="fr-FR"/>
        </w:rPr>
        <w:t xml:space="preserve">es travailleurs migrants </w:t>
      </w:r>
      <w:r w:rsidR="00A741F6">
        <w:rPr>
          <w:rFonts w:eastAsia="Calibri"/>
          <w:lang w:val="fr-FR"/>
        </w:rPr>
        <w:t xml:space="preserve">employés comme </w:t>
      </w:r>
      <w:r>
        <w:rPr>
          <w:rFonts w:eastAsia="Calibri"/>
          <w:lang w:val="fr-FR"/>
        </w:rPr>
        <w:t xml:space="preserve">domestiques, </w:t>
      </w:r>
      <w:r w:rsidR="00A741F6">
        <w:rPr>
          <w:rFonts w:eastAsia="Calibri"/>
          <w:lang w:val="fr-FR"/>
        </w:rPr>
        <w:t xml:space="preserve">en ce qui </w:t>
      </w:r>
      <w:r>
        <w:rPr>
          <w:rFonts w:eastAsia="Calibri"/>
          <w:lang w:val="fr-FR"/>
        </w:rPr>
        <w:t>concern</w:t>
      </w:r>
      <w:r w:rsidR="00A741F6">
        <w:rPr>
          <w:rFonts w:eastAsia="Calibri"/>
          <w:lang w:val="fr-FR"/>
        </w:rPr>
        <w:t>e</w:t>
      </w:r>
      <w:r>
        <w:rPr>
          <w:rFonts w:eastAsia="Calibri"/>
          <w:lang w:val="fr-FR"/>
        </w:rPr>
        <w:t xml:space="preserve"> la possibilité d</w:t>
      </w:r>
      <w:r w:rsidR="00A741F6">
        <w:rPr>
          <w:rFonts w:eastAsia="Calibri"/>
          <w:lang w:val="fr-FR"/>
        </w:rPr>
        <w:t>’</w:t>
      </w:r>
      <w:r>
        <w:rPr>
          <w:rFonts w:eastAsia="Calibri"/>
          <w:lang w:val="fr-FR"/>
        </w:rPr>
        <w:t>exercer leurs droits économiques, sociaux et culturels sans discrimination</w:t>
      </w:r>
      <w:r w:rsidRPr="00C13EC1">
        <w:rPr>
          <w:rFonts w:eastAsia="Calibri"/>
          <w:lang w:val="fr-FR"/>
        </w:rPr>
        <w:t>;</w:t>
      </w:r>
    </w:p>
    <w:p w:rsidR="006537F2" w:rsidRPr="00C13EC1" w:rsidRDefault="006537F2" w:rsidP="006537F2">
      <w:pPr>
        <w:pStyle w:val="SingleTxtG"/>
        <w:ind w:firstLine="567"/>
        <w:rPr>
          <w:rFonts w:eastAsia="Calibri"/>
          <w:lang w:val="fr-FR"/>
        </w:rPr>
      </w:pPr>
      <w:r w:rsidRPr="00C13EC1">
        <w:rPr>
          <w:rFonts w:eastAsia="Calibri"/>
          <w:lang w:val="fr-FR"/>
        </w:rPr>
        <w:t>f)</w:t>
      </w:r>
      <w:r w:rsidRPr="00C13EC1">
        <w:rPr>
          <w:rFonts w:eastAsia="Calibri"/>
          <w:lang w:val="fr-FR"/>
        </w:rPr>
        <w:tab/>
        <w:t xml:space="preserve">Protection </w:t>
      </w:r>
      <w:r>
        <w:rPr>
          <w:rFonts w:eastAsia="Calibri"/>
          <w:lang w:val="fr-FR"/>
        </w:rPr>
        <w:t xml:space="preserve">des travailleurs migrants, en particulier </w:t>
      </w:r>
      <w:r w:rsidR="00A741F6">
        <w:rPr>
          <w:rFonts w:eastAsia="Calibri"/>
          <w:lang w:val="fr-FR"/>
        </w:rPr>
        <w:t xml:space="preserve">contre </w:t>
      </w:r>
      <w:r>
        <w:rPr>
          <w:rFonts w:eastAsia="Calibri"/>
          <w:lang w:val="fr-FR"/>
        </w:rPr>
        <w:t>diverses formes de violence, notamment physique et sexuelle</w:t>
      </w:r>
      <w:r w:rsidRPr="00C13EC1">
        <w:rPr>
          <w:rFonts w:eastAsia="Calibri"/>
          <w:lang w:val="fr-FR"/>
        </w:rPr>
        <w:t>;</w:t>
      </w:r>
    </w:p>
    <w:p w:rsidR="006537F2" w:rsidRDefault="006537F2" w:rsidP="006537F2">
      <w:pPr>
        <w:pStyle w:val="SingleTxtG"/>
        <w:ind w:firstLine="567"/>
        <w:rPr>
          <w:rFonts w:eastAsia="Calibri"/>
          <w:lang w:val="fr-FR"/>
        </w:rPr>
      </w:pPr>
      <w:r w:rsidRPr="00C13EC1">
        <w:rPr>
          <w:rFonts w:eastAsia="Calibri"/>
          <w:lang w:val="fr-FR"/>
        </w:rPr>
        <w:t>g)</w:t>
      </w:r>
      <w:r w:rsidRPr="00C13EC1">
        <w:rPr>
          <w:rFonts w:eastAsia="Calibri"/>
          <w:lang w:val="fr-FR"/>
        </w:rPr>
        <w:tab/>
      </w:r>
      <w:r>
        <w:rPr>
          <w:rFonts w:eastAsia="Calibri"/>
          <w:lang w:val="fr-FR"/>
        </w:rPr>
        <w:t>Exercice des droits de l</w:t>
      </w:r>
      <w:r w:rsidR="00A741F6">
        <w:rPr>
          <w:rFonts w:eastAsia="Calibri"/>
          <w:lang w:val="fr-FR"/>
        </w:rPr>
        <w:t>’</w:t>
      </w:r>
      <w:r>
        <w:rPr>
          <w:rFonts w:eastAsia="Calibri"/>
          <w:lang w:val="fr-FR"/>
        </w:rPr>
        <w:t>homme sans discrimination par les apatrides, les réfugiés et les demandeurs d</w:t>
      </w:r>
      <w:r w:rsidR="00A741F6">
        <w:rPr>
          <w:rFonts w:eastAsia="Calibri"/>
          <w:lang w:val="fr-FR"/>
        </w:rPr>
        <w:t>’</w:t>
      </w:r>
      <w:r>
        <w:rPr>
          <w:rFonts w:eastAsia="Calibri"/>
          <w:lang w:val="fr-FR"/>
        </w:rPr>
        <w:t>asile.</w:t>
      </w:r>
    </w:p>
    <w:p w:rsidR="006537F2" w:rsidRPr="006537F2" w:rsidRDefault="006537F2" w:rsidP="006537F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537F2" w:rsidRPr="006537F2" w:rsidSect="006537F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E8" w:rsidRDefault="002D6CE8"/>
  </w:endnote>
  <w:endnote w:type="continuationSeparator" w:id="0">
    <w:p w:rsidR="002D6CE8" w:rsidRDefault="002D6CE8"/>
  </w:endnote>
  <w:endnote w:type="continuationNotice" w:id="1">
    <w:p w:rsidR="002D6CE8" w:rsidRDefault="002D6C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F2" w:rsidRPr="006537F2" w:rsidRDefault="006537F2" w:rsidP="006537F2">
    <w:pPr>
      <w:pStyle w:val="Footer"/>
      <w:tabs>
        <w:tab w:val="right" w:pos="9638"/>
      </w:tabs>
    </w:pPr>
    <w:r w:rsidRPr="006537F2">
      <w:rPr>
        <w:b/>
        <w:sz w:val="18"/>
      </w:rPr>
      <w:fldChar w:fldCharType="begin"/>
    </w:r>
    <w:r w:rsidRPr="006537F2">
      <w:rPr>
        <w:b/>
        <w:sz w:val="18"/>
      </w:rPr>
      <w:instrText xml:space="preserve"> PAGE  \* MERGEFORMAT </w:instrText>
    </w:r>
    <w:r w:rsidRPr="006537F2">
      <w:rPr>
        <w:b/>
        <w:sz w:val="18"/>
      </w:rPr>
      <w:fldChar w:fldCharType="separate"/>
    </w:r>
    <w:r w:rsidR="00885A8C">
      <w:rPr>
        <w:b/>
        <w:noProof/>
        <w:sz w:val="18"/>
      </w:rPr>
      <w:t>2</w:t>
    </w:r>
    <w:r w:rsidRPr="006537F2">
      <w:rPr>
        <w:b/>
        <w:sz w:val="18"/>
      </w:rPr>
      <w:fldChar w:fldCharType="end"/>
    </w:r>
    <w:r>
      <w:rPr>
        <w:b/>
        <w:sz w:val="18"/>
      </w:rPr>
      <w:tab/>
    </w:r>
    <w:r>
      <w:t>GE.12-40524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F2" w:rsidRPr="006537F2" w:rsidRDefault="006537F2" w:rsidP="006537F2">
    <w:pPr>
      <w:pStyle w:val="Footer"/>
      <w:tabs>
        <w:tab w:val="right" w:pos="9638"/>
      </w:tabs>
      <w:rPr>
        <w:b/>
        <w:sz w:val="18"/>
      </w:rPr>
    </w:pPr>
    <w:r>
      <w:t>GE.12-40524</w:t>
    </w:r>
    <w:r>
      <w:tab/>
    </w:r>
    <w:r w:rsidRPr="006537F2">
      <w:rPr>
        <w:b/>
        <w:sz w:val="18"/>
      </w:rPr>
      <w:fldChar w:fldCharType="begin"/>
    </w:r>
    <w:r w:rsidRPr="006537F2">
      <w:rPr>
        <w:b/>
        <w:sz w:val="18"/>
      </w:rPr>
      <w:instrText xml:space="preserve"> PAGE  \* MERGEFORMAT </w:instrText>
    </w:r>
    <w:r w:rsidRPr="006537F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537F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6E" w:rsidRDefault="006537F2">
    <w:pPr>
      <w:pStyle w:val="Footer"/>
    </w:pPr>
    <w:r>
      <w:rPr>
        <w:sz w:val="20"/>
      </w:rPr>
      <w:t>GE.12-40524</w:t>
    </w:r>
    <w:r w:rsidR="0050506E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6.9pt;margin-top:-8.5pt;width:86.95pt;height:18.35pt;z-index:1;mso-position-horizontal-relative:text;mso-position-vertical-relative:text">
          <v:imagedata r:id="rId1" o:title="recycle_French"/>
        </v:shape>
      </w:pict>
    </w:r>
    <w:r>
      <w:rPr>
        <w:sz w:val="20"/>
      </w:rPr>
      <w:t xml:space="preserve">  (F)    150212    </w:t>
    </w:r>
    <w:r w:rsidR="008F1A76">
      <w:rPr>
        <w:sz w:val="20"/>
      </w:rPr>
      <w:t>150212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E8" w:rsidRPr="00D27D5E" w:rsidRDefault="002D6CE8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D6CE8" w:rsidRPr="00AA7FE7" w:rsidRDefault="002D6CE8" w:rsidP="00AA7FE7">
      <w:pPr>
        <w:tabs>
          <w:tab w:val="right" w:pos="2155"/>
        </w:tabs>
        <w:spacing w:after="80"/>
        <w:ind w:left="680"/>
        <w:rPr>
          <w:u w:val="single"/>
        </w:rPr>
      </w:pPr>
      <w:r w:rsidRPr="00AA7FE7">
        <w:rPr>
          <w:u w:val="single"/>
        </w:rPr>
        <w:tab/>
      </w:r>
    </w:p>
  </w:footnote>
  <w:footnote w:type="continuationNotice" w:id="1">
    <w:p w:rsidR="002D6CE8" w:rsidRDefault="002D6CE8"/>
  </w:footnote>
  <w:footnote w:id="2">
    <w:p w:rsidR="006537F2" w:rsidRPr="006537F2" w:rsidRDefault="006537F2">
      <w:pPr>
        <w:pStyle w:val="FootnoteText"/>
      </w:pPr>
      <w:r>
        <w:tab/>
      </w:r>
      <w:r w:rsidRPr="006537F2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>
        <w:t>Soumission tardive.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F2" w:rsidRPr="006537F2" w:rsidRDefault="006537F2">
    <w:pPr>
      <w:pStyle w:val="Header"/>
    </w:pPr>
    <w:r>
      <w:t>CERD/C/QAT/Q/13-16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F2" w:rsidRPr="006537F2" w:rsidRDefault="006537F2" w:rsidP="006537F2">
    <w:pPr>
      <w:pStyle w:val="Header"/>
      <w:jc w:val="right"/>
    </w:pPr>
    <w:r>
      <w:t>CERD/C/QAT/Q/13-16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4B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141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96A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5E9E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81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A08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5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8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9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1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2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4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7">
    <w:nsid w:val="4B2E67DA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1">
    <w:nsid w:val="5E69202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5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39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F3A355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8"/>
  </w:num>
  <w:num w:numId="2">
    <w:abstractNumId w:val="17"/>
  </w:num>
  <w:num w:numId="3">
    <w:abstractNumId w:val="38"/>
  </w:num>
  <w:num w:numId="4">
    <w:abstractNumId w:val="17"/>
  </w:num>
  <w:num w:numId="5">
    <w:abstractNumId w:val="11"/>
  </w:num>
  <w:num w:numId="6">
    <w:abstractNumId w:val="19"/>
  </w:num>
  <w:num w:numId="7">
    <w:abstractNumId w:val="22"/>
  </w:num>
  <w:num w:numId="8">
    <w:abstractNumId w:val="36"/>
  </w:num>
  <w:num w:numId="9">
    <w:abstractNumId w:val="29"/>
  </w:num>
  <w:num w:numId="10">
    <w:abstractNumId w:val="39"/>
  </w:num>
  <w:num w:numId="11">
    <w:abstractNumId w:val="22"/>
  </w:num>
  <w:num w:numId="12">
    <w:abstractNumId w:val="26"/>
  </w:num>
  <w:num w:numId="13">
    <w:abstractNumId w:val="26"/>
  </w:num>
  <w:num w:numId="14">
    <w:abstractNumId w:val="33"/>
  </w:num>
  <w:num w:numId="15">
    <w:abstractNumId w:val="21"/>
  </w:num>
  <w:num w:numId="16">
    <w:abstractNumId w:val="21"/>
  </w:num>
  <w:num w:numId="17">
    <w:abstractNumId w:val="38"/>
  </w:num>
  <w:num w:numId="18">
    <w:abstractNumId w:val="17"/>
  </w:num>
  <w:num w:numId="19">
    <w:abstractNumId w:val="1"/>
  </w:num>
  <w:num w:numId="20">
    <w:abstractNumId w:val="0"/>
  </w:num>
  <w:num w:numId="21">
    <w:abstractNumId w:val="18"/>
  </w:num>
  <w:num w:numId="22">
    <w:abstractNumId w:val="10"/>
  </w:num>
  <w:num w:numId="23">
    <w:abstractNumId w:val="14"/>
  </w:num>
  <w:num w:numId="24">
    <w:abstractNumId w:val="12"/>
  </w:num>
  <w:num w:numId="25">
    <w:abstractNumId w:val="23"/>
  </w:num>
  <w:num w:numId="26">
    <w:abstractNumId w:val="30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37"/>
  </w:num>
  <w:num w:numId="37">
    <w:abstractNumId w:val="34"/>
  </w:num>
  <w:num w:numId="38">
    <w:abstractNumId w:val="20"/>
  </w:num>
  <w:num w:numId="39">
    <w:abstractNumId w:val="25"/>
  </w:num>
  <w:num w:numId="40">
    <w:abstractNumId w:val="35"/>
  </w:num>
  <w:num w:numId="41">
    <w:abstractNumId w:val="15"/>
  </w:num>
  <w:num w:numId="42">
    <w:abstractNumId w:val="31"/>
  </w:num>
  <w:num w:numId="43">
    <w:abstractNumId w:val="40"/>
  </w:num>
  <w:num w:numId="44">
    <w:abstractNumId w:val="27"/>
  </w:num>
  <w:num w:numId="45">
    <w:abstractNumId w:val="32"/>
  </w:num>
  <w:num w:numId="46">
    <w:abstractNumId w:val="28"/>
  </w:num>
  <w:num w:numId="47">
    <w:abstractNumId w:val="24"/>
  </w:num>
  <w:num w:numId="48">
    <w:abstractNumId w:val="16"/>
  </w:num>
  <w:num w:numId="49">
    <w:abstractNumId w:val="34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06E"/>
    <w:rsid w:val="00016AC5"/>
    <w:rsid w:val="00050D11"/>
    <w:rsid w:val="00054609"/>
    <w:rsid w:val="000A6F55"/>
    <w:rsid w:val="000E330A"/>
    <w:rsid w:val="000E6D48"/>
    <w:rsid w:val="000E7579"/>
    <w:rsid w:val="000F41F2"/>
    <w:rsid w:val="001231AD"/>
    <w:rsid w:val="001450E6"/>
    <w:rsid w:val="00150465"/>
    <w:rsid w:val="00160540"/>
    <w:rsid w:val="00192EEB"/>
    <w:rsid w:val="00197832"/>
    <w:rsid w:val="001A20FB"/>
    <w:rsid w:val="001B3867"/>
    <w:rsid w:val="001D72C5"/>
    <w:rsid w:val="001D7F8A"/>
    <w:rsid w:val="001E3FEB"/>
    <w:rsid w:val="001E4A02"/>
    <w:rsid w:val="00225A8C"/>
    <w:rsid w:val="002626D4"/>
    <w:rsid w:val="002659F1"/>
    <w:rsid w:val="00265CD7"/>
    <w:rsid w:val="00287E79"/>
    <w:rsid w:val="002928F9"/>
    <w:rsid w:val="002A5D07"/>
    <w:rsid w:val="002D3F03"/>
    <w:rsid w:val="002D6CE8"/>
    <w:rsid w:val="002E0D40"/>
    <w:rsid w:val="002E5B0C"/>
    <w:rsid w:val="00300D06"/>
    <w:rsid w:val="003016B7"/>
    <w:rsid w:val="003515AA"/>
    <w:rsid w:val="00374106"/>
    <w:rsid w:val="003976D5"/>
    <w:rsid w:val="003B28B3"/>
    <w:rsid w:val="003D6C68"/>
    <w:rsid w:val="004159D0"/>
    <w:rsid w:val="00472145"/>
    <w:rsid w:val="0050506E"/>
    <w:rsid w:val="00540389"/>
    <w:rsid w:val="00543D5E"/>
    <w:rsid w:val="00571F41"/>
    <w:rsid w:val="00593658"/>
    <w:rsid w:val="005E5D1F"/>
    <w:rsid w:val="006034FC"/>
    <w:rsid w:val="00611D43"/>
    <w:rsid w:val="00612D48"/>
    <w:rsid w:val="00616B45"/>
    <w:rsid w:val="00630D9B"/>
    <w:rsid w:val="00631953"/>
    <w:rsid w:val="006439EC"/>
    <w:rsid w:val="006537F2"/>
    <w:rsid w:val="00657120"/>
    <w:rsid w:val="00693E16"/>
    <w:rsid w:val="006B4590"/>
    <w:rsid w:val="006C340C"/>
    <w:rsid w:val="006D7B0B"/>
    <w:rsid w:val="006E6AE5"/>
    <w:rsid w:val="006F39E4"/>
    <w:rsid w:val="0070347C"/>
    <w:rsid w:val="007176C1"/>
    <w:rsid w:val="007231EF"/>
    <w:rsid w:val="0078670C"/>
    <w:rsid w:val="007F55CB"/>
    <w:rsid w:val="00844750"/>
    <w:rsid w:val="008575C6"/>
    <w:rsid w:val="00885A8C"/>
    <w:rsid w:val="008B44C4"/>
    <w:rsid w:val="008D2259"/>
    <w:rsid w:val="008E7FAE"/>
    <w:rsid w:val="008F1A76"/>
    <w:rsid w:val="00911BF7"/>
    <w:rsid w:val="00977EC8"/>
    <w:rsid w:val="009C17F5"/>
    <w:rsid w:val="009D3A8C"/>
    <w:rsid w:val="009E7956"/>
    <w:rsid w:val="00A2492E"/>
    <w:rsid w:val="00A741F6"/>
    <w:rsid w:val="00A82B6C"/>
    <w:rsid w:val="00AA7FE7"/>
    <w:rsid w:val="00AB3173"/>
    <w:rsid w:val="00AC01AA"/>
    <w:rsid w:val="00AC67A1"/>
    <w:rsid w:val="00AC7977"/>
    <w:rsid w:val="00AE352C"/>
    <w:rsid w:val="00B32E2D"/>
    <w:rsid w:val="00B61990"/>
    <w:rsid w:val="00BF0556"/>
    <w:rsid w:val="00C03431"/>
    <w:rsid w:val="00C261F8"/>
    <w:rsid w:val="00C33100"/>
    <w:rsid w:val="00CD1A71"/>
    <w:rsid w:val="00CD1FBB"/>
    <w:rsid w:val="00D016B5"/>
    <w:rsid w:val="00D034F1"/>
    <w:rsid w:val="00D27D5E"/>
    <w:rsid w:val="00D37345"/>
    <w:rsid w:val="00D946B8"/>
    <w:rsid w:val="00DC156C"/>
    <w:rsid w:val="00DE6D90"/>
    <w:rsid w:val="00DF002F"/>
    <w:rsid w:val="00E0244D"/>
    <w:rsid w:val="00E42D5E"/>
    <w:rsid w:val="00E81E94"/>
    <w:rsid w:val="00E82607"/>
    <w:rsid w:val="00EC5A42"/>
    <w:rsid w:val="00F63BC6"/>
    <w:rsid w:val="00FA5A79"/>
    <w:rsid w:val="00FB0BFE"/>
    <w:rsid w:val="00FB4C51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7F5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D37345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9C17F5"/>
    <w:pPr>
      <w:outlineLvl w:val="1"/>
    </w:pPr>
  </w:style>
  <w:style w:type="paragraph" w:styleId="Heading3">
    <w:name w:val="heading 3"/>
    <w:basedOn w:val="Normal"/>
    <w:next w:val="Normal"/>
    <w:qFormat/>
    <w:rsid w:val="009C17F5"/>
    <w:pPr>
      <w:outlineLvl w:val="2"/>
    </w:pPr>
  </w:style>
  <w:style w:type="paragraph" w:styleId="Heading4">
    <w:name w:val="heading 4"/>
    <w:basedOn w:val="Normal"/>
    <w:next w:val="Normal"/>
    <w:qFormat/>
    <w:rsid w:val="009C17F5"/>
    <w:pPr>
      <w:outlineLvl w:val="3"/>
    </w:pPr>
  </w:style>
  <w:style w:type="paragraph" w:styleId="Heading5">
    <w:name w:val="heading 5"/>
    <w:basedOn w:val="Normal"/>
    <w:next w:val="Normal"/>
    <w:qFormat/>
    <w:rsid w:val="009C17F5"/>
    <w:pPr>
      <w:outlineLvl w:val="4"/>
    </w:pPr>
  </w:style>
  <w:style w:type="paragraph" w:styleId="Heading6">
    <w:name w:val="heading 6"/>
    <w:basedOn w:val="Normal"/>
    <w:next w:val="Normal"/>
    <w:qFormat/>
    <w:rsid w:val="009C17F5"/>
    <w:pPr>
      <w:outlineLvl w:val="5"/>
    </w:pPr>
  </w:style>
  <w:style w:type="paragraph" w:styleId="Heading7">
    <w:name w:val="heading 7"/>
    <w:basedOn w:val="Normal"/>
    <w:next w:val="Normal"/>
    <w:qFormat/>
    <w:rsid w:val="009C17F5"/>
    <w:pPr>
      <w:outlineLvl w:val="6"/>
    </w:pPr>
  </w:style>
  <w:style w:type="paragraph" w:styleId="Heading8">
    <w:name w:val="heading 8"/>
    <w:basedOn w:val="Normal"/>
    <w:next w:val="Normal"/>
    <w:qFormat/>
    <w:rsid w:val="009C17F5"/>
    <w:pPr>
      <w:outlineLvl w:val="7"/>
    </w:pPr>
  </w:style>
  <w:style w:type="paragraph" w:styleId="Heading9">
    <w:name w:val="heading 9"/>
    <w:basedOn w:val="Normal"/>
    <w:next w:val="Normal"/>
    <w:qFormat/>
    <w:rsid w:val="009C17F5"/>
    <w:pPr>
      <w:outlineLvl w:val="8"/>
    </w:pPr>
  </w:style>
  <w:style w:type="character" w:default="1" w:styleId="DefaultParagraphFont">
    <w:name w:val="Default Paragraph Font"/>
    <w:semiHidden/>
    <w:rsid w:val="009C17F5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C17F5"/>
  </w:style>
  <w:style w:type="paragraph" w:customStyle="1" w:styleId="HMG">
    <w:name w:val="_ H __M_G"/>
    <w:basedOn w:val="Normal"/>
    <w:next w:val="Normal"/>
    <w:rsid w:val="009C17F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C17F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C17F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C17F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C17F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C17F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9C17F5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C17F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C17F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C17F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C17F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C17F5"/>
    <w:pPr>
      <w:numPr>
        <w:numId w:val="49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C17F5"/>
    <w:pPr>
      <w:numPr>
        <w:numId w:val="50"/>
      </w:numPr>
      <w:spacing w:after="120"/>
      <w:ind w:right="1134"/>
      <w:jc w:val="both"/>
    </w:pPr>
  </w:style>
  <w:style w:type="character" w:styleId="FootnoteReference">
    <w:name w:val="footnote reference"/>
    <w:aliases w:val="4_G"/>
    <w:rsid w:val="009C17F5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9C17F5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9C17F5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05460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54609"/>
  </w:style>
  <w:style w:type="character" w:styleId="PageNumber">
    <w:name w:val="page number"/>
    <w:aliases w:val="7_G"/>
    <w:rsid w:val="009C17F5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9C17F5"/>
    <w:pPr>
      <w:spacing w:line="240" w:lineRule="auto"/>
    </w:pPr>
    <w:rPr>
      <w:sz w:val="16"/>
    </w:rPr>
  </w:style>
  <w:style w:type="character" w:styleId="Hyperlink">
    <w:name w:val="Hyperlink"/>
    <w:rsid w:val="00540389"/>
    <w:rPr>
      <w:color w:val="auto"/>
      <w:u w:val="none"/>
    </w:rPr>
  </w:style>
  <w:style w:type="character" w:styleId="FollowedHyperlink">
    <w:name w:val="FollowedHyperlink"/>
    <w:rsid w:val="00540389"/>
    <w:rPr>
      <w:color w:val="auto"/>
      <w:u w:val="none"/>
    </w:rPr>
  </w:style>
  <w:style w:type="table" w:styleId="TableGrid">
    <w:name w:val="Table Grid"/>
    <w:basedOn w:val="TableNormal"/>
    <w:semiHidden/>
    <w:rsid w:val="006537F2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</Template>
  <TotalTime>1</TotalTime>
  <Pages>1</Pages>
  <Words>484</Words>
  <Characters>2662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CERD/C/QAT/Q/13-16</vt:lpstr>
    </vt:vector>
  </TitlesOfParts>
  <Company>CSD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CERD/C/QAT/Q/13-16</dc:title>
  <dc:subject>Final</dc:subject>
  <dc:creator>BURDIN</dc:creator>
  <cp:keywords/>
  <dc:description/>
  <cp:lastModifiedBy>Pool</cp:lastModifiedBy>
  <cp:revision>4</cp:revision>
  <cp:lastPrinted>2012-02-15T10:51:00Z</cp:lastPrinted>
  <dcterms:created xsi:type="dcterms:W3CDTF">2012-02-15T11:18:00Z</dcterms:created>
  <dcterms:modified xsi:type="dcterms:W3CDTF">2012-02-15T11:24:00Z</dcterms:modified>
</cp:coreProperties>
</file>