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9644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273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39DE" w:rsidP="002739DE">
            <w:pPr>
              <w:jc w:val="right"/>
            </w:pPr>
            <w:r w:rsidRPr="002739DE">
              <w:rPr>
                <w:sz w:val="40"/>
              </w:rPr>
              <w:t>CERD</w:t>
            </w:r>
            <w:r>
              <w:t>/C/NOR/Q/23-24</w:t>
            </w:r>
          </w:p>
        </w:tc>
      </w:tr>
      <w:tr w:rsidR="002D5AAC" w:rsidTr="0019644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45DCF12" wp14:editId="7DDDC4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39DE" w:rsidP="00213632">
            <w:pPr>
              <w:spacing w:before="240"/>
            </w:pPr>
            <w:r>
              <w:t>Distr. general</w:t>
            </w:r>
          </w:p>
          <w:p w:rsidR="002739DE" w:rsidRDefault="002739DE" w:rsidP="002739DE">
            <w:pPr>
              <w:spacing w:line="240" w:lineRule="exact"/>
            </w:pPr>
            <w:r>
              <w:t>1 de octubre de 2018</w:t>
            </w:r>
          </w:p>
          <w:p w:rsidR="002739DE" w:rsidRDefault="002739DE" w:rsidP="002739DE">
            <w:pPr>
              <w:spacing w:line="240" w:lineRule="exact"/>
            </w:pPr>
            <w:r>
              <w:t>Español</w:t>
            </w:r>
          </w:p>
          <w:p w:rsidR="002739DE" w:rsidRDefault="002739DE" w:rsidP="002739DE">
            <w:pPr>
              <w:spacing w:line="240" w:lineRule="exact"/>
            </w:pPr>
            <w:r>
              <w:t>Original: inglés</w:t>
            </w:r>
          </w:p>
          <w:p w:rsidR="002739DE" w:rsidRDefault="002739DE" w:rsidP="002739DE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19644A" w:rsidRPr="0019644A" w:rsidRDefault="0019644A" w:rsidP="0019644A">
      <w:pPr>
        <w:spacing w:before="120"/>
        <w:rPr>
          <w:b/>
          <w:sz w:val="24"/>
          <w:lang w:val="en-GB"/>
        </w:rPr>
      </w:pPr>
      <w:r w:rsidRPr="0019644A">
        <w:rPr>
          <w:b/>
          <w:sz w:val="24"/>
        </w:rPr>
        <w:t>Comité para la Eliminación de la Discriminación Racial</w:t>
      </w:r>
    </w:p>
    <w:p w:rsidR="0019644A" w:rsidRPr="0019644A" w:rsidRDefault="0019644A" w:rsidP="0019644A">
      <w:pPr>
        <w:rPr>
          <w:b/>
          <w:lang w:val="en-GB"/>
        </w:rPr>
      </w:pPr>
      <w:r w:rsidRPr="0019644A">
        <w:rPr>
          <w:b/>
        </w:rPr>
        <w:t>97º período de sesiones</w:t>
      </w:r>
    </w:p>
    <w:p w:rsidR="0019644A" w:rsidRPr="00D05E99" w:rsidRDefault="0019644A" w:rsidP="0019644A">
      <w:pPr>
        <w:rPr>
          <w:lang w:val="en-GB"/>
        </w:rPr>
      </w:pPr>
      <w:r w:rsidRPr="00D05E99">
        <w:t>26 de noviembre a 14 de diciembre de 2018</w:t>
      </w:r>
    </w:p>
    <w:p w:rsidR="0019644A" w:rsidRPr="00D05E99" w:rsidRDefault="0019644A" w:rsidP="0019644A">
      <w:pPr>
        <w:rPr>
          <w:lang w:val="en-GB"/>
        </w:rPr>
      </w:pPr>
      <w:r w:rsidRPr="00D05E99">
        <w:t>Tema 4 del programa provisional</w:t>
      </w:r>
    </w:p>
    <w:p w:rsidR="0019644A" w:rsidRPr="0019644A" w:rsidRDefault="0019644A" w:rsidP="0019644A">
      <w:pPr>
        <w:rPr>
          <w:b/>
          <w:lang w:val="en-GB"/>
        </w:rPr>
      </w:pPr>
      <w:r w:rsidRPr="0019644A">
        <w:rPr>
          <w:b/>
        </w:rPr>
        <w:t>Examen de los informes, las observaciones y la información presentados</w:t>
      </w:r>
      <w:r>
        <w:rPr>
          <w:b/>
        </w:rPr>
        <w:br/>
      </w:r>
      <w:r w:rsidRPr="0019644A">
        <w:rPr>
          <w:b/>
        </w:rPr>
        <w:t>por los Estados partes en virtud del artículo 9 de la Convención</w:t>
      </w:r>
    </w:p>
    <w:p w:rsidR="0019644A" w:rsidRPr="00D05E99" w:rsidRDefault="0019644A" w:rsidP="006D2E5F">
      <w:pPr>
        <w:pStyle w:val="HChG"/>
        <w:rPr>
          <w:lang w:val="en-GB"/>
        </w:rPr>
      </w:pPr>
      <w:r w:rsidRPr="00D05E99">
        <w:tab/>
      </w:r>
      <w:r w:rsidRPr="00D05E99">
        <w:tab/>
        <w:t>Lista de temas relativa a los informes periódicos</w:t>
      </w:r>
      <w:r w:rsidR="006D2E5F">
        <w:br/>
      </w:r>
      <w:r w:rsidRPr="00D05E99">
        <w:t>23º</w:t>
      </w:r>
      <w:r w:rsidR="006D2E5F">
        <w:t xml:space="preserve"> </w:t>
      </w:r>
      <w:bookmarkStart w:id="0" w:name="_GoBack"/>
      <w:bookmarkEnd w:id="0"/>
      <w:r w:rsidRPr="00D05E99">
        <w:t>y 24º combinados de Noruega</w:t>
      </w:r>
    </w:p>
    <w:p w:rsidR="0019644A" w:rsidRPr="00D05E99" w:rsidRDefault="0019644A" w:rsidP="0019644A">
      <w:pPr>
        <w:pStyle w:val="H1G"/>
        <w:rPr>
          <w:lang w:val="en-GB"/>
        </w:rPr>
      </w:pPr>
      <w:r w:rsidRPr="00D05E99">
        <w:tab/>
      </w:r>
      <w:r w:rsidRPr="00D05E99">
        <w:tab/>
        <w:t>Nota del Relator para el país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ab/>
        <w:t xml:space="preserve"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 </w:t>
      </w:r>
    </w:p>
    <w:p w:rsidR="0019644A" w:rsidRPr="00D05E99" w:rsidRDefault="0019644A" w:rsidP="0019644A">
      <w:pPr>
        <w:pStyle w:val="H23G"/>
        <w:rPr>
          <w:lang w:val="en-GB"/>
        </w:rPr>
      </w:pPr>
      <w:r w:rsidRPr="00D05E99">
        <w:tab/>
      </w:r>
      <w:r w:rsidRPr="00D05E99">
        <w:tab/>
        <w:t>La Convención en el derecho interno y el marco institucional y normativo</w:t>
      </w:r>
      <w:r>
        <w:br/>
      </w:r>
      <w:r w:rsidRPr="00D05E99">
        <w:t>para su aplicación (arts. 1, 2, 4 y 6)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1.</w:t>
      </w:r>
      <w:r w:rsidRPr="00D05E99">
        <w:tab/>
        <w:t>Medidas adoptadas para proporcionar indicadores sobre la composición étnica de la población, en particular sobre las lenguas maternas, y otros indicadores de la diversidad étnica, así como información sobre la ascendencia o el origen nacional o étnico (CERD/C/NOR/CO/21-22, párr. 8; CERD/C/NOR/23-24, párrs. 79 a 83).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2.</w:t>
      </w:r>
      <w:r w:rsidRPr="00D05E99">
        <w:tab/>
        <w:t>Medidas adoptadas para garantizar que todos los motivos de discriminación que se especifican en el artículo 1 de la Convención estén incluidos en el marco jurídico de lucha contra la discriminación (CERD/C/NOR/CO/21-22, párr. 10; CERD/C/NOR/23-24, párrs.</w:t>
      </w:r>
      <w:r>
        <w:t> </w:t>
      </w:r>
      <w:r w:rsidRPr="00D05E99">
        <w:t xml:space="preserve">84 y 85).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3.</w:t>
      </w:r>
      <w:r w:rsidRPr="00D05E99">
        <w:tab/>
        <w:t>La aplicación y los efectos de la Ley contra la Discriminación por Motivos Étnicos, y de la recientemente promulgada Ley de Igualdad y Lucha contra la Discriminación (CERD/C/NOR/CO/21-22, párr. 10; CERD/C/NOR/23-24, párrs. 84 y 85).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4.</w:t>
      </w:r>
      <w:r w:rsidRPr="00D05E99">
        <w:tab/>
        <w:t>Casos presentados ante el nuevo Tribunal contra la Discriminación; información sobre las consideraciones para permitir que el Tribunal contra la Discriminación y el Ombudsman concedan indemnizaciones por daños y perjuicios en caso de que se produzcan pérdidas no económicas (CERD/C/NOR/CO/21-22, párr. 32; CERD/C/NOR/23-24, párrs.</w:t>
      </w:r>
      <w:r>
        <w:t> </w:t>
      </w:r>
      <w:r w:rsidRPr="00D05E99">
        <w:t xml:space="preserve">191 y 192).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5.</w:t>
      </w:r>
      <w:r w:rsidRPr="00D05E99">
        <w:tab/>
        <w:t xml:space="preserve">Información actualizada sobre las medidas adoptadas para reconsiderar la incorporación de la Convención en la Ley de Derechos Humanos de 1999 (CERD/C/NOR/CO/21-22, párr. 12, CERD/C/NOR/23-24, párr. 86).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lastRenderedPageBreak/>
        <w:t>6.</w:t>
      </w:r>
      <w:r w:rsidRPr="00D05E99">
        <w:tab/>
        <w:t>Actividades de la institución nacional de derechos humanos sobre las cuestiones relativas a la lucha contra la discriminación, y sus repercusiones (CERD/C/NOR/CO/21-22, párr. 14; CERD/C/NOR/23-24, párrs. 87 a 91).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7.</w:t>
      </w:r>
      <w:r w:rsidRPr="00D05E99">
        <w:tab/>
        <w:t>Medidas adoptadas para evitar la persistencia de delitos motivados por prejuicios y el discurso de odio, incluso en Internet, contra el pueblo romaní/tater, los migrantes, los musulmanes, los judíos y los samis; información sobre la aplicación y los efectos de la Estrategia del Gobierno para Combatir el Discurso de Odio para 2016-2020 (CERD/C/NOR/CO/21-22, párr. 16; CERD/C/NOR/23-24, párr. 92).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8.</w:t>
      </w:r>
      <w:r w:rsidRPr="00D05E99">
        <w:tab/>
        <w:t>Medidas adoptadas para exhortar a los profesionales de los medios de comunicación y a los políticos a que velen por que sus declaraciones públicas no contribuyan a exacerbar la intolerancia o la incitación al odio (CERD/C/NOR/CO/21-22, párr. 16; CERD/C/NOR/23-24, párrs. 93 a 95); sírvanse proporcionar información detallada sobre las repercusiones de la campaña para poner fin al discurso de odio en Internet (CERD/C/NOR/23-24, párrs. 102 a 104).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9.</w:t>
      </w:r>
      <w:r w:rsidRPr="00D05E99">
        <w:tab/>
        <w:t>Información, incluidos datos estadísticos actualizados, sobre los casos de discurso de odio denunciados, investigados y enjuiciados, y sobre las condenas impuestas a los responsables (CERD/C/NOR/CO/21-22, párr. 16; CERD/C/NOR/23-24, párrs. 96 a 98).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10.</w:t>
      </w:r>
      <w:r w:rsidRPr="00D05E99">
        <w:tab/>
        <w:t>Medidas adoptadas por el Estado parte para incluir información sobre la incidencia y los efectos perniciosos del discurso de odio en los programas de estudios y los materiales didácticos (CERD/C/NOR/CO/21-22, párr. 16; CERD/C/NOR/23-24, párrs. 105 a 110).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11.</w:t>
      </w:r>
      <w:r w:rsidRPr="00D05E99">
        <w:tab/>
        <w:t>Información actualizada sobre la elaboración de un sistema nacional de registro de los delitos motivados por prejuicios y sobre las campañas de concienciación para remediar la escasez de denuncias de delitos de odio (CERD/C/NOR/CO/21-22, párr. 18; CERD/C/NOR/23-24, párrs. 111 a 118).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12.</w:t>
      </w:r>
      <w:r w:rsidRPr="00D05E99">
        <w:tab/>
        <w:t>Información, incluidos datos estadísticos, sobre las investigaciones, enjuiciamientos y condenas de los autores de delitos motivados por prejuicios; sírvanse facilitar más información acerca de la Guía para la policía sobre el registro de los delitos de odio, preparada por la Dirección Nacional de Policía (CERD/C/NOR/CO/21-22, párr. 18; CERD/C/NOR/23-24, párrs. 120 a 124).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13.</w:t>
      </w:r>
      <w:r w:rsidRPr="00D05E99">
        <w:tab/>
        <w:t>Información actualizada sobre las medidas adoptadas para aplicar todos los aspectos del artículo 4 de la Convención, en particular las medidas para ilegalizar y prohibir las organizaciones que promuevan la discriminación racial o inciten a ella (CERD/C/NOR/CO/21-22, párr. 20; CERD/C/NOR/23-24, párr. 125).</w:t>
      </w:r>
    </w:p>
    <w:p w:rsidR="0019644A" w:rsidRPr="00D05E99" w:rsidRDefault="0019644A" w:rsidP="0019644A">
      <w:pPr>
        <w:pStyle w:val="H23G"/>
        <w:rPr>
          <w:lang w:val="en-GB"/>
        </w:rPr>
      </w:pPr>
      <w:r>
        <w:tab/>
      </w:r>
      <w:r w:rsidRPr="00D05E99">
        <w:tab/>
        <w:t>Situación de los samis (arts. 2 a 7)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14.</w:t>
      </w:r>
      <w:r w:rsidRPr="00D05E99">
        <w:tab/>
        <w:t xml:space="preserve">Medidas adoptadas para dar pleno efecto en la práctica al reconocimiento jurídico de los derechos de los samis sobre sus tierras y recursos; información actualizada sobre el seguimiento dado al reconocimiento jurídico de los derechos de los samis sobre la tierra y los recursos fuera de la región de Finnmark (CERD/C/NOR/CO/21-22, párr. 30; CERD/C/NOR/23-24, párrs. 178 y 179).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15.</w:t>
      </w:r>
      <w:r w:rsidRPr="00D05E99">
        <w:tab/>
        <w:t>Información actualizada sobre las medidas adoptadas para preservar los derechos sobre la tierra de los samis orientales (CERD/C/NOR/CO/21-22, párr. 28; CERD/C/NOR/23-24, párrs. 170, 175 y 176).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16.</w:t>
      </w:r>
      <w:r w:rsidRPr="00D05E99">
        <w:tab/>
        <w:t xml:space="preserve">Información actualizada sobre las medidas adoptadas para establecer procedimientos de consulta con los samis y el Parlamento sami, en particular sobre cuestiones presupuestarias; información actualizada sobre las medidas adoptadas para garantizar que se consulte debidamente a los samis afectados por las actividades extractivas en las tierras tradicionalmente habitadas por estas comunidades (CERD/C/NOR/CO/21-22, párr. 30; CERD/C/NOR/23-24, párrs. 180 a 188).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17.</w:t>
      </w:r>
      <w:r w:rsidRPr="00D05E99">
        <w:tab/>
        <w:t>Información actualizada sobre la aplicación del Plan de Acción para los Idiomas Samis; medidas adoptadas para garantizar que se cumplan los requisitos para impartir instrucción en la lengua materna de los alumnos, en particular en lo que respecta a la dotación de recursos financieros (CERD/C/NOR/CO/21-22, párr. 28; CERD/C/NOR/23-24, párrs. 166 a 170).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lastRenderedPageBreak/>
        <w:t>18.</w:t>
      </w:r>
      <w:r w:rsidRPr="00D05E99">
        <w:tab/>
        <w:t xml:space="preserve">Información actualizada sobre la propuesta del Comité de Derechos de los Samis de hacer un estudio sobre los derechos de los samis al sur de Finnmark; información detallada sobre los recursos financieros asignados al Tribunal de las Tierras No Cultivadas (CERD/C/NOR/CO/21-22, párr. 30; CERD/C/NOR/23-24, párr. 189). 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19.</w:t>
      </w:r>
      <w:r w:rsidRPr="00D05E99">
        <w:tab/>
        <w:t>Información actualizada sobre la aplicación y los efectos del plan de acción nacional</w:t>
      </w:r>
      <w:r w:rsidR="007D02A8">
        <w:t> </w:t>
      </w:r>
      <w:r w:rsidRPr="00D05E99">
        <w:t>para la aplicación de los Principios Rectores de las Naciones Unidas de 2015; sírvanse informar también sobre las medidas legislativas encaminadas a impedir que las empresas registradas en Noruega realicen actividades que afecten negativamente al disfrute de los derechos humanos por las comunidades locales fuera de Noruega (CERD/C/NOR/CO/21-22, párr. 24; CERD/C/NOR/23-24, párr. 137).</w:t>
      </w:r>
    </w:p>
    <w:p w:rsidR="0019644A" w:rsidRPr="00D05E99" w:rsidRDefault="0019644A" w:rsidP="0019644A">
      <w:pPr>
        <w:pStyle w:val="H23G"/>
        <w:rPr>
          <w:lang w:val="en-GB"/>
        </w:rPr>
      </w:pPr>
      <w:r w:rsidRPr="00D05E99">
        <w:tab/>
      </w:r>
      <w:r w:rsidRPr="00D05E99">
        <w:tab/>
        <w:t>Situación de las minorías étnicas y de los romaníes (arts. 2 a 7)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20.</w:t>
      </w:r>
      <w:r w:rsidRPr="00D05E99">
        <w:tab/>
        <w:t>Medidas adoptadas para elaborar estrategias y políticas destinadas a responder a las dificultades a que se enfrentan las minorías étnicas y las comunidades romaní y tater para acceder al empleo, la vivienda, los servicios de atención de la salud y la educación (CERD/C/NOR/CO/21-22, párr. 26; CERD/C/NOR/23-24, párrs. 138 a 143).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21.</w:t>
      </w:r>
      <w:r w:rsidRPr="00D05E99">
        <w:tab/>
        <w:t>Medidas adoptadas para garantizar la igualdad en los procesos de contratación laboral en los sectores público y privado; sírvanse proporcionar información actualizada sobre la aplicación del plan de acción titulado “Necesitamos los conocimientos especializados de los inmigrantes” (CERD/C/NOR/CO/21-22, párr. 22).</w:t>
      </w:r>
    </w:p>
    <w:p w:rsidR="0019644A" w:rsidRPr="00D05E99" w:rsidRDefault="0019644A" w:rsidP="0019644A">
      <w:pPr>
        <w:pStyle w:val="SingleTxtG"/>
      </w:pPr>
      <w:r w:rsidRPr="00D05E99">
        <w:t>22.</w:t>
      </w:r>
      <w:r w:rsidRPr="00D05E99">
        <w:tab/>
        <w:t>Medidas adoptadas para evitar que las personas de origen inmigrante sean objeto de discriminación en materia de empleo y vivienda; medidas adoptadas para garantizar que las personas de origen inmigrante no sean sometidas a perfiles étnicos por parte de la policía.</w:t>
      </w:r>
    </w:p>
    <w:p w:rsidR="0019644A" w:rsidRPr="00D05E99" w:rsidRDefault="0019644A" w:rsidP="0019644A">
      <w:pPr>
        <w:pStyle w:val="SingleTxtG"/>
      </w:pPr>
      <w:r w:rsidRPr="00D05E99">
        <w:t>23.</w:t>
      </w:r>
      <w:r w:rsidRPr="00D05E99">
        <w:tab/>
        <w:t>Información detallada sobre el programa de orientación escolar para los alumnos romaníes; información sobre las medidas encaminadas a luchar contra la incitación al odio y la intolerancia hacia las comunidades romaní y tater; información sobre las medidas adoptadas para revisar la práctica de internar a los niños romaníes en instituciones o dejarlos al cuidado de los servicios sociales (CERD/C/NOR/CO/21-22, párr. 26; CERD/C/NOR/23-24, párrs. 156 a 165).</w:t>
      </w:r>
    </w:p>
    <w:p w:rsidR="0019644A" w:rsidRPr="00D05E99" w:rsidRDefault="0019644A" w:rsidP="0019644A">
      <w:pPr>
        <w:pStyle w:val="SingleTxtG"/>
      </w:pPr>
      <w:r w:rsidRPr="00D05E99">
        <w:t>24.</w:t>
      </w:r>
      <w:r w:rsidRPr="00D05E99">
        <w:tab/>
        <w:t>Medidas adoptadas para garantizar que el énfasis en los valores cristianos consagrados en la Constitución no menoscabe el derecho de las minorías étnicas y etnorreligiosas de ejercer plenamente la libertad de pensamiento, conciencia y religión.</w:t>
      </w:r>
    </w:p>
    <w:p w:rsidR="0019644A" w:rsidRPr="00D05E99" w:rsidRDefault="0019644A" w:rsidP="0019644A">
      <w:pPr>
        <w:pStyle w:val="H23G"/>
        <w:rPr>
          <w:lang w:val="en-GB"/>
        </w:rPr>
      </w:pPr>
      <w:r w:rsidRPr="00D05E99">
        <w:tab/>
      </w:r>
      <w:r w:rsidRPr="00D05E99">
        <w:tab/>
        <w:t>Situación de los no ciudadanos, en particular los inmigrantes, los solicitantes</w:t>
      </w:r>
      <w:r>
        <w:br/>
      </w:r>
      <w:r w:rsidRPr="00D05E99">
        <w:t>de asilo y los refugiados (arts. 5 a 7)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25.</w:t>
      </w:r>
      <w:r w:rsidRPr="00D05E99">
        <w:tab/>
        <w:t>Información actualizada sobre las medidas adoptadas para garantizar que las personas de origen inmigrante tengan acceso al empleo, la vivienda, la atención de la salud y los servicios básicos, sin discriminación.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26.</w:t>
      </w:r>
      <w:r w:rsidRPr="00D05E99">
        <w:tab/>
        <w:t>Información actualizada sobre la aplicación de medidas como el Programa sobre Oportunidades Laborales y la política titulada “Del centro de acogida al mercado del trabajo – una política eficaz de integración”, y sobre si han permitido elevar las tasas de ocupación de los refugiados y los solicitantes de asilo (CERD/C/NOR/CO/21-22, párr. 22; CERD/C/NOR/23-24, párrs. 127 a 132).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27.</w:t>
      </w:r>
      <w:r w:rsidRPr="00D05E99">
        <w:tab/>
        <w:t>Información actualizada sobre la situación de la Ley de Servicios de Interpretación (CERD/C/NOR/CO/21-22, párr. 38; CERD/C/NOR/23-24, párrs. 211, 212 y 214).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28.</w:t>
      </w:r>
      <w:r w:rsidRPr="00D05E99">
        <w:tab/>
        <w:t>Información sobre las medidas encaminadas a restringir la práctica de la reclusión en régimen de aislamiento de los migrantes y los solicitantes de asilo que se encuentran detenidos en espera de expulsión; sírvanse proporcionar información actualizada sobre la situación del proyecto de ley presentado al Storting para modificar las normas de la Ley de Inmigración relativas al uso de medidas coercitivas (CERD/C/NOR/CO/21-22, párr. 36; CERD/C/NOR/23-24, párrs. 204 y 205).</w:t>
      </w:r>
    </w:p>
    <w:p w:rsidR="0019644A" w:rsidRPr="00D05E99" w:rsidRDefault="0019644A" w:rsidP="0019644A">
      <w:pPr>
        <w:pStyle w:val="SingleTxtG"/>
        <w:keepNext/>
        <w:keepLines/>
        <w:rPr>
          <w:lang w:val="en-GB"/>
        </w:rPr>
      </w:pPr>
      <w:r w:rsidRPr="00D05E99">
        <w:t>29.</w:t>
      </w:r>
      <w:r w:rsidRPr="00D05E99">
        <w:tab/>
        <w:t>Información sobre la repercusión de medidas recientes, como las enmiendas de 2015 y 2017 de la Ley de Inmigración, en la capacidad de los solicitantes de asilo para solicitar asilo en el Estado parte en el caso de que hayan entrado a dicho país por otro en el que no eran perseguidos.</w:t>
      </w:r>
    </w:p>
    <w:p w:rsidR="0019644A" w:rsidRPr="00D05E99" w:rsidRDefault="0019644A" w:rsidP="0019644A">
      <w:pPr>
        <w:pStyle w:val="SingleTxtG"/>
        <w:rPr>
          <w:lang w:val="en-GB"/>
        </w:rPr>
      </w:pPr>
      <w:r w:rsidRPr="00D05E99">
        <w:t>30.</w:t>
      </w:r>
      <w:r w:rsidRPr="00D05E99">
        <w:tab/>
        <w:t>Medidas adoptadas para garantizar el derecho a la educación a todos los niños, independientemente de su situación en materia de residencia (CERD/C/NOR/CO/21-22, párr. 40; CERD/C/NOR/23-24, párr. 216).</w:t>
      </w:r>
    </w:p>
    <w:p w:rsidR="00381C24" w:rsidRDefault="0019644A" w:rsidP="000B68A1">
      <w:pPr>
        <w:pStyle w:val="SingleTxtG"/>
      </w:pPr>
      <w:r w:rsidRPr="00D05E99">
        <w:t>31.</w:t>
      </w:r>
      <w:r w:rsidRPr="00D05E99">
        <w:tab/>
        <w:t xml:space="preserve">Medidas adoptadas para revisar los procedimientos de concesión de permisos de residencia a fin de evitar que la </w:t>
      </w:r>
      <w:r w:rsidR="007D02A8" w:rsidRPr="00D05E99">
        <w:t xml:space="preserve">Ley </w:t>
      </w:r>
      <w:r w:rsidRPr="00D05E99">
        <w:t>tenga por efecto obligar a las mujeres víctimas de la violencia doméstica a permanecer en relaciones abusivas; resultados del Plan de Acción contra la Trata de Personas (CERD/C/NOR/CO/21-22, párr. 34; CERD/C/NOR/23-24, párrs. 197 y 199 a 201).</w:t>
      </w:r>
    </w:p>
    <w:p w:rsidR="000B68A1" w:rsidRPr="000B68A1" w:rsidRDefault="000B68A1" w:rsidP="000B68A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68A1" w:rsidRPr="000B68A1" w:rsidSect="002739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EA" w:rsidRPr="00D43FF0" w:rsidRDefault="00364CEA" w:rsidP="00D43FF0">
      <w:pPr>
        <w:pStyle w:val="Footer"/>
      </w:pPr>
    </w:p>
  </w:endnote>
  <w:endnote w:type="continuationSeparator" w:id="0">
    <w:p w:rsidR="00364CEA" w:rsidRPr="00D43FF0" w:rsidRDefault="00364CEA" w:rsidP="00D43FF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DE" w:rsidRPr="002739DE" w:rsidRDefault="002739DE" w:rsidP="002739DE">
    <w:pPr>
      <w:pStyle w:val="Footer"/>
      <w:tabs>
        <w:tab w:val="right" w:pos="9638"/>
      </w:tabs>
    </w:pPr>
    <w:r w:rsidRPr="002739DE">
      <w:rPr>
        <w:b/>
        <w:sz w:val="18"/>
      </w:rPr>
      <w:fldChar w:fldCharType="begin"/>
    </w:r>
    <w:r w:rsidRPr="002739DE">
      <w:rPr>
        <w:b/>
        <w:sz w:val="18"/>
      </w:rPr>
      <w:instrText xml:space="preserve"> PAGE  \* MERGEFORMAT </w:instrText>
    </w:r>
    <w:r w:rsidRPr="002739DE">
      <w:rPr>
        <w:b/>
        <w:sz w:val="18"/>
      </w:rPr>
      <w:fldChar w:fldCharType="separate"/>
    </w:r>
    <w:r w:rsidR="004E2DE3">
      <w:rPr>
        <w:b/>
        <w:noProof/>
        <w:sz w:val="18"/>
      </w:rPr>
      <w:t>2</w:t>
    </w:r>
    <w:r w:rsidRPr="002739DE">
      <w:rPr>
        <w:b/>
        <w:sz w:val="18"/>
      </w:rPr>
      <w:fldChar w:fldCharType="end"/>
    </w:r>
    <w:r>
      <w:rPr>
        <w:b/>
        <w:sz w:val="18"/>
      </w:rPr>
      <w:tab/>
    </w:r>
    <w:r>
      <w:t>GE.18-16231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DE" w:rsidRPr="002739DE" w:rsidRDefault="002739DE" w:rsidP="002739DE">
    <w:pPr>
      <w:pStyle w:val="Footer"/>
      <w:tabs>
        <w:tab w:val="right" w:pos="9638"/>
      </w:tabs>
      <w:rPr>
        <w:b/>
        <w:sz w:val="18"/>
      </w:rPr>
    </w:pPr>
    <w:r>
      <w:t>GE.18-16231</w:t>
    </w:r>
    <w:r>
      <w:tab/>
    </w:r>
    <w:r w:rsidRPr="002739DE">
      <w:rPr>
        <w:b/>
        <w:sz w:val="18"/>
      </w:rPr>
      <w:fldChar w:fldCharType="begin"/>
    </w:r>
    <w:r w:rsidRPr="002739DE">
      <w:rPr>
        <w:b/>
        <w:sz w:val="18"/>
      </w:rPr>
      <w:instrText xml:space="preserve"> PAGE  \* MERGEFORMAT </w:instrText>
    </w:r>
    <w:r w:rsidRPr="002739DE">
      <w:rPr>
        <w:b/>
        <w:sz w:val="18"/>
      </w:rPr>
      <w:fldChar w:fldCharType="separate"/>
    </w:r>
    <w:r w:rsidR="004E2DE3">
      <w:rPr>
        <w:b/>
        <w:noProof/>
        <w:sz w:val="18"/>
      </w:rPr>
      <w:t>3</w:t>
    </w:r>
    <w:r w:rsidRPr="002739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2739DE" w:rsidRDefault="002739DE" w:rsidP="002739DE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18-16231  (S)</w:t>
    </w:r>
    <w:r w:rsidR="004526F1">
      <w:rPr>
        <w:sz w:val="20"/>
      </w:rPr>
      <w:t xml:space="preserve">    311018    311018</w:t>
    </w:r>
    <w:r>
      <w:rPr>
        <w:sz w:val="20"/>
      </w:rPr>
      <w:br/>
    </w:r>
    <w:r w:rsidRPr="002739DE">
      <w:rPr>
        <w:rFonts w:ascii="C39T30Lfz" w:hAnsi="C39T30Lfz"/>
        <w:sz w:val="56"/>
      </w:rPr>
      <w:t></w:t>
    </w:r>
    <w:r w:rsidRPr="002739DE">
      <w:rPr>
        <w:rFonts w:ascii="C39T30Lfz" w:hAnsi="C39T30Lfz"/>
        <w:sz w:val="56"/>
      </w:rPr>
      <w:t></w:t>
    </w:r>
    <w:r w:rsidRPr="002739DE">
      <w:rPr>
        <w:rFonts w:ascii="C39T30Lfz" w:hAnsi="C39T30Lfz"/>
        <w:sz w:val="56"/>
      </w:rPr>
      <w:t></w:t>
    </w:r>
    <w:r w:rsidRPr="002739DE">
      <w:rPr>
        <w:rFonts w:ascii="C39T30Lfz" w:hAnsi="C39T30Lfz"/>
        <w:sz w:val="56"/>
      </w:rPr>
      <w:t></w:t>
    </w:r>
    <w:r w:rsidRPr="002739DE">
      <w:rPr>
        <w:rFonts w:ascii="C39T30Lfz" w:hAnsi="C39T30Lfz"/>
        <w:sz w:val="56"/>
      </w:rPr>
      <w:t></w:t>
    </w:r>
    <w:r w:rsidRPr="002739DE">
      <w:rPr>
        <w:rFonts w:ascii="C39T30Lfz" w:hAnsi="C39T30Lfz"/>
        <w:sz w:val="56"/>
      </w:rPr>
      <w:t></w:t>
    </w:r>
    <w:r w:rsidRPr="002739DE">
      <w:rPr>
        <w:rFonts w:ascii="C39T30Lfz" w:hAnsi="C39T30Lfz"/>
        <w:sz w:val="56"/>
      </w:rPr>
      <w:t></w:t>
    </w:r>
    <w:r w:rsidRPr="002739DE">
      <w:rPr>
        <w:rFonts w:ascii="C39T30Lfz" w:hAnsi="C39T30Lfz"/>
        <w:sz w:val="56"/>
      </w:rPr>
      <w:t></w:t>
    </w:r>
    <w:r w:rsidRPr="002739DE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NOR/Q/23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NOR/Q/23-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EA" w:rsidRPr="001075E9" w:rsidRDefault="00364C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4CEA" w:rsidRDefault="00364CEA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DE" w:rsidRPr="002739DE" w:rsidRDefault="004E2D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CERD/C/NOR/Q/23-24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DE" w:rsidRPr="002739DE" w:rsidRDefault="004E2DE3" w:rsidP="002739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CERD/C/NOR/Q/23-24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EA"/>
    <w:rsid w:val="00006BB9"/>
    <w:rsid w:val="000107A1"/>
    <w:rsid w:val="0002339D"/>
    <w:rsid w:val="00036733"/>
    <w:rsid w:val="000B57E7"/>
    <w:rsid w:val="000B68A1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9644A"/>
    <w:rsid w:val="001C7A89"/>
    <w:rsid w:val="00201F1A"/>
    <w:rsid w:val="00213632"/>
    <w:rsid w:val="002433EC"/>
    <w:rsid w:val="0025226E"/>
    <w:rsid w:val="002739DE"/>
    <w:rsid w:val="00281DDE"/>
    <w:rsid w:val="00283ED7"/>
    <w:rsid w:val="002944EC"/>
    <w:rsid w:val="002A2EFC"/>
    <w:rsid w:val="002C0E18"/>
    <w:rsid w:val="002C33BB"/>
    <w:rsid w:val="002D5AAC"/>
    <w:rsid w:val="00301299"/>
    <w:rsid w:val="00305FFA"/>
    <w:rsid w:val="00322004"/>
    <w:rsid w:val="003402C2"/>
    <w:rsid w:val="00364CEA"/>
    <w:rsid w:val="00381C24"/>
    <w:rsid w:val="003958D0"/>
    <w:rsid w:val="004031F0"/>
    <w:rsid w:val="004526F1"/>
    <w:rsid w:val="00454E07"/>
    <w:rsid w:val="00471CB3"/>
    <w:rsid w:val="004E2DE3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D2E5F"/>
    <w:rsid w:val="006D631C"/>
    <w:rsid w:val="006F35EE"/>
    <w:rsid w:val="007021FF"/>
    <w:rsid w:val="007076CB"/>
    <w:rsid w:val="007967DF"/>
    <w:rsid w:val="007D02A8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9A0004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2656E"/>
    <w:rsid w:val="00E5273E"/>
    <w:rsid w:val="00E73F76"/>
    <w:rsid w:val="00EA31D8"/>
    <w:rsid w:val="00EA5579"/>
    <w:rsid w:val="00EF1360"/>
    <w:rsid w:val="00EF3220"/>
    <w:rsid w:val="00EF7198"/>
    <w:rsid w:val="00F13100"/>
    <w:rsid w:val="00F41883"/>
    <w:rsid w:val="00F45524"/>
    <w:rsid w:val="00F94155"/>
    <w:rsid w:val="00FC28A5"/>
    <w:rsid w:val="00FD021A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FD65B"/>
  <w15:docId w15:val="{679870C5-3060-410D-9293-FF875AA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rsid w:val="008C29C4"/>
    <w:rPr>
      <w:color w:val="0000FF"/>
      <w:u w:val="none"/>
    </w:rPr>
  </w:style>
  <w:style w:type="character" w:styleId="FollowedHyperlink">
    <w:name w:val="FollowedHyperlink"/>
    <w:basedOn w:val="DefaultParagraphFont"/>
    <w:rsid w:val="008C29C4"/>
    <w:rPr>
      <w:color w:val="0000FF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19644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1756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CERD/C/NOR/Q/23-24</dc:title>
  <dc:subject/>
  <dc:creator>Romina Valeria MERINO MAC-KAY</dc:creator>
  <cp:keywords/>
  <cp:lastModifiedBy>Maria Luisa Zeballos Moreno</cp:lastModifiedBy>
  <cp:revision>3</cp:revision>
  <cp:lastPrinted>2018-10-31T10:36:00Z</cp:lastPrinted>
  <dcterms:created xsi:type="dcterms:W3CDTF">2018-10-31T10:36:00Z</dcterms:created>
  <dcterms:modified xsi:type="dcterms:W3CDTF">2018-10-31T10:36:00Z</dcterms:modified>
</cp:coreProperties>
</file>