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4D4B4E">
        <w:trPr>
          <w:trHeight w:hRule="exact" w:val="851"/>
        </w:trPr>
        <w:tc>
          <w:tcPr>
            <w:tcW w:w="1280" w:type="dxa"/>
            <w:tcBorders>
              <w:bottom w:val="single" w:sz="4" w:space="0" w:color="auto"/>
            </w:tcBorders>
          </w:tcPr>
          <w:p w:rsidR="004D4B4E" w:rsidRDefault="004D4B4E" w:rsidP="004D4B4E">
            <w:pPr>
              <w:rPr>
                <w:rFonts w:hint="eastAsia"/>
              </w:rPr>
            </w:pPr>
          </w:p>
        </w:tc>
        <w:tc>
          <w:tcPr>
            <w:tcW w:w="2273" w:type="dxa"/>
            <w:tcBorders>
              <w:bottom w:val="single" w:sz="4" w:space="0" w:color="auto"/>
            </w:tcBorders>
            <w:vAlign w:val="bottom"/>
          </w:tcPr>
          <w:p w:rsidR="004D4B4E" w:rsidRDefault="004D4B4E" w:rsidP="004D4B4E">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4D4B4E" w:rsidRDefault="004D4B4E" w:rsidP="004D4B4E">
            <w:pPr>
              <w:spacing w:line="240" w:lineRule="atLeast"/>
              <w:jc w:val="right"/>
              <w:rPr>
                <w:rFonts w:hint="eastAsia"/>
                <w:szCs w:val="21"/>
              </w:rPr>
            </w:pPr>
            <w:r>
              <w:rPr>
                <w:sz w:val="40"/>
                <w:szCs w:val="40"/>
              </w:rPr>
              <w:t>CAT</w:t>
            </w:r>
            <w:r>
              <w:rPr>
                <w:sz w:val="20"/>
              </w:rPr>
              <w:t>/</w:t>
            </w:r>
            <w:r>
              <w:rPr>
                <w:rFonts w:hint="eastAsia"/>
                <w:sz w:val="20"/>
              </w:rPr>
              <w:t>C/51/3</w:t>
            </w:r>
          </w:p>
        </w:tc>
      </w:tr>
      <w:tr w:rsidR="004D4B4E">
        <w:trPr>
          <w:trHeight w:hRule="exact" w:val="2835"/>
        </w:trPr>
        <w:tc>
          <w:tcPr>
            <w:tcW w:w="1280" w:type="dxa"/>
            <w:tcBorders>
              <w:top w:val="single" w:sz="4" w:space="0" w:color="auto"/>
              <w:bottom w:val="single" w:sz="12" w:space="0" w:color="auto"/>
            </w:tcBorders>
          </w:tcPr>
          <w:p w:rsidR="004D4B4E" w:rsidRDefault="004D4B4E" w:rsidP="004D4B4E">
            <w:pPr>
              <w:spacing w:line="120" w:lineRule="atLeast"/>
              <w:rPr>
                <w:sz w:val="10"/>
                <w:szCs w:val="10"/>
              </w:rPr>
            </w:pPr>
          </w:p>
          <w:p w:rsidR="004D4B4E" w:rsidRDefault="004D4B4E" w:rsidP="004D4B4E">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4D4B4E" w:rsidRDefault="004D4B4E" w:rsidP="004D4B4E">
            <w:pPr>
              <w:spacing w:before="320" w:line="240" w:lineRule="exact"/>
              <w:rPr>
                <w:rFonts w:ascii="Time New Roman" w:eastAsia="SimHei" w:hAnsi="Time New Roman" w:hint="eastAsia"/>
                <w:sz w:val="32"/>
                <w:szCs w:val="32"/>
              </w:rPr>
            </w:pPr>
            <w:r>
              <w:rPr>
                <w:rFonts w:ascii="Time New Roman" w:eastAsia="SimHei" w:hAnsi="Time New Roman" w:hint="eastAsia"/>
                <w:sz w:val="32"/>
                <w:szCs w:val="32"/>
              </w:rPr>
              <w:t>禁止酷刑和其他残忍、不人道</w:t>
            </w:r>
          </w:p>
          <w:p w:rsidR="004D4B4E" w:rsidRDefault="004D4B4E" w:rsidP="004D4B4E">
            <w:pPr>
              <w:spacing w:before="160" w:line="240" w:lineRule="exact"/>
              <w:rPr>
                <w:rFonts w:ascii="Time New Roman" w:eastAsia="SimHei" w:hAnsi="Time New Roman"/>
                <w:sz w:val="32"/>
                <w:szCs w:val="32"/>
              </w:rPr>
            </w:pPr>
            <w:r>
              <w:rPr>
                <w:rFonts w:ascii="Time New Roman" w:eastAsia="SimHei" w:hAnsi="Time New Roman" w:hint="eastAsia"/>
                <w:sz w:val="32"/>
                <w:szCs w:val="32"/>
              </w:rPr>
              <w:t>或有辱人格的待遇或处罚公约</w:t>
            </w:r>
          </w:p>
          <w:p w:rsidR="004D4B4E" w:rsidRDefault="004D4B4E" w:rsidP="004D4B4E">
            <w:pPr>
              <w:spacing w:before="360" w:line="420" w:lineRule="exact"/>
              <w:rPr>
                <w:rFonts w:hint="eastAsia"/>
                <w:b/>
                <w:sz w:val="40"/>
                <w:szCs w:val="40"/>
              </w:rPr>
            </w:pPr>
          </w:p>
        </w:tc>
        <w:tc>
          <w:tcPr>
            <w:tcW w:w="2819" w:type="dxa"/>
            <w:tcBorders>
              <w:top w:val="single" w:sz="4" w:space="0" w:color="auto"/>
              <w:bottom w:val="single" w:sz="12" w:space="0" w:color="auto"/>
            </w:tcBorders>
          </w:tcPr>
          <w:p w:rsidR="004D4B4E" w:rsidRPr="00137BEA" w:rsidRDefault="004D4B4E" w:rsidP="004D4B4E">
            <w:pPr>
              <w:spacing w:before="240" w:line="240" w:lineRule="atLeast"/>
              <w:rPr>
                <w:sz w:val="20"/>
              </w:rPr>
            </w:pPr>
            <w:r>
              <w:rPr>
                <w:sz w:val="20"/>
              </w:rPr>
              <w:t>Distr.: General</w:t>
            </w:r>
          </w:p>
          <w:p w:rsidR="004D4B4E" w:rsidRPr="00137BEA" w:rsidRDefault="004D4B4E" w:rsidP="004D4B4E">
            <w:pPr>
              <w:spacing w:line="240" w:lineRule="atLeast"/>
              <w:rPr>
                <w:rFonts w:hint="eastAsia"/>
                <w:sz w:val="20"/>
              </w:rPr>
            </w:pPr>
            <w:r>
              <w:rPr>
                <w:rFonts w:hint="eastAsia"/>
                <w:sz w:val="20"/>
              </w:rPr>
              <w:t xml:space="preserve">16 </w:t>
            </w:r>
            <w:r>
              <w:rPr>
                <w:sz w:val="20"/>
              </w:rPr>
              <w:t>December 20</w:t>
            </w:r>
            <w:r>
              <w:rPr>
                <w:rFonts w:hint="eastAsia"/>
                <w:sz w:val="20"/>
              </w:rPr>
              <w:t>13</w:t>
            </w:r>
          </w:p>
          <w:p w:rsidR="004D4B4E" w:rsidRPr="00137BEA" w:rsidRDefault="004D4B4E" w:rsidP="004D4B4E">
            <w:pPr>
              <w:spacing w:line="240" w:lineRule="atLeast"/>
              <w:rPr>
                <w:sz w:val="20"/>
              </w:rPr>
            </w:pPr>
            <w:r>
              <w:rPr>
                <w:sz w:val="20"/>
              </w:rPr>
              <w:t>Chinese</w:t>
            </w:r>
            <w:r w:rsidRPr="00137BEA">
              <w:rPr>
                <w:sz w:val="20"/>
              </w:rPr>
              <w:t xml:space="preserve"> </w:t>
            </w:r>
          </w:p>
          <w:p w:rsidR="004D4B4E" w:rsidRPr="00137BEA" w:rsidRDefault="004D4B4E" w:rsidP="004D4B4E">
            <w:pPr>
              <w:spacing w:line="240" w:lineRule="atLeast"/>
              <w:rPr>
                <w:rFonts w:hint="eastAsia"/>
                <w:sz w:val="20"/>
              </w:rPr>
            </w:pPr>
            <w:r>
              <w:rPr>
                <w:sz w:val="20"/>
              </w:rPr>
              <w:t>Original: English</w:t>
            </w:r>
          </w:p>
        </w:tc>
      </w:tr>
    </w:tbl>
    <w:p w:rsidR="002267FA" w:rsidRPr="003D29B7" w:rsidRDefault="002267FA" w:rsidP="002267FA">
      <w:pPr>
        <w:spacing w:before="120" w:line="360" w:lineRule="auto"/>
        <w:rPr>
          <w:rFonts w:eastAsia="SimHei" w:hint="eastAsia"/>
          <w:sz w:val="24"/>
          <w:szCs w:val="24"/>
        </w:rPr>
      </w:pPr>
      <w:r w:rsidRPr="003D29B7">
        <w:rPr>
          <w:rFonts w:eastAsia="SimHei" w:hint="eastAsia"/>
          <w:sz w:val="24"/>
          <w:szCs w:val="24"/>
        </w:rPr>
        <w:t>禁止酷刑委员会</w:t>
      </w:r>
    </w:p>
    <w:p w:rsidR="002267FA" w:rsidRPr="00EB5726" w:rsidRDefault="002267FA" w:rsidP="002267FA">
      <w:pPr>
        <w:pStyle w:val="HChGC"/>
      </w:pPr>
      <w:r>
        <w:tab/>
      </w:r>
      <w:r>
        <w:tab/>
      </w:r>
      <w:r w:rsidRPr="00EB5726">
        <w:rPr>
          <w:rFonts w:hint="eastAsia"/>
        </w:rPr>
        <w:t>禁止酷刑委员会</w:t>
      </w:r>
      <w:r>
        <w:rPr>
          <w:rFonts w:hint="eastAsia"/>
        </w:rPr>
        <w:t>在第五十一届会议</w:t>
      </w:r>
      <w:r w:rsidR="00332E98">
        <w:rPr>
          <w:rFonts w:hint="eastAsia"/>
        </w:rPr>
        <w:t>(</w:t>
      </w:r>
      <w:r>
        <w:rPr>
          <w:rFonts w:hint="eastAsia"/>
        </w:rPr>
        <w:t>2013</w:t>
      </w:r>
      <w:r>
        <w:rPr>
          <w:rFonts w:hint="eastAsia"/>
        </w:rPr>
        <w:t>年</w:t>
      </w:r>
      <w:r>
        <w:rPr>
          <w:rFonts w:hint="eastAsia"/>
        </w:rPr>
        <w:t>10</w:t>
      </w:r>
      <w:r>
        <w:rPr>
          <w:rFonts w:hint="eastAsia"/>
        </w:rPr>
        <w:t>月</w:t>
      </w:r>
      <w:r>
        <w:rPr>
          <w:rFonts w:hint="eastAsia"/>
        </w:rPr>
        <w:t>28</w:t>
      </w:r>
      <w:r>
        <w:rPr>
          <w:rFonts w:hint="eastAsia"/>
        </w:rPr>
        <w:t>日至</w:t>
      </w:r>
      <w:r>
        <w:rPr>
          <w:rFonts w:hint="eastAsia"/>
        </w:rPr>
        <w:t>11</w:t>
      </w:r>
      <w:r>
        <w:rPr>
          <w:rFonts w:hint="eastAsia"/>
        </w:rPr>
        <w:t>月</w:t>
      </w:r>
      <w:r>
        <w:rPr>
          <w:rFonts w:hint="eastAsia"/>
        </w:rPr>
        <w:t>22</w:t>
      </w:r>
      <w:r>
        <w:rPr>
          <w:rFonts w:hint="eastAsia"/>
        </w:rPr>
        <w:t>日</w:t>
      </w:r>
      <w:r w:rsidR="00332E98">
        <w:rPr>
          <w:rFonts w:hint="eastAsia"/>
        </w:rPr>
        <w:t>)</w:t>
      </w:r>
      <w:r>
        <w:rPr>
          <w:rFonts w:hint="eastAsia"/>
        </w:rPr>
        <w:t>上通过的关于报复问题的声明</w:t>
      </w:r>
    </w:p>
    <w:p w:rsidR="002267FA" w:rsidRPr="002267FA" w:rsidRDefault="00332E98" w:rsidP="002267FA">
      <w:pPr>
        <w:pStyle w:val="SingleTxtGC"/>
      </w:pPr>
      <w:r>
        <w:t>1.</w:t>
      </w:r>
      <w:r w:rsidR="002267FA">
        <w:rPr>
          <w:rFonts w:hint="eastAsia"/>
        </w:rPr>
        <w:t xml:space="preserve">  </w:t>
      </w:r>
      <w:r w:rsidR="002267FA" w:rsidRPr="002267FA">
        <w:t>禁止酷刑委员会曾指派两名成员担任报复问题报告员</w:t>
      </w:r>
      <w:r>
        <w:t>：</w:t>
      </w:r>
      <w:r w:rsidR="002267FA">
        <w:t>George</w:t>
      </w:r>
      <w:r w:rsidR="002267FA" w:rsidRPr="002267FA">
        <w:t xml:space="preserve"> </w:t>
      </w:r>
      <w:r w:rsidR="002267FA">
        <w:t>Tugush</w:t>
      </w:r>
      <w:r>
        <w:t xml:space="preserve">i, </w:t>
      </w:r>
      <w:r w:rsidR="002267FA" w:rsidRPr="002267FA">
        <w:t>负责根据《禁止酷刑和其他残忍、不人道或有辱人格的待遇或处罚公约》第</w:t>
      </w:r>
      <w:r w:rsidR="002267FA">
        <w:t>19</w:t>
      </w:r>
      <w:r w:rsidR="002267FA" w:rsidRPr="002267FA">
        <w:t>条</w:t>
      </w:r>
      <w:r>
        <w:t>，</w:t>
      </w:r>
      <w:r w:rsidR="002267FA" w:rsidRPr="002267FA">
        <w:t>就履行《公约》承诺所采取的措施的定期报告和后续行动</w:t>
      </w:r>
      <w:r>
        <w:t>，</w:t>
      </w:r>
      <w:r w:rsidR="002267FA" w:rsidRPr="002267FA">
        <w:t>向委员会提供信息者的案件</w:t>
      </w:r>
      <w:r>
        <w:t>；</w:t>
      </w:r>
      <w:r w:rsidR="002267FA">
        <w:t>Alessio</w:t>
      </w:r>
      <w:r w:rsidR="002267FA" w:rsidRPr="002267FA">
        <w:t xml:space="preserve"> </w:t>
      </w:r>
      <w:r w:rsidR="002267FA">
        <w:t>Brun</w:t>
      </w:r>
      <w:r>
        <w:t xml:space="preserve">i, </w:t>
      </w:r>
      <w:r w:rsidR="002267FA" w:rsidRPr="002267FA">
        <w:t>负责根据《公约》第</w:t>
      </w:r>
      <w:r w:rsidR="002267FA">
        <w:t>22</w:t>
      </w:r>
      <w:r w:rsidR="002267FA" w:rsidRPr="002267FA">
        <w:t>条启动个人申诉程序和根据第</w:t>
      </w:r>
      <w:r w:rsidR="002267FA">
        <w:t>2</w:t>
      </w:r>
      <w:r w:rsidR="002267FA" w:rsidRPr="002267FA">
        <w:t>0</w:t>
      </w:r>
      <w:r w:rsidR="002267FA" w:rsidRPr="002267FA">
        <w:t>条启动调查者</w:t>
      </w:r>
      <w:r>
        <w:t>，</w:t>
      </w:r>
      <w:r w:rsidR="002267FA" w:rsidRPr="002267FA">
        <w:t>或以其他方式参与这些程序者的案件。委员会称赞这两名报告员自</w:t>
      </w:r>
      <w:r w:rsidR="002267FA">
        <w:t>2</w:t>
      </w:r>
      <w:r w:rsidR="002267FA" w:rsidRPr="002267FA">
        <w:t>0</w:t>
      </w:r>
      <w:r w:rsidR="002267FA">
        <w:t>12</w:t>
      </w:r>
      <w:r w:rsidR="002267FA" w:rsidRPr="002267FA">
        <w:t>年</w:t>
      </w:r>
      <w:r w:rsidR="002267FA">
        <w:t>11</w:t>
      </w:r>
      <w:r w:rsidR="002267FA" w:rsidRPr="002267FA">
        <w:t>月设置该职位以来开展的活动。</w:t>
      </w:r>
    </w:p>
    <w:p w:rsidR="002267FA" w:rsidRPr="002267FA" w:rsidRDefault="00332E98" w:rsidP="002267FA">
      <w:pPr>
        <w:pStyle w:val="SingleTxtGC"/>
      </w:pPr>
      <w:r>
        <w:t>2.</w:t>
      </w:r>
      <w:r w:rsidR="002267FA">
        <w:rPr>
          <w:rFonts w:hint="eastAsia"/>
        </w:rPr>
        <w:t xml:space="preserve">  </w:t>
      </w:r>
      <w:r w:rsidR="002267FA" w:rsidRPr="002267FA">
        <w:t>委员会欢迎人权条约机构主席的声明</w:t>
      </w:r>
      <w:r>
        <w:t>，</w:t>
      </w:r>
      <w:r w:rsidR="002267FA" w:rsidRPr="002267FA">
        <w:t>他们在</w:t>
      </w:r>
      <w:r w:rsidR="002267FA">
        <w:t>2</w:t>
      </w:r>
      <w:r w:rsidR="002267FA" w:rsidRPr="002267FA">
        <w:t>0</w:t>
      </w:r>
      <w:r w:rsidR="002267FA">
        <w:t>13</w:t>
      </w:r>
      <w:r w:rsidR="002267FA" w:rsidRPr="002267FA">
        <w:t>年</w:t>
      </w:r>
      <w:r w:rsidR="002267FA">
        <w:t>5</w:t>
      </w:r>
      <w:r w:rsidR="002267FA" w:rsidRPr="002267FA">
        <w:t>月举行的第二十五次会议上</w:t>
      </w:r>
      <w:r>
        <w:t>，</w:t>
      </w:r>
      <w:r w:rsidR="002267FA" w:rsidRPr="002267FA">
        <w:t>肯定了民间社会组织</w:t>
      </w:r>
      <w:r w:rsidR="002267FA">
        <w:rPr>
          <w:rFonts w:hint="eastAsia"/>
        </w:rPr>
        <w:t>“</w:t>
      </w:r>
      <w:r w:rsidR="002267FA" w:rsidRPr="002267FA">
        <w:t>通过呈件、参与、听证或简报等方式</w:t>
      </w:r>
      <w:r w:rsidR="002267FA">
        <w:rPr>
          <w:rFonts w:hint="eastAsia"/>
        </w:rPr>
        <w:t>”</w:t>
      </w:r>
      <w:r w:rsidR="002267FA" w:rsidRPr="002267FA">
        <w:t xml:space="preserve"> </w:t>
      </w:r>
      <w:r w:rsidR="002267FA" w:rsidRPr="002267FA">
        <w:t>对条约机构工作</w:t>
      </w:r>
      <w:r w:rsidR="002267FA">
        <w:rPr>
          <w:rFonts w:hint="eastAsia"/>
        </w:rPr>
        <w:t>“</w:t>
      </w:r>
      <w:r w:rsidR="002267FA" w:rsidRPr="002267FA">
        <w:t>做出的宝贵贡献</w:t>
      </w:r>
      <w:r w:rsidR="002267FA">
        <w:rPr>
          <w:rFonts w:hint="eastAsia"/>
        </w:rPr>
        <w:t>”</w:t>
      </w:r>
      <w:r>
        <w:t>(</w:t>
      </w:r>
      <w:r w:rsidR="002267FA">
        <w:t>A</w:t>
      </w:r>
      <w:r>
        <w:t>/</w:t>
      </w:r>
      <w:r w:rsidR="002267FA">
        <w:t>68</w:t>
      </w:r>
      <w:r>
        <w:t>/</w:t>
      </w:r>
      <w:r w:rsidR="002267FA">
        <w:t>33</w:t>
      </w:r>
      <w:r>
        <w:t>4,</w:t>
      </w:r>
      <w:r w:rsidR="006B2D58">
        <w:rPr>
          <w:rFonts w:hint="eastAsia"/>
        </w:rPr>
        <w:t xml:space="preserve"> </w:t>
      </w:r>
      <w:r w:rsidR="002267FA" w:rsidRPr="002267FA">
        <w:t>第</w:t>
      </w:r>
      <w:r w:rsidR="002267FA">
        <w:t>34</w:t>
      </w:r>
      <w:r w:rsidR="002267FA" w:rsidRPr="002267FA">
        <w:t>段</w:t>
      </w:r>
      <w:r>
        <w:t>)</w:t>
      </w:r>
      <w:r w:rsidR="002267FA" w:rsidRPr="002267FA">
        <w:t>。委员会与各位主席一道</w:t>
      </w:r>
      <w:r>
        <w:t>，</w:t>
      </w:r>
      <w:r w:rsidR="002267FA" w:rsidRPr="002267FA">
        <w:t>坚定地重申向委员会提供信息的个人、团体和机构的重要作用</w:t>
      </w:r>
      <w:r>
        <w:t>，</w:t>
      </w:r>
      <w:r w:rsidR="002267FA" w:rsidRPr="002267FA">
        <w:t>对所有致力于委员会的有效运作和整个《公约》的执行的人表示感谢。</w:t>
      </w:r>
    </w:p>
    <w:p w:rsidR="002267FA" w:rsidRPr="002267FA" w:rsidRDefault="00332E98" w:rsidP="002267FA">
      <w:pPr>
        <w:pStyle w:val="SingleTxtGC"/>
        <w:rPr>
          <w:szCs w:val="21"/>
        </w:rPr>
      </w:pPr>
      <w:r>
        <w:rPr>
          <w:szCs w:val="21"/>
        </w:rPr>
        <w:t>3.</w:t>
      </w:r>
      <w:r w:rsidR="002267FA">
        <w:rPr>
          <w:rFonts w:hint="eastAsia"/>
          <w:szCs w:val="21"/>
        </w:rPr>
        <w:t xml:space="preserve">  </w:t>
      </w:r>
      <w:r w:rsidR="002267FA" w:rsidRPr="002267FA">
        <w:rPr>
          <w:szCs w:val="21"/>
        </w:rPr>
        <w:t>《公约》第</w:t>
      </w:r>
      <w:r w:rsidR="002267FA">
        <w:rPr>
          <w:szCs w:val="21"/>
        </w:rPr>
        <w:t>13</w:t>
      </w:r>
      <w:r w:rsidR="002267FA" w:rsidRPr="002267FA">
        <w:rPr>
          <w:szCs w:val="21"/>
        </w:rPr>
        <w:t>条在提出每个缔约国都有义务确保声称遭到酷刑的个人</w:t>
      </w:r>
      <w:r w:rsidR="002267FA">
        <w:rPr>
          <w:rFonts w:hint="eastAsia"/>
          <w:szCs w:val="21"/>
        </w:rPr>
        <w:t>“</w:t>
      </w:r>
      <w:r w:rsidR="002267FA" w:rsidRPr="002267FA">
        <w:rPr>
          <w:szCs w:val="21"/>
        </w:rPr>
        <w:t>有权申诉</w:t>
      </w:r>
      <w:r w:rsidR="002267FA">
        <w:rPr>
          <w:rFonts w:hint="eastAsia"/>
          <w:szCs w:val="21"/>
        </w:rPr>
        <w:t>”</w:t>
      </w:r>
      <w:r w:rsidR="002267FA" w:rsidRPr="002267FA">
        <w:rPr>
          <w:szCs w:val="21"/>
        </w:rPr>
        <w:t>时</w:t>
      </w:r>
      <w:r>
        <w:rPr>
          <w:szCs w:val="21"/>
        </w:rPr>
        <w:t>，</w:t>
      </w:r>
      <w:r w:rsidR="002267FA" w:rsidRPr="002267FA">
        <w:rPr>
          <w:szCs w:val="21"/>
        </w:rPr>
        <w:t>规定</w:t>
      </w:r>
      <w:r w:rsidR="002267FA">
        <w:rPr>
          <w:rFonts w:hint="eastAsia"/>
          <w:szCs w:val="21"/>
        </w:rPr>
        <w:t>“</w:t>
      </w:r>
      <w:r w:rsidR="002267FA" w:rsidRPr="002267FA">
        <w:rPr>
          <w:szCs w:val="21"/>
        </w:rPr>
        <w:t>应采取步骤确保申诉人和证人不因提出申诉或提供证据而遭受任何虐待或恐吓</w:t>
      </w:r>
      <w:r w:rsidR="002267FA">
        <w:rPr>
          <w:rFonts w:hint="eastAsia"/>
          <w:szCs w:val="21"/>
        </w:rPr>
        <w:t>”</w:t>
      </w:r>
      <w:r w:rsidR="002267FA" w:rsidRPr="002267FA">
        <w:rPr>
          <w:szCs w:val="21"/>
        </w:rPr>
        <w:t>。</w:t>
      </w:r>
    </w:p>
    <w:p w:rsidR="002267FA" w:rsidRPr="002267FA" w:rsidRDefault="00332E98" w:rsidP="002267FA">
      <w:pPr>
        <w:pStyle w:val="SingleTxtGC"/>
        <w:rPr>
          <w:szCs w:val="21"/>
        </w:rPr>
      </w:pPr>
      <w:r>
        <w:rPr>
          <w:szCs w:val="21"/>
        </w:rPr>
        <w:t>4.</w:t>
      </w:r>
      <w:r w:rsidR="002267FA">
        <w:rPr>
          <w:rFonts w:hint="eastAsia"/>
          <w:szCs w:val="21"/>
        </w:rPr>
        <w:t xml:space="preserve">  </w:t>
      </w:r>
      <w:r w:rsidR="002267FA" w:rsidRPr="002267FA">
        <w:rPr>
          <w:szCs w:val="21"/>
        </w:rPr>
        <w:t>委员会提醒所有缔约国</w:t>
      </w:r>
      <w:r>
        <w:rPr>
          <w:szCs w:val="21"/>
        </w:rPr>
        <w:t>，</w:t>
      </w:r>
      <w:r w:rsidR="002267FA" w:rsidRPr="002267FA">
        <w:rPr>
          <w:szCs w:val="21"/>
        </w:rPr>
        <w:t>根据《公约》规定的义务</w:t>
      </w:r>
      <w:r>
        <w:rPr>
          <w:szCs w:val="21"/>
        </w:rPr>
        <w:t>，</w:t>
      </w:r>
      <w:r w:rsidR="002267FA" w:rsidRPr="002267FA">
        <w:rPr>
          <w:szCs w:val="21"/>
        </w:rPr>
        <w:t>缔约国不得报复通过向委员会提供信息</w:t>
      </w:r>
      <w:r>
        <w:rPr>
          <w:szCs w:val="21"/>
        </w:rPr>
        <w:t>，</w:t>
      </w:r>
      <w:r w:rsidR="002267FA" w:rsidRPr="002267FA">
        <w:rPr>
          <w:szCs w:val="21"/>
        </w:rPr>
        <w:t>或通过宣传委员会的结论或行动</w:t>
      </w:r>
      <w:r>
        <w:rPr>
          <w:szCs w:val="21"/>
        </w:rPr>
        <w:t>，</w:t>
      </w:r>
      <w:r w:rsidR="002267FA" w:rsidRPr="002267FA">
        <w:rPr>
          <w:szCs w:val="21"/>
        </w:rPr>
        <w:t>推动履行报告义务或协助委员会行使其任何职能</w:t>
      </w:r>
      <w:r>
        <w:rPr>
          <w:szCs w:val="21"/>
        </w:rPr>
        <w:t>，</w:t>
      </w:r>
      <w:r w:rsidR="002267FA" w:rsidRPr="002267FA">
        <w:rPr>
          <w:szCs w:val="21"/>
        </w:rPr>
        <w:t>与委员会合作或以其他方式协助委员会工作的个人、团体和机构。</w:t>
      </w:r>
    </w:p>
    <w:p w:rsidR="002267FA" w:rsidRPr="002267FA" w:rsidRDefault="00332E98" w:rsidP="002267FA">
      <w:pPr>
        <w:pStyle w:val="SingleTxtGC"/>
        <w:rPr>
          <w:szCs w:val="21"/>
        </w:rPr>
      </w:pPr>
      <w:r>
        <w:rPr>
          <w:szCs w:val="21"/>
        </w:rPr>
        <w:t>5.</w:t>
      </w:r>
      <w:r w:rsidR="002267FA">
        <w:rPr>
          <w:rFonts w:hint="eastAsia"/>
          <w:szCs w:val="21"/>
        </w:rPr>
        <w:t xml:space="preserve">  </w:t>
      </w:r>
      <w:r w:rsidR="002267FA" w:rsidRPr="002267FA">
        <w:rPr>
          <w:szCs w:val="21"/>
        </w:rPr>
        <w:t>禁止酷刑委员会一旦发现针对与委员会合作和</w:t>
      </w:r>
      <w:r>
        <w:rPr>
          <w:szCs w:val="21"/>
        </w:rPr>
        <w:t>/</w:t>
      </w:r>
      <w:r w:rsidR="002267FA" w:rsidRPr="002267FA">
        <w:rPr>
          <w:szCs w:val="21"/>
        </w:rPr>
        <w:t>或参与委员会工作</w:t>
      </w:r>
      <w:r>
        <w:rPr>
          <w:szCs w:val="21"/>
        </w:rPr>
        <w:t>(</w:t>
      </w:r>
      <w:r w:rsidR="002267FA" w:rsidRPr="002267FA">
        <w:rPr>
          <w:szCs w:val="21"/>
        </w:rPr>
        <w:t>如上文所述</w:t>
      </w:r>
      <w:r>
        <w:rPr>
          <w:szCs w:val="21"/>
        </w:rPr>
        <w:t>)</w:t>
      </w:r>
      <w:r w:rsidR="002267FA" w:rsidRPr="002267FA">
        <w:rPr>
          <w:szCs w:val="21"/>
        </w:rPr>
        <w:t>的非政府组织或个人实施报复的情况</w:t>
      </w:r>
      <w:r>
        <w:rPr>
          <w:szCs w:val="21"/>
        </w:rPr>
        <w:t>，</w:t>
      </w:r>
      <w:r w:rsidR="002267FA" w:rsidRPr="002267FA">
        <w:rPr>
          <w:szCs w:val="21"/>
        </w:rPr>
        <w:t>将根据第</w:t>
      </w:r>
      <w:r w:rsidR="002267FA">
        <w:rPr>
          <w:szCs w:val="21"/>
        </w:rPr>
        <w:t>13</w:t>
      </w:r>
      <w:r w:rsidR="002267FA" w:rsidRPr="002267FA">
        <w:rPr>
          <w:szCs w:val="21"/>
        </w:rPr>
        <w:t>条和报复问题报告员的建议</w:t>
      </w:r>
      <w:r>
        <w:rPr>
          <w:szCs w:val="21"/>
        </w:rPr>
        <w:t>，</w:t>
      </w:r>
      <w:r w:rsidR="002267FA" w:rsidRPr="002267FA">
        <w:rPr>
          <w:szCs w:val="21"/>
        </w:rPr>
        <w:t>对情况进行评估。收到申诉后</w:t>
      </w:r>
      <w:r>
        <w:rPr>
          <w:szCs w:val="21"/>
        </w:rPr>
        <w:t>，</w:t>
      </w:r>
      <w:r w:rsidR="002267FA" w:rsidRPr="002267FA">
        <w:rPr>
          <w:szCs w:val="21"/>
        </w:rPr>
        <w:t>报告员将与申诉人、所涉缔约国的主管机构、联合国人权事务高级专员办事处及秘书长沟通</w:t>
      </w:r>
      <w:r>
        <w:rPr>
          <w:szCs w:val="21"/>
        </w:rPr>
        <w:t>，</w:t>
      </w:r>
      <w:r w:rsidR="002267FA" w:rsidRPr="002267FA">
        <w:rPr>
          <w:szCs w:val="21"/>
        </w:rPr>
        <w:t>要求立即停止报复行为。沟通的同时</w:t>
      </w:r>
      <w:r>
        <w:rPr>
          <w:szCs w:val="21"/>
        </w:rPr>
        <w:t>，</w:t>
      </w:r>
      <w:r w:rsidR="002267FA" w:rsidRPr="002267FA">
        <w:rPr>
          <w:szCs w:val="21"/>
        </w:rPr>
        <w:t>委员会可要求报告员或其他成员访问缔约国和发生报复行为的地点</w:t>
      </w:r>
      <w:r>
        <w:rPr>
          <w:szCs w:val="21"/>
        </w:rPr>
        <w:t>，</w:t>
      </w:r>
      <w:r w:rsidR="002267FA" w:rsidRPr="002267FA">
        <w:rPr>
          <w:szCs w:val="21"/>
        </w:rPr>
        <w:t>还可以请当地机构、非政府组织、联合国人权事务高级专员办事处驻该国的代表开展后续调查和</w:t>
      </w:r>
      <w:r>
        <w:rPr>
          <w:szCs w:val="21"/>
        </w:rPr>
        <w:t>/</w:t>
      </w:r>
      <w:r w:rsidR="002267FA" w:rsidRPr="002267FA">
        <w:rPr>
          <w:szCs w:val="21"/>
        </w:rPr>
        <w:t>或访问所涉个人或团体所在地。委员会还可以请联合国其他有关机构及官员</w:t>
      </w:r>
      <w:r>
        <w:rPr>
          <w:szCs w:val="21"/>
        </w:rPr>
        <w:t>，</w:t>
      </w:r>
      <w:r w:rsidR="002267FA" w:rsidRPr="002267FA">
        <w:rPr>
          <w:szCs w:val="21"/>
        </w:rPr>
        <w:t>包括人权事务高级专员进一步干预。</w:t>
      </w:r>
    </w:p>
    <w:p w:rsidR="002267FA" w:rsidRPr="002267FA" w:rsidRDefault="00332E98" w:rsidP="002267FA">
      <w:pPr>
        <w:pStyle w:val="SingleTxtGC"/>
        <w:rPr>
          <w:szCs w:val="21"/>
        </w:rPr>
      </w:pPr>
      <w:r>
        <w:rPr>
          <w:szCs w:val="21"/>
        </w:rPr>
        <w:t>6.</w:t>
      </w:r>
      <w:r w:rsidR="002267FA" w:rsidRPr="002267FA">
        <w:rPr>
          <w:szCs w:val="21"/>
        </w:rPr>
        <w:tab/>
      </w:r>
      <w:r w:rsidR="002267FA" w:rsidRPr="002267FA">
        <w:rPr>
          <w:szCs w:val="21"/>
        </w:rPr>
        <w:t>委员会还将公布其收到的报复案件及处理措施</w:t>
      </w:r>
      <w:r>
        <w:rPr>
          <w:szCs w:val="21"/>
        </w:rPr>
        <w:t>，</w:t>
      </w:r>
      <w:r w:rsidR="002267FA" w:rsidRPr="002267FA">
        <w:rPr>
          <w:szCs w:val="21"/>
        </w:rPr>
        <w:t>包括在官网发布的声明和年度报告中公布这些情况。委员会还将向秘书长通报进一步行动。</w:t>
      </w:r>
    </w:p>
    <w:p w:rsidR="002267FA" w:rsidRPr="002267FA" w:rsidRDefault="00332E98" w:rsidP="002267FA">
      <w:pPr>
        <w:pStyle w:val="SingleTxtGC"/>
        <w:rPr>
          <w:szCs w:val="21"/>
        </w:rPr>
      </w:pPr>
      <w:r>
        <w:rPr>
          <w:szCs w:val="21"/>
        </w:rPr>
        <w:t>7.</w:t>
      </w:r>
      <w:r w:rsidR="002267FA" w:rsidRPr="002267FA">
        <w:rPr>
          <w:szCs w:val="21"/>
        </w:rPr>
        <w:tab/>
      </w:r>
      <w:r w:rsidR="002267FA" w:rsidRPr="002267FA">
        <w:rPr>
          <w:szCs w:val="21"/>
        </w:rPr>
        <w:t>关于报复问题</w:t>
      </w:r>
      <w:r>
        <w:rPr>
          <w:szCs w:val="21"/>
        </w:rPr>
        <w:t>，</w:t>
      </w:r>
      <w:r w:rsidR="002267FA" w:rsidRPr="002267FA">
        <w:rPr>
          <w:szCs w:val="21"/>
        </w:rPr>
        <w:t>可通过报告员</w:t>
      </w:r>
      <w:r>
        <w:rPr>
          <w:szCs w:val="21"/>
        </w:rPr>
        <w:t>(</w:t>
      </w:r>
      <w:r w:rsidR="002267FA" w:rsidRPr="002267FA">
        <w:rPr>
          <w:szCs w:val="21"/>
        </w:rPr>
        <w:t>电子邮箱</w:t>
      </w:r>
      <w:r w:rsidRPr="008E7983">
        <w:rPr>
          <w:szCs w:val="21"/>
        </w:rPr>
        <w:t>：</w:t>
      </w:r>
      <w:hyperlink r:id="rId8" w:history="1">
        <w:r w:rsidR="002267FA" w:rsidRPr="008E7983">
          <w:rPr>
            <w:rStyle w:val="Hyperlink"/>
            <w:szCs w:val="21"/>
            <w:u w:val="none"/>
          </w:rPr>
          <w:t>cat@ohchr.org</w:t>
        </w:r>
      </w:hyperlink>
      <w:r>
        <w:rPr>
          <w:szCs w:val="21"/>
        </w:rPr>
        <w:t>)</w:t>
      </w:r>
      <w:r w:rsidR="002267FA" w:rsidRPr="002267FA">
        <w:rPr>
          <w:szCs w:val="21"/>
        </w:rPr>
        <w:t>与委员会联系。</w:t>
      </w:r>
    </w:p>
    <w:p w:rsidR="004D4B4E" w:rsidRPr="002D6A9C" w:rsidRDefault="004D4B4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A879C2" w:rsidRPr="004D4B4E" w:rsidRDefault="00A879C2" w:rsidP="004D4B4E">
      <w:pPr>
        <w:spacing w:before="240"/>
        <w:jc w:val="center"/>
        <w:rPr>
          <w:rFonts w:hint="eastAsia"/>
          <w:u w:val="single"/>
        </w:rPr>
      </w:pPr>
    </w:p>
    <w:sectPr w:rsidR="00A879C2" w:rsidRPr="004D4B4E">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5FB" w:rsidRPr="00EE3782" w:rsidRDefault="00FD75FB" w:rsidP="00EE3782">
      <w:pPr>
        <w:pStyle w:val="Footer"/>
        <w:spacing w:after="240"/>
        <w:ind w:left="907"/>
        <w:rPr>
          <w:rFonts w:eastAsia="KaiTi_GB2312" w:hint="eastAsia"/>
          <w:sz w:val="21"/>
          <w:szCs w:val="21"/>
        </w:rPr>
      </w:pPr>
      <w:r>
        <w:rPr>
          <w:rFonts w:eastAsia="KaiTi_GB2312" w:hint="eastAsia"/>
          <w:sz w:val="21"/>
          <w:szCs w:val="21"/>
          <w:lang w:eastAsia="zh-CN"/>
        </w:rPr>
        <w:t>注</w:t>
      </w:r>
    </w:p>
  </w:endnote>
  <w:endnote w:type="continuationSeparator" w:id="0">
    <w:p w:rsidR="00FD75FB" w:rsidRPr="00EE3782" w:rsidRDefault="00FD75FB" w:rsidP="00EE3782">
      <w:pPr>
        <w:pStyle w:val="Foote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808" w:rsidRPr="004D4B4E" w:rsidRDefault="00107808" w:rsidP="00F3417C">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ED761D">
      <w:rPr>
        <w:rStyle w:val="PageNumber"/>
        <w:noProof/>
      </w:rPr>
      <w:t>2</w:t>
    </w:r>
    <w:r>
      <w:rPr>
        <w:rStyle w:val="PageNumber"/>
      </w:rPr>
      <w:fldChar w:fldCharType="end"/>
    </w:r>
    <w:r>
      <w:rPr>
        <w:rStyle w:val="PageNumber"/>
        <w:rFonts w:eastAsia="SimSun" w:hint="eastAsia"/>
        <w:lang w:eastAsia="zh-CN"/>
      </w:rPr>
      <w:tab/>
    </w:r>
    <w:r w:rsidRPr="004D4B4E">
      <w:rPr>
        <w:rFonts w:eastAsia="SimSun"/>
        <w:lang w:val="en-US" w:eastAsia="zh-CN"/>
      </w:rPr>
      <w:t>GE.13-49706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808" w:rsidRDefault="00107808">
    <w:pPr>
      <w:pStyle w:val="Footer"/>
      <w:tabs>
        <w:tab w:val="right" w:pos="9639"/>
      </w:tabs>
    </w:pPr>
    <w:r w:rsidRPr="004D4B4E">
      <w:rPr>
        <w:rFonts w:eastAsia="SimSun"/>
        <w:lang w:val="en-US" w:eastAsia="zh-CN"/>
      </w:rPr>
      <w:t>GE.13-49706</w:t>
    </w:r>
    <w:r>
      <w:rPr>
        <w:rFonts w:eastAsia="SimSu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808" w:rsidRDefault="00107808" w:rsidP="006132B9">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34pt;margin-top:9.3pt;width:50.25pt;height:50.25pt;z-index:1">
          <v:imagedata r:id="rId1" o:title="3&amp;Size=2&amp;Lang=C"/>
          <w10:wrap type="square"/>
        </v:shape>
      </w:pict>
    </w: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49706</w:t>
    </w:r>
    <w:r w:rsidRPr="00EE277A">
      <w:rPr>
        <w:rFonts w:eastAsia="SimSun"/>
        <w:sz w:val="20"/>
        <w:lang w:eastAsia="zh-CN"/>
      </w:rPr>
      <w:t xml:space="preserve"> (C)</w:t>
    </w:r>
    <w:r>
      <w:rPr>
        <w:rFonts w:eastAsia="SimSun"/>
        <w:sz w:val="20"/>
        <w:lang w:eastAsia="zh-CN"/>
      </w:rPr>
      <w:tab/>
    </w:r>
    <w:r>
      <w:rPr>
        <w:rFonts w:eastAsia="SimSun" w:hint="eastAsia"/>
        <w:sz w:val="20"/>
        <w:lang w:eastAsia="zh-CN"/>
      </w:rPr>
      <w:t>191213</w:t>
    </w:r>
    <w:r>
      <w:rPr>
        <w:rFonts w:eastAsia="SimSun"/>
        <w:sz w:val="20"/>
        <w:lang w:eastAsia="zh-CN"/>
      </w:rPr>
      <w:tab/>
    </w:r>
    <w:r>
      <w:rPr>
        <w:rFonts w:eastAsia="SimSun" w:hint="eastAsia"/>
        <w:sz w:val="20"/>
        <w:lang w:eastAsia="zh-CN"/>
      </w:rPr>
      <w:t>090114</w:t>
    </w:r>
  </w:p>
  <w:p w:rsidR="00107808" w:rsidRPr="002F233F" w:rsidRDefault="00107808" w:rsidP="00F31E43">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4D4B4E">
      <w:rPr>
        <w:rFonts w:ascii="C39T30Lfz" w:eastAsia="SimSun" w:hAnsi="C39T30Lfz"/>
        <w:sz w:val="56"/>
        <w:szCs w:val="56"/>
        <w:lang w:eastAsia="zh-CN"/>
      </w:rPr>
      <w:t></w:t>
    </w:r>
    <w:r w:rsidRPr="004D4B4E">
      <w:rPr>
        <w:rFonts w:ascii="C39T30Lfz" w:eastAsia="SimSun" w:hAnsi="C39T30Lfz"/>
        <w:sz w:val="56"/>
        <w:szCs w:val="56"/>
        <w:lang w:eastAsia="zh-CN"/>
      </w:rPr>
      <w:t></w:t>
    </w:r>
    <w:r w:rsidRPr="004D4B4E">
      <w:rPr>
        <w:rFonts w:ascii="C39T30Lfz" w:eastAsia="SimSun" w:hAnsi="C39T30Lfz"/>
        <w:sz w:val="56"/>
        <w:szCs w:val="56"/>
        <w:lang w:eastAsia="zh-CN"/>
      </w:rPr>
      <w:t></w:t>
    </w:r>
    <w:r w:rsidRPr="004D4B4E">
      <w:rPr>
        <w:rFonts w:ascii="C39T30Lfz" w:eastAsia="SimSun" w:hAnsi="C39T30Lfz"/>
        <w:sz w:val="56"/>
        <w:szCs w:val="56"/>
        <w:lang w:eastAsia="zh-CN"/>
      </w:rPr>
      <w:t></w:t>
    </w:r>
    <w:r w:rsidRPr="004D4B4E">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5FB" w:rsidRPr="003126F9" w:rsidRDefault="00FD75FB"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FD75FB" w:rsidRPr="003126F9" w:rsidRDefault="00FD75FB" w:rsidP="003126F9">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808" w:rsidRPr="004D4B4E" w:rsidRDefault="00107808">
    <w:pPr>
      <w:pStyle w:val="Header"/>
    </w:pPr>
    <w:r w:rsidRPr="004D4B4E">
      <w:t>CAT/C/51/3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808" w:rsidRPr="004D4B4E" w:rsidRDefault="00107808" w:rsidP="003843D8">
    <w:pPr>
      <w:pStyle w:val="Header"/>
      <w:jc w:val="right"/>
      <w:rPr>
        <w:rFonts w:hint="eastAsia"/>
        <w:lang w:eastAsia="zh-CN"/>
      </w:rPr>
    </w:pPr>
    <w:r w:rsidRPr="004D4B4E">
      <w:rPr>
        <w:lang w:eastAsia="zh-CN"/>
      </w:rPr>
      <w:t>CAT/C/51/3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FD51D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6D77B6E"/>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82C3FD7"/>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1">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8"/>
  </w:num>
  <w:num w:numId="14">
    <w:abstractNumId w:val="12"/>
  </w:num>
  <w:num w:numId="15">
    <w:abstractNumId w:val="13"/>
  </w:num>
  <w:num w:numId="16">
    <w:abstractNumId w:val="21"/>
  </w:num>
  <w:num w:numId="17">
    <w:abstractNumId w:val="12"/>
  </w:num>
  <w:num w:numId="18">
    <w:abstractNumId w:val="21"/>
  </w:num>
  <w:num w:numId="19">
    <w:abstractNumId w:val="13"/>
  </w:num>
  <w:num w:numId="20">
    <w:abstractNumId w:val="19"/>
  </w:num>
  <w:num w:numId="21">
    <w:abstractNumId w:val="10"/>
  </w:num>
  <w:num w:numId="22">
    <w:abstractNumId w:val="16"/>
  </w:num>
  <w:num w:numId="23">
    <w:abstractNumId w:val="13"/>
  </w:num>
  <w:num w:numId="24">
    <w:abstractNumId w:val="20"/>
  </w:num>
  <w:num w:numId="25">
    <w:abstractNumId w:val="17"/>
  </w:num>
  <w:num w:numId="26">
    <w:abstractNumId w:val="15"/>
  </w:num>
  <w:num w:numId="27">
    <w:abstractNumId w:val="22"/>
  </w:num>
  <w:num w:numId="28">
    <w:abstractNumId w:val="20"/>
  </w:num>
  <w:num w:numId="29">
    <w:abstractNumId w:val="17"/>
  </w:num>
  <w:num w:numId="30">
    <w:abstractNumId w:val="15"/>
  </w:num>
  <w:num w:numId="31">
    <w:abstractNumId w:val="19"/>
  </w:num>
  <w:num w:numId="32">
    <w:abstractNumId w:val="10"/>
  </w:num>
  <w:num w:numId="33">
    <w:abstractNumId w:val="16"/>
  </w:num>
  <w:num w:numId="34">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67FA"/>
    <w:rsid w:val="000058EC"/>
    <w:rsid w:val="00027608"/>
    <w:rsid w:val="00055D21"/>
    <w:rsid w:val="00066D74"/>
    <w:rsid w:val="000725DD"/>
    <w:rsid w:val="00076F85"/>
    <w:rsid w:val="000901B8"/>
    <w:rsid w:val="000A01D8"/>
    <w:rsid w:val="000A551A"/>
    <w:rsid w:val="000C1A2F"/>
    <w:rsid w:val="000C4087"/>
    <w:rsid w:val="000C6070"/>
    <w:rsid w:val="000D1566"/>
    <w:rsid w:val="000F00DC"/>
    <w:rsid w:val="001011BD"/>
    <w:rsid w:val="00107808"/>
    <w:rsid w:val="0010791A"/>
    <w:rsid w:val="00114413"/>
    <w:rsid w:val="00122A56"/>
    <w:rsid w:val="001231E9"/>
    <w:rsid w:val="00137BEA"/>
    <w:rsid w:val="001520BA"/>
    <w:rsid w:val="0017111A"/>
    <w:rsid w:val="001A068C"/>
    <w:rsid w:val="001A6F68"/>
    <w:rsid w:val="001B0E89"/>
    <w:rsid w:val="001B2918"/>
    <w:rsid w:val="001B3BF6"/>
    <w:rsid w:val="001B7160"/>
    <w:rsid w:val="002267FA"/>
    <w:rsid w:val="00252072"/>
    <w:rsid w:val="00296B09"/>
    <w:rsid w:val="002B60AE"/>
    <w:rsid w:val="002B6A04"/>
    <w:rsid w:val="002F233F"/>
    <w:rsid w:val="003126F9"/>
    <w:rsid w:val="00325EF5"/>
    <w:rsid w:val="00332E98"/>
    <w:rsid w:val="003412AD"/>
    <w:rsid w:val="003517C6"/>
    <w:rsid w:val="00355A94"/>
    <w:rsid w:val="003613F6"/>
    <w:rsid w:val="00376C5B"/>
    <w:rsid w:val="003843D8"/>
    <w:rsid w:val="0038638B"/>
    <w:rsid w:val="00391902"/>
    <w:rsid w:val="003C22F3"/>
    <w:rsid w:val="003D29B7"/>
    <w:rsid w:val="003F67D6"/>
    <w:rsid w:val="00401C99"/>
    <w:rsid w:val="00496FA9"/>
    <w:rsid w:val="004D3F9C"/>
    <w:rsid w:val="004D4B4E"/>
    <w:rsid w:val="004D5556"/>
    <w:rsid w:val="00515BE0"/>
    <w:rsid w:val="00516C7C"/>
    <w:rsid w:val="0053311A"/>
    <w:rsid w:val="00561C95"/>
    <w:rsid w:val="005F1AF4"/>
    <w:rsid w:val="00606650"/>
    <w:rsid w:val="006132B9"/>
    <w:rsid w:val="00626C95"/>
    <w:rsid w:val="00634C3D"/>
    <w:rsid w:val="0063663A"/>
    <w:rsid w:val="006625DC"/>
    <w:rsid w:val="00673E9B"/>
    <w:rsid w:val="00691A8F"/>
    <w:rsid w:val="006B2D58"/>
    <w:rsid w:val="00721E6D"/>
    <w:rsid w:val="00756374"/>
    <w:rsid w:val="007659B0"/>
    <w:rsid w:val="0079383F"/>
    <w:rsid w:val="0079553A"/>
    <w:rsid w:val="007A32CB"/>
    <w:rsid w:val="007E208B"/>
    <w:rsid w:val="00800F27"/>
    <w:rsid w:val="0083376D"/>
    <w:rsid w:val="00865F9A"/>
    <w:rsid w:val="00873C25"/>
    <w:rsid w:val="008D6116"/>
    <w:rsid w:val="008E7983"/>
    <w:rsid w:val="008E7CA7"/>
    <w:rsid w:val="008F4B6E"/>
    <w:rsid w:val="008F5B7D"/>
    <w:rsid w:val="00916743"/>
    <w:rsid w:val="00932EAB"/>
    <w:rsid w:val="009502BD"/>
    <w:rsid w:val="00985C88"/>
    <w:rsid w:val="009A4D41"/>
    <w:rsid w:val="009B4331"/>
    <w:rsid w:val="009D5221"/>
    <w:rsid w:val="009F5CB1"/>
    <w:rsid w:val="00A02DA3"/>
    <w:rsid w:val="00A22F01"/>
    <w:rsid w:val="00A2481B"/>
    <w:rsid w:val="00A45F96"/>
    <w:rsid w:val="00A74043"/>
    <w:rsid w:val="00A77115"/>
    <w:rsid w:val="00A879C2"/>
    <w:rsid w:val="00AC7CE6"/>
    <w:rsid w:val="00AD10BC"/>
    <w:rsid w:val="00AF5F1E"/>
    <w:rsid w:val="00B474CC"/>
    <w:rsid w:val="00B63E11"/>
    <w:rsid w:val="00B76457"/>
    <w:rsid w:val="00B853DE"/>
    <w:rsid w:val="00B96E72"/>
    <w:rsid w:val="00BB5427"/>
    <w:rsid w:val="00BB5FDE"/>
    <w:rsid w:val="00BB6622"/>
    <w:rsid w:val="00C47AAF"/>
    <w:rsid w:val="00C56016"/>
    <w:rsid w:val="00C80338"/>
    <w:rsid w:val="00C917CC"/>
    <w:rsid w:val="00CB38D9"/>
    <w:rsid w:val="00CC6728"/>
    <w:rsid w:val="00CD6F63"/>
    <w:rsid w:val="00D039EE"/>
    <w:rsid w:val="00D16D07"/>
    <w:rsid w:val="00D20B1A"/>
    <w:rsid w:val="00D40281"/>
    <w:rsid w:val="00D710CF"/>
    <w:rsid w:val="00D71651"/>
    <w:rsid w:val="00D75B05"/>
    <w:rsid w:val="00D83B4B"/>
    <w:rsid w:val="00DA658B"/>
    <w:rsid w:val="00DC0297"/>
    <w:rsid w:val="00DF719F"/>
    <w:rsid w:val="00E021B5"/>
    <w:rsid w:val="00E113E5"/>
    <w:rsid w:val="00E11F54"/>
    <w:rsid w:val="00E535EC"/>
    <w:rsid w:val="00E76A46"/>
    <w:rsid w:val="00ED761D"/>
    <w:rsid w:val="00EE195B"/>
    <w:rsid w:val="00EE3782"/>
    <w:rsid w:val="00F02747"/>
    <w:rsid w:val="00F03CC4"/>
    <w:rsid w:val="00F118F2"/>
    <w:rsid w:val="00F31E43"/>
    <w:rsid w:val="00F3417C"/>
    <w:rsid w:val="00F77050"/>
    <w:rsid w:val="00F82D07"/>
    <w:rsid w:val="00F85DFD"/>
    <w:rsid w:val="00F94C89"/>
    <w:rsid w:val="00FA2C35"/>
    <w:rsid w:val="00FB206C"/>
    <w:rsid w:val="00FC6DA6"/>
    <w:rsid w:val="00FD0260"/>
    <w:rsid w:val="00FD739A"/>
    <w:rsid w:val="00FD75FB"/>
    <w:rsid w:val="00FF12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D07"/>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EE3782"/>
    <w:pPr>
      <w:numPr>
        <w:numId w:val="2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3F67D6"/>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B3BF6"/>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A45F96"/>
    <w:pPr>
      <w:spacing w:before="80" w:after="80" w:line="200" w:lineRule="exact"/>
      <w:ind w:left="0" w:right="113"/>
    </w:pPr>
    <w:rPr>
      <w:rFonts w:eastAsia="KaiTi_GB2312"/>
      <w:sz w:val="18"/>
    </w:rPr>
  </w:style>
  <w:style w:type="paragraph" w:customStyle="1" w:styleId="a0">
    <w:name w:val="缩进正文"/>
    <w:basedOn w:val="SingleTxtGC"/>
    <w:rsid w:val="00756374"/>
    <w:pPr>
      <w:ind w:left="1565"/>
    </w:pPr>
  </w:style>
  <w:style w:type="paragraph" w:customStyle="1" w:styleId="a1">
    <w:name w:val="目录段页次"/>
    <w:basedOn w:val="Normal"/>
    <w:rsid w:val="00F94C89"/>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94C89"/>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EE3782"/>
    <w:pPr>
      <w:tabs>
        <w:tab w:val="right" w:pos="1021"/>
      </w:tabs>
    </w:pPr>
  </w:style>
  <w:style w:type="character" w:styleId="EndnoteReference">
    <w:name w:val="endnote reference"/>
    <w:basedOn w:val="FootnoteReference"/>
    <w:rsid w:val="001B3BF6"/>
  </w:style>
  <w:style w:type="paragraph" w:styleId="Footer">
    <w:name w:val="footer"/>
    <w:basedOn w:val="Normal"/>
    <w:rsid w:val="00F82D07"/>
    <w:pPr>
      <w:spacing w:line="240" w:lineRule="auto"/>
    </w:pPr>
    <w:rPr>
      <w:rFonts w:eastAsia="Times New Roman"/>
      <w:sz w:val="16"/>
      <w:lang w:val="en-GB" w:eastAsia="en-US"/>
    </w:rPr>
  </w:style>
  <w:style w:type="character" w:styleId="PageNumber">
    <w:name w:val="page number"/>
    <w:basedOn w:val="DefaultParagraphFont"/>
    <w:rsid w:val="00F82D07"/>
    <w:rPr>
      <w:rFonts w:ascii="Times New Roman" w:hAnsi="Times New Roman"/>
      <w:b/>
      <w:spacing w:val="0"/>
      <w:kern w:val="0"/>
      <w:sz w:val="18"/>
    </w:rPr>
  </w:style>
  <w:style w:type="paragraph" w:styleId="Header">
    <w:name w:val="header"/>
    <w:basedOn w:val="Normal"/>
    <w:rsid w:val="00F82D07"/>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F82D07"/>
    <w:pPr>
      <w:numPr>
        <w:numId w:val="17"/>
      </w:numPr>
      <w:spacing w:after="120"/>
      <w:ind w:right="1134"/>
    </w:pPr>
  </w:style>
  <w:style w:type="paragraph" w:customStyle="1" w:styleId="Bullet2GC">
    <w:name w:val="_Bullet 2_GC"/>
    <w:basedOn w:val="Normal"/>
    <w:rsid w:val="00EE3782"/>
    <w:pPr>
      <w:numPr>
        <w:numId w:val="18"/>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355A94"/>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355A94"/>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355A94"/>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355A94"/>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355A94"/>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355A94"/>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3517C6"/>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AD10B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AD10B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AD10BC"/>
    <w:pPr>
      <w:keepNext/>
      <w:keepLines/>
      <w:spacing w:before="240" w:after="240" w:line="420" w:lineRule="exact"/>
      <w:ind w:left="1134" w:right="1134"/>
      <w:jc w:val="left"/>
    </w:pPr>
    <w:rPr>
      <w:rFonts w:eastAsia="SimHei"/>
      <w:sz w:val="40"/>
    </w:rPr>
  </w:style>
  <w:style w:type="paragraph" w:customStyle="1" w:styleId="a3">
    <w:name w:val="悬挂"/>
    <w:basedOn w:val="SingleTxtGC"/>
    <w:rsid w:val="000D1566"/>
    <w:pPr>
      <w:ind w:left="1565" w:hanging="431"/>
    </w:pPr>
  </w:style>
  <w:style w:type="paragraph" w:customStyle="1" w:styleId="a4">
    <w:name w:val="表中文字"/>
    <w:basedOn w:val="SingleTxtGC"/>
    <w:rsid w:val="00A45F96"/>
    <w:pPr>
      <w:spacing w:before="40" w:line="220" w:lineRule="atLeast"/>
      <w:ind w:left="0" w:right="113"/>
    </w:pPr>
    <w:rPr>
      <w:sz w:val="18"/>
    </w:rPr>
  </w:style>
  <w:style w:type="paragraph" w:customStyle="1" w:styleId="a5">
    <w:name w:val="表数文字"/>
    <w:basedOn w:val="SingleTxtGC"/>
    <w:rsid w:val="007E208B"/>
    <w:pPr>
      <w:spacing w:before="40" w:after="40" w:line="240" w:lineRule="atLeast"/>
      <w:ind w:left="0" w:right="113"/>
    </w:pPr>
    <w:rPr>
      <w:sz w:val="18"/>
    </w:rPr>
  </w:style>
  <w:style w:type="paragraph" w:customStyle="1" w:styleId="SingleTxtG">
    <w:name w:val="_ Single Txt_G"/>
    <w:basedOn w:val="Normal"/>
    <w:rsid w:val="002267FA"/>
    <w:pPr>
      <w:tabs>
        <w:tab w:val="clear" w:pos="431"/>
      </w:tabs>
      <w:suppressAutoHyphens/>
      <w:overflowPunct/>
      <w:adjustRightInd/>
      <w:snapToGrid/>
      <w:spacing w:after="120" w:line="240" w:lineRule="atLeast"/>
      <w:ind w:left="1134" w:right="1134"/>
    </w:pPr>
    <w:rPr>
      <w:snapToGrid/>
      <w:sz w:val="20"/>
      <w:lang w:val="en-GB" w:eastAsia="en-US"/>
    </w:rPr>
  </w:style>
  <w:style w:type="paragraph" w:customStyle="1" w:styleId="HChG">
    <w:name w:val="_ H _Ch_G"/>
    <w:basedOn w:val="Normal"/>
    <w:next w:val="Normal"/>
    <w:rsid w:val="002267FA"/>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ohchr.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Template>
  <TotalTime>0</TotalTime>
  <Pages>1</Pages>
  <Words>176</Words>
  <Characters>1009</Characters>
  <Application>Microsoft Office Outlook</Application>
  <DocSecurity>4</DocSecurity>
  <Lines>8</Lines>
  <Paragraphs>2</Paragraphs>
  <ScaleCrop>false</ScaleCrop>
  <Company>CSD</Company>
  <LinksUpToDate>false</LinksUpToDate>
  <CharactersWithSpaces>1183</CharactersWithSpaces>
  <SharedDoc>false</SharedDoc>
  <HLinks>
    <vt:vector size="6" baseType="variant">
      <vt:variant>
        <vt:i4>196663</vt:i4>
      </vt:variant>
      <vt:variant>
        <vt:i4>0</vt:i4>
      </vt:variant>
      <vt:variant>
        <vt:i4>0</vt:i4>
      </vt:variant>
      <vt:variant>
        <vt:i4>5</vt:i4>
      </vt:variant>
      <vt:variant>
        <vt:lpwstr>mailto:CAT@ohchr.org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Kong</dc:creator>
  <cp:keywords/>
  <dc:description/>
  <cp:lastModifiedBy>Kong</cp:lastModifiedBy>
  <cp:revision>3</cp:revision>
  <cp:lastPrinted>2014-01-09T08:15:00Z</cp:lastPrinted>
  <dcterms:created xsi:type="dcterms:W3CDTF">2014-01-09T08:15:00Z</dcterms:created>
  <dcterms:modified xsi:type="dcterms:W3CDTF">2014-01-09T08:15:00Z</dcterms:modified>
</cp:coreProperties>
</file>