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3F0749" w:rsidTr="002B43B0">
        <w:trPr>
          <w:cnfStyle w:val="100000000000"/>
          <w:trHeight w:hRule="exact" w:val="851"/>
        </w:trPr>
        <w:tc>
          <w:tcPr>
            <w:tcW w:w="4700" w:type="dxa"/>
            <w:gridSpan w:val="2"/>
            <w:tcBorders>
              <w:bottom w:val="single" w:sz="4" w:space="0" w:color="auto"/>
            </w:tcBorders>
            <w:vAlign w:val="bottom"/>
          </w:tcPr>
          <w:p w:rsidR="007511D7" w:rsidRPr="003F0749" w:rsidRDefault="007511D7" w:rsidP="002B43B0">
            <w:pPr>
              <w:spacing w:after="80" w:line="300" w:lineRule="exact"/>
              <w:rPr>
                <w:sz w:val="28"/>
              </w:rPr>
            </w:pPr>
            <w:r w:rsidRPr="003F0749">
              <w:rPr>
                <w:sz w:val="28"/>
              </w:rPr>
              <w:t>Организация Объединенных Наций</w:t>
            </w:r>
          </w:p>
        </w:tc>
        <w:tc>
          <w:tcPr>
            <w:tcW w:w="4939" w:type="dxa"/>
            <w:gridSpan w:val="2"/>
            <w:tcBorders>
              <w:bottom w:val="single" w:sz="4" w:space="0" w:color="auto"/>
            </w:tcBorders>
            <w:vAlign w:val="bottom"/>
          </w:tcPr>
          <w:p w:rsidR="007511D7" w:rsidRPr="003F0749" w:rsidRDefault="007511D7" w:rsidP="002B43B0">
            <w:pPr>
              <w:jc w:val="right"/>
              <w:rPr>
                <w:sz w:val="20"/>
              </w:rPr>
            </w:pPr>
            <w:r w:rsidRPr="003F0749">
              <w:rPr>
                <w:sz w:val="40"/>
                <w:szCs w:val="40"/>
              </w:rPr>
              <w:t>CERD</w:t>
            </w:r>
            <w:r w:rsidRPr="003F0749">
              <w:rPr>
                <w:sz w:val="20"/>
              </w:rPr>
              <w:t>/</w:t>
            </w:r>
            <w:fldSimple w:instr=" FILLIN  &quot;Введите часть символа после CERD/&quot;  \* MERGEFORMAT ">
              <w:r w:rsidR="00DF5565" w:rsidRPr="003F0749">
                <w:t>C/TUR/4-6</w:t>
              </w:r>
            </w:fldSimple>
          </w:p>
        </w:tc>
      </w:tr>
      <w:tr w:rsidR="007511D7" w:rsidRPr="003F0749" w:rsidTr="002B43B0">
        <w:trPr>
          <w:trHeight w:hRule="exact" w:val="2835"/>
        </w:trPr>
        <w:tc>
          <w:tcPr>
            <w:tcW w:w="1280" w:type="dxa"/>
            <w:tcBorders>
              <w:top w:val="single" w:sz="4" w:space="0" w:color="auto"/>
              <w:bottom w:val="single" w:sz="12" w:space="0" w:color="auto"/>
            </w:tcBorders>
          </w:tcPr>
          <w:p w:rsidR="007511D7" w:rsidRPr="003F0749" w:rsidRDefault="007511D7" w:rsidP="002B43B0">
            <w:pPr>
              <w:spacing w:before="120"/>
              <w:jc w:val="center"/>
            </w:pPr>
            <w:r w:rsidRPr="003F07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3F0749" w:rsidRDefault="007511D7" w:rsidP="007511D7">
            <w:pPr>
              <w:suppressAutoHyphens/>
              <w:spacing w:before="120" w:line="380" w:lineRule="exact"/>
              <w:rPr>
                <w:b/>
                <w:spacing w:val="-4"/>
                <w:w w:val="100"/>
                <w:sz w:val="34"/>
                <w:szCs w:val="40"/>
              </w:rPr>
            </w:pPr>
            <w:r w:rsidRPr="003F0749">
              <w:rPr>
                <w:b/>
                <w:spacing w:val="-4"/>
                <w:w w:val="100"/>
                <w:sz w:val="34"/>
                <w:szCs w:val="40"/>
              </w:rPr>
              <w:t>Международная конвенция</w:t>
            </w:r>
            <w:r w:rsidRPr="003F0749">
              <w:rPr>
                <w:b/>
                <w:spacing w:val="-4"/>
                <w:w w:val="100"/>
                <w:sz w:val="34"/>
                <w:szCs w:val="40"/>
              </w:rPr>
              <w:br/>
              <w:t>о ликвидации всех форм</w:t>
            </w:r>
            <w:r w:rsidRPr="003F0749">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3F0749" w:rsidRDefault="007511D7" w:rsidP="002B43B0">
            <w:pPr>
              <w:spacing w:before="240" w:after="0"/>
              <w:rPr>
                <w:sz w:val="20"/>
              </w:rPr>
            </w:pPr>
            <w:proofErr w:type="spellStart"/>
            <w:r w:rsidRPr="003F0749">
              <w:rPr>
                <w:sz w:val="20"/>
              </w:rPr>
              <w:t>Distr</w:t>
            </w:r>
            <w:proofErr w:type="spellEnd"/>
            <w:r w:rsidRPr="003F0749">
              <w:rPr>
                <w:sz w:val="20"/>
              </w:rPr>
              <w:t xml:space="preserve">.: </w:t>
            </w:r>
            <w:bookmarkStart w:id="0" w:name="ПолеСоСписком1"/>
            <w:r w:rsidRPr="003F0749">
              <w:rPr>
                <w:sz w:val="20"/>
              </w:rPr>
              <w:fldChar w:fldCharType="begin">
                <w:ffData>
                  <w:name w:val="ПолеСоСписком1"/>
                  <w:enabled/>
                  <w:calcOnExit w:val="0"/>
                  <w:ddList>
                    <w:listEntry w:val="General"/>
                    <w:listEntry w:val="Limited"/>
                    <w:listEntry w:val="Restricted"/>
                  </w:ddList>
                </w:ffData>
              </w:fldChar>
            </w:r>
            <w:r w:rsidRPr="003F0749">
              <w:rPr>
                <w:sz w:val="20"/>
              </w:rPr>
              <w:instrText xml:space="preserve"> FORMDROPDOWN </w:instrText>
            </w:r>
            <w:r w:rsidRPr="003F0749">
              <w:rPr>
                <w:sz w:val="20"/>
              </w:rPr>
            </w:r>
            <w:r w:rsidRPr="003F0749">
              <w:rPr>
                <w:sz w:val="20"/>
              </w:rPr>
              <w:fldChar w:fldCharType="end"/>
            </w:r>
            <w:bookmarkEnd w:id="0"/>
          </w:p>
          <w:p w:rsidR="007511D7" w:rsidRPr="003F0749" w:rsidRDefault="007511D7" w:rsidP="002B43B0">
            <w:pPr>
              <w:spacing w:before="0" w:after="0"/>
              <w:rPr>
                <w:sz w:val="20"/>
              </w:rPr>
            </w:pPr>
            <w:r w:rsidRPr="003F0749">
              <w:rPr>
                <w:sz w:val="20"/>
              </w:rPr>
              <w:fldChar w:fldCharType="begin"/>
            </w:r>
            <w:r w:rsidRPr="003F0749">
              <w:rPr>
                <w:sz w:val="20"/>
              </w:rPr>
              <w:instrText xml:space="preserve"> FILLIN  "Введите дату документа" \* MERGEFORMAT </w:instrText>
            </w:r>
            <w:r w:rsidR="00DF5565" w:rsidRPr="003F0749">
              <w:rPr>
                <w:sz w:val="20"/>
              </w:rPr>
              <w:fldChar w:fldCharType="separate"/>
            </w:r>
            <w:r w:rsidR="00DF5565" w:rsidRPr="003F0749">
              <w:rPr>
                <w:sz w:val="20"/>
              </w:rPr>
              <w:t xml:space="preserve">17 </w:t>
            </w:r>
            <w:proofErr w:type="spellStart"/>
            <w:r w:rsidR="00DF5565" w:rsidRPr="003F0749">
              <w:rPr>
                <w:sz w:val="20"/>
              </w:rPr>
              <w:t>April</w:t>
            </w:r>
            <w:proofErr w:type="spellEnd"/>
            <w:r w:rsidR="00DF5565" w:rsidRPr="003F0749">
              <w:rPr>
                <w:sz w:val="20"/>
              </w:rPr>
              <w:t xml:space="preserve"> 2014</w:t>
            </w:r>
            <w:r w:rsidRPr="003F0749">
              <w:rPr>
                <w:sz w:val="20"/>
              </w:rPr>
              <w:fldChar w:fldCharType="end"/>
            </w:r>
          </w:p>
          <w:p w:rsidR="007511D7" w:rsidRPr="003F0749" w:rsidRDefault="007511D7" w:rsidP="002B43B0">
            <w:pPr>
              <w:spacing w:before="0" w:after="0"/>
              <w:rPr>
                <w:sz w:val="20"/>
              </w:rPr>
            </w:pPr>
            <w:proofErr w:type="spellStart"/>
            <w:r w:rsidRPr="003F0749">
              <w:rPr>
                <w:sz w:val="20"/>
              </w:rPr>
              <w:t>Russian</w:t>
            </w:r>
            <w:proofErr w:type="spellEnd"/>
          </w:p>
          <w:p w:rsidR="007511D7" w:rsidRPr="003F0749" w:rsidRDefault="007511D7" w:rsidP="002B43B0">
            <w:pPr>
              <w:spacing w:before="0" w:after="0"/>
              <w:rPr>
                <w:sz w:val="20"/>
              </w:rPr>
            </w:pPr>
            <w:proofErr w:type="spellStart"/>
            <w:r w:rsidRPr="003F0749">
              <w:rPr>
                <w:sz w:val="20"/>
              </w:rPr>
              <w:t>Original</w:t>
            </w:r>
            <w:proofErr w:type="spellEnd"/>
            <w:r w:rsidRPr="003F0749">
              <w:rPr>
                <w:sz w:val="20"/>
              </w:rPr>
              <w:t xml:space="preserve">: </w:t>
            </w:r>
            <w:bookmarkStart w:id="1" w:name="ПолеСоСписком2"/>
            <w:r w:rsidRPr="003F0749">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3F0749">
              <w:rPr>
                <w:sz w:val="20"/>
              </w:rPr>
              <w:instrText xml:space="preserve"> FORMDROPDOWN </w:instrText>
            </w:r>
            <w:r w:rsidRPr="003F0749">
              <w:rPr>
                <w:sz w:val="20"/>
              </w:rPr>
            </w:r>
            <w:r w:rsidRPr="003F0749">
              <w:rPr>
                <w:sz w:val="20"/>
              </w:rPr>
              <w:fldChar w:fldCharType="end"/>
            </w:r>
            <w:bookmarkEnd w:id="1"/>
          </w:p>
          <w:p w:rsidR="007511D7" w:rsidRPr="003F0749" w:rsidRDefault="007511D7" w:rsidP="002B43B0"/>
        </w:tc>
      </w:tr>
    </w:tbl>
    <w:p w:rsidR="00DF5565" w:rsidRPr="003F0749" w:rsidRDefault="00DF5565" w:rsidP="00DF5565">
      <w:pPr>
        <w:spacing w:before="120"/>
        <w:rPr>
          <w:b/>
          <w:sz w:val="24"/>
          <w:szCs w:val="24"/>
        </w:rPr>
      </w:pPr>
      <w:r w:rsidRPr="003F0749">
        <w:rPr>
          <w:b/>
          <w:sz w:val="24"/>
          <w:szCs w:val="24"/>
        </w:rPr>
        <w:t xml:space="preserve">Комитет по ликвидации расовой дискриминации </w:t>
      </w:r>
    </w:p>
    <w:p w:rsidR="00DF5565" w:rsidRPr="003F0749" w:rsidRDefault="00DF5565" w:rsidP="00DF5565">
      <w:pPr>
        <w:pStyle w:val="HChGR"/>
      </w:pPr>
      <w:r w:rsidRPr="003F0749">
        <w:tab/>
      </w:r>
      <w:r w:rsidRPr="003F0749">
        <w:tab/>
        <w:t>Рассмотрение докладов, представляемых государствами-участниками в соответствии со</w:t>
      </w:r>
      <w:r w:rsidR="000975EA">
        <w:rPr>
          <w:lang w:val="en-US"/>
        </w:rPr>
        <w:t> </w:t>
      </w:r>
      <w:r w:rsidRPr="003F0749">
        <w:t xml:space="preserve">статьей 9 Конвенции </w:t>
      </w:r>
    </w:p>
    <w:p w:rsidR="00DF5565" w:rsidRPr="003F0749" w:rsidRDefault="00DF5565" w:rsidP="00DF5565">
      <w:pPr>
        <w:pStyle w:val="H1GR"/>
      </w:pPr>
      <w:r w:rsidRPr="003F0749">
        <w:tab/>
      </w:r>
      <w:r w:rsidRPr="003F0749">
        <w:tab/>
        <w:t xml:space="preserve">Объединенные </w:t>
      </w:r>
      <w:proofErr w:type="spellStart"/>
      <w:r w:rsidRPr="003F0749">
        <w:t>четвертый</w:t>
      </w:r>
      <w:r w:rsidR="003F0749" w:rsidRPr="003F0749">
        <w:t>−</w:t>
      </w:r>
      <w:r w:rsidRPr="003F0749">
        <w:t>шестой</w:t>
      </w:r>
      <w:proofErr w:type="spellEnd"/>
      <w:r w:rsidRPr="003F0749">
        <w:t xml:space="preserve"> периодические доклады государств-участников, подлежащие представлению в</w:t>
      </w:r>
      <w:r w:rsidR="000975EA">
        <w:rPr>
          <w:lang w:val="en-US"/>
        </w:rPr>
        <w:t> </w:t>
      </w:r>
      <w:r w:rsidRPr="003F0749">
        <w:t>2013</w:t>
      </w:r>
      <w:r w:rsidR="002B6A52">
        <w:t> год</w:t>
      </w:r>
      <w:r w:rsidRPr="003F0749">
        <w:t>у</w:t>
      </w:r>
    </w:p>
    <w:p w:rsidR="00DF5565" w:rsidRPr="003F0749" w:rsidRDefault="00DF5565" w:rsidP="00DF5565">
      <w:pPr>
        <w:pStyle w:val="HChGR"/>
      </w:pPr>
      <w:r w:rsidRPr="003F0749">
        <w:tab/>
      </w:r>
      <w:r w:rsidRPr="003F0749">
        <w:tab/>
        <w:t>Турция</w:t>
      </w:r>
      <w:r w:rsidRPr="003F0749">
        <w:rPr>
          <w:rStyle w:val="FootnoteReference"/>
          <w:b w:val="0"/>
          <w:sz w:val="20"/>
          <w:vertAlign w:val="baseline"/>
        </w:rPr>
        <w:footnoteReference w:customMarkFollows="1" w:id="1"/>
        <w:t>*</w:t>
      </w:r>
    </w:p>
    <w:p w:rsidR="00DF5565" w:rsidRPr="003F0749" w:rsidRDefault="00DF5565" w:rsidP="00DF5565">
      <w:pPr>
        <w:pStyle w:val="SingleTxtGR"/>
        <w:jc w:val="right"/>
      </w:pPr>
      <w:r w:rsidRPr="003F0749">
        <w:t>[Дата получения: 10 февраля 2014</w:t>
      </w:r>
      <w:r w:rsidR="002B6A52">
        <w:t> год</w:t>
      </w:r>
      <w:r w:rsidRPr="003F0749">
        <w:t>а]</w:t>
      </w:r>
    </w:p>
    <w:p w:rsidR="00DF5565" w:rsidRPr="003F0749" w:rsidRDefault="00DF5565" w:rsidP="00DF5565">
      <w:pPr>
        <w:pStyle w:val="SingleTxtGR"/>
        <w:suppressAutoHyphens/>
        <w:ind w:left="0" w:right="0"/>
        <w:jc w:val="left"/>
        <w:rPr>
          <w:sz w:val="28"/>
        </w:rPr>
      </w:pPr>
      <w:r w:rsidRPr="003F0749">
        <w:br w:type="page"/>
      </w:r>
      <w:r w:rsidRPr="003F0749">
        <w:rPr>
          <w:sz w:val="28"/>
        </w:rPr>
        <w:t>Содержание</w:t>
      </w:r>
    </w:p>
    <w:p w:rsidR="00DF5565" w:rsidRPr="003F0749" w:rsidRDefault="00DF5565" w:rsidP="00DF5565">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3F0749">
        <w:rPr>
          <w:i/>
          <w:sz w:val="18"/>
        </w:rPr>
        <w:tab/>
        <w:t>Пункты</w:t>
      </w:r>
      <w:r w:rsidRPr="003F0749">
        <w:rPr>
          <w:i/>
          <w:sz w:val="18"/>
        </w:rPr>
        <w:tab/>
        <w:t>Стр.</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3F0749">
        <w:tab/>
        <w:t>I.</w:t>
      </w:r>
      <w:r w:rsidRPr="003F0749">
        <w:tab/>
        <w:t>Введение</w:t>
      </w:r>
      <w:r w:rsidRPr="003F0749">
        <w:tab/>
      </w:r>
      <w:r w:rsidRPr="003F0749">
        <w:tab/>
        <w:t>1−9</w:t>
      </w:r>
      <w:r w:rsidRPr="003F0749">
        <w:tab/>
        <w:t>3</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3F0749">
        <w:tab/>
        <w:t>II.</w:t>
      </w:r>
      <w:r w:rsidRPr="003F0749">
        <w:tab/>
        <w:t>Информация</w:t>
      </w:r>
      <w:r w:rsidR="003F0749">
        <w:t xml:space="preserve"> по </w:t>
      </w:r>
      <w:r w:rsidRPr="003F0749">
        <w:t>конкретны</w:t>
      </w:r>
      <w:r w:rsidR="003F0749">
        <w:t>м</w:t>
      </w:r>
      <w:r w:rsidRPr="003F0749">
        <w:t xml:space="preserve"> стат</w:t>
      </w:r>
      <w:r w:rsidR="003F0749">
        <w:t>ям</w:t>
      </w:r>
      <w:r w:rsidRPr="003F0749">
        <w:t xml:space="preserve"> </w:t>
      </w:r>
      <w:r w:rsidRPr="003F0749">
        <w:tab/>
      </w:r>
      <w:r w:rsidRPr="003F0749">
        <w:tab/>
        <w:t>10−78</w:t>
      </w:r>
      <w:r w:rsidRPr="003F0749">
        <w:tab/>
        <w:t>4</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pPr>
      <w:r w:rsidRPr="003F0749">
        <w:tab/>
      </w:r>
      <w:r w:rsidRPr="003F0749">
        <w:tab/>
        <w:t>Статья 1</w:t>
      </w:r>
      <w:r w:rsidRPr="003F0749">
        <w:tab/>
      </w:r>
      <w:r w:rsidRPr="003F0749">
        <w:tab/>
        <w:t>10−23</w:t>
      </w:r>
      <w:r w:rsidRPr="003F0749">
        <w:tab/>
        <w:t>4</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pPr>
      <w:r w:rsidRPr="003F0749">
        <w:tab/>
      </w:r>
      <w:r w:rsidRPr="003F0749">
        <w:tab/>
        <w:t>Статья 2</w:t>
      </w:r>
      <w:r w:rsidRPr="003F0749">
        <w:tab/>
      </w:r>
      <w:r w:rsidRPr="003F0749">
        <w:tab/>
        <w:t>24−63</w:t>
      </w:r>
      <w:r w:rsidRPr="003F0749">
        <w:tab/>
        <w:t>6</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pPr>
      <w:r w:rsidRPr="003F0749">
        <w:tab/>
      </w:r>
      <w:r w:rsidRPr="003F0749">
        <w:tab/>
        <w:t>Статья 3</w:t>
      </w:r>
      <w:r w:rsidRPr="003F0749">
        <w:tab/>
      </w:r>
      <w:r w:rsidRPr="003F0749">
        <w:tab/>
        <w:t>64−65</w:t>
      </w:r>
      <w:r w:rsidRPr="003F0749">
        <w:tab/>
        <w:t>1</w:t>
      </w:r>
      <w:r w:rsidR="003B6D0B">
        <w:rPr>
          <w:lang w:val="en-US"/>
        </w:rPr>
        <w:t>8</w:t>
      </w:r>
    </w:p>
    <w:p w:rsidR="00DF5565" w:rsidRPr="003F0749" w:rsidRDefault="00DF5565"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pPr>
      <w:r w:rsidRPr="003F0749">
        <w:tab/>
      </w:r>
      <w:r w:rsidRPr="003F0749">
        <w:tab/>
        <w:t>Статья 4</w:t>
      </w:r>
      <w:r w:rsidRPr="003F0749">
        <w:tab/>
      </w:r>
      <w:r w:rsidRPr="003F0749">
        <w:tab/>
        <w:t>66−77</w:t>
      </w:r>
      <w:r w:rsidRPr="003F0749">
        <w:tab/>
        <w:t>18</w:t>
      </w:r>
    </w:p>
    <w:p w:rsidR="00DF5565" w:rsidRPr="003B6D0B" w:rsidRDefault="003B6D0B"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rPr>
          <w:lang w:val="en-US"/>
        </w:rPr>
      </w:pPr>
      <w:r>
        <w:tab/>
      </w:r>
      <w:r>
        <w:tab/>
        <w:t>Статья 5</w:t>
      </w:r>
      <w:r>
        <w:tab/>
      </w:r>
      <w:r>
        <w:tab/>
        <w:t>78</w:t>
      </w:r>
      <w:r>
        <w:tab/>
        <w:t>2</w:t>
      </w:r>
      <w:r>
        <w:rPr>
          <w:lang w:val="en-US"/>
        </w:rPr>
        <w:t>1</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t>III.</w:t>
      </w:r>
      <w:r w:rsidRPr="003F0749">
        <w:tab/>
        <w:t>Информация в разбивке</w:t>
      </w:r>
      <w:r w:rsidR="003B6D0B">
        <w:t xml:space="preserve"> по конкретным правам</w:t>
      </w:r>
      <w:r w:rsidR="003B6D0B">
        <w:tab/>
      </w:r>
      <w:r w:rsidR="003B6D0B">
        <w:tab/>
        <w:t>79−139</w:t>
      </w:r>
      <w:r w:rsidR="003B6D0B">
        <w:tab/>
        <w:t>2</w:t>
      </w:r>
      <w:r w:rsidR="003B6D0B">
        <w:rPr>
          <w:lang w:val="en-US"/>
        </w:rPr>
        <w:t>1</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r>
      <w:r w:rsidRPr="003F0749">
        <w:tab/>
        <w:t>A.</w:t>
      </w:r>
      <w:r w:rsidRPr="003F0749">
        <w:tab/>
        <w:t xml:space="preserve">Право на равенство перед судом и всеми другими органами, </w:t>
      </w:r>
      <w:r w:rsidRPr="003F0749">
        <w:br/>
      </w:r>
      <w:r w:rsidRPr="003F0749">
        <w:tab/>
        <w:t>от</w:t>
      </w:r>
      <w:r w:rsidR="003B6D0B">
        <w:t>правляющими правосудие</w:t>
      </w:r>
      <w:r w:rsidR="003B6D0B">
        <w:tab/>
      </w:r>
      <w:r w:rsidR="003B6D0B">
        <w:tab/>
        <w:t>79−86</w:t>
      </w:r>
      <w:r w:rsidR="003B6D0B">
        <w:tab/>
        <w:t>2</w:t>
      </w:r>
      <w:r w:rsidR="003B6D0B">
        <w:rPr>
          <w:lang w:val="en-US"/>
        </w:rPr>
        <w:t>1</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r>
      <w:r w:rsidRPr="003F0749">
        <w:tab/>
        <w:t>B.</w:t>
      </w:r>
      <w:r w:rsidRPr="003F0749">
        <w:tab/>
        <w:t xml:space="preserve">Право на личную безопасность и защиту со стороны государства </w:t>
      </w:r>
      <w:r w:rsidRPr="003F0749">
        <w:br/>
      </w:r>
      <w:r w:rsidRPr="003F0749">
        <w:tab/>
        <w:t xml:space="preserve">от насилия или телесных повреждений, причиняемых как </w:t>
      </w:r>
      <w:r w:rsidRPr="003F0749">
        <w:br/>
      </w:r>
      <w:r w:rsidRPr="003F0749">
        <w:tab/>
      </w:r>
      <w:r w:rsidR="003F0749">
        <w:t xml:space="preserve">государственными </w:t>
      </w:r>
      <w:r w:rsidRPr="003F0749">
        <w:t xml:space="preserve">должностными лицами, так и какими бы то </w:t>
      </w:r>
      <w:r w:rsidRPr="003F0749">
        <w:br/>
      </w:r>
      <w:r w:rsidRPr="003F0749">
        <w:tab/>
        <w:t>ни было отдельными лицами, гру</w:t>
      </w:r>
      <w:r w:rsidR="003B6D0B">
        <w:t>ппами или учреждениями</w:t>
      </w:r>
      <w:r w:rsidR="003B6D0B">
        <w:tab/>
      </w:r>
      <w:r w:rsidR="003B6D0B">
        <w:tab/>
        <w:t>87−97</w:t>
      </w:r>
      <w:r w:rsidR="003B6D0B">
        <w:tab/>
        <w:t>2</w:t>
      </w:r>
      <w:proofErr w:type="spellStart"/>
      <w:r w:rsidR="003B6D0B">
        <w:rPr>
          <w:lang w:val="en-US"/>
        </w:rPr>
        <w:t>2</w:t>
      </w:r>
      <w:proofErr w:type="spellEnd"/>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r>
      <w:r w:rsidRPr="003F0749">
        <w:tab/>
      </w:r>
      <w:r w:rsidR="003B6D0B">
        <w:t>C.</w:t>
      </w:r>
      <w:r w:rsidR="003B6D0B">
        <w:tab/>
        <w:t>Политические права</w:t>
      </w:r>
      <w:r w:rsidR="003B6D0B">
        <w:tab/>
      </w:r>
      <w:r w:rsidR="003B6D0B">
        <w:tab/>
        <w:t>98−102</w:t>
      </w:r>
      <w:r w:rsidR="003B6D0B">
        <w:tab/>
        <w:t>2</w:t>
      </w:r>
      <w:r w:rsidR="003B6D0B">
        <w:rPr>
          <w:lang w:val="en-US"/>
        </w:rPr>
        <w:t>4</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r>
      <w:r w:rsidRPr="003F0749">
        <w:tab/>
        <w:t>D.</w:t>
      </w:r>
      <w:r w:rsidRPr="003F0749">
        <w:tab/>
        <w:t xml:space="preserve">Прочие гражданские </w:t>
      </w:r>
      <w:r w:rsidR="003B6D0B">
        <w:t xml:space="preserve">права </w:t>
      </w:r>
      <w:r w:rsidR="003B6D0B">
        <w:tab/>
      </w:r>
      <w:r w:rsidR="003B6D0B">
        <w:tab/>
        <w:t>103</w:t>
      </w:r>
      <w:r w:rsidR="003B6D0B">
        <w:tab/>
        <w:t>2</w:t>
      </w:r>
      <w:r w:rsidR="003B6D0B">
        <w:rPr>
          <w:lang w:val="en-US"/>
        </w:rPr>
        <w:t>5</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r>
      <w:r w:rsidRPr="003F0749">
        <w:tab/>
        <w:t>E.</w:t>
      </w:r>
      <w:r w:rsidRPr="003F0749">
        <w:tab/>
        <w:t>Экономические, социальны</w:t>
      </w:r>
      <w:r w:rsidR="003B6D0B">
        <w:t>е и культурные права</w:t>
      </w:r>
      <w:r w:rsidR="003B6D0B">
        <w:tab/>
      </w:r>
      <w:r w:rsidR="003B6D0B">
        <w:tab/>
        <w:t>104−139</w:t>
      </w:r>
      <w:r w:rsidR="003B6D0B">
        <w:tab/>
        <w:t>2</w:t>
      </w:r>
      <w:r w:rsidR="003B6D0B">
        <w:rPr>
          <w:lang w:val="en-US"/>
        </w:rPr>
        <w:t>5</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t>IV.</w:t>
      </w:r>
      <w:r w:rsidRPr="003F0749">
        <w:tab/>
        <w:t xml:space="preserve">Информация о соответствующих группах жертв или возможных </w:t>
      </w:r>
      <w:r w:rsidRPr="003F0749">
        <w:br/>
        <w:t>жертвах р</w:t>
      </w:r>
      <w:r w:rsidR="003B6D0B">
        <w:t>асовой дискриминации</w:t>
      </w:r>
      <w:r w:rsidR="003B6D0B">
        <w:tab/>
      </w:r>
      <w:r w:rsidR="003B6D0B">
        <w:tab/>
        <w:t>140−176</w:t>
      </w:r>
      <w:r w:rsidR="003B6D0B">
        <w:tab/>
      </w:r>
      <w:r w:rsidR="003B6D0B">
        <w:rPr>
          <w:lang w:val="en-US"/>
        </w:rPr>
        <w:t>30</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3F0749">
        <w:tab/>
        <w:t>V.</w:t>
      </w:r>
      <w:r w:rsidRPr="003F0749">
        <w:tab/>
        <w:t xml:space="preserve">Информация </w:t>
      </w:r>
      <w:r w:rsidR="003F0749">
        <w:t>п</w:t>
      </w:r>
      <w:r w:rsidRPr="003F0749">
        <w:t xml:space="preserve">о </w:t>
      </w:r>
      <w:r w:rsidR="003F0749">
        <w:t xml:space="preserve">статьям </w:t>
      </w:r>
      <w:r w:rsidR="003B6D0B">
        <w:t>6 и 7 Конвенции</w:t>
      </w:r>
      <w:r w:rsidR="003B6D0B">
        <w:tab/>
      </w:r>
      <w:r w:rsidR="003B6D0B">
        <w:tab/>
        <w:t>177−211</w:t>
      </w:r>
      <w:r w:rsidR="003B6D0B">
        <w:tab/>
        <w:t>3</w:t>
      </w:r>
      <w:r w:rsidR="003B6D0B">
        <w:rPr>
          <w:lang w:val="en-US"/>
        </w:rPr>
        <w:t>6</w:t>
      </w:r>
    </w:p>
    <w:p w:rsidR="00DF5565" w:rsidRPr="003B6D0B" w:rsidRDefault="00DF5565"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rPr>
          <w:lang w:val="en-US"/>
        </w:rPr>
      </w:pPr>
      <w:r w:rsidRPr="003F0749">
        <w:tab/>
      </w:r>
      <w:r w:rsidRPr="003F0749">
        <w:tab/>
        <w:t>Статья 6</w:t>
      </w:r>
      <w:r w:rsidRPr="003F0749">
        <w:tab/>
      </w:r>
      <w:r w:rsidRPr="003F0749">
        <w:tab/>
        <w:t>177−191</w:t>
      </w:r>
      <w:r w:rsidRPr="003F0749">
        <w:tab/>
      </w:r>
      <w:r w:rsidR="003B6D0B">
        <w:t>3</w:t>
      </w:r>
      <w:r w:rsidR="003B6D0B">
        <w:rPr>
          <w:lang w:val="en-US"/>
        </w:rPr>
        <w:t>6</w:t>
      </w:r>
    </w:p>
    <w:p w:rsidR="00DF5565" w:rsidRPr="003B6D0B" w:rsidRDefault="003B6D0B" w:rsidP="00DF5565">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right="0" w:hanging="1134"/>
        <w:jc w:val="left"/>
        <w:rPr>
          <w:lang w:val="en-US"/>
        </w:rPr>
      </w:pPr>
      <w:r>
        <w:tab/>
      </w:r>
      <w:r>
        <w:tab/>
        <w:t>Статья 7</w:t>
      </w:r>
      <w:r>
        <w:tab/>
      </w:r>
      <w:r>
        <w:tab/>
        <w:t>192−211</w:t>
      </w:r>
      <w:r>
        <w:tab/>
        <w:t>3</w:t>
      </w:r>
      <w:r>
        <w:rPr>
          <w:lang w:val="en-US"/>
        </w:rPr>
        <w:t>9</w:t>
      </w:r>
    </w:p>
    <w:p w:rsidR="00DF5565" w:rsidRPr="003F0749" w:rsidRDefault="003F0749" w:rsidP="003F0749">
      <w:pPr>
        <w:pStyle w:val="HChGR"/>
      </w:pPr>
      <w:r>
        <w:br w:type="page"/>
      </w:r>
      <w:r w:rsidR="00DF5565" w:rsidRPr="003F0749">
        <w:tab/>
        <w:t>I.</w:t>
      </w:r>
      <w:r w:rsidR="00DF5565" w:rsidRPr="003F0749">
        <w:tab/>
        <w:t>Введение</w:t>
      </w:r>
    </w:p>
    <w:p w:rsidR="00DF5565" w:rsidRPr="003F0749" w:rsidRDefault="00DF5565" w:rsidP="00DF5565">
      <w:pPr>
        <w:pStyle w:val="SingleTxtGR"/>
      </w:pPr>
      <w:r w:rsidRPr="003F0749">
        <w:t>1.</w:t>
      </w:r>
      <w:r w:rsidRPr="003F0749">
        <w:tab/>
        <w:t>Турция имеет честь представить Комитету по ликвидации расовой ди</w:t>
      </w:r>
      <w:r w:rsidRPr="003F0749">
        <w:t>с</w:t>
      </w:r>
      <w:r w:rsidRPr="003F0749">
        <w:t>криминации сведенные в один документ четвертый, пятый и шестой период</w:t>
      </w:r>
      <w:r w:rsidRPr="003F0749">
        <w:t>и</w:t>
      </w:r>
      <w:r w:rsidRPr="003F0749">
        <w:t>ческие доклады о законодательных, судебных, административных и иных м</w:t>
      </w:r>
      <w:r w:rsidRPr="003F0749">
        <w:t>е</w:t>
      </w:r>
      <w:r w:rsidRPr="003F0749">
        <w:t>рах, с помощью которых в соответствии со статьей 9 Конвенции о ликвидации всех форм расовой дискриминации (далее именуем</w:t>
      </w:r>
      <w:r w:rsidR="003F0749">
        <w:t>ой</w:t>
      </w:r>
      <w:r w:rsidRPr="003F0749">
        <w:t xml:space="preserve"> </w:t>
      </w:r>
      <w:r w:rsidR="003F0749">
        <w:t>"</w:t>
      </w:r>
      <w:r w:rsidRPr="003F0749">
        <w:t>Конвенция</w:t>
      </w:r>
      <w:r w:rsidR="003F0749">
        <w:t>"</w:t>
      </w:r>
      <w:r w:rsidRPr="003F0749">
        <w:t xml:space="preserve">) </w:t>
      </w:r>
      <w:r w:rsidR="003F0749">
        <w:t>осущест</w:t>
      </w:r>
      <w:r w:rsidR="003F0749">
        <w:t>в</w:t>
      </w:r>
      <w:r w:rsidR="003F0749">
        <w:t xml:space="preserve">ляются </w:t>
      </w:r>
      <w:r w:rsidRPr="003F0749">
        <w:t>ее положения.</w:t>
      </w:r>
    </w:p>
    <w:p w:rsidR="00DF5565" w:rsidRPr="003F0749" w:rsidRDefault="00DF5565" w:rsidP="00DF5565">
      <w:pPr>
        <w:pStyle w:val="SingleTxtGR"/>
      </w:pPr>
      <w:r w:rsidRPr="003F0749">
        <w:t>2.</w:t>
      </w:r>
      <w:r w:rsidRPr="003F0749">
        <w:tab/>
        <w:t>Настоящий доклад, содержащий данные за период с 2007</w:t>
      </w:r>
      <w:r w:rsidR="002B6A52">
        <w:t> год</w:t>
      </w:r>
      <w:r w:rsidRPr="003F0749">
        <w:t>а по 2013</w:t>
      </w:r>
      <w:r w:rsidR="002B6A52">
        <w:t> год</w:t>
      </w:r>
      <w:r w:rsidRPr="003F0749">
        <w:t xml:space="preserve"> включительно, был подготовлен соответствующими министерствами, государственными учреждениями и парламентской комиссией при координ</w:t>
      </w:r>
      <w:r w:rsidRPr="003F0749">
        <w:t>и</w:t>
      </w:r>
      <w:r w:rsidRPr="003F0749">
        <w:t xml:space="preserve">рующей роли министерства иностранных дел. </w:t>
      </w:r>
    </w:p>
    <w:p w:rsidR="00DF5565" w:rsidRPr="003F0749" w:rsidRDefault="00DF5565" w:rsidP="00DF5565">
      <w:pPr>
        <w:pStyle w:val="SingleTxtGR"/>
      </w:pPr>
      <w:r w:rsidRPr="003F0749">
        <w:t>3.</w:t>
      </w:r>
      <w:r w:rsidRPr="003F0749">
        <w:tab/>
        <w:t>Турция полностью привержена борьбе с расизмом и расовой дискрим</w:t>
      </w:r>
      <w:r w:rsidRPr="003F0749">
        <w:t>и</w:t>
      </w:r>
      <w:r w:rsidRPr="003F0749">
        <w:t>нацией в соответствии с определениями, содержащимися в Конвенции. Исходя из этого понимания, в 2002</w:t>
      </w:r>
      <w:r w:rsidR="002B6A52">
        <w:t> год</w:t>
      </w:r>
      <w:r w:rsidRPr="003F0749">
        <w:t>у Турция стала участницей Конвенции и приняла серьезные и эффективные законодательные меры, демонстрирующие подли</w:t>
      </w:r>
      <w:r w:rsidRPr="003F0749">
        <w:t>н</w:t>
      </w:r>
      <w:r w:rsidRPr="003F0749">
        <w:t>ную решимость бороться с расовой дискриминацией.</w:t>
      </w:r>
    </w:p>
    <w:p w:rsidR="00DF5565" w:rsidRPr="003F0749" w:rsidRDefault="00DF5565" w:rsidP="00DF5565">
      <w:pPr>
        <w:pStyle w:val="SingleTxtGR"/>
      </w:pPr>
      <w:r w:rsidRPr="003F0749">
        <w:t>4.</w:t>
      </w:r>
      <w:r w:rsidRPr="003F0749">
        <w:tab/>
        <w:t>В своей ратификационной грамоте Турция сделала два заявления и одну оговорку. Что касается пункта 8 Заключительных замечаний Комитета 2009</w:t>
      </w:r>
      <w:r w:rsidR="002B6A52">
        <w:t> год</w:t>
      </w:r>
      <w:r w:rsidRPr="003F0749">
        <w:t>а, содержащихся в документе CERD/C/TUR/CO/3 (далее именуемы</w:t>
      </w:r>
      <w:r w:rsidR="003F0749">
        <w:t>х</w:t>
      </w:r>
      <w:r w:rsidRPr="003F0749">
        <w:t xml:space="preserve"> </w:t>
      </w:r>
      <w:r w:rsidR="003F0749">
        <w:t>"</w:t>
      </w:r>
      <w:r w:rsidRPr="003F0749">
        <w:t>Заключительные замечания Комитета</w:t>
      </w:r>
      <w:r w:rsidR="003F0749">
        <w:t>"</w:t>
      </w:r>
      <w:r w:rsidRPr="003F0749">
        <w:t>), то правительство Турции считает, что эти з</w:t>
      </w:r>
      <w:r w:rsidRPr="003F0749">
        <w:t>а</w:t>
      </w:r>
      <w:r w:rsidRPr="003F0749">
        <w:t>явления и оговорка допустимы с точки зрения международного права и не противоречат предмету и цели Конвенции. Турецкое правительство не объявл</w:t>
      </w:r>
      <w:r w:rsidRPr="003F0749">
        <w:t>я</w:t>
      </w:r>
      <w:r w:rsidRPr="003F0749">
        <w:t>ло о каком-либо решении снять сделанные заявления или оговорку в отношении Конвенции.</w:t>
      </w:r>
    </w:p>
    <w:p w:rsidR="00DF5565" w:rsidRPr="003F0749" w:rsidRDefault="00DF5565" w:rsidP="00DF5565">
      <w:pPr>
        <w:pStyle w:val="SingleTxtGR"/>
      </w:pPr>
      <w:r w:rsidRPr="003F0749">
        <w:t>5.</w:t>
      </w:r>
      <w:r w:rsidRPr="003F0749">
        <w:tab/>
        <w:t>Конституционная система Турции основывается на равенстве всех людей перед законом без всякой дискриминации независимо от языка, расы, цвета к</w:t>
      </w:r>
      <w:r w:rsidRPr="003F0749">
        <w:t>о</w:t>
      </w:r>
      <w:r w:rsidRPr="003F0749">
        <w:t>жи, пола, политических убеждений, философских взглядов, религии и конфе</w:t>
      </w:r>
      <w:r w:rsidRPr="003F0749">
        <w:t>с</w:t>
      </w:r>
      <w:r w:rsidRPr="003F0749">
        <w:t>сиональной принадлежности и иных подобных обстоятельств (статья 10 Ко</w:t>
      </w:r>
      <w:r w:rsidRPr="003F0749">
        <w:t>н</w:t>
      </w:r>
      <w:r w:rsidRPr="003F0749">
        <w:t xml:space="preserve">ституции). </w:t>
      </w:r>
    </w:p>
    <w:p w:rsidR="00DF5565" w:rsidRPr="003F0749" w:rsidRDefault="00DF5565" w:rsidP="00DF5565">
      <w:pPr>
        <w:pStyle w:val="SingleTxtGR"/>
      </w:pPr>
      <w:r w:rsidRPr="003F0749">
        <w:t>6.</w:t>
      </w:r>
      <w:r w:rsidRPr="003F0749">
        <w:tab/>
        <w:t xml:space="preserve">В соответствии с этими основными принципами равенства и </w:t>
      </w:r>
      <w:proofErr w:type="spellStart"/>
      <w:r w:rsidRPr="003F0749">
        <w:t>недискр</w:t>
      </w:r>
      <w:r w:rsidRPr="003F0749">
        <w:t>и</w:t>
      </w:r>
      <w:r w:rsidRPr="003F0749">
        <w:t>минации</w:t>
      </w:r>
      <w:proofErr w:type="spellEnd"/>
      <w:r w:rsidRPr="003F0749">
        <w:t xml:space="preserve"> каждый турецкий гражданин считается неотъемлемой частью туре</w:t>
      </w:r>
      <w:r w:rsidRPr="003F0749">
        <w:t>ц</w:t>
      </w:r>
      <w:r w:rsidRPr="003F0749">
        <w:t xml:space="preserve">кой нации. Источником богатства турецкого общества является разнообразие. </w:t>
      </w:r>
    </w:p>
    <w:p w:rsidR="00DF5565" w:rsidRPr="003F0749" w:rsidRDefault="00DF5565" w:rsidP="00DF5565">
      <w:pPr>
        <w:pStyle w:val="SingleTxtGR"/>
      </w:pPr>
      <w:r w:rsidRPr="003F0749">
        <w:t>7.</w:t>
      </w:r>
      <w:r w:rsidRPr="003F0749">
        <w:tab/>
        <w:t>Что касается пункта 9 Заключительных замечаний Комитета, в котором Комитет сожалеет об отсутствии в докладе статистических данных об этнич</w:t>
      </w:r>
      <w:r w:rsidRPr="003F0749">
        <w:t>е</w:t>
      </w:r>
      <w:r w:rsidRPr="003F0749">
        <w:t>ском составе, то турецкое правительство хотело бы вновь заявить, что оно не собирает, не обобщает и не использует ни качественные, ни количественные данные об этническом составе своего населения. Считается, что это сложный вопрос, особенно для стран, в которых уже многие</w:t>
      </w:r>
      <w:r w:rsidR="002B6A52">
        <w:t> год</w:t>
      </w:r>
      <w:r w:rsidRPr="003F0749">
        <w:t>ы сосуществуют разли</w:t>
      </w:r>
      <w:r w:rsidRPr="003F0749">
        <w:t>ч</w:t>
      </w:r>
      <w:r w:rsidRPr="003F0749">
        <w:t>ные культурные сообщества</w:t>
      </w:r>
      <w:r w:rsidR="002B6A52">
        <w:t>. В </w:t>
      </w:r>
      <w:r w:rsidRPr="003F0749">
        <w:t>Турции разнообразие имеет глубокие корни. П</w:t>
      </w:r>
      <w:r w:rsidRPr="003F0749">
        <w:t>о</w:t>
      </w:r>
      <w:r w:rsidRPr="003F0749">
        <w:t>этому в рамках своей законодательной и политической систем она делает упор на общность интересов и чаяний, а не на выявление отличий и проведение п</w:t>
      </w:r>
      <w:r w:rsidRPr="003F0749">
        <w:t>о</w:t>
      </w:r>
      <w:r w:rsidRPr="003F0749">
        <w:t xml:space="preserve">литики на их основе. </w:t>
      </w:r>
    </w:p>
    <w:p w:rsidR="00DF5565" w:rsidRPr="003F0749" w:rsidRDefault="00DF5565" w:rsidP="00DF5565">
      <w:pPr>
        <w:pStyle w:val="SingleTxtGR"/>
      </w:pPr>
      <w:r w:rsidRPr="003F0749">
        <w:t>8.</w:t>
      </w:r>
      <w:r w:rsidRPr="003F0749">
        <w:tab/>
        <w:t>Еще одним подтверждением решимости Турции и впредь поощрять права человека и свободы стал опубликованный 30 сентября 2013</w:t>
      </w:r>
      <w:r w:rsidR="002B6A52">
        <w:t> год</w:t>
      </w:r>
      <w:r w:rsidRPr="003F0749">
        <w:t xml:space="preserve">а новый </w:t>
      </w:r>
      <w:r w:rsidR="003F0749">
        <w:t>"</w:t>
      </w:r>
      <w:r w:rsidRPr="003F0749">
        <w:t>пакет демократических реформ</w:t>
      </w:r>
      <w:r w:rsidR="003F0749">
        <w:t>"</w:t>
      </w:r>
      <w:r w:rsidRPr="003F0749">
        <w:t>, в котором намечаются всеобъемлющие преобраз</w:t>
      </w:r>
      <w:r w:rsidRPr="003F0749">
        <w:t>о</w:t>
      </w:r>
      <w:r w:rsidRPr="003F0749">
        <w:t>вания, направленные на улучшение положения с правами человека и гарантир</w:t>
      </w:r>
      <w:r w:rsidRPr="003F0749">
        <w:t>о</w:t>
      </w:r>
      <w:r w:rsidRPr="003F0749">
        <w:t xml:space="preserve">вание турецким гражданам, принадлежащим к различным слоям общества, </w:t>
      </w:r>
      <w:r w:rsidR="003F0749">
        <w:t xml:space="preserve">и </w:t>
      </w:r>
      <w:r w:rsidRPr="003F0749">
        <w:t>пользование широким кругом гражданских и политических прав</w:t>
      </w:r>
      <w:r w:rsidR="002B6A52">
        <w:t>. В </w:t>
      </w:r>
      <w:r w:rsidRPr="003F0749">
        <w:t>тексте н</w:t>
      </w:r>
      <w:r w:rsidRPr="003F0749">
        <w:t>а</w:t>
      </w:r>
      <w:r w:rsidRPr="003F0749">
        <w:t xml:space="preserve">стоящего доклада излагаются такие намечающиеся реформы. </w:t>
      </w:r>
    </w:p>
    <w:p w:rsidR="00DF5565" w:rsidRPr="003F0749" w:rsidRDefault="00DF5565" w:rsidP="00DF5565">
      <w:pPr>
        <w:pStyle w:val="SingleTxtGR"/>
      </w:pPr>
      <w:r w:rsidRPr="003F0749">
        <w:t>9.</w:t>
      </w:r>
      <w:r w:rsidRPr="003F0749">
        <w:tab/>
        <w:t>В докладе также приводятся комментарии к рекомендациям, содерж</w:t>
      </w:r>
      <w:r w:rsidRPr="003F0749">
        <w:t>а</w:t>
      </w:r>
      <w:r w:rsidRPr="003F0749">
        <w:t xml:space="preserve">щимся в Заключительных замечаниях Комитета. </w:t>
      </w:r>
    </w:p>
    <w:p w:rsidR="00DF5565" w:rsidRPr="003F0749" w:rsidRDefault="00DF5565" w:rsidP="003F0749">
      <w:pPr>
        <w:pStyle w:val="HChGR"/>
      </w:pPr>
      <w:r w:rsidRPr="003F0749">
        <w:tab/>
        <w:t>II.</w:t>
      </w:r>
      <w:r w:rsidRPr="003F0749">
        <w:tab/>
        <w:t>Информация</w:t>
      </w:r>
      <w:r w:rsidR="003F0749">
        <w:t xml:space="preserve"> по </w:t>
      </w:r>
      <w:r w:rsidRPr="003F0749">
        <w:t>конкретны</w:t>
      </w:r>
      <w:r w:rsidR="003F0749">
        <w:t>м</w:t>
      </w:r>
      <w:r w:rsidRPr="003F0749">
        <w:t xml:space="preserve"> стат</w:t>
      </w:r>
      <w:r w:rsidR="003F0749">
        <w:t>ям</w:t>
      </w:r>
    </w:p>
    <w:p w:rsidR="00DF5565" w:rsidRPr="003F0749" w:rsidRDefault="00DF5565" w:rsidP="003F0749">
      <w:pPr>
        <w:pStyle w:val="H1GR"/>
      </w:pPr>
      <w:r w:rsidRPr="003F0749">
        <w:tab/>
      </w:r>
      <w:r w:rsidRPr="003F0749">
        <w:tab/>
        <w:t>Статья 1</w:t>
      </w:r>
    </w:p>
    <w:p w:rsidR="00DF5565" w:rsidRPr="003F0749" w:rsidRDefault="00DF5565" w:rsidP="003F0749">
      <w:pPr>
        <w:pStyle w:val="H23GR"/>
      </w:pPr>
      <w:r w:rsidRPr="003F0749">
        <w:tab/>
        <w:t>1.</w:t>
      </w:r>
      <w:r w:rsidRPr="003F0749">
        <w:tab/>
        <w:t>Определение расовой дискриминации во внутреннем законодательстве и</w:t>
      </w:r>
      <w:r w:rsidR="002B6A52">
        <w:t xml:space="preserve"> </w:t>
      </w:r>
      <w:r w:rsidRPr="003F0749">
        <w:t>в</w:t>
      </w:r>
      <w:r w:rsidR="002B6A52">
        <w:t xml:space="preserve"> </w:t>
      </w:r>
      <w:r w:rsidRPr="003F0749">
        <w:t>Конвенции</w:t>
      </w:r>
    </w:p>
    <w:p w:rsidR="00DF5565" w:rsidRPr="003F0749" w:rsidRDefault="00DF5565" w:rsidP="003F0749">
      <w:pPr>
        <w:pStyle w:val="H23GR"/>
      </w:pPr>
      <w:r w:rsidRPr="003F0749">
        <w:tab/>
      </w:r>
      <w:r w:rsidRPr="003F0749">
        <w:tab/>
        <w:t>Определение расовой дискриминации во внутреннем законод</w:t>
      </w:r>
      <w:r w:rsidRPr="003F0749">
        <w:t>а</w:t>
      </w:r>
      <w:r w:rsidRPr="003F0749">
        <w:t>тельстве</w:t>
      </w:r>
    </w:p>
    <w:p w:rsidR="00DF5565" w:rsidRPr="003F0749" w:rsidRDefault="00DF5565" w:rsidP="00DF5565">
      <w:pPr>
        <w:pStyle w:val="SingleTxtGR"/>
      </w:pPr>
      <w:r w:rsidRPr="003F0749">
        <w:t>10.</w:t>
      </w:r>
      <w:r w:rsidRPr="003F0749">
        <w:tab/>
        <w:t>Статья 90 Конституции Турции гласит, что заключенные должным обр</w:t>
      </w:r>
      <w:r w:rsidRPr="003F0749">
        <w:t>а</w:t>
      </w:r>
      <w:r w:rsidRPr="003F0749">
        <w:t>зом международные соглашения принимают силу закона и становятся частью национального законодательства Турции. Поэтому после одобрения Конвенции турецким парламентом 16 октября 2002</w:t>
      </w:r>
      <w:r w:rsidR="002B6A52">
        <w:t> год</w:t>
      </w:r>
      <w:r w:rsidRPr="003F0749">
        <w:t>а она стала неотъемлемой частью турецкого национального законодательства, а содержащееся в ней определение расовой дискриминации напрямую применимо в Турции, и на него могут сс</w:t>
      </w:r>
      <w:r w:rsidRPr="003F0749">
        <w:t>ы</w:t>
      </w:r>
      <w:r w:rsidRPr="003F0749">
        <w:t>латься турецкие суды</w:t>
      </w:r>
      <w:r w:rsidR="002B6A52">
        <w:t>. В </w:t>
      </w:r>
      <w:r w:rsidRPr="003F0749">
        <w:t>случае коллизии с положениями национальных зак</w:t>
      </w:r>
      <w:r w:rsidRPr="003F0749">
        <w:t>о</w:t>
      </w:r>
      <w:r w:rsidRPr="003F0749">
        <w:t>нов, касающихся этого вопроса, например, с Конвенций, положения междун</w:t>
      </w:r>
      <w:r w:rsidRPr="003F0749">
        <w:t>а</w:t>
      </w:r>
      <w:r w:rsidRPr="003F0749">
        <w:t>родных соглашений по основным правам и свободам имеют преимущественную силу.</w:t>
      </w:r>
    </w:p>
    <w:p w:rsidR="00DF5565" w:rsidRPr="003F0749" w:rsidRDefault="00DF5565" w:rsidP="00DF5565">
      <w:pPr>
        <w:pStyle w:val="SingleTxtGR"/>
      </w:pPr>
      <w:r w:rsidRPr="003F0749">
        <w:t>11.</w:t>
      </w:r>
      <w:r w:rsidRPr="003F0749">
        <w:tab/>
        <w:t>Конституционная система Турции основывается на равенстве всех людей без всякой дискриминации независимо от языка, расы, цвета кожи, пола, пол</w:t>
      </w:r>
      <w:r w:rsidRPr="003F0749">
        <w:t>и</w:t>
      </w:r>
      <w:r w:rsidRPr="003F0749">
        <w:t>тических убеждений, философских взглядов, религии и конфессиональной пр</w:t>
      </w:r>
      <w:r w:rsidRPr="003F0749">
        <w:t>и</w:t>
      </w:r>
      <w:r w:rsidRPr="003F0749">
        <w:t xml:space="preserve">надлежности и иных подобных обстоятельств (статья 10 Конституции). </w:t>
      </w:r>
      <w:r w:rsidR="003F0749">
        <w:t>Вкл</w:t>
      </w:r>
      <w:r w:rsidR="003F0749">
        <w:t>ю</w:t>
      </w:r>
      <w:r w:rsidR="003F0749">
        <w:t xml:space="preserve">чение в Конституцию слов </w:t>
      </w:r>
      <w:r w:rsidRPr="003F0749">
        <w:t xml:space="preserve">"иных подобных обстоятельств" </w:t>
      </w:r>
      <w:r w:rsidR="003F0749">
        <w:t xml:space="preserve">наделяет </w:t>
      </w:r>
      <w:r w:rsidRPr="003F0749">
        <w:t xml:space="preserve">судебные органы широкими дискреционными полномочиями для вынесения решений в случаях неравенства перед законом. </w:t>
      </w:r>
    </w:p>
    <w:p w:rsidR="00DF5565" w:rsidRPr="003F0749" w:rsidRDefault="00DF5565" w:rsidP="00DF5565">
      <w:pPr>
        <w:pStyle w:val="SingleTxtGR"/>
      </w:pPr>
      <w:r w:rsidRPr="003F0749">
        <w:t>12.</w:t>
      </w:r>
      <w:r w:rsidRPr="003F0749">
        <w:tab/>
        <w:t>Действующее турецкое законодательство, а именно: Конституция, Уг</w:t>
      </w:r>
      <w:r w:rsidRPr="003F0749">
        <w:t>о</w:t>
      </w:r>
      <w:r w:rsidRPr="003F0749">
        <w:t>ловный кодекс, Гражданский кодекс, Закон о труде, Закон о гражданских сл</w:t>
      </w:r>
      <w:r w:rsidRPr="003F0749">
        <w:t>у</w:t>
      </w:r>
      <w:r w:rsidRPr="003F0749">
        <w:t>жащих, Закон о политических партиях, Закон об исполнении наказаний и мерах безопасности, Основной закон о национальном образовании, Закон об учрежд</w:t>
      </w:r>
      <w:r w:rsidRPr="003F0749">
        <w:t>е</w:t>
      </w:r>
      <w:r w:rsidRPr="003F0749">
        <w:t xml:space="preserve">нии радио и </w:t>
      </w:r>
      <w:proofErr w:type="spellStart"/>
      <w:r w:rsidRPr="003F0749">
        <w:t>телевещательных</w:t>
      </w:r>
      <w:proofErr w:type="spellEnd"/>
      <w:r w:rsidRPr="003F0749">
        <w:t xml:space="preserve"> компаний и поставщиках их </w:t>
      </w:r>
      <w:proofErr w:type="spellStart"/>
      <w:r w:rsidRPr="003F0749">
        <w:t>медийных</w:t>
      </w:r>
      <w:proofErr w:type="spellEnd"/>
      <w:r w:rsidRPr="003F0749">
        <w:t xml:space="preserve"> услуг, З</w:t>
      </w:r>
      <w:r w:rsidRPr="003F0749">
        <w:t>а</w:t>
      </w:r>
      <w:r w:rsidRPr="003F0749">
        <w:t>кон о социальном обеспечении, Закон об институте Омбудсмена, Закон об у</w:t>
      </w:r>
      <w:r w:rsidRPr="003F0749">
        <w:t>ч</w:t>
      </w:r>
      <w:r w:rsidRPr="003F0749">
        <w:t>реждении и обязанностях Футбольной федерации Турции, Закон о предупре</w:t>
      </w:r>
      <w:r w:rsidRPr="003F0749">
        <w:t>ж</w:t>
      </w:r>
      <w:r w:rsidRPr="003F0749">
        <w:t>дении насилия и беспорядков в спорте, Закон о создании и функциях Мин</w:t>
      </w:r>
      <w:r w:rsidRPr="003F0749">
        <w:t>и</w:t>
      </w:r>
      <w:r w:rsidRPr="003F0749">
        <w:t>стерства иностранных дел, Закон о дисциплине в вооруженных силах Турции, запрещает дискриминацию и расизм и обеспечивает от них соответствующую защиту. (Рассмотрение конституционных положений и законов, обеспечива</w:t>
      </w:r>
      <w:r w:rsidRPr="003F0749">
        <w:t>ю</w:t>
      </w:r>
      <w:r w:rsidRPr="003F0749">
        <w:t>щих защиту от расовой и этнической дискриминации см. обсуждение выполн</w:t>
      </w:r>
      <w:r w:rsidRPr="003F0749">
        <w:t>е</w:t>
      </w:r>
      <w:r w:rsidRPr="003F0749">
        <w:t>ния статьи 2).</w:t>
      </w:r>
    </w:p>
    <w:p w:rsidR="00DF5565" w:rsidRPr="003F0749" w:rsidRDefault="00DF5565" w:rsidP="00DF5565">
      <w:pPr>
        <w:pStyle w:val="SingleTxtGR"/>
      </w:pPr>
      <w:r w:rsidRPr="003F0749">
        <w:t>13.</w:t>
      </w:r>
      <w:r w:rsidRPr="003F0749">
        <w:tab/>
        <w:t xml:space="preserve">Что касается пункта 17 Заключительных замечаний Комитета, в котором он высказал обеспокоенность по поводу отсутствия всеобъемлющего </w:t>
      </w:r>
      <w:proofErr w:type="spellStart"/>
      <w:r w:rsidRPr="003F0749">
        <w:t>антиди</w:t>
      </w:r>
      <w:r w:rsidRPr="003F0749">
        <w:t>с</w:t>
      </w:r>
      <w:r w:rsidRPr="003F0749">
        <w:t>криминационного</w:t>
      </w:r>
      <w:proofErr w:type="spellEnd"/>
      <w:r w:rsidRPr="003F0749">
        <w:t xml:space="preserve"> законодательства, а также пункта 11, касающегося отсутс</w:t>
      </w:r>
      <w:r w:rsidRPr="003F0749">
        <w:t>т</w:t>
      </w:r>
      <w:r w:rsidRPr="003F0749">
        <w:t>вия запрещения дискриминации по всем признакам, указанным в статье 1 Ко</w:t>
      </w:r>
      <w:r w:rsidRPr="003F0749">
        <w:t>н</w:t>
      </w:r>
      <w:r w:rsidRPr="003F0749">
        <w:t xml:space="preserve">венции, то соответствующие государственные учреждения подготовили проект всеобъемлющего </w:t>
      </w:r>
      <w:proofErr w:type="spellStart"/>
      <w:r w:rsidRPr="003F0749">
        <w:t>антидискриминационного</w:t>
      </w:r>
      <w:proofErr w:type="spellEnd"/>
      <w:r w:rsidRPr="003F0749">
        <w:t xml:space="preserve"> закона, который охватывает все з</w:t>
      </w:r>
      <w:r w:rsidRPr="003F0749">
        <w:t>а</w:t>
      </w:r>
      <w:r w:rsidRPr="003F0749">
        <w:t xml:space="preserve">прещенные основания, закрепленные в статье 1 Конвенции. Проект </w:t>
      </w:r>
      <w:r w:rsidR="003F0749">
        <w:t>"</w:t>
      </w:r>
      <w:r w:rsidRPr="003F0749">
        <w:t xml:space="preserve">Закона о </w:t>
      </w:r>
      <w:proofErr w:type="spellStart"/>
      <w:r w:rsidRPr="003F0749">
        <w:t>недискриминации</w:t>
      </w:r>
      <w:proofErr w:type="spellEnd"/>
      <w:r w:rsidRPr="003F0749">
        <w:t xml:space="preserve"> и равенстве</w:t>
      </w:r>
      <w:r w:rsidR="003F0749">
        <w:t>"</w:t>
      </w:r>
      <w:r w:rsidRPr="003F0749">
        <w:t xml:space="preserve"> находится на рассмотрении Канцелярии пр</w:t>
      </w:r>
      <w:r w:rsidRPr="003F0749">
        <w:t>е</w:t>
      </w:r>
      <w:r w:rsidRPr="003F0749">
        <w:t>мьер-министра.</w:t>
      </w:r>
    </w:p>
    <w:p w:rsidR="00DF5565" w:rsidRPr="003F0749" w:rsidRDefault="00DF5565" w:rsidP="00DF5565">
      <w:pPr>
        <w:pStyle w:val="SingleTxtGR"/>
      </w:pPr>
      <w:r w:rsidRPr="003F0749">
        <w:t>14.</w:t>
      </w:r>
      <w:r w:rsidRPr="003F0749">
        <w:tab/>
        <w:t>В соответствии с проектом этого закона запрещается дискриминация по таким признакам, как пол, раса, цвет кожи, язык, убеждения, этническое прои</w:t>
      </w:r>
      <w:r w:rsidRPr="003F0749">
        <w:t>с</w:t>
      </w:r>
      <w:r w:rsidRPr="003F0749">
        <w:t>хождение, философские или политическая взгляды, социальное положение, с</w:t>
      </w:r>
      <w:r w:rsidRPr="003F0749">
        <w:t>е</w:t>
      </w:r>
      <w:r w:rsidRPr="003F0749">
        <w:t>мейное положение, состояние здоровья, инвалидность или возраст. Запрещение подлежит неукоснительному исполнению всеми законодательными, исполн</w:t>
      </w:r>
      <w:r w:rsidRPr="003F0749">
        <w:t>и</w:t>
      </w:r>
      <w:r w:rsidRPr="003F0749">
        <w:t>тельными и судебными органами, а также всеми физическими и юридическими лицами</w:t>
      </w:r>
      <w:r w:rsidR="002B6A52">
        <w:t>. В </w:t>
      </w:r>
      <w:r w:rsidRPr="003F0749">
        <w:t>случае нарушений государственные органы, на которые возлагается ответственность за соблюдение этих положений, обязаны принимать необход</w:t>
      </w:r>
      <w:r w:rsidRPr="003F0749">
        <w:t>и</w:t>
      </w:r>
      <w:r w:rsidRPr="003F0749">
        <w:t>мые меры по прекращению таких нарушений, устранению их последствий, н</w:t>
      </w:r>
      <w:r w:rsidRPr="003F0749">
        <w:t>е</w:t>
      </w:r>
      <w:r w:rsidRPr="003F0749">
        <w:t>допущению повторных нарушений и проведению судебного и администрати</w:t>
      </w:r>
      <w:r w:rsidRPr="003F0749">
        <w:t>в</w:t>
      </w:r>
      <w:r w:rsidRPr="003F0749">
        <w:t>ного контроля таких случаев.</w:t>
      </w:r>
    </w:p>
    <w:p w:rsidR="00DF5565" w:rsidRPr="003F0749" w:rsidRDefault="00DF5565" w:rsidP="00DF5565">
      <w:pPr>
        <w:pStyle w:val="SingleTxtGR"/>
      </w:pPr>
      <w:r w:rsidRPr="003F0749">
        <w:t>15.</w:t>
      </w:r>
      <w:r w:rsidRPr="003F0749">
        <w:tab/>
        <w:t xml:space="preserve">В Законопроекте предусматривается запрещение одиннадцати признаков дискриминации, классифицируемых по следующим рубрикам: </w:t>
      </w:r>
      <w:r w:rsidR="003F0749">
        <w:t>"</w:t>
      </w:r>
      <w:r w:rsidRPr="003F0749">
        <w:t>сегрегация</w:t>
      </w:r>
      <w:r w:rsidR="003F0749">
        <w:t>"</w:t>
      </w:r>
      <w:r w:rsidRPr="003F0749">
        <w:t xml:space="preserve">, </w:t>
      </w:r>
      <w:r w:rsidR="003F0749">
        <w:t>"</w:t>
      </w:r>
      <w:r w:rsidRPr="003F0749">
        <w:t>распоряжения о дискриминации и исполнение таких распоряжений</w:t>
      </w:r>
      <w:r w:rsidR="003F0749">
        <w:t>"</w:t>
      </w:r>
      <w:r w:rsidRPr="003F0749">
        <w:t xml:space="preserve">, </w:t>
      </w:r>
      <w:r w:rsidR="003F0749">
        <w:t>"множ</w:t>
      </w:r>
      <w:r w:rsidR="003F0749">
        <w:t>е</w:t>
      </w:r>
      <w:r w:rsidR="003F0749">
        <w:t xml:space="preserve">ственная </w:t>
      </w:r>
      <w:r w:rsidRPr="003F0749">
        <w:t>дискриминация</w:t>
      </w:r>
      <w:r w:rsidR="003F0749">
        <w:t>"</w:t>
      </w:r>
      <w:r w:rsidRPr="003F0749">
        <w:t xml:space="preserve">, </w:t>
      </w:r>
      <w:r w:rsidR="003F0749">
        <w:t>"</w:t>
      </w:r>
      <w:r w:rsidRPr="003F0749">
        <w:t>прямая дискриминация</w:t>
      </w:r>
      <w:r w:rsidR="003F0749">
        <w:t>"</w:t>
      </w:r>
      <w:r w:rsidRPr="003F0749">
        <w:t xml:space="preserve">, </w:t>
      </w:r>
      <w:r w:rsidR="003F0749">
        <w:t>"</w:t>
      </w:r>
      <w:r w:rsidRPr="003F0749">
        <w:t>косвенная дискримин</w:t>
      </w:r>
      <w:r w:rsidRPr="003F0749">
        <w:t>а</w:t>
      </w:r>
      <w:r w:rsidRPr="003F0749">
        <w:t>ция</w:t>
      </w:r>
      <w:r w:rsidR="003F0749">
        <w:t>"</w:t>
      </w:r>
      <w:r w:rsidRPr="003F0749">
        <w:t xml:space="preserve">, </w:t>
      </w:r>
      <w:r w:rsidR="003F0749">
        <w:t>"</w:t>
      </w:r>
      <w:r w:rsidRPr="003F0749">
        <w:t>преследование на рабочем месте</w:t>
      </w:r>
      <w:r w:rsidR="003F0749">
        <w:t>"</w:t>
      </w:r>
      <w:r w:rsidRPr="003F0749">
        <w:t xml:space="preserve">, </w:t>
      </w:r>
      <w:r w:rsidR="003F0749">
        <w:t>"</w:t>
      </w:r>
      <w:proofErr w:type="spellStart"/>
      <w:r w:rsidRPr="003F0749">
        <w:t>виктимизация</w:t>
      </w:r>
      <w:proofErr w:type="spellEnd"/>
      <w:r w:rsidR="003F0749">
        <w:t>"</w:t>
      </w:r>
      <w:r w:rsidRPr="003F0749">
        <w:t xml:space="preserve">, </w:t>
      </w:r>
      <w:r w:rsidR="003F0749">
        <w:t>"</w:t>
      </w:r>
      <w:r w:rsidRPr="003F0749">
        <w:t>отказ от заключения разумных договоренностей</w:t>
      </w:r>
      <w:r w:rsidR="003F0749">
        <w:t>"</w:t>
      </w:r>
      <w:r w:rsidRPr="003F0749">
        <w:t xml:space="preserve">, </w:t>
      </w:r>
      <w:r w:rsidR="003F0749">
        <w:t>"</w:t>
      </w:r>
      <w:r w:rsidRPr="003F0749">
        <w:t>призывы, разжигающие ненависть</w:t>
      </w:r>
      <w:r w:rsidR="003F0749">
        <w:t>"</w:t>
      </w:r>
      <w:r w:rsidRPr="003F0749">
        <w:t xml:space="preserve">, </w:t>
      </w:r>
      <w:r w:rsidR="003F0749">
        <w:t>"</w:t>
      </w:r>
      <w:r w:rsidRPr="003F0749">
        <w:t>преследов</w:t>
      </w:r>
      <w:r w:rsidRPr="003F0749">
        <w:t>а</w:t>
      </w:r>
      <w:r w:rsidRPr="003F0749">
        <w:t>ния</w:t>
      </w:r>
      <w:r w:rsidR="003F0749">
        <w:t>"</w:t>
      </w:r>
      <w:r w:rsidRPr="003F0749">
        <w:t xml:space="preserve"> и </w:t>
      </w:r>
      <w:r w:rsidR="003F0749">
        <w:t>"</w:t>
      </w:r>
      <w:r w:rsidRPr="003F0749">
        <w:t>ди</w:t>
      </w:r>
      <w:r w:rsidRPr="003F0749">
        <w:t>с</w:t>
      </w:r>
      <w:r w:rsidRPr="003F0749">
        <w:t>криминация на основании допущений</w:t>
      </w:r>
      <w:r w:rsidR="003F0749">
        <w:t>"</w:t>
      </w:r>
      <w:r w:rsidRPr="003F0749">
        <w:t>.</w:t>
      </w:r>
    </w:p>
    <w:p w:rsidR="00DF5565" w:rsidRPr="003F0749" w:rsidRDefault="00DF5565" w:rsidP="00DF5565">
      <w:pPr>
        <w:pStyle w:val="SingleTxtGR"/>
      </w:pPr>
      <w:r w:rsidRPr="003F0749">
        <w:t>16.</w:t>
      </w:r>
      <w:r w:rsidRPr="003F0749">
        <w:tab/>
        <w:t xml:space="preserve">В проекте Закона предусматривается создание </w:t>
      </w:r>
      <w:proofErr w:type="spellStart"/>
      <w:r w:rsidRPr="003F0749">
        <w:t>Антидискриминационного</w:t>
      </w:r>
      <w:proofErr w:type="spellEnd"/>
      <w:r w:rsidRPr="003F0749">
        <w:t xml:space="preserve"> совета по вопросам </w:t>
      </w:r>
      <w:proofErr w:type="spellStart"/>
      <w:r w:rsidRPr="003F0749">
        <w:t>недискриминации</w:t>
      </w:r>
      <w:proofErr w:type="spellEnd"/>
      <w:r w:rsidRPr="003F0749">
        <w:t xml:space="preserve"> и равенства, который будет рассматр</w:t>
      </w:r>
      <w:r w:rsidRPr="003F0749">
        <w:t>и</w:t>
      </w:r>
      <w:r w:rsidRPr="003F0749">
        <w:t>вать жалобы на дискриминацию в государственном и частном секторе, а также Консультативного совета, в состав которого будут входить представители ун</w:t>
      </w:r>
      <w:r w:rsidRPr="003F0749">
        <w:t>и</w:t>
      </w:r>
      <w:r w:rsidRPr="003F0749">
        <w:t>верситетов, профсоюзов, профессиональных организаций, ассоциаций и фо</w:t>
      </w:r>
      <w:r w:rsidRPr="003F0749">
        <w:t>н</w:t>
      </w:r>
      <w:r w:rsidRPr="003F0749">
        <w:t xml:space="preserve">дов, а также представители государственных учреждений, курирующих борьбу с дискриминацией и вопросы равенства, в целях оказания помощи </w:t>
      </w:r>
      <w:proofErr w:type="spellStart"/>
      <w:r w:rsidRPr="003F0749">
        <w:t>Антиди</w:t>
      </w:r>
      <w:r w:rsidRPr="003F0749">
        <w:t>с</w:t>
      </w:r>
      <w:r w:rsidRPr="003F0749">
        <w:t>криминационному</w:t>
      </w:r>
      <w:proofErr w:type="spellEnd"/>
      <w:r w:rsidRPr="003F0749">
        <w:t xml:space="preserve"> совету по вопросам </w:t>
      </w:r>
      <w:proofErr w:type="spellStart"/>
      <w:r w:rsidRPr="003F0749">
        <w:t>недискриминации</w:t>
      </w:r>
      <w:proofErr w:type="spellEnd"/>
      <w:r w:rsidRPr="003F0749">
        <w:t xml:space="preserve"> и равенства. </w:t>
      </w:r>
    </w:p>
    <w:p w:rsidR="00DF5565" w:rsidRPr="003F0749" w:rsidRDefault="003F0749" w:rsidP="003F0749">
      <w:pPr>
        <w:pStyle w:val="H23GR"/>
      </w:pPr>
      <w:r>
        <w:tab/>
      </w:r>
      <w:r>
        <w:tab/>
      </w:r>
      <w:r w:rsidR="00DF5565" w:rsidRPr="003F0749">
        <w:t>Включение форм прямой и косвенной дискриминации в определение расовой дискриминации, принятое во внутреннем законодательстве</w:t>
      </w:r>
    </w:p>
    <w:p w:rsidR="00DF5565" w:rsidRPr="003F0749" w:rsidRDefault="00DF5565" w:rsidP="003F0749">
      <w:pPr>
        <w:pStyle w:val="H4GR"/>
        <w:spacing w:before="240"/>
        <w:ind w:left="1156" w:right="1179" w:hanging="1145"/>
      </w:pPr>
      <w:r w:rsidRPr="003F0749">
        <w:tab/>
      </w:r>
      <w:r w:rsidRPr="003F0749">
        <w:tab/>
        <w:t xml:space="preserve">Законопроект о </w:t>
      </w:r>
      <w:proofErr w:type="spellStart"/>
      <w:r w:rsidRPr="003F0749">
        <w:t>недискриминации</w:t>
      </w:r>
      <w:proofErr w:type="spellEnd"/>
      <w:r w:rsidRPr="003F0749">
        <w:t xml:space="preserve"> и равенстве включает положения, охватывающие как прямую, так косвенную дискриминацию. </w:t>
      </w:r>
    </w:p>
    <w:p w:rsidR="00DF5565" w:rsidRPr="003F0749" w:rsidRDefault="00DF5565" w:rsidP="003F0749">
      <w:pPr>
        <w:pStyle w:val="H4GR"/>
        <w:spacing w:before="240"/>
        <w:ind w:left="1156" w:right="1179" w:hanging="1145"/>
      </w:pPr>
      <w:r w:rsidRPr="003F0749">
        <w:tab/>
      </w:r>
      <w:r w:rsidRPr="003F0749">
        <w:tab/>
        <w:t xml:space="preserve">Различное </w:t>
      </w:r>
      <w:r w:rsidR="003F0749">
        <w:t>обращение</w:t>
      </w:r>
      <w:r w:rsidRPr="003F0749">
        <w:t>, обусловленное гражданством или иммиграционным статусом</w:t>
      </w:r>
    </w:p>
    <w:p w:rsidR="00DF5565" w:rsidRPr="003F0749" w:rsidRDefault="00DF5565" w:rsidP="00DF5565">
      <w:pPr>
        <w:pStyle w:val="SingleTxtGR"/>
      </w:pPr>
      <w:r w:rsidRPr="003F0749">
        <w:t>17.</w:t>
      </w:r>
      <w:r w:rsidRPr="003F0749">
        <w:tab/>
        <w:t>Иностранцы пользуются всеми основными правами и свободами, закре</w:t>
      </w:r>
      <w:r w:rsidRPr="003F0749">
        <w:t>п</w:t>
      </w:r>
      <w:r w:rsidRPr="003F0749">
        <w:t>ленными в Конституции, наравне с гражданами Турции без каких-либо отл</w:t>
      </w:r>
      <w:r w:rsidRPr="003F0749">
        <w:t>и</w:t>
      </w:r>
      <w:r w:rsidRPr="003F0749">
        <w:t>чий</w:t>
      </w:r>
      <w:r w:rsidR="002B6A52">
        <w:t>. В </w:t>
      </w:r>
      <w:r w:rsidRPr="003F0749">
        <w:t>соответствии со статьей 10 Конституции основные права и свободы пр</w:t>
      </w:r>
      <w:r w:rsidRPr="003F0749">
        <w:t>и</w:t>
      </w:r>
      <w:r w:rsidRPr="003F0749">
        <w:t>знаются за всеми лицами независимо от гражданства</w:t>
      </w:r>
      <w:r w:rsidR="002B6A52">
        <w:t>. В </w:t>
      </w:r>
      <w:r w:rsidRPr="003F0749">
        <w:t>статье 16 Конституции говорится, что основные права и свободы иностранцев могут ограничиваться только на основании закона согласно нормам международного права. Однако политические права (право избирать и быть избранным, право на создание п</w:t>
      </w:r>
      <w:r w:rsidRPr="003F0749">
        <w:t>о</w:t>
      </w:r>
      <w:r w:rsidRPr="003F0749">
        <w:t>литических партий и на вступление в них) и право поступать на государстве</w:t>
      </w:r>
      <w:r w:rsidRPr="003F0749">
        <w:t>н</w:t>
      </w:r>
      <w:r w:rsidRPr="003F0749">
        <w:t>ную службу имеют только турецкие граждане.</w:t>
      </w:r>
    </w:p>
    <w:p w:rsidR="00DF5565" w:rsidRPr="003F0749" w:rsidRDefault="00DF5565" w:rsidP="00DF5565">
      <w:pPr>
        <w:pStyle w:val="SingleTxtGR"/>
      </w:pPr>
      <w:r w:rsidRPr="003F0749">
        <w:t>18.</w:t>
      </w:r>
      <w:r w:rsidRPr="003F0749">
        <w:tab/>
        <w:t>11 апреля 2013</w:t>
      </w:r>
      <w:r w:rsidR="002B6A52">
        <w:t> год</w:t>
      </w:r>
      <w:r w:rsidRPr="003F0749">
        <w:t>а был принят новый Закон об иностранцах и междун</w:t>
      </w:r>
      <w:r w:rsidRPr="003F0749">
        <w:t>а</w:t>
      </w:r>
      <w:r w:rsidRPr="003F0749">
        <w:t>родной защите. Закон, который направлен на укрепление институционального потенциала Турции в области иммиграции и международной защиты, был по</w:t>
      </w:r>
      <w:r w:rsidRPr="003F0749">
        <w:t>д</w:t>
      </w:r>
      <w:r w:rsidRPr="003F0749">
        <w:t>готовлен в консультации с соответствующими государственными учреждени</w:t>
      </w:r>
      <w:r w:rsidRPr="003F0749">
        <w:t>я</w:t>
      </w:r>
      <w:r w:rsidRPr="003F0749">
        <w:t xml:space="preserve">ми и такими международными организациями, как УВКБ и Совет Европы, а также организациями гражданского общества и другими заинтересованными сторонами. </w:t>
      </w:r>
    </w:p>
    <w:p w:rsidR="00DF5565" w:rsidRPr="003F0749" w:rsidRDefault="00DF5565" w:rsidP="003F0749">
      <w:pPr>
        <w:pStyle w:val="H23GR"/>
      </w:pPr>
      <w:r w:rsidRPr="003F0749">
        <w:tab/>
        <w:t>2.</w:t>
      </w:r>
      <w:r w:rsidRPr="003F0749">
        <w:tab/>
        <w:t>Информация об особых мерах</w:t>
      </w:r>
    </w:p>
    <w:p w:rsidR="00DF5565" w:rsidRPr="003F0749" w:rsidRDefault="00DF5565" w:rsidP="00DF5565">
      <w:pPr>
        <w:pStyle w:val="SingleTxtGR"/>
      </w:pPr>
      <w:r w:rsidRPr="003F0749">
        <w:t>19.</w:t>
      </w:r>
      <w:r w:rsidRPr="003F0749">
        <w:tab/>
        <w:t>После проведенного 12 сентября 2010</w:t>
      </w:r>
      <w:r w:rsidR="002B6A52">
        <w:t> год</w:t>
      </w:r>
      <w:r w:rsidRPr="003F0749">
        <w:t>а референдума в статью 10 Ко</w:t>
      </w:r>
      <w:r w:rsidRPr="003F0749">
        <w:t>н</w:t>
      </w:r>
      <w:r w:rsidRPr="003F0749">
        <w:t>ституции, касающуюся равенства перед законом, была внесена поправка</w:t>
      </w:r>
      <w:r w:rsidR="002B6A52">
        <w:t>. В </w:t>
      </w:r>
      <w:r w:rsidRPr="003F0749">
        <w:t>н</w:t>
      </w:r>
      <w:r w:rsidRPr="003F0749">
        <w:t>о</w:t>
      </w:r>
      <w:r w:rsidRPr="003F0749">
        <w:t>вой статье предусматриваются меры в интересах групп, нуждающихся в соц</w:t>
      </w:r>
      <w:r w:rsidRPr="003F0749">
        <w:t>и</w:t>
      </w:r>
      <w:r w:rsidRPr="003F0749">
        <w:t>альной защите, а именно: женщин, детей, престарелых, лиц с ограниченными возможностями, вдов и сирот мучеников, а также немощных граждан и ветер</w:t>
      </w:r>
      <w:r w:rsidRPr="003F0749">
        <w:t>а</w:t>
      </w:r>
      <w:r w:rsidRPr="003F0749">
        <w:t xml:space="preserve">нов. Впервые включенное в Конституцию положение об </w:t>
      </w:r>
      <w:r w:rsidR="003F0749">
        <w:t>"</w:t>
      </w:r>
      <w:r w:rsidRPr="003F0749">
        <w:t>особых мерах</w:t>
      </w:r>
      <w:r w:rsidR="003F0749">
        <w:t>"</w:t>
      </w:r>
      <w:r w:rsidRPr="003F0749">
        <w:t xml:space="preserve"> явл</w:t>
      </w:r>
      <w:r w:rsidRPr="003F0749">
        <w:t>я</w:t>
      </w:r>
      <w:r w:rsidRPr="003F0749">
        <w:t>ется значительным шагом вперед в деле укрепления защиты конституционных прав этих граждан.</w:t>
      </w:r>
    </w:p>
    <w:p w:rsidR="00DF5565" w:rsidRPr="003F0749" w:rsidRDefault="00DF5565" w:rsidP="00DF5565">
      <w:pPr>
        <w:pStyle w:val="SingleTxtGR"/>
      </w:pPr>
      <w:r w:rsidRPr="003F0749">
        <w:t>20.</w:t>
      </w:r>
      <w:r w:rsidRPr="003F0749">
        <w:tab/>
        <w:t>Благодаря этой поправке Конституцией гарантируется, что особые меры, принимаемые правительством для защиты нуждающихся в ней граждан, не то</w:t>
      </w:r>
      <w:r w:rsidRPr="003F0749">
        <w:t>л</w:t>
      </w:r>
      <w:r w:rsidRPr="003F0749">
        <w:t xml:space="preserve">куются как нечто, </w:t>
      </w:r>
      <w:r w:rsidR="003F0749">
        <w:t>"</w:t>
      </w:r>
      <w:r w:rsidRPr="003F0749">
        <w:t>противоречащее принципу равенства</w:t>
      </w:r>
      <w:r w:rsidR="003F0749">
        <w:t>"</w:t>
      </w:r>
      <w:r w:rsidRPr="003F0749">
        <w:t>. Таким образом, гос</w:t>
      </w:r>
      <w:r w:rsidRPr="003F0749">
        <w:t>у</w:t>
      </w:r>
      <w:r w:rsidRPr="003F0749">
        <w:t>дарство сможет свободно принимать особые меры для защиты нуждающихся в ней граждан, чтобы обеспечить равенство всех слоев общества.</w:t>
      </w:r>
    </w:p>
    <w:p w:rsidR="00DF5565" w:rsidRPr="003F0749" w:rsidRDefault="00DF5565" w:rsidP="00DF5565">
      <w:pPr>
        <w:pStyle w:val="SingleTxtGR"/>
      </w:pPr>
      <w:r w:rsidRPr="003F0749">
        <w:t>21.</w:t>
      </w:r>
      <w:r w:rsidRPr="003F0749">
        <w:tab/>
        <w:t>В общих рамках борьбы с дискриминацией в области прав человека должное внимание уделяется положению тех турецких граждан, которые сч</w:t>
      </w:r>
      <w:r w:rsidRPr="003F0749">
        <w:t>и</w:t>
      </w:r>
      <w:r w:rsidRPr="003F0749">
        <w:t>таются социально незащищенными.</w:t>
      </w:r>
    </w:p>
    <w:p w:rsidR="00DF5565" w:rsidRPr="003F0749" w:rsidRDefault="00DF5565" w:rsidP="00DF5565">
      <w:pPr>
        <w:pStyle w:val="SingleTxtGR"/>
      </w:pPr>
      <w:r w:rsidRPr="003F0749">
        <w:t>22.</w:t>
      </w:r>
      <w:r w:rsidRPr="003F0749">
        <w:tab/>
        <w:t>В 2009</w:t>
      </w:r>
      <w:r w:rsidR="002B6A52">
        <w:t> год</w:t>
      </w:r>
      <w:r w:rsidRPr="003F0749">
        <w:t xml:space="preserve">у турецкое правительство приступило к процессу </w:t>
      </w:r>
      <w:r w:rsidR="003F0749">
        <w:t>"</w:t>
      </w:r>
      <w:r w:rsidRPr="003F0749">
        <w:t>демократ</w:t>
      </w:r>
      <w:r w:rsidRPr="003F0749">
        <w:t>и</w:t>
      </w:r>
      <w:r w:rsidRPr="003F0749">
        <w:t>ческой открытости</w:t>
      </w:r>
      <w:r w:rsidR="003F0749">
        <w:t>"</w:t>
      </w:r>
      <w:r w:rsidRPr="003F0749">
        <w:t xml:space="preserve"> для турецкого населения рома в целях выявления и поиска решений проблем, стоящих перед этой народностью, особенно в сфере занят</w:t>
      </w:r>
      <w:r w:rsidRPr="003F0749">
        <w:t>о</w:t>
      </w:r>
      <w:r w:rsidRPr="003F0749">
        <w:t>сти, жилья, здравоохранения и образования, путем расширения диалога между народностью рома и соответствующими государственными ведомствами и п</w:t>
      </w:r>
      <w:r w:rsidRPr="003F0749">
        <w:t>у</w:t>
      </w:r>
      <w:r w:rsidRPr="003F0749">
        <w:t xml:space="preserve">тем повышения уровня информированности общества о проблемах, с которыми сталкивается народность рома, чтобы ее голос был услышан государственными чиновниками на местном и национальном уровнях. Процесс </w:t>
      </w:r>
      <w:r w:rsidR="003F0749">
        <w:t>"</w:t>
      </w:r>
      <w:r w:rsidRPr="003F0749">
        <w:t>открытости</w:t>
      </w:r>
      <w:r w:rsidR="003F0749">
        <w:t>"</w:t>
      </w:r>
      <w:r w:rsidRPr="003F0749">
        <w:t xml:space="preserve"> для народности рома осуществляется на демократической основе с таким расчетом, чтобы сами рома принимали участие в осуществлении адресных политики и программ.</w:t>
      </w:r>
    </w:p>
    <w:p w:rsidR="00DF5565" w:rsidRPr="003F0749" w:rsidRDefault="00DF5565" w:rsidP="00DF5565">
      <w:pPr>
        <w:pStyle w:val="SingleTxtGR"/>
      </w:pPr>
      <w:r w:rsidRPr="003F0749">
        <w:t>23.</w:t>
      </w:r>
      <w:r w:rsidRPr="003F0749">
        <w:tab/>
        <w:t>Просьба ознакомиться с разделом, касающимся специальных мер, кот</w:t>
      </w:r>
      <w:r w:rsidRPr="003F0749">
        <w:t>о</w:t>
      </w:r>
      <w:r w:rsidRPr="003F0749">
        <w:t>рые принимаются в соответствии со статьей 2 (пункты 62−63) в рамках всех с</w:t>
      </w:r>
      <w:r w:rsidRPr="003F0749">
        <w:t>о</w:t>
      </w:r>
      <w:r w:rsidRPr="003F0749">
        <w:t xml:space="preserve">бытий и мероприятий, организуемых по линии процесса </w:t>
      </w:r>
      <w:r w:rsidR="003F0749">
        <w:t>"</w:t>
      </w:r>
      <w:r w:rsidRPr="003F0749">
        <w:t>демократической о</w:t>
      </w:r>
      <w:r w:rsidRPr="003F0749">
        <w:t>т</w:t>
      </w:r>
      <w:r w:rsidRPr="003F0749">
        <w:t>крытости</w:t>
      </w:r>
      <w:r w:rsidR="003F0749">
        <w:t>"</w:t>
      </w:r>
      <w:r w:rsidRPr="003F0749">
        <w:t xml:space="preserve"> для народности рома. </w:t>
      </w:r>
    </w:p>
    <w:p w:rsidR="00DF5565" w:rsidRPr="003F0749" w:rsidRDefault="00DF5565" w:rsidP="003F0749">
      <w:pPr>
        <w:pStyle w:val="H1GR"/>
      </w:pPr>
      <w:r w:rsidRPr="003F0749">
        <w:tab/>
      </w:r>
      <w:r w:rsidRPr="003F0749">
        <w:tab/>
        <w:t>Статья 2</w:t>
      </w:r>
    </w:p>
    <w:p w:rsidR="00DF5565" w:rsidRPr="003F0749" w:rsidRDefault="00DF5565" w:rsidP="003F0749">
      <w:pPr>
        <w:pStyle w:val="H23GR"/>
      </w:pPr>
      <w:r w:rsidRPr="003F0749">
        <w:tab/>
        <w:t>1.</w:t>
      </w:r>
      <w:r w:rsidRPr="003F0749">
        <w:tab/>
        <w:t>Краткое описание законодательной базы и общей политики</w:t>
      </w:r>
    </w:p>
    <w:p w:rsidR="00DF5565" w:rsidRPr="003F0749" w:rsidRDefault="00DF5565" w:rsidP="00DF5565">
      <w:pPr>
        <w:pStyle w:val="SingleTxtGR"/>
      </w:pPr>
      <w:r w:rsidRPr="003F0749">
        <w:t>24.</w:t>
      </w:r>
      <w:r w:rsidRPr="003F0749">
        <w:tab/>
        <w:t>Чтобы ликвидировать расовую дискриминацию во всех ее формах и пр</w:t>
      </w:r>
      <w:r w:rsidRPr="003F0749">
        <w:t>о</w:t>
      </w:r>
      <w:r w:rsidRPr="003F0749">
        <w:t>явлениях, по мнению Турции, важно принимать эффективные законодательные и административные меры, включая совершенствование действующего закон</w:t>
      </w:r>
      <w:r w:rsidRPr="003F0749">
        <w:t>о</w:t>
      </w:r>
      <w:r w:rsidRPr="003F0749">
        <w:t>дательства и создание, когда это необходимо, всеобъемлющих институционал</w:t>
      </w:r>
      <w:r w:rsidRPr="003F0749">
        <w:t>ь</w:t>
      </w:r>
      <w:r w:rsidRPr="003F0749">
        <w:t>ных структур.</w:t>
      </w:r>
    </w:p>
    <w:p w:rsidR="00DF5565" w:rsidRPr="003F0749" w:rsidRDefault="00DF5565" w:rsidP="00DF5565">
      <w:pPr>
        <w:pStyle w:val="SingleTxtGR"/>
      </w:pPr>
      <w:r w:rsidRPr="003F0749">
        <w:t>25.</w:t>
      </w:r>
      <w:r w:rsidRPr="003F0749">
        <w:tab/>
        <w:t>В этих целях с 2001</w:t>
      </w:r>
      <w:r w:rsidR="002B6A52">
        <w:t> год</w:t>
      </w:r>
      <w:r w:rsidRPr="003F0749">
        <w:t>а Турция взяла курс на всеобъемлющие реформы. Чтобы привести свое внутреннее законодательство в соответствие с междун</w:t>
      </w:r>
      <w:r w:rsidRPr="003F0749">
        <w:t>а</w:t>
      </w:r>
      <w:r w:rsidRPr="003F0749">
        <w:t>родными принципами и нормами в области прав человека, демократии и верх</w:t>
      </w:r>
      <w:r w:rsidRPr="003F0749">
        <w:t>о</w:t>
      </w:r>
      <w:r w:rsidRPr="003F0749">
        <w:t>венства закона, Турция приняла важные меры. Был осуществлен ряд реформ, в том числе внесены поправки в Конституцию, а также приняты законы, которые имеют исключительно большое значение для защиты прав человека и запрещ</w:t>
      </w:r>
      <w:r w:rsidRPr="003F0749">
        <w:t>е</w:t>
      </w:r>
      <w:r w:rsidRPr="003F0749">
        <w:t>ния дискриминации, включая новый Гражданский кодекс, Уголовный кодекс и Уголовно-процессуальный кодекс. Ниже приводится резюме действующего з</w:t>
      </w:r>
      <w:r w:rsidRPr="003F0749">
        <w:t>а</w:t>
      </w:r>
      <w:r w:rsidRPr="003F0749">
        <w:t>конодательства.</w:t>
      </w:r>
    </w:p>
    <w:p w:rsidR="00DF5565" w:rsidRPr="003F0749" w:rsidRDefault="00DF5565" w:rsidP="00DF5565">
      <w:pPr>
        <w:pStyle w:val="SingleTxtGR"/>
      </w:pPr>
      <w:r w:rsidRPr="003F0749">
        <w:t>26.</w:t>
      </w:r>
      <w:r w:rsidRPr="003F0749">
        <w:tab/>
        <w:t>Как уже отмечалось выше, согласно статье 10 Конституции Турецкой Республики все лица равны перед законом без всякой дискриминации незав</w:t>
      </w:r>
      <w:r w:rsidRPr="003F0749">
        <w:t>и</w:t>
      </w:r>
      <w:r w:rsidRPr="003F0749">
        <w:t>симо от языка, расы, цвета кожи, пола, политических убеждений, философских взглядов, религии и конфессиональной принадлежности или иных подобных обстоятельств</w:t>
      </w:r>
      <w:r w:rsidR="002B6A52">
        <w:t>. В </w:t>
      </w:r>
      <w:r w:rsidRPr="003F0749">
        <w:t>соответствии с этим основополагающим принципом Конст</w:t>
      </w:r>
      <w:r w:rsidRPr="003F0749">
        <w:t>и</w:t>
      </w:r>
      <w:r w:rsidRPr="003F0749">
        <w:t>туции все государственные органы и учреждения обязаны не допускать никаких актов или практики расовой дискриминации. Таким образом, запрещается п</w:t>
      </w:r>
      <w:r w:rsidRPr="003F0749">
        <w:t>о</w:t>
      </w:r>
      <w:r w:rsidRPr="003F0749">
        <w:t xml:space="preserve">ощрение, защита или поддержка расовой дискриминации. Словами </w:t>
      </w:r>
      <w:r w:rsidR="003F0749">
        <w:t>"</w:t>
      </w:r>
      <w:r w:rsidRPr="003F0749">
        <w:t>иных п</w:t>
      </w:r>
      <w:r w:rsidRPr="003F0749">
        <w:t>о</w:t>
      </w:r>
      <w:r w:rsidRPr="003F0749">
        <w:t>добных обстоятельств</w:t>
      </w:r>
      <w:r w:rsidR="003F0749">
        <w:t>"</w:t>
      </w:r>
      <w:r w:rsidRPr="003F0749">
        <w:t xml:space="preserve"> Конституция наделяет судебные органы широкими ди</w:t>
      </w:r>
      <w:r w:rsidRPr="003F0749">
        <w:t>с</w:t>
      </w:r>
      <w:r w:rsidRPr="003F0749">
        <w:t>креционными полномочиями для вынесения решений в случаях неравенства перед законом.</w:t>
      </w:r>
    </w:p>
    <w:p w:rsidR="00DF5565" w:rsidRPr="003F0749" w:rsidRDefault="00DF5565" w:rsidP="00DF5565">
      <w:pPr>
        <w:pStyle w:val="SingleTxtGR"/>
      </w:pPr>
      <w:r w:rsidRPr="003F0749">
        <w:t>27.</w:t>
      </w:r>
      <w:r w:rsidRPr="003F0749">
        <w:tab/>
        <w:t>Статья 68 (4) Конституции, касающаяся политических партий, запрещает политическим партиям целенаправленно отстаивать или устанавливать класс</w:t>
      </w:r>
      <w:r w:rsidRPr="003F0749">
        <w:t>о</w:t>
      </w:r>
      <w:r w:rsidRPr="003F0749">
        <w:t>вую или групповую диктатуру или любую другую диктатуру или подстрекать граждан к совершению преступлений.</w:t>
      </w:r>
    </w:p>
    <w:p w:rsidR="00DF5565" w:rsidRPr="003F0749" w:rsidRDefault="00DF5565" w:rsidP="00DF5565">
      <w:pPr>
        <w:pStyle w:val="SingleTxtGR"/>
      </w:pPr>
      <w:r w:rsidRPr="003F0749">
        <w:t>28.</w:t>
      </w:r>
      <w:r w:rsidRPr="003F0749">
        <w:tab/>
        <w:t>Статья 70 Конституции дает право каждому турку поступать на госуда</w:t>
      </w:r>
      <w:r w:rsidRPr="003F0749">
        <w:t>р</w:t>
      </w:r>
      <w:r w:rsidRPr="003F0749">
        <w:t>ственную службу и декларирует, что при заполнении соответствующих должн</w:t>
      </w:r>
      <w:r w:rsidRPr="003F0749">
        <w:t>о</w:t>
      </w:r>
      <w:r w:rsidRPr="003F0749">
        <w:t>стей учитываются только профессионально-квалификационные критерии.</w:t>
      </w:r>
    </w:p>
    <w:p w:rsidR="00DF5565" w:rsidRPr="003F0749" w:rsidRDefault="00DF5565" w:rsidP="00DF5565">
      <w:pPr>
        <w:pStyle w:val="SingleTxtGR"/>
      </w:pPr>
      <w:r w:rsidRPr="003F0749">
        <w:t>29.</w:t>
      </w:r>
      <w:r w:rsidRPr="003F0749">
        <w:tab/>
        <w:t>Уголовный кодекс Турции (УКТ) запрещает и квалифицирует в качестве уголовно наказуемых правонарушений акты дискриминации. Ниже приводятся следующие соответствующие положения:</w:t>
      </w:r>
    </w:p>
    <w:p w:rsidR="00DF5565" w:rsidRPr="003F0749" w:rsidRDefault="00DF5565" w:rsidP="00E2084F">
      <w:pPr>
        <w:pStyle w:val="Bullet1GR"/>
      </w:pPr>
      <w:r w:rsidRPr="003F0749">
        <w:t>Статья 3 Уголовного кодекса Турции (УКТ) запрещает дискриминацию при применении Уголовного кодекса.</w:t>
      </w:r>
    </w:p>
    <w:p w:rsidR="00DF5565" w:rsidRPr="003F0749" w:rsidRDefault="00DF5565" w:rsidP="00E2084F">
      <w:pPr>
        <w:pStyle w:val="Bullet1GR"/>
      </w:pPr>
      <w:r w:rsidRPr="003F0749">
        <w:t>Статья 122 УКТ квалифицирует в качестве уголовного правонарушения, наказуемого лишением свободы сроком от шести месяцев до о</w:t>
      </w:r>
      <w:r w:rsidRPr="003F0749">
        <w:t>д</w:t>
      </w:r>
      <w:r w:rsidRPr="003F0749">
        <w:t>ного</w:t>
      </w:r>
      <w:r w:rsidR="002B6A52">
        <w:t> год</w:t>
      </w:r>
      <w:r w:rsidRPr="003F0749">
        <w:t>а или судебным штрафом, дискриминацию в отношении любого лица по признакам языка, расы, цвета кожи, инвалидности, политических убе</w:t>
      </w:r>
      <w:r w:rsidRPr="003F0749">
        <w:t>ж</w:t>
      </w:r>
      <w:r w:rsidRPr="003F0749">
        <w:t>дений, философских взглядов, религии, конфессиональной принадлежн</w:t>
      </w:r>
      <w:r w:rsidRPr="003F0749">
        <w:t>о</w:t>
      </w:r>
      <w:r w:rsidRPr="003F0749">
        <w:t>сти или аналогичных причин, если ответчик препятствует по этим осн</w:t>
      </w:r>
      <w:r w:rsidRPr="003F0749">
        <w:t>о</w:t>
      </w:r>
      <w:r w:rsidRPr="003F0749">
        <w:t>ваниям продаже или передаче движимой или недвижимой собстве</w:t>
      </w:r>
      <w:r w:rsidRPr="003F0749">
        <w:t>н</w:t>
      </w:r>
      <w:r w:rsidRPr="003F0749">
        <w:t>ности или предоставлению услуги; или мешает другим пользоваться услугой; не предоставляет продукты питания или отказывается предоставить у</w:t>
      </w:r>
      <w:r w:rsidRPr="003F0749">
        <w:t>с</w:t>
      </w:r>
      <w:r w:rsidRPr="003F0749">
        <w:t>лугу, которая должна оказываться населению (122/1-b); или пр</w:t>
      </w:r>
      <w:r w:rsidRPr="003F0749">
        <w:t>е</w:t>
      </w:r>
      <w:r w:rsidRPr="003F0749">
        <w:t>пятствует любому лицу заниматься регулярной экономической деятел</w:t>
      </w:r>
      <w:r w:rsidRPr="003F0749">
        <w:t>ь</w:t>
      </w:r>
      <w:r w:rsidRPr="003F0749">
        <w:t>ностью (122/1-c).</w:t>
      </w:r>
    </w:p>
    <w:p w:rsidR="00DF5565" w:rsidRPr="003F0749" w:rsidRDefault="00DF5565" w:rsidP="00E2084F">
      <w:pPr>
        <w:pStyle w:val="Bullet1GR"/>
      </w:pPr>
      <w:r w:rsidRPr="003F0749">
        <w:t xml:space="preserve">Статья 216 Части 5 Уголовного кодекса Турции, озаглавленная </w:t>
      </w:r>
      <w:r w:rsidR="003F0749">
        <w:t>"</w:t>
      </w:r>
      <w:r w:rsidRPr="003F0749">
        <w:t>Престу</w:t>
      </w:r>
      <w:r w:rsidRPr="003F0749">
        <w:t>п</w:t>
      </w:r>
      <w:r w:rsidRPr="003F0749">
        <w:t>ления против общественного порядка</w:t>
      </w:r>
      <w:r w:rsidR="003F0749">
        <w:t>"</w:t>
      </w:r>
      <w:r w:rsidRPr="003F0749">
        <w:t>, запрещает подстрекательство к ненависти и вражде по признакам социально-классовой пр</w:t>
      </w:r>
      <w:r w:rsidRPr="003F0749">
        <w:t>и</w:t>
      </w:r>
      <w:r w:rsidRPr="003F0749">
        <w:t>надлежности, расы, религии, конфессиональной принадлежности или региональных о</w:t>
      </w:r>
      <w:r w:rsidRPr="003F0749">
        <w:t>т</w:t>
      </w:r>
      <w:r w:rsidRPr="003F0749">
        <w:t xml:space="preserve">личий. </w:t>
      </w:r>
    </w:p>
    <w:p w:rsidR="00DF5565" w:rsidRPr="003F0749" w:rsidRDefault="00DF5565" w:rsidP="00E2084F">
      <w:pPr>
        <w:pStyle w:val="Bullet1GR"/>
      </w:pPr>
      <w:r w:rsidRPr="003F0749">
        <w:t>Кроме того, статья 218 этой же Части УКТ на половину ужесточает нак</w:t>
      </w:r>
      <w:r w:rsidRPr="003F0749">
        <w:t>а</w:t>
      </w:r>
      <w:r w:rsidRPr="003F0749">
        <w:t>зание, если правонарушения, перечисленные в Части 5, включая ст</w:t>
      </w:r>
      <w:r w:rsidRPr="003F0749">
        <w:t>а</w:t>
      </w:r>
      <w:r w:rsidRPr="003F0749">
        <w:t>тью</w:t>
      </w:r>
      <w:r w:rsidR="003B6D0B">
        <w:t> </w:t>
      </w:r>
      <w:r w:rsidRPr="003F0749">
        <w:t>216, совершаются через средства массовой информации и печать.</w:t>
      </w:r>
    </w:p>
    <w:p w:rsidR="00DF5565" w:rsidRPr="003F0749" w:rsidRDefault="00DF5565" w:rsidP="00E2084F">
      <w:pPr>
        <w:pStyle w:val="Bullet1GR"/>
      </w:pPr>
      <w:r w:rsidRPr="003F0749">
        <w:t>Статьи УКТ, криминализирующие геноцид (статья 76) и преступления против человечности (статья 77), распространяются на акты, соверше</w:t>
      </w:r>
      <w:r w:rsidRPr="003F0749">
        <w:t>н</w:t>
      </w:r>
      <w:r w:rsidRPr="003F0749">
        <w:t>ные против членов какой-либо расовой группы. Кроме того, ст</w:t>
      </w:r>
      <w:r w:rsidRPr="003F0749">
        <w:t>а</w:t>
      </w:r>
      <w:r w:rsidRPr="003F0749">
        <w:t>тья 78</w:t>
      </w:r>
      <w:r w:rsidR="002B6A52">
        <w:t xml:space="preserve"> </w:t>
      </w:r>
      <w:r w:rsidRPr="003F0749">
        <w:t>(1) предусматр</w:t>
      </w:r>
      <w:r w:rsidRPr="003F0749">
        <w:t>и</w:t>
      </w:r>
      <w:r w:rsidRPr="003F0749">
        <w:t>вает наказание в виде лишения свободы сроком от десяти до пятнадцати лет для лиц, которые основали преступную орган</w:t>
      </w:r>
      <w:r w:rsidRPr="003F0749">
        <w:t>и</w:t>
      </w:r>
      <w:r w:rsidRPr="003F0749">
        <w:t>зацию или руководили ею для совершения преступлений, перечисленных в стат</w:t>
      </w:r>
      <w:r w:rsidRPr="003F0749">
        <w:t>ь</w:t>
      </w:r>
      <w:r w:rsidRPr="003F0749">
        <w:t>ях</w:t>
      </w:r>
      <w:r w:rsidR="008D3B03">
        <w:t> </w:t>
      </w:r>
      <w:r w:rsidRPr="003F0749">
        <w:t>76 и 77 (в первом предложении), и лишения свободы сроком от пяти до десяти лет лишения свободы для лиц, которые вступили в такие орган</w:t>
      </w:r>
      <w:r w:rsidRPr="003F0749">
        <w:t>и</w:t>
      </w:r>
      <w:r w:rsidRPr="003F0749">
        <w:t>зации (во втором предложении).</w:t>
      </w:r>
    </w:p>
    <w:p w:rsidR="00DF5565" w:rsidRPr="003F0749" w:rsidRDefault="00DF5565" w:rsidP="00E2084F">
      <w:pPr>
        <w:pStyle w:val="Bullet1GR"/>
      </w:pPr>
      <w:r w:rsidRPr="003F0749">
        <w:t>Статья 135 (2) УКТ криминализует незаконный сбор персональных да</w:t>
      </w:r>
      <w:r w:rsidRPr="003F0749">
        <w:t>н</w:t>
      </w:r>
      <w:r w:rsidRPr="003F0749">
        <w:t>ных о политических, философских или религиозных взглядах, расовом происхождении; незаконных безнравственных наклонностях, половой жизни, состоянии здоровья и связях с профсоюзами, в качестве престу</w:t>
      </w:r>
      <w:r w:rsidRPr="003F0749">
        <w:t>п</w:t>
      </w:r>
      <w:r w:rsidRPr="003F0749">
        <w:t>ления, наказуемого лишением свободы сроком от шести месяцев до трех лет.</w:t>
      </w:r>
    </w:p>
    <w:p w:rsidR="00DF5565" w:rsidRPr="003F0749" w:rsidRDefault="00DF5565" w:rsidP="00E2084F">
      <w:pPr>
        <w:pStyle w:val="Bullet1GR"/>
      </w:pPr>
      <w:r w:rsidRPr="003F0749">
        <w:t>Статья 115 УКТ предусматривает наказание за акты, препятству</w:t>
      </w:r>
      <w:r w:rsidRPr="003F0749">
        <w:t>ю</w:t>
      </w:r>
      <w:r w:rsidRPr="003F0749">
        <w:t>щие свободе вероисповедания, мысли и убеждений, а статья 153 криминал</w:t>
      </w:r>
      <w:r w:rsidRPr="003F0749">
        <w:t>и</w:t>
      </w:r>
      <w:r w:rsidRPr="003F0749">
        <w:t>зует акты, оскверняющие места отправления религиозных культов (цер</w:t>
      </w:r>
      <w:r w:rsidRPr="003F0749">
        <w:t>к</w:t>
      </w:r>
      <w:r w:rsidRPr="003F0749">
        <w:t>ви, мечети и т.д.) и наносящие вред собственности в таких местах, на кладбищах, в зданиях и помещениях в районах их нахождения.</w:t>
      </w:r>
    </w:p>
    <w:p w:rsidR="00DF5565" w:rsidRPr="003F0749" w:rsidRDefault="00DF5565" w:rsidP="00E2084F">
      <w:pPr>
        <w:pStyle w:val="Bullet1GR"/>
      </w:pPr>
      <w:r w:rsidRPr="003F0749">
        <w:t>В статье 18, касающейся экстрадиции, констатируется, что просьба об экстрадиции не удовлетворяется, если есть серьезные основания пол</w:t>
      </w:r>
      <w:r w:rsidRPr="003F0749">
        <w:t>а</w:t>
      </w:r>
      <w:r w:rsidRPr="003F0749">
        <w:t xml:space="preserve">гать, что в случае экстрадиции </w:t>
      </w:r>
      <w:proofErr w:type="spellStart"/>
      <w:r w:rsidRPr="003F0749">
        <w:t>экстрадируемое</w:t>
      </w:r>
      <w:proofErr w:type="spellEnd"/>
      <w:r w:rsidRPr="003F0749">
        <w:t xml:space="preserve"> лицо будет преследоват</w:t>
      </w:r>
      <w:r w:rsidRPr="003F0749">
        <w:t>ь</w:t>
      </w:r>
      <w:r w:rsidRPr="003F0749">
        <w:t>ся или подвергнется наказанию на основании его/ее расы, религии, гра</w:t>
      </w:r>
      <w:r w:rsidRPr="003F0749">
        <w:t>ж</w:t>
      </w:r>
      <w:r w:rsidRPr="003F0749">
        <w:t>данства, принадлежности к конкретной социальной группе или полит</w:t>
      </w:r>
      <w:r w:rsidRPr="003F0749">
        <w:t>и</w:t>
      </w:r>
      <w:r w:rsidRPr="003F0749">
        <w:t>ческих убеждений; или по</w:t>
      </w:r>
      <w:r w:rsidRPr="003F0749">
        <w:t>д</w:t>
      </w:r>
      <w:r w:rsidRPr="003F0749">
        <w:t>вергнется пыткам и жестокому обращению.</w:t>
      </w:r>
    </w:p>
    <w:p w:rsidR="00DF5565" w:rsidRPr="003F0749" w:rsidRDefault="00DF5565" w:rsidP="00DF5565">
      <w:pPr>
        <w:pStyle w:val="SingleTxtGR"/>
      </w:pPr>
      <w:r w:rsidRPr="003F0749">
        <w:t>30.</w:t>
      </w:r>
      <w:r w:rsidRPr="003F0749">
        <w:tab/>
        <w:t>К другим законам и нормативным актам, которые запрещают дискрим</w:t>
      </w:r>
      <w:r w:rsidRPr="003F0749">
        <w:t>и</w:t>
      </w:r>
      <w:r w:rsidRPr="003F0749">
        <w:t>нацию по признакам расы, языка, пола, религии, политических убеждений, гражданства или социального происхождения, относятся:</w:t>
      </w:r>
    </w:p>
    <w:p w:rsidR="00DF5565" w:rsidRPr="003F0749" w:rsidRDefault="00DF5565" w:rsidP="00E2084F">
      <w:pPr>
        <w:pStyle w:val="Bullet1GR"/>
      </w:pPr>
      <w:r w:rsidRPr="003F0749">
        <w:t xml:space="preserve">Закон </w:t>
      </w:r>
      <w:r w:rsidR="002B6A52">
        <w:t>№ </w:t>
      </w:r>
      <w:r w:rsidRPr="003F0749">
        <w:t>657 о гражданских служащих (статьи 7 и 125);</w:t>
      </w:r>
    </w:p>
    <w:p w:rsidR="00DF5565" w:rsidRPr="003F0749" w:rsidRDefault="00DF5565" w:rsidP="00E2084F">
      <w:pPr>
        <w:pStyle w:val="Bullet1GR"/>
      </w:pPr>
      <w:r w:rsidRPr="003F0749">
        <w:t xml:space="preserve">Основной закон </w:t>
      </w:r>
      <w:r w:rsidR="002B6A52">
        <w:t>№ </w:t>
      </w:r>
      <w:r w:rsidRPr="003F0749">
        <w:t>1739 о национальном образовании (статья 4);</w:t>
      </w:r>
    </w:p>
    <w:p w:rsidR="00DF5565" w:rsidRPr="003F0749" w:rsidRDefault="00DF5565" w:rsidP="00E2084F">
      <w:pPr>
        <w:pStyle w:val="Bullet1GR"/>
      </w:pPr>
      <w:r w:rsidRPr="003F0749">
        <w:t xml:space="preserve">Закон </w:t>
      </w:r>
      <w:r w:rsidR="002B6A52">
        <w:t>№ </w:t>
      </w:r>
      <w:r w:rsidRPr="003F0749">
        <w:t>2820 о политических партиях (статьи 12, 78, 82, 83);</w:t>
      </w:r>
    </w:p>
    <w:p w:rsidR="00DF5565" w:rsidRPr="003F0749" w:rsidRDefault="00DF5565" w:rsidP="00E2084F">
      <w:pPr>
        <w:pStyle w:val="Bullet1GR"/>
      </w:pPr>
      <w:r w:rsidRPr="003F0749">
        <w:t xml:space="preserve">Закон </w:t>
      </w:r>
      <w:r w:rsidR="002B6A52">
        <w:t>№ </w:t>
      </w:r>
      <w:r w:rsidRPr="003F0749">
        <w:t>2820 о социальном обеспечении (статья 4);</w:t>
      </w:r>
    </w:p>
    <w:p w:rsidR="00DF5565" w:rsidRPr="003F0749" w:rsidRDefault="00DF5565" w:rsidP="00E2084F">
      <w:pPr>
        <w:pStyle w:val="Bullet1GR"/>
      </w:pPr>
      <w:r w:rsidRPr="003F0749">
        <w:t xml:space="preserve">Гражданский кодекс </w:t>
      </w:r>
      <w:r w:rsidR="002B6A52">
        <w:t>№ </w:t>
      </w:r>
      <w:r w:rsidRPr="003F0749">
        <w:t>4721 (68);</w:t>
      </w:r>
    </w:p>
    <w:p w:rsidR="00DF5565" w:rsidRPr="003F0749" w:rsidRDefault="00DF5565" w:rsidP="00E2084F">
      <w:pPr>
        <w:pStyle w:val="Bullet1GR"/>
      </w:pPr>
      <w:r w:rsidRPr="003F0749">
        <w:t xml:space="preserve">Закон </w:t>
      </w:r>
      <w:r w:rsidR="002B6A52">
        <w:t>№ </w:t>
      </w:r>
      <w:r w:rsidRPr="003F0749">
        <w:t>4857 о труде (статья 5);</w:t>
      </w:r>
    </w:p>
    <w:p w:rsidR="00DF5565" w:rsidRPr="003F0749" w:rsidRDefault="00DF5565" w:rsidP="00E2084F">
      <w:pPr>
        <w:pStyle w:val="Bullet1GR"/>
      </w:pPr>
      <w:r w:rsidRPr="003F0749">
        <w:t xml:space="preserve">Закон </w:t>
      </w:r>
      <w:r w:rsidR="002B6A52">
        <w:t>№ </w:t>
      </w:r>
      <w:r w:rsidRPr="003F0749">
        <w:t>5275 об исполнении наказаний и мерах безопасности (ст</w:t>
      </w:r>
      <w:r w:rsidRPr="003F0749">
        <w:t>а</w:t>
      </w:r>
      <w:r w:rsidRPr="003F0749">
        <w:t>тья 2);</w:t>
      </w:r>
    </w:p>
    <w:p w:rsidR="00DF5565" w:rsidRPr="003F0749" w:rsidRDefault="00DF5565" w:rsidP="00E2084F">
      <w:pPr>
        <w:pStyle w:val="Bullet1GR"/>
      </w:pPr>
      <w:r w:rsidRPr="003F0749">
        <w:t xml:space="preserve">Закон </w:t>
      </w:r>
      <w:r w:rsidR="002B6A52">
        <w:t>№ </w:t>
      </w:r>
      <w:r w:rsidRPr="003F0749">
        <w:t>5894 об учреждении и обязанностях Футбольной федер</w:t>
      </w:r>
      <w:r w:rsidRPr="003F0749">
        <w:t>а</w:t>
      </w:r>
      <w:r w:rsidRPr="003F0749">
        <w:t>ции Турции (статья 3);</w:t>
      </w:r>
    </w:p>
    <w:p w:rsidR="00DF5565" w:rsidRPr="003F0749" w:rsidRDefault="00DF5565" w:rsidP="00E2084F">
      <w:pPr>
        <w:pStyle w:val="Bullet1GR"/>
      </w:pPr>
      <w:r w:rsidRPr="003F0749">
        <w:t xml:space="preserve">Закон </w:t>
      </w:r>
      <w:r w:rsidR="002B6A52">
        <w:t>№ </w:t>
      </w:r>
      <w:r w:rsidRPr="003F0749">
        <w:t>6004 о создании и функциях Министерства иностранных дел (статья 2);</w:t>
      </w:r>
    </w:p>
    <w:p w:rsidR="00DF5565" w:rsidRPr="003F0749" w:rsidRDefault="00DF5565" w:rsidP="00E2084F">
      <w:pPr>
        <w:pStyle w:val="Bullet1GR"/>
      </w:pPr>
      <w:r w:rsidRPr="003F0749">
        <w:t xml:space="preserve">Закон </w:t>
      </w:r>
      <w:r w:rsidR="002B6A52">
        <w:t>№ </w:t>
      </w:r>
      <w:r w:rsidRPr="003F0749">
        <w:t xml:space="preserve">6112 об учреждении радио и </w:t>
      </w:r>
      <w:proofErr w:type="spellStart"/>
      <w:r w:rsidRPr="003F0749">
        <w:t>телевещательных</w:t>
      </w:r>
      <w:proofErr w:type="spellEnd"/>
      <w:r w:rsidRPr="003F0749">
        <w:t xml:space="preserve"> компаний и п</w:t>
      </w:r>
      <w:r w:rsidRPr="003F0749">
        <w:t>о</w:t>
      </w:r>
      <w:r w:rsidRPr="003F0749">
        <w:t xml:space="preserve">ставщиках их </w:t>
      </w:r>
      <w:proofErr w:type="spellStart"/>
      <w:r w:rsidRPr="003F0749">
        <w:t>медийных</w:t>
      </w:r>
      <w:proofErr w:type="spellEnd"/>
      <w:r w:rsidRPr="003F0749">
        <w:t xml:space="preserve"> услуг (статьи 8 и 9);</w:t>
      </w:r>
    </w:p>
    <w:p w:rsidR="00DF5565" w:rsidRPr="003F0749" w:rsidRDefault="00DF5565" w:rsidP="00E2084F">
      <w:pPr>
        <w:pStyle w:val="Bullet1GR"/>
      </w:pPr>
      <w:r w:rsidRPr="003F0749">
        <w:t xml:space="preserve">Закон </w:t>
      </w:r>
      <w:r w:rsidR="002B6A52">
        <w:t>№ </w:t>
      </w:r>
      <w:r w:rsidRPr="003F0749">
        <w:t>6222 о предупреждении насилия и беспорядков в спорте (ст</w:t>
      </w:r>
      <w:r w:rsidRPr="003F0749">
        <w:t>а</w:t>
      </w:r>
      <w:r w:rsidRPr="003F0749">
        <w:t>тья</w:t>
      </w:r>
      <w:r w:rsidR="008D3B03">
        <w:t> </w:t>
      </w:r>
      <w:r w:rsidRPr="003F0749">
        <w:t xml:space="preserve">14); </w:t>
      </w:r>
    </w:p>
    <w:p w:rsidR="00DF5565" w:rsidRPr="003F0749" w:rsidRDefault="00DF5565" w:rsidP="00E2084F">
      <w:pPr>
        <w:pStyle w:val="Bullet1GR"/>
      </w:pPr>
      <w:r w:rsidRPr="003F0749">
        <w:t xml:space="preserve">Закон </w:t>
      </w:r>
      <w:r w:rsidR="002B6A52">
        <w:t>№ </w:t>
      </w:r>
      <w:r w:rsidRPr="003F0749">
        <w:t xml:space="preserve">6328 об институте Омбудсмена (статья 30); </w:t>
      </w:r>
    </w:p>
    <w:p w:rsidR="00DF5565" w:rsidRPr="003F0749" w:rsidRDefault="00DF5565" w:rsidP="00E2084F">
      <w:pPr>
        <w:pStyle w:val="Bullet1GR"/>
      </w:pPr>
      <w:r w:rsidRPr="003F0749">
        <w:t xml:space="preserve">Закон </w:t>
      </w:r>
      <w:r w:rsidR="002B6A52">
        <w:t>№ </w:t>
      </w:r>
      <w:r w:rsidRPr="003F0749">
        <w:t xml:space="preserve">6413 о дисциплине в турецких вооруженных силах. </w:t>
      </w:r>
    </w:p>
    <w:p w:rsidR="00DF5565" w:rsidRPr="003F0749" w:rsidRDefault="00DF5565" w:rsidP="00E2084F">
      <w:pPr>
        <w:pStyle w:val="H23GR"/>
      </w:pPr>
      <w:r w:rsidRPr="003F0749">
        <w:tab/>
      </w:r>
      <w:r w:rsidRPr="003F0749">
        <w:tab/>
        <w:t>Последние и текущие законодательные реформы, касающиеся дискриминации</w:t>
      </w:r>
    </w:p>
    <w:p w:rsidR="00DF5565" w:rsidRPr="003F0749" w:rsidRDefault="00DF5565" w:rsidP="00DF5565">
      <w:pPr>
        <w:pStyle w:val="SingleTxtGR"/>
      </w:pPr>
      <w:r w:rsidRPr="003F0749">
        <w:t>31.</w:t>
      </w:r>
      <w:r w:rsidRPr="003F0749">
        <w:tab/>
        <w:t>Турция пересматривает свою политику и законодательство в целях п</w:t>
      </w:r>
      <w:r w:rsidRPr="003F0749">
        <w:t>о</w:t>
      </w:r>
      <w:r w:rsidRPr="003F0749">
        <w:t>вышения их эффективности для укрепления демократии, гарантированного с</w:t>
      </w:r>
      <w:r w:rsidRPr="003F0749">
        <w:t>о</w:t>
      </w:r>
      <w:r w:rsidRPr="003F0749">
        <w:t>блюдения прав человека и основных свобод и усиления законности</w:t>
      </w:r>
      <w:r w:rsidR="002B6A52">
        <w:t>. В </w:t>
      </w:r>
      <w:r w:rsidRPr="003F0749">
        <w:t>пред</w:t>
      </w:r>
      <w:r w:rsidRPr="003F0749">
        <w:t>ы</w:t>
      </w:r>
      <w:r w:rsidRPr="003F0749">
        <w:t>дущий и текущий отчетный периоды были изменены многие основополага</w:t>
      </w:r>
      <w:r w:rsidRPr="003F0749">
        <w:t>ю</w:t>
      </w:r>
      <w:r w:rsidRPr="003F0749">
        <w:t>щие законы.</w:t>
      </w:r>
    </w:p>
    <w:p w:rsidR="00DF5565" w:rsidRPr="003F0749" w:rsidRDefault="00DF5565" w:rsidP="00DF5565">
      <w:pPr>
        <w:pStyle w:val="SingleTxtGR"/>
      </w:pPr>
      <w:r w:rsidRPr="003F0749">
        <w:t>32.</w:t>
      </w:r>
      <w:r w:rsidRPr="003F0749">
        <w:tab/>
        <w:t>В текущий отчетный период 12 сентября 2010</w:t>
      </w:r>
      <w:r w:rsidR="002B6A52">
        <w:t> год</w:t>
      </w:r>
      <w:r w:rsidRPr="003F0749">
        <w:t>а после референдума, о</w:t>
      </w:r>
      <w:r w:rsidR="008D3B03">
        <w:t> </w:t>
      </w:r>
      <w:r w:rsidRPr="003F0749">
        <w:t>чем говорилось в пунктах 19−20, в статью 10 Конституции, касающейся р</w:t>
      </w:r>
      <w:r w:rsidRPr="003F0749">
        <w:t>а</w:t>
      </w:r>
      <w:r w:rsidRPr="003F0749">
        <w:t>венства перед законом, были внесены изменения</w:t>
      </w:r>
      <w:r w:rsidR="002B6A52">
        <w:t>. В </w:t>
      </w:r>
      <w:r w:rsidRPr="003F0749">
        <w:t>новой статье предусматр</w:t>
      </w:r>
      <w:r w:rsidRPr="003F0749">
        <w:t>и</w:t>
      </w:r>
      <w:r w:rsidRPr="003F0749">
        <w:t>ваются меры в интересах групп, нуждающихся в социальной защите, а именно: женщин, детей, престарелых, лиц с ограниченными возможностями, вдов и с</w:t>
      </w:r>
      <w:r w:rsidRPr="003F0749">
        <w:t>и</w:t>
      </w:r>
      <w:r w:rsidRPr="003F0749">
        <w:t xml:space="preserve">рот мучеников, а также немощных граждан и ветеранов. Впервые включенное в Конституцию положение об </w:t>
      </w:r>
      <w:r w:rsidR="003F0749">
        <w:t>"</w:t>
      </w:r>
      <w:r w:rsidRPr="003F0749">
        <w:t>особых мерах</w:t>
      </w:r>
      <w:r w:rsidR="003F0749">
        <w:t>"</w:t>
      </w:r>
      <w:r w:rsidRPr="003F0749">
        <w:t xml:space="preserve"> является значительным шагом вп</w:t>
      </w:r>
      <w:r w:rsidRPr="003F0749">
        <w:t>е</w:t>
      </w:r>
      <w:r w:rsidRPr="003F0749">
        <w:t>ред в деле укрепления защиты конституционных прав этих граждан.</w:t>
      </w:r>
    </w:p>
    <w:p w:rsidR="00DF5565" w:rsidRPr="003F0749" w:rsidRDefault="00DF5565" w:rsidP="00DF5565">
      <w:pPr>
        <w:pStyle w:val="SingleTxtGR"/>
      </w:pPr>
      <w:r w:rsidRPr="003F0749">
        <w:t>33.</w:t>
      </w:r>
      <w:r w:rsidRPr="003F0749">
        <w:tab/>
        <w:t>В отчетный период, о чем подробно говорилось в пунктах 13</w:t>
      </w:r>
      <w:r w:rsidR="00E2084F">
        <w:t>−</w:t>
      </w:r>
      <w:r w:rsidRPr="003F0749">
        <w:t>16 в ра</w:t>
      </w:r>
      <w:r w:rsidRPr="003F0749">
        <w:t>м</w:t>
      </w:r>
      <w:r w:rsidRPr="003F0749">
        <w:t>ках статьи 2, министерство внутренних дел в сотрудничестве с соответству</w:t>
      </w:r>
      <w:r w:rsidRPr="003F0749">
        <w:t>ю</w:t>
      </w:r>
      <w:r w:rsidRPr="003F0749">
        <w:t xml:space="preserve">щими учреждениями подготовило всеобъемлющий </w:t>
      </w:r>
      <w:proofErr w:type="spellStart"/>
      <w:r w:rsidRPr="003F0749">
        <w:t>антидискриминационный</w:t>
      </w:r>
      <w:proofErr w:type="spellEnd"/>
      <w:r w:rsidRPr="003F0749">
        <w:t xml:space="preserve"> закон, который в настоящее время находится на рассмотрении в Канцелярии премьер-министра. Проект закона расширяет запрещенные основания и сферу дискр</w:t>
      </w:r>
      <w:r w:rsidRPr="003F0749">
        <w:t>и</w:t>
      </w:r>
      <w:r w:rsidRPr="003F0749">
        <w:t xml:space="preserve">минации и учреждает Совет по вопросам </w:t>
      </w:r>
      <w:proofErr w:type="spellStart"/>
      <w:r w:rsidRPr="003F0749">
        <w:t>недискриминации</w:t>
      </w:r>
      <w:proofErr w:type="spellEnd"/>
      <w:r w:rsidRPr="003F0749">
        <w:t xml:space="preserve"> и равенства, кот</w:t>
      </w:r>
      <w:r w:rsidRPr="003F0749">
        <w:t>о</w:t>
      </w:r>
      <w:r w:rsidRPr="003F0749">
        <w:t>рый будет следить за жалобами на дискриминацию в государственном и час</w:t>
      </w:r>
      <w:r w:rsidRPr="003F0749">
        <w:t>т</w:t>
      </w:r>
      <w:r w:rsidRPr="003F0749">
        <w:t xml:space="preserve">ном секторах. </w:t>
      </w:r>
    </w:p>
    <w:p w:rsidR="00DF5565" w:rsidRPr="003F0749" w:rsidRDefault="00DF5565" w:rsidP="00DF5565">
      <w:pPr>
        <w:pStyle w:val="SingleTxtGR"/>
      </w:pPr>
      <w:r w:rsidRPr="003F0749">
        <w:t>34.</w:t>
      </w:r>
      <w:r w:rsidRPr="003F0749">
        <w:tab/>
        <w:t xml:space="preserve">Недавно турецкое правительство предложило несколько законодательных поправок (под названием </w:t>
      </w:r>
      <w:r w:rsidR="003F0749">
        <w:t>"</w:t>
      </w:r>
      <w:r w:rsidRPr="003F0749">
        <w:t>пакет демократических реформ</w:t>
      </w:r>
      <w:r w:rsidR="003F0749">
        <w:t>"</w:t>
      </w:r>
      <w:r w:rsidRPr="003F0749">
        <w:t>), которые касаются более эффективной борьбы с преступлениями на почве ненависти и дискрим</w:t>
      </w:r>
      <w:r w:rsidRPr="003F0749">
        <w:t>и</w:t>
      </w:r>
      <w:r w:rsidRPr="003F0749">
        <w:t>нацией. Предлагаемые поправки касаются включения в УКТ положения, с</w:t>
      </w:r>
      <w:r w:rsidRPr="003F0749">
        <w:t>о</w:t>
      </w:r>
      <w:r w:rsidRPr="003F0749">
        <w:t>гласно которому мотив ненависти является отягчающим обстоятельством, при этом также ужесточается наказание за акты дискриминации в соответствии с УКТ</w:t>
      </w:r>
      <w:r w:rsidR="002B6A52">
        <w:t>. В </w:t>
      </w:r>
      <w:r w:rsidRPr="003F0749">
        <w:t>настоящее время проекты законов рассматриваются парламентом.</w:t>
      </w:r>
    </w:p>
    <w:p w:rsidR="00DF5565" w:rsidRPr="003F0749" w:rsidRDefault="00DF5565" w:rsidP="00E2084F">
      <w:pPr>
        <w:pStyle w:val="H23GR"/>
      </w:pPr>
      <w:r w:rsidRPr="003F0749">
        <w:tab/>
        <w:t>2.</w:t>
      </w:r>
      <w:r w:rsidRPr="003F0749">
        <w:tab/>
        <w:t>Конкретная информация о принятых законодательных, судебных, административных и прочих мерах:</w:t>
      </w:r>
    </w:p>
    <w:p w:rsidR="00DF5565" w:rsidRPr="00E2084F" w:rsidRDefault="00DF5565" w:rsidP="00E2084F">
      <w:pPr>
        <w:pStyle w:val="H4GR"/>
        <w:spacing w:before="240"/>
        <w:ind w:left="1156" w:right="1179" w:hanging="1145"/>
      </w:pPr>
      <w:r w:rsidRPr="00E2084F">
        <w:tab/>
      </w:r>
      <w:r w:rsidRPr="00E2084F">
        <w:tab/>
        <w:t xml:space="preserve">Проведение в жизнь обязательства не совершать в отношении лиц, групп или учреждений каких-либо актов или действий, связанных с расовой дискриминацией, и гарантировать, что все государственные органы и государственные учреждения будут действовать в соответствии с этим обязательством </w:t>
      </w:r>
    </w:p>
    <w:p w:rsidR="00DF5565" w:rsidRPr="003F0749" w:rsidRDefault="00DF5565" w:rsidP="00DF5565">
      <w:pPr>
        <w:pStyle w:val="SingleTxtGR"/>
      </w:pPr>
      <w:r w:rsidRPr="003F0749">
        <w:t>35.</w:t>
      </w:r>
      <w:r w:rsidRPr="003F0749">
        <w:tab/>
        <w:t>Ниже приводится законодательная база, запрещающая государственным органам совершать какие-либо акты, связанные с дискриминацией:</w:t>
      </w:r>
    </w:p>
    <w:p w:rsidR="00DF5565" w:rsidRPr="003F0749" w:rsidRDefault="00DF5565" w:rsidP="00E2084F">
      <w:pPr>
        <w:pStyle w:val="Bullet1GR"/>
      </w:pPr>
      <w:r w:rsidRPr="003F0749">
        <w:t>Статья 10 (5) Конституции обязывает государственные органы и админ</w:t>
      </w:r>
      <w:r w:rsidRPr="003F0749">
        <w:t>и</w:t>
      </w:r>
      <w:r w:rsidRPr="003F0749">
        <w:t>стративные власти в рамках своей деятельности соблюдать принцип р</w:t>
      </w:r>
      <w:r w:rsidRPr="003F0749">
        <w:t>а</w:t>
      </w:r>
      <w:r w:rsidRPr="003F0749">
        <w:t>венства перед законом.</w:t>
      </w:r>
    </w:p>
    <w:p w:rsidR="00DF5565" w:rsidRPr="003F0749" w:rsidRDefault="00DF5565" w:rsidP="00E2084F">
      <w:pPr>
        <w:pStyle w:val="Bullet1GR"/>
      </w:pPr>
      <w:r w:rsidRPr="003F0749">
        <w:t xml:space="preserve">Статья 7 Закона </w:t>
      </w:r>
      <w:r w:rsidR="002B6A52">
        <w:t>№ </w:t>
      </w:r>
      <w:r w:rsidRPr="003F0749">
        <w:t>657 о гражданских служащих запрещает гра</w:t>
      </w:r>
      <w:r w:rsidRPr="003F0749">
        <w:t>ж</w:t>
      </w:r>
      <w:r w:rsidRPr="003F0749">
        <w:t>данским служащим при исполнении своих должностных обязанностей проводить дискриминацию по признакам языка, расы, пола, политических убежд</w:t>
      </w:r>
      <w:r w:rsidRPr="003F0749">
        <w:t>е</w:t>
      </w:r>
      <w:r w:rsidRPr="003F0749">
        <w:t>ний, философских взглядов, религии или конфессиональной принадле</w:t>
      </w:r>
      <w:r w:rsidRPr="003F0749">
        <w:t>ж</w:t>
      </w:r>
      <w:r w:rsidRPr="003F0749">
        <w:t>ности. Статья 125 предусматривает дисциплинарные взыскания в отн</w:t>
      </w:r>
      <w:r w:rsidRPr="003F0749">
        <w:t>о</w:t>
      </w:r>
      <w:r w:rsidRPr="003F0749">
        <w:t>шении тех служащих, которые совершают акты дискримин</w:t>
      </w:r>
      <w:r w:rsidRPr="003F0749">
        <w:t>а</w:t>
      </w:r>
      <w:r w:rsidRPr="003F0749">
        <w:t xml:space="preserve">ции. </w:t>
      </w:r>
    </w:p>
    <w:p w:rsidR="00DF5565" w:rsidRPr="003F0749" w:rsidRDefault="00DF5565" w:rsidP="00E2084F">
      <w:pPr>
        <w:pStyle w:val="Bullet1GR"/>
      </w:pPr>
      <w:r w:rsidRPr="003F0749">
        <w:t xml:space="preserve">Статья 18 Закона </w:t>
      </w:r>
      <w:r w:rsidR="002B6A52">
        <w:t>№ </w:t>
      </w:r>
      <w:r w:rsidRPr="003F0749">
        <w:t>6413 о дисциплине в турецких вооруженных силах предусматривает дисциплинарные взыскания для тех, кто соверш</w:t>
      </w:r>
      <w:r w:rsidRPr="003F0749">
        <w:t>а</w:t>
      </w:r>
      <w:r w:rsidRPr="003F0749">
        <w:t>ет акты ди</w:t>
      </w:r>
      <w:r w:rsidRPr="003F0749">
        <w:t>с</w:t>
      </w:r>
      <w:r w:rsidRPr="003F0749">
        <w:t xml:space="preserve">криминации. </w:t>
      </w:r>
    </w:p>
    <w:p w:rsidR="00DF5565" w:rsidRPr="003F0749" w:rsidRDefault="00DF5565" w:rsidP="00E2084F">
      <w:pPr>
        <w:pStyle w:val="Bullet1GR"/>
      </w:pPr>
      <w:r w:rsidRPr="003F0749">
        <w:t xml:space="preserve">Закон </w:t>
      </w:r>
      <w:r w:rsidR="002B6A52">
        <w:t>№ </w:t>
      </w:r>
      <w:r w:rsidRPr="003F0749">
        <w:t>2828 о социальном обеспечении (статья 4) запрещает дискрим</w:t>
      </w:r>
      <w:r w:rsidRPr="003F0749">
        <w:t>и</w:t>
      </w:r>
      <w:r w:rsidRPr="003F0749">
        <w:t>нацию в сфере социального обеспечения и социального обслуж</w:t>
      </w:r>
      <w:r w:rsidRPr="003F0749">
        <w:t>и</w:t>
      </w:r>
      <w:r w:rsidRPr="003F0749">
        <w:t xml:space="preserve">вания по признакам социально-классового происхождения, расы, языка, религии, веры или региональных отличий. </w:t>
      </w:r>
    </w:p>
    <w:p w:rsidR="00DF5565" w:rsidRPr="003F0749" w:rsidRDefault="00DF5565" w:rsidP="00DF5565">
      <w:pPr>
        <w:pStyle w:val="SingleTxtGR"/>
      </w:pPr>
      <w:r w:rsidRPr="003F0749">
        <w:t>36.</w:t>
      </w:r>
      <w:r w:rsidRPr="003F0749">
        <w:tab/>
        <w:t>В случае утверждений о проявлениях расизма или актов дискриминации со стороны работника правоохранительных органов для установления объе</w:t>
      </w:r>
      <w:r w:rsidRPr="003F0749">
        <w:t>к</w:t>
      </w:r>
      <w:r w:rsidRPr="003F0749">
        <w:t>тивных фактов расследование проводит не судебная полиция, а прокуратура.</w:t>
      </w:r>
    </w:p>
    <w:p w:rsidR="00DF5565" w:rsidRPr="003F0749" w:rsidRDefault="00DF5565" w:rsidP="00DF5565">
      <w:pPr>
        <w:pStyle w:val="SingleTxtGR"/>
      </w:pPr>
      <w:r w:rsidRPr="003F0749">
        <w:t>37.</w:t>
      </w:r>
      <w:r w:rsidRPr="003F0749">
        <w:tab/>
        <w:t>Соответствующие государственные органы/учреждения выполняют зак</w:t>
      </w:r>
      <w:r w:rsidRPr="003F0749">
        <w:t>о</w:t>
      </w:r>
      <w:r w:rsidRPr="003F0749">
        <w:t>ны, запрещающие дискриминацию, в целях обеспечить, чтобы работники пр</w:t>
      </w:r>
      <w:r w:rsidRPr="003F0749">
        <w:t>а</w:t>
      </w:r>
      <w:r w:rsidRPr="003F0749">
        <w:t>воохранительных органов соблюдали эти законы. Ниже приводится следующая информация об этих органах:</w:t>
      </w:r>
    </w:p>
    <w:p w:rsidR="00DF5565" w:rsidRPr="003F0749" w:rsidRDefault="00DF5565" w:rsidP="00E2084F">
      <w:pPr>
        <w:pStyle w:val="Bullet1GR"/>
      </w:pPr>
      <w:r w:rsidRPr="003F0749">
        <w:t>В марте 2004</w:t>
      </w:r>
      <w:r w:rsidR="002B6A52">
        <w:t> год</w:t>
      </w:r>
      <w:r w:rsidRPr="003F0749">
        <w:t>а при Инспекционном бюро министерства внутренних дел было создано Бюро по расследованию утверждений о нарушениях прав человека. Бюро рассматривает жалобы, в которых содержатся у</w:t>
      </w:r>
      <w:r w:rsidRPr="003F0749">
        <w:t>т</w:t>
      </w:r>
      <w:r w:rsidRPr="003F0749">
        <w:t>верждения о нарушениях прав человека, включая жалобы на дискрим</w:t>
      </w:r>
      <w:r w:rsidRPr="003F0749">
        <w:t>и</w:t>
      </w:r>
      <w:r w:rsidRPr="003F0749">
        <w:t>нацию со стороны р</w:t>
      </w:r>
      <w:r w:rsidRPr="003F0749">
        <w:t>а</w:t>
      </w:r>
      <w:r w:rsidRPr="003F0749">
        <w:t xml:space="preserve">ботников правоохранительных органов. </w:t>
      </w:r>
    </w:p>
    <w:p w:rsidR="00DF5565" w:rsidRPr="003F0749" w:rsidRDefault="00DF5565" w:rsidP="00E2084F">
      <w:pPr>
        <w:pStyle w:val="Bullet1GR"/>
      </w:pPr>
      <w:r w:rsidRPr="003F0749">
        <w:t>Центр жандармерии по расследованию и оценке нарушений прав челов</w:t>
      </w:r>
      <w:r w:rsidRPr="003F0749">
        <w:t>е</w:t>
      </w:r>
      <w:r w:rsidRPr="003F0749">
        <w:t>ка (ЖИХИДЕМ) расследует жалобы, содержащие утверждения о наруш</w:t>
      </w:r>
      <w:r w:rsidRPr="003F0749">
        <w:t>е</w:t>
      </w:r>
      <w:r w:rsidRPr="003F0749">
        <w:t>ниях прав человека, включая жалобы на дискриминацию, которая имеет место в сфере ответственности жандармерии, и, если жалобы н</w:t>
      </w:r>
      <w:r w:rsidRPr="003F0749">
        <w:t>а</w:t>
      </w:r>
      <w:r w:rsidRPr="003F0749">
        <w:t>ходят свое подтверждение, обеспечивает судебное и административное рассл</w:t>
      </w:r>
      <w:r w:rsidRPr="003F0749">
        <w:t>е</w:t>
      </w:r>
      <w:r w:rsidRPr="003F0749">
        <w:t>дование в рамках закона, и информирует заявителя о ходе и результатах расследования и публично объя</w:t>
      </w:r>
      <w:r w:rsidRPr="003F0749">
        <w:t>в</w:t>
      </w:r>
      <w:r w:rsidRPr="003F0749">
        <w:t>ляет о них.</w:t>
      </w:r>
    </w:p>
    <w:p w:rsidR="00DF5565" w:rsidRPr="003F0749" w:rsidRDefault="00DF5565" w:rsidP="00E2084F">
      <w:pPr>
        <w:pStyle w:val="Bullet1GR"/>
      </w:pPr>
      <w:r w:rsidRPr="003F0749">
        <w:t>Управление Омбудсмена отвечает за рассмотрение и расследование всех актов и решений, политики и действий административных органов на предмет их соответствия закону и справедливости, в основе которого л</w:t>
      </w:r>
      <w:r w:rsidRPr="003F0749">
        <w:t>е</w:t>
      </w:r>
      <w:r w:rsidRPr="003F0749">
        <w:t>жит внесудебное разбирательство, опирающееся на права человека; оно также дает рекомендации административным органам. Естественно, ра</w:t>
      </w:r>
      <w:r w:rsidRPr="003F0749">
        <w:t>с</w:t>
      </w:r>
      <w:r w:rsidRPr="003F0749">
        <w:t xml:space="preserve">следования утверждений о дискриминации включаются в круг ведения Омбудсмена. </w:t>
      </w:r>
    </w:p>
    <w:p w:rsidR="00DF5565" w:rsidRPr="003F0749" w:rsidRDefault="00DF5565" w:rsidP="00E2084F">
      <w:pPr>
        <w:pStyle w:val="Bullet1GR"/>
      </w:pPr>
      <w:r w:rsidRPr="003F0749">
        <w:t>Национальное правозащитное учреждение Турции получает и ра</w:t>
      </w:r>
      <w:r w:rsidRPr="003F0749">
        <w:t>с</w:t>
      </w:r>
      <w:r w:rsidRPr="003F0749">
        <w:t>следует утверждения обо всех нарушениях прав человека, включая у</w:t>
      </w:r>
      <w:r w:rsidRPr="003F0749">
        <w:t>т</w:t>
      </w:r>
      <w:r w:rsidRPr="003F0749">
        <w:t>верждения о дискриминации со стороны правительственных должнос</w:t>
      </w:r>
      <w:r w:rsidRPr="003F0749">
        <w:t>т</w:t>
      </w:r>
      <w:r w:rsidRPr="003F0749">
        <w:t xml:space="preserve">ных лиц. </w:t>
      </w:r>
    </w:p>
    <w:p w:rsidR="00DF5565" w:rsidRPr="003F0749" w:rsidRDefault="00DF5565" w:rsidP="00E2084F">
      <w:pPr>
        <w:pStyle w:val="Bullet1GR"/>
      </w:pPr>
      <w:r w:rsidRPr="003F0749">
        <w:t>Парламентская комиссия по расследованию нарушений прав чел</w:t>
      </w:r>
      <w:r w:rsidRPr="003F0749">
        <w:t>о</w:t>
      </w:r>
      <w:r w:rsidRPr="003F0749">
        <w:t>века также оказывает большую помощь в расследовании предполагаемых сл</w:t>
      </w:r>
      <w:r w:rsidRPr="003F0749">
        <w:t>у</w:t>
      </w:r>
      <w:r w:rsidRPr="003F0749">
        <w:t>чаев жестокого обращения со стороны сотрудников полиции и других с</w:t>
      </w:r>
      <w:r w:rsidRPr="003F0749">
        <w:t>и</w:t>
      </w:r>
      <w:r w:rsidRPr="003F0749">
        <w:t>ловых структур</w:t>
      </w:r>
      <w:r w:rsidR="002B6A52">
        <w:t>. В </w:t>
      </w:r>
      <w:r w:rsidRPr="003F0749">
        <w:t>связи с этим Парламентская комиссия по расследов</w:t>
      </w:r>
      <w:r w:rsidRPr="003F0749">
        <w:t>а</w:t>
      </w:r>
      <w:r w:rsidRPr="003F0749">
        <w:t>нию нарушений прав человека постоянно инспектирует полицейские и жандармские участки и тюрьмы, как с предварительным уведомлением, так и без него. Время от времени Комитет по расследованию нарушений прав человека создает спец</w:t>
      </w:r>
      <w:r w:rsidRPr="003F0749">
        <w:t>и</w:t>
      </w:r>
      <w:r w:rsidRPr="003F0749">
        <w:t>альные подкомитеты, которые инспектируют тюрьмы и полицейские участки</w:t>
      </w:r>
      <w:r w:rsidR="002B6A52">
        <w:t>. В </w:t>
      </w:r>
      <w:r w:rsidRPr="003F0749">
        <w:t>этих целях был создан постоянный подкомитет, который с июня 2011</w:t>
      </w:r>
      <w:r w:rsidR="002B6A52">
        <w:t> год</w:t>
      </w:r>
      <w:r w:rsidRPr="003F0749">
        <w:t>а пр</w:t>
      </w:r>
      <w:r w:rsidRPr="003F0749">
        <w:t>о</w:t>
      </w:r>
      <w:r w:rsidRPr="003F0749">
        <w:t xml:space="preserve">инспектировал 20 тюрем. </w:t>
      </w:r>
    </w:p>
    <w:p w:rsidR="00DF5565" w:rsidRPr="003F0749" w:rsidRDefault="00DF5565" w:rsidP="00DF5565">
      <w:pPr>
        <w:pStyle w:val="SingleTxtGR"/>
      </w:pPr>
      <w:r w:rsidRPr="003F0749">
        <w:t>38.</w:t>
      </w:r>
      <w:r w:rsidRPr="003F0749">
        <w:tab/>
        <w:t>Что касается гражданского контроля над силами безопасности, то в 2012</w:t>
      </w:r>
      <w:r w:rsidR="002B6A52">
        <w:t> год</w:t>
      </w:r>
      <w:r w:rsidRPr="003F0749">
        <w:t>у на рассмотрение парламента был представлен проект закона об учр</w:t>
      </w:r>
      <w:r w:rsidRPr="003F0749">
        <w:t>е</w:t>
      </w:r>
      <w:r w:rsidRPr="003F0749">
        <w:t xml:space="preserve">ждении Комиссии по мониторингу </w:t>
      </w:r>
      <w:proofErr w:type="spellStart"/>
      <w:r w:rsidRPr="003F0749">
        <w:t>правоприменения</w:t>
      </w:r>
      <w:proofErr w:type="spellEnd"/>
      <w:r w:rsidRPr="003F0749">
        <w:t xml:space="preserve"> и внесении изменений в некоторые законы, и ожидается, что он будет обсужден в парламенте.</w:t>
      </w:r>
    </w:p>
    <w:p w:rsidR="00DF5565" w:rsidRPr="003F0749" w:rsidRDefault="00DF5565" w:rsidP="00DF5565">
      <w:pPr>
        <w:pStyle w:val="SingleTxtGR"/>
      </w:pPr>
      <w:r w:rsidRPr="003F0749">
        <w:t>39.</w:t>
      </w:r>
      <w:r w:rsidRPr="003F0749">
        <w:tab/>
        <w:t>Проект закона преследует цель укрепить доверие населения и работников правоохранительных органов к системе подачи жалоб на действия правоохр</w:t>
      </w:r>
      <w:r w:rsidRPr="003F0749">
        <w:t>а</w:t>
      </w:r>
      <w:r w:rsidRPr="003F0749">
        <w:t>нительных органов и привести нынешнюю законодательную базу механизмов регистрации и рассмотрения жалоб на действия сотрудников правоохранител</w:t>
      </w:r>
      <w:r w:rsidRPr="003F0749">
        <w:t>ь</w:t>
      </w:r>
      <w:r w:rsidRPr="003F0749">
        <w:t>ных органов в соответствие со стандартами Европейского союза. Будет создана более эффективная система подачи жалоб, не возлагающая дополнительного бремени на бюрократический аппарат. Проект закона предусматривает учре</w:t>
      </w:r>
      <w:r w:rsidRPr="003F0749">
        <w:t>ж</w:t>
      </w:r>
      <w:r w:rsidRPr="003F0749">
        <w:t xml:space="preserve">дение Комиссии по мониторингу </w:t>
      </w:r>
      <w:proofErr w:type="spellStart"/>
      <w:r w:rsidRPr="003F0749">
        <w:t>правоприменения</w:t>
      </w:r>
      <w:proofErr w:type="spellEnd"/>
      <w:r w:rsidRPr="003F0749">
        <w:t>. Предусматривается, что Комиссия будет исполнять обязанности, перечисленные в отдельном законе, в</w:t>
      </w:r>
      <w:r w:rsidR="008D3B03">
        <w:t> </w:t>
      </w:r>
      <w:r w:rsidRPr="003F0749">
        <w:t xml:space="preserve">соответствии со своими полномочиями и функциями. </w:t>
      </w:r>
    </w:p>
    <w:p w:rsidR="00DF5565" w:rsidRPr="00E2084F" w:rsidRDefault="00E2084F" w:rsidP="00E2084F">
      <w:pPr>
        <w:pStyle w:val="H4GR"/>
        <w:spacing w:before="240"/>
        <w:ind w:left="1156" w:right="1179" w:hanging="1145"/>
      </w:pPr>
      <w:r>
        <w:tab/>
      </w:r>
      <w:r>
        <w:tab/>
      </w:r>
      <w:r w:rsidR="00DF5565" w:rsidRPr="00E2084F">
        <w:t>Проведение в жизнь обязательства запретить расовую дискриминацию, проводимую любыми лицами, группами или организациями, и положить ей конец</w:t>
      </w:r>
    </w:p>
    <w:p w:rsidR="00DF5565" w:rsidRPr="003F0749" w:rsidRDefault="00DF5565" w:rsidP="00DF5565">
      <w:pPr>
        <w:pStyle w:val="SingleTxtGR"/>
      </w:pPr>
      <w:r w:rsidRPr="003F0749">
        <w:t>40.</w:t>
      </w:r>
      <w:r w:rsidRPr="003F0749">
        <w:tab/>
        <w:t xml:space="preserve">Что касается запрещения дискриминации со стороны физических лиц, то статья 5 Закона </w:t>
      </w:r>
      <w:r w:rsidR="002B6A52">
        <w:t>№ </w:t>
      </w:r>
      <w:r w:rsidRPr="003F0749">
        <w:t xml:space="preserve">4857 о труде, озаглавленная </w:t>
      </w:r>
      <w:r w:rsidR="003F0749">
        <w:t>"</w:t>
      </w:r>
      <w:r w:rsidRPr="003F0749">
        <w:t>Принцип равного обращения</w:t>
      </w:r>
      <w:r w:rsidR="003F0749">
        <w:t>"</w:t>
      </w:r>
      <w:r w:rsidRPr="003F0749">
        <w:t>, запрещает дискриминацию в сфере трудовых отношений по признакам языка, расы, пола, политических убеждений, философских взглядов, религии, конфе</w:t>
      </w:r>
      <w:r w:rsidRPr="003F0749">
        <w:t>с</w:t>
      </w:r>
      <w:r w:rsidRPr="003F0749">
        <w:t>сиональной принадлежности и аналогичных обстоятельств</w:t>
      </w:r>
      <w:r w:rsidR="002B6A52">
        <w:t>. В </w:t>
      </w:r>
      <w:r w:rsidRPr="003F0749">
        <w:t>случае наруш</w:t>
      </w:r>
      <w:r w:rsidRPr="003F0749">
        <w:t>е</w:t>
      </w:r>
      <w:r w:rsidRPr="003F0749">
        <w:t>ния положений этой статьи работник/работница может в дополнение к компе</w:t>
      </w:r>
      <w:r w:rsidRPr="003F0749">
        <w:t>н</w:t>
      </w:r>
      <w:r w:rsidRPr="003F0749">
        <w:t xml:space="preserve">сации в размере четырехмесячного заработка требовать восстановления своих нарушенных прав. </w:t>
      </w:r>
    </w:p>
    <w:p w:rsidR="00DF5565" w:rsidRPr="003F0749" w:rsidRDefault="00DF5565" w:rsidP="00DF5565">
      <w:pPr>
        <w:pStyle w:val="SingleTxtGR"/>
      </w:pPr>
      <w:r w:rsidRPr="003F0749">
        <w:t>41.</w:t>
      </w:r>
      <w:r w:rsidRPr="003F0749">
        <w:tab/>
        <w:t xml:space="preserve">В статье 82 Закона </w:t>
      </w:r>
      <w:r w:rsidR="002B6A52">
        <w:t>№ </w:t>
      </w:r>
      <w:r w:rsidRPr="003F0749">
        <w:t>2820 о политических партиях, говорится, что пол</w:t>
      </w:r>
      <w:r w:rsidRPr="003F0749">
        <w:t>и</w:t>
      </w:r>
      <w:r w:rsidRPr="003F0749">
        <w:t>тическим партиям запрещается осуществлять свою деятельность на идеях р</w:t>
      </w:r>
      <w:r w:rsidRPr="003F0749">
        <w:t>е</w:t>
      </w:r>
      <w:r w:rsidRPr="003F0749">
        <w:t>гионализма и расизма. Статья 83 подтверждает, что политические партии не действуют в нарушение принципа, согласно которому все люди равны перед з</w:t>
      </w:r>
      <w:r w:rsidRPr="003F0749">
        <w:t>а</w:t>
      </w:r>
      <w:r w:rsidRPr="003F0749">
        <w:t>коном без всякой дискриминации независимо от языка, расы, цвета кожи, пола, политических убеждений, философских взглядов, религии и конфессиональной принадлежности или прочих аналогичных обстоятельств.</w:t>
      </w:r>
    </w:p>
    <w:p w:rsidR="00DF5565" w:rsidRPr="003F0749" w:rsidRDefault="00DF5565" w:rsidP="00DF5565">
      <w:pPr>
        <w:pStyle w:val="SingleTxtGR"/>
      </w:pPr>
      <w:r w:rsidRPr="003F0749">
        <w:t>42.</w:t>
      </w:r>
      <w:r w:rsidRPr="003F0749">
        <w:tab/>
        <w:t xml:space="preserve">К тому же, принцип </w:t>
      </w:r>
      <w:proofErr w:type="spellStart"/>
      <w:r w:rsidRPr="003F0749">
        <w:t>недискриминации</w:t>
      </w:r>
      <w:proofErr w:type="spellEnd"/>
      <w:r w:rsidRPr="003F0749">
        <w:t xml:space="preserve"> также закреплен в положении З</w:t>
      </w:r>
      <w:r w:rsidRPr="003F0749">
        <w:t>а</w:t>
      </w:r>
      <w:r w:rsidRPr="003F0749">
        <w:t>кона о политических партиях, который регулирует членство в политической партии. Уставы политических партий не могут содержать положений, явля</w:t>
      </w:r>
      <w:r w:rsidRPr="003F0749">
        <w:t>ю</w:t>
      </w:r>
      <w:r w:rsidRPr="003F0749">
        <w:t>щихся дискриминацией в отношении подателей заявления о вступлении в па</w:t>
      </w:r>
      <w:r w:rsidRPr="003F0749">
        <w:t>р</w:t>
      </w:r>
      <w:r w:rsidRPr="003F0749">
        <w:t>тию по признакам языка, расы, пола, религии, веры, семейного положения, принадлежности к какой-либо группе, классу или профессии (</w:t>
      </w:r>
      <w:r w:rsidR="008D3B03">
        <w:t>статья </w:t>
      </w:r>
      <w:r w:rsidRPr="003F0749">
        <w:t xml:space="preserve">12). </w:t>
      </w:r>
    </w:p>
    <w:p w:rsidR="00DF5565" w:rsidRPr="003F0749" w:rsidRDefault="00DF5565" w:rsidP="00DF5565">
      <w:pPr>
        <w:pStyle w:val="SingleTxtGR"/>
      </w:pPr>
      <w:r w:rsidRPr="003F0749">
        <w:t>43.</w:t>
      </w:r>
      <w:r w:rsidRPr="003F0749">
        <w:tab/>
        <w:t xml:space="preserve">В статье 30 (b) Закона </w:t>
      </w:r>
      <w:r w:rsidR="002B6A52">
        <w:t>№ </w:t>
      </w:r>
      <w:r w:rsidRPr="003F0749">
        <w:t>5253 об ассоциациях говорится, что ассоциации не могут создаваться для достижения целей, безоговорочно запрещенных Ко</w:t>
      </w:r>
      <w:r w:rsidRPr="003F0749">
        <w:t>н</w:t>
      </w:r>
      <w:r w:rsidRPr="003F0749">
        <w:t>ституцией и законами, или для совершения уголовных преступлений. Это включает также запрещение дискриминации. Лица, которые создают ассоци</w:t>
      </w:r>
      <w:r w:rsidRPr="003F0749">
        <w:t>а</w:t>
      </w:r>
      <w:r w:rsidRPr="003F0749">
        <w:t>ции, запрещенные статьей 30 (b), или функционеры ассоциаций, которые дейс</w:t>
      </w:r>
      <w:r w:rsidRPr="003F0749">
        <w:t>т</w:t>
      </w:r>
      <w:r w:rsidRPr="003F0749">
        <w:t>вуют в нарушение указанной статьи, подлежат, как минимум, наказанию в виде лишения свободы сроком от одного</w:t>
      </w:r>
      <w:r w:rsidR="002B6A52">
        <w:t> год</w:t>
      </w:r>
      <w:r w:rsidRPr="003F0749">
        <w:t>а до трех лет и судебному штрафу</w:t>
      </w:r>
      <w:r w:rsidR="002B6A52">
        <w:t>. В </w:t>
      </w:r>
      <w:r w:rsidRPr="003F0749">
        <w:t>п</w:t>
      </w:r>
      <w:r w:rsidRPr="003F0749">
        <w:t>о</w:t>
      </w:r>
      <w:r w:rsidRPr="003F0749">
        <w:t xml:space="preserve">добных случаях такая ассоциация распускается (статья 32 (b)). </w:t>
      </w:r>
    </w:p>
    <w:p w:rsidR="00DF5565" w:rsidRPr="003F0749" w:rsidRDefault="00DF5565" w:rsidP="00DF5565">
      <w:pPr>
        <w:pStyle w:val="SingleTxtGR"/>
      </w:pPr>
      <w:r w:rsidRPr="003F0749">
        <w:t>44.</w:t>
      </w:r>
      <w:r w:rsidRPr="003F0749">
        <w:tab/>
        <w:t xml:space="preserve">Что касается ассоциаций, то в Гражданском кодексе (Закон </w:t>
      </w:r>
      <w:r w:rsidR="002B6A52">
        <w:t>№ </w:t>
      </w:r>
      <w:r w:rsidRPr="003F0749">
        <w:t>4721) гов</w:t>
      </w:r>
      <w:r w:rsidRPr="003F0749">
        <w:t>о</w:t>
      </w:r>
      <w:r w:rsidRPr="003F0749">
        <w:t>рится, что ни одна ассоциация не может быть создана, если ее цели противор</w:t>
      </w:r>
      <w:r w:rsidRPr="003F0749">
        <w:t>е</w:t>
      </w:r>
      <w:r w:rsidRPr="003F0749">
        <w:t>чат закону и нравственности (статья 56). Если цели ассоциации не совмест</w:t>
      </w:r>
      <w:r w:rsidRPr="003F0749">
        <w:t>и</w:t>
      </w:r>
      <w:r w:rsidRPr="003F0749">
        <w:t>мы с законодательством и нравственностью населения, суд может издать приказ о роспуске такой ассоциации по представлению государственного прокурора или другого соответствующего лица (статья 89). Кроме того, в статье 68 Гражда</w:t>
      </w:r>
      <w:r w:rsidRPr="003F0749">
        <w:t>н</w:t>
      </w:r>
      <w:r w:rsidRPr="003F0749">
        <w:t xml:space="preserve">ского кодекса говориться, что все члены ассоциации имеют равные права и что дискриминация по признакам языка, расы, пола, религии, конфессиональной принадлежности, семейного положения, принадлежности к какой-либо группе или классу в отношении членов ассоциации запрещается. </w:t>
      </w:r>
    </w:p>
    <w:p w:rsidR="00DF5565" w:rsidRPr="003F0749" w:rsidRDefault="00DF5565" w:rsidP="00DF5565">
      <w:pPr>
        <w:pStyle w:val="SingleTxtGR"/>
      </w:pPr>
      <w:r w:rsidRPr="003F0749">
        <w:t>45.</w:t>
      </w:r>
      <w:r w:rsidRPr="003F0749">
        <w:tab/>
        <w:t>Как уже отмечалось в пункте 29, статья 122 УКТ квалифицирует в кач</w:t>
      </w:r>
      <w:r w:rsidRPr="003F0749">
        <w:t>е</w:t>
      </w:r>
      <w:r w:rsidRPr="003F0749">
        <w:t>стве уголовного правонарушения, наказуемого лишением свободы сроком от шести месяцев до одного</w:t>
      </w:r>
      <w:r w:rsidR="008D3B03">
        <w:t xml:space="preserve"> </w:t>
      </w:r>
      <w:r w:rsidR="002B6A52">
        <w:t>год</w:t>
      </w:r>
      <w:r w:rsidRPr="003F0749">
        <w:t>а или судебным штрафом, дискриминацию в о</w:t>
      </w:r>
      <w:r w:rsidRPr="003F0749">
        <w:t>т</w:t>
      </w:r>
      <w:r w:rsidRPr="003F0749">
        <w:t>ношении любого лица по признакам языка, расы, цвета кожи, инвалидности, политических убеждений, философских взглядов, религии, конфессиональной принадлежности или аналогичных причин, если правонарушитель препятствует по этим основаниям продаже или передаче движимой или недвижимой собс</w:t>
      </w:r>
      <w:r w:rsidRPr="003F0749">
        <w:t>т</w:t>
      </w:r>
      <w:r w:rsidRPr="003F0749">
        <w:t>венности или предоставлению услуги; или мешает другим пользоваться усл</w:t>
      </w:r>
      <w:r w:rsidRPr="003F0749">
        <w:t>у</w:t>
      </w:r>
      <w:r w:rsidRPr="003F0749">
        <w:t>гой; не предоставляет продукты питания или отказывается предоставить услугу, которая должна оказываться населению; или препятствует любому лицу зан</w:t>
      </w:r>
      <w:r w:rsidRPr="003F0749">
        <w:t>и</w:t>
      </w:r>
      <w:r w:rsidRPr="003F0749">
        <w:t xml:space="preserve">маться регулярной экономической деятельностью. </w:t>
      </w:r>
    </w:p>
    <w:p w:rsidR="00DF5565" w:rsidRPr="00E2084F" w:rsidRDefault="00DF5565" w:rsidP="00E2084F">
      <w:pPr>
        <w:pStyle w:val="H4GR"/>
        <w:spacing w:before="240"/>
        <w:ind w:left="1156" w:right="1179" w:hanging="1145"/>
      </w:pPr>
      <w:r w:rsidRPr="00E2084F">
        <w:tab/>
      </w:r>
      <w:r w:rsidRPr="00E2084F">
        <w:tab/>
        <w:t>Пересмотр политики правительства в национальном и местном масштабе, а</w:t>
      </w:r>
      <w:r w:rsidR="008D3B03">
        <w:t> </w:t>
      </w:r>
      <w:r w:rsidRPr="00E2084F">
        <w:t>также в целях исправления, отмены или аннулирования любых законов и постановлений, ведущих к возникновению или увековечению расовой дискриминации</w:t>
      </w:r>
    </w:p>
    <w:p w:rsidR="00DF5565" w:rsidRPr="003F0749" w:rsidRDefault="00DF5565" w:rsidP="00DF5565">
      <w:pPr>
        <w:pStyle w:val="SingleTxtGR"/>
      </w:pPr>
      <w:r w:rsidRPr="003F0749">
        <w:t>46.</w:t>
      </w:r>
      <w:r w:rsidRPr="003F0749">
        <w:tab/>
        <w:t>Турецкое правительство постоянно пересматривает свои законы, норм</w:t>
      </w:r>
      <w:r w:rsidRPr="003F0749">
        <w:t>а</w:t>
      </w:r>
      <w:r w:rsidRPr="003F0749">
        <w:t>тивные акты и политику в целях их приведения в соответствии с междунаро</w:t>
      </w:r>
      <w:r w:rsidRPr="003F0749">
        <w:t>д</w:t>
      </w:r>
      <w:r w:rsidRPr="003F0749">
        <w:t>ными юридическими и политическими обязательствами Турции</w:t>
      </w:r>
      <w:r w:rsidR="002B6A52">
        <w:t>. В </w:t>
      </w:r>
      <w:r w:rsidRPr="003F0749">
        <w:t>последние десять лет был проведен радикальный пересмотр основных законов. Соответс</w:t>
      </w:r>
      <w:r w:rsidRPr="003F0749">
        <w:t>т</w:t>
      </w:r>
      <w:r w:rsidRPr="003F0749">
        <w:t>вующие государственные ведомства внимательно следят за законодательством и его осуществлением и, когда это необходимо, соответственно предлагают его изменение.</w:t>
      </w:r>
    </w:p>
    <w:p w:rsidR="00DF5565" w:rsidRPr="003F0749" w:rsidRDefault="00DF5565" w:rsidP="00DF5565">
      <w:pPr>
        <w:pStyle w:val="SingleTxtGR"/>
      </w:pPr>
      <w:r w:rsidRPr="003F0749">
        <w:t>47.</w:t>
      </w:r>
      <w:r w:rsidRPr="003F0749">
        <w:tab/>
        <w:t>Например, при пересмотре законодательства должное внимание было уделено также его освобождению от коннотаций, которые могли бы рассматр</w:t>
      </w:r>
      <w:r w:rsidRPr="003F0749">
        <w:t>и</w:t>
      </w:r>
      <w:r w:rsidRPr="003F0749">
        <w:t>ваться как дискриминационные. Так, была изменена статья 21 Закона о прож</w:t>
      </w:r>
      <w:r w:rsidRPr="003F0749">
        <w:t>и</w:t>
      </w:r>
      <w:r w:rsidRPr="003F0749">
        <w:t>вании и передвижении иностранцев в Турции, чтобы изъять из него некоторые положения, которые могут восприниматься как дискриминационные в отнош</w:t>
      </w:r>
      <w:r w:rsidRPr="003F0749">
        <w:t>е</w:t>
      </w:r>
      <w:r w:rsidRPr="003F0749">
        <w:t>нии народности рома.</w:t>
      </w:r>
    </w:p>
    <w:p w:rsidR="00DF5565" w:rsidRPr="00E2084F" w:rsidRDefault="00E2084F" w:rsidP="00E2084F">
      <w:pPr>
        <w:pStyle w:val="H4GR"/>
        <w:spacing w:before="240"/>
        <w:ind w:left="1156" w:right="1179" w:hanging="1145"/>
      </w:pPr>
      <w:r>
        <w:tab/>
      </w:r>
      <w:r>
        <w:tab/>
      </w:r>
      <w:r w:rsidR="00DF5565" w:rsidRPr="00E2084F">
        <w:t>Поощрение в надлежащих случаях неправительственных организаций и учреждений, которые борются с расовой дискриминацией и способствуют расовому взаимопон</w:t>
      </w:r>
      <w:r w:rsidR="00DF5565" w:rsidRPr="00E2084F">
        <w:t>и</w:t>
      </w:r>
      <w:r w:rsidR="00DF5565" w:rsidRPr="00E2084F">
        <w:t xml:space="preserve">манию </w:t>
      </w:r>
    </w:p>
    <w:p w:rsidR="00DF5565" w:rsidRPr="003F0749" w:rsidRDefault="00DF5565" w:rsidP="00DF5565">
      <w:pPr>
        <w:pStyle w:val="SingleTxtGR"/>
      </w:pPr>
      <w:r w:rsidRPr="003F0749">
        <w:t>48.</w:t>
      </w:r>
      <w:r w:rsidRPr="003F0749">
        <w:tab/>
        <w:t>В ходе текущего процесса реформ в Турции голос правозащитных НПО, в</w:t>
      </w:r>
      <w:r w:rsidR="008D3B03">
        <w:t> </w:t>
      </w:r>
      <w:r w:rsidRPr="003F0749">
        <w:t>том числе борющихся с дискриминацией, стал раздаваться громче. Прав</w:t>
      </w:r>
      <w:r w:rsidRPr="003F0749">
        <w:t>и</w:t>
      </w:r>
      <w:r w:rsidRPr="003F0749">
        <w:t>тельство расширило диалог с представителями гражданского общества и в пр</w:t>
      </w:r>
      <w:r w:rsidRPr="003F0749">
        <w:t>о</w:t>
      </w:r>
      <w:r w:rsidRPr="003F0749">
        <w:t xml:space="preserve">цессе реформ проводит встречи и консультации с НПО по различным вопросам. </w:t>
      </w:r>
    </w:p>
    <w:p w:rsidR="00DF5565" w:rsidRPr="003F0749" w:rsidRDefault="00DF5565" w:rsidP="00E2084F">
      <w:pPr>
        <w:pStyle w:val="H23GR"/>
      </w:pPr>
      <w:r w:rsidRPr="003F0749">
        <w:tab/>
        <w:t>3.</w:t>
      </w:r>
      <w:r w:rsidRPr="003F0749">
        <w:tab/>
        <w:t>Информация о Национальном правозащитном учреждении, Омбудсмене и</w:t>
      </w:r>
      <w:r w:rsidR="008D3B03">
        <w:t> </w:t>
      </w:r>
      <w:r w:rsidRPr="003F0749">
        <w:t xml:space="preserve">других органах по правам человека </w:t>
      </w:r>
    </w:p>
    <w:p w:rsidR="00DF5565" w:rsidRPr="003F0749" w:rsidRDefault="00DF5565" w:rsidP="00DF5565">
      <w:pPr>
        <w:pStyle w:val="SingleTxtGR"/>
      </w:pPr>
      <w:r w:rsidRPr="003F0749">
        <w:t>49.</w:t>
      </w:r>
      <w:r w:rsidRPr="003F0749">
        <w:tab/>
        <w:t xml:space="preserve">В отчетный период Турция добилась значительного прогресса в деле </w:t>
      </w:r>
      <w:proofErr w:type="spellStart"/>
      <w:r w:rsidRPr="003F0749">
        <w:t>и</w:t>
      </w:r>
      <w:r w:rsidRPr="003F0749">
        <w:t>н</w:t>
      </w:r>
      <w:r w:rsidRPr="003F0749">
        <w:t>ституализации</w:t>
      </w:r>
      <w:proofErr w:type="spellEnd"/>
      <w:r w:rsidRPr="003F0749">
        <w:t xml:space="preserve"> в области прав человека; при этом в целях обеспечения инстит</w:t>
      </w:r>
      <w:r w:rsidRPr="003F0749">
        <w:t>у</w:t>
      </w:r>
      <w:r w:rsidRPr="003F0749">
        <w:t>циональных гарантий прав человека были созданы важные учреждения</w:t>
      </w:r>
      <w:r w:rsidR="002B6A52">
        <w:t>. В </w:t>
      </w:r>
      <w:r w:rsidRPr="003F0749">
        <w:t>пр</w:t>
      </w:r>
      <w:r w:rsidRPr="003F0749">
        <w:t>о</w:t>
      </w:r>
      <w:r w:rsidRPr="003F0749">
        <w:t>цессе подготовки законов о создании таких учреждений были проведены вс</w:t>
      </w:r>
      <w:r w:rsidRPr="003F0749">
        <w:t>е</w:t>
      </w:r>
      <w:r w:rsidRPr="003F0749">
        <w:t>объемлющие консультации с заинтересованными сторонами.</w:t>
      </w:r>
    </w:p>
    <w:p w:rsidR="00DF5565" w:rsidRPr="003F0749" w:rsidRDefault="00DF5565" w:rsidP="00DF5565">
      <w:pPr>
        <w:pStyle w:val="SingleTxtGR"/>
      </w:pPr>
      <w:r w:rsidRPr="003F0749">
        <w:t>50.</w:t>
      </w:r>
      <w:r w:rsidRPr="003F0749">
        <w:tab/>
        <w:t>Закон о создании Национального правозащитного учреждения Турции вступил в силу 30 июня 2012</w:t>
      </w:r>
      <w:r w:rsidR="002B6A52">
        <w:t> год</w:t>
      </w:r>
      <w:r w:rsidRPr="003F0749">
        <w:t>а, и в соответствии с Парижскими принципами ООН был запущен процесс создания Национального правозащитного учрежд</w:t>
      </w:r>
      <w:r w:rsidRPr="003F0749">
        <w:t>е</w:t>
      </w:r>
      <w:r w:rsidRPr="003F0749">
        <w:t>ния Турции. По состоянию на 12 сентября 2012</w:t>
      </w:r>
      <w:r w:rsidR="002B6A52">
        <w:t> год</w:t>
      </w:r>
      <w:r w:rsidRPr="003F0749">
        <w:t>а были завершены выборы членов Совета по правам человека, директивного органа этого Учреждения</w:t>
      </w:r>
      <w:r w:rsidR="002B6A52">
        <w:t>. В </w:t>
      </w:r>
      <w:r w:rsidRPr="003F0749">
        <w:t>этом Законе говорится, что Учреждение при осуществлении своих полном</w:t>
      </w:r>
      <w:r w:rsidRPr="003F0749">
        <w:t>о</w:t>
      </w:r>
      <w:r w:rsidRPr="003F0749">
        <w:t>чий и обязанностей является независимым органом. Учреждение отвечает за деятельность по защите и дальнейшему поощрению прав человека, и в этом к</w:t>
      </w:r>
      <w:r w:rsidRPr="003F0749">
        <w:t>а</w:t>
      </w:r>
      <w:r w:rsidRPr="003F0749">
        <w:t>честве проводит обследования и исследования, готовит доклады, дает свои з</w:t>
      </w:r>
      <w:r w:rsidRPr="003F0749">
        <w:t>а</w:t>
      </w:r>
      <w:r w:rsidRPr="003F0749">
        <w:t>ключения и рекомендации, осуществляет</w:t>
      </w:r>
      <w:r w:rsidR="002B6A52">
        <w:t xml:space="preserve"> </w:t>
      </w:r>
      <w:r w:rsidRPr="003F0749">
        <w:t>информационную деятельность, ведет информационно-пропагандистскую работу и организует профессиональную подготовку, а также проверяет утверждения о нарушения прав человека.</w:t>
      </w:r>
    </w:p>
    <w:p w:rsidR="00DF5565" w:rsidRPr="003F0749" w:rsidRDefault="00DF5565" w:rsidP="00DF5565">
      <w:pPr>
        <w:pStyle w:val="SingleTxtGR"/>
      </w:pPr>
      <w:r w:rsidRPr="003F0749">
        <w:t>51.</w:t>
      </w:r>
      <w:r w:rsidRPr="003F0749">
        <w:tab/>
        <w:t>Национальное правозащитное учреждение Турции является государс</w:t>
      </w:r>
      <w:r w:rsidRPr="003F0749">
        <w:t>т</w:t>
      </w:r>
      <w:r w:rsidRPr="003F0749">
        <w:t>венным юридическим лицом, которое пользуется административной и фина</w:t>
      </w:r>
      <w:r w:rsidRPr="003F0749">
        <w:t>н</w:t>
      </w:r>
      <w:r w:rsidRPr="003F0749">
        <w:t>совой автономией. При исполнении своих полномочий и обязанностей оно я</w:t>
      </w:r>
      <w:r w:rsidRPr="003F0749">
        <w:t>в</w:t>
      </w:r>
      <w:r w:rsidRPr="003F0749">
        <w:t>ляется независимым органом; оно не может получать приказы и указания, р</w:t>
      </w:r>
      <w:r w:rsidRPr="003F0749">
        <w:t>е</w:t>
      </w:r>
      <w:r w:rsidRPr="003F0749">
        <w:t>комендации или соображения в части, касающейся его обязанностей. Благодаря своей административной и финансовой автономии Учреждение имеет свой бюджет, свой штат сотрудников и собственность, и уполномочено определять свои собственные административные механизмы в отношении вопросов, нах</w:t>
      </w:r>
      <w:r w:rsidRPr="003F0749">
        <w:t>о</w:t>
      </w:r>
      <w:r w:rsidRPr="003F0749">
        <w:t>дящихся в его компетенции.</w:t>
      </w:r>
    </w:p>
    <w:p w:rsidR="00DF5565" w:rsidRPr="003F0749" w:rsidRDefault="00DF5565" w:rsidP="00DF5565">
      <w:pPr>
        <w:pStyle w:val="SingleTxtGR"/>
      </w:pPr>
      <w:r w:rsidRPr="003F0749">
        <w:t>52.</w:t>
      </w:r>
      <w:r w:rsidRPr="003F0749">
        <w:tab/>
        <w:t xml:space="preserve">Национальное правозащитное учреждение Турции обладает широким мандатом в области защиты и поощрения прав человека. Естественно, мандат охватывает борьбу с расовой дискриминацией. </w:t>
      </w:r>
    </w:p>
    <w:p w:rsidR="00DF5565" w:rsidRPr="003F0749" w:rsidRDefault="00DF5565" w:rsidP="00DF5565">
      <w:pPr>
        <w:pStyle w:val="SingleTxtGR"/>
      </w:pPr>
      <w:r w:rsidRPr="003F0749">
        <w:t>53.</w:t>
      </w:r>
      <w:r w:rsidRPr="003F0749">
        <w:tab/>
        <w:t>Закон об институте Омбудсмена вступил в силу 29 июня 2012</w:t>
      </w:r>
      <w:r w:rsidR="002B6A52">
        <w:t> год</w:t>
      </w:r>
      <w:r w:rsidRPr="003F0749">
        <w:t>а. На</w:t>
      </w:r>
      <w:r w:rsidR="008D3B03">
        <w:t> </w:t>
      </w:r>
      <w:r w:rsidRPr="003F0749">
        <w:t>основании этого Закона при парламенте в качестве государственного юр</w:t>
      </w:r>
      <w:r w:rsidRPr="003F0749">
        <w:t>и</w:t>
      </w:r>
      <w:r w:rsidRPr="003F0749">
        <w:t>дического лица был создан институт Омбудсмена, имеющий собственный бю</w:t>
      </w:r>
      <w:r w:rsidRPr="003F0749">
        <w:t>д</w:t>
      </w:r>
      <w:r w:rsidRPr="003F0749">
        <w:t>жет. Омбудсмен уполномочен рассматривать и расследовать жалобы на дейс</w:t>
      </w:r>
      <w:r w:rsidRPr="003F0749">
        <w:t>т</w:t>
      </w:r>
      <w:r w:rsidRPr="003F0749">
        <w:t>вия административных органов, т.е. на все акты, сделки, политику и действия администрации на предмет их соответствия закону и беспристрастности, в о</w:t>
      </w:r>
      <w:r w:rsidRPr="003F0749">
        <w:t>с</w:t>
      </w:r>
      <w:r w:rsidRPr="003F0749">
        <w:t>нове которого лежит внесудебное разбирательство, опирающееся на права ч</w:t>
      </w:r>
      <w:r w:rsidRPr="003F0749">
        <w:t>е</w:t>
      </w:r>
      <w:r w:rsidRPr="003F0749">
        <w:t>ловека. Институт также уполномочен давать рекомендации административным органам</w:t>
      </w:r>
      <w:r w:rsidR="002B6A52">
        <w:t>. В </w:t>
      </w:r>
      <w:r w:rsidRPr="003F0749">
        <w:t>соответствии с принципом независимости главный Омбудсмен и Омбудсмен не могут получать приказы и указания от какого-либо органа вл</w:t>
      </w:r>
      <w:r w:rsidRPr="003F0749">
        <w:t>а</w:t>
      </w:r>
      <w:r w:rsidRPr="003F0749">
        <w:t>сти, др</w:t>
      </w:r>
      <w:r w:rsidRPr="003F0749">
        <w:t>у</w:t>
      </w:r>
      <w:r w:rsidRPr="003F0749">
        <w:t>гого органа, ведомства или лица в отношении своих обязанностей.</w:t>
      </w:r>
    </w:p>
    <w:p w:rsidR="00DF5565" w:rsidRPr="003F0749" w:rsidRDefault="00DF5565" w:rsidP="00DF5565">
      <w:pPr>
        <w:pStyle w:val="SingleTxtGR"/>
      </w:pPr>
      <w:r w:rsidRPr="003F0749">
        <w:t>54.</w:t>
      </w:r>
      <w:r w:rsidRPr="003F0749">
        <w:tab/>
        <w:t>Институт стал принимать жалобы 29 марта 2013</w:t>
      </w:r>
      <w:r w:rsidR="002B6A52">
        <w:t> год</w:t>
      </w:r>
      <w:r w:rsidRPr="003F0749">
        <w:t>а, и по состоянию на 6 декабря 2013</w:t>
      </w:r>
      <w:r w:rsidR="002B6A52">
        <w:t> год</w:t>
      </w:r>
      <w:r w:rsidRPr="003F0749">
        <w:t>а получил 6 983 жалобы. Подача жалоб осуществляется бе</w:t>
      </w:r>
      <w:r w:rsidRPr="003F0749">
        <w:t>с</w:t>
      </w:r>
      <w:r w:rsidRPr="003F0749">
        <w:t xml:space="preserve">платно, причем жалобы могут направляться в электронном виде, а также через аппараты губернаторов и окружные администрации в провинциях и округах. </w:t>
      </w:r>
    </w:p>
    <w:p w:rsidR="00DF5565" w:rsidRPr="003F0749" w:rsidRDefault="00DF5565" w:rsidP="00DF5565">
      <w:pPr>
        <w:pStyle w:val="SingleTxtGR"/>
      </w:pPr>
      <w:r w:rsidRPr="003F0749">
        <w:t>55.</w:t>
      </w:r>
      <w:r w:rsidRPr="003F0749">
        <w:tab/>
        <w:t>Институт Омбудсмена может осуществлять на различных языках свою агитационную деятельность, касающуюся процедур и принципов подачи жалоб, в рамках установленных правил. Соответственно, в провинции были направл</w:t>
      </w:r>
      <w:r w:rsidRPr="003F0749">
        <w:t>е</w:t>
      </w:r>
      <w:r w:rsidRPr="003F0749">
        <w:t>ны плакаты и брошюры на турецком, английском, арабском и курдском языках.</w:t>
      </w:r>
    </w:p>
    <w:p w:rsidR="00DF5565" w:rsidRPr="003F0749" w:rsidRDefault="00DF5565" w:rsidP="00DF5565">
      <w:pPr>
        <w:pStyle w:val="SingleTxtGR"/>
      </w:pPr>
      <w:r w:rsidRPr="003F0749">
        <w:t>56.</w:t>
      </w:r>
      <w:r w:rsidRPr="003F0749">
        <w:tab/>
        <w:t>Создание системы Омбудсмена в Турции стало одной из наиболее ва</w:t>
      </w:r>
      <w:r w:rsidRPr="003F0749">
        <w:t>ж</w:t>
      </w:r>
      <w:r w:rsidRPr="003F0749">
        <w:t>ных мер, принятых для обеспечения подотчетности, справедливости и прозра</w:t>
      </w:r>
      <w:r w:rsidRPr="003F0749">
        <w:t>ч</w:t>
      </w:r>
      <w:r w:rsidRPr="003F0749">
        <w:t>ности государственного управления. Институт Омбудсмена призван повышать качество и эффективность государственных органов путем справедливого, оп</w:t>
      </w:r>
      <w:r w:rsidRPr="003F0749">
        <w:t>е</w:t>
      </w:r>
      <w:r w:rsidRPr="003F0749">
        <w:t>ративного и бесплатного рассмотрения жалоб граждан на работу государстве</w:t>
      </w:r>
      <w:r w:rsidRPr="003F0749">
        <w:t>н</w:t>
      </w:r>
      <w:r w:rsidRPr="003F0749">
        <w:t>ных служб в соответствии с законом. Расследование утверждений о превыш</w:t>
      </w:r>
      <w:r w:rsidRPr="003F0749">
        <w:t>е</w:t>
      </w:r>
      <w:r w:rsidRPr="003F0749">
        <w:t xml:space="preserve">нии полномочий любых государственных должностных лиц также относится к компетенции Омбудсмена. </w:t>
      </w:r>
    </w:p>
    <w:p w:rsidR="00DF5565" w:rsidRPr="003F0749" w:rsidRDefault="00DF5565" w:rsidP="00DF5565">
      <w:pPr>
        <w:pStyle w:val="SingleTxtGR"/>
      </w:pPr>
      <w:r w:rsidRPr="003F0749">
        <w:t>57.</w:t>
      </w:r>
      <w:r w:rsidRPr="003F0749">
        <w:tab/>
        <w:t>Направленные на имя Омбудсмена жалобы, в которых содержатся утве</w:t>
      </w:r>
      <w:r w:rsidRPr="003F0749">
        <w:t>р</w:t>
      </w:r>
      <w:r w:rsidRPr="003F0749">
        <w:t>ждения о дискриминации, рассматриваются в пункте 183, касающемся выпо</w:t>
      </w:r>
      <w:r w:rsidRPr="003F0749">
        <w:t>л</w:t>
      </w:r>
      <w:r w:rsidRPr="003F0749">
        <w:t>нения статьи 6.</w:t>
      </w:r>
    </w:p>
    <w:p w:rsidR="00DF5565" w:rsidRPr="003F0749" w:rsidRDefault="00DF5565" w:rsidP="00DF5565">
      <w:pPr>
        <w:pStyle w:val="SingleTxtGR"/>
      </w:pPr>
      <w:r w:rsidRPr="003F0749">
        <w:t>58.</w:t>
      </w:r>
      <w:r w:rsidRPr="003F0749">
        <w:tab/>
        <w:t>С 1990</w:t>
      </w:r>
      <w:r w:rsidR="002B6A52">
        <w:t> год</w:t>
      </w:r>
      <w:r w:rsidRPr="003F0749">
        <w:t>а Парламентская комиссия по расследованию нарушений прав человека действует в качестве парламентского контрольного механизма. Коми</w:t>
      </w:r>
      <w:r w:rsidRPr="003F0749">
        <w:t>с</w:t>
      </w:r>
      <w:r w:rsidRPr="003F0749">
        <w:t>сия изучает вопрос о том, насколько правозащитная практика в Турции соотве</w:t>
      </w:r>
      <w:r w:rsidRPr="003F0749">
        <w:t>т</w:t>
      </w:r>
      <w:r w:rsidRPr="003F0749">
        <w:t>ствует требованиям Конституции, внутреннего законодательства и междун</w:t>
      </w:r>
      <w:r w:rsidRPr="003F0749">
        <w:t>а</w:t>
      </w:r>
      <w:r w:rsidRPr="003F0749">
        <w:t>родных конвенций, стороной которых является Турция. Комиссия наделена правом проводить расследования, и, при исполнении своих обязанностей, упо</w:t>
      </w:r>
      <w:r w:rsidRPr="003F0749">
        <w:t>л</w:t>
      </w:r>
      <w:r w:rsidRPr="003F0749">
        <w:t>номочена запрашивать информацию у министерств и других государственных ведомств, местных органов власти, университетов и других государственных учреждений, а также у частных предприятий; проводить обследования их п</w:t>
      </w:r>
      <w:r w:rsidRPr="003F0749">
        <w:t>о</w:t>
      </w:r>
      <w:r w:rsidRPr="003F0749">
        <w:t>мещений и приглашать представителей этих органов для заслушивания инфо</w:t>
      </w:r>
      <w:r w:rsidRPr="003F0749">
        <w:t>р</w:t>
      </w:r>
      <w:r w:rsidRPr="003F0749">
        <w:t>мации. Комиссия также инспектирует центры содержания под стражей и тюр</w:t>
      </w:r>
      <w:r w:rsidRPr="003F0749">
        <w:t>ь</w:t>
      </w:r>
      <w:r w:rsidRPr="003F0749">
        <w:t xml:space="preserve">мы по предварительному уведомлению или без него. </w:t>
      </w:r>
    </w:p>
    <w:p w:rsidR="00DF5565" w:rsidRPr="003F0749" w:rsidRDefault="00DF5565" w:rsidP="00DF5565">
      <w:pPr>
        <w:pStyle w:val="SingleTxtGR"/>
      </w:pPr>
      <w:r w:rsidRPr="003F0749">
        <w:t>59.</w:t>
      </w:r>
      <w:r w:rsidRPr="003F0749">
        <w:tab/>
        <w:t>Комиссия также представляет руководству парламента</w:t>
      </w:r>
      <w:r w:rsidR="002B6A52">
        <w:t> год</w:t>
      </w:r>
      <w:r w:rsidRPr="003F0749">
        <w:t>овой и спец</w:t>
      </w:r>
      <w:r w:rsidRPr="003F0749">
        <w:t>и</w:t>
      </w:r>
      <w:r w:rsidRPr="003F0749">
        <w:t>альные доклады, касающиеся вопросов ее мандата и исполнения своих обяза</w:t>
      </w:r>
      <w:r w:rsidRPr="003F0749">
        <w:t>н</w:t>
      </w:r>
      <w:r w:rsidRPr="003F0749">
        <w:t>ностей. Ее выводы также направляются компетентным государственным учр</w:t>
      </w:r>
      <w:r w:rsidRPr="003F0749">
        <w:t>е</w:t>
      </w:r>
      <w:r w:rsidRPr="003F0749">
        <w:t>ждениям для принятия мер. Комиссия заслужила всеобщее доверие за эффе</w:t>
      </w:r>
      <w:r w:rsidRPr="003F0749">
        <w:t>к</w:t>
      </w:r>
      <w:r w:rsidRPr="003F0749">
        <w:t>тивное пользование своими полномочиями по расследованию предполагаемых правонарушений. Конкретная работа Комиссии, включая рассмотрение жалоб на расовую дискриминацию, излагается в пунктах 184−187, касающихся в</w:t>
      </w:r>
      <w:r w:rsidRPr="003F0749">
        <w:t>ы</w:t>
      </w:r>
      <w:r w:rsidRPr="003F0749">
        <w:t>полнению статьи 6.</w:t>
      </w:r>
    </w:p>
    <w:p w:rsidR="00DF5565" w:rsidRPr="003F0749" w:rsidRDefault="00DF5565" w:rsidP="00DF5565">
      <w:pPr>
        <w:pStyle w:val="SingleTxtGR"/>
      </w:pPr>
      <w:r w:rsidRPr="003F0749">
        <w:t>60.</w:t>
      </w:r>
      <w:r w:rsidRPr="003F0749">
        <w:tab/>
        <w:t>Серия поправок к Конституции, принятых путем референдума 12 сентя</w:t>
      </w:r>
      <w:r w:rsidRPr="003F0749">
        <w:t>б</w:t>
      </w:r>
      <w:r w:rsidRPr="003F0749">
        <w:t>ря 2010</w:t>
      </w:r>
      <w:r w:rsidR="002B6A52">
        <w:t> год</w:t>
      </w:r>
      <w:r w:rsidRPr="003F0749">
        <w:t>а, позволила ввести право на обращение в Конституционный суд с индивидуальными сообщениями. Главная цель введения механизма индивид</w:t>
      </w:r>
      <w:r w:rsidRPr="003F0749">
        <w:t>у</w:t>
      </w:r>
      <w:r w:rsidRPr="003F0749">
        <w:t>альных сообщений заключается в том, чтобы устранять случаи нарушений о</w:t>
      </w:r>
      <w:r w:rsidRPr="003F0749">
        <w:t>с</w:t>
      </w:r>
      <w:r w:rsidRPr="003F0749">
        <w:t>новных прав с помощью внутреннего законодательства</w:t>
      </w:r>
      <w:r w:rsidR="002B6A52">
        <w:t>. К </w:t>
      </w:r>
      <w:r w:rsidRPr="003F0749">
        <w:t>тому же, механизм индивидуальных сообщений укрепляет законность и повышает демократич</w:t>
      </w:r>
      <w:r w:rsidRPr="003F0749">
        <w:t>е</w:t>
      </w:r>
      <w:r w:rsidRPr="003F0749">
        <w:t>ские стандарты в Турции путем эффективной защиты прав человека.</w:t>
      </w:r>
    </w:p>
    <w:p w:rsidR="00DF5565" w:rsidRPr="003F0749" w:rsidRDefault="00DF5565" w:rsidP="00DF5565">
      <w:pPr>
        <w:pStyle w:val="SingleTxtGR"/>
      </w:pPr>
      <w:r w:rsidRPr="003F0749">
        <w:t>61.</w:t>
      </w:r>
      <w:r w:rsidRPr="003F0749">
        <w:tab/>
        <w:t>Реализация системы подачи индивидуальных жалоб на решения, дейс</w:t>
      </w:r>
      <w:r w:rsidRPr="003F0749">
        <w:t>т</w:t>
      </w:r>
      <w:r w:rsidRPr="003F0749">
        <w:t>вия или бездействие государственных властей в Конституционный суд, которая является исключительно внутренним средством правовой защиты от нарушений отдельных прав и свобод, гарантированных Конституцией и международными конвенциями, участницей которых является Турция, началась 23 сентября 2012</w:t>
      </w:r>
      <w:r w:rsidR="002B6A52">
        <w:t> год</w:t>
      </w:r>
      <w:r w:rsidRPr="003F0749">
        <w:t>а</w:t>
      </w:r>
      <w:r w:rsidR="002B6A52">
        <w:t>. В </w:t>
      </w:r>
      <w:r w:rsidRPr="003F0749">
        <w:t>период между сентябрем 2012</w:t>
      </w:r>
      <w:r w:rsidR="002B6A52">
        <w:t> год</w:t>
      </w:r>
      <w:r w:rsidRPr="003F0749">
        <w:t>а и декабрем 2013</w:t>
      </w:r>
      <w:r w:rsidR="002B6A52">
        <w:t> год</w:t>
      </w:r>
      <w:r w:rsidRPr="003F0749">
        <w:t>а в Конст</w:t>
      </w:r>
      <w:r w:rsidRPr="003F0749">
        <w:t>и</w:t>
      </w:r>
      <w:r w:rsidRPr="003F0749">
        <w:t>туционный суд было подано свыше 10 тысяч индивидуальных сообщений. И</w:t>
      </w:r>
      <w:r w:rsidRPr="003F0749">
        <w:t>н</w:t>
      </w:r>
      <w:r w:rsidRPr="003F0749">
        <w:t>формация о результатах рассмотрения индивидуальных сообщений в Суде пр</w:t>
      </w:r>
      <w:r w:rsidRPr="003F0749">
        <w:t>и</w:t>
      </w:r>
      <w:r w:rsidRPr="003F0749">
        <w:t>водится в пункте 182, касающемся выполнения статьи 6.</w:t>
      </w:r>
    </w:p>
    <w:p w:rsidR="00DF5565" w:rsidRPr="003F0749" w:rsidRDefault="00DF5565" w:rsidP="00E2084F">
      <w:pPr>
        <w:pStyle w:val="H23GR"/>
      </w:pPr>
      <w:r w:rsidRPr="003F0749">
        <w:tab/>
        <w:t>4.</w:t>
      </w:r>
      <w:r w:rsidRPr="003F0749">
        <w:tab/>
        <w:t>Особые меры</w:t>
      </w:r>
    </w:p>
    <w:p w:rsidR="00DF5565" w:rsidRPr="003F0749" w:rsidRDefault="00DF5565" w:rsidP="00DF5565">
      <w:pPr>
        <w:pStyle w:val="SingleTxtGR"/>
      </w:pPr>
      <w:r w:rsidRPr="003F0749">
        <w:t>62.</w:t>
      </w:r>
      <w:r w:rsidRPr="003F0749">
        <w:tab/>
        <w:t>Ниже приводятся особые меры, принимаемые в интересах народности рома. Далее описывается Проект развития Юго-Восточной Анатолии (GAP), нацеленный на ликвидацию социально-экономических диспропорций</w:t>
      </w:r>
      <w:r w:rsidR="002B6A52">
        <w:t>. В </w:t>
      </w:r>
      <w:r w:rsidRPr="003F0749">
        <w:t>2009</w:t>
      </w:r>
      <w:r w:rsidR="002B6A52">
        <w:t> год</w:t>
      </w:r>
      <w:r w:rsidRPr="003F0749">
        <w:t xml:space="preserve">у турецкое правительство запустило процесс </w:t>
      </w:r>
      <w:r w:rsidR="003F0749">
        <w:t>"</w:t>
      </w:r>
      <w:r w:rsidRPr="003F0749">
        <w:t>демократической о</w:t>
      </w:r>
      <w:r w:rsidRPr="003F0749">
        <w:t>т</w:t>
      </w:r>
      <w:r w:rsidRPr="003F0749">
        <w:t>крытости</w:t>
      </w:r>
      <w:r w:rsidR="003F0749">
        <w:t>"</w:t>
      </w:r>
      <w:r w:rsidRPr="003F0749">
        <w:t xml:space="preserve"> для турецкого населения из числа народности рома. Ниже в хронол</w:t>
      </w:r>
      <w:r w:rsidRPr="003F0749">
        <w:t>о</w:t>
      </w:r>
      <w:r w:rsidRPr="003F0749">
        <w:t>гическом порядке приводиться перечень мероприятий и совещаний, организ</w:t>
      </w:r>
      <w:r w:rsidRPr="003F0749">
        <w:t>о</w:t>
      </w:r>
      <w:r w:rsidRPr="003F0749">
        <w:t xml:space="preserve">ванных по этой линии: </w:t>
      </w:r>
    </w:p>
    <w:p w:rsidR="00DF5565" w:rsidRPr="003F0749" w:rsidRDefault="00DF5565" w:rsidP="00E2084F">
      <w:pPr>
        <w:pStyle w:val="Bullet1GR"/>
      </w:pPr>
      <w:r w:rsidRPr="003F0749">
        <w:t>В декабре 2009</w:t>
      </w:r>
      <w:r w:rsidR="002B6A52">
        <w:t> год</w:t>
      </w:r>
      <w:r w:rsidRPr="003F0749">
        <w:t>а под руководством тогдашнего государственного м</w:t>
      </w:r>
      <w:r w:rsidRPr="003F0749">
        <w:t>и</w:t>
      </w:r>
      <w:r w:rsidRPr="003F0749">
        <w:t xml:space="preserve">нистра </w:t>
      </w:r>
      <w:proofErr w:type="spellStart"/>
      <w:r w:rsidRPr="003F0749">
        <w:t>Фарука</w:t>
      </w:r>
      <w:proofErr w:type="spellEnd"/>
      <w:r w:rsidRPr="003F0749">
        <w:t xml:space="preserve"> </w:t>
      </w:r>
      <w:proofErr w:type="spellStart"/>
      <w:r w:rsidRPr="003F0749">
        <w:t>Челика</w:t>
      </w:r>
      <w:proofErr w:type="spellEnd"/>
      <w:r w:rsidRPr="003F0749">
        <w:t xml:space="preserve"> правительство организовало совещание предст</w:t>
      </w:r>
      <w:r w:rsidRPr="003F0749">
        <w:t>а</w:t>
      </w:r>
      <w:r w:rsidRPr="003F0749">
        <w:t>вителей общины народности рома с правительственными дол</w:t>
      </w:r>
      <w:r w:rsidRPr="003F0749">
        <w:t>ж</w:t>
      </w:r>
      <w:r w:rsidRPr="003F0749">
        <w:t>ностными лицами для обсуждения вопросов занятости, жилья и образ</w:t>
      </w:r>
      <w:r w:rsidRPr="003F0749">
        <w:t>о</w:t>
      </w:r>
      <w:r w:rsidRPr="003F0749">
        <w:t xml:space="preserve">вания. </w:t>
      </w:r>
    </w:p>
    <w:p w:rsidR="00DF5565" w:rsidRPr="003F0749" w:rsidRDefault="00DF5565" w:rsidP="00E2084F">
      <w:pPr>
        <w:pStyle w:val="Bullet1GR"/>
      </w:pPr>
      <w:r w:rsidRPr="003F0749">
        <w:t>После этого совещания в марте 2010</w:t>
      </w:r>
      <w:r w:rsidR="002B6A52">
        <w:t> год</w:t>
      </w:r>
      <w:r w:rsidRPr="003F0749">
        <w:t xml:space="preserve">а состоялось массовое </w:t>
      </w:r>
      <w:r w:rsidR="003F0749">
        <w:t>"</w:t>
      </w:r>
      <w:r w:rsidRPr="003F0749">
        <w:t>с</w:t>
      </w:r>
      <w:r w:rsidRPr="003F0749">
        <w:t>о</w:t>
      </w:r>
      <w:r w:rsidRPr="003F0749">
        <w:t>брание народности рома</w:t>
      </w:r>
      <w:r w:rsidR="003F0749">
        <w:t>"</w:t>
      </w:r>
      <w:r w:rsidRPr="003F0749">
        <w:t>, в котором участвовало 10 тысяч граждан из числа р</w:t>
      </w:r>
      <w:r w:rsidRPr="003F0749">
        <w:t>о</w:t>
      </w:r>
      <w:r w:rsidRPr="003F0749">
        <w:t>ма из всех районов Турции. Обратившись к собравшимся, премьер м</w:t>
      </w:r>
      <w:r w:rsidRPr="003F0749">
        <w:t>и</w:t>
      </w:r>
      <w:r w:rsidRPr="003F0749">
        <w:t xml:space="preserve">нистр </w:t>
      </w:r>
      <w:proofErr w:type="spellStart"/>
      <w:r w:rsidRPr="003F0749">
        <w:t>Эрдоган</w:t>
      </w:r>
      <w:proofErr w:type="spellEnd"/>
      <w:r w:rsidRPr="003F0749">
        <w:t xml:space="preserve"> подчеркнул, что рома являются равными гражд</w:t>
      </w:r>
      <w:r w:rsidRPr="003F0749">
        <w:t>а</w:t>
      </w:r>
      <w:r w:rsidRPr="003F0749">
        <w:t xml:space="preserve">нами страны и пообещал, что правительство будет делать все возможное для решения проблем этой общины. </w:t>
      </w:r>
    </w:p>
    <w:p w:rsidR="00DF5565" w:rsidRPr="003F0749" w:rsidRDefault="00DF5565" w:rsidP="00E2084F">
      <w:pPr>
        <w:pStyle w:val="Bullet1GR"/>
      </w:pPr>
      <w:r w:rsidRPr="003F0749">
        <w:t>В феврале 2011</w:t>
      </w:r>
      <w:r w:rsidR="002B6A52">
        <w:t> год</w:t>
      </w:r>
      <w:r w:rsidRPr="003F0749">
        <w:t>а министерство национального образования организ</w:t>
      </w:r>
      <w:r w:rsidRPr="003F0749">
        <w:t>о</w:t>
      </w:r>
      <w:r w:rsidRPr="003F0749">
        <w:t xml:space="preserve">вало совещание на тему </w:t>
      </w:r>
      <w:r w:rsidR="003F0749">
        <w:t>"</w:t>
      </w:r>
      <w:r w:rsidRPr="003F0749">
        <w:t>Расширение образовательных возможн</w:t>
      </w:r>
      <w:r w:rsidRPr="003F0749">
        <w:t>о</w:t>
      </w:r>
      <w:r w:rsidRPr="003F0749">
        <w:t>стей для детей народности рома</w:t>
      </w:r>
      <w:r w:rsidR="003F0749">
        <w:t>"</w:t>
      </w:r>
      <w:r w:rsidRPr="003F0749">
        <w:t>, которое было созвано после подготовки проекта беспрецедентного и подробного плана действий по установлению и о</w:t>
      </w:r>
      <w:r w:rsidRPr="003F0749">
        <w:t>т</w:t>
      </w:r>
      <w:r w:rsidRPr="003F0749">
        <w:t>слеживанию нерегулярного посещения школ, предотвращению отсева учащихся и укреплению системы дошкольного образования. Эта иници</w:t>
      </w:r>
      <w:r w:rsidRPr="003F0749">
        <w:t>а</w:t>
      </w:r>
      <w:r w:rsidRPr="003F0749">
        <w:t>тива была с одобрением воспринята Европейским союзом и отмечена в докладе о прогрессе, достигнутом Турцией.</w:t>
      </w:r>
    </w:p>
    <w:p w:rsidR="00DF5565" w:rsidRPr="003F0749" w:rsidRDefault="00DF5565" w:rsidP="00E2084F">
      <w:pPr>
        <w:pStyle w:val="Bullet1GR"/>
      </w:pPr>
      <w:r w:rsidRPr="003F0749">
        <w:t>В сентябре 2011</w:t>
      </w:r>
      <w:r w:rsidR="002B6A52">
        <w:t> год</w:t>
      </w:r>
      <w:r w:rsidRPr="003F0749">
        <w:t>а Турецкое агентство занятости провело под эгидой министерства труда и социальной защиты двухдневное совещание на т</w:t>
      </w:r>
      <w:r w:rsidRPr="003F0749">
        <w:t>е</w:t>
      </w:r>
      <w:r w:rsidRPr="003F0749">
        <w:t xml:space="preserve">му </w:t>
      </w:r>
      <w:r w:rsidR="003F0749">
        <w:t>"</w:t>
      </w:r>
      <w:r w:rsidRPr="003F0749">
        <w:t>Участие народности рома в рынке труда</w:t>
      </w:r>
      <w:r w:rsidR="003F0749">
        <w:t>"</w:t>
      </w:r>
      <w:r w:rsidRPr="003F0749">
        <w:t>. После этого совещ</w:t>
      </w:r>
      <w:r w:rsidRPr="003F0749">
        <w:t>а</w:t>
      </w:r>
      <w:r w:rsidRPr="003F0749">
        <w:t>ния Агентство приступило к реализации программы посредничества, в ра</w:t>
      </w:r>
      <w:r w:rsidRPr="003F0749">
        <w:t>м</w:t>
      </w:r>
      <w:r w:rsidRPr="003F0749">
        <w:t>ках которой будут отбираться посредники из числа рома и других наци</w:t>
      </w:r>
      <w:r w:rsidRPr="003F0749">
        <w:t>о</w:t>
      </w:r>
      <w:r w:rsidRPr="003F0749">
        <w:t>нальностей, задача которых будет заключаться в оказании професси</w:t>
      </w:r>
      <w:r w:rsidRPr="003F0749">
        <w:t>о</w:t>
      </w:r>
      <w:r w:rsidRPr="003F0749">
        <w:t xml:space="preserve">нальной подготовки для облегчения выхода населения из числа рома на рынок труда. Агентство также осуществляет программу </w:t>
      </w:r>
      <w:r w:rsidR="003F0749">
        <w:t>"</w:t>
      </w:r>
      <w:r w:rsidRPr="003F0749">
        <w:t>Труд для всео</w:t>
      </w:r>
      <w:r w:rsidRPr="003F0749">
        <w:t>б</w:t>
      </w:r>
      <w:r w:rsidRPr="003F0749">
        <w:t>щего блага</w:t>
      </w:r>
      <w:r w:rsidR="003F0749">
        <w:t>"</w:t>
      </w:r>
      <w:r w:rsidRPr="003F0749">
        <w:t>, в рамках которой безработные трудоустраиваются на вр</w:t>
      </w:r>
      <w:r w:rsidRPr="003F0749">
        <w:t>е</w:t>
      </w:r>
      <w:r w:rsidRPr="003F0749">
        <w:t>менную шестимесячную работу, чтобы облегчить им выход на рынок труда, обучить их соответствующим навыкам и обеспечить им постоя</w:t>
      </w:r>
      <w:r w:rsidRPr="003F0749">
        <w:t>н</w:t>
      </w:r>
      <w:r w:rsidRPr="003F0749">
        <w:t>ный доход. Пятидесяти девяти губернаторствам с большой численн</w:t>
      </w:r>
      <w:r w:rsidRPr="003F0749">
        <w:t>о</w:t>
      </w:r>
      <w:r w:rsidRPr="003F0749">
        <w:t>стью населения рома, было предписано уделять первоочередное внимание этой группе при отборе участников этой программы. Агентство рассчитывает, что этой программой воспользуются 1 500 рома. Кроме того, 537 граждан из числа рома получили сертификаты о прохождении программ профе</w:t>
      </w:r>
      <w:r w:rsidRPr="003F0749">
        <w:t>с</w:t>
      </w:r>
      <w:r w:rsidRPr="003F0749">
        <w:t>сиональной по</w:t>
      </w:r>
      <w:r w:rsidRPr="003F0749">
        <w:t>д</w:t>
      </w:r>
      <w:r w:rsidRPr="003F0749">
        <w:t xml:space="preserve">готовки, реализованных Турецким агентством занятости. </w:t>
      </w:r>
    </w:p>
    <w:p w:rsidR="00DF5565" w:rsidRPr="003F0749" w:rsidRDefault="00DF5565" w:rsidP="00E2084F">
      <w:pPr>
        <w:pStyle w:val="Bullet1GR"/>
      </w:pPr>
      <w:r w:rsidRPr="003F0749">
        <w:t>Во все губернаторства Турции было направлено циркулярное пис</w:t>
      </w:r>
      <w:r w:rsidRPr="003F0749">
        <w:t>ь</w:t>
      </w:r>
      <w:r w:rsidRPr="003F0749">
        <w:t>мо премьер-министра с предписанием в пределах их юрисдикции выдать беспла</w:t>
      </w:r>
      <w:r w:rsidRPr="003F0749">
        <w:t>т</w:t>
      </w:r>
      <w:r w:rsidRPr="003F0749">
        <w:t xml:space="preserve">но всем гражданам из числа рома удостоверениями личности. </w:t>
      </w:r>
    </w:p>
    <w:p w:rsidR="00DF5565" w:rsidRPr="003F0749" w:rsidRDefault="00DF5565" w:rsidP="00E2084F">
      <w:pPr>
        <w:pStyle w:val="Bullet1GR"/>
      </w:pPr>
      <w:r w:rsidRPr="003F0749">
        <w:t>Администрация жилищного строительства Турции (ТОКИ) построило в различных частях страны 10</w:t>
      </w:r>
      <w:r w:rsidR="008D3B03">
        <w:t> </w:t>
      </w:r>
      <w:r w:rsidRPr="003F0749">
        <w:t>000 жилищ для рома, живущих в тяжелых услов</w:t>
      </w:r>
      <w:r w:rsidRPr="003F0749">
        <w:t>и</w:t>
      </w:r>
      <w:r w:rsidRPr="003F0749">
        <w:t xml:space="preserve">ях. </w:t>
      </w:r>
    </w:p>
    <w:p w:rsidR="00DF5565" w:rsidRPr="003F0749" w:rsidRDefault="00DF5565" w:rsidP="00E2084F">
      <w:pPr>
        <w:pStyle w:val="Bullet1GR"/>
      </w:pPr>
      <w:r w:rsidRPr="003F0749">
        <w:t>Кроме того, рома, будучи уязвимой категорией лиц, включены в ц</w:t>
      </w:r>
      <w:r w:rsidRPr="003F0749">
        <w:t>е</w:t>
      </w:r>
      <w:r w:rsidRPr="003F0749">
        <w:t>левую группу, получающую помощь в Турции из фондов Инструмента Европе</w:t>
      </w:r>
      <w:r w:rsidRPr="003F0749">
        <w:t>й</w:t>
      </w:r>
      <w:r w:rsidRPr="003F0749">
        <w:t>ского союза по оказанию содействия в период, предшествующий присо</w:t>
      </w:r>
      <w:r w:rsidRPr="003F0749">
        <w:t>е</w:t>
      </w:r>
      <w:r w:rsidRPr="003F0749">
        <w:t>динению (IPA). 15 июня 2012</w:t>
      </w:r>
      <w:r w:rsidR="002B6A52">
        <w:t> год</w:t>
      </w:r>
      <w:r w:rsidRPr="003F0749">
        <w:t>а министерство труда и социал</w:t>
      </w:r>
      <w:r w:rsidRPr="003F0749">
        <w:t>ь</w:t>
      </w:r>
      <w:r w:rsidRPr="003F0749">
        <w:t xml:space="preserve">ного обеспечения запустило проект под названием </w:t>
      </w:r>
      <w:r w:rsidR="003F0749">
        <w:t>"</w:t>
      </w:r>
      <w:r w:rsidRPr="003F0749">
        <w:t>Содействие социальной интеграции и доступу на рынок труда социально уязвимых групп</w:t>
      </w:r>
      <w:r w:rsidR="003F0749">
        <w:t>"</w:t>
      </w:r>
      <w:r w:rsidRPr="003F0749">
        <w:t>, кот</w:t>
      </w:r>
      <w:r w:rsidRPr="003F0749">
        <w:t>о</w:t>
      </w:r>
      <w:r w:rsidRPr="003F0749">
        <w:t>рый призван стимулировать интеграцию социально уязвимых лиц в р</w:t>
      </w:r>
      <w:r w:rsidRPr="003F0749">
        <w:t>ы</w:t>
      </w:r>
      <w:r w:rsidRPr="003F0749">
        <w:t>нок труда и содействовать ликвидации их дискриминации при поиске р</w:t>
      </w:r>
      <w:r w:rsidRPr="003F0749">
        <w:t>а</w:t>
      </w:r>
      <w:r w:rsidRPr="003F0749">
        <w:t>боты. Среди всех социально уязвимых групп особое внимание в пр</w:t>
      </w:r>
      <w:r w:rsidRPr="003F0749">
        <w:t>о</w:t>
      </w:r>
      <w:r w:rsidRPr="003F0749">
        <w:t>грамме уделяется народности рома; причем 30% бюджета проекта пре</w:t>
      </w:r>
      <w:r w:rsidRPr="003F0749">
        <w:t>д</w:t>
      </w:r>
      <w:r w:rsidRPr="003F0749">
        <w:t>назначено для районов с большой численностью населения р</w:t>
      </w:r>
      <w:r w:rsidRPr="003F0749">
        <w:t>о</w:t>
      </w:r>
      <w:r w:rsidRPr="003F0749">
        <w:t xml:space="preserve">ма. </w:t>
      </w:r>
    </w:p>
    <w:p w:rsidR="00DF5565" w:rsidRPr="003F0749" w:rsidRDefault="00DF5565" w:rsidP="00E2084F">
      <w:pPr>
        <w:pStyle w:val="Bullet1GR"/>
      </w:pPr>
      <w:r w:rsidRPr="003F0749">
        <w:t>С момента своего создания в 2011</w:t>
      </w:r>
      <w:r w:rsidR="002B6A52">
        <w:t> год</w:t>
      </w:r>
      <w:r w:rsidRPr="003F0749">
        <w:t>у министерство по делам семьи и социальной политике выполняет функции координатора всех инициатив правительства в интересах рома, обеспечивая большую результ</w:t>
      </w:r>
      <w:r w:rsidRPr="003F0749">
        <w:t>а</w:t>
      </w:r>
      <w:r w:rsidRPr="003F0749">
        <w:t>тивность этого пр</w:t>
      </w:r>
      <w:r w:rsidRPr="003F0749">
        <w:t>о</w:t>
      </w:r>
      <w:r w:rsidRPr="003F0749">
        <w:t xml:space="preserve">цесса. </w:t>
      </w:r>
    </w:p>
    <w:p w:rsidR="00DF5565" w:rsidRPr="003F0749" w:rsidRDefault="00DF5565" w:rsidP="00E2084F">
      <w:pPr>
        <w:pStyle w:val="Bullet1GR"/>
      </w:pPr>
      <w:r w:rsidRPr="003F0749">
        <w:t>18 июля 2012</w:t>
      </w:r>
      <w:r w:rsidR="002B6A52">
        <w:t> год</w:t>
      </w:r>
      <w:r w:rsidRPr="003F0749">
        <w:t xml:space="preserve">а под руководством заместителя премьер-министра </w:t>
      </w:r>
      <w:proofErr w:type="spellStart"/>
      <w:r w:rsidRPr="003F0749">
        <w:t>Б</w:t>
      </w:r>
      <w:r w:rsidRPr="003F0749">
        <w:t>е</w:t>
      </w:r>
      <w:r w:rsidRPr="003F0749">
        <w:t>кира</w:t>
      </w:r>
      <w:proofErr w:type="spellEnd"/>
      <w:r w:rsidRPr="003F0749">
        <w:t xml:space="preserve"> </w:t>
      </w:r>
      <w:proofErr w:type="spellStart"/>
      <w:r w:rsidRPr="003F0749">
        <w:t>Боздака</w:t>
      </w:r>
      <w:proofErr w:type="spellEnd"/>
      <w:r w:rsidRPr="003F0749">
        <w:t xml:space="preserve"> и министра по делам семьи и социальной пол</w:t>
      </w:r>
      <w:r w:rsidRPr="003F0749">
        <w:t>и</w:t>
      </w:r>
      <w:r w:rsidRPr="003F0749">
        <w:t xml:space="preserve">тике </w:t>
      </w:r>
      <w:proofErr w:type="spellStart"/>
      <w:r w:rsidRPr="003F0749">
        <w:t>Фатми</w:t>
      </w:r>
      <w:proofErr w:type="spellEnd"/>
      <w:r w:rsidRPr="003F0749">
        <w:t xml:space="preserve"> Шеин состоялось совещание на тему </w:t>
      </w:r>
      <w:r w:rsidR="003F0749">
        <w:t>"</w:t>
      </w:r>
      <w:r w:rsidRPr="003F0749">
        <w:t>Проблемы народности рома и р</w:t>
      </w:r>
      <w:r w:rsidRPr="003F0749">
        <w:t>е</w:t>
      </w:r>
      <w:r w:rsidRPr="003F0749">
        <w:t>комендации по их преодолению</w:t>
      </w:r>
      <w:r w:rsidR="003F0749">
        <w:t>"</w:t>
      </w:r>
      <w:r w:rsidRPr="003F0749">
        <w:t>, в котором приняли участие заместители министров соответствующих министерств</w:t>
      </w:r>
      <w:r w:rsidR="002B6A52">
        <w:t>. В </w:t>
      </w:r>
      <w:r w:rsidRPr="003F0749">
        <w:t>ходе этого с</w:t>
      </w:r>
      <w:r w:rsidRPr="003F0749">
        <w:t>о</w:t>
      </w:r>
      <w:r w:rsidRPr="003F0749">
        <w:t>вещания были определены шесть направлений действий, а соответствующим министе</w:t>
      </w:r>
      <w:r w:rsidRPr="003F0749">
        <w:t>р</w:t>
      </w:r>
      <w:r w:rsidRPr="003F0749">
        <w:t>ствам было предписано провести необходимую работу в области образ</w:t>
      </w:r>
      <w:r w:rsidRPr="003F0749">
        <w:t>о</w:t>
      </w:r>
      <w:r w:rsidRPr="003F0749">
        <w:t>вания, занятости, безопасности, расселения, социальной политики и здравоохранения.</w:t>
      </w:r>
    </w:p>
    <w:p w:rsidR="00DF5565" w:rsidRPr="003F0749" w:rsidRDefault="00DF5565" w:rsidP="00E2084F">
      <w:pPr>
        <w:pStyle w:val="Bullet1GR"/>
      </w:pPr>
      <w:r w:rsidRPr="003F0749">
        <w:t>30 ноября 2012</w:t>
      </w:r>
      <w:r w:rsidR="002B6A52">
        <w:t> год</w:t>
      </w:r>
      <w:r w:rsidRPr="003F0749">
        <w:t xml:space="preserve">а заместитель премьер-министра </w:t>
      </w:r>
      <w:proofErr w:type="spellStart"/>
      <w:r w:rsidRPr="003F0749">
        <w:t>Бекир</w:t>
      </w:r>
      <w:proofErr w:type="spellEnd"/>
      <w:r w:rsidRPr="003F0749">
        <w:t xml:space="preserve"> </w:t>
      </w:r>
      <w:proofErr w:type="spellStart"/>
      <w:r w:rsidRPr="003F0749">
        <w:t>Боздак</w:t>
      </w:r>
      <w:proofErr w:type="spellEnd"/>
      <w:r w:rsidRPr="003F0749">
        <w:t xml:space="preserve"> и м</w:t>
      </w:r>
      <w:r w:rsidRPr="003F0749">
        <w:t>и</w:t>
      </w:r>
      <w:r w:rsidRPr="003F0749">
        <w:t xml:space="preserve">нистр по делам семьи и социальной политике </w:t>
      </w:r>
      <w:proofErr w:type="spellStart"/>
      <w:r w:rsidRPr="003F0749">
        <w:t>Фатма</w:t>
      </w:r>
      <w:proofErr w:type="spellEnd"/>
      <w:r w:rsidRPr="003F0749">
        <w:t xml:space="preserve"> </w:t>
      </w:r>
      <w:proofErr w:type="spellStart"/>
      <w:r w:rsidRPr="003F0749">
        <w:t>Шахин</w:t>
      </w:r>
      <w:proofErr w:type="spellEnd"/>
      <w:r w:rsidRPr="003F0749">
        <w:t xml:space="preserve"> встретились с губернаторами восемнадцати провинций, большинство населения кот</w:t>
      </w:r>
      <w:r w:rsidRPr="003F0749">
        <w:t>о</w:t>
      </w:r>
      <w:r w:rsidRPr="003F0749">
        <w:t>рых составляют рома, и попросили их высказать свое мнение о пробл</w:t>
      </w:r>
      <w:r w:rsidRPr="003F0749">
        <w:t>е</w:t>
      </w:r>
      <w:r w:rsidRPr="003F0749">
        <w:t>мах народности рома и рекомендовать их решение. Позднее к этой ин</w:t>
      </w:r>
      <w:r w:rsidRPr="003F0749">
        <w:t>и</w:t>
      </w:r>
      <w:r w:rsidRPr="003F0749">
        <w:t>циативе присоединились еще две провинции. Для координации ус</w:t>
      </w:r>
      <w:r w:rsidRPr="003F0749">
        <w:t>и</w:t>
      </w:r>
      <w:r w:rsidRPr="003F0749">
        <w:t>лий в сфере социальной политики в интересах рома в провинциальных дире</w:t>
      </w:r>
      <w:r w:rsidRPr="003F0749">
        <w:t>к</w:t>
      </w:r>
      <w:r w:rsidRPr="003F0749">
        <w:t>торатах министерства по делам семьи и социальной политике этих дв</w:t>
      </w:r>
      <w:r w:rsidRPr="003F0749">
        <w:t>а</w:t>
      </w:r>
      <w:r w:rsidRPr="003F0749">
        <w:t>дцати провинций были назначены заместители-управляющие.</w:t>
      </w:r>
    </w:p>
    <w:p w:rsidR="00DF5565" w:rsidRPr="003F0749" w:rsidRDefault="00DF5565" w:rsidP="00E2084F">
      <w:pPr>
        <w:pStyle w:val="Bullet1GR"/>
      </w:pPr>
      <w:r w:rsidRPr="003F0749">
        <w:t>13</w:t>
      </w:r>
      <w:r w:rsidR="00E2084F">
        <w:t>−</w:t>
      </w:r>
      <w:r w:rsidRPr="003F0749">
        <w:t>14 декабря 2012</w:t>
      </w:r>
      <w:r w:rsidR="002B6A52">
        <w:t> год</w:t>
      </w:r>
      <w:r w:rsidRPr="003F0749">
        <w:t xml:space="preserve">а в рамках осуществляемого проекта </w:t>
      </w:r>
      <w:r w:rsidR="003F0749">
        <w:t>"</w:t>
      </w:r>
      <w:r w:rsidRPr="003F0749">
        <w:t>Сотрудн</w:t>
      </w:r>
      <w:r w:rsidRPr="003F0749">
        <w:t>и</w:t>
      </w:r>
      <w:r w:rsidRPr="003F0749">
        <w:t>чество государственного сектора с НПО в целях вовлечения народности рома</w:t>
      </w:r>
      <w:r w:rsidR="003F0749">
        <w:t>"</w:t>
      </w:r>
      <w:r w:rsidRPr="003F0749">
        <w:t xml:space="preserve"> министерство по делам семьи и социальной политике, министерс</w:t>
      </w:r>
      <w:r w:rsidRPr="003F0749">
        <w:t>т</w:t>
      </w:r>
      <w:r w:rsidRPr="003F0749">
        <w:t>во труда и социального обеспечения и НПО, занимающиеся проблемами рома, организовали рабочий семинар по проблемам, с которыми сталк</w:t>
      </w:r>
      <w:r w:rsidRPr="003F0749">
        <w:t>и</w:t>
      </w:r>
      <w:r w:rsidRPr="003F0749">
        <w:t>ваются рома в области образования, жилья, здравоохранения, социальн</w:t>
      </w:r>
      <w:r w:rsidRPr="003F0749">
        <w:t>о</w:t>
      </w:r>
      <w:r w:rsidRPr="003F0749">
        <w:t>го обеспечения и основных прав человека.</w:t>
      </w:r>
    </w:p>
    <w:p w:rsidR="00DF5565" w:rsidRPr="003F0749" w:rsidRDefault="00DF5565" w:rsidP="00E2084F">
      <w:pPr>
        <w:pStyle w:val="Bullet1GR"/>
      </w:pPr>
      <w:r w:rsidRPr="003F0749">
        <w:t>8 апреля 2013</w:t>
      </w:r>
      <w:r w:rsidR="002B6A52">
        <w:t> год</w:t>
      </w:r>
      <w:r w:rsidRPr="003F0749">
        <w:t xml:space="preserve">а в сотрудничестве с администрацией губернатора </w:t>
      </w:r>
      <w:proofErr w:type="spellStart"/>
      <w:r w:rsidRPr="003F0749">
        <w:t>Кыркларели</w:t>
      </w:r>
      <w:proofErr w:type="spellEnd"/>
      <w:r w:rsidRPr="003F0749">
        <w:t xml:space="preserve">, Директоратом национального образования, Университетом </w:t>
      </w:r>
      <w:proofErr w:type="spellStart"/>
      <w:r w:rsidRPr="003F0749">
        <w:t>Кыркларели</w:t>
      </w:r>
      <w:proofErr w:type="spellEnd"/>
      <w:r w:rsidRPr="003F0749">
        <w:t xml:space="preserve"> и Агентством развития Фракии был организован рабочий семинар на тему </w:t>
      </w:r>
      <w:r w:rsidR="003F0749">
        <w:t>"</w:t>
      </w:r>
      <w:r w:rsidRPr="003F0749">
        <w:t>Идя на встречу народности рома, работая с народн</w:t>
      </w:r>
      <w:r w:rsidRPr="003F0749">
        <w:t>о</w:t>
      </w:r>
      <w:r w:rsidRPr="003F0749">
        <w:t>стью рома</w:t>
      </w:r>
      <w:r w:rsidR="003F0749">
        <w:t>"</w:t>
      </w:r>
      <w:r w:rsidRPr="003F0749">
        <w:t>. Семинар сконцентрировал внимание на народности рома и европейских примерах, на решении социальных, культурных, экономич</w:t>
      </w:r>
      <w:r w:rsidRPr="003F0749">
        <w:t>е</w:t>
      </w:r>
      <w:r w:rsidRPr="003F0749">
        <w:t>ских и образовательных проблемах, с которыми сталкиваются рома, стр</w:t>
      </w:r>
      <w:r w:rsidRPr="003F0749">
        <w:t>а</w:t>
      </w:r>
      <w:r w:rsidRPr="003F0749">
        <w:t>тегическом планировании, связанном с трудностями, которые испытыв</w:t>
      </w:r>
      <w:r w:rsidRPr="003F0749">
        <w:t>а</w:t>
      </w:r>
      <w:r w:rsidRPr="003F0749">
        <w:t>ют рома в области образования и альтернативной образовательной пра</w:t>
      </w:r>
      <w:r w:rsidRPr="003F0749">
        <w:t>к</w:t>
      </w:r>
      <w:r w:rsidRPr="003F0749">
        <w:t>тики в районах, в которых значительную часть населения составляют р</w:t>
      </w:r>
      <w:r w:rsidRPr="003F0749">
        <w:t>о</w:t>
      </w:r>
      <w:r w:rsidRPr="003F0749">
        <w:t xml:space="preserve">ма. </w:t>
      </w:r>
    </w:p>
    <w:p w:rsidR="00DF5565" w:rsidRPr="003F0749" w:rsidRDefault="00DF5565" w:rsidP="00E2084F">
      <w:pPr>
        <w:pStyle w:val="Bullet1GR"/>
      </w:pPr>
      <w:r w:rsidRPr="003F0749">
        <w:t>18 апреля 2013</w:t>
      </w:r>
      <w:r w:rsidR="002B6A52">
        <w:t> год</w:t>
      </w:r>
      <w:r w:rsidRPr="003F0749">
        <w:t xml:space="preserve">а муниципалитет </w:t>
      </w:r>
      <w:proofErr w:type="spellStart"/>
      <w:r w:rsidRPr="003F0749">
        <w:t>Коджаэли</w:t>
      </w:r>
      <w:proofErr w:type="spellEnd"/>
      <w:r w:rsidRPr="003F0749">
        <w:t xml:space="preserve"> организовал рабочий с</w:t>
      </w:r>
      <w:r w:rsidRPr="003F0749">
        <w:t>е</w:t>
      </w:r>
      <w:r w:rsidRPr="003F0749">
        <w:t xml:space="preserve">минар на тему </w:t>
      </w:r>
      <w:r w:rsidR="003F0749">
        <w:t>"</w:t>
      </w:r>
      <w:r w:rsidRPr="003F0749">
        <w:t>Социологическая перспектива народности рома и буд</w:t>
      </w:r>
      <w:r w:rsidRPr="003F0749">
        <w:t>у</w:t>
      </w:r>
      <w:r w:rsidRPr="003F0749">
        <w:t>щие сценарии</w:t>
      </w:r>
      <w:r w:rsidR="003F0749">
        <w:t>"</w:t>
      </w:r>
      <w:r w:rsidRPr="003F0749">
        <w:t>, в котором приняли участие представители организаций рома. На семинаре были обсуждены такие вопросы, как социальное еди</w:t>
      </w:r>
      <w:r w:rsidRPr="003F0749">
        <w:t>н</w:t>
      </w:r>
      <w:r w:rsidRPr="003F0749">
        <w:t>ство, проблемы, с которыми сталкиваются женщины, дети и инвалиды, а также трудности в области занятости, образования, здравоохранения, ж</w:t>
      </w:r>
      <w:r w:rsidRPr="003F0749">
        <w:t>и</w:t>
      </w:r>
      <w:r w:rsidRPr="003F0749">
        <w:t xml:space="preserve">лья и социальной помощи. </w:t>
      </w:r>
    </w:p>
    <w:p w:rsidR="00DF5565" w:rsidRPr="003F0749" w:rsidRDefault="00DF5565" w:rsidP="00E2084F">
      <w:pPr>
        <w:pStyle w:val="Bullet1GR"/>
      </w:pPr>
      <w:r w:rsidRPr="003F0749">
        <w:t>В качестве одной из намеченных реформ, объявленных правительством, 30 сентября 2013</w:t>
      </w:r>
      <w:r w:rsidR="002B6A52">
        <w:t> год</w:t>
      </w:r>
      <w:r w:rsidRPr="003F0749">
        <w:t xml:space="preserve">а в рамках </w:t>
      </w:r>
      <w:r w:rsidR="003F0749">
        <w:t>"</w:t>
      </w:r>
      <w:r w:rsidRPr="003F0749">
        <w:t>пакета демократических реформ</w:t>
      </w:r>
      <w:r w:rsidR="003F0749">
        <w:t>"</w:t>
      </w:r>
      <w:r w:rsidRPr="003F0749">
        <w:t xml:space="preserve">, Совет по высшему образованию принял решение о создании Института языка и культуры народности рома при </w:t>
      </w:r>
      <w:proofErr w:type="spellStart"/>
      <w:r w:rsidRPr="003F0749">
        <w:t>Тракийском</w:t>
      </w:r>
      <w:proofErr w:type="spellEnd"/>
      <w:r w:rsidRPr="003F0749">
        <w:t xml:space="preserve"> университете для проведения научных исследований проблем граждан из числа рома в о</w:t>
      </w:r>
      <w:r w:rsidRPr="003F0749">
        <w:t>б</w:t>
      </w:r>
      <w:r w:rsidRPr="003F0749">
        <w:t>ласти языка и культуры и поиска их решения</w:t>
      </w:r>
      <w:r w:rsidR="002B6A52">
        <w:t>. В </w:t>
      </w:r>
      <w:r w:rsidR="003F0749">
        <w:t>"</w:t>
      </w:r>
      <w:r w:rsidRPr="003F0749">
        <w:t>пакете демократических реформ</w:t>
      </w:r>
      <w:r w:rsidR="003F0749">
        <w:t>"</w:t>
      </w:r>
      <w:r w:rsidRPr="003F0749">
        <w:t xml:space="preserve"> та</w:t>
      </w:r>
      <w:r w:rsidRPr="003F0749">
        <w:t>к</w:t>
      </w:r>
      <w:r w:rsidRPr="003F0749">
        <w:t>же предусматриваются дальнейшие меры в области образования, жилья, здравоохранения и достойного уровня жизни.</w:t>
      </w:r>
    </w:p>
    <w:p w:rsidR="00DF5565" w:rsidRPr="003F0749" w:rsidRDefault="00DF5565" w:rsidP="00E2084F">
      <w:pPr>
        <w:pStyle w:val="Bullet1GR"/>
      </w:pPr>
      <w:r w:rsidRPr="003F0749">
        <w:t>30 сентября 2013</w:t>
      </w:r>
      <w:r w:rsidR="002B6A52">
        <w:t> год</w:t>
      </w:r>
      <w:r w:rsidRPr="003F0749">
        <w:t>а Парламентская комиссия по расследованию нар</w:t>
      </w:r>
      <w:r w:rsidRPr="003F0749">
        <w:t>у</w:t>
      </w:r>
      <w:r w:rsidRPr="003F0749">
        <w:t>шений прав человека встретилась с представителями Ассоциации соц</w:t>
      </w:r>
      <w:r w:rsidRPr="003F0749">
        <w:t>и</w:t>
      </w:r>
      <w:r w:rsidRPr="003F0749">
        <w:t>альной помощи и солидарности с рома из нескольких провинций. Коми</w:t>
      </w:r>
      <w:r w:rsidRPr="003F0749">
        <w:t>с</w:t>
      </w:r>
      <w:r w:rsidRPr="003F0749">
        <w:t>сия проинформировала соответствующие учреждения о жалобах, о кот</w:t>
      </w:r>
      <w:r w:rsidRPr="003F0749">
        <w:t>о</w:t>
      </w:r>
      <w:r w:rsidRPr="003F0749">
        <w:t>рых ей сообщила Ассоциация. Комиссия вместе с соответствующими у</w:t>
      </w:r>
      <w:r w:rsidRPr="003F0749">
        <w:t>ч</w:t>
      </w:r>
      <w:r w:rsidRPr="003F0749">
        <w:t>реждениями внимательно следит за результатами рассмотрения этих ж</w:t>
      </w:r>
      <w:r w:rsidRPr="003F0749">
        <w:t>а</w:t>
      </w:r>
      <w:r w:rsidRPr="003F0749">
        <w:t xml:space="preserve">лоб. </w:t>
      </w:r>
    </w:p>
    <w:p w:rsidR="00DF5565" w:rsidRPr="003F0749" w:rsidRDefault="00DF5565" w:rsidP="00E2084F">
      <w:pPr>
        <w:pStyle w:val="Bullet1GR"/>
      </w:pPr>
      <w:r w:rsidRPr="003F0749">
        <w:t>30 октября 2013</w:t>
      </w:r>
      <w:r w:rsidR="002B6A52">
        <w:t> год</w:t>
      </w:r>
      <w:r w:rsidRPr="003F0749">
        <w:t xml:space="preserve">а состоялось совещание на тему </w:t>
      </w:r>
      <w:r w:rsidR="003F0749">
        <w:t>"</w:t>
      </w:r>
      <w:r w:rsidRPr="003F0749">
        <w:t>Собрание народн</w:t>
      </w:r>
      <w:r w:rsidRPr="003F0749">
        <w:t>о</w:t>
      </w:r>
      <w:r w:rsidRPr="003F0749">
        <w:t>сти рома региона Фракии</w:t>
      </w:r>
      <w:r w:rsidR="003F0749">
        <w:t>"</w:t>
      </w:r>
      <w:r w:rsidRPr="003F0749">
        <w:t>, в котором приняли участие заместитель пр</w:t>
      </w:r>
      <w:r w:rsidRPr="003F0749">
        <w:t>е</w:t>
      </w:r>
      <w:r w:rsidRPr="003F0749">
        <w:t xml:space="preserve">мьер-министра </w:t>
      </w:r>
      <w:proofErr w:type="spellStart"/>
      <w:r w:rsidRPr="003F0749">
        <w:t>Бекир</w:t>
      </w:r>
      <w:proofErr w:type="spellEnd"/>
      <w:r w:rsidRPr="003F0749">
        <w:t xml:space="preserve"> </w:t>
      </w:r>
      <w:proofErr w:type="spellStart"/>
      <w:r w:rsidRPr="003F0749">
        <w:t>Боздак</w:t>
      </w:r>
      <w:proofErr w:type="spellEnd"/>
      <w:r w:rsidRPr="003F0749">
        <w:t>, министр по делам семьи и социальной п</w:t>
      </w:r>
      <w:r w:rsidRPr="003F0749">
        <w:t>о</w:t>
      </w:r>
      <w:r w:rsidRPr="003F0749">
        <w:t>литике и министр здравоохранения, а также парламентарии из прови</w:t>
      </w:r>
      <w:r w:rsidRPr="003F0749">
        <w:t>н</w:t>
      </w:r>
      <w:r w:rsidRPr="003F0749">
        <w:t>ций этого региона и представители неправительственных организаций рома.</w:t>
      </w:r>
    </w:p>
    <w:p w:rsidR="00DF5565" w:rsidRPr="003F0749" w:rsidRDefault="00DF5565" w:rsidP="00E2084F">
      <w:pPr>
        <w:pStyle w:val="Bullet1GR"/>
      </w:pPr>
      <w:r w:rsidRPr="003F0749">
        <w:t>В настоящее время министерство по делам семьи и социальной п</w:t>
      </w:r>
      <w:r w:rsidRPr="003F0749">
        <w:t>о</w:t>
      </w:r>
      <w:r w:rsidRPr="003F0749">
        <w:t>литике разрабатывает национальную стратегию и план действий, касающиеся рома.</w:t>
      </w:r>
    </w:p>
    <w:p w:rsidR="00DF5565" w:rsidRPr="003F0749" w:rsidRDefault="00DF5565" w:rsidP="00E2084F">
      <w:pPr>
        <w:pStyle w:val="Bullet1GR"/>
      </w:pPr>
      <w:r w:rsidRPr="003F0749">
        <w:t>К тому же в период между 2007 и 2012</w:t>
      </w:r>
      <w:r w:rsidR="002B6A52">
        <w:t> год</w:t>
      </w:r>
      <w:r w:rsidRPr="003F0749">
        <w:t xml:space="preserve">ами Генеральный директорат безопасности в рамках </w:t>
      </w:r>
      <w:r w:rsidR="003F0749">
        <w:t>"</w:t>
      </w:r>
      <w:r w:rsidRPr="003F0749">
        <w:t>работы полиции в общинах</w:t>
      </w:r>
      <w:r w:rsidR="003F0749">
        <w:t>"</w:t>
      </w:r>
      <w:r w:rsidRPr="003F0749">
        <w:t xml:space="preserve"> осуществил 12 пр</w:t>
      </w:r>
      <w:r w:rsidRPr="003F0749">
        <w:t>о</w:t>
      </w:r>
      <w:r w:rsidRPr="003F0749">
        <w:t>ектов в шести провинциях в целях активизации интеграции рома и пр</w:t>
      </w:r>
      <w:r w:rsidRPr="003F0749">
        <w:t>о</w:t>
      </w:r>
      <w:r w:rsidRPr="003F0749">
        <w:t>филактики преступлений и вредных привычек. Эти проекты расширили диалог с гражданами из числа рома, вселили в них чувство гордости за свое гражданство и прина</w:t>
      </w:r>
      <w:r w:rsidRPr="003F0749">
        <w:t>д</w:t>
      </w:r>
      <w:r w:rsidRPr="003F0749">
        <w:t>лежности к народности рома.</w:t>
      </w:r>
    </w:p>
    <w:p w:rsidR="00DF5565" w:rsidRPr="003F0749" w:rsidRDefault="00DF5565" w:rsidP="00E2084F">
      <w:pPr>
        <w:pStyle w:val="Bullet1GR"/>
      </w:pPr>
      <w:r w:rsidRPr="003F0749">
        <w:t xml:space="preserve">Процесс </w:t>
      </w:r>
      <w:r w:rsidR="003F0749">
        <w:t>"</w:t>
      </w:r>
      <w:r w:rsidRPr="003F0749">
        <w:t>открытости</w:t>
      </w:r>
      <w:r w:rsidR="003F0749">
        <w:t>"</w:t>
      </w:r>
      <w:r w:rsidRPr="003F0749">
        <w:t xml:space="preserve"> для рома осуществляется на демократической о</w:t>
      </w:r>
      <w:r w:rsidRPr="003F0749">
        <w:t>с</w:t>
      </w:r>
      <w:r w:rsidRPr="003F0749">
        <w:t>нове, чтобы сами рома могли влиять на политику и программы, которые проводятся в их интересах. Почти на всех совещаниях и мероприятиях правительство представляют чиновники самого высокого ранга, а это свидетельствует о доброй воле и подходе, принятом для решения этой проблемы</w:t>
      </w:r>
      <w:r w:rsidR="002B6A52">
        <w:t>. К </w:t>
      </w:r>
      <w:r w:rsidRPr="003F0749">
        <w:t>тому же, в дополнение к росту количества НПО рома, в</w:t>
      </w:r>
      <w:r w:rsidRPr="003F0749">
        <w:t>ы</w:t>
      </w:r>
      <w:r w:rsidRPr="003F0749">
        <w:t>званного повышением уровня гражданского сознания общины, косве</w:t>
      </w:r>
      <w:r w:rsidRPr="003F0749">
        <w:t>н</w:t>
      </w:r>
      <w:r w:rsidRPr="003F0749">
        <w:t>ным следствием этого процесса стало возро</w:t>
      </w:r>
      <w:r w:rsidRPr="003F0749">
        <w:t>с</w:t>
      </w:r>
      <w:r w:rsidRPr="003F0749">
        <w:t xml:space="preserve">шее чувство самоуважения и гордости за принадлежность к общине рома. </w:t>
      </w:r>
    </w:p>
    <w:p w:rsidR="00DF5565" w:rsidRPr="003F0749" w:rsidRDefault="00DF5565" w:rsidP="00DF5565">
      <w:pPr>
        <w:pStyle w:val="SingleTxtGR"/>
      </w:pPr>
      <w:r w:rsidRPr="003F0749">
        <w:t>63.</w:t>
      </w:r>
      <w:r w:rsidRPr="003F0749">
        <w:tab/>
        <w:t>В качестве примера особых мер, направленных на ликвидацию реги</w:t>
      </w:r>
      <w:r w:rsidRPr="003F0749">
        <w:t>о</w:t>
      </w:r>
      <w:r w:rsidRPr="003F0749">
        <w:t>нальных различий и тем самым непреднамеренного неравного экономического положения граждан, можно привести возобновленный на основе Плана дейс</w:t>
      </w:r>
      <w:r w:rsidRPr="003F0749">
        <w:t>т</w:t>
      </w:r>
      <w:r w:rsidRPr="003F0749">
        <w:t>вий по</w:t>
      </w:r>
      <w:r w:rsidR="002B6A52">
        <w:t xml:space="preserve"> </w:t>
      </w:r>
      <w:r w:rsidRPr="003F0749">
        <w:t>развитию Юго-Восточной Анатолии (GAP) на период 2008−2012</w:t>
      </w:r>
      <w:r w:rsidR="002B6A52">
        <w:t> год</w:t>
      </w:r>
      <w:r w:rsidRPr="003F0749">
        <w:t>ов проект (GAP), который был начат в целях сокращения разрыва в уровнях разв</w:t>
      </w:r>
      <w:r w:rsidRPr="003F0749">
        <w:t>и</w:t>
      </w:r>
      <w:r w:rsidRPr="003F0749">
        <w:t>тия между Юго-востоком и другими частями Турции и преодоления регионал</w:t>
      </w:r>
      <w:r w:rsidRPr="003F0749">
        <w:t>ь</w:t>
      </w:r>
      <w:r w:rsidRPr="003F0749">
        <w:t>ных социально-экономических диспропорций. План действий предусматривает четыре направления, а именно: экономическое развитие, социальное развитие, модернизацию инфраструктуры и повышение институционального потенциала</w:t>
      </w:r>
      <w:r w:rsidR="002B6A52">
        <w:t>. В </w:t>
      </w:r>
      <w:r w:rsidRPr="003F0749">
        <w:t>рамках этого Плана действий удалось модернизировать систему ирригации, развить транспортную сеть, почти завершить инвестиции в энергетический се</w:t>
      </w:r>
      <w:r w:rsidRPr="003F0749">
        <w:t>к</w:t>
      </w:r>
      <w:r w:rsidRPr="003F0749">
        <w:t>тор и увеличить кредиты малым и средним предприятиям (МСП). Благодаря сделанным инвестициям показатели в сфере образования и здравоохранения достигли средних величин по стране. Ресурсы, ассигнованные на инвестиции в регион GAP, в 2012</w:t>
      </w:r>
      <w:r w:rsidR="002B6A52">
        <w:t> год</w:t>
      </w:r>
      <w:r w:rsidRPr="003F0749">
        <w:t>у составили 4,26 миллиардов турецких лир, из которых 3,68 миллиардов турецких лир было ассигновано на инвестиции по линии Пл</w:t>
      </w:r>
      <w:r w:rsidRPr="003F0749">
        <w:t>а</w:t>
      </w:r>
      <w:r w:rsidRPr="003F0749">
        <w:t>на действий в рамках GAP. План действий в рамках GAP был завершен в конце 2012</w:t>
      </w:r>
      <w:r w:rsidR="002B6A52">
        <w:t> год</w:t>
      </w:r>
      <w:r w:rsidRPr="003F0749">
        <w:t>а, и в 2013</w:t>
      </w:r>
      <w:r w:rsidR="002B6A52">
        <w:t> год</w:t>
      </w:r>
      <w:r w:rsidRPr="003F0749">
        <w:t>у был начат пересмотренный План действий (2013−2017</w:t>
      </w:r>
      <w:r w:rsidR="002B6A52">
        <w:t> год</w:t>
      </w:r>
      <w:r w:rsidRPr="003F0749">
        <w:t>ы), который включает новые инновационные и долговременные проекты и программы, позволяющие ускорить социально-экономическое разв</w:t>
      </w:r>
      <w:r w:rsidRPr="003F0749">
        <w:t>и</w:t>
      </w:r>
      <w:r w:rsidRPr="003F0749">
        <w:t>тие и ув</w:t>
      </w:r>
      <w:r w:rsidRPr="003F0749">
        <w:t>е</w:t>
      </w:r>
      <w:r w:rsidRPr="003F0749">
        <w:t xml:space="preserve">личить занятость. </w:t>
      </w:r>
    </w:p>
    <w:p w:rsidR="00DF5565" w:rsidRPr="003F0749" w:rsidRDefault="00DF5565" w:rsidP="00E2084F">
      <w:pPr>
        <w:pStyle w:val="H1GR"/>
      </w:pPr>
      <w:r w:rsidRPr="003F0749">
        <w:tab/>
      </w:r>
      <w:r w:rsidRPr="003F0749">
        <w:tab/>
        <w:t>Статья 3</w:t>
      </w:r>
    </w:p>
    <w:p w:rsidR="00DF5565" w:rsidRPr="003F0749" w:rsidRDefault="00DF5565" w:rsidP="00DF5565">
      <w:pPr>
        <w:pStyle w:val="SingleTxtGR"/>
      </w:pPr>
      <w:r w:rsidRPr="003F0749">
        <w:t>64.</w:t>
      </w:r>
      <w:r w:rsidRPr="003F0749">
        <w:tab/>
        <w:t xml:space="preserve">Доктрины расовой сегрегации и апартеида чужды турецкому обществу. Любая политика, идеология или режим, поощряющие расовую ненависть и дискриминацию, осуждаются и наказываются по закону. </w:t>
      </w:r>
    </w:p>
    <w:p w:rsidR="00DF5565" w:rsidRPr="003F0749" w:rsidRDefault="00DF5565" w:rsidP="00DF5565">
      <w:pPr>
        <w:pStyle w:val="SingleTxtGR"/>
      </w:pPr>
      <w:r w:rsidRPr="003F0749">
        <w:t>65.</w:t>
      </w:r>
      <w:r w:rsidRPr="003F0749">
        <w:tab/>
        <w:t>Межкультурный диалог и гармония имеют в Турции глубокие корни. Т</w:t>
      </w:r>
      <w:r w:rsidRPr="003F0749">
        <w:t>у</w:t>
      </w:r>
      <w:r w:rsidRPr="003F0749">
        <w:t xml:space="preserve">рецкая Республика с большим уважением относится к наследию </w:t>
      </w:r>
      <w:proofErr w:type="spellStart"/>
      <w:r w:rsidRPr="003F0749">
        <w:t>поликонфе</w:t>
      </w:r>
      <w:r w:rsidRPr="003F0749">
        <w:t>с</w:t>
      </w:r>
      <w:r w:rsidRPr="003F0749">
        <w:t>сиональной</w:t>
      </w:r>
      <w:proofErr w:type="spellEnd"/>
      <w:r w:rsidRPr="003F0749">
        <w:t xml:space="preserve"> терпимости, разнообразия и культурного плюрализма. Каждый т</w:t>
      </w:r>
      <w:r w:rsidRPr="003F0749">
        <w:t>у</w:t>
      </w:r>
      <w:r w:rsidRPr="003F0749">
        <w:t>рецкий гражданин считается неотъемлемой частью турецкой нации. Их истоки являются источниками богатства турецкого общества, пользоваться которыми и хранить которые можно путем осуществления индивидуальных свобод.</w:t>
      </w:r>
    </w:p>
    <w:p w:rsidR="00DF5565" w:rsidRPr="003F0749" w:rsidRDefault="00DF5565" w:rsidP="00E2084F">
      <w:pPr>
        <w:pStyle w:val="H1GR"/>
      </w:pPr>
      <w:r w:rsidRPr="003F0749">
        <w:tab/>
      </w:r>
      <w:r w:rsidRPr="003F0749">
        <w:tab/>
        <w:t>Статья 4</w:t>
      </w:r>
    </w:p>
    <w:p w:rsidR="00DF5565" w:rsidRPr="003F0749" w:rsidRDefault="00DF5565" w:rsidP="00E2084F">
      <w:pPr>
        <w:pStyle w:val="H23GR"/>
      </w:pPr>
      <w:r w:rsidRPr="003F0749">
        <w:tab/>
        <w:t>1.</w:t>
      </w:r>
      <w:r w:rsidRPr="003F0749">
        <w:tab/>
        <w:t>Информация о законодательных, судебных, административных и других мерах, которые проводят в жизнь положения статьи 4, включая принятие и</w:t>
      </w:r>
      <w:r w:rsidR="008D3B03">
        <w:t> </w:t>
      </w:r>
      <w:r w:rsidRPr="003F0749">
        <w:t>применение законов</w:t>
      </w:r>
    </w:p>
    <w:p w:rsidR="00DF5565" w:rsidRPr="003F0749" w:rsidRDefault="00DF5565" w:rsidP="00DF5565">
      <w:pPr>
        <w:pStyle w:val="SingleTxtGR"/>
      </w:pPr>
      <w:r w:rsidRPr="003F0749">
        <w:t>66.</w:t>
      </w:r>
      <w:r w:rsidRPr="003F0749">
        <w:tab/>
        <w:t>Турция осуждает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пытающиеся оправдать или опра</w:t>
      </w:r>
      <w:r w:rsidRPr="003F0749">
        <w:t>в</w:t>
      </w:r>
      <w:r w:rsidRPr="003F0749">
        <w:t xml:space="preserve">дывающие расовую ненависть и дискриминацию в какой бы то ни было форме. Статья 216 Раздела 5 Уголовного кодекса Турции, озаглавленная </w:t>
      </w:r>
      <w:r w:rsidR="003F0749">
        <w:t>"</w:t>
      </w:r>
      <w:r w:rsidRPr="003F0749">
        <w:t>Преступления против общественного порядка</w:t>
      </w:r>
      <w:r w:rsidR="003F0749">
        <w:t>"</w:t>
      </w:r>
      <w:r w:rsidRPr="003F0749">
        <w:t xml:space="preserve"> запрещает разжигание ненависти или вражды по признакам социально-классовой, расовой, религиозной, конфессиональной принадлежности или региональных особенностей. Статья 216 гласит:</w:t>
      </w:r>
    </w:p>
    <w:p w:rsidR="00DF5565" w:rsidRPr="003F0749" w:rsidRDefault="002B6A52" w:rsidP="00DF5565">
      <w:pPr>
        <w:pStyle w:val="SingleTxtGR"/>
      </w:pPr>
      <w:r>
        <w:tab/>
      </w:r>
      <w:r w:rsidR="00DF5565" w:rsidRPr="003F0749">
        <w:t>a)</w:t>
      </w:r>
      <w:r w:rsidR="00DF5565" w:rsidRPr="003F0749">
        <w:tab/>
        <w:t>Любое лицо, которое публично подстрекает группы населения к вражде или ненависти в отношении друг друга по признакам социально-классовой, расовой, религиозной, конфессиональной принадлежности или р</w:t>
      </w:r>
      <w:r w:rsidR="00DF5565" w:rsidRPr="003F0749">
        <w:t>е</w:t>
      </w:r>
      <w:r w:rsidR="00DF5565" w:rsidRPr="003F0749">
        <w:t>гиональных особенностей, что может представлять угрозу общественному п</w:t>
      </w:r>
      <w:r w:rsidR="00DF5565" w:rsidRPr="003F0749">
        <w:t>о</w:t>
      </w:r>
      <w:r w:rsidR="00DF5565" w:rsidRPr="003F0749">
        <w:t>рядку, подлежит наказанию в виде лишения свободы на срок от одного</w:t>
      </w:r>
      <w:r w:rsidR="008D3B03">
        <w:t xml:space="preserve"> </w:t>
      </w:r>
      <w:r>
        <w:t>год</w:t>
      </w:r>
      <w:r w:rsidR="00DF5565" w:rsidRPr="003F0749">
        <w:t>а до трех лет.</w:t>
      </w:r>
    </w:p>
    <w:p w:rsidR="00DF5565" w:rsidRPr="003F0749" w:rsidRDefault="002B6A52" w:rsidP="00DF5565">
      <w:pPr>
        <w:pStyle w:val="SingleTxtGR"/>
      </w:pPr>
      <w:r>
        <w:tab/>
      </w:r>
      <w:r w:rsidR="00DF5565" w:rsidRPr="003F0749">
        <w:t>b)</w:t>
      </w:r>
      <w:r w:rsidR="00DF5565" w:rsidRPr="003F0749">
        <w:tab/>
        <w:t>Любое лицо, которое публично порочит часть населения по пр</w:t>
      </w:r>
      <w:r w:rsidR="00DF5565" w:rsidRPr="003F0749">
        <w:t>и</w:t>
      </w:r>
      <w:r w:rsidR="00DF5565" w:rsidRPr="003F0749">
        <w:t>знакам социально-классовой, расовой, религиозной, конфессиональной, пол</w:t>
      </w:r>
      <w:r w:rsidR="00DF5565" w:rsidRPr="003F0749">
        <w:t>о</w:t>
      </w:r>
      <w:r w:rsidR="00DF5565" w:rsidRPr="003F0749">
        <w:t>вой принадлежности или региональных особенностей, подлежит наказанию в виде л</w:t>
      </w:r>
      <w:r w:rsidR="00DF5565" w:rsidRPr="003F0749">
        <w:t>и</w:t>
      </w:r>
      <w:r w:rsidR="00DF5565" w:rsidRPr="003F0749">
        <w:t>шения свободы на срок от шести месяцев до одного</w:t>
      </w:r>
      <w:r>
        <w:t> год</w:t>
      </w:r>
      <w:r w:rsidR="00DF5565" w:rsidRPr="003F0749">
        <w:t>а.</w:t>
      </w:r>
    </w:p>
    <w:p w:rsidR="00DF5565" w:rsidRPr="003F0749" w:rsidRDefault="002B6A52" w:rsidP="002B6A52">
      <w:pPr>
        <w:pStyle w:val="SingleTxtGR"/>
        <w:keepLines/>
      </w:pPr>
      <w:r>
        <w:tab/>
      </w:r>
      <w:proofErr w:type="spellStart"/>
      <w:r w:rsidR="00DF5565" w:rsidRPr="003F0749">
        <w:t>c</w:t>
      </w:r>
      <w:proofErr w:type="spellEnd"/>
      <w:r w:rsidR="00DF5565" w:rsidRPr="003F0749">
        <w:t>)</w:t>
      </w:r>
      <w:r w:rsidR="00DF5565" w:rsidRPr="003F0749">
        <w:tab/>
        <w:t>Любое лицо, которое публично очерняет религиозные ценности части населения, подлежит наказанию в виде лишения свободы на срок от ше</w:t>
      </w:r>
      <w:r w:rsidR="00DF5565" w:rsidRPr="003F0749">
        <w:t>с</w:t>
      </w:r>
      <w:r w:rsidR="00DF5565" w:rsidRPr="003F0749">
        <w:t>ти месяцев до одного</w:t>
      </w:r>
      <w:r w:rsidR="008D3B03">
        <w:t xml:space="preserve"> </w:t>
      </w:r>
      <w:r>
        <w:t>год</w:t>
      </w:r>
      <w:r w:rsidR="00DF5565" w:rsidRPr="003F0749">
        <w:t>а, если такой акт по всей вероятности приведет к н</w:t>
      </w:r>
      <w:r w:rsidR="00DF5565" w:rsidRPr="003F0749">
        <w:t>а</w:t>
      </w:r>
      <w:r w:rsidR="00DF5565" w:rsidRPr="003F0749">
        <w:t>рушению общественного порядка.</w:t>
      </w:r>
    </w:p>
    <w:p w:rsidR="00DF5565" w:rsidRPr="003F0749" w:rsidRDefault="00DF5565" w:rsidP="00DF5565">
      <w:pPr>
        <w:pStyle w:val="SingleTxtGR"/>
      </w:pPr>
      <w:r w:rsidRPr="003F0749">
        <w:t>67.</w:t>
      </w:r>
      <w:r w:rsidRPr="003F0749">
        <w:tab/>
        <w:t>Статья 218 того же раздела УКТ вдвое ужесточает наказание, назнача</w:t>
      </w:r>
      <w:r w:rsidRPr="003F0749">
        <w:t>е</w:t>
      </w:r>
      <w:r w:rsidRPr="003F0749">
        <w:t>мое за совершение преступлений, перечисленных в Разделе 5, включая статью</w:t>
      </w:r>
      <w:r w:rsidR="002B6A52">
        <w:t xml:space="preserve"> </w:t>
      </w:r>
      <w:r w:rsidRPr="003F0749">
        <w:t>216, если они совершены через средства массовой информации или печать.</w:t>
      </w:r>
    </w:p>
    <w:p w:rsidR="00DF5565" w:rsidRPr="003F0749" w:rsidRDefault="00DF5565" w:rsidP="00DF5565">
      <w:pPr>
        <w:pStyle w:val="SingleTxtGR"/>
      </w:pPr>
      <w:r w:rsidRPr="003F0749">
        <w:t>68.</w:t>
      </w:r>
      <w:r w:rsidRPr="003F0749">
        <w:tab/>
        <w:t>Что касается пункта 14 Заключительных замечаний Комитета, то Турция еще раз хотела бы напомнить, что в пункте 1 статьи 216 Уголовного кодекса Турции регламентируются пределы свободы выражения мнений с целью пр</w:t>
      </w:r>
      <w:r w:rsidRPr="003F0749">
        <w:t>е</w:t>
      </w:r>
      <w:r w:rsidRPr="003F0749">
        <w:t>дотвращения подстрекательства к социальной, расовой, религиозной или р</w:t>
      </w:r>
      <w:r w:rsidRPr="003F0749">
        <w:t>е</w:t>
      </w:r>
      <w:r w:rsidRPr="003F0749">
        <w:t>гиональной вражде или ненависти, когда это чревато явной и неизбежной угр</w:t>
      </w:r>
      <w:r w:rsidRPr="003F0749">
        <w:t>о</w:t>
      </w:r>
      <w:r w:rsidRPr="003F0749">
        <w:t>зой общественному порядку. Эта статья призвана содействовать обеспечению баланса между высокими стандартами свободы выражения мнений и одновр</w:t>
      </w:r>
      <w:r w:rsidRPr="003F0749">
        <w:t>е</w:t>
      </w:r>
      <w:r w:rsidRPr="003F0749">
        <w:t>менно эффективному решению проблемы подстрекательства к ненависти по вышеупомянутым признакам.</w:t>
      </w:r>
    </w:p>
    <w:p w:rsidR="00DF5565" w:rsidRPr="003F0749" w:rsidRDefault="00DF5565" w:rsidP="00DF5565">
      <w:pPr>
        <w:pStyle w:val="SingleTxtGR"/>
      </w:pPr>
      <w:r w:rsidRPr="003F0749">
        <w:t>69.</w:t>
      </w:r>
      <w:r w:rsidRPr="003F0749">
        <w:tab/>
        <w:t xml:space="preserve">Турция твердо убеждена, что свободное выражение мыслей является принципом </w:t>
      </w:r>
      <w:proofErr w:type="spellStart"/>
      <w:r w:rsidRPr="003F0749">
        <w:t>sine</w:t>
      </w:r>
      <w:proofErr w:type="spellEnd"/>
      <w:r w:rsidRPr="003F0749">
        <w:t xml:space="preserve"> </w:t>
      </w:r>
      <w:proofErr w:type="spellStart"/>
      <w:r w:rsidRPr="003F0749">
        <w:t>qua</w:t>
      </w:r>
      <w:proofErr w:type="spellEnd"/>
      <w:r w:rsidRPr="003F0749">
        <w:t xml:space="preserve"> </w:t>
      </w:r>
      <w:proofErr w:type="spellStart"/>
      <w:r w:rsidRPr="003F0749">
        <w:t>non</w:t>
      </w:r>
      <w:proofErr w:type="spellEnd"/>
      <w:r w:rsidRPr="003F0749">
        <w:t xml:space="preserve"> демократического общества. Чтобы какой-либо акт подпадал под действие статьи 216 (1), он должен иметь конкретные квалифиц</w:t>
      </w:r>
      <w:r w:rsidRPr="003F0749">
        <w:t>и</w:t>
      </w:r>
      <w:r w:rsidRPr="003F0749">
        <w:t>рующие признаки посягательства на общественный порядок. Опасность подр</w:t>
      </w:r>
      <w:r w:rsidRPr="003F0749">
        <w:t>ы</w:t>
      </w:r>
      <w:r w:rsidRPr="003F0749">
        <w:t>ва государственной безопасности имеет конкретные квалифицирующие призн</w:t>
      </w:r>
      <w:r w:rsidRPr="003F0749">
        <w:t>а</w:t>
      </w:r>
      <w:r w:rsidRPr="003F0749">
        <w:t xml:space="preserve">ки. Произношение речей или выражение мыслей может быть запрещено, если это представляет </w:t>
      </w:r>
      <w:r w:rsidR="003F0749">
        <w:t>"</w:t>
      </w:r>
      <w:r w:rsidRPr="003F0749">
        <w:t>явную и неминуемую угрозу</w:t>
      </w:r>
      <w:r w:rsidR="003F0749">
        <w:t>"</w:t>
      </w:r>
      <w:r w:rsidRPr="003F0749">
        <w:t xml:space="preserve"> для общества. Если существ</w:t>
      </w:r>
      <w:r w:rsidRPr="003F0749">
        <w:t>о</w:t>
      </w:r>
      <w:r w:rsidRPr="003F0749">
        <w:t>вание такой угрозы конкретно и четко не установлено, наказание за защиту свободы выражения мнений назначаться не может.</w:t>
      </w:r>
    </w:p>
    <w:p w:rsidR="00DF5565" w:rsidRPr="003F0749" w:rsidRDefault="00DF5565" w:rsidP="00DF5565">
      <w:pPr>
        <w:pStyle w:val="SingleTxtGR"/>
      </w:pPr>
      <w:r w:rsidRPr="003F0749">
        <w:t>70.</w:t>
      </w:r>
      <w:r w:rsidRPr="003F0749">
        <w:tab/>
        <w:t xml:space="preserve">Кроме того, статья 8 (b) Закона </w:t>
      </w:r>
      <w:r w:rsidR="002B6A52">
        <w:t>№ </w:t>
      </w:r>
      <w:r w:rsidRPr="003F0749">
        <w:t xml:space="preserve">6112 об учреждении радио и </w:t>
      </w:r>
      <w:proofErr w:type="spellStart"/>
      <w:r w:rsidRPr="003F0749">
        <w:t>телевещ</w:t>
      </w:r>
      <w:r w:rsidRPr="003F0749">
        <w:t>а</w:t>
      </w:r>
      <w:r w:rsidRPr="003F0749">
        <w:t>тельных</w:t>
      </w:r>
      <w:proofErr w:type="spellEnd"/>
      <w:r w:rsidRPr="003F0749">
        <w:t xml:space="preserve"> компаний и поставщиках их </w:t>
      </w:r>
      <w:proofErr w:type="spellStart"/>
      <w:r w:rsidRPr="003F0749">
        <w:t>медийных</w:t>
      </w:r>
      <w:proofErr w:type="spellEnd"/>
      <w:r w:rsidRPr="003F0749">
        <w:t xml:space="preserve"> услуг 2011</w:t>
      </w:r>
      <w:r w:rsidR="002B6A52">
        <w:t> год</w:t>
      </w:r>
      <w:r w:rsidRPr="003F0749">
        <w:t xml:space="preserve">а запрещает им при оказании </w:t>
      </w:r>
      <w:proofErr w:type="spellStart"/>
      <w:r w:rsidRPr="003F0749">
        <w:t>медийных</w:t>
      </w:r>
      <w:proofErr w:type="spellEnd"/>
      <w:r w:rsidRPr="003F0749">
        <w:t xml:space="preserve"> услуг подстрекать общество к ненависти и вражде п</w:t>
      </w:r>
      <w:r w:rsidRPr="003F0749">
        <w:t>у</w:t>
      </w:r>
      <w:r w:rsidRPr="003F0749">
        <w:t xml:space="preserve">тем дискриминации по признакам расы, языка, религии, пола, социально-классовой принадлежности, региона и </w:t>
      </w:r>
      <w:proofErr w:type="spellStart"/>
      <w:r w:rsidRPr="003F0749">
        <w:t>конфессии</w:t>
      </w:r>
      <w:proofErr w:type="spellEnd"/>
      <w:r w:rsidRPr="003F0749">
        <w:t xml:space="preserve"> и запрещает им разжигать в обществе любое чувство ненависти.</w:t>
      </w:r>
    </w:p>
    <w:p w:rsidR="00DF5565" w:rsidRPr="003F0749" w:rsidRDefault="00DF5565" w:rsidP="00DF5565">
      <w:pPr>
        <w:pStyle w:val="SingleTxtGR"/>
      </w:pPr>
      <w:r w:rsidRPr="003F0749">
        <w:t>71.</w:t>
      </w:r>
      <w:r w:rsidRPr="003F0749">
        <w:tab/>
        <w:t xml:space="preserve">В проекте Закона о </w:t>
      </w:r>
      <w:proofErr w:type="spellStart"/>
      <w:r w:rsidRPr="003F0749">
        <w:t>недискриминации</w:t>
      </w:r>
      <w:proofErr w:type="spellEnd"/>
      <w:r w:rsidRPr="003F0749">
        <w:t xml:space="preserve"> и равенстве, который упоминается в пунктах 13−16, также запрещаются призывы, разжигающие ненависть. </w:t>
      </w:r>
    </w:p>
    <w:p w:rsidR="00DF5565" w:rsidRPr="003F0749" w:rsidRDefault="00DF5565" w:rsidP="002B6A52">
      <w:pPr>
        <w:pStyle w:val="H23GR"/>
      </w:pPr>
      <w:r w:rsidRPr="003F0749">
        <w:tab/>
        <w:t>2.</w:t>
      </w:r>
      <w:r w:rsidRPr="003F0749">
        <w:tab/>
        <w:t>Расовые мотивы как отягчающие обстоятельства во внутреннем уголовном законодательстве</w:t>
      </w:r>
    </w:p>
    <w:p w:rsidR="00DF5565" w:rsidRPr="003F0749" w:rsidRDefault="00DF5565" w:rsidP="00DF5565">
      <w:pPr>
        <w:pStyle w:val="SingleTxtGR"/>
      </w:pPr>
      <w:r w:rsidRPr="003F0749">
        <w:t>72.</w:t>
      </w:r>
      <w:r w:rsidRPr="003F0749">
        <w:tab/>
        <w:t>Недавно турецкое правительство предложило несколько законодательных поправок, касающихся более эффективной борьбы с преступлениями на почве ненависти и дискриминацией</w:t>
      </w:r>
      <w:r w:rsidR="002B6A52">
        <w:t>. К </w:t>
      </w:r>
      <w:r w:rsidRPr="003F0749">
        <w:t>предложенным поправкам относятся включ</w:t>
      </w:r>
      <w:r w:rsidRPr="003F0749">
        <w:t>е</w:t>
      </w:r>
      <w:r w:rsidRPr="003F0749">
        <w:t>ние в УКТ мотива ненависти в качестве отягчающего обстоятельства и ужест</w:t>
      </w:r>
      <w:r w:rsidRPr="003F0749">
        <w:t>о</w:t>
      </w:r>
      <w:r w:rsidRPr="003F0749">
        <w:t>чение уголовного наказания за акты дискриминации. Проекты этих законов н</w:t>
      </w:r>
      <w:r w:rsidRPr="003F0749">
        <w:t>а</w:t>
      </w:r>
      <w:r w:rsidRPr="003F0749">
        <w:t xml:space="preserve">ходятся на рассмотрении парламента. </w:t>
      </w:r>
    </w:p>
    <w:p w:rsidR="00DF5565" w:rsidRPr="003F0749" w:rsidRDefault="00DF5565" w:rsidP="00DF5565">
      <w:pPr>
        <w:pStyle w:val="SingleTxtGR"/>
      </w:pPr>
      <w:r w:rsidRPr="003F0749">
        <w:t>73.</w:t>
      </w:r>
      <w:r w:rsidRPr="003F0749">
        <w:tab/>
        <w:t xml:space="preserve">Должное внимание было уделено рекомендации Комитета, содержащейся в пункте 23 Заключительных замечаний, о том, чтобы квалифицировать в УКТ преступления на почве ненависти в качестве отягчающего обстоятельства. </w:t>
      </w:r>
    </w:p>
    <w:p w:rsidR="00DF5565" w:rsidRPr="003F0749" w:rsidRDefault="00DF5565" w:rsidP="002B6A52">
      <w:pPr>
        <w:pStyle w:val="H23GR"/>
      </w:pPr>
      <w:r w:rsidRPr="003F0749">
        <w:tab/>
        <w:t>3.</w:t>
      </w:r>
      <w:r w:rsidRPr="003F0749">
        <w:tab/>
        <w:t>Разъяснения по поводу отсутствия законодательства</w:t>
      </w:r>
    </w:p>
    <w:p w:rsidR="00DF5565" w:rsidRPr="00E2084F" w:rsidRDefault="00DF5565" w:rsidP="00E2084F">
      <w:pPr>
        <w:pStyle w:val="H4GR"/>
        <w:spacing w:before="240"/>
        <w:ind w:left="1156" w:right="1179" w:hanging="1145"/>
      </w:pPr>
      <w:r w:rsidRPr="00E2084F">
        <w:tab/>
      </w:r>
      <w:r w:rsidRPr="00E2084F">
        <w:tab/>
        <w:t>В Турции действует соответствующее законодательство, о чем говорилось в</w:t>
      </w:r>
      <w:r w:rsidR="008D3B03">
        <w:t> </w:t>
      </w:r>
      <w:r w:rsidRPr="00E2084F">
        <w:t>тексте заголовка 1 к статье 4.</w:t>
      </w:r>
    </w:p>
    <w:p w:rsidR="00DF5565" w:rsidRPr="003F0749" w:rsidRDefault="00DF5565" w:rsidP="002B6A52">
      <w:pPr>
        <w:pStyle w:val="H23GR"/>
      </w:pPr>
      <w:r w:rsidRPr="003F0749">
        <w:tab/>
        <w:t>4.</w:t>
      </w:r>
      <w:r w:rsidRPr="003F0749">
        <w:tab/>
        <w:t>Информация, касающаяся решений, принятых национальными судами и</w:t>
      </w:r>
      <w:r w:rsidR="008D3B03">
        <w:t> </w:t>
      </w:r>
      <w:r w:rsidRPr="003F0749">
        <w:t>другими государственными учреждениями в отношении актов дискриминации, в частности правонарушений, предусмотренных в</w:t>
      </w:r>
      <w:r w:rsidR="008D3B03">
        <w:t> </w:t>
      </w:r>
      <w:r w:rsidRPr="003F0749">
        <w:t>статье</w:t>
      </w:r>
      <w:r w:rsidR="008D3B03">
        <w:t> </w:t>
      </w:r>
      <w:r w:rsidRPr="003F0749">
        <w:t>4</w:t>
      </w:r>
    </w:p>
    <w:p w:rsidR="00DF5565" w:rsidRPr="003F0749" w:rsidRDefault="00DF5565" w:rsidP="00DF5565">
      <w:pPr>
        <w:pStyle w:val="SingleTxtGR"/>
        <w:rPr>
          <w:i/>
        </w:rPr>
      </w:pPr>
      <w:r w:rsidRPr="003F0749">
        <w:rPr>
          <w:i/>
        </w:rPr>
        <w:t>74.</w:t>
      </w:r>
      <w:r w:rsidRPr="003F0749">
        <w:rPr>
          <w:i/>
        </w:rPr>
        <w:tab/>
      </w:r>
      <w:r w:rsidRPr="003F0749">
        <w:t>В приводящейся ниже таблице указывается количество обвинительных приговоров и решений, вынесенных судами на основании статей 216 и 218 УКТ в период между 2009−2012</w:t>
      </w:r>
      <w:r w:rsidR="002B6A52">
        <w:t> год</w:t>
      </w:r>
      <w:r w:rsidRPr="003F0749">
        <w:t>ами.</w:t>
      </w:r>
    </w:p>
    <w:tbl>
      <w:tblPr>
        <w:tblStyle w:val="TabNum"/>
        <w:tblW w:w="8525" w:type="dxa"/>
        <w:tblInd w:w="1134" w:type="dxa"/>
        <w:tblLayout w:type="fixed"/>
        <w:tblLook w:val="01E0"/>
      </w:tblPr>
      <w:tblGrid>
        <w:gridCol w:w="849"/>
        <w:gridCol w:w="509"/>
        <w:gridCol w:w="1064"/>
        <w:gridCol w:w="1162"/>
        <w:gridCol w:w="1273"/>
        <w:gridCol w:w="1162"/>
        <w:gridCol w:w="1036"/>
        <w:gridCol w:w="1470"/>
      </w:tblGrid>
      <w:tr w:rsidR="002B6A52" w:rsidRPr="002B6A52" w:rsidTr="002B6A52">
        <w:trPr>
          <w:tblHeader/>
        </w:trPr>
        <w:tc>
          <w:tcPr>
            <w:cnfStyle w:val="001000000000"/>
            <w:tcW w:w="849" w:type="dxa"/>
            <w:vMerge w:val="restart"/>
            <w:tcBorders>
              <w:bottom w:val="single" w:sz="12" w:space="0" w:color="auto"/>
            </w:tcBorders>
            <w:shd w:val="clear" w:color="auto" w:fill="auto"/>
          </w:tcPr>
          <w:p w:rsidR="00DF5565" w:rsidRPr="002B6A52" w:rsidRDefault="00DF5565" w:rsidP="002B6A52">
            <w:pPr>
              <w:spacing w:before="80" w:after="80" w:line="200" w:lineRule="exact"/>
              <w:rPr>
                <w:i/>
                <w:sz w:val="16"/>
              </w:rPr>
            </w:pPr>
            <w:r w:rsidRPr="002B6A52">
              <w:rPr>
                <w:i/>
                <w:sz w:val="16"/>
              </w:rPr>
              <w:t xml:space="preserve">Статья </w:t>
            </w:r>
          </w:p>
        </w:tc>
        <w:tc>
          <w:tcPr>
            <w:tcW w:w="509"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Год</w:t>
            </w:r>
          </w:p>
        </w:tc>
        <w:tc>
          <w:tcPr>
            <w:tcW w:w="1064"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Количество обвиня</w:t>
            </w:r>
            <w:r w:rsidRPr="002B6A52">
              <w:rPr>
                <w:i/>
                <w:sz w:val="16"/>
              </w:rPr>
              <w:t>е</w:t>
            </w:r>
            <w:r w:rsidRPr="002B6A52">
              <w:rPr>
                <w:i/>
                <w:sz w:val="16"/>
              </w:rPr>
              <w:t xml:space="preserve">мых </w:t>
            </w:r>
          </w:p>
        </w:tc>
        <w:tc>
          <w:tcPr>
            <w:tcW w:w="1162"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Количество пр</w:t>
            </w:r>
            <w:r w:rsidRPr="002B6A52">
              <w:rPr>
                <w:i/>
                <w:sz w:val="16"/>
              </w:rPr>
              <w:t>и</w:t>
            </w:r>
            <w:r w:rsidRPr="002B6A52">
              <w:rPr>
                <w:i/>
                <w:sz w:val="16"/>
              </w:rPr>
              <w:t>говоров, вынесе</w:t>
            </w:r>
            <w:r w:rsidRPr="002B6A52">
              <w:rPr>
                <w:i/>
                <w:sz w:val="16"/>
              </w:rPr>
              <w:t>н</w:t>
            </w:r>
            <w:r w:rsidRPr="002B6A52">
              <w:rPr>
                <w:i/>
                <w:sz w:val="16"/>
              </w:rPr>
              <w:t xml:space="preserve">ных </w:t>
            </w:r>
            <w:r w:rsidR="002B6A52">
              <w:rPr>
                <w:i/>
                <w:sz w:val="16"/>
              </w:rPr>
              <w:br/>
            </w:r>
            <w:r w:rsidRPr="002B6A52">
              <w:rPr>
                <w:i/>
                <w:sz w:val="16"/>
              </w:rPr>
              <w:t>на основ</w:t>
            </w:r>
            <w:r w:rsidRPr="002B6A52">
              <w:rPr>
                <w:i/>
                <w:sz w:val="16"/>
              </w:rPr>
              <w:t>а</w:t>
            </w:r>
            <w:r w:rsidRPr="002B6A52">
              <w:rPr>
                <w:i/>
                <w:sz w:val="16"/>
              </w:rPr>
              <w:t>нии этой ст</w:t>
            </w:r>
            <w:r w:rsidRPr="002B6A52">
              <w:rPr>
                <w:i/>
                <w:sz w:val="16"/>
              </w:rPr>
              <w:t>а</w:t>
            </w:r>
            <w:r w:rsidRPr="002B6A52">
              <w:rPr>
                <w:i/>
                <w:sz w:val="16"/>
              </w:rPr>
              <w:t>тьи</w:t>
            </w:r>
          </w:p>
        </w:tc>
        <w:tc>
          <w:tcPr>
            <w:tcW w:w="4941" w:type="dxa"/>
            <w:gridSpan w:val="4"/>
            <w:tcBorders>
              <w:top w:val="single" w:sz="4" w:space="0" w:color="auto"/>
              <w:bottom w:val="single" w:sz="4" w:space="0" w:color="auto"/>
            </w:tcBorders>
            <w:shd w:val="clear" w:color="auto" w:fill="auto"/>
          </w:tcPr>
          <w:p w:rsidR="00DF5565" w:rsidRPr="002B6A52" w:rsidRDefault="00DF5565" w:rsidP="002B6A52">
            <w:pPr>
              <w:spacing w:before="80" w:after="80" w:line="200" w:lineRule="exact"/>
              <w:jc w:val="center"/>
              <w:cnfStyle w:val="000000000000"/>
              <w:rPr>
                <w:i/>
                <w:sz w:val="16"/>
              </w:rPr>
            </w:pPr>
            <w:r w:rsidRPr="002B6A52">
              <w:rPr>
                <w:i/>
                <w:sz w:val="16"/>
              </w:rPr>
              <w:t>Характер приговоров, вынесенных в отн</w:t>
            </w:r>
            <w:r w:rsidRPr="002B6A52">
              <w:rPr>
                <w:i/>
                <w:sz w:val="16"/>
              </w:rPr>
              <w:t>о</w:t>
            </w:r>
            <w:r w:rsidRPr="002B6A52">
              <w:rPr>
                <w:i/>
                <w:sz w:val="16"/>
              </w:rPr>
              <w:t>шении обвиняемых</w:t>
            </w:r>
          </w:p>
        </w:tc>
      </w:tr>
      <w:tr w:rsidR="002B6A52" w:rsidRPr="002B6A52" w:rsidTr="002B6A52">
        <w:trPr>
          <w:trHeight w:val="360"/>
          <w:tblHeader/>
        </w:trPr>
        <w:tc>
          <w:tcPr>
            <w:cnfStyle w:val="001000000000"/>
            <w:tcW w:w="849" w:type="dxa"/>
            <w:vMerge/>
            <w:tcBorders>
              <w:top w:val="nil"/>
              <w:bottom w:val="single" w:sz="12" w:space="0" w:color="auto"/>
            </w:tcBorders>
            <w:shd w:val="clear" w:color="auto" w:fill="auto"/>
          </w:tcPr>
          <w:p w:rsidR="00DF5565" w:rsidRPr="002B6A52" w:rsidRDefault="00DF5565" w:rsidP="002B6A52">
            <w:pPr>
              <w:spacing w:before="80" w:after="80" w:line="200" w:lineRule="exact"/>
              <w:rPr>
                <w:i/>
                <w:sz w:val="16"/>
              </w:rPr>
            </w:pPr>
          </w:p>
        </w:tc>
        <w:tc>
          <w:tcPr>
            <w:tcW w:w="509" w:type="dxa"/>
            <w:vMerge/>
            <w:tcBorders>
              <w:top w:val="nil"/>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p>
        </w:tc>
        <w:tc>
          <w:tcPr>
            <w:tcW w:w="1064" w:type="dxa"/>
            <w:vMerge/>
            <w:tcBorders>
              <w:top w:val="nil"/>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p>
        </w:tc>
        <w:tc>
          <w:tcPr>
            <w:tcW w:w="1162" w:type="dxa"/>
            <w:vMerge/>
            <w:tcBorders>
              <w:top w:val="nil"/>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p>
        </w:tc>
        <w:tc>
          <w:tcPr>
            <w:tcW w:w="1273"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 xml:space="preserve">Количество </w:t>
            </w:r>
            <w:r w:rsidR="002B6A52">
              <w:rPr>
                <w:i/>
                <w:sz w:val="16"/>
              </w:rPr>
              <w:br/>
            </w:r>
            <w:r w:rsidRPr="002B6A52">
              <w:rPr>
                <w:i/>
                <w:sz w:val="16"/>
              </w:rPr>
              <w:t>осу</w:t>
            </w:r>
            <w:r w:rsidRPr="002B6A52">
              <w:rPr>
                <w:i/>
                <w:sz w:val="16"/>
              </w:rPr>
              <w:t>ж</w:t>
            </w:r>
            <w:r w:rsidRPr="002B6A52">
              <w:rPr>
                <w:i/>
                <w:sz w:val="16"/>
              </w:rPr>
              <w:t xml:space="preserve">денных </w:t>
            </w:r>
            <w:r w:rsidR="002B6A52">
              <w:rPr>
                <w:i/>
                <w:sz w:val="16"/>
              </w:rPr>
              <w:br/>
            </w:r>
            <w:r w:rsidRPr="002B6A52">
              <w:rPr>
                <w:i/>
                <w:sz w:val="16"/>
              </w:rPr>
              <w:t xml:space="preserve">лиц </w:t>
            </w:r>
          </w:p>
        </w:tc>
        <w:tc>
          <w:tcPr>
            <w:tcW w:w="1162"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Количество оправда</w:t>
            </w:r>
            <w:r w:rsidRPr="002B6A52">
              <w:rPr>
                <w:i/>
                <w:sz w:val="16"/>
              </w:rPr>
              <w:t>н</w:t>
            </w:r>
            <w:r w:rsidRPr="002B6A52">
              <w:rPr>
                <w:i/>
                <w:sz w:val="16"/>
              </w:rPr>
              <w:t>ных лиц</w:t>
            </w:r>
          </w:p>
        </w:tc>
        <w:tc>
          <w:tcPr>
            <w:tcW w:w="1036"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Пр</w:t>
            </w:r>
            <w:r w:rsidRPr="002B6A52">
              <w:rPr>
                <w:i/>
                <w:sz w:val="16"/>
              </w:rPr>
              <w:t>о</w:t>
            </w:r>
            <w:r w:rsidRPr="002B6A52">
              <w:rPr>
                <w:i/>
                <w:sz w:val="16"/>
              </w:rPr>
              <w:t>чие*</w:t>
            </w:r>
          </w:p>
        </w:tc>
        <w:tc>
          <w:tcPr>
            <w:tcW w:w="1470" w:type="dxa"/>
            <w:vMerge w:val="restart"/>
            <w:tcBorders>
              <w:top w:val="single" w:sz="4" w:space="0" w:color="auto"/>
              <w:bottom w:val="single" w:sz="12" w:space="0" w:color="auto"/>
            </w:tcBorders>
            <w:shd w:val="clear" w:color="auto" w:fill="auto"/>
          </w:tcPr>
          <w:p w:rsidR="00DF5565" w:rsidRPr="002B6A52" w:rsidRDefault="00DF5565" w:rsidP="002B6A52">
            <w:pPr>
              <w:spacing w:before="80" w:after="80" w:line="200" w:lineRule="exact"/>
              <w:cnfStyle w:val="000000000000"/>
              <w:rPr>
                <w:i/>
                <w:sz w:val="16"/>
              </w:rPr>
            </w:pPr>
            <w:r w:rsidRPr="002B6A52">
              <w:rPr>
                <w:i/>
                <w:sz w:val="16"/>
              </w:rPr>
              <w:t>Общее колич</w:t>
            </w:r>
            <w:r w:rsidRPr="002B6A52">
              <w:rPr>
                <w:i/>
                <w:sz w:val="16"/>
              </w:rPr>
              <w:t>е</w:t>
            </w:r>
            <w:r w:rsidRPr="002B6A52">
              <w:rPr>
                <w:i/>
                <w:sz w:val="16"/>
              </w:rPr>
              <w:t xml:space="preserve">ство </w:t>
            </w:r>
            <w:r w:rsidR="002B6A52">
              <w:rPr>
                <w:i/>
                <w:sz w:val="16"/>
              </w:rPr>
              <w:br/>
            </w:r>
            <w:r w:rsidRPr="002B6A52">
              <w:rPr>
                <w:i/>
                <w:sz w:val="16"/>
              </w:rPr>
              <w:t>обвине</w:t>
            </w:r>
            <w:r w:rsidRPr="002B6A52">
              <w:rPr>
                <w:i/>
                <w:sz w:val="16"/>
              </w:rPr>
              <w:t>н</w:t>
            </w:r>
            <w:r w:rsidR="002B6A52">
              <w:rPr>
                <w:i/>
                <w:sz w:val="16"/>
              </w:rPr>
              <w:t xml:space="preserve">ных </w:t>
            </w:r>
            <w:r w:rsidR="002B6A52">
              <w:rPr>
                <w:i/>
                <w:sz w:val="16"/>
              </w:rPr>
              <w:br/>
            </w:r>
            <w:r w:rsidRPr="002B6A52">
              <w:rPr>
                <w:i/>
                <w:sz w:val="16"/>
              </w:rPr>
              <w:t>лиц</w:t>
            </w:r>
          </w:p>
        </w:tc>
      </w:tr>
      <w:tr w:rsidR="002B6A52" w:rsidRPr="002B6A52" w:rsidTr="002B6A52">
        <w:trPr>
          <w:trHeight w:val="380"/>
          <w:tblHeader/>
        </w:trPr>
        <w:tc>
          <w:tcPr>
            <w:cnfStyle w:val="001000000000"/>
            <w:tcW w:w="849" w:type="dxa"/>
            <w:vMerge/>
            <w:tcBorders>
              <w:top w:val="nil"/>
              <w:bottom w:val="single" w:sz="12" w:space="0" w:color="auto"/>
            </w:tcBorders>
            <w:shd w:val="clear" w:color="auto" w:fill="auto"/>
          </w:tcPr>
          <w:p w:rsidR="00DF5565" w:rsidRPr="002B6A52" w:rsidRDefault="00DF5565" w:rsidP="002B6A52"/>
        </w:tc>
        <w:tc>
          <w:tcPr>
            <w:tcW w:w="509" w:type="dxa"/>
            <w:vMerge/>
            <w:tcBorders>
              <w:top w:val="nil"/>
              <w:bottom w:val="single" w:sz="12" w:space="0" w:color="auto"/>
            </w:tcBorders>
            <w:shd w:val="clear" w:color="auto" w:fill="auto"/>
          </w:tcPr>
          <w:p w:rsidR="00DF5565" w:rsidRPr="002B6A52" w:rsidRDefault="00DF5565" w:rsidP="002B6A52">
            <w:pPr>
              <w:cnfStyle w:val="000000000000"/>
            </w:pPr>
          </w:p>
        </w:tc>
        <w:tc>
          <w:tcPr>
            <w:tcW w:w="1064" w:type="dxa"/>
            <w:vMerge/>
            <w:tcBorders>
              <w:top w:val="nil"/>
              <w:bottom w:val="single" w:sz="12" w:space="0" w:color="auto"/>
            </w:tcBorders>
            <w:shd w:val="clear" w:color="auto" w:fill="auto"/>
          </w:tcPr>
          <w:p w:rsidR="00DF5565" w:rsidRPr="002B6A52" w:rsidRDefault="00DF5565" w:rsidP="002B6A52">
            <w:pPr>
              <w:cnfStyle w:val="000000000000"/>
            </w:pPr>
          </w:p>
        </w:tc>
        <w:tc>
          <w:tcPr>
            <w:tcW w:w="1162" w:type="dxa"/>
            <w:vMerge/>
            <w:tcBorders>
              <w:top w:val="nil"/>
              <w:bottom w:val="single" w:sz="12" w:space="0" w:color="auto"/>
            </w:tcBorders>
            <w:shd w:val="clear" w:color="auto" w:fill="auto"/>
          </w:tcPr>
          <w:p w:rsidR="00DF5565" w:rsidRPr="002B6A52" w:rsidRDefault="00DF5565" w:rsidP="002B6A52">
            <w:pPr>
              <w:cnfStyle w:val="000000000000"/>
            </w:pPr>
          </w:p>
        </w:tc>
        <w:tc>
          <w:tcPr>
            <w:tcW w:w="1273" w:type="dxa"/>
            <w:vMerge/>
            <w:tcBorders>
              <w:top w:val="nil"/>
              <w:bottom w:val="single" w:sz="12" w:space="0" w:color="auto"/>
            </w:tcBorders>
            <w:shd w:val="clear" w:color="auto" w:fill="auto"/>
          </w:tcPr>
          <w:p w:rsidR="00DF5565" w:rsidRPr="002B6A52" w:rsidRDefault="00DF5565" w:rsidP="002B6A52">
            <w:pPr>
              <w:cnfStyle w:val="000000000000"/>
            </w:pPr>
          </w:p>
        </w:tc>
        <w:tc>
          <w:tcPr>
            <w:tcW w:w="1162" w:type="dxa"/>
            <w:vMerge/>
            <w:tcBorders>
              <w:top w:val="nil"/>
              <w:bottom w:val="single" w:sz="12" w:space="0" w:color="auto"/>
            </w:tcBorders>
            <w:shd w:val="clear" w:color="auto" w:fill="auto"/>
          </w:tcPr>
          <w:p w:rsidR="00DF5565" w:rsidRPr="002B6A52" w:rsidRDefault="00DF5565" w:rsidP="002B6A52">
            <w:pPr>
              <w:cnfStyle w:val="000000000000"/>
            </w:pPr>
          </w:p>
        </w:tc>
        <w:tc>
          <w:tcPr>
            <w:tcW w:w="1036" w:type="dxa"/>
            <w:vMerge/>
            <w:tcBorders>
              <w:top w:val="nil"/>
              <w:bottom w:val="single" w:sz="12" w:space="0" w:color="auto"/>
            </w:tcBorders>
            <w:shd w:val="clear" w:color="auto" w:fill="auto"/>
          </w:tcPr>
          <w:p w:rsidR="00DF5565" w:rsidRPr="002B6A52" w:rsidRDefault="00DF5565" w:rsidP="002B6A52">
            <w:pPr>
              <w:cnfStyle w:val="000000000000"/>
            </w:pPr>
          </w:p>
        </w:tc>
        <w:tc>
          <w:tcPr>
            <w:tcW w:w="1470" w:type="dxa"/>
            <w:vMerge/>
            <w:tcBorders>
              <w:top w:val="nil"/>
              <w:bottom w:val="single" w:sz="12" w:space="0" w:color="auto"/>
            </w:tcBorders>
            <w:shd w:val="clear" w:color="auto" w:fill="auto"/>
          </w:tcPr>
          <w:p w:rsidR="00DF5565" w:rsidRPr="002B6A52" w:rsidRDefault="00DF5565" w:rsidP="002B6A52">
            <w:pPr>
              <w:cnfStyle w:val="000000000000"/>
            </w:pPr>
          </w:p>
        </w:tc>
      </w:tr>
      <w:tr w:rsidR="002B6A52" w:rsidRPr="002B6A52" w:rsidTr="002B6A52">
        <w:trPr>
          <w:trHeight w:val="240"/>
        </w:trPr>
        <w:tc>
          <w:tcPr>
            <w:cnfStyle w:val="001000000000"/>
            <w:tcW w:w="849" w:type="dxa"/>
            <w:vMerge w:val="restart"/>
            <w:tcBorders>
              <w:top w:val="single" w:sz="12" w:space="0" w:color="auto"/>
            </w:tcBorders>
            <w:vAlign w:val="top"/>
          </w:tcPr>
          <w:p w:rsidR="00DF5565" w:rsidRPr="002B6A52" w:rsidRDefault="00DF5565" w:rsidP="002B6A52">
            <w:r w:rsidRPr="002B6A52">
              <w:t>216/1</w:t>
            </w:r>
          </w:p>
        </w:tc>
        <w:tc>
          <w:tcPr>
            <w:tcW w:w="509" w:type="dxa"/>
            <w:tcBorders>
              <w:top w:val="single" w:sz="12" w:space="0" w:color="auto"/>
            </w:tcBorders>
          </w:tcPr>
          <w:p w:rsidR="00DF5565" w:rsidRPr="002B6A52" w:rsidRDefault="00DF5565" w:rsidP="002B6A52">
            <w:pPr>
              <w:cnfStyle w:val="000000000000"/>
            </w:pPr>
            <w:r w:rsidRPr="002B6A52">
              <w:t>2009</w:t>
            </w:r>
          </w:p>
        </w:tc>
        <w:tc>
          <w:tcPr>
            <w:tcW w:w="1064" w:type="dxa"/>
            <w:tcBorders>
              <w:top w:val="single" w:sz="12" w:space="0" w:color="auto"/>
            </w:tcBorders>
          </w:tcPr>
          <w:p w:rsidR="00DF5565" w:rsidRPr="002B6A52" w:rsidRDefault="00DF5565" w:rsidP="002B6A52">
            <w:pPr>
              <w:cnfStyle w:val="000000000000"/>
            </w:pPr>
            <w:r w:rsidRPr="002B6A52">
              <w:t>108</w:t>
            </w:r>
          </w:p>
        </w:tc>
        <w:tc>
          <w:tcPr>
            <w:tcW w:w="1162" w:type="dxa"/>
            <w:tcBorders>
              <w:top w:val="single" w:sz="12" w:space="0" w:color="auto"/>
            </w:tcBorders>
          </w:tcPr>
          <w:p w:rsidR="00DF5565" w:rsidRPr="002B6A52" w:rsidRDefault="00DF5565" w:rsidP="002B6A52">
            <w:pPr>
              <w:cnfStyle w:val="000000000000"/>
            </w:pPr>
            <w:r w:rsidRPr="002B6A52">
              <w:t>162</w:t>
            </w:r>
          </w:p>
        </w:tc>
        <w:tc>
          <w:tcPr>
            <w:tcW w:w="1273" w:type="dxa"/>
            <w:tcBorders>
              <w:top w:val="single" w:sz="12" w:space="0" w:color="auto"/>
            </w:tcBorders>
          </w:tcPr>
          <w:p w:rsidR="00DF5565" w:rsidRPr="002B6A52" w:rsidRDefault="00DF5565" w:rsidP="002B6A52">
            <w:pPr>
              <w:cnfStyle w:val="000000000000"/>
            </w:pPr>
            <w:r w:rsidRPr="002B6A52">
              <w:t>35</w:t>
            </w:r>
          </w:p>
        </w:tc>
        <w:tc>
          <w:tcPr>
            <w:tcW w:w="1162" w:type="dxa"/>
            <w:tcBorders>
              <w:top w:val="single" w:sz="12" w:space="0" w:color="auto"/>
            </w:tcBorders>
          </w:tcPr>
          <w:p w:rsidR="00DF5565" w:rsidRPr="002B6A52" w:rsidRDefault="00DF5565" w:rsidP="002B6A52">
            <w:pPr>
              <w:cnfStyle w:val="000000000000"/>
            </w:pPr>
            <w:r w:rsidRPr="002B6A52">
              <w:t>71</w:t>
            </w:r>
          </w:p>
        </w:tc>
        <w:tc>
          <w:tcPr>
            <w:tcW w:w="1036" w:type="dxa"/>
            <w:tcBorders>
              <w:top w:val="single" w:sz="12" w:space="0" w:color="auto"/>
            </w:tcBorders>
          </w:tcPr>
          <w:p w:rsidR="00DF5565" w:rsidRPr="002B6A52" w:rsidRDefault="00DF5565" w:rsidP="002B6A52">
            <w:pPr>
              <w:cnfStyle w:val="000000000000"/>
            </w:pPr>
            <w:r w:rsidRPr="002B6A52">
              <w:t>66</w:t>
            </w:r>
          </w:p>
        </w:tc>
        <w:tc>
          <w:tcPr>
            <w:tcW w:w="1470" w:type="dxa"/>
            <w:tcBorders>
              <w:top w:val="single" w:sz="12" w:space="0" w:color="auto"/>
            </w:tcBorders>
          </w:tcPr>
          <w:p w:rsidR="00DF5565" w:rsidRPr="002B6A52" w:rsidRDefault="00DF5565" w:rsidP="002B6A52">
            <w:pPr>
              <w:cnfStyle w:val="000000000000"/>
            </w:pPr>
            <w:r w:rsidRPr="002B6A52">
              <w:t>172</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2010</w:t>
            </w:r>
          </w:p>
        </w:tc>
        <w:tc>
          <w:tcPr>
            <w:tcW w:w="1064" w:type="dxa"/>
          </w:tcPr>
          <w:p w:rsidR="00DF5565" w:rsidRPr="002B6A52" w:rsidRDefault="00DF5565" w:rsidP="002B6A52">
            <w:pPr>
              <w:cnfStyle w:val="000000000000"/>
            </w:pPr>
            <w:r w:rsidRPr="002B6A52">
              <w:t>261</w:t>
            </w:r>
          </w:p>
        </w:tc>
        <w:tc>
          <w:tcPr>
            <w:tcW w:w="1162" w:type="dxa"/>
          </w:tcPr>
          <w:p w:rsidR="00DF5565" w:rsidRPr="002B6A52" w:rsidRDefault="00DF5565" w:rsidP="002B6A52">
            <w:pPr>
              <w:cnfStyle w:val="000000000000"/>
            </w:pPr>
            <w:r w:rsidRPr="002B6A52">
              <w:t>249</w:t>
            </w:r>
          </w:p>
        </w:tc>
        <w:tc>
          <w:tcPr>
            <w:tcW w:w="1273" w:type="dxa"/>
          </w:tcPr>
          <w:p w:rsidR="00DF5565" w:rsidRPr="002B6A52" w:rsidRDefault="00DF5565" w:rsidP="002B6A52">
            <w:pPr>
              <w:cnfStyle w:val="000000000000"/>
            </w:pPr>
            <w:r w:rsidRPr="002B6A52">
              <w:t>26</w:t>
            </w:r>
          </w:p>
        </w:tc>
        <w:tc>
          <w:tcPr>
            <w:tcW w:w="1162" w:type="dxa"/>
          </w:tcPr>
          <w:p w:rsidR="00DF5565" w:rsidRPr="002B6A52" w:rsidRDefault="00DF5565" w:rsidP="002B6A52">
            <w:pPr>
              <w:cnfStyle w:val="000000000000"/>
            </w:pPr>
            <w:r w:rsidRPr="002B6A52">
              <w:t>45</w:t>
            </w:r>
          </w:p>
        </w:tc>
        <w:tc>
          <w:tcPr>
            <w:tcW w:w="1036" w:type="dxa"/>
          </w:tcPr>
          <w:p w:rsidR="00DF5565" w:rsidRPr="002B6A52" w:rsidRDefault="00DF5565" w:rsidP="002B6A52">
            <w:pPr>
              <w:cnfStyle w:val="000000000000"/>
            </w:pPr>
            <w:r w:rsidRPr="002B6A52">
              <w:t>188</w:t>
            </w:r>
          </w:p>
        </w:tc>
        <w:tc>
          <w:tcPr>
            <w:tcW w:w="1470" w:type="dxa"/>
          </w:tcPr>
          <w:p w:rsidR="00DF5565" w:rsidRPr="002B6A52" w:rsidRDefault="00DF5565" w:rsidP="002B6A52">
            <w:pPr>
              <w:cnfStyle w:val="000000000000"/>
            </w:pPr>
            <w:r w:rsidRPr="002B6A52">
              <w:t>259</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2011</w:t>
            </w:r>
          </w:p>
        </w:tc>
        <w:tc>
          <w:tcPr>
            <w:tcW w:w="1064" w:type="dxa"/>
          </w:tcPr>
          <w:p w:rsidR="00DF5565" w:rsidRPr="002B6A52" w:rsidRDefault="00DF5565" w:rsidP="002B6A52">
            <w:pPr>
              <w:cnfStyle w:val="000000000000"/>
            </w:pPr>
            <w:r w:rsidRPr="002B6A52">
              <w:t>300</w:t>
            </w:r>
          </w:p>
        </w:tc>
        <w:tc>
          <w:tcPr>
            <w:tcW w:w="1162" w:type="dxa"/>
          </w:tcPr>
          <w:p w:rsidR="00DF5565" w:rsidRPr="002B6A52" w:rsidRDefault="00DF5565" w:rsidP="002B6A52">
            <w:pPr>
              <w:cnfStyle w:val="000000000000"/>
            </w:pPr>
            <w:r w:rsidRPr="002B6A52">
              <w:t>168</w:t>
            </w:r>
          </w:p>
        </w:tc>
        <w:tc>
          <w:tcPr>
            <w:tcW w:w="1273" w:type="dxa"/>
          </w:tcPr>
          <w:p w:rsidR="00DF5565" w:rsidRPr="002B6A52" w:rsidRDefault="00DF5565" w:rsidP="002B6A52">
            <w:pPr>
              <w:cnfStyle w:val="000000000000"/>
            </w:pPr>
            <w:r w:rsidRPr="002B6A52">
              <w:t>5</w:t>
            </w:r>
          </w:p>
        </w:tc>
        <w:tc>
          <w:tcPr>
            <w:tcW w:w="1162" w:type="dxa"/>
          </w:tcPr>
          <w:p w:rsidR="00DF5565" w:rsidRPr="002B6A52" w:rsidRDefault="00DF5565" w:rsidP="002B6A52">
            <w:pPr>
              <w:cnfStyle w:val="000000000000"/>
            </w:pPr>
            <w:r w:rsidRPr="002B6A52">
              <w:t>60</w:t>
            </w:r>
          </w:p>
        </w:tc>
        <w:tc>
          <w:tcPr>
            <w:tcW w:w="1036" w:type="dxa"/>
          </w:tcPr>
          <w:p w:rsidR="00DF5565" w:rsidRPr="002B6A52" w:rsidRDefault="00DF5565" w:rsidP="002B6A52">
            <w:pPr>
              <w:cnfStyle w:val="000000000000"/>
            </w:pPr>
            <w:r w:rsidRPr="002B6A52">
              <w:t>104</w:t>
            </w:r>
          </w:p>
        </w:tc>
        <w:tc>
          <w:tcPr>
            <w:tcW w:w="1470" w:type="dxa"/>
          </w:tcPr>
          <w:p w:rsidR="00DF5565" w:rsidRPr="002B6A52" w:rsidRDefault="00DF5565" w:rsidP="002B6A52">
            <w:pPr>
              <w:cnfStyle w:val="000000000000"/>
            </w:pPr>
            <w:r w:rsidRPr="002B6A52">
              <w:t>169</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2012</w:t>
            </w:r>
          </w:p>
        </w:tc>
        <w:tc>
          <w:tcPr>
            <w:tcW w:w="1064" w:type="dxa"/>
          </w:tcPr>
          <w:p w:rsidR="00DF5565" w:rsidRPr="002B6A52" w:rsidRDefault="00DF5565" w:rsidP="002B6A52">
            <w:pPr>
              <w:cnfStyle w:val="000000000000"/>
            </w:pPr>
            <w:r w:rsidRPr="002B6A52">
              <w:t>141</w:t>
            </w:r>
          </w:p>
        </w:tc>
        <w:tc>
          <w:tcPr>
            <w:tcW w:w="1162" w:type="dxa"/>
          </w:tcPr>
          <w:p w:rsidR="00DF5565" w:rsidRPr="002B6A52" w:rsidRDefault="00DF5565" w:rsidP="002B6A52">
            <w:pPr>
              <w:cnfStyle w:val="000000000000"/>
            </w:pPr>
            <w:r w:rsidRPr="002B6A52">
              <w:t>218</w:t>
            </w:r>
          </w:p>
        </w:tc>
        <w:tc>
          <w:tcPr>
            <w:tcW w:w="1273" w:type="dxa"/>
          </w:tcPr>
          <w:p w:rsidR="00DF5565" w:rsidRPr="002B6A52" w:rsidRDefault="00DF5565" w:rsidP="002B6A52">
            <w:pPr>
              <w:cnfStyle w:val="000000000000"/>
            </w:pPr>
            <w:r w:rsidRPr="002B6A52">
              <w:t>13</w:t>
            </w:r>
          </w:p>
        </w:tc>
        <w:tc>
          <w:tcPr>
            <w:tcW w:w="1162" w:type="dxa"/>
          </w:tcPr>
          <w:p w:rsidR="00DF5565" w:rsidRPr="002B6A52" w:rsidRDefault="00DF5565" w:rsidP="002B6A52">
            <w:pPr>
              <w:cnfStyle w:val="000000000000"/>
            </w:pPr>
            <w:r w:rsidRPr="002B6A52">
              <w:t>83</w:t>
            </w:r>
          </w:p>
        </w:tc>
        <w:tc>
          <w:tcPr>
            <w:tcW w:w="1036" w:type="dxa"/>
          </w:tcPr>
          <w:p w:rsidR="00DF5565" w:rsidRPr="002B6A52" w:rsidRDefault="00DF5565" w:rsidP="002B6A52">
            <w:pPr>
              <w:cnfStyle w:val="000000000000"/>
            </w:pPr>
            <w:r w:rsidRPr="002B6A52">
              <w:t>124</w:t>
            </w:r>
          </w:p>
        </w:tc>
        <w:tc>
          <w:tcPr>
            <w:tcW w:w="1470" w:type="dxa"/>
          </w:tcPr>
          <w:p w:rsidR="00DF5565" w:rsidRPr="002B6A52" w:rsidRDefault="00DF5565" w:rsidP="002B6A52">
            <w:pPr>
              <w:cnfStyle w:val="000000000000"/>
            </w:pPr>
            <w:r w:rsidRPr="002B6A52">
              <w:t>220</w:t>
            </w:r>
          </w:p>
        </w:tc>
      </w:tr>
      <w:tr w:rsidR="002B6A52" w:rsidRPr="002B6A52" w:rsidTr="002B6A52">
        <w:trPr>
          <w:trHeight w:val="240"/>
        </w:trPr>
        <w:tc>
          <w:tcPr>
            <w:cnfStyle w:val="001000000000"/>
            <w:tcW w:w="849" w:type="dxa"/>
            <w:vMerge w:val="restart"/>
            <w:vAlign w:val="top"/>
          </w:tcPr>
          <w:p w:rsidR="00DF5565" w:rsidRPr="002B6A52" w:rsidRDefault="00DF5565" w:rsidP="002B6A52">
            <w:r w:rsidRPr="002B6A52">
              <w:t>216/2</w:t>
            </w:r>
          </w:p>
        </w:tc>
        <w:tc>
          <w:tcPr>
            <w:tcW w:w="509" w:type="dxa"/>
          </w:tcPr>
          <w:p w:rsidR="00DF5565" w:rsidRPr="002B6A52" w:rsidRDefault="00DF5565" w:rsidP="002B6A52">
            <w:pPr>
              <w:cnfStyle w:val="000000000000"/>
            </w:pPr>
            <w:r w:rsidRPr="002B6A52">
              <w:t>2009</w:t>
            </w:r>
          </w:p>
        </w:tc>
        <w:tc>
          <w:tcPr>
            <w:tcW w:w="1064" w:type="dxa"/>
          </w:tcPr>
          <w:p w:rsidR="00DF5565" w:rsidRPr="002B6A52" w:rsidRDefault="00DF5565" w:rsidP="002B6A52">
            <w:pPr>
              <w:cnfStyle w:val="000000000000"/>
            </w:pPr>
            <w:r w:rsidRPr="002B6A52">
              <w:t>22</w:t>
            </w:r>
          </w:p>
        </w:tc>
        <w:tc>
          <w:tcPr>
            <w:tcW w:w="1162" w:type="dxa"/>
          </w:tcPr>
          <w:p w:rsidR="00DF5565" w:rsidRPr="002B6A52" w:rsidRDefault="00DF5565" w:rsidP="002B6A52">
            <w:pPr>
              <w:cnfStyle w:val="000000000000"/>
            </w:pPr>
            <w:r w:rsidRPr="002B6A52">
              <w:t>18</w:t>
            </w:r>
          </w:p>
        </w:tc>
        <w:tc>
          <w:tcPr>
            <w:tcW w:w="1273" w:type="dxa"/>
          </w:tcPr>
          <w:p w:rsidR="00DF5565" w:rsidRPr="002B6A52" w:rsidRDefault="00DF5565" w:rsidP="002B6A52">
            <w:pPr>
              <w:cnfStyle w:val="000000000000"/>
            </w:pPr>
            <w:r w:rsidRPr="002B6A52">
              <w:t>5</w:t>
            </w:r>
          </w:p>
        </w:tc>
        <w:tc>
          <w:tcPr>
            <w:tcW w:w="1162" w:type="dxa"/>
          </w:tcPr>
          <w:p w:rsidR="00DF5565" w:rsidRPr="002B6A52" w:rsidRDefault="00DF5565" w:rsidP="002B6A52">
            <w:pPr>
              <w:cnfStyle w:val="000000000000"/>
            </w:pPr>
            <w:r w:rsidRPr="002B6A52">
              <w:t>9</w:t>
            </w:r>
          </w:p>
        </w:tc>
        <w:tc>
          <w:tcPr>
            <w:tcW w:w="1036" w:type="dxa"/>
          </w:tcPr>
          <w:p w:rsidR="00DF5565" w:rsidRPr="002B6A52" w:rsidRDefault="00DF5565" w:rsidP="002B6A52">
            <w:pPr>
              <w:cnfStyle w:val="000000000000"/>
            </w:pPr>
            <w:r w:rsidRPr="002B6A52">
              <w:t>5</w:t>
            </w:r>
          </w:p>
        </w:tc>
        <w:tc>
          <w:tcPr>
            <w:tcW w:w="1470" w:type="dxa"/>
          </w:tcPr>
          <w:p w:rsidR="00DF5565" w:rsidRPr="002B6A52" w:rsidRDefault="00DF5565" w:rsidP="002B6A52">
            <w:pPr>
              <w:cnfStyle w:val="000000000000"/>
            </w:pPr>
            <w:r w:rsidRPr="002B6A52">
              <w:t>19</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2010</w:t>
            </w:r>
          </w:p>
        </w:tc>
        <w:tc>
          <w:tcPr>
            <w:tcW w:w="1064" w:type="dxa"/>
          </w:tcPr>
          <w:p w:rsidR="00DF5565" w:rsidRPr="002B6A52" w:rsidRDefault="00DF5565" w:rsidP="002B6A52">
            <w:pPr>
              <w:cnfStyle w:val="000000000000"/>
            </w:pPr>
            <w:r w:rsidRPr="002B6A52">
              <w:t>134</w:t>
            </w:r>
          </w:p>
        </w:tc>
        <w:tc>
          <w:tcPr>
            <w:tcW w:w="1162" w:type="dxa"/>
          </w:tcPr>
          <w:p w:rsidR="00DF5565" w:rsidRPr="002B6A52" w:rsidRDefault="00DF5565" w:rsidP="002B6A52">
            <w:pPr>
              <w:cnfStyle w:val="000000000000"/>
            </w:pPr>
            <w:r w:rsidRPr="002B6A52">
              <w:t>123</w:t>
            </w:r>
          </w:p>
        </w:tc>
        <w:tc>
          <w:tcPr>
            <w:tcW w:w="1273" w:type="dxa"/>
          </w:tcPr>
          <w:p w:rsidR="00DF5565" w:rsidRPr="002B6A52" w:rsidRDefault="00DF5565" w:rsidP="002B6A52">
            <w:pPr>
              <w:cnfStyle w:val="000000000000"/>
            </w:pPr>
            <w:r w:rsidRPr="002B6A52">
              <w:t>5</w:t>
            </w:r>
          </w:p>
        </w:tc>
        <w:tc>
          <w:tcPr>
            <w:tcW w:w="1162" w:type="dxa"/>
          </w:tcPr>
          <w:p w:rsidR="00DF5565" w:rsidRPr="002B6A52" w:rsidRDefault="00DF5565" w:rsidP="002B6A52">
            <w:pPr>
              <w:cnfStyle w:val="000000000000"/>
            </w:pPr>
            <w:r w:rsidRPr="002B6A52">
              <w:t>17</w:t>
            </w:r>
          </w:p>
        </w:tc>
        <w:tc>
          <w:tcPr>
            <w:tcW w:w="1036" w:type="dxa"/>
          </w:tcPr>
          <w:p w:rsidR="00DF5565" w:rsidRPr="002B6A52" w:rsidRDefault="00DF5565" w:rsidP="002B6A52">
            <w:pPr>
              <w:cnfStyle w:val="000000000000"/>
            </w:pPr>
            <w:r w:rsidRPr="002B6A52">
              <w:t>102</w:t>
            </w:r>
          </w:p>
        </w:tc>
        <w:tc>
          <w:tcPr>
            <w:tcW w:w="1470" w:type="dxa"/>
          </w:tcPr>
          <w:p w:rsidR="00DF5565" w:rsidRPr="002B6A52" w:rsidRDefault="00DF5565" w:rsidP="002B6A52">
            <w:pPr>
              <w:cnfStyle w:val="000000000000"/>
            </w:pPr>
            <w:r w:rsidRPr="002B6A52">
              <w:t>124</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2011</w:t>
            </w:r>
          </w:p>
        </w:tc>
        <w:tc>
          <w:tcPr>
            <w:tcW w:w="1064" w:type="dxa"/>
          </w:tcPr>
          <w:p w:rsidR="00DF5565" w:rsidRPr="002B6A52" w:rsidRDefault="00DF5565" w:rsidP="002B6A52">
            <w:pPr>
              <w:cnfStyle w:val="000000000000"/>
            </w:pPr>
            <w:r w:rsidRPr="002B6A52">
              <w:t>32</w:t>
            </w:r>
          </w:p>
        </w:tc>
        <w:tc>
          <w:tcPr>
            <w:tcW w:w="1162" w:type="dxa"/>
          </w:tcPr>
          <w:p w:rsidR="00DF5565" w:rsidRPr="002B6A52" w:rsidRDefault="00DF5565" w:rsidP="002B6A52">
            <w:pPr>
              <w:cnfStyle w:val="000000000000"/>
            </w:pPr>
            <w:r w:rsidRPr="002B6A52">
              <w:t>20</w:t>
            </w:r>
          </w:p>
        </w:tc>
        <w:tc>
          <w:tcPr>
            <w:tcW w:w="1273" w:type="dxa"/>
          </w:tcPr>
          <w:p w:rsidR="00DF5565" w:rsidRPr="002B6A52" w:rsidRDefault="00DF5565" w:rsidP="002B6A52">
            <w:pPr>
              <w:cnfStyle w:val="000000000000"/>
            </w:pPr>
            <w:r w:rsidRPr="002B6A52">
              <w:t>1</w:t>
            </w:r>
          </w:p>
        </w:tc>
        <w:tc>
          <w:tcPr>
            <w:tcW w:w="1162" w:type="dxa"/>
          </w:tcPr>
          <w:p w:rsidR="00DF5565" w:rsidRPr="002B6A52" w:rsidRDefault="00DF5565" w:rsidP="002B6A52">
            <w:pPr>
              <w:cnfStyle w:val="000000000000"/>
            </w:pPr>
            <w:r w:rsidRPr="002B6A52">
              <w:t>13</w:t>
            </w:r>
          </w:p>
        </w:tc>
        <w:tc>
          <w:tcPr>
            <w:tcW w:w="1036" w:type="dxa"/>
          </w:tcPr>
          <w:p w:rsidR="00DF5565" w:rsidRPr="002B6A52" w:rsidRDefault="00DF5565" w:rsidP="002B6A52">
            <w:pPr>
              <w:cnfStyle w:val="000000000000"/>
            </w:pPr>
            <w:r w:rsidRPr="002B6A52">
              <w:t>6</w:t>
            </w:r>
          </w:p>
        </w:tc>
        <w:tc>
          <w:tcPr>
            <w:tcW w:w="1470" w:type="dxa"/>
          </w:tcPr>
          <w:p w:rsidR="00DF5565" w:rsidRPr="002B6A52" w:rsidRDefault="00DF5565" w:rsidP="002B6A52">
            <w:pPr>
              <w:cnfStyle w:val="000000000000"/>
            </w:pPr>
            <w:r w:rsidRPr="002B6A52">
              <w:t>20</w:t>
            </w:r>
          </w:p>
        </w:tc>
      </w:tr>
      <w:tr w:rsidR="002B6A52" w:rsidRPr="002B6A52" w:rsidTr="002B6A52">
        <w:trPr>
          <w:trHeight w:val="240"/>
        </w:trPr>
        <w:tc>
          <w:tcPr>
            <w:cnfStyle w:val="001000000000"/>
            <w:tcW w:w="849" w:type="dxa"/>
            <w:vMerge/>
            <w:vAlign w:val="top"/>
          </w:tcPr>
          <w:p w:rsidR="00DF5565" w:rsidRPr="002B6A52" w:rsidRDefault="00DF5565" w:rsidP="002B6A52"/>
        </w:tc>
        <w:tc>
          <w:tcPr>
            <w:tcW w:w="509" w:type="dxa"/>
          </w:tcPr>
          <w:p w:rsidR="00DF5565" w:rsidRPr="002B6A52" w:rsidRDefault="00DF5565" w:rsidP="002B6A52">
            <w:pPr>
              <w:cnfStyle w:val="000000000000"/>
            </w:pPr>
            <w:r w:rsidRPr="002B6A52">
              <w:t>2012</w:t>
            </w:r>
          </w:p>
        </w:tc>
        <w:tc>
          <w:tcPr>
            <w:tcW w:w="1064" w:type="dxa"/>
          </w:tcPr>
          <w:p w:rsidR="00DF5565" w:rsidRPr="002B6A52" w:rsidRDefault="00DF5565" w:rsidP="002B6A52">
            <w:pPr>
              <w:cnfStyle w:val="000000000000"/>
            </w:pPr>
            <w:r w:rsidRPr="002B6A52">
              <w:t>41</w:t>
            </w:r>
          </w:p>
        </w:tc>
        <w:tc>
          <w:tcPr>
            <w:tcW w:w="1162" w:type="dxa"/>
          </w:tcPr>
          <w:p w:rsidR="00DF5565" w:rsidRPr="002B6A52" w:rsidRDefault="00DF5565" w:rsidP="002B6A52">
            <w:pPr>
              <w:cnfStyle w:val="000000000000"/>
            </w:pPr>
            <w:r w:rsidRPr="002B6A52">
              <w:t>66</w:t>
            </w:r>
          </w:p>
        </w:tc>
        <w:tc>
          <w:tcPr>
            <w:tcW w:w="1273" w:type="dxa"/>
          </w:tcPr>
          <w:p w:rsidR="00DF5565" w:rsidRPr="002B6A52" w:rsidRDefault="00DF5565" w:rsidP="002B6A52">
            <w:pPr>
              <w:cnfStyle w:val="000000000000"/>
            </w:pPr>
            <w:r w:rsidRPr="002B6A52">
              <w:t>9</w:t>
            </w:r>
          </w:p>
        </w:tc>
        <w:tc>
          <w:tcPr>
            <w:tcW w:w="1162" w:type="dxa"/>
          </w:tcPr>
          <w:p w:rsidR="00DF5565" w:rsidRPr="002B6A52" w:rsidRDefault="00DF5565" w:rsidP="002B6A52">
            <w:pPr>
              <w:cnfStyle w:val="000000000000"/>
            </w:pPr>
            <w:r w:rsidRPr="002B6A52">
              <w:t>21</w:t>
            </w:r>
          </w:p>
        </w:tc>
        <w:tc>
          <w:tcPr>
            <w:tcW w:w="1036" w:type="dxa"/>
          </w:tcPr>
          <w:p w:rsidR="00DF5565" w:rsidRPr="002B6A52" w:rsidRDefault="00DF5565" w:rsidP="002B6A52">
            <w:pPr>
              <w:cnfStyle w:val="000000000000"/>
            </w:pPr>
            <w:r w:rsidRPr="002B6A52">
              <w:t>40</w:t>
            </w:r>
          </w:p>
        </w:tc>
        <w:tc>
          <w:tcPr>
            <w:tcW w:w="1470" w:type="dxa"/>
          </w:tcPr>
          <w:p w:rsidR="00DF5565" w:rsidRPr="002B6A52" w:rsidRDefault="00DF5565" w:rsidP="002B6A52">
            <w:pPr>
              <w:cnfStyle w:val="000000000000"/>
            </w:pPr>
            <w:r w:rsidRPr="002B6A52">
              <w:t>70</w:t>
            </w:r>
          </w:p>
        </w:tc>
      </w:tr>
      <w:tr w:rsidR="002B6A52" w:rsidRPr="002B6A52" w:rsidTr="002B6A52">
        <w:trPr>
          <w:trHeight w:val="240"/>
        </w:trPr>
        <w:tc>
          <w:tcPr>
            <w:cnfStyle w:val="001000000000"/>
            <w:tcW w:w="849" w:type="dxa"/>
            <w:vMerge w:val="restart"/>
            <w:vAlign w:val="top"/>
          </w:tcPr>
          <w:p w:rsidR="00DF5565" w:rsidRPr="002B6A52" w:rsidRDefault="00DF5565" w:rsidP="002B6A52">
            <w:r w:rsidRPr="002B6A52">
              <w:t>218/1</w:t>
            </w:r>
          </w:p>
        </w:tc>
        <w:tc>
          <w:tcPr>
            <w:tcW w:w="509" w:type="dxa"/>
          </w:tcPr>
          <w:p w:rsidR="00DF5565" w:rsidRPr="002B6A52" w:rsidRDefault="00DF5565" w:rsidP="002B6A52">
            <w:pPr>
              <w:cnfStyle w:val="000000000000"/>
            </w:pPr>
            <w:r w:rsidRPr="002B6A52">
              <w:t>2009</w:t>
            </w:r>
          </w:p>
        </w:tc>
        <w:tc>
          <w:tcPr>
            <w:tcW w:w="1064" w:type="dxa"/>
          </w:tcPr>
          <w:p w:rsidR="00DF5565" w:rsidRPr="002B6A52" w:rsidRDefault="00DF5565" w:rsidP="002B6A52">
            <w:pPr>
              <w:cnfStyle w:val="000000000000"/>
            </w:pPr>
            <w:r w:rsidRPr="002B6A52">
              <w:t>1</w:t>
            </w:r>
          </w:p>
        </w:tc>
        <w:tc>
          <w:tcPr>
            <w:tcW w:w="1162" w:type="dxa"/>
          </w:tcPr>
          <w:p w:rsidR="00DF5565" w:rsidRPr="002B6A52" w:rsidRDefault="00DF5565" w:rsidP="002B6A52">
            <w:pPr>
              <w:cnfStyle w:val="000000000000"/>
            </w:pPr>
            <w:r w:rsidRPr="002B6A52">
              <w:t>4</w:t>
            </w:r>
          </w:p>
        </w:tc>
        <w:tc>
          <w:tcPr>
            <w:tcW w:w="1273" w:type="dxa"/>
          </w:tcPr>
          <w:p w:rsidR="00DF5565" w:rsidRPr="002B6A52" w:rsidRDefault="00DF5565" w:rsidP="002B6A52">
            <w:pPr>
              <w:cnfStyle w:val="000000000000"/>
            </w:pPr>
            <w:r w:rsidRPr="002B6A52">
              <w:t>0</w:t>
            </w:r>
          </w:p>
        </w:tc>
        <w:tc>
          <w:tcPr>
            <w:tcW w:w="1162" w:type="dxa"/>
          </w:tcPr>
          <w:p w:rsidR="00DF5565" w:rsidRPr="002B6A52" w:rsidRDefault="00DF5565" w:rsidP="002B6A52">
            <w:pPr>
              <w:cnfStyle w:val="000000000000"/>
            </w:pPr>
            <w:r w:rsidRPr="002B6A52">
              <w:t>0</w:t>
            </w:r>
          </w:p>
        </w:tc>
        <w:tc>
          <w:tcPr>
            <w:tcW w:w="1036" w:type="dxa"/>
          </w:tcPr>
          <w:p w:rsidR="00DF5565" w:rsidRPr="002B6A52" w:rsidRDefault="00DF5565" w:rsidP="002B6A52">
            <w:pPr>
              <w:cnfStyle w:val="000000000000"/>
            </w:pPr>
            <w:r w:rsidRPr="002B6A52">
              <w:t>4</w:t>
            </w:r>
          </w:p>
        </w:tc>
        <w:tc>
          <w:tcPr>
            <w:tcW w:w="1470" w:type="dxa"/>
          </w:tcPr>
          <w:p w:rsidR="00DF5565" w:rsidRPr="002B6A52" w:rsidRDefault="00DF5565" w:rsidP="002B6A52">
            <w:pPr>
              <w:cnfStyle w:val="000000000000"/>
            </w:pPr>
            <w:r w:rsidRPr="002B6A52">
              <w:t>4</w:t>
            </w:r>
          </w:p>
        </w:tc>
      </w:tr>
      <w:tr w:rsidR="002B6A52" w:rsidRPr="002B6A52" w:rsidTr="002B6A52">
        <w:trPr>
          <w:trHeight w:val="240"/>
        </w:trPr>
        <w:tc>
          <w:tcPr>
            <w:cnfStyle w:val="001000000000"/>
            <w:tcW w:w="849" w:type="dxa"/>
            <w:vMerge/>
          </w:tcPr>
          <w:p w:rsidR="00DF5565" w:rsidRPr="002B6A52" w:rsidRDefault="00DF5565" w:rsidP="002B6A52"/>
        </w:tc>
        <w:tc>
          <w:tcPr>
            <w:tcW w:w="509" w:type="dxa"/>
          </w:tcPr>
          <w:p w:rsidR="00DF5565" w:rsidRPr="002B6A52" w:rsidRDefault="00DF5565" w:rsidP="002B6A52">
            <w:pPr>
              <w:cnfStyle w:val="000000000000"/>
            </w:pPr>
            <w:r w:rsidRPr="002B6A52">
              <w:t>2010</w:t>
            </w:r>
          </w:p>
        </w:tc>
        <w:tc>
          <w:tcPr>
            <w:tcW w:w="1064" w:type="dxa"/>
          </w:tcPr>
          <w:p w:rsidR="00DF5565" w:rsidRPr="002B6A52" w:rsidRDefault="00DF5565" w:rsidP="002B6A52">
            <w:pPr>
              <w:cnfStyle w:val="000000000000"/>
            </w:pPr>
            <w:r w:rsidRPr="002B6A52">
              <w:t>1</w:t>
            </w:r>
          </w:p>
        </w:tc>
        <w:tc>
          <w:tcPr>
            <w:tcW w:w="1162" w:type="dxa"/>
          </w:tcPr>
          <w:p w:rsidR="00DF5565" w:rsidRPr="002B6A52" w:rsidRDefault="00DF5565" w:rsidP="002B6A52">
            <w:pPr>
              <w:cnfStyle w:val="000000000000"/>
            </w:pPr>
            <w:r w:rsidRPr="002B6A52">
              <w:t>4</w:t>
            </w:r>
          </w:p>
        </w:tc>
        <w:tc>
          <w:tcPr>
            <w:tcW w:w="1273" w:type="dxa"/>
          </w:tcPr>
          <w:p w:rsidR="00DF5565" w:rsidRPr="002B6A52" w:rsidRDefault="00DF5565" w:rsidP="002B6A52">
            <w:pPr>
              <w:cnfStyle w:val="000000000000"/>
            </w:pPr>
            <w:r w:rsidRPr="002B6A52">
              <w:t>5</w:t>
            </w:r>
          </w:p>
        </w:tc>
        <w:tc>
          <w:tcPr>
            <w:tcW w:w="1162" w:type="dxa"/>
          </w:tcPr>
          <w:p w:rsidR="00DF5565" w:rsidRPr="002B6A52" w:rsidRDefault="00DF5565" w:rsidP="002B6A52">
            <w:pPr>
              <w:cnfStyle w:val="000000000000"/>
            </w:pPr>
            <w:r w:rsidRPr="002B6A52">
              <w:t>1</w:t>
            </w:r>
          </w:p>
        </w:tc>
        <w:tc>
          <w:tcPr>
            <w:tcW w:w="1036" w:type="dxa"/>
          </w:tcPr>
          <w:p w:rsidR="00DF5565" w:rsidRPr="002B6A52" w:rsidRDefault="00DF5565" w:rsidP="002B6A52">
            <w:pPr>
              <w:cnfStyle w:val="000000000000"/>
            </w:pPr>
            <w:r w:rsidRPr="002B6A52">
              <w:t>2</w:t>
            </w:r>
          </w:p>
        </w:tc>
        <w:tc>
          <w:tcPr>
            <w:tcW w:w="1470" w:type="dxa"/>
          </w:tcPr>
          <w:p w:rsidR="00DF5565" w:rsidRPr="002B6A52" w:rsidRDefault="00DF5565" w:rsidP="002B6A52">
            <w:pPr>
              <w:cnfStyle w:val="000000000000"/>
            </w:pPr>
            <w:r w:rsidRPr="002B6A52">
              <w:t>8</w:t>
            </w:r>
          </w:p>
        </w:tc>
      </w:tr>
      <w:tr w:rsidR="002B6A52" w:rsidRPr="002B6A52" w:rsidTr="002B6A52">
        <w:trPr>
          <w:trHeight w:val="240"/>
        </w:trPr>
        <w:tc>
          <w:tcPr>
            <w:cnfStyle w:val="001000000000"/>
            <w:tcW w:w="849" w:type="dxa"/>
            <w:vMerge/>
          </w:tcPr>
          <w:p w:rsidR="00DF5565" w:rsidRPr="002B6A52" w:rsidRDefault="00DF5565" w:rsidP="002B6A52"/>
        </w:tc>
        <w:tc>
          <w:tcPr>
            <w:tcW w:w="509" w:type="dxa"/>
          </w:tcPr>
          <w:p w:rsidR="00DF5565" w:rsidRPr="002B6A52" w:rsidRDefault="00DF5565" w:rsidP="002B6A52">
            <w:pPr>
              <w:cnfStyle w:val="000000000000"/>
            </w:pPr>
            <w:r w:rsidRPr="002B6A52">
              <w:t>2011</w:t>
            </w:r>
          </w:p>
        </w:tc>
        <w:tc>
          <w:tcPr>
            <w:tcW w:w="1064" w:type="dxa"/>
          </w:tcPr>
          <w:p w:rsidR="00DF5565" w:rsidRPr="002B6A52" w:rsidRDefault="00DF5565" w:rsidP="002B6A52">
            <w:pPr>
              <w:cnfStyle w:val="000000000000"/>
            </w:pPr>
            <w:r w:rsidRPr="002B6A52">
              <w:t>5</w:t>
            </w:r>
          </w:p>
        </w:tc>
        <w:tc>
          <w:tcPr>
            <w:tcW w:w="1162" w:type="dxa"/>
          </w:tcPr>
          <w:p w:rsidR="00DF5565" w:rsidRPr="002B6A52" w:rsidRDefault="00DF5565" w:rsidP="002B6A52">
            <w:pPr>
              <w:cnfStyle w:val="000000000000"/>
            </w:pPr>
            <w:r w:rsidRPr="002B6A52">
              <w:t>1</w:t>
            </w:r>
          </w:p>
        </w:tc>
        <w:tc>
          <w:tcPr>
            <w:tcW w:w="1273" w:type="dxa"/>
          </w:tcPr>
          <w:p w:rsidR="00DF5565" w:rsidRPr="002B6A52" w:rsidRDefault="00DF5565" w:rsidP="002B6A52">
            <w:pPr>
              <w:cnfStyle w:val="000000000000"/>
            </w:pPr>
            <w:r w:rsidRPr="002B6A52">
              <w:t>0</w:t>
            </w:r>
          </w:p>
        </w:tc>
        <w:tc>
          <w:tcPr>
            <w:tcW w:w="1162" w:type="dxa"/>
          </w:tcPr>
          <w:p w:rsidR="00DF5565" w:rsidRPr="002B6A52" w:rsidRDefault="00DF5565" w:rsidP="002B6A52">
            <w:pPr>
              <w:cnfStyle w:val="000000000000"/>
            </w:pPr>
            <w:r w:rsidRPr="002B6A52">
              <w:t>0</w:t>
            </w:r>
          </w:p>
        </w:tc>
        <w:tc>
          <w:tcPr>
            <w:tcW w:w="1036" w:type="dxa"/>
          </w:tcPr>
          <w:p w:rsidR="00DF5565" w:rsidRPr="002B6A52" w:rsidRDefault="00DF5565" w:rsidP="002B6A52">
            <w:pPr>
              <w:cnfStyle w:val="000000000000"/>
            </w:pPr>
            <w:r w:rsidRPr="002B6A52">
              <w:t>1</w:t>
            </w:r>
          </w:p>
        </w:tc>
        <w:tc>
          <w:tcPr>
            <w:tcW w:w="1470" w:type="dxa"/>
          </w:tcPr>
          <w:p w:rsidR="00DF5565" w:rsidRPr="002B6A52" w:rsidRDefault="00DF5565" w:rsidP="002B6A52">
            <w:pPr>
              <w:cnfStyle w:val="000000000000"/>
            </w:pPr>
            <w:r w:rsidRPr="002B6A52">
              <w:t>1</w:t>
            </w:r>
          </w:p>
        </w:tc>
      </w:tr>
      <w:tr w:rsidR="002B6A52" w:rsidRPr="002B6A52" w:rsidTr="002B6A52">
        <w:trPr>
          <w:trHeight w:val="240"/>
        </w:trPr>
        <w:tc>
          <w:tcPr>
            <w:cnfStyle w:val="001000000000"/>
            <w:tcW w:w="849" w:type="dxa"/>
            <w:vMerge/>
          </w:tcPr>
          <w:p w:rsidR="00DF5565" w:rsidRPr="002B6A52" w:rsidRDefault="00DF5565" w:rsidP="002B6A52"/>
        </w:tc>
        <w:tc>
          <w:tcPr>
            <w:tcW w:w="509" w:type="dxa"/>
          </w:tcPr>
          <w:p w:rsidR="00DF5565" w:rsidRPr="002B6A52" w:rsidRDefault="00DF5565" w:rsidP="002B6A52">
            <w:pPr>
              <w:cnfStyle w:val="000000000000"/>
            </w:pPr>
            <w:r w:rsidRPr="002B6A52">
              <w:t>2012</w:t>
            </w:r>
          </w:p>
        </w:tc>
        <w:tc>
          <w:tcPr>
            <w:tcW w:w="1064" w:type="dxa"/>
          </w:tcPr>
          <w:p w:rsidR="00DF5565" w:rsidRPr="002B6A52" w:rsidRDefault="00DF5565" w:rsidP="002B6A52">
            <w:pPr>
              <w:cnfStyle w:val="000000000000"/>
            </w:pPr>
            <w:r w:rsidRPr="002B6A52">
              <w:t>2</w:t>
            </w:r>
          </w:p>
        </w:tc>
        <w:tc>
          <w:tcPr>
            <w:tcW w:w="1162" w:type="dxa"/>
          </w:tcPr>
          <w:p w:rsidR="00DF5565" w:rsidRPr="002B6A52" w:rsidRDefault="00DF5565" w:rsidP="002B6A52">
            <w:pPr>
              <w:cnfStyle w:val="000000000000"/>
            </w:pPr>
            <w:r w:rsidRPr="002B6A52">
              <w:t>36</w:t>
            </w:r>
          </w:p>
        </w:tc>
        <w:tc>
          <w:tcPr>
            <w:tcW w:w="1273" w:type="dxa"/>
          </w:tcPr>
          <w:p w:rsidR="00DF5565" w:rsidRPr="002B6A52" w:rsidRDefault="00DF5565" w:rsidP="002B6A52">
            <w:pPr>
              <w:cnfStyle w:val="000000000000"/>
            </w:pPr>
            <w:r w:rsidRPr="002B6A52">
              <w:t>0</w:t>
            </w:r>
          </w:p>
        </w:tc>
        <w:tc>
          <w:tcPr>
            <w:tcW w:w="1162" w:type="dxa"/>
          </w:tcPr>
          <w:p w:rsidR="00DF5565" w:rsidRPr="002B6A52" w:rsidRDefault="00DF5565" w:rsidP="002B6A52">
            <w:pPr>
              <w:cnfStyle w:val="000000000000"/>
            </w:pPr>
            <w:r w:rsidRPr="002B6A52">
              <w:t>0</w:t>
            </w:r>
          </w:p>
        </w:tc>
        <w:tc>
          <w:tcPr>
            <w:tcW w:w="1036" w:type="dxa"/>
          </w:tcPr>
          <w:p w:rsidR="00DF5565" w:rsidRPr="002B6A52" w:rsidRDefault="00DF5565" w:rsidP="002B6A52">
            <w:pPr>
              <w:cnfStyle w:val="000000000000"/>
            </w:pPr>
            <w:r w:rsidRPr="002B6A52">
              <w:t>38</w:t>
            </w:r>
          </w:p>
        </w:tc>
        <w:tc>
          <w:tcPr>
            <w:tcW w:w="1470" w:type="dxa"/>
          </w:tcPr>
          <w:p w:rsidR="00DF5565" w:rsidRPr="002B6A52" w:rsidRDefault="00DF5565" w:rsidP="002B6A52">
            <w:pPr>
              <w:cnfStyle w:val="000000000000"/>
            </w:pPr>
            <w:r w:rsidRPr="002B6A52">
              <w:t>38</w:t>
            </w:r>
          </w:p>
        </w:tc>
      </w:tr>
    </w:tbl>
    <w:p w:rsidR="00DF5565" w:rsidRPr="002B6A52" w:rsidRDefault="00DF5565" w:rsidP="002B6A52">
      <w:pPr>
        <w:pStyle w:val="SingleTxtGR"/>
        <w:suppressAutoHyphens/>
        <w:spacing w:before="120" w:line="220" w:lineRule="atLeast"/>
        <w:ind w:left="1260" w:firstLine="126"/>
        <w:jc w:val="left"/>
        <w:rPr>
          <w:sz w:val="18"/>
          <w:szCs w:val="18"/>
        </w:rPr>
      </w:pPr>
      <w:r w:rsidRPr="002B6A52">
        <w:rPr>
          <w:sz w:val="18"/>
          <w:szCs w:val="18"/>
        </w:rPr>
        <w:t>* Прочие виды решений включают приостановление вынесения приговора, решение об отсутствии предметной юрисдикции, решение об отсутствии территориальной юрисдикции, приостановление производства (например,</w:t>
      </w:r>
      <w:r w:rsidR="002B6A52">
        <w:rPr>
          <w:sz w:val="18"/>
          <w:szCs w:val="18"/>
        </w:rPr>
        <w:t xml:space="preserve"> </w:t>
      </w:r>
      <w:r w:rsidRPr="002B6A52">
        <w:rPr>
          <w:sz w:val="18"/>
          <w:szCs w:val="18"/>
        </w:rPr>
        <w:t>в связи с пропущенным сроком давности), отсрочка рассмотрения дела (например, по причинам, обусловленным расследованием или обвинением).</w:t>
      </w:r>
    </w:p>
    <w:p w:rsidR="00DF5565" w:rsidRPr="003F0749" w:rsidRDefault="00DF5565" w:rsidP="00DF5565">
      <w:pPr>
        <w:pStyle w:val="SingleTxtGR"/>
      </w:pPr>
      <w:r w:rsidRPr="003F0749">
        <w:t>75.</w:t>
      </w:r>
      <w:r w:rsidRPr="003F0749">
        <w:tab/>
        <w:t>Статистические данные, касающиеся других решений по соответству</w:t>
      </w:r>
      <w:r w:rsidRPr="003F0749">
        <w:t>ю</w:t>
      </w:r>
      <w:r w:rsidRPr="003F0749">
        <w:t>щим статьям УКТ, а именно статьям 77/2, 78/1 (первое предложение), 78/1 (вт</w:t>
      </w:r>
      <w:r w:rsidRPr="003F0749">
        <w:t>о</w:t>
      </w:r>
      <w:r w:rsidRPr="003F0749">
        <w:t xml:space="preserve">рое предложение), 122/1-a, 122/1-b, 122/1-c, 135/2, рассматриваются в связи со статьей 6. </w:t>
      </w:r>
    </w:p>
    <w:p w:rsidR="00DF5565" w:rsidRPr="003F0749" w:rsidRDefault="00DF5565" w:rsidP="00DF5565">
      <w:pPr>
        <w:pStyle w:val="SingleTxtGR"/>
      </w:pPr>
      <w:r w:rsidRPr="003F0749">
        <w:t>76.</w:t>
      </w:r>
      <w:r w:rsidRPr="003F0749">
        <w:tab/>
        <w:t>Кроме того, с сентября 2012</w:t>
      </w:r>
      <w:r w:rsidR="002B6A52">
        <w:t> год</w:t>
      </w:r>
      <w:r w:rsidRPr="003F0749">
        <w:t>а Конституционный суд начал получать индивидуальные сообщения. Информация о результатах рассмотрения в Суде индивидуальных сообщений о расовой дискриминации приводится в пункте 182, касающемся выполнения статьи 6.</w:t>
      </w:r>
    </w:p>
    <w:p w:rsidR="00DF5565" w:rsidRPr="003F0749" w:rsidRDefault="00DF5565" w:rsidP="00DF5565">
      <w:pPr>
        <w:pStyle w:val="SingleTxtGR"/>
      </w:pPr>
      <w:r w:rsidRPr="003F0749">
        <w:t>77.</w:t>
      </w:r>
      <w:r w:rsidRPr="003F0749">
        <w:tab/>
        <w:t xml:space="preserve">Получать и рассматривать индивидуальные сообщения о дискриминации уполномочены также Омбудсмен, Парламентская комиссия по расследованию нарушений прав человека и Правозащитное учреждение Турции. Информация, касающаяся жалоб на дискриминацию, приводится в пунктах 183−187 в связи со </w:t>
      </w:r>
      <w:proofErr w:type="spellStart"/>
      <w:r w:rsidRPr="003F0749">
        <w:t>статьй</w:t>
      </w:r>
      <w:proofErr w:type="spellEnd"/>
      <w:r w:rsidRPr="003F0749">
        <w:t xml:space="preserve"> 6.</w:t>
      </w:r>
    </w:p>
    <w:p w:rsidR="00DF5565" w:rsidRPr="003F0749" w:rsidRDefault="00DF5565" w:rsidP="002B6A52">
      <w:pPr>
        <w:pStyle w:val="H1GR"/>
      </w:pPr>
      <w:r w:rsidRPr="003F0749">
        <w:tab/>
      </w:r>
      <w:r w:rsidRPr="003F0749">
        <w:tab/>
        <w:t>Статья 5</w:t>
      </w:r>
    </w:p>
    <w:p w:rsidR="00DF5565" w:rsidRPr="003F0749" w:rsidRDefault="00DF5565" w:rsidP="00DF5565">
      <w:pPr>
        <w:pStyle w:val="SingleTxtGR"/>
      </w:pPr>
      <w:r w:rsidRPr="003F0749">
        <w:t>78.</w:t>
      </w:r>
      <w:r w:rsidRPr="003F0749">
        <w:tab/>
        <w:t>Основополагающий принцип Конституции Турции заключается в том, что в отношении пользования основными правами и свободами недопустима ник</w:t>
      </w:r>
      <w:r w:rsidRPr="003F0749">
        <w:t>а</w:t>
      </w:r>
      <w:r w:rsidRPr="003F0749">
        <w:t>кая дискриминация. Правительство принимает эффективные меры по запрещ</w:t>
      </w:r>
      <w:r w:rsidRPr="003F0749">
        <w:t>е</w:t>
      </w:r>
      <w:r w:rsidRPr="003F0749">
        <w:t>нию дискриминации в отношении пользования этими правами.</w:t>
      </w:r>
    </w:p>
    <w:p w:rsidR="00DF5565" w:rsidRPr="003F0749" w:rsidRDefault="00DF5565" w:rsidP="002B6A52">
      <w:pPr>
        <w:pStyle w:val="HChGR"/>
      </w:pPr>
      <w:r w:rsidRPr="003F0749">
        <w:tab/>
        <w:t>III.</w:t>
      </w:r>
      <w:r w:rsidRPr="003F0749">
        <w:tab/>
        <w:t xml:space="preserve">Информация в разбивке по конкретным правам </w:t>
      </w:r>
    </w:p>
    <w:p w:rsidR="00DF5565" w:rsidRPr="003F0749" w:rsidRDefault="00DF5565" w:rsidP="002B6A52">
      <w:pPr>
        <w:pStyle w:val="H1GR"/>
      </w:pPr>
      <w:r w:rsidRPr="003F0749">
        <w:tab/>
        <w:t>A.</w:t>
      </w:r>
      <w:r w:rsidRPr="003F0749">
        <w:tab/>
        <w:t>Право на равенство перед судом и всеми другими органами, о</w:t>
      </w:r>
      <w:r w:rsidRPr="003F0749">
        <w:t>т</w:t>
      </w:r>
      <w:r w:rsidRPr="003F0749">
        <w:t xml:space="preserve">правляющими правосудие </w:t>
      </w:r>
    </w:p>
    <w:p w:rsidR="00DF5565" w:rsidRPr="003F0749" w:rsidRDefault="00DF5565" w:rsidP="00DF5565">
      <w:pPr>
        <w:pStyle w:val="SingleTxtGR"/>
      </w:pPr>
      <w:r w:rsidRPr="003F0749">
        <w:t>79.</w:t>
      </w:r>
      <w:r w:rsidRPr="003F0749">
        <w:tab/>
        <w:t>В статье 36 Конституции гарантируется право каждого лица выступать истцом или ответчиком в суде и право на справедливое судебное разбирател</w:t>
      </w:r>
      <w:r w:rsidRPr="003F0749">
        <w:t>ь</w:t>
      </w:r>
      <w:r w:rsidRPr="003F0749">
        <w:t>ство путем законных средств и процедур. Ни один суд не может отказываться от разбирательства дела, подпадающего под его юрисдикцию.</w:t>
      </w:r>
    </w:p>
    <w:p w:rsidR="00DF5565" w:rsidRPr="003F0749" w:rsidRDefault="00DF5565" w:rsidP="00DF5565">
      <w:pPr>
        <w:pStyle w:val="SingleTxtGR"/>
      </w:pPr>
      <w:r w:rsidRPr="003F0749">
        <w:t>80.</w:t>
      </w:r>
      <w:r w:rsidRPr="003F0749">
        <w:tab/>
        <w:t>Каждый турецкий гражданин имеет право подавать исковые заявления в соответствующие суды, если он/она считает, что его/ее основные права и св</w:t>
      </w:r>
      <w:r w:rsidRPr="003F0749">
        <w:t>о</w:t>
      </w:r>
      <w:r w:rsidRPr="003F0749">
        <w:t>боды были нарушены.</w:t>
      </w:r>
    </w:p>
    <w:p w:rsidR="00DF5565" w:rsidRPr="003F0749" w:rsidRDefault="00DF5565" w:rsidP="00DF5565">
      <w:pPr>
        <w:pStyle w:val="SingleTxtGR"/>
      </w:pPr>
      <w:r w:rsidRPr="003F0749">
        <w:t>81.</w:t>
      </w:r>
      <w:r w:rsidRPr="003F0749">
        <w:tab/>
        <w:t>Кроме того, любой гражданин имеет право на доступ к адвокату, включая право на бесплатную юридическую помощь как в гражданском, так и уголо</w:t>
      </w:r>
      <w:r w:rsidRPr="003F0749">
        <w:t>в</w:t>
      </w:r>
      <w:r w:rsidRPr="003F0749">
        <w:t xml:space="preserve">ном судопроизводстве. </w:t>
      </w:r>
    </w:p>
    <w:p w:rsidR="00DF5565" w:rsidRPr="003F0749" w:rsidRDefault="00DF5565" w:rsidP="00DF5565">
      <w:pPr>
        <w:pStyle w:val="SingleTxtGR"/>
      </w:pPr>
      <w:r w:rsidRPr="003F0749">
        <w:t>82.</w:t>
      </w:r>
      <w:r w:rsidRPr="003F0749">
        <w:tab/>
        <w:t>Если обвиняемый, потерпевший или свидетель плохо владеют турецким языком, на котором ведется судопроизводство, им предоставляется переводчик.</w:t>
      </w:r>
    </w:p>
    <w:p w:rsidR="00DF5565" w:rsidRPr="003F0749" w:rsidRDefault="00DF5565" w:rsidP="00DF5565">
      <w:pPr>
        <w:pStyle w:val="SingleTxtGR"/>
      </w:pPr>
      <w:r w:rsidRPr="003F0749">
        <w:t>83.</w:t>
      </w:r>
      <w:r w:rsidRPr="003F0749">
        <w:tab/>
        <w:t>Кроме того, после внесения в Уголовно-процессуальный кодекс после</w:t>
      </w:r>
      <w:r w:rsidRPr="003F0749">
        <w:t>д</w:t>
      </w:r>
      <w:r w:rsidRPr="003F0749">
        <w:t>ней поправки ответчики, которые свободно не владеют турецким языком, пол</w:t>
      </w:r>
      <w:r w:rsidRPr="003F0749">
        <w:t>у</w:t>
      </w:r>
      <w:r w:rsidRPr="003F0749">
        <w:t xml:space="preserve">чили право делать заявления в свою защиту на выбранном ими языке. </w:t>
      </w:r>
    </w:p>
    <w:p w:rsidR="00DF5565" w:rsidRPr="003F0749" w:rsidRDefault="00DF5565" w:rsidP="002B6A52">
      <w:pPr>
        <w:pStyle w:val="H23GR"/>
      </w:pPr>
      <w:r w:rsidRPr="003F0749">
        <w:tab/>
        <w:t>1.</w:t>
      </w:r>
      <w:r w:rsidRPr="003F0749">
        <w:tab/>
        <w:t>Меры, принимаемые с целью обеспечить тщательное расслед</w:t>
      </w:r>
      <w:r w:rsidRPr="003F0749">
        <w:t>о</w:t>
      </w:r>
      <w:r w:rsidRPr="003F0749">
        <w:t xml:space="preserve">вание жалоб на расовую дискриминацию </w:t>
      </w:r>
    </w:p>
    <w:p w:rsidR="00DF5565" w:rsidRPr="003F0749" w:rsidRDefault="00DF5565" w:rsidP="00DF5565">
      <w:pPr>
        <w:pStyle w:val="SingleTxtGR"/>
      </w:pPr>
      <w:r w:rsidRPr="003F0749">
        <w:t>84.</w:t>
      </w:r>
      <w:r w:rsidRPr="003F0749">
        <w:tab/>
        <w:t>Все жалобы на дискриминацию по признакам расы, цвета кожи или иных признаков, включая жалобы на должностных лиц, расследуются независимыми органами и подлежат независимому и тщательному рассмотрению судами и/или административными и парламентскими механизмами, специально созданными для заслушивания таких жалоб. С более подробной информацией об этом сре</w:t>
      </w:r>
      <w:r w:rsidRPr="003F0749">
        <w:t>д</w:t>
      </w:r>
      <w:r w:rsidRPr="003F0749">
        <w:t>стве правовой защиты можно ознакомиться в пунктах 174−187. Когда исчерп</w:t>
      </w:r>
      <w:r w:rsidRPr="003F0749">
        <w:t>а</w:t>
      </w:r>
      <w:r w:rsidRPr="003F0749">
        <w:t>ны все средства правовой защиты, потерпевшие могут обращаться в Европе</w:t>
      </w:r>
      <w:r w:rsidRPr="003F0749">
        <w:t>й</w:t>
      </w:r>
      <w:r w:rsidRPr="003F0749">
        <w:t>ский суд по правам человека, обязательную юрисдикцию которого Турция пр</w:t>
      </w:r>
      <w:r w:rsidRPr="003F0749">
        <w:t>и</w:t>
      </w:r>
      <w:r w:rsidRPr="003F0749">
        <w:t>знала в 1990</w:t>
      </w:r>
      <w:r w:rsidR="002B6A52">
        <w:t> год</w:t>
      </w:r>
      <w:r w:rsidRPr="003F0749">
        <w:t xml:space="preserve">у. </w:t>
      </w:r>
    </w:p>
    <w:p w:rsidR="00DF5565" w:rsidRPr="003F0749" w:rsidRDefault="00DF5565" w:rsidP="002B6A52">
      <w:pPr>
        <w:pStyle w:val="H23GR"/>
      </w:pPr>
      <w:r w:rsidRPr="003F0749">
        <w:tab/>
        <w:t>2.</w:t>
      </w:r>
      <w:r w:rsidRPr="003F0749">
        <w:tab/>
        <w:t>Меры, принимаемые с целью обеспечить, чтобы борьба с терроризмом не</w:t>
      </w:r>
      <w:r w:rsidR="002B6A52">
        <w:t> </w:t>
      </w:r>
      <w:r w:rsidRPr="003F0749">
        <w:t>служила основанием для дискриминации по любым признакам</w:t>
      </w:r>
    </w:p>
    <w:p w:rsidR="00DF5565" w:rsidRPr="003F0749" w:rsidRDefault="00DF5565" w:rsidP="00DF5565">
      <w:pPr>
        <w:pStyle w:val="SingleTxtGR"/>
      </w:pPr>
      <w:r w:rsidRPr="003F0749">
        <w:t>85.</w:t>
      </w:r>
      <w:r w:rsidRPr="003F0749">
        <w:tab/>
        <w:t>В своей борьбе с терроризмом Турция не проводит ни по своей сути, ни по своим последствиям дискриминацию по признакам расы, цвета кожи или по любым другим признакам, причем не проводится расовое или иное профилир</w:t>
      </w:r>
      <w:r w:rsidRPr="003F0749">
        <w:t>о</w:t>
      </w:r>
      <w:r w:rsidRPr="003F0749">
        <w:t>вание и не формируются негативные стереотипы. Правительство регулярно п</w:t>
      </w:r>
      <w:r w:rsidRPr="003F0749">
        <w:t>е</w:t>
      </w:r>
      <w:r w:rsidRPr="003F0749">
        <w:t>ресматривает антитеррористическое законодательство в целях эффективного и гарантированного соблюдения основных прав человека и свобод, например, п</w:t>
      </w:r>
      <w:r w:rsidRPr="003F0749">
        <w:t>о</w:t>
      </w:r>
      <w:r w:rsidRPr="003F0749">
        <w:t>следний раз оно пересматривалось в апреле 2013</w:t>
      </w:r>
      <w:r w:rsidR="002B6A52">
        <w:t> год</w:t>
      </w:r>
      <w:r w:rsidRPr="003F0749">
        <w:t>а в рамках четвертого п</w:t>
      </w:r>
      <w:r w:rsidRPr="003F0749">
        <w:t>а</w:t>
      </w:r>
      <w:r w:rsidRPr="003F0749">
        <w:t xml:space="preserve">кета реформ судебной системы. </w:t>
      </w:r>
    </w:p>
    <w:p w:rsidR="00DF5565" w:rsidRPr="003F0749" w:rsidRDefault="00DF5565" w:rsidP="00DF5565">
      <w:pPr>
        <w:pStyle w:val="SingleTxtGR"/>
      </w:pPr>
      <w:r w:rsidRPr="003F0749">
        <w:t>86.</w:t>
      </w:r>
      <w:r w:rsidRPr="003F0749">
        <w:tab/>
        <w:t>Информация о профессиональной подготовке сотрудников правоохран</w:t>
      </w:r>
      <w:r w:rsidRPr="003F0749">
        <w:t>и</w:t>
      </w:r>
      <w:r w:rsidRPr="003F0749">
        <w:t>тельных органов и судебной системы в области прав человека, в том числе з</w:t>
      </w:r>
      <w:r w:rsidRPr="003F0749">
        <w:t>а</w:t>
      </w:r>
      <w:r w:rsidRPr="003F0749">
        <w:t>прещение дискриминации, приводится в пунктах 193−196, касающихся выпо</w:t>
      </w:r>
      <w:r w:rsidRPr="003F0749">
        <w:t>л</w:t>
      </w:r>
      <w:r w:rsidRPr="003F0749">
        <w:t>нению статьи 7.</w:t>
      </w:r>
    </w:p>
    <w:p w:rsidR="00DF5565" w:rsidRPr="003F0749" w:rsidRDefault="00DF5565" w:rsidP="002B6A52">
      <w:pPr>
        <w:pStyle w:val="H1GR"/>
      </w:pPr>
      <w:r w:rsidRPr="003F0749">
        <w:tab/>
        <w:t>B.</w:t>
      </w:r>
      <w:r w:rsidRPr="003F0749">
        <w:tab/>
        <w:t xml:space="preserve">Право на личную безопасность и защиту со стороны государства от насилия или телесных повреждений, причиняемых как </w:t>
      </w:r>
      <w:r w:rsidR="003F0749">
        <w:t xml:space="preserve">государственными </w:t>
      </w:r>
      <w:r w:rsidRPr="003F0749">
        <w:t>должностными лицами, так и какими бы то ни было отдельными лицами, группами или учреждениями</w:t>
      </w:r>
    </w:p>
    <w:p w:rsidR="00DF5565" w:rsidRPr="003F0749" w:rsidRDefault="00DF5565" w:rsidP="00DF5565">
      <w:pPr>
        <w:pStyle w:val="SingleTxtGR"/>
      </w:pPr>
      <w:r w:rsidRPr="003F0749">
        <w:t>87.</w:t>
      </w:r>
      <w:r w:rsidRPr="003F0749">
        <w:tab/>
        <w:t>Право на личную свободу и безопасность гарантируется Конституцией. Преступники, совершившие любое уголовное преступление, включая акты н</w:t>
      </w:r>
      <w:r w:rsidRPr="003F0749">
        <w:t>а</w:t>
      </w:r>
      <w:r w:rsidRPr="003F0749">
        <w:t>силия или преступления на почве ненависти, оперативно разыскиваются и п</w:t>
      </w:r>
      <w:r w:rsidRPr="003F0749">
        <w:t>е</w:t>
      </w:r>
      <w:r w:rsidRPr="003F0749">
        <w:t>редаются в руки правосудия. Правительство постоянно пересматривает закон</w:t>
      </w:r>
      <w:r w:rsidRPr="003F0749">
        <w:t>о</w:t>
      </w:r>
      <w:r w:rsidRPr="003F0749">
        <w:t>дательство и его применение, чтобы обеспечить оперативное, эффективное, о</w:t>
      </w:r>
      <w:r w:rsidRPr="003F0749">
        <w:t>т</w:t>
      </w:r>
      <w:r w:rsidRPr="003F0749">
        <w:t>крытое и независимое расследование. Для предотвращения безнаказанности без задержек проводятся необходимые следственные действия.</w:t>
      </w:r>
    </w:p>
    <w:p w:rsidR="00DF5565" w:rsidRPr="003F0749" w:rsidRDefault="00DF5565" w:rsidP="00DF5565">
      <w:pPr>
        <w:pStyle w:val="SingleTxtGR"/>
      </w:pPr>
      <w:r w:rsidRPr="003F0749">
        <w:t>88.</w:t>
      </w:r>
      <w:r w:rsidRPr="003F0749">
        <w:tab/>
        <w:t xml:space="preserve">Турецкое законодательство запрещает дискриминационные действия со стороны сотрудников правоохранительных органов. Условия применения силы полицией прописаны в Законе </w:t>
      </w:r>
      <w:r w:rsidR="002B6A52">
        <w:t>№ </w:t>
      </w:r>
      <w:r w:rsidRPr="003F0749">
        <w:t>2559 о полномочиях и обязанностях полиции. При подготовке поправок к этому Закону использовались Основные принципы применения силы и огнестрельного оружия Организации Объединенных Наций, а также надлежащая практика, применяемая в некоторых других странах</w:t>
      </w:r>
      <w:r w:rsidR="002B6A52">
        <w:t>. В </w:t>
      </w:r>
      <w:r w:rsidRPr="003F0749">
        <w:t>З</w:t>
      </w:r>
      <w:r w:rsidRPr="003F0749">
        <w:t>а</w:t>
      </w:r>
      <w:r w:rsidRPr="003F0749">
        <w:t>коне устанавливаются пределы полномочий полиции по применению оружия, в частности, при самообороне или воспрепятствовании побегу законно осужде</w:t>
      </w:r>
      <w:r w:rsidRPr="003F0749">
        <w:t>н</w:t>
      </w:r>
      <w:r w:rsidRPr="003F0749">
        <w:t xml:space="preserve">ному или арестованному лицу. Полиция может применять оружие в случае крайней необходимости после постепенного соразмерного применения силы. Аналогичным образом, Закон об организации, обязанностях и компетенциях жандармерии (Закон </w:t>
      </w:r>
      <w:r w:rsidR="002B6A52">
        <w:t>№ </w:t>
      </w:r>
      <w:r w:rsidRPr="003F0749">
        <w:t>2803) устанавливает правила применения оружия жа</w:t>
      </w:r>
      <w:r w:rsidRPr="003F0749">
        <w:t>н</w:t>
      </w:r>
      <w:r w:rsidRPr="003F0749">
        <w:t>дармерией.</w:t>
      </w:r>
    </w:p>
    <w:p w:rsidR="00DF5565" w:rsidRPr="003F0749" w:rsidRDefault="00DF5565" w:rsidP="00DF5565">
      <w:pPr>
        <w:pStyle w:val="SingleTxtGR"/>
      </w:pPr>
      <w:r w:rsidRPr="003F0749">
        <w:t>89.</w:t>
      </w:r>
      <w:r w:rsidRPr="003F0749">
        <w:tab/>
        <w:t>Сотрудники правоохранительных органов регулярно проходят подготовку по искоренению чрезмерного применения силы. Что касается мер по недоп</w:t>
      </w:r>
      <w:r w:rsidRPr="003F0749">
        <w:t>у</w:t>
      </w:r>
      <w:r w:rsidRPr="003F0749">
        <w:t>щению несоразмерного применения силы турецкой полицией, то соответс</w:t>
      </w:r>
      <w:r w:rsidRPr="003F0749">
        <w:t>т</w:t>
      </w:r>
      <w:r w:rsidRPr="003F0749">
        <w:t>вующие власти готовят и регулярно рассылают циркулярные письма и пис</w:t>
      </w:r>
      <w:r w:rsidRPr="003F0749">
        <w:t>ь</w:t>
      </w:r>
      <w:r w:rsidRPr="003F0749">
        <w:t>менные приказы в провинциальные департаменты полиции. Полицейские, н</w:t>
      </w:r>
      <w:r w:rsidRPr="003F0749">
        <w:t>а</w:t>
      </w:r>
      <w:r w:rsidRPr="003F0749">
        <w:t xml:space="preserve">рушающие установленные в циркуляре </w:t>
      </w:r>
      <w:r w:rsidR="003F0749">
        <w:t>"</w:t>
      </w:r>
      <w:r w:rsidRPr="003F0749">
        <w:t>обязанности по контролю за массов</w:t>
      </w:r>
      <w:r w:rsidRPr="003F0749">
        <w:t>ы</w:t>
      </w:r>
      <w:r w:rsidRPr="003F0749">
        <w:t>ми демонстрациями</w:t>
      </w:r>
      <w:r w:rsidR="003F0749">
        <w:t>"</w:t>
      </w:r>
      <w:r w:rsidRPr="003F0749">
        <w:t xml:space="preserve"> (Циркуляр </w:t>
      </w:r>
      <w:r w:rsidR="002B6A52">
        <w:t>№ </w:t>
      </w:r>
      <w:r w:rsidRPr="003F0749">
        <w:t>129/2004) подвергаются взысканиям.</w:t>
      </w:r>
    </w:p>
    <w:p w:rsidR="00DF5565" w:rsidRPr="003F0749" w:rsidRDefault="00DF5565" w:rsidP="00DF5565">
      <w:pPr>
        <w:pStyle w:val="SingleTxtGR"/>
      </w:pPr>
      <w:r w:rsidRPr="003F0749">
        <w:t>90.</w:t>
      </w:r>
      <w:r w:rsidRPr="003F0749">
        <w:tab/>
        <w:t>Чтобы обеспечить установление личности сотрудников безопасности, экипированных для борьбы с беспорядками, и удержать их от чрезмерного применения силы, с 2009</w:t>
      </w:r>
      <w:r w:rsidR="002B6A52">
        <w:t> год</w:t>
      </w:r>
      <w:r w:rsidRPr="003F0749">
        <w:t>а на их шлемы наносится личные номера.</w:t>
      </w:r>
    </w:p>
    <w:p w:rsidR="00DF5565" w:rsidRPr="003F0749" w:rsidRDefault="00DF5565" w:rsidP="00DF5565">
      <w:pPr>
        <w:pStyle w:val="SingleTxtGR"/>
      </w:pPr>
      <w:r w:rsidRPr="003F0749">
        <w:t>91.</w:t>
      </w:r>
      <w:r w:rsidRPr="003F0749">
        <w:tab/>
        <w:t>В дополнение к судебным, включая юрисдикцию Европейского суда по правам человека, средствам защиты от нарушений основных прав и свобод, в</w:t>
      </w:r>
      <w:r w:rsidR="008D3B03">
        <w:t> </w:t>
      </w:r>
      <w:r w:rsidRPr="003F0749">
        <w:t>том числе актов дискриминации со стороны правительственных чиновников или отдельных лиц, имеются также административные и парламентские средс</w:t>
      </w:r>
      <w:r w:rsidRPr="003F0749">
        <w:t>т</w:t>
      </w:r>
      <w:r w:rsidRPr="003F0749">
        <w:t>ва защиты (см. пункты 182−187). Принимаются меры с целью не допустить во</w:t>
      </w:r>
      <w:r w:rsidRPr="003F0749">
        <w:t>з</w:t>
      </w:r>
      <w:r w:rsidRPr="003F0749">
        <w:t>вращения лиц, не являющихся турецкими гражданами в страну, на территории которой им грозит опасность стать жертвами серьезных нарушений прав чел</w:t>
      </w:r>
      <w:r w:rsidRPr="003F0749">
        <w:t>о</w:t>
      </w:r>
      <w:r w:rsidRPr="003F0749">
        <w:t>века:</w:t>
      </w:r>
    </w:p>
    <w:p w:rsidR="00DF5565" w:rsidRPr="003F0749" w:rsidRDefault="00DF5565" w:rsidP="00DF5565">
      <w:pPr>
        <w:pStyle w:val="SingleTxtGR"/>
      </w:pPr>
      <w:r w:rsidRPr="003F0749">
        <w:t>92.</w:t>
      </w:r>
      <w:r w:rsidRPr="003F0749">
        <w:tab/>
        <w:t>В соответствии со своими обязательствами, вытекающими из междун</w:t>
      </w:r>
      <w:r w:rsidRPr="003F0749">
        <w:t>а</w:t>
      </w:r>
      <w:r w:rsidRPr="003F0749">
        <w:t>родных соглашений, стороной которых она является, Турция не возвращает просителей убежища в страну или территорию, в которых он/она могут по</w:t>
      </w:r>
      <w:r w:rsidRPr="003F0749">
        <w:t>д</w:t>
      </w:r>
      <w:r w:rsidRPr="003F0749">
        <w:t xml:space="preserve">вергнуться преследованию, и скрупулезно соблюдает принцип </w:t>
      </w:r>
      <w:proofErr w:type="spellStart"/>
      <w:r w:rsidRPr="003F0749">
        <w:t>невысылки</w:t>
      </w:r>
      <w:proofErr w:type="spellEnd"/>
      <w:r w:rsidRPr="003F0749">
        <w:t xml:space="preserve"> с</w:t>
      </w:r>
      <w:r w:rsidRPr="003F0749">
        <w:t>о</w:t>
      </w:r>
      <w:r w:rsidRPr="003F0749">
        <w:t>гласно статье 33 Конвенции ООН о статусе беженцев 1951</w:t>
      </w:r>
      <w:r w:rsidR="002B6A52">
        <w:t> год</w:t>
      </w:r>
      <w:r w:rsidRPr="003F0749">
        <w:t>а.</w:t>
      </w:r>
    </w:p>
    <w:p w:rsidR="00DF5565" w:rsidRPr="003F0749" w:rsidRDefault="00DF5565" w:rsidP="00DF5565">
      <w:pPr>
        <w:pStyle w:val="SingleTxtGR"/>
      </w:pPr>
      <w:r w:rsidRPr="003F0749">
        <w:t>93.</w:t>
      </w:r>
      <w:r w:rsidRPr="003F0749">
        <w:tab/>
        <w:t>Просители убежища, которые не получили статуса беженцев, но которым грозит опасность подвергнуться смертной казни, пыткам или бесчеловечному или унижающему достоинство обращению или наказанию, а также просители убежища, в странах происхождения которых существует серьезная угроза ма</w:t>
      </w:r>
      <w:r w:rsidRPr="003F0749">
        <w:t>с</w:t>
      </w:r>
      <w:r w:rsidRPr="003F0749">
        <w:t>сового насилия в отношении гражданских лиц в связи с международным или внутренним вооруженным конфликтом, не депортируются и получают разреш</w:t>
      </w:r>
      <w:r w:rsidRPr="003F0749">
        <w:t>е</w:t>
      </w:r>
      <w:r w:rsidRPr="003F0749">
        <w:t xml:space="preserve">ние на временное пребывание в Турции в рамках программы дополнительной защиты и защиты по гуманитарным соображениям. </w:t>
      </w:r>
    </w:p>
    <w:p w:rsidR="00DF5565" w:rsidRPr="003F0749" w:rsidRDefault="00DF5565" w:rsidP="00DF5565">
      <w:pPr>
        <w:pStyle w:val="SingleTxtGR"/>
      </w:pPr>
      <w:r w:rsidRPr="003F0749">
        <w:t>94.</w:t>
      </w:r>
      <w:r w:rsidRPr="003F0749">
        <w:tab/>
        <w:t>Аналогичным образом, перед депортацией лиц, которые не обращались с ходатайством о предоставлении убежища и были задержаны как нелегальные иммигранты, проводится выяснение их страны происхождения, и такие нез</w:t>
      </w:r>
      <w:r w:rsidRPr="003F0749">
        <w:t>а</w:t>
      </w:r>
      <w:r w:rsidRPr="003F0749">
        <w:t>конные иммигранты не депортируются в страну происхождения, если им грозит смертная казнь, опасность подвергнуться пыткам или бесчеловечному или унижающему достоинство обращению или наказанию; или если есть серьезная опасность массового насилия для гражданских лиц, вызванная международным или внутренним вооруженным конфликтом в стране происхождения.</w:t>
      </w:r>
    </w:p>
    <w:p w:rsidR="00DF5565" w:rsidRPr="003F0749" w:rsidRDefault="00DF5565" w:rsidP="00DF5565">
      <w:pPr>
        <w:pStyle w:val="SingleTxtGR"/>
      </w:pPr>
      <w:r w:rsidRPr="003F0749">
        <w:t>95.</w:t>
      </w:r>
      <w:r w:rsidRPr="003F0749">
        <w:tab/>
        <w:t xml:space="preserve">Просители убежища могут обращаться с апелляционными жалобами на действия турецких властей в административные суды и в Европейский суд по правам человека. </w:t>
      </w:r>
    </w:p>
    <w:p w:rsidR="00DF5565" w:rsidRPr="003F0749" w:rsidRDefault="00DF5565" w:rsidP="00DF5565">
      <w:pPr>
        <w:pStyle w:val="SingleTxtGR"/>
      </w:pPr>
      <w:r w:rsidRPr="003F0749">
        <w:t>96.</w:t>
      </w:r>
      <w:r w:rsidRPr="003F0749">
        <w:tab/>
        <w:t>Что касается пункта 15 Заключительных замечаний Комитета, то условия, при которых может рассматриваться снятие географических ограничений на применение Конвенции о статусе беженцев 1951</w:t>
      </w:r>
      <w:r w:rsidR="002B6A52">
        <w:t> год</w:t>
      </w:r>
      <w:r w:rsidRPr="003F0749">
        <w:t>а, были четко изложены в Национальном плане действий в связи с предоставлением убежища и иммигр</w:t>
      </w:r>
      <w:r w:rsidRPr="003F0749">
        <w:t>а</w:t>
      </w:r>
      <w:r w:rsidRPr="003F0749">
        <w:t>цией 2005</w:t>
      </w:r>
      <w:r w:rsidR="002B6A52">
        <w:t> год</w:t>
      </w:r>
      <w:r w:rsidRPr="003F0749">
        <w:t xml:space="preserve">а: </w:t>
      </w:r>
    </w:p>
    <w:p w:rsidR="00DF5565" w:rsidRPr="003F0749" w:rsidRDefault="00DF5565" w:rsidP="00AC5114">
      <w:pPr>
        <w:pStyle w:val="Bullet1GR"/>
      </w:pPr>
      <w:r w:rsidRPr="003F0749">
        <w:t>Это не должно приводить к притоку беженцев с Востока.</w:t>
      </w:r>
    </w:p>
    <w:p w:rsidR="00DF5565" w:rsidRPr="003F0749" w:rsidRDefault="00DF5565" w:rsidP="00AC5114">
      <w:pPr>
        <w:pStyle w:val="Bullet1GR"/>
      </w:pPr>
      <w:r w:rsidRPr="003F0749">
        <w:t>Будут завершены изменения законодательства и инвестиции в инфр</w:t>
      </w:r>
      <w:r w:rsidRPr="003F0749">
        <w:t>а</w:t>
      </w:r>
      <w:r w:rsidRPr="003F0749">
        <w:t>структуру, упомянутые в Национальном плане действий в связи с предо</w:t>
      </w:r>
      <w:r w:rsidRPr="003F0749">
        <w:t>с</w:t>
      </w:r>
      <w:r w:rsidRPr="003F0749">
        <w:t>тавл</w:t>
      </w:r>
      <w:r w:rsidRPr="003F0749">
        <w:t>е</w:t>
      </w:r>
      <w:r w:rsidRPr="003F0749">
        <w:t>нием убежища и иммиграцией.</w:t>
      </w:r>
    </w:p>
    <w:p w:rsidR="00DF5565" w:rsidRPr="003F0749" w:rsidRDefault="00DF5565" w:rsidP="00AC5114">
      <w:pPr>
        <w:pStyle w:val="Bullet1GR"/>
      </w:pPr>
      <w:r w:rsidRPr="003F0749">
        <w:t>Государства</w:t>
      </w:r>
      <w:r w:rsidR="00AC5114">
        <w:t xml:space="preserve"> </w:t>
      </w:r>
      <w:r w:rsidRPr="003F0749">
        <w:t>−</w:t>
      </w:r>
      <w:r w:rsidR="00AC5114">
        <w:t xml:space="preserve"> </w:t>
      </w:r>
      <w:r w:rsidRPr="003F0749">
        <w:t>члены ЕС проявят необходимое понимание вопроса о ра</w:t>
      </w:r>
      <w:r w:rsidRPr="003F0749">
        <w:t>з</w:t>
      </w:r>
      <w:r w:rsidRPr="003F0749">
        <w:t>делении бремени расходов.</w:t>
      </w:r>
    </w:p>
    <w:p w:rsidR="00DF5565" w:rsidRPr="003F0749" w:rsidRDefault="00DF5565" w:rsidP="00AC5114">
      <w:pPr>
        <w:pStyle w:val="Bullet1GR"/>
      </w:pPr>
      <w:r w:rsidRPr="003F0749">
        <w:t>Турция и ЕС подписывают договор о вступлении.</w:t>
      </w:r>
    </w:p>
    <w:p w:rsidR="00DF5565" w:rsidRPr="003F0749" w:rsidRDefault="00DF5565" w:rsidP="00DF5565">
      <w:pPr>
        <w:pStyle w:val="SingleTxtGR"/>
      </w:pPr>
      <w:r w:rsidRPr="003F0749">
        <w:t>97.</w:t>
      </w:r>
      <w:r w:rsidRPr="003F0749">
        <w:tab/>
        <w:t>Наконец, 11 апреля 2013</w:t>
      </w:r>
      <w:r w:rsidR="002B6A52">
        <w:t> год</w:t>
      </w:r>
      <w:r w:rsidRPr="003F0749">
        <w:t>а в целях создания основы для эффективной и прочной системы регулирования миграции путем формирования необходимой законодательной и административной инфраструктуры был принят Закон об иностранцах и международной защите. Закон позволит заполнить пробелы в праве, образовавшиеся в результате отсутствия в Турции законодательства, р</w:t>
      </w:r>
      <w:r w:rsidRPr="003F0749">
        <w:t>е</w:t>
      </w:r>
      <w:r w:rsidRPr="003F0749">
        <w:t>гулирующего порядок предоставления убежища, и привести законодательство в соответствие с основными правовыми актами ЕС с опорой на Конвенцию ООН о статусе беженцев 1951</w:t>
      </w:r>
      <w:r w:rsidR="002B6A52">
        <w:t> год</w:t>
      </w:r>
      <w:r w:rsidRPr="003F0749">
        <w:t xml:space="preserve">а. Подготовленный на </w:t>
      </w:r>
      <w:proofErr w:type="spellStart"/>
      <w:r w:rsidRPr="003F0749">
        <w:t>транспарентной</w:t>
      </w:r>
      <w:proofErr w:type="spellEnd"/>
      <w:r w:rsidRPr="003F0749">
        <w:t xml:space="preserve"> и всеобъе</w:t>
      </w:r>
      <w:r w:rsidRPr="003F0749">
        <w:t>м</w:t>
      </w:r>
      <w:r w:rsidRPr="003F0749">
        <w:t>лющей основе при участии всех заинтересованных национальных и междун</w:t>
      </w:r>
      <w:r w:rsidRPr="003F0749">
        <w:t>а</w:t>
      </w:r>
      <w:r w:rsidRPr="003F0749">
        <w:t>родных сторон, новый закон направлен на создание жизнеспособной миграц</w:t>
      </w:r>
      <w:r w:rsidRPr="003F0749">
        <w:t>и</w:t>
      </w:r>
      <w:r w:rsidRPr="003F0749">
        <w:t>онной системы при полном соблюдении прав человека. Соответственно, был учрежден Генеральный директорат по регулированию миграции, который отв</w:t>
      </w:r>
      <w:r w:rsidRPr="003F0749">
        <w:t>е</w:t>
      </w:r>
      <w:r w:rsidRPr="003F0749">
        <w:t>чает за все аспекты регулирования миграции в Турции</w:t>
      </w:r>
      <w:r w:rsidR="002B6A52">
        <w:t>. В </w:t>
      </w:r>
      <w:r w:rsidRPr="003F0749">
        <w:t>соответствии с Зак</w:t>
      </w:r>
      <w:r w:rsidRPr="003F0749">
        <w:t>о</w:t>
      </w:r>
      <w:r w:rsidRPr="003F0749">
        <w:t>ном будет создан также новый совет по миграционной политике, который будет отвечать за разработку краткосрочной и долгосрочной миграционных страт</w:t>
      </w:r>
      <w:r w:rsidRPr="003F0749">
        <w:t>е</w:t>
      </w:r>
      <w:r w:rsidRPr="003F0749">
        <w:t>гий.</w:t>
      </w:r>
    </w:p>
    <w:p w:rsidR="00DF5565" w:rsidRPr="003F0749" w:rsidRDefault="00DF5565" w:rsidP="00AC5114">
      <w:pPr>
        <w:pStyle w:val="H1GR"/>
      </w:pPr>
      <w:r w:rsidRPr="003F0749">
        <w:tab/>
        <w:t>C.</w:t>
      </w:r>
      <w:r w:rsidRPr="003F0749">
        <w:tab/>
        <w:t>Политические права</w:t>
      </w:r>
    </w:p>
    <w:p w:rsidR="00DF5565" w:rsidRPr="003F0749" w:rsidRDefault="00DF5565" w:rsidP="00DF5565">
      <w:pPr>
        <w:pStyle w:val="SingleTxtGR"/>
      </w:pPr>
      <w:r w:rsidRPr="003F0749">
        <w:t>98.</w:t>
      </w:r>
      <w:r w:rsidRPr="003F0749">
        <w:tab/>
        <w:t>В том, что касается пункта 10 Заключительных замечаний Комитета о</w:t>
      </w:r>
      <w:r w:rsidRPr="003F0749">
        <w:t>т</w:t>
      </w:r>
      <w:r w:rsidRPr="003F0749">
        <w:t xml:space="preserve">носительно </w:t>
      </w:r>
      <w:proofErr w:type="spellStart"/>
      <w:r w:rsidRPr="003F0749">
        <w:t>представленности</w:t>
      </w:r>
      <w:proofErr w:type="spellEnd"/>
      <w:r w:rsidRPr="003F0749">
        <w:t xml:space="preserve"> различных этнических групп в парламенте и других выборных органах, то каждый турецкий гражданин имеет право изб</w:t>
      </w:r>
      <w:r w:rsidRPr="003F0749">
        <w:t>и</w:t>
      </w:r>
      <w:r w:rsidRPr="003F0749">
        <w:t>рать, быть избранными, заниматься политической деятельностью как непосре</w:t>
      </w:r>
      <w:r w:rsidRPr="003F0749">
        <w:t>д</w:t>
      </w:r>
      <w:r w:rsidRPr="003F0749">
        <w:t>ственно, так и в качестве члена политических партий, а также принимать уч</w:t>
      </w:r>
      <w:r w:rsidRPr="003F0749">
        <w:t>а</w:t>
      </w:r>
      <w:r w:rsidRPr="003F0749">
        <w:t>стие в референдуме (статья 67 Конституции). Соответственно, Конституция г</w:t>
      </w:r>
      <w:r w:rsidRPr="003F0749">
        <w:t>а</w:t>
      </w:r>
      <w:r w:rsidRPr="003F0749">
        <w:t>рантирует право каждого турецкого гражданина независимо от расы, цвета к</w:t>
      </w:r>
      <w:r w:rsidRPr="003F0749">
        <w:t>о</w:t>
      </w:r>
      <w:r w:rsidRPr="003F0749">
        <w:t>жи или любых таких обстоятельств равное право участвовать в политическом процессе на равноправной основе. Конституция и законодательство гарантир</w:t>
      </w:r>
      <w:r w:rsidRPr="003F0749">
        <w:t>у</w:t>
      </w:r>
      <w:r w:rsidRPr="003F0749">
        <w:t>ют равное право на участие в руководстве государственными делами, а также право равного доступа к государственной службе.</w:t>
      </w:r>
    </w:p>
    <w:p w:rsidR="00DF5565" w:rsidRPr="003F0749" w:rsidRDefault="00DF5565" w:rsidP="00DF5565">
      <w:pPr>
        <w:pStyle w:val="SingleTxtGR"/>
      </w:pPr>
      <w:r w:rsidRPr="003F0749">
        <w:t>99.</w:t>
      </w:r>
      <w:r w:rsidRPr="003F0749">
        <w:tab/>
        <w:t>Закон о политических партиях запрещает дискриминацию, в частности, по религиозным и расовым признакам и гарантирует принцип равенства перед законом.</w:t>
      </w:r>
    </w:p>
    <w:p w:rsidR="00DF5565" w:rsidRPr="003F0749" w:rsidRDefault="00DF5565" w:rsidP="00DF5565">
      <w:pPr>
        <w:pStyle w:val="SingleTxtGR"/>
      </w:pPr>
      <w:r w:rsidRPr="003F0749">
        <w:t>100.</w:t>
      </w:r>
      <w:r w:rsidRPr="003F0749">
        <w:tab/>
        <w:t>После внесения изменений в законодательство о выборах в 2010</w:t>
      </w:r>
      <w:r w:rsidR="002B6A52">
        <w:t> год</w:t>
      </w:r>
      <w:r w:rsidRPr="003F0749">
        <w:t>у (З</w:t>
      </w:r>
      <w:r w:rsidRPr="003F0749">
        <w:t>а</w:t>
      </w:r>
      <w:r w:rsidRPr="003F0749">
        <w:t xml:space="preserve">кон </w:t>
      </w:r>
      <w:r w:rsidR="002B6A52">
        <w:t>№ </w:t>
      </w:r>
      <w:r w:rsidRPr="003F0749">
        <w:t>5980), были сняты запрет на использование в ходе избирательных ка</w:t>
      </w:r>
      <w:r w:rsidRPr="003F0749">
        <w:t>м</w:t>
      </w:r>
      <w:r w:rsidRPr="003F0749">
        <w:t xml:space="preserve">паний других языков как в письменной так и устной форме вместо турецкого и санкции за нарушение этого запрета. Таким образом, стало возможным вести избирательную кампанию на других языках вместо турецкого. </w:t>
      </w:r>
    </w:p>
    <w:p w:rsidR="00DF5565" w:rsidRPr="003F0749" w:rsidRDefault="00DF5565" w:rsidP="00DF5565">
      <w:pPr>
        <w:pStyle w:val="SingleTxtGR"/>
      </w:pPr>
      <w:r w:rsidRPr="003F0749">
        <w:t>101.</w:t>
      </w:r>
      <w:r w:rsidRPr="003F0749">
        <w:tab/>
        <w:t xml:space="preserve">Кроме того, чтобы обеспечить более широкое участие и </w:t>
      </w:r>
      <w:proofErr w:type="spellStart"/>
      <w:r w:rsidRPr="003F0749">
        <w:t>представле</w:t>
      </w:r>
      <w:r w:rsidRPr="003F0749">
        <w:t>н</w:t>
      </w:r>
      <w:r w:rsidRPr="003F0749">
        <w:t>ность</w:t>
      </w:r>
      <w:proofErr w:type="spellEnd"/>
      <w:r w:rsidRPr="003F0749">
        <w:t xml:space="preserve"> политических партий, правительство предлагает в своем </w:t>
      </w:r>
      <w:r w:rsidR="003F0749">
        <w:t>"</w:t>
      </w:r>
      <w:r w:rsidRPr="003F0749">
        <w:t>пакете дем</w:t>
      </w:r>
      <w:r w:rsidRPr="003F0749">
        <w:t>о</w:t>
      </w:r>
      <w:r w:rsidRPr="003F0749">
        <w:t>кратических реформ</w:t>
      </w:r>
      <w:r w:rsidR="003F0749">
        <w:t>"</w:t>
      </w:r>
      <w:r w:rsidRPr="003F0749">
        <w:t>, обнародованном 30 сентября 2013</w:t>
      </w:r>
      <w:r w:rsidR="002B6A52">
        <w:t> год</w:t>
      </w:r>
      <w:r w:rsidRPr="003F0749">
        <w:t>а: начать обсужд</w:t>
      </w:r>
      <w:r w:rsidRPr="003F0749">
        <w:t>е</w:t>
      </w:r>
      <w:r w:rsidRPr="003F0749">
        <w:t>ние вопроса о снижении в избирательных округах проходного избирательного порога для партий на парламентских выборах с 10</w:t>
      </w:r>
      <w:r w:rsidR="008D3B03">
        <w:t>%</w:t>
      </w:r>
      <w:r w:rsidRPr="003F0749">
        <w:t xml:space="preserve"> до 5</w:t>
      </w:r>
      <w:r w:rsidR="008D3B03">
        <w:t>%</w:t>
      </w:r>
      <w:r w:rsidRPr="003F0749">
        <w:t xml:space="preserve"> или ликвидации и</w:t>
      </w:r>
      <w:r w:rsidRPr="003F0749">
        <w:t>з</w:t>
      </w:r>
      <w:r w:rsidRPr="003F0749">
        <w:t>бирательного порога и принятии системы одномандатных избирательных окр</w:t>
      </w:r>
      <w:r w:rsidRPr="003F0749">
        <w:t>у</w:t>
      </w:r>
      <w:r w:rsidRPr="003F0749">
        <w:t>гов; снять ограничения на членство в политических партиях; увел</w:t>
      </w:r>
      <w:r w:rsidRPr="003F0749">
        <w:t>и</w:t>
      </w:r>
      <w:r w:rsidRPr="003F0749">
        <w:t>чить размер государственной поддержки политических партий (результаты выборов, об</w:t>
      </w:r>
      <w:r w:rsidRPr="003F0749">
        <w:t>у</w:t>
      </w:r>
      <w:r w:rsidRPr="003F0749">
        <w:t>славливающие получение помощи, должны быть снижены с 7</w:t>
      </w:r>
      <w:r w:rsidR="008D3B03">
        <w:t>%</w:t>
      </w:r>
      <w:r w:rsidRPr="003F0749">
        <w:t xml:space="preserve"> полученных г</w:t>
      </w:r>
      <w:r w:rsidRPr="003F0749">
        <w:t>о</w:t>
      </w:r>
      <w:r w:rsidRPr="003F0749">
        <w:t>лосов избирателей до 3</w:t>
      </w:r>
      <w:r w:rsidR="008D3B03">
        <w:t>%</w:t>
      </w:r>
      <w:r w:rsidRPr="003F0749">
        <w:t>); содействовать созданию местных отделений пол</w:t>
      </w:r>
      <w:r w:rsidRPr="003F0749">
        <w:t>и</w:t>
      </w:r>
      <w:r w:rsidRPr="003F0749">
        <w:t>тических партий; внедрить систему сопредседателей п</w:t>
      </w:r>
      <w:r w:rsidRPr="003F0749">
        <w:t>о</w:t>
      </w:r>
      <w:r w:rsidRPr="003F0749">
        <w:t>литических партий; разрешить политическим партиям вести любую политическую пропаганду и выдвигать своих кандидатов, а также вести агит</w:t>
      </w:r>
      <w:r w:rsidRPr="003F0749">
        <w:t>а</w:t>
      </w:r>
      <w:r w:rsidRPr="003F0749">
        <w:t>ционно-пропагандистскую кампанию на предварительных выборах на других языках и диалектах вместо турецкого языка посредством снятия оставшихся запретов, основанных соо</w:t>
      </w:r>
      <w:r w:rsidRPr="003F0749">
        <w:t>т</w:t>
      </w:r>
      <w:r w:rsidRPr="003F0749">
        <w:t xml:space="preserve">ветственно на Законе </w:t>
      </w:r>
      <w:r w:rsidR="002B6A52">
        <w:t>№ </w:t>
      </w:r>
      <w:r w:rsidRPr="003F0749">
        <w:t xml:space="preserve">298 и Законе </w:t>
      </w:r>
      <w:r w:rsidR="002B6A52">
        <w:t>№ </w:t>
      </w:r>
      <w:r w:rsidRPr="003F0749">
        <w:t xml:space="preserve">2820. </w:t>
      </w:r>
    </w:p>
    <w:p w:rsidR="00DF5565" w:rsidRPr="003F0749" w:rsidRDefault="00DF5565" w:rsidP="00DF5565">
      <w:pPr>
        <w:pStyle w:val="SingleTxtGR"/>
      </w:pPr>
      <w:r w:rsidRPr="003F0749">
        <w:t>102.</w:t>
      </w:r>
      <w:r w:rsidRPr="003F0749">
        <w:tab/>
        <w:t>Все турецкие граждане могут активно участвовать в общественной и п</w:t>
      </w:r>
      <w:r w:rsidRPr="003F0749">
        <w:t>о</w:t>
      </w:r>
      <w:r w:rsidRPr="003F0749">
        <w:t>литической жизни и в разработке и реализации затрагивающих их интересы п</w:t>
      </w:r>
      <w:r w:rsidRPr="003F0749">
        <w:t>о</w:t>
      </w:r>
      <w:r w:rsidRPr="003F0749">
        <w:t>литики и программ, действуя через гражданское общество и местные, реги</w:t>
      </w:r>
      <w:r w:rsidRPr="003F0749">
        <w:t>о</w:t>
      </w:r>
      <w:r w:rsidRPr="003F0749">
        <w:t>нальные и национальные политические рычаги и административные органы.</w:t>
      </w:r>
    </w:p>
    <w:p w:rsidR="00DF5565" w:rsidRPr="003F0749" w:rsidRDefault="00DF5565" w:rsidP="00AC5114">
      <w:pPr>
        <w:pStyle w:val="H1GR"/>
      </w:pPr>
      <w:r w:rsidRPr="003F0749">
        <w:tab/>
        <w:t>D.</w:t>
      </w:r>
      <w:r w:rsidRPr="003F0749">
        <w:tab/>
        <w:t xml:space="preserve">Прочие гражданские права </w:t>
      </w:r>
    </w:p>
    <w:p w:rsidR="00DF5565" w:rsidRPr="003F0749" w:rsidRDefault="00DF5565" w:rsidP="00DF5565">
      <w:pPr>
        <w:pStyle w:val="SingleTxtGR"/>
      </w:pPr>
      <w:r w:rsidRPr="003F0749">
        <w:t>103.</w:t>
      </w:r>
      <w:r w:rsidRPr="003F0749">
        <w:tab/>
        <w:t>В соответствии со статьей 5(</w:t>
      </w:r>
      <w:proofErr w:type="spellStart"/>
      <w:r w:rsidRPr="003F0749">
        <w:t>d</w:t>
      </w:r>
      <w:proofErr w:type="spellEnd"/>
      <w:r w:rsidRPr="003F0749">
        <w:t>) государства обязаны обеспечить равное осуществление ряда прав человека и основных свобод, включая право на св</w:t>
      </w:r>
      <w:r w:rsidRPr="003F0749">
        <w:t>о</w:t>
      </w:r>
      <w:r w:rsidRPr="003F0749">
        <w:t>боду передвижения и проживания в пределах государства, право покидать и возвращаться в свою страну, право на гражданство, право на вступление в брак и на выбор супруга, право на владение имуществом, как единолично, так и с</w:t>
      </w:r>
      <w:r w:rsidRPr="003F0749">
        <w:t>о</w:t>
      </w:r>
      <w:r w:rsidRPr="003F0749">
        <w:t>вместно с другими, право наследования, право на свободу мысли, совести и р</w:t>
      </w:r>
      <w:r w:rsidRPr="003F0749">
        <w:t>е</w:t>
      </w:r>
      <w:r w:rsidRPr="003F0749">
        <w:t>лигии, право на свободу убеждений и свободное выражение их и право на св</w:t>
      </w:r>
      <w:r w:rsidRPr="003F0749">
        <w:t>о</w:t>
      </w:r>
      <w:r w:rsidRPr="003F0749">
        <w:t xml:space="preserve">боду мирных собраний и ассоциаций. Эти права гарантируются Конституцией и соответствующими законами без всяких различий по признакам расы, цвета кожи или любых других обстоятельств. </w:t>
      </w:r>
    </w:p>
    <w:p w:rsidR="00DF5565" w:rsidRPr="003F0749" w:rsidRDefault="00DF5565" w:rsidP="00AC5114">
      <w:pPr>
        <w:pStyle w:val="H1GR"/>
      </w:pPr>
      <w:r w:rsidRPr="003F0749">
        <w:tab/>
        <w:t>E.</w:t>
      </w:r>
      <w:r w:rsidRPr="003F0749">
        <w:tab/>
        <w:t>Экономические, социальные и культурные права</w:t>
      </w:r>
    </w:p>
    <w:p w:rsidR="00DF5565" w:rsidRPr="003F0749" w:rsidRDefault="00DF5565" w:rsidP="00AC5114">
      <w:pPr>
        <w:pStyle w:val="H23GR"/>
      </w:pPr>
      <w:r w:rsidRPr="003F0749">
        <w:tab/>
        <w:t>1.</w:t>
      </w:r>
      <w:r w:rsidRPr="003F0749">
        <w:tab/>
        <w:t>Право на труд</w:t>
      </w:r>
    </w:p>
    <w:p w:rsidR="00DF5565" w:rsidRPr="003F0749" w:rsidRDefault="00DF5565" w:rsidP="00DF5565">
      <w:pPr>
        <w:pStyle w:val="SingleTxtGR"/>
      </w:pPr>
      <w:r w:rsidRPr="003F0749">
        <w:t>104.</w:t>
      </w:r>
      <w:r w:rsidRPr="003F0749">
        <w:tab/>
        <w:t xml:space="preserve">Конституция гарантирует право на труд. Статья 5 Закона </w:t>
      </w:r>
      <w:r w:rsidR="002B6A52">
        <w:t>№ </w:t>
      </w:r>
      <w:r w:rsidRPr="003F0749">
        <w:t>4857 о тр</w:t>
      </w:r>
      <w:r w:rsidRPr="003F0749">
        <w:t>у</w:t>
      </w:r>
      <w:r w:rsidRPr="003F0749">
        <w:t xml:space="preserve">де, озаглавленная </w:t>
      </w:r>
      <w:r w:rsidR="003F0749">
        <w:t>"</w:t>
      </w:r>
      <w:r w:rsidRPr="003F0749">
        <w:t xml:space="preserve"> Принципы равного обращения</w:t>
      </w:r>
      <w:r w:rsidR="003F0749">
        <w:t>"</w:t>
      </w:r>
      <w:r w:rsidRPr="003F0749">
        <w:t xml:space="preserve"> запрещает дискриминацию по признакам языка, расы, пола, политических убеждений, философских взгл</w:t>
      </w:r>
      <w:r w:rsidRPr="003F0749">
        <w:t>я</w:t>
      </w:r>
      <w:r w:rsidRPr="003F0749">
        <w:t>дов, религии, конфессиональной принадлежности и аналогичных признаков в сфере трудовых отношений</w:t>
      </w:r>
      <w:r w:rsidR="002B6A52">
        <w:t>. В </w:t>
      </w:r>
      <w:r w:rsidRPr="003F0749">
        <w:t>случае нарушения положений этой статьи работник может требовать восстановления своих нарушенных прав в дополнение к на</w:t>
      </w:r>
      <w:r w:rsidRPr="003F0749">
        <w:t>д</w:t>
      </w:r>
      <w:r w:rsidRPr="003F0749">
        <w:t>лежащей компенсации, равной четырехмесячному заработку</w:t>
      </w:r>
      <w:r w:rsidR="002B6A52">
        <w:t>. В </w:t>
      </w:r>
      <w:r w:rsidRPr="003F0749">
        <w:t>статье 18 З</w:t>
      </w:r>
      <w:r w:rsidRPr="003F0749">
        <w:t>а</w:t>
      </w:r>
      <w:r w:rsidRPr="003F0749">
        <w:t>кона о труде, касающейся условий прекращения трудовых договоров, прямо указ</w:t>
      </w:r>
      <w:r w:rsidRPr="003F0749">
        <w:t>ы</w:t>
      </w:r>
      <w:r w:rsidRPr="003F0749">
        <w:t>вается, что раса, цвет кожи, пол, состояние в браке, семейные обязанности, б</w:t>
      </w:r>
      <w:r w:rsidRPr="003F0749">
        <w:t>е</w:t>
      </w:r>
      <w:r w:rsidRPr="003F0749">
        <w:t>ременность, отпуск по беременности и родам, религия, политические убежд</w:t>
      </w:r>
      <w:r w:rsidRPr="003F0749">
        <w:t>е</w:t>
      </w:r>
      <w:r w:rsidRPr="003F0749">
        <w:t>ния и аналогичные причины</w:t>
      </w:r>
      <w:r w:rsidR="002B6A52">
        <w:t xml:space="preserve"> </w:t>
      </w:r>
      <w:r w:rsidRPr="003F0749">
        <w:t>не являются законным основанием для такого пр</w:t>
      </w:r>
      <w:r w:rsidRPr="003F0749">
        <w:t>е</w:t>
      </w:r>
      <w:r w:rsidRPr="003F0749">
        <w:t>кращения.</w:t>
      </w:r>
    </w:p>
    <w:p w:rsidR="00DF5565" w:rsidRPr="003F0749" w:rsidRDefault="00DF5565" w:rsidP="00DF5565">
      <w:pPr>
        <w:pStyle w:val="SingleTxtGR"/>
      </w:pPr>
      <w:r w:rsidRPr="003F0749">
        <w:t>105.</w:t>
      </w:r>
      <w:r w:rsidRPr="003F0749">
        <w:tab/>
        <w:t>В Турции не проводится различий, исключений, ограничений или пре</w:t>
      </w:r>
      <w:r w:rsidRPr="003F0749">
        <w:t>д</w:t>
      </w:r>
      <w:r w:rsidRPr="003F0749">
        <w:t>почтений, как в законодательстве, так и в реальной жизни, в отношении каких-либо лиц или группы лиц по признакам расы, цвета кожи, пола, религии, пол</w:t>
      </w:r>
      <w:r w:rsidRPr="003F0749">
        <w:t>и</w:t>
      </w:r>
      <w:r w:rsidRPr="003F0749">
        <w:t>тических убеждений, гражданства или социального происхождения, которые отменяли бы или умоляли бы признание, осуществление или пользование ра</w:t>
      </w:r>
      <w:r w:rsidRPr="003F0749">
        <w:t>в</w:t>
      </w:r>
      <w:r w:rsidRPr="003F0749">
        <w:t>ными возможностями/обращением в области занятости или занятий.</w:t>
      </w:r>
    </w:p>
    <w:p w:rsidR="00DF5565" w:rsidRPr="003F0749" w:rsidRDefault="00DF5565" w:rsidP="00DF5565">
      <w:pPr>
        <w:pStyle w:val="SingleTxtGR"/>
      </w:pPr>
      <w:r w:rsidRPr="003F0749">
        <w:t>106.</w:t>
      </w:r>
      <w:r w:rsidRPr="003F0749">
        <w:tab/>
        <w:t>Кроме того, жалобы на предполагаемую дискриминацию могу напра</w:t>
      </w:r>
      <w:r w:rsidRPr="003F0749">
        <w:t>в</w:t>
      </w:r>
      <w:r w:rsidRPr="003F0749">
        <w:t>ляться в Совет по проверке условий труда министерства труда и социальной защиты.</w:t>
      </w:r>
    </w:p>
    <w:p w:rsidR="00DF5565" w:rsidRPr="003F0749" w:rsidRDefault="00DF5565" w:rsidP="00DF5565">
      <w:pPr>
        <w:pStyle w:val="SingleTxtGR"/>
      </w:pPr>
      <w:r w:rsidRPr="003F0749">
        <w:t>107.</w:t>
      </w:r>
      <w:r w:rsidRPr="003F0749">
        <w:tab/>
        <w:t>В отчетный период в июне 2012</w:t>
      </w:r>
      <w:r w:rsidR="002B6A52">
        <w:t> год</w:t>
      </w:r>
      <w:r w:rsidRPr="003F0749">
        <w:t>а был принят новый Закон о технике безопасности и охране труда (</w:t>
      </w:r>
      <w:r w:rsidR="002B6A52">
        <w:t>№ </w:t>
      </w:r>
      <w:r w:rsidRPr="003F0749">
        <w:t xml:space="preserve">6331) в соответствии с Конвенциями МОТ </w:t>
      </w:r>
      <w:r w:rsidR="002B6A52">
        <w:t>№ </w:t>
      </w:r>
      <w:r w:rsidRPr="003F0749">
        <w:t>155 и 161. Кроме того, в настоящее время готовятся новые подзаконные а</w:t>
      </w:r>
      <w:r w:rsidRPr="003F0749">
        <w:t>к</w:t>
      </w:r>
      <w:r w:rsidRPr="003F0749">
        <w:t>ты, вводящие в действие указанный Закон, и пересматриваются предыдущие акты. Одной из наиболее важных новелл нового Закона является то, что он о</w:t>
      </w:r>
      <w:r w:rsidRPr="003F0749">
        <w:t>х</w:t>
      </w:r>
      <w:r w:rsidRPr="003F0749">
        <w:t>ватывает работников всех предприятий. Все работники пользуются услугами медицинских служб и служб техники безопасности на производстве без каких-либо ограничений и независимо от вида труда. Иностранные рабочие или тр</w:t>
      </w:r>
      <w:r w:rsidRPr="003F0749">
        <w:t>у</w:t>
      </w:r>
      <w:r w:rsidRPr="003F0749">
        <w:t xml:space="preserve">дящиеся-мигранты также подпадают под действие этого Закона. </w:t>
      </w:r>
    </w:p>
    <w:p w:rsidR="00DF5565" w:rsidRPr="003F0749" w:rsidRDefault="00DF5565" w:rsidP="00AC5114">
      <w:pPr>
        <w:pStyle w:val="H23GR"/>
      </w:pPr>
      <w:r w:rsidRPr="003F0749">
        <w:tab/>
        <w:t>2.</w:t>
      </w:r>
      <w:r w:rsidRPr="003F0749">
        <w:tab/>
        <w:t xml:space="preserve">Право создавать профсоюзы и вступать в них </w:t>
      </w:r>
    </w:p>
    <w:p w:rsidR="00DF5565" w:rsidRPr="003F0749" w:rsidRDefault="00DF5565" w:rsidP="00DF5565">
      <w:pPr>
        <w:pStyle w:val="SingleTxtGR"/>
      </w:pPr>
      <w:r w:rsidRPr="003F0749">
        <w:t>108.</w:t>
      </w:r>
      <w:r w:rsidRPr="003F0749">
        <w:tab/>
        <w:t xml:space="preserve">Конституция гарантирует право создавать профсоюзы и вести переговоры о заключении коллективных договоров. </w:t>
      </w:r>
    </w:p>
    <w:p w:rsidR="00DF5565" w:rsidRPr="003F0749" w:rsidRDefault="00DF5565" w:rsidP="00DF5565">
      <w:pPr>
        <w:pStyle w:val="SingleTxtGR"/>
      </w:pPr>
      <w:r w:rsidRPr="003F0749">
        <w:t>109.</w:t>
      </w:r>
      <w:r w:rsidRPr="003F0749">
        <w:tab/>
        <w:t>В отчетный период вступили в силу Закон о профессиональных союзах и коллективных соглашениях и Закон, вносящий поправки в Закон о професси</w:t>
      </w:r>
      <w:r w:rsidRPr="003F0749">
        <w:t>о</w:t>
      </w:r>
      <w:r w:rsidRPr="003F0749">
        <w:t>нальных союзах гражданских служащих, цель которых состоит в том, чтобы о</w:t>
      </w:r>
      <w:r w:rsidRPr="003F0749">
        <w:t>т</w:t>
      </w:r>
      <w:r w:rsidRPr="003F0749">
        <w:t xml:space="preserve">разить поправки к конституционным правам профсоюзов в соответствующих законах. Эти законы существенно расширяют права профсоюзов. </w:t>
      </w:r>
    </w:p>
    <w:p w:rsidR="00DF5565" w:rsidRPr="003F0749" w:rsidRDefault="00DF5565" w:rsidP="00DF5565">
      <w:pPr>
        <w:pStyle w:val="SingleTxtGR"/>
      </w:pPr>
      <w:r w:rsidRPr="003F0749">
        <w:t>110.</w:t>
      </w:r>
      <w:r w:rsidRPr="003F0749">
        <w:tab/>
        <w:t xml:space="preserve">Закон </w:t>
      </w:r>
      <w:r w:rsidR="002B6A52">
        <w:t>№ </w:t>
      </w:r>
      <w:r w:rsidRPr="003F0749">
        <w:t>6356 о профессиональных союзах и коллективных соглашениях упростил формирование профсоюзных органов и порядок создания профсо</w:t>
      </w:r>
      <w:r w:rsidRPr="003F0749">
        <w:t>ю</w:t>
      </w:r>
      <w:r w:rsidRPr="003F0749">
        <w:t>зов, а также отменил условие, согласно которому основатели профсоюзов должны иметь турецкое гражданство и владеть турецким языком.</w:t>
      </w:r>
    </w:p>
    <w:p w:rsidR="00DF5565" w:rsidRPr="003F0749" w:rsidRDefault="00DF5565" w:rsidP="00AC5114">
      <w:pPr>
        <w:pStyle w:val="H23GR"/>
      </w:pPr>
      <w:r w:rsidRPr="003F0749">
        <w:tab/>
        <w:t>3.</w:t>
      </w:r>
      <w:r w:rsidRPr="003F0749">
        <w:tab/>
        <w:t>Право на жилище</w:t>
      </w:r>
    </w:p>
    <w:p w:rsidR="00DF5565" w:rsidRPr="003F0749" w:rsidRDefault="00DF5565" w:rsidP="00DF5565">
      <w:pPr>
        <w:pStyle w:val="SingleTxtGR"/>
      </w:pPr>
      <w:r w:rsidRPr="003F0749">
        <w:t>111.</w:t>
      </w:r>
      <w:r w:rsidRPr="003F0749">
        <w:tab/>
        <w:t>В статье 57 Конституции говорится, что государство принимает меры для удовлетворения потребностей в жилье, руководствуясь планом, в котором уч</w:t>
      </w:r>
      <w:r w:rsidRPr="003F0749">
        <w:t>и</w:t>
      </w:r>
      <w:r w:rsidRPr="003F0749">
        <w:t>тываются особенности городов и условия окружающей среды и который по</w:t>
      </w:r>
      <w:r w:rsidRPr="003F0749">
        <w:t>д</w:t>
      </w:r>
      <w:r w:rsidRPr="003F0749">
        <w:t>держивает общинные проекты жилищного строительства.</w:t>
      </w:r>
    </w:p>
    <w:p w:rsidR="00DF5565" w:rsidRPr="003F0749" w:rsidRDefault="00DF5565" w:rsidP="00DF5565">
      <w:pPr>
        <w:pStyle w:val="SingleTxtGR"/>
      </w:pPr>
      <w:r w:rsidRPr="003F0749">
        <w:t>112.</w:t>
      </w:r>
      <w:r w:rsidRPr="003F0749">
        <w:tab/>
        <w:t>Осуществляется проект строительства социального жилья, призванный удовлетворить потребности в жилье социально неблагополучных групп и мал</w:t>
      </w:r>
      <w:r w:rsidRPr="003F0749">
        <w:t>о</w:t>
      </w:r>
      <w:r w:rsidRPr="003F0749">
        <w:t>имущих слоев населения, который реализуется на основе сотрудничества Ген</w:t>
      </w:r>
      <w:r w:rsidRPr="003F0749">
        <w:t>е</w:t>
      </w:r>
      <w:r w:rsidRPr="003F0749">
        <w:t>рального директората социальной помощи министерства по делам семьи и с</w:t>
      </w:r>
      <w:r w:rsidRPr="003F0749">
        <w:t>о</w:t>
      </w:r>
      <w:r w:rsidRPr="003F0749">
        <w:t>циальной политике и Администрация жилищного строительства Турции (ТОКИ) (ТОКИ, Администрация жилищного строительства Турции является головным органом, отвечающим за жилищную политику и застройку, который обеспечивает финансирование и выделение земельных участков под строител</w:t>
      </w:r>
      <w:r w:rsidRPr="003F0749">
        <w:t>ь</w:t>
      </w:r>
      <w:r w:rsidRPr="003F0749">
        <w:t>ство и выступает в качестве посредника на местном уровне в связи с удовл</w:t>
      </w:r>
      <w:r w:rsidRPr="003F0749">
        <w:t>е</w:t>
      </w:r>
      <w:r w:rsidRPr="003F0749">
        <w:t>творением острых потребностей общества в жилье). По линии этого проекта можно приобрести двух и трехквартирные дома, выплачивая ежемесячные взносы в размере 100 турецких лир (менее 50 долларов США) в течение 270</w:t>
      </w:r>
      <w:r w:rsidR="00AC5114">
        <w:t> </w:t>
      </w:r>
      <w:r w:rsidRPr="003F0749">
        <w:t>месяцев</w:t>
      </w:r>
      <w:r w:rsidR="002B6A52">
        <w:t>. В </w:t>
      </w:r>
      <w:r w:rsidRPr="003F0749">
        <w:t>связи с этим к концу 2012</w:t>
      </w:r>
      <w:r w:rsidR="002B6A52">
        <w:t> год</w:t>
      </w:r>
      <w:r w:rsidRPr="003F0749">
        <w:t>а было построено 12</w:t>
      </w:r>
      <w:r w:rsidR="00AC5114">
        <w:t> </w:t>
      </w:r>
      <w:r w:rsidRPr="003F0749">
        <w:t>000</w:t>
      </w:r>
      <w:r w:rsidR="00AC5114">
        <w:t> </w:t>
      </w:r>
      <w:r w:rsidRPr="003F0749">
        <w:t>домов; был также подписан протокол о строительстве 40</w:t>
      </w:r>
      <w:r w:rsidR="00AC5114">
        <w:t> </w:t>
      </w:r>
      <w:r w:rsidRPr="003F0749">
        <w:t>000</w:t>
      </w:r>
      <w:r w:rsidR="00AC5114">
        <w:t> </w:t>
      </w:r>
      <w:r w:rsidRPr="003F0749">
        <w:t>домов, и для этого была проведена необходимая планировка. Поставлена цель до 2023</w:t>
      </w:r>
      <w:r w:rsidR="002B6A52">
        <w:t> год</w:t>
      </w:r>
      <w:r w:rsidRPr="003F0749">
        <w:t>а построить 100</w:t>
      </w:r>
      <w:r w:rsidR="00AC5114">
        <w:t> </w:t>
      </w:r>
      <w:r w:rsidRPr="003F0749">
        <w:t xml:space="preserve">000 домов. </w:t>
      </w:r>
    </w:p>
    <w:p w:rsidR="00DF5565" w:rsidRPr="003F0749" w:rsidRDefault="00DF5565" w:rsidP="00DF5565">
      <w:pPr>
        <w:pStyle w:val="SingleTxtGR"/>
      </w:pPr>
      <w:r w:rsidRPr="003F0749">
        <w:t>113.</w:t>
      </w:r>
      <w:r w:rsidRPr="003F0749">
        <w:tab/>
        <w:t>Программа социального жилья реализуется также в провинциях, где зн</w:t>
      </w:r>
      <w:r w:rsidRPr="003F0749">
        <w:t>а</w:t>
      </w:r>
      <w:r w:rsidRPr="003F0749">
        <w:t>чительную часть населения составляют рома и где удовлетворяются их потре</w:t>
      </w:r>
      <w:r w:rsidRPr="003F0749">
        <w:t>б</w:t>
      </w:r>
      <w:r w:rsidRPr="003F0749">
        <w:t>ности в жилье. Кроме того, продолжается работа в пригородах и малых городах, где проживает значительная часть населения рома. По состоянию на ноябрь 2013</w:t>
      </w:r>
      <w:r w:rsidR="002B6A52">
        <w:t> год</w:t>
      </w:r>
      <w:r w:rsidRPr="003F0749">
        <w:t>а в районах, где проживает большое количество рома, в общей сложн</w:t>
      </w:r>
      <w:r w:rsidRPr="003F0749">
        <w:t>о</w:t>
      </w:r>
      <w:r w:rsidRPr="003F0749">
        <w:t>сти было построено 1</w:t>
      </w:r>
      <w:r w:rsidR="00AC5114">
        <w:t> </w:t>
      </w:r>
      <w:r w:rsidRPr="003F0749">
        <w:t>856 домов. Кроме того, в этих районах строится еще 2</w:t>
      </w:r>
      <w:r w:rsidR="00AC5114">
        <w:t> </w:t>
      </w:r>
      <w:r w:rsidRPr="003F0749">
        <w:t>088</w:t>
      </w:r>
      <w:r w:rsidR="00AC5114">
        <w:t> </w:t>
      </w:r>
      <w:r w:rsidRPr="003F0749">
        <w:t xml:space="preserve">домов. </w:t>
      </w:r>
    </w:p>
    <w:p w:rsidR="00DF5565" w:rsidRPr="003F0749" w:rsidRDefault="00DF5565" w:rsidP="00DF5565">
      <w:pPr>
        <w:pStyle w:val="SingleTxtGR"/>
      </w:pPr>
      <w:r w:rsidRPr="003F0749">
        <w:t>114.</w:t>
      </w:r>
      <w:r w:rsidRPr="003F0749">
        <w:tab/>
        <w:t>Идеология расовой дискриминации среди тех, кто сдает в аренду или продает дома или квартиры, чужда турецкому обществу.</w:t>
      </w:r>
    </w:p>
    <w:p w:rsidR="00DF5565" w:rsidRPr="003F0749" w:rsidRDefault="00DF5565" w:rsidP="00AC5114">
      <w:pPr>
        <w:pStyle w:val="H23GR"/>
      </w:pPr>
      <w:r w:rsidRPr="003F0749">
        <w:tab/>
        <w:t>4.</w:t>
      </w:r>
      <w:r w:rsidRPr="003F0749">
        <w:tab/>
        <w:t>Право на здравоохранение, медицинскую помощь, социальное обеспечение и социальное обслуживание</w:t>
      </w:r>
    </w:p>
    <w:p w:rsidR="00DF5565" w:rsidRPr="00E2084F" w:rsidRDefault="00DF5565" w:rsidP="00E2084F">
      <w:pPr>
        <w:pStyle w:val="H4GR"/>
        <w:spacing w:before="240"/>
        <w:ind w:left="1156" w:right="1179" w:hanging="1145"/>
      </w:pPr>
      <w:r w:rsidRPr="00E2084F">
        <w:tab/>
      </w:r>
      <w:r w:rsidRPr="00E2084F">
        <w:tab/>
        <w:t>Конституция гарантирует право на здоровье и право на социальное обеспечение.</w:t>
      </w:r>
    </w:p>
    <w:p w:rsidR="00DF5565" w:rsidRPr="003F0749" w:rsidRDefault="00DF5565" w:rsidP="00DF5565">
      <w:pPr>
        <w:pStyle w:val="SingleTxtGR"/>
      </w:pPr>
      <w:r w:rsidRPr="003F0749">
        <w:t>115.</w:t>
      </w:r>
      <w:r w:rsidRPr="003F0749">
        <w:tab/>
        <w:t>В рамках реформирования системы социального обеспечения была вн</w:t>
      </w:r>
      <w:r w:rsidRPr="003F0749">
        <w:t>е</w:t>
      </w:r>
      <w:r w:rsidRPr="003F0749">
        <w:t>дрена система всеобщего медицинского страхования. Согласно новому Закону о социальном страховании и всеобщем медицинском страховании (</w:t>
      </w:r>
      <w:r w:rsidR="002B6A52">
        <w:t>№ </w:t>
      </w:r>
      <w:r w:rsidRPr="003F0749">
        <w:t>5510), кот</w:t>
      </w:r>
      <w:r w:rsidRPr="003F0749">
        <w:t>о</w:t>
      </w:r>
      <w:r w:rsidRPr="003F0749">
        <w:t>рый вступил в силу в 2008</w:t>
      </w:r>
      <w:r w:rsidR="002B6A52">
        <w:t> год</w:t>
      </w:r>
      <w:r w:rsidRPr="003F0749">
        <w:t>у, страховые взносы лиц без гражданства, прос</w:t>
      </w:r>
      <w:r w:rsidRPr="003F0749">
        <w:t>и</w:t>
      </w:r>
      <w:r w:rsidRPr="003F0749">
        <w:t>телей убежища и беженцев оплачивает государство, а поэтому считается, что они охвачены системой всеобщего медицинского страхования. Новый Закон еще сильнее содействует эффективному осуществлению права на здоровье и права на социальное обеспечение всех проживающих в Турции лиц, не охв</w:t>
      </w:r>
      <w:r w:rsidRPr="003F0749">
        <w:t>а</w:t>
      </w:r>
      <w:r w:rsidRPr="003F0749">
        <w:t xml:space="preserve">ченных системой социального страхования. </w:t>
      </w:r>
    </w:p>
    <w:p w:rsidR="00DF5565" w:rsidRPr="003F0749" w:rsidRDefault="00DF5565" w:rsidP="00DF5565">
      <w:pPr>
        <w:pStyle w:val="SingleTxtGR"/>
      </w:pPr>
      <w:r w:rsidRPr="003F0749">
        <w:t>116.</w:t>
      </w:r>
      <w:r w:rsidRPr="003F0749">
        <w:tab/>
        <w:t>Кроме того, в целях установления, какую помощь и другие льготы (нат</w:t>
      </w:r>
      <w:r w:rsidRPr="003F0749">
        <w:t>у</w:t>
      </w:r>
      <w:r w:rsidRPr="003F0749">
        <w:t>ральные или денежные, предоставляемые фондами социальной помощи и сол</w:t>
      </w:r>
      <w:r w:rsidRPr="003F0749">
        <w:t>и</w:t>
      </w:r>
      <w:r w:rsidRPr="003F0749">
        <w:t>дарности) получат беженцы/просители убежища, которые не подпадают под действие Закона о всеобщем медицинском страховании, в 2009</w:t>
      </w:r>
      <w:r w:rsidR="002B6A52">
        <w:t> год</w:t>
      </w:r>
      <w:r w:rsidRPr="003F0749">
        <w:t>у был издан Циркуляр о Фонде социальной помощи и солидарности. Циркуляр был издан с целью приведения к единым стандартам различной практики, применяемой в провинциях.</w:t>
      </w:r>
    </w:p>
    <w:p w:rsidR="00DF5565" w:rsidRPr="003F0749" w:rsidRDefault="00DF5565" w:rsidP="00DF5565">
      <w:pPr>
        <w:pStyle w:val="SingleTxtGR"/>
      </w:pPr>
      <w:r w:rsidRPr="003F0749">
        <w:t>117.</w:t>
      </w:r>
      <w:r w:rsidRPr="003F0749">
        <w:tab/>
        <w:t>Чтобы обеспечить единообразие практики и координацию необходимых мер с соответствующими ведомствами в связи с приемом и размещением в с</w:t>
      </w:r>
      <w:r w:rsidRPr="003F0749">
        <w:t>о</w:t>
      </w:r>
      <w:r w:rsidRPr="003F0749">
        <w:t>циальных учреждениях несопровождаемых детей, престарелых и лиц с огран</w:t>
      </w:r>
      <w:r w:rsidRPr="003F0749">
        <w:t>и</w:t>
      </w:r>
      <w:r w:rsidRPr="003F0749">
        <w:t>ченными возможностями, ходатайствующих о предоставлении убежища, 24</w:t>
      </w:r>
      <w:r w:rsidR="008D3B03">
        <w:t> </w:t>
      </w:r>
      <w:r w:rsidRPr="003F0749">
        <w:t>марта 2010</w:t>
      </w:r>
      <w:r w:rsidR="002B6A52">
        <w:t> год</w:t>
      </w:r>
      <w:r w:rsidRPr="003F0749">
        <w:t>а Генеральный директорат социального обслуживания и У</w:t>
      </w:r>
      <w:r w:rsidRPr="003F0749">
        <w:t>ч</w:t>
      </w:r>
      <w:r w:rsidRPr="003F0749">
        <w:t xml:space="preserve">реждение по защите детей опубликовали и воплотили в жизнь Циркуляр </w:t>
      </w:r>
      <w:r w:rsidR="002B6A52">
        <w:t>№ </w:t>
      </w:r>
      <w:r w:rsidRPr="003F0749">
        <w:t>2010/03.</w:t>
      </w:r>
    </w:p>
    <w:p w:rsidR="00DF5565" w:rsidRPr="003F0749" w:rsidRDefault="00DF5565" w:rsidP="00AC5114">
      <w:pPr>
        <w:pStyle w:val="H23GR"/>
      </w:pPr>
      <w:r w:rsidRPr="003F0749">
        <w:tab/>
        <w:t>5.</w:t>
      </w:r>
      <w:r w:rsidRPr="003F0749">
        <w:tab/>
        <w:t>Право на образование и профессиональную подготовку</w:t>
      </w:r>
    </w:p>
    <w:p w:rsidR="00DF5565" w:rsidRPr="003F0749" w:rsidRDefault="00DF5565" w:rsidP="00DF5565">
      <w:pPr>
        <w:pStyle w:val="SingleTxtGR"/>
      </w:pPr>
      <w:r w:rsidRPr="003F0749">
        <w:t>118.</w:t>
      </w:r>
      <w:r w:rsidRPr="003F0749">
        <w:tab/>
        <w:t>Система образования Турции основывается на статье 42 Конституции, в которой говорится, что никто не может быть лишен права на обучение и обр</w:t>
      </w:r>
      <w:r w:rsidRPr="003F0749">
        <w:t>а</w:t>
      </w:r>
      <w:r w:rsidRPr="003F0749">
        <w:t xml:space="preserve">зование и что начальное образование в государственных школах всех граждан обоего пола является обязательным и бесплатным. </w:t>
      </w:r>
    </w:p>
    <w:p w:rsidR="00DF5565" w:rsidRPr="003F0749" w:rsidRDefault="00DF5565" w:rsidP="00DF5565">
      <w:pPr>
        <w:pStyle w:val="SingleTxtGR"/>
      </w:pPr>
      <w:r w:rsidRPr="003F0749">
        <w:t>119.</w:t>
      </w:r>
      <w:r w:rsidRPr="003F0749">
        <w:tab/>
        <w:t>В статье 4 Основного закона о национальном образовании говорится, что учебные заведения открыты для всех независимо от языка, расы, пола или р</w:t>
      </w:r>
      <w:r w:rsidRPr="003F0749">
        <w:t>е</w:t>
      </w:r>
      <w:r w:rsidRPr="003F0749">
        <w:t>лигии. Никакое физическое лицо, семья, группа или класс при этом не получ</w:t>
      </w:r>
      <w:r w:rsidRPr="003F0749">
        <w:t>а</w:t>
      </w:r>
      <w:r w:rsidRPr="003F0749">
        <w:t>ют никаких привилегий</w:t>
      </w:r>
      <w:r w:rsidR="002B6A52">
        <w:t>. В </w:t>
      </w:r>
      <w:r w:rsidRPr="003F0749">
        <w:t>Законе о высшем образовании также говорится, что все учебные заведения открыты для всех и что для обеспечения равных во</w:t>
      </w:r>
      <w:r w:rsidRPr="003F0749">
        <w:t>з</w:t>
      </w:r>
      <w:r w:rsidRPr="003F0749">
        <w:t>можностей принимаются все необходимые меры.</w:t>
      </w:r>
    </w:p>
    <w:p w:rsidR="00DF5565" w:rsidRPr="003F0749" w:rsidRDefault="00DF5565" w:rsidP="00DF5565">
      <w:pPr>
        <w:pStyle w:val="SingleTxtGR"/>
      </w:pPr>
      <w:r w:rsidRPr="003F0749">
        <w:t>120.</w:t>
      </w:r>
      <w:r w:rsidRPr="003F0749">
        <w:tab/>
        <w:t>Основа политики Турции в области образования состоит в том, чтобы все граждане независимо от языка, расы, цвета кожи, пола, политических убежд</w:t>
      </w:r>
      <w:r w:rsidRPr="003F0749">
        <w:t>е</w:t>
      </w:r>
      <w:r w:rsidRPr="003F0749">
        <w:t>ний и философских взглядов, религии или конфессиональной принадлежности осуществляли свое право на образование в соответствии с современными нау</w:t>
      </w:r>
      <w:r w:rsidRPr="003F0749">
        <w:t>ч</w:t>
      </w:r>
      <w:r w:rsidRPr="003F0749">
        <w:t>ными знаниями и системой образования на основе равноправия и равных во</w:t>
      </w:r>
      <w:r w:rsidRPr="003F0749">
        <w:t>з</w:t>
      </w:r>
      <w:r w:rsidRPr="003F0749">
        <w:t xml:space="preserve">можностей. </w:t>
      </w:r>
    </w:p>
    <w:p w:rsidR="00DF5565" w:rsidRPr="003F0749" w:rsidRDefault="00DF5565" w:rsidP="00DF5565">
      <w:pPr>
        <w:pStyle w:val="SingleTxtGR"/>
      </w:pPr>
      <w:r w:rsidRPr="003F0749">
        <w:t>121.</w:t>
      </w:r>
      <w:r w:rsidRPr="003F0749">
        <w:tab/>
        <w:t>В 1998</w:t>
      </w:r>
      <w:r w:rsidR="002B6A52">
        <w:t> год</w:t>
      </w:r>
      <w:r w:rsidRPr="003F0749">
        <w:t>у продолжительность обязательного начального образования была увеличена до 8 лет, что в свою очередь повлекло увеличение набора уч</w:t>
      </w:r>
      <w:r w:rsidRPr="003F0749">
        <w:t>а</w:t>
      </w:r>
      <w:r w:rsidRPr="003F0749">
        <w:t>щихся в начальные школы. Принятое в 2012</w:t>
      </w:r>
      <w:r w:rsidR="002B6A52">
        <w:t> год</w:t>
      </w:r>
      <w:r w:rsidRPr="003F0749">
        <w:t>у новое законодательство ув</w:t>
      </w:r>
      <w:r w:rsidRPr="003F0749">
        <w:t>е</w:t>
      </w:r>
      <w:r w:rsidRPr="003F0749">
        <w:t>личивает продолжительность обязательного начального образования до 12 лет.</w:t>
      </w:r>
    </w:p>
    <w:p w:rsidR="00DF5565" w:rsidRPr="003F0749" w:rsidRDefault="00DF5565" w:rsidP="00DF5565">
      <w:pPr>
        <w:pStyle w:val="SingleTxtGR"/>
      </w:pPr>
      <w:r w:rsidRPr="003F0749">
        <w:t>122.</w:t>
      </w:r>
      <w:r w:rsidRPr="003F0749">
        <w:tab/>
        <w:t>Статистические данные об охвате образованием и посещаемости контр</w:t>
      </w:r>
      <w:r w:rsidRPr="003F0749">
        <w:t>о</w:t>
      </w:r>
      <w:r w:rsidRPr="003F0749">
        <w:t>лируются посредством электронной школьной базы данных, а поэтому случаи, когда дети не посещают школу и бросают учебу, можно легко обнаружить. Сл</w:t>
      </w:r>
      <w:r w:rsidRPr="003F0749">
        <w:t>у</w:t>
      </w:r>
      <w:r w:rsidRPr="003F0749">
        <w:t xml:space="preserve">чаи, когда учащиеся бросают учебу, отслеживаются, причем в дополнение к этому профилактика таких случаев поддерживается такими проектами, как </w:t>
      </w:r>
      <w:r w:rsidR="003F0749">
        <w:t>"</w:t>
      </w:r>
      <w:r w:rsidRPr="003F0749">
        <w:t>Ну</w:t>
      </w:r>
      <w:r w:rsidR="00AC5114">
        <w:t>, </w:t>
      </w:r>
      <w:r w:rsidRPr="003F0749">
        <w:t>девочки, пойдем в школу</w:t>
      </w:r>
      <w:r w:rsidR="003F0749">
        <w:t>"</w:t>
      </w:r>
      <w:r w:rsidRPr="003F0749">
        <w:t xml:space="preserve">, </w:t>
      </w:r>
      <w:r w:rsidR="003F0749">
        <w:t>"</w:t>
      </w:r>
      <w:r w:rsidRPr="003F0749">
        <w:t>Повысим посещаемость начальных школ</w:t>
      </w:r>
      <w:r w:rsidR="003F0749">
        <w:t>"</w:t>
      </w:r>
      <w:r w:rsidRPr="003F0749">
        <w:t xml:space="preserve"> (с</w:t>
      </w:r>
      <w:r w:rsidR="00AC5114">
        <w:t> </w:t>
      </w:r>
      <w:r w:rsidRPr="003F0749">
        <w:t xml:space="preserve">первого по восьмой классы), </w:t>
      </w:r>
      <w:r w:rsidR="003F0749">
        <w:t>"</w:t>
      </w:r>
      <w:r w:rsidRPr="003F0749">
        <w:t>Повысим охват образованием девочек</w:t>
      </w:r>
      <w:r w:rsidR="003F0749">
        <w:t>"</w:t>
      </w:r>
      <w:r w:rsidRPr="003F0749">
        <w:t>.</w:t>
      </w:r>
    </w:p>
    <w:p w:rsidR="00DF5565" w:rsidRPr="003F0749" w:rsidRDefault="00DF5565" w:rsidP="00DF5565">
      <w:pPr>
        <w:pStyle w:val="SingleTxtGR"/>
      </w:pPr>
      <w:r w:rsidRPr="003F0749">
        <w:t>123.</w:t>
      </w:r>
      <w:r w:rsidRPr="003F0749">
        <w:tab/>
        <w:t>Чтобы ликвидировать региональные диспропорции в социально-экономическом развитии и уровнях дохода, выплачиваются социальные субс</w:t>
      </w:r>
      <w:r w:rsidRPr="003F0749">
        <w:t>и</w:t>
      </w:r>
      <w:r w:rsidRPr="003F0749">
        <w:t>дии в целях развития школьного образования. Система условных денежных трансфертов предусматривает выплату ежемесячных пособий малообеспече</w:t>
      </w:r>
      <w:r w:rsidRPr="003F0749">
        <w:t>н</w:t>
      </w:r>
      <w:r w:rsidRPr="003F0749">
        <w:t xml:space="preserve">ным семьям при условии, что их дети регулярно посещают школу. Генеральный директорат социальной помощи министерства по делам семьи и социальной политике оказывает дополнительную школьную помощь в виде бесплатного обеспечения учебными материалами и организации завтраков. </w:t>
      </w:r>
    </w:p>
    <w:p w:rsidR="00DF5565" w:rsidRPr="003F0749" w:rsidRDefault="00DF5565" w:rsidP="00DF5565">
      <w:pPr>
        <w:pStyle w:val="SingleTxtGR"/>
      </w:pPr>
      <w:r w:rsidRPr="003F0749">
        <w:t>124.</w:t>
      </w:r>
      <w:r w:rsidRPr="003F0749">
        <w:tab/>
        <w:t>В стратегии осуществления Девятого плана развития (2007−2013</w:t>
      </w:r>
      <w:r w:rsidR="002B6A52">
        <w:t> год</w:t>
      </w:r>
      <w:r w:rsidRPr="003F0749">
        <w:t>ы) первоочередное внимание уделяется образованию девочек, особенно в сельских районах. Восьмилетнее обязательное образование и внедрение на более рег</w:t>
      </w:r>
      <w:r w:rsidRPr="003F0749">
        <w:t>у</w:t>
      </w:r>
      <w:r w:rsidRPr="003F0749">
        <w:t>лярной основе дошкольного образования положительно повлияли на образов</w:t>
      </w:r>
      <w:r w:rsidRPr="003F0749">
        <w:t>а</w:t>
      </w:r>
      <w:r w:rsidRPr="003F0749">
        <w:t>ние девочек, особенно в сельских районах. За последние десять лет уровень п</w:t>
      </w:r>
      <w:r w:rsidRPr="003F0749">
        <w:t>о</w:t>
      </w:r>
      <w:r w:rsidRPr="003F0749">
        <w:t xml:space="preserve">сещаемости начальных школ девочками резко вырос. </w:t>
      </w:r>
    </w:p>
    <w:p w:rsidR="00DF5565" w:rsidRPr="00E2084F" w:rsidRDefault="00AC5114" w:rsidP="00E2084F">
      <w:pPr>
        <w:pStyle w:val="H4GR"/>
        <w:spacing w:before="240"/>
        <w:ind w:left="1156" w:right="1179" w:hanging="1145"/>
      </w:pPr>
      <w:r>
        <w:tab/>
      </w:r>
      <w:r>
        <w:tab/>
      </w:r>
      <w:r w:rsidR="00DF5565" w:rsidRPr="00E2084F">
        <w:t>В 2014</w:t>
      </w:r>
      <w:r w:rsidR="002B6A52">
        <w:t> год</w:t>
      </w:r>
      <w:r w:rsidR="00DF5565" w:rsidRPr="00E2084F">
        <w:t xml:space="preserve">у министерство национального образования запустит проект </w:t>
      </w:r>
      <w:r w:rsidR="003F0749" w:rsidRPr="00E2084F">
        <w:t>"</w:t>
      </w:r>
      <w:r w:rsidR="00DF5565" w:rsidRPr="00E2084F">
        <w:t xml:space="preserve">Поддержка </w:t>
      </w:r>
      <w:proofErr w:type="spellStart"/>
      <w:r w:rsidR="00DF5565" w:rsidRPr="00E2084F">
        <w:t>гендерного</w:t>
      </w:r>
      <w:proofErr w:type="spellEnd"/>
      <w:r w:rsidR="00DF5565" w:rsidRPr="00E2084F">
        <w:t xml:space="preserve"> равенства в системе образования</w:t>
      </w:r>
      <w:r w:rsidR="003F0749" w:rsidRPr="00E2084F">
        <w:t>"</w:t>
      </w:r>
    </w:p>
    <w:p w:rsidR="00DF5565" w:rsidRPr="003F0749" w:rsidRDefault="00DF5565" w:rsidP="00DF5565">
      <w:pPr>
        <w:pStyle w:val="SingleTxtGR"/>
      </w:pPr>
      <w:r w:rsidRPr="003F0749">
        <w:t>125.</w:t>
      </w:r>
      <w:r w:rsidRPr="003F0749">
        <w:tab/>
        <w:t>Новая система двенадцатилетнего образования предполагает преподав</w:t>
      </w:r>
      <w:r w:rsidRPr="003F0749">
        <w:t>а</w:t>
      </w:r>
      <w:r w:rsidRPr="003F0749">
        <w:t>ние факультативных учебных курсов по изучению языков и диалектов, которые традиционно используются турецкими гражданами в системе государственного образования. Предлагаются курсы по изучению следующих языков: курдский язык (</w:t>
      </w:r>
      <w:proofErr w:type="spellStart"/>
      <w:r w:rsidRPr="003F0749">
        <w:t>курманджи</w:t>
      </w:r>
      <w:proofErr w:type="spellEnd"/>
      <w:r w:rsidRPr="003F0749">
        <w:t xml:space="preserve"> и </w:t>
      </w:r>
      <w:proofErr w:type="spellStart"/>
      <w:r w:rsidRPr="003F0749">
        <w:t>зазаки</w:t>
      </w:r>
      <w:proofErr w:type="spellEnd"/>
      <w:r w:rsidRPr="003F0749">
        <w:t>), абхазско-адыгейские языки (адыгейский и абха</w:t>
      </w:r>
      <w:r w:rsidRPr="003F0749">
        <w:t>з</w:t>
      </w:r>
      <w:r w:rsidRPr="003F0749">
        <w:t xml:space="preserve">ский) и язык лаки. Система двенадцатилетнего образования дает возможность преподавать различные дисциплины с учетом интересов и навыков учащихся. </w:t>
      </w:r>
    </w:p>
    <w:p w:rsidR="00DF5565" w:rsidRPr="003F0749" w:rsidRDefault="00DF5565" w:rsidP="00DF5565">
      <w:pPr>
        <w:pStyle w:val="SingleTxtGR"/>
      </w:pPr>
      <w:r w:rsidRPr="003F0749">
        <w:t>126.</w:t>
      </w:r>
      <w:r w:rsidRPr="003F0749">
        <w:tab/>
        <w:t xml:space="preserve">В </w:t>
      </w:r>
      <w:r w:rsidR="003F0749">
        <w:t>"</w:t>
      </w:r>
      <w:r w:rsidRPr="003F0749">
        <w:t>пакете демократических реформ</w:t>
      </w:r>
      <w:r w:rsidR="003F0749">
        <w:t>"</w:t>
      </w:r>
      <w:r w:rsidRPr="003F0749">
        <w:t>, о котором правительство объявило 30 сентября 2013</w:t>
      </w:r>
      <w:r w:rsidR="002B6A52">
        <w:t> год</w:t>
      </w:r>
      <w:r w:rsidRPr="003F0749">
        <w:t>а, предлагается использовать в частных школах в качестве языков обучения языки и диалекты, на которых турецкие граждане говорят в повседневной жизни.</w:t>
      </w:r>
    </w:p>
    <w:p w:rsidR="00DF5565" w:rsidRPr="003F0749" w:rsidRDefault="00DF5565" w:rsidP="00DF5565">
      <w:pPr>
        <w:pStyle w:val="SingleTxtGR"/>
      </w:pPr>
      <w:r w:rsidRPr="003F0749">
        <w:t>127.</w:t>
      </w:r>
      <w:r w:rsidRPr="003F0749">
        <w:tab/>
        <w:t>Турецкие граждане из числа меньшинств, не исповедующих ислам, им</w:t>
      </w:r>
      <w:r w:rsidRPr="003F0749">
        <w:t>е</w:t>
      </w:r>
      <w:r w:rsidRPr="003F0749">
        <w:t>ют свои собственные учебные заведения. Деятельность этих учебных заведений регулируется Законом о частных учебных заведениях</w:t>
      </w:r>
      <w:r w:rsidR="002B6A52">
        <w:t>. В </w:t>
      </w:r>
      <w:r w:rsidRPr="003F0749">
        <w:t>школах меньшинств дети могут изучать свой родной язык. Все предметы кроме турецкого языка и турецкой культуры преподаются на родном языке учащихся.</w:t>
      </w:r>
    </w:p>
    <w:p w:rsidR="00DF5565" w:rsidRPr="003F0749" w:rsidRDefault="00DF5565" w:rsidP="00AC5114">
      <w:pPr>
        <w:pStyle w:val="H23GR"/>
      </w:pPr>
      <w:r w:rsidRPr="003F0749">
        <w:tab/>
        <w:t>6.</w:t>
      </w:r>
      <w:r w:rsidRPr="003F0749">
        <w:tab/>
        <w:t>Право на равное участие в культурной деятельности</w:t>
      </w:r>
    </w:p>
    <w:p w:rsidR="00DF5565" w:rsidRPr="003F0749" w:rsidRDefault="00DF5565" w:rsidP="00DF5565">
      <w:pPr>
        <w:pStyle w:val="SingleTxtGR"/>
      </w:pPr>
      <w:r w:rsidRPr="003F0749">
        <w:t>128.</w:t>
      </w:r>
      <w:r w:rsidRPr="003F0749">
        <w:tab/>
        <w:t>В преамбуле Конституции дается следующая формулировка права на уч</w:t>
      </w:r>
      <w:r w:rsidRPr="003F0749">
        <w:t>а</w:t>
      </w:r>
      <w:r w:rsidRPr="003F0749">
        <w:t xml:space="preserve">стие в культурной жизни: </w:t>
      </w:r>
      <w:r w:rsidR="003F0749">
        <w:t>"</w:t>
      </w:r>
      <w:r w:rsidRPr="003F0749">
        <w:t>признавая исконное право каждого турецкого гра</w:t>
      </w:r>
      <w:r w:rsidRPr="003F0749">
        <w:t>ж</w:t>
      </w:r>
      <w:r w:rsidRPr="003F0749">
        <w:t>данина на достойную жизнь, материальное благополучие и развитие своего д</w:t>
      </w:r>
      <w:r w:rsidRPr="003F0749">
        <w:t>у</w:t>
      </w:r>
      <w:r w:rsidRPr="003F0749">
        <w:t>ховного мира на основе национальной культуры, цивилизации и верховенства закона через пользование основными правами человека и свободами, изложе</w:t>
      </w:r>
      <w:r w:rsidRPr="003F0749">
        <w:t>н</w:t>
      </w:r>
      <w:r w:rsidRPr="003F0749">
        <w:t>ными в настоящей Конституции в соответствии с принципами равенства и с</w:t>
      </w:r>
      <w:r w:rsidRPr="003F0749">
        <w:t>о</w:t>
      </w:r>
      <w:r w:rsidRPr="003F0749">
        <w:t>циальной справедливости</w:t>
      </w:r>
      <w:r w:rsidR="003F0749">
        <w:t>"</w:t>
      </w:r>
      <w:r w:rsidRPr="003F0749">
        <w:t>. Соответственно, каждый гражданин имеет право свободно участвовать в культурной жизни и деятельности.</w:t>
      </w:r>
    </w:p>
    <w:p w:rsidR="00DF5565" w:rsidRPr="00E2084F" w:rsidRDefault="00AC5114" w:rsidP="00E2084F">
      <w:pPr>
        <w:pStyle w:val="H4GR"/>
        <w:spacing w:before="240"/>
        <w:ind w:left="1156" w:right="1179" w:hanging="1145"/>
      </w:pPr>
      <w:r>
        <w:tab/>
      </w:r>
      <w:r>
        <w:tab/>
      </w:r>
      <w:r w:rsidR="00DF5565" w:rsidRPr="00E2084F">
        <w:t xml:space="preserve">Меры, принятые в целях недопущения расовой ненависти и предрассудков в спорте и деятельности, организованной для расширения межкультурного диалога между молодежью </w:t>
      </w:r>
    </w:p>
    <w:p w:rsidR="00DF5565" w:rsidRPr="003F0749" w:rsidRDefault="00DF5565" w:rsidP="00DF5565">
      <w:pPr>
        <w:pStyle w:val="SingleTxtGR"/>
      </w:pPr>
      <w:r w:rsidRPr="003F0749">
        <w:t>129.</w:t>
      </w:r>
      <w:r w:rsidRPr="003F0749">
        <w:tab/>
        <w:t>В новом Законе о предупреждении насилия и беспорядков в спорте (</w:t>
      </w:r>
      <w:r w:rsidR="002B6A52">
        <w:t>№ </w:t>
      </w:r>
      <w:r w:rsidRPr="003F0749">
        <w:t>6222), который вступил в силу 14 апреля 2011</w:t>
      </w:r>
      <w:r w:rsidR="002B6A52">
        <w:t> год</w:t>
      </w:r>
      <w:r w:rsidRPr="003F0749">
        <w:t>а, предусматриваются ра</w:t>
      </w:r>
      <w:r w:rsidRPr="003F0749">
        <w:t>з</w:t>
      </w:r>
      <w:r w:rsidRPr="003F0749">
        <w:t>личные наказания за акты расизма</w:t>
      </w:r>
      <w:r w:rsidR="002B6A52">
        <w:t>. В </w:t>
      </w:r>
      <w:r w:rsidRPr="003F0749">
        <w:t>соответствии со статьей 14 этого Закона те, кто выкрикивает очерняющие лозунги, наказывается карательным штрафом, а те, кто допускает реплики или совершает действия, содержащие дискримин</w:t>
      </w:r>
      <w:r w:rsidRPr="003F0749">
        <w:t>а</w:t>
      </w:r>
      <w:r w:rsidRPr="003F0749">
        <w:t>цию в отношении некоторых слоев общества по признакам религии, языка, р</w:t>
      </w:r>
      <w:r w:rsidRPr="003F0749">
        <w:t>а</w:t>
      </w:r>
      <w:r w:rsidRPr="003F0749">
        <w:t>сы, этнического происхождения, пола или конфессиональных отличий, в спо</w:t>
      </w:r>
      <w:r w:rsidRPr="003F0749">
        <w:t>р</w:t>
      </w:r>
      <w:r w:rsidRPr="003F0749">
        <w:t>тивных сооружениях или вокруг них, наказываются лишением свободы на срок от трех месяцев до одного</w:t>
      </w:r>
      <w:r w:rsidR="002B6A52">
        <w:t> год</w:t>
      </w:r>
      <w:r w:rsidRPr="003F0749">
        <w:t>а. Наказание, назначаемое за эти правонарушения ужесточается вдвое, если они сопровождаются проносом или вывешиванием транспарантов или надписями на стенах.</w:t>
      </w:r>
    </w:p>
    <w:p w:rsidR="00DF5565" w:rsidRPr="003F0749" w:rsidRDefault="00DF5565" w:rsidP="00DF5565">
      <w:pPr>
        <w:pStyle w:val="SingleTxtGR"/>
      </w:pPr>
      <w:r w:rsidRPr="003F0749">
        <w:t>130.</w:t>
      </w:r>
      <w:r w:rsidRPr="003F0749">
        <w:tab/>
        <w:t xml:space="preserve">Кроме того, в статье 3 Закона об учреждении и обязанностях Футбольной федерации Турции определяются обязанности Федерации, которые включают, в частности, борьбу с насилием, договорными матчами, незаконными выплатами вознаграждений, расизмом, допингом и любым видом дискриминации. </w:t>
      </w:r>
    </w:p>
    <w:p w:rsidR="00DF5565" w:rsidRPr="003F0749" w:rsidRDefault="00DF5565" w:rsidP="00DF5565">
      <w:pPr>
        <w:pStyle w:val="SingleTxtGR"/>
      </w:pPr>
      <w:r w:rsidRPr="003F0749">
        <w:t>131.</w:t>
      </w:r>
      <w:r w:rsidRPr="003F0749">
        <w:tab/>
        <w:t xml:space="preserve">Министерство по делам молодежи и спорта подготовило доклад </w:t>
      </w:r>
      <w:r w:rsidR="003F0749">
        <w:t>"</w:t>
      </w:r>
      <w:r w:rsidRPr="003F0749">
        <w:t>Наци</w:t>
      </w:r>
      <w:r w:rsidRPr="003F0749">
        <w:t>о</w:t>
      </w:r>
      <w:r w:rsidRPr="003F0749">
        <w:t>нальная молодежная политика и политика в области спорта</w:t>
      </w:r>
      <w:r w:rsidR="003F0749">
        <w:t>"</w:t>
      </w:r>
      <w:r w:rsidRPr="003F0749">
        <w:t>, в котором осно</w:t>
      </w:r>
      <w:r w:rsidRPr="003F0749">
        <w:t>в</w:t>
      </w:r>
      <w:r w:rsidRPr="003F0749">
        <w:t>ной упор делается на предупреждение всех форм дискриминации, обеспечение равных возможностей, формирование культуры терпимости и межкультурного диалога между молодежью, а также на предупреждение насилия, беспорядков и неэтических выходок в спорте.</w:t>
      </w:r>
    </w:p>
    <w:p w:rsidR="00DF5565" w:rsidRPr="003F0749" w:rsidRDefault="00DF5565" w:rsidP="00DF5565">
      <w:pPr>
        <w:pStyle w:val="SingleTxtGR"/>
      </w:pPr>
      <w:r w:rsidRPr="003F0749">
        <w:t>132.</w:t>
      </w:r>
      <w:r w:rsidRPr="003F0749">
        <w:tab/>
        <w:t>Соответственно, министерство по делам молодежи и спорта организовало ряд мероприятий, направленных на поощрение межкультурного диалога, соц</w:t>
      </w:r>
      <w:r w:rsidRPr="003F0749">
        <w:t>и</w:t>
      </w:r>
      <w:r w:rsidRPr="003F0749">
        <w:t>ального единства и уважительного отношения к разнообразию, а также на бор</w:t>
      </w:r>
      <w:r w:rsidRPr="003F0749">
        <w:t>ь</w:t>
      </w:r>
      <w:r w:rsidRPr="003F0749">
        <w:t>бу с предрассудками и дискриминацией среди молодежи. Информация о прое</w:t>
      </w:r>
      <w:r w:rsidRPr="003F0749">
        <w:t>к</w:t>
      </w:r>
      <w:r w:rsidRPr="003F0749">
        <w:t>тах, реализованных министерством, приводится в пункте 203 в связи со стат</w:t>
      </w:r>
      <w:r w:rsidRPr="003F0749">
        <w:t>ь</w:t>
      </w:r>
      <w:r w:rsidRPr="003F0749">
        <w:t>ей</w:t>
      </w:r>
      <w:r w:rsidR="008D3B03">
        <w:t> </w:t>
      </w:r>
      <w:r w:rsidRPr="003F0749">
        <w:t>7.</w:t>
      </w:r>
    </w:p>
    <w:p w:rsidR="00DF5565" w:rsidRPr="00E2084F" w:rsidRDefault="00AC5114" w:rsidP="00E2084F">
      <w:pPr>
        <w:pStyle w:val="H4GR"/>
        <w:spacing w:before="240"/>
        <w:ind w:left="1156" w:right="1179" w:hanging="1145"/>
      </w:pPr>
      <w:r>
        <w:tab/>
      </w:r>
      <w:r>
        <w:tab/>
      </w:r>
      <w:r w:rsidR="00DF5565" w:rsidRPr="00E2084F">
        <w:t xml:space="preserve">Меры, принятые в целях содействия и облегчения доступа к средствам массовой информации </w:t>
      </w:r>
    </w:p>
    <w:p w:rsidR="00DF5565" w:rsidRPr="003F0749" w:rsidRDefault="00DF5565" w:rsidP="00DF5565">
      <w:pPr>
        <w:pStyle w:val="SingleTxtGR"/>
      </w:pPr>
      <w:r w:rsidRPr="003F0749">
        <w:t>133.</w:t>
      </w:r>
      <w:r w:rsidRPr="003F0749">
        <w:tab/>
        <w:t>В 2002</w:t>
      </w:r>
      <w:r w:rsidR="002B6A52">
        <w:t> год</w:t>
      </w:r>
      <w:r w:rsidRPr="003F0749">
        <w:t>у были сняты ограничения на вещание на языках и диалектах, которыми пользуются турецкие граждане в своей повседневной жизни. 7 июня 2004</w:t>
      </w:r>
      <w:r w:rsidR="002B6A52">
        <w:t> год</w:t>
      </w:r>
      <w:r w:rsidRPr="003F0749">
        <w:t xml:space="preserve">а первой начала радиовещание на боснийском языке государственная радиостанция TRT </w:t>
      </w:r>
      <w:proofErr w:type="spellStart"/>
      <w:r w:rsidRPr="003F0749">
        <w:t>Radio</w:t>
      </w:r>
      <w:proofErr w:type="spellEnd"/>
      <w:r w:rsidRPr="003F0749">
        <w:t xml:space="preserve"> 1, и в тот же день вещание начал телевизионный канал TRT-3. </w:t>
      </w:r>
    </w:p>
    <w:p w:rsidR="00DF5565" w:rsidRPr="003F0749" w:rsidRDefault="00DF5565" w:rsidP="00DF5565">
      <w:pPr>
        <w:pStyle w:val="SingleTxtGR"/>
      </w:pPr>
      <w:r w:rsidRPr="003F0749">
        <w:t>134.</w:t>
      </w:r>
      <w:r w:rsidRPr="003F0749">
        <w:tab/>
        <w:t>После 7 марта 2006</w:t>
      </w:r>
      <w:r w:rsidR="002B6A52">
        <w:t> год</w:t>
      </w:r>
      <w:r w:rsidRPr="003F0749">
        <w:t>а Высший совет по радио и телевидению Турции (ВСРТ) выдал лицензии на вещание нескольким частным радиостанциям и т</w:t>
      </w:r>
      <w:r w:rsidRPr="003F0749">
        <w:t>е</w:t>
      </w:r>
      <w:r w:rsidRPr="003F0749">
        <w:t xml:space="preserve">левизионным каналам в соответствии с их ходатайством о вещании на диалекте курдского языка </w:t>
      </w:r>
      <w:proofErr w:type="spellStart"/>
      <w:r w:rsidRPr="003F0749">
        <w:t>курманджи</w:t>
      </w:r>
      <w:proofErr w:type="spellEnd"/>
      <w:r w:rsidRPr="003F0749">
        <w:t xml:space="preserve"> и языке </w:t>
      </w:r>
      <w:proofErr w:type="spellStart"/>
      <w:r w:rsidRPr="003F0749">
        <w:t>зазаки</w:t>
      </w:r>
      <w:proofErr w:type="spellEnd"/>
      <w:r w:rsidRPr="003F0749">
        <w:t>. Свое вещание на этих диалектах радио и телевизионные станции начали 26 марта 2006</w:t>
      </w:r>
      <w:r w:rsidR="002B6A52">
        <w:t> год</w:t>
      </w:r>
      <w:r w:rsidRPr="003F0749">
        <w:t xml:space="preserve">а. </w:t>
      </w:r>
    </w:p>
    <w:p w:rsidR="00DF5565" w:rsidRPr="003F0749" w:rsidRDefault="00DF5565" w:rsidP="00DF5565">
      <w:pPr>
        <w:pStyle w:val="SingleTxtGR"/>
      </w:pPr>
      <w:r w:rsidRPr="003F0749">
        <w:t>135.</w:t>
      </w:r>
      <w:r w:rsidRPr="003F0749">
        <w:tab/>
        <w:t xml:space="preserve">Обычно Radio-1 и TRT-3 транслировали свои программы на боснийском языке по понедельникам, на арабском языке − по вторникам, </w:t>
      </w:r>
      <w:proofErr w:type="spellStart"/>
      <w:r w:rsidRPr="003F0749">
        <w:t>курманджи</w:t>
      </w:r>
      <w:proofErr w:type="spellEnd"/>
      <w:r w:rsidRPr="003F0749">
        <w:t xml:space="preserve"> − по средам, абхазско-адыгейских языках − по четвергам и на языке </w:t>
      </w:r>
      <w:proofErr w:type="spellStart"/>
      <w:r w:rsidRPr="003F0749">
        <w:t>зазаки</w:t>
      </w:r>
      <w:proofErr w:type="spellEnd"/>
      <w:r w:rsidRPr="003F0749">
        <w:t xml:space="preserve"> − по пя</w:t>
      </w:r>
      <w:r w:rsidRPr="003F0749">
        <w:t>т</w:t>
      </w:r>
      <w:r w:rsidRPr="003F0749">
        <w:t>ницам пока не был учрежден многоязычный государственный телевизионный канал TRT-6</w:t>
      </w:r>
      <w:r w:rsidR="002B6A52">
        <w:t>. В </w:t>
      </w:r>
      <w:r w:rsidRPr="003F0749">
        <w:t>январе 2009</w:t>
      </w:r>
      <w:r w:rsidR="002B6A52">
        <w:t> год</w:t>
      </w:r>
      <w:r w:rsidRPr="003F0749">
        <w:t>а TRT-6 начал круглосуточное вещание на ди</w:t>
      </w:r>
      <w:r w:rsidRPr="003F0749">
        <w:t>а</w:t>
      </w:r>
      <w:r w:rsidRPr="003F0749">
        <w:t xml:space="preserve">лектах курдского языка </w:t>
      </w:r>
      <w:proofErr w:type="spellStart"/>
      <w:r w:rsidRPr="003F0749">
        <w:t>курманджи</w:t>
      </w:r>
      <w:proofErr w:type="spellEnd"/>
      <w:r w:rsidRPr="003F0749">
        <w:t xml:space="preserve"> и </w:t>
      </w:r>
      <w:proofErr w:type="spellStart"/>
      <w:r w:rsidRPr="003F0749">
        <w:t>сорани</w:t>
      </w:r>
      <w:proofErr w:type="spellEnd"/>
      <w:r w:rsidRPr="003F0749">
        <w:t xml:space="preserve"> и на языке </w:t>
      </w:r>
      <w:proofErr w:type="spellStart"/>
      <w:r w:rsidRPr="003F0749">
        <w:t>зазаки</w:t>
      </w:r>
      <w:proofErr w:type="spellEnd"/>
      <w:r w:rsidR="002B6A52">
        <w:t>. К </w:t>
      </w:r>
      <w:r w:rsidRPr="003F0749">
        <w:t>тому же с 21</w:t>
      </w:r>
      <w:r w:rsidR="00AC5114">
        <w:t> </w:t>
      </w:r>
      <w:r w:rsidRPr="003F0749">
        <w:t>марта 2009</w:t>
      </w:r>
      <w:r w:rsidR="002B6A52">
        <w:t> год</w:t>
      </w:r>
      <w:r w:rsidRPr="003F0749">
        <w:t>а свое вещание на азербайджанском, казахском, киргизском, узбекском и туркменском языках начал телевизионный канал TRT-AVAZ, а с 4</w:t>
      </w:r>
      <w:r w:rsidR="00AC5114">
        <w:t> </w:t>
      </w:r>
      <w:r w:rsidRPr="003F0749">
        <w:t>апреля 2010</w:t>
      </w:r>
      <w:r w:rsidR="002B6A52">
        <w:t> год</w:t>
      </w:r>
      <w:r w:rsidRPr="003F0749">
        <w:t>а соответственно вещание на арабском языке начал канал ара</w:t>
      </w:r>
      <w:r w:rsidRPr="003F0749">
        <w:t>б</w:t>
      </w:r>
      <w:r w:rsidRPr="003F0749">
        <w:t xml:space="preserve">ской редакции TRT. </w:t>
      </w:r>
    </w:p>
    <w:p w:rsidR="00DF5565" w:rsidRPr="003F0749" w:rsidRDefault="00DF5565" w:rsidP="00DF5565">
      <w:pPr>
        <w:pStyle w:val="SingleTxtGR"/>
      </w:pPr>
      <w:r w:rsidRPr="003F0749">
        <w:t>136.</w:t>
      </w:r>
      <w:r w:rsidRPr="003F0749">
        <w:tab/>
        <w:t>Количество станций, вещающих на языках и диалектах, которыми пол</w:t>
      </w:r>
      <w:r w:rsidRPr="003F0749">
        <w:t>ь</w:t>
      </w:r>
      <w:r w:rsidRPr="003F0749">
        <w:t>зуются турецкие граждане в своей повседневной жизни, в 2012</w:t>
      </w:r>
      <w:r w:rsidR="002B6A52">
        <w:t> год</w:t>
      </w:r>
      <w:r w:rsidRPr="003F0749">
        <w:t>у выросло до</w:t>
      </w:r>
      <w:r w:rsidR="00AC5114">
        <w:t> </w:t>
      </w:r>
      <w:r w:rsidRPr="003F0749">
        <w:t>25. Эти станции могут свободно вещать без всяких ограничений, распр</w:t>
      </w:r>
      <w:r w:rsidRPr="003F0749">
        <w:t>о</w:t>
      </w:r>
      <w:r w:rsidRPr="003F0749">
        <w:t>страняющихся на содержание, эфирное время или субтитры/последовательный п</w:t>
      </w:r>
      <w:r w:rsidRPr="003F0749">
        <w:t>е</w:t>
      </w:r>
      <w:r w:rsidRPr="003F0749">
        <w:t>ревод.</w:t>
      </w:r>
    </w:p>
    <w:p w:rsidR="00DF5565" w:rsidRPr="003F0749" w:rsidRDefault="00DF5565" w:rsidP="00DF5565">
      <w:pPr>
        <w:pStyle w:val="SingleTxtGR"/>
      </w:pPr>
      <w:r w:rsidRPr="003F0749">
        <w:t>137.</w:t>
      </w:r>
      <w:r w:rsidRPr="003F0749">
        <w:tab/>
        <w:t>В дополнение к вещанию на английском, арабском, боснийском, хорва</w:t>
      </w:r>
      <w:r w:rsidRPr="003F0749">
        <w:t>т</w:t>
      </w:r>
      <w:r w:rsidRPr="003F0749">
        <w:t>ском, сербском и русском языках в сентябре 2013</w:t>
      </w:r>
      <w:r w:rsidR="002B6A52">
        <w:t> год</w:t>
      </w:r>
      <w:r w:rsidRPr="003F0749">
        <w:t xml:space="preserve">а агентство новостей </w:t>
      </w:r>
      <w:r w:rsidR="003F0749">
        <w:t>"</w:t>
      </w:r>
      <w:r w:rsidRPr="003F0749">
        <w:t>Анатолия</w:t>
      </w:r>
      <w:r w:rsidR="003F0749">
        <w:t>"</w:t>
      </w:r>
      <w:r w:rsidRPr="003F0749">
        <w:t xml:space="preserve"> начало транслировать передачи на диалектах </w:t>
      </w:r>
      <w:proofErr w:type="spellStart"/>
      <w:r w:rsidRPr="003F0749">
        <w:t>курманджи</w:t>
      </w:r>
      <w:proofErr w:type="spellEnd"/>
      <w:r w:rsidRPr="003F0749">
        <w:t xml:space="preserve"> и </w:t>
      </w:r>
      <w:proofErr w:type="spellStart"/>
      <w:r w:rsidRPr="003F0749">
        <w:t>сорани</w:t>
      </w:r>
      <w:proofErr w:type="spellEnd"/>
      <w:r w:rsidRPr="003F0749">
        <w:t xml:space="preserve"> курдского </w:t>
      </w:r>
      <w:proofErr w:type="spellStart"/>
      <w:r w:rsidRPr="003F0749">
        <w:t>яхыка</w:t>
      </w:r>
      <w:proofErr w:type="spellEnd"/>
      <w:r w:rsidRPr="003F0749">
        <w:t xml:space="preserve">. </w:t>
      </w:r>
    </w:p>
    <w:p w:rsidR="00DF5565" w:rsidRPr="003F0749" w:rsidRDefault="00DF5565" w:rsidP="00DF5565">
      <w:pPr>
        <w:pStyle w:val="SingleTxtGR"/>
      </w:pPr>
      <w:r w:rsidRPr="003F0749">
        <w:t>138.</w:t>
      </w:r>
      <w:r w:rsidRPr="003F0749">
        <w:tab/>
        <w:t>На языках и диалектах, на которых традиционно говорят в своей повс</w:t>
      </w:r>
      <w:r w:rsidRPr="003F0749">
        <w:t>е</w:t>
      </w:r>
      <w:r w:rsidRPr="003F0749">
        <w:t>дневной жизни турецкие граждане, издаются книги, газеты и периодические издания.</w:t>
      </w:r>
    </w:p>
    <w:p w:rsidR="00DF5565" w:rsidRPr="003F0749" w:rsidRDefault="00AC5114" w:rsidP="00AC5114">
      <w:pPr>
        <w:pStyle w:val="H23GR"/>
      </w:pPr>
      <w:r>
        <w:tab/>
      </w:r>
      <w:r>
        <w:tab/>
      </w:r>
      <w:r w:rsidR="00DF5565" w:rsidRPr="003F0749">
        <w:t xml:space="preserve">Статус языков меньшинств в средствах массовой информации: </w:t>
      </w:r>
    </w:p>
    <w:p w:rsidR="00DF5565" w:rsidRPr="00E2084F" w:rsidRDefault="00DF5565" w:rsidP="00E2084F">
      <w:pPr>
        <w:pStyle w:val="H4GR"/>
        <w:spacing w:before="240"/>
        <w:ind w:left="1156" w:right="1179" w:hanging="1145"/>
      </w:pPr>
      <w:r w:rsidRPr="00E2084F">
        <w:tab/>
      </w:r>
      <w:r w:rsidRPr="00E2084F">
        <w:tab/>
        <w:t>Меньшинства имеют собственные средства массовой информ</w:t>
      </w:r>
      <w:r w:rsidRPr="00E2084F">
        <w:t>а</w:t>
      </w:r>
      <w:r w:rsidRPr="00E2084F">
        <w:t xml:space="preserve">ции. </w:t>
      </w:r>
    </w:p>
    <w:p w:rsidR="00DF5565" w:rsidRPr="003F0749" w:rsidRDefault="00DF5565" w:rsidP="00AC5114">
      <w:pPr>
        <w:pStyle w:val="H23GR"/>
      </w:pPr>
      <w:r w:rsidRPr="003F0749">
        <w:tab/>
        <w:t>7.</w:t>
      </w:r>
      <w:r w:rsidRPr="003F0749">
        <w:tab/>
        <w:t>Право на доступ к местам общего пользования или услугам</w:t>
      </w:r>
    </w:p>
    <w:p w:rsidR="00DF5565" w:rsidRPr="003F0749" w:rsidRDefault="00DF5565" w:rsidP="00DF5565">
      <w:pPr>
        <w:pStyle w:val="SingleTxtGR"/>
      </w:pPr>
      <w:r w:rsidRPr="003F0749">
        <w:t>139.</w:t>
      </w:r>
      <w:r w:rsidRPr="003F0749">
        <w:tab/>
        <w:t>В Турции никогда не вводились какое-либо официальное регулирование или повседневная практика, лишающие кого-либо права на доступ к какому л</w:t>
      </w:r>
      <w:r w:rsidRPr="003F0749">
        <w:t>и</w:t>
      </w:r>
      <w:r w:rsidRPr="003F0749">
        <w:t>бо месту или услугам, предназначающимся для общего пользования на основ</w:t>
      </w:r>
      <w:r w:rsidRPr="003F0749">
        <w:t>а</w:t>
      </w:r>
      <w:r w:rsidRPr="003F0749">
        <w:t>нии расовой дискриминации, в частности к средствам транспорта, гостиницам, ресторанам, кафе, театрам или паркам. Такое отношение чуждо турецкому о</w:t>
      </w:r>
      <w:r w:rsidRPr="003F0749">
        <w:t>б</w:t>
      </w:r>
      <w:r w:rsidRPr="003F0749">
        <w:t xml:space="preserve">ществу. </w:t>
      </w:r>
    </w:p>
    <w:p w:rsidR="00DF5565" w:rsidRPr="003F0749" w:rsidRDefault="00DF5565" w:rsidP="00AC5114">
      <w:pPr>
        <w:pStyle w:val="HChGR"/>
      </w:pPr>
      <w:r w:rsidRPr="003F0749">
        <w:tab/>
        <w:t>IV.</w:t>
      </w:r>
      <w:r w:rsidRPr="003F0749">
        <w:tab/>
        <w:t>Информация о соответствующих группах жертв или</w:t>
      </w:r>
      <w:r w:rsidR="00AC5114">
        <w:t> </w:t>
      </w:r>
      <w:r w:rsidRPr="003F0749">
        <w:t>возмо</w:t>
      </w:r>
      <w:r w:rsidRPr="003F0749">
        <w:t>ж</w:t>
      </w:r>
      <w:r w:rsidRPr="003F0749">
        <w:t>ных жертвах расовой дискриминации</w:t>
      </w:r>
    </w:p>
    <w:p w:rsidR="00DF5565" w:rsidRPr="00E2084F" w:rsidRDefault="00DF5565" w:rsidP="00E2084F">
      <w:pPr>
        <w:pStyle w:val="H4GR"/>
        <w:spacing w:before="240"/>
        <w:ind w:left="1156" w:right="1179" w:hanging="1145"/>
      </w:pPr>
      <w:r w:rsidRPr="00E2084F">
        <w:tab/>
      </w:r>
      <w:r w:rsidRPr="00E2084F">
        <w:tab/>
        <w:t>Информация о беженцах и просителей убежища, а также о н</w:t>
      </w:r>
      <w:r w:rsidRPr="00E2084F">
        <w:t>а</w:t>
      </w:r>
      <w:r w:rsidRPr="00E2084F">
        <w:t xml:space="preserve">родности рома была представлена выше. </w:t>
      </w:r>
    </w:p>
    <w:p w:rsidR="00DF5565" w:rsidRPr="003F0749" w:rsidRDefault="00DF5565" w:rsidP="00AC5114">
      <w:pPr>
        <w:pStyle w:val="H23GR"/>
      </w:pPr>
      <w:r w:rsidRPr="003F0749">
        <w:tab/>
        <w:t>1.</w:t>
      </w:r>
      <w:r w:rsidRPr="003F0749">
        <w:tab/>
        <w:t>Лица без гражданства</w:t>
      </w:r>
    </w:p>
    <w:p w:rsidR="00DF5565" w:rsidRPr="003F0749" w:rsidRDefault="00DF5565" w:rsidP="00DF5565">
      <w:pPr>
        <w:pStyle w:val="SingleTxtGR"/>
      </w:pPr>
      <w:r w:rsidRPr="003F0749">
        <w:t>140.</w:t>
      </w:r>
      <w:r w:rsidRPr="003F0749">
        <w:tab/>
        <w:t>Лица, в отношении которых на основе расследования и рассмотрения в</w:t>
      </w:r>
      <w:r w:rsidRPr="003F0749">
        <w:t>о</w:t>
      </w:r>
      <w:r w:rsidRPr="003F0749">
        <w:t>проса об их гражданстве было установлено, что у них нет гражданства, пол</w:t>
      </w:r>
      <w:r w:rsidRPr="003F0749">
        <w:t>у</w:t>
      </w:r>
      <w:r w:rsidRPr="003F0749">
        <w:t>чают разрешение на проживание и доступ к образованию, работе, медицинск</w:t>
      </w:r>
      <w:r w:rsidRPr="003F0749">
        <w:t>о</w:t>
      </w:r>
      <w:r w:rsidRPr="003F0749">
        <w:t>му обслуживанию, и им присваивается номер иностранца, удостоверяющий их личность. Процедуру натурализации проводит Генеральный директорат по в</w:t>
      </w:r>
      <w:r w:rsidRPr="003F0749">
        <w:t>о</w:t>
      </w:r>
      <w:r w:rsidRPr="003F0749">
        <w:t xml:space="preserve">просам гражданской регистрации и гражданских дел министерства внутренних дел согласно турецкому Закону </w:t>
      </w:r>
      <w:r w:rsidR="002B6A52">
        <w:t>№ </w:t>
      </w:r>
      <w:r w:rsidRPr="003F0749">
        <w:t>5901 о гражданстве</w:t>
      </w:r>
      <w:r w:rsidR="002B6A52">
        <w:t>. В </w:t>
      </w:r>
      <w:r w:rsidRPr="003F0749">
        <w:t>соответствии с Зак</w:t>
      </w:r>
      <w:r w:rsidRPr="003F0749">
        <w:t>о</w:t>
      </w:r>
      <w:r w:rsidRPr="003F0749">
        <w:t>ном (</w:t>
      </w:r>
      <w:r w:rsidR="002B6A52">
        <w:t>№ </w:t>
      </w:r>
      <w:r w:rsidRPr="003F0749">
        <w:t xml:space="preserve">5683) о передвижении и проживании иностранцев в Турции для них предусматривается </w:t>
      </w:r>
      <w:r w:rsidR="003F0749">
        <w:t>"</w:t>
      </w:r>
      <w:r w:rsidRPr="003F0749">
        <w:t>дополнительная защита</w:t>
      </w:r>
      <w:r w:rsidR="003F0749">
        <w:t>"</w:t>
      </w:r>
      <w:r w:rsidRPr="003F0749">
        <w:t>.</w:t>
      </w:r>
    </w:p>
    <w:p w:rsidR="00DF5565" w:rsidRPr="003F0749" w:rsidRDefault="00DF5565" w:rsidP="00AC5114">
      <w:pPr>
        <w:pStyle w:val="H23GR"/>
      </w:pPr>
      <w:r w:rsidRPr="003F0749">
        <w:tab/>
        <w:t>2.</w:t>
      </w:r>
      <w:r w:rsidRPr="003F0749">
        <w:tab/>
        <w:t>Предоставление временной защиты сирийцам</w:t>
      </w:r>
    </w:p>
    <w:p w:rsidR="00DF5565" w:rsidRPr="003F0749" w:rsidRDefault="00DF5565" w:rsidP="00DF5565">
      <w:pPr>
        <w:pStyle w:val="SingleTxtGR"/>
      </w:pPr>
      <w:r w:rsidRPr="003F0749">
        <w:t>141.</w:t>
      </w:r>
      <w:r w:rsidRPr="003F0749">
        <w:tab/>
        <w:t xml:space="preserve">Турция строго придерживается принципа </w:t>
      </w:r>
      <w:proofErr w:type="spellStart"/>
      <w:r w:rsidRPr="003F0749">
        <w:t>невысылки</w:t>
      </w:r>
      <w:proofErr w:type="spellEnd"/>
      <w:r w:rsidRPr="003F0749">
        <w:t xml:space="preserve"> на границе в соо</w:t>
      </w:r>
      <w:r w:rsidRPr="003F0749">
        <w:t>т</w:t>
      </w:r>
      <w:r w:rsidRPr="003F0749">
        <w:t xml:space="preserve">ветствии с международными процедурами и предоставляет сирийцам </w:t>
      </w:r>
      <w:r w:rsidR="003F0749">
        <w:t>"</w:t>
      </w:r>
      <w:r w:rsidRPr="003F0749">
        <w:t>допо</w:t>
      </w:r>
      <w:r w:rsidRPr="003F0749">
        <w:t>л</w:t>
      </w:r>
      <w:r w:rsidRPr="003F0749">
        <w:t>нительную защиту</w:t>
      </w:r>
      <w:r w:rsidR="003F0749">
        <w:t>"</w:t>
      </w:r>
      <w:r w:rsidRPr="003F0749">
        <w:t xml:space="preserve"> без какой-либо дискриминации. </w:t>
      </w:r>
    </w:p>
    <w:p w:rsidR="00DF5565" w:rsidRPr="003F0749" w:rsidRDefault="00DF5565" w:rsidP="00DF5565">
      <w:pPr>
        <w:pStyle w:val="SingleTxtGR"/>
      </w:pPr>
      <w:r w:rsidRPr="003F0749">
        <w:t>142.</w:t>
      </w:r>
      <w:r w:rsidRPr="003F0749">
        <w:tab/>
        <w:t>Свои гуманитарные операции правительство Турции проводит по трем направлениям</w:t>
      </w:r>
      <w:r w:rsidR="00CD73C5">
        <w:t>.</w:t>
      </w:r>
      <w:r w:rsidRPr="003F0749">
        <w:t xml:space="preserve"> Во-первых, правительство придерживается политики открытых границ. По состоянию на декабрь 2013</w:t>
      </w:r>
      <w:r w:rsidR="002B6A52">
        <w:t> год</w:t>
      </w:r>
      <w:r w:rsidRPr="003F0749">
        <w:t>а в 21 лагере беженцев в Турции б</w:t>
      </w:r>
      <w:r w:rsidRPr="003F0749">
        <w:t>ы</w:t>
      </w:r>
      <w:r w:rsidRPr="003F0749">
        <w:t>ло зарегистрировано более 200 тысяч сирийцев. Турецкое правительство обе</w:t>
      </w:r>
      <w:r w:rsidRPr="003F0749">
        <w:t>с</w:t>
      </w:r>
      <w:r w:rsidRPr="003F0749">
        <w:t xml:space="preserve">печивает все их потребности (включая доступ к образованию и медицинской помощи). </w:t>
      </w:r>
    </w:p>
    <w:p w:rsidR="00DF5565" w:rsidRPr="003F0749" w:rsidRDefault="00DF5565" w:rsidP="00DF5565">
      <w:pPr>
        <w:pStyle w:val="SingleTxtGR"/>
      </w:pPr>
      <w:r w:rsidRPr="003F0749">
        <w:t>143.</w:t>
      </w:r>
      <w:r w:rsidRPr="003F0749">
        <w:tab/>
        <w:t>Во-вторых, Турция помогает сирийцам, осевшим в различных городах, находящихся за пределами района, где созданы лагеря беженцев (по состоянию на декабрь 2013</w:t>
      </w:r>
      <w:r w:rsidR="002B6A52">
        <w:t> год</w:t>
      </w:r>
      <w:r w:rsidRPr="003F0749">
        <w:t>а более 400 тысяч). Принимаются все необходимые меры для удовлетворения их насущных потребностей, в частности бесплатная мед</w:t>
      </w:r>
      <w:r w:rsidRPr="003F0749">
        <w:t>и</w:t>
      </w:r>
      <w:r w:rsidRPr="003F0749">
        <w:t>цинская помощь. Финансовое бремя правительства уже превысило 2 миллиарда долларов США.</w:t>
      </w:r>
    </w:p>
    <w:p w:rsidR="00DF5565" w:rsidRPr="003F0749" w:rsidRDefault="00DF5565" w:rsidP="00DF5565">
      <w:pPr>
        <w:pStyle w:val="SingleTxtGR"/>
      </w:pPr>
      <w:r w:rsidRPr="003F0749">
        <w:t>144.</w:t>
      </w:r>
      <w:r w:rsidRPr="003F0749">
        <w:tab/>
        <w:t>Третьим направлением является увеличение поставок предметов первой необходимости по линии гуманитарной помощи в пограничные пункты пропу</w:t>
      </w:r>
      <w:r w:rsidRPr="003F0749">
        <w:t>с</w:t>
      </w:r>
      <w:r w:rsidRPr="003F0749">
        <w:t>ка в северной части Сирии. Общий объем помощи, оказанной Сирии в рамках операции в поддержку кампании ООН, колеблется в пределах 200 миллионов долларов США.</w:t>
      </w:r>
    </w:p>
    <w:p w:rsidR="00DF5565" w:rsidRPr="003F0749" w:rsidRDefault="00DF5565" w:rsidP="00DF5565">
      <w:pPr>
        <w:pStyle w:val="SingleTxtGR"/>
      </w:pPr>
      <w:r w:rsidRPr="003F0749">
        <w:t>145.</w:t>
      </w:r>
      <w:r w:rsidRPr="003F0749">
        <w:tab/>
        <w:t>Доступ к образованию сирийских детей, живущих в лагерях беженцев, гарантируется</w:t>
      </w:r>
      <w:r w:rsidR="002B6A52">
        <w:t>. В </w:t>
      </w:r>
      <w:r w:rsidRPr="003F0749">
        <w:t>настоящее время образование, начиная от дошкольного и ко</w:t>
      </w:r>
      <w:r w:rsidRPr="003F0749">
        <w:t>н</w:t>
      </w:r>
      <w:r w:rsidRPr="003F0749">
        <w:t>чая полным средним, получают 57 тысяч сирийских детей</w:t>
      </w:r>
      <w:r w:rsidR="002B6A52">
        <w:t>. В </w:t>
      </w:r>
      <w:r w:rsidRPr="003F0749">
        <w:t>этих лагерях раб</w:t>
      </w:r>
      <w:r w:rsidRPr="003F0749">
        <w:t>о</w:t>
      </w:r>
      <w:r w:rsidRPr="003F0749">
        <w:t>тает почти 2 тысячи учителей, для подавляющего большинства которых ара</w:t>
      </w:r>
      <w:r w:rsidRPr="003F0749">
        <w:t>б</w:t>
      </w:r>
      <w:r w:rsidRPr="003F0749">
        <w:t>ский язык является родным. Кроме того, организованы учебные классы для взрослых</w:t>
      </w:r>
      <w:r w:rsidR="002B6A52">
        <w:t>. В </w:t>
      </w:r>
      <w:r w:rsidRPr="003F0749">
        <w:t>настоящее время на 139 учебных курсов зачислено 9</w:t>
      </w:r>
      <w:r w:rsidR="008D3B03">
        <w:t> </w:t>
      </w:r>
      <w:r w:rsidRPr="003F0749">
        <w:t>115 взрослых</w:t>
      </w:r>
      <w:r w:rsidR="002B6A52">
        <w:t>. В </w:t>
      </w:r>
      <w:r w:rsidRPr="003F0749">
        <w:t>общей сложности эти курсы посещало 27</w:t>
      </w:r>
      <w:r w:rsidR="008D3B03">
        <w:t> </w:t>
      </w:r>
      <w:r w:rsidRPr="003F0749">
        <w:t xml:space="preserve">221 взрослых. </w:t>
      </w:r>
    </w:p>
    <w:p w:rsidR="00DF5565" w:rsidRPr="003F0749" w:rsidRDefault="00DF5565" w:rsidP="00AC5114">
      <w:pPr>
        <w:pStyle w:val="H23GR"/>
      </w:pPr>
      <w:r w:rsidRPr="003F0749">
        <w:tab/>
        <w:t>3.</w:t>
      </w:r>
      <w:r w:rsidRPr="003F0749">
        <w:tab/>
        <w:t xml:space="preserve">Дополнительная защита лиц, принадлежащих к немусульманским меньшинствам в Турции, и диалог с различными конфессиональными группами </w:t>
      </w:r>
    </w:p>
    <w:p w:rsidR="00DF5565" w:rsidRPr="003F0749" w:rsidRDefault="00DF5565" w:rsidP="00DF5565">
      <w:pPr>
        <w:pStyle w:val="SingleTxtGR"/>
      </w:pPr>
      <w:r w:rsidRPr="003F0749">
        <w:t>146.</w:t>
      </w:r>
      <w:r w:rsidRPr="003F0749">
        <w:tab/>
        <w:t xml:space="preserve">Общепризнанного и юридически обязательного определения термина </w:t>
      </w:r>
      <w:r w:rsidR="003F0749">
        <w:t>"</w:t>
      </w:r>
      <w:r w:rsidRPr="003F0749">
        <w:t>меньшинство</w:t>
      </w:r>
      <w:r w:rsidR="003F0749">
        <w:t>"</w:t>
      </w:r>
      <w:r w:rsidRPr="003F0749">
        <w:t xml:space="preserve"> не существует</w:t>
      </w:r>
      <w:r w:rsidR="002B6A52">
        <w:t>. В </w:t>
      </w:r>
      <w:r w:rsidRPr="003F0749">
        <w:t xml:space="preserve">конституционной системе Турции под словом </w:t>
      </w:r>
      <w:r w:rsidR="003F0749">
        <w:t>"</w:t>
      </w:r>
      <w:r w:rsidRPr="003F0749">
        <w:t>меньшинства</w:t>
      </w:r>
      <w:r w:rsidR="003F0749">
        <w:t>"</w:t>
      </w:r>
      <w:r w:rsidRPr="003F0749">
        <w:t xml:space="preserve"> понимаются только группы людей, которые определены и пр</w:t>
      </w:r>
      <w:r w:rsidRPr="003F0749">
        <w:t>и</w:t>
      </w:r>
      <w:r w:rsidRPr="003F0749">
        <w:t>знаны в качестве таковых в многосторонних и двухсторонних договорах, учас</w:t>
      </w:r>
      <w:r w:rsidRPr="003F0749">
        <w:t>т</w:t>
      </w:r>
      <w:r w:rsidRPr="003F0749">
        <w:t>ницей которых является Турция</w:t>
      </w:r>
      <w:r w:rsidR="002B6A52">
        <w:t>. В </w:t>
      </w:r>
      <w:r w:rsidRPr="003F0749">
        <w:t>связи с этим права меньшинств регулирую</w:t>
      </w:r>
      <w:r w:rsidRPr="003F0749">
        <w:t>т</w:t>
      </w:r>
      <w:r w:rsidRPr="003F0749">
        <w:t>ся положениями Лозаннского мирного договора, согласно которым только т</w:t>
      </w:r>
      <w:r w:rsidRPr="003F0749">
        <w:t>у</w:t>
      </w:r>
      <w:r w:rsidRPr="003F0749">
        <w:t>рецкие граждане, принадлежащие к немусульманским меньшинствам, подп</w:t>
      </w:r>
      <w:r w:rsidRPr="003F0749">
        <w:t>а</w:t>
      </w:r>
      <w:r w:rsidRPr="003F0749">
        <w:t xml:space="preserve">дают под определение термина </w:t>
      </w:r>
      <w:r w:rsidR="003F0749">
        <w:t>"</w:t>
      </w:r>
      <w:r w:rsidRPr="003F0749">
        <w:t>меньшинство</w:t>
      </w:r>
      <w:r w:rsidR="003F0749">
        <w:t>"</w:t>
      </w:r>
      <w:r w:rsidRPr="003F0749">
        <w:t xml:space="preserve">. Термин </w:t>
      </w:r>
      <w:r w:rsidR="003F0749">
        <w:t>"</w:t>
      </w:r>
      <w:r w:rsidRPr="003F0749">
        <w:t>меньшинство</w:t>
      </w:r>
      <w:r w:rsidR="003F0749">
        <w:t>"</w:t>
      </w:r>
      <w:r w:rsidRPr="003F0749">
        <w:t xml:space="preserve"> не м</w:t>
      </w:r>
      <w:r w:rsidRPr="003F0749">
        <w:t>о</w:t>
      </w:r>
      <w:r w:rsidRPr="003F0749">
        <w:t>жет применяться по отношению к турецким гражданам, исповедующим ислам.</w:t>
      </w:r>
    </w:p>
    <w:p w:rsidR="00DF5565" w:rsidRPr="003F0749" w:rsidRDefault="00DF5565" w:rsidP="00DF5565">
      <w:pPr>
        <w:pStyle w:val="SingleTxtGR"/>
      </w:pPr>
      <w:r w:rsidRPr="003F0749">
        <w:t>147.</w:t>
      </w:r>
      <w:r w:rsidRPr="003F0749">
        <w:tab/>
        <w:t>В статьях 37−45 Договора (раздел III) регулируются права и обязанности физических лиц, принадлежащих к немусульманским меньшинствам Турции. Эти положения признаются в качестве основополагающих правовых норм Ту</w:t>
      </w:r>
      <w:r w:rsidRPr="003F0749">
        <w:t>р</w:t>
      </w:r>
      <w:r w:rsidRPr="003F0749">
        <w:t>ции: оговорки, содержавшиеся в статьях 38−44, признаются в качестве основ</w:t>
      </w:r>
      <w:r w:rsidRPr="003F0749">
        <w:t>о</w:t>
      </w:r>
      <w:r w:rsidRPr="003F0749">
        <w:t>полагающих норм, и ни один закон, регламент или официальное действие не могут вступать с ними в коллизию или нарушать эти нормы; так же ни один з</w:t>
      </w:r>
      <w:r w:rsidRPr="003F0749">
        <w:t>а</w:t>
      </w:r>
      <w:r w:rsidRPr="003F0749">
        <w:t>кон, регламент или официальное действие не имеют преимущественной силы перед ними.</w:t>
      </w:r>
    </w:p>
    <w:p w:rsidR="00DF5565" w:rsidRPr="003F0749" w:rsidRDefault="00DF5565" w:rsidP="00DF5565">
      <w:pPr>
        <w:pStyle w:val="SingleTxtGR"/>
      </w:pPr>
      <w:r w:rsidRPr="003F0749">
        <w:t>148.</w:t>
      </w:r>
      <w:r w:rsidRPr="003F0749">
        <w:tab/>
        <w:t>В соответствии с конституциональной системой Турции, основанной на равенстве граждан перед законом, турецкие граждане, принадлежащие к нем</w:t>
      </w:r>
      <w:r w:rsidRPr="003F0749">
        <w:t>у</w:t>
      </w:r>
      <w:r w:rsidRPr="003F0749">
        <w:t>сульманским меньшинствам, пользуются такими же правами и осуществляют их наравне с остальными слоями населения</w:t>
      </w:r>
      <w:r w:rsidR="002B6A52">
        <w:t>. К </w:t>
      </w:r>
      <w:r w:rsidRPr="003F0749">
        <w:t>тому же в соответствии с Л</w:t>
      </w:r>
      <w:r w:rsidRPr="003F0749">
        <w:t>о</w:t>
      </w:r>
      <w:r w:rsidRPr="003F0749">
        <w:t xml:space="preserve">заннским мирным договором они пользуются статусом меньшинства. </w:t>
      </w:r>
    </w:p>
    <w:p w:rsidR="00DF5565" w:rsidRPr="003F0749" w:rsidRDefault="00DF5565" w:rsidP="00DF5565">
      <w:pPr>
        <w:pStyle w:val="SingleTxtGR"/>
      </w:pPr>
      <w:r w:rsidRPr="003F0749">
        <w:t>149.</w:t>
      </w:r>
      <w:r w:rsidRPr="003F0749">
        <w:tab/>
        <w:t>Турция соблюдает свои обязательства по Лозаннскому договору и пр</w:t>
      </w:r>
      <w:r w:rsidRPr="003F0749">
        <w:t>и</w:t>
      </w:r>
      <w:r w:rsidRPr="003F0749">
        <w:t>знает свои обязательства в отношении немусульманских меньшинств</w:t>
      </w:r>
      <w:r w:rsidR="002B6A52">
        <w:t>. В </w:t>
      </w:r>
      <w:r w:rsidRPr="003F0749">
        <w:t>том, что касается пункта 12 Заключительных замечаний Комитета, то в турецком з</w:t>
      </w:r>
      <w:r w:rsidRPr="003F0749">
        <w:t>а</w:t>
      </w:r>
      <w:r w:rsidRPr="003F0749">
        <w:t>конодательстве не было и не планируется никаких изменений определения те</w:t>
      </w:r>
      <w:r w:rsidRPr="003F0749">
        <w:t>р</w:t>
      </w:r>
      <w:r w:rsidRPr="003F0749">
        <w:t xml:space="preserve">мина </w:t>
      </w:r>
      <w:r w:rsidR="003F0749">
        <w:t>"</w:t>
      </w:r>
      <w:r w:rsidRPr="003F0749">
        <w:t>меньшинства</w:t>
      </w:r>
      <w:r w:rsidR="003F0749">
        <w:t>"</w:t>
      </w:r>
      <w:r w:rsidRPr="003F0749">
        <w:t xml:space="preserve">. </w:t>
      </w:r>
    </w:p>
    <w:p w:rsidR="00DF5565" w:rsidRPr="003F0749" w:rsidRDefault="00DF5565" w:rsidP="00DF5565">
      <w:pPr>
        <w:pStyle w:val="SingleTxtGR"/>
      </w:pPr>
      <w:r w:rsidRPr="003F0749">
        <w:t>150.</w:t>
      </w:r>
      <w:r w:rsidRPr="003F0749">
        <w:tab/>
        <w:t>Турецкая Республика крайне бережно относится к своему наследию ме</w:t>
      </w:r>
      <w:r w:rsidRPr="003F0749">
        <w:t>ж</w:t>
      </w:r>
      <w:r w:rsidRPr="003F0749">
        <w:t>конфессиональной терпимости и культурного плюрализма. Немусульманские культовые здания находятся в ведении их собственных ассоциаций или фондов. Права собственности на культовые здания принадлежат физическим или юр</w:t>
      </w:r>
      <w:r w:rsidRPr="003F0749">
        <w:t>и</w:t>
      </w:r>
      <w:r w:rsidRPr="003F0749">
        <w:t>дическим лицам, которые их построили. У немусульманских меньшинств есть свои школы, больницы и средства массовой информации</w:t>
      </w:r>
      <w:r w:rsidR="002B6A52">
        <w:t>. В </w:t>
      </w:r>
      <w:r w:rsidRPr="003F0749">
        <w:t>Турции религио</w:t>
      </w:r>
      <w:r w:rsidRPr="003F0749">
        <w:t>з</w:t>
      </w:r>
      <w:r w:rsidRPr="003F0749">
        <w:t>ные обряды могут отправлять иностранные священнослужители</w:t>
      </w:r>
      <w:r w:rsidR="002B6A52">
        <w:t>. В </w:t>
      </w:r>
      <w:r w:rsidRPr="003F0749">
        <w:t>Турции з</w:t>
      </w:r>
      <w:r w:rsidRPr="003F0749">
        <w:t>а</w:t>
      </w:r>
      <w:r w:rsidRPr="003F0749">
        <w:t>регистрирован ряд иностранных священнослужителей, получивших разреш</w:t>
      </w:r>
      <w:r w:rsidRPr="003F0749">
        <w:t>е</w:t>
      </w:r>
      <w:r w:rsidRPr="003F0749">
        <w:t>ние на работу, которые служат в этих культовых зданиях</w:t>
      </w:r>
      <w:r w:rsidR="002B6A52">
        <w:t>. В </w:t>
      </w:r>
      <w:r w:rsidRPr="003F0749">
        <w:t>Турции существует 387 культовых зданий, которые принадлежат немусульманским общинам, вкл</w:t>
      </w:r>
      <w:r w:rsidRPr="003F0749">
        <w:t>ю</w:t>
      </w:r>
      <w:r w:rsidRPr="003F0749">
        <w:t xml:space="preserve">чая 87 церквей, которыми заведуют иностранцы, проживающие в Турции. </w:t>
      </w:r>
    </w:p>
    <w:p w:rsidR="00DF5565" w:rsidRPr="003F0749" w:rsidRDefault="00DF5565" w:rsidP="00DF5565">
      <w:pPr>
        <w:pStyle w:val="SingleTxtGR"/>
      </w:pPr>
      <w:r w:rsidRPr="003F0749">
        <w:t>151.</w:t>
      </w:r>
      <w:r w:rsidRPr="003F0749">
        <w:tab/>
        <w:t>Что касается вопросов, возникающих в связи недвижимой собственн</w:t>
      </w:r>
      <w:r w:rsidRPr="003F0749">
        <w:t>о</w:t>
      </w:r>
      <w:r w:rsidRPr="003F0749">
        <w:t>стью фондов немусульманских меньшинств, то для исправления положения т</w:t>
      </w:r>
      <w:r w:rsidRPr="003F0749">
        <w:t>у</w:t>
      </w:r>
      <w:r w:rsidRPr="003F0749">
        <w:t>рецкое правительство внесло в законодательство ряд необходимых поправок. Новый закон о фондах (</w:t>
      </w:r>
      <w:r w:rsidR="008D3B03">
        <w:t xml:space="preserve">№ </w:t>
      </w:r>
      <w:r w:rsidRPr="003F0749">
        <w:t>5737) был принят в 2008</w:t>
      </w:r>
      <w:r w:rsidR="002B6A52">
        <w:t> год</w:t>
      </w:r>
      <w:r w:rsidRPr="003F0749">
        <w:t>у. После принятия этого Закона просьбы о регистрации 1</w:t>
      </w:r>
      <w:r w:rsidR="008D3B03">
        <w:t> </w:t>
      </w:r>
      <w:r w:rsidRPr="003F0749">
        <w:t>410 объектов недвижимой собственности п</w:t>
      </w:r>
      <w:r w:rsidRPr="003F0749">
        <w:t>о</w:t>
      </w:r>
      <w:r w:rsidRPr="003F0749">
        <w:t xml:space="preserve">дали 105 общинных фондов. После подачи заявлений на имя общинных фондов было зарегистрировано 181 объект недвижимой собственности. </w:t>
      </w:r>
    </w:p>
    <w:p w:rsidR="00DF5565" w:rsidRPr="003F0749" w:rsidRDefault="00DF5565" w:rsidP="00DF5565">
      <w:pPr>
        <w:pStyle w:val="SingleTxtGR"/>
      </w:pPr>
      <w:r w:rsidRPr="003F0749">
        <w:t>152.</w:t>
      </w:r>
      <w:r w:rsidRPr="003F0749">
        <w:tab/>
        <w:t>В соответствии с решением Европейского суда по правам человека в 2010</w:t>
      </w:r>
      <w:r w:rsidR="002B6A52">
        <w:t> год</w:t>
      </w:r>
      <w:r w:rsidRPr="003F0749">
        <w:t xml:space="preserve">у в собственность Патриархии Константинопольской Православной Церкви было возвращено здание бывшего детского приюта на острове </w:t>
      </w:r>
      <w:proofErr w:type="spellStart"/>
      <w:r w:rsidRPr="003F0749">
        <w:t>Бююда</w:t>
      </w:r>
      <w:proofErr w:type="spellEnd"/>
      <w:r w:rsidRPr="003F0749">
        <w:t>.</w:t>
      </w:r>
    </w:p>
    <w:p w:rsidR="00DF5565" w:rsidRPr="003F0749" w:rsidRDefault="00DF5565" w:rsidP="00DF5565">
      <w:pPr>
        <w:pStyle w:val="SingleTxtGR"/>
      </w:pPr>
      <w:r w:rsidRPr="003F0749">
        <w:t>153.</w:t>
      </w:r>
      <w:r w:rsidRPr="003F0749">
        <w:tab/>
        <w:t>27 августа 2011</w:t>
      </w:r>
      <w:r w:rsidR="002B6A52">
        <w:t> год</w:t>
      </w:r>
      <w:r w:rsidRPr="003F0749">
        <w:t>а был издан указ, вносящий новые поправки в Закон о фондах, в целях дальнейшего улучшения положения фондов немусульманских общин в отношении регистрации объектов их недвижимой собственности. Предварительные статьи Закона о фондах и указ позволили общинным фондам обращаться в соответствующие сроки за регистрацией объектов недвижимости на их имя</w:t>
      </w:r>
      <w:r w:rsidR="002B6A52">
        <w:t>. В </w:t>
      </w:r>
      <w:r w:rsidRPr="003F0749">
        <w:t>результате этого общинным фондам было возвращено 307 объе</w:t>
      </w:r>
      <w:r w:rsidRPr="003F0749">
        <w:t>к</w:t>
      </w:r>
      <w:r w:rsidRPr="003F0749">
        <w:t>тов недвижимости, и было решено выплатить компенсацию за 21 объект н</w:t>
      </w:r>
      <w:r w:rsidRPr="003F0749">
        <w:t>е</w:t>
      </w:r>
      <w:r w:rsidRPr="003F0749">
        <w:t xml:space="preserve">движимой собственности. </w:t>
      </w:r>
    </w:p>
    <w:p w:rsidR="00DF5565" w:rsidRPr="003F0749" w:rsidRDefault="00DF5565" w:rsidP="00DF5565">
      <w:pPr>
        <w:pStyle w:val="SingleTxtGR"/>
      </w:pPr>
      <w:r w:rsidRPr="003F0749">
        <w:t>154.</w:t>
      </w:r>
      <w:r w:rsidRPr="003F0749">
        <w:tab/>
        <w:t>Совет по фондам Генерального директората по фондам 7 октября 2013</w:t>
      </w:r>
      <w:r w:rsidR="002B6A52">
        <w:t> год</w:t>
      </w:r>
      <w:r w:rsidRPr="003F0749">
        <w:t>а единогласно одобрил решение вернуть в собственность монасты</w:t>
      </w:r>
      <w:r w:rsidRPr="003F0749">
        <w:t>р</w:t>
      </w:r>
      <w:r w:rsidRPr="003F0749">
        <w:t xml:space="preserve">скому фонду монастырь </w:t>
      </w:r>
      <w:proofErr w:type="spellStart"/>
      <w:r w:rsidRPr="003F0749">
        <w:t>Мор-Габриэль</w:t>
      </w:r>
      <w:proofErr w:type="spellEnd"/>
      <w:r w:rsidRPr="003F0749">
        <w:t xml:space="preserve">. </w:t>
      </w:r>
    </w:p>
    <w:p w:rsidR="00DF5565" w:rsidRPr="003F0749" w:rsidRDefault="00DF5565" w:rsidP="00DF5565">
      <w:pPr>
        <w:pStyle w:val="SingleTxtGR"/>
      </w:pPr>
      <w:r w:rsidRPr="003F0749">
        <w:t>155.</w:t>
      </w:r>
      <w:r w:rsidRPr="003F0749">
        <w:tab/>
        <w:t>Что касается пункта 18 Заключительных замечаний Комитета, то туре</w:t>
      </w:r>
      <w:r w:rsidRPr="003F0749">
        <w:t>ц</w:t>
      </w:r>
      <w:r w:rsidRPr="003F0749">
        <w:t xml:space="preserve">кое правительство намерено возобновить деятельность Греческой православной духовной семинарии на острове </w:t>
      </w:r>
      <w:proofErr w:type="spellStart"/>
      <w:r w:rsidRPr="003F0749">
        <w:t>Хейбелиада</w:t>
      </w:r>
      <w:proofErr w:type="spellEnd"/>
      <w:r w:rsidRPr="003F0749">
        <w:t xml:space="preserve"> (</w:t>
      </w:r>
      <w:proofErr w:type="spellStart"/>
      <w:r w:rsidRPr="003F0749">
        <w:t>Халки</w:t>
      </w:r>
      <w:proofErr w:type="spellEnd"/>
      <w:r w:rsidRPr="003F0749">
        <w:t>) на постоянной основе</w:t>
      </w:r>
      <w:r w:rsidR="002B6A52">
        <w:t>. В </w:t>
      </w:r>
      <w:r w:rsidRPr="003F0749">
        <w:t xml:space="preserve">этих целях в конструктивном ключе продолжаются соответствующие усилия. </w:t>
      </w:r>
    </w:p>
    <w:p w:rsidR="00DF5565" w:rsidRPr="003F0749" w:rsidRDefault="00DF5565" w:rsidP="00DF5565">
      <w:pPr>
        <w:pStyle w:val="SingleTxtGR"/>
      </w:pPr>
      <w:r w:rsidRPr="003F0749">
        <w:t>156.</w:t>
      </w:r>
      <w:r w:rsidRPr="003F0749">
        <w:tab/>
        <w:t>Что касается свободы вероисповедания, то кроме возвращения объектов недвижимости общинным фондам в отчетный период были отремонтированы культовые здания, принадлежащие гражданам различных конфессиональных групп</w:t>
      </w:r>
      <w:r w:rsidR="002B6A52">
        <w:t>. В </w:t>
      </w:r>
      <w:r w:rsidRPr="003F0749">
        <w:t>октябре 2011</w:t>
      </w:r>
      <w:r w:rsidR="002B6A52">
        <w:t> год</w:t>
      </w:r>
      <w:r w:rsidRPr="003F0749">
        <w:t>а после реставрации, длившейся почти два</w:t>
      </w:r>
      <w:r w:rsidR="002B6A52">
        <w:t> год</w:t>
      </w:r>
      <w:r w:rsidRPr="003F0749">
        <w:t>а, в</w:t>
      </w:r>
      <w:r w:rsidRPr="003F0749">
        <w:t>о</w:t>
      </w:r>
      <w:r w:rsidRPr="003F0749">
        <w:t xml:space="preserve">зобновились службы в церкви Св. </w:t>
      </w:r>
      <w:proofErr w:type="spellStart"/>
      <w:r w:rsidRPr="003F0749">
        <w:t>Киракоса</w:t>
      </w:r>
      <w:proofErr w:type="spellEnd"/>
      <w:r w:rsidRPr="003F0749">
        <w:t xml:space="preserve"> в </w:t>
      </w:r>
      <w:proofErr w:type="spellStart"/>
      <w:r w:rsidRPr="003F0749">
        <w:t>Диярбакыре</w:t>
      </w:r>
      <w:proofErr w:type="spellEnd"/>
      <w:r w:rsidRPr="003F0749">
        <w:t>. После реставрации возобновила службы после состоявшейся 28 декабря 2011</w:t>
      </w:r>
      <w:r w:rsidR="002B6A52">
        <w:t> год</w:t>
      </w:r>
      <w:r w:rsidRPr="003F0749">
        <w:t xml:space="preserve">а торжественной церемонии расположенная в районе </w:t>
      </w:r>
      <w:proofErr w:type="spellStart"/>
      <w:r w:rsidRPr="003F0749">
        <w:t>Кумкапы</w:t>
      </w:r>
      <w:proofErr w:type="spellEnd"/>
      <w:r w:rsidRPr="003F0749">
        <w:t xml:space="preserve"> церковь </w:t>
      </w:r>
      <w:proofErr w:type="spellStart"/>
      <w:r w:rsidRPr="003F0749">
        <w:t>Вордвоц</w:t>
      </w:r>
      <w:proofErr w:type="spellEnd"/>
      <w:r w:rsidRPr="003F0749">
        <w:t xml:space="preserve"> </w:t>
      </w:r>
      <w:proofErr w:type="spellStart"/>
      <w:r w:rsidRPr="003F0749">
        <w:t>Воротман</w:t>
      </w:r>
      <w:proofErr w:type="spellEnd"/>
      <w:r w:rsidRPr="003F0749">
        <w:t>, пр</w:t>
      </w:r>
      <w:r w:rsidRPr="003F0749">
        <w:t>и</w:t>
      </w:r>
      <w:r w:rsidRPr="003F0749">
        <w:t>надлежащая фонду Девы Марии Армянской апостольской церкви</w:t>
      </w:r>
      <w:r w:rsidR="002B6A52">
        <w:t>. В </w:t>
      </w:r>
      <w:r w:rsidRPr="003F0749">
        <w:t>июне 2013</w:t>
      </w:r>
      <w:r w:rsidR="002B6A52">
        <w:t> год</w:t>
      </w:r>
      <w:r w:rsidRPr="003F0749">
        <w:t xml:space="preserve">а муниципалитет города </w:t>
      </w:r>
      <w:proofErr w:type="spellStart"/>
      <w:r w:rsidRPr="003F0749">
        <w:t>Малатья</w:t>
      </w:r>
      <w:proofErr w:type="spellEnd"/>
      <w:r w:rsidRPr="003F0749">
        <w:t xml:space="preserve"> отремонтировал и ввел в эксплуат</w:t>
      </w:r>
      <w:r w:rsidRPr="003F0749">
        <w:t>а</w:t>
      </w:r>
      <w:r w:rsidRPr="003F0749">
        <w:t xml:space="preserve">цию несколько зданий на армянском кладбище города </w:t>
      </w:r>
      <w:proofErr w:type="spellStart"/>
      <w:r w:rsidRPr="003F0749">
        <w:t>Малатья</w:t>
      </w:r>
      <w:proofErr w:type="spellEnd"/>
      <w:r w:rsidRPr="003F0749">
        <w:t>. Кроме того, община Ассирийской церкви, проживающая в Стамбуле и испытывавшая тру</w:t>
      </w:r>
      <w:r w:rsidRPr="003F0749">
        <w:t>д</w:t>
      </w:r>
      <w:r w:rsidRPr="003F0749">
        <w:t>ности в отправлении своих религиозных обрядов, попросила выделить земел</w:t>
      </w:r>
      <w:r w:rsidRPr="003F0749">
        <w:t>ь</w:t>
      </w:r>
      <w:r w:rsidRPr="003F0749">
        <w:t>ный уч</w:t>
      </w:r>
      <w:r w:rsidRPr="003F0749">
        <w:t>а</w:t>
      </w:r>
      <w:r w:rsidRPr="003F0749">
        <w:t xml:space="preserve">сток для строительства в Стамбуле новой церкви; муниципалитет Стамбула удовлетворил эту просьбу. </w:t>
      </w:r>
    </w:p>
    <w:p w:rsidR="00DF5565" w:rsidRPr="003F0749" w:rsidRDefault="00DF5565" w:rsidP="00AC5114">
      <w:pPr>
        <w:pStyle w:val="SingleTxtGR"/>
        <w:keepLines/>
      </w:pPr>
      <w:r w:rsidRPr="003F0749">
        <w:t>157.</w:t>
      </w:r>
      <w:r w:rsidRPr="003F0749">
        <w:tab/>
        <w:t>Кроме того, после изменения 30 марта 2013</w:t>
      </w:r>
      <w:r w:rsidR="002B6A52">
        <w:t> год</w:t>
      </w:r>
      <w:r w:rsidRPr="003F0749">
        <w:t xml:space="preserve">а Закона </w:t>
      </w:r>
      <w:r w:rsidR="002B6A52">
        <w:t>№ </w:t>
      </w:r>
      <w:r w:rsidRPr="003F0749">
        <w:t>6446 о рынке электроэнергии все счета за электроэнергию культовых зданий будут покр</w:t>
      </w:r>
      <w:r w:rsidRPr="003F0749">
        <w:t>ы</w:t>
      </w:r>
      <w:r w:rsidRPr="003F0749">
        <w:t xml:space="preserve">ваться за счет фонда из бюджета Директората по делам религий. Кроме мечетей этим правом воспользуются 387 церквей и синагог. </w:t>
      </w:r>
    </w:p>
    <w:p w:rsidR="00DF5565" w:rsidRPr="003F0749" w:rsidRDefault="00DF5565" w:rsidP="00DF5565">
      <w:pPr>
        <w:pStyle w:val="SingleTxtGR"/>
      </w:pPr>
      <w:r w:rsidRPr="003F0749">
        <w:t>158.</w:t>
      </w:r>
      <w:r w:rsidRPr="003F0749">
        <w:tab/>
        <w:t>В отчетный период для укрепления атмосферы терпимости и взаимоп</w:t>
      </w:r>
      <w:r w:rsidRPr="003F0749">
        <w:t>о</w:t>
      </w:r>
      <w:r w:rsidRPr="003F0749">
        <w:t>нимания были организованы следующие религиозные службы:</w:t>
      </w:r>
    </w:p>
    <w:p w:rsidR="00DF5565" w:rsidRPr="003F0749" w:rsidRDefault="00DF5565" w:rsidP="00AC5114">
      <w:pPr>
        <w:pStyle w:val="Bullet1GR"/>
      </w:pPr>
      <w:r w:rsidRPr="003F0749">
        <w:t xml:space="preserve">В историческом монастыре Панагия Сумела в округе Мачка провинции </w:t>
      </w:r>
      <w:proofErr w:type="spellStart"/>
      <w:r w:rsidRPr="003F0749">
        <w:t>Трабзон</w:t>
      </w:r>
      <w:proofErr w:type="spellEnd"/>
      <w:r w:rsidRPr="003F0749">
        <w:t xml:space="preserve"> 15 августа 2010</w:t>
      </w:r>
      <w:r w:rsidR="002B6A52">
        <w:t> год</w:t>
      </w:r>
      <w:r w:rsidRPr="003F0749">
        <w:t>а, 15 августа 2011</w:t>
      </w:r>
      <w:r w:rsidR="002B6A52">
        <w:t> год</w:t>
      </w:r>
      <w:r w:rsidRPr="003F0749">
        <w:t>а, 15 августа 2012</w:t>
      </w:r>
      <w:r w:rsidR="002B6A52">
        <w:t> год</w:t>
      </w:r>
      <w:r w:rsidRPr="003F0749">
        <w:t>а и 15 августа 2013</w:t>
      </w:r>
      <w:r w:rsidR="002B6A52">
        <w:t> год</w:t>
      </w:r>
      <w:r w:rsidRPr="003F0749">
        <w:t xml:space="preserve">а; </w:t>
      </w:r>
    </w:p>
    <w:p w:rsidR="00DF5565" w:rsidRPr="003F0749" w:rsidRDefault="00DF5565" w:rsidP="00AC5114">
      <w:pPr>
        <w:pStyle w:val="Bullet1GR"/>
      </w:pPr>
      <w:r w:rsidRPr="003F0749">
        <w:t xml:space="preserve">В армянской церкви </w:t>
      </w:r>
      <w:proofErr w:type="spellStart"/>
      <w:r w:rsidRPr="003F0749">
        <w:t>Сурб</w:t>
      </w:r>
      <w:proofErr w:type="spellEnd"/>
      <w:r w:rsidRPr="003F0749">
        <w:t xml:space="preserve"> </w:t>
      </w:r>
      <w:proofErr w:type="spellStart"/>
      <w:r w:rsidRPr="003F0749">
        <w:t>Хач</w:t>
      </w:r>
      <w:proofErr w:type="spellEnd"/>
      <w:r w:rsidRPr="003F0749">
        <w:t xml:space="preserve">, остров </w:t>
      </w:r>
      <w:proofErr w:type="spellStart"/>
      <w:r w:rsidRPr="003F0749">
        <w:t>Ахтамар</w:t>
      </w:r>
      <w:proofErr w:type="spellEnd"/>
      <w:r w:rsidRPr="003F0749">
        <w:t xml:space="preserve"> на озере Ван, 19 сентября 2010</w:t>
      </w:r>
      <w:r w:rsidR="002B6A52">
        <w:t> год</w:t>
      </w:r>
      <w:r w:rsidRPr="003F0749">
        <w:t>а, 11 сентября 2011</w:t>
      </w:r>
      <w:r w:rsidR="002B6A52">
        <w:t> год</w:t>
      </w:r>
      <w:r w:rsidRPr="003F0749">
        <w:t>а, 9 сентября 2012</w:t>
      </w:r>
      <w:r w:rsidR="002B6A52">
        <w:t> год</w:t>
      </w:r>
      <w:r w:rsidRPr="003F0749">
        <w:t>а и 8 се</w:t>
      </w:r>
      <w:r w:rsidRPr="003F0749">
        <w:t>н</w:t>
      </w:r>
      <w:r w:rsidRPr="003F0749">
        <w:t>тября 2013</w:t>
      </w:r>
      <w:r w:rsidR="002B6A52">
        <w:t> год</w:t>
      </w:r>
      <w:r w:rsidRPr="003F0749">
        <w:t xml:space="preserve">а; </w:t>
      </w:r>
    </w:p>
    <w:p w:rsidR="00DF5565" w:rsidRPr="003F0749" w:rsidRDefault="00DF5565" w:rsidP="00AC5114">
      <w:pPr>
        <w:pStyle w:val="Bullet1GR"/>
      </w:pPr>
      <w:r w:rsidRPr="003F0749">
        <w:t xml:space="preserve">В мечети </w:t>
      </w:r>
      <w:proofErr w:type="spellStart"/>
      <w:r w:rsidRPr="003F0749">
        <w:t>Пазар</w:t>
      </w:r>
      <w:proofErr w:type="spellEnd"/>
      <w:r w:rsidRPr="003F0749">
        <w:t xml:space="preserve"> </w:t>
      </w:r>
      <w:proofErr w:type="spellStart"/>
      <w:r w:rsidRPr="003F0749">
        <w:t>Йери</w:t>
      </w:r>
      <w:proofErr w:type="spellEnd"/>
      <w:r w:rsidRPr="003F0749">
        <w:t xml:space="preserve">, которая 88 лет назад была церковью, в районе </w:t>
      </w:r>
      <w:proofErr w:type="spellStart"/>
      <w:r w:rsidRPr="003F0749">
        <w:t>Ал</w:t>
      </w:r>
      <w:r w:rsidRPr="003F0749">
        <w:t>а</w:t>
      </w:r>
      <w:r w:rsidRPr="003F0749">
        <w:t>чати</w:t>
      </w:r>
      <w:proofErr w:type="spellEnd"/>
      <w:r w:rsidRPr="003F0749">
        <w:t xml:space="preserve"> Измира, 28 мая 2011</w:t>
      </w:r>
      <w:r w:rsidR="002B6A52">
        <w:t> год</w:t>
      </w:r>
      <w:r w:rsidRPr="003F0749">
        <w:t xml:space="preserve">а; </w:t>
      </w:r>
    </w:p>
    <w:p w:rsidR="00DF5565" w:rsidRPr="003F0749" w:rsidRDefault="00DF5565" w:rsidP="00AC5114">
      <w:pPr>
        <w:pStyle w:val="Bullet1GR"/>
      </w:pPr>
      <w:r w:rsidRPr="003F0749">
        <w:t xml:space="preserve">В армянской церкви Св. </w:t>
      </w:r>
      <w:proofErr w:type="spellStart"/>
      <w:r w:rsidRPr="003F0749">
        <w:t>Киракоса</w:t>
      </w:r>
      <w:proofErr w:type="spellEnd"/>
      <w:r w:rsidRPr="003F0749">
        <w:t xml:space="preserve"> в районе Сур </w:t>
      </w:r>
      <w:proofErr w:type="spellStart"/>
      <w:r w:rsidRPr="003F0749">
        <w:t>Диярбакыра</w:t>
      </w:r>
      <w:proofErr w:type="spellEnd"/>
      <w:r w:rsidRPr="003F0749">
        <w:t>, 23 октября 2011</w:t>
      </w:r>
      <w:r w:rsidR="002B6A52">
        <w:t> год</w:t>
      </w:r>
      <w:r w:rsidRPr="003F0749">
        <w:t>а и 10 сентября 2013</w:t>
      </w:r>
      <w:r w:rsidR="002B6A52">
        <w:t> год</w:t>
      </w:r>
      <w:r w:rsidRPr="003F0749">
        <w:t>а;</w:t>
      </w:r>
    </w:p>
    <w:p w:rsidR="00DF5565" w:rsidRPr="003F0749" w:rsidRDefault="00DF5565" w:rsidP="00AC5114">
      <w:pPr>
        <w:pStyle w:val="Bullet1GR"/>
      </w:pPr>
      <w:r w:rsidRPr="003F0749">
        <w:t xml:space="preserve">В церкви Св. Георгия в районе </w:t>
      </w:r>
      <w:proofErr w:type="spellStart"/>
      <w:r w:rsidRPr="003F0749">
        <w:t>Хидир</w:t>
      </w:r>
      <w:proofErr w:type="spellEnd"/>
      <w:r w:rsidRPr="003F0749">
        <w:t xml:space="preserve"> </w:t>
      </w:r>
      <w:proofErr w:type="spellStart"/>
      <w:r w:rsidRPr="003F0749">
        <w:t>Ильяс</w:t>
      </w:r>
      <w:proofErr w:type="spellEnd"/>
      <w:r w:rsidRPr="003F0749">
        <w:t xml:space="preserve"> </w:t>
      </w:r>
      <w:proofErr w:type="spellStart"/>
      <w:r w:rsidRPr="003F0749">
        <w:t>Аланьи</w:t>
      </w:r>
      <w:proofErr w:type="spellEnd"/>
      <w:r w:rsidRPr="003F0749">
        <w:t xml:space="preserve"> ,14 апреля 2013</w:t>
      </w:r>
      <w:r w:rsidR="002B6A52">
        <w:t> год</w:t>
      </w:r>
      <w:r w:rsidRPr="003F0749">
        <w:t>а.</w:t>
      </w:r>
    </w:p>
    <w:p w:rsidR="00DF5565" w:rsidRPr="003F0749" w:rsidRDefault="00DF5565" w:rsidP="00DF5565">
      <w:pPr>
        <w:pStyle w:val="SingleTxtGR"/>
      </w:pPr>
      <w:r w:rsidRPr="003F0749">
        <w:t>159.</w:t>
      </w:r>
      <w:r w:rsidRPr="003F0749">
        <w:tab/>
        <w:t>В области образования 28 марта 2013</w:t>
      </w:r>
      <w:r w:rsidR="002B6A52">
        <w:t> год</w:t>
      </w:r>
      <w:r w:rsidRPr="003F0749">
        <w:t xml:space="preserve">а греческая община района </w:t>
      </w:r>
      <w:proofErr w:type="spellStart"/>
      <w:r w:rsidRPr="003F0749">
        <w:t>Г</w:t>
      </w:r>
      <w:r w:rsidRPr="003F0749">
        <w:t>е</w:t>
      </w:r>
      <w:r w:rsidRPr="003F0749">
        <w:t>чеада</w:t>
      </w:r>
      <w:proofErr w:type="spellEnd"/>
      <w:r w:rsidRPr="003F0749">
        <w:t xml:space="preserve"> после соответствующего ходатайства получила разрешение открыть шк</w:t>
      </w:r>
      <w:r w:rsidRPr="003F0749">
        <w:t>о</w:t>
      </w:r>
      <w:r w:rsidRPr="003F0749">
        <w:t>лу для греческого меньшинства. Указанная школа была открыта в 2013</w:t>
      </w:r>
      <w:r w:rsidR="00AC5114">
        <w:t>/</w:t>
      </w:r>
      <w:r w:rsidRPr="003F0749">
        <w:t>14</w:t>
      </w:r>
      <w:r w:rsidR="00AC5114">
        <w:t xml:space="preserve"> </w:t>
      </w:r>
      <w:r w:rsidRPr="003F0749">
        <w:t>уче</w:t>
      </w:r>
      <w:r w:rsidRPr="003F0749">
        <w:t>б</w:t>
      </w:r>
      <w:r w:rsidRPr="003F0749">
        <w:t>ном</w:t>
      </w:r>
      <w:r w:rsidR="00AC5114">
        <w:t xml:space="preserve"> </w:t>
      </w:r>
      <w:r w:rsidR="002B6A52">
        <w:t>год</w:t>
      </w:r>
      <w:r w:rsidRPr="003F0749">
        <w:t xml:space="preserve">у, и в ней начались занятия. </w:t>
      </w:r>
    </w:p>
    <w:p w:rsidR="00DF5565" w:rsidRPr="003F0749" w:rsidRDefault="00DF5565" w:rsidP="00DF5565">
      <w:pPr>
        <w:pStyle w:val="SingleTxtGR"/>
      </w:pPr>
      <w:r w:rsidRPr="003F0749">
        <w:t>160.</w:t>
      </w:r>
      <w:r w:rsidRPr="003F0749">
        <w:tab/>
        <w:t>Кроме того, 13-й административный суд Анкары постановил, что нет препятствий для удовлетворения просьбы граждан ассирийского происхожд</w:t>
      </w:r>
      <w:r w:rsidRPr="003F0749">
        <w:t>е</w:t>
      </w:r>
      <w:r w:rsidRPr="003F0749">
        <w:t xml:space="preserve">ния о включении обучения с преподаванием на ассирийском языке в учебную программу дошкольного образования министерства национального образования в определенные часы и дни недели по линии общинного фонда. </w:t>
      </w:r>
    </w:p>
    <w:p w:rsidR="00DF5565" w:rsidRPr="003F0749" w:rsidRDefault="00DF5565" w:rsidP="00DF5565">
      <w:pPr>
        <w:pStyle w:val="SingleTxtGR"/>
      </w:pPr>
      <w:r w:rsidRPr="003F0749">
        <w:t>161.</w:t>
      </w:r>
      <w:r w:rsidRPr="003F0749">
        <w:tab/>
        <w:t>Чтобы содействовать формированию уважительного отношения к мен</w:t>
      </w:r>
      <w:r w:rsidRPr="003F0749">
        <w:t>ь</w:t>
      </w:r>
      <w:r w:rsidRPr="003F0749">
        <w:t>шинствам и обеспечению их защиты, 13 мая 2013</w:t>
      </w:r>
      <w:r w:rsidR="002B6A52">
        <w:t> год</w:t>
      </w:r>
      <w:r w:rsidRPr="003F0749">
        <w:t xml:space="preserve">а премьер-министр издал циркуляр, в котором подчеркивалось, что граждане различных </w:t>
      </w:r>
      <w:proofErr w:type="spellStart"/>
      <w:r w:rsidRPr="003F0749">
        <w:t>конфессий</w:t>
      </w:r>
      <w:proofErr w:type="spellEnd"/>
      <w:r w:rsidRPr="003F0749">
        <w:t xml:space="preserve"> обр</w:t>
      </w:r>
      <w:r w:rsidRPr="003F0749">
        <w:t>а</w:t>
      </w:r>
      <w:r w:rsidRPr="003F0749">
        <w:t>зуют неразрывную часть турецкого общества; при этом всем государственным учреждениям напоминалось, что они обязаны не чинить препятствий и не н</w:t>
      </w:r>
      <w:r w:rsidRPr="003F0749">
        <w:t>а</w:t>
      </w:r>
      <w:r w:rsidRPr="003F0749">
        <w:t>рушать прав меньшинств своими актами и действиями в государственных у</w:t>
      </w:r>
      <w:r w:rsidRPr="003F0749">
        <w:t>ч</w:t>
      </w:r>
      <w:r w:rsidRPr="003F0749">
        <w:t>реждениях, как того требует закон. Этот циркуляр скрупулезно исполняется.</w:t>
      </w:r>
    </w:p>
    <w:p w:rsidR="00DF5565" w:rsidRPr="003F0749" w:rsidRDefault="00DF5565" w:rsidP="00DF5565">
      <w:pPr>
        <w:pStyle w:val="SingleTxtGR"/>
      </w:pPr>
      <w:r w:rsidRPr="003F0749">
        <w:t>162.</w:t>
      </w:r>
      <w:r w:rsidRPr="003F0749">
        <w:tab/>
        <w:t>В отчетный период активизировался диалог между различными конфе</w:t>
      </w:r>
      <w:r w:rsidRPr="003F0749">
        <w:t>с</w:t>
      </w:r>
      <w:r w:rsidRPr="003F0749">
        <w:t>сиональными группами. 14 февраля 2012</w:t>
      </w:r>
      <w:r w:rsidR="002B6A52">
        <w:t> год</w:t>
      </w:r>
      <w:r w:rsidRPr="003F0749">
        <w:t xml:space="preserve">а под эгидой бывшего министра по делам ЕС, ответственного за переговорный процесс, </w:t>
      </w:r>
      <w:proofErr w:type="spellStart"/>
      <w:r w:rsidRPr="003F0749">
        <w:t>Эгемена</w:t>
      </w:r>
      <w:proofErr w:type="spellEnd"/>
      <w:r w:rsidRPr="003F0749">
        <w:t xml:space="preserve"> </w:t>
      </w:r>
      <w:proofErr w:type="spellStart"/>
      <w:r w:rsidRPr="003F0749">
        <w:t>Багыза</w:t>
      </w:r>
      <w:proofErr w:type="spellEnd"/>
      <w:r w:rsidRPr="003F0749">
        <w:t xml:space="preserve"> в Стамб</w:t>
      </w:r>
      <w:r w:rsidRPr="003F0749">
        <w:t>у</w:t>
      </w:r>
      <w:r w:rsidRPr="003F0749">
        <w:t>ле состоялась пятая встреча в рамках Диалога гражданского общества, в кот</w:t>
      </w:r>
      <w:r w:rsidRPr="003F0749">
        <w:t>о</w:t>
      </w:r>
      <w:r w:rsidRPr="003F0749">
        <w:t>ром приняли участие почти 300 организаций, фондов и ассоциаций, предста</w:t>
      </w:r>
      <w:r w:rsidRPr="003F0749">
        <w:t>в</w:t>
      </w:r>
      <w:r w:rsidRPr="003F0749">
        <w:t>ляющих граждан различных конфессиональных групп, а также духовные лид</w:t>
      </w:r>
      <w:r w:rsidRPr="003F0749">
        <w:t>е</w:t>
      </w:r>
      <w:r w:rsidRPr="003F0749">
        <w:t>ры общин. На встрече были обсуждены проблемы, стоящие перед гражданами различных конфессиональных групп, а также предложения и рекомендации о</w:t>
      </w:r>
      <w:r w:rsidRPr="003F0749">
        <w:t>р</w:t>
      </w:r>
      <w:r w:rsidRPr="003F0749">
        <w:t>ганизаций гражданского общества относительно их решения; были сделаны оценки, касающиеся процесса присоединения Турции к ЕС. 3 марта 2012</w:t>
      </w:r>
      <w:r w:rsidR="002B6A52">
        <w:t> год</w:t>
      </w:r>
      <w:r w:rsidRPr="003F0749">
        <w:t xml:space="preserve">а министр иностранных дел </w:t>
      </w:r>
      <w:proofErr w:type="spellStart"/>
      <w:r w:rsidRPr="003F0749">
        <w:t>Ахмет</w:t>
      </w:r>
      <w:proofErr w:type="spellEnd"/>
      <w:r w:rsidRPr="003F0749">
        <w:t xml:space="preserve"> </w:t>
      </w:r>
      <w:proofErr w:type="spellStart"/>
      <w:r w:rsidRPr="003F0749">
        <w:t>Давутоглу</w:t>
      </w:r>
      <w:proofErr w:type="spellEnd"/>
      <w:r w:rsidRPr="003F0749">
        <w:t xml:space="preserve"> совершил визит вежливости в р</w:t>
      </w:r>
      <w:r w:rsidRPr="003F0749">
        <w:t>е</w:t>
      </w:r>
      <w:r w:rsidRPr="003F0749">
        <w:t xml:space="preserve">зиденции духовных лидеров различных </w:t>
      </w:r>
      <w:proofErr w:type="spellStart"/>
      <w:r w:rsidRPr="003F0749">
        <w:t>конфессий</w:t>
      </w:r>
      <w:proofErr w:type="spellEnd"/>
      <w:r w:rsidRPr="003F0749">
        <w:t xml:space="preserve"> в Стамбуле. 5 июля 2012</w:t>
      </w:r>
      <w:r w:rsidR="00AC5114">
        <w:t xml:space="preserve"> г</w:t>
      </w:r>
      <w:r w:rsidR="00AC5114">
        <w:t>о</w:t>
      </w:r>
      <w:r w:rsidR="00AC5114">
        <w:t>да</w:t>
      </w:r>
      <w:r w:rsidRPr="003F0749">
        <w:t xml:space="preserve"> глава Управления по делам религий </w:t>
      </w:r>
      <w:proofErr w:type="spellStart"/>
      <w:r w:rsidRPr="003F0749">
        <w:t>Мехмет</w:t>
      </w:r>
      <w:proofErr w:type="spellEnd"/>
      <w:r w:rsidRPr="003F0749">
        <w:t xml:space="preserve"> </w:t>
      </w:r>
      <w:proofErr w:type="spellStart"/>
      <w:r w:rsidRPr="003F0749">
        <w:t>Гермез</w:t>
      </w:r>
      <w:proofErr w:type="spellEnd"/>
      <w:r w:rsidRPr="003F0749">
        <w:t xml:space="preserve"> посетил Патриархию Константинопольской православной церкви.</w:t>
      </w:r>
    </w:p>
    <w:p w:rsidR="00DF5565" w:rsidRPr="003F0749" w:rsidRDefault="00DF5565" w:rsidP="00DF5565">
      <w:pPr>
        <w:pStyle w:val="SingleTxtGR"/>
      </w:pPr>
      <w:r w:rsidRPr="003F0749">
        <w:t>163.</w:t>
      </w:r>
      <w:r w:rsidRPr="003F0749">
        <w:tab/>
        <w:t>Когда турецкие власти встречаются с представителями различных рел</w:t>
      </w:r>
      <w:r w:rsidRPr="003F0749">
        <w:t>и</w:t>
      </w:r>
      <w:r w:rsidRPr="003F0749">
        <w:t xml:space="preserve">гиозных групп, то они обязательно встречаются с представителями ассирийской диаспоры и обсуждают с ними пути и средства решения проблем, с которыми, возможно, сталкивается диаспора. Так, президент Абдулла </w:t>
      </w:r>
      <w:proofErr w:type="spellStart"/>
      <w:r w:rsidRPr="003F0749">
        <w:t>Гюль</w:t>
      </w:r>
      <w:proofErr w:type="spellEnd"/>
      <w:r w:rsidRPr="003F0749">
        <w:t xml:space="preserve"> и министр иностранных дел </w:t>
      </w:r>
      <w:proofErr w:type="spellStart"/>
      <w:r w:rsidRPr="003F0749">
        <w:t>Ахмет</w:t>
      </w:r>
      <w:proofErr w:type="spellEnd"/>
      <w:r w:rsidRPr="003F0749">
        <w:t xml:space="preserve"> </w:t>
      </w:r>
      <w:proofErr w:type="spellStart"/>
      <w:r w:rsidRPr="003F0749">
        <w:t>Давутоглу</w:t>
      </w:r>
      <w:proofErr w:type="spellEnd"/>
      <w:r w:rsidRPr="003F0749">
        <w:t xml:space="preserve"> соответственно встречались с представит</w:t>
      </w:r>
      <w:r w:rsidRPr="003F0749">
        <w:t>е</w:t>
      </w:r>
      <w:r w:rsidRPr="003F0749">
        <w:t>лями ассирийской диаспоры в феврале и марте 2013</w:t>
      </w:r>
      <w:r w:rsidR="002B6A52">
        <w:t> год</w:t>
      </w:r>
      <w:r w:rsidRPr="003F0749">
        <w:t xml:space="preserve">а. </w:t>
      </w:r>
    </w:p>
    <w:p w:rsidR="00DF5565" w:rsidRPr="003F0749" w:rsidRDefault="00DF5565" w:rsidP="00DF5565">
      <w:pPr>
        <w:pStyle w:val="SingleTxtGR"/>
      </w:pPr>
      <w:r w:rsidRPr="003F0749">
        <w:t>164.</w:t>
      </w:r>
      <w:r w:rsidRPr="003F0749">
        <w:tab/>
        <w:t>Совсем недавно, 28 ноября 2013</w:t>
      </w:r>
      <w:r w:rsidR="002B6A52">
        <w:t> год</w:t>
      </w:r>
      <w:r w:rsidRPr="003F0749">
        <w:t>а бывший министр по делам ЕС, о</w:t>
      </w:r>
      <w:r w:rsidRPr="003F0749">
        <w:t>т</w:t>
      </w:r>
      <w:r w:rsidRPr="003F0749">
        <w:t xml:space="preserve">ветственный за переговорный процесс, </w:t>
      </w:r>
      <w:proofErr w:type="spellStart"/>
      <w:r w:rsidRPr="003F0749">
        <w:t>Эгемен</w:t>
      </w:r>
      <w:proofErr w:type="spellEnd"/>
      <w:r w:rsidRPr="003F0749">
        <w:t xml:space="preserve"> </w:t>
      </w:r>
      <w:proofErr w:type="spellStart"/>
      <w:r w:rsidRPr="003F0749">
        <w:t>Багыз</w:t>
      </w:r>
      <w:proofErr w:type="spellEnd"/>
      <w:r w:rsidRPr="003F0749">
        <w:t xml:space="preserve"> устроил обед-консультацию с представителями различных конфессиональных групп. На этом мероприятии присутствовали представители различных общинных фондов, Г</w:t>
      </w:r>
      <w:r w:rsidRPr="003F0749">
        <w:t>е</w:t>
      </w:r>
      <w:r w:rsidRPr="003F0749">
        <w:t>неральный директор Генерального директората благотворительных фондов, представитель общинных фондов Совета фондов и сотрудники соответству</w:t>
      </w:r>
      <w:r w:rsidRPr="003F0749">
        <w:t>ю</w:t>
      </w:r>
      <w:r w:rsidRPr="003F0749">
        <w:t xml:space="preserve">щих государственных учреждений; были проведены подробные консультации по еще не решенным проблемам. </w:t>
      </w:r>
    </w:p>
    <w:p w:rsidR="00DF5565" w:rsidRPr="003F0749" w:rsidRDefault="00DF5565" w:rsidP="00DF5565">
      <w:pPr>
        <w:pStyle w:val="SingleTxtGR"/>
      </w:pPr>
      <w:r w:rsidRPr="003F0749">
        <w:t>165.</w:t>
      </w:r>
      <w:r w:rsidRPr="003F0749">
        <w:tab/>
        <w:t>Что касается пункта 24 Заключительных замечаний Комитета, касающ</w:t>
      </w:r>
      <w:r w:rsidRPr="003F0749">
        <w:t>е</w:t>
      </w:r>
      <w:r w:rsidRPr="003F0749">
        <w:t>гося деятельности Совета по оценке проблем меньшинств, то специальная группа должностных лиц в 2004, 2005, 2006 и 2009</w:t>
      </w:r>
      <w:r w:rsidR="002B6A52">
        <w:t> год</w:t>
      </w:r>
      <w:r w:rsidRPr="003F0749">
        <w:t>ах проводила периодич</w:t>
      </w:r>
      <w:r w:rsidRPr="003F0749">
        <w:t>е</w:t>
      </w:r>
      <w:r w:rsidRPr="003F0749">
        <w:t>ские консультации с лидерами меньшинств Турции</w:t>
      </w:r>
      <w:r w:rsidR="002B6A52">
        <w:t>. В </w:t>
      </w:r>
      <w:r w:rsidRPr="003F0749">
        <w:t>ходе этих консультаций обсуждались религиозные, культурные, социальные, административные пр</w:t>
      </w:r>
      <w:r w:rsidRPr="003F0749">
        <w:t>о</w:t>
      </w:r>
      <w:r w:rsidRPr="003F0749">
        <w:t>блемы, с которыми сталкиваются эти конфессиональные группы, а также тру</w:t>
      </w:r>
      <w:r w:rsidRPr="003F0749">
        <w:t>д</w:t>
      </w:r>
      <w:r w:rsidRPr="003F0749">
        <w:t>ности, которые стоят перед ними в связи с их фондами и объектами недвиж</w:t>
      </w:r>
      <w:r w:rsidRPr="003F0749">
        <w:t>и</w:t>
      </w:r>
      <w:r w:rsidRPr="003F0749">
        <w:t>мости.</w:t>
      </w:r>
    </w:p>
    <w:p w:rsidR="00DF5565" w:rsidRPr="003F0749" w:rsidRDefault="00DF5565" w:rsidP="00AC5114">
      <w:pPr>
        <w:pStyle w:val="H23GR"/>
      </w:pPr>
      <w:r w:rsidRPr="003F0749">
        <w:tab/>
        <w:t>4.</w:t>
      </w:r>
      <w:r w:rsidRPr="003F0749">
        <w:tab/>
      </w:r>
      <w:proofErr w:type="spellStart"/>
      <w:r w:rsidRPr="003F0749">
        <w:t>Гендерное</w:t>
      </w:r>
      <w:proofErr w:type="spellEnd"/>
      <w:r w:rsidRPr="003F0749">
        <w:t xml:space="preserve"> равенство </w:t>
      </w:r>
    </w:p>
    <w:p w:rsidR="00DF5565" w:rsidRPr="003F0749" w:rsidRDefault="00DF5565" w:rsidP="00DF5565">
      <w:pPr>
        <w:pStyle w:val="SingleTxtGR"/>
      </w:pPr>
      <w:r w:rsidRPr="003F0749">
        <w:t>166.</w:t>
      </w:r>
      <w:r w:rsidRPr="003F0749">
        <w:tab/>
        <w:t>Турция последовательно преследует цели, заключающиеся в повышении уровня жизни и поощрения прав женщин, обеспечивая их полноценное и ра</w:t>
      </w:r>
      <w:r w:rsidRPr="003F0749">
        <w:t>в</w:t>
      </w:r>
      <w:r w:rsidRPr="003F0749">
        <w:t>ное участие во всех сферах жизни и улучшая их положение в обществе.</w:t>
      </w:r>
    </w:p>
    <w:p w:rsidR="00DF5565" w:rsidRPr="003F0749" w:rsidRDefault="00DF5565" w:rsidP="00DF5565">
      <w:pPr>
        <w:pStyle w:val="SingleTxtGR"/>
      </w:pPr>
      <w:r w:rsidRPr="003F0749">
        <w:t>167.</w:t>
      </w:r>
      <w:r w:rsidRPr="003F0749">
        <w:tab/>
        <w:t>Равенство между женщинами и мужчинами является одним из основоп</w:t>
      </w:r>
      <w:r w:rsidRPr="003F0749">
        <w:t>о</w:t>
      </w:r>
      <w:r w:rsidRPr="003F0749">
        <w:t>лагающих принципов турецкой Конституции</w:t>
      </w:r>
      <w:r w:rsidR="002B6A52">
        <w:t>. В </w:t>
      </w:r>
      <w:r w:rsidRPr="003F0749">
        <w:t xml:space="preserve">статье 10 говорится, что </w:t>
      </w:r>
      <w:r w:rsidR="003F0749">
        <w:t>"</w:t>
      </w:r>
      <w:r w:rsidRPr="003F0749">
        <w:t>же</w:t>
      </w:r>
      <w:r w:rsidRPr="003F0749">
        <w:t>н</w:t>
      </w:r>
      <w:r w:rsidRPr="003F0749">
        <w:t>щины и мужчины имеют равные права</w:t>
      </w:r>
      <w:r w:rsidR="003F0749">
        <w:t>"</w:t>
      </w:r>
      <w:r w:rsidRPr="003F0749">
        <w:t xml:space="preserve"> и что </w:t>
      </w:r>
      <w:r w:rsidR="003F0749">
        <w:t>"</w:t>
      </w:r>
      <w:r w:rsidRPr="003F0749">
        <w:t>государство обязано следить за тем, чтобы это равенство реализовывалось в реальной жизни</w:t>
      </w:r>
      <w:r w:rsidR="003F0749">
        <w:t>"</w:t>
      </w:r>
      <w:r w:rsidRPr="003F0749">
        <w:t>. Поправки к Ко</w:t>
      </w:r>
      <w:r w:rsidRPr="003F0749">
        <w:t>н</w:t>
      </w:r>
      <w:r w:rsidRPr="003F0749">
        <w:t>ституции 2010</w:t>
      </w:r>
      <w:r w:rsidR="002B6A52">
        <w:t> год</w:t>
      </w:r>
      <w:r w:rsidRPr="003F0749">
        <w:t>а заложили основу для положительной дискриминации в пользу женщин, в которых констатируется, что меры, на практике гарантиру</w:t>
      </w:r>
      <w:r w:rsidRPr="003F0749">
        <w:t>ю</w:t>
      </w:r>
      <w:r w:rsidRPr="003F0749">
        <w:t xml:space="preserve">щие </w:t>
      </w:r>
      <w:proofErr w:type="spellStart"/>
      <w:r w:rsidRPr="003F0749">
        <w:t>гендерное</w:t>
      </w:r>
      <w:proofErr w:type="spellEnd"/>
      <w:r w:rsidRPr="003F0749">
        <w:t xml:space="preserve"> равенство, нельзя истолковывать как нечто противоречащие принципу равенства. </w:t>
      </w:r>
    </w:p>
    <w:p w:rsidR="00DF5565" w:rsidRPr="003F0749" w:rsidRDefault="00DF5565" w:rsidP="00DF5565">
      <w:pPr>
        <w:pStyle w:val="SingleTxtGR"/>
      </w:pPr>
      <w:r w:rsidRPr="003F0749">
        <w:t>168.</w:t>
      </w:r>
      <w:r w:rsidRPr="003F0749">
        <w:tab/>
        <w:t>24 марта 2009</w:t>
      </w:r>
      <w:r w:rsidR="002B6A52">
        <w:t> год</w:t>
      </w:r>
      <w:r w:rsidRPr="003F0749">
        <w:t>а Великое национальное собрание Турции учредило Комиссию по равным возможностям женщин и мужчин. Комиссия, основная задача которой состоит в том, чтобы содействовать защите и поощрению прав женщин, также следит за тенденциями, касающимися этого вопроса, на наци</w:t>
      </w:r>
      <w:r w:rsidRPr="003F0749">
        <w:t>о</w:t>
      </w:r>
      <w:r w:rsidRPr="003F0749">
        <w:t>нальном и международном уровнях.</w:t>
      </w:r>
    </w:p>
    <w:p w:rsidR="00DF5565" w:rsidRPr="003F0749" w:rsidRDefault="00DF5565" w:rsidP="00DF5565">
      <w:pPr>
        <w:pStyle w:val="SingleTxtGR"/>
      </w:pPr>
      <w:r w:rsidRPr="003F0749">
        <w:t>169.</w:t>
      </w:r>
      <w:r w:rsidRPr="003F0749">
        <w:tab/>
        <w:t>В июне 2011</w:t>
      </w:r>
      <w:r w:rsidR="002B6A52">
        <w:t> год</w:t>
      </w:r>
      <w:r w:rsidRPr="003F0749">
        <w:t>а было учреждено министерство по делам семьи и соц</w:t>
      </w:r>
      <w:r w:rsidRPr="003F0749">
        <w:t>и</w:t>
      </w:r>
      <w:r w:rsidRPr="003F0749">
        <w:t>альной политике после слияния в единую структуру нескольких государстве</w:t>
      </w:r>
      <w:r w:rsidRPr="003F0749">
        <w:t>н</w:t>
      </w:r>
      <w:r w:rsidRPr="003F0749">
        <w:t>ных ведомств, отвечающих за формулирование политики и оказание услуг л</w:t>
      </w:r>
      <w:r w:rsidRPr="003F0749">
        <w:t>и</w:t>
      </w:r>
      <w:r w:rsidRPr="003F0749">
        <w:t>цам с ограниченными возможностями, детям, семьям, малоимущим и женщ</w:t>
      </w:r>
      <w:r w:rsidRPr="003F0749">
        <w:t>и</w:t>
      </w:r>
      <w:r w:rsidRPr="003F0749">
        <w:t>нам.</w:t>
      </w:r>
    </w:p>
    <w:p w:rsidR="00DF5565" w:rsidRPr="003F0749" w:rsidRDefault="00DF5565" w:rsidP="00DF5565">
      <w:pPr>
        <w:pStyle w:val="SingleTxtGR"/>
      </w:pPr>
      <w:r w:rsidRPr="003F0749">
        <w:t>170.</w:t>
      </w:r>
      <w:r w:rsidRPr="003F0749">
        <w:tab/>
        <w:t xml:space="preserve">В последние 10 лет </w:t>
      </w:r>
      <w:proofErr w:type="spellStart"/>
      <w:r w:rsidRPr="003F0749">
        <w:t>представленность</w:t>
      </w:r>
      <w:proofErr w:type="spellEnd"/>
      <w:r w:rsidRPr="003F0749">
        <w:t xml:space="preserve"> женщин в парламенте значительно увеличилась. Так, в 2002</w:t>
      </w:r>
      <w:r w:rsidR="002B6A52">
        <w:t> год</w:t>
      </w:r>
      <w:r w:rsidRPr="003F0749">
        <w:t>у 21 женщина-парламентарий занимали 4,4</w:t>
      </w:r>
      <w:r w:rsidR="00AC5114">
        <w:t>%</w:t>
      </w:r>
      <w:r w:rsidRPr="003F0749">
        <w:t xml:space="preserve"> па</w:t>
      </w:r>
      <w:r w:rsidRPr="003F0749">
        <w:t>р</w:t>
      </w:r>
      <w:r w:rsidRPr="003F0749">
        <w:t>ламентских мест, в 2007</w:t>
      </w:r>
      <w:r w:rsidR="002B6A52">
        <w:t> год</w:t>
      </w:r>
      <w:r w:rsidRPr="003F0749">
        <w:t>у на 48 женщин приходилось 9,1</w:t>
      </w:r>
      <w:r w:rsidR="00AC5114">
        <w:t>%</w:t>
      </w:r>
      <w:r w:rsidRPr="003F0749">
        <w:t xml:space="preserve"> численного с</w:t>
      </w:r>
      <w:r w:rsidRPr="003F0749">
        <w:t>о</w:t>
      </w:r>
      <w:r w:rsidRPr="003F0749">
        <w:t>става парламента, а в 2011</w:t>
      </w:r>
      <w:r w:rsidR="002B6A52">
        <w:t> год</w:t>
      </w:r>
      <w:r w:rsidRPr="003F0749">
        <w:t>у 78 женщин-парламентариев составляли уже 14,1%. Это свидетельствует о значительном прогрессе, достигнутом в деле до</w:t>
      </w:r>
      <w:r w:rsidRPr="003F0749">
        <w:t>с</w:t>
      </w:r>
      <w:r w:rsidRPr="003F0749">
        <w:t>тижения цели, которая заключается в том, чтобы довести к 2015</w:t>
      </w:r>
      <w:r w:rsidR="002B6A52">
        <w:t> год</w:t>
      </w:r>
      <w:r w:rsidRPr="003F0749">
        <w:t xml:space="preserve">у </w:t>
      </w:r>
      <w:proofErr w:type="spellStart"/>
      <w:r w:rsidRPr="003F0749">
        <w:t>предста</w:t>
      </w:r>
      <w:r w:rsidRPr="003F0749">
        <w:t>в</w:t>
      </w:r>
      <w:r w:rsidRPr="003F0749">
        <w:t>ленность</w:t>
      </w:r>
      <w:proofErr w:type="spellEnd"/>
      <w:r w:rsidRPr="003F0749">
        <w:t xml:space="preserve"> женщин на высших постах до 17</w:t>
      </w:r>
      <w:r w:rsidR="00AC5114">
        <w:t>%</w:t>
      </w:r>
      <w:r w:rsidRPr="003F0749">
        <w:t>, о чем говорится в Докладе об осуществлении целей в области развития, сформулированных в Декларации т</w:t>
      </w:r>
      <w:r w:rsidRPr="003F0749">
        <w:t>ы</w:t>
      </w:r>
      <w:r w:rsidRPr="003F0749">
        <w:t>сячелетия, за 2005</w:t>
      </w:r>
      <w:r w:rsidR="002B6A52">
        <w:t> год</w:t>
      </w:r>
      <w:r w:rsidRPr="003F0749">
        <w:t>.</w:t>
      </w:r>
    </w:p>
    <w:p w:rsidR="00DF5565" w:rsidRPr="003F0749" w:rsidRDefault="00DF5565" w:rsidP="00DF5565">
      <w:pPr>
        <w:pStyle w:val="SingleTxtGR"/>
      </w:pPr>
      <w:r w:rsidRPr="003F0749">
        <w:t>171.</w:t>
      </w:r>
      <w:r w:rsidRPr="003F0749">
        <w:tab/>
        <w:t>В 2013</w:t>
      </w:r>
      <w:r w:rsidR="002B6A52">
        <w:t> год</w:t>
      </w:r>
      <w:r w:rsidRPr="003F0749">
        <w:t>у коэффициент участия женщин в рабочей силе вырос до 31,3%. Уровень безработицы составлял 9</w:t>
      </w:r>
      <w:r w:rsidR="00AC5114">
        <w:t>,</w:t>
      </w:r>
      <w:r w:rsidRPr="003F0749">
        <w:t>8%, а у молодежи он был равен 18,7%. Уровень занятости женщин вырос на 0,6 пункта по сравнению с тем же пери</w:t>
      </w:r>
      <w:r w:rsidRPr="003F0749">
        <w:t>о</w:t>
      </w:r>
      <w:r w:rsidRPr="003F0749">
        <w:t>дом предыдущего</w:t>
      </w:r>
      <w:r w:rsidR="008D3B03">
        <w:t xml:space="preserve"> </w:t>
      </w:r>
      <w:r w:rsidR="002B6A52">
        <w:t>год</w:t>
      </w:r>
      <w:r w:rsidRPr="003F0749">
        <w:t>а и составил 27,4%, а уровень безработицы среди женщин соответственно был равен 12,4%. Обеспечение доступа работающих женщин к услугам по уходу за детьми является непременным условием увеличения зан</w:t>
      </w:r>
      <w:r w:rsidRPr="003F0749">
        <w:t>я</w:t>
      </w:r>
      <w:r w:rsidRPr="003F0749">
        <w:t xml:space="preserve">тости женщин. </w:t>
      </w:r>
    </w:p>
    <w:p w:rsidR="00DF5565" w:rsidRPr="003F0749" w:rsidRDefault="00DF5565" w:rsidP="00DF5565">
      <w:pPr>
        <w:pStyle w:val="SingleTxtGR"/>
      </w:pPr>
      <w:r w:rsidRPr="003F0749">
        <w:t>172.</w:t>
      </w:r>
      <w:r w:rsidRPr="003F0749">
        <w:tab/>
        <w:t>Турция активно участвовала в разработке Конвенции Совета Европы по предотвращению и борьбе с насилием в отношении женщин и насилием в с</w:t>
      </w:r>
      <w:r w:rsidRPr="003F0749">
        <w:t>е</w:t>
      </w:r>
      <w:r w:rsidRPr="003F0749">
        <w:t>мье. Эта Конвенция, известная также как Стамбульская конвенция, была откр</w:t>
      </w:r>
      <w:r w:rsidRPr="003F0749">
        <w:t>ы</w:t>
      </w:r>
      <w:r w:rsidRPr="003F0749">
        <w:t>та для подписания в мае 2011</w:t>
      </w:r>
      <w:r w:rsidR="002B6A52">
        <w:t> год</w:t>
      </w:r>
      <w:r w:rsidRPr="003F0749">
        <w:t>а, когда Турция председательствовала в Совете Европы. Передав на хранение в Секретариат Совета Европы свою ратификац</w:t>
      </w:r>
      <w:r w:rsidRPr="003F0749">
        <w:t>и</w:t>
      </w:r>
      <w:r w:rsidRPr="003F0749">
        <w:t>онную грамоту, Турция стала первой страной, которая подписала и ратифиц</w:t>
      </w:r>
      <w:r w:rsidRPr="003F0749">
        <w:t>и</w:t>
      </w:r>
      <w:r w:rsidRPr="003F0749">
        <w:t>ровала эту Конвенцию.</w:t>
      </w:r>
    </w:p>
    <w:p w:rsidR="00DF5565" w:rsidRPr="003F0749" w:rsidRDefault="00DF5565" w:rsidP="00DF5565">
      <w:pPr>
        <w:pStyle w:val="SingleTxtGR"/>
      </w:pPr>
      <w:r w:rsidRPr="003F0749">
        <w:t>173.</w:t>
      </w:r>
      <w:r w:rsidRPr="003F0749">
        <w:tab/>
        <w:t>8 марта 2012</w:t>
      </w:r>
      <w:r w:rsidR="002B6A52">
        <w:t> год</w:t>
      </w:r>
      <w:r w:rsidRPr="003F0749">
        <w:t>а Великое национальное собрание Турции приняло н</w:t>
      </w:r>
      <w:r w:rsidRPr="003F0749">
        <w:t>о</w:t>
      </w:r>
      <w:r w:rsidRPr="003F0749">
        <w:t>вый Закон о защите семьи и предотвращении насилия в отношении женщин. Являясь первым законом, который определяет и останавливает насилие в семье, он расширяет сферу действия предыдущего законодательства, распространяясь на всех пострадавших женщин независимо от их брачного состояния, а также на других членов семьи. Чтобы содействовать внедрению нового закона на пр</w:t>
      </w:r>
      <w:r w:rsidRPr="003F0749">
        <w:t>о</w:t>
      </w:r>
      <w:r w:rsidRPr="003F0749">
        <w:t>винциальном уровне путем информирования оперативных подразделений гос</w:t>
      </w:r>
      <w:r w:rsidRPr="003F0749">
        <w:t>у</w:t>
      </w:r>
      <w:r w:rsidRPr="003F0749">
        <w:t>дарственных учреждений/организаций, оказывающих прямые услуги постр</w:t>
      </w:r>
      <w:r w:rsidRPr="003F0749">
        <w:t>а</w:t>
      </w:r>
      <w:r w:rsidRPr="003F0749">
        <w:t>давшим от насилия женщинам, и обеспечить стандарты и единообразие их ок</w:t>
      </w:r>
      <w:r w:rsidRPr="003F0749">
        <w:t>а</w:t>
      </w:r>
      <w:r w:rsidRPr="003F0749">
        <w:t xml:space="preserve">зания в 81 провинции были организованы соответствующие семинары. </w:t>
      </w:r>
    </w:p>
    <w:p w:rsidR="00DF5565" w:rsidRPr="003F0749" w:rsidRDefault="00DF5565" w:rsidP="00DF5565">
      <w:pPr>
        <w:pStyle w:val="SingleTxtGR"/>
      </w:pPr>
      <w:r w:rsidRPr="003F0749">
        <w:t>174.</w:t>
      </w:r>
      <w:r w:rsidRPr="003F0749">
        <w:tab/>
        <w:t>Кроме того, в соответствии с Законом о защите семьи и предотвращении насилия в отношении женщин в целях предупреждения насилия и эффективн</w:t>
      </w:r>
      <w:r w:rsidRPr="003F0749">
        <w:t>о</w:t>
      </w:r>
      <w:r w:rsidRPr="003F0749">
        <w:t xml:space="preserve">го принятия защитных и профилактических мер на экспериментальной основе в 14 провинциях (Стамбул, Анкара, Измир, Бурса, Денизли, </w:t>
      </w:r>
      <w:proofErr w:type="spellStart"/>
      <w:r w:rsidRPr="003F0749">
        <w:t>Анталья</w:t>
      </w:r>
      <w:proofErr w:type="spellEnd"/>
      <w:r w:rsidRPr="003F0749">
        <w:t xml:space="preserve">, </w:t>
      </w:r>
      <w:proofErr w:type="spellStart"/>
      <w:r w:rsidRPr="003F0749">
        <w:t>Мерсин</w:t>
      </w:r>
      <w:proofErr w:type="spellEnd"/>
      <w:r w:rsidRPr="003F0749">
        <w:t xml:space="preserve">, </w:t>
      </w:r>
      <w:proofErr w:type="spellStart"/>
      <w:r w:rsidRPr="003F0749">
        <w:t>Адана</w:t>
      </w:r>
      <w:proofErr w:type="spellEnd"/>
      <w:r w:rsidRPr="003F0749">
        <w:t xml:space="preserve">, </w:t>
      </w:r>
      <w:proofErr w:type="spellStart"/>
      <w:r w:rsidRPr="003F0749">
        <w:t>Самсун</w:t>
      </w:r>
      <w:proofErr w:type="spellEnd"/>
      <w:r w:rsidRPr="003F0749">
        <w:t xml:space="preserve">, </w:t>
      </w:r>
      <w:proofErr w:type="spellStart"/>
      <w:r w:rsidRPr="003F0749">
        <w:t>Трабзон</w:t>
      </w:r>
      <w:proofErr w:type="spellEnd"/>
      <w:r w:rsidRPr="003F0749">
        <w:t xml:space="preserve">, </w:t>
      </w:r>
      <w:proofErr w:type="spellStart"/>
      <w:r w:rsidRPr="003F0749">
        <w:t>Газиантеп</w:t>
      </w:r>
      <w:proofErr w:type="spellEnd"/>
      <w:r w:rsidRPr="003F0749">
        <w:t xml:space="preserve">, </w:t>
      </w:r>
      <w:proofErr w:type="spellStart"/>
      <w:r w:rsidRPr="003F0749">
        <w:t>Шанлыурфа</w:t>
      </w:r>
      <w:proofErr w:type="spellEnd"/>
      <w:r w:rsidRPr="003F0749">
        <w:t xml:space="preserve">, </w:t>
      </w:r>
      <w:proofErr w:type="spellStart"/>
      <w:r w:rsidRPr="003F0749">
        <w:t>Диярбакыр</w:t>
      </w:r>
      <w:proofErr w:type="spellEnd"/>
      <w:r w:rsidRPr="003F0749">
        <w:t xml:space="preserve"> и </w:t>
      </w:r>
      <w:proofErr w:type="spellStart"/>
      <w:r w:rsidRPr="003F0749">
        <w:t>Малатья</w:t>
      </w:r>
      <w:proofErr w:type="spellEnd"/>
      <w:r w:rsidRPr="003F0749">
        <w:t>) были созданы Центры по защите от насилия и мониторингу (ŞÖNİM), которые ок</w:t>
      </w:r>
      <w:r w:rsidRPr="003F0749">
        <w:t>а</w:t>
      </w:r>
      <w:r w:rsidRPr="003F0749">
        <w:t>зывают консультационные и методологические услуги</w:t>
      </w:r>
      <w:r w:rsidR="002B6A52">
        <w:t>. В </w:t>
      </w:r>
      <w:r w:rsidRPr="003F0749">
        <w:t>период между концом декабря 2012</w:t>
      </w:r>
      <w:r w:rsidR="002B6A52">
        <w:t> год</w:t>
      </w:r>
      <w:r w:rsidRPr="003F0749">
        <w:t>а и июнем 2013</w:t>
      </w:r>
      <w:r w:rsidR="002B6A52">
        <w:t> год</w:t>
      </w:r>
      <w:r w:rsidRPr="003F0749">
        <w:t>а Центры по предотвращению насилия и мониторингу оказали услуги в общей сложности 4</w:t>
      </w:r>
      <w:r w:rsidR="008D3B03">
        <w:t> </w:t>
      </w:r>
      <w:r w:rsidRPr="003F0749">
        <w:t>514 лицам (4</w:t>
      </w:r>
      <w:r w:rsidR="008D3B03">
        <w:t> </w:t>
      </w:r>
      <w:r w:rsidRPr="003F0749">
        <w:t>434 женщинам и 80 мужчинам).</w:t>
      </w:r>
    </w:p>
    <w:p w:rsidR="00DF5565" w:rsidRPr="003F0749" w:rsidRDefault="00DF5565" w:rsidP="00DF5565">
      <w:pPr>
        <w:pStyle w:val="SingleTxtGR"/>
      </w:pPr>
      <w:r w:rsidRPr="003F0749">
        <w:t>175.</w:t>
      </w:r>
      <w:r w:rsidRPr="003F0749">
        <w:tab/>
        <w:t>Был пересмотрен Национальный план действий по борьбе с насилием в отношении женщин в семье на 2012−2015</w:t>
      </w:r>
      <w:r w:rsidR="002B6A52">
        <w:t> год</w:t>
      </w:r>
      <w:r w:rsidRPr="003F0749">
        <w:t>ы</w:t>
      </w:r>
      <w:r w:rsidR="002B6A52">
        <w:t>. В</w:t>
      </w:r>
      <w:r w:rsidR="00AC5114">
        <w:t xml:space="preserve"> </w:t>
      </w:r>
      <w:r w:rsidRPr="003F0749">
        <w:t>Плане действий поставлены такие задачи, как реализация законодательных мер, информационно-пропагандистская деятельность, расширение возможностей женщин в эконом</w:t>
      </w:r>
      <w:r w:rsidRPr="003F0749">
        <w:t>и</w:t>
      </w:r>
      <w:r w:rsidRPr="003F0749">
        <w:t>ческой сфере, обеспечение участия в общественной жизни, улучшение деятел</w:t>
      </w:r>
      <w:r w:rsidRPr="003F0749">
        <w:t>ь</w:t>
      </w:r>
      <w:r w:rsidRPr="003F0749">
        <w:t>ности профилактических служб, лечение и реабилитация</w:t>
      </w:r>
      <w:r w:rsidR="002B6A52">
        <w:t>. В </w:t>
      </w:r>
      <w:r w:rsidRPr="003F0749">
        <w:t>этих целях были приняты временные особые меры. Например, чтобы облегчить бремя нищеты домохозяйств, возглавляемых женщинами, в июне 2012</w:t>
      </w:r>
      <w:r w:rsidR="002B6A52">
        <w:t> год</w:t>
      </w:r>
      <w:r w:rsidRPr="003F0749">
        <w:t>а примерно 150 т</w:t>
      </w:r>
      <w:r w:rsidRPr="003F0749">
        <w:t>ы</w:t>
      </w:r>
      <w:r w:rsidRPr="003F0749">
        <w:t>сяч вдов, получили право на денежные трансферты. Были также приняты меры с целью расширить доступ девочек к образованию, а женщин к трудоустройс</w:t>
      </w:r>
      <w:r w:rsidRPr="003F0749">
        <w:t>т</w:t>
      </w:r>
      <w:r w:rsidRPr="003F0749">
        <w:t>ву, уменьшить налогооблагаемую базу женщин, активизировать подготовку г</w:t>
      </w:r>
      <w:r w:rsidRPr="003F0749">
        <w:t>о</w:t>
      </w:r>
      <w:r w:rsidRPr="003F0749">
        <w:t xml:space="preserve">сударственных служащих по вопросам </w:t>
      </w:r>
      <w:proofErr w:type="spellStart"/>
      <w:r w:rsidRPr="003F0749">
        <w:t>гендерного</w:t>
      </w:r>
      <w:proofErr w:type="spellEnd"/>
      <w:r w:rsidRPr="003F0749">
        <w:t xml:space="preserve"> равенства. </w:t>
      </w:r>
    </w:p>
    <w:p w:rsidR="00DF5565" w:rsidRPr="003F0749" w:rsidRDefault="00DF5565" w:rsidP="00DF5565">
      <w:pPr>
        <w:pStyle w:val="SingleTxtGR"/>
      </w:pPr>
      <w:r w:rsidRPr="003F0749">
        <w:t>176.</w:t>
      </w:r>
      <w:r w:rsidRPr="003F0749">
        <w:tab/>
        <w:t>В настоящее время Генеральный директорат по положению женщин м</w:t>
      </w:r>
      <w:r w:rsidRPr="003F0749">
        <w:t>и</w:t>
      </w:r>
      <w:r w:rsidRPr="003F0749">
        <w:t>нистерства по делам семьи и социальной политике в сотрудничестве с Всеми</w:t>
      </w:r>
      <w:r w:rsidRPr="003F0749">
        <w:t>р</w:t>
      </w:r>
      <w:r w:rsidRPr="003F0749">
        <w:t>ным банком и при финансовой поддержке Шведского агентства по междун</w:t>
      </w:r>
      <w:r w:rsidRPr="003F0749">
        <w:t>а</w:t>
      </w:r>
      <w:r w:rsidRPr="003F0749">
        <w:t>родному сотрудничеству в области развития (СИДА) реализует проект по ра</w:t>
      </w:r>
      <w:r w:rsidRPr="003F0749">
        <w:t>с</w:t>
      </w:r>
      <w:r w:rsidRPr="003F0749">
        <w:t>ширению доступа женщин к экономическим возможностям на 2012−2016</w:t>
      </w:r>
      <w:r w:rsidR="002B6A52">
        <w:t> год</w:t>
      </w:r>
      <w:r w:rsidRPr="003F0749">
        <w:t>ы.</w:t>
      </w:r>
    </w:p>
    <w:p w:rsidR="00DF5565" w:rsidRPr="003F0749" w:rsidRDefault="00DF5565" w:rsidP="00AC5114">
      <w:pPr>
        <w:pStyle w:val="HChGR"/>
      </w:pPr>
      <w:r w:rsidRPr="003F0749">
        <w:tab/>
        <w:t>V.</w:t>
      </w:r>
      <w:r w:rsidRPr="003F0749">
        <w:tab/>
        <w:t xml:space="preserve">Информация </w:t>
      </w:r>
      <w:r w:rsidR="003F0749">
        <w:t>п</w:t>
      </w:r>
      <w:r w:rsidRPr="003F0749">
        <w:t>о стат</w:t>
      </w:r>
      <w:r w:rsidR="003F0749">
        <w:t>ьям</w:t>
      </w:r>
      <w:r w:rsidRPr="003F0749">
        <w:t xml:space="preserve"> 6 и 7 Конвенции</w:t>
      </w:r>
    </w:p>
    <w:p w:rsidR="00DF5565" w:rsidRPr="003F0749" w:rsidRDefault="00DF5565" w:rsidP="00AC5114">
      <w:pPr>
        <w:pStyle w:val="H1GR"/>
      </w:pPr>
      <w:r w:rsidRPr="003F0749">
        <w:tab/>
      </w:r>
      <w:r w:rsidRPr="003F0749">
        <w:tab/>
        <w:t>Статья 6</w:t>
      </w:r>
    </w:p>
    <w:p w:rsidR="00DF5565" w:rsidRPr="003F0749" w:rsidRDefault="00DF5565" w:rsidP="00AC5114">
      <w:pPr>
        <w:pStyle w:val="H23GR"/>
      </w:pPr>
      <w:r w:rsidRPr="003F0749">
        <w:tab/>
        <w:t>1.</w:t>
      </w:r>
      <w:r w:rsidRPr="003F0749">
        <w:tab/>
        <w:t>Информация о принятых законодательных, судебных, админ</w:t>
      </w:r>
      <w:r w:rsidRPr="003F0749">
        <w:t>и</w:t>
      </w:r>
      <w:r w:rsidRPr="003F0749">
        <w:t xml:space="preserve">стративных или других мерах в целях проведения в жизнь положений статьи 6 </w:t>
      </w:r>
    </w:p>
    <w:p w:rsidR="00DF5565" w:rsidRPr="003F0749" w:rsidRDefault="00DF5565" w:rsidP="00DF5565">
      <w:pPr>
        <w:pStyle w:val="SingleTxtGR"/>
      </w:pPr>
      <w:r w:rsidRPr="003F0749">
        <w:t>177.</w:t>
      </w:r>
      <w:r w:rsidRPr="003F0749">
        <w:tab/>
        <w:t>Каждый турецкий гражданин имеет право подавать исковое заявление в соответствующий суд, если он/она считают, что его/ее основные права и своб</w:t>
      </w:r>
      <w:r w:rsidRPr="003F0749">
        <w:t>о</w:t>
      </w:r>
      <w:r w:rsidRPr="003F0749">
        <w:t xml:space="preserve">ды были нарушены. Имеются все средства защиты от нарушений основных прав и свобод, включая акты дискриминации. </w:t>
      </w:r>
    </w:p>
    <w:p w:rsidR="00DF5565" w:rsidRPr="003F0749" w:rsidRDefault="00DF5565" w:rsidP="00DF5565">
      <w:pPr>
        <w:pStyle w:val="SingleTxtGR"/>
      </w:pPr>
      <w:r w:rsidRPr="003F0749">
        <w:t>178.</w:t>
      </w:r>
      <w:r w:rsidRPr="003F0749">
        <w:tab/>
        <w:t>В статье 40 Конституции говорится, что любой гражданин, чьи права и свободы были нарушены, имеет право добиваться незамедлительного доступа к компетентным властям. Государство в ходе своих официальных действий об</w:t>
      </w:r>
      <w:r w:rsidRPr="003F0749">
        <w:t>я</w:t>
      </w:r>
      <w:r w:rsidRPr="003F0749">
        <w:t>зано информировать соответствующих лиц о средствах правовой защиты, орг</w:t>
      </w:r>
      <w:r w:rsidRPr="003F0749">
        <w:t>а</w:t>
      </w:r>
      <w:r w:rsidRPr="003F0749">
        <w:t>нах, к которым им следует обратиться, и в какие сроки. Вред, причиненный л</w:t>
      </w:r>
      <w:r w:rsidRPr="003F0749">
        <w:t>ю</w:t>
      </w:r>
      <w:r w:rsidRPr="003F0749">
        <w:t>бому лицу незаконным обращением должностных лиц, обязано возместить г</w:t>
      </w:r>
      <w:r w:rsidRPr="003F0749">
        <w:t>о</w:t>
      </w:r>
      <w:r w:rsidRPr="003F0749">
        <w:t>сударство. Государство оставляет за собой право привлечь к судебной ответс</w:t>
      </w:r>
      <w:r w:rsidRPr="003F0749">
        <w:t>т</w:t>
      </w:r>
      <w:r w:rsidRPr="003F0749">
        <w:t>венности виновное должностное лицо.</w:t>
      </w:r>
    </w:p>
    <w:p w:rsidR="00DF5565" w:rsidRPr="003F0749" w:rsidRDefault="00DF5565" w:rsidP="00DF5565">
      <w:pPr>
        <w:pStyle w:val="SingleTxtGR"/>
      </w:pPr>
      <w:r w:rsidRPr="003F0749">
        <w:t>179.</w:t>
      </w:r>
      <w:r w:rsidRPr="003F0749">
        <w:tab/>
        <w:t>Кроме того, любой гражданин имеет право на доступ к адвокату, включая бесплатную правовую помощь, как при уголовном, так и гражданском судопр</w:t>
      </w:r>
      <w:r w:rsidRPr="003F0749">
        <w:t>о</w:t>
      </w:r>
      <w:r w:rsidRPr="003F0749">
        <w:t>изводствах. Если обвиняемый, потерпевший или свидетель не достаточно х</w:t>
      </w:r>
      <w:r w:rsidRPr="003F0749">
        <w:t>о</w:t>
      </w:r>
      <w:r w:rsidRPr="003F0749">
        <w:t>рошо владеют турецким языком, чтобы давать на нем объяснения в свою защ</w:t>
      </w:r>
      <w:r w:rsidRPr="003F0749">
        <w:t>и</w:t>
      </w:r>
      <w:r w:rsidRPr="003F0749">
        <w:t>ту, государство предоставляет переводчика.</w:t>
      </w:r>
    </w:p>
    <w:p w:rsidR="00DF5565" w:rsidRPr="003F0749" w:rsidRDefault="00DF5565" w:rsidP="00DF5565">
      <w:pPr>
        <w:pStyle w:val="SingleTxtGR"/>
      </w:pPr>
      <w:r w:rsidRPr="003F0749">
        <w:t>180.</w:t>
      </w:r>
      <w:r w:rsidRPr="003F0749">
        <w:tab/>
        <w:t>После последних изменений Уголовно-процессуального кодекса ответч</w:t>
      </w:r>
      <w:r w:rsidRPr="003F0749">
        <w:t>и</w:t>
      </w:r>
      <w:r w:rsidRPr="003F0749">
        <w:t xml:space="preserve">кам, которые чувствуют себя свободнее, говоря на другом, а не на турецком языке, разрешается представлять заявления в свою защиту на языке по своему выбору. </w:t>
      </w:r>
    </w:p>
    <w:p w:rsidR="00DF5565" w:rsidRPr="003F0749" w:rsidRDefault="00DF5565" w:rsidP="00DF5565">
      <w:pPr>
        <w:pStyle w:val="SingleTxtGR"/>
      </w:pPr>
      <w:r w:rsidRPr="003F0749">
        <w:t>181.</w:t>
      </w:r>
      <w:r w:rsidRPr="003F0749">
        <w:tab/>
        <w:t>Любая жалоба на дискриминацию по признакам расы, цвета кожи или национального или этнического происхождения, включая жалобы на должнос</w:t>
      </w:r>
      <w:r w:rsidRPr="003F0749">
        <w:t>т</w:t>
      </w:r>
      <w:r w:rsidRPr="003F0749">
        <w:t>ных лиц, расследуется независимыми органами и подлежит независимому и оперативному рассмотрению судами и/или административными и парламен</w:t>
      </w:r>
      <w:r w:rsidRPr="003F0749">
        <w:t>т</w:t>
      </w:r>
      <w:r w:rsidRPr="003F0749">
        <w:t>скими механизмами, специально созданными для заслушивания таких жалоб. Когда внутренние средства правовой защиты исчерпаны, жалобы могут под</w:t>
      </w:r>
      <w:r w:rsidRPr="003F0749">
        <w:t>а</w:t>
      </w:r>
      <w:r w:rsidRPr="003F0749">
        <w:t>ваться в Европейский суд по правам человека, обязательную юрисдикцию кот</w:t>
      </w:r>
      <w:r w:rsidRPr="003F0749">
        <w:t>о</w:t>
      </w:r>
      <w:r w:rsidRPr="003F0749">
        <w:t>рого Турция признала в 1990</w:t>
      </w:r>
      <w:r w:rsidR="002B6A52">
        <w:t> год</w:t>
      </w:r>
      <w:r w:rsidRPr="003F0749">
        <w:t xml:space="preserve">у. </w:t>
      </w:r>
    </w:p>
    <w:p w:rsidR="00DF5565" w:rsidRPr="003F0749" w:rsidRDefault="00DF5565" w:rsidP="00DF5565">
      <w:pPr>
        <w:pStyle w:val="SingleTxtGR"/>
        <w:rPr>
          <w:i/>
        </w:rPr>
      </w:pPr>
      <w:r w:rsidRPr="003F0749">
        <w:rPr>
          <w:i/>
        </w:rPr>
        <w:t>182.</w:t>
      </w:r>
      <w:r w:rsidRPr="003F0749">
        <w:rPr>
          <w:i/>
        </w:rPr>
        <w:tab/>
      </w:r>
      <w:r w:rsidRPr="003F0749">
        <w:t>Ниже приводятся статистические данные об обвинительных приговорах и решениях судов, вынесенных по делам о дискриминации на основании соотве</w:t>
      </w:r>
      <w:r w:rsidRPr="003F0749">
        <w:t>т</w:t>
      </w:r>
      <w:r w:rsidRPr="003F0749">
        <w:t>ствующих статей УКТ, а именно: статьи 77/2, 78/1 (первое предложение), 78/1</w:t>
      </w:r>
      <w:r w:rsidR="00AC5114">
        <w:t> </w:t>
      </w:r>
      <w:r w:rsidRPr="003F0749">
        <w:t xml:space="preserve">(второе предложение), 122/1-a, 122/1-b, 122/1-c, 135/2*. </w:t>
      </w:r>
    </w:p>
    <w:tbl>
      <w:tblPr>
        <w:tblStyle w:val="TabNum"/>
        <w:tblW w:w="8539" w:type="dxa"/>
        <w:tblInd w:w="1134" w:type="dxa"/>
        <w:tblLayout w:type="fixed"/>
        <w:tblLook w:val="01E0"/>
      </w:tblPr>
      <w:tblGrid>
        <w:gridCol w:w="1288"/>
        <w:gridCol w:w="524"/>
        <w:gridCol w:w="1020"/>
        <w:gridCol w:w="1134"/>
        <w:gridCol w:w="1241"/>
        <w:gridCol w:w="1078"/>
        <w:gridCol w:w="1036"/>
        <w:gridCol w:w="1218"/>
      </w:tblGrid>
      <w:tr w:rsidR="00DF5565" w:rsidRPr="00AC5114" w:rsidTr="00AC5114">
        <w:trPr>
          <w:trHeight w:val="240"/>
          <w:tblHeader/>
        </w:trPr>
        <w:tc>
          <w:tcPr>
            <w:cnfStyle w:val="001000000000"/>
            <w:tcW w:w="1288" w:type="dxa"/>
            <w:vMerge w:val="restart"/>
            <w:shd w:val="clear" w:color="auto" w:fill="auto"/>
          </w:tcPr>
          <w:p w:rsidR="00DF5565" w:rsidRPr="00AC5114" w:rsidRDefault="00DF5565" w:rsidP="00AC5114">
            <w:pPr>
              <w:pageBreakBefore/>
              <w:spacing w:before="80" w:after="80" w:line="200" w:lineRule="exact"/>
              <w:rPr>
                <w:i/>
                <w:sz w:val="16"/>
              </w:rPr>
            </w:pPr>
            <w:r w:rsidRPr="00AC5114">
              <w:rPr>
                <w:i/>
                <w:sz w:val="16"/>
              </w:rPr>
              <w:t>Статья</w:t>
            </w:r>
          </w:p>
        </w:tc>
        <w:tc>
          <w:tcPr>
            <w:tcW w:w="524" w:type="dxa"/>
            <w:vMerge w:val="restart"/>
            <w:tcBorders>
              <w:top w:val="single" w:sz="4" w:space="0" w:color="auto"/>
              <w:bottom w:val="nil"/>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Год</w:t>
            </w:r>
          </w:p>
        </w:tc>
        <w:tc>
          <w:tcPr>
            <w:tcW w:w="1020" w:type="dxa"/>
            <w:vMerge w:val="restart"/>
            <w:tcBorders>
              <w:top w:val="single" w:sz="4" w:space="0" w:color="auto"/>
              <w:bottom w:val="nil"/>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Количес</w:t>
            </w:r>
            <w:r w:rsidRPr="00AC5114">
              <w:rPr>
                <w:i/>
                <w:sz w:val="16"/>
              </w:rPr>
              <w:t>т</w:t>
            </w:r>
            <w:r w:rsidRPr="00AC5114">
              <w:rPr>
                <w:i/>
                <w:sz w:val="16"/>
              </w:rPr>
              <w:t>во обвиня</w:t>
            </w:r>
            <w:r w:rsidRPr="00AC5114">
              <w:rPr>
                <w:i/>
                <w:sz w:val="16"/>
              </w:rPr>
              <w:t>е</w:t>
            </w:r>
            <w:r w:rsidRPr="00AC5114">
              <w:rPr>
                <w:i/>
                <w:sz w:val="16"/>
              </w:rPr>
              <w:t xml:space="preserve">мых </w:t>
            </w:r>
          </w:p>
        </w:tc>
        <w:tc>
          <w:tcPr>
            <w:tcW w:w="1134" w:type="dxa"/>
            <w:vMerge w:val="restart"/>
            <w:tcBorders>
              <w:top w:val="single" w:sz="4" w:space="0" w:color="auto"/>
              <w:bottom w:val="nil"/>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Количество приговоров, вынесе</w:t>
            </w:r>
            <w:r w:rsidRPr="00AC5114">
              <w:rPr>
                <w:i/>
                <w:sz w:val="16"/>
              </w:rPr>
              <w:t>н</w:t>
            </w:r>
            <w:r w:rsidRPr="00AC5114">
              <w:rPr>
                <w:i/>
                <w:sz w:val="16"/>
              </w:rPr>
              <w:t>ных на основ</w:t>
            </w:r>
            <w:r w:rsidRPr="00AC5114">
              <w:rPr>
                <w:i/>
                <w:sz w:val="16"/>
              </w:rPr>
              <w:t>а</w:t>
            </w:r>
            <w:r w:rsidRPr="00AC5114">
              <w:rPr>
                <w:i/>
                <w:sz w:val="16"/>
              </w:rPr>
              <w:t>нии этой статьи</w:t>
            </w:r>
          </w:p>
        </w:tc>
        <w:tc>
          <w:tcPr>
            <w:tcW w:w="4573" w:type="dxa"/>
            <w:gridSpan w:val="4"/>
            <w:tcBorders>
              <w:top w:val="single" w:sz="4" w:space="0" w:color="auto"/>
              <w:bottom w:val="single" w:sz="4" w:space="0" w:color="auto"/>
            </w:tcBorders>
            <w:shd w:val="clear" w:color="auto" w:fill="auto"/>
          </w:tcPr>
          <w:p w:rsidR="00DF5565" w:rsidRPr="00AC5114" w:rsidRDefault="00DF5565" w:rsidP="00AC5114">
            <w:pPr>
              <w:spacing w:before="80" w:after="80" w:line="200" w:lineRule="exact"/>
              <w:jc w:val="center"/>
              <w:cnfStyle w:val="000000000000"/>
              <w:rPr>
                <w:i/>
                <w:sz w:val="16"/>
              </w:rPr>
            </w:pPr>
            <w:r w:rsidRPr="00AC5114">
              <w:rPr>
                <w:i/>
                <w:sz w:val="16"/>
              </w:rPr>
              <w:t>Характер приговоров, вынесенных в отн</w:t>
            </w:r>
            <w:r w:rsidRPr="00AC5114">
              <w:rPr>
                <w:i/>
                <w:sz w:val="16"/>
              </w:rPr>
              <w:t>о</w:t>
            </w:r>
            <w:r w:rsidRPr="00AC5114">
              <w:rPr>
                <w:i/>
                <w:sz w:val="16"/>
              </w:rPr>
              <w:t>шении обвиняемых</w:t>
            </w:r>
          </w:p>
        </w:tc>
      </w:tr>
      <w:tr w:rsidR="00DF5565" w:rsidRPr="00AC5114" w:rsidTr="00AC5114">
        <w:trPr>
          <w:trHeight w:val="760"/>
          <w:tblHeader/>
        </w:trPr>
        <w:tc>
          <w:tcPr>
            <w:cnfStyle w:val="001000000000"/>
            <w:tcW w:w="1288" w:type="dxa"/>
            <w:vMerge/>
            <w:tcBorders>
              <w:top w:val="nil"/>
              <w:bottom w:val="single" w:sz="12" w:space="0" w:color="auto"/>
            </w:tcBorders>
            <w:shd w:val="clear" w:color="auto" w:fill="auto"/>
          </w:tcPr>
          <w:p w:rsidR="00DF5565" w:rsidRPr="00AC5114" w:rsidRDefault="00DF5565" w:rsidP="00AC5114">
            <w:pPr>
              <w:spacing w:before="80" w:after="80" w:line="200" w:lineRule="exact"/>
              <w:rPr>
                <w:i/>
                <w:sz w:val="16"/>
              </w:rPr>
            </w:pPr>
          </w:p>
        </w:tc>
        <w:tc>
          <w:tcPr>
            <w:tcW w:w="524" w:type="dxa"/>
            <w:vMerge/>
            <w:tcBorders>
              <w:top w:val="nil"/>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p>
        </w:tc>
        <w:tc>
          <w:tcPr>
            <w:tcW w:w="1020" w:type="dxa"/>
            <w:vMerge/>
            <w:tcBorders>
              <w:top w:val="nil"/>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p>
        </w:tc>
        <w:tc>
          <w:tcPr>
            <w:tcW w:w="1134" w:type="dxa"/>
            <w:vMerge/>
            <w:tcBorders>
              <w:top w:val="nil"/>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p>
        </w:tc>
        <w:tc>
          <w:tcPr>
            <w:tcW w:w="1241" w:type="dxa"/>
            <w:tcBorders>
              <w:top w:val="single" w:sz="4" w:space="0" w:color="auto"/>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Количество осу</w:t>
            </w:r>
            <w:r w:rsidRPr="00AC5114">
              <w:rPr>
                <w:i/>
                <w:sz w:val="16"/>
              </w:rPr>
              <w:t>ж</w:t>
            </w:r>
            <w:r w:rsidRPr="00AC5114">
              <w:rPr>
                <w:i/>
                <w:sz w:val="16"/>
              </w:rPr>
              <w:t xml:space="preserve">денных </w:t>
            </w:r>
          </w:p>
        </w:tc>
        <w:tc>
          <w:tcPr>
            <w:tcW w:w="1078" w:type="dxa"/>
            <w:tcBorders>
              <w:top w:val="single" w:sz="4" w:space="0" w:color="auto"/>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Количество о</w:t>
            </w:r>
            <w:r w:rsidRPr="00AC5114">
              <w:rPr>
                <w:i/>
                <w:sz w:val="16"/>
              </w:rPr>
              <w:t>п</w:t>
            </w:r>
            <w:r w:rsidRPr="00AC5114">
              <w:rPr>
                <w:i/>
                <w:sz w:val="16"/>
              </w:rPr>
              <w:t xml:space="preserve">равданных </w:t>
            </w:r>
          </w:p>
        </w:tc>
        <w:tc>
          <w:tcPr>
            <w:tcW w:w="1036" w:type="dxa"/>
            <w:tcBorders>
              <w:top w:val="single" w:sz="4" w:space="0" w:color="auto"/>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Пр</w:t>
            </w:r>
            <w:r w:rsidRPr="00AC5114">
              <w:rPr>
                <w:i/>
                <w:sz w:val="16"/>
              </w:rPr>
              <w:t>о</w:t>
            </w:r>
            <w:r w:rsidRPr="00AC5114">
              <w:rPr>
                <w:i/>
                <w:sz w:val="16"/>
              </w:rPr>
              <w:t>чие</w:t>
            </w:r>
            <w:r w:rsidRPr="008D3B03">
              <w:rPr>
                <w:sz w:val="16"/>
              </w:rPr>
              <w:t>**</w:t>
            </w:r>
          </w:p>
        </w:tc>
        <w:tc>
          <w:tcPr>
            <w:tcW w:w="1218" w:type="dxa"/>
            <w:tcBorders>
              <w:top w:val="single" w:sz="4" w:space="0" w:color="auto"/>
              <w:bottom w:val="single" w:sz="12" w:space="0" w:color="auto"/>
            </w:tcBorders>
            <w:shd w:val="clear" w:color="auto" w:fill="auto"/>
          </w:tcPr>
          <w:p w:rsidR="00DF5565" w:rsidRPr="00AC5114" w:rsidRDefault="00DF5565" w:rsidP="00AC5114">
            <w:pPr>
              <w:spacing w:before="80" w:after="80" w:line="200" w:lineRule="exact"/>
              <w:cnfStyle w:val="000000000000"/>
              <w:rPr>
                <w:i/>
                <w:sz w:val="16"/>
              </w:rPr>
            </w:pPr>
            <w:r w:rsidRPr="00AC5114">
              <w:rPr>
                <w:i/>
                <w:sz w:val="16"/>
              </w:rPr>
              <w:t xml:space="preserve">Общее </w:t>
            </w:r>
            <w:r w:rsidR="00AC5114">
              <w:rPr>
                <w:i/>
                <w:sz w:val="16"/>
              </w:rPr>
              <w:br/>
            </w:r>
            <w:r w:rsidRPr="00AC5114">
              <w:rPr>
                <w:i/>
                <w:sz w:val="16"/>
              </w:rPr>
              <w:t>колич</w:t>
            </w:r>
            <w:r w:rsidRPr="00AC5114">
              <w:rPr>
                <w:i/>
                <w:sz w:val="16"/>
              </w:rPr>
              <w:t>е</w:t>
            </w:r>
            <w:r w:rsidRPr="00AC5114">
              <w:rPr>
                <w:i/>
                <w:sz w:val="16"/>
              </w:rPr>
              <w:t>ство обвиня</w:t>
            </w:r>
            <w:r w:rsidRPr="00AC5114">
              <w:rPr>
                <w:i/>
                <w:sz w:val="16"/>
              </w:rPr>
              <w:t>е</w:t>
            </w:r>
            <w:r w:rsidRPr="00AC5114">
              <w:rPr>
                <w:i/>
                <w:sz w:val="16"/>
              </w:rPr>
              <w:t>мых</w:t>
            </w:r>
          </w:p>
        </w:tc>
      </w:tr>
      <w:tr w:rsidR="00DF5565" w:rsidRPr="00AC5114" w:rsidTr="00AC5114">
        <w:trPr>
          <w:trHeight w:val="240"/>
        </w:trPr>
        <w:tc>
          <w:tcPr>
            <w:cnfStyle w:val="001000000000"/>
            <w:tcW w:w="1288" w:type="dxa"/>
            <w:vMerge w:val="restart"/>
            <w:tcBorders>
              <w:top w:val="single" w:sz="12" w:space="0" w:color="auto"/>
            </w:tcBorders>
            <w:vAlign w:val="top"/>
          </w:tcPr>
          <w:p w:rsidR="00DF5565" w:rsidRPr="00AC5114" w:rsidRDefault="00DF5565" w:rsidP="00AC5114">
            <w:r w:rsidRPr="00AC5114">
              <w:t>77/2</w:t>
            </w:r>
          </w:p>
        </w:tc>
        <w:tc>
          <w:tcPr>
            <w:tcW w:w="524" w:type="dxa"/>
            <w:tcBorders>
              <w:top w:val="single" w:sz="12" w:space="0" w:color="auto"/>
            </w:tcBorders>
          </w:tcPr>
          <w:p w:rsidR="00DF5565" w:rsidRPr="00AC5114" w:rsidRDefault="00DF5565" w:rsidP="00AC5114">
            <w:pPr>
              <w:cnfStyle w:val="000000000000"/>
            </w:pPr>
            <w:r w:rsidRPr="00AC5114">
              <w:t>2009</w:t>
            </w:r>
          </w:p>
        </w:tc>
        <w:tc>
          <w:tcPr>
            <w:tcW w:w="1020" w:type="dxa"/>
            <w:tcBorders>
              <w:top w:val="single" w:sz="12" w:space="0" w:color="auto"/>
            </w:tcBorders>
          </w:tcPr>
          <w:p w:rsidR="00DF5565" w:rsidRPr="00AC5114" w:rsidRDefault="00DF5565" w:rsidP="00AC5114">
            <w:pPr>
              <w:cnfStyle w:val="000000000000"/>
            </w:pPr>
            <w:r w:rsidRPr="00AC5114">
              <w:t>1</w:t>
            </w:r>
          </w:p>
        </w:tc>
        <w:tc>
          <w:tcPr>
            <w:tcW w:w="1134" w:type="dxa"/>
            <w:tcBorders>
              <w:top w:val="single" w:sz="12" w:space="0" w:color="auto"/>
            </w:tcBorders>
          </w:tcPr>
          <w:p w:rsidR="00DF5565" w:rsidRPr="00AC5114" w:rsidRDefault="00DF5565" w:rsidP="00AC5114">
            <w:pPr>
              <w:cnfStyle w:val="000000000000"/>
            </w:pPr>
            <w:r w:rsidRPr="00AC5114">
              <w:t>1</w:t>
            </w:r>
          </w:p>
        </w:tc>
        <w:tc>
          <w:tcPr>
            <w:tcW w:w="1241" w:type="dxa"/>
            <w:tcBorders>
              <w:top w:val="single" w:sz="12" w:space="0" w:color="auto"/>
            </w:tcBorders>
          </w:tcPr>
          <w:p w:rsidR="00DF5565" w:rsidRPr="00AC5114" w:rsidRDefault="00DF5565" w:rsidP="00AC5114">
            <w:pPr>
              <w:cnfStyle w:val="000000000000"/>
            </w:pPr>
            <w:r w:rsidRPr="00AC5114">
              <w:t>0</w:t>
            </w:r>
          </w:p>
        </w:tc>
        <w:tc>
          <w:tcPr>
            <w:tcW w:w="1078" w:type="dxa"/>
            <w:tcBorders>
              <w:top w:val="single" w:sz="12" w:space="0" w:color="auto"/>
            </w:tcBorders>
          </w:tcPr>
          <w:p w:rsidR="00DF5565" w:rsidRPr="00AC5114" w:rsidRDefault="00DF5565" w:rsidP="00AC5114">
            <w:pPr>
              <w:cnfStyle w:val="000000000000"/>
            </w:pPr>
            <w:r w:rsidRPr="00AC5114">
              <w:t>0</w:t>
            </w:r>
          </w:p>
        </w:tc>
        <w:tc>
          <w:tcPr>
            <w:tcW w:w="1036" w:type="dxa"/>
            <w:tcBorders>
              <w:top w:val="single" w:sz="12" w:space="0" w:color="auto"/>
            </w:tcBorders>
          </w:tcPr>
          <w:p w:rsidR="00DF5565" w:rsidRPr="00AC5114" w:rsidRDefault="00DF5565" w:rsidP="00AC5114">
            <w:pPr>
              <w:cnfStyle w:val="000000000000"/>
            </w:pPr>
            <w:r w:rsidRPr="00AC5114">
              <w:t>1</w:t>
            </w:r>
          </w:p>
        </w:tc>
        <w:tc>
          <w:tcPr>
            <w:tcW w:w="1218" w:type="dxa"/>
            <w:tcBorders>
              <w:top w:val="single" w:sz="12" w:space="0" w:color="auto"/>
            </w:tcBorders>
          </w:tcPr>
          <w:p w:rsidR="00DF5565" w:rsidRPr="00AC5114" w:rsidRDefault="00DF5565" w:rsidP="00AC5114">
            <w:pPr>
              <w:cnfStyle w:val="000000000000"/>
            </w:pPr>
            <w:r w:rsidRPr="00AC5114">
              <w:t>1</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1</w:t>
            </w:r>
          </w:p>
        </w:tc>
        <w:tc>
          <w:tcPr>
            <w:tcW w:w="1134" w:type="dxa"/>
          </w:tcPr>
          <w:p w:rsidR="00DF5565" w:rsidRPr="00AC5114" w:rsidRDefault="00DF5565" w:rsidP="00AC5114">
            <w:pPr>
              <w:cnfStyle w:val="000000000000"/>
            </w:pPr>
            <w:r w:rsidRPr="00AC5114">
              <w:t>1</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1</w:t>
            </w:r>
          </w:p>
        </w:tc>
        <w:tc>
          <w:tcPr>
            <w:tcW w:w="1218" w:type="dxa"/>
          </w:tcPr>
          <w:p w:rsidR="00DF5565" w:rsidRPr="00AC5114" w:rsidRDefault="00DF5565" w:rsidP="00AC5114">
            <w:pPr>
              <w:cnfStyle w:val="000000000000"/>
            </w:pPr>
            <w:r w:rsidRPr="00AC5114">
              <w:t>1</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2</w:t>
            </w:r>
          </w:p>
        </w:tc>
        <w:tc>
          <w:tcPr>
            <w:tcW w:w="1241" w:type="dxa"/>
          </w:tcPr>
          <w:p w:rsidR="00DF5565" w:rsidRPr="00AC5114" w:rsidRDefault="00DF5565" w:rsidP="00AC5114">
            <w:pPr>
              <w:cnfStyle w:val="000000000000"/>
            </w:pPr>
            <w:r w:rsidRPr="00AC5114">
              <w:t>1</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1</w:t>
            </w:r>
          </w:p>
        </w:tc>
        <w:tc>
          <w:tcPr>
            <w:tcW w:w="1218" w:type="dxa"/>
          </w:tcPr>
          <w:p w:rsidR="00DF5565" w:rsidRPr="00AC5114" w:rsidRDefault="00DF5565" w:rsidP="00AC5114">
            <w:pPr>
              <w:cnfStyle w:val="000000000000"/>
            </w:pPr>
            <w:r w:rsidRPr="00AC5114">
              <w:t>2</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78/1-первое предлож</w:t>
            </w:r>
            <w:r w:rsidRPr="00AC5114">
              <w:t>е</w:t>
            </w:r>
            <w:r w:rsidRPr="00AC5114">
              <w:t>ние</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3</w:t>
            </w:r>
          </w:p>
        </w:tc>
        <w:tc>
          <w:tcPr>
            <w:tcW w:w="1134" w:type="dxa"/>
          </w:tcPr>
          <w:p w:rsidR="00DF5565" w:rsidRPr="00AC5114" w:rsidRDefault="00DF5565" w:rsidP="00AC5114">
            <w:pPr>
              <w:cnfStyle w:val="000000000000"/>
            </w:pPr>
            <w:r w:rsidRPr="00AC5114">
              <w:t>9</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9</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9</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6</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6</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6</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78/1-второе предлож</w:t>
            </w:r>
            <w:r w:rsidRPr="00AC5114">
              <w:t>е</w:t>
            </w:r>
            <w:r w:rsidRPr="00AC5114">
              <w:t>ние</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2</w:t>
            </w:r>
          </w:p>
        </w:tc>
        <w:tc>
          <w:tcPr>
            <w:tcW w:w="1134" w:type="dxa"/>
          </w:tcPr>
          <w:p w:rsidR="00DF5565" w:rsidRPr="00AC5114" w:rsidRDefault="00DF5565" w:rsidP="00AC5114">
            <w:pPr>
              <w:cnfStyle w:val="000000000000"/>
            </w:pPr>
            <w:r w:rsidRPr="00AC5114">
              <w:t>6</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6</w:t>
            </w:r>
          </w:p>
        </w:tc>
        <w:tc>
          <w:tcPr>
            <w:tcW w:w="1218" w:type="dxa"/>
          </w:tcPr>
          <w:p w:rsidR="00DF5565" w:rsidRPr="00AC5114" w:rsidRDefault="00DF5565" w:rsidP="00AC5114">
            <w:pPr>
              <w:cnfStyle w:val="000000000000"/>
            </w:pPr>
            <w:r w:rsidRPr="00AC5114">
              <w:t>6</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3</w:t>
            </w:r>
          </w:p>
        </w:tc>
        <w:tc>
          <w:tcPr>
            <w:tcW w:w="1134" w:type="dxa"/>
          </w:tcPr>
          <w:p w:rsidR="00DF5565" w:rsidRPr="00AC5114" w:rsidRDefault="00DF5565" w:rsidP="00AC5114">
            <w:pPr>
              <w:cnfStyle w:val="000000000000"/>
            </w:pPr>
            <w:r w:rsidRPr="00AC5114">
              <w:t>2</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2</w:t>
            </w:r>
          </w:p>
        </w:tc>
        <w:tc>
          <w:tcPr>
            <w:tcW w:w="1218" w:type="dxa"/>
          </w:tcPr>
          <w:p w:rsidR="00DF5565" w:rsidRPr="00AC5114" w:rsidRDefault="00DF5565" w:rsidP="00AC5114">
            <w:pPr>
              <w:cnfStyle w:val="000000000000"/>
            </w:pPr>
            <w:r w:rsidRPr="00AC5114">
              <w:t>2</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3</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6</w:t>
            </w:r>
          </w:p>
        </w:tc>
        <w:tc>
          <w:tcPr>
            <w:tcW w:w="1218" w:type="dxa"/>
          </w:tcPr>
          <w:p w:rsidR="00DF5565" w:rsidRPr="00AC5114" w:rsidRDefault="00DF5565" w:rsidP="00AC5114">
            <w:pPr>
              <w:cnfStyle w:val="000000000000"/>
            </w:pPr>
            <w:r w:rsidRPr="00AC5114">
              <w:t>6</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122/1-a</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15</w:t>
            </w:r>
          </w:p>
        </w:tc>
        <w:tc>
          <w:tcPr>
            <w:tcW w:w="1134" w:type="dxa"/>
          </w:tcPr>
          <w:p w:rsidR="00DF5565" w:rsidRPr="00AC5114" w:rsidRDefault="00DF5565" w:rsidP="00AC5114">
            <w:pPr>
              <w:cnfStyle w:val="000000000000"/>
            </w:pPr>
            <w:r w:rsidRPr="00AC5114">
              <w:t>7</w:t>
            </w:r>
          </w:p>
        </w:tc>
        <w:tc>
          <w:tcPr>
            <w:tcW w:w="1241" w:type="dxa"/>
          </w:tcPr>
          <w:p w:rsidR="00DF5565" w:rsidRPr="00AC5114" w:rsidRDefault="00DF5565" w:rsidP="00AC5114">
            <w:pPr>
              <w:cnfStyle w:val="000000000000"/>
            </w:pPr>
            <w:r w:rsidRPr="00AC5114">
              <w:t>1</w:t>
            </w:r>
          </w:p>
        </w:tc>
        <w:tc>
          <w:tcPr>
            <w:tcW w:w="1078" w:type="dxa"/>
          </w:tcPr>
          <w:p w:rsidR="00DF5565" w:rsidRPr="00AC5114" w:rsidRDefault="00DF5565" w:rsidP="00AC5114">
            <w:pPr>
              <w:cnfStyle w:val="000000000000"/>
            </w:pPr>
            <w:r w:rsidRPr="00AC5114">
              <w:t>1</w:t>
            </w:r>
          </w:p>
        </w:tc>
        <w:tc>
          <w:tcPr>
            <w:tcW w:w="1036" w:type="dxa"/>
          </w:tcPr>
          <w:p w:rsidR="00DF5565" w:rsidRPr="00AC5114" w:rsidRDefault="00DF5565" w:rsidP="00AC5114">
            <w:pPr>
              <w:cnfStyle w:val="000000000000"/>
            </w:pPr>
            <w:r w:rsidRPr="00AC5114">
              <w:t>5</w:t>
            </w:r>
          </w:p>
        </w:tc>
        <w:tc>
          <w:tcPr>
            <w:tcW w:w="1218" w:type="dxa"/>
          </w:tcPr>
          <w:p w:rsidR="00DF5565" w:rsidRPr="00AC5114" w:rsidRDefault="00DF5565" w:rsidP="00AC5114">
            <w:pPr>
              <w:cnfStyle w:val="000000000000"/>
            </w:pPr>
            <w:r w:rsidRPr="00AC5114">
              <w:t>7</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3</w:t>
            </w:r>
          </w:p>
        </w:tc>
        <w:tc>
          <w:tcPr>
            <w:tcW w:w="1134" w:type="dxa"/>
          </w:tcPr>
          <w:p w:rsidR="00DF5565" w:rsidRPr="00AC5114" w:rsidRDefault="00DF5565" w:rsidP="00AC5114">
            <w:pPr>
              <w:cnfStyle w:val="000000000000"/>
            </w:pPr>
            <w:r w:rsidRPr="00AC5114">
              <w:t>8</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7</w:t>
            </w:r>
          </w:p>
        </w:tc>
        <w:tc>
          <w:tcPr>
            <w:tcW w:w="1036" w:type="dxa"/>
          </w:tcPr>
          <w:p w:rsidR="00DF5565" w:rsidRPr="00AC5114" w:rsidRDefault="00DF5565" w:rsidP="00AC5114">
            <w:pPr>
              <w:cnfStyle w:val="000000000000"/>
            </w:pPr>
            <w:r w:rsidRPr="00AC5114">
              <w:t>1</w:t>
            </w:r>
          </w:p>
        </w:tc>
        <w:tc>
          <w:tcPr>
            <w:tcW w:w="1218" w:type="dxa"/>
          </w:tcPr>
          <w:p w:rsidR="00DF5565" w:rsidRPr="00AC5114" w:rsidRDefault="00DF5565" w:rsidP="00AC5114">
            <w:pPr>
              <w:cnfStyle w:val="000000000000"/>
            </w:pPr>
            <w:r w:rsidRPr="00AC5114">
              <w:t>8</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7</w:t>
            </w:r>
          </w:p>
        </w:tc>
        <w:tc>
          <w:tcPr>
            <w:tcW w:w="1134" w:type="dxa"/>
          </w:tcPr>
          <w:p w:rsidR="00DF5565" w:rsidRPr="00AC5114" w:rsidRDefault="00DF5565" w:rsidP="00AC5114">
            <w:pPr>
              <w:cnfStyle w:val="000000000000"/>
            </w:pPr>
            <w:r w:rsidRPr="00AC5114">
              <w:t>7</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4</w:t>
            </w:r>
          </w:p>
        </w:tc>
        <w:tc>
          <w:tcPr>
            <w:tcW w:w="1036" w:type="dxa"/>
          </w:tcPr>
          <w:p w:rsidR="00DF5565" w:rsidRPr="00AC5114" w:rsidRDefault="00DF5565" w:rsidP="00AC5114">
            <w:pPr>
              <w:cnfStyle w:val="000000000000"/>
            </w:pPr>
            <w:r w:rsidRPr="00AC5114">
              <w:t>3</w:t>
            </w:r>
          </w:p>
        </w:tc>
        <w:tc>
          <w:tcPr>
            <w:tcW w:w="1218" w:type="dxa"/>
          </w:tcPr>
          <w:p w:rsidR="00DF5565" w:rsidRPr="00AC5114" w:rsidRDefault="00DF5565" w:rsidP="00AC5114">
            <w:pPr>
              <w:cnfStyle w:val="000000000000"/>
            </w:pPr>
            <w:r w:rsidRPr="00AC5114">
              <w:t>7</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14</w:t>
            </w:r>
          </w:p>
        </w:tc>
        <w:tc>
          <w:tcPr>
            <w:tcW w:w="1134" w:type="dxa"/>
          </w:tcPr>
          <w:p w:rsidR="00DF5565" w:rsidRPr="00AC5114" w:rsidRDefault="00DF5565" w:rsidP="00AC5114">
            <w:pPr>
              <w:cnfStyle w:val="000000000000"/>
            </w:pPr>
            <w:r w:rsidRPr="00AC5114">
              <w:t>12</w:t>
            </w:r>
          </w:p>
        </w:tc>
        <w:tc>
          <w:tcPr>
            <w:tcW w:w="1241" w:type="dxa"/>
          </w:tcPr>
          <w:p w:rsidR="00DF5565" w:rsidRPr="00AC5114" w:rsidRDefault="00DF5565" w:rsidP="00AC5114">
            <w:pPr>
              <w:cnfStyle w:val="000000000000"/>
            </w:pPr>
            <w:r w:rsidRPr="00AC5114">
              <w:t>1</w:t>
            </w:r>
          </w:p>
        </w:tc>
        <w:tc>
          <w:tcPr>
            <w:tcW w:w="1078" w:type="dxa"/>
          </w:tcPr>
          <w:p w:rsidR="00DF5565" w:rsidRPr="00AC5114" w:rsidRDefault="00DF5565" w:rsidP="00AC5114">
            <w:pPr>
              <w:cnfStyle w:val="000000000000"/>
            </w:pPr>
            <w:r w:rsidRPr="00AC5114">
              <w:t>11</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12</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122/1-b</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3</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2</w:t>
            </w:r>
          </w:p>
        </w:tc>
        <w:tc>
          <w:tcPr>
            <w:tcW w:w="1134" w:type="dxa"/>
          </w:tcPr>
          <w:p w:rsidR="00DF5565" w:rsidRPr="00AC5114" w:rsidRDefault="00DF5565" w:rsidP="00AC5114">
            <w:pPr>
              <w:cnfStyle w:val="000000000000"/>
            </w:pPr>
            <w:r w:rsidRPr="00AC5114">
              <w:t>3</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1</w:t>
            </w:r>
          </w:p>
        </w:tc>
        <w:tc>
          <w:tcPr>
            <w:tcW w:w="1036" w:type="dxa"/>
          </w:tcPr>
          <w:p w:rsidR="00DF5565" w:rsidRPr="00AC5114" w:rsidRDefault="00DF5565" w:rsidP="00AC5114">
            <w:pPr>
              <w:cnfStyle w:val="000000000000"/>
            </w:pPr>
            <w:r w:rsidRPr="00AC5114">
              <w:t>2</w:t>
            </w:r>
          </w:p>
        </w:tc>
        <w:tc>
          <w:tcPr>
            <w:tcW w:w="1218" w:type="dxa"/>
          </w:tcPr>
          <w:p w:rsidR="00DF5565" w:rsidRPr="00AC5114" w:rsidRDefault="00DF5565" w:rsidP="00AC5114">
            <w:pPr>
              <w:cnfStyle w:val="000000000000"/>
            </w:pPr>
            <w:r w:rsidRPr="00AC5114">
              <w:t>3</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1</w:t>
            </w:r>
          </w:p>
        </w:tc>
        <w:tc>
          <w:tcPr>
            <w:tcW w:w="1134" w:type="dxa"/>
          </w:tcPr>
          <w:p w:rsidR="00DF5565" w:rsidRPr="00AC5114" w:rsidRDefault="00DF5565" w:rsidP="00AC5114">
            <w:pPr>
              <w:cnfStyle w:val="000000000000"/>
            </w:pPr>
            <w:r w:rsidRPr="00AC5114">
              <w:t>3</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3</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3</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0</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0</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0</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122/1-c</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2</w:t>
            </w:r>
          </w:p>
        </w:tc>
        <w:tc>
          <w:tcPr>
            <w:tcW w:w="1134" w:type="dxa"/>
          </w:tcPr>
          <w:p w:rsidR="00DF5565" w:rsidRPr="00AC5114" w:rsidRDefault="00DF5565" w:rsidP="00AC5114">
            <w:pPr>
              <w:cnfStyle w:val="000000000000"/>
            </w:pPr>
            <w:r w:rsidRPr="00AC5114">
              <w:t>3</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3</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3</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3</w:t>
            </w:r>
          </w:p>
        </w:tc>
        <w:tc>
          <w:tcPr>
            <w:tcW w:w="1134" w:type="dxa"/>
          </w:tcPr>
          <w:p w:rsidR="00DF5565" w:rsidRPr="00AC5114" w:rsidRDefault="00DF5565" w:rsidP="00AC5114">
            <w:pPr>
              <w:cnfStyle w:val="000000000000"/>
            </w:pPr>
            <w:r w:rsidRPr="00AC5114">
              <w:t>3</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2</w:t>
            </w:r>
          </w:p>
        </w:tc>
        <w:tc>
          <w:tcPr>
            <w:tcW w:w="1036" w:type="dxa"/>
          </w:tcPr>
          <w:p w:rsidR="00DF5565" w:rsidRPr="00AC5114" w:rsidRDefault="00DF5565" w:rsidP="00AC5114">
            <w:pPr>
              <w:cnfStyle w:val="000000000000"/>
            </w:pPr>
            <w:r w:rsidRPr="00AC5114">
              <w:t>1</w:t>
            </w:r>
          </w:p>
        </w:tc>
        <w:tc>
          <w:tcPr>
            <w:tcW w:w="1218" w:type="dxa"/>
          </w:tcPr>
          <w:p w:rsidR="00DF5565" w:rsidRPr="00AC5114" w:rsidRDefault="00DF5565" w:rsidP="00AC5114">
            <w:pPr>
              <w:cnfStyle w:val="000000000000"/>
            </w:pPr>
            <w:r w:rsidRPr="00AC5114">
              <w:t>3</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5</w:t>
            </w:r>
          </w:p>
        </w:tc>
        <w:tc>
          <w:tcPr>
            <w:tcW w:w="1134" w:type="dxa"/>
          </w:tcPr>
          <w:p w:rsidR="00DF5565" w:rsidRPr="00AC5114" w:rsidRDefault="00DF5565" w:rsidP="00AC5114">
            <w:pPr>
              <w:cnfStyle w:val="000000000000"/>
            </w:pPr>
            <w:r w:rsidRPr="00AC5114">
              <w:t>2</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2</w:t>
            </w:r>
          </w:p>
        </w:tc>
        <w:tc>
          <w:tcPr>
            <w:tcW w:w="1036" w:type="dxa"/>
          </w:tcPr>
          <w:p w:rsidR="00DF5565" w:rsidRPr="00AC5114" w:rsidRDefault="00DF5565" w:rsidP="00AC5114">
            <w:pPr>
              <w:cnfStyle w:val="000000000000"/>
            </w:pPr>
            <w:r w:rsidRPr="00AC5114">
              <w:t>0</w:t>
            </w:r>
          </w:p>
        </w:tc>
        <w:tc>
          <w:tcPr>
            <w:tcW w:w="1218" w:type="dxa"/>
          </w:tcPr>
          <w:p w:rsidR="00DF5565" w:rsidRPr="00AC5114" w:rsidRDefault="00DF5565" w:rsidP="00AC5114">
            <w:pPr>
              <w:cnfStyle w:val="000000000000"/>
            </w:pPr>
            <w:r w:rsidRPr="00AC5114">
              <w:t>2</w:t>
            </w:r>
          </w:p>
        </w:tc>
      </w:tr>
      <w:tr w:rsidR="00DF5565" w:rsidRPr="00AC5114" w:rsidTr="00AC5114">
        <w:trPr>
          <w:trHeight w:val="240"/>
        </w:trPr>
        <w:tc>
          <w:tcPr>
            <w:cnfStyle w:val="001000000000"/>
            <w:tcW w:w="1288" w:type="dxa"/>
            <w:vMerge/>
            <w:vAlign w:val="top"/>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0</w:t>
            </w:r>
          </w:p>
        </w:tc>
        <w:tc>
          <w:tcPr>
            <w:tcW w:w="1134" w:type="dxa"/>
          </w:tcPr>
          <w:p w:rsidR="00DF5565" w:rsidRPr="00AC5114" w:rsidRDefault="00DF5565" w:rsidP="00AC5114">
            <w:pPr>
              <w:cnfStyle w:val="000000000000"/>
            </w:pPr>
            <w:r w:rsidRPr="00AC5114">
              <w:t>4</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2</w:t>
            </w:r>
          </w:p>
        </w:tc>
        <w:tc>
          <w:tcPr>
            <w:tcW w:w="1036" w:type="dxa"/>
          </w:tcPr>
          <w:p w:rsidR="00DF5565" w:rsidRPr="00AC5114" w:rsidRDefault="00DF5565" w:rsidP="00AC5114">
            <w:pPr>
              <w:cnfStyle w:val="000000000000"/>
            </w:pPr>
            <w:r w:rsidRPr="00AC5114">
              <w:t>2</w:t>
            </w:r>
          </w:p>
        </w:tc>
        <w:tc>
          <w:tcPr>
            <w:tcW w:w="1218" w:type="dxa"/>
          </w:tcPr>
          <w:p w:rsidR="00DF5565" w:rsidRPr="00AC5114" w:rsidRDefault="00DF5565" w:rsidP="00AC5114">
            <w:pPr>
              <w:cnfStyle w:val="000000000000"/>
            </w:pPr>
            <w:r w:rsidRPr="00AC5114">
              <w:t>4</w:t>
            </w:r>
          </w:p>
        </w:tc>
      </w:tr>
      <w:tr w:rsidR="00DF5565" w:rsidRPr="00AC5114" w:rsidTr="00AC5114">
        <w:trPr>
          <w:trHeight w:val="240"/>
        </w:trPr>
        <w:tc>
          <w:tcPr>
            <w:cnfStyle w:val="001000000000"/>
            <w:tcW w:w="1288" w:type="dxa"/>
            <w:vMerge w:val="restart"/>
            <w:vAlign w:val="top"/>
          </w:tcPr>
          <w:p w:rsidR="00DF5565" w:rsidRPr="00AC5114" w:rsidRDefault="00DF5565" w:rsidP="00AC5114">
            <w:r w:rsidRPr="00AC5114">
              <w:t>135/2</w:t>
            </w:r>
          </w:p>
        </w:tc>
        <w:tc>
          <w:tcPr>
            <w:tcW w:w="524" w:type="dxa"/>
          </w:tcPr>
          <w:p w:rsidR="00DF5565" w:rsidRPr="00AC5114" w:rsidRDefault="00DF5565" w:rsidP="00AC5114">
            <w:pPr>
              <w:cnfStyle w:val="000000000000"/>
            </w:pPr>
            <w:r w:rsidRPr="00AC5114">
              <w:t>2009</w:t>
            </w:r>
          </w:p>
        </w:tc>
        <w:tc>
          <w:tcPr>
            <w:tcW w:w="1020" w:type="dxa"/>
          </w:tcPr>
          <w:p w:rsidR="00DF5565" w:rsidRPr="00AC5114" w:rsidRDefault="00DF5565" w:rsidP="00AC5114">
            <w:pPr>
              <w:cnfStyle w:val="000000000000"/>
            </w:pPr>
            <w:r w:rsidRPr="00AC5114">
              <w:t>44</w:t>
            </w:r>
          </w:p>
        </w:tc>
        <w:tc>
          <w:tcPr>
            <w:tcW w:w="1134" w:type="dxa"/>
          </w:tcPr>
          <w:p w:rsidR="00DF5565" w:rsidRPr="00AC5114" w:rsidRDefault="00DF5565" w:rsidP="00AC5114">
            <w:pPr>
              <w:cnfStyle w:val="000000000000"/>
            </w:pPr>
            <w:r w:rsidRPr="00AC5114">
              <w:t>22</w:t>
            </w:r>
          </w:p>
        </w:tc>
        <w:tc>
          <w:tcPr>
            <w:tcW w:w="1241" w:type="dxa"/>
          </w:tcPr>
          <w:p w:rsidR="00DF5565" w:rsidRPr="00AC5114" w:rsidRDefault="00DF5565" w:rsidP="00AC5114">
            <w:pPr>
              <w:cnfStyle w:val="000000000000"/>
            </w:pPr>
            <w:r w:rsidRPr="00AC5114">
              <w:t>2</w:t>
            </w:r>
          </w:p>
        </w:tc>
        <w:tc>
          <w:tcPr>
            <w:tcW w:w="1078" w:type="dxa"/>
          </w:tcPr>
          <w:p w:rsidR="00DF5565" w:rsidRPr="00AC5114" w:rsidRDefault="00DF5565" w:rsidP="00AC5114">
            <w:pPr>
              <w:cnfStyle w:val="000000000000"/>
            </w:pPr>
            <w:r w:rsidRPr="00AC5114">
              <w:t>6</w:t>
            </w:r>
          </w:p>
        </w:tc>
        <w:tc>
          <w:tcPr>
            <w:tcW w:w="1036" w:type="dxa"/>
          </w:tcPr>
          <w:p w:rsidR="00DF5565" w:rsidRPr="00AC5114" w:rsidRDefault="00DF5565" w:rsidP="00AC5114">
            <w:pPr>
              <w:cnfStyle w:val="000000000000"/>
            </w:pPr>
            <w:r w:rsidRPr="00AC5114">
              <w:t>15</w:t>
            </w:r>
          </w:p>
        </w:tc>
        <w:tc>
          <w:tcPr>
            <w:tcW w:w="1218" w:type="dxa"/>
          </w:tcPr>
          <w:p w:rsidR="00DF5565" w:rsidRPr="00AC5114" w:rsidRDefault="00DF5565" w:rsidP="00AC5114">
            <w:pPr>
              <w:cnfStyle w:val="000000000000"/>
            </w:pPr>
            <w:r w:rsidRPr="00AC5114">
              <w:t>23</w:t>
            </w:r>
          </w:p>
        </w:tc>
      </w:tr>
      <w:tr w:rsidR="00DF5565" w:rsidRPr="00AC5114" w:rsidTr="00AC5114">
        <w:trPr>
          <w:trHeight w:val="240"/>
        </w:trPr>
        <w:tc>
          <w:tcPr>
            <w:cnfStyle w:val="001000000000"/>
            <w:tcW w:w="1288" w:type="dxa"/>
            <w:vMerge/>
          </w:tcPr>
          <w:p w:rsidR="00DF5565" w:rsidRPr="00AC5114" w:rsidRDefault="00DF5565" w:rsidP="00AC5114"/>
        </w:tc>
        <w:tc>
          <w:tcPr>
            <w:tcW w:w="524" w:type="dxa"/>
          </w:tcPr>
          <w:p w:rsidR="00DF5565" w:rsidRPr="00AC5114" w:rsidRDefault="00DF5565" w:rsidP="00AC5114">
            <w:pPr>
              <w:cnfStyle w:val="000000000000"/>
            </w:pPr>
            <w:r w:rsidRPr="00AC5114">
              <w:t>2010</w:t>
            </w:r>
          </w:p>
        </w:tc>
        <w:tc>
          <w:tcPr>
            <w:tcW w:w="1020" w:type="dxa"/>
          </w:tcPr>
          <w:p w:rsidR="00DF5565" w:rsidRPr="00AC5114" w:rsidRDefault="00DF5565" w:rsidP="00AC5114">
            <w:pPr>
              <w:cnfStyle w:val="000000000000"/>
            </w:pPr>
            <w:r w:rsidRPr="00AC5114">
              <w:t>49</w:t>
            </w:r>
          </w:p>
        </w:tc>
        <w:tc>
          <w:tcPr>
            <w:tcW w:w="1134" w:type="dxa"/>
          </w:tcPr>
          <w:p w:rsidR="00DF5565" w:rsidRPr="00AC5114" w:rsidRDefault="00DF5565" w:rsidP="00AC5114">
            <w:pPr>
              <w:cnfStyle w:val="000000000000"/>
            </w:pPr>
            <w:r w:rsidRPr="00AC5114">
              <w:t>24</w:t>
            </w:r>
          </w:p>
        </w:tc>
        <w:tc>
          <w:tcPr>
            <w:tcW w:w="1241" w:type="dxa"/>
          </w:tcPr>
          <w:p w:rsidR="00DF5565" w:rsidRPr="00AC5114" w:rsidRDefault="00DF5565" w:rsidP="00AC5114">
            <w:pPr>
              <w:cnfStyle w:val="000000000000"/>
            </w:pPr>
            <w:r w:rsidRPr="00AC5114">
              <w:t>0</w:t>
            </w:r>
          </w:p>
        </w:tc>
        <w:tc>
          <w:tcPr>
            <w:tcW w:w="1078" w:type="dxa"/>
          </w:tcPr>
          <w:p w:rsidR="00DF5565" w:rsidRPr="00AC5114" w:rsidRDefault="00DF5565" w:rsidP="00AC5114">
            <w:pPr>
              <w:cnfStyle w:val="000000000000"/>
            </w:pPr>
            <w:r w:rsidRPr="00AC5114">
              <w:t>2</w:t>
            </w:r>
          </w:p>
        </w:tc>
        <w:tc>
          <w:tcPr>
            <w:tcW w:w="1036" w:type="dxa"/>
          </w:tcPr>
          <w:p w:rsidR="00DF5565" w:rsidRPr="00AC5114" w:rsidRDefault="00DF5565" w:rsidP="00AC5114">
            <w:pPr>
              <w:cnfStyle w:val="000000000000"/>
            </w:pPr>
            <w:r w:rsidRPr="00AC5114">
              <w:t>22</w:t>
            </w:r>
          </w:p>
        </w:tc>
        <w:tc>
          <w:tcPr>
            <w:tcW w:w="1218" w:type="dxa"/>
          </w:tcPr>
          <w:p w:rsidR="00DF5565" w:rsidRPr="00AC5114" w:rsidRDefault="00DF5565" w:rsidP="00AC5114">
            <w:pPr>
              <w:cnfStyle w:val="000000000000"/>
            </w:pPr>
            <w:r w:rsidRPr="00AC5114">
              <w:t>24</w:t>
            </w:r>
          </w:p>
        </w:tc>
      </w:tr>
      <w:tr w:rsidR="00DF5565" w:rsidRPr="00AC5114" w:rsidTr="00AC5114">
        <w:trPr>
          <w:trHeight w:val="240"/>
        </w:trPr>
        <w:tc>
          <w:tcPr>
            <w:cnfStyle w:val="001000000000"/>
            <w:tcW w:w="1288" w:type="dxa"/>
            <w:vMerge/>
          </w:tcPr>
          <w:p w:rsidR="00DF5565" w:rsidRPr="00AC5114" w:rsidRDefault="00DF5565" w:rsidP="00AC5114"/>
        </w:tc>
        <w:tc>
          <w:tcPr>
            <w:tcW w:w="524" w:type="dxa"/>
          </w:tcPr>
          <w:p w:rsidR="00DF5565" w:rsidRPr="00AC5114" w:rsidRDefault="00DF5565" w:rsidP="00AC5114">
            <w:pPr>
              <w:cnfStyle w:val="000000000000"/>
            </w:pPr>
            <w:r w:rsidRPr="00AC5114">
              <w:t>2011</w:t>
            </w:r>
          </w:p>
        </w:tc>
        <w:tc>
          <w:tcPr>
            <w:tcW w:w="1020" w:type="dxa"/>
          </w:tcPr>
          <w:p w:rsidR="00DF5565" w:rsidRPr="00AC5114" w:rsidRDefault="00DF5565" w:rsidP="00AC5114">
            <w:pPr>
              <w:cnfStyle w:val="000000000000"/>
            </w:pPr>
            <w:r w:rsidRPr="00AC5114">
              <w:t>55</w:t>
            </w:r>
          </w:p>
        </w:tc>
        <w:tc>
          <w:tcPr>
            <w:tcW w:w="1134" w:type="dxa"/>
          </w:tcPr>
          <w:p w:rsidR="00DF5565" w:rsidRPr="00AC5114" w:rsidRDefault="00DF5565" w:rsidP="00AC5114">
            <w:pPr>
              <w:cnfStyle w:val="000000000000"/>
            </w:pPr>
            <w:r w:rsidRPr="00AC5114">
              <w:t>23</w:t>
            </w:r>
          </w:p>
        </w:tc>
        <w:tc>
          <w:tcPr>
            <w:tcW w:w="1241" w:type="dxa"/>
          </w:tcPr>
          <w:p w:rsidR="00DF5565" w:rsidRPr="00AC5114" w:rsidRDefault="00DF5565" w:rsidP="00AC5114">
            <w:pPr>
              <w:cnfStyle w:val="000000000000"/>
            </w:pPr>
            <w:r w:rsidRPr="00AC5114">
              <w:t>16</w:t>
            </w:r>
          </w:p>
        </w:tc>
        <w:tc>
          <w:tcPr>
            <w:tcW w:w="1078" w:type="dxa"/>
          </w:tcPr>
          <w:p w:rsidR="00DF5565" w:rsidRPr="00AC5114" w:rsidRDefault="00DF5565" w:rsidP="00AC5114">
            <w:pPr>
              <w:cnfStyle w:val="000000000000"/>
            </w:pPr>
            <w:r w:rsidRPr="00AC5114">
              <w:t>5</w:t>
            </w:r>
          </w:p>
        </w:tc>
        <w:tc>
          <w:tcPr>
            <w:tcW w:w="1036" w:type="dxa"/>
          </w:tcPr>
          <w:p w:rsidR="00DF5565" w:rsidRPr="00AC5114" w:rsidRDefault="00DF5565" w:rsidP="00AC5114">
            <w:pPr>
              <w:cnfStyle w:val="000000000000"/>
            </w:pPr>
            <w:r w:rsidRPr="00AC5114">
              <w:t>13</w:t>
            </w:r>
          </w:p>
        </w:tc>
        <w:tc>
          <w:tcPr>
            <w:tcW w:w="1218" w:type="dxa"/>
          </w:tcPr>
          <w:p w:rsidR="00DF5565" w:rsidRPr="00AC5114" w:rsidRDefault="00DF5565" w:rsidP="00AC5114">
            <w:pPr>
              <w:cnfStyle w:val="000000000000"/>
            </w:pPr>
            <w:r w:rsidRPr="00AC5114">
              <w:t>34</w:t>
            </w:r>
          </w:p>
        </w:tc>
      </w:tr>
      <w:tr w:rsidR="00DF5565" w:rsidRPr="00AC5114" w:rsidTr="00AC5114">
        <w:trPr>
          <w:trHeight w:val="240"/>
        </w:trPr>
        <w:tc>
          <w:tcPr>
            <w:cnfStyle w:val="001000000000"/>
            <w:tcW w:w="1288" w:type="dxa"/>
            <w:vMerge/>
          </w:tcPr>
          <w:p w:rsidR="00DF5565" w:rsidRPr="00AC5114" w:rsidRDefault="00DF5565" w:rsidP="00AC5114"/>
        </w:tc>
        <w:tc>
          <w:tcPr>
            <w:tcW w:w="524" w:type="dxa"/>
          </w:tcPr>
          <w:p w:rsidR="00DF5565" w:rsidRPr="00AC5114" w:rsidRDefault="00DF5565" w:rsidP="00AC5114">
            <w:pPr>
              <w:cnfStyle w:val="000000000000"/>
            </w:pPr>
            <w:r w:rsidRPr="00AC5114">
              <w:t>2012</w:t>
            </w:r>
          </w:p>
        </w:tc>
        <w:tc>
          <w:tcPr>
            <w:tcW w:w="1020" w:type="dxa"/>
          </w:tcPr>
          <w:p w:rsidR="00DF5565" w:rsidRPr="00AC5114" w:rsidRDefault="00DF5565" w:rsidP="00AC5114">
            <w:pPr>
              <w:cnfStyle w:val="000000000000"/>
            </w:pPr>
            <w:r w:rsidRPr="00AC5114">
              <w:t>34</w:t>
            </w:r>
          </w:p>
        </w:tc>
        <w:tc>
          <w:tcPr>
            <w:tcW w:w="1134" w:type="dxa"/>
          </w:tcPr>
          <w:p w:rsidR="00DF5565" w:rsidRPr="00AC5114" w:rsidRDefault="00DF5565" w:rsidP="00AC5114">
            <w:pPr>
              <w:cnfStyle w:val="000000000000"/>
            </w:pPr>
            <w:r w:rsidRPr="00AC5114">
              <w:t>51</w:t>
            </w:r>
          </w:p>
        </w:tc>
        <w:tc>
          <w:tcPr>
            <w:tcW w:w="1241" w:type="dxa"/>
          </w:tcPr>
          <w:p w:rsidR="00DF5565" w:rsidRPr="00AC5114" w:rsidRDefault="00DF5565" w:rsidP="00AC5114">
            <w:pPr>
              <w:cnfStyle w:val="000000000000"/>
            </w:pPr>
            <w:r w:rsidRPr="00AC5114">
              <w:t>4</w:t>
            </w:r>
          </w:p>
        </w:tc>
        <w:tc>
          <w:tcPr>
            <w:tcW w:w="1078" w:type="dxa"/>
          </w:tcPr>
          <w:p w:rsidR="00DF5565" w:rsidRPr="00AC5114" w:rsidRDefault="00DF5565" w:rsidP="00AC5114">
            <w:pPr>
              <w:cnfStyle w:val="000000000000"/>
            </w:pPr>
            <w:r w:rsidRPr="00AC5114">
              <w:t>8</w:t>
            </w:r>
          </w:p>
        </w:tc>
        <w:tc>
          <w:tcPr>
            <w:tcW w:w="1036" w:type="dxa"/>
          </w:tcPr>
          <w:p w:rsidR="00DF5565" w:rsidRPr="00AC5114" w:rsidRDefault="00DF5565" w:rsidP="00AC5114">
            <w:pPr>
              <w:cnfStyle w:val="000000000000"/>
            </w:pPr>
            <w:r w:rsidRPr="00AC5114">
              <w:t>41</w:t>
            </w:r>
          </w:p>
        </w:tc>
        <w:tc>
          <w:tcPr>
            <w:tcW w:w="1218" w:type="dxa"/>
          </w:tcPr>
          <w:p w:rsidR="00DF5565" w:rsidRPr="00AC5114" w:rsidRDefault="00DF5565" w:rsidP="00AC5114">
            <w:pPr>
              <w:cnfStyle w:val="000000000000"/>
            </w:pPr>
            <w:r w:rsidRPr="00AC5114">
              <w:t>53</w:t>
            </w:r>
          </w:p>
        </w:tc>
      </w:tr>
    </w:tbl>
    <w:p w:rsidR="00DF5565" w:rsidRPr="00AC5114" w:rsidRDefault="00DF5565" w:rsidP="00AC5114">
      <w:pPr>
        <w:pStyle w:val="SingleTxtGR"/>
        <w:suppressAutoHyphens/>
        <w:spacing w:before="120" w:after="0" w:line="220" w:lineRule="atLeast"/>
        <w:ind w:left="1247" w:firstLine="96"/>
        <w:jc w:val="left"/>
        <w:rPr>
          <w:sz w:val="18"/>
          <w:szCs w:val="18"/>
        </w:rPr>
      </w:pPr>
      <w:r w:rsidRPr="00AC5114">
        <w:rPr>
          <w:sz w:val="18"/>
          <w:szCs w:val="18"/>
        </w:rPr>
        <w:t>* С текстами статей можно ознакомиться в пункте 29, посвященном выполнению статьи 2.</w:t>
      </w:r>
    </w:p>
    <w:p w:rsidR="00DF5565" w:rsidRPr="00AC5114" w:rsidRDefault="00DF5565" w:rsidP="00AC5114">
      <w:pPr>
        <w:pStyle w:val="SingleTxtGR"/>
        <w:suppressAutoHyphens/>
        <w:spacing w:after="240" w:line="220" w:lineRule="atLeast"/>
        <w:ind w:left="1247" w:firstLine="96"/>
        <w:jc w:val="left"/>
        <w:rPr>
          <w:sz w:val="18"/>
          <w:szCs w:val="18"/>
        </w:rPr>
      </w:pPr>
      <w:r w:rsidRPr="00AC5114">
        <w:rPr>
          <w:sz w:val="18"/>
          <w:szCs w:val="18"/>
        </w:rPr>
        <w:t>** Прочие виды решений включают приостановление вынесения приговора, решение об отсутствии предметной юрисдикции, решение об отсутствии территориальной юрисдикции, приостановление производства (например,</w:t>
      </w:r>
      <w:r w:rsidR="002B6A52" w:rsidRPr="00AC5114">
        <w:rPr>
          <w:sz w:val="18"/>
          <w:szCs w:val="18"/>
        </w:rPr>
        <w:t xml:space="preserve"> </w:t>
      </w:r>
      <w:r w:rsidRPr="00AC5114">
        <w:rPr>
          <w:sz w:val="18"/>
          <w:szCs w:val="18"/>
        </w:rPr>
        <w:t>в связи с пропущенным сроком давности), отсрочка рассмотрения дела (например, по причинам, обусловленным расследованием или обвинением).</w:t>
      </w:r>
    </w:p>
    <w:p w:rsidR="00DF5565" w:rsidRPr="003F0749" w:rsidRDefault="00DF5565" w:rsidP="00AC5114">
      <w:pPr>
        <w:pStyle w:val="SingleTxtGR"/>
        <w:keepLines/>
      </w:pPr>
      <w:r w:rsidRPr="003F0749">
        <w:t>183.</w:t>
      </w:r>
      <w:r w:rsidRPr="003F0749">
        <w:tab/>
        <w:t>Просьба ознакомиться с таблицей в части, посвященной выполнению статьи 4, в которой приводятся данные о количестве обвинительных приговоров и решений, вынесенных судами по статье 216 (призывы, разжигающие нен</w:t>
      </w:r>
      <w:r w:rsidRPr="003F0749">
        <w:t>а</w:t>
      </w:r>
      <w:r w:rsidRPr="003F0749">
        <w:t>висть или вражду) и статье 218 УКТ в период между 2009 и 2012</w:t>
      </w:r>
      <w:r w:rsidR="002B6A52">
        <w:t> год</w:t>
      </w:r>
      <w:r w:rsidRPr="003F0749">
        <w:t>ами.</w:t>
      </w:r>
    </w:p>
    <w:p w:rsidR="00DF5565" w:rsidRPr="003F0749" w:rsidRDefault="00DF5565" w:rsidP="00DF5565">
      <w:pPr>
        <w:pStyle w:val="SingleTxtGR"/>
      </w:pPr>
      <w:r w:rsidRPr="003F0749">
        <w:t>184.</w:t>
      </w:r>
      <w:r w:rsidRPr="003F0749">
        <w:tab/>
        <w:t>Конституционный суд начал получать сообщения от отдельных лиц с 23</w:t>
      </w:r>
      <w:r w:rsidR="004B21D5">
        <w:rPr>
          <w:lang w:val="en-US"/>
        </w:rPr>
        <w:t> </w:t>
      </w:r>
      <w:r w:rsidRPr="003F0749">
        <w:t>сентября 2012</w:t>
      </w:r>
      <w:r w:rsidR="002B6A52">
        <w:t> год</w:t>
      </w:r>
      <w:r w:rsidRPr="003F0749">
        <w:t>а</w:t>
      </w:r>
      <w:r w:rsidR="002B6A52">
        <w:t>. В </w:t>
      </w:r>
      <w:r w:rsidRPr="003F0749">
        <w:t>период между сентябрем 2012</w:t>
      </w:r>
      <w:r w:rsidR="002B6A52">
        <w:t> год</w:t>
      </w:r>
      <w:r w:rsidRPr="003F0749">
        <w:t>а и декабрем 2013</w:t>
      </w:r>
      <w:r w:rsidR="002B6A52">
        <w:t> год</w:t>
      </w:r>
      <w:r w:rsidRPr="003F0749">
        <w:t>а Верховный суд получил свыше 10 тысяч таких сообщений. Из них в 48 сообщ</w:t>
      </w:r>
      <w:r w:rsidRPr="003F0749">
        <w:t>е</w:t>
      </w:r>
      <w:r w:rsidRPr="003F0749">
        <w:t>ниях речь шла о расовой дискриминации. 10 сообщений по-прежнему находятся на рассмотрении коллегий, 27 сообщений рассматриваются Коми</w:t>
      </w:r>
      <w:r w:rsidRPr="003F0749">
        <w:t>с</w:t>
      </w:r>
      <w:r w:rsidRPr="003F0749">
        <w:t>сиями, 7 сообщений признаны неприемлемыми, а 4 сообщениям было оставл</w:t>
      </w:r>
      <w:r w:rsidRPr="003F0749">
        <w:t>е</w:t>
      </w:r>
      <w:r w:rsidRPr="003F0749">
        <w:t>но без ра</w:t>
      </w:r>
      <w:r w:rsidRPr="003F0749">
        <w:t>с</w:t>
      </w:r>
      <w:r w:rsidRPr="003F0749">
        <w:t>смотрения в связи с несоблюдением формы и содержания сообщения.</w:t>
      </w:r>
    </w:p>
    <w:p w:rsidR="00DF5565" w:rsidRPr="003F0749" w:rsidRDefault="004B21D5" w:rsidP="004B21D5">
      <w:pPr>
        <w:pStyle w:val="H23GR"/>
      </w:pPr>
      <w:r>
        <w:rPr>
          <w:lang w:val="en-US"/>
        </w:rPr>
        <w:tab/>
      </w:r>
      <w:r>
        <w:rPr>
          <w:lang w:val="en-US"/>
        </w:rPr>
        <w:tab/>
      </w:r>
      <w:r w:rsidR="00DF5565" w:rsidRPr="003F0749">
        <w:t>Административные и парламентские средства защиты</w:t>
      </w:r>
    </w:p>
    <w:p w:rsidR="00DF5565" w:rsidRPr="003F0749" w:rsidRDefault="00DF5565" w:rsidP="00DF5565">
      <w:pPr>
        <w:pStyle w:val="SingleTxtGR"/>
      </w:pPr>
      <w:r w:rsidRPr="003F0749">
        <w:t>185.</w:t>
      </w:r>
      <w:r w:rsidRPr="003F0749">
        <w:tab/>
        <w:t>Эти средства защиты применяются через Омбудсмена, Национальное правозащитное учреждение Турции и Парламентскую комиссию по правам ч</w:t>
      </w:r>
      <w:r w:rsidRPr="003F0749">
        <w:t>е</w:t>
      </w:r>
      <w:r w:rsidRPr="003F0749">
        <w:t>ловека. Закон о Национальном правозащитном учреждении Турции вступил в силу 30 июня 2012</w:t>
      </w:r>
      <w:r w:rsidR="002B6A52">
        <w:t> год</w:t>
      </w:r>
      <w:r w:rsidRPr="003F0749">
        <w:t>а. Учреждение получает жалобы на нарушения прав ч</w:t>
      </w:r>
      <w:r w:rsidRPr="003F0749">
        <w:t>е</w:t>
      </w:r>
      <w:r w:rsidRPr="003F0749">
        <w:t xml:space="preserve">ловека. Однако статистической информации об этих жалобах и результатах их рассмотрения еще не имеется. </w:t>
      </w:r>
    </w:p>
    <w:p w:rsidR="00DF5565" w:rsidRPr="003F0749" w:rsidRDefault="00DF5565" w:rsidP="00DF5565">
      <w:pPr>
        <w:pStyle w:val="SingleTxtGR"/>
      </w:pPr>
      <w:r w:rsidRPr="003F0749">
        <w:t>186.</w:t>
      </w:r>
      <w:r w:rsidRPr="003F0749">
        <w:tab/>
        <w:t>Омбудсмен стал получать жалобы с 29 марта 2013</w:t>
      </w:r>
      <w:r w:rsidR="002B6A52">
        <w:t> год</w:t>
      </w:r>
      <w:r w:rsidRPr="003F0749">
        <w:t>а. Из полученных жалоб четыре жалобы касались дискриминации по признаку происхождения. Два сообщения рассматриваются в предварительном порядке, одно было пр</w:t>
      </w:r>
      <w:r w:rsidRPr="003F0749">
        <w:t>и</w:t>
      </w:r>
      <w:r w:rsidRPr="003F0749">
        <w:t xml:space="preserve">знано неприемлемым из-за отсутствия в сообщении обязательной информации, и одна жалоба была направлена в министерство юстиции, поскольку не были исчерпаны административные средства защиты. </w:t>
      </w:r>
    </w:p>
    <w:p w:rsidR="00DF5565" w:rsidRPr="003F0749" w:rsidRDefault="00DF5565" w:rsidP="00DF5565">
      <w:pPr>
        <w:pStyle w:val="SingleTxtGR"/>
      </w:pPr>
      <w:r w:rsidRPr="003F0749">
        <w:t>187.</w:t>
      </w:r>
      <w:r w:rsidRPr="003F0749">
        <w:tab/>
        <w:t>Небольшое количество сообщений от турецких граждан различного пр</w:t>
      </w:r>
      <w:r w:rsidRPr="003F0749">
        <w:t>о</w:t>
      </w:r>
      <w:r w:rsidRPr="003F0749">
        <w:t xml:space="preserve">исхождения было направлено в Парламентскую комиссию по расследованию нарушений прав человека. Эти сообщения касались народности рома, турецких граждан курдского происхождения и немусульманских меньшинств. </w:t>
      </w:r>
    </w:p>
    <w:p w:rsidR="00DF5565" w:rsidRPr="003F0749" w:rsidRDefault="00DF5565" w:rsidP="00DF5565">
      <w:pPr>
        <w:pStyle w:val="SingleTxtGR"/>
      </w:pPr>
      <w:r w:rsidRPr="003F0749">
        <w:t>188.</w:t>
      </w:r>
      <w:r w:rsidRPr="003F0749">
        <w:tab/>
        <w:t>После тщательного изучения Комиссия уведомляет соответствующие г</w:t>
      </w:r>
      <w:r w:rsidRPr="003F0749">
        <w:t>о</w:t>
      </w:r>
      <w:r w:rsidRPr="003F0749">
        <w:t>сударственные органы об этих утверждениях. Государственные органы ра</w:t>
      </w:r>
      <w:r w:rsidRPr="003F0749">
        <w:t>с</w:t>
      </w:r>
      <w:r w:rsidRPr="003F0749">
        <w:t>сматривают эти случаи и информируют Комиссию о существе каждого дела или иногда о мерах, принятых для восстановления нарушенных прав после получ</w:t>
      </w:r>
      <w:r w:rsidRPr="003F0749">
        <w:t>е</w:t>
      </w:r>
      <w:r w:rsidRPr="003F0749">
        <w:t>ния письма Комиссии. Приведем несколько примеров таких средств защиты. Так, в одном случае были приняты меры, для того, чтобы преднамеренно н</w:t>
      </w:r>
      <w:r w:rsidRPr="003F0749">
        <w:t>е</w:t>
      </w:r>
      <w:r w:rsidRPr="003F0749">
        <w:t>правильно оформленное удостоверение личности одного из рома было офор</w:t>
      </w:r>
      <w:r w:rsidRPr="003F0749">
        <w:t>м</w:t>
      </w:r>
      <w:r w:rsidRPr="003F0749">
        <w:t>лено должным образом</w:t>
      </w:r>
      <w:r w:rsidR="002B6A52">
        <w:t>. В </w:t>
      </w:r>
      <w:r w:rsidRPr="003F0749">
        <w:t>другом случае после жалобы турецкого гражданина курдской национальности на препятствия, чинимые в использовании другого, не турецкого языка, при свидании с осужденными и задержанными лицами, эти ограничения были устранены.</w:t>
      </w:r>
    </w:p>
    <w:p w:rsidR="00DF5565" w:rsidRPr="003F0749" w:rsidRDefault="00DF5565" w:rsidP="00DF5565">
      <w:pPr>
        <w:pStyle w:val="SingleTxtGR"/>
      </w:pPr>
      <w:r w:rsidRPr="003F0749">
        <w:t>189.</w:t>
      </w:r>
      <w:r w:rsidRPr="003F0749">
        <w:tab/>
        <w:t>Кроме того, Комиссия призвала к возбуждению уголовного дела по соо</w:t>
      </w:r>
      <w:r w:rsidRPr="003F0749">
        <w:t>т</w:t>
      </w:r>
      <w:r w:rsidRPr="003F0749">
        <w:t>ветствующим статьям УКТ в отношении лиц, которые несли транспаранты с дискриминационными лозунгами в адрес армянских граждан вовремя одной из демонстраций в Стамбуле. После этого призыва прокурор Стамбула выдвинул обвинения против лиц, державших эти лозунги, и было принято решение о</w:t>
      </w:r>
      <w:r w:rsidRPr="003F0749">
        <w:t>ш</w:t>
      </w:r>
      <w:r w:rsidRPr="003F0749">
        <w:t xml:space="preserve">трафовать шестерых лиц по факту разжигания ненависти и вражды. </w:t>
      </w:r>
    </w:p>
    <w:p w:rsidR="00DF5565" w:rsidRPr="003F0749" w:rsidRDefault="00DF5565" w:rsidP="00DF5565">
      <w:pPr>
        <w:pStyle w:val="SingleTxtGR"/>
      </w:pPr>
      <w:r w:rsidRPr="003F0749">
        <w:t>190.</w:t>
      </w:r>
      <w:r w:rsidRPr="003F0749">
        <w:tab/>
        <w:t>Кроме того, 30 сентября 2013</w:t>
      </w:r>
      <w:r w:rsidR="002B6A52">
        <w:t> год</w:t>
      </w:r>
      <w:r w:rsidRPr="003F0749">
        <w:t>а Комиссия встретилась с представит</w:t>
      </w:r>
      <w:r w:rsidRPr="003F0749">
        <w:t>е</w:t>
      </w:r>
      <w:r w:rsidRPr="003F0749">
        <w:t>лями Ассоциации социальной помощи и солидарности рома из нескольких пр</w:t>
      </w:r>
      <w:r w:rsidRPr="003F0749">
        <w:t>о</w:t>
      </w:r>
      <w:r w:rsidRPr="003F0749">
        <w:t>винций. Комиссия уведомила соответствующие ведомства о жалобах, которые довела Ассоциация до ее сведения. Комиссия внимательно следит за результ</w:t>
      </w:r>
      <w:r w:rsidRPr="003F0749">
        <w:t>а</w:t>
      </w:r>
      <w:r w:rsidRPr="003F0749">
        <w:t>тами дальнейших мер соответствующих органов в отношении этих озабоченн</w:t>
      </w:r>
      <w:r w:rsidRPr="003F0749">
        <w:t>о</w:t>
      </w:r>
      <w:r w:rsidRPr="003F0749">
        <w:t>стей.</w:t>
      </w:r>
    </w:p>
    <w:p w:rsidR="00DF5565" w:rsidRPr="003F0749" w:rsidRDefault="00DF5565" w:rsidP="004B21D5">
      <w:pPr>
        <w:pStyle w:val="H23GR"/>
      </w:pPr>
      <w:r w:rsidRPr="003F0749">
        <w:tab/>
        <w:t>2.</w:t>
      </w:r>
      <w:r w:rsidRPr="003F0749">
        <w:tab/>
        <w:t>Факультативное заявление, предусмотренное в статье 14 Ко</w:t>
      </w:r>
      <w:r w:rsidRPr="003F0749">
        <w:t>н</w:t>
      </w:r>
      <w:r w:rsidRPr="003F0749">
        <w:t>венции</w:t>
      </w:r>
    </w:p>
    <w:p w:rsidR="00DF5565" w:rsidRPr="003F0749" w:rsidRDefault="00DF5565" w:rsidP="00DF5565">
      <w:pPr>
        <w:pStyle w:val="SingleTxtGR"/>
      </w:pPr>
      <w:r w:rsidRPr="003F0749">
        <w:t>191.</w:t>
      </w:r>
      <w:r w:rsidRPr="003F0749">
        <w:tab/>
        <w:t>В настоящее время Турция не намеревается делать какое-либо заявление, предусмотренное статьей 14 Конвенции. Стоит отметить, что в части, каса</w:t>
      </w:r>
      <w:r w:rsidRPr="003F0749">
        <w:t>ю</w:t>
      </w:r>
      <w:r w:rsidRPr="003F0749">
        <w:t>щейся международных механизмов по рассмотрению жалоб в области прав ч</w:t>
      </w:r>
      <w:r w:rsidRPr="003F0749">
        <w:t>е</w:t>
      </w:r>
      <w:r w:rsidRPr="003F0749">
        <w:t>ловека, Турция признала право подачи петиций от отдельных лиц в Европе</w:t>
      </w:r>
      <w:r w:rsidRPr="003F0749">
        <w:t>й</w:t>
      </w:r>
      <w:r w:rsidRPr="003F0749">
        <w:t>ский суд по правам человека в 1987</w:t>
      </w:r>
      <w:r w:rsidR="002B6A52">
        <w:t> год</w:t>
      </w:r>
      <w:r w:rsidRPr="003F0749">
        <w:t>у и тем самым признала обязательную юрисдикцию этого, по общему мнению, одного из самых эффективных мех</w:t>
      </w:r>
      <w:r w:rsidRPr="003F0749">
        <w:t>а</w:t>
      </w:r>
      <w:r w:rsidRPr="003F0749">
        <w:t>низмов по правам человека после 1990</w:t>
      </w:r>
      <w:r w:rsidR="002B6A52">
        <w:t> год</w:t>
      </w:r>
      <w:r w:rsidRPr="003F0749">
        <w:t>а.</w:t>
      </w:r>
    </w:p>
    <w:p w:rsidR="00DF5565" w:rsidRPr="003F0749" w:rsidRDefault="00DF5565" w:rsidP="004B21D5">
      <w:pPr>
        <w:pStyle w:val="H1GR"/>
      </w:pPr>
      <w:bookmarkStart w:id="2" w:name="_Toc356921126"/>
      <w:r w:rsidRPr="003F0749">
        <w:tab/>
      </w:r>
      <w:r w:rsidRPr="003F0749">
        <w:tab/>
        <w:t>Статья 7</w:t>
      </w:r>
    </w:p>
    <w:p w:rsidR="00DF5565" w:rsidRPr="003F0749" w:rsidRDefault="00DF5565" w:rsidP="004B21D5">
      <w:pPr>
        <w:pStyle w:val="H23GR"/>
      </w:pPr>
      <w:r w:rsidRPr="003F0749">
        <w:tab/>
        <w:t>1.</w:t>
      </w:r>
      <w:r w:rsidRPr="003F0749">
        <w:tab/>
        <w:t>Образование и обучение</w:t>
      </w:r>
    </w:p>
    <w:p w:rsidR="00DF5565" w:rsidRPr="00E2084F" w:rsidRDefault="00DF5565" w:rsidP="00E2084F">
      <w:pPr>
        <w:pStyle w:val="H4GR"/>
        <w:spacing w:before="240"/>
        <w:ind w:left="1156" w:right="1179" w:hanging="1145"/>
      </w:pPr>
      <w:r w:rsidRPr="00E2084F">
        <w:tab/>
      </w:r>
      <w:r w:rsidRPr="00E2084F">
        <w:tab/>
        <w:t>Законодательные и административные меры, принятые в области образования для борьбы с дискриминацией, и шаги, предпринятые для пересмотра учебников и включения вопросов прав человека в школьную программу</w:t>
      </w:r>
    </w:p>
    <w:p w:rsidR="00DF5565" w:rsidRPr="003F0749" w:rsidRDefault="00DF5565" w:rsidP="00DF5565">
      <w:pPr>
        <w:pStyle w:val="SingleTxtGR"/>
      </w:pPr>
      <w:r w:rsidRPr="003F0749">
        <w:t>192.</w:t>
      </w:r>
      <w:r w:rsidRPr="003F0749">
        <w:tab/>
        <w:t>Информация о праве на образование приводится в части, касающейся выполнения статьи 5 (см. пункты 117−126).</w:t>
      </w:r>
    </w:p>
    <w:p w:rsidR="00DF5565" w:rsidRPr="003F0749" w:rsidRDefault="00DF5565" w:rsidP="00DF5565">
      <w:pPr>
        <w:pStyle w:val="SingleTxtGR"/>
      </w:pPr>
      <w:r w:rsidRPr="003F0749">
        <w:t>193.</w:t>
      </w:r>
      <w:r w:rsidRPr="003F0749">
        <w:tab/>
        <w:t>В инструкции министерства национального образования относительно учебников и учебных материалов ясно говорится, что учебники должны проп</w:t>
      </w:r>
      <w:r w:rsidRPr="003F0749">
        <w:t>а</w:t>
      </w:r>
      <w:r w:rsidRPr="003F0749">
        <w:t>гандировать основные права человека и свободы и ориентироваться на метод</w:t>
      </w:r>
      <w:r w:rsidRPr="003F0749">
        <w:t>и</w:t>
      </w:r>
      <w:r w:rsidRPr="003F0749">
        <w:t>ку обучения, отвергающую любые формы дискриминации. Министерство еж</w:t>
      </w:r>
      <w:r w:rsidRPr="003F0749">
        <w:t>е</w:t>
      </w:r>
      <w:r w:rsidRPr="003F0749">
        <w:t>годно пересматривает учебные материалы и удаляет коннотации, которые могут быть неправильно истолкованы</w:t>
      </w:r>
      <w:r w:rsidR="002B6A52">
        <w:t>. В </w:t>
      </w:r>
      <w:r w:rsidRPr="003F0749">
        <w:t>качестве последнего примера можно приве</w:t>
      </w:r>
      <w:r w:rsidRPr="003F0749">
        <w:t>с</w:t>
      </w:r>
      <w:r w:rsidRPr="003F0749">
        <w:t>ти просьбу ассирийской общины, в соответствии с которой в учебниках по и</w:t>
      </w:r>
      <w:r w:rsidRPr="003F0749">
        <w:t>с</w:t>
      </w:r>
      <w:r w:rsidRPr="003F0749">
        <w:t>тории для 10 класса были исследованы и удалены некоторые материалы, кот</w:t>
      </w:r>
      <w:r w:rsidRPr="003F0749">
        <w:t>о</w:t>
      </w:r>
      <w:r w:rsidRPr="003F0749">
        <w:t>рые, по мнению ассирийцев, рисуют их в неприглядном свете. Обновленными учебниками стали пользоваться в школах в 2012/13 учебном</w:t>
      </w:r>
      <w:r w:rsidR="004B21D5">
        <w:rPr>
          <w:lang w:val="en-US"/>
        </w:rPr>
        <w:t xml:space="preserve"> </w:t>
      </w:r>
      <w:r w:rsidR="002B6A52">
        <w:t>год</w:t>
      </w:r>
      <w:r w:rsidRPr="003F0749">
        <w:t>у.</w:t>
      </w:r>
    </w:p>
    <w:p w:rsidR="00DF5565" w:rsidRPr="003F0749" w:rsidRDefault="00DF5565" w:rsidP="00DF5565">
      <w:pPr>
        <w:pStyle w:val="SingleTxtGR"/>
      </w:pPr>
      <w:r w:rsidRPr="003F0749">
        <w:t>194.</w:t>
      </w:r>
      <w:r w:rsidRPr="003F0749">
        <w:tab/>
        <w:t xml:space="preserve">В рамках проекта, озаглавленного </w:t>
      </w:r>
      <w:r w:rsidR="003F0749">
        <w:t>"</w:t>
      </w:r>
      <w:r w:rsidRPr="003F0749">
        <w:t>Воспитание демократической гра</w:t>
      </w:r>
      <w:r w:rsidRPr="003F0749">
        <w:t>ж</w:t>
      </w:r>
      <w:r w:rsidRPr="003F0749">
        <w:t>данственности и образование в области прав человека (ВДГ/ОПЧ), министерс</w:t>
      </w:r>
      <w:r w:rsidRPr="003F0749">
        <w:t>т</w:t>
      </w:r>
      <w:r w:rsidRPr="003F0749">
        <w:t>во национального образования в партнерстве с Советом Европы анализирует и совершенствует законодательство в области образования (регламенты, норм</w:t>
      </w:r>
      <w:r w:rsidRPr="003F0749">
        <w:t>а</w:t>
      </w:r>
      <w:r w:rsidRPr="003F0749">
        <w:t>тивные акты и директивы) и составляет учебные программы на основе принц</w:t>
      </w:r>
      <w:r w:rsidRPr="003F0749">
        <w:t>и</w:t>
      </w:r>
      <w:r w:rsidRPr="003F0749">
        <w:t>пов ВДГ/ОПЧ; обучает сотрудников министерства национального образования в целях углубления их знаний в области ВДГ/ОПЧ и разрабатывает учебные программы и материалы, используемые преподавателями для подготовки др</w:t>
      </w:r>
      <w:r w:rsidRPr="003F0749">
        <w:t>у</w:t>
      </w:r>
      <w:r w:rsidRPr="003F0749">
        <w:t>гих преподавателей. Кроме того, министерство организует профессиональную подготовку для будущих авторов учебников и редакторов, художников-графиков и работников издательств с тем, чтобы они готовили учебные материалы в с</w:t>
      </w:r>
      <w:r w:rsidRPr="003F0749">
        <w:t>о</w:t>
      </w:r>
      <w:r w:rsidRPr="003F0749">
        <w:t>ответствии с принципами демократической гражданственности и образования в области прав человека.</w:t>
      </w:r>
    </w:p>
    <w:p w:rsidR="00DF5565" w:rsidRPr="003F0749" w:rsidRDefault="00DF5565" w:rsidP="00DF5565">
      <w:pPr>
        <w:pStyle w:val="SingleTxtGR"/>
      </w:pPr>
      <w:r w:rsidRPr="003F0749">
        <w:t>195.</w:t>
      </w:r>
      <w:r w:rsidRPr="003F0749">
        <w:tab/>
        <w:t>Демократия и образование в области прав человека являются одним из краеугольных камней системы образования с точки зрения поощрения прав ч</w:t>
      </w:r>
      <w:r w:rsidRPr="003F0749">
        <w:t>е</w:t>
      </w:r>
      <w:r w:rsidRPr="003F0749">
        <w:t xml:space="preserve">ловека и повышения информированности учащихся об универсальных правах и свободах. Эта система укрепляется в рамках упомянутого проекта ВДГ/ОПЧ. Соответственно, в школах преподаются такие учебные курсы, как </w:t>
      </w:r>
      <w:r w:rsidR="003F0749">
        <w:t>"</w:t>
      </w:r>
      <w:r w:rsidRPr="003F0749">
        <w:t>права чел</w:t>
      </w:r>
      <w:r w:rsidRPr="003F0749">
        <w:t>о</w:t>
      </w:r>
      <w:r w:rsidRPr="003F0749">
        <w:t>века, гражданственность и демократия</w:t>
      </w:r>
      <w:r w:rsidR="003F0749">
        <w:t>"</w:t>
      </w:r>
      <w:r w:rsidRPr="003F0749">
        <w:t xml:space="preserve">, </w:t>
      </w:r>
      <w:r w:rsidR="003F0749">
        <w:t>"</w:t>
      </w:r>
      <w:r w:rsidRPr="003F0749">
        <w:t>закон и справедливость</w:t>
      </w:r>
      <w:r w:rsidR="003F0749">
        <w:t>"</w:t>
      </w:r>
      <w:r w:rsidRPr="003F0749">
        <w:t xml:space="preserve"> и </w:t>
      </w:r>
      <w:r w:rsidR="003F0749">
        <w:t>"</w:t>
      </w:r>
      <w:r w:rsidRPr="003F0749">
        <w:t>демокр</w:t>
      </w:r>
      <w:r w:rsidRPr="003F0749">
        <w:t>а</w:t>
      </w:r>
      <w:r w:rsidRPr="003F0749">
        <w:t>тия и права человека</w:t>
      </w:r>
      <w:r w:rsidR="003F0749">
        <w:t>"</w:t>
      </w:r>
      <w:r w:rsidRPr="003F0749">
        <w:t>.</w:t>
      </w:r>
    </w:p>
    <w:p w:rsidR="00DF5565" w:rsidRPr="00E2084F" w:rsidRDefault="004B21D5" w:rsidP="00E2084F">
      <w:pPr>
        <w:pStyle w:val="H4GR"/>
        <w:spacing w:before="240"/>
        <w:ind w:left="1156" w:right="1179" w:hanging="1145"/>
      </w:pPr>
      <w:r>
        <w:rPr>
          <w:lang w:val="en-US"/>
        </w:rPr>
        <w:tab/>
      </w:r>
      <w:r>
        <w:rPr>
          <w:lang w:val="en-US"/>
        </w:rPr>
        <w:tab/>
      </w:r>
      <w:r w:rsidR="00DF5565" w:rsidRPr="00E2084F">
        <w:t xml:space="preserve">Меры, принятые в целях профессиональной подготовки сотрудников правоохранительных органов в области прав человека и </w:t>
      </w:r>
      <w:proofErr w:type="spellStart"/>
      <w:r w:rsidR="00DF5565" w:rsidRPr="00E2084F">
        <w:t>недискриминации</w:t>
      </w:r>
      <w:proofErr w:type="spellEnd"/>
    </w:p>
    <w:p w:rsidR="00DF5565" w:rsidRPr="003F0749" w:rsidRDefault="00DF5565" w:rsidP="00DF5565">
      <w:pPr>
        <w:pStyle w:val="SingleTxtGR"/>
      </w:pPr>
      <w:r w:rsidRPr="003F0749">
        <w:t>196.</w:t>
      </w:r>
      <w:r w:rsidRPr="003F0749">
        <w:tab/>
        <w:t>В последнее десятилетие активизировалась профессиональная подготовка сотрудников правоохранительных ведомств. Министерство внутренних дел п</w:t>
      </w:r>
      <w:r w:rsidRPr="003F0749">
        <w:t>е</w:t>
      </w:r>
      <w:r w:rsidRPr="003F0749">
        <w:t>риодически организует семинары, конференции и рабочие совещания для с</w:t>
      </w:r>
      <w:r w:rsidRPr="003F0749">
        <w:t>о</w:t>
      </w:r>
      <w:r w:rsidRPr="003F0749">
        <w:t>трудников различных уровней в рамках процесса подготовки по правам челов</w:t>
      </w:r>
      <w:r w:rsidRPr="003F0749">
        <w:t>е</w:t>
      </w:r>
      <w:r w:rsidRPr="003F0749">
        <w:t>ка. На этих семинарах затрагиваются такие темы, как правозащитные полож</w:t>
      </w:r>
      <w:r w:rsidRPr="003F0749">
        <w:t>е</w:t>
      </w:r>
      <w:r w:rsidRPr="003F0749">
        <w:t>ния в турецком внутреннем законодательстве; обязанности и функции старших руководителей и сотрудников правоохранительных органов в области прав ч</w:t>
      </w:r>
      <w:r w:rsidRPr="003F0749">
        <w:t>е</w:t>
      </w:r>
      <w:r w:rsidRPr="003F0749">
        <w:t>ловека в свете международных конвенций, стороной которых является Турция.</w:t>
      </w:r>
    </w:p>
    <w:p w:rsidR="00DF5565" w:rsidRPr="003F0749" w:rsidRDefault="00DF5565" w:rsidP="00DF5565">
      <w:pPr>
        <w:pStyle w:val="SingleTxtGR"/>
        <w:rPr>
          <w:i/>
        </w:rPr>
      </w:pPr>
      <w:r w:rsidRPr="003F0749">
        <w:rPr>
          <w:i/>
        </w:rPr>
        <w:t>197.</w:t>
      </w:r>
      <w:r w:rsidRPr="003F0749">
        <w:rPr>
          <w:i/>
        </w:rPr>
        <w:tab/>
      </w:r>
      <w:r w:rsidRPr="003F0749">
        <w:t>Силы полиции продолжают обучать свой персонал правам человека. См.</w:t>
      </w:r>
      <w:r w:rsidR="004B21D5">
        <w:rPr>
          <w:lang w:val="en-US"/>
        </w:rPr>
        <w:t> </w:t>
      </w:r>
      <w:r w:rsidRPr="003F0749">
        <w:t>ниже информацию о количестве сотрудников полиции, получивших без о</w:t>
      </w:r>
      <w:r w:rsidRPr="003F0749">
        <w:t>т</w:t>
      </w:r>
      <w:r w:rsidRPr="003F0749">
        <w:t>рыва от службы подготовку в области прав человека в период между 2007 и 2013</w:t>
      </w:r>
      <w:r w:rsidR="002B6A52">
        <w:t> год</w:t>
      </w:r>
      <w:r w:rsidRPr="003F0749">
        <w:t>ами.</w:t>
      </w:r>
    </w:p>
    <w:tbl>
      <w:tblPr>
        <w:tblStyle w:val="TabNum"/>
        <w:tblW w:w="7370" w:type="dxa"/>
        <w:tblInd w:w="1134" w:type="dxa"/>
        <w:tblLayout w:type="fixed"/>
        <w:tblLook w:val="01E0"/>
      </w:tblPr>
      <w:tblGrid>
        <w:gridCol w:w="1019"/>
        <w:gridCol w:w="1019"/>
        <w:gridCol w:w="1021"/>
        <w:gridCol w:w="1020"/>
        <w:gridCol w:w="1021"/>
        <w:gridCol w:w="1020"/>
        <w:gridCol w:w="1250"/>
      </w:tblGrid>
      <w:tr w:rsidR="00DF5565" w:rsidRPr="004B21D5" w:rsidTr="004B21D5">
        <w:trPr>
          <w:trHeight w:val="240"/>
          <w:tblHeader/>
        </w:trPr>
        <w:tc>
          <w:tcPr>
            <w:cnfStyle w:val="001000000000"/>
            <w:tcW w:w="1020" w:type="dxa"/>
            <w:tcBorders>
              <w:bottom w:val="single" w:sz="12" w:space="0" w:color="auto"/>
            </w:tcBorders>
            <w:shd w:val="clear" w:color="auto" w:fill="auto"/>
          </w:tcPr>
          <w:p w:rsidR="00DF5565" w:rsidRPr="004B21D5" w:rsidRDefault="00DF5565" w:rsidP="004B21D5">
            <w:pPr>
              <w:spacing w:before="80" w:after="80" w:line="200" w:lineRule="exact"/>
              <w:rPr>
                <w:i/>
                <w:sz w:val="16"/>
              </w:rPr>
            </w:pPr>
            <w:r w:rsidRPr="004B21D5">
              <w:rPr>
                <w:i/>
                <w:sz w:val="16"/>
              </w:rPr>
              <w:t>2007</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2008</w:t>
            </w:r>
          </w:p>
        </w:tc>
        <w:tc>
          <w:tcPr>
            <w:tcW w:w="1021"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2009</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2010</w:t>
            </w:r>
          </w:p>
        </w:tc>
        <w:tc>
          <w:tcPr>
            <w:tcW w:w="1021"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2012</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2013</w:t>
            </w:r>
          </w:p>
        </w:tc>
        <w:tc>
          <w:tcPr>
            <w:tcW w:w="125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b/>
                <w:i/>
                <w:sz w:val="16"/>
              </w:rPr>
            </w:pPr>
            <w:r w:rsidRPr="004B21D5">
              <w:rPr>
                <w:b/>
                <w:i/>
                <w:sz w:val="16"/>
              </w:rPr>
              <w:t>Всего</w:t>
            </w:r>
          </w:p>
        </w:tc>
      </w:tr>
      <w:tr w:rsidR="00DF5565" w:rsidRPr="004B21D5" w:rsidTr="004B21D5">
        <w:trPr>
          <w:trHeight w:val="240"/>
        </w:trPr>
        <w:tc>
          <w:tcPr>
            <w:cnfStyle w:val="001000000000"/>
            <w:tcW w:w="1020" w:type="dxa"/>
            <w:tcBorders>
              <w:top w:val="single" w:sz="12" w:space="0" w:color="auto"/>
            </w:tcBorders>
          </w:tcPr>
          <w:p w:rsidR="00DF5565" w:rsidRPr="004B21D5" w:rsidRDefault="00DF5565" w:rsidP="004B21D5">
            <w:r w:rsidRPr="004B21D5">
              <w:t>8 996</w:t>
            </w:r>
          </w:p>
        </w:tc>
        <w:tc>
          <w:tcPr>
            <w:tcW w:w="1020" w:type="dxa"/>
            <w:tcBorders>
              <w:top w:val="single" w:sz="12" w:space="0" w:color="auto"/>
            </w:tcBorders>
          </w:tcPr>
          <w:p w:rsidR="00DF5565" w:rsidRPr="004B21D5" w:rsidRDefault="00DF5565" w:rsidP="004B21D5">
            <w:pPr>
              <w:cnfStyle w:val="000000000000"/>
            </w:pPr>
            <w:r w:rsidRPr="004B21D5">
              <w:t>24 272</w:t>
            </w:r>
          </w:p>
        </w:tc>
        <w:tc>
          <w:tcPr>
            <w:tcW w:w="1021" w:type="dxa"/>
            <w:tcBorders>
              <w:top w:val="single" w:sz="12" w:space="0" w:color="auto"/>
            </w:tcBorders>
          </w:tcPr>
          <w:p w:rsidR="00DF5565" w:rsidRPr="004B21D5" w:rsidRDefault="00DF5565" w:rsidP="004B21D5">
            <w:pPr>
              <w:cnfStyle w:val="000000000000"/>
            </w:pPr>
            <w:r w:rsidRPr="004B21D5">
              <w:t>32 590</w:t>
            </w:r>
          </w:p>
        </w:tc>
        <w:tc>
          <w:tcPr>
            <w:tcW w:w="1020" w:type="dxa"/>
            <w:tcBorders>
              <w:top w:val="single" w:sz="12" w:space="0" w:color="auto"/>
            </w:tcBorders>
          </w:tcPr>
          <w:p w:rsidR="00DF5565" w:rsidRPr="004B21D5" w:rsidRDefault="00DF5565" w:rsidP="004B21D5">
            <w:pPr>
              <w:cnfStyle w:val="000000000000"/>
            </w:pPr>
            <w:r w:rsidRPr="004B21D5">
              <w:t>25 328</w:t>
            </w:r>
          </w:p>
        </w:tc>
        <w:tc>
          <w:tcPr>
            <w:tcW w:w="1021" w:type="dxa"/>
            <w:tcBorders>
              <w:top w:val="single" w:sz="12" w:space="0" w:color="auto"/>
            </w:tcBorders>
          </w:tcPr>
          <w:p w:rsidR="00DF5565" w:rsidRPr="004B21D5" w:rsidRDefault="00DF5565" w:rsidP="004B21D5">
            <w:pPr>
              <w:cnfStyle w:val="000000000000"/>
            </w:pPr>
            <w:r w:rsidRPr="004B21D5">
              <w:t>26 924</w:t>
            </w:r>
          </w:p>
        </w:tc>
        <w:tc>
          <w:tcPr>
            <w:tcW w:w="1020" w:type="dxa"/>
            <w:tcBorders>
              <w:top w:val="single" w:sz="12" w:space="0" w:color="auto"/>
            </w:tcBorders>
          </w:tcPr>
          <w:p w:rsidR="00DF5565" w:rsidRPr="004B21D5" w:rsidRDefault="00DF5565" w:rsidP="004B21D5">
            <w:pPr>
              <w:cnfStyle w:val="000000000000"/>
            </w:pPr>
            <w:r w:rsidRPr="004B21D5">
              <w:t>34 176</w:t>
            </w:r>
          </w:p>
        </w:tc>
        <w:tc>
          <w:tcPr>
            <w:tcW w:w="1250" w:type="dxa"/>
            <w:tcBorders>
              <w:top w:val="single" w:sz="12" w:space="0" w:color="auto"/>
            </w:tcBorders>
          </w:tcPr>
          <w:p w:rsidR="00DF5565" w:rsidRPr="004B21D5" w:rsidRDefault="00DF5565" w:rsidP="004B21D5">
            <w:pPr>
              <w:cnfStyle w:val="000000000000"/>
              <w:rPr>
                <w:b/>
              </w:rPr>
            </w:pPr>
            <w:r w:rsidRPr="004B21D5">
              <w:rPr>
                <w:b/>
              </w:rPr>
              <w:t>177 587</w:t>
            </w:r>
          </w:p>
        </w:tc>
      </w:tr>
    </w:tbl>
    <w:p w:rsidR="00DF5565" w:rsidRPr="003F0749" w:rsidRDefault="00DF5565" w:rsidP="004B21D5">
      <w:pPr>
        <w:pStyle w:val="SingleTxtGR"/>
        <w:spacing w:before="240"/>
        <w:rPr>
          <w:i/>
        </w:rPr>
      </w:pPr>
      <w:r w:rsidRPr="003F0749">
        <w:rPr>
          <w:i/>
        </w:rPr>
        <w:t>198.</w:t>
      </w:r>
      <w:r w:rsidRPr="003F0749">
        <w:rPr>
          <w:i/>
        </w:rPr>
        <w:tab/>
      </w:r>
      <w:r w:rsidRPr="003F0749">
        <w:t>Более того, Департамент по борьбе с терроризмом министерства вну</w:t>
      </w:r>
      <w:r w:rsidRPr="003F0749">
        <w:t>т</w:t>
      </w:r>
      <w:r w:rsidRPr="003F0749">
        <w:t>ренних дел проводит различную подготовку своих сотрудников в области прав человека. Ниже приводятся данные о количестве сотрудников, получивших по</w:t>
      </w:r>
      <w:r w:rsidRPr="003F0749">
        <w:t>д</w:t>
      </w:r>
      <w:r w:rsidRPr="003F0749">
        <w:t>готовку в области прав человека.</w:t>
      </w:r>
    </w:p>
    <w:tbl>
      <w:tblPr>
        <w:tblStyle w:val="TabNum"/>
        <w:tblW w:w="7370" w:type="dxa"/>
        <w:tblInd w:w="1134" w:type="dxa"/>
        <w:tblLayout w:type="fixed"/>
        <w:tblLook w:val="01E0"/>
      </w:tblPr>
      <w:tblGrid>
        <w:gridCol w:w="1019"/>
        <w:gridCol w:w="1019"/>
        <w:gridCol w:w="1021"/>
        <w:gridCol w:w="1020"/>
        <w:gridCol w:w="1021"/>
        <w:gridCol w:w="1020"/>
        <w:gridCol w:w="1250"/>
      </w:tblGrid>
      <w:tr w:rsidR="00DF5565" w:rsidRPr="004B21D5" w:rsidTr="004B21D5">
        <w:trPr>
          <w:trHeight w:val="240"/>
          <w:tblHeader/>
        </w:trPr>
        <w:tc>
          <w:tcPr>
            <w:cnfStyle w:val="001000000000"/>
            <w:tcW w:w="1020" w:type="dxa"/>
            <w:tcBorders>
              <w:bottom w:val="single" w:sz="12" w:space="0" w:color="auto"/>
            </w:tcBorders>
            <w:shd w:val="clear" w:color="auto" w:fill="auto"/>
          </w:tcPr>
          <w:p w:rsidR="00DF5565" w:rsidRPr="004B21D5" w:rsidRDefault="00DF5565" w:rsidP="004B21D5">
            <w:pPr>
              <w:spacing w:before="80" w:after="80" w:line="200" w:lineRule="exact"/>
              <w:rPr>
                <w:i/>
                <w:sz w:val="16"/>
              </w:rPr>
            </w:pPr>
            <w:r w:rsidRPr="004B21D5">
              <w:rPr>
                <w:i/>
                <w:sz w:val="16"/>
              </w:rPr>
              <w:t>2007</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2008</w:t>
            </w:r>
          </w:p>
        </w:tc>
        <w:tc>
          <w:tcPr>
            <w:tcW w:w="1021"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2009</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2010</w:t>
            </w:r>
          </w:p>
        </w:tc>
        <w:tc>
          <w:tcPr>
            <w:tcW w:w="1021"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2012</w:t>
            </w:r>
          </w:p>
        </w:tc>
        <w:tc>
          <w:tcPr>
            <w:tcW w:w="102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i/>
                <w:sz w:val="16"/>
              </w:rPr>
            </w:pPr>
            <w:r w:rsidRPr="004B21D5">
              <w:rPr>
                <w:i/>
                <w:sz w:val="16"/>
              </w:rPr>
              <w:t>2013</w:t>
            </w:r>
          </w:p>
        </w:tc>
        <w:tc>
          <w:tcPr>
            <w:tcW w:w="1250" w:type="dxa"/>
            <w:tcBorders>
              <w:top w:val="single" w:sz="4" w:space="0" w:color="auto"/>
              <w:bottom w:val="single" w:sz="12" w:space="0" w:color="auto"/>
            </w:tcBorders>
            <w:shd w:val="clear" w:color="auto" w:fill="auto"/>
          </w:tcPr>
          <w:p w:rsidR="00DF5565" w:rsidRPr="004B21D5" w:rsidRDefault="00DF5565" w:rsidP="004B21D5">
            <w:pPr>
              <w:spacing w:before="80" w:after="80" w:line="200" w:lineRule="exact"/>
              <w:cnfStyle w:val="000000000000"/>
              <w:rPr>
                <w:b/>
                <w:i/>
                <w:sz w:val="16"/>
              </w:rPr>
            </w:pPr>
            <w:r w:rsidRPr="004B21D5">
              <w:rPr>
                <w:b/>
                <w:i/>
                <w:sz w:val="16"/>
              </w:rPr>
              <w:t>Всего</w:t>
            </w:r>
          </w:p>
        </w:tc>
      </w:tr>
      <w:tr w:rsidR="00DF5565" w:rsidRPr="004B21D5" w:rsidTr="004B21D5">
        <w:trPr>
          <w:trHeight w:val="240"/>
        </w:trPr>
        <w:tc>
          <w:tcPr>
            <w:cnfStyle w:val="001000000000"/>
            <w:tcW w:w="1020" w:type="dxa"/>
            <w:tcBorders>
              <w:top w:val="single" w:sz="12" w:space="0" w:color="auto"/>
            </w:tcBorders>
          </w:tcPr>
          <w:p w:rsidR="00DF5565" w:rsidRPr="004B21D5" w:rsidRDefault="00DF5565" w:rsidP="004B21D5">
            <w:r w:rsidRPr="004B21D5">
              <w:t>459</w:t>
            </w:r>
          </w:p>
        </w:tc>
        <w:tc>
          <w:tcPr>
            <w:tcW w:w="1020" w:type="dxa"/>
            <w:tcBorders>
              <w:top w:val="single" w:sz="12" w:space="0" w:color="auto"/>
            </w:tcBorders>
          </w:tcPr>
          <w:p w:rsidR="00DF5565" w:rsidRPr="004B21D5" w:rsidRDefault="00DF5565" w:rsidP="004B21D5">
            <w:pPr>
              <w:cnfStyle w:val="000000000000"/>
            </w:pPr>
            <w:r w:rsidRPr="004B21D5">
              <w:t>914</w:t>
            </w:r>
          </w:p>
        </w:tc>
        <w:tc>
          <w:tcPr>
            <w:tcW w:w="1021" w:type="dxa"/>
            <w:tcBorders>
              <w:top w:val="single" w:sz="12" w:space="0" w:color="auto"/>
            </w:tcBorders>
          </w:tcPr>
          <w:p w:rsidR="00DF5565" w:rsidRPr="004B21D5" w:rsidRDefault="00DF5565" w:rsidP="004B21D5">
            <w:pPr>
              <w:cnfStyle w:val="000000000000"/>
            </w:pPr>
            <w:r w:rsidRPr="004B21D5">
              <w:t>1065</w:t>
            </w:r>
          </w:p>
        </w:tc>
        <w:tc>
          <w:tcPr>
            <w:tcW w:w="1020" w:type="dxa"/>
            <w:tcBorders>
              <w:top w:val="single" w:sz="12" w:space="0" w:color="auto"/>
            </w:tcBorders>
          </w:tcPr>
          <w:p w:rsidR="00DF5565" w:rsidRPr="004B21D5" w:rsidRDefault="00DF5565" w:rsidP="004B21D5">
            <w:pPr>
              <w:cnfStyle w:val="000000000000"/>
            </w:pPr>
            <w:r w:rsidRPr="004B21D5">
              <w:t>938</w:t>
            </w:r>
          </w:p>
        </w:tc>
        <w:tc>
          <w:tcPr>
            <w:tcW w:w="1021" w:type="dxa"/>
            <w:tcBorders>
              <w:top w:val="single" w:sz="12" w:space="0" w:color="auto"/>
            </w:tcBorders>
          </w:tcPr>
          <w:p w:rsidR="00DF5565" w:rsidRPr="004B21D5" w:rsidRDefault="00DF5565" w:rsidP="004B21D5">
            <w:pPr>
              <w:cnfStyle w:val="000000000000"/>
            </w:pPr>
            <w:r w:rsidRPr="004B21D5">
              <w:t>918</w:t>
            </w:r>
          </w:p>
        </w:tc>
        <w:tc>
          <w:tcPr>
            <w:tcW w:w="1020" w:type="dxa"/>
            <w:tcBorders>
              <w:top w:val="single" w:sz="12" w:space="0" w:color="auto"/>
            </w:tcBorders>
          </w:tcPr>
          <w:p w:rsidR="00DF5565" w:rsidRPr="004B21D5" w:rsidRDefault="00DF5565" w:rsidP="004B21D5">
            <w:pPr>
              <w:cnfStyle w:val="000000000000"/>
            </w:pPr>
            <w:r w:rsidRPr="004B21D5">
              <w:t>689</w:t>
            </w:r>
          </w:p>
        </w:tc>
        <w:tc>
          <w:tcPr>
            <w:tcW w:w="1250" w:type="dxa"/>
            <w:tcBorders>
              <w:top w:val="single" w:sz="12" w:space="0" w:color="auto"/>
            </w:tcBorders>
          </w:tcPr>
          <w:p w:rsidR="00DF5565" w:rsidRPr="004B21D5" w:rsidRDefault="00DF5565" w:rsidP="004B21D5">
            <w:pPr>
              <w:cnfStyle w:val="000000000000"/>
              <w:rPr>
                <w:b/>
              </w:rPr>
            </w:pPr>
            <w:r w:rsidRPr="004B21D5">
              <w:rPr>
                <w:b/>
              </w:rPr>
              <w:t>5</w:t>
            </w:r>
            <w:r w:rsidR="0053360F">
              <w:rPr>
                <w:b/>
              </w:rPr>
              <w:t xml:space="preserve"> </w:t>
            </w:r>
            <w:r w:rsidRPr="004B21D5">
              <w:rPr>
                <w:b/>
              </w:rPr>
              <w:t>698</w:t>
            </w:r>
          </w:p>
        </w:tc>
      </w:tr>
    </w:tbl>
    <w:p w:rsidR="00DF5565" w:rsidRPr="003F0749" w:rsidRDefault="00DF5565" w:rsidP="004B21D5">
      <w:pPr>
        <w:pStyle w:val="SingleTxtGR"/>
        <w:spacing w:before="240"/>
      </w:pPr>
      <w:r w:rsidRPr="003F0749">
        <w:t>199.</w:t>
      </w:r>
      <w:r w:rsidRPr="003F0749">
        <w:tab/>
        <w:t>Учебные курсы по правам человека являются обязательным предметом в учебной программе Полицейской академии и полицейского колледжа, а также Академии профессиональной подготовки жандармерии. Личный состав жа</w:t>
      </w:r>
      <w:r w:rsidRPr="003F0749">
        <w:t>н</w:t>
      </w:r>
      <w:r w:rsidRPr="003F0749">
        <w:t>дармерии также регулярно проходит подготовку в области прав человека без отрыва от службы.</w:t>
      </w:r>
    </w:p>
    <w:p w:rsidR="00DF5565" w:rsidRPr="003F0749" w:rsidRDefault="00DF5565" w:rsidP="00DF5565">
      <w:pPr>
        <w:pStyle w:val="SingleTxtGR"/>
      </w:pPr>
      <w:r w:rsidRPr="003F0749">
        <w:t>200.</w:t>
      </w:r>
      <w:r w:rsidRPr="003F0749">
        <w:tab/>
        <w:t>В 2011</w:t>
      </w:r>
      <w:r w:rsidR="002B6A52">
        <w:t> год</w:t>
      </w:r>
      <w:r w:rsidRPr="003F0749">
        <w:t xml:space="preserve">у в министерстве юстиции (МЮ) был образован Департамент по правам человека, задачей которого является контроль за рассмотрением дел в Европейском суде по правам человека (ЕСПЧ) и недопущение нарушений прав человека, в частности путем полного и эффективного исполнения решений ЕСПЧ в сотрудничестве с министерством иностранных дел. </w:t>
      </w:r>
    </w:p>
    <w:p w:rsidR="00DF5565" w:rsidRPr="003F0749" w:rsidRDefault="00DF5565" w:rsidP="00DF5565">
      <w:pPr>
        <w:pStyle w:val="SingleTxtGR"/>
      </w:pPr>
      <w:r w:rsidRPr="003F0749">
        <w:t>201.</w:t>
      </w:r>
      <w:r w:rsidRPr="003F0749">
        <w:tab/>
        <w:t>В период между 2011 и 2013</w:t>
      </w:r>
      <w:r w:rsidR="002B6A52">
        <w:t> год</w:t>
      </w:r>
      <w:r w:rsidRPr="003F0749">
        <w:t>ами МЮ в сотрудничестве с Комиссией ЕС и Советом Европы осуществило следующие мероприятия в области профе</w:t>
      </w:r>
      <w:r w:rsidRPr="003F0749">
        <w:t>с</w:t>
      </w:r>
      <w:r w:rsidRPr="003F0749">
        <w:t>сиональной подготовки по правам человека и повышению уровня информир</w:t>
      </w:r>
      <w:r w:rsidRPr="003F0749">
        <w:t>о</w:t>
      </w:r>
      <w:r w:rsidRPr="003F0749">
        <w:t xml:space="preserve">ванности: </w:t>
      </w:r>
    </w:p>
    <w:p w:rsidR="00DF5565" w:rsidRPr="003F0749" w:rsidRDefault="00DF5565" w:rsidP="004B21D5">
      <w:pPr>
        <w:pStyle w:val="Bullet1GR"/>
      </w:pPr>
      <w:r w:rsidRPr="003F0749">
        <w:t xml:space="preserve">Проект </w:t>
      </w:r>
      <w:r w:rsidR="003F0749">
        <w:t>"</w:t>
      </w:r>
      <w:r w:rsidRPr="003F0749">
        <w:t>Свобода выражения мнений и средства массовой инфо</w:t>
      </w:r>
      <w:r w:rsidRPr="003F0749">
        <w:t>р</w:t>
      </w:r>
      <w:r w:rsidRPr="003F0749">
        <w:t>мации в Турции</w:t>
      </w:r>
      <w:r w:rsidR="003F0749">
        <w:t>"</w:t>
      </w:r>
      <w:r w:rsidRPr="003F0749">
        <w:t>;</w:t>
      </w:r>
    </w:p>
    <w:p w:rsidR="00DF5565" w:rsidRPr="003F0749" w:rsidRDefault="00DF5565" w:rsidP="004B21D5">
      <w:pPr>
        <w:pStyle w:val="Bullet1GR"/>
      </w:pPr>
      <w:r w:rsidRPr="003F0749">
        <w:t xml:space="preserve">Проект </w:t>
      </w:r>
      <w:r w:rsidR="003F0749">
        <w:t>"</w:t>
      </w:r>
      <w:r w:rsidRPr="003F0749">
        <w:t>Повышение эффективности системы уголовного правос</w:t>
      </w:r>
      <w:r w:rsidRPr="003F0749">
        <w:t>у</w:t>
      </w:r>
      <w:r w:rsidRPr="003F0749">
        <w:t>дия Турции</w:t>
      </w:r>
      <w:r w:rsidR="003F0749">
        <w:t>"</w:t>
      </w:r>
      <w:r w:rsidRPr="003F0749">
        <w:t>;</w:t>
      </w:r>
    </w:p>
    <w:p w:rsidR="00DF5565" w:rsidRPr="003F0749" w:rsidRDefault="00DF5565" w:rsidP="004B21D5">
      <w:pPr>
        <w:pStyle w:val="Bullet1GR"/>
      </w:pPr>
      <w:r w:rsidRPr="003F0749">
        <w:t xml:space="preserve">Проект </w:t>
      </w:r>
      <w:r w:rsidR="003F0749">
        <w:t>"</w:t>
      </w:r>
      <w:r w:rsidRPr="003F0749">
        <w:t>Повышение уровня информированности о правах человека в рамках судебной системы</w:t>
      </w:r>
      <w:r w:rsidR="003F0749">
        <w:t>"</w:t>
      </w:r>
      <w:r w:rsidRPr="003F0749">
        <w:t>;</w:t>
      </w:r>
    </w:p>
    <w:p w:rsidR="00DF5565" w:rsidRPr="003F0749" w:rsidRDefault="00DF5565" w:rsidP="004B21D5">
      <w:pPr>
        <w:pStyle w:val="Bullet1GR"/>
      </w:pPr>
      <w:r w:rsidRPr="003F0749">
        <w:t xml:space="preserve">Проект </w:t>
      </w:r>
      <w:proofErr w:type="spellStart"/>
      <w:r w:rsidRPr="003F0749">
        <w:t>Матра</w:t>
      </w:r>
      <w:proofErr w:type="spellEnd"/>
      <w:r w:rsidRPr="003F0749">
        <w:t xml:space="preserve"> </w:t>
      </w:r>
      <w:r w:rsidR="003F0749">
        <w:t>"</w:t>
      </w:r>
      <w:r w:rsidRPr="003F0749">
        <w:t>Повышение уровня информированности о свободе выр</w:t>
      </w:r>
      <w:r w:rsidRPr="003F0749">
        <w:t>а</w:t>
      </w:r>
      <w:r w:rsidRPr="003F0749">
        <w:t>жения мнений;</w:t>
      </w:r>
    </w:p>
    <w:p w:rsidR="00DF5565" w:rsidRPr="003F0749" w:rsidRDefault="00DF5565" w:rsidP="004B21D5">
      <w:pPr>
        <w:pStyle w:val="Bullet1GR"/>
      </w:pPr>
      <w:r w:rsidRPr="003F0749">
        <w:t>Перевод документов правоприменительной практики Суда.</w:t>
      </w:r>
    </w:p>
    <w:p w:rsidR="00DF5565" w:rsidRPr="003F0749" w:rsidRDefault="00DF5565" w:rsidP="00DF5565">
      <w:pPr>
        <w:pStyle w:val="SingleTxtGR"/>
      </w:pPr>
      <w:r w:rsidRPr="003F0749">
        <w:t>202.</w:t>
      </w:r>
      <w:r w:rsidRPr="003F0749">
        <w:tab/>
        <w:t>В Юридической академии министерства юстиции для будущих судей и прокуроров читается ряд курсов лекций по правам человека, включая занятия по основным правам и свободам и правоприменительной практике ЕСПЧ</w:t>
      </w:r>
      <w:r w:rsidR="002B6A52">
        <w:t>. В </w:t>
      </w:r>
      <w:r w:rsidRPr="003F0749">
        <w:t>Академии также читаются различные курсы лекций без отрыва от работы для сотрудников МЮ (судей и прокуроров). Акцент в подготовке сделан на праве на беспристрастное судебное разбирательство, запрещении дискриминации, обяз</w:t>
      </w:r>
      <w:r w:rsidRPr="003F0749">
        <w:t>а</w:t>
      </w:r>
      <w:r w:rsidRPr="003F0749">
        <w:t xml:space="preserve">тельствах Турции, вытекающих из соответствующих конвенций ООН и Совета Европы, и правоприменительной практике ЕСПЧ. </w:t>
      </w:r>
    </w:p>
    <w:p w:rsidR="00DF5565" w:rsidRPr="003F0749" w:rsidRDefault="00DF5565" w:rsidP="00DF5565">
      <w:pPr>
        <w:pStyle w:val="SingleTxtGR"/>
      </w:pPr>
      <w:r w:rsidRPr="003F0749">
        <w:t>203.</w:t>
      </w:r>
      <w:r w:rsidRPr="003F0749">
        <w:tab/>
        <w:t>В период между 2012 и 2013</w:t>
      </w:r>
      <w:r w:rsidR="002B6A52">
        <w:t> год</w:t>
      </w:r>
      <w:r w:rsidRPr="003F0749">
        <w:t>ами Юридическая академия осуществила несколько проектов и мероприятий в области прав человека. Вот некоторые из них:</w:t>
      </w:r>
    </w:p>
    <w:p w:rsidR="00DF5565" w:rsidRPr="003F0749" w:rsidRDefault="00DF5565" w:rsidP="004B21D5">
      <w:pPr>
        <w:pStyle w:val="Bullet1GR"/>
      </w:pPr>
      <w:r w:rsidRPr="003F0749">
        <w:t xml:space="preserve">В партнерстве с Институтом Рауля </w:t>
      </w:r>
      <w:proofErr w:type="spellStart"/>
      <w:r w:rsidRPr="003F0749">
        <w:t>Валленберга</w:t>
      </w:r>
      <w:proofErr w:type="spellEnd"/>
      <w:r w:rsidRPr="003F0749">
        <w:t xml:space="preserve"> по правам человека для сотрудников МЮ 9-11 июня 2012</w:t>
      </w:r>
      <w:r w:rsidR="002B6A52">
        <w:t> год</w:t>
      </w:r>
      <w:r w:rsidRPr="003F0749">
        <w:t>а была проведена учеба по осно</w:t>
      </w:r>
      <w:r w:rsidRPr="003F0749">
        <w:t>в</w:t>
      </w:r>
      <w:r w:rsidRPr="003F0749">
        <w:t>ным правам человека.</w:t>
      </w:r>
    </w:p>
    <w:p w:rsidR="00DF5565" w:rsidRPr="003F0749" w:rsidRDefault="00DF5565" w:rsidP="004B21D5">
      <w:pPr>
        <w:pStyle w:val="Bullet1GR"/>
      </w:pPr>
      <w:r w:rsidRPr="003F0749">
        <w:t xml:space="preserve">Для учебной программы Юридической академии по линии программы </w:t>
      </w:r>
      <w:proofErr w:type="spellStart"/>
      <w:r w:rsidRPr="003F0749">
        <w:t>Матра</w:t>
      </w:r>
      <w:proofErr w:type="spellEnd"/>
      <w:r w:rsidRPr="003F0749">
        <w:t xml:space="preserve"> были подготовлены руководство и учебник по проблеме свободы выражения мнений. Для более глубокого ознакомления сотру</w:t>
      </w:r>
      <w:r w:rsidRPr="003F0749">
        <w:t>д</w:t>
      </w:r>
      <w:r w:rsidRPr="003F0749">
        <w:t>ников МЮ с вопросом о свободе выражения мнений в 2013</w:t>
      </w:r>
      <w:r w:rsidR="002B6A52">
        <w:t> год</w:t>
      </w:r>
      <w:r w:rsidRPr="003F0749">
        <w:t>у было о</w:t>
      </w:r>
      <w:r w:rsidRPr="003F0749">
        <w:t>р</w:t>
      </w:r>
      <w:r w:rsidRPr="003F0749">
        <w:t>ганизовано несколько семинаров.</w:t>
      </w:r>
    </w:p>
    <w:p w:rsidR="00DF5565" w:rsidRPr="003F0749" w:rsidRDefault="00DF5565" w:rsidP="004B21D5">
      <w:pPr>
        <w:pStyle w:val="Bullet1GR"/>
      </w:pPr>
      <w:r w:rsidRPr="003F0749">
        <w:t xml:space="preserve">В рамках проекта Европейского союза, озаглавленного </w:t>
      </w:r>
      <w:r w:rsidR="003F0749">
        <w:t>"</w:t>
      </w:r>
      <w:r w:rsidRPr="003F0749">
        <w:t>К эффе</w:t>
      </w:r>
      <w:r w:rsidRPr="003F0749">
        <w:t>к</w:t>
      </w:r>
      <w:r w:rsidRPr="003F0749">
        <w:t>тивной и профессиональной академии</w:t>
      </w:r>
      <w:r w:rsidR="003F0749">
        <w:t>"</w:t>
      </w:r>
      <w:r w:rsidRPr="003F0749">
        <w:t xml:space="preserve"> было составлено руководство по правам человека, а также было проведено несколько семинаров для озн</w:t>
      </w:r>
      <w:r w:rsidRPr="003F0749">
        <w:t>а</w:t>
      </w:r>
      <w:r w:rsidRPr="003F0749">
        <w:t>комления сотрудников МЮ с этим руководством. При Академии был со</w:t>
      </w:r>
      <w:r w:rsidRPr="003F0749">
        <w:t>з</w:t>
      </w:r>
      <w:r w:rsidRPr="003F0749">
        <w:t>дан Центр по правам ч</w:t>
      </w:r>
      <w:r w:rsidRPr="003F0749">
        <w:t>е</w:t>
      </w:r>
      <w:r w:rsidRPr="003F0749">
        <w:t xml:space="preserve">ловека. </w:t>
      </w:r>
    </w:p>
    <w:p w:rsidR="00DF5565" w:rsidRPr="003F0749" w:rsidRDefault="00DF5565" w:rsidP="00DF5565">
      <w:pPr>
        <w:pStyle w:val="SingleTxtGR"/>
      </w:pPr>
      <w:r w:rsidRPr="003F0749">
        <w:t>204.</w:t>
      </w:r>
      <w:r w:rsidRPr="003F0749">
        <w:tab/>
        <w:t>Что касается пункта 22 Заключительных замечаний Комитета, то в отче</w:t>
      </w:r>
      <w:r w:rsidRPr="003F0749">
        <w:t>т</w:t>
      </w:r>
      <w:r w:rsidRPr="003F0749">
        <w:t>ный период правительство продолжало предоставлять профессиональную по</w:t>
      </w:r>
      <w:r w:rsidRPr="003F0749">
        <w:t>д</w:t>
      </w:r>
      <w:r w:rsidRPr="003F0749">
        <w:t>готовку по правам человека судьям, прокурорам и сотрудникам правоохран</w:t>
      </w:r>
      <w:r w:rsidRPr="003F0749">
        <w:t>и</w:t>
      </w:r>
      <w:r w:rsidRPr="003F0749">
        <w:t>тельных органов</w:t>
      </w:r>
      <w:r w:rsidR="002B6A52">
        <w:t>. В </w:t>
      </w:r>
      <w:r w:rsidRPr="003F0749">
        <w:t>учебные занятия был включен вопрос об обязательствах Турции, вытекающих из конвенций ООН, включая КЛРД.</w:t>
      </w:r>
    </w:p>
    <w:p w:rsidR="00DF5565" w:rsidRPr="003F0749" w:rsidRDefault="00DF5565" w:rsidP="004B21D5">
      <w:pPr>
        <w:pStyle w:val="H23GR"/>
      </w:pPr>
      <w:r w:rsidRPr="003F0749">
        <w:tab/>
        <w:t>2.</w:t>
      </w:r>
      <w:r w:rsidRPr="003F0749">
        <w:tab/>
        <w:t>Культура</w:t>
      </w:r>
    </w:p>
    <w:p w:rsidR="00DF5565" w:rsidRPr="00E2084F" w:rsidRDefault="00DF5565" w:rsidP="00E2084F">
      <w:pPr>
        <w:pStyle w:val="H4GR"/>
        <w:spacing w:before="240"/>
        <w:ind w:left="1156" w:right="1179" w:hanging="1145"/>
      </w:pPr>
      <w:r w:rsidRPr="00E2084F">
        <w:tab/>
      </w:r>
      <w:r w:rsidRPr="00E2084F">
        <w:tab/>
        <w:t>Меры, принятые для борьбы с расовыми предрассудками, поощрения уважительного отношения к культурному разнообразию и терпимости, в</w:t>
      </w:r>
      <w:r w:rsidR="004B21D5">
        <w:rPr>
          <w:lang w:val="en-US"/>
        </w:rPr>
        <w:t> </w:t>
      </w:r>
      <w:r w:rsidRPr="00E2084F">
        <w:t>частности в области творчества</w:t>
      </w:r>
    </w:p>
    <w:p w:rsidR="00DF5565" w:rsidRPr="003F0749" w:rsidRDefault="00DF5565" w:rsidP="00DF5565">
      <w:pPr>
        <w:pStyle w:val="SingleTxtGR"/>
      </w:pPr>
      <w:r w:rsidRPr="003F0749">
        <w:t>205.</w:t>
      </w:r>
      <w:r w:rsidRPr="003F0749">
        <w:tab/>
        <w:t xml:space="preserve">Министерство по делам молодежи и спорта подготовило доклад </w:t>
      </w:r>
      <w:r w:rsidR="003F0749">
        <w:t>"</w:t>
      </w:r>
      <w:r w:rsidRPr="003F0749">
        <w:t>Наци</w:t>
      </w:r>
      <w:r w:rsidRPr="003F0749">
        <w:t>о</w:t>
      </w:r>
      <w:r w:rsidRPr="003F0749">
        <w:t>нальная молодежная политика и политика в области спорта</w:t>
      </w:r>
      <w:r w:rsidR="003F0749">
        <w:t>"</w:t>
      </w:r>
      <w:r w:rsidRPr="003F0749">
        <w:t>, в котором упор делается на предотвращение всех форм дискриминации, предоставление ра</w:t>
      </w:r>
      <w:r w:rsidRPr="003F0749">
        <w:t>в</w:t>
      </w:r>
      <w:r w:rsidRPr="003F0749">
        <w:t>ных возможностей, формирование атмосферы терпимости и межкультурный диалог между молодежью, а также предупреждение насилия, беспорядков и н</w:t>
      </w:r>
      <w:r w:rsidRPr="003F0749">
        <w:t>е</w:t>
      </w:r>
      <w:r w:rsidRPr="003F0749">
        <w:t>этического поведения в спорте.</w:t>
      </w:r>
    </w:p>
    <w:p w:rsidR="00DF5565" w:rsidRPr="003F0749" w:rsidRDefault="00DF5565" w:rsidP="004B21D5">
      <w:pPr>
        <w:pStyle w:val="SingleTxtGR"/>
        <w:keepLines/>
      </w:pPr>
      <w:r w:rsidRPr="003F0749">
        <w:t>206.</w:t>
      </w:r>
      <w:r w:rsidRPr="003F0749">
        <w:tab/>
        <w:t>Соответственно, министерство по делам молодежи и спорта организовало несколько мероприятий, направленных на расширение межкультурного диал</w:t>
      </w:r>
      <w:r w:rsidRPr="003F0749">
        <w:t>о</w:t>
      </w:r>
      <w:r w:rsidRPr="003F0749">
        <w:t>га, укрепление социального единства и поощрение уважительного отношения к разнообразию, а также борьбу с предрассудками и дискриминацией среди м</w:t>
      </w:r>
      <w:r w:rsidRPr="003F0749">
        <w:t>о</w:t>
      </w:r>
      <w:r w:rsidRPr="003F0749">
        <w:t xml:space="preserve">лодежи. </w:t>
      </w:r>
    </w:p>
    <w:p w:rsidR="00DF5565" w:rsidRPr="003F0749" w:rsidRDefault="00DF5565" w:rsidP="004B21D5">
      <w:pPr>
        <w:pStyle w:val="Bullet1GR"/>
      </w:pPr>
      <w:r w:rsidRPr="003F0749">
        <w:t>Было организовано более 15 молодежных лагерей, в которые из разли</w:t>
      </w:r>
      <w:r w:rsidRPr="003F0749">
        <w:t>ч</w:t>
      </w:r>
      <w:r w:rsidRPr="003F0749">
        <w:t>ных районов страны съехалась молодежь разного происхождения, пр</w:t>
      </w:r>
      <w:r w:rsidRPr="003F0749">
        <w:t>и</w:t>
      </w:r>
      <w:r w:rsidRPr="003F0749">
        <w:t>надлеж</w:t>
      </w:r>
      <w:r w:rsidRPr="003F0749">
        <w:t>а</w:t>
      </w:r>
      <w:r w:rsidRPr="003F0749">
        <w:t>щая к различным религиозным, этническим и социально-экономическим гру</w:t>
      </w:r>
      <w:r w:rsidRPr="003F0749">
        <w:t>п</w:t>
      </w:r>
      <w:r w:rsidRPr="003F0749">
        <w:t>пам. Особые стимулы для участия в этих фестивалях получила молодежь народности рома</w:t>
      </w:r>
      <w:r w:rsidR="002B6A52">
        <w:t>. В </w:t>
      </w:r>
      <w:r w:rsidRPr="003F0749">
        <w:t>молодежных лагерях провод</w:t>
      </w:r>
      <w:r w:rsidRPr="003F0749">
        <w:t>и</w:t>
      </w:r>
      <w:r w:rsidRPr="003F0749">
        <w:t>лись различные мероприятия, включая спортивные соревнования, теа</w:t>
      </w:r>
      <w:r w:rsidRPr="003F0749">
        <w:t>т</w:t>
      </w:r>
      <w:r w:rsidRPr="003F0749">
        <w:t>ральные постановки и музыкальные конкурсы, чтения, народные танцы, лекции по истории, литературе и медико-санитарному просвещению, т</w:t>
      </w:r>
      <w:r w:rsidRPr="003F0749">
        <w:t>у</w:t>
      </w:r>
      <w:r w:rsidRPr="003F0749">
        <w:t>ристические поездки в исторические и туристические места и т.д</w:t>
      </w:r>
      <w:r w:rsidR="002B6A52">
        <w:t>. В </w:t>
      </w:r>
      <w:r w:rsidRPr="003F0749">
        <w:t>эти лагеря приехали также иностранные студенты, обучающиеся в турецких университетах. Так, кроме 188 турецких участников из 15</w:t>
      </w:r>
      <w:r w:rsidR="004B21D5">
        <w:rPr>
          <w:lang w:val="en-US"/>
        </w:rPr>
        <w:t> </w:t>
      </w:r>
      <w:r w:rsidRPr="003F0749">
        <w:t xml:space="preserve">провинций Турции в мероприятиях молодежного лагеря </w:t>
      </w:r>
      <w:proofErr w:type="spellStart"/>
      <w:r w:rsidRPr="003F0749">
        <w:t>Ван-Генаш</w:t>
      </w:r>
      <w:proofErr w:type="spellEnd"/>
      <w:r w:rsidRPr="003F0749">
        <w:t xml:space="preserve"> в период между 6</w:t>
      </w:r>
      <w:r w:rsidR="008D3B03">
        <w:t> </w:t>
      </w:r>
      <w:r w:rsidRPr="003F0749">
        <w:t>июля и 28 августа 2013</w:t>
      </w:r>
      <w:r w:rsidR="002B6A52">
        <w:t> год</w:t>
      </w:r>
      <w:r w:rsidRPr="003F0749">
        <w:t>а участвовало в общей сложности 20 студе</w:t>
      </w:r>
      <w:r w:rsidRPr="003F0749">
        <w:t>н</w:t>
      </w:r>
      <w:r w:rsidRPr="003F0749">
        <w:t>тов из Туркменистана, Кении, Алжира, Конго, Мозамбика, Камеруна, А</w:t>
      </w:r>
      <w:r w:rsidRPr="003F0749">
        <w:t>ф</w:t>
      </w:r>
      <w:r w:rsidRPr="003F0749">
        <w:t xml:space="preserve">ганистана и Сомали. </w:t>
      </w:r>
    </w:p>
    <w:p w:rsidR="00DF5565" w:rsidRPr="003F0749" w:rsidRDefault="00DF5565" w:rsidP="004B21D5">
      <w:pPr>
        <w:pStyle w:val="Bullet1GR"/>
      </w:pPr>
      <w:r w:rsidRPr="003F0749">
        <w:t>Во всех провинциях Турции были созданы молодежные центры, цель к</w:t>
      </w:r>
      <w:r w:rsidRPr="003F0749">
        <w:t>о</w:t>
      </w:r>
      <w:r w:rsidRPr="003F0749">
        <w:t>торых состоит в том, чтобы привлечь больше молодежи из социально н</w:t>
      </w:r>
      <w:r w:rsidRPr="003F0749">
        <w:t>е</w:t>
      </w:r>
      <w:r w:rsidRPr="003F0749">
        <w:t>благополучных групп к занятиям спортом, а также к участию в общес</w:t>
      </w:r>
      <w:r w:rsidRPr="003F0749">
        <w:t>т</w:t>
      </w:r>
      <w:r w:rsidRPr="003F0749">
        <w:t>венной и культурной жизни. Молодежные центры организуют многие м</w:t>
      </w:r>
      <w:r w:rsidRPr="003F0749">
        <w:t>о</w:t>
      </w:r>
      <w:r w:rsidRPr="003F0749">
        <w:t>лодежные лагеря и международные молодежные фестивали</w:t>
      </w:r>
      <w:r w:rsidR="002B6A52">
        <w:t>. В</w:t>
      </w:r>
      <w:r w:rsidR="008D3B03">
        <w:t xml:space="preserve"> </w:t>
      </w:r>
      <w:r w:rsidRPr="003F0749">
        <w:t>деятельн</w:t>
      </w:r>
      <w:r w:rsidRPr="003F0749">
        <w:t>о</w:t>
      </w:r>
      <w:r w:rsidRPr="003F0749">
        <w:t>сти молодежных центров активное участие принимает молодежь наро</w:t>
      </w:r>
      <w:r w:rsidRPr="003F0749">
        <w:t>д</w:t>
      </w:r>
      <w:r w:rsidRPr="003F0749">
        <w:t xml:space="preserve">ности рома. </w:t>
      </w:r>
    </w:p>
    <w:p w:rsidR="00DF5565" w:rsidRPr="003F0749" w:rsidRDefault="00DF5565" w:rsidP="004B21D5">
      <w:pPr>
        <w:pStyle w:val="Bullet1GR"/>
      </w:pPr>
      <w:r w:rsidRPr="003F0749">
        <w:t>В период между 21 июня и 5 сентября 2013</w:t>
      </w:r>
      <w:r w:rsidR="002B6A52">
        <w:t> год</w:t>
      </w:r>
      <w:r w:rsidRPr="003F0749">
        <w:t xml:space="preserve">а в </w:t>
      </w:r>
      <w:r w:rsidR="003F0749">
        <w:t>"</w:t>
      </w:r>
      <w:r w:rsidRPr="003F0749">
        <w:t>Проекте путешес</w:t>
      </w:r>
      <w:r w:rsidRPr="003F0749">
        <w:t>т</w:t>
      </w:r>
      <w:r w:rsidRPr="003F0749">
        <w:t>венников</w:t>
      </w:r>
      <w:r w:rsidR="003F0749">
        <w:t>"</w:t>
      </w:r>
      <w:r w:rsidRPr="003F0749">
        <w:t xml:space="preserve"> приняли участие 53 тысячи молодых людей в возрасте 14−26</w:t>
      </w:r>
      <w:r w:rsidR="004B21D5">
        <w:rPr>
          <w:lang w:val="en-US"/>
        </w:rPr>
        <w:t> </w:t>
      </w:r>
      <w:r w:rsidRPr="003F0749">
        <w:t>лет из различных провинций Турции. Цель этого проекта состояла из о</w:t>
      </w:r>
      <w:r w:rsidRPr="003F0749">
        <w:t>р</w:t>
      </w:r>
      <w:r w:rsidRPr="003F0749">
        <w:t>ганизации поездок участников в провинции Турции, где они никогда не бывали, для установления связей между молодыми людьми из разли</w:t>
      </w:r>
      <w:r w:rsidRPr="003F0749">
        <w:t>ч</w:t>
      </w:r>
      <w:r w:rsidRPr="003F0749">
        <w:t>ных регионов, ознакомления с культурой и общения с молодежью этих регионов и посещения исторических, культурных и туристических мест. Для налаживания взаимных связей участники проекта устраивали совм</w:t>
      </w:r>
      <w:r w:rsidRPr="003F0749">
        <w:t>е</w:t>
      </w:r>
      <w:r w:rsidRPr="003F0749">
        <w:t>стные спортивные соревнования и участвовали в различных играх. Они также участвовали в театральных, музыкальных и танцевальных мер</w:t>
      </w:r>
      <w:r w:rsidRPr="003F0749">
        <w:t>о</w:t>
      </w:r>
      <w:r w:rsidRPr="003F0749">
        <w:t xml:space="preserve">приятиях. </w:t>
      </w:r>
    </w:p>
    <w:p w:rsidR="00DF5565" w:rsidRPr="003F0749" w:rsidRDefault="00DF5565" w:rsidP="004B21D5">
      <w:pPr>
        <w:pStyle w:val="Bullet1GR"/>
      </w:pPr>
      <w:r w:rsidRPr="003F0749">
        <w:t xml:space="preserve">На международном уровне в проекте </w:t>
      </w:r>
      <w:r w:rsidR="003F0749">
        <w:t>"</w:t>
      </w:r>
      <w:r w:rsidRPr="003F0749">
        <w:t>Молодежный круиз мира по Сред</w:t>
      </w:r>
      <w:r w:rsidRPr="003F0749">
        <w:t>и</w:t>
      </w:r>
      <w:r w:rsidRPr="003F0749">
        <w:t>земному морю</w:t>
      </w:r>
      <w:r w:rsidR="003F0749">
        <w:t>"</w:t>
      </w:r>
      <w:r w:rsidRPr="003F0749">
        <w:t xml:space="preserve"> приняло участие 771 молодых людей в возрасте от 18 до 27 лет из 43 стран. Участники круиза посетили три страны и пр</w:t>
      </w:r>
      <w:r w:rsidRPr="003F0749">
        <w:t>и</w:t>
      </w:r>
      <w:r w:rsidRPr="003F0749">
        <w:t>няли участие в мн</w:t>
      </w:r>
      <w:r w:rsidRPr="003F0749">
        <w:t>о</w:t>
      </w:r>
      <w:r w:rsidRPr="003F0749">
        <w:t>гочисленных мероприятиях, организованных на борту судна для молодых людей, чтобы они лучше узнали друг друга, ознак</w:t>
      </w:r>
      <w:r w:rsidRPr="003F0749">
        <w:t>о</w:t>
      </w:r>
      <w:r w:rsidRPr="003F0749">
        <w:t>мились с различными культурами и смогли углубить межкультурный диалог и те</w:t>
      </w:r>
      <w:r w:rsidRPr="003F0749">
        <w:t>р</w:t>
      </w:r>
      <w:r w:rsidRPr="003F0749">
        <w:t>пимость. Во время круиза было организовано много семинаров по иску</w:t>
      </w:r>
      <w:r w:rsidRPr="003F0749">
        <w:t>с</w:t>
      </w:r>
      <w:r w:rsidRPr="003F0749">
        <w:t xml:space="preserve">ству и игр. </w:t>
      </w:r>
    </w:p>
    <w:p w:rsidR="00DF5565" w:rsidRPr="003F0749" w:rsidRDefault="00DF5565" w:rsidP="004B21D5">
      <w:pPr>
        <w:pStyle w:val="Bullet1GR"/>
      </w:pPr>
      <w:r w:rsidRPr="003F0749">
        <w:t>В целях создания платформы для взаимных дискуссий 26−27 янв</w:t>
      </w:r>
      <w:r w:rsidRPr="003F0749">
        <w:t>а</w:t>
      </w:r>
      <w:r w:rsidRPr="003F0749">
        <w:t>ря 2013</w:t>
      </w:r>
      <w:r w:rsidR="002B6A52">
        <w:t> год</w:t>
      </w:r>
      <w:r w:rsidRPr="003F0749">
        <w:t xml:space="preserve">а был проведен </w:t>
      </w:r>
      <w:r w:rsidR="003F0749">
        <w:t>"</w:t>
      </w:r>
      <w:r w:rsidRPr="003F0749">
        <w:t>Семинар молодых журналистов</w:t>
      </w:r>
      <w:r w:rsidR="003F0749">
        <w:t>"</w:t>
      </w:r>
      <w:r w:rsidRPr="003F0749">
        <w:t>, в котором уч</w:t>
      </w:r>
      <w:r w:rsidRPr="003F0749">
        <w:t>а</w:t>
      </w:r>
      <w:r w:rsidRPr="003F0749">
        <w:t>ствовали молодые журналисты и студенты факультетов журналистики из стран Восточной Европы и Ближнего Востока. Основное внимание уч</w:t>
      </w:r>
      <w:r w:rsidRPr="003F0749">
        <w:t>а</w:t>
      </w:r>
      <w:r w:rsidRPr="003F0749">
        <w:t xml:space="preserve">стников семинара было уделено обсуждению проблемы </w:t>
      </w:r>
      <w:proofErr w:type="spellStart"/>
      <w:r w:rsidRPr="003F0749">
        <w:t>исламофобии</w:t>
      </w:r>
      <w:proofErr w:type="spellEnd"/>
      <w:r w:rsidRPr="003F0749">
        <w:t xml:space="preserve"> и повышению уровня информированности о ней, а также борьбе с дискр</w:t>
      </w:r>
      <w:r w:rsidRPr="003F0749">
        <w:t>и</w:t>
      </w:r>
      <w:r w:rsidRPr="003F0749">
        <w:t>минацией по признаку рел</w:t>
      </w:r>
      <w:r w:rsidRPr="003F0749">
        <w:t>и</w:t>
      </w:r>
      <w:r w:rsidRPr="003F0749">
        <w:t>гии в Европе.</w:t>
      </w:r>
    </w:p>
    <w:p w:rsidR="00DF5565" w:rsidRPr="003F0749" w:rsidRDefault="00DF5565" w:rsidP="004B21D5">
      <w:pPr>
        <w:pStyle w:val="Bullet1GR"/>
      </w:pPr>
      <w:r w:rsidRPr="003F0749">
        <w:t>Для поддержки молодых кинематографистов и повышения интереса м</w:t>
      </w:r>
      <w:r w:rsidRPr="003F0749">
        <w:t>о</w:t>
      </w:r>
      <w:r w:rsidRPr="003F0749">
        <w:t>лодежи к кинематографии и производству фильмов 15−19 мая 2013</w:t>
      </w:r>
      <w:r w:rsidR="002B6A52">
        <w:t> год</w:t>
      </w:r>
      <w:r w:rsidRPr="003F0749">
        <w:t>у был организован международный фестиваль короткометра</w:t>
      </w:r>
      <w:r w:rsidRPr="003F0749">
        <w:t>ж</w:t>
      </w:r>
      <w:r w:rsidRPr="003F0749">
        <w:t>ных фильмов молодых кинематографистов. На фестивале было показано 227 фильмов из 25 стран.</w:t>
      </w:r>
    </w:p>
    <w:p w:rsidR="00DF5565" w:rsidRPr="003F0749" w:rsidRDefault="00DF5565" w:rsidP="004B21D5">
      <w:pPr>
        <w:pStyle w:val="Bullet1GR"/>
      </w:pPr>
      <w:r w:rsidRPr="003F0749">
        <w:t xml:space="preserve">В рамках кампании, озаглавленной </w:t>
      </w:r>
      <w:r w:rsidR="003F0749">
        <w:t>"</w:t>
      </w:r>
      <w:r w:rsidRPr="003F0749">
        <w:t xml:space="preserve"> Нет призывам, разжигающим нен</w:t>
      </w:r>
      <w:r w:rsidRPr="003F0749">
        <w:t>а</w:t>
      </w:r>
      <w:r w:rsidRPr="003F0749">
        <w:t>висть</w:t>
      </w:r>
      <w:r w:rsidR="003F0749">
        <w:t>"</w:t>
      </w:r>
      <w:r w:rsidRPr="003F0749">
        <w:t xml:space="preserve"> на турецкий язык будут переведены подготовленные Европейским союзом плакаты и видеоматериалы, которые будут распространяться в молодежных центрах, молодежных лагерях и общежитиях</w:t>
      </w:r>
      <w:r w:rsidR="002B6A52">
        <w:t>. В </w:t>
      </w:r>
      <w:r w:rsidRPr="003F0749">
        <w:t>том же кл</w:t>
      </w:r>
      <w:r w:rsidRPr="003F0749">
        <w:t>ю</w:t>
      </w:r>
      <w:r w:rsidRPr="003F0749">
        <w:t xml:space="preserve">че будет организована кампания </w:t>
      </w:r>
      <w:r w:rsidR="003F0749">
        <w:t>"</w:t>
      </w:r>
      <w:r w:rsidRPr="003F0749">
        <w:t>Движение против призывов, разжига</w:t>
      </w:r>
      <w:r w:rsidRPr="003F0749">
        <w:t>ю</w:t>
      </w:r>
      <w:r w:rsidRPr="003F0749">
        <w:t>щих ненависть</w:t>
      </w:r>
      <w:r w:rsidR="003F0749">
        <w:t>"</w:t>
      </w:r>
      <w:r w:rsidRPr="003F0749">
        <w:t>.</w:t>
      </w:r>
    </w:p>
    <w:p w:rsidR="00DF5565" w:rsidRPr="00E2084F" w:rsidRDefault="00DF5565" w:rsidP="00E2084F">
      <w:pPr>
        <w:pStyle w:val="H4GR"/>
        <w:spacing w:before="240"/>
        <w:ind w:left="1156" w:right="1179" w:hanging="1145"/>
      </w:pPr>
      <w:r w:rsidRPr="00E2084F">
        <w:tab/>
      </w:r>
      <w:r w:rsidRPr="00E2084F">
        <w:tab/>
        <w:t>Принятая и реализуема языковая политика государства-участника</w:t>
      </w:r>
    </w:p>
    <w:p w:rsidR="00DF5565" w:rsidRPr="003F0749" w:rsidRDefault="00DF5565" w:rsidP="00DF5565">
      <w:pPr>
        <w:pStyle w:val="SingleTxtGR"/>
      </w:pPr>
      <w:r w:rsidRPr="003F0749">
        <w:t>207.</w:t>
      </w:r>
      <w:r w:rsidRPr="003F0749">
        <w:tab/>
        <w:t>В отчетный период продолжались реформы, касающиеся языков и ди</w:t>
      </w:r>
      <w:r w:rsidRPr="003F0749">
        <w:t>а</w:t>
      </w:r>
      <w:r w:rsidRPr="003F0749">
        <w:t>лектов, которыми пользуются турецкие граждане в своей повседневной жизни.</w:t>
      </w:r>
    </w:p>
    <w:p w:rsidR="00DF5565" w:rsidRPr="003F0749" w:rsidRDefault="00DF5565" w:rsidP="004B21D5">
      <w:pPr>
        <w:pStyle w:val="Bullet1GR"/>
      </w:pPr>
      <w:r w:rsidRPr="003F0749">
        <w:t>Были отменены запреты на пользование другими языками вместо туре</w:t>
      </w:r>
      <w:r w:rsidRPr="003F0749">
        <w:t>ц</w:t>
      </w:r>
      <w:r w:rsidRPr="003F0749">
        <w:t>кого во время свиданий с осужденными и задержанными лицами.</w:t>
      </w:r>
    </w:p>
    <w:p w:rsidR="00DF5565" w:rsidRPr="003F0749" w:rsidRDefault="00DF5565" w:rsidP="004B21D5">
      <w:pPr>
        <w:pStyle w:val="Bullet1GR"/>
      </w:pPr>
      <w:r w:rsidRPr="003F0749">
        <w:t xml:space="preserve">Было разрешено вести избирательные кампании, как в письменной, так и устной форме, на другом языке вместо турецкого. </w:t>
      </w:r>
    </w:p>
    <w:p w:rsidR="00DF5565" w:rsidRPr="003F0749" w:rsidRDefault="00DF5565" w:rsidP="004B21D5">
      <w:pPr>
        <w:pStyle w:val="Bullet1GR"/>
      </w:pPr>
      <w:r w:rsidRPr="003F0749">
        <w:t>Ответчикам, которые чувствуют себя свободнее, говоря на другом языке вместо турецкого, было разрешено делать заявления в свою защиту на выбра</w:t>
      </w:r>
      <w:r w:rsidRPr="003F0749">
        <w:t>н</w:t>
      </w:r>
      <w:r w:rsidRPr="003F0749">
        <w:t xml:space="preserve">ном ими языке. </w:t>
      </w:r>
    </w:p>
    <w:p w:rsidR="00DF5565" w:rsidRPr="003F0749" w:rsidRDefault="00DF5565" w:rsidP="004B21D5">
      <w:pPr>
        <w:pStyle w:val="Bullet1GR"/>
      </w:pPr>
      <w:r w:rsidRPr="003F0749">
        <w:t>После введения в 2012</w:t>
      </w:r>
      <w:r w:rsidR="002B6A52">
        <w:t> год</w:t>
      </w:r>
      <w:r w:rsidRPr="003F0749">
        <w:t>у системы двенадцатилетнего образов</w:t>
      </w:r>
      <w:r w:rsidRPr="003F0749">
        <w:t>а</w:t>
      </w:r>
      <w:r w:rsidRPr="003F0749">
        <w:t>ния учащиеся начиная с пятого класса стали обучаться по программе факул</w:t>
      </w:r>
      <w:r w:rsidRPr="003F0749">
        <w:t>ь</w:t>
      </w:r>
      <w:r w:rsidRPr="003F0749">
        <w:t xml:space="preserve">тативного курса </w:t>
      </w:r>
      <w:r w:rsidR="003F0749">
        <w:t>"</w:t>
      </w:r>
      <w:r w:rsidRPr="003F0749">
        <w:t>Живые языки и диалекты</w:t>
      </w:r>
      <w:r w:rsidR="003F0749">
        <w:t>"</w:t>
      </w:r>
      <w:r w:rsidRPr="003F0749">
        <w:t>. По соответствующей прос</w:t>
      </w:r>
      <w:r w:rsidRPr="003F0749">
        <w:t>ь</w:t>
      </w:r>
      <w:r w:rsidRPr="003F0749">
        <w:t>бе в государственных школах организуется обучение курдскому (</w:t>
      </w:r>
      <w:proofErr w:type="spellStart"/>
      <w:r w:rsidRPr="003F0749">
        <w:t>ку</w:t>
      </w:r>
      <w:r w:rsidRPr="003F0749">
        <w:t>р</w:t>
      </w:r>
      <w:r w:rsidRPr="003F0749">
        <w:t>манджи</w:t>
      </w:r>
      <w:proofErr w:type="spellEnd"/>
      <w:r w:rsidRPr="003F0749">
        <w:t xml:space="preserve"> и </w:t>
      </w:r>
      <w:proofErr w:type="spellStart"/>
      <w:r w:rsidRPr="003F0749">
        <w:t>зазаки</w:t>
      </w:r>
      <w:proofErr w:type="spellEnd"/>
      <w:r w:rsidRPr="003F0749">
        <w:t>) языку, абхазско-адыгейским языкам (адыгейскому и а</w:t>
      </w:r>
      <w:r w:rsidRPr="003F0749">
        <w:t>б</w:t>
      </w:r>
      <w:r w:rsidRPr="003F0749">
        <w:t>хазскому) и языку лаки</w:t>
      </w:r>
      <w:r w:rsidR="002B6A52">
        <w:t>. В </w:t>
      </w:r>
      <w:r w:rsidRPr="003F0749">
        <w:t>последние два учебных</w:t>
      </w:r>
      <w:r w:rsidR="004B21D5">
        <w:t xml:space="preserve"> </w:t>
      </w:r>
      <w:r w:rsidR="002B6A52">
        <w:t>год</w:t>
      </w:r>
      <w:r w:rsidRPr="003F0749">
        <w:t>а для учебы на этих курсах записалось 23</w:t>
      </w:r>
      <w:r w:rsidR="004B21D5">
        <w:t> </w:t>
      </w:r>
      <w:r w:rsidRPr="003F0749">
        <w:t>697 уч</w:t>
      </w:r>
      <w:r w:rsidRPr="003F0749">
        <w:t>а</w:t>
      </w:r>
      <w:r w:rsidRPr="003F0749">
        <w:t>щихся пятого класса и 19</w:t>
      </w:r>
      <w:r w:rsidR="004B21D5">
        <w:t> </w:t>
      </w:r>
      <w:r w:rsidRPr="003F0749">
        <w:t>896 учащихся шестого класса.</w:t>
      </w:r>
    </w:p>
    <w:p w:rsidR="00DF5565" w:rsidRPr="003F0749" w:rsidRDefault="00DF5565" w:rsidP="004B21D5">
      <w:pPr>
        <w:pStyle w:val="Bullet1GR"/>
      </w:pPr>
      <w:r w:rsidRPr="003F0749">
        <w:t>Благодаря организации факультативных курсов и созданию соответс</w:t>
      </w:r>
      <w:r w:rsidRPr="003F0749">
        <w:t>т</w:t>
      </w:r>
      <w:r w:rsidRPr="003F0749">
        <w:t>вующих факультетов/институтов стало возможно вести научные исслед</w:t>
      </w:r>
      <w:r w:rsidRPr="003F0749">
        <w:t>о</w:t>
      </w:r>
      <w:r w:rsidRPr="003F0749">
        <w:t>вания по языкам и диалектам, которыми пользуются турецкие гра</w:t>
      </w:r>
      <w:r w:rsidRPr="003F0749">
        <w:t>ж</w:t>
      </w:r>
      <w:r w:rsidRPr="003F0749">
        <w:t>дане в своей п</w:t>
      </w:r>
      <w:r w:rsidRPr="003F0749">
        <w:t>о</w:t>
      </w:r>
      <w:r w:rsidRPr="003F0749">
        <w:t xml:space="preserve">вседневной жизни. </w:t>
      </w:r>
    </w:p>
    <w:p w:rsidR="00DF5565" w:rsidRPr="003F0749" w:rsidRDefault="00DF5565" w:rsidP="004B21D5">
      <w:pPr>
        <w:pStyle w:val="Bullet1GR"/>
      </w:pPr>
      <w:r w:rsidRPr="003F0749">
        <w:t>В этой связи в 2011</w:t>
      </w:r>
      <w:r w:rsidR="002B6A52">
        <w:t> год</w:t>
      </w:r>
      <w:r w:rsidRPr="003F0749">
        <w:t xml:space="preserve">у в Университете </w:t>
      </w:r>
      <w:proofErr w:type="spellStart"/>
      <w:r w:rsidRPr="003F0749">
        <w:t>Артуклу</w:t>
      </w:r>
      <w:proofErr w:type="spellEnd"/>
      <w:r w:rsidRPr="003F0749">
        <w:t xml:space="preserve"> города </w:t>
      </w:r>
      <w:proofErr w:type="spellStart"/>
      <w:r w:rsidRPr="003F0749">
        <w:t>Мардин</w:t>
      </w:r>
      <w:proofErr w:type="spellEnd"/>
      <w:r w:rsidRPr="003F0749">
        <w:t xml:space="preserve"> был о</w:t>
      </w:r>
      <w:r w:rsidRPr="003F0749">
        <w:t>т</w:t>
      </w:r>
      <w:r w:rsidRPr="003F0749">
        <w:t>крыт факультет курдского языка и литературы</w:t>
      </w:r>
      <w:r w:rsidR="002B6A52">
        <w:t>. В </w:t>
      </w:r>
      <w:r w:rsidRPr="003F0749">
        <w:t>2012/13 учебном</w:t>
      </w:r>
      <w:r w:rsidR="004B21D5">
        <w:t xml:space="preserve"> </w:t>
      </w:r>
      <w:r w:rsidR="002B6A52">
        <w:t>год</w:t>
      </w:r>
      <w:r w:rsidRPr="003F0749">
        <w:t>у на факультете обучалось 250 студентов. Планируется, что выпускники, п</w:t>
      </w:r>
      <w:r w:rsidRPr="003F0749">
        <w:t>о</w:t>
      </w:r>
      <w:r w:rsidRPr="003F0749">
        <w:t xml:space="preserve">лучившие образование по этой программе, будут работать в качестве преподавателей курдского языка. </w:t>
      </w:r>
    </w:p>
    <w:p w:rsidR="00DF5565" w:rsidRPr="003F0749" w:rsidRDefault="00DF5565" w:rsidP="004B21D5">
      <w:pPr>
        <w:pStyle w:val="Bullet1GR"/>
      </w:pPr>
      <w:r w:rsidRPr="003F0749">
        <w:t xml:space="preserve">В Университете </w:t>
      </w:r>
      <w:proofErr w:type="spellStart"/>
      <w:r w:rsidRPr="003F0749">
        <w:t>Артуклу</w:t>
      </w:r>
      <w:proofErr w:type="spellEnd"/>
      <w:r w:rsidRPr="003F0749">
        <w:t xml:space="preserve"> города </w:t>
      </w:r>
      <w:proofErr w:type="spellStart"/>
      <w:r w:rsidRPr="003F0749">
        <w:t>Мардин</w:t>
      </w:r>
      <w:proofErr w:type="spellEnd"/>
      <w:r w:rsidRPr="003F0749">
        <w:t xml:space="preserve"> был открыт факультет араме</w:t>
      </w:r>
      <w:r w:rsidRPr="003F0749">
        <w:t>й</w:t>
      </w:r>
      <w:r w:rsidRPr="003F0749">
        <w:t>ского языка и литературы.</w:t>
      </w:r>
    </w:p>
    <w:p w:rsidR="00DF5565" w:rsidRPr="003F0749" w:rsidRDefault="00DF5565" w:rsidP="004B21D5">
      <w:pPr>
        <w:pStyle w:val="Bullet1GR"/>
      </w:pPr>
      <w:r w:rsidRPr="003F0749">
        <w:t>В 2012/13 учебном</w:t>
      </w:r>
      <w:r w:rsidR="004B21D5">
        <w:t xml:space="preserve"> </w:t>
      </w:r>
      <w:r w:rsidR="002B6A52">
        <w:t>год</w:t>
      </w:r>
      <w:r w:rsidRPr="003F0749">
        <w:t xml:space="preserve">у на факультете курдского языка и литературы Университета </w:t>
      </w:r>
      <w:proofErr w:type="spellStart"/>
      <w:r w:rsidRPr="003F0749">
        <w:t>Муш</w:t>
      </w:r>
      <w:proofErr w:type="spellEnd"/>
      <w:r w:rsidRPr="003F0749">
        <w:t xml:space="preserve"> </w:t>
      </w:r>
      <w:proofErr w:type="spellStart"/>
      <w:r w:rsidRPr="003F0749">
        <w:t>Алпарслан</w:t>
      </w:r>
      <w:proofErr w:type="spellEnd"/>
      <w:r w:rsidRPr="003F0749">
        <w:t xml:space="preserve"> была открыта аспирантура курдского яз</w:t>
      </w:r>
      <w:r w:rsidRPr="003F0749">
        <w:t>ы</w:t>
      </w:r>
      <w:r w:rsidRPr="003F0749">
        <w:t>ка</w:t>
      </w:r>
      <w:r w:rsidR="002B6A52">
        <w:t>. В </w:t>
      </w:r>
      <w:r w:rsidRPr="003F0749">
        <w:t>2012/13 учебном</w:t>
      </w:r>
      <w:r w:rsidR="004B21D5">
        <w:t xml:space="preserve"> </w:t>
      </w:r>
      <w:r w:rsidR="002B6A52">
        <w:t>год</w:t>
      </w:r>
      <w:r w:rsidRPr="003F0749">
        <w:t>у на факультете обучалось 50 студентов. Была разраб</w:t>
      </w:r>
      <w:r w:rsidRPr="003F0749">
        <w:t>о</w:t>
      </w:r>
      <w:r w:rsidRPr="003F0749">
        <w:t xml:space="preserve">тана учебная программа по этому предмету. </w:t>
      </w:r>
    </w:p>
    <w:p w:rsidR="00DF5565" w:rsidRPr="003F0749" w:rsidRDefault="00DF5565" w:rsidP="004B21D5">
      <w:pPr>
        <w:pStyle w:val="Bullet1GR"/>
      </w:pPr>
      <w:r w:rsidRPr="003F0749">
        <w:t xml:space="preserve">В Университете </w:t>
      </w:r>
      <w:proofErr w:type="spellStart"/>
      <w:r w:rsidRPr="003F0749">
        <w:t>Тунджели</w:t>
      </w:r>
      <w:proofErr w:type="spellEnd"/>
      <w:r w:rsidRPr="003F0749">
        <w:t xml:space="preserve"> был образован факультет восточных языков и литератур. </w:t>
      </w:r>
    </w:p>
    <w:p w:rsidR="00DF5565" w:rsidRPr="003F0749" w:rsidRDefault="00DF5565" w:rsidP="004B21D5">
      <w:pPr>
        <w:pStyle w:val="Bullet1GR"/>
      </w:pPr>
      <w:r w:rsidRPr="003F0749">
        <w:t xml:space="preserve">При </w:t>
      </w:r>
      <w:proofErr w:type="spellStart"/>
      <w:r w:rsidRPr="003F0749">
        <w:t>Сиирском</w:t>
      </w:r>
      <w:proofErr w:type="spellEnd"/>
      <w:r w:rsidRPr="003F0749">
        <w:t xml:space="preserve"> университете будет создан институт живых языков. </w:t>
      </w:r>
    </w:p>
    <w:p w:rsidR="00DF5565" w:rsidRPr="003F0749" w:rsidRDefault="00DF5565" w:rsidP="004B21D5">
      <w:pPr>
        <w:pStyle w:val="Bullet1GR"/>
      </w:pPr>
      <w:r w:rsidRPr="003F0749">
        <w:t xml:space="preserve">Совет по высшему образованию принял решение создать при </w:t>
      </w:r>
      <w:proofErr w:type="spellStart"/>
      <w:r w:rsidRPr="003F0749">
        <w:t>Тр</w:t>
      </w:r>
      <w:r w:rsidRPr="003F0749">
        <w:t>а</w:t>
      </w:r>
      <w:r w:rsidRPr="003F0749">
        <w:t>кийском</w:t>
      </w:r>
      <w:proofErr w:type="spellEnd"/>
      <w:r w:rsidRPr="003F0749">
        <w:t xml:space="preserve"> университете институт языка и культуры народности рома.</w:t>
      </w:r>
    </w:p>
    <w:p w:rsidR="00DF5565" w:rsidRPr="003F0749" w:rsidRDefault="00DF5565" w:rsidP="004B21D5">
      <w:pPr>
        <w:pStyle w:val="Bullet1GR"/>
      </w:pPr>
      <w:r w:rsidRPr="003F0749">
        <w:t xml:space="preserve">Одним из наиболее заметных новаторских предложений </w:t>
      </w:r>
      <w:r w:rsidR="003F0749">
        <w:t>"</w:t>
      </w:r>
      <w:r w:rsidRPr="003F0749">
        <w:t>пакета демокр</w:t>
      </w:r>
      <w:r w:rsidRPr="003F0749">
        <w:t>а</w:t>
      </w:r>
      <w:r w:rsidRPr="003F0749">
        <w:t>тических реформ</w:t>
      </w:r>
      <w:r w:rsidR="003F0749">
        <w:t>"</w:t>
      </w:r>
      <w:r w:rsidRPr="003F0749">
        <w:t xml:space="preserve"> является предложение об использовании языков и ди</w:t>
      </w:r>
      <w:r w:rsidRPr="003F0749">
        <w:t>а</w:t>
      </w:r>
      <w:r w:rsidRPr="003F0749">
        <w:t>лектов, которыми пользуются турецкие граждане в повседне</w:t>
      </w:r>
      <w:r w:rsidRPr="003F0749">
        <w:t>в</w:t>
      </w:r>
      <w:r w:rsidRPr="003F0749">
        <w:t xml:space="preserve">ной жизни, в качестве языка обучения в частных школах. </w:t>
      </w:r>
    </w:p>
    <w:p w:rsidR="00DF5565" w:rsidRPr="003F0749" w:rsidRDefault="00DF5565" w:rsidP="004B21D5">
      <w:pPr>
        <w:pStyle w:val="Bullet1GR"/>
      </w:pPr>
      <w:r w:rsidRPr="003F0749">
        <w:t>Правительство предлагает обеспечить, чтобы политические партии и их кандидаты могли вести любую политическую пропаганду и предвыбо</w:t>
      </w:r>
      <w:r w:rsidRPr="003F0749">
        <w:t>р</w:t>
      </w:r>
      <w:r w:rsidRPr="003F0749">
        <w:t>ную кампанию и пропаганду на языках и диалектах, которыми пользую</w:t>
      </w:r>
      <w:r w:rsidRPr="003F0749">
        <w:t>т</w:t>
      </w:r>
      <w:r w:rsidRPr="003F0749">
        <w:t>ся турецкие граждане в своей повседневной жизни, путем отмены оста</w:t>
      </w:r>
      <w:r w:rsidRPr="003F0749">
        <w:t>в</w:t>
      </w:r>
      <w:r w:rsidRPr="003F0749">
        <w:t xml:space="preserve">шихся ограничений, основанных соответственно на Законе </w:t>
      </w:r>
      <w:r w:rsidR="002B6A52">
        <w:t>№ </w:t>
      </w:r>
      <w:r w:rsidRPr="003F0749">
        <w:t>298 и Зак</w:t>
      </w:r>
      <w:r w:rsidRPr="003F0749">
        <w:t>о</w:t>
      </w:r>
      <w:r w:rsidRPr="003F0749">
        <w:t xml:space="preserve">не </w:t>
      </w:r>
      <w:r w:rsidR="008D6211">
        <w:t>№ </w:t>
      </w:r>
      <w:r w:rsidRPr="003F0749">
        <w:t>2820</w:t>
      </w:r>
      <w:r w:rsidR="002B6A52">
        <w:t>. В </w:t>
      </w:r>
      <w:r w:rsidRPr="003F0749">
        <w:t>настоящее время эти поправки к законодательству рассма</w:t>
      </w:r>
      <w:r w:rsidRPr="003F0749">
        <w:t>т</w:t>
      </w:r>
      <w:r w:rsidRPr="003F0749">
        <w:t xml:space="preserve">риваются парламентом. </w:t>
      </w:r>
    </w:p>
    <w:p w:rsidR="00DF5565" w:rsidRPr="003F0749" w:rsidRDefault="00DF5565" w:rsidP="004B21D5">
      <w:pPr>
        <w:pStyle w:val="H23GR"/>
      </w:pPr>
      <w:r w:rsidRPr="003F0749">
        <w:tab/>
        <w:t>3.</w:t>
      </w:r>
      <w:r w:rsidRPr="003F0749">
        <w:tab/>
        <w:t>Информация</w:t>
      </w:r>
    </w:p>
    <w:p w:rsidR="00DF5565" w:rsidRPr="003F0749" w:rsidRDefault="00DF5565" w:rsidP="00DF5565">
      <w:pPr>
        <w:pStyle w:val="SingleTxtGR"/>
      </w:pPr>
      <w:r w:rsidRPr="003F0749">
        <w:t>208.</w:t>
      </w:r>
      <w:r w:rsidRPr="003F0749">
        <w:tab/>
        <w:t>В Турции действуют как частные, так и государственные средства масс</w:t>
      </w:r>
      <w:r w:rsidRPr="003F0749">
        <w:t>о</w:t>
      </w:r>
      <w:r w:rsidRPr="003F0749">
        <w:t>вой информации. Высший совет по радио и телевидению (ВСРТ) является бе</w:t>
      </w:r>
      <w:r w:rsidRPr="003F0749">
        <w:t>с</w:t>
      </w:r>
      <w:r w:rsidRPr="003F0749">
        <w:t xml:space="preserve">пристрастным государственным юридическим лицом, отвечающим за контроль, регулирование и введение санкций против радиотелевизионных станций. </w:t>
      </w:r>
    </w:p>
    <w:p w:rsidR="00DF5565" w:rsidRPr="003F0749" w:rsidRDefault="004B21D5" w:rsidP="004B21D5">
      <w:pPr>
        <w:pStyle w:val="H23GR"/>
      </w:pPr>
      <w:r>
        <w:tab/>
      </w:r>
      <w:r>
        <w:tab/>
      </w:r>
      <w:r w:rsidR="00DF5565" w:rsidRPr="003F0749">
        <w:t>Запрещение призывов, подстрекающих к ненависти и дискриминации в</w:t>
      </w:r>
      <w:r w:rsidR="00AC745A">
        <w:t> </w:t>
      </w:r>
      <w:r w:rsidR="00DF5565" w:rsidRPr="003F0749">
        <w:t>средствах массовой информации</w:t>
      </w:r>
    </w:p>
    <w:p w:rsidR="00DF5565" w:rsidRPr="003F0749" w:rsidRDefault="00DF5565" w:rsidP="00DF5565">
      <w:pPr>
        <w:pStyle w:val="SingleTxtGR"/>
      </w:pPr>
      <w:r w:rsidRPr="003F0749">
        <w:t>209.</w:t>
      </w:r>
      <w:r w:rsidRPr="003F0749">
        <w:tab/>
        <w:t xml:space="preserve">Статья 8 (b) Закона </w:t>
      </w:r>
      <w:r w:rsidR="002B6A52">
        <w:t>№ </w:t>
      </w:r>
      <w:r w:rsidRPr="003F0749">
        <w:t xml:space="preserve">6112 об учреждении радио и </w:t>
      </w:r>
      <w:proofErr w:type="spellStart"/>
      <w:r w:rsidRPr="003F0749">
        <w:t>телевещательных</w:t>
      </w:r>
      <w:proofErr w:type="spellEnd"/>
      <w:r w:rsidRPr="003F0749">
        <w:t xml:space="preserve"> компаний и поставщиках их </w:t>
      </w:r>
      <w:proofErr w:type="spellStart"/>
      <w:r w:rsidRPr="003F0749">
        <w:t>медийных</w:t>
      </w:r>
      <w:proofErr w:type="spellEnd"/>
      <w:r w:rsidRPr="003F0749">
        <w:t xml:space="preserve"> услуг 2011</w:t>
      </w:r>
      <w:r w:rsidR="002B6A52">
        <w:t> год</w:t>
      </w:r>
      <w:r w:rsidRPr="003F0749">
        <w:t xml:space="preserve">а запрещает поставщикам </w:t>
      </w:r>
      <w:proofErr w:type="spellStart"/>
      <w:r w:rsidRPr="003F0749">
        <w:t>медийных</w:t>
      </w:r>
      <w:proofErr w:type="spellEnd"/>
      <w:r w:rsidRPr="003F0749">
        <w:t xml:space="preserve"> услуг подстрекать общество к ненависти и вражде путем дискрим</w:t>
      </w:r>
      <w:r w:rsidRPr="003F0749">
        <w:t>и</w:t>
      </w:r>
      <w:r w:rsidRPr="003F0749">
        <w:t>нации по признакам расы, языка, религии, пола, региональных отличий и ко</w:t>
      </w:r>
      <w:r w:rsidRPr="003F0749">
        <w:t>н</w:t>
      </w:r>
      <w:r w:rsidRPr="003F0749">
        <w:t>фессиональной принадлежности, а также запрещает им разжигать в обществе чувство ненависти. Статья 8 (</w:t>
      </w:r>
      <w:proofErr w:type="spellStart"/>
      <w:r w:rsidRPr="003F0749">
        <w:t>e</w:t>
      </w:r>
      <w:proofErr w:type="spellEnd"/>
      <w:r w:rsidRPr="003F0749">
        <w:t>) запрещает вещание программ, которые являю</w:t>
      </w:r>
      <w:r w:rsidRPr="003F0749">
        <w:t>т</w:t>
      </w:r>
      <w:r w:rsidRPr="003F0749">
        <w:t>ся дискриминацией по признакам расы, цвета кожи, языка, религии, гражданс</w:t>
      </w:r>
      <w:r w:rsidRPr="003F0749">
        <w:t>т</w:t>
      </w:r>
      <w:r w:rsidRPr="003F0749">
        <w:t>ва, пола, инвалидности, политических убеждений и философских взглядов, конфессиональной принадлежности и любых таких обстоятельств. Статья 9 з</w:t>
      </w:r>
      <w:r w:rsidRPr="003F0749">
        <w:t>а</w:t>
      </w:r>
      <w:r w:rsidRPr="003F0749">
        <w:t>прещает дискриминацию по признакам пола, расы, цвета кожи или этнического происхождения, гражданства, религии, философских взглядов или политич</w:t>
      </w:r>
      <w:r w:rsidRPr="003F0749">
        <w:t>е</w:t>
      </w:r>
      <w:r w:rsidRPr="003F0749">
        <w:t>ских убеждений, инвалидности, возраста и любых других обстоятельств в ко</w:t>
      </w:r>
      <w:r w:rsidRPr="003F0749">
        <w:t>м</w:t>
      </w:r>
      <w:r w:rsidRPr="003F0749">
        <w:t>мерческих отношениях.</w:t>
      </w:r>
    </w:p>
    <w:p w:rsidR="00DF5565" w:rsidRPr="003F0749" w:rsidRDefault="00DF5565" w:rsidP="00DF5565">
      <w:pPr>
        <w:pStyle w:val="SingleTxtGR"/>
      </w:pPr>
      <w:r w:rsidRPr="003F0749">
        <w:t>210.</w:t>
      </w:r>
      <w:r w:rsidRPr="003F0749">
        <w:tab/>
        <w:t>Кроме того, в настоящее время сняты ограничения на продолжительность эфирного времени, жанры программ или их содержание в вещании или предо</w:t>
      </w:r>
      <w:r w:rsidRPr="003F0749">
        <w:t>с</w:t>
      </w:r>
      <w:r w:rsidRPr="003F0749">
        <w:t xml:space="preserve">тавлении </w:t>
      </w:r>
      <w:proofErr w:type="spellStart"/>
      <w:r w:rsidRPr="003F0749">
        <w:t>медийных</w:t>
      </w:r>
      <w:proofErr w:type="spellEnd"/>
      <w:r w:rsidRPr="003F0749">
        <w:t xml:space="preserve"> услуг на языках и диалектах вместо турецкого, которыми пользуются турецкие граждане в своей повседневной жизни. Процедуры кас</w:t>
      </w:r>
      <w:r w:rsidRPr="003F0749">
        <w:t>а</w:t>
      </w:r>
      <w:r w:rsidRPr="003F0749">
        <w:t xml:space="preserve">ются как государственных, так и частных поставщиков </w:t>
      </w:r>
      <w:proofErr w:type="spellStart"/>
      <w:r w:rsidRPr="003F0749">
        <w:t>медийных</w:t>
      </w:r>
      <w:proofErr w:type="spellEnd"/>
      <w:r w:rsidRPr="003F0749">
        <w:t xml:space="preserve"> услуг, кот</w:t>
      </w:r>
      <w:r w:rsidRPr="003F0749">
        <w:t>о</w:t>
      </w:r>
      <w:r w:rsidRPr="003F0749">
        <w:t>рые обращаются в ВСРТ за разрешением о вещании на этих языках и диале</w:t>
      </w:r>
      <w:r w:rsidRPr="003F0749">
        <w:t>к</w:t>
      </w:r>
      <w:r w:rsidRPr="003F0749">
        <w:t xml:space="preserve">тах. </w:t>
      </w:r>
    </w:p>
    <w:p w:rsidR="00DF5565" w:rsidRPr="003F0749" w:rsidRDefault="004B21D5" w:rsidP="004B21D5">
      <w:pPr>
        <w:pStyle w:val="H23GR"/>
      </w:pPr>
      <w:r>
        <w:tab/>
      </w:r>
      <w:r>
        <w:tab/>
      </w:r>
      <w:r w:rsidR="00DF5565" w:rsidRPr="003F0749">
        <w:t>Ответственное освещение вопросов прав человека средствами массовой информ</w:t>
      </w:r>
      <w:r w:rsidR="00DF5565" w:rsidRPr="003F0749">
        <w:t>а</w:t>
      </w:r>
      <w:r w:rsidR="00DF5565" w:rsidRPr="003F0749">
        <w:t>ции</w:t>
      </w:r>
    </w:p>
    <w:p w:rsidR="00DF5565" w:rsidRPr="003F0749" w:rsidRDefault="00DF5565" w:rsidP="00DF5565">
      <w:pPr>
        <w:pStyle w:val="SingleTxtGR"/>
        <w:rPr>
          <w:u w:val="single"/>
        </w:rPr>
      </w:pPr>
      <w:r w:rsidRPr="003F0749">
        <w:t>211.</w:t>
      </w:r>
      <w:r w:rsidRPr="003F0749">
        <w:tab/>
        <w:t>Генеральный директорат по вопросам печати и информации Канцелярии премьер-министра приступил к проведению ряда семинаров в местных средс</w:t>
      </w:r>
      <w:r w:rsidRPr="003F0749">
        <w:t>т</w:t>
      </w:r>
      <w:r w:rsidRPr="003F0749">
        <w:t>вах массовой информации в целях обеспечения ответственного освещения в</w:t>
      </w:r>
      <w:r w:rsidRPr="003F0749">
        <w:t>о</w:t>
      </w:r>
      <w:r w:rsidRPr="003F0749">
        <w:t xml:space="preserve">просов прав человека, включая принцип </w:t>
      </w:r>
      <w:proofErr w:type="spellStart"/>
      <w:r w:rsidRPr="003F0749">
        <w:t>недискриминации</w:t>
      </w:r>
      <w:proofErr w:type="spellEnd"/>
      <w:r w:rsidRPr="003F0749">
        <w:t xml:space="preserve"> с учетом профе</w:t>
      </w:r>
      <w:r w:rsidRPr="003F0749">
        <w:t>с</w:t>
      </w:r>
      <w:r w:rsidRPr="003F0749">
        <w:t>сионализма и журналистской этики</w:t>
      </w:r>
      <w:r w:rsidR="002B6A52">
        <w:t>. В </w:t>
      </w:r>
      <w:r w:rsidRPr="003F0749">
        <w:t>период между 1998 и 2013</w:t>
      </w:r>
      <w:r w:rsidR="002B6A52">
        <w:t> год</w:t>
      </w:r>
      <w:r w:rsidRPr="003F0749">
        <w:t>ами было организовано двадцать три семинара в 23 провинциях, в которых приняли уч</w:t>
      </w:r>
      <w:r w:rsidRPr="003F0749">
        <w:t>а</w:t>
      </w:r>
      <w:r w:rsidRPr="003F0749">
        <w:t>стие представители местных и национальных средств массовой информации, ученые, политики, местные руководители и представители гражданского общ</w:t>
      </w:r>
      <w:r w:rsidRPr="003F0749">
        <w:t>е</w:t>
      </w:r>
      <w:r w:rsidRPr="003F0749">
        <w:t xml:space="preserve">ства. </w:t>
      </w:r>
      <w:bookmarkEnd w:id="2"/>
    </w:p>
    <w:p w:rsidR="00B7014E" w:rsidRPr="003F0749" w:rsidRDefault="00DF5565" w:rsidP="00DF5565">
      <w:pPr>
        <w:spacing w:before="240"/>
        <w:jc w:val="center"/>
        <w:rPr>
          <w:u w:val="single"/>
        </w:rPr>
      </w:pPr>
      <w:r w:rsidRPr="003F0749">
        <w:rPr>
          <w:u w:val="single"/>
        </w:rPr>
        <w:tab/>
      </w:r>
      <w:r w:rsidRPr="003F0749">
        <w:rPr>
          <w:u w:val="single"/>
        </w:rPr>
        <w:tab/>
      </w:r>
      <w:r w:rsidRPr="003F0749">
        <w:rPr>
          <w:u w:val="single"/>
        </w:rPr>
        <w:tab/>
      </w:r>
    </w:p>
    <w:sectPr w:rsidR="00B7014E" w:rsidRPr="003F0749"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94" w:rsidRDefault="003C6B94">
      <w:r>
        <w:rPr>
          <w:lang w:val="en-US"/>
        </w:rPr>
        <w:tab/>
      </w:r>
      <w:r>
        <w:separator/>
      </w:r>
    </w:p>
  </w:endnote>
  <w:endnote w:type="continuationSeparator" w:id="0">
    <w:p w:rsidR="003C6B94" w:rsidRDefault="003C6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94" w:rsidRPr="009A6F4A" w:rsidRDefault="003C6B94">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GE.14-42645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94" w:rsidRPr="009A6F4A" w:rsidRDefault="003C6B94">
    <w:pPr>
      <w:pStyle w:val="Footer"/>
      <w:rPr>
        <w:lang w:val="en-US"/>
      </w:rPr>
    </w:pPr>
    <w:r>
      <w:rPr>
        <w:lang w:val="en-US"/>
      </w:rPr>
      <w:t>GE.14-42645</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3C6B94" w:rsidTr="00BB2D63">
      <w:trPr>
        <w:cnfStyle w:val="100000000000"/>
        <w:trHeight w:val="438"/>
      </w:trPr>
      <w:tc>
        <w:tcPr>
          <w:tcW w:w="4068" w:type="dxa"/>
          <w:vAlign w:val="bottom"/>
        </w:tcPr>
        <w:p w:rsidR="003C6B94" w:rsidRPr="00D24875" w:rsidRDefault="003C6B94" w:rsidP="00BB2D63">
          <w:pPr>
            <w:rPr>
              <w:sz w:val="20"/>
            </w:rPr>
          </w:pPr>
          <w:r>
            <w:rPr>
              <w:sz w:val="20"/>
              <w:lang w:val="en-US"/>
            </w:rPr>
            <w:t>GE.</w:t>
          </w:r>
          <w:r w:rsidRPr="00D24875">
            <w:rPr>
              <w:sz w:val="20"/>
              <w:lang w:val="en-US"/>
            </w:rPr>
            <w:t>1</w:t>
          </w:r>
          <w:r>
            <w:rPr>
              <w:sz w:val="20"/>
              <w:lang w:val="en-US"/>
            </w:rPr>
            <w:t>4</w:t>
          </w:r>
          <w:r w:rsidRPr="00D24875">
            <w:rPr>
              <w:sz w:val="20"/>
              <w:lang w:val="en-US"/>
            </w:rPr>
            <w:t>-</w:t>
          </w:r>
          <w:r>
            <w:rPr>
              <w:sz w:val="20"/>
              <w:lang w:val="en-US"/>
            </w:rPr>
            <w:t>42645</w:t>
          </w:r>
          <w:r w:rsidRPr="00D24875">
            <w:rPr>
              <w:sz w:val="20"/>
              <w:lang w:val="en-US"/>
            </w:rPr>
            <w:t xml:space="preserve">   (R)</w:t>
          </w:r>
          <w:r>
            <w:rPr>
              <w:sz w:val="20"/>
              <w:lang w:val="en-US"/>
            </w:rPr>
            <w:t xml:space="preserve">   190914   190914</w:t>
          </w:r>
        </w:p>
      </w:tc>
      <w:tc>
        <w:tcPr>
          <w:tcW w:w="4663" w:type="dxa"/>
          <w:vMerge w:val="restart"/>
          <w:vAlign w:val="bottom"/>
        </w:tcPr>
        <w:p w:rsidR="003C6B94" w:rsidRDefault="003C6B94" w:rsidP="00BB2D63">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3C6B94" w:rsidRDefault="003C6B94" w:rsidP="00BB2D63">
          <w:pPr>
            <w:jc w:val="right"/>
          </w:pPr>
          <w:r>
            <w:pict>
              <v:shape id="_x0000_i1027" type="#_x0000_t75" style="width:50.25pt;height:50.25pt">
                <v:imagedata r:id="rId2" o:title="4-6&amp;Size=2&amp;Lang=R"/>
              </v:shape>
            </w:pict>
          </w:r>
        </w:p>
      </w:tc>
    </w:tr>
    <w:tr w:rsidR="003C6B94" w:rsidRPr="00797A78" w:rsidTr="00BB2D63">
      <w:tc>
        <w:tcPr>
          <w:tcW w:w="4068" w:type="dxa"/>
          <w:vAlign w:val="bottom"/>
        </w:tcPr>
        <w:p w:rsidR="003C6B94" w:rsidRPr="009F61C5" w:rsidRDefault="003C6B94" w:rsidP="00BB2D63">
          <w:pPr>
            <w:rPr>
              <w:rFonts w:ascii="C39T30Lfz" w:hAnsi="C39T30Lfz"/>
              <w:spacing w:val="0"/>
              <w:w w:val="100"/>
              <w:kern w:val="0"/>
              <w:sz w:val="56"/>
              <w:szCs w:val="56"/>
              <w:lang w:val="en-US" w:eastAsia="ru-RU"/>
            </w:rPr>
          </w:pP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r w:rsidRPr="009F61C5">
            <w:rPr>
              <w:rFonts w:ascii="C39T30Lfz" w:hAnsi="C39T30Lfz"/>
              <w:spacing w:val="0"/>
              <w:w w:val="100"/>
              <w:kern w:val="0"/>
              <w:sz w:val="56"/>
              <w:szCs w:val="56"/>
              <w:lang w:val="en-US" w:eastAsia="ru-RU"/>
            </w:rPr>
            <w:t></w:t>
          </w:r>
        </w:p>
      </w:tc>
      <w:tc>
        <w:tcPr>
          <w:tcW w:w="4663" w:type="dxa"/>
          <w:vMerge/>
        </w:tcPr>
        <w:p w:rsidR="003C6B94" w:rsidRDefault="003C6B94" w:rsidP="00BB2D63"/>
      </w:tc>
      <w:tc>
        <w:tcPr>
          <w:tcW w:w="1124" w:type="dxa"/>
          <w:vMerge/>
        </w:tcPr>
        <w:p w:rsidR="003C6B94" w:rsidRDefault="003C6B94" w:rsidP="00BB2D63"/>
      </w:tc>
    </w:tr>
  </w:tbl>
  <w:p w:rsidR="003C6B94" w:rsidRDefault="003C6B94" w:rsidP="00D24875">
    <w:pPr>
      <w:spacing w:line="240" w:lineRule="auto"/>
      <w:rPr>
        <w:sz w:val="2"/>
        <w:szCs w:val="2"/>
        <w:lang w:val="en-US"/>
      </w:rPr>
    </w:pPr>
  </w:p>
  <w:p w:rsidR="003C6B94" w:rsidRDefault="003C6B94" w:rsidP="00B7014E">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94" w:rsidRPr="00F71F63" w:rsidRDefault="003C6B9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C6B94" w:rsidRPr="00F71F63" w:rsidRDefault="003C6B94" w:rsidP="00635E86">
      <w:pPr>
        <w:tabs>
          <w:tab w:val="right" w:pos="2155"/>
        </w:tabs>
        <w:spacing w:after="80" w:line="240" w:lineRule="auto"/>
        <w:rPr>
          <w:u w:val="single"/>
          <w:lang w:val="en-US"/>
        </w:rPr>
      </w:pPr>
      <w:r w:rsidRPr="00F71F63">
        <w:rPr>
          <w:u w:val="single"/>
          <w:lang w:val="en-US"/>
        </w:rPr>
        <w:tab/>
      </w:r>
    </w:p>
    <w:p w:rsidR="003C6B94" w:rsidRPr="00635E86" w:rsidRDefault="003C6B94" w:rsidP="00635E86">
      <w:pPr>
        <w:pStyle w:val="Footer"/>
      </w:pPr>
    </w:p>
  </w:footnote>
  <w:footnote w:id="1">
    <w:p w:rsidR="003C6B94" w:rsidRPr="00DF5565" w:rsidRDefault="003C6B94">
      <w:pPr>
        <w:pStyle w:val="FootnoteText"/>
        <w:rPr>
          <w:lang w:val="en-US"/>
        </w:rPr>
      </w:pPr>
      <w:r>
        <w:tab/>
      </w:r>
      <w:r w:rsidRPr="00DF5565">
        <w:rPr>
          <w:rStyle w:val="FootnoteReference"/>
          <w:vertAlign w:val="baseline"/>
        </w:rPr>
        <w:t>*</w:t>
      </w:r>
      <w:r w:rsidRPr="00DF5565">
        <w:t xml:space="preserve"> </w:t>
      </w:r>
      <w:r w:rsidRPr="00DF5565">
        <w:rPr>
          <w:szCs w:val="18"/>
          <w:lang w:val="ru-RU"/>
        </w:rPr>
        <w:tab/>
        <w:t>Настоящий документ выпускается без официального редактирования.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94" w:rsidRPr="009F61C5" w:rsidRDefault="003C6B94" w:rsidP="009F61C5">
    <w:pPr>
      <w:pStyle w:val="Header"/>
      <w:rPr>
        <w:lang w:val="en-US"/>
      </w:rPr>
    </w:pPr>
    <w:r w:rsidRPr="009F61C5">
      <w:rPr>
        <w:lang w:val="en-US"/>
      </w:rPr>
      <w:t>CERD/C/TUR/4-6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94" w:rsidRPr="009F61C5" w:rsidRDefault="003C6B94">
    <w:pPr>
      <w:pStyle w:val="Header"/>
      <w:rPr>
        <w:lang w:val="en-US"/>
      </w:rPr>
    </w:pPr>
    <w:r>
      <w:rPr>
        <w:lang w:val="en-US"/>
      </w:rPr>
      <w:tab/>
    </w:r>
    <w:r w:rsidRPr="009F61C5">
      <w:rPr>
        <w:lang w:val="en-US"/>
      </w:rPr>
      <w:t>CERD/C/TUR/4-6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bullet"/>
      <w:lvlText w:val="•"/>
      <w:lvlJc w:val="left"/>
      <w:pPr>
        <w:tabs>
          <w:tab w:val="num" w:pos="1701"/>
        </w:tabs>
        <w:ind w:left="1701" w:hanging="17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2"/>
    <w:multiLevelType w:val="multilevel"/>
    <w:tmpl w:val="00000002"/>
    <w:name w:val="WWNum2"/>
    <w:lvl w:ilvl="0">
      <w:start w:val="1"/>
      <w:numFmt w:val="bullet"/>
      <w:lvlText w:val="•"/>
      <w:lvlJc w:val="left"/>
      <w:pPr>
        <w:tabs>
          <w:tab w:val="num" w:pos="2268"/>
        </w:tabs>
        <w:ind w:left="2268" w:hanging="170"/>
      </w:pPr>
      <w:rPr>
        <w:rFonts w:ascii="Times New Roman" w:hAnsi="Times New Roman" w:cs="Times New Roman"/>
        <w:b w:val="0"/>
        <w:i w:val="0"/>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3"/>
    <w:multiLevelType w:val="multilevel"/>
    <w:tmpl w:val="00000003"/>
    <w:name w:val="WWNum35"/>
    <w:lvl w:ilvl="0">
      <w:start w:val="1"/>
      <w:numFmt w:val="lowerLetter"/>
      <w:lvlText w:val="(%1)"/>
      <w:lvlJc w:val="left"/>
      <w:pPr>
        <w:tabs>
          <w:tab w:val="num" w:pos="0"/>
        </w:tabs>
        <w:ind w:left="1854" w:hanging="360"/>
      </w:pPr>
      <w:rPr>
        <w:rFonts w:eastAsia="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3">
    <w:nsid w:val="00000004"/>
    <w:multiLevelType w:val="multilevel"/>
    <w:tmpl w:val="00000004"/>
    <w:name w:val="WWNum37"/>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4">
    <w:nsid w:val="00000005"/>
    <w:multiLevelType w:val="multilevel"/>
    <w:tmpl w:val="00000005"/>
    <w:lvl w:ilvl="0">
      <w:start w:val="1"/>
      <w:numFmt w:val="decimal"/>
      <w:lvlText w:val="%1."/>
      <w:lvlJc w:val="left"/>
      <w:pPr>
        <w:tabs>
          <w:tab w:val="num" w:pos="1854"/>
        </w:tabs>
        <w:ind w:left="1854" w:hanging="360"/>
      </w:pPr>
    </w:lvl>
    <w:lvl w:ilvl="1">
      <w:start w:val="1"/>
      <w:numFmt w:val="decimal"/>
      <w:lvlText w:val="%2."/>
      <w:lvlJc w:val="left"/>
      <w:pPr>
        <w:tabs>
          <w:tab w:val="num" w:pos="2214"/>
        </w:tabs>
        <w:ind w:left="221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2934"/>
        </w:tabs>
        <w:ind w:left="293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3654"/>
        </w:tabs>
        <w:ind w:left="3654" w:hanging="360"/>
      </w:pPr>
    </w:lvl>
    <w:lvl w:ilvl="6">
      <w:start w:val="1"/>
      <w:numFmt w:val="decimal"/>
      <w:lvlText w:val="%7."/>
      <w:lvlJc w:val="left"/>
      <w:pPr>
        <w:tabs>
          <w:tab w:val="num" w:pos="4014"/>
        </w:tabs>
        <w:ind w:left="4014" w:hanging="360"/>
      </w:pPr>
    </w:lvl>
    <w:lvl w:ilvl="7">
      <w:start w:val="1"/>
      <w:numFmt w:val="decimal"/>
      <w:lvlText w:val="%8."/>
      <w:lvlJc w:val="left"/>
      <w:pPr>
        <w:tabs>
          <w:tab w:val="num" w:pos="4374"/>
        </w:tabs>
        <w:ind w:left="4374" w:hanging="360"/>
      </w:pPr>
    </w:lvl>
    <w:lvl w:ilvl="8">
      <w:start w:val="1"/>
      <w:numFmt w:val="decimal"/>
      <w:lvlText w:val="%9."/>
      <w:lvlJc w:val="left"/>
      <w:pPr>
        <w:tabs>
          <w:tab w:val="num" w:pos="4734"/>
        </w:tabs>
        <w:ind w:left="4734" w:hanging="360"/>
      </w:pPr>
    </w:lvl>
  </w:abstractNum>
  <w:abstractNum w:abstractNumId="1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7"/>
  </w:num>
  <w:num w:numId="3">
    <w:abstractNumId w:val="19"/>
  </w:num>
  <w:num w:numId="4">
    <w:abstractNumId w:val="2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7"/>
  </w:num>
  <w:num w:numId="19">
    <w:abstractNumId w:val="17"/>
  </w:num>
  <w:num w:numId="20">
    <w:abstractNumId w:val="20"/>
  </w:num>
  <w:num w:numId="21">
    <w:abstractNumId w:val="17"/>
  </w:num>
  <w:num w:numId="22">
    <w:abstractNumId w:val="19"/>
  </w:num>
  <w:num w:numId="23">
    <w:abstractNumId w:val="19"/>
  </w:num>
  <w:num w:numId="24">
    <w:abstractNumId w:val="10"/>
  </w:num>
  <w:num w:numId="25">
    <w:abstractNumId w:val="11"/>
  </w:num>
  <w:num w:numId="26">
    <w:abstractNumId w:val="12"/>
  </w:num>
  <w:num w:numId="27">
    <w:abstractNumId w:val="13"/>
  </w:num>
  <w:num w:numId="28">
    <w:abstractNumId w:val="14"/>
  </w:num>
  <w:num w:numId="2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565"/>
    <w:rsid w:val="000033D8"/>
    <w:rsid w:val="00005C1C"/>
    <w:rsid w:val="00016553"/>
    <w:rsid w:val="000233B3"/>
    <w:rsid w:val="00023E9E"/>
    <w:rsid w:val="00026B0C"/>
    <w:rsid w:val="00034A16"/>
    <w:rsid w:val="0003638E"/>
    <w:rsid w:val="00036FF2"/>
    <w:rsid w:val="0004010A"/>
    <w:rsid w:val="00043D88"/>
    <w:rsid w:val="00046E4D"/>
    <w:rsid w:val="0006401A"/>
    <w:rsid w:val="00072C27"/>
    <w:rsid w:val="00086182"/>
    <w:rsid w:val="00090891"/>
    <w:rsid w:val="00092E62"/>
    <w:rsid w:val="000975EA"/>
    <w:rsid w:val="00097975"/>
    <w:rsid w:val="000A3DDF"/>
    <w:rsid w:val="000A60A0"/>
    <w:rsid w:val="000C3688"/>
    <w:rsid w:val="000D2CFF"/>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B43B0"/>
    <w:rsid w:val="002B6A52"/>
    <w:rsid w:val="002C5036"/>
    <w:rsid w:val="002C6A71"/>
    <w:rsid w:val="002C6D5F"/>
    <w:rsid w:val="002D15EA"/>
    <w:rsid w:val="002D6C07"/>
    <w:rsid w:val="002E0CE6"/>
    <w:rsid w:val="002E1163"/>
    <w:rsid w:val="002E43F3"/>
    <w:rsid w:val="003215F5"/>
    <w:rsid w:val="003251A9"/>
    <w:rsid w:val="00332891"/>
    <w:rsid w:val="00336175"/>
    <w:rsid w:val="00356BB2"/>
    <w:rsid w:val="00360477"/>
    <w:rsid w:val="00367FC9"/>
    <w:rsid w:val="003711A1"/>
    <w:rsid w:val="00372123"/>
    <w:rsid w:val="00386581"/>
    <w:rsid w:val="00387100"/>
    <w:rsid w:val="003951D3"/>
    <w:rsid w:val="003978C6"/>
    <w:rsid w:val="003B40A9"/>
    <w:rsid w:val="003B6D0B"/>
    <w:rsid w:val="003C016E"/>
    <w:rsid w:val="003C6B94"/>
    <w:rsid w:val="003D5EBD"/>
    <w:rsid w:val="003F0749"/>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B21D5"/>
    <w:rsid w:val="004B77A8"/>
    <w:rsid w:val="004C2A53"/>
    <w:rsid w:val="004C3B35"/>
    <w:rsid w:val="004C43EC"/>
    <w:rsid w:val="004E6729"/>
    <w:rsid w:val="004F0E47"/>
    <w:rsid w:val="0051339C"/>
    <w:rsid w:val="0051412F"/>
    <w:rsid w:val="00522B6F"/>
    <w:rsid w:val="0052430E"/>
    <w:rsid w:val="005276AD"/>
    <w:rsid w:val="0053360F"/>
    <w:rsid w:val="00540A9A"/>
    <w:rsid w:val="00543522"/>
    <w:rsid w:val="00545680"/>
    <w:rsid w:val="0056618E"/>
    <w:rsid w:val="00576F59"/>
    <w:rsid w:val="00577A34"/>
    <w:rsid w:val="00580AAD"/>
    <w:rsid w:val="00581786"/>
    <w:rsid w:val="005878EA"/>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11D7"/>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3B03"/>
    <w:rsid w:val="008D6211"/>
    <w:rsid w:val="008D6A7A"/>
    <w:rsid w:val="008E3E87"/>
    <w:rsid w:val="008E7F13"/>
    <w:rsid w:val="008F3185"/>
    <w:rsid w:val="00915B0A"/>
    <w:rsid w:val="00925557"/>
    <w:rsid w:val="00926904"/>
    <w:rsid w:val="009372F0"/>
    <w:rsid w:val="0094774C"/>
    <w:rsid w:val="00955022"/>
    <w:rsid w:val="00957B4D"/>
    <w:rsid w:val="00964EEA"/>
    <w:rsid w:val="00980C86"/>
    <w:rsid w:val="009868BC"/>
    <w:rsid w:val="009B1D9B"/>
    <w:rsid w:val="009B4074"/>
    <w:rsid w:val="009C30BB"/>
    <w:rsid w:val="009C60BE"/>
    <w:rsid w:val="009E6279"/>
    <w:rsid w:val="009F00A6"/>
    <w:rsid w:val="009F56A7"/>
    <w:rsid w:val="009F5B05"/>
    <w:rsid w:val="009F61C5"/>
    <w:rsid w:val="00A026CA"/>
    <w:rsid w:val="00A07232"/>
    <w:rsid w:val="00A14800"/>
    <w:rsid w:val="00A156DE"/>
    <w:rsid w:val="00A157ED"/>
    <w:rsid w:val="00A2446A"/>
    <w:rsid w:val="00A4025D"/>
    <w:rsid w:val="00A800D1"/>
    <w:rsid w:val="00A92699"/>
    <w:rsid w:val="00AB5BF0"/>
    <w:rsid w:val="00AC1C95"/>
    <w:rsid w:val="00AC2CCB"/>
    <w:rsid w:val="00AC443A"/>
    <w:rsid w:val="00AC5114"/>
    <w:rsid w:val="00AC745A"/>
    <w:rsid w:val="00AE60E2"/>
    <w:rsid w:val="00B0169F"/>
    <w:rsid w:val="00B05F21"/>
    <w:rsid w:val="00B14EA9"/>
    <w:rsid w:val="00B25A2D"/>
    <w:rsid w:val="00B30A3C"/>
    <w:rsid w:val="00B7014E"/>
    <w:rsid w:val="00B81305"/>
    <w:rsid w:val="00BB17DC"/>
    <w:rsid w:val="00BB1AF9"/>
    <w:rsid w:val="00BB2D63"/>
    <w:rsid w:val="00BB4C4A"/>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C32F5"/>
    <w:rsid w:val="00CD73C5"/>
    <w:rsid w:val="00CE3D6F"/>
    <w:rsid w:val="00CE79A5"/>
    <w:rsid w:val="00CF0042"/>
    <w:rsid w:val="00CF262F"/>
    <w:rsid w:val="00D025D5"/>
    <w:rsid w:val="00D24875"/>
    <w:rsid w:val="00D26B13"/>
    <w:rsid w:val="00D26CC1"/>
    <w:rsid w:val="00D30662"/>
    <w:rsid w:val="00D32A0B"/>
    <w:rsid w:val="00D6236B"/>
    <w:rsid w:val="00D809D1"/>
    <w:rsid w:val="00D84ECF"/>
    <w:rsid w:val="00DA2851"/>
    <w:rsid w:val="00DA2B7C"/>
    <w:rsid w:val="00DA5686"/>
    <w:rsid w:val="00DB2FC0"/>
    <w:rsid w:val="00DF18FA"/>
    <w:rsid w:val="00DF49CA"/>
    <w:rsid w:val="00DF5565"/>
    <w:rsid w:val="00DF775B"/>
    <w:rsid w:val="00E007F3"/>
    <w:rsid w:val="00E00DEA"/>
    <w:rsid w:val="00E06EF0"/>
    <w:rsid w:val="00E11679"/>
    <w:rsid w:val="00E154CA"/>
    <w:rsid w:val="00E2084F"/>
    <w:rsid w:val="00E307D1"/>
    <w:rsid w:val="00E46A04"/>
    <w:rsid w:val="00E54AEB"/>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D78A3"/>
    <w:rsid w:val="00FF18A2"/>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reference0">
    <w:name w:val="footnote reference"/>
    <w:rsid w:val="00DF5565"/>
    <w:rPr>
      <w:rFonts w:ascii="Times New Roman" w:hAnsi="Times New Roman"/>
      <w:sz w:val="18"/>
      <w:vertAlign w:val="superscript"/>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endnotereference0">
    <w:name w:val="endnote reference"/>
    <w:rsid w:val="00DF5565"/>
    <w:rPr>
      <w:rFonts w:ascii="Times New Roman" w:hAnsi="Times New Roman"/>
      <w:sz w:val="18"/>
      <w:vertAlign w:val="superscript"/>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pagenumber0">
    <w:name w:val="page number"/>
    <w:rsid w:val="00DF5565"/>
    <w:rPr>
      <w:rFonts w:ascii="Times New Roman" w:hAnsi="Times New Roman"/>
      <w:b/>
      <w:sz w:val="18"/>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a">
    <w:name w:val="Верхний колонтитул Знак"/>
    <w:rsid w:val="00DF5565"/>
    <w:rPr>
      <w:b/>
      <w:sz w:val="18"/>
      <w:lang w:eastAsia="en-US"/>
    </w:rPr>
  </w:style>
  <w:style w:type="character" w:customStyle="1" w:styleId="a0">
    <w:name w:val="Нижний колонтитул Знак"/>
    <w:rsid w:val="00DF5565"/>
    <w:rPr>
      <w:sz w:val="16"/>
      <w:lang w:eastAsia="en-US"/>
    </w:rPr>
  </w:style>
  <w:style w:type="character" w:customStyle="1" w:styleId="linenumber0">
    <w:name w:val="line number"/>
    <w:rsid w:val="00DF5565"/>
  </w:style>
  <w:style w:type="character" w:customStyle="1" w:styleId="1">
    <w:name w:val="Заголовок 1 Знак"/>
    <w:rsid w:val="00DF5565"/>
    <w:rPr>
      <w:lang w:eastAsia="en-US"/>
    </w:rPr>
  </w:style>
  <w:style w:type="character" w:customStyle="1" w:styleId="2">
    <w:name w:val="Заголовок 2 Знак"/>
    <w:rsid w:val="00DF5565"/>
    <w:rPr>
      <w:lang w:eastAsia="en-US"/>
    </w:rPr>
  </w:style>
  <w:style w:type="character" w:customStyle="1" w:styleId="FootnoteTextChar">
    <w:name w:val="Footnote Text Char"/>
    <w:rsid w:val="00DF5565"/>
    <w:rPr>
      <w:rFonts w:ascii="Times New Roman" w:eastAsia="Times New Roman" w:hAnsi="Times New Roman" w:cs="Times New Roman"/>
      <w:sz w:val="20"/>
      <w:szCs w:val="20"/>
      <w:lang w:val="en-GB"/>
    </w:rPr>
  </w:style>
  <w:style w:type="character" w:customStyle="1" w:styleId="HMGChar">
    <w:name w:val="_ H __M_G Char"/>
    <w:rsid w:val="00DF5565"/>
    <w:rPr>
      <w:b/>
      <w:sz w:val="34"/>
      <w:lang w:eastAsia="en-US"/>
    </w:rPr>
  </w:style>
  <w:style w:type="character" w:customStyle="1" w:styleId="a1">
    <w:name w:val="Текст сноски Знак"/>
    <w:rsid w:val="00DF5565"/>
    <w:rPr>
      <w:sz w:val="18"/>
      <w:lang w:eastAsia="en-US"/>
    </w:rPr>
  </w:style>
  <w:style w:type="character" w:customStyle="1" w:styleId="SingleTxtGChar">
    <w:name w:val="_ Single Txt_G Char"/>
    <w:rsid w:val="00DF5565"/>
    <w:rPr>
      <w:lang w:eastAsia="en-US"/>
    </w:rPr>
  </w:style>
  <w:style w:type="character" w:customStyle="1" w:styleId="apple-converted-space">
    <w:name w:val="apple-converted-space"/>
    <w:rsid w:val="00DF5565"/>
  </w:style>
  <w:style w:type="character" w:customStyle="1" w:styleId="a2">
    <w:name w:val="Текст выноски Знак"/>
    <w:rsid w:val="00DF5565"/>
    <w:rPr>
      <w:rFonts w:ascii="Tahoma" w:hAnsi="Tahoma" w:cs="Tahoma"/>
      <w:sz w:val="16"/>
      <w:szCs w:val="16"/>
      <w:lang w:eastAsia="en-US"/>
    </w:rPr>
  </w:style>
  <w:style w:type="character" w:customStyle="1" w:styleId="ListLabel1">
    <w:name w:val="ListLabel 1"/>
    <w:rsid w:val="00DF5565"/>
    <w:rPr>
      <w:rFonts w:cs="Times New Roman"/>
    </w:rPr>
  </w:style>
  <w:style w:type="character" w:customStyle="1" w:styleId="ListLabel2">
    <w:name w:val="ListLabel 2"/>
    <w:rsid w:val="00DF5565"/>
    <w:rPr>
      <w:rFonts w:cs="Courier New"/>
    </w:rPr>
  </w:style>
  <w:style w:type="character" w:customStyle="1" w:styleId="ListLabel3">
    <w:name w:val="ListLabel 3"/>
    <w:rsid w:val="00DF5565"/>
    <w:rPr>
      <w:rFonts w:cs="Times New Roman"/>
      <w:b w:val="0"/>
      <w:i w:val="0"/>
      <w:sz w:val="20"/>
    </w:rPr>
  </w:style>
  <w:style w:type="character" w:customStyle="1" w:styleId="ListLabel4">
    <w:name w:val="ListLabel 4"/>
    <w:rsid w:val="00DF5565"/>
    <w:rPr>
      <w:b w:val="0"/>
      <w:i w:val="0"/>
      <w:sz w:val="20"/>
    </w:rPr>
  </w:style>
  <w:style w:type="character" w:customStyle="1" w:styleId="ListLabel5">
    <w:name w:val="ListLabel 5"/>
    <w:rsid w:val="00DF5565"/>
    <w:rPr>
      <w:rFonts w:eastAsia="Calibri" w:cs="Times New Roman"/>
    </w:rPr>
  </w:style>
  <w:style w:type="character" w:customStyle="1" w:styleId="ListLabel6">
    <w:name w:val="ListLabel 6"/>
    <w:rsid w:val="00DF5565"/>
    <w:rPr>
      <w:b w:val="0"/>
      <w:sz w:val="24"/>
    </w:rPr>
  </w:style>
  <w:style w:type="character" w:customStyle="1" w:styleId="ListLabel7">
    <w:name w:val="ListLabel 7"/>
    <w:rsid w:val="00DF5565"/>
    <w:rPr>
      <w:rFonts w:eastAsia="Times New Roman"/>
    </w:rPr>
  </w:style>
  <w:style w:type="character" w:customStyle="1" w:styleId="EndnoteCharacters">
    <w:name w:val="Endnote Characters"/>
    <w:rsid w:val="00DF5565"/>
  </w:style>
  <w:style w:type="character" w:customStyle="1" w:styleId="FootnoteCharacters">
    <w:name w:val="Footnote Characters"/>
    <w:rsid w:val="00DF5565"/>
  </w:style>
  <w:style w:type="character" w:customStyle="1" w:styleId="NumberingSymbols">
    <w:name w:val="Numbering Symbols"/>
    <w:rsid w:val="00DF5565"/>
  </w:style>
  <w:style w:type="paragraph" w:customStyle="1" w:styleId="Heading">
    <w:name w:val="Heading"/>
    <w:basedOn w:val="Normal"/>
    <w:next w:val="BodyText"/>
    <w:rsid w:val="00DF5565"/>
    <w:pPr>
      <w:keepNext/>
      <w:suppressAutoHyphens/>
      <w:spacing w:before="240" w:after="120"/>
    </w:pPr>
    <w:rPr>
      <w:rFonts w:ascii="Liberation Sans" w:eastAsia="SimSun" w:hAnsi="Liberation Sans" w:cs="Mangal"/>
      <w:spacing w:val="0"/>
      <w:w w:val="100"/>
      <w:kern w:val="1"/>
      <w:sz w:val="28"/>
      <w:szCs w:val="28"/>
      <w:lang w:val="en-GB"/>
    </w:rPr>
  </w:style>
  <w:style w:type="paragraph" w:styleId="Caption">
    <w:name w:val="caption"/>
    <w:basedOn w:val="Normal"/>
    <w:qFormat/>
    <w:rsid w:val="00DF5565"/>
    <w:pPr>
      <w:suppressLineNumbers/>
      <w:suppressAutoHyphens/>
      <w:spacing w:before="120" w:after="120"/>
    </w:pPr>
    <w:rPr>
      <w:rFonts w:cs="Mangal"/>
      <w:i/>
      <w:iCs/>
      <w:spacing w:val="0"/>
      <w:w w:val="100"/>
      <w:kern w:val="1"/>
      <w:sz w:val="24"/>
      <w:szCs w:val="24"/>
      <w:lang w:val="en-GB"/>
    </w:rPr>
  </w:style>
  <w:style w:type="paragraph" w:customStyle="1" w:styleId="Index">
    <w:name w:val="Index"/>
    <w:basedOn w:val="Normal"/>
    <w:rsid w:val="00DF5565"/>
    <w:pPr>
      <w:suppressLineNumbers/>
      <w:suppressAutoHyphens/>
    </w:pPr>
    <w:rPr>
      <w:rFonts w:cs="Mangal"/>
      <w:spacing w:val="0"/>
      <w:w w:val="100"/>
      <w:kern w:val="1"/>
      <w:lang w:val="en-GB"/>
    </w:rPr>
  </w:style>
  <w:style w:type="paragraph" w:customStyle="1" w:styleId="SingleTxtG">
    <w:name w:val="_ Single Txt_G"/>
    <w:basedOn w:val="Normal"/>
    <w:rsid w:val="00DF5565"/>
    <w:pPr>
      <w:suppressAutoHyphens/>
      <w:spacing w:after="120"/>
      <w:ind w:left="1134" w:right="1134"/>
      <w:jc w:val="both"/>
    </w:pPr>
    <w:rPr>
      <w:spacing w:val="0"/>
      <w:w w:val="100"/>
      <w:kern w:val="1"/>
      <w:lang w:val="en-GB"/>
    </w:rPr>
  </w:style>
  <w:style w:type="paragraph" w:customStyle="1" w:styleId="HMG">
    <w:name w:val="_ H __M_G"/>
    <w:basedOn w:val="Normal"/>
    <w:rsid w:val="00DF5565"/>
    <w:pPr>
      <w:keepNext/>
      <w:keepLines/>
      <w:tabs>
        <w:tab w:val="right" w:pos="851"/>
      </w:tabs>
      <w:suppressAutoHyphens/>
      <w:spacing w:before="240" w:after="240" w:line="360" w:lineRule="exact"/>
      <w:ind w:left="1134" w:right="1134" w:hanging="1134"/>
    </w:pPr>
    <w:rPr>
      <w:b/>
      <w:spacing w:val="0"/>
      <w:w w:val="100"/>
      <w:kern w:val="1"/>
      <w:sz w:val="34"/>
      <w:lang w:val="en-GB"/>
    </w:rPr>
  </w:style>
  <w:style w:type="paragraph" w:customStyle="1" w:styleId="HChG">
    <w:name w:val="_ H _Ch_G"/>
    <w:basedOn w:val="Normal"/>
    <w:rsid w:val="00DF5565"/>
    <w:pPr>
      <w:keepNext/>
      <w:keepLines/>
      <w:tabs>
        <w:tab w:val="right" w:pos="851"/>
      </w:tabs>
      <w:suppressAutoHyphens/>
      <w:spacing w:before="360" w:after="240" w:line="300" w:lineRule="exact"/>
      <w:ind w:left="1134" w:right="1134" w:hanging="1134"/>
    </w:pPr>
    <w:rPr>
      <w:b/>
      <w:spacing w:val="0"/>
      <w:w w:val="100"/>
      <w:kern w:val="1"/>
      <w:sz w:val="28"/>
      <w:lang w:val="en-GB"/>
    </w:rPr>
  </w:style>
  <w:style w:type="paragraph" w:customStyle="1" w:styleId="SMG">
    <w:name w:val="__S_M_G"/>
    <w:basedOn w:val="Normal"/>
    <w:rsid w:val="00DF5565"/>
    <w:pPr>
      <w:keepNext/>
      <w:keepLines/>
      <w:suppressAutoHyphens/>
      <w:spacing w:before="240" w:after="240" w:line="420" w:lineRule="exact"/>
      <w:ind w:left="1134" w:right="1134"/>
    </w:pPr>
    <w:rPr>
      <w:b/>
      <w:spacing w:val="0"/>
      <w:w w:val="100"/>
      <w:kern w:val="1"/>
      <w:sz w:val="40"/>
      <w:lang w:val="en-GB"/>
    </w:rPr>
  </w:style>
  <w:style w:type="paragraph" w:customStyle="1" w:styleId="SLG">
    <w:name w:val="__S_L_G"/>
    <w:basedOn w:val="Normal"/>
    <w:rsid w:val="00DF5565"/>
    <w:pPr>
      <w:keepNext/>
      <w:keepLines/>
      <w:suppressAutoHyphens/>
      <w:spacing w:before="240" w:after="240" w:line="580" w:lineRule="exact"/>
      <w:ind w:left="1134" w:right="1134"/>
    </w:pPr>
    <w:rPr>
      <w:b/>
      <w:spacing w:val="0"/>
      <w:w w:val="100"/>
      <w:kern w:val="1"/>
      <w:sz w:val="56"/>
      <w:lang w:val="en-GB"/>
    </w:rPr>
  </w:style>
  <w:style w:type="paragraph" w:customStyle="1" w:styleId="SSG">
    <w:name w:val="__S_S_G"/>
    <w:basedOn w:val="Normal"/>
    <w:rsid w:val="00DF5565"/>
    <w:pPr>
      <w:keepNext/>
      <w:keepLines/>
      <w:suppressAutoHyphens/>
      <w:spacing w:before="240" w:after="240" w:line="300" w:lineRule="exact"/>
      <w:ind w:left="1134" w:right="1134"/>
    </w:pPr>
    <w:rPr>
      <w:b/>
      <w:spacing w:val="0"/>
      <w:w w:val="100"/>
      <w:kern w:val="1"/>
      <w:sz w:val="28"/>
      <w:lang w:val="en-GB"/>
    </w:rPr>
  </w:style>
  <w:style w:type="paragraph" w:customStyle="1" w:styleId="footnotetext0">
    <w:name w:val="footnote text"/>
    <w:basedOn w:val="Normal"/>
    <w:rsid w:val="00DF5565"/>
    <w:pPr>
      <w:tabs>
        <w:tab w:val="right" w:pos="1021"/>
      </w:tabs>
      <w:suppressAutoHyphens/>
      <w:spacing w:line="220" w:lineRule="exact"/>
      <w:ind w:left="1134" w:right="1134" w:hanging="1134"/>
    </w:pPr>
    <w:rPr>
      <w:spacing w:val="0"/>
      <w:w w:val="100"/>
      <w:kern w:val="1"/>
      <w:sz w:val="18"/>
      <w:lang w:val="en-GB"/>
    </w:rPr>
  </w:style>
  <w:style w:type="paragraph" w:customStyle="1" w:styleId="endnotetext0">
    <w:name w:val="endnote text"/>
    <w:basedOn w:val="footnotetext0"/>
    <w:rsid w:val="00DF5565"/>
  </w:style>
  <w:style w:type="paragraph" w:customStyle="1" w:styleId="XLargeG">
    <w:name w:val="__XLarge_G"/>
    <w:basedOn w:val="Normal"/>
    <w:rsid w:val="00DF5565"/>
    <w:pPr>
      <w:keepNext/>
      <w:keepLines/>
      <w:suppressAutoHyphens/>
      <w:spacing w:before="240" w:after="240" w:line="420" w:lineRule="exact"/>
      <w:ind w:left="1134" w:right="1134"/>
    </w:pPr>
    <w:rPr>
      <w:b/>
      <w:spacing w:val="0"/>
      <w:w w:val="100"/>
      <w:kern w:val="1"/>
      <w:sz w:val="40"/>
      <w:lang w:val="en-GB"/>
    </w:rPr>
  </w:style>
  <w:style w:type="paragraph" w:customStyle="1" w:styleId="Bullet1G">
    <w:name w:val="_Bullet 1_G"/>
    <w:basedOn w:val="Normal"/>
    <w:rsid w:val="00DF5565"/>
    <w:pPr>
      <w:numPr>
        <w:numId w:val="1"/>
      </w:numPr>
      <w:suppressAutoHyphens/>
      <w:spacing w:after="120"/>
      <w:ind w:left="0" w:right="1134" w:firstLine="0"/>
      <w:jc w:val="both"/>
    </w:pPr>
    <w:rPr>
      <w:spacing w:val="0"/>
      <w:w w:val="100"/>
      <w:kern w:val="1"/>
      <w:lang w:val="en-GB"/>
    </w:rPr>
  </w:style>
  <w:style w:type="paragraph" w:customStyle="1" w:styleId="Bullet2G">
    <w:name w:val="_Bullet 2_G"/>
    <w:basedOn w:val="Normal"/>
    <w:rsid w:val="00DF5565"/>
    <w:pPr>
      <w:numPr>
        <w:numId w:val="2"/>
      </w:numPr>
      <w:suppressAutoHyphens/>
      <w:spacing w:after="120"/>
      <w:ind w:left="0" w:right="1134" w:firstLine="0"/>
      <w:jc w:val="both"/>
    </w:pPr>
    <w:rPr>
      <w:spacing w:val="0"/>
      <w:w w:val="100"/>
      <w:kern w:val="1"/>
      <w:lang w:val="en-GB"/>
    </w:rPr>
  </w:style>
  <w:style w:type="paragraph" w:customStyle="1" w:styleId="H1G">
    <w:name w:val="_ H_1_G"/>
    <w:basedOn w:val="Normal"/>
    <w:rsid w:val="00DF5565"/>
    <w:pPr>
      <w:keepNext/>
      <w:keepLines/>
      <w:tabs>
        <w:tab w:val="right" w:pos="851"/>
      </w:tabs>
      <w:suppressAutoHyphens/>
      <w:spacing w:before="360" w:after="240" w:line="270" w:lineRule="exact"/>
      <w:ind w:left="1134" w:right="1134" w:hanging="1134"/>
    </w:pPr>
    <w:rPr>
      <w:b/>
      <w:spacing w:val="0"/>
      <w:w w:val="100"/>
      <w:kern w:val="1"/>
      <w:sz w:val="24"/>
      <w:lang w:val="en-GB"/>
    </w:rPr>
  </w:style>
  <w:style w:type="paragraph" w:customStyle="1" w:styleId="H23G">
    <w:name w:val="_ H_2/3_G"/>
    <w:basedOn w:val="Normal"/>
    <w:rsid w:val="00DF5565"/>
    <w:pPr>
      <w:keepNext/>
      <w:keepLines/>
      <w:tabs>
        <w:tab w:val="right" w:pos="851"/>
      </w:tabs>
      <w:suppressAutoHyphens/>
      <w:spacing w:before="240" w:after="120" w:line="240" w:lineRule="exact"/>
      <w:ind w:left="1134" w:right="1134" w:hanging="1134"/>
    </w:pPr>
    <w:rPr>
      <w:b/>
      <w:spacing w:val="0"/>
      <w:w w:val="100"/>
      <w:kern w:val="1"/>
      <w:lang w:val="en-GB"/>
    </w:rPr>
  </w:style>
  <w:style w:type="paragraph" w:customStyle="1" w:styleId="H4G">
    <w:name w:val="_ H_4_G"/>
    <w:basedOn w:val="Normal"/>
    <w:rsid w:val="00DF5565"/>
    <w:pPr>
      <w:keepNext/>
      <w:keepLines/>
      <w:tabs>
        <w:tab w:val="right" w:pos="851"/>
      </w:tabs>
      <w:suppressAutoHyphens/>
      <w:spacing w:before="240" w:after="120" w:line="240" w:lineRule="exact"/>
      <w:ind w:left="1134" w:right="1134" w:hanging="1134"/>
    </w:pPr>
    <w:rPr>
      <w:i/>
      <w:spacing w:val="0"/>
      <w:w w:val="100"/>
      <w:kern w:val="1"/>
      <w:lang w:val="en-GB"/>
    </w:rPr>
  </w:style>
  <w:style w:type="paragraph" w:customStyle="1" w:styleId="H56G">
    <w:name w:val="_ H_5/6_G"/>
    <w:basedOn w:val="Normal"/>
    <w:rsid w:val="00DF5565"/>
    <w:pPr>
      <w:keepNext/>
      <w:keepLines/>
      <w:tabs>
        <w:tab w:val="right" w:pos="851"/>
      </w:tabs>
      <w:suppressAutoHyphens/>
      <w:spacing w:before="240" w:after="120" w:line="240" w:lineRule="exact"/>
      <w:ind w:left="1134" w:right="1134" w:hanging="1134"/>
    </w:pPr>
    <w:rPr>
      <w:spacing w:val="0"/>
      <w:w w:val="100"/>
      <w:kern w:val="1"/>
      <w:lang w:val="en-GB"/>
    </w:rPr>
  </w:style>
  <w:style w:type="paragraph" w:customStyle="1" w:styleId="Default">
    <w:name w:val="Default"/>
    <w:rsid w:val="00DF5565"/>
    <w:pPr>
      <w:suppressAutoHyphens/>
    </w:pPr>
    <w:rPr>
      <w:rFonts w:eastAsia="Calibri"/>
      <w:color w:val="000000"/>
      <w:kern w:val="1"/>
      <w:sz w:val="24"/>
      <w:szCs w:val="24"/>
      <w:lang w:val="tr-TR"/>
    </w:rPr>
  </w:style>
  <w:style w:type="paragraph" w:customStyle="1" w:styleId="10">
    <w:name w:val="Абзац списка1"/>
    <w:basedOn w:val="Normal"/>
    <w:rsid w:val="00DF5565"/>
    <w:pPr>
      <w:spacing w:after="200" w:line="276" w:lineRule="auto"/>
      <w:ind w:left="720"/>
      <w:contextualSpacing/>
    </w:pPr>
    <w:rPr>
      <w:rFonts w:ascii="Calibri" w:eastAsia="Calibri" w:hAnsi="Calibri"/>
      <w:spacing w:val="0"/>
      <w:w w:val="100"/>
      <w:kern w:val="1"/>
      <w:sz w:val="22"/>
      <w:szCs w:val="22"/>
      <w:lang w:val="en-US"/>
    </w:rPr>
  </w:style>
  <w:style w:type="paragraph" w:customStyle="1" w:styleId="Normal0">
    <w:name w:val="[Normal]"/>
    <w:rsid w:val="00DF5565"/>
    <w:pPr>
      <w:suppressAutoHyphens/>
    </w:pPr>
    <w:rPr>
      <w:rFonts w:ascii="Arial" w:hAnsi="Arial" w:cs="Arial"/>
      <w:kern w:val="1"/>
      <w:sz w:val="24"/>
      <w:szCs w:val="24"/>
      <w:lang w:val="tr-TR" w:eastAsia="tr-TR"/>
    </w:rPr>
  </w:style>
  <w:style w:type="paragraph" w:styleId="BalloonText">
    <w:name w:val="Balloon Text"/>
    <w:basedOn w:val="Normal"/>
    <w:rsid w:val="00DF5565"/>
    <w:pPr>
      <w:spacing w:line="240" w:lineRule="auto"/>
    </w:pPr>
    <w:rPr>
      <w:rFonts w:ascii="Tahoma" w:hAnsi="Tahoma"/>
      <w:spacing w:val="0"/>
      <w:w w:val="100"/>
      <w:kern w:val="1"/>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45</Pages>
  <Words>16360</Words>
  <Characters>109287</Characters>
  <Application>Microsoft Office Outlook</Application>
  <DocSecurity>4</DocSecurity>
  <Lines>2375</Lines>
  <Paragraphs>848</Paragraphs>
  <ScaleCrop>false</ScaleCrop>
  <HeadingPairs>
    <vt:vector size="2" baseType="variant">
      <vt:variant>
        <vt:lpstr>Название</vt:lpstr>
      </vt:variant>
      <vt:variant>
        <vt:i4>1</vt:i4>
      </vt:variant>
    </vt:vector>
  </HeadingPairs>
  <TitlesOfParts>
    <vt:vector size="1" baseType="lpstr">
      <vt:lpstr>1442645</vt:lpstr>
    </vt:vector>
  </TitlesOfParts>
  <Manager>contr.</Manager>
  <Company>CSD</Company>
  <LinksUpToDate>false</LinksUpToDate>
  <CharactersWithSpaces>124799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1442645</dc:title>
  <dc:subject>CERD/C/TUR/4-6</dc:subject>
  <dc:creator>Larisa Maykovskaya</dc:creator>
  <cp:keywords/>
  <dc:description/>
  <cp:lastModifiedBy>Larisa Maykovskaya</cp:lastModifiedBy>
  <cp:revision>2</cp:revision>
  <cp:lastPrinted>2014-09-19T14:18:00Z</cp:lastPrinted>
  <dcterms:created xsi:type="dcterms:W3CDTF">2014-09-19T14:24:00Z</dcterms:created>
  <dcterms:modified xsi:type="dcterms:W3CDTF">2014-09-19T14:24:00Z</dcterms:modified>
</cp:coreProperties>
</file>