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DA7116" w:rsidRDefault="00307688" w:rsidP="00C01462">
            <w:pPr>
              <w:pStyle w:val="SingleTxtG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A96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2E51B7" w:rsidRDefault="00A447F9" w:rsidP="00A447F9">
            <w:pPr>
              <w:suppressAutoHyphens w:val="0"/>
              <w:spacing w:after="20"/>
              <w:jc w:val="right"/>
            </w:pPr>
            <w:r w:rsidRPr="00A447F9">
              <w:rPr>
                <w:sz w:val="40"/>
              </w:rPr>
              <w:t>CERD</w:t>
            </w:r>
            <w:r>
              <w:t>/C/MUS/Q/20-23</w:t>
            </w:r>
          </w:p>
        </w:tc>
      </w:tr>
      <w:tr w:rsidR="00307688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710E8E" w:rsidRDefault="00307688" w:rsidP="00710E8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Convention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the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Elimination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</w:t>
            </w:r>
            <w:r w:rsidRPr="000B4EF7">
              <w:rPr>
                <w:b/>
                <w:sz w:val="34"/>
                <w:szCs w:val="40"/>
              </w:rPr>
              <w:t>ll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Racial</w:t>
            </w:r>
            <w:r w:rsidR="00A9638F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Discrimination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A447F9" w:rsidP="00A447F9">
            <w:pPr>
              <w:spacing w:before="240"/>
            </w:pPr>
            <w:r>
              <w:t>Distr.:</w:t>
            </w:r>
            <w:r w:rsidR="00A9638F">
              <w:t xml:space="preserve"> </w:t>
            </w:r>
            <w:r>
              <w:t>General</w:t>
            </w:r>
          </w:p>
          <w:p w:rsidR="00A447F9" w:rsidRDefault="00D93B97" w:rsidP="00A447F9">
            <w:pPr>
              <w:suppressAutoHyphens w:val="0"/>
            </w:pPr>
            <w:r>
              <w:t>8</w:t>
            </w:r>
            <w:r w:rsidR="00A9638F">
              <w:t xml:space="preserve"> </w:t>
            </w:r>
            <w:r w:rsidR="00A447F9">
              <w:t>June</w:t>
            </w:r>
            <w:r w:rsidR="00A9638F">
              <w:t xml:space="preserve"> </w:t>
            </w:r>
            <w:r w:rsidR="00A447F9">
              <w:t>2018</w:t>
            </w:r>
          </w:p>
          <w:p w:rsidR="001C3950" w:rsidRDefault="001C3950" w:rsidP="00A447F9">
            <w:pPr>
              <w:suppressAutoHyphens w:val="0"/>
            </w:pPr>
          </w:p>
          <w:p w:rsidR="00A447F9" w:rsidRDefault="00A447F9" w:rsidP="00A447F9">
            <w:pPr>
              <w:suppressAutoHyphens w:val="0"/>
            </w:pPr>
            <w:r>
              <w:t>Original:</w:t>
            </w:r>
            <w:r w:rsidR="00A9638F">
              <w:t xml:space="preserve"> </w:t>
            </w:r>
            <w:r>
              <w:t>English</w:t>
            </w:r>
          </w:p>
          <w:p w:rsidR="001C3950" w:rsidRDefault="001C3950" w:rsidP="00A447F9">
            <w:pPr>
              <w:suppressAutoHyphens w:val="0"/>
            </w:pPr>
            <w:r>
              <w:t>English,</w:t>
            </w:r>
            <w:r w:rsidR="00A9638F">
              <w:t xml:space="preserve"> </w:t>
            </w:r>
            <w:r>
              <w:t>French</w:t>
            </w:r>
            <w:r w:rsidR="00A9638F">
              <w:t xml:space="preserve"> </w:t>
            </w:r>
            <w:r>
              <w:t>and</w:t>
            </w:r>
            <w:r w:rsidR="00A9638F">
              <w:t xml:space="preserve"> </w:t>
            </w:r>
            <w:r>
              <w:t>Spanish</w:t>
            </w:r>
            <w:r w:rsidR="00A9638F">
              <w:t xml:space="preserve"> </w:t>
            </w:r>
            <w:r>
              <w:t>only</w:t>
            </w:r>
          </w:p>
        </w:tc>
      </w:tr>
    </w:tbl>
    <w:p w:rsidR="001C3950" w:rsidRPr="001C3950" w:rsidRDefault="001C3950" w:rsidP="001C3950">
      <w:pPr>
        <w:spacing w:before="120"/>
        <w:rPr>
          <w:b/>
          <w:bCs/>
          <w:sz w:val="24"/>
          <w:szCs w:val="24"/>
        </w:rPr>
      </w:pPr>
      <w:r w:rsidRPr="001C3950">
        <w:rPr>
          <w:b/>
          <w:bCs/>
          <w:sz w:val="24"/>
          <w:szCs w:val="24"/>
        </w:rPr>
        <w:t>Committee</w:t>
      </w:r>
      <w:r w:rsidR="00A9638F">
        <w:rPr>
          <w:b/>
          <w:bCs/>
          <w:sz w:val="24"/>
          <w:szCs w:val="24"/>
        </w:rPr>
        <w:t xml:space="preserve"> </w:t>
      </w:r>
      <w:r w:rsidRPr="001C3950">
        <w:rPr>
          <w:b/>
          <w:bCs/>
          <w:sz w:val="24"/>
          <w:szCs w:val="24"/>
        </w:rPr>
        <w:t>on</w:t>
      </w:r>
      <w:r w:rsidR="00A9638F">
        <w:rPr>
          <w:b/>
          <w:bCs/>
          <w:sz w:val="24"/>
          <w:szCs w:val="24"/>
        </w:rPr>
        <w:t xml:space="preserve"> </w:t>
      </w:r>
      <w:r w:rsidRPr="001C3950">
        <w:rPr>
          <w:b/>
          <w:bCs/>
          <w:sz w:val="24"/>
          <w:szCs w:val="24"/>
        </w:rPr>
        <w:t>the</w:t>
      </w:r>
      <w:r w:rsidR="00A9638F">
        <w:rPr>
          <w:b/>
          <w:bCs/>
          <w:sz w:val="24"/>
          <w:szCs w:val="24"/>
        </w:rPr>
        <w:t xml:space="preserve"> </w:t>
      </w:r>
      <w:r w:rsidRPr="001C3950">
        <w:rPr>
          <w:b/>
          <w:bCs/>
          <w:sz w:val="24"/>
          <w:szCs w:val="24"/>
        </w:rPr>
        <w:t>Elimination</w:t>
      </w:r>
      <w:r w:rsidR="00A9638F">
        <w:rPr>
          <w:b/>
          <w:bCs/>
          <w:sz w:val="24"/>
          <w:szCs w:val="24"/>
        </w:rPr>
        <w:t xml:space="preserve"> </w:t>
      </w:r>
      <w:r w:rsidRPr="001C3950">
        <w:rPr>
          <w:b/>
          <w:bCs/>
          <w:sz w:val="24"/>
          <w:szCs w:val="24"/>
        </w:rPr>
        <w:t>of</w:t>
      </w:r>
      <w:r w:rsidR="00A9638F">
        <w:rPr>
          <w:b/>
          <w:bCs/>
          <w:sz w:val="24"/>
          <w:szCs w:val="24"/>
        </w:rPr>
        <w:t xml:space="preserve"> </w:t>
      </w:r>
      <w:r w:rsidRPr="001C3950">
        <w:rPr>
          <w:b/>
          <w:bCs/>
          <w:sz w:val="24"/>
          <w:szCs w:val="24"/>
        </w:rPr>
        <w:t>Racial</w:t>
      </w:r>
      <w:r w:rsidR="00A9638F">
        <w:rPr>
          <w:b/>
          <w:bCs/>
          <w:sz w:val="24"/>
          <w:szCs w:val="24"/>
        </w:rPr>
        <w:t xml:space="preserve"> </w:t>
      </w:r>
      <w:r w:rsidRPr="001C3950">
        <w:rPr>
          <w:b/>
          <w:bCs/>
          <w:sz w:val="24"/>
          <w:szCs w:val="24"/>
        </w:rPr>
        <w:t>Discrimination</w:t>
      </w:r>
    </w:p>
    <w:p w:rsidR="001C3950" w:rsidRPr="001C3950" w:rsidRDefault="001C3950" w:rsidP="001C3950">
      <w:pPr>
        <w:rPr>
          <w:b/>
          <w:bCs/>
        </w:rPr>
      </w:pPr>
      <w:r w:rsidRPr="001C3950">
        <w:rPr>
          <w:b/>
          <w:bCs/>
        </w:rPr>
        <w:t>Ninety-sixth</w:t>
      </w:r>
      <w:r w:rsidR="00A9638F">
        <w:rPr>
          <w:b/>
          <w:bCs/>
        </w:rPr>
        <w:t xml:space="preserve"> </w:t>
      </w:r>
      <w:r w:rsidRPr="001C3950">
        <w:rPr>
          <w:b/>
          <w:bCs/>
        </w:rPr>
        <w:t>session</w:t>
      </w:r>
    </w:p>
    <w:p w:rsidR="001C3950" w:rsidRPr="005C2C43" w:rsidRDefault="001C3950" w:rsidP="001C3950">
      <w:r w:rsidRPr="005C2C43">
        <w:t>6–30</w:t>
      </w:r>
      <w:r w:rsidR="00A9638F">
        <w:t xml:space="preserve"> </w:t>
      </w:r>
      <w:r w:rsidRPr="005C2C43">
        <w:t>August</w:t>
      </w:r>
      <w:r w:rsidR="00A9638F">
        <w:t xml:space="preserve"> </w:t>
      </w:r>
      <w:r w:rsidRPr="005C2C43">
        <w:t>2018</w:t>
      </w:r>
    </w:p>
    <w:p w:rsidR="001C3950" w:rsidRPr="005C2C43" w:rsidRDefault="001C3950" w:rsidP="001C3950">
      <w:r w:rsidRPr="005C2C43">
        <w:t>Item</w:t>
      </w:r>
      <w:r w:rsidR="00A9638F">
        <w:t xml:space="preserve"> </w:t>
      </w:r>
      <w:proofErr w:type="gramStart"/>
      <w:r w:rsidRPr="005C2C43">
        <w:t>4</w:t>
      </w:r>
      <w:proofErr w:type="gramEnd"/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provisional</w:t>
      </w:r>
      <w:r w:rsidR="00A9638F">
        <w:t xml:space="preserve"> </w:t>
      </w:r>
      <w:r w:rsidRPr="005C2C43">
        <w:t>agenda</w:t>
      </w:r>
    </w:p>
    <w:p w:rsidR="001C3950" w:rsidRPr="00A9638F" w:rsidRDefault="001C3950" w:rsidP="001C3950">
      <w:pPr>
        <w:rPr>
          <w:b/>
          <w:bCs/>
        </w:rPr>
      </w:pPr>
      <w:r w:rsidRPr="00A9638F">
        <w:rPr>
          <w:b/>
          <w:bCs/>
        </w:rPr>
        <w:t>Consideration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of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reports,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comments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and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information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submitted</w:t>
      </w:r>
      <w:r w:rsidRPr="00A9638F">
        <w:rPr>
          <w:b/>
          <w:bCs/>
        </w:rPr>
        <w:br/>
        <w:t>by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States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parties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under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article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9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of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the</w:t>
      </w:r>
      <w:r w:rsidR="00A9638F">
        <w:rPr>
          <w:b/>
          <w:bCs/>
        </w:rPr>
        <w:t xml:space="preserve"> </w:t>
      </w:r>
      <w:r w:rsidRPr="00A9638F">
        <w:rPr>
          <w:b/>
          <w:bCs/>
        </w:rPr>
        <w:t>Convention</w:t>
      </w:r>
    </w:p>
    <w:p w:rsidR="001C3950" w:rsidRPr="005C2C43" w:rsidRDefault="001C3950" w:rsidP="00A9638F">
      <w:pPr>
        <w:pStyle w:val="HChG"/>
      </w:pPr>
      <w:r w:rsidRPr="005C2C43">
        <w:tab/>
      </w:r>
      <w:r w:rsidRPr="005C2C43">
        <w:tab/>
        <w:t>List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themes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relation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combined</w:t>
      </w:r>
      <w:r w:rsidR="00A9638F">
        <w:t xml:space="preserve"> </w:t>
      </w:r>
      <w:r w:rsidRPr="005C2C43">
        <w:t>twentieth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twenty-third</w:t>
      </w:r>
      <w:r w:rsidR="00A9638F">
        <w:t xml:space="preserve"> </w:t>
      </w:r>
      <w:r w:rsidRPr="005C2C43">
        <w:t>periodic</w:t>
      </w:r>
      <w:r w:rsidR="00A9638F">
        <w:t xml:space="preserve"> </w:t>
      </w:r>
      <w:r w:rsidRPr="005C2C43">
        <w:t>reports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Mauritius</w:t>
      </w:r>
    </w:p>
    <w:p w:rsidR="001C3950" w:rsidRPr="005C2C43" w:rsidRDefault="001C3950" w:rsidP="00A9638F">
      <w:pPr>
        <w:pStyle w:val="H1G"/>
      </w:pPr>
      <w:r w:rsidRPr="005C2C43">
        <w:tab/>
      </w:r>
      <w:r w:rsidRPr="005C2C43">
        <w:tab/>
        <w:t>Note</w:t>
      </w:r>
      <w:r w:rsidR="00A9638F">
        <w:t xml:space="preserve"> </w:t>
      </w:r>
      <w:r w:rsidRPr="005C2C43">
        <w:t>by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Country</w:t>
      </w:r>
      <w:r w:rsidR="00A9638F">
        <w:t xml:space="preserve"> </w:t>
      </w:r>
      <w:r w:rsidRPr="005C2C43">
        <w:t>Rapporteur</w:t>
      </w:r>
    </w:p>
    <w:p w:rsidR="001C3950" w:rsidRPr="005C2C43" w:rsidRDefault="001C3950" w:rsidP="00A9638F">
      <w:pPr>
        <w:pStyle w:val="SingleTxtG"/>
      </w:pPr>
      <w:proofErr w:type="gramStart"/>
      <w:r w:rsidRPr="005C2C43">
        <w:t>1.</w:t>
      </w:r>
      <w:r w:rsidRPr="005C2C43">
        <w:tab/>
        <w:t>The</w:t>
      </w:r>
      <w:r w:rsidR="00A9638F">
        <w:t xml:space="preserve"> </w:t>
      </w:r>
      <w:r w:rsidRPr="005C2C43">
        <w:t>Committee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Elimination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Racial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decided</w:t>
      </w:r>
      <w:r w:rsidR="00A9638F">
        <w:t xml:space="preserve"> </w:t>
      </w:r>
      <w:r w:rsidRPr="005C2C43">
        <w:t>at</w:t>
      </w:r>
      <w:r w:rsidR="00A9638F">
        <w:t xml:space="preserve"> </w:t>
      </w:r>
      <w:r w:rsidRPr="005C2C43">
        <w:t>its</w:t>
      </w:r>
      <w:r w:rsidR="00A9638F">
        <w:t xml:space="preserve"> </w:t>
      </w:r>
      <w:r w:rsidRPr="005C2C43">
        <w:t>seventy-sixth</w:t>
      </w:r>
      <w:r w:rsidR="00A9638F">
        <w:t xml:space="preserve"> </w:t>
      </w:r>
      <w:r w:rsidRPr="005C2C43">
        <w:t>session</w:t>
      </w:r>
      <w:r w:rsidR="00A9638F">
        <w:t xml:space="preserve"> </w:t>
      </w:r>
      <w:r w:rsidRPr="005C2C43">
        <w:t>(see</w:t>
      </w:r>
      <w:r w:rsidR="00A9638F">
        <w:t xml:space="preserve"> </w:t>
      </w:r>
      <w:r w:rsidRPr="005C2C43">
        <w:t>A/65/18,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85)</w:t>
      </w:r>
      <w:r w:rsidR="00A9638F">
        <w:t xml:space="preserve"> </w:t>
      </w:r>
      <w:r w:rsidRPr="005C2C43">
        <w:t>that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Country</w:t>
      </w:r>
      <w:r w:rsidR="00A9638F">
        <w:t xml:space="preserve"> </w:t>
      </w:r>
      <w:r w:rsidRPr="005C2C43">
        <w:t>Rapporteur</w:t>
      </w:r>
      <w:r w:rsidR="00A9638F">
        <w:t xml:space="preserve"> </w:t>
      </w:r>
      <w:r w:rsidRPr="005C2C43">
        <w:t>would</w:t>
      </w:r>
      <w:r w:rsidR="00A9638F">
        <w:t xml:space="preserve"> </w:t>
      </w:r>
      <w:r w:rsidRPr="005C2C43">
        <w:t>send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</w:t>
      </w:r>
      <w:r w:rsidR="00A9638F">
        <w:t xml:space="preserve"> </w:t>
      </w:r>
      <w:r w:rsidRPr="005C2C43">
        <w:t>concerned</w:t>
      </w:r>
      <w:r w:rsidR="00A9638F">
        <w:t xml:space="preserve"> </w:t>
      </w:r>
      <w:r w:rsidRPr="005C2C43">
        <w:t>a</w:t>
      </w:r>
      <w:r w:rsidR="00A9638F">
        <w:t xml:space="preserve"> </w:t>
      </w:r>
      <w:r w:rsidRPr="005C2C43">
        <w:t>short</w:t>
      </w:r>
      <w:r w:rsidR="00A9638F">
        <w:t xml:space="preserve"> </w:t>
      </w:r>
      <w:r w:rsidRPr="005C2C43">
        <w:t>list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themes</w:t>
      </w:r>
      <w:r w:rsidR="00A9638F">
        <w:t xml:space="preserve"> </w:t>
      </w:r>
      <w:r w:rsidRPr="005C2C43">
        <w:t>with</w:t>
      </w:r>
      <w:r w:rsidR="00A9638F">
        <w:t xml:space="preserve"> </w:t>
      </w:r>
      <w:r w:rsidRPr="005C2C43">
        <w:t>a</w:t>
      </w:r>
      <w:r w:rsidR="00A9638F">
        <w:t xml:space="preserve"> </w:t>
      </w:r>
      <w:r w:rsidRPr="005C2C43">
        <w:t>view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guiding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focusing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dialogue</w:t>
      </w:r>
      <w:r w:rsidR="00A9638F">
        <w:t xml:space="preserve"> </w:t>
      </w:r>
      <w:r w:rsidRPr="005C2C43">
        <w:t>between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</w:t>
      </w:r>
      <w:r w:rsidR="0040048B">
        <w:t>’</w:t>
      </w:r>
      <w:r w:rsidRPr="005C2C43">
        <w:t>s</w:t>
      </w:r>
      <w:r w:rsidR="00A9638F">
        <w:t xml:space="preserve"> </w:t>
      </w:r>
      <w:r w:rsidRPr="005C2C43">
        <w:t>delegation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Committee</w:t>
      </w:r>
      <w:r w:rsidR="00A9638F">
        <w:t xml:space="preserve"> </w:t>
      </w:r>
      <w:r w:rsidRPr="005C2C43">
        <w:t>during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consideration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</w:t>
      </w:r>
      <w:r w:rsidR="0040048B">
        <w:t>’</w:t>
      </w:r>
      <w:r w:rsidRPr="005C2C43">
        <w:t>s</w:t>
      </w:r>
      <w:r w:rsidR="00A9638F">
        <w:t xml:space="preserve"> </w:t>
      </w:r>
      <w:r w:rsidRPr="005C2C43">
        <w:t>report.</w:t>
      </w:r>
      <w:proofErr w:type="gramEnd"/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present</w:t>
      </w:r>
      <w:r w:rsidR="00A9638F">
        <w:t xml:space="preserve"> </w:t>
      </w:r>
      <w:r w:rsidRPr="005C2C43">
        <w:t>document</w:t>
      </w:r>
      <w:r w:rsidR="00A9638F">
        <w:t xml:space="preserve"> </w:t>
      </w:r>
      <w:r w:rsidRPr="005C2C43">
        <w:t>contains</w:t>
      </w:r>
      <w:r w:rsidR="00A9638F">
        <w:t xml:space="preserve"> </w:t>
      </w:r>
      <w:r w:rsidRPr="005C2C43">
        <w:t>a</w:t>
      </w:r>
      <w:r w:rsidR="00A9638F">
        <w:t xml:space="preserve"> </w:t>
      </w:r>
      <w:r w:rsidRPr="005C2C43">
        <w:t>list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such</w:t>
      </w:r>
      <w:r w:rsidR="00A9638F">
        <w:t xml:space="preserve"> </w:t>
      </w:r>
      <w:r w:rsidRPr="005C2C43">
        <w:t>themes.</w:t>
      </w:r>
      <w:r w:rsidR="00A9638F">
        <w:t xml:space="preserve"> </w:t>
      </w:r>
      <w:r w:rsidRPr="005C2C43">
        <w:t>It</w:t>
      </w:r>
      <w:r w:rsidR="00A9638F">
        <w:t xml:space="preserve"> </w:t>
      </w:r>
      <w:r w:rsidRPr="005C2C43">
        <w:t>is</w:t>
      </w:r>
      <w:r w:rsidR="00A9638F">
        <w:t xml:space="preserve"> </w:t>
      </w:r>
      <w:r w:rsidRPr="005C2C43">
        <w:t>not</w:t>
      </w:r>
      <w:r w:rsidR="00A9638F">
        <w:t xml:space="preserve"> </w:t>
      </w:r>
      <w:r w:rsidRPr="005C2C43">
        <w:t>an</w:t>
      </w:r>
      <w:r w:rsidR="00A9638F">
        <w:t xml:space="preserve"> </w:t>
      </w:r>
      <w:r w:rsidRPr="005C2C43">
        <w:t>exhaustive</w:t>
      </w:r>
      <w:r w:rsidR="00A9638F">
        <w:t xml:space="preserve"> </w:t>
      </w:r>
      <w:r w:rsidRPr="005C2C43">
        <w:t>list;</w:t>
      </w:r>
      <w:r w:rsidR="00A9638F">
        <w:t xml:space="preserve"> </w:t>
      </w:r>
      <w:r w:rsidRPr="005C2C43">
        <w:t>other</w:t>
      </w:r>
      <w:r w:rsidR="00A9638F">
        <w:t xml:space="preserve"> </w:t>
      </w:r>
      <w:r w:rsidRPr="005C2C43">
        <w:t>issues</w:t>
      </w:r>
      <w:r w:rsidR="00A9638F">
        <w:t xml:space="preserve"> </w:t>
      </w:r>
      <w:proofErr w:type="gramStart"/>
      <w:r w:rsidRPr="005C2C43">
        <w:t>may</w:t>
      </w:r>
      <w:r w:rsidR="00A9638F">
        <w:t xml:space="preserve"> </w:t>
      </w:r>
      <w:r w:rsidRPr="005C2C43">
        <w:t>also</w:t>
      </w:r>
      <w:r w:rsidR="00A9638F">
        <w:t xml:space="preserve"> </w:t>
      </w:r>
      <w:r w:rsidRPr="005C2C43">
        <w:t>be</w:t>
      </w:r>
      <w:r w:rsidR="00A9638F">
        <w:t xml:space="preserve"> </w:t>
      </w:r>
      <w:r w:rsidRPr="005C2C43">
        <w:t>raised</w:t>
      </w:r>
      <w:proofErr w:type="gramEnd"/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course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dialogue.</w:t>
      </w:r>
      <w:r w:rsidR="00A9638F">
        <w:t xml:space="preserve"> </w:t>
      </w:r>
      <w:r w:rsidRPr="005C2C43">
        <w:t>No</w:t>
      </w:r>
      <w:r w:rsidR="00A9638F">
        <w:t xml:space="preserve"> </w:t>
      </w:r>
      <w:r w:rsidRPr="005C2C43">
        <w:t>written</w:t>
      </w:r>
      <w:r w:rsidR="00A9638F">
        <w:t xml:space="preserve"> </w:t>
      </w:r>
      <w:r w:rsidRPr="005C2C43">
        <w:t>replies</w:t>
      </w:r>
      <w:r w:rsidR="00A9638F">
        <w:t xml:space="preserve"> </w:t>
      </w:r>
      <w:r w:rsidRPr="005C2C43">
        <w:t>are</w:t>
      </w:r>
      <w:r w:rsidR="00A9638F">
        <w:t xml:space="preserve"> </w:t>
      </w:r>
      <w:r w:rsidRPr="005C2C43">
        <w:t>required.</w:t>
      </w:r>
      <w:r w:rsidR="00A9638F">
        <w:t xml:space="preserve"> </w:t>
      </w:r>
    </w:p>
    <w:p w:rsidR="001C3950" w:rsidRPr="005C2C43" w:rsidRDefault="001C3950" w:rsidP="00A9638F">
      <w:pPr>
        <w:pStyle w:val="H23G"/>
      </w:pPr>
      <w:r w:rsidRPr="005C2C43">
        <w:tab/>
      </w:r>
      <w:r w:rsidRPr="005C2C43">
        <w:tab/>
        <w:t>The</w:t>
      </w:r>
      <w:r w:rsidR="00A9638F">
        <w:t xml:space="preserve"> </w:t>
      </w:r>
      <w:r w:rsidRPr="005C2C43">
        <w:t>Convention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domestic</w:t>
      </w:r>
      <w:r w:rsidR="00A9638F">
        <w:t xml:space="preserve"> </w:t>
      </w:r>
      <w:r w:rsidRPr="005C2C43">
        <w:t>law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institutional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policy</w:t>
      </w:r>
      <w:r w:rsidR="00A9638F">
        <w:t xml:space="preserve"> </w:t>
      </w:r>
      <w:r w:rsidRPr="005C2C43">
        <w:t>framework</w:t>
      </w:r>
      <w:r w:rsidR="00A9638F">
        <w:t xml:space="preserve"> </w:t>
      </w:r>
      <w:r w:rsidRPr="005C2C43">
        <w:t>for</w:t>
      </w:r>
      <w:r w:rsidR="00A9638F">
        <w:t xml:space="preserve"> </w:t>
      </w:r>
      <w:r w:rsidRPr="005C2C43">
        <w:t>its</w:t>
      </w:r>
      <w:r w:rsidR="00A9638F">
        <w:t xml:space="preserve"> </w:t>
      </w:r>
      <w:r w:rsidRPr="005C2C43">
        <w:t>implementation</w:t>
      </w:r>
      <w:r w:rsidR="00A9638F">
        <w:t xml:space="preserve"> </w:t>
      </w:r>
      <w:r w:rsidRPr="005C2C43">
        <w:t>(arts.</w:t>
      </w:r>
      <w:r w:rsidR="00A9638F">
        <w:t xml:space="preserve"> </w:t>
      </w:r>
      <w:r w:rsidRPr="005C2C43">
        <w:t>2,</w:t>
      </w:r>
      <w:r w:rsidR="00A9638F">
        <w:t xml:space="preserve"> </w:t>
      </w:r>
      <w:r w:rsidRPr="005C2C43">
        <w:t>4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6–7)</w:t>
      </w:r>
    </w:p>
    <w:p w:rsidR="001C3950" w:rsidRPr="005C2C43" w:rsidRDefault="001C3950" w:rsidP="00A9638F">
      <w:pPr>
        <w:pStyle w:val="SingleTxtG"/>
      </w:pPr>
      <w:r w:rsidRPr="005C2C43">
        <w:t>2.</w:t>
      </w:r>
      <w:r w:rsidRPr="005C2C43">
        <w:tab/>
        <w:t>Steps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domesticate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Convention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</w:t>
      </w:r>
      <w:r w:rsidR="0040048B">
        <w:t>’</w:t>
      </w:r>
      <w:r w:rsidRPr="005C2C43">
        <w:t>s</w:t>
      </w:r>
      <w:r w:rsidR="00A9638F">
        <w:t xml:space="preserve"> </w:t>
      </w:r>
      <w:r w:rsidRPr="005C2C43">
        <w:t>legal</w:t>
      </w:r>
      <w:r w:rsidR="00A9638F">
        <w:t xml:space="preserve"> </w:t>
      </w:r>
      <w:r w:rsidRPr="005C2C43">
        <w:t>order.</w:t>
      </w:r>
      <w:r w:rsidR="00A9638F">
        <w:t xml:space="preserve"> </w:t>
      </w:r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court</w:t>
      </w:r>
      <w:r w:rsidR="00A9638F">
        <w:t xml:space="preserve"> </w:t>
      </w:r>
      <w:r w:rsidRPr="005C2C43">
        <w:t>cases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which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protected</w:t>
      </w:r>
      <w:r w:rsidR="00A9638F">
        <w:t xml:space="preserve"> </w:t>
      </w:r>
      <w:r w:rsidRPr="005C2C43">
        <w:t>under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Convention</w:t>
      </w:r>
      <w:r w:rsidR="00A9638F">
        <w:t xml:space="preserve"> </w:t>
      </w:r>
      <w:proofErr w:type="gramStart"/>
      <w:r w:rsidRPr="005C2C43">
        <w:t>were</w:t>
      </w:r>
      <w:r w:rsidR="00A9638F">
        <w:t xml:space="preserve"> </w:t>
      </w:r>
      <w:r w:rsidRPr="005C2C43">
        <w:t>invoked</w:t>
      </w:r>
      <w:r w:rsidR="00A9638F">
        <w:t xml:space="preserve"> </w:t>
      </w:r>
      <w:r w:rsidRPr="005C2C43">
        <w:t>before,</w:t>
      </w:r>
      <w:r w:rsidR="00A9638F">
        <w:t xml:space="preserve"> </w:t>
      </w:r>
      <w:r w:rsidRPr="005C2C43">
        <w:t>or</w:t>
      </w:r>
      <w:r w:rsidR="00A9638F">
        <w:t xml:space="preserve"> </w:t>
      </w:r>
      <w:r w:rsidRPr="005C2C43">
        <w:t>applied</w:t>
      </w:r>
      <w:r w:rsidR="00A9638F">
        <w:t xml:space="preserve"> </w:t>
      </w:r>
      <w:r w:rsidRPr="005C2C43">
        <w:t>by,</w:t>
      </w:r>
      <w:r w:rsidR="00A9638F">
        <w:t xml:space="preserve"> </w:t>
      </w:r>
      <w:r w:rsidRPr="005C2C43">
        <w:t>domestic</w:t>
      </w:r>
      <w:r w:rsidR="00A9638F">
        <w:t xml:space="preserve"> </w:t>
      </w:r>
      <w:r w:rsidRPr="005C2C43">
        <w:t>courts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9;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2)</w:t>
      </w:r>
      <w:proofErr w:type="gramEnd"/>
      <w:r w:rsidRPr="005C2C43">
        <w:t>.</w:t>
      </w:r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3.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context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implementing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National</w:t>
      </w:r>
      <w:r w:rsidR="00A9638F">
        <w:t xml:space="preserve"> </w:t>
      </w:r>
      <w:r w:rsidRPr="005C2C43">
        <w:t>Human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Action</w:t>
      </w:r>
      <w:r w:rsidR="00A9638F">
        <w:t xml:space="preserve"> </w:t>
      </w:r>
      <w:r w:rsidRPr="005C2C43">
        <w:t>Plan</w:t>
      </w:r>
      <w:r w:rsidR="00A9638F">
        <w:t xml:space="preserve"> </w:t>
      </w:r>
      <w:r w:rsidRPr="005C2C43">
        <w:t>(2012–2020)</w:t>
      </w:r>
      <w:r w:rsidR="00A9638F">
        <w:t xml:space="preserve"> </w:t>
      </w:r>
      <w:r w:rsidRPr="005C2C43">
        <w:t>aimed</w:t>
      </w:r>
      <w:r w:rsidR="00A9638F">
        <w:t xml:space="preserve"> </w:t>
      </w:r>
      <w:r w:rsidRPr="005C2C43">
        <w:t>at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elimination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racial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their</w:t>
      </w:r>
      <w:r w:rsidR="00A9638F">
        <w:t xml:space="preserve"> </w:t>
      </w:r>
      <w:r w:rsidRPr="005C2C43">
        <w:t>impact</w:t>
      </w:r>
      <w:r w:rsidR="00A9638F">
        <w:t xml:space="preserve"> </w:t>
      </w:r>
      <w:r w:rsidRPr="005C2C43">
        <w:t>thereon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9;</w:t>
      </w:r>
      <w:r w:rsidR="00A9638F">
        <w:t xml:space="preserve"> </w:t>
      </w:r>
      <w:r w:rsidRPr="005C2C43">
        <w:t>HRI/CORE/MUS/2016,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50–52).</w:t>
      </w:r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4.</w:t>
      </w:r>
      <w:r w:rsidRPr="005C2C43">
        <w:tab/>
        <w:t>Update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revise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Equal</w:t>
      </w:r>
      <w:r w:rsidR="00A9638F">
        <w:t xml:space="preserve"> </w:t>
      </w:r>
      <w:r w:rsidRPr="005C2C43">
        <w:t>Opportunities</w:t>
      </w:r>
      <w:r w:rsidR="00A9638F">
        <w:t xml:space="preserve"> </w:t>
      </w:r>
      <w:r w:rsidRPr="005C2C43">
        <w:t>Act</w:t>
      </w:r>
      <w:r w:rsidR="00A9638F">
        <w:t xml:space="preserve"> </w:t>
      </w:r>
      <w:r w:rsidRPr="005C2C43">
        <w:t>with</w:t>
      </w:r>
      <w:r w:rsidR="00A9638F">
        <w:t xml:space="preserve"> </w:t>
      </w:r>
      <w:r w:rsidRPr="005C2C43">
        <w:t>a</w:t>
      </w:r>
      <w:r w:rsidR="00A9638F">
        <w:t xml:space="preserve"> </w:t>
      </w:r>
      <w:r w:rsidRPr="005C2C43">
        <w:t>view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="0040048B">
        <w:t>“</w:t>
      </w:r>
      <w:r w:rsidRPr="005C2C43">
        <w:t>language</w:t>
      </w:r>
      <w:r w:rsidR="0040048B">
        <w:t>”</w:t>
      </w:r>
      <w:r w:rsidR="00A9638F">
        <w:t xml:space="preserve"> </w:t>
      </w:r>
      <w:r w:rsidRPr="005C2C43">
        <w:t>among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protected</w:t>
      </w:r>
      <w:r w:rsidR="00A9638F">
        <w:t xml:space="preserve"> </w:t>
      </w:r>
      <w:r w:rsidRPr="005C2C43">
        <w:t>grounds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10).</w:t>
      </w:r>
    </w:p>
    <w:p w:rsidR="001C3950" w:rsidRPr="005C2C43" w:rsidRDefault="001C3950" w:rsidP="00A9638F">
      <w:pPr>
        <w:pStyle w:val="SingleTxtG"/>
      </w:pPr>
      <w:r w:rsidRPr="005C2C43">
        <w:t>5.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strengthen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independence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National</w:t>
      </w:r>
      <w:r w:rsidR="00A9638F">
        <w:t xml:space="preserve"> </w:t>
      </w:r>
      <w:r w:rsidRPr="005C2C43">
        <w:t>Human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Commission,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especially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related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appointment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security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tenure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Commissioners.</w:t>
      </w:r>
      <w:r w:rsidR="0040048B">
        <w:t xml:space="preserve"> </w:t>
      </w:r>
      <w:r w:rsidRPr="005C2C43">
        <w:t>Detailed</w:t>
      </w:r>
      <w:r w:rsidR="00A9638F">
        <w:t xml:space="preserve"> </w:t>
      </w:r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activities</w:t>
      </w:r>
      <w:r w:rsidR="00A9638F">
        <w:t xml:space="preserve"> </w:t>
      </w:r>
      <w:r w:rsidRPr="005C2C43">
        <w:t>undertaken</w:t>
      </w:r>
      <w:r w:rsidR="00A9638F">
        <w:t xml:space="preserve"> </w:t>
      </w:r>
      <w:r w:rsidRPr="005C2C43">
        <w:t>by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Commission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their</w:t>
      </w:r>
      <w:r w:rsidR="00A9638F">
        <w:t xml:space="preserve"> </w:t>
      </w:r>
      <w:r w:rsidRPr="005C2C43">
        <w:t>impact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elimination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racial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(CERD/C/MUS/20-23,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143–144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147–148).</w:t>
      </w:r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6.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reconsider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constitutional</w:t>
      </w:r>
      <w:r w:rsidR="00A9638F">
        <w:t xml:space="preserve"> </w:t>
      </w:r>
      <w:r w:rsidRPr="005C2C43">
        <w:t>classification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various</w:t>
      </w:r>
      <w:r w:rsidR="00A9638F">
        <w:t xml:space="preserve"> </w:t>
      </w:r>
      <w:r w:rsidRPr="005C2C43">
        <w:t>components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</w:t>
      </w:r>
      <w:r w:rsidR="0040048B">
        <w:t>’</w:t>
      </w:r>
      <w:r w:rsidRPr="005C2C43">
        <w:t>s</w:t>
      </w:r>
      <w:r w:rsidR="00A9638F">
        <w:t xml:space="preserve"> </w:t>
      </w:r>
      <w:r w:rsidRPr="005C2C43">
        <w:t>population,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light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self-identification</w:t>
      </w:r>
      <w:r w:rsidR="00A9638F">
        <w:t xml:space="preserve"> </w:t>
      </w:r>
      <w:r w:rsidRPr="005C2C43">
        <w:t>principle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15).</w:t>
      </w:r>
    </w:p>
    <w:p w:rsidR="001C3950" w:rsidRPr="005C2C43" w:rsidRDefault="001C3950" w:rsidP="00A9638F">
      <w:pPr>
        <w:pStyle w:val="SingleTxtG"/>
      </w:pPr>
      <w:r w:rsidRPr="005C2C43">
        <w:lastRenderedPageBreak/>
        <w:t>7.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steps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introduce</w:t>
      </w:r>
      <w:r w:rsidR="00A9638F">
        <w:t xml:space="preserve"> </w:t>
      </w:r>
      <w:r w:rsidRPr="005C2C43">
        <w:t>special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aimed</w:t>
      </w:r>
      <w:r w:rsidR="00A9638F">
        <w:t xml:space="preserve"> </w:t>
      </w:r>
      <w:r w:rsidRPr="005C2C43">
        <w:t>at</w:t>
      </w:r>
      <w:r w:rsidR="00A9638F">
        <w:t xml:space="preserve"> </w:t>
      </w:r>
      <w:r w:rsidRPr="005C2C43">
        <w:t>accelerating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achievement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equal</w:t>
      </w:r>
      <w:r w:rsidR="00A9638F">
        <w:t xml:space="preserve"> </w:t>
      </w:r>
      <w:r w:rsidRPr="005C2C43">
        <w:t>enjoyment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human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by</w:t>
      </w:r>
      <w:r w:rsidR="00A9638F">
        <w:t xml:space="preserve"> </w:t>
      </w:r>
      <w:r w:rsidRPr="005C2C43">
        <w:t>disadvantaged</w:t>
      </w:r>
      <w:r w:rsidR="00A9638F">
        <w:t xml:space="preserve"> </w:t>
      </w:r>
      <w:r w:rsidRPr="005C2C43">
        <w:t>groups</w:t>
      </w:r>
      <w:r w:rsidR="00A9638F">
        <w:t xml:space="preserve"> </w:t>
      </w:r>
      <w:r w:rsidRPr="005C2C43">
        <w:t>protected</w:t>
      </w:r>
      <w:r w:rsidR="00A9638F">
        <w:t xml:space="preserve"> </w:t>
      </w:r>
      <w:r w:rsidRPr="005C2C43">
        <w:t>under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Convention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14;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123).</w:t>
      </w:r>
    </w:p>
    <w:p w:rsidR="001C3950" w:rsidRPr="005C2C43" w:rsidRDefault="001C3950" w:rsidP="00A9638F">
      <w:pPr>
        <w:pStyle w:val="H23G"/>
      </w:pPr>
      <w:r w:rsidRPr="005C2C43">
        <w:tab/>
      </w:r>
      <w:r w:rsidRPr="005C2C43">
        <w:tab/>
        <w:t>Complaints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racial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(art.</w:t>
      </w:r>
      <w:r w:rsidR="00A9638F">
        <w:t xml:space="preserve"> </w:t>
      </w:r>
      <w:r w:rsidRPr="005C2C43">
        <w:t>4)</w:t>
      </w:r>
    </w:p>
    <w:p w:rsidR="001C3950" w:rsidRPr="005C2C43" w:rsidRDefault="001C3950" w:rsidP="00A9638F">
      <w:pPr>
        <w:pStyle w:val="SingleTxtG"/>
      </w:pPr>
      <w:r w:rsidRPr="005C2C43">
        <w:t>8.</w:t>
      </w:r>
      <w:r w:rsidRPr="005C2C43">
        <w:tab/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raise</w:t>
      </w:r>
      <w:r w:rsidR="00A9638F">
        <w:t xml:space="preserve"> </w:t>
      </w:r>
      <w:r w:rsidRPr="005C2C43">
        <w:t>public</w:t>
      </w:r>
      <w:r w:rsidR="00A9638F">
        <w:t xml:space="preserve"> </w:t>
      </w:r>
      <w:r w:rsidRPr="005C2C43">
        <w:t>awareness</w:t>
      </w:r>
      <w:r w:rsidR="00A9638F">
        <w:t xml:space="preserve"> </w:t>
      </w:r>
      <w:r w:rsidRPr="005C2C43">
        <w:t>of,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strengthen</w:t>
      </w:r>
      <w:r w:rsidR="00A9638F">
        <w:t xml:space="preserve"> </w:t>
      </w:r>
      <w:r w:rsidRPr="005C2C43">
        <w:t>public</w:t>
      </w:r>
      <w:r w:rsidR="00A9638F">
        <w:t xml:space="preserve"> </w:t>
      </w:r>
      <w:r w:rsidRPr="005C2C43">
        <w:t>confidence</w:t>
      </w:r>
      <w:r w:rsidR="00A9638F">
        <w:t xml:space="preserve"> </w:t>
      </w:r>
      <w:r w:rsidRPr="005C2C43">
        <w:t>in,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existing</w:t>
      </w:r>
      <w:r w:rsidR="00A9638F">
        <w:t xml:space="preserve"> </w:t>
      </w:r>
      <w:r w:rsidRPr="005C2C43">
        <w:t>non-judicial</w:t>
      </w:r>
      <w:r w:rsidR="00A9638F">
        <w:t xml:space="preserve"> </w:t>
      </w:r>
      <w:r w:rsidRPr="005C2C43">
        <w:t>channels</w:t>
      </w:r>
      <w:r w:rsidR="00A9638F">
        <w:t xml:space="preserve"> </w:t>
      </w:r>
      <w:r w:rsidRPr="005C2C43">
        <w:t>for</w:t>
      </w:r>
      <w:r w:rsidR="00A9638F">
        <w:t xml:space="preserve"> </w:t>
      </w:r>
      <w:r w:rsidRPr="005C2C43">
        <w:t>submitting</w:t>
      </w:r>
      <w:r w:rsidR="00A9638F">
        <w:t xml:space="preserve"> </w:t>
      </w:r>
      <w:r w:rsidRPr="005C2C43">
        <w:t>complaints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racial</w:t>
      </w:r>
      <w:r w:rsidR="00A9638F">
        <w:t xml:space="preserve"> </w:t>
      </w:r>
      <w:r w:rsidRPr="005C2C43">
        <w:t>discrimination,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Ombudsman,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Equal</w:t>
      </w:r>
      <w:r w:rsidR="00A9638F">
        <w:t xml:space="preserve"> </w:t>
      </w:r>
      <w:r w:rsidRPr="005C2C43">
        <w:t>Opportunities</w:t>
      </w:r>
      <w:r w:rsidR="00A9638F">
        <w:t xml:space="preserve"> </w:t>
      </w:r>
      <w:r w:rsidRPr="005C2C43">
        <w:t>Commission,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National</w:t>
      </w:r>
      <w:r w:rsidR="00A9638F">
        <w:t xml:space="preserve"> </w:t>
      </w:r>
      <w:r w:rsidRPr="005C2C43">
        <w:t>Human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Commission,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impact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such</w:t>
      </w:r>
      <w:r w:rsidR="00A9638F">
        <w:t xml:space="preserve"> </w:t>
      </w:r>
      <w:r w:rsidRPr="005C2C43">
        <w:t>measures.</w:t>
      </w:r>
      <w:r w:rsidR="00A9638F">
        <w:t xml:space="preserve"> </w:t>
      </w:r>
      <w:r w:rsidRPr="005C2C43">
        <w:t>Detailed</w:t>
      </w:r>
      <w:r w:rsidR="00A9638F">
        <w:t xml:space="preserve"> </w:t>
      </w:r>
      <w:r w:rsidRPr="005C2C43">
        <w:t>statistical</w:t>
      </w:r>
      <w:r w:rsidR="00A9638F">
        <w:t xml:space="preserve"> </w:t>
      </w:r>
      <w:r w:rsidRPr="005C2C43">
        <w:t>data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such</w:t>
      </w:r>
      <w:r w:rsidR="00A9638F">
        <w:t xml:space="preserve"> </w:t>
      </w:r>
      <w:r w:rsidRPr="005C2C43">
        <w:t>complaints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their</w:t>
      </w:r>
      <w:r w:rsidR="00A9638F">
        <w:t xml:space="preserve"> </w:t>
      </w:r>
      <w:r w:rsidRPr="005C2C43">
        <w:t>outcomes,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disciplinary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handed</w:t>
      </w:r>
      <w:r w:rsidR="00A9638F">
        <w:t xml:space="preserve"> </w:t>
      </w:r>
      <w:r w:rsidRPr="005C2C43">
        <w:t>down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remedies</w:t>
      </w:r>
      <w:r w:rsidR="00A9638F">
        <w:t xml:space="preserve"> </w:t>
      </w:r>
      <w:r w:rsidRPr="005C2C43">
        <w:t>provided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victims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12–13;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16–23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135–136).</w:t>
      </w:r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9.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implement</w:t>
      </w:r>
      <w:r w:rsidR="00A9638F">
        <w:t xml:space="preserve"> </w:t>
      </w:r>
      <w:r w:rsidRPr="005C2C43">
        <w:t>provisions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Criminal</w:t>
      </w:r>
      <w:r w:rsidR="00A9638F">
        <w:t xml:space="preserve"> </w:t>
      </w:r>
      <w:r w:rsidRPr="005C2C43">
        <w:t>Code,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article</w:t>
      </w:r>
      <w:r w:rsidR="00A9638F">
        <w:t xml:space="preserve"> </w:t>
      </w:r>
      <w:r w:rsidRPr="005C2C43">
        <w:t>282,</w:t>
      </w:r>
      <w:r w:rsidR="00A9638F">
        <w:t xml:space="preserve"> </w:t>
      </w:r>
      <w:r w:rsidRPr="005C2C43">
        <w:t>that</w:t>
      </w:r>
      <w:r w:rsidR="00A9638F">
        <w:t xml:space="preserve"> </w:t>
      </w:r>
      <w:r w:rsidRPr="005C2C43">
        <w:t>prohibit</w:t>
      </w:r>
      <w:r w:rsidR="00A9638F">
        <w:t xml:space="preserve"> </w:t>
      </w:r>
      <w:r w:rsidRPr="005C2C43">
        <w:t>incitement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racial</w:t>
      </w:r>
      <w:r w:rsidR="00A9638F">
        <w:t xml:space="preserve"> </w:t>
      </w:r>
      <w:r w:rsidRPr="005C2C43">
        <w:t>hatred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other</w:t>
      </w:r>
      <w:r w:rsidR="00A9638F">
        <w:t xml:space="preserve"> </w:t>
      </w:r>
      <w:r w:rsidRPr="005C2C43">
        <w:t>acts</w:t>
      </w:r>
      <w:r w:rsidR="00A9638F">
        <w:t xml:space="preserve"> </w:t>
      </w:r>
      <w:r w:rsidRPr="005C2C43">
        <w:t>listed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article</w:t>
      </w:r>
      <w:r w:rsidR="00A9638F">
        <w:t xml:space="preserve"> </w:t>
      </w:r>
      <w:r w:rsidRPr="005C2C43">
        <w:t>4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Convention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11;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4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10).</w:t>
      </w:r>
    </w:p>
    <w:p w:rsidR="001C3950" w:rsidRPr="005C2C43" w:rsidRDefault="00A9638F" w:rsidP="00A9638F">
      <w:pPr>
        <w:pStyle w:val="H23G"/>
      </w:pPr>
      <w:r>
        <w:tab/>
      </w:r>
      <w:r>
        <w:tab/>
      </w:r>
      <w:r w:rsidR="001C3950" w:rsidRPr="005C2C43">
        <w:t>Racist</w:t>
      </w:r>
      <w:r>
        <w:t xml:space="preserve"> </w:t>
      </w:r>
      <w:r w:rsidR="001C3950" w:rsidRPr="005C2C43">
        <w:t>hate</w:t>
      </w:r>
      <w:r>
        <w:t xml:space="preserve"> </w:t>
      </w:r>
      <w:r w:rsidR="001C3950" w:rsidRPr="005C2C43">
        <w:t>speech</w:t>
      </w:r>
      <w:r>
        <w:t xml:space="preserve"> </w:t>
      </w:r>
      <w:r w:rsidR="001C3950" w:rsidRPr="005C2C43">
        <w:t>(art.</w:t>
      </w:r>
      <w:r>
        <w:t xml:space="preserve"> </w:t>
      </w:r>
      <w:r w:rsidR="001C3950" w:rsidRPr="005C2C43">
        <w:t>4)</w:t>
      </w:r>
    </w:p>
    <w:p w:rsidR="001C3950" w:rsidRPr="005C2C43" w:rsidRDefault="001C3950" w:rsidP="00A9638F">
      <w:pPr>
        <w:pStyle w:val="SingleTxtG"/>
      </w:pPr>
      <w:r w:rsidRPr="005C2C43">
        <w:t>10.</w:t>
      </w:r>
      <w:r w:rsidRPr="005C2C43">
        <w:tab/>
        <w:t>Measures</w:t>
      </w:r>
      <w:r w:rsidR="00A9638F">
        <w:t xml:space="preserve"> </w:t>
      </w:r>
      <w:r w:rsidRPr="005C2C43">
        <w:t>adopted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prevent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investigate</w:t>
      </w:r>
      <w:r w:rsidR="00A9638F">
        <w:t xml:space="preserve"> </w:t>
      </w:r>
      <w:r w:rsidRPr="005C2C43">
        <w:t>incidents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hate</w:t>
      </w:r>
      <w:r w:rsidR="00A9638F">
        <w:t xml:space="preserve"> </w:t>
      </w:r>
      <w:r w:rsidRPr="005C2C43">
        <w:t>speech,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by</w:t>
      </w:r>
      <w:r w:rsidR="00A9638F">
        <w:t xml:space="preserve"> </w:t>
      </w:r>
      <w:r w:rsidRPr="005C2C43">
        <w:t>politicians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other</w:t>
      </w:r>
      <w:r w:rsidR="00A9638F">
        <w:t xml:space="preserve"> </w:t>
      </w:r>
      <w:r w:rsidRPr="005C2C43">
        <w:t>public</w:t>
      </w:r>
      <w:r w:rsidR="00A9638F">
        <w:t xml:space="preserve"> </w:t>
      </w:r>
      <w:r w:rsidRPr="005C2C43">
        <w:t>figures,</w:t>
      </w:r>
      <w:r w:rsidR="00A9638F">
        <w:t xml:space="preserve"> </w:t>
      </w:r>
      <w:r w:rsidRPr="005C2C43">
        <w:t>against</w:t>
      </w:r>
      <w:r w:rsidR="00A9638F">
        <w:t xml:space="preserve"> </w:t>
      </w:r>
      <w:r w:rsidRPr="005C2C43">
        <w:t>specific</w:t>
      </w:r>
      <w:r w:rsidR="00A9638F">
        <w:t xml:space="preserve"> </w:t>
      </w:r>
      <w:r w:rsidRPr="005C2C43">
        <w:t>ethnicities</w:t>
      </w:r>
      <w:r w:rsidR="00A9638F">
        <w:t xml:space="preserve"> </w:t>
      </w:r>
      <w:r w:rsidRPr="005C2C43">
        <w:t>or</w:t>
      </w:r>
      <w:r w:rsidR="00A9638F">
        <w:t xml:space="preserve"> </w:t>
      </w:r>
      <w:r w:rsidRPr="005C2C43">
        <w:t>minorities,</w:t>
      </w:r>
      <w:r w:rsidR="00A9638F">
        <w:t xml:space="preserve"> </w:t>
      </w:r>
      <w:r w:rsidRPr="005C2C43">
        <w:t>notably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Creoles.</w:t>
      </w:r>
      <w:r w:rsidR="00A9638F">
        <w:t xml:space="preserve"> </w:t>
      </w:r>
    </w:p>
    <w:p w:rsidR="001C3950" w:rsidRPr="005C2C43" w:rsidRDefault="00A9638F" w:rsidP="00A9638F">
      <w:pPr>
        <w:pStyle w:val="H23G"/>
      </w:pPr>
      <w:r>
        <w:tab/>
      </w:r>
      <w:r>
        <w:tab/>
      </w:r>
      <w:r w:rsidR="001C3950" w:rsidRPr="005C2C43">
        <w:t>Situation</w:t>
      </w:r>
      <w:r>
        <w:t xml:space="preserve"> </w:t>
      </w:r>
      <w:r w:rsidR="001C3950" w:rsidRPr="005C2C43">
        <w:t>of</w:t>
      </w:r>
      <w:r>
        <w:t xml:space="preserve"> </w:t>
      </w:r>
      <w:r w:rsidR="001C3950" w:rsidRPr="005C2C43">
        <w:t>minority</w:t>
      </w:r>
      <w:r>
        <w:t xml:space="preserve"> </w:t>
      </w:r>
      <w:r w:rsidR="001C3950" w:rsidRPr="005C2C43">
        <w:t>groups</w:t>
      </w:r>
      <w:r>
        <w:t xml:space="preserve"> </w:t>
      </w:r>
      <w:r w:rsidR="001C3950" w:rsidRPr="005C2C43">
        <w:t>(arts.</w:t>
      </w:r>
      <w:r>
        <w:t xml:space="preserve"> </w:t>
      </w:r>
      <w:r w:rsidR="001C3950" w:rsidRPr="005C2C43">
        <w:t>2–7)</w:t>
      </w:r>
    </w:p>
    <w:p w:rsidR="001C3950" w:rsidRPr="005C2C43" w:rsidRDefault="001C3950" w:rsidP="008F1DFB">
      <w:pPr>
        <w:pStyle w:val="SingleTxtG"/>
      </w:pPr>
      <w:r w:rsidRPr="005C2C43">
        <w:t>11.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improve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living</w:t>
      </w:r>
      <w:r w:rsidR="00A9638F">
        <w:t xml:space="preserve"> </w:t>
      </w:r>
      <w:r w:rsidRPr="005C2C43">
        <w:t>standard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Creoles,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those</w:t>
      </w:r>
      <w:r w:rsidR="00A9638F">
        <w:t xml:space="preserve"> </w:t>
      </w:r>
      <w:r w:rsidRPr="005C2C43">
        <w:t>residing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Rodrigues</w:t>
      </w:r>
      <w:r w:rsidR="00A9638F">
        <w:t xml:space="preserve"> </w:t>
      </w:r>
      <w:r w:rsidRPr="005C2C43">
        <w:t>Island,</w:t>
      </w:r>
      <w:r w:rsidR="00A9638F">
        <w:t xml:space="preserve"> </w:t>
      </w:r>
      <w:r w:rsidRPr="005C2C43">
        <w:t>many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whom</w:t>
      </w:r>
      <w:r w:rsidR="00A9638F">
        <w:t xml:space="preserve"> </w:t>
      </w:r>
      <w:r w:rsidRPr="005C2C43">
        <w:t>live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poverty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lack</w:t>
      </w:r>
      <w:r w:rsidR="00A9638F">
        <w:t xml:space="preserve"> </w:t>
      </w:r>
      <w:r w:rsidRPr="005C2C43">
        <w:t>access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basic</w:t>
      </w:r>
      <w:r w:rsidR="00A9638F">
        <w:t xml:space="preserve"> </w:t>
      </w:r>
      <w:r w:rsidRPr="005C2C43">
        <w:t>services.</w:t>
      </w:r>
      <w:r w:rsidR="00A9638F">
        <w:t xml:space="preserve"> </w:t>
      </w:r>
      <w:proofErr w:type="gramStart"/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impact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increase</w:t>
      </w:r>
      <w:r w:rsidR="00A9638F">
        <w:t xml:space="preserve"> </w:t>
      </w:r>
      <w:r w:rsidRPr="005C2C43">
        <w:t>Creole</w:t>
      </w:r>
      <w:r w:rsidR="0040048B">
        <w:t>’</w:t>
      </w:r>
      <w:r w:rsidRPr="005C2C43">
        <w:t>s</w:t>
      </w:r>
      <w:r w:rsidR="00A9638F">
        <w:t xml:space="preserve"> </w:t>
      </w:r>
      <w:r w:rsidRPr="005C2C43">
        <w:t>access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education,</w:t>
      </w:r>
      <w:r w:rsidR="00A9638F">
        <w:t xml:space="preserve"> </w:t>
      </w:r>
      <w:r w:rsidRPr="005C2C43">
        <w:t>housing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employment,</w:t>
      </w:r>
      <w:r w:rsidR="00A9638F">
        <w:t xml:space="preserve"> </w:t>
      </w:r>
      <w:r w:rsidRPr="005C2C43">
        <w:t>such</w:t>
      </w:r>
      <w:r w:rsidR="00A9638F">
        <w:t xml:space="preserve"> </w:t>
      </w:r>
      <w:r w:rsidRPr="005C2C43">
        <w:t>as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Government</w:t>
      </w:r>
      <w:r w:rsidR="00A9638F">
        <w:t xml:space="preserve"> </w:t>
      </w:r>
      <w:r w:rsidRPr="005C2C43">
        <w:t>Programme</w:t>
      </w:r>
      <w:r w:rsidR="00A9638F">
        <w:t xml:space="preserve"> </w:t>
      </w:r>
      <w:r w:rsidRPr="005C2C43">
        <w:t>2015–2019,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National</w:t>
      </w:r>
      <w:r w:rsidR="00A9638F">
        <w:t xml:space="preserve"> </w:t>
      </w:r>
      <w:r w:rsidRPr="005C2C43">
        <w:t>Housing</w:t>
      </w:r>
      <w:r w:rsidR="00A9638F">
        <w:t xml:space="preserve"> </w:t>
      </w:r>
      <w:r w:rsidRPr="005C2C43">
        <w:t>Programme</w:t>
      </w:r>
      <w:r w:rsidR="00A9638F">
        <w:t xml:space="preserve"> </w:t>
      </w:r>
      <w:r w:rsidRPr="005C2C43">
        <w:t>for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period</w:t>
      </w:r>
      <w:r w:rsidR="00A9638F">
        <w:t xml:space="preserve"> </w:t>
      </w:r>
      <w:r w:rsidRPr="005C2C43">
        <w:t>2015–2019,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8F1DFB">
        <w:rPr>
          <w:i/>
          <w:iCs/>
        </w:rPr>
        <w:t>Zone</w:t>
      </w:r>
      <w:r w:rsidR="00A9638F" w:rsidRPr="008F1DFB">
        <w:rPr>
          <w:i/>
          <w:iCs/>
        </w:rPr>
        <w:t xml:space="preserve"> </w:t>
      </w:r>
      <w:proofErr w:type="spellStart"/>
      <w:r w:rsidRPr="008F1DFB">
        <w:rPr>
          <w:i/>
          <w:iCs/>
        </w:rPr>
        <w:t>d</w:t>
      </w:r>
      <w:r w:rsidR="0040048B">
        <w:rPr>
          <w:i/>
          <w:iCs/>
        </w:rPr>
        <w:t>’</w:t>
      </w:r>
      <w:r w:rsidRPr="008F1DFB">
        <w:rPr>
          <w:i/>
          <w:iCs/>
        </w:rPr>
        <w:t>Education</w:t>
      </w:r>
      <w:proofErr w:type="spellEnd"/>
      <w:r w:rsidR="00A9638F" w:rsidRPr="008F1DFB">
        <w:rPr>
          <w:i/>
          <w:iCs/>
        </w:rPr>
        <w:t xml:space="preserve"> </w:t>
      </w:r>
      <w:proofErr w:type="spellStart"/>
      <w:r w:rsidRPr="008F1DFB">
        <w:rPr>
          <w:i/>
          <w:iCs/>
        </w:rPr>
        <w:t>Prioritaire</w:t>
      </w:r>
      <w:proofErr w:type="spellEnd"/>
      <w:r w:rsidR="00A9638F">
        <w:t xml:space="preserve"> </w:t>
      </w:r>
      <w:r w:rsidRPr="005C2C43">
        <w:t>(Priority</w:t>
      </w:r>
      <w:r w:rsidR="00A9638F">
        <w:t xml:space="preserve"> </w:t>
      </w:r>
      <w:r w:rsidRPr="005C2C43">
        <w:t>Education</w:t>
      </w:r>
      <w:r w:rsidR="00A9638F">
        <w:t xml:space="preserve"> </w:t>
      </w:r>
      <w:r w:rsidRPr="005C2C43">
        <w:t>Area)</w:t>
      </w:r>
      <w:r w:rsidR="00A9638F">
        <w:t xml:space="preserve"> </w:t>
      </w:r>
      <w:r w:rsidRPr="005C2C43">
        <w:t>project,</w:t>
      </w:r>
      <w:r w:rsidR="00A9638F">
        <w:t xml:space="preserve"> </w:t>
      </w:r>
      <w:r w:rsidRPr="005C2C43">
        <w:t>launched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2003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19;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95–107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117–119).</w:t>
      </w:r>
      <w:proofErr w:type="gramEnd"/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12.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steps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achieve</w:t>
      </w:r>
      <w:r w:rsidR="00A9638F">
        <w:t xml:space="preserve"> </w:t>
      </w:r>
      <w:r w:rsidRPr="005C2C43">
        <w:t>more</w:t>
      </w:r>
      <w:r w:rsidR="00A9638F">
        <w:t xml:space="preserve"> </w:t>
      </w:r>
      <w:r w:rsidRPr="005C2C43">
        <w:t>balanced</w:t>
      </w:r>
      <w:r w:rsidR="00A9638F">
        <w:t xml:space="preserve"> </w:t>
      </w:r>
      <w:r w:rsidRPr="005C2C43">
        <w:t>political</w:t>
      </w:r>
      <w:r w:rsidR="00A9638F">
        <w:t xml:space="preserve"> </w:t>
      </w:r>
      <w:r w:rsidRPr="005C2C43">
        <w:t>participation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representation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all</w:t>
      </w:r>
      <w:r w:rsidR="00A9638F">
        <w:t xml:space="preserve"> </w:t>
      </w:r>
      <w:r w:rsidRPr="005C2C43">
        <w:t>ethnic</w:t>
      </w:r>
      <w:r w:rsidR="00A9638F">
        <w:t xml:space="preserve"> </w:t>
      </w:r>
      <w:r w:rsidRPr="005C2C43">
        <w:t>groups</w:t>
      </w:r>
      <w:r w:rsidR="00A9638F">
        <w:t xml:space="preserve"> </w:t>
      </w:r>
      <w:r w:rsidRPr="005C2C43">
        <w:t>present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party,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context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ongoing</w:t>
      </w:r>
      <w:r w:rsidR="00A9638F">
        <w:t xml:space="preserve"> </w:t>
      </w:r>
      <w:r w:rsidRPr="005C2C43">
        <w:t>electoral</w:t>
      </w:r>
      <w:r w:rsidR="00A9638F">
        <w:t xml:space="preserve"> </w:t>
      </w:r>
      <w:r w:rsidRPr="005C2C43">
        <w:t>reform</w:t>
      </w:r>
      <w:r w:rsidR="00A9638F">
        <w:t xml:space="preserve"> </w:t>
      </w:r>
      <w:r w:rsidRPr="005C2C43">
        <w:t>process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18;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51–55).</w:t>
      </w:r>
      <w:r w:rsidR="0040048B">
        <w:t xml:space="preserve"> </w:t>
      </w:r>
    </w:p>
    <w:p w:rsidR="001C3950" w:rsidRPr="005C2C43" w:rsidRDefault="001C3950" w:rsidP="00A9638F">
      <w:pPr>
        <w:pStyle w:val="SingleTxtG"/>
      </w:pPr>
      <w:r w:rsidRPr="005C2C43">
        <w:t>13.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steps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improve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living</w:t>
      </w:r>
      <w:r w:rsidR="00A9638F">
        <w:t xml:space="preserve"> </w:t>
      </w:r>
      <w:r w:rsidRPr="005C2C43">
        <w:t>conditions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proofErr w:type="spellStart"/>
      <w:r w:rsidRPr="005C2C43">
        <w:t>Chagossians</w:t>
      </w:r>
      <w:proofErr w:type="spellEnd"/>
      <w:r w:rsidRPr="005C2C43">
        <w:t>,</w:t>
      </w:r>
      <w:r w:rsidR="00A9638F">
        <w:t xml:space="preserve"> </w:t>
      </w:r>
      <w:r w:rsidRPr="005C2C43">
        <w:t>who</w:t>
      </w:r>
      <w:r w:rsidR="00A9638F">
        <w:t xml:space="preserve"> </w:t>
      </w:r>
      <w:r w:rsidRPr="005C2C43">
        <w:t>were</w:t>
      </w:r>
      <w:r w:rsidR="00A9638F">
        <w:t xml:space="preserve"> </w:t>
      </w:r>
      <w:r w:rsidRPr="005C2C43">
        <w:t>forcibly</w:t>
      </w:r>
      <w:r w:rsidR="00A9638F">
        <w:t xml:space="preserve"> </w:t>
      </w:r>
      <w:r w:rsidRPr="005C2C43">
        <w:t>displaced</w:t>
      </w:r>
      <w:r w:rsidR="00A9638F">
        <w:t xml:space="preserve"> </w:t>
      </w:r>
      <w:r w:rsidRPr="005C2C43">
        <w:t>from</w:t>
      </w:r>
      <w:r w:rsidR="00A9638F">
        <w:t xml:space="preserve"> </w:t>
      </w:r>
      <w:r w:rsidRPr="005C2C43">
        <w:t>Diego</w:t>
      </w:r>
      <w:r w:rsidR="00A9638F">
        <w:t xml:space="preserve"> </w:t>
      </w:r>
      <w:r w:rsidRPr="005C2C43">
        <w:t>Garcia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other</w:t>
      </w:r>
      <w:r w:rsidR="00A9638F">
        <w:t xml:space="preserve"> </w:t>
      </w:r>
      <w:r w:rsidRPr="005C2C43">
        <w:t>islands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proofErr w:type="spellStart"/>
      <w:r w:rsidRPr="005C2C43">
        <w:t>Chagos</w:t>
      </w:r>
      <w:proofErr w:type="spellEnd"/>
      <w:r w:rsidR="00A9638F">
        <w:t xml:space="preserve"> </w:t>
      </w:r>
      <w:r w:rsidRPr="005C2C43">
        <w:t>Archipelago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island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Mauritius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21;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65–71).</w:t>
      </w:r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14.</w:t>
      </w:r>
      <w:r w:rsidRPr="005C2C43">
        <w:tab/>
      </w:r>
      <w:r w:rsidR="00A9638F">
        <w:t xml:space="preserve"> </w:t>
      </w:r>
      <w:r w:rsidRPr="005C2C43">
        <w:t>Updated</w:t>
      </w:r>
      <w:r w:rsidR="00A9638F">
        <w:t xml:space="preserve"> </w:t>
      </w:r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progress</w:t>
      </w:r>
      <w:r w:rsidR="00A9638F">
        <w:t xml:space="preserve"> </w:t>
      </w:r>
      <w:r w:rsidRPr="005C2C43">
        <w:t>achieved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implementing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recommendations</w:t>
      </w:r>
      <w:r w:rsidR="00A9638F">
        <w:t xml:space="preserve"> </w:t>
      </w:r>
      <w:r w:rsidRPr="005C2C43">
        <w:t>made</w:t>
      </w:r>
      <w:r w:rsidR="00A9638F">
        <w:t xml:space="preserve"> </w:t>
      </w:r>
      <w:r w:rsidRPr="005C2C43">
        <w:t>by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Truth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Justice</w:t>
      </w:r>
      <w:r w:rsidR="00A9638F">
        <w:t xml:space="preserve"> </w:t>
      </w:r>
      <w:r w:rsidRPr="005C2C43">
        <w:t>Commission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2011,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ensure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genuine</w:t>
      </w:r>
      <w:r w:rsidR="00A9638F">
        <w:t xml:space="preserve"> </w:t>
      </w:r>
      <w:r w:rsidRPr="005C2C43">
        <w:t>participation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concerned</w:t>
      </w:r>
      <w:r w:rsidR="00A9638F">
        <w:t xml:space="preserve"> </w:t>
      </w:r>
      <w:r w:rsidRPr="005C2C43">
        <w:t>communities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16;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121–123).</w:t>
      </w:r>
    </w:p>
    <w:p w:rsidR="001C3950" w:rsidRPr="005C2C43" w:rsidRDefault="001C3950" w:rsidP="00A9638F">
      <w:pPr>
        <w:pStyle w:val="SingleTxtG"/>
      </w:pPr>
      <w:r w:rsidRPr="005C2C43">
        <w:t>15.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steps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proofErr w:type="spellStart"/>
      <w:r w:rsidRPr="005C2C43">
        <w:t>officialize</w:t>
      </w:r>
      <w:proofErr w:type="spellEnd"/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preserve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Creole</w:t>
      </w:r>
      <w:r w:rsidR="00A9638F">
        <w:t xml:space="preserve"> </w:t>
      </w:r>
      <w:r w:rsidRPr="005C2C43">
        <w:t>language,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through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education</w:t>
      </w:r>
      <w:r w:rsidR="00A9638F">
        <w:t xml:space="preserve"> </w:t>
      </w:r>
      <w:r w:rsidRPr="005C2C43">
        <w:t>system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20;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139–140).</w:t>
      </w:r>
      <w:r w:rsidR="00A9638F">
        <w:t xml:space="preserve"> </w:t>
      </w:r>
    </w:p>
    <w:p w:rsidR="001C3950" w:rsidRPr="005C2C43" w:rsidRDefault="00A9638F" w:rsidP="00A9638F">
      <w:pPr>
        <w:pStyle w:val="H23G"/>
      </w:pPr>
      <w:r>
        <w:tab/>
      </w:r>
      <w:r>
        <w:tab/>
      </w:r>
      <w:r w:rsidR="001C3950" w:rsidRPr="005C2C43">
        <w:t>Situation</w:t>
      </w:r>
      <w:r>
        <w:t xml:space="preserve"> </w:t>
      </w:r>
      <w:r w:rsidR="001C3950" w:rsidRPr="005C2C43">
        <w:t>of</w:t>
      </w:r>
      <w:r>
        <w:t xml:space="preserve"> </w:t>
      </w:r>
      <w:r w:rsidR="001C3950" w:rsidRPr="005C2C43">
        <w:t>migrants,</w:t>
      </w:r>
      <w:r>
        <w:t xml:space="preserve"> </w:t>
      </w:r>
      <w:r w:rsidR="001C3950" w:rsidRPr="005C2C43">
        <w:t>asylum</w:t>
      </w:r>
      <w:r>
        <w:t xml:space="preserve"> </w:t>
      </w:r>
      <w:r w:rsidR="001C3950" w:rsidRPr="005C2C43">
        <w:t>seekers</w:t>
      </w:r>
      <w:r>
        <w:t xml:space="preserve"> </w:t>
      </w:r>
      <w:r w:rsidR="001C3950" w:rsidRPr="005C2C43">
        <w:t>and</w:t>
      </w:r>
      <w:r>
        <w:t xml:space="preserve"> </w:t>
      </w:r>
      <w:r w:rsidR="001C3950" w:rsidRPr="005C2C43">
        <w:t>refugees</w:t>
      </w:r>
      <w:r>
        <w:t xml:space="preserve"> </w:t>
      </w:r>
      <w:r w:rsidR="001C3950" w:rsidRPr="005C2C43">
        <w:t>(arts.</w:t>
      </w:r>
      <w:r>
        <w:t xml:space="preserve"> </w:t>
      </w:r>
      <w:r w:rsidR="001C3950" w:rsidRPr="005C2C43">
        <w:t>5</w:t>
      </w:r>
      <w:r>
        <w:t xml:space="preserve"> </w:t>
      </w:r>
      <w:r w:rsidR="001C3950" w:rsidRPr="005C2C43">
        <w:t>and</w:t>
      </w:r>
      <w:r>
        <w:t xml:space="preserve"> </w:t>
      </w:r>
      <w:r w:rsidR="001C3950" w:rsidRPr="005C2C43">
        <w:t>7)</w:t>
      </w:r>
    </w:p>
    <w:p w:rsidR="001C3950" w:rsidRPr="005C2C43" w:rsidRDefault="001C3950" w:rsidP="00A9638F">
      <w:pPr>
        <w:pStyle w:val="SingleTxtG"/>
      </w:pPr>
      <w:r w:rsidRPr="005C2C43">
        <w:t>16.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adopted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extend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protection</w:t>
      </w:r>
      <w:r w:rsidR="00A9638F">
        <w:t xml:space="preserve"> </w:t>
      </w:r>
      <w:r w:rsidRPr="005C2C43">
        <w:t>against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respect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access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employment</w:t>
      </w:r>
      <w:r w:rsidR="00A9638F">
        <w:t xml:space="preserve"> </w:t>
      </w:r>
      <w:r w:rsidRPr="005C2C43">
        <w:t>provided</w:t>
      </w:r>
      <w:r w:rsidR="00A9638F">
        <w:t xml:space="preserve"> </w:t>
      </w:r>
      <w:r w:rsidRPr="005C2C43">
        <w:t>for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2008</w:t>
      </w:r>
      <w:r w:rsidR="00A9638F">
        <w:t xml:space="preserve"> </w:t>
      </w:r>
      <w:r w:rsidRPr="005C2C43">
        <w:t>Equal</w:t>
      </w:r>
      <w:r w:rsidR="00A9638F">
        <w:t xml:space="preserve"> </w:t>
      </w:r>
      <w:r w:rsidRPr="005C2C43">
        <w:t>Opportunities</w:t>
      </w:r>
      <w:r w:rsidR="00A9638F">
        <w:t xml:space="preserve"> </w:t>
      </w:r>
      <w:r w:rsidRPr="005C2C43">
        <w:t>Act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domestic</w:t>
      </w:r>
      <w:r w:rsidR="00A9638F">
        <w:t xml:space="preserve"> </w:t>
      </w:r>
      <w:r w:rsidRPr="005C2C43">
        <w:t>workers,</w:t>
      </w:r>
      <w:r w:rsidR="00A9638F">
        <w:t xml:space="preserve"> </w:t>
      </w:r>
      <w:r w:rsidRPr="005C2C43">
        <w:t>who</w:t>
      </w:r>
      <w:r w:rsidR="00A9638F">
        <w:t xml:space="preserve"> </w:t>
      </w:r>
      <w:r w:rsidRPr="005C2C43">
        <w:t>are</w:t>
      </w:r>
      <w:r w:rsidR="00A9638F">
        <w:t xml:space="preserve"> </w:t>
      </w:r>
      <w:r w:rsidRPr="005C2C43">
        <w:t>particularly</w:t>
      </w:r>
      <w:r w:rsidR="00A9638F">
        <w:t xml:space="preserve"> </w:t>
      </w:r>
      <w:r w:rsidRPr="005C2C43">
        <w:t>vulnerable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discrimination</w:t>
      </w:r>
      <w:r w:rsidR="00A9638F">
        <w:t xml:space="preserve"> </w:t>
      </w:r>
      <w:r w:rsidRPr="005C2C43">
        <w:t>(CERD/C/MUS/20-23,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6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90–92).</w:t>
      </w:r>
    </w:p>
    <w:p w:rsidR="001C3950" w:rsidRPr="005C2C43" w:rsidRDefault="001C3950" w:rsidP="00A9638F">
      <w:pPr>
        <w:pStyle w:val="SingleTxtG"/>
      </w:pPr>
      <w:r w:rsidRPr="005C2C43">
        <w:t>17.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improve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working</w:t>
      </w:r>
      <w:r w:rsidR="00A9638F">
        <w:t xml:space="preserve"> </w:t>
      </w:r>
      <w:r w:rsidRPr="005C2C43">
        <w:t>conditions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migrant</w:t>
      </w:r>
      <w:r w:rsidR="00A9638F">
        <w:t xml:space="preserve"> </w:t>
      </w:r>
      <w:r w:rsidRPr="005C2C43">
        <w:t>workers,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domestic</w:t>
      </w:r>
      <w:r w:rsidR="00A9638F">
        <w:t xml:space="preserve"> </w:t>
      </w:r>
      <w:r w:rsidRPr="005C2C43">
        <w:t>workers,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prevent</w:t>
      </w:r>
      <w:r w:rsidR="00A9638F">
        <w:t xml:space="preserve"> </w:t>
      </w:r>
      <w:r w:rsidRPr="005C2C43">
        <w:t>their</w:t>
      </w:r>
      <w:r w:rsidR="00A9638F">
        <w:t xml:space="preserve"> </w:t>
      </w:r>
      <w:r w:rsidRPr="005C2C43">
        <w:t>exploitation,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through</w:t>
      </w:r>
      <w:r w:rsidR="00A9638F">
        <w:t xml:space="preserve"> </w:t>
      </w:r>
      <w:r w:rsidRPr="005C2C43">
        <w:t>effective</w:t>
      </w:r>
      <w:r w:rsidR="00A9638F">
        <w:t xml:space="preserve"> </w:t>
      </w:r>
      <w:r w:rsidRPr="005C2C43">
        <w:t>labour</w:t>
      </w:r>
      <w:r w:rsidR="00A9638F">
        <w:t xml:space="preserve"> </w:t>
      </w:r>
      <w:r w:rsidRPr="005C2C43">
        <w:t>inspections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sectors</w:t>
      </w:r>
      <w:r w:rsidR="00A9638F">
        <w:t xml:space="preserve"> </w:t>
      </w:r>
      <w:r w:rsidRPr="005C2C43">
        <w:t>that</w:t>
      </w:r>
      <w:r w:rsidR="00A9638F">
        <w:t xml:space="preserve"> </w:t>
      </w:r>
      <w:r w:rsidRPr="005C2C43">
        <w:t>employ</w:t>
      </w:r>
      <w:r w:rsidR="00A9638F">
        <w:t xml:space="preserve"> </w:t>
      </w:r>
      <w:r w:rsidRPr="005C2C43">
        <w:t>those</w:t>
      </w:r>
      <w:r w:rsidR="00A9638F">
        <w:t xml:space="preserve"> </w:t>
      </w:r>
      <w:r w:rsidRPr="005C2C43">
        <w:t>workers,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hold</w:t>
      </w:r>
      <w:r w:rsidR="00A9638F">
        <w:t xml:space="preserve"> </w:t>
      </w:r>
      <w:r w:rsidRPr="005C2C43">
        <w:t>abusive</w:t>
      </w:r>
      <w:r w:rsidR="00A9638F">
        <w:t xml:space="preserve"> </w:t>
      </w:r>
      <w:r w:rsidRPr="005C2C43">
        <w:lastRenderedPageBreak/>
        <w:t>employers</w:t>
      </w:r>
      <w:r w:rsidR="00A9638F">
        <w:t xml:space="preserve"> </w:t>
      </w:r>
      <w:r w:rsidRPr="005C2C43">
        <w:t>accountable</w:t>
      </w:r>
      <w:r w:rsidR="00A9638F">
        <w:t xml:space="preserve"> </w:t>
      </w:r>
      <w:r w:rsidRPr="005C2C43">
        <w:t>(CERD/C/MUS/CO/15-19,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22;</w:t>
      </w:r>
      <w:r w:rsidR="00A9638F">
        <w:t xml:space="preserve"> </w:t>
      </w:r>
      <w:r w:rsidRPr="005C2C43">
        <w:t>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90–92).</w:t>
      </w:r>
      <w:r w:rsidR="00A9638F">
        <w:t xml:space="preserve"> </w:t>
      </w:r>
    </w:p>
    <w:p w:rsidR="001C3950" w:rsidRPr="005C2C43" w:rsidRDefault="001C3950" w:rsidP="00A9638F">
      <w:pPr>
        <w:pStyle w:val="SingleTxtG"/>
      </w:pPr>
      <w:r w:rsidRPr="005C2C43">
        <w:t>18.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proofErr w:type="gramStart"/>
      <w:r w:rsidRPr="005C2C43">
        <w:t>to</w:t>
      </w:r>
      <w:r w:rsidR="00A9638F">
        <w:t xml:space="preserve"> </w:t>
      </w:r>
      <w:r w:rsidRPr="005C2C43">
        <w:t>more</w:t>
      </w:r>
      <w:r w:rsidR="00A9638F">
        <w:t xml:space="preserve"> </w:t>
      </w:r>
      <w:r w:rsidRPr="005C2C43">
        <w:t>effectively</w:t>
      </w:r>
      <w:r w:rsidR="00A9638F">
        <w:t xml:space="preserve"> </w:t>
      </w:r>
      <w:r w:rsidRPr="005C2C43">
        <w:t>address</w:t>
      </w:r>
      <w:proofErr w:type="gramEnd"/>
      <w:r w:rsidR="00A9638F">
        <w:t xml:space="preserve"> </w:t>
      </w:r>
      <w:r w:rsidRPr="005C2C43">
        <w:t>trafficking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persons,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migrants,</w:t>
      </w:r>
      <w:r w:rsidR="00A9638F">
        <w:t xml:space="preserve"> </w:t>
      </w:r>
      <w:r w:rsidRPr="005C2C43">
        <w:t>for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purposes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sexual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labour</w:t>
      </w:r>
      <w:r w:rsidR="00A9638F">
        <w:t xml:space="preserve"> </w:t>
      </w:r>
      <w:r w:rsidRPr="005C2C43">
        <w:t>exploitation,</w:t>
      </w:r>
      <w:r w:rsidR="00A9638F">
        <w:t xml:space="preserve"> </w:t>
      </w:r>
      <w:r w:rsidRPr="005C2C43">
        <w:t>which</w:t>
      </w:r>
      <w:r w:rsidR="00A9638F">
        <w:t xml:space="preserve"> </w:t>
      </w:r>
      <w:r w:rsidRPr="005C2C43">
        <w:t>reportedly</w:t>
      </w:r>
      <w:r w:rsidR="00A9638F">
        <w:t xml:space="preserve"> </w:t>
      </w:r>
      <w:r w:rsidRPr="005C2C43">
        <w:t>persists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State</w:t>
      </w:r>
      <w:r w:rsidR="00A9638F">
        <w:t xml:space="preserve"> </w:t>
      </w:r>
      <w:r w:rsidRPr="005C2C43">
        <w:t>party.</w:t>
      </w:r>
      <w:r w:rsidR="00A9638F">
        <w:t xml:space="preserve"> </w:t>
      </w:r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implementation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Combating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Trafficking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Persons</w:t>
      </w:r>
      <w:r w:rsidR="00A9638F">
        <w:t xml:space="preserve"> </w:t>
      </w:r>
      <w:r w:rsidRPr="005C2C43">
        <w:t>Act</w:t>
      </w:r>
      <w:r w:rsidR="00A9638F">
        <w:t xml:space="preserve"> </w:t>
      </w:r>
      <w:r w:rsidRPr="005C2C43">
        <w:t>(2009)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other</w:t>
      </w:r>
      <w:r w:rsidR="00A9638F">
        <w:t xml:space="preserve"> </w:t>
      </w:r>
      <w:r w:rsidRPr="005C2C43">
        <w:t>relevant</w:t>
      </w:r>
      <w:r w:rsidR="00A9638F">
        <w:t xml:space="preserve"> </w:t>
      </w:r>
      <w:r w:rsidRPr="005C2C43">
        <w:t>legislation,</w:t>
      </w:r>
      <w:r w:rsidR="00A9638F">
        <w:t xml:space="preserve"> </w:t>
      </w:r>
      <w:r w:rsidRPr="005C2C43">
        <w:t>notably</w:t>
      </w:r>
      <w:r w:rsidR="00A9638F">
        <w:t xml:space="preserve"> </w:t>
      </w:r>
      <w:r w:rsidRPr="005C2C43">
        <w:t>disaggregated</w:t>
      </w:r>
      <w:r w:rsidR="00A9638F">
        <w:t xml:space="preserve"> </w:t>
      </w:r>
      <w:r w:rsidRPr="005C2C43">
        <w:t>data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related</w:t>
      </w:r>
      <w:r w:rsidR="00A9638F">
        <w:t xml:space="preserve"> </w:t>
      </w:r>
      <w:r w:rsidRPr="005C2C43">
        <w:t>investigations,</w:t>
      </w:r>
      <w:r w:rsidR="00A9638F">
        <w:t xml:space="preserve"> </w:t>
      </w:r>
      <w:r w:rsidRPr="005C2C43">
        <w:t>prosecutions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outcomes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relevant</w:t>
      </w:r>
      <w:r w:rsidR="00A9638F">
        <w:t xml:space="preserve"> </w:t>
      </w:r>
      <w:r w:rsidRPr="005C2C43">
        <w:t>court</w:t>
      </w:r>
      <w:r w:rsidR="00A9638F">
        <w:t xml:space="preserve"> </w:t>
      </w:r>
      <w:r w:rsidRPr="005C2C43">
        <w:t>cases,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sentences</w:t>
      </w:r>
      <w:r w:rsidR="00A9638F">
        <w:t xml:space="preserve"> </w:t>
      </w:r>
      <w:r w:rsidRPr="005C2C43">
        <w:t>handed</w:t>
      </w:r>
      <w:r w:rsidR="00A9638F">
        <w:t xml:space="preserve"> </w:t>
      </w:r>
      <w:r w:rsidRPr="005C2C43">
        <w:t>down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perpetrators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remedies</w:t>
      </w:r>
      <w:r w:rsidR="00A9638F">
        <w:t xml:space="preserve"> </w:t>
      </w:r>
      <w:r w:rsidRPr="005C2C43">
        <w:t>provide</w:t>
      </w:r>
      <w:bookmarkStart w:id="0" w:name="_GoBack"/>
      <w:bookmarkEnd w:id="0"/>
      <w:r w:rsidRPr="005C2C43">
        <w:t>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victims</w:t>
      </w:r>
      <w:r w:rsidR="00A9638F">
        <w:t xml:space="preserve"> </w:t>
      </w:r>
      <w:r w:rsidRPr="005C2C43">
        <w:t>(CERD/C/MUS/20-23,</w:t>
      </w:r>
      <w:r w:rsidR="00A9638F">
        <w:t xml:space="preserve"> </w:t>
      </w:r>
      <w:r w:rsidRPr="005C2C43">
        <w:t>para.</w:t>
      </w:r>
      <w:r w:rsidR="00A9638F">
        <w:t xml:space="preserve"> </w:t>
      </w:r>
      <w:r w:rsidRPr="005C2C43">
        <w:t>142).</w:t>
      </w:r>
    </w:p>
    <w:p w:rsidR="001C3950" w:rsidRPr="005C2C43" w:rsidRDefault="001C3950" w:rsidP="00A9638F">
      <w:pPr>
        <w:pStyle w:val="SingleTxtG"/>
      </w:pPr>
      <w:r w:rsidRPr="005C2C43">
        <w:t>19.</w:t>
      </w:r>
      <w:r w:rsidRPr="005C2C43">
        <w:tab/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measures</w:t>
      </w:r>
      <w:r w:rsidR="00A9638F">
        <w:t xml:space="preserve"> </w:t>
      </w:r>
      <w:r w:rsidRPr="005C2C43">
        <w:t>taken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develop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implement</w:t>
      </w:r>
      <w:r w:rsidR="00A9638F">
        <w:t xml:space="preserve"> </w:t>
      </w:r>
      <w:r w:rsidRPr="005C2C43">
        <w:t>a</w:t>
      </w:r>
      <w:r w:rsidR="00A9638F">
        <w:t xml:space="preserve"> </w:t>
      </w:r>
      <w:r w:rsidRPr="005C2C43">
        <w:t>legal</w:t>
      </w:r>
      <w:r w:rsidR="00A9638F">
        <w:t xml:space="preserve"> </w:t>
      </w:r>
      <w:r w:rsidRPr="005C2C43">
        <w:t>framework</w:t>
      </w:r>
      <w:r w:rsidR="00A9638F">
        <w:t xml:space="preserve"> </w:t>
      </w:r>
      <w:r w:rsidRPr="005C2C43">
        <w:t>for</w:t>
      </w:r>
      <w:r w:rsidR="00337801">
        <w:t xml:space="preserve"> </w:t>
      </w:r>
      <w:r w:rsidRPr="005C2C43">
        <w:t>protection</w:t>
      </w:r>
      <w:r w:rsidR="00A9638F">
        <w:t xml:space="preserve"> </w:t>
      </w:r>
      <w:r w:rsidRPr="005C2C43">
        <w:t>against</w:t>
      </w:r>
      <w:r w:rsidR="00A9638F">
        <w:t xml:space="preserve"> </w:t>
      </w:r>
      <w:proofErr w:type="spellStart"/>
      <w:r w:rsidRPr="005C2C43">
        <w:t>refoulement</w:t>
      </w:r>
      <w:proofErr w:type="spellEnd"/>
      <w:r w:rsidRPr="005C2C43">
        <w:t>,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accordance</w:t>
      </w:r>
      <w:r w:rsidR="00A9638F">
        <w:t xml:space="preserve"> </w:t>
      </w:r>
      <w:r w:rsidRPr="005C2C43">
        <w:t>with</w:t>
      </w:r>
      <w:r w:rsidR="00A9638F">
        <w:t xml:space="preserve"> </w:t>
      </w:r>
      <w:r w:rsidRPr="005C2C43">
        <w:t>international</w:t>
      </w:r>
      <w:r w:rsidR="00A9638F">
        <w:t xml:space="preserve"> </w:t>
      </w:r>
      <w:r w:rsidRPr="005C2C43">
        <w:t>standards.</w:t>
      </w:r>
      <w:r w:rsidR="00A9638F">
        <w:t xml:space="preserve"> </w:t>
      </w:r>
      <w:r w:rsidRPr="005C2C43">
        <w:t>Updated</w:t>
      </w:r>
      <w:r w:rsidR="00A9638F">
        <w:t xml:space="preserve"> </w:t>
      </w:r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situation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persons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need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international</w:t>
      </w:r>
      <w:r w:rsidR="00A9638F">
        <w:t xml:space="preserve"> </w:t>
      </w:r>
      <w:r w:rsidRPr="005C2C43">
        <w:t>protection,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their</w:t>
      </w:r>
      <w:r w:rsidR="00A9638F">
        <w:t xml:space="preserve"> </w:t>
      </w:r>
      <w:r w:rsidRPr="005C2C43">
        <w:t>access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basic</w:t>
      </w:r>
      <w:r w:rsidR="00A9638F">
        <w:t xml:space="preserve"> </w:t>
      </w:r>
      <w:r w:rsidRPr="005C2C43">
        <w:t>services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protection</w:t>
      </w:r>
      <w:r w:rsidR="00A9638F">
        <w:t xml:space="preserve"> </w:t>
      </w:r>
      <w:r w:rsidRPr="005C2C43">
        <w:t>against</w:t>
      </w:r>
      <w:r w:rsidR="00A9638F">
        <w:t xml:space="preserve"> </w:t>
      </w:r>
      <w:proofErr w:type="spellStart"/>
      <w:r w:rsidRPr="005C2C43">
        <w:t>refoulement</w:t>
      </w:r>
      <w:proofErr w:type="spellEnd"/>
      <w:r w:rsidR="00A9638F">
        <w:t xml:space="preserve"> </w:t>
      </w:r>
      <w:r w:rsidRPr="005C2C43">
        <w:t>(CERD/C/MUS/20-23,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37–46).</w:t>
      </w:r>
    </w:p>
    <w:p w:rsidR="001C3950" w:rsidRPr="005C2C43" w:rsidRDefault="00A9638F" w:rsidP="00A9638F">
      <w:pPr>
        <w:pStyle w:val="H23G"/>
      </w:pPr>
      <w:r>
        <w:tab/>
      </w:r>
      <w:r>
        <w:tab/>
      </w:r>
      <w:r w:rsidR="001C3950" w:rsidRPr="005C2C43">
        <w:t>Human</w:t>
      </w:r>
      <w:r>
        <w:t xml:space="preserve"> </w:t>
      </w:r>
      <w:r w:rsidR="001C3950" w:rsidRPr="005C2C43">
        <w:t>rights</w:t>
      </w:r>
      <w:r>
        <w:t xml:space="preserve"> </w:t>
      </w:r>
      <w:r w:rsidR="001C3950" w:rsidRPr="005C2C43">
        <w:t>education</w:t>
      </w:r>
      <w:r>
        <w:t xml:space="preserve"> </w:t>
      </w:r>
      <w:r w:rsidR="001C3950" w:rsidRPr="005C2C43">
        <w:t>and</w:t>
      </w:r>
      <w:r>
        <w:t xml:space="preserve"> </w:t>
      </w:r>
      <w:r w:rsidR="001C3950" w:rsidRPr="005C2C43">
        <w:t>training</w:t>
      </w:r>
      <w:r>
        <w:t xml:space="preserve"> </w:t>
      </w:r>
      <w:r w:rsidR="001C3950" w:rsidRPr="005C2C43">
        <w:t>(art.</w:t>
      </w:r>
      <w:r>
        <w:t xml:space="preserve"> </w:t>
      </w:r>
      <w:r w:rsidR="001C3950" w:rsidRPr="005C2C43">
        <w:t>7)</w:t>
      </w:r>
    </w:p>
    <w:p w:rsidR="001C3950" w:rsidRPr="005C2C43" w:rsidRDefault="001C3950" w:rsidP="00A9638F">
      <w:pPr>
        <w:pStyle w:val="SingleTxtG"/>
      </w:pPr>
      <w:r w:rsidRPr="005C2C43">
        <w:t>20.</w:t>
      </w:r>
      <w:r w:rsidRPr="005C2C43">
        <w:tab/>
        <w:t>Efforts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assess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impact</w:t>
      </w:r>
      <w:r w:rsidR="00A9638F">
        <w:t xml:space="preserve"> </w:t>
      </w:r>
      <w:r w:rsidRPr="005C2C43">
        <w:t>of</w:t>
      </w:r>
      <w:r w:rsidR="00A9638F">
        <w:t xml:space="preserve"> </w:t>
      </w:r>
      <w:r w:rsidRPr="005C2C43">
        <w:t>human</w:t>
      </w:r>
      <w:r w:rsidR="00A9638F">
        <w:t xml:space="preserve"> </w:t>
      </w:r>
      <w:r w:rsidRPr="005C2C43">
        <w:t>rights,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protected</w:t>
      </w:r>
      <w:r w:rsidR="00A9638F">
        <w:t xml:space="preserve"> </w:t>
      </w:r>
      <w:r w:rsidRPr="005C2C43">
        <w:t>under</w:t>
      </w:r>
      <w:r w:rsidR="00A9638F">
        <w:t xml:space="preserve"> </w:t>
      </w:r>
      <w:r w:rsidRPr="005C2C43">
        <w:t>the</w:t>
      </w:r>
      <w:r w:rsidR="00A9638F">
        <w:t xml:space="preserve"> </w:t>
      </w:r>
      <w:r w:rsidRPr="005C2C43">
        <w:t>Convention,</w:t>
      </w:r>
      <w:r w:rsidR="00A9638F">
        <w:t xml:space="preserve"> </w:t>
      </w:r>
      <w:r w:rsidRPr="005C2C43">
        <w:t>training</w:t>
      </w:r>
      <w:r w:rsidR="00A9638F">
        <w:t xml:space="preserve"> </w:t>
      </w:r>
      <w:r w:rsidRPr="005C2C43">
        <w:t>programmes</w:t>
      </w:r>
      <w:r w:rsidR="00A9638F">
        <w:t xml:space="preserve"> </w:t>
      </w:r>
      <w:r w:rsidRPr="005C2C43">
        <w:t>provided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police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other</w:t>
      </w:r>
      <w:r w:rsidR="00A9638F">
        <w:t xml:space="preserve"> </w:t>
      </w:r>
      <w:r w:rsidRPr="005C2C43">
        <w:t>law</w:t>
      </w:r>
      <w:r w:rsidR="00A9638F">
        <w:t xml:space="preserve"> </w:t>
      </w:r>
      <w:r w:rsidRPr="005C2C43">
        <w:t>enforcement</w:t>
      </w:r>
      <w:r w:rsidR="00A9638F">
        <w:t xml:space="preserve"> </w:t>
      </w:r>
      <w:r w:rsidRPr="005C2C43">
        <w:t>officials.</w:t>
      </w:r>
      <w:r w:rsidR="00A9638F">
        <w:t xml:space="preserve"> </w:t>
      </w:r>
      <w:r w:rsidRPr="005C2C43">
        <w:t>Information</w:t>
      </w:r>
      <w:r w:rsidR="00A9638F">
        <w:t xml:space="preserve"> </w:t>
      </w:r>
      <w:r w:rsidRPr="005C2C43">
        <w:t>on</w:t>
      </w:r>
      <w:r w:rsidR="00A9638F">
        <w:t xml:space="preserve"> </w:t>
      </w:r>
      <w:r w:rsidRPr="005C2C43">
        <w:t>human</w:t>
      </w:r>
      <w:r w:rsidR="00A9638F">
        <w:t xml:space="preserve"> </w:t>
      </w:r>
      <w:r w:rsidRPr="005C2C43">
        <w:t>rights</w:t>
      </w:r>
      <w:r w:rsidR="00A9638F">
        <w:t xml:space="preserve"> </w:t>
      </w:r>
      <w:r w:rsidRPr="005C2C43">
        <w:t>training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education</w:t>
      </w:r>
      <w:r w:rsidR="00A9638F">
        <w:t xml:space="preserve"> </w:t>
      </w:r>
      <w:r w:rsidRPr="005C2C43">
        <w:t>programmes</w:t>
      </w:r>
      <w:r w:rsidR="00A9638F">
        <w:t xml:space="preserve"> </w:t>
      </w:r>
      <w:r w:rsidRPr="005C2C43">
        <w:t>implemented,</w:t>
      </w:r>
      <w:r w:rsidR="00A9638F">
        <w:t xml:space="preserve"> </w:t>
      </w:r>
      <w:r w:rsidRPr="005C2C43">
        <w:t>including</w:t>
      </w:r>
      <w:r w:rsidR="00A9638F">
        <w:t xml:space="preserve"> </w:t>
      </w:r>
      <w:r w:rsidRPr="005C2C43">
        <w:t>in</w:t>
      </w:r>
      <w:r w:rsidR="00A9638F">
        <w:t xml:space="preserve"> </w:t>
      </w:r>
      <w:r w:rsidRPr="005C2C43">
        <w:t>schools,</w:t>
      </w:r>
      <w:r w:rsidR="00A9638F">
        <w:t xml:space="preserve"> </w:t>
      </w:r>
      <w:r w:rsidRPr="005C2C43">
        <w:t>to</w:t>
      </w:r>
      <w:r w:rsidR="00A9638F">
        <w:t xml:space="preserve"> </w:t>
      </w:r>
      <w:r w:rsidRPr="005C2C43">
        <w:t>foster</w:t>
      </w:r>
      <w:r w:rsidR="00A9638F">
        <w:t xml:space="preserve"> </w:t>
      </w:r>
      <w:r w:rsidRPr="005C2C43">
        <w:t>reconciliation,</w:t>
      </w:r>
      <w:r w:rsidR="00A9638F">
        <w:t xml:space="preserve"> </w:t>
      </w:r>
      <w:r w:rsidRPr="005C2C43">
        <w:t>inclusiveness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understanding</w:t>
      </w:r>
      <w:r w:rsidR="00A9638F">
        <w:t xml:space="preserve"> </w:t>
      </w:r>
      <w:r w:rsidRPr="005C2C43">
        <w:t>(CERD/C/MUS/20-23,</w:t>
      </w:r>
      <w:r w:rsidR="00A9638F">
        <w:t xml:space="preserve"> </w:t>
      </w:r>
      <w:r w:rsidRPr="005C2C43">
        <w:t>paras.</w:t>
      </w:r>
      <w:r w:rsidR="00A9638F">
        <w:t xml:space="preserve"> </w:t>
      </w:r>
      <w:r w:rsidRPr="005C2C43">
        <w:t>137–139</w:t>
      </w:r>
      <w:r w:rsidR="00A9638F">
        <w:t xml:space="preserve"> </w:t>
      </w:r>
      <w:r w:rsidRPr="005C2C43">
        <w:t>and</w:t>
      </w:r>
      <w:r w:rsidR="00A9638F">
        <w:t xml:space="preserve"> </w:t>
      </w:r>
      <w:r w:rsidRPr="005C2C43">
        <w:t>141–148).</w:t>
      </w:r>
    </w:p>
    <w:p w:rsidR="00A9638F" w:rsidRDefault="00A963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638F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8F" w:rsidRPr="00A0297D" w:rsidRDefault="00A9638F" w:rsidP="00A0297D">
      <w:pPr>
        <w:pStyle w:val="Footer"/>
      </w:pPr>
    </w:p>
  </w:endnote>
  <w:endnote w:type="continuationSeparator" w:id="0">
    <w:p w:rsidR="00A9638F" w:rsidRPr="00A0297D" w:rsidRDefault="00A9638F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8F" w:rsidRDefault="00A9638F" w:rsidP="00337801">
    <w:pPr>
      <w:pStyle w:val="Footer"/>
      <w:tabs>
        <w:tab w:val="right" w:pos="9638"/>
      </w:tabs>
    </w:pPr>
    <w:r w:rsidRPr="00A447F9">
      <w:rPr>
        <w:b/>
        <w:bCs/>
        <w:sz w:val="18"/>
      </w:rPr>
      <w:fldChar w:fldCharType="begin"/>
    </w:r>
    <w:r w:rsidRPr="00A447F9">
      <w:rPr>
        <w:b/>
        <w:bCs/>
        <w:sz w:val="18"/>
      </w:rPr>
      <w:instrText xml:space="preserve"> PAGE  \* MERGEFORMAT </w:instrText>
    </w:r>
    <w:r w:rsidRPr="00A447F9">
      <w:rPr>
        <w:b/>
        <w:bCs/>
        <w:sz w:val="18"/>
      </w:rPr>
      <w:fldChar w:fldCharType="separate"/>
    </w:r>
    <w:r w:rsidR="009873E6">
      <w:rPr>
        <w:b/>
        <w:bCs/>
        <w:noProof/>
        <w:sz w:val="18"/>
      </w:rPr>
      <w:t>2</w:t>
    </w:r>
    <w:r w:rsidRPr="00A447F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8F" w:rsidRDefault="00A9638F" w:rsidP="00A447F9">
    <w:pPr>
      <w:pStyle w:val="Footer"/>
      <w:tabs>
        <w:tab w:val="right" w:pos="9638"/>
      </w:tabs>
    </w:pPr>
    <w:r>
      <w:tab/>
    </w:r>
    <w:r w:rsidRPr="00A447F9">
      <w:rPr>
        <w:b/>
        <w:bCs/>
        <w:sz w:val="18"/>
      </w:rPr>
      <w:fldChar w:fldCharType="begin"/>
    </w:r>
    <w:r w:rsidRPr="00A447F9">
      <w:rPr>
        <w:b/>
        <w:bCs/>
        <w:sz w:val="18"/>
      </w:rPr>
      <w:instrText xml:space="preserve"> PAGE  \* MERGEFORMAT </w:instrText>
    </w:r>
    <w:r w:rsidRPr="00A447F9">
      <w:rPr>
        <w:b/>
        <w:bCs/>
        <w:sz w:val="18"/>
      </w:rPr>
      <w:fldChar w:fldCharType="separate"/>
    </w:r>
    <w:r w:rsidR="009873E6">
      <w:rPr>
        <w:b/>
        <w:bCs/>
        <w:noProof/>
        <w:sz w:val="18"/>
      </w:rPr>
      <w:t>3</w:t>
    </w:r>
    <w:r w:rsidRPr="00A447F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E6" w:rsidRDefault="009873E6" w:rsidP="009873E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73E6" w:rsidRDefault="009873E6" w:rsidP="009873E6">
    <w:pPr>
      <w:pStyle w:val="Footer"/>
      <w:ind w:right="1134"/>
      <w:rPr>
        <w:sz w:val="20"/>
      </w:rPr>
    </w:pPr>
    <w:r>
      <w:rPr>
        <w:sz w:val="20"/>
      </w:rPr>
      <w:t>GE.18-09397(E)</w:t>
    </w:r>
  </w:p>
  <w:p w:rsidR="009873E6" w:rsidRPr="009873E6" w:rsidRDefault="009873E6" w:rsidP="009873E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MUS/Q/20-2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US/Q/20-2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8F" w:rsidRPr="00A0297D" w:rsidRDefault="00A9638F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9638F" w:rsidRPr="00A0297D" w:rsidRDefault="00A9638F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8F" w:rsidRDefault="00A9638F" w:rsidP="00A447F9">
    <w:pPr>
      <w:pStyle w:val="Header"/>
    </w:pPr>
    <w:r>
      <w:t>CERD/C/MUS/Q/20-23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8F" w:rsidRDefault="00A9638F" w:rsidP="00A447F9">
    <w:pPr>
      <w:pStyle w:val="Header"/>
      <w:jc w:val="right"/>
    </w:pPr>
    <w:r>
      <w:t>CERD/C/MUS/Q/20-23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08E"/>
    <w:rsid w:val="00046E92"/>
    <w:rsid w:val="0007608E"/>
    <w:rsid w:val="001C3950"/>
    <w:rsid w:val="00247E2C"/>
    <w:rsid w:val="00275429"/>
    <w:rsid w:val="002D6C53"/>
    <w:rsid w:val="002F5595"/>
    <w:rsid w:val="00307688"/>
    <w:rsid w:val="00334F6A"/>
    <w:rsid w:val="00337801"/>
    <w:rsid w:val="00342AC8"/>
    <w:rsid w:val="003B4550"/>
    <w:rsid w:val="0040048B"/>
    <w:rsid w:val="00461253"/>
    <w:rsid w:val="005042C2"/>
    <w:rsid w:val="00557F19"/>
    <w:rsid w:val="00671529"/>
    <w:rsid w:val="00710E8E"/>
    <w:rsid w:val="007268F9"/>
    <w:rsid w:val="00735147"/>
    <w:rsid w:val="007C52B0"/>
    <w:rsid w:val="00883988"/>
    <w:rsid w:val="008E0F96"/>
    <w:rsid w:val="008F1DFB"/>
    <w:rsid w:val="009411B4"/>
    <w:rsid w:val="009873E6"/>
    <w:rsid w:val="009D0139"/>
    <w:rsid w:val="009E308A"/>
    <w:rsid w:val="009F5CDC"/>
    <w:rsid w:val="00A0297D"/>
    <w:rsid w:val="00A447F9"/>
    <w:rsid w:val="00A775CF"/>
    <w:rsid w:val="00A9638F"/>
    <w:rsid w:val="00B06045"/>
    <w:rsid w:val="00C01462"/>
    <w:rsid w:val="00C27E89"/>
    <w:rsid w:val="00C35A27"/>
    <w:rsid w:val="00CB1FB9"/>
    <w:rsid w:val="00D93B97"/>
    <w:rsid w:val="00DA7116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79AF372F-C082-46D8-AEE9-15D1F68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340C-361B-4DE0-9E5E-FE6D817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1062</Words>
  <Characters>6424</Characters>
  <Application>Microsoft Office Word</Application>
  <DocSecurity>0</DocSecurity>
  <Lines>119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CERD/C/MUS/Q/20-23</vt:lpstr>
    </vt:vector>
  </TitlesOfParts>
  <Company>DCM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CERD/C/MUS/Q/20-23</dc:title>
  <dc:subject>1809397</dc:subject>
  <dc:creator>Brigoli</dc:creator>
  <cp:keywords/>
  <dc:description/>
  <cp:lastModifiedBy>Generic Desk Anglais</cp:lastModifiedBy>
  <cp:revision>2</cp:revision>
  <cp:lastPrinted>2018-06-06T08:17:00Z</cp:lastPrinted>
  <dcterms:created xsi:type="dcterms:W3CDTF">2018-06-08T13:49:00Z</dcterms:created>
  <dcterms:modified xsi:type="dcterms:W3CDTF">2018-06-08T13:49:00Z</dcterms:modified>
</cp:coreProperties>
</file>