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E498C" w:rsidRPr="00F43810" w:rsidTr="00B21018">
        <w:trPr>
          <w:cantSplit/>
          <w:trHeight w:hRule="exact" w:val="851"/>
        </w:trPr>
        <w:tc>
          <w:tcPr>
            <w:tcW w:w="1276" w:type="dxa"/>
            <w:tcBorders>
              <w:bottom w:val="single" w:sz="4" w:space="0" w:color="auto"/>
            </w:tcBorders>
            <w:shd w:val="clear" w:color="auto" w:fill="auto"/>
            <w:vAlign w:val="bottom"/>
          </w:tcPr>
          <w:p w:rsidR="001E498C" w:rsidRPr="00F43810" w:rsidRDefault="001E498C" w:rsidP="00B21018">
            <w:pPr>
              <w:spacing w:after="80"/>
            </w:pPr>
          </w:p>
        </w:tc>
        <w:tc>
          <w:tcPr>
            <w:tcW w:w="2268" w:type="dxa"/>
            <w:tcBorders>
              <w:bottom w:val="single" w:sz="4" w:space="0" w:color="auto"/>
            </w:tcBorders>
            <w:shd w:val="clear" w:color="auto" w:fill="auto"/>
            <w:vAlign w:val="bottom"/>
          </w:tcPr>
          <w:p w:rsidR="001E498C" w:rsidRPr="00B21018" w:rsidRDefault="00F43810" w:rsidP="00B21018">
            <w:pPr>
              <w:spacing w:after="80" w:line="300" w:lineRule="exact"/>
              <w:rPr>
                <w:b/>
                <w:sz w:val="24"/>
                <w:szCs w:val="24"/>
              </w:rPr>
            </w:pPr>
            <w:r w:rsidRPr="00B21018">
              <w:rPr>
                <w:sz w:val="28"/>
              </w:rPr>
              <w:t>Nations Unies</w:t>
            </w:r>
          </w:p>
        </w:tc>
        <w:tc>
          <w:tcPr>
            <w:tcW w:w="6095" w:type="dxa"/>
            <w:gridSpan w:val="2"/>
            <w:tcBorders>
              <w:bottom w:val="single" w:sz="4" w:space="0" w:color="auto"/>
            </w:tcBorders>
            <w:shd w:val="clear" w:color="auto" w:fill="auto"/>
            <w:vAlign w:val="bottom"/>
          </w:tcPr>
          <w:p w:rsidR="001E498C" w:rsidRPr="00F43810" w:rsidRDefault="001E498C" w:rsidP="0009631D">
            <w:pPr>
              <w:suppressAutoHyphens w:val="0"/>
              <w:spacing w:after="20"/>
              <w:jc w:val="right"/>
            </w:pPr>
            <w:r w:rsidRPr="00B21018">
              <w:rPr>
                <w:sz w:val="40"/>
              </w:rPr>
              <w:t>CAT</w:t>
            </w:r>
            <w:r w:rsidRPr="00F43810">
              <w:t>/</w:t>
            </w:r>
            <w:r w:rsidR="0009631D">
              <w:fldChar w:fldCharType="begin"/>
            </w:r>
            <w:r w:rsidR="0009631D">
              <w:instrText xml:space="preserve"> DOCPROPERTY  sym1 </w:instrText>
            </w:r>
            <w:r w:rsidR="0009631D">
              <w:fldChar w:fldCharType="separate"/>
            </w:r>
            <w:r w:rsidR="005E4CCB">
              <w:t>C/CHE/QPR/8</w:t>
            </w:r>
            <w:r w:rsidR="0009631D">
              <w:fldChar w:fldCharType="end"/>
            </w:r>
          </w:p>
        </w:tc>
      </w:tr>
      <w:tr w:rsidR="001E498C" w:rsidRPr="00F43810" w:rsidTr="00B21018">
        <w:trPr>
          <w:cantSplit/>
          <w:trHeight w:hRule="exact" w:val="2835"/>
        </w:trPr>
        <w:tc>
          <w:tcPr>
            <w:tcW w:w="1276" w:type="dxa"/>
            <w:tcBorders>
              <w:top w:val="single" w:sz="4" w:space="0" w:color="auto"/>
              <w:bottom w:val="single" w:sz="12" w:space="0" w:color="auto"/>
            </w:tcBorders>
            <w:shd w:val="clear" w:color="auto" w:fill="auto"/>
          </w:tcPr>
          <w:p w:rsidR="001E498C" w:rsidRPr="00F43810" w:rsidRDefault="005D4B74" w:rsidP="00B21018">
            <w:pPr>
              <w:spacing w:before="120"/>
              <w:jc w:val="center"/>
            </w:pPr>
            <w:r>
              <w:rPr>
                <w:noProof/>
                <w:lang w:eastAsia="fr-CH"/>
              </w:rPr>
              <w:drawing>
                <wp:inline distT="0" distB="0" distL="0" distR="0">
                  <wp:extent cx="716915" cy="59309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E498C" w:rsidRPr="00F43810" w:rsidRDefault="00F43810" w:rsidP="00B21018">
            <w:pPr>
              <w:spacing w:before="120" w:line="380" w:lineRule="exact"/>
            </w:pPr>
            <w:r w:rsidRPr="00B21018">
              <w:rPr>
                <w:b/>
                <w:sz w:val="34"/>
                <w:szCs w:val="34"/>
              </w:rPr>
              <w:t>Convention contre</w:t>
            </w:r>
            <w:r w:rsidRPr="00B21018">
              <w:rPr>
                <w:b/>
                <w:sz w:val="34"/>
                <w:szCs w:val="34"/>
              </w:rPr>
              <w:br/>
              <w:t>la torture et autres peines</w:t>
            </w:r>
            <w:r w:rsidRPr="00B21018">
              <w:rPr>
                <w:b/>
                <w:sz w:val="34"/>
                <w:szCs w:val="34"/>
              </w:rPr>
              <w:br/>
              <w:t>ou traitements cruels,</w:t>
            </w:r>
            <w:r w:rsidRPr="00B21018">
              <w:rPr>
                <w:b/>
                <w:sz w:val="34"/>
                <w:szCs w:val="34"/>
              </w:rPr>
              <w:br/>
              <w:t>inhumains ou dégradants</w:t>
            </w:r>
          </w:p>
        </w:tc>
        <w:tc>
          <w:tcPr>
            <w:tcW w:w="2835" w:type="dxa"/>
            <w:tcBorders>
              <w:top w:val="single" w:sz="4" w:space="0" w:color="auto"/>
              <w:bottom w:val="single" w:sz="12" w:space="0" w:color="auto"/>
            </w:tcBorders>
            <w:shd w:val="clear" w:color="auto" w:fill="auto"/>
          </w:tcPr>
          <w:p w:rsidR="001E498C" w:rsidRPr="00F43810" w:rsidRDefault="001E498C" w:rsidP="00B21018">
            <w:pPr>
              <w:suppressAutoHyphens w:val="0"/>
              <w:spacing w:before="240" w:line="240" w:lineRule="exact"/>
            </w:pPr>
            <w:proofErr w:type="spellStart"/>
            <w:r w:rsidRPr="00F43810">
              <w:t>Distr</w:t>
            </w:r>
            <w:proofErr w:type="spellEnd"/>
            <w:r w:rsidRPr="00F43810">
              <w:t xml:space="preserve">. </w:t>
            </w:r>
            <w:r w:rsidR="006F2453">
              <w:t>général</w:t>
            </w:r>
            <w:r w:rsidR="00845E18">
              <w:t>e</w:t>
            </w:r>
          </w:p>
          <w:p w:rsidR="001E498C" w:rsidRPr="00F43810" w:rsidRDefault="0050788C" w:rsidP="00B21018">
            <w:pPr>
              <w:suppressAutoHyphens w:val="0"/>
            </w:pPr>
            <w:r>
              <w:t>8</w:t>
            </w:r>
            <w:r w:rsidR="00845E18">
              <w:t xml:space="preserve"> janvier 2018</w:t>
            </w:r>
          </w:p>
          <w:p w:rsidR="006056E0" w:rsidRPr="00F43810" w:rsidRDefault="00AE711B" w:rsidP="00B21018">
            <w:pPr>
              <w:suppressAutoHyphens w:val="0"/>
            </w:pPr>
            <w:r>
              <w:fldChar w:fldCharType="begin"/>
            </w:r>
            <w:r>
              <w:instrText xml:space="preserve"> DOCPROPERTY  tlang  \* MERGEFORMAT </w:instrText>
            </w:r>
            <w:r>
              <w:fldChar w:fldCharType="end"/>
            </w:r>
          </w:p>
          <w:p w:rsidR="007049AA" w:rsidRDefault="007049AA" w:rsidP="00B21018">
            <w:pPr>
              <w:spacing w:line="240" w:lineRule="exact"/>
            </w:pPr>
            <w:r>
              <w:t>Original</w:t>
            </w:r>
            <w:r w:rsidR="00845E18">
              <w:t> </w:t>
            </w:r>
            <w:r>
              <w:t xml:space="preserve">: français </w:t>
            </w:r>
          </w:p>
          <w:p w:rsidR="006056E0" w:rsidRPr="00F43810" w:rsidRDefault="007049AA" w:rsidP="00B21018">
            <w:pPr>
              <w:suppressAutoHyphens w:val="0"/>
            </w:pPr>
            <w:r>
              <w:t>Anglais, espagnol et français seulement</w:t>
            </w:r>
          </w:p>
        </w:tc>
      </w:tr>
    </w:tbl>
    <w:p w:rsidR="007049AA" w:rsidRPr="007049AA" w:rsidRDefault="007049AA" w:rsidP="007049AA">
      <w:pPr>
        <w:suppressAutoHyphens w:val="0"/>
        <w:autoSpaceDE w:val="0"/>
        <w:autoSpaceDN w:val="0"/>
        <w:adjustRightInd w:val="0"/>
        <w:spacing w:before="120" w:line="240" w:lineRule="auto"/>
        <w:rPr>
          <w:b/>
          <w:bCs/>
          <w:color w:val="000000"/>
          <w:sz w:val="24"/>
          <w:szCs w:val="24"/>
          <w:lang w:eastAsia="en-GB"/>
        </w:rPr>
      </w:pPr>
      <w:r w:rsidRPr="007049AA">
        <w:rPr>
          <w:b/>
          <w:bCs/>
          <w:color w:val="000000"/>
          <w:sz w:val="24"/>
          <w:szCs w:val="24"/>
          <w:lang w:eastAsia="en-GB"/>
        </w:rPr>
        <w:t>Comité contre la torture</w:t>
      </w:r>
    </w:p>
    <w:p w:rsidR="00C54ED5" w:rsidRPr="00775673" w:rsidRDefault="00C54ED5" w:rsidP="001D352B">
      <w:pPr>
        <w:pStyle w:val="HChG"/>
      </w:pPr>
      <w:r>
        <w:tab/>
      </w:r>
      <w:r>
        <w:tab/>
      </w:r>
      <w:r w:rsidR="000F61AB" w:rsidRPr="00BE7074">
        <w:t>Liste de</w:t>
      </w:r>
      <w:r w:rsidR="000F61AB">
        <w:t xml:space="preserve"> points établie avant la</w:t>
      </w:r>
      <w:r w:rsidR="000F61AB" w:rsidRPr="00BE7074">
        <w:t xml:space="preserve"> </w:t>
      </w:r>
      <w:r w:rsidR="000F61AB">
        <w:t>soumission du</w:t>
      </w:r>
      <w:r w:rsidR="00970623">
        <w:t xml:space="preserve"> </w:t>
      </w:r>
      <w:r w:rsidR="005E4CCB">
        <w:fldChar w:fldCharType="begin"/>
      </w:r>
      <w:r w:rsidR="005E4CCB">
        <w:instrText xml:space="preserve"> DOCPROPERTY  prep  \* MERGEFORMAT </w:instrText>
      </w:r>
      <w:r w:rsidR="005E4CCB">
        <w:fldChar w:fldCharType="separate"/>
      </w:r>
      <w:r w:rsidR="005E4CCB">
        <w:t xml:space="preserve">huitième rapport périodique de la Suisse </w:t>
      </w:r>
      <w:r w:rsidR="005E4CCB">
        <w:fldChar w:fldCharType="end"/>
      </w:r>
      <w:r w:rsidR="007049AA" w:rsidRPr="00270075">
        <w:rPr>
          <w:b w:val="0"/>
          <w:bCs/>
          <w:sz w:val="20"/>
        </w:rPr>
        <w:footnoteReference w:customMarkFollows="1" w:id="2"/>
        <w:t>*</w:t>
      </w:r>
    </w:p>
    <w:p w:rsidR="000F61AB" w:rsidRPr="00BE7074" w:rsidRDefault="000F61AB" w:rsidP="00987543">
      <w:pPr>
        <w:pStyle w:val="H1G"/>
      </w:pPr>
      <w:r w:rsidRPr="00BE7074">
        <w:tab/>
      </w:r>
      <w:r w:rsidRPr="00BE7074">
        <w:tab/>
        <w:t>Renseignements concernant spécifiquement la mise en œuvre des</w:t>
      </w:r>
      <w:r>
        <w:t> </w:t>
      </w:r>
      <w:r w:rsidRPr="00BE7074">
        <w:t>articles 1</w:t>
      </w:r>
      <w:r w:rsidRPr="00BE7074">
        <w:rPr>
          <w:vertAlign w:val="superscript"/>
        </w:rPr>
        <w:t>er</w:t>
      </w:r>
      <w:r>
        <w:t xml:space="preserve"> </w:t>
      </w:r>
      <w:r w:rsidRPr="00BE7074">
        <w:t>à 16 de la Conv</w:t>
      </w:r>
      <w:r>
        <w:t>ention, notamment au regard des </w:t>
      </w:r>
      <w:r w:rsidRPr="00BE7074">
        <w:t>précédentes recommandations du Comité</w:t>
      </w:r>
    </w:p>
    <w:p w:rsidR="007049AA" w:rsidRPr="007049AA" w:rsidRDefault="000F61AB" w:rsidP="007049AA">
      <w:pPr>
        <w:pStyle w:val="H23G"/>
        <w:rPr>
          <w:lang w:val="fr-FR" w:eastAsia="en-GB"/>
        </w:rPr>
      </w:pPr>
      <w:r w:rsidRPr="00BE7074">
        <w:tab/>
      </w:r>
      <w:r w:rsidRPr="00BE7074">
        <w:tab/>
      </w:r>
      <w:r w:rsidR="007049AA" w:rsidRPr="007049AA">
        <w:rPr>
          <w:lang w:val="fr-FR"/>
        </w:rPr>
        <w:t>Renseignements</w:t>
      </w:r>
      <w:r w:rsidR="007049AA" w:rsidRPr="007049AA">
        <w:rPr>
          <w:lang w:val="fr-FR" w:eastAsia="en-GB"/>
        </w:rPr>
        <w:t xml:space="preserve"> sur la suite donnée à certaines des recommandations figurant</w:t>
      </w:r>
      <w:r w:rsidR="007049AA" w:rsidRPr="007049AA">
        <w:rPr>
          <w:lang w:val="fr-FR" w:eastAsia="en-GB"/>
        </w:rPr>
        <w:br/>
        <w:t>dans les précédentes observations finales</w:t>
      </w:r>
    </w:p>
    <w:p w:rsidR="007049AA" w:rsidRPr="007049AA" w:rsidRDefault="007049AA" w:rsidP="003D6F7A">
      <w:pPr>
        <w:pStyle w:val="SingleTxtG"/>
        <w:rPr>
          <w:w w:val="103"/>
          <w:lang w:val="fr-FR"/>
        </w:rPr>
      </w:pPr>
      <w:r w:rsidRPr="007049AA">
        <w:rPr>
          <w:w w:val="103"/>
          <w:lang w:val="fr-FR"/>
        </w:rPr>
        <w:t>1.</w:t>
      </w:r>
      <w:r w:rsidRPr="007049AA">
        <w:rPr>
          <w:w w:val="103"/>
          <w:lang w:val="fr-FR"/>
        </w:rPr>
        <w:tab/>
        <w:t>Dans ses précédentes observations finales (voir CAT/C/CHE/CO/7, par.</w:t>
      </w:r>
      <w:r w:rsidR="00AF57CF">
        <w:rPr>
          <w:w w:val="103"/>
          <w:lang w:val="fr-FR"/>
        </w:rPr>
        <w:t> </w:t>
      </w:r>
      <w:r w:rsidRPr="007049AA">
        <w:rPr>
          <w:w w:val="103"/>
          <w:lang w:val="fr-FR"/>
        </w:rPr>
        <w:t>22), le Comité a</w:t>
      </w:r>
      <w:r w:rsidR="00FD5BBF">
        <w:rPr>
          <w:w w:val="103"/>
          <w:lang w:val="fr-FR"/>
        </w:rPr>
        <w:t>vait</w:t>
      </w:r>
      <w:r w:rsidRPr="007049AA">
        <w:rPr>
          <w:w w:val="103"/>
          <w:lang w:val="fr-FR"/>
        </w:rPr>
        <w:t xml:space="preserve"> </w:t>
      </w:r>
      <w:r w:rsidR="00FD5BBF">
        <w:rPr>
          <w:w w:val="103"/>
          <w:lang w:val="fr-FR"/>
        </w:rPr>
        <w:t>demandé à</w:t>
      </w:r>
      <w:r w:rsidR="00FD5BBF" w:rsidRPr="007049AA">
        <w:rPr>
          <w:w w:val="103"/>
          <w:lang w:val="fr-FR"/>
        </w:rPr>
        <w:t xml:space="preserve"> </w:t>
      </w:r>
      <w:r w:rsidR="006D5410" w:rsidRPr="007049AA">
        <w:rPr>
          <w:w w:val="103"/>
          <w:lang w:val="fr-FR"/>
        </w:rPr>
        <w:t>l’</w:t>
      </w:r>
      <w:r w:rsidR="006D5410">
        <w:rPr>
          <w:w w:val="103"/>
          <w:lang w:val="fr-FR"/>
        </w:rPr>
        <w:t>É</w:t>
      </w:r>
      <w:r w:rsidR="006D5410" w:rsidRPr="007049AA">
        <w:rPr>
          <w:w w:val="103"/>
          <w:lang w:val="fr-FR"/>
        </w:rPr>
        <w:t xml:space="preserve">tat </w:t>
      </w:r>
      <w:r w:rsidRPr="007049AA">
        <w:rPr>
          <w:w w:val="103"/>
          <w:lang w:val="fr-FR"/>
        </w:rPr>
        <w:t>partie de présenter, avant le 14</w:t>
      </w:r>
      <w:r w:rsidR="00AF57CF">
        <w:rPr>
          <w:w w:val="103"/>
          <w:lang w:val="fr-FR"/>
        </w:rPr>
        <w:t> </w:t>
      </w:r>
      <w:r w:rsidRPr="007049AA">
        <w:rPr>
          <w:w w:val="103"/>
          <w:lang w:val="fr-FR"/>
        </w:rPr>
        <w:t>août 2016, des renseignements sur la suite donnée aux recommandations suivantes : a)</w:t>
      </w:r>
      <w:r w:rsidR="00395E0E">
        <w:rPr>
          <w:w w:val="103"/>
          <w:lang w:val="fr-FR"/>
        </w:rPr>
        <w:t> </w:t>
      </w:r>
      <w:r w:rsidRPr="007049AA">
        <w:rPr>
          <w:w w:val="103"/>
          <w:lang w:val="fr-FR"/>
        </w:rPr>
        <w:t>sur les violences policières, en particulier sur la nécessité d’envoyer des rapports médicaux qui constatent les lésions dénotant des mauvais traitements au mécanisme indépendant chargé de leur examen (par</w:t>
      </w:r>
      <w:r w:rsidR="00FD5BBF">
        <w:rPr>
          <w:w w:val="103"/>
          <w:lang w:val="fr-FR"/>
        </w:rPr>
        <w:t>.</w:t>
      </w:r>
      <w:r w:rsidR="006C1CA5">
        <w:rPr>
          <w:w w:val="103"/>
          <w:lang w:val="fr-FR"/>
        </w:rPr>
        <w:t> </w:t>
      </w:r>
      <w:r w:rsidRPr="007049AA">
        <w:rPr>
          <w:w w:val="103"/>
          <w:lang w:val="fr-FR"/>
        </w:rPr>
        <w:t>10</w:t>
      </w:r>
      <w:r w:rsidR="006C1CA5">
        <w:rPr>
          <w:w w:val="103"/>
          <w:lang w:val="fr-FR"/>
        </w:rPr>
        <w:t> </w:t>
      </w:r>
      <w:r w:rsidRPr="007049AA">
        <w:rPr>
          <w:w w:val="103"/>
          <w:lang w:val="fr-FR"/>
        </w:rPr>
        <w:t>b))</w:t>
      </w:r>
      <w:r w:rsidR="005C58BF">
        <w:rPr>
          <w:w w:val="103"/>
          <w:lang w:val="fr-FR"/>
        </w:rPr>
        <w:t> </w:t>
      </w:r>
      <w:r w:rsidR="009462EF">
        <w:rPr>
          <w:w w:val="103"/>
          <w:lang w:val="fr-FR"/>
        </w:rPr>
        <w:t>; b) </w:t>
      </w:r>
      <w:r w:rsidRPr="007049AA">
        <w:rPr>
          <w:w w:val="103"/>
          <w:lang w:val="fr-FR"/>
        </w:rPr>
        <w:t>sur le principe de non-refoulement (par</w:t>
      </w:r>
      <w:r w:rsidR="009B24BB">
        <w:rPr>
          <w:w w:val="103"/>
          <w:lang w:val="fr-FR"/>
        </w:rPr>
        <w:t>.</w:t>
      </w:r>
      <w:r w:rsidR="006C1CA5">
        <w:rPr>
          <w:w w:val="103"/>
          <w:lang w:val="fr-FR"/>
        </w:rPr>
        <w:t> </w:t>
      </w:r>
      <w:r w:rsidRPr="007049AA">
        <w:rPr>
          <w:w w:val="103"/>
          <w:lang w:val="fr-FR"/>
        </w:rPr>
        <w:t>13)</w:t>
      </w:r>
      <w:r w:rsidR="009B24BB">
        <w:rPr>
          <w:w w:val="103"/>
          <w:lang w:val="fr-FR"/>
        </w:rPr>
        <w:t> ;</w:t>
      </w:r>
      <w:r w:rsidRPr="007049AA">
        <w:rPr>
          <w:w w:val="103"/>
          <w:lang w:val="fr-FR"/>
        </w:rPr>
        <w:t xml:space="preserve"> c)</w:t>
      </w:r>
      <w:r w:rsidR="006C1CA5">
        <w:rPr>
          <w:w w:val="103"/>
          <w:lang w:val="fr-FR"/>
        </w:rPr>
        <w:t> </w:t>
      </w:r>
      <w:r w:rsidRPr="007049AA">
        <w:rPr>
          <w:w w:val="103"/>
          <w:lang w:val="fr-FR"/>
        </w:rPr>
        <w:t>sur les mineurs non accompagnés requérants d’asile (par</w:t>
      </w:r>
      <w:r w:rsidR="00061438">
        <w:rPr>
          <w:w w:val="103"/>
          <w:lang w:val="fr-FR"/>
        </w:rPr>
        <w:t>.</w:t>
      </w:r>
      <w:r w:rsidR="006C1CA5">
        <w:rPr>
          <w:w w:val="103"/>
          <w:lang w:val="fr-FR"/>
        </w:rPr>
        <w:t> </w:t>
      </w:r>
      <w:r w:rsidRPr="007049AA">
        <w:rPr>
          <w:w w:val="103"/>
          <w:lang w:val="fr-FR"/>
        </w:rPr>
        <w:t>18)</w:t>
      </w:r>
      <w:r w:rsidR="00061438">
        <w:rPr>
          <w:w w:val="103"/>
          <w:lang w:val="fr-FR"/>
        </w:rPr>
        <w:t> ;</w:t>
      </w:r>
      <w:r w:rsidR="00270075">
        <w:rPr>
          <w:w w:val="103"/>
          <w:lang w:val="fr-FR"/>
        </w:rPr>
        <w:t xml:space="preserve"> d) </w:t>
      </w:r>
      <w:r w:rsidRPr="007049AA">
        <w:rPr>
          <w:w w:val="103"/>
          <w:lang w:val="fr-FR"/>
        </w:rPr>
        <w:t>sur les conditions de détention, en particulier sur la nécessité de mener des enquêtes sur tous les actes de violence commis dans les établissements pénitentiaires (par</w:t>
      </w:r>
      <w:r w:rsidR="0035612A">
        <w:rPr>
          <w:w w:val="103"/>
          <w:lang w:val="fr-FR"/>
        </w:rPr>
        <w:t>.</w:t>
      </w:r>
      <w:r w:rsidR="006C1CA5">
        <w:rPr>
          <w:w w:val="103"/>
          <w:lang w:val="fr-FR"/>
        </w:rPr>
        <w:t> </w:t>
      </w:r>
      <w:r w:rsidRPr="007049AA">
        <w:rPr>
          <w:w w:val="103"/>
          <w:lang w:val="fr-FR"/>
        </w:rPr>
        <w:t>19</w:t>
      </w:r>
      <w:r w:rsidR="006C1CA5">
        <w:rPr>
          <w:w w:val="103"/>
          <w:lang w:val="fr-FR"/>
        </w:rPr>
        <w:t> </w:t>
      </w:r>
      <w:r w:rsidRPr="007049AA">
        <w:rPr>
          <w:w w:val="103"/>
          <w:lang w:val="fr-FR"/>
        </w:rPr>
        <w:t>e)). Prenant acte des renseignements qu’il a reçus le 6 juillet 2016 (voir CAT/C/CHE/CO/7</w:t>
      </w:r>
      <w:r w:rsidR="00A87439">
        <w:rPr>
          <w:w w:val="103"/>
          <w:lang w:val="fr-FR"/>
        </w:rPr>
        <w:t>/</w:t>
      </w:r>
      <w:r w:rsidRPr="007049AA">
        <w:rPr>
          <w:w w:val="103"/>
          <w:lang w:val="fr-FR"/>
        </w:rPr>
        <w:t>Add.1), le Comité remercie l’</w:t>
      </w:r>
      <w:r w:rsidR="006D5410">
        <w:rPr>
          <w:w w:val="103"/>
          <w:lang w:val="fr-FR"/>
        </w:rPr>
        <w:t>É</w:t>
      </w:r>
      <w:r w:rsidRPr="007049AA">
        <w:rPr>
          <w:w w:val="103"/>
          <w:lang w:val="fr-FR"/>
        </w:rPr>
        <w:t>tat partie pour ses réponses. Néanmoins, au vu du contenu de ces réponses, le Comité regrette que des mesures de fond n’aient pas été prises par l’</w:t>
      </w:r>
      <w:r w:rsidR="006D5410">
        <w:rPr>
          <w:w w:val="103"/>
          <w:lang w:val="fr-FR"/>
        </w:rPr>
        <w:t>É</w:t>
      </w:r>
      <w:r w:rsidRPr="007049AA">
        <w:rPr>
          <w:w w:val="103"/>
          <w:lang w:val="fr-FR"/>
        </w:rPr>
        <w:t xml:space="preserve">tat partie pour donner suite aux recommandations énoncées aux paragraphes 10, 13, 18 et 19 (se reporter aux paragraphes </w:t>
      </w:r>
      <w:r w:rsidR="00824E9F" w:rsidRPr="007049AA">
        <w:rPr>
          <w:w w:val="103"/>
          <w:lang w:val="fr-FR"/>
        </w:rPr>
        <w:t>2</w:t>
      </w:r>
      <w:r w:rsidR="00824E9F">
        <w:rPr>
          <w:w w:val="103"/>
          <w:lang w:val="fr-FR"/>
        </w:rPr>
        <w:t>2</w:t>
      </w:r>
      <w:r w:rsidR="007F679F">
        <w:rPr>
          <w:w w:val="103"/>
          <w:lang w:val="fr-FR"/>
        </w:rPr>
        <w:t xml:space="preserve"> à </w:t>
      </w:r>
      <w:r w:rsidR="00824E9F" w:rsidRPr="007049AA">
        <w:rPr>
          <w:w w:val="103"/>
          <w:lang w:val="fr-FR"/>
        </w:rPr>
        <w:t>2</w:t>
      </w:r>
      <w:r w:rsidR="00824E9F">
        <w:rPr>
          <w:w w:val="103"/>
          <w:lang w:val="fr-FR"/>
        </w:rPr>
        <w:t>4</w:t>
      </w:r>
      <w:r w:rsidRPr="007049AA">
        <w:rPr>
          <w:w w:val="103"/>
          <w:lang w:val="fr-FR"/>
        </w:rPr>
        <w:t xml:space="preserve">, </w:t>
      </w:r>
      <w:r w:rsidR="00297025">
        <w:rPr>
          <w:w w:val="103"/>
          <w:lang w:val="fr-FR"/>
        </w:rPr>
        <w:t>6</w:t>
      </w:r>
      <w:r w:rsidR="007F679F">
        <w:rPr>
          <w:w w:val="103"/>
          <w:lang w:val="fr-FR"/>
        </w:rPr>
        <w:t xml:space="preserve"> et </w:t>
      </w:r>
      <w:r w:rsidR="00297025">
        <w:rPr>
          <w:w w:val="103"/>
          <w:lang w:val="fr-FR"/>
        </w:rPr>
        <w:t>7</w:t>
      </w:r>
      <w:r w:rsidRPr="007049AA">
        <w:rPr>
          <w:w w:val="103"/>
          <w:lang w:val="fr-FR"/>
        </w:rPr>
        <w:t xml:space="preserve">, </w:t>
      </w:r>
      <w:r w:rsidR="00824E9F" w:rsidRPr="007049AA">
        <w:rPr>
          <w:w w:val="103"/>
          <w:lang w:val="fr-FR"/>
        </w:rPr>
        <w:t>1</w:t>
      </w:r>
      <w:r w:rsidR="00824E9F">
        <w:rPr>
          <w:w w:val="103"/>
          <w:lang w:val="fr-FR"/>
        </w:rPr>
        <w:t>8</w:t>
      </w:r>
      <w:r w:rsidRPr="007049AA">
        <w:rPr>
          <w:w w:val="103"/>
          <w:lang w:val="fr-FR"/>
        </w:rPr>
        <w:t xml:space="preserve">, </w:t>
      </w:r>
      <w:r w:rsidR="007F679F">
        <w:rPr>
          <w:w w:val="103"/>
          <w:lang w:val="fr-FR"/>
        </w:rPr>
        <w:t>et</w:t>
      </w:r>
      <w:r w:rsidRPr="007049AA">
        <w:rPr>
          <w:w w:val="103"/>
          <w:lang w:val="fr-FR"/>
        </w:rPr>
        <w:t xml:space="preserve"> </w:t>
      </w:r>
      <w:r w:rsidR="00824E9F" w:rsidRPr="007049AA">
        <w:rPr>
          <w:w w:val="103"/>
          <w:lang w:val="fr-FR"/>
        </w:rPr>
        <w:t>2</w:t>
      </w:r>
      <w:r w:rsidR="00824E9F">
        <w:rPr>
          <w:w w:val="103"/>
          <w:lang w:val="fr-FR"/>
        </w:rPr>
        <w:t>1</w:t>
      </w:r>
      <w:r w:rsidR="00824E9F" w:rsidRPr="007049AA">
        <w:rPr>
          <w:w w:val="103"/>
          <w:lang w:val="fr-FR"/>
        </w:rPr>
        <w:t xml:space="preserve"> </w:t>
      </w:r>
      <w:r w:rsidRPr="007049AA">
        <w:rPr>
          <w:w w:val="103"/>
          <w:lang w:val="fr-FR"/>
        </w:rPr>
        <w:t>ci-après).</w:t>
      </w:r>
    </w:p>
    <w:p w:rsidR="007049AA" w:rsidRPr="007049AA" w:rsidRDefault="007049AA" w:rsidP="007049AA">
      <w:pPr>
        <w:pStyle w:val="H23G"/>
        <w:rPr>
          <w:w w:val="103"/>
          <w:lang w:val="fr-FR"/>
        </w:rPr>
      </w:pPr>
      <w:r w:rsidRPr="007049AA">
        <w:rPr>
          <w:w w:val="103"/>
          <w:lang w:val="fr-FR"/>
        </w:rPr>
        <w:tab/>
      </w:r>
      <w:r w:rsidRPr="007049AA">
        <w:rPr>
          <w:w w:val="103"/>
          <w:lang w:val="fr-FR"/>
        </w:rPr>
        <w:tab/>
        <w:t>Articles 1</w:t>
      </w:r>
      <w:r w:rsidRPr="00270075">
        <w:rPr>
          <w:w w:val="103"/>
          <w:vertAlign w:val="superscript"/>
          <w:lang w:val="fr-FR"/>
        </w:rPr>
        <w:t>er</w:t>
      </w:r>
      <w:r w:rsidRPr="007049AA">
        <w:rPr>
          <w:w w:val="103"/>
          <w:lang w:val="fr-FR"/>
        </w:rPr>
        <w:t xml:space="preserve"> et 4 </w:t>
      </w:r>
    </w:p>
    <w:p w:rsidR="008117DB" w:rsidRDefault="007049AA" w:rsidP="0036224B">
      <w:pPr>
        <w:pStyle w:val="SingleTxtG"/>
        <w:rPr>
          <w:w w:val="103"/>
          <w:lang w:val="fr-FR"/>
        </w:rPr>
      </w:pPr>
      <w:r w:rsidRPr="007049AA">
        <w:rPr>
          <w:w w:val="103"/>
          <w:lang w:val="fr-FR"/>
        </w:rPr>
        <w:t>2.</w:t>
      </w:r>
      <w:r w:rsidRPr="007049AA">
        <w:rPr>
          <w:sz w:val="24"/>
          <w:szCs w:val="24"/>
        </w:rPr>
        <w:tab/>
      </w:r>
      <w:r w:rsidRPr="007049AA">
        <w:rPr>
          <w:w w:val="103"/>
          <w:lang w:val="fr-FR"/>
        </w:rPr>
        <w:t>Compte tenu des observations finales précédentes du Comité (voir CAT/C/CHE/CO/7, par.</w:t>
      </w:r>
      <w:r w:rsidR="006C1CA5">
        <w:rPr>
          <w:w w:val="103"/>
          <w:lang w:val="fr-FR"/>
        </w:rPr>
        <w:t> </w:t>
      </w:r>
      <w:r w:rsidRPr="007049AA">
        <w:rPr>
          <w:w w:val="103"/>
          <w:lang w:val="fr-FR"/>
        </w:rPr>
        <w:t>7, CAT/C/CHE/CO/6, par.</w:t>
      </w:r>
      <w:r w:rsidR="006C1CA5">
        <w:rPr>
          <w:w w:val="103"/>
          <w:lang w:val="fr-FR"/>
        </w:rPr>
        <w:t> </w:t>
      </w:r>
      <w:r w:rsidRPr="007049AA">
        <w:rPr>
          <w:w w:val="103"/>
          <w:lang w:val="fr-FR"/>
        </w:rPr>
        <w:t>5</w:t>
      </w:r>
      <w:r w:rsidR="003E6C82">
        <w:rPr>
          <w:w w:val="103"/>
          <w:lang w:val="fr-FR"/>
        </w:rPr>
        <w:t>,</w:t>
      </w:r>
      <w:r w:rsidRPr="007049AA">
        <w:rPr>
          <w:w w:val="103"/>
          <w:lang w:val="fr-FR"/>
        </w:rPr>
        <w:t xml:space="preserve"> et CAT/C/CR/34/CHE, par.</w:t>
      </w:r>
      <w:r w:rsidR="006C1CA5">
        <w:rPr>
          <w:w w:val="103"/>
          <w:lang w:val="fr-FR"/>
        </w:rPr>
        <w:t> </w:t>
      </w:r>
      <w:r w:rsidRPr="007049AA">
        <w:rPr>
          <w:w w:val="103"/>
          <w:lang w:val="fr-FR"/>
        </w:rPr>
        <w:t>4 a) et 5</w:t>
      </w:r>
      <w:r w:rsidR="006C1CA5">
        <w:rPr>
          <w:w w:val="103"/>
          <w:lang w:val="fr-FR"/>
        </w:rPr>
        <w:t> </w:t>
      </w:r>
      <w:r w:rsidRPr="007049AA">
        <w:rPr>
          <w:w w:val="103"/>
          <w:lang w:val="fr-FR"/>
        </w:rPr>
        <w:t>a)), donner des informations à jour sur les mesures prises ou envisagées pour ériger la torture en infraction pénale dans le droit interne, en des termes pleinement conformes à l’article 1</w:t>
      </w:r>
      <w:r w:rsidRPr="00270075">
        <w:rPr>
          <w:w w:val="103"/>
          <w:vertAlign w:val="superscript"/>
          <w:lang w:val="fr-FR"/>
        </w:rPr>
        <w:t>er</w:t>
      </w:r>
      <w:r w:rsidRPr="007049AA">
        <w:rPr>
          <w:w w:val="103"/>
          <w:lang w:val="fr-FR"/>
        </w:rPr>
        <w:t>, et veiller à ce que les peines applicables pour des actes de torture soient propo</w:t>
      </w:r>
      <w:r w:rsidR="004A703A">
        <w:rPr>
          <w:w w:val="103"/>
          <w:lang w:val="fr-FR"/>
        </w:rPr>
        <w:t>rtionnées à la gravité du crime.</w:t>
      </w:r>
      <w:r w:rsidR="008117DB" w:rsidRPr="008117DB">
        <w:rPr>
          <w:noProof/>
          <w:lang w:eastAsia="fr-CH"/>
        </w:rPr>
        <w:t xml:space="preserve"> </w:t>
      </w:r>
      <w:r w:rsidR="005D4B74">
        <w:rPr>
          <w:noProof/>
          <w:lang w:eastAsia="fr-CH"/>
        </w:rPr>
        <w:drawing>
          <wp:anchor distT="0" distB="0" distL="114300" distR="114300" simplePos="0" relativeHeight="251659264" behindDoc="0" locked="0" layoutInCell="1" allowOverlap="0">
            <wp:simplePos x="0" y="0"/>
            <wp:positionH relativeFrom="margin">
              <wp:posOffset>5041265</wp:posOffset>
            </wp:positionH>
            <wp:positionV relativeFrom="paragraph">
              <wp:posOffset>10045700</wp:posOffset>
            </wp:positionV>
            <wp:extent cx="1104900" cy="233680"/>
            <wp:effectExtent l="0" t="0" r="0" b="0"/>
            <wp:wrapNone/>
            <wp:docPr id="1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ecycle_Fren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7DB">
        <w:rPr>
          <w:noProof/>
          <w:lang w:eastAsia="fr-CH"/>
        </w:rPr>
        <w:t xml:space="preserve"> </w:t>
      </w:r>
    </w:p>
    <w:p w:rsidR="007049AA" w:rsidRPr="007049AA" w:rsidRDefault="007049AA" w:rsidP="004C26A4">
      <w:pPr>
        <w:pStyle w:val="H23G"/>
        <w:keepLines w:val="0"/>
        <w:rPr>
          <w:w w:val="103"/>
          <w:lang w:val="fr-FR"/>
        </w:rPr>
      </w:pPr>
      <w:r w:rsidRPr="007049AA">
        <w:rPr>
          <w:w w:val="103"/>
          <w:lang w:val="fr-FR"/>
        </w:rPr>
        <w:lastRenderedPageBreak/>
        <w:tab/>
      </w:r>
      <w:r w:rsidRPr="007049AA">
        <w:rPr>
          <w:w w:val="103"/>
          <w:lang w:val="fr-FR"/>
        </w:rPr>
        <w:tab/>
        <w:t>Article 2</w:t>
      </w:r>
      <w:r w:rsidRPr="00270075">
        <w:rPr>
          <w:b w:val="0"/>
          <w:bCs/>
          <w:sz w:val="18"/>
          <w:vertAlign w:val="superscript"/>
        </w:rPr>
        <w:footnoteReference w:id="3"/>
      </w:r>
    </w:p>
    <w:p w:rsidR="007049AA" w:rsidRPr="00270075" w:rsidRDefault="007049AA" w:rsidP="004C26A4">
      <w:pPr>
        <w:pStyle w:val="SingleTxtG"/>
      </w:pPr>
      <w:r w:rsidRPr="007049AA">
        <w:rPr>
          <w:w w:val="103"/>
          <w:lang w:val="fr-FR"/>
        </w:rPr>
        <w:t>3.</w:t>
      </w:r>
      <w:r w:rsidRPr="007049AA">
        <w:rPr>
          <w:w w:val="103"/>
          <w:lang w:val="fr-FR"/>
        </w:rPr>
        <w:tab/>
        <w:t>Eu égard aux précédentes observations finales (par.</w:t>
      </w:r>
      <w:r w:rsidR="006C1CA5">
        <w:rPr>
          <w:w w:val="103"/>
          <w:lang w:val="fr-FR"/>
        </w:rPr>
        <w:t> </w:t>
      </w:r>
      <w:r w:rsidRPr="007049AA">
        <w:rPr>
          <w:w w:val="103"/>
          <w:lang w:val="fr-FR"/>
        </w:rPr>
        <w:t>8), fournir des informations sur les procédures mises en place pour que toute personne privée de liberté soit, dans la</w:t>
      </w:r>
      <w:r w:rsidR="009462EF">
        <w:rPr>
          <w:w w:val="103"/>
          <w:lang w:val="fr-FR"/>
        </w:rPr>
        <w:t> </w:t>
      </w:r>
      <w:r w:rsidRPr="007049AA">
        <w:rPr>
          <w:w w:val="103"/>
          <w:lang w:val="fr-FR"/>
        </w:rPr>
        <w:t>pratique, informée de ses droits dès le début de la privation de liberté</w:t>
      </w:r>
      <w:r w:rsidR="005D6737">
        <w:rPr>
          <w:w w:val="103"/>
          <w:lang w:val="fr-FR"/>
        </w:rPr>
        <w:t>, à savoir</w:t>
      </w:r>
      <w:r w:rsidRPr="007049AA">
        <w:rPr>
          <w:w w:val="103"/>
          <w:lang w:val="fr-FR"/>
        </w:rPr>
        <w:t> : a) du droit d’avoir accès à un avocat, y compris dans le cadre de la procédure « d’appréhension » ; b)</w:t>
      </w:r>
      <w:r w:rsidR="00F7129A">
        <w:rPr>
          <w:w w:val="103"/>
          <w:lang w:val="fr-FR"/>
        </w:rPr>
        <w:t> </w:t>
      </w:r>
      <w:r w:rsidRPr="007049AA">
        <w:rPr>
          <w:w w:val="103"/>
          <w:lang w:val="fr-FR"/>
        </w:rPr>
        <w:t>du droit de prévenir ses proches ou d’autres personnes de son choix sur sa situation</w:t>
      </w:r>
      <w:r w:rsidR="005142F4">
        <w:rPr>
          <w:w w:val="103"/>
          <w:lang w:val="fr-FR"/>
        </w:rPr>
        <w:t> ;</w:t>
      </w:r>
      <w:r w:rsidRPr="007049AA">
        <w:rPr>
          <w:w w:val="103"/>
          <w:lang w:val="fr-FR"/>
        </w:rPr>
        <w:t xml:space="preserve"> et c)</w:t>
      </w:r>
      <w:r w:rsidR="00F7129A">
        <w:rPr>
          <w:w w:val="103"/>
          <w:lang w:val="fr-FR"/>
        </w:rPr>
        <w:t> </w:t>
      </w:r>
      <w:r w:rsidRPr="007049AA">
        <w:rPr>
          <w:w w:val="103"/>
          <w:lang w:val="fr-FR"/>
        </w:rPr>
        <w:t xml:space="preserve">du droit de pouvoir </w:t>
      </w:r>
      <w:r w:rsidR="00B61C8C">
        <w:rPr>
          <w:w w:val="103"/>
          <w:lang w:val="fr-FR"/>
        </w:rPr>
        <w:t xml:space="preserve">demander et </w:t>
      </w:r>
      <w:r w:rsidRPr="007049AA">
        <w:rPr>
          <w:w w:val="103"/>
          <w:lang w:val="fr-FR"/>
        </w:rPr>
        <w:t xml:space="preserve">bénéficier d’un examen médical </w:t>
      </w:r>
      <w:r w:rsidRPr="007049AA">
        <w:t xml:space="preserve">par un médecin </w:t>
      </w:r>
      <w:r w:rsidRPr="007049AA">
        <w:rPr>
          <w:w w:val="103"/>
          <w:lang w:val="fr-FR"/>
        </w:rPr>
        <w:t>indépendant, ou par un médecin de son choix</w:t>
      </w:r>
      <w:r w:rsidRPr="007049AA">
        <w:rPr>
          <w:sz w:val="24"/>
          <w:szCs w:val="24"/>
        </w:rPr>
        <w:t>.</w:t>
      </w:r>
      <w:r w:rsidR="00132D0B">
        <w:rPr>
          <w:sz w:val="24"/>
          <w:szCs w:val="24"/>
        </w:rPr>
        <w:t xml:space="preserve"> </w:t>
      </w:r>
    </w:p>
    <w:p w:rsidR="007049AA" w:rsidRPr="0095451A" w:rsidRDefault="007049AA" w:rsidP="0036224B">
      <w:pPr>
        <w:pStyle w:val="SingleTxtG"/>
        <w:rPr>
          <w:w w:val="103"/>
        </w:rPr>
      </w:pPr>
      <w:r w:rsidRPr="007049AA">
        <w:rPr>
          <w:w w:val="103"/>
          <w:lang w:val="fr-FR"/>
        </w:rPr>
        <w:t>4.</w:t>
      </w:r>
      <w:r w:rsidRPr="007049AA">
        <w:rPr>
          <w:w w:val="103"/>
          <w:lang w:val="fr-FR"/>
        </w:rPr>
        <w:tab/>
      </w:r>
      <w:r w:rsidR="00DD0E97">
        <w:rPr>
          <w:w w:val="103"/>
          <w:lang w:val="fr-FR"/>
        </w:rPr>
        <w:t>É</w:t>
      </w:r>
      <w:r w:rsidRPr="007049AA">
        <w:rPr>
          <w:w w:val="103"/>
          <w:lang w:val="fr-FR"/>
        </w:rPr>
        <w:t>tant donné les précédentes observations finales (par.</w:t>
      </w:r>
      <w:r w:rsidR="00F7129A">
        <w:rPr>
          <w:w w:val="103"/>
          <w:lang w:val="fr-FR"/>
        </w:rPr>
        <w:t> </w:t>
      </w:r>
      <w:r w:rsidRPr="007049AA">
        <w:rPr>
          <w:w w:val="103"/>
          <w:lang w:val="fr-FR"/>
        </w:rPr>
        <w:t>9) et l’avis favorable du Conseil fédéral du 29 juin 2016 à la proposition de créer une institution nationale de défense des droits de l’homme</w:t>
      </w:r>
      <w:r w:rsidR="004A703A">
        <w:rPr>
          <w:w w:val="103"/>
          <w:lang w:val="fr-FR"/>
        </w:rPr>
        <w:t>,</w:t>
      </w:r>
      <w:r w:rsidRPr="007049AA">
        <w:rPr>
          <w:w w:val="103"/>
          <w:lang w:val="fr-FR"/>
        </w:rPr>
        <w:t xml:space="preserve"> fournir des renseignements actualisés sur</w:t>
      </w:r>
      <w:r w:rsidR="00AB591F">
        <w:rPr>
          <w:w w:val="103"/>
          <w:lang w:val="fr-FR"/>
        </w:rPr>
        <w:t> :</w:t>
      </w:r>
      <w:r w:rsidRPr="007049AA">
        <w:rPr>
          <w:w w:val="103"/>
          <w:lang w:val="fr-FR"/>
        </w:rPr>
        <w:t xml:space="preserve"> </w:t>
      </w:r>
      <w:r w:rsidR="00DD0E97">
        <w:rPr>
          <w:w w:val="103"/>
          <w:lang w:val="fr-FR"/>
        </w:rPr>
        <w:t>a</w:t>
      </w:r>
      <w:r w:rsidRPr="007049AA">
        <w:rPr>
          <w:w w:val="103"/>
          <w:lang w:val="fr-FR"/>
        </w:rPr>
        <w:t xml:space="preserve">) l’évolution du processus de création de cette institution ; </w:t>
      </w:r>
      <w:r w:rsidR="00DD0E97">
        <w:rPr>
          <w:w w:val="103"/>
          <w:lang w:val="fr-FR"/>
        </w:rPr>
        <w:t>b</w:t>
      </w:r>
      <w:r w:rsidRPr="007049AA">
        <w:rPr>
          <w:w w:val="103"/>
          <w:lang w:val="fr-FR"/>
        </w:rPr>
        <w:t>) les mesures envisagées afin de garantir la conformité de l</w:t>
      </w:r>
      <w:r w:rsidR="00DD0E97">
        <w:rPr>
          <w:w w:val="103"/>
          <w:lang w:val="fr-FR"/>
        </w:rPr>
        <w:t>’</w:t>
      </w:r>
      <w:r w:rsidRPr="007049AA">
        <w:rPr>
          <w:w w:val="103"/>
          <w:lang w:val="fr-FR"/>
        </w:rPr>
        <w:t>institution aux Principes concernant le statut des institutions nationales pour la promotion et la protection des droits de l’homme (Principes de Paris)</w:t>
      </w:r>
      <w:r w:rsidR="0095451A">
        <w:rPr>
          <w:w w:val="103"/>
          <w:lang w:val="fr-FR"/>
        </w:rPr>
        <w:t xml:space="preserve"> ; </w:t>
      </w:r>
      <w:r w:rsidR="00DD0E97">
        <w:rPr>
          <w:w w:val="103"/>
          <w:lang w:val="fr-FR"/>
        </w:rPr>
        <w:t>c</w:t>
      </w:r>
      <w:r w:rsidR="0095451A">
        <w:rPr>
          <w:w w:val="103"/>
          <w:lang w:val="fr-FR"/>
        </w:rPr>
        <w:t>) les ressources alloué</w:t>
      </w:r>
      <w:r w:rsidR="00843DBE">
        <w:rPr>
          <w:w w:val="103"/>
          <w:lang w:val="fr-FR"/>
        </w:rPr>
        <w:t>e</w:t>
      </w:r>
      <w:r w:rsidR="0095451A">
        <w:rPr>
          <w:w w:val="103"/>
          <w:lang w:val="fr-FR"/>
        </w:rPr>
        <w:t>s pour garantir que l’institution puisse s’acquitter de son mandat.</w:t>
      </w:r>
    </w:p>
    <w:p w:rsidR="007049AA" w:rsidRPr="007049AA" w:rsidRDefault="007049AA" w:rsidP="007049AA">
      <w:pPr>
        <w:pStyle w:val="SingleTxtG"/>
        <w:rPr>
          <w:lang w:val="fr-FR"/>
        </w:rPr>
      </w:pPr>
      <w:r w:rsidRPr="007049AA">
        <w:rPr>
          <w:w w:val="103"/>
          <w:lang w:val="fr-FR"/>
        </w:rPr>
        <w:t>5.</w:t>
      </w:r>
      <w:r w:rsidRPr="007049AA">
        <w:rPr>
          <w:w w:val="103"/>
          <w:lang w:val="fr-FR"/>
        </w:rPr>
        <w:tab/>
      </w:r>
      <w:r w:rsidR="0036224B">
        <w:rPr>
          <w:w w:val="103"/>
          <w:lang w:val="fr-FR"/>
        </w:rPr>
        <w:t>F</w:t>
      </w:r>
      <w:r w:rsidRPr="007049AA">
        <w:rPr>
          <w:w w:val="103"/>
          <w:lang w:val="fr-FR"/>
        </w:rPr>
        <w:t>ournir des renseignements sur les éventuelles mesures prévues pour augmenter les ressources allouées à la Commission nationale de prévention de la torture, afin de lui permettre de s’acquitt</w:t>
      </w:r>
      <w:r w:rsidR="004A703A">
        <w:rPr>
          <w:w w:val="103"/>
          <w:lang w:val="fr-FR"/>
        </w:rPr>
        <w:t>er efficacement de ses missions.</w:t>
      </w:r>
      <w:r w:rsidRPr="007049AA">
        <w:rPr>
          <w:sz w:val="18"/>
          <w:vertAlign w:val="superscript"/>
          <w:lang w:val="fr-FR"/>
        </w:rPr>
        <w:t xml:space="preserve"> </w:t>
      </w:r>
      <w:r w:rsidRPr="007049AA">
        <w:rPr>
          <w:w w:val="103"/>
          <w:lang w:val="fr-FR"/>
        </w:rPr>
        <w:t>Donner des renseignements sur la mise en œuvre</w:t>
      </w:r>
      <w:r w:rsidRPr="007049AA" w:rsidDel="006467D2">
        <w:rPr>
          <w:w w:val="103"/>
          <w:lang w:val="fr-FR"/>
        </w:rPr>
        <w:t xml:space="preserve"> </w:t>
      </w:r>
      <w:r w:rsidRPr="007049AA">
        <w:rPr>
          <w:w w:val="103"/>
          <w:lang w:val="fr-FR"/>
        </w:rPr>
        <w:t>par l’État partie</w:t>
      </w:r>
      <w:r w:rsidRPr="007049AA" w:rsidDel="006467D2">
        <w:rPr>
          <w:w w:val="103"/>
          <w:lang w:val="fr-FR"/>
        </w:rPr>
        <w:t xml:space="preserve"> </w:t>
      </w:r>
      <w:r w:rsidRPr="007049AA">
        <w:rPr>
          <w:w w:val="103"/>
          <w:lang w:val="fr-FR"/>
        </w:rPr>
        <w:t xml:space="preserve">des recommandations formulées par </w:t>
      </w:r>
      <w:r w:rsidR="00CE4427">
        <w:rPr>
          <w:w w:val="103"/>
          <w:lang w:val="fr-FR"/>
        </w:rPr>
        <w:t>cette commission</w:t>
      </w:r>
      <w:r w:rsidRPr="007049AA">
        <w:rPr>
          <w:w w:val="103"/>
          <w:lang w:val="fr-FR"/>
        </w:rPr>
        <w:t xml:space="preserve"> depuis 2015, en indiquant quelles recommandations n’ont pas encore été mises en œuvre et pour quelle raison.</w:t>
      </w:r>
    </w:p>
    <w:p w:rsidR="007049AA" w:rsidRPr="007049AA" w:rsidRDefault="007049AA" w:rsidP="007049AA">
      <w:pPr>
        <w:pStyle w:val="H23G"/>
        <w:rPr>
          <w:w w:val="103"/>
          <w:lang w:val="fr-FR"/>
        </w:rPr>
      </w:pPr>
      <w:r w:rsidRPr="007049AA">
        <w:rPr>
          <w:w w:val="103"/>
          <w:lang w:val="fr-FR"/>
        </w:rPr>
        <w:tab/>
      </w:r>
      <w:r w:rsidRPr="007049AA">
        <w:rPr>
          <w:w w:val="103"/>
          <w:lang w:val="fr-FR"/>
        </w:rPr>
        <w:tab/>
        <w:t>Article 3</w:t>
      </w:r>
    </w:p>
    <w:p w:rsidR="007049AA" w:rsidRPr="007049AA" w:rsidRDefault="0095451A" w:rsidP="005A1794">
      <w:pPr>
        <w:pStyle w:val="SingleTxtG"/>
        <w:rPr>
          <w:w w:val="103"/>
          <w:lang w:val="fr-FR"/>
        </w:rPr>
      </w:pPr>
      <w:r>
        <w:rPr>
          <w:w w:val="103"/>
          <w:lang w:val="fr-FR"/>
        </w:rPr>
        <w:t>6</w:t>
      </w:r>
      <w:r w:rsidR="007049AA" w:rsidRPr="007049AA">
        <w:rPr>
          <w:w w:val="103"/>
          <w:lang w:val="fr-FR"/>
        </w:rPr>
        <w:t>.</w:t>
      </w:r>
      <w:r w:rsidR="007049AA" w:rsidRPr="007049AA">
        <w:rPr>
          <w:w w:val="103"/>
          <w:lang w:val="fr-FR"/>
        </w:rPr>
        <w:tab/>
        <w:t>Eu égard aux précédentes observations finales (par.</w:t>
      </w:r>
      <w:r w:rsidR="00F7129A">
        <w:rPr>
          <w:w w:val="103"/>
          <w:lang w:val="fr-FR"/>
        </w:rPr>
        <w:t> </w:t>
      </w:r>
      <w:r w:rsidR="007049AA" w:rsidRPr="007049AA">
        <w:rPr>
          <w:w w:val="103"/>
          <w:lang w:val="fr-FR"/>
        </w:rPr>
        <w:t xml:space="preserve">13) et aux arrêts de la Cour européenne des droits de l’homme dans les affaires </w:t>
      </w:r>
      <w:r w:rsidR="007049AA" w:rsidRPr="007049AA">
        <w:rPr>
          <w:i/>
          <w:w w:val="103"/>
          <w:lang w:val="fr-FR"/>
        </w:rPr>
        <w:t>X c. Suisse</w:t>
      </w:r>
      <w:r w:rsidR="007049AA" w:rsidRPr="007049AA">
        <w:rPr>
          <w:w w:val="103"/>
          <w:lang w:val="fr-FR"/>
        </w:rPr>
        <w:t xml:space="preserve"> et </w:t>
      </w:r>
      <w:r w:rsidR="007049AA" w:rsidRPr="007049AA">
        <w:rPr>
          <w:i/>
          <w:w w:val="103"/>
          <w:lang w:val="fr-FR"/>
        </w:rPr>
        <w:t>A.</w:t>
      </w:r>
      <w:r w:rsidR="0009258D">
        <w:rPr>
          <w:i/>
          <w:w w:val="103"/>
          <w:lang w:val="fr-FR"/>
        </w:rPr>
        <w:t> </w:t>
      </w:r>
      <w:r w:rsidR="007049AA" w:rsidRPr="007049AA">
        <w:rPr>
          <w:i/>
          <w:w w:val="103"/>
          <w:lang w:val="fr-FR"/>
        </w:rPr>
        <w:t>I. c. Suisse</w:t>
      </w:r>
      <w:r w:rsidR="00CC54A9" w:rsidRPr="00270075">
        <w:rPr>
          <w:rStyle w:val="Appelnotedebasdep"/>
          <w:iCs/>
          <w:w w:val="103"/>
        </w:rPr>
        <w:footnoteReference w:id="4"/>
      </w:r>
      <w:r w:rsidR="007049AA" w:rsidRPr="007049AA">
        <w:rPr>
          <w:w w:val="103"/>
          <w:lang w:val="fr-FR"/>
        </w:rPr>
        <w:t>, indiquer</w:t>
      </w:r>
      <w:r w:rsidR="004D539D">
        <w:rPr>
          <w:w w:val="103"/>
          <w:lang w:val="fr-FR"/>
        </w:rPr>
        <w:t xml:space="preserve"> </w:t>
      </w:r>
      <w:r w:rsidR="007049AA" w:rsidRPr="007049AA">
        <w:rPr>
          <w:w w:val="103"/>
          <w:lang w:val="fr-FR"/>
        </w:rPr>
        <w:t>les mesures envisagées pour améliorer le système d’évaluation des risques de violation du principe de non</w:t>
      </w:r>
      <w:r w:rsidR="00F16E72">
        <w:rPr>
          <w:w w:val="103"/>
          <w:lang w:val="fr-FR"/>
        </w:rPr>
        <w:t>-</w:t>
      </w:r>
      <w:r w:rsidR="007049AA" w:rsidRPr="007049AA">
        <w:rPr>
          <w:w w:val="103"/>
          <w:lang w:val="fr-FR"/>
        </w:rPr>
        <w:t xml:space="preserve">refoulement. Indiquer notamment les mesures </w:t>
      </w:r>
      <w:r w:rsidR="001421A0">
        <w:rPr>
          <w:w w:val="103"/>
          <w:lang w:val="fr-FR"/>
        </w:rPr>
        <w:t xml:space="preserve">prises </w:t>
      </w:r>
      <w:r w:rsidR="007049AA" w:rsidRPr="007049AA">
        <w:rPr>
          <w:w w:val="103"/>
          <w:lang w:val="fr-FR"/>
        </w:rPr>
        <w:t xml:space="preserve">pour </w:t>
      </w:r>
      <w:r w:rsidR="001421A0">
        <w:rPr>
          <w:w w:val="103"/>
          <w:lang w:val="fr-FR"/>
        </w:rPr>
        <w:t xml:space="preserve">mieux </w:t>
      </w:r>
      <w:r w:rsidR="007049AA" w:rsidRPr="007049AA">
        <w:rPr>
          <w:w w:val="103"/>
          <w:lang w:val="fr-FR"/>
        </w:rPr>
        <w:t>prendre en compte</w:t>
      </w:r>
      <w:r w:rsidR="001421A0">
        <w:rPr>
          <w:w w:val="103"/>
          <w:lang w:val="fr-FR"/>
        </w:rPr>
        <w:t> :</w:t>
      </w:r>
      <w:r w:rsidR="007049AA" w:rsidRPr="007049AA">
        <w:rPr>
          <w:w w:val="103"/>
          <w:lang w:val="fr-FR"/>
        </w:rPr>
        <w:t xml:space="preserve"> </w:t>
      </w:r>
      <w:r w:rsidR="00DD0E97">
        <w:rPr>
          <w:w w:val="103"/>
          <w:lang w:val="fr-FR"/>
        </w:rPr>
        <w:t>a</w:t>
      </w:r>
      <w:r w:rsidR="007049AA" w:rsidRPr="007049AA">
        <w:rPr>
          <w:w w:val="103"/>
          <w:lang w:val="fr-FR"/>
        </w:rPr>
        <w:t xml:space="preserve">) les informations </w:t>
      </w:r>
      <w:r w:rsidR="00234A7D">
        <w:rPr>
          <w:w w:val="103"/>
          <w:lang w:val="fr-FR"/>
        </w:rPr>
        <w:t>relatives à</w:t>
      </w:r>
      <w:r w:rsidR="007049AA" w:rsidRPr="007049AA">
        <w:rPr>
          <w:w w:val="103"/>
          <w:lang w:val="fr-FR"/>
        </w:rPr>
        <w:t xml:space="preserve"> la situation dans le pays d’origine ; </w:t>
      </w:r>
      <w:r w:rsidR="00DD0E97">
        <w:rPr>
          <w:w w:val="103"/>
          <w:lang w:val="fr-FR"/>
        </w:rPr>
        <w:t>b</w:t>
      </w:r>
      <w:r w:rsidR="0096176F">
        <w:rPr>
          <w:w w:val="103"/>
          <w:lang w:val="fr-FR"/>
        </w:rPr>
        <w:t>) </w:t>
      </w:r>
      <w:r w:rsidR="007049AA" w:rsidRPr="007049AA">
        <w:rPr>
          <w:w w:val="103"/>
          <w:lang w:val="fr-FR"/>
        </w:rPr>
        <w:t xml:space="preserve">les rapports médicaux, </w:t>
      </w:r>
      <w:r w:rsidR="00F76BC4">
        <w:rPr>
          <w:w w:val="103"/>
          <w:lang w:val="fr-FR"/>
        </w:rPr>
        <w:t>en particulier</w:t>
      </w:r>
      <w:r w:rsidR="00F76BC4" w:rsidRPr="007049AA">
        <w:rPr>
          <w:w w:val="103"/>
          <w:lang w:val="fr-FR"/>
        </w:rPr>
        <w:t xml:space="preserve"> </w:t>
      </w:r>
      <w:r w:rsidR="007049AA" w:rsidRPr="007049AA">
        <w:rPr>
          <w:w w:val="103"/>
          <w:lang w:val="fr-FR"/>
        </w:rPr>
        <w:t>ceux établis sur la base du Manuel pour enquêter efficacement sur la torture et autres peines ou traitements cruels, inhumains ou dé</w:t>
      </w:r>
      <w:r w:rsidR="004A703A">
        <w:rPr>
          <w:w w:val="103"/>
          <w:lang w:val="fr-FR"/>
        </w:rPr>
        <w:t>gradants (Protocole d’Istanbul).</w:t>
      </w:r>
    </w:p>
    <w:p w:rsidR="007049AA" w:rsidRPr="007049AA" w:rsidRDefault="0095451A">
      <w:pPr>
        <w:pStyle w:val="SingleTxtG"/>
        <w:rPr>
          <w:w w:val="103"/>
        </w:rPr>
      </w:pPr>
      <w:r>
        <w:rPr>
          <w:w w:val="103"/>
        </w:rPr>
        <w:t>7</w:t>
      </w:r>
      <w:r w:rsidR="007049AA" w:rsidRPr="007049AA">
        <w:rPr>
          <w:w w:val="103"/>
        </w:rPr>
        <w:t>.</w:t>
      </w:r>
      <w:r w:rsidR="007049AA" w:rsidRPr="007049AA">
        <w:rPr>
          <w:w w:val="103"/>
        </w:rPr>
        <w:tab/>
      </w:r>
      <w:r w:rsidR="0036224B">
        <w:rPr>
          <w:w w:val="103"/>
        </w:rPr>
        <w:t>P</w:t>
      </w:r>
      <w:proofErr w:type="spellStart"/>
      <w:r w:rsidR="007049AA" w:rsidRPr="007049AA">
        <w:rPr>
          <w:w w:val="103"/>
          <w:lang w:val="fr-FR"/>
        </w:rPr>
        <w:t>réciser</w:t>
      </w:r>
      <w:proofErr w:type="spellEnd"/>
      <w:r w:rsidR="007049AA" w:rsidRPr="007049AA">
        <w:rPr>
          <w:w w:val="103"/>
          <w:lang w:val="fr-FR"/>
        </w:rPr>
        <w:t xml:space="preserve"> les mesures prises pour éviter les extraditions ayant pour seule base légale les assurances diplomatiques fournies par les pays d’origine, lorsqu’il y a des motifs sérieux de croire qu’une personne risque d’être soumise à la torture. </w:t>
      </w:r>
      <w:r w:rsidR="007049AA" w:rsidRPr="007049AA">
        <w:t xml:space="preserve">Citer, </w:t>
      </w:r>
      <w:r w:rsidR="007049AA" w:rsidRPr="007049AA">
        <w:rPr>
          <w:lang w:val="fr-FR"/>
        </w:rPr>
        <w:t xml:space="preserve">pour la période écoulée depuis 2015, </w:t>
      </w:r>
      <w:r w:rsidR="007049AA" w:rsidRPr="007049AA">
        <w:t xml:space="preserve">toutes les affaires dans lesquelles l’État partie a reçu des assurances diplomatiques d’un autre État, en précisant quel État a fourni les assurances, la teneur de celles-ci et les éventuels dispositifs mis en place pour surveiller la situation des intéressés après leur renvoi et </w:t>
      </w:r>
      <w:r w:rsidR="007049AA" w:rsidRPr="007049AA">
        <w:rPr>
          <w:w w:val="103"/>
          <w:lang w:val="fr-FR"/>
        </w:rPr>
        <w:t xml:space="preserve">assurer la protection, le retour et la réparation des personnes victimes de torture et de mauvais traitements subis </w:t>
      </w:r>
      <w:r w:rsidR="00F16E72">
        <w:rPr>
          <w:w w:val="103"/>
          <w:lang w:val="fr-FR"/>
        </w:rPr>
        <w:t>à la suite de</w:t>
      </w:r>
      <w:r w:rsidR="007049AA" w:rsidRPr="007049AA">
        <w:rPr>
          <w:w w:val="103"/>
          <w:lang w:val="fr-FR"/>
        </w:rPr>
        <w:t xml:space="preserve"> décisions de renvoi ou </w:t>
      </w:r>
      <w:r w:rsidR="00597694">
        <w:rPr>
          <w:w w:val="103"/>
          <w:lang w:val="fr-FR"/>
        </w:rPr>
        <w:t>d’</w:t>
      </w:r>
      <w:r w:rsidR="007049AA" w:rsidRPr="007049AA">
        <w:rPr>
          <w:w w:val="103"/>
          <w:lang w:val="fr-FR"/>
        </w:rPr>
        <w:t xml:space="preserve">extradition. </w:t>
      </w:r>
    </w:p>
    <w:p w:rsidR="007049AA" w:rsidRPr="007049AA" w:rsidRDefault="0095451A">
      <w:pPr>
        <w:pStyle w:val="SingleTxtG"/>
        <w:rPr>
          <w:lang w:val="fr-FR"/>
        </w:rPr>
      </w:pPr>
      <w:r>
        <w:rPr>
          <w:w w:val="103"/>
          <w:lang w:val="fr-FR"/>
        </w:rPr>
        <w:t>8</w:t>
      </w:r>
      <w:r w:rsidR="007049AA" w:rsidRPr="007049AA">
        <w:rPr>
          <w:w w:val="103"/>
          <w:lang w:val="fr-FR"/>
        </w:rPr>
        <w:t>.</w:t>
      </w:r>
      <w:r w:rsidR="007049AA" w:rsidRPr="007049AA">
        <w:rPr>
          <w:w w:val="103"/>
          <w:lang w:val="fr-FR"/>
        </w:rPr>
        <w:tab/>
      </w:r>
      <w:r w:rsidR="0036224B">
        <w:rPr>
          <w:w w:val="103"/>
          <w:lang w:val="fr-FR"/>
        </w:rPr>
        <w:t>F</w:t>
      </w:r>
      <w:r w:rsidR="007049AA" w:rsidRPr="007049AA">
        <w:rPr>
          <w:w w:val="103"/>
          <w:lang w:val="fr-FR"/>
        </w:rPr>
        <w:t xml:space="preserve">ournir des renseignements sur les mesures prises ou envisagées </w:t>
      </w:r>
      <w:r w:rsidR="008E2420">
        <w:rPr>
          <w:w w:val="103"/>
          <w:lang w:val="fr-FR"/>
        </w:rPr>
        <w:t xml:space="preserve">pour </w:t>
      </w:r>
      <w:r w:rsidR="007049AA" w:rsidRPr="007049AA">
        <w:rPr>
          <w:w w:val="103"/>
          <w:lang w:val="fr-FR"/>
        </w:rPr>
        <w:t xml:space="preserve">offrir un recours juridictionnel ayant pour effet la suspension automatique des décisions de renvoi émises conformément aux articles 64, 64 a), 64 c), 64 d) et 68 de la loi fédérale sur les étrangers. Préciser également si la procédure accélérée de refus d’entrée sur le territoire à </w:t>
      </w:r>
      <w:r w:rsidR="007049AA" w:rsidRPr="007049AA">
        <w:rPr>
          <w:w w:val="103"/>
          <w:lang w:val="fr-FR"/>
        </w:rPr>
        <w:lastRenderedPageBreak/>
        <w:t>l’aéroport à l’article 65 fait l’objet d’un examen individuel approfondi sur les risques de violation du principe de non-refoulement.</w:t>
      </w:r>
      <w:r w:rsidR="007049AA" w:rsidRPr="007049AA">
        <w:rPr>
          <w:lang w:val="fr-FR"/>
        </w:rPr>
        <w:t xml:space="preserve"> </w:t>
      </w:r>
    </w:p>
    <w:p w:rsidR="007049AA" w:rsidRPr="007049AA" w:rsidRDefault="0095451A" w:rsidP="0036224B">
      <w:pPr>
        <w:pStyle w:val="SingleTxtG"/>
        <w:rPr>
          <w:w w:val="103"/>
        </w:rPr>
      </w:pPr>
      <w:r>
        <w:rPr>
          <w:spacing w:val="4"/>
          <w:w w:val="103"/>
          <w:kern w:val="14"/>
          <w:szCs w:val="22"/>
          <w:lang w:val="fr-FR"/>
        </w:rPr>
        <w:t>9</w:t>
      </w:r>
      <w:r w:rsidR="007049AA" w:rsidRPr="007049AA">
        <w:rPr>
          <w:spacing w:val="4"/>
          <w:w w:val="103"/>
          <w:kern w:val="14"/>
          <w:szCs w:val="22"/>
          <w:lang w:val="fr-FR"/>
        </w:rPr>
        <w:t>.</w:t>
      </w:r>
      <w:r w:rsidR="007049AA" w:rsidRPr="007049AA">
        <w:rPr>
          <w:spacing w:val="4"/>
          <w:w w:val="103"/>
          <w:kern w:val="14"/>
          <w:szCs w:val="22"/>
          <w:lang w:val="fr-FR"/>
        </w:rPr>
        <w:tab/>
      </w:r>
      <w:r w:rsidR="0036224B">
        <w:rPr>
          <w:spacing w:val="4"/>
          <w:w w:val="103"/>
          <w:kern w:val="14"/>
          <w:szCs w:val="22"/>
          <w:lang w:val="fr-FR"/>
        </w:rPr>
        <w:t>I</w:t>
      </w:r>
      <w:r w:rsidR="007049AA" w:rsidRPr="007049AA">
        <w:rPr>
          <w:w w:val="103"/>
          <w:lang w:val="fr-FR"/>
        </w:rPr>
        <w:t>ndiquer les mesures prises par l’État partie pour veiller à ce que, même dans le cadre du système de Dublin, le pays de destination offre des conditions d’accueil adéquates ou des garanties suffisantes dans l’application de sa politique d’asile pour éviter que la personne concernée ne soit expulsée vers son pays d’origine sans une évaluation des risques qu’elle court</w:t>
      </w:r>
      <w:r w:rsidR="007049AA" w:rsidRPr="007049AA">
        <w:rPr>
          <w:spacing w:val="5"/>
          <w:w w:val="103"/>
          <w:vertAlign w:val="superscript"/>
          <w:lang w:val="fr-FR"/>
        </w:rPr>
        <w:footnoteReference w:id="5"/>
      </w:r>
      <w:r w:rsidR="007049AA" w:rsidRPr="007049AA">
        <w:rPr>
          <w:w w:val="103"/>
          <w:lang w:val="fr-FR"/>
        </w:rPr>
        <w:t xml:space="preserve">. Commenter les informations selon lesquelles </w:t>
      </w:r>
      <w:r w:rsidR="007049AA" w:rsidRPr="007049AA">
        <w:t xml:space="preserve">les autorités suisses </w:t>
      </w:r>
      <w:r w:rsidR="007049AA" w:rsidRPr="007049AA">
        <w:rPr>
          <w:w w:val="103"/>
        </w:rPr>
        <w:t>auraient procédé à des renvoi</w:t>
      </w:r>
      <w:r w:rsidR="004A703A">
        <w:rPr>
          <w:w w:val="103"/>
        </w:rPr>
        <w:t>s forcés illégaux vers l’Italie.</w:t>
      </w:r>
    </w:p>
    <w:p w:rsidR="007049AA" w:rsidRPr="007049AA" w:rsidRDefault="0095451A">
      <w:pPr>
        <w:pStyle w:val="SingleTxtG"/>
        <w:rPr>
          <w:sz w:val="24"/>
          <w:szCs w:val="24"/>
        </w:rPr>
      </w:pPr>
      <w:r w:rsidRPr="007049AA">
        <w:rPr>
          <w:w w:val="103"/>
          <w:lang w:val="fr-FR"/>
        </w:rPr>
        <w:t>1</w:t>
      </w:r>
      <w:r>
        <w:rPr>
          <w:w w:val="103"/>
          <w:lang w:val="fr-FR"/>
        </w:rPr>
        <w:t>0</w:t>
      </w:r>
      <w:r w:rsidR="007049AA" w:rsidRPr="007049AA">
        <w:rPr>
          <w:w w:val="103"/>
          <w:lang w:val="fr-FR"/>
        </w:rPr>
        <w:t>.</w:t>
      </w:r>
      <w:r w:rsidR="007049AA" w:rsidRPr="007049AA">
        <w:rPr>
          <w:w w:val="103"/>
          <w:lang w:val="fr-FR"/>
        </w:rPr>
        <w:tab/>
        <w:t>Compte tenu des observations finales précédentes (par.</w:t>
      </w:r>
      <w:r w:rsidR="00F7129A">
        <w:rPr>
          <w:w w:val="103"/>
          <w:lang w:val="fr-FR"/>
        </w:rPr>
        <w:t> </w:t>
      </w:r>
      <w:r w:rsidR="007049AA" w:rsidRPr="007049AA">
        <w:rPr>
          <w:w w:val="103"/>
          <w:lang w:val="fr-FR"/>
        </w:rPr>
        <w:t>15), ainsi que de l’entrée en vigueur</w:t>
      </w:r>
      <w:r w:rsidR="00C748A7">
        <w:rPr>
          <w:w w:val="103"/>
          <w:lang w:val="fr-FR"/>
        </w:rPr>
        <w:t xml:space="preserve"> </w:t>
      </w:r>
      <w:r w:rsidR="007049AA" w:rsidRPr="007049AA">
        <w:rPr>
          <w:w w:val="103"/>
          <w:lang w:val="fr-FR"/>
        </w:rPr>
        <w:t>en 2015 de la modification législative de la loi sur l’asile</w:t>
      </w:r>
      <w:r w:rsidR="004A703A">
        <w:rPr>
          <w:w w:val="103"/>
          <w:lang w:val="fr-FR"/>
        </w:rPr>
        <w:t>,</w:t>
      </w:r>
      <w:r w:rsidR="007049AA" w:rsidRPr="00270075">
        <w:t xml:space="preserve"> </w:t>
      </w:r>
      <w:r w:rsidR="00CA457B">
        <w:t>indiquer</w:t>
      </w:r>
      <w:r w:rsidR="007049AA" w:rsidRPr="007049AA">
        <w:rPr>
          <w:w w:val="103"/>
          <w:lang w:val="fr-FR"/>
        </w:rPr>
        <w:t xml:space="preserve"> les critères applicables pour octroyer l’assistance juridique gratuite aux requérants d’asile prévu</w:t>
      </w:r>
      <w:r w:rsidR="00CA457B">
        <w:rPr>
          <w:w w:val="103"/>
          <w:lang w:val="fr-FR"/>
        </w:rPr>
        <w:t>e</w:t>
      </w:r>
      <w:r w:rsidR="007049AA" w:rsidRPr="007049AA">
        <w:rPr>
          <w:w w:val="103"/>
          <w:lang w:val="fr-FR"/>
        </w:rPr>
        <w:t xml:space="preserve"> par la loi et si l’accès gratuit à un avocat qualifié et indépendant s’applique à toutes les procédures de recours</w:t>
      </w:r>
      <w:r w:rsidR="007049AA" w:rsidRPr="00270075">
        <w:t xml:space="preserve">. </w:t>
      </w:r>
    </w:p>
    <w:p w:rsidR="007049AA" w:rsidRPr="007049AA" w:rsidRDefault="007049AA" w:rsidP="0036224B">
      <w:pPr>
        <w:pStyle w:val="SingleTxtG"/>
        <w:rPr>
          <w:w w:val="103"/>
          <w:lang w:val="fr-FR"/>
        </w:rPr>
      </w:pPr>
      <w:r w:rsidRPr="007049AA">
        <w:rPr>
          <w:spacing w:val="4"/>
          <w:w w:val="103"/>
          <w:kern w:val="14"/>
          <w:szCs w:val="22"/>
          <w:lang w:val="fr-FR"/>
        </w:rPr>
        <w:t>1</w:t>
      </w:r>
      <w:r w:rsidR="0095451A">
        <w:rPr>
          <w:spacing w:val="4"/>
          <w:w w:val="103"/>
          <w:kern w:val="14"/>
          <w:szCs w:val="22"/>
          <w:lang w:val="fr-FR"/>
        </w:rPr>
        <w:t>1</w:t>
      </w:r>
      <w:r w:rsidRPr="007049AA">
        <w:rPr>
          <w:spacing w:val="4"/>
          <w:w w:val="103"/>
          <w:kern w:val="14"/>
          <w:szCs w:val="22"/>
          <w:lang w:val="fr-FR"/>
        </w:rPr>
        <w:t>.</w:t>
      </w:r>
      <w:r w:rsidRPr="007049AA">
        <w:rPr>
          <w:spacing w:val="4"/>
          <w:w w:val="103"/>
          <w:kern w:val="14"/>
          <w:szCs w:val="22"/>
          <w:lang w:val="fr-FR"/>
        </w:rPr>
        <w:tab/>
      </w:r>
      <w:r w:rsidR="0036224B">
        <w:rPr>
          <w:spacing w:val="4"/>
          <w:w w:val="103"/>
          <w:kern w:val="14"/>
          <w:szCs w:val="22"/>
          <w:lang w:val="fr-FR"/>
        </w:rPr>
        <w:t>F</w:t>
      </w:r>
      <w:r w:rsidRPr="007049AA">
        <w:rPr>
          <w:w w:val="103"/>
          <w:lang w:val="fr-FR"/>
        </w:rPr>
        <w:t>ournir des statistiques annuelles, pour la période écoulée depuis 2015, ventilées par sexe, pays d’origine, origine ethnique et tranche d’âge des personnes demandant l’asile,</w:t>
      </w:r>
      <w:r>
        <w:rPr>
          <w:w w:val="103"/>
          <w:lang w:val="fr-FR"/>
        </w:rPr>
        <w:t xml:space="preserve"> </w:t>
      </w:r>
      <w:r w:rsidRPr="007049AA">
        <w:rPr>
          <w:w w:val="103"/>
          <w:lang w:val="fr-FR"/>
        </w:rPr>
        <w:t>sur</w:t>
      </w:r>
      <w:r w:rsidR="00F16E72">
        <w:rPr>
          <w:w w:val="103"/>
          <w:lang w:val="fr-FR"/>
        </w:rPr>
        <w:t xml:space="preserve"> </w:t>
      </w:r>
      <w:r w:rsidRPr="007049AA">
        <w:rPr>
          <w:w w:val="103"/>
          <w:lang w:val="fr-FR"/>
        </w:rPr>
        <w:t>le nombre</w:t>
      </w:r>
      <w:r w:rsidR="005C58BF">
        <w:rPr>
          <w:w w:val="103"/>
          <w:lang w:val="fr-FR"/>
        </w:rPr>
        <w:t> </w:t>
      </w:r>
      <w:r w:rsidRPr="007049AA">
        <w:rPr>
          <w:w w:val="103"/>
          <w:lang w:val="fr-FR"/>
        </w:rPr>
        <w:t>:</w:t>
      </w:r>
    </w:p>
    <w:p w:rsidR="007049AA" w:rsidRPr="007049AA" w:rsidRDefault="007049AA" w:rsidP="00270075">
      <w:pPr>
        <w:pStyle w:val="SingleTxtG"/>
        <w:ind w:firstLine="567"/>
        <w:rPr>
          <w:w w:val="103"/>
          <w:lang w:val="fr-FR"/>
        </w:rPr>
      </w:pPr>
      <w:r w:rsidRPr="007049AA">
        <w:rPr>
          <w:w w:val="103"/>
          <w:lang w:val="fr-FR"/>
        </w:rPr>
        <w:t>a)</w:t>
      </w:r>
      <w:r w:rsidRPr="007049AA">
        <w:rPr>
          <w:w w:val="103"/>
          <w:lang w:val="fr-FR"/>
        </w:rPr>
        <w:tab/>
      </w:r>
      <w:r w:rsidR="0036224B">
        <w:rPr>
          <w:w w:val="103"/>
          <w:lang w:val="fr-FR"/>
        </w:rPr>
        <w:t>D</w:t>
      </w:r>
      <w:r w:rsidR="0036224B" w:rsidRPr="007049AA">
        <w:rPr>
          <w:w w:val="103"/>
          <w:lang w:val="fr-FR"/>
        </w:rPr>
        <w:t xml:space="preserve">e </w:t>
      </w:r>
      <w:r w:rsidRPr="007049AA">
        <w:rPr>
          <w:w w:val="103"/>
          <w:lang w:val="fr-FR"/>
        </w:rPr>
        <w:t>demandes d’asile enregistrées ;</w:t>
      </w:r>
    </w:p>
    <w:p w:rsidR="007049AA" w:rsidRPr="007049AA" w:rsidRDefault="007049AA" w:rsidP="00270075">
      <w:pPr>
        <w:pStyle w:val="SingleTxtG"/>
        <w:ind w:firstLine="567"/>
        <w:rPr>
          <w:w w:val="103"/>
          <w:lang w:val="fr-FR"/>
        </w:rPr>
      </w:pPr>
      <w:r w:rsidRPr="007049AA">
        <w:rPr>
          <w:w w:val="103"/>
          <w:lang w:val="fr-FR"/>
        </w:rPr>
        <w:t>b)</w:t>
      </w:r>
      <w:r w:rsidRPr="007049AA">
        <w:rPr>
          <w:w w:val="103"/>
          <w:lang w:val="fr-FR"/>
        </w:rPr>
        <w:tab/>
      </w:r>
      <w:r w:rsidR="0036224B">
        <w:rPr>
          <w:w w:val="103"/>
          <w:lang w:val="fr-FR"/>
        </w:rPr>
        <w:t>D</w:t>
      </w:r>
      <w:r w:rsidR="0036224B" w:rsidRPr="007049AA">
        <w:rPr>
          <w:w w:val="103"/>
          <w:lang w:val="fr-FR"/>
        </w:rPr>
        <w:t xml:space="preserve">e </w:t>
      </w:r>
      <w:r w:rsidRPr="007049AA">
        <w:rPr>
          <w:w w:val="103"/>
          <w:lang w:val="fr-FR"/>
        </w:rPr>
        <w:t>demandes d’asile, du statut de réfugié ou d’autres formes de protection humanitaire qui ont été satisfaites en indiquant, le cas échéant, le nombre de cas dans lesquels une protection a été accordée en application du principe de non-refoulement ;</w:t>
      </w:r>
    </w:p>
    <w:p w:rsidR="007049AA" w:rsidRPr="007049AA" w:rsidRDefault="007049AA" w:rsidP="00270075">
      <w:pPr>
        <w:pStyle w:val="SingleTxtG"/>
        <w:ind w:firstLine="567"/>
        <w:rPr>
          <w:w w:val="103"/>
          <w:lang w:val="fr-FR"/>
        </w:rPr>
      </w:pPr>
      <w:r w:rsidRPr="007049AA">
        <w:rPr>
          <w:w w:val="103"/>
          <w:lang w:val="fr-FR"/>
        </w:rPr>
        <w:t>c)</w:t>
      </w:r>
      <w:r w:rsidRPr="007049AA">
        <w:rPr>
          <w:w w:val="103"/>
          <w:lang w:val="fr-FR"/>
        </w:rPr>
        <w:tab/>
      </w:r>
      <w:r w:rsidR="0036224B">
        <w:rPr>
          <w:w w:val="103"/>
          <w:lang w:val="fr-FR"/>
        </w:rPr>
        <w:t>D</w:t>
      </w:r>
      <w:r w:rsidR="0036224B" w:rsidRPr="007049AA">
        <w:rPr>
          <w:w w:val="103"/>
          <w:lang w:val="fr-FR"/>
        </w:rPr>
        <w:t xml:space="preserve">e </w:t>
      </w:r>
      <w:r w:rsidRPr="007049AA">
        <w:rPr>
          <w:w w:val="103"/>
          <w:lang w:val="fr-FR"/>
        </w:rPr>
        <w:t xml:space="preserve">victimes d’actes de torture identifiées parmi les demandeurs d’asile par rapport au nombre total de demandeurs et les mesures prises en faveur des personnes identifiées en tant que victimes d’actes de torture. </w:t>
      </w:r>
      <w:r w:rsidR="003D40EB">
        <w:rPr>
          <w:w w:val="103"/>
          <w:lang w:val="fr-FR"/>
        </w:rPr>
        <w:t>À</w:t>
      </w:r>
      <w:r w:rsidRPr="007049AA">
        <w:rPr>
          <w:w w:val="103"/>
          <w:lang w:val="fr-FR"/>
        </w:rPr>
        <w:t xml:space="preserve"> cet égard, </w:t>
      </w:r>
      <w:r w:rsidRPr="007049AA">
        <w:rPr>
          <w:lang w:val="fr-FR"/>
        </w:rPr>
        <w:t>fournir des renseignements sur le mécanisme en place d’identificat</w:t>
      </w:r>
      <w:r w:rsidR="004A703A">
        <w:rPr>
          <w:lang w:val="fr-FR"/>
        </w:rPr>
        <w:t>ion des victimes de la torture ;</w:t>
      </w:r>
    </w:p>
    <w:p w:rsidR="007049AA" w:rsidRPr="007049AA" w:rsidRDefault="007049AA" w:rsidP="00270075">
      <w:pPr>
        <w:pStyle w:val="SingleTxtG"/>
        <w:ind w:firstLine="567"/>
        <w:rPr>
          <w:w w:val="103"/>
          <w:lang w:val="fr-FR"/>
        </w:rPr>
      </w:pPr>
      <w:r w:rsidRPr="007049AA">
        <w:rPr>
          <w:w w:val="103"/>
          <w:lang w:val="fr-FR"/>
        </w:rPr>
        <w:t>d)</w:t>
      </w:r>
      <w:r w:rsidRPr="007049AA">
        <w:rPr>
          <w:w w:val="103"/>
          <w:lang w:val="fr-FR"/>
        </w:rPr>
        <w:tab/>
      </w:r>
      <w:r w:rsidR="0036224B">
        <w:rPr>
          <w:w w:val="103"/>
          <w:lang w:val="fr-FR"/>
        </w:rPr>
        <w:t>D</w:t>
      </w:r>
      <w:r w:rsidR="0036224B" w:rsidRPr="007049AA">
        <w:rPr>
          <w:w w:val="103"/>
          <w:lang w:val="fr-FR"/>
        </w:rPr>
        <w:t xml:space="preserve">e </w:t>
      </w:r>
      <w:r w:rsidRPr="007049AA">
        <w:rPr>
          <w:w w:val="103"/>
          <w:lang w:val="fr-FR"/>
        </w:rPr>
        <w:t>personnes extradées, expulsées ou renvoyées, et les pays vers lesquels elles l’ont été ;</w:t>
      </w:r>
    </w:p>
    <w:p w:rsidR="007049AA" w:rsidRPr="007049AA" w:rsidRDefault="007049AA" w:rsidP="00270075">
      <w:pPr>
        <w:pStyle w:val="SingleTxtG"/>
        <w:ind w:firstLine="567"/>
        <w:rPr>
          <w:w w:val="103"/>
          <w:lang w:val="fr-FR"/>
        </w:rPr>
      </w:pPr>
      <w:r w:rsidRPr="007049AA">
        <w:rPr>
          <w:w w:val="103"/>
          <w:lang w:val="fr-FR"/>
        </w:rPr>
        <w:t>e)</w:t>
      </w:r>
      <w:r w:rsidRPr="007049AA">
        <w:rPr>
          <w:w w:val="103"/>
          <w:lang w:val="fr-FR"/>
        </w:rPr>
        <w:tab/>
      </w:r>
      <w:r w:rsidR="0036224B">
        <w:rPr>
          <w:w w:val="103"/>
          <w:lang w:val="fr-FR"/>
        </w:rPr>
        <w:t>D</w:t>
      </w:r>
      <w:r w:rsidR="0036224B" w:rsidRPr="007049AA">
        <w:rPr>
          <w:w w:val="103"/>
          <w:lang w:val="fr-FR"/>
        </w:rPr>
        <w:t xml:space="preserve">e </w:t>
      </w:r>
      <w:r w:rsidRPr="007049AA">
        <w:rPr>
          <w:w w:val="103"/>
          <w:lang w:val="fr-FR"/>
        </w:rPr>
        <w:t>recours contre des décisions d’expulsion ou d’extradition déposés au motif que les requérants risquaient d’être soumis à la torture dans les pays de destination et l’issue de ces recours.</w:t>
      </w:r>
    </w:p>
    <w:p w:rsidR="007049AA" w:rsidRPr="007049AA" w:rsidRDefault="007049AA" w:rsidP="007049AA">
      <w:pPr>
        <w:pStyle w:val="H23G"/>
        <w:rPr>
          <w:w w:val="103"/>
          <w:lang w:val="fr-FR"/>
        </w:rPr>
      </w:pPr>
      <w:r w:rsidRPr="007049AA">
        <w:rPr>
          <w:w w:val="103"/>
          <w:lang w:val="fr-FR"/>
        </w:rPr>
        <w:tab/>
      </w:r>
      <w:r w:rsidRPr="007049AA">
        <w:rPr>
          <w:w w:val="103"/>
          <w:lang w:val="fr-FR"/>
        </w:rPr>
        <w:tab/>
        <w:t>Articles 5, 7 et 8</w:t>
      </w:r>
    </w:p>
    <w:p w:rsidR="007049AA" w:rsidRPr="007049AA" w:rsidRDefault="0095451A" w:rsidP="0036224B">
      <w:pPr>
        <w:pStyle w:val="SingleTxtG"/>
        <w:rPr>
          <w:w w:val="103"/>
          <w:lang w:val="fr-FR"/>
        </w:rPr>
      </w:pPr>
      <w:r w:rsidRPr="007049AA">
        <w:rPr>
          <w:w w:val="103"/>
          <w:lang w:val="fr-FR"/>
        </w:rPr>
        <w:t>1</w:t>
      </w:r>
      <w:r>
        <w:rPr>
          <w:w w:val="103"/>
          <w:lang w:val="fr-FR"/>
        </w:rPr>
        <w:t>2</w:t>
      </w:r>
      <w:r w:rsidR="007049AA" w:rsidRPr="007049AA">
        <w:rPr>
          <w:w w:val="103"/>
          <w:lang w:val="fr-FR"/>
        </w:rPr>
        <w:t>.</w:t>
      </w:r>
      <w:r w:rsidR="007049AA" w:rsidRPr="007049AA">
        <w:rPr>
          <w:w w:val="103"/>
          <w:lang w:val="fr-FR"/>
        </w:rPr>
        <w:tab/>
      </w:r>
      <w:r w:rsidR="0036224B">
        <w:rPr>
          <w:w w:val="103"/>
          <w:lang w:val="fr-FR"/>
        </w:rPr>
        <w:t>I</w:t>
      </w:r>
      <w:r w:rsidR="007049AA" w:rsidRPr="007049AA">
        <w:rPr>
          <w:w w:val="103"/>
          <w:lang w:val="fr-FR"/>
        </w:rPr>
        <w:t xml:space="preserve">ndiquer si, depuis l’examen du rapport précédent, l’État partie a rejeté, pour quelque motif que ce soit, une demande d’extradition adressée par un État tiers réclamant un individu soupçonné d’avoir commis des actes de torture et a fait le nécessaire pour exercer lui-même l’action pénale. </w:t>
      </w:r>
    </w:p>
    <w:p w:rsidR="007049AA" w:rsidRPr="007049AA" w:rsidRDefault="007049AA" w:rsidP="007049AA">
      <w:pPr>
        <w:pStyle w:val="H23G"/>
        <w:rPr>
          <w:w w:val="103"/>
          <w:lang w:val="fr-FR"/>
        </w:rPr>
      </w:pPr>
      <w:r w:rsidRPr="007049AA">
        <w:rPr>
          <w:w w:val="103"/>
          <w:lang w:val="fr-FR"/>
        </w:rPr>
        <w:tab/>
      </w:r>
      <w:r w:rsidRPr="007049AA">
        <w:rPr>
          <w:w w:val="103"/>
          <w:lang w:val="fr-FR"/>
        </w:rPr>
        <w:tab/>
        <w:t>Article 10</w:t>
      </w:r>
    </w:p>
    <w:p w:rsidR="007049AA" w:rsidRPr="007049AA" w:rsidRDefault="0095451A" w:rsidP="0036224B">
      <w:pPr>
        <w:pStyle w:val="SingleTxtG"/>
        <w:rPr>
          <w:w w:val="103"/>
          <w:lang w:val="fr-FR"/>
        </w:rPr>
      </w:pPr>
      <w:r w:rsidRPr="007049AA">
        <w:rPr>
          <w:w w:val="103"/>
          <w:lang w:val="fr-FR"/>
        </w:rPr>
        <w:t>1</w:t>
      </w:r>
      <w:r>
        <w:rPr>
          <w:w w:val="103"/>
          <w:lang w:val="fr-FR"/>
        </w:rPr>
        <w:t>3</w:t>
      </w:r>
      <w:r w:rsidR="004A703A">
        <w:rPr>
          <w:w w:val="103"/>
          <w:lang w:val="fr-FR"/>
        </w:rPr>
        <w:t>.</w:t>
      </w:r>
      <w:r w:rsidR="007049AA" w:rsidRPr="007049AA">
        <w:rPr>
          <w:w w:val="103"/>
          <w:lang w:val="fr-FR"/>
        </w:rPr>
        <w:tab/>
        <w:t>Suite aux précédentes observations finales (par.</w:t>
      </w:r>
      <w:r w:rsidR="00F7129A">
        <w:rPr>
          <w:w w:val="103"/>
          <w:lang w:val="fr-FR"/>
        </w:rPr>
        <w:t> </w:t>
      </w:r>
      <w:r w:rsidR="007049AA" w:rsidRPr="007049AA">
        <w:rPr>
          <w:w w:val="103"/>
          <w:lang w:val="fr-FR"/>
        </w:rPr>
        <w:t>21), fournir – en indiquant le nombre total de personnes visées et le pourcentage de bénéficiaires ainsi que la périodicité de la formation – des informations sur les programmes de formation dispensés à tout agent de l’État qui intervient dans la garde, l’interrogatoire ou le traitement des</w:t>
      </w:r>
      <w:r w:rsidR="004D539D">
        <w:rPr>
          <w:w w:val="103"/>
          <w:lang w:val="fr-FR"/>
        </w:rPr>
        <w:t xml:space="preserve"> </w:t>
      </w:r>
      <w:r w:rsidR="007049AA" w:rsidRPr="007049AA">
        <w:rPr>
          <w:lang w:val="fr-FR"/>
        </w:rPr>
        <w:t>personnes privées de liberté</w:t>
      </w:r>
      <w:r w:rsidR="007049AA" w:rsidRPr="007049AA">
        <w:rPr>
          <w:w w:val="103"/>
          <w:lang w:val="fr-FR"/>
        </w:rPr>
        <w:t xml:space="preserve"> dans les domaines suivants</w:t>
      </w:r>
      <w:r w:rsidR="0036224B">
        <w:rPr>
          <w:w w:val="103"/>
          <w:lang w:val="fr-FR"/>
        </w:rPr>
        <w:t> </w:t>
      </w:r>
      <w:r w:rsidR="007049AA" w:rsidRPr="007049AA">
        <w:rPr>
          <w:w w:val="103"/>
          <w:lang w:val="fr-FR"/>
        </w:rPr>
        <w:t xml:space="preserve">: </w:t>
      </w:r>
    </w:p>
    <w:p w:rsidR="007049AA" w:rsidRPr="007049AA" w:rsidRDefault="007049AA" w:rsidP="00270075">
      <w:pPr>
        <w:pStyle w:val="SingleTxtG"/>
        <w:ind w:firstLine="567"/>
        <w:rPr>
          <w:w w:val="103"/>
          <w:lang w:val="fr-FR"/>
        </w:rPr>
      </w:pPr>
      <w:r w:rsidRPr="007049AA">
        <w:rPr>
          <w:w w:val="103"/>
          <w:lang w:val="fr-FR"/>
        </w:rPr>
        <w:t>a)</w:t>
      </w:r>
      <w:r w:rsidRPr="007049AA">
        <w:rPr>
          <w:w w:val="103"/>
          <w:lang w:val="fr-FR"/>
        </w:rPr>
        <w:tab/>
      </w:r>
      <w:r w:rsidR="00EC2DB3">
        <w:rPr>
          <w:w w:val="103"/>
          <w:lang w:val="fr-FR"/>
        </w:rPr>
        <w:t>L</w:t>
      </w:r>
      <w:r w:rsidR="00EC2DB3" w:rsidRPr="007049AA">
        <w:rPr>
          <w:w w:val="103"/>
          <w:lang w:val="fr-FR"/>
        </w:rPr>
        <w:t xml:space="preserve">es </w:t>
      </w:r>
      <w:r w:rsidRPr="007049AA">
        <w:rPr>
          <w:w w:val="103"/>
          <w:lang w:val="fr-FR"/>
        </w:rPr>
        <w:t>dispositions de la Convention</w:t>
      </w:r>
      <w:r w:rsidR="0036224B">
        <w:rPr>
          <w:w w:val="103"/>
          <w:lang w:val="fr-FR"/>
        </w:rPr>
        <w:t> </w:t>
      </w:r>
      <w:r w:rsidRPr="007049AA">
        <w:rPr>
          <w:w w:val="103"/>
          <w:lang w:val="fr-FR"/>
        </w:rPr>
        <w:t xml:space="preserve">; </w:t>
      </w:r>
    </w:p>
    <w:p w:rsidR="007049AA" w:rsidRPr="007049AA" w:rsidRDefault="007049AA" w:rsidP="00270075">
      <w:pPr>
        <w:pStyle w:val="SingleTxtG"/>
        <w:ind w:firstLine="567"/>
        <w:rPr>
          <w:w w:val="103"/>
          <w:lang w:val="fr-FR"/>
        </w:rPr>
      </w:pPr>
      <w:r w:rsidRPr="007049AA">
        <w:rPr>
          <w:w w:val="103"/>
          <w:lang w:val="fr-FR"/>
        </w:rPr>
        <w:t>b)</w:t>
      </w:r>
      <w:r w:rsidRPr="007049AA">
        <w:rPr>
          <w:w w:val="103"/>
          <w:lang w:val="fr-FR"/>
        </w:rPr>
        <w:tab/>
      </w:r>
      <w:r w:rsidR="00EC2DB3">
        <w:rPr>
          <w:w w:val="103"/>
          <w:lang w:val="fr-FR"/>
        </w:rPr>
        <w:t>L</w:t>
      </w:r>
      <w:r w:rsidR="00EC2DB3" w:rsidRPr="007049AA">
        <w:rPr>
          <w:w w:val="103"/>
          <w:lang w:val="fr-FR"/>
        </w:rPr>
        <w:t xml:space="preserve">es </w:t>
      </w:r>
      <w:r w:rsidRPr="007049AA">
        <w:rPr>
          <w:w w:val="103"/>
          <w:lang w:val="fr-FR"/>
        </w:rPr>
        <w:t xml:space="preserve">directives données pour déceler </w:t>
      </w:r>
      <w:r w:rsidR="00371993">
        <w:rPr>
          <w:w w:val="103"/>
          <w:lang w:val="fr-FR"/>
        </w:rPr>
        <w:t xml:space="preserve">et documenter </w:t>
      </w:r>
      <w:r w:rsidRPr="007049AA">
        <w:rPr>
          <w:w w:val="103"/>
          <w:lang w:val="fr-FR"/>
        </w:rPr>
        <w:t>les traces de torture et de mauvais traitements, conformément au Protocole d’Istanbul.</w:t>
      </w:r>
    </w:p>
    <w:p w:rsidR="007049AA" w:rsidRPr="007049AA" w:rsidRDefault="0095451A" w:rsidP="0036224B">
      <w:pPr>
        <w:pStyle w:val="SingleTxtG"/>
        <w:rPr>
          <w:w w:val="103"/>
          <w:lang w:val="fr-FR"/>
        </w:rPr>
      </w:pPr>
      <w:r w:rsidRPr="007049AA">
        <w:rPr>
          <w:w w:val="103"/>
          <w:lang w:val="fr-FR"/>
        </w:rPr>
        <w:t>1</w:t>
      </w:r>
      <w:r>
        <w:rPr>
          <w:w w:val="103"/>
          <w:lang w:val="fr-FR"/>
        </w:rPr>
        <w:t>4</w:t>
      </w:r>
      <w:r w:rsidR="007049AA" w:rsidRPr="007049AA">
        <w:rPr>
          <w:w w:val="103"/>
          <w:lang w:val="fr-FR"/>
        </w:rPr>
        <w:t>.</w:t>
      </w:r>
      <w:r w:rsidR="007049AA" w:rsidRPr="007049AA">
        <w:rPr>
          <w:w w:val="103"/>
          <w:lang w:val="fr-FR"/>
        </w:rPr>
        <w:tab/>
      </w:r>
      <w:r w:rsidR="0036224B">
        <w:rPr>
          <w:w w:val="103"/>
          <w:lang w:val="fr-FR"/>
        </w:rPr>
        <w:t>P</w:t>
      </w:r>
      <w:r w:rsidR="007049AA" w:rsidRPr="007049AA">
        <w:rPr>
          <w:w w:val="103"/>
          <w:lang w:val="fr-FR"/>
        </w:rPr>
        <w:t xml:space="preserve">réciser si l’État partie a mis en place des méthodes spécifiques pour évaluer l’efficacité et l’incidence de ces formations sur la prévention de la torture et le respect du principe de l’interdiction absolue de la torture. </w:t>
      </w:r>
    </w:p>
    <w:p w:rsidR="007049AA" w:rsidRPr="007049AA" w:rsidRDefault="007049AA" w:rsidP="007049AA">
      <w:pPr>
        <w:pStyle w:val="H23G"/>
        <w:rPr>
          <w:w w:val="103"/>
          <w:lang w:val="fr-FR"/>
        </w:rPr>
      </w:pPr>
      <w:r w:rsidRPr="007049AA">
        <w:rPr>
          <w:w w:val="103"/>
          <w:lang w:val="fr-FR"/>
        </w:rPr>
        <w:lastRenderedPageBreak/>
        <w:tab/>
      </w:r>
      <w:r w:rsidRPr="007049AA">
        <w:rPr>
          <w:w w:val="103"/>
          <w:lang w:val="fr-FR"/>
        </w:rPr>
        <w:tab/>
        <w:t>Article 11</w:t>
      </w:r>
    </w:p>
    <w:p w:rsidR="007049AA" w:rsidRPr="007049AA" w:rsidRDefault="0095451A" w:rsidP="00C22A13">
      <w:pPr>
        <w:pStyle w:val="SingleTxtG"/>
        <w:rPr>
          <w:w w:val="103"/>
          <w:lang w:val="fr-FR"/>
        </w:rPr>
      </w:pPr>
      <w:r w:rsidRPr="007049AA">
        <w:rPr>
          <w:w w:val="103"/>
          <w:lang w:val="fr-FR"/>
        </w:rPr>
        <w:t>1</w:t>
      </w:r>
      <w:r>
        <w:rPr>
          <w:w w:val="103"/>
          <w:lang w:val="fr-FR"/>
        </w:rPr>
        <w:t>5</w:t>
      </w:r>
      <w:r w:rsidR="007049AA" w:rsidRPr="007049AA">
        <w:rPr>
          <w:w w:val="103"/>
          <w:lang w:val="fr-FR"/>
        </w:rPr>
        <w:t>.</w:t>
      </w:r>
      <w:r w:rsidR="007049AA" w:rsidRPr="007049AA">
        <w:rPr>
          <w:w w:val="103"/>
          <w:lang w:val="fr-FR"/>
        </w:rPr>
        <w:tab/>
        <w:t>Compte tenu des précédentes observations finales (par.</w:t>
      </w:r>
      <w:r w:rsidR="00F7129A">
        <w:rPr>
          <w:w w:val="103"/>
          <w:lang w:val="fr-FR"/>
        </w:rPr>
        <w:t> </w:t>
      </w:r>
      <w:r w:rsidR="007049AA" w:rsidRPr="007049AA">
        <w:rPr>
          <w:w w:val="103"/>
          <w:lang w:val="fr-FR"/>
        </w:rPr>
        <w:t xml:space="preserve">17) et des décisions du Tribunal </w:t>
      </w:r>
      <w:r w:rsidR="00C22A13">
        <w:rPr>
          <w:w w:val="103"/>
          <w:lang w:val="fr-FR"/>
        </w:rPr>
        <w:t>f</w:t>
      </w:r>
      <w:r w:rsidR="00C22A13" w:rsidRPr="007049AA">
        <w:rPr>
          <w:w w:val="103"/>
          <w:lang w:val="fr-FR"/>
        </w:rPr>
        <w:t xml:space="preserve">édéral </w:t>
      </w:r>
      <w:r w:rsidR="007049AA" w:rsidRPr="007049AA">
        <w:rPr>
          <w:w w:val="103"/>
          <w:lang w:val="fr-FR"/>
        </w:rPr>
        <w:t xml:space="preserve">de mai 2016 et avril 2017, confirmant que les </w:t>
      </w:r>
      <w:r w:rsidR="007049AA" w:rsidRPr="007049AA">
        <w:rPr>
          <w:lang w:val="fr-FR"/>
        </w:rPr>
        <w:t xml:space="preserve">mesures de substitution à la rétention </w:t>
      </w:r>
      <w:r w:rsidR="007049AA" w:rsidRPr="007049AA">
        <w:rPr>
          <w:w w:val="103"/>
          <w:lang w:val="fr-FR"/>
        </w:rPr>
        <w:t xml:space="preserve">ne sont pas appliquées aux </w:t>
      </w:r>
      <w:r w:rsidR="007049AA" w:rsidRPr="007049AA">
        <w:rPr>
          <w:lang w:val="fr-FR"/>
        </w:rPr>
        <w:t xml:space="preserve">requérants d’asile </w:t>
      </w:r>
      <w:r w:rsidR="007049AA" w:rsidRPr="007049AA">
        <w:rPr>
          <w:color w:val="000000"/>
          <w:lang w:eastAsia="en-GB"/>
        </w:rPr>
        <w:t>qui fon</w:t>
      </w:r>
      <w:r w:rsidR="004A703A">
        <w:rPr>
          <w:color w:val="000000"/>
          <w:lang w:eastAsia="en-GB"/>
        </w:rPr>
        <w:t xml:space="preserve">t l’objet d’une décision </w:t>
      </w:r>
      <w:r w:rsidR="00081EF3">
        <w:rPr>
          <w:color w:val="000000"/>
          <w:lang w:eastAsia="en-GB"/>
        </w:rPr>
        <w:t xml:space="preserve">prise en vertu du Règlement </w:t>
      </w:r>
      <w:r w:rsidR="004A703A">
        <w:rPr>
          <w:color w:val="000000"/>
          <w:lang w:eastAsia="en-GB"/>
        </w:rPr>
        <w:t>Dublin,</w:t>
      </w:r>
      <w:r w:rsidR="007049AA" w:rsidRPr="007049AA">
        <w:rPr>
          <w:w w:val="103"/>
          <w:lang w:val="fr-FR"/>
        </w:rPr>
        <w:t xml:space="preserve"> indiquer, pour chaque canton, </w:t>
      </w:r>
      <w:r w:rsidR="007049AA" w:rsidRPr="007049AA">
        <w:rPr>
          <w:spacing w:val="4"/>
          <w:w w:val="103"/>
          <w:kern w:val="14"/>
          <w:szCs w:val="22"/>
        </w:rPr>
        <w:t>selon quels critères et quelle procédure sont examinées la nécessité et la proportionnalité</w:t>
      </w:r>
      <w:r w:rsidR="007049AA" w:rsidRPr="007049AA">
        <w:rPr>
          <w:b/>
          <w:spacing w:val="4"/>
          <w:w w:val="103"/>
          <w:kern w:val="14"/>
          <w:szCs w:val="22"/>
        </w:rPr>
        <w:t xml:space="preserve"> </w:t>
      </w:r>
      <w:r w:rsidR="007049AA" w:rsidRPr="007049AA">
        <w:rPr>
          <w:spacing w:val="4"/>
          <w:w w:val="103"/>
          <w:kern w:val="14"/>
          <w:szCs w:val="22"/>
        </w:rPr>
        <w:t xml:space="preserve">de recourir au </w:t>
      </w:r>
      <w:r w:rsidR="007049AA" w:rsidRPr="007049AA">
        <w:rPr>
          <w:w w:val="103"/>
          <w:lang w:val="fr-FR"/>
        </w:rPr>
        <w:t xml:space="preserve">placement en rétention de migrants en situation irrégulière, et quelles sont les </w:t>
      </w:r>
      <w:r w:rsidR="007049AA" w:rsidRPr="007049AA">
        <w:rPr>
          <w:lang w:val="fr-FR"/>
        </w:rPr>
        <w:t xml:space="preserve">mesures de substitution à la rétention existantes. </w:t>
      </w:r>
    </w:p>
    <w:p w:rsidR="007049AA" w:rsidRPr="007049AA" w:rsidRDefault="0095451A" w:rsidP="00F76BC4">
      <w:pPr>
        <w:pStyle w:val="SingleTxtG"/>
        <w:rPr>
          <w:lang w:val="fr-FR"/>
        </w:rPr>
      </w:pPr>
      <w:r w:rsidRPr="007049AA">
        <w:rPr>
          <w:lang w:val="fr-FR"/>
        </w:rPr>
        <w:t>1</w:t>
      </w:r>
      <w:r>
        <w:rPr>
          <w:lang w:val="fr-FR"/>
        </w:rPr>
        <w:t>6</w:t>
      </w:r>
      <w:r w:rsidR="007049AA" w:rsidRPr="007049AA">
        <w:rPr>
          <w:lang w:val="fr-FR"/>
        </w:rPr>
        <w:t>.</w:t>
      </w:r>
      <w:r w:rsidR="007049AA" w:rsidRPr="007049AA">
        <w:rPr>
          <w:lang w:val="fr-FR"/>
        </w:rPr>
        <w:tab/>
      </w:r>
      <w:r w:rsidR="00554981">
        <w:rPr>
          <w:lang w:val="fr-FR"/>
        </w:rPr>
        <w:t>F</w:t>
      </w:r>
      <w:r w:rsidR="007049AA" w:rsidRPr="007049AA">
        <w:rPr>
          <w:lang w:val="fr-FR"/>
        </w:rPr>
        <w:t>ournir des données annuelles, pour la période écoulée depuis 2015 et par canton</w:t>
      </w:r>
      <w:r w:rsidR="00B316E1">
        <w:rPr>
          <w:lang w:val="fr-FR"/>
        </w:rPr>
        <w:t>,</w:t>
      </w:r>
      <w:r w:rsidR="007049AA" w:rsidRPr="007049AA">
        <w:rPr>
          <w:lang w:val="fr-FR"/>
        </w:rPr>
        <w:t xml:space="preserve"> sur : </w:t>
      </w:r>
      <w:r w:rsidR="00DD0E97">
        <w:rPr>
          <w:lang w:val="fr-FR"/>
        </w:rPr>
        <w:t>a</w:t>
      </w:r>
      <w:r w:rsidR="007049AA" w:rsidRPr="007049AA">
        <w:rPr>
          <w:lang w:val="fr-FR"/>
        </w:rPr>
        <w:t xml:space="preserve">) la durée moyenne de rétention des migrants en situation irrégulière ; </w:t>
      </w:r>
      <w:r w:rsidR="00DD0E97">
        <w:rPr>
          <w:lang w:val="fr-FR"/>
        </w:rPr>
        <w:t>b</w:t>
      </w:r>
      <w:r w:rsidR="007049AA" w:rsidRPr="007049AA">
        <w:rPr>
          <w:lang w:val="fr-FR"/>
        </w:rPr>
        <w:t>) le nombre de structures spécialisées d’accueil des migrants qui existe</w:t>
      </w:r>
      <w:r w:rsidR="00B316E1">
        <w:rPr>
          <w:lang w:val="fr-FR"/>
        </w:rPr>
        <w:t>nt</w:t>
      </w:r>
      <w:r w:rsidR="007049AA" w:rsidRPr="007049AA">
        <w:rPr>
          <w:lang w:val="fr-FR"/>
        </w:rPr>
        <w:t xml:space="preserve"> et le régime applicable aux personnes hébergées</w:t>
      </w:r>
      <w:r w:rsidR="004A703A">
        <w:rPr>
          <w:lang w:val="fr-FR"/>
        </w:rPr>
        <w:t>.</w:t>
      </w:r>
      <w:r w:rsidR="007049AA">
        <w:rPr>
          <w:lang w:val="fr-FR"/>
        </w:rPr>
        <w:t xml:space="preserve"> </w:t>
      </w:r>
      <w:r w:rsidR="00F76BC4">
        <w:rPr>
          <w:lang w:val="fr-FR"/>
        </w:rPr>
        <w:t>Indiquer</w:t>
      </w:r>
      <w:r w:rsidR="00F76BC4" w:rsidRPr="007049AA">
        <w:rPr>
          <w:lang w:val="fr-FR"/>
        </w:rPr>
        <w:t xml:space="preserve"> </w:t>
      </w:r>
      <w:r w:rsidR="007049AA" w:rsidRPr="007049AA">
        <w:rPr>
          <w:lang w:val="fr-FR"/>
        </w:rPr>
        <w:t xml:space="preserve">si des migrants irréguliers sont toujours hébergés dans des établissements de détention préventive ou dans des prisons. </w:t>
      </w:r>
    </w:p>
    <w:p w:rsidR="007049AA" w:rsidRPr="007049AA" w:rsidRDefault="0095451A">
      <w:pPr>
        <w:pStyle w:val="SingleTxtG"/>
        <w:rPr>
          <w:sz w:val="24"/>
          <w:szCs w:val="24"/>
        </w:rPr>
      </w:pPr>
      <w:r w:rsidRPr="007049AA">
        <w:rPr>
          <w:lang w:val="fr-FR"/>
        </w:rPr>
        <w:t>1</w:t>
      </w:r>
      <w:r>
        <w:rPr>
          <w:lang w:val="fr-FR"/>
        </w:rPr>
        <w:t>7</w:t>
      </w:r>
      <w:r w:rsidR="007049AA" w:rsidRPr="007049AA">
        <w:rPr>
          <w:lang w:val="fr-FR"/>
        </w:rPr>
        <w:t>.</w:t>
      </w:r>
      <w:r w:rsidR="007049AA" w:rsidRPr="007049AA">
        <w:rPr>
          <w:lang w:val="fr-FR"/>
        </w:rPr>
        <w:tab/>
        <w:t xml:space="preserve">Eu égard </w:t>
      </w:r>
      <w:r w:rsidR="007049AA" w:rsidRPr="007049AA">
        <w:rPr>
          <w:w w:val="103"/>
          <w:lang w:val="fr-FR"/>
        </w:rPr>
        <w:t xml:space="preserve">à la décision </w:t>
      </w:r>
      <w:r w:rsidR="007049AA" w:rsidRPr="007049AA">
        <w:rPr>
          <w:lang w:val="fr-FR"/>
        </w:rPr>
        <w:t xml:space="preserve">du Tribunal </w:t>
      </w:r>
      <w:r w:rsidR="00554981">
        <w:rPr>
          <w:lang w:val="fr-FR"/>
        </w:rPr>
        <w:t>f</w:t>
      </w:r>
      <w:r w:rsidR="00554981" w:rsidRPr="007049AA">
        <w:rPr>
          <w:lang w:val="fr-FR"/>
        </w:rPr>
        <w:t xml:space="preserve">édéral </w:t>
      </w:r>
      <w:r w:rsidR="007049AA" w:rsidRPr="007049AA">
        <w:rPr>
          <w:lang w:val="fr-FR"/>
        </w:rPr>
        <w:t xml:space="preserve">condamnant la détention dans le canton de Zoug d’une famille de réfugiés afghans, </w:t>
      </w:r>
      <w:r w:rsidR="007049AA" w:rsidRPr="007049AA">
        <w:rPr>
          <w:w w:val="103"/>
          <w:lang w:val="fr-FR"/>
        </w:rPr>
        <w:t>indiquer</w:t>
      </w:r>
      <w:r w:rsidR="004D539D">
        <w:rPr>
          <w:w w:val="103"/>
          <w:lang w:val="fr-FR"/>
        </w:rPr>
        <w:t xml:space="preserve"> </w:t>
      </w:r>
      <w:r w:rsidR="007049AA" w:rsidRPr="007049AA">
        <w:rPr>
          <w:w w:val="103"/>
          <w:lang w:val="fr-FR"/>
        </w:rPr>
        <w:t>les mesures envisagées pour faire en sorte que les familles de migrants en situation irrégulière accompagnées d’enfants ne soient pas détenues</w:t>
      </w:r>
      <w:r w:rsidR="007049AA" w:rsidRPr="007049AA">
        <w:t xml:space="preserve"> </w:t>
      </w:r>
      <w:r w:rsidR="007049AA" w:rsidRPr="007049AA">
        <w:rPr>
          <w:w w:val="103"/>
          <w:lang w:val="fr-FR"/>
        </w:rPr>
        <w:t>ou, s</w:t>
      </w:r>
      <w:r w:rsidR="001B73BF">
        <w:rPr>
          <w:w w:val="103"/>
          <w:lang w:val="fr-FR"/>
        </w:rPr>
        <w:t>i elles</w:t>
      </w:r>
      <w:r w:rsidR="007049AA" w:rsidRPr="007049AA">
        <w:rPr>
          <w:w w:val="103"/>
          <w:lang w:val="fr-FR"/>
        </w:rPr>
        <w:t xml:space="preserve"> le sont, qu’il ne s’agisse que d’une mesure de dernier ressort, appliquée pour la durée la plus brève possible, quand le placement dans un logement commun se révèle impossible</w:t>
      </w:r>
      <w:r w:rsidR="007049AA" w:rsidRPr="00270075">
        <w:t xml:space="preserve">. </w:t>
      </w:r>
    </w:p>
    <w:p w:rsidR="007049AA" w:rsidRPr="007049AA" w:rsidRDefault="0095451A" w:rsidP="005A4861">
      <w:pPr>
        <w:pStyle w:val="SingleTxtG"/>
        <w:rPr>
          <w:lang w:val="fr-FR"/>
        </w:rPr>
      </w:pPr>
      <w:r w:rsidRPr="007049AA">
        <w:rPr>
          <w:lang w:val="fr-FR"/>
        </w:rPr>
        <w:t>1</w:t>
      </w:r>
      <w:r>
        <w:rPr>
          <w:lang w:val="fr-FR"/>
        </w:rPr>
        <w:t>8</w:t>
      </w:r>
      <w:r w:rsidR="007049AA" w:rsidRPr="007049AA">
        <w:rPr>
          <w:lang w:val="fr-FR"/>
        </w:rPr>
        <w:t>.</w:t>
      </w:r>
      <w:r w:rsidR="007049AA" w:rsidRPr="007049AA">
        <w:rPr>
          <w:lang w:val="fr-FR"/>
        </w:rPr>
        <w:tab/>
        <w:t>Eu égard aux précédentes observations finales (par.</w:t>
      </w:r>
      <w:r w:rsidR="00AA71AA">
        <w:t> </w:t>
      </w:r>
      <w:r w:rsidR="007049AA" w:rsidRPr="007049AA">
        <w:rPr>
          <w:lang w:val="fr-FR"/>
        </w:rPr>
        <w:t>18), fournir des informations, pour la période écoulée depuis 2015 et par canton, sur :</w:t>
      </w:r>
    </w:p>
    <w:p w:rsidR="007049AA" w:rsidRPr="007049AA" w:rsidRDefault="007049AA" w:rsidP="00270075">
      <w:pPr>
        <w:pStyle w:val="SingleTxtG"/>
        <w:ind w:firstLine="567"/>
        <w:rPr>
          <w:lang w:val="fr-FR"/>
        </w:rPr>
      </w:pPr>
      <w:r w:rsidRPr="007049AA">
        <w:rPr>
          <w:lang w:val="fr-FR"/>
        </w:rPr>
        <w:t>a)</w:t>
      </w:r>
      <w:r w:rsidRPr="007049AA">
        <w:rPr>
          <w:lang w:val="fr-FR"/>
        </w:rPr>
        <w:tab/>
        <w:t>Le pourcentage d’enfants demandeurs d’asile qui ont été retenus</w:t>
      </w:r>
      <w:r w:rsidRPr="007049AA">
        <w:rPr>
          <w:bCs/>
          <w:lang w:val="fr-FR"/>
        </w:rPr>
        <w:t xml:space="preserve"> et </w:t>
      </w:r>
      <w:r w:rsidRPr="007049AA">
        <w:rPr>
          <w:lang w:val="fr-FR"/>
        </w:rPr>
        <w:t>la durée moyenne des rétentions</w:t>
      </w:r>
      <w:r w:rsidR="005A4861">
        <w:rPr>
          <w:lang w:val="fr-FR"/>
        </w:rPr>
        <w:t> </w:t>
      </w:r>
      <w:r w:rsidRPr="007049AA">
        <w:rPr>
          <w:lang w:val="fr-FR"/>
        </w:rPr>
        <w:t>;</w:t>
      </w:r>
    </w:p>
    <w:p w:rsidR="007049AA" w:rsidRPr="007049AA" w:rsidRDefault="007049AA" w:rsidP="00270075">
      <w:pPr>
        <w:pStyle w:val="SingleTxtG"/>
        <w:ind w:firstLine="567"/>
        <w:rPr>
          <w:lang w:val="fr-FR"/>
        </w:rPr>
      </w:pPr>
      <w:r w:rsidRPr="007049AA">
        <w:rPr>
          <w:lang w:val="fr-FR"/>
        </w:rPr>
        <w:t>b</w:t>
      </w:r>
      <w:r w:rsidR="004A703A">
        <w:rPr>
          <w:lang w:val="fr-FR"/>
        </w:rPr>
        <w:t>)</w:t>
      </w:r>
      <w:r w:rsidRPr="007049AA">
        <w:rPr>
          <w:lang w:val="fr-FR"/>
        </w:rPr>
        <w:tab/>
      </w:r>
      <w:r w:rsidR="005A4861">
        <w:rPr>
          <w:lang w:val="fr-FR"/>
        </w:rPr>
        <w:t>L</w:t>
      </w:r>
      <w:r w:rsidR="005A4861" w:rsidRPr="007049AA">
        <w:rPr>
          <w:lang w:val="fr-FR"/>
        </w:rPr>
        <w:t xml:space="preserve">es </w:t>
      </w:r>
      <w:r w:rsidRPr="007049AA">
        <w:rPr>
          <w:lang w:val="fr-FR"/>
        </w:rPr>
        <w:t>mesures prises pour garantir que les conditions d’accueil soient adaptées à leurs besoins et à leur âge ;</w:t>
      </w:r>
    </w:p>
    <w:p w:rsidR="007049AA" w:rsidRPr="007049AA" w:rsidRDefault="007049AA" w:rsidP="00270075">
      <w:pPr>
        <w:pStyle w:val="SingleTxtG"/>
        <w:ind w:firstLine="567"/>
        <w:rPr>
          <w:lang w:val="fr-FR"/>
        </w:rPr>
      </w:pPr>
      <w:r w:rsidRPr="007049AA">
        <w:rPr>
          <w:lang w:val="fr-FR"/>
        </w:rPr>
        <w:t>c)</w:t>
      </w:r>
      <w:r w:rsidRPr="007049AA">
        <w:rPr>
          <w:w w:val="103"/>
          <w:lang w:val="fr-FR"/>
        </w:rPr>
        <w:tab/>
      </w:r>
      <w:r w:rsidR="005A4861">
        <w:rPr>
          <w:w w:val="103"/>
          <w:lang w:val="fr-FR"/>
        </w:rPr>
        <w:t>L</w:t>
      </w:r>
      <w:r w:rsidR="005A4861" w:rsidRPr="007049AA">
        <w:rPr>
          <w:w w:val="103"/>
          <w:lang w:val="fr-FR"/>
        </w:rPr>
        <w:t xml:space="preserve">es </w:t>
      </w:r>
      <w:r w:rsidRPr="007049AA">
        <w:rPr>
          <w:w w:val="103"/>
          <w:lang w:val="fr-FR"/>
        </w:rPr>
        <w:t>mesures prises pour enquêter de manière approfondie sur les disparitions des mineurs non accompagnés, hébergés dans des centres d’accueil. Préciser le déroulement de ces enquêtes et leurs résultats actuels.</w:t>
      </w:r>
    </w:p>
    <w:p w:rsidR="007049AA" w:rsidRPr="007049AA" w:rsidRDefault="0095451A" w:rsidP="005A4861">
      <w:pPr>
        <w:pStyle w:val="SingleTxtG"/>
        <w:rPr>
          <w:lang w:val="fr-FR"/>
        </w:rPr>
      </w:pPr>
      <w:r>
        <w:rPr>
          <w:lang w:val="fr-FR"/>
        </w:rPr>
        <w:t>19</w:t>
      </w:r>
      <w:r w:rsidR="007049AA" w:rsidRPr="007049AA">
        <w:rPr>
          <w:lang w:val="fr-FR"/>
        </w:rPr>
        <w:t>.</w:t>
      </w:r>
      <w:r w:rsidR="007049AA" w:rsidRPr="007049AA">
        <w:rPr>
          <w:lang w:val="fr-FR"/>
        </w:rPr>
        <w:tab/>
      </w:r>
      <w:r w:rsidR="007049AA" w:rsidRPr="007049AA">
        <w:rPr>
          <w:w w:val="103"/>
          <w:lang w:val="fr-FR"/>
        </w:rPr>
        <w:t>Compte tenu des observations finales précédentes (par.</w:t>
      </w:r>
      <w:r w:rsidR="00AA71AA">
        <w:rPr>
          <w:w w:val="103"/>
          <w:lang w:val="fr-FR"/>
        </w:rPr>
        <w:t> </w:t>
      </w:r>
      <w:r w:rsidR="007049AA" w:rsidRPr="007049AA">
        <w:rPr>
          <w:w w:val="103"/>
          <w:lang w:val="fr-FR"/>
        </w:rPr>
        <w:t>19), fournir</w:t>
      </w:r>
      <w:r w:rsidR="005C58BF">
        <w:rPr>
          <w:w w:val="103"/>
          <w:lang w:val="fr-FR"/>
        </w:rPr>
        <w:t> </w:t>
      </w:r>
      <w:r w:rsidR="007049AA" w:rsidRPr="007049AA">
        <w:rPr>
          <w:lang w:val="fr-FR"/>
        </w:rPr>
        <w:t>:</w:t>
      </w:r>
    </w:p>
    <w:p w:rsidR="007049AA" w:rsidRPr="007049AA" w:rsidRDefault="007049AA" w:rsidP="00270075">
      <w:pPr>
        <w:pStyle w:val="SingleTxtG"/>
        <w:ind w:firstLine="567"/>
        <w:rPr>
          <w:lang w:val="fr-FR"/>
        </w:rPr>
      </w:pPr>
      <w:r w:rsidRPr="007049AA">
        <w:rPr>
          <w:lang w:val="fr-FR"/>
        </w:rPr>
        <w:t>a)</w:t>
      </w:r>
      <w:r w:rsidRPr="007049AA">
        <w:rPr>
          <w:lang w:val="fr-FR"/>
        </w:rPr>
        <w:tab/>
      </w:r>
      <w:r w:rsidRPr="007049AA">
        <w:rPr>
          <w:w w:val="103"/>
          <w:lang w:val="fr-FR"/>
        </w:rPr>
        <w:t>Des données statistiques annuelles, pour la période écoulée depuis 2015, ventilées par lieu de détention, sur la capacité d’accueil et le taux d’occupation de tous les lieux de détention, en indiquant le nombre de prévenus et de condamnés</w:t>
      </w:r>
      <w:r w:rsidR="005C58BF">
        <w:rPr>
          <w:w w:val="103"/>
          <w:lang w:val="fr-FR"/>
        </w:rPr>
        <w:t> </w:t>
      </w:r>
      <w:r w:rsidRPr="007049AA">
        <w:rPr>
          <w:lang w:val="fr-FR"/>
        </w:rPr>
        <w:t>;</w:t>
      </w:r>
    </w:p>
    <w:p w:rsidR="007049AA" w:rsidRPr="007049AA" w:rsidRDefault="007049AA" w:rsidP="00270075">
      <w:pPr>
        <w:pStyle w:val="SingleTxtG"/>
        <w:ind w:firstLine="567"/>
        <w:rPr>
          <w:sz w:val="24"/>
          <w:szCs w:val="24"/>
        </w:rPr>
      </w:pPr>
      <w:r w:rsidRPr="007049AA">
        <w:rPr>
          <w:lang w:val="fr-FR"/>
        </w:rPr>
        <w:t>b)</w:t>
      </w:r>
      <w:r w:rsidRPr="007049AA">
        <w:rPr>
          <w:lang w:val="fr-FR"/>
        </w:rPr>
        <w:tab/>
      </w:r>
      <w:r w:rsidRPr="007049AA">
        <w:rPr>
          <w:w w:val="103"/>
          <w:lang w:val="fr-FR"/>
        </w:rPr>
        <w:t>Des renseignements sur les mesures prises ou envisagées pour réduire la surpopulation carcérale à Champ-</w:t>
      </w:r>
      <w:proofErr w:type="spellStart"/>
      <w:r w:rsidRPr="007049AA">
        <w:rPr>
          <w:w w:val="103"/>
          <w:lang w:val="fr-FR"/>
        </w:rPr>
        <w:t>Dollon</w:t>
      </w:r>
      <w:proofErr w:type="spellEnd"/>
      <w:r w:rsidRPr="007049AA">
        <w:rPr>
          <w:w w:val="103"/>
          <w:lang w:val="fr-FR"/>
        </w:rPr>
        <w:t>, eu égard à la décision de la Cour suprême fédérale de 21 mars 2016, concluant que les conditions de détention violaient l</w:t>
      </w:r>
      <w:r w:rsidR="00862E32">
        <w:rPr>
          <w:w w:val="103"/>
          <w:lang w:val="fr-FR"/>
        </w:rPr>
        <w:t>’</w:t>
      </w:r>
      <w:r w:rsidR="0096176F">
        <w:rPr>
          <w:w w:val="103"/>
          <w:lang w:val="fr-FR"/>
        </w:rPr>
        <w:t>article </w:t>
      </w:r>
      <w:r w:rsidRPr="007049AA">
        <w:rPr>
          <w:w w:val="103"/>
          <w:lang w:val="fr-FR"/>
        </w:rPr>
        <w:t>3 de la Convention européenne des droits de l</w:t>
      </w:r>
      <w:r w:rsidR="005A4861">
        <w:rPr>
          <w:w w:val="103"/>
          <w:lang w:val="fr-FR"/>
        </w:rPr>
        <w:t>’</w:t>
      </w:r>
      <w:r w:rsidRPr="007049AA">
        <w:rPr>
          <w:w w:val="103"/>
          <w:lang w:val="fr-FR"/>
        </w:rPr>
        <w:t>homme</w:t>
      </w:r>
      <w:r w:rsidR="005C58BF">
        <w:rPr>
          <w:w w:val="103"/>
          <w:lang w:val="fr-FR"/>
        </w:rPr>
        <w:t> </w:t>
      </w:r>
      <w:r w:rsidRPr="00270075">
        <w:t>;</w:t>
      </w:r>
    </w:p>
    <w:p w:rsidR="007049AA" w:rsidRPr="007049AA" w:rsidRDefault="007049AA" w:rsidP="00270075">
      <w:pPr>
        <w:pStyle w:val="SingleTxtG"/>
        <w:ind w:firstLine="567"/>
      </w:pPr>
      <w:r w:rsidRPr="007049AA">
        <w:t>c)</w:t>
      </w:r>
      <w:r w:rsidRPr="007049AA">
        <w:tab/>
        <w:t xml:space="preserve">Des renseignements sur les mesures prises pour </w:t>
      </w:r>
      <w:r w:rsidR="00653DFA">
        <w:t>veiller à ce</w:t>
      </w:r>
      <w:r w:rsidR="00653DFA" w:rsidRPr="007049AA">
        <w:t xml:space="preserve"> </w:t>
      </w:r>
      <w:r w:rsidRPr="007049AA">
        <w:t>que les détenus souffrant de troubles mentaux graves soient pris en charge dans un environnement correctement équipé et par du personnel qualifié</w:t>
      </w:r>
      <w:r w:rsidR="004A703A">
        <w:t> ;</w:t>
      </w:r>
    </w:p>
    <w:p w:rsidR="007049AA" w:rsidRPr="007049AA" w:rsidRDefault="007049AA" w:rsidP="00270075">
      <w:pPr>
        <w:pStyle w:val="SingleTxtG"/>
        <w:ind w:firstLine="567"/>
      </w:pPr>
      <w:r w:rsidRPr="007049AA">
        <w:t>d)</w:t>
      </w:r>
      <w:r w:rsidRPr="007049AA">
        <w:tab/>
        <w:t>Des renseignements sur les mesures prises afin d’offrir une possibilité de réexamen de la décision plaçant des condamnés à l’internement à vie, en vertu de l’</w:t>
      </w:r>
      <w:r w:rsidR="004A703A">
        <w:t>article 64, 1</w:t>
      </w:r>
      <w:r w:rsidR="00862E32">
        <w:t> </w:t>
      </w:r>
      <w:r w:rsidR="004A703A" w:rsidRPr="00270075">
        <w:rPr>
          <w:i/>
          <w:iCs/>
        </w:rPr>
        <w:t>bis</w:t>
      </w:r>
      <w:r w:rsidR="004A703A">
        <w:t>, du Code pénal.</w:t>
      </w:r>
    </w:p>
    <w:p w:rsidR="007049AA" w:rsidRPr="007049AA" w:rsidRDefault="0095451A" w:rsidP="005A4861">
      <w:pPr>
        <w:pStyle w:val="SingleTxtG"/>
        <w:rPr>
          <w:w w:val="103"/>
          <w:lang w:val="fr-FR"/>
        </w:rPr>
      </w:pPr>
      <w:r w:rsidRPr="007049AA">
        <w:rPr>
          <w:w w:val="103"/>
          <w:lang w:val="fr-FR"/>
        </w:rPr>
        <w:t>2</w:t>
      </w:r>
      <w:r>
        <w:rPr>
          <w:w w:val="103"/>
          <w:lang w:val="fr-FR"/>
        </w:rPr>
        <w:t>0</w:t>
      </w:r>
      <w:r w:rsidR="007049AA" w:rsidRPr="007049AA">
        <w:rPr>
          <w:w w:val="103"/>
          <w:lang w:val="fr-FR"/>
        </w:rPr>
        <w:t>.</w:t>
      </w:r>
      <w:r w:rsidR="007049AA" w:rsidRPr="007049AA">
        <w:rPr>
          <w:w w:val="103"/>
          <w:lang w:val="fr-FR"/>
        </w:rPr>
        <w:tab/>
      </w:r>
      <w:r w:rsidR="005A4861">
        <w:rPr>
          <w:w w:val="103"/>
          <w:lang w:val="fr-FR"/>
        </w:rPr>
        <w:t>D</w:t>
      </w:r>
      <w:r w:rsidR="007049AA" w:rsidRPr="007049AA">
        <w:rPr>
          <w:w w:val="103"/>
          <w:lang w:val="fr-FR"/>
        </w:rPr>
        <w:t>onner les renseignements ci-après sur le régime disciplinaire dans les centres de détention par canton :</w:t>
      </w:r>
    </w:p>
    <w:p w:rsidR="007049AA" w:rsidRPr="007049AA" w:rsidRDefault="007049AA" w:rsidP="00270075">
      <w:pPr>
        <w:pStyle w:val="SingleTxtG"/>
        <w:ind w:firstLine="567"/>
        <w:rPr>
          <w:w w:val="103"/>
          <w:lang w:val="fr-FR"/>
        </w:rPr>
      </w:pPr>
      <w:r w:rsidRPr="007049AA">
        <w:rPr>
          <w:w w:val="103"/>
          <w:lang w:val="fr-FR"/>
        </w:rPr>
        <w:t>a)</w:t>
      </w:r>
      <w:r w:rsidRPr="007049AA">
        <w:rPr>
          <w:w w:val="103"/>
          <w:lang w:val="fr-FR"/>
        </w:rPr>
        <w:tab/>
        <w:t>Les mesures prises pour modifier le droit applicable à l’isolement disciplinaire, afin de réduire la durée maximale d</w:t>
      </w:r>
      <w:r w:rsidR="00A54DA9">
        <w:rPr>
          <w:w w:val="103"/>
          <w:lang w:val="fr-FR"/>
        </w:rPr>
        <w:t>e</w:t>
      </w:r>
      <w:r w:rsidRPr="007049AA">
        <w:rPr>
          <w:w w:val="103"/>
          <w:lang w:val="fr-FR"/>
        </w:rPr>
        <w:t xml:space="preserve"> placement prévue, qui est de </w:t>
      </w:r>
      <w:r w:rsidR="00A75640">
        <w:rPr>
          <w:w w:val="103"/>
          <w:lang w:val="fr-FR"/>
        </w:rPr>
        <w:t>vingt</w:t>
      </w:r>
      <w:r w:rsidR="00A75640" w:rsidRPr="007049AA">
        <w:rPr>
          <w:w w:val="103"/>
          <w:lang w:val="fr-FR"/>
        </w:rPr>
        <w:t xml:space="preserve"> </w:t>
      </w:r>
      <w:r w:rsidRPr="007049AA">
        <w:rPr>
          <w:w w:val="103"/>
          <w:lang w:val="fr-FR"/>
        </w:rPr>
        <w:t>et</w:t>
      </w:r>
      <w:r w:rsidR="004A703A">
        <w:rPr>
          <w:w w:val="103"/>
          <w:lang w:val="fr-FR"/>
        </w:rPr>
        <w:t xml:space="preserve"> </w:t>
      </w:r>
      <w:r w:rsidR="00A75640">
        <w:rPr>
          <w:w w:val="103"/>
          <w:lang w:val="fr-FR"/>
        </w:rPr>
        <w:t xml:space="preserve">trente </w:t>
      </w:r>
      <w:r w:rsidR="004A703A">
        <w:rPr>
          <w:w w:val="103"/>
          <w:lang w:val="fr-FR"/>
        </w:rPr>
        <w:t>jours dans certains cantons ;</w:t>
      </w:r>
    </w:p>
    <w:p w:rsidR="00073190" w:rsidRPr="007049AA" w:rsidRDefault="007049AA" w:rsidP="00270075">
      <w:pPr>
        <w:pStyle w:val="SingleTxtG"/>
        <w:ind w:firstLine="567"/>
        <w:rPr>
          <w:w w:val="103"/>
        </w:rPr>
      </w:pPr>
      <w:r w:rsidRPr="007049AA">
        <w:rPr>
          <w:w w:val="103"/>
          <w:lang w:val="fr-FR"/>
        </w:rPr>
        <w:t>b)</w:t>
      </w:r>
      <w:r w:rsidRPr="007049AA">
        <w:rPr>
          <w:w w:val="103"/>
          <w:lang w:val="fr-FR"/>
        </w:rPr>
        <w:tab/>
        <w:t>Les mesures prises pour que le régime d’isolement ne soit jamais appliqué aux mineurs ou aux personnes souffrant d</w:t>
      </w:r>
      <w:r w:rsidR="00A54DA9">
        <w:rPr>
          <w:w w:val="103"/>
          <w:lang w:val="fr-FR"/>
        </w:rPr>
        <w:t>’un</w:t>
      </w:r>
      <w:r w:rsidRPr="007049AA">
        <w:rPr>
          <w:w w:val="103"/>
          <w:lang w:val="fr-FR"/>
        </w:rPr>
        <w:t xml:space="preserve"> handicap </w:t>
      </w:r>
      <w:proofErr w:type="spellStart"/>
      <w:r w:rsidRPr="007049AA">
        <w:rPr>
          <w:w w:val="103"/>
          <w:lang w:val="fr-FR"/>
        </w:rPr>
        <w:t>psychosocial</w:t>
      </w:r>
      <w:proofErr w:type="spellEnd"/>
      <w:r w:rsidRPr="007049AA">
        <w:rPr>
          <w:w w:val="103"/>
          <w:lang w:val="fr-FR"/>
        </w:rPr>
        <w:t>, et pour que les détenus soumis au régime d’isolement ne soient pas automatiquement privés de contacts avec le monde extérieur et puissent bénéficier d’au moins un</w:t>
      </w:r>
      <w:r w:rsidR="004A703A">
        <w:rPr>
          <w:w w:val="103"/>
          <w:lang w:val="fr-FR"/>
        </w:rPr>
        <w:t>e heure d’exercice en plein air.</w:t>
      </w:r>
      <w:r w:rsidRPr="00270075">
        <w:rPr>
          <w:lang w:eastAsia="en-GB"/>
        </w:rPr>
        <w:t xml:space="preserve"> </w:t>
      </w:r>
      <w:r w:rsidRPr="007049AA">
        <w:rPr>
          <w:w w:val="103"/>
          <w:lang w:val="fr-FR"/>
        </w:rPr>
        <w:t>Indiquer à quelle fréquence l’état de santé physique et mentale du détenu est</w:t>
      </w:r>
      <w:r w:rsidR="004A703A">
        <w:rPr>
          <w:w w:val="103"/>
          <w:lang w:val="fr-FR"/>
        </w:rPr>
        <w:t xml:space="preserve"> contrôlé </w:t>
      </w:r>
      <w:r w:rsidR="004A703A">
        <w:rPr>
          <w:w w:val="103"/>
          <w:lang w:val="fr-FR"/>
        </w:rPr>
        <w:lastRenderedPageBreak/>
        <w:t>pendant son isolement</w:t>
      </w:r>
      <w:r w:rsidR="00073190">
        <w:rPr>
          <w:w w:val="103"/>
          <w:lang w:val="fr-FR"/>
        </w:rPr>
        <w:t xml:space="preserve"> et si l’isolement a été interrompu en raison de problèmes de santé</w:t>
      </w:r>
      <w:r w:rsidR="004A703A">
        <w:rPr>
          <w:w w:val="103"/>
          <w:lang w:val="fr-FR"/>
        </w:rPr>
        <w:t>.</w:t>
      </w:r>
      <w:r w:rsidRPr="007049AA">
        <w:rPr>
          <w:w w:val="103"/>
          <w:lang w:val="fr-FR"/>
        </w:rPr>
        <w:t xml:space="preserve"> Fournir des données statistiques annuelles depuis 2015 indiquant la durée moyenne du placement à l’isolement</w:t>
      </w:r>
      <w:r w:rsidR="005C58BF">
        <w:rPr>
          <w:w w:val="103"/>
          <w:lang w:val="fr-FR"/>
        </w:rPr>
        <w:t> </w:t>
      </w:r>
      <w:r w:rsidRPr="007049AA">
        <w:rPr>
          <w:w w:val="103"/>
          <w:lang w:val="fr-FR"/>
        </w:rPr>
        <w:t xml:space="preserve">; </w:t>
      </w:r>
    </w:p>
    <w:p w:rsidR="007049AA" w:rsidRPr="007049AA" w:rsidRDefault="007049AA" w:rsidP="004C26A4">
      <w:pPr>
        <w:pStyle w:val="SingleTxtG"/>
        <w:ind w:firstLine="567"/>
        <w:rPr>
          <w:w w:val="103"/>
          <w:lang w:val="fr-FR"/>
        </w:rPr>
      </w:pPr>
      <w:r w:rsidRPr="007049AA">
        <w:rPr>
          <w:w w:val="103"/>
          <w:lang w:val="fr-FR"/>
        </w:rPr>
        <w:t>c)</w:t>
      </w:r>
      <w:r w:rsidRPr="007049AA">
        <w:rPr>
          <w:w w:val="103"/>
          <w:lang w:val="fr-FR"/>
        </w:rPr>
        <w:tab/>
        <w:t xml:space="preserve">Les mesures prises pour veiller à ce que les prisonniers soient entendus en personne par l’autorité appelée à statuer, puissent être autorisés à faire citer des témoins et à procéder à un contre-examen des éléments à charge et reçoivent une décision pleinement motivée expliquant les motifs de la sanction et </w:t>
      </w:r>
      <w:r w:rsidR="004A703A">
        <w:rPr>
          <w:w w:val="103"/>
          <w:lang w:val="fr-FR"/>
        </w:rPr>
        <w:t>les modalités de recours ;</w:t>
      </w:r>
    </w:p>
    <w:p w:rsidR="007049AA" w:rsidRPr="007049AA" w:rsidRDefault="007049AA" w:rsidP="00270075">
      <w:pPr>
        <w:pStyle w:val="SingleTxtG"/>
        <w:ind w:firstLine="567"/>
        <w:rPr>
          <w:w w:val="103"/>
          <w:lang w:val="fr-FR"/>
        </w:rPr>
      </w:pPr>
      <w:r w:rsidRPr="007049AA">
        <w:rPr>
          <w:w w:val="103"/>
          <w:lang w:val="fr-FR"/>
        </w:rPr>
        <w:t>d)</w:t>
      </w:r>
      <w:r w:rsidRPr="007049AA">
        <w:rPr>
          <w:w w:val="103"/>
          <w:lang w:val="fr-FR"/>
        </w:rPr>
        <w:tab/>
        <w:t xml:space="preserve">Les mesures envisagées pour mettre en place un registre des sanctions disciplinaires dans tous les cantons. </w:t>
      </w:r>
    </w:p>
    <w:p w:rsidR="007049AA" w:rsidRPr="007049AA" w:rsidRDefault="0095451A" w:rsidP="00A57A43">
      <w:pPr>
        <w:pStyle w:val="SingleTxtG"/>
        <w:rPr>
          <w:w w:val="103"/>
          <w:lang w:val="fr-FR"/>
        </w:rPr>
      </w:pPr>
      <w:r w:rsidRPr="007049AA">
        <w:rPr>
          <w:w w:val="103"/>
          <w:lang w:val="fr-FR"/>
        </w:rPr>
        <w:t>2</w:t>
      </w:r>
      <w:r>
        <w:rPr>
          <w:w w:val="103"/>
          <w:lang w:val="fr-FR"/>
        </w:rPr>
        <w:t>1</w:t>
      </w:r>
      <w:r w:rsidR="007049AA" w:rsidRPr="007049AA">
        <w:rPr>
          <w:w w:val="103"/>
          <w:lang w:val="fr-FR"/>
        </w:rPr>
        <w:t>.</w:t>
      </w:r>
      <w:r w:rsidR="007049AA" w:rsidRPr="007049AA">
        <w:rPr>
          <w:w w:val="103"/>
          <w:lang w:val="fr-FR"/>
        </w:rPr>
        <w:tab/>
      </w:r>
      <w:r w:rsidR="00A57A43">
        <w:rPr>
          <w:w w:val="103"/>
          <w:lang w:val="fr-FR"/>
        </w:rPr>
        <w:t>D</w:t>
      </w:r>
      <w:r w:rsidR="007049AA" w:rsidRPr="007049AA">
        <w:rPr>
          <w:w w:val="103"/>
          <w:lang w:val="fr-FR"/>
        </w:rPr>
        <w:t>onner les renseignements suivants</w:t>
      </w:r>
      <w:r w:rsidR="005C58BF">
        <w:rPr>
          <w:w w:val="103"/>
          <w:lang w:val="fr-FR"/>
        </w:rPr>
        <w:t> </w:t>
      </w:r>
      <w:r w:rsidR="007049AA" w:rsidRPr="007049AA">
        <w:rPr>
          <w:w w:val="103"/>
          <w:lang w:val="fr-FR"/>
        </w:rPr>
        <w:t>:</w:t>
      </w:r>
    </w:p>
    <w:p w:rsidR="007049AA" w:rsidRPr="007049AA" w:rsidRDefault="007049AA" w:rsidP="00270075">
      <w:pPr>
        <w:pStyle w:val="SingleTxtG"/>
        <w:ind w:firstLine="567"/>
        <w:rPr>
          <w:w w:val="103"/>
          <w:lang w:val="fr-FR"/>
        </w:rPr>
      </w:pPr>
      <w:r w:rsidRPr="007049AA">
        <w:rPr>
          <w:w w:val="103"/>
          <w:lang w:val="fr-FR"/>
        </w:rPr>
        <w:t>a)</w:t>
      </w:r>
      <w:r w:rsidRPr="007049AA">
        <w:rPr>
          <w:w w:val="103"/>
          <w:lang w:val="fr-FR"/>
        </w:rPr>
        <w:tab/>
        <w:t>Des statistiques annuelles depuis 2015, ventilées par lieu de privation de liberté et par appartenance ethnique ou nationale de la victime, sur : i) le nombre de décès en détention en indiquant la cause du décès ; ii) le nombre de personnes blessées ou décédées à la suite d’actes de violence commis dans les lieux de détention, en indiquant si l’auteur de ces actes était un fonctionnaire ou un</w:t>
      </w:r>
      <w:r w:rsidR="004D539D">
        <w:rPr>
          <w:w w:val="103"/>
          <w:lang w:val="fr-FR"/>
        </w:rPr>
        <w:t xml:space="preserve"> </w:t>
      </w:r>
      <w:r w:rsidRPr="007049AA">
        <w:rPr>
          <w:w w:val="103"/>
          <w:lang w:val="fr-FR"/>
        </w:rPr>
        <w:t xml:space="preserve">détenu, ou à la suite de négligences ayant entraîné la mort ou des blessures. Donner également des informations détaillées sur l’issue des enquêtes menées sur ces décès ou ces violences, et sur les sanctions imposées aux personnes reconnues coupables d’actes de torture, de mauvais traitements ou de négligences ayant entraîné la mort ou des blessures. Préciser quelles mesures de réparation ont été fournies aux victimes de ces actes et à leur famille ; </w:t>
      </w:r>
    </w:p>
    <w:p w:rsidR="007049AA" w:rsidRPr="007049AA" w:rsidRDefault="007049AA" w:rsidP="00270075">
      <w:pPr>
        <w:pStyle w:val="SingleTxtG"/>
        <w:ind w:firstLine="567"/>
        <w:rPr>
          <w:w w:val="103"/>
          <w:lang w:val="fr-FR"/>
        </w:rPr>
      </w:pPr>
      <w:r w:rsidRPr="007049AA">
        <w:rPr>
          <w:w w:val="103"/>
          <w:lang w:val="fr-FR"/>
        </w:rPr>
        <w:t>b)</w:t>
      </w:r>
      <w:r w:rsidRPr="007049AA">
        <w:rPr>
          <w:w w:val="103"/>
          <w:lang w:val="fr-FR"/>
        </w:rPr>
        <w:tab/>
        <w:t>Les mesures prises pour combattre le problème de violence entre détenus, améliorer la surveillance et le repérage des détenus à risque et prévenir les suicides</w:t>
      </w:r>
      <w:r w:rsidR="004A703A">
        <w:rPr>
          <w:w w:val="103"/>
          <w:lang w:val="fr-FR"/>
        </w:rPr>
        <w:t>.</w:t>
      </w:r>
      <w:r w:rsidRPr="007049AA">
        <w:rPr>
          <w:w w:val="103"/>
          <w:lang w:val="fr-FR"/>
        </w:rPr>
        <w:t xml:space="preserve"> </w:t>
      </w:r>
    </w:p>
    <w:p w:rsidR="007049AA" w:rsidRPr="007049AA" w:rsidRDefault="007049AA" w:rsidP="007049AA">
      <w:pPr>
        <w:pStyle w:val="H23G"/>
        <w:rPr>
          <w:w w:val="103"/>
          <w:lang w:val="fr-FR"/>
        </w:rPr>
      </w:pPr>
      <w:r w:rsidRPr="007049AA">
        <w:rPr>
          <w:w w:val="103"/>
          <w:lang w:val="fr-FR"/>
        </w:rPr>
        <w:tab/>
      </w:r>
      <w:r w:rsidRPr="007049AA">
        <w:rPr>
          <w:w w:val="103"/>
          <w:lang w:val="fr-FR"/>
        </w:rPr>
        <w:tab/>
        <w:t>Articles 12 et 13</w:t>
      </w:r>
    </w:p>
    <w:p w:rsidR="007049AA" w:rsidRPr="007049AA" w:rsidRDefault="0095451A">
      <w:pPr>
        <w:pStyle w:val="SingleTxtG"/>
        <w:rPr>
          <w:sz w:val="24"/>
          <w:szCs w:val="24"/>
        </w:rPr>
      </w:pPr>
      <w:r w:rsidRPr="007049AA">
        <w:rPr>
          <w:w w:val="103"/>
          <w:lang w:val="fr-FR"/>
        </w:rPr>
        <w:t>2</w:t>
      </w:r>
      <w:r>
        <w:rPr>
          <w:w w:val="103"/>
          <w:lang w:val="fr-FR"/>
        </w:rPr>
        <w:t>2</w:t>
      </w:r>
      <w:r w:rsidR="007049AA" w:rsidRPr="007049AA">
        <w:rPr>
          <w:w w:val="103"/>
          <w:lang w:val="fr-FR"/>
        </w:rPr>
        <w:t>.</w:t>
      </w:r>
      <w:r w:rsidR="007049AA" w:rsidRPr="007049AA">
        <w:rPr>
          <w:w w:val="103"/>
          <w:lang w:val="fr-FR"/>
        </w:rPr>
        <w:tab/>
        <w:t>Eu égard aux observations finales précédentes (par.</w:t>
      </w:r>
      <w:r w:rsidR="00AA71AA">
        <w:rPr>
          <w:w w:val="103"/>
          <w:lang w:val="fr-FR"/>
        </w:rPr>
        <w:t> </w:t>
      </w:r>
      <w:r w:rsidR="007049AA" w:rsidRPr="007049AA">
        <w:rPr>
          <w:w w:val="103"/>
          <w:lang w:val="fr-FR"/>
        </w:rPr>
        <w:t xml:space="preserve">10) et </w:t>
      </w:r>
      <w:r w:rsidR="00247236">
        <w:rPr>
          <w:w w:val="103"/>
          <w:lang w:val="fr-FR"/>
        </w:rPr>
        <w:t>aux</w:t>
      </w:r>
      <w:r w:rsidR="00247236" w:rsidRPr="007049AA">
        <w:rPr>
          <w:w w:val="103"/>
          <w:lang w:val="fr-FR"/>
        </w:rPr>
        <w:t xml:space="preserve"> </w:t>
      </w:r>
      <w:r w:rsidR="007049AA" w:rsidRPr="007049AA">
        <w:rPr>
          <w:w w:val="103"/>
          <w:lang w:val="fr-FR"/>
        </w:rPr>
        <w:t>réponses de suivi de l’</w:t>
      </w:r>
      <w:r w:rsidR="006D5410">
        <w:rPr>
          <w:w w:val="103"/>
          <w:lang w:val="fr-FR"/>
        </w:rPr>
        <w:t>É</w:t>
      </w:r>
      <w:r w:rsidR="007049AA" w:rsidRPr="007049AA">
        <w:rPr>
          <w:w w:val="103"/>
          <w:lang w:val="fr-FR"/>
        </w:rPr>
        <w:t>tat partie, indiquer</w:t>
      </w:r>
      <w:r w:rsidR="00A57A43">
        <w:rPr>
          <w:w w:val="103"/>
          <w:lang w:val="fr-FR"/>
        </w:rPr>
        <w:t xml:space="preserve"> </w:t>
      </w:r>
      <w:r w:rsidR="007049AA" w:rsidRPr="007049AA">
        <w:rPr>
          <w:w w:val="103"/>
          <w:lang w:val="fr-FR"/>
        </w:rPr>
        <w:t>l’évolution du processus de création d’un mécanisme indépendant habilité à recevoir toutes les plaintes relatives à des violences ou à des mauvais traitements de la part de membres de forces de l’ordre et à enquêter sur ces plaintes</w:t>
      </w:r>
      <w:r w:rsidR="004A703A">
        <w:rPr>
          <w:w w:val="103"/>
          <w:lang w:val="fr-FR"/>
        </w:rPr>
        <w:t>.</w:t>
      </w:r>
    </w:p>
    <w:p w:rsidR="007049AA" w:rsidRPr="007049AA" w:rsidRDefault="0095451A" w:rsidP="00A57A43">
      <w:pPr>
        <w:pStyle w:val="SingleTxtG"/>
        <w:rPr>
          <w:w w:val="103"/>
          <w:lang w:val="fr-FR"/>
        </w:rPr>
      </w:pPr>
      <w:r w:rsidRPr="007049AA">
        <w:rPr>
          <w:w w:val="103"/>
          <w:lang w:val="fr-FR"/>
        </w:rPr>
        <w:t>2</w:t>
      </w:r>
      <w:r>
        <w:rPr>
          <w:w w:val="103"/>
          <w:lang w:val="fr-FR"/>
        </w:rPr>
        <w:t>3</w:t>
      </w:r>
      <w:r w:rsidR="007049AA" w:rsidRPr="007049AA">
        <w:rPr>
          <w:w w:val="103"/>
          <w:lang w:val="fr-FR"/>
        </w:rPr>
        <w:t>.</w:t>
      </w:r>
      <w:r w:rsidR="007049AA" w:rsidRPr="007049AA">
        <w:rPr>
          <w:w w:val="103"/>
          <w:lang w:val="fr-FR"/>
        </w:rPr>
        <w:tab/>
      </w:r>
      <w:r w:rsidR="00A57A43">
        <w:rPr>
          <w:w w:val="103"/>
          <w:lang w:val="fr-FR"/>
        </w:rPr>
        <w:t>F</w:t>
      </w:r>
      <w:r w:rsidR="007049AA" w:rsidRPr="007049AA">
        <w:rPr>
          <w:w w:val="103"/>
          <w:lang w:val="fr-FR"/>
        </w:rPr>
        <w:t xml:space="preserve">ournir des statistiques annuelles depuis 2015, ventilées par infraction et appartenance ethnique ou nationale, tranche d’âge et sexe de la victime, sur : </w:t>
      </w:r>
    </w:p>
    <w:p w:rsidR="007049AA" w:rsidRPr="007049AA" w:rsidRDefault="007049AA" w:rsidP="00270075">
      <w:pPr>
        <w:pStyle w:val="SingleTxtG"/>
        <w:ind w:firstLine="567"/>
        <w:rPr>
          <w:w w:val="103"/>
          <w:lang w:val="fr-FR"/>
        </w:rPr>
      </w:pPr>
      <w:r w:rsidRPr="007049AA">
        <w:rPr>
          <w:w w:val="103"/>
          <w:lang w:val="fr-FR"/>
        </w:rPr>
        <w:t>a)</w:t>
      </w:r>
      <w:r w:rsidRPr="007049AA">
        <w:rPr>
          <w:w w:val="103"/>
          <w:lang w:val="fr-FR"/>
        </w:rPr>
        <w:tab/>
        <w:t xml:space="preserve">Le nombre de plaintes déposées ou de rapports de police rédigés concernant des infractions telles que la torture et les mauvais traitements, la complicité ou la participation à de tels actes et l’usage excessif de la force qui auraient été commises par des agents de la force publique ou avec le consentement exprès ou tacite de ces derniers ; </w:t>
      </w:r>
    </w:p>
    <w:p w:rsidR="007049AA" w:rsidRPr="007049AA" w:rsidRDefault="007049AA" w:rsidP="00270075">
      <w:pPr>
        <w:pStyle w:val="SingleTxtG"/>
        <w:ind w:firstLine="567"/>
        <w:rPr>
          <w:w w:val="103"/>
          <w:lang w:val="fr-FR"/>
        </w:rPr>
      </w:pPr>
      <w:r w:rsidRPr="007049AA">
        <w:rPr>
          <w:w w:val="103"/>
          <w:lang w:val="fr-FR"/>
        </w:rPr>
        <w:t>b)</w:t>
      </w:r>
      <w:r w:rsidRPr="007049AA">
        <w:rPr>
          <w:w w:val="103"/>
          <w:lang w:val="fr-FR"/>
        </w:rPr>
        <w:tab/>
        <w:t xml:space="preserve">Le nombre d’enquêtes ouvertes après le dépôt de ces plaintes et les autorités qui les ont ouvertes ; </w:t>
      </w:r>
    </w:p>
    <w:p w:rsidR="007049AA" w:rsidRPr="007049AA" w:rsidRDefault="007049AA" w:rsidP="00270075">
      <w:pPr>
        <w:pStyle w:val="SingleTxtG"/>
        <w:ind w:firstLine="567"/>
        <w:rPr>
          <w:w w:val="103"/>
          <w:lang w:val="fr-FR"/>
        </w:rPr>
      </w:pPr>
      <w:r w:rsidRPr="007049AA">
        <w:rPr>
          <w:w w:val="103"/>
          <w:lang w:val="fr-FR"/>
        </w:rPr>
        <w:t>c)</w:t>
      </w:r>
      <w:r w:rsidRPr="007049AA">
        <w:rPr>
          <w:w w:val="103"/>
          <w:lang w:val="fr-FR"/>
        </w:rPr>
        <w:tab/>
        <w:t>Le nombre de ces enquêtes qui ont été classées sans suite ;</w:t>
      </w:r>
    </w:p>
    <w:p w:rsidR="007049AA" w:rsidRPr="007049AA" w:rsidRDefault="007049AA" w:rsidP="00270075">
      <w:pPr>
        <w:pStyle w:val="SingleTxtG"/>
        <w:ind w:firstLine="567"/>
        <w:rPr>
          <w:w w:val="103"/>
          <w:lang w:val="fr-FR"/>
        </w:rPr>
      </w:pPr>
      <w:r w:rsidRPr="007049AA">
        <w:rPr>
          <w:w w:val="103"/>
          <w:lang w:val="fr-FR"/>
        </w:rPr>
        <w:t>d)</w:t>
      </w:r>
      <w:r w:rsidRPr="007049AA">
        <w:rPr>
          <w:w w:val="103"/>
          <w:lang w:val="fr-FR"/>
        </w:rPr>
        <w:tab/>
        <w:t xml:space="preserve">Le nombre de ces enquêtes qui ont donné lieu à des poursuites ; </w:t>
      </w:r>
    </w:p>
    <w:p w:rsidR="007049AA" w:rsidRPr="007049AA" w:rsidRDefault="007049AA" w:rsidP="00270075">
      <w:pPr>
        <w:pStyle w:val="SingleTxtG"/>
        <w:ind w:firstLine="567"/>
        <w:rPr>
          <w:w w:val="103"/>
          <w:lang w:val="fr-FR"/>
        </w:rPr>
      </w:pPr>
      <w:r w:rsidRPr="007049AA">
        <w:rPr>
          <w:w w:val="103"/>
          <w:lang w:val="fr-FR"/>
        </w:rPr>
        <w:t>e)</w:t>
      </w:r>
      <w:r w:rsidRPr="007049AA">
        <w:rPr>
          <w:w w:val="103"/>
          <w:lang w:val="fr-FR"/>
        </w:rPr>
        <w:tab/>
        <w:t>Le nombre de ces poursuites qui ont abouti à une condamnation ;</w:t>
      </w:r>
    </w:p>
    <w:p w:rsidR="007049AA" w:rsidRPr="007049AA" w:rsidRDefault="007049AA" w:rsidP="00270075">
      <w:pPr>
        <w:pStyle w:val="SingleTxtG"/>
        <w:ind w:firstLine="567"/>
        <w:rPr>
          <w:w w:val="103"/>
          <w:lang w:val="fr-FR"/>
        </w:rPr>
      </w:pPr>
      <w:r w:rsidRPr="007049AA">
        <w:rPr>
          <w:w w:val="103"/>
          <w:lang w:val="fr-FR"/>
        </w:rPr>
        <w:t>f)</w:t>
      </w:r>
      <w:r w:rsidRPr="007049AA">
        <w:rPr>
          <w:w w:val="103"/>
          <w:lang w:val="fr-FR"/>
        </w:rPr>
        <w:tab/>
        <w:t>Les sanctions pénales et disciplinaires qui ont été appliquées, en indiquant la durée des peines d’emprisonnement ;</w:t>
      </w:r>
    </w:p>
    <w:p w:rsidR="007049AA" w:rsidRPr="007049AA" w:rsidRDefault="007049AA" w:rsidP="00270075">
      <w:pPr>
        <w:pStyle w:val="SingleTxtG"/>
        <w:ind w:firstLine="567"/>
        <w:rPr>
          <w:w w:val="103"/>
          <w:lang w:val="fr-FR"/>
        </w:rPr>
      </w:pPr>
      <w:r w:rsidRPr="007049AA">
        <w:rPr>
          <w:w w:val="103"/>
          <w:lang w:val="fr-FR"/>
        </w:rPr>
        <w:t>g)</w:t>
      </w:r>
      <w:r w:rsidRPr="007049AA">
        <w:rPr>
          <w:w w:val="103"/>
          <w:lang w:val="fr-FR"/>
        </w:rPr>
        <w:tab/>
      </w:r>
      <w:r w:rsidR="00AD5795">
        <w:rPr>
          <w:w w:val="103"/>
          <w:lang w:val="fr-FR"/>
        </w:rPr>
        <w:t>L</w:t>
      </w:r>
      <w:r w:rsidRPr="007049AA">
        <w:rPr>
          <w:w w:val="103"/>
          <w:lang w:val="fr-FR"/>
        </w:rPr>
        <w:t xml:space="preserve">es agents dont il y a lieu de soupçonner qu’ils ont commis des actes de torture et des mauvais traitements </w:t>
      </w:r>
      <w:r w:rsidR="00AD5795">
        <w:rPr>
          <w:w w:val="103"/>
          <w:lang w:val="fr-FR"/>
        </w:rPr>
        <w:t xml:space="preserve">qui </w:t>
      </w:r>
      <w:r w:rsidRPr="007049AA">
        <w:rPr>
          <w:w w:val="103"/>
          <w:lang w:val="fr-FR"/>
        </w:rPr>
        <w:t>sont systématiquement suspendus ou mutés pendant la durée de l’enquête ;</w:t>
      </w:r>
    </w:p>
    <w:p w:rsidR="007049AA" w:rsidRPr="007049AA" w:rsidRDefault="007049AA" w:rsidP="00270075">
      <w:pPr>
        <w:pStyle w:val="SingleTxtG"/>
        <w:ind w:firstLine="567"/>
        <w:rPr>
          <w:w w:val="103"/>
          <w:lang w:val="fr-FR"/>
        </w:rPr>
      </w:pPr>
      <w:r w:rsidRPr="007049AA">
        <w:rPr>
          <w:w w:val="103"/>
          <w:lang w:val="fr-FR"/>
        </w:rPr>
        <w:t>h)</w:t>
      </w:r>
      <w:r w:rsidRPr="007049AA">
        <w:rPr>
          <w:w w:val="103"/>
          <w:lang w:val="fr-FR"/>
        </w:rPr>
        <w:tab/>
      </w:r>
      <w:r w:rsidR="00F76BC4">
        <w:rPr>
          <w:w w:val="103"/>
          <w:lang w:val="fr-FR"/>
        </w:rPr>
        <w:t>L</w:t>
      </w:r>
      <w:r w:rsidR="00F76BC4" w:rsidRPr="007049AA">
        <w:rPr>
          <w:w w:val="103"/>
          <w:lang w:val="fr-FR"/>
        </w:rPr>
        <w:t xml:space="preserve">e </w:t>
      </w:r>
      <w:r w:rsidRPr="007049AA">
        <w:rPr>
          <w:w w:val="103"/>
          <w:lang w:val="fr-FR"/>
        </w:rPr>
        <w:t>nombre d’enquêtes ouvertes d’office sur des cas de torture et de mauvais traitements qui ont donné</w:t>
      </w:r>
      <w:r w:rsidR="004D539D">
        <w:rPr>
          <w:w w:val="103"/>
          <w:lang w:val="fr-FR"/>
        </w:rPr>
        <w:t xml:space="preserve"> </w:t>
      </w:r>
      <w:r w:rsidRPr="007049AA">
        <w:rPr>
          <w:w w:val="103"/>
          <w:lang w:val="fr-FR"/>
        </w:rPr>
        <w:t>lieu à des poursuites ;</w:t>
      </w:r>
    </w:p>
    <w:p w:rsidR="007049AA" w:rsidRPr="007049AA" w:rsidRDefault="007049AA" w:rsidP="00270075">
      <w:pPr>
        <w:pStyle w:val="SingleTxtG"/>
        <w:ind w:firstLine="567"/>
        <w:rPr>
          <w:w w:val="103"/>
          <w:lang w:val="fr-FR"/>
        </w:rPr>
      </w:pPr>
      <w:r w:rsidRPr="007049AA">
        <w:rPr>
          <w:w w:val="103"/>
          <w:lang w:val="fr-FR"/>
        </w:rPr>
        <w:t>i)</w:t>
      </w:r>
      <w:r w:rsidRPr="007049AA">
        <w:rPr>
          <w:w w:val="103"/>
          <w:lang w:val="fr-FR"/>
        </w:rPr>
        <w:tab/>
      </w:r>
      <w:r w:rsidR="00F76BC4">
        <w:rPr>
          <w:w w:val="103"/>
          <w:lang w:val="fr-FR"/>
        </w:rPr>
        <w:t>L</w:t>
      </w:r>
      <w:r w:rsidR="00F76BC4" w:rsidRPr="007049AA">
        <w:rPr>
          <w:w w:val="103"/>
          <w:lang w:val="fr-FR"/>
        </w:rPr>
        <w:t xml:space="preserve">e </w:t>
      </w:r>
      <w:r w:rsidRPr="007049AA">
        <w:rPr>
          <w:w w:val="103"/>
          <w:lang w:val="fr-FR"/>
        </w:rPr>
        <w:t>nombre de cas de torture ou de mauvais traitements signalés par des médecins après des examens cliniques de détenus et la suite donnée à leurs rapports.</w:t>
      </w:r>
    </w:p>
    <w:p w:rsidR="007049AA" w:rsidRPr="007049AA" w:rsidRDefault="0095451A" w:rsidP="00A57A43">
      <w:pPr>
        <w:pStyle w:val="SingleTxtG"/>
        <w:rPr>
          <w:w w:val="103"/>
          <w:lang w:val="fr-FR"/>
        </w:rPr>
      </w:pPr>
      <w:r w:rsidRPr="007049AA">
        <w:rPr>
          <w:w w:val="103"/>
          <w:lang w:val="fr-FR"/>
        </w:rPr>
        <w:lastRenderedPageBreak/>
        <w:t>2</w:t>
      </w:r>
      <w:r>
        <w:rPr>
          <w:w w:val="103"/>
          <w:lang w:val="fr-FR"/>
        </w:rPr>
        <w:t>4</w:t>
      </w:r>
      <w:r w:rsidR="007049AA" w:rsidRPr="007049AA">
        <w:rPr>
          <w:w w:val="103"/>
          <w:lang w:val="fr-FR"/>
        </w:rPr>
        <w:t>.</w:t>
      </w:r>
      <w:r w:rsidR="007049AA" w:rsidRPr="007049AA">
        <w:rPr>
          <w:w w:val="103"/>
          <w:lang w:val="fr-FR"/>
        </w:rPr>
        <w:tab/>
      </w:r>
      <w:r w:rsidR="00A57A43">
        <w:rPr>
          <w:w w:val="103"/>
          <w:lang w:val="fr-FR"/>
        </w:rPr>
        <w:t>I</w:t>
      </w:r>
      <w:r w:rsidR="007049AA" w:rsidRPr="007049AA">
        <w:rPr>
          <w:w w:val="103"/>
          <w:lang w:val="fr-FR"/>
        </w:rPr>
        <w:t>ndiquer le nombre d’enquêtes pénales menées depuis 2015 par l’Inspection générale des services à l</w:t>
      </w:r>
      <w:r w:rsidR="003E7F71">
        <w:rPr>
          <w:w w:val="103"/>
          <w:lang w:val="fr-FR"/>
        </w:rPr>
        <w:t>’</w:t>
      </w:r>
      <w:r w:rsidR="007049AA" w:rsidRPr="007049AA">
        <w:rPr>
          <w:w w:val="103"/>
          <w:lang w:val="fr-FR"/>
        </w:rPr>
        <w:t xml:space="preserve">encontre de policiers appartenant à la </w:t>
      </w:r>
      <w:proofErr w:type="spellStart"/>
      <w:r w:rsidR="007049AA" w:rsidRPr="007049AA">
        <w:rPr>
          <w:w w:val="103"/>
          <w:lang w:val="fr-FR"/>
        </w:rPr>
        <w:t>Task</w:t>
      </w:r>
      <w:proofErr w:type="spellEnd"/>
      <w:r w:rsidR="007049AA" w:rsidRPr="007049AA">
        <w:rPr>
          <w:w w:val="103"/>
          <w:lang w:val="fr-FR"/>
        </w:rPr>
        <w:t xml:space="preserve"> Force Drogue ; le nombre de ces enquêtes qui ont donné lieu à des poursuites ; le nombre de ces poursuites qui ont abouti à une condamnation</w:t>
      </w:r>
      <w:r w:rsidR="003E7F71">
        <w:rPr>
          <w:w w:val="103"/>
          <w:lang w:val="fr-FR"/>
        </w:rPr>
        <w:t xml:space="preserve"> </w:t>
      </w:r>
      <w:r w:rsidR="007049AA" w:rsidRPr="007049AA">
        <w:rPr>
          <w:w w:val="103"/>
          <w:lang w:val="fr-FR"/>
        </w:rPr>
        <w:t xml:space="preserve">et les sanctions pénales et disciplinaires qui ont été appliquées, en indiquant la durée des peines d’emprisonnement. </w:t>
      </w:r>
    </w:p>
    <w:p w:rsidR="007049AA" w:rsidRPr="007049AA" w:rsidRDefault="007049AA" w:rsidP="007049AA">
      <w:pPr>
        <w:pStyle w:val="H23G"/>
        <w:rPr>
          <w:w w:val="103"/>
          <w:lang w:val="fr-FR"/>
        </w:rPr>
      </w:pPr>
      <w:r w:rsidRPr="007049AA">
        <w:rPr>
          <w:w w:val="103"/>
          <w:lang w:val="fr-FR"/>
        </w:rPr>
        <w:tab/>
      </w:r>
      <w:r w:rsidRPr="007049AA">
        <w:rPr>
          <w:w w:val="103"/>
          <w:lang w:val="fr-FR"/>
        </w:rPr>
        <w:tab/>
        <w:t>Article 14</w:t>
      </w:r>
    </w:p>
    <w:p w:rsidR="007049AA" w:rsidRPr="007049AA" w:rsidRDefault="0095451A" w:rsidP="00A57A43">
      <w:pPr>
        <w:pStyle w:val="SingleTxtG"/>
        <w:rPr>
          <w:w w:val="103"/>
          <w:lang w:val="fr-FR"/>
        </w:rPr>
      </w:pPr>
      <w:r w:rsidRPr="007049AA">
        <w:rPr>
          <w:w w:val="103"/>
          <w:lang w:val="fr-FR"/>
        </w:rPr>
        <w:t>2</w:t>
      </w:r>
      <w:r>
        <w:rPr>
          <w:w w:val="103"/>
          <w:lang w:val="fr-FR"/>
        </w:rPr>
        <w:t>5</w:t>
      </w:r>
      <w:r w:rsidR="007049AA" w:rsidRPr="007049AA">
        <w:rPr>
          <w:w w:val="103"/>
          <w:lang w:val="fr-FR"/>
        </w:rPr>
        <w:t>.</w:t>
      </w:r>
      <w:r w:rsidR="007049AA" w:rsidRPr="007049AA">
        <w:rPr>
          <w:w w:val="103"/>
          <w:lang w:val="fr-FR"/>
        </w:rPr>
        <w:tab/>
        <w:t>Eu égard aux dispositions du paragraphe 46 de l’observation générale n</w:t>
      </w:r>
      <w:r w:rsidR="007049AA" w:rsidRPr="007049AA">
        <w:rPr>
          <w:w w:val="103"/>
          <w:vertAlign w:val="superscript"/>
          <w:lang w:val="fr-FR"/>
        </w:rPr>
        <w:t>o</w:t>
      </w:r>
      <w:r w:rsidR="007049AA" w:rsidRPr="007049AA">
        <w:rPr>
          <w:w w:val="103"/>
          <w:lang w:val="fr-FR"/>
        </w:rPr>
        <w:t> 3 (2012) sur l’application de l’article 14 par les États parties, fournir des informations sur :</w:t>
      </w:r>
    </w:p>
    <w:p w:rsidR="007049AA" w:rsidRPr="00270075" w:rsidRDefault="007049AA" w:rsidP="00270075">
      <w:pPr>
        <w:pStyle w:val="SingleTxtG"/>
        <w:ind w:firstLine="567"/>
        <w:rPr>
          <w:spacing w:val="-2"/>
          <w:w w:val="103"/>
          <w:lang w:val="fr-FR"/>
        </w:rPr>
      </w:pPr>
      <w:r w:rsidRPr="00270075">
        <w:rPr>
          <w:spacing w:val="-2"/>
          <w:w w:val="103"/>
          <w:lang w:val="fr-FR"/>
        </w:rPr>
        <w:t>a)</w:t>
      </w:r>
      <w:r w:rsidRPr="00270075">
        <w:rPr>
          <w:spacing w:val="-2"/>
          <w:w w:val="103"/>
          <w:lang w:val="fr-FR"/>
        </w:rPr>
        <w:tab/>
        <w:t>Les mesures de réparation accordées par les tribunaux ou d’autres organes administratifs aux victimes de torture et de mauvais traitements et à leur famille depuis 2015. Préciser le nombre de demandes d’indemnisation présentées, le nombre auxquelles il a été fait droit, les montants accordés et les sommes effectivement versées dans chaque cas ;</w:t>
      </w:r>
    </w:p>
    <w:p w:rsidR="007049AA" w:rsidRPr="007049AA" w:rsidRDefault="007049AA" w:rsidP="00270075">
      <w:pPr>
        <w:pStyle w:val="SingleTxtG"/>
        <w:ind w:firstLine="567"/>
        <w:rPr>
          <w:w w:val="103"/>
          <w:lang w:val="fr-FR"/>
        </w:rPr>
      </w:pPr>
      <w:r w:rsidRPr="007049AA">
        <w:rPr>
          <w:w w:val="103"/>
          <w:lang w:val="fr-FR"/>
        </w:rPr>
        <w:t>b)</w:t>
      </w:r>
      <w:r w:rsidRPr="007049AA">
        <w:rPr>
          <w:w w:val="103"/>
          <w:lang w:val="fr-FR"/>
        </w:rPr>
        <w:tab/>
        <w:t>Tout programme de réadaptation pour les victimes de torture et de mauvais traitements, en précisant s’il comprend une assistance médicale et psychologique.</w:t>
      </w:r>
    </w:p>
    <w:p w:rsidR="007049AA" w:rsidRPr="007049AA" w:rsidRDefault="007049AA" w:rsidP="007049AA">
      <w:pPr>
        <w:pStyle w:val="H23G"/>
        <w:rPr>
          <w:w w:val="103"/>
          <w:lang w:val="fr-FR"/>
        </w:rPr>
      </w:pPr>
      <w:r w:rsidRPr="007049AA">
        <w:rPr>
          <w:w w:val="103"/>
          <w:lang w:val="fr-FR"/>
        </w:rPr>
        <w:tab/>
      </w:r>
      <w:r w:rsidRPr="007049AA">
        <w:rPr>
          <w:w w:val="103"/>
          <w:lang w:val="fr-FR"/>
        </w:rPr>
        <w:tab/>
      </w:r>
      <w:r w:rsidRPr="007049AA">
        <w:t>Article</w:t>
      </w:r>
      <w:r w:rsidRPr="007049AA">
        <w:rPr>
          <w:w w:val="103"/>
          <w:lang w:val="fr-FR"/>
        </w:rPr>
        <w:t xml:space="preserve"> 16</w:t>
      </w:r>
    </w:p>
    <w:p w:rsidR="007049AA" w:rsidRPr="007049AA" w:rsidRDefault="0095451A" w:rsidP="005A1794">
      <w:pPr>
        <w:pStyle w:val="SingleTxtG"/>
        <w:rPr>
          <w:w w:val="103"/>
          <w:lang w:val="fr-FR"/>
        </w:rPr>
      </w:pPr>
      <w:r w:rsidRPr="007049AA">
        <w:rPr>
          <w:w w:val="103"/>
          <w:lang w:val="fr-FR"/>
        </w:rPr>
        <w:t>2</w:t>
      </w:r>
      <w:r>
        <w:rPr>
          <w:w w:val="103"/>
          <w:lang w:val="fr-FR"/>
        </w:rPr>
        <w:t>6</w:t>
      </w:r>
      <w:r w:rsidR="007049AA" w:rsidRPr="007049AA">
        <w:rPr>
          <w:w w:val="103"/>
          <w:lang w:val="fr-FR"/>
        </w:rPr>
        <w:t>.</w:t>
      </w:r>
      <w:r w:rsidR="007049AA" w:rsidRPr="007049AA">
        <w:rPr>
          <w:w w:val="103"/>
          <w:lang w:val="fr-FR"/>
        </w:rPr>
        <w:tab/>
        <w:t>Compte tenu des précédentes observations finales (par.</w:t>
      </w:r>
      <w:r w:rsidR="00AA71AA">
        <w:rPr>
          <w:w w:val="103"/>
          <w:lang w:val="fr-FR"/>
        </w:rPr>
        <w:t> </w:t>
      </w:r>
      <w:r w:rsidR="007049AA" w:rsidRPr="007049AA">
        <w:rPr>
          <w:w w:val="103"/>
          <w:lang w:val="fr-FR"/>
        </w:rPr>
        <w:t>16), indiquer si des observateurs de la C</w:t>
      </w:r>
      <w:r w:rsidR="007D0285">
        <w:rPr>
          <w:w w:val="103"/>
          <w:lang w:val="fr-FR"/>
        </w:rPr>
        <w:t>ommission nationale de prévention de la torture</w:t>
      </w:r>
      <w:r w:rsidR="007049AA" w:rsidRPr="007049AA">
        <w:rPr>
          <w:w w:val="103"/>
          <w:lang w:val="fr-FR"/>
        </w:rPr>
        <w:t xml:space="preserve"> sont désormais présents lors des rapatriements forcés par bateau. Expliquer les mesures prises pour veiller à ce que l’usage de la contrainte dans le contexte des rapatriements forcés soit toujours justifié dans le respect du principe de proportionnalité et</w:t>
      </w:r>
      <w:r w:rsidR="00A96A53">
        <w:rPr>
          <w:w w:val="103"/>
          <w:lang w:val="fr-FR"/>
        </w:rPr>
        <w:t>,</w:t>
      </w:r>
      <w:r w:rsidR="007049AA" w:rsidRPr="007049AA">
        <w:rPr>
          <w:w w:val="103"/>
          <w:lang w:val="fr-FR"/>
        </w:rPr>
        <w:t xml:space="preserve"> notamment, pour renoncer au recours à l</w:t>
      </w:r>
      <w:r w:rsidR="00A57A43">
        <w:rPr>
          <w:w w:val="103"/>
          <w:lang w:val="fr-FR"/>
        </w:rPr>
        <w:t>’</w:t>
      </w:r>
      <w:r w:rsidR="007049AA" w:rsidRPr="007049AA">
        <w:rPr>
          <w:w w:val="103"/>
          <w:lang w:val="fr-FR"/>
        </w:rPr>
        <w:t xml:space="preserve">immobilisation partielle, qui serait systématique sur les vols </w:t>
      </w:r>
      <w:r w:rsidR="004A703A">
        <w:rPr>
          <w:w w:val="103"/>
          <w:lang w:val="fr-FR"/>
        </w:rPr>
        <w:t>spéciaux affrétés par la Suisse.</w:t>
      </w:r>
      <w:r w:rsidR="007049AA" w:rsidRPr="007049AA">
        <w:rPr>
          <w:w w:val="103"/>
          <w:lang w:val="fr-FR"/>
        </w:rPr>
        <w:t xml:space="preserve"> </w:t>
      </w:r>
      <w:r w:rsidR="00A57A43">
        <w:rPr>
          <w:w w:val="103"/>
          <w:lang w:val="fr-FR"/>
        </w:rPr>
        <w:t>À</w:t>
      </w:r>
      <w:r w:rsidR="007049AA" w:rsidRPr="007049AA">
        <w:rPr>
          <w:w w:val="103"/>
          <w:lang w:val="fr-FR"/>
        </w:rPr>
        <w:t xml:space="preserve"> cet égard, fournir des informations actualisées sur le déroulement de l’enquête </w:t>
      </w:r>
      <w:r w:rsidR="00A96A53">
        <w:rPr>
          <w:w w:val="103"/>
          <w:lang w:val="fr-FR"/>
        </w:rPr>
        <w:t>sur le</w:t>
      </w:r>
      <w:r w:rsidR="00A96A53" w:rsidRPr="007049AA">
        <w:rPr>
          <w:w w:val="103"/>
          <w:lang w:val="fr-FR"/>
        </w:rPr>
        <w:t xml:space="preserve"> </w:t>
      </w:r>
      <w:r w:rsidR="007049AA" w:rsidRPr="007049AA">
        <w:rPr>
          <w:w w:val="103"/>
          <w:lang w:val="fr-FR"/>
        </w:rPr>
        <w:t xml:space="preserve">cas Joseph </w:t>
      </w:r>
      <w:proofErr w:type="spellStart"/>
      <w:r w:rsidR="007049AA" w:rsidRPr="007049AA">
        <w:rPr>
          <w:w w:val="103"/>
          <w:lang w:val="fr-FR"/>
        </w:rPr>
        <w:t>Ndukaku</w:t>
      </w:r>
      <w:proofErr w:type="spellEnd"/>
      <w:r w:rsidR="007049AA" w:rsidRPr="007049AA">
        <w:rPr>
          <w:w w:val="103"/>
          <w:lang w:val="fr-FR"/>
        </w:rPr>
        <w:t xml:space="preserve"> </w:t>
      </w:r>
      <w:proofErr w:type="spellStart"/>
      <w:r w:rsidR="007049AA" w:rsidRPr="007049AA">
        <w:rPr>
          <w:w w:val="103"/>
          <w:lang w:val="fr-FR"/>
        </w:rPr>
        <w:t>Chiakwa</w:t>
      </w:r>
      <w:proofErr w:type="spellEnd"/>
      <w:r w:rsidR="007049AA" w:rsidRPr="007049AA">
        <w:rPr>
          <w:w w:val="103"/>
          <w:lang w:val="fr-FR"/>
        </w:rPr>
        <w:t>, décédé lors d’une tentative de renvoi en 2010.</w:t>
      </w:r>
    </w:p>
    <w:p w:rsidR="007049AA" w:rsidRPr="007049AA" w:rsidRDefault="0095451A" w:rsidP="00A57A43">
      <w:pPr>
        <w:pStyle w:val="SingleTxtG"/>
        <w:rPr>
          <w:sz w:val="24"/>
          <w:szCs w:val="24"/>
        </w:rPr>
      </w:pPr>
      <w:r w:rsidRPr="007049AA">
        <w:rPr>
          <w:w w:val="103"/>
          <w:lang w:val="fr-FR"/>
        </w:rPr>
        <w:t>2</w:t>
      </w:r>
      <w:r>
        <w:rPr>
          <w:w w:val="103"/>
          <w:lang w:val="fr-FR"/>
        </w:rPr>
        <w:t>7</w:t>
      </w:r>
      <w:r w:rsidR="007049AA" w:rsidRPr="007049AA">
        <w:rPr>
          <w:w w:val="103"/>
          <w:lang w:val="fr-FR"/>
        </w:rPr>
        <w:t>.</w:t>
      </w:r>
      <w:r w:rsidR="007049AA" w:rsidRPr="007049AA">
        <w:rPr>
          <w:w w:val="103"/>
          <w:lang w:val="fr-FR"/>
        </w:rPr>
        <w:tab/>
        <w:t>Au regard des observa</w:t>
      </w:r>
      <w:r w:rsidR="005044A6">
        <w:rPr>
          <w:w w:val="103"/>
          <w:lang w:val="fr-FR"/>
        </w:rPr>
        <w:t>tions finales précédentes (par. </w:t>
      </w:r>
      <w:r w:rsidR="007049AA" w:rsidRPr="007049AA">
        <w:rPr>
          <w:w w:val="103"/>
          <w:lang w:val="fr-FR"/>
        </w:rPr>
        <w:t>20), indiquer les mesures prises pour garantir le respect de l’intégrité physique et l’autonomie des personnes intersexuées et éviter que nul ne soit soumis durant l’enfance à des traitements médicaux ou chirurgicaux visant à déterminer le sexe d’un enfant qui ne présentent aucun caractère d’urgence médicale</w:t>
      </w:r>
      <w:r w:rsidR="007049AA" w:rsidRPr="007049AA">
        <w:rPr>
          <w:sz w:val="24"/>
          <w:szCs w:val="24"/>
        </w:rPr>
        <w:t>.</w:t>
      </w:r>
    </w:p>
    <w:p w:rsidR="007049AA" w:rsidRPr="007049AA" w:rsidRDefault="007049AA" w:rsidP="007049AA">
      <w:pPr>
        <w:pStyle w:val="H23G"/>
        <w:rPr>
          <w:w w:val="103"/>
          <w:lang w:val="fr-FR"/>
        </w:rPr>
      </w:pPr>
      <w:r w:rsidRPr="007049AA">
        <w:rPr>
          <w:w w:val="103"/>
          <w:lang w:val="fr-FR"/>
        </w:rPr>
        <w:tab/>
      </w:r>
      <w:r w:rsidRPr="007049AA">
        <w:rPr>
          <w:w w:val="103"/>
          <w:lang w:val="fr-FR"/>
        </w:rPr>
        <w:tab/>
        <w:t>Renseignements d’ordre général sur les autres mesures et faits nouveaux concernant la mise en œuvre de la Convention dans l’État partie</w:t>
      </w:r>
    </w:p>
    <w:p w:rsidR="000F61AB" w:rsidRPr="007049AA" w:rsidRDefault="0095451A" w:rsidP="007049AA">
      <w:pPr>
        <w:pStyle w:val="SingleTxtG"/>
        <w:rPr>
          <w:w w:val="103"/>
          <w:lang w:val="fr-FR"/>
        </w:rPr>
      </w:pPr>
      <w:r w:rsidRPr="007049AA">
        <w:rPr>
          <w:w w:val="103"/>
          <w:lang w:val="fr-FR"/>
        </w:rPr>
        <w:t>2</w:t>
      </w:r>
      <w:r>
        <w:rPr>
          <w:w w:val="103"/>
          <w:lang w:val="fr-FR"/>
        </w:rPr>
        <w:t>8</w:t>
      </w:r>
      <w:r w:rsidR="007049AA" w:rsidRPr="007049AA">
        <w:rPr>
          <w:w w:val="103"/>
          <w:lang w:val="fr-FR"/>
        </w:rPr>
        <w:t>.</w:t>
      </w:r>
      <w:r w:rsidR="007049AA" w:rsidRPr="007049AA">
        <w:rPr>
          <w:w w:val="103"/>
          <w:lang w:val="fr-FR"/>
        </w:rPr>
        <w:tab/>
        <w:t>Donner des informations détaillées sur toute mesure pertinente d’ordre législatif, administratif, judiciaire ou autre qui a été prise depuis l’examen du précédent rapport périodique pour mettre en œuvre les dispositions de la Convention ou pour donner suite aux recommandations du Comité. Il peut s’agir aussi de changements institutionnels et de plans ou programmes. Préciser les ressources allouées et fournir des données statistiques ou tout autre renseignement que l’État partie estime utile.</w:t>
      </w:r>
    </w:p>
    <w:p w:rsidR="00C54ED5" w:rsidRPr="007049AA" w:rsidRDefault="000F61AB" w:rsidP="007049AA">
      <w:pPr>
        <w:pStyle w:val="SingleTxtG"/>
        <w:spacing w:before="240" w:after="0"/>
        <w:jc w:val="center"/>
        <w:rPr>
          <w:u w:val="single"/>
          <w:lang w:eastAsia="es-ES"/>
        </w:rPr>
      </w:pPr>
      <w:r>
        <w:rPr>
          <w:u w:val="single"/>
          <w:lang w:eastAsia="es-ES"/>
        </w:rPr>
        <w:tab/>
      </w:r>
      <w:r>
        <w:rPr>
          <w:u w:val="single"/>
          <w:lang w:eastAsia="es-ES"/>
        </w:rPr>
        <w:tab/>
      </w:r>
      <w:r>
        <w:rPr>
          <w:u w:val="single"/>
          <w:lang w:eastAsia="es-ES"/>
        </w:rPr>
        <w:tab/>
      </w:r>
    </w:p>
    <w:sectPr w:rsidR="00C54ED5" w:rsidRPr="007049AA" w:rsidSect="00B5052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019" w:rsidRDefault="009C6019" w:rsidP="00F95C08">
      <w:pPr>
        <w:spacing w:line="240" w:lineRule="auto"/>
      </w:pPr>
    </w:p>
  </w:endnote>
  <w:endnote w:type="continuationSeparator" w:id="0">
    <w:p w:rsidR="009C6019" w:rsidRPr="00AC3823" w:rsidRDefault="009C6019" w:rsidP="00AC3823">
      <w:pPr>
        <w:pStyle w:val="Pieddepage"/>
      </w:pPr>
    </w:p>
  </w:endnote>
  <w:endnote w:type="continuationNotice" w:id="1">
    <w:p w:rsidR="009C6019" w:rsidRDefault="009C60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5B6BC9"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5E4CCB">
      <w:rPr>
        <w:b/>
        <w:noProof/>
        <w:sz w:val="18"/>
      </w:rPr>
      <w:t>2</w:t>
    </w:r>
    <w:r w:rsidRPr="0072392D">
      <w:rPr>
        <w:b/>
        <w:sz w:val="18"/>
      </w:rPr>
      <w:fldChar w:fldCharType="end"/>
    </w:r>
    <w:r>
      <w:tab/>
    </w:r>
    <w:r w:rsidR="00AE711B">
      <w:fldChar w:fldCharType="begin"/>
    </w:r>
    <w:r w:rsidR="00AE711B">
      <w:instrText xml:space="preserve"> DOCPROPERTY  gdocf  \* MERGEFORMAT </w:instrText>
    </w:r>
    <w:r w:rsidR="00AE711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Default="00AE711B" w:rsidP="005B6BC9">
    <w:pPr>
      <w:pStyle w:val="Pieddepage"/>
      <w:tabs>
        <w:tab w:val="right" w:pos="9639"/>
      </w:tabs>
      <w:rPr>
        <w:sz w:val="20"/>
      </w:rPr>
    </w:pPr>
    <w:r>
      <w:fldChar w:fldCharType="begin"/>
    </w:r>
    <w:r>
      <w:instrText xml:space="preserve"> DOCPROPERTY  gdocf  \* MERGEFORMAT </w:instrText>
    </w:r>
    <w:r>
      <w:fldChar w:fldCharType="end"/>
    </w:r>
    <w:r w:rsidR="005B6BC9">
      <w:tab/>
    </w:r>
    <w:r w:rsidR="005B6BC9" w:rsidRPr="0072392D">
      <w:rPr>
        <w:b/>
        <w:sz w:val="18"/>
      </w:rPr>
      <w:fldChar w:fldCharType="begin"/>
    </w:r>
    <w:r w:rsidR="005B6BC9" w:rsidRPr="0072392D">
      <w:rPr>
        <w:b/>
        <w:sz w:val="18"/>
      </w:rPr>
      <w:instrText xml:space="preserve"> PAGE  \* MERGEFORMAT </w:instrText>
    </w:r>
    <w:r w:rsidR="005B6BC9" w:rsidRPr="0072392D">
      <w:rPr>
        <w:b/>
        <w:sz w:val="18"/>
      </w:rPr>
      <w:fldChar w:fldCharType="separate"/>
    </w:r>
    <w:r w:rsidR="005E4CCB">
      <w:rPr>
        <w:b/>
        <w:noProof/>
        <w:sz w:val="18"/>
      </w:rPr>
      <w:t>5</w:t>
    </w:r>
    <w:r w:rsidR="005B6BC9"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2CD" w:rsidRPr="000F22F0" w:rsidRDefault="005D4B74">
    <w:pPr>
      <w:pStyle w:val="Pieddepage"/>
      <w:rPr>
        <w:rFonts w:ascii="C39T30Lfz" w:hAnsi="C39T30Lfz"/>
        <w:sz w:val="20"/>
      </w:rPr>
    </w:pPr>
    <w:r>
      <w:rPr>
        <w:noProof/>
        <w:lang w:eastAsia="fr-CH"/>
      </w:rPr>
      <w:drawing>
        <wp:anchor distT="0" distB="0" distL="114300" distR="114300" simplePos="0" relativeHeight="251674624" behindDoc="0" locked="0" layoutInCell="1" allowOverlap="1">
          <wp:simplePos x="0" y="0"/>
          <wp:positionH relativeFrom="column">
            <wp:posOffset>5467350</wp:posOffset>
          </wp:positionH>
          <wp:positionV relativeFrom="paragraph">
            <wp:posOffset>12065</wp:posOffset>
          </wp:positionV>
          <wp:extent cx="638175" cy="638175"/>
          <wp:effectExtent l="0" t="0" r="0" b="0"/>
          <wp:wrapNone/>
          <wp:docPr id="10" name="Image 10" descr="https://undocs.org/m2/QRCode.ashx?DS=CAT/C/CHE/QPR/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ndocs.org/m2/QRCode.ashx?DS=CAT/C/CHE/QPR/8&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1312" behindDoc="0" locked="0" layoutInCell="1" allowOverlap="0">
          <wp:simplePos x="0" y="0"/>
          <wp:positionH relativeFrom="margin">
            <wp:posOffset>5039995</wp:posOffset>
          </wp:positionH>
          <wp:positionV relativeFrom="margin">
            <wp:posOffset>10043795</wp:posOffset>
          </wp:positionV>
          <wp:extent cx="1104900" cy="234315"/>
          <wp:effectExtent l="0" t="0" r="0" b="0"/>
          <wp:wrapNone/>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2F0" w:rsidRPr="000F22F0">
      <w:rPr>
        <w:sz w:val="20"/>
      </w:rPr>
      <w:t xml:space="preserve">GE.18-00251 </w:t>
    </w:r>
    <w:r w:rsidR="007C40E6">
      <w:rPr>
        <w:sz w:val="20"/>
      </w:rPr>
      <w:t xml:space="preserve"> </w:t>
    </w:r>
    <w:r w:rsidR="000F22F0" w:rsidRPr="000F22F0">
      <w:rPr>
        <w:sz w:val="20"/>
      </w:rPr>
      <w:t>(F)</w:t>
    </w:r>
    <w:bookmarkStart w:id="0" w:name="_GoBack"/>
    <w:bookmarkEnd w:id="0"/>
    <w:r w:rsidR="007F12CD" w:rsidRPr="000F22F0">
      <w:rPr>
        <w:sz w:val="20"/>
      </w:rPr>
      <w:br/>
    </w:r>
    <w:r w:rsidR="007F12CD" w:rsidRPr="007F12CD">
      <w:rPr>
        <w:rFonts w:ascii="C39T30Lfz" w:hAnsi="C39T30Lfz"/>
        <w:sz w:val="56"/>
      </w:rPr>
      <w:t></w:t>
    </w:r>
    <w:r w:rsidR="007F12CD" w:rsidRPr="007F12CD">
      <w:rPr>
        <w:rFonts w:ascii="C39T30Lfz" w:hAnsi="C39T30Lfz"/>
        <w:sz w:val="56"/>
      </w:rPr>
      <w:t></w:t>
    </w:r>
    <w:r w:rsidR="007F12CD" w:rsidRPr="007F12CD">
      <w:rPr>
        <w:rFonts w:ascii="C39T30Lfz" w:hAnsi="C39T30Lfz"/>
        <w:sz w:val="56"/>
      </w:rPr>
      <w:t></w:t>
    </w:r>
    <w:r w:rsidR="007F12CD" w:rsidRPr="007F12CD">
      <w:rPr>
        <w:rFonts w:ascii="C39T30Lfz" w:hAnsi="C39T30Lfz"/>
        <w:sz w:val="56"/>
      </w:rPr>
      <w:t></w:t>
    </w:r>
    <w:r w:rsidR="007F12CD" w:rsidRPr="007F12CD">
      <w:rPr>
        <w:rFonts w:ascii="C39T30Lfz" w:hAnsi="C39T30Lfz"/>
        <w:sz w:val="56"/>
      </w:rPr>
      <w:t></w:t>
    </w:r>
    <w:r w:rsidR="007F12CD" w:rsidRPr="007F12CD">
      <w:rPr>
        <w:rFonts w:ascii="C39T30Lfz" w:hAnsi="C39T30Lfz"/>
        <w:sz w:val="56"/>
      </w:rPr>
      <w:t></w:t>
    </w:r>
    <w:r w:rsidR="007F12CD" w:rsidRPr="007F12CD">
      <w:rPr>
        <w:rFonts w:ascii="C39T30Lfz" w:hAnsi="C39T30Lfz"/>
        <w:sz w:val="56"/>
      </w:rPr>
      <w:t></w:t>
    </w:r>
    <w:r w:rsidR="007F12CD" w:rsidRPr="007F12CD">
      <w:rPr>
        <w:rFonts w:ascii="C39T30Lfz" w:hAnsi="C39T30Lfz"/>
        <w:sz w:val="56"/>
      </w:rPr>
      <w:t></w:t>
    </w:r>
    <w:r w:rsidR="007F12CD" w:rsidRPr="007F12CD">
      <w:rPr>
        <w:rFonts w:ascii="C39T30Lfz" w:hAnsi="C39T30Lfz"/>
        <w:sz w:val="56"/>
      </w:rPr>
      <w:t></w:t>
    </w:r>
    <w:r>
      <w:rPr>
        <w:noProof/>
        <w:lang w:eastAsia="fr-CH"/>
      </w:rPr>
      <w:drawing>
        <wp:anchor distT="0" distB="0" distL="114300" distR="114300" simplePos="0" relativeHeight="251667456" behindDoc="0" locked="0" layoutInCell="1" allowOverlap="0">
          <wp:simplePos x="0" y="0"/>
          <wp:positionH relativeFrom="margin">
            <wp:posOffset>5039995</wp:posOffset>
          </wp:positionH>
          <wp:positionV relativeFrom="margin">
            <wp:posOffset>10043795</wp:posOffset>
          </wp:positionV>
          <wp:extent cx="1104900" cy="234315"/>
          <wp:effectExtent l="0" t="0" r="0" b="0"/>
          <wp:wrapNone/>
          <wp:docPr id="6" name="Image 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5408" behindDoc="0" locked="0" layoutInCell="1" allowOverlap="0">
          <wp:simplePos x="0" y="0"/>
          <wp:positionH relativeFrom="margin">
            <wp:posOffset>5039995</wp:posOffset>
          </wp:positionH>
          <wp:positionV relativeFrom="margin">
            <wp:posOffset>10043795</wp:posOffset>
          </wp:positionV>
          <wp:extent cx="1104900" cy="234315"/>
          <wp:effectExtent l="0" t="0" r="0" b="0"/>
          <wp:wrapNone/>
          <wp:docPr id="5" name="Image 5"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3360" behindDoc="0" locked="0" layoutInCell="1" allowOverlap="0">
          <wp:simplePos x="0" y="0"/>
          <wp:positionH relativeFrom="margin">
            <wp:posOffset>5039995</wp:posOffset>
          </wp:positionH>
          <wp:positionV relativeFrom="margin">
            <wp:posOffset>10043795</wp:posOffset>
          </wp:positionV>
          <wp:extent cx="1104900" cy="234315"/>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9504" behindDoc="0" locked="0" layoutInCell="1" allowOverlap="0">
          <wp:simplePos x="0" y="0"/>
          <wp:positionH relativeFrom="margin">
            <wp:posOffset>5041265</wp:posOffset>
          </wp:positionH>
          <wp:positionV relativeFrom="paragraph">
            <wp:posOffset>10045700</wp:posOffset>
          </wp:positionV>
          <wp:extent cx="1104900" cy="233680"/>
          <wp:effectExtent l="0" t="0" r="0" b="0"/>
          <wp:wrapNone/>
          <wp:docPr id="7" name="Image 7"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71552" behindDoc="0" locked="0" layoutInCell="1" allowOverlap="0">
          <wp:simplePos x="0" y="0"/>
          <wp:positionH relativeFrom="margin">
            <wp:posOffset>5041265</wp:posOffset>
          </wp:positionH>
          <wp:positionV relativeFrom="paragraph">
            <wp:posOffset>10045700</wp:posOffset>
          </wp:positionV>
          <wp:extent cx="1104900" cy="233680"/>
          <wp:effectExtent l="0" t="0" r="0" b="0"/>
          <wp:wrapNone/>
          <wp:docPr id="8" name="Image 8"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73600" behindDoc="0" locked="0" layoutInCell="1" allowOverlap="0">
          <wp:simplePos x="0" y="0"/>
          <wp:positionH relativeFrom="margin">
            <wp:posOffset>5041265</wp:posOffset>
          </wp:positionH>
          <wp:positionV relativeFrom="paragraph">
            <wp:posOffset>10045700</wp:posOffset>
          </wp:positionV>
          <wp:extent cx="1104900" cy="233680"/>
          <wp:effectExtent l="0" t="0" r="0" b="0"/>
          <wp:wrapNone/>
          <wp:docPr id="9" name="Image 9"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019" w:rsidRPr="00AC3823" w:rsidRDefault="009C6019" w:rsidP="00AC3823">
      <w:pPr>
        <w:pStyle w:val="Pieddepage"/>
        <w:tabs>
          <w:tab w:val="right" w:pos="2155"/>
        </w:tabs>
        <w:spacing w:after="80" w:line="240" w:lineRule="atLeast"/>
        <w:ind w:left="680"/>
        <w:rPr>
          <w:u w:val="single"/>
        </w:rPr>
      </w:pPr>
      <w:r>
        <w:rPr>
          <w:u w:val="single"/>
        </w:rPr>
        <w:tab/>
      </w:r>
    </w:p>
  </w:footnote>
  <w:footnote w:type="continuationSeparator" w:id="0">
    <w:p w:rsidR="009C6019" w:rsidRPr="00AC3823" w:rsidRDefault="009C6019" w:rsidP="00AC3823">
      <w:pPr>
        <w:pStyle w:val="Pieddepage"/>
        <w:tabs>
          <w:tab w:val="right" w:pos="2155"/>
        </w:tabs>
        <w:spacing w:after="80" w:line="240" w:lineRule="atLeast"/>
        <w:ind w:left="680"/>
        <w:rPr>
          <w:u w:val="single"/>
        </w:rPr>
      </w:pPr>
      <w:r>
        <w:rPr>
          <w:u w:val="single"/>
        </w:rPr>
        <w:tab/>
      </w:r>
    </w:p>
  </w:footnote>
  <w:footnote w:type="continuationNotice" w:id="1">
    <w:p w:rsidR="009C6019" w:rsidRPr="00AC3823" w:rsidRDefault="009C6019">
      <w:pPr>
        <w:spacing w:line="240" w:lineRule="auto"/>
        <w:rPr>
          <w:sz w:val="2"/>
          <w:szCs w:val="2"/>
        </w:rPr>
      </w:pPr>
    </w:p>
  </w:footnote>
  <w:footnote w:id="2">
    <w:p w:rsidR="007049AA" w:rsidRPr="005E4229" w:rsidRDefault="007049AA" w:rsidP="009462EF">
      <w:pPr>
        <w:pStyle w:val="Notedebasdepage"/>
      </w:pPr>
      <w:r>
        <w:rPr>
          <w:rStyle w:val="Appelnotedebasdep"/>
        </w:rPr>
        <w:tab/>
      </w:r>
      <w:r w:rsidRPr="00270075">
        <w:rPr>
          <w:rStyle w:val="Appelnotedebasdep"/>
          <w:sz w:val="20"/>
          <w:vertAlign w:val="baseline"/>
        </w:rPr>
        <w:t>*</w:t>
      </w:r>
      <w:r>
        <w:rPr>
          <w:rStyle w:val="Appelnotedebasdep"/>
          <w:sz w:val="20"/>
        </w:rPr>
        <w:tab/>
      </w:r>
      <w:r w:rsidR="006F2453">
        <w:t xml:space="preserve">Adoptée par le Comité à </w:t>
      </w:r>
      <w:r w:rsidR="006F2453" w:rsidRPr="00A47707">
        <w:t xml:space="preserve">sa </w:t>
      </w:r>
      <w:r w:rsidR="006F2453">
        <w:t>soixante</w:t>
      </w:r>
      <w:r w:rsidR="00B727B4">
        <w:t>-</w:t>
      </w:r>
      <w:r w:rsidR="006F2453">
        <w:t>deuxième</w:t>
      </w:r>
      <w:r w:rsidR="006F2453" w:rsidRPr="00A47707">
        <w:t xml:space="preserve"> sess</w:t>
      </w:r>
      <w:r w:rsidR="006F2453">
        <w:t>ion (6 novembre-6 décembre 2017).</w:t>
      </w:r>
    </w:p>
  </w:footnote>
  <w:footnote w:id="3">
    <w:p w:rsidR="007049AA" w:rsidRPr="00514F30" w:rsidRDefault="007049AA" w:rsidP="007049AA">
      <w:pPr>
        <w:pStyle w:val="Notedebasdepage"/>
        <w:rPr>
          <w:spacing w:val="5"/>
          <w:w w:val="104"/>
        </w:rPr>
      </w:pPr>
      <w:r>
        <w:tab/>
      </w:r>
      <w:r>
        <w:rPr>
          <w:rStyle w:val="Appelnotedebasdep"/>
        </w:rPr>
        <w:footnoteRef/>
      </w:r>
      <w:r>
        <w:tab/>
      </w:r>
      <w:r w:rsidRPr="00514F30">
        <w:t xml:space="preserve">Les </w:t>
      </w:r>
      <w:r>
        <w:t>questions</w:t>
      </w:r>
      <w:r w:rsidRPr="00514F30">
        <w:t xml:space="preserve"> soulevé</w:t>
      </w:r>
      <w:r>
        <w:t>e</w:t>
      </w:r>
      <w:r w:rsidRPr="00514F30">
        <w:t>s au titre de l’article 2 peuvent également l’être a</w:t>
      </w:r>
      <w:r w:rsidR="009462EF">
        <w:t>u titre d’autres articles de la </w:t>
      </w:r>
      <w:r w:rsidRPr="00514F30">
        <w:t xml:space="preserve">Convention, notamment </w:t>
      </w:r>
      <w:r>
        <w:t xml:space="preserve">de </w:t>
      </w:r>
      <w:r w:rsidRPr="00514F30">
        <w:t>l’article 16. Comme il est indiqué au paragraphe</w:t>
      </w:r>
      <w:r>
        <w:t> </w:t>
      </w:r>
      <w:r w:rsidRPr="00514F30">
        <w:t xml:space="preserve">3 de l’observation générale </w:t>
      </w:r>
      <w:r>
        <w:t>n</w:t>
      </w:r>
      <w:r w:rsidRPr="00514F30">
        <w:rPr>
          <w:vertAlign w:val="superscript"/>
        </w:rPr>
        <w:t>o</w:t>
      </w:r>
      <w:r>
        <w:t> </w:t>
      </w:r>
      <w:r w:rsidRPr="00514F30">
        <w:t>2 (2007) du Comité sur l’application de l’article 2 par les États parties, l’obligation de prévenir la torture consacrée à l’article 2 est de portée large. Cette obligation et celle de prévenir les peines ou traitements cruels, inhumains ou dégradants, énoncée au paragraphe 1 de l’article</w:t>
      </w:r>
      <w:r>
        <w:t> </w:t>
      </w:r>
      <w:r w:rsidRPr="00514F30">
        <w:t>16, sont indissociables, interdépendantes et intimement liées. L’obligation de prévenir les mauvais traitements recoupe dans la pratique celle d’empêcher que des actes de torture ne soient commis et lui est dans une large mesure équivalente. Dans la pratique, la ligne de démarcation entre les mauvais traitements et la torture est souvent floue. Voir également la partie</w:t>
      </w:r>
      <w:r>
        <w:t> </w:t>
      </w:r>
      <w:r w:rsidRPr="00514F30">
        <w:t>V de cette même observation générale.</w:t>
      </w:r>
      <w:r w:rsidR="009462EF">
        <w:tab/>
      </w:r>
    </w:p>
  </w:footnote>
  <w:footnote w:id="4">
    <w:p w:rsidR="00CC54A9" w:rsidRPr="00270075" w:rsidRDefault="009462EF" w:rsidP="00270075">
      <w:pPr>
        <w:pStyle w:val="Notedebasdepage"/>
        <w:ind w:hanging="567"/>
        <w:rPr>
          <w:lang w:val="fr-FR"/>
        </w:rPr>
      </w:pPr>
      <w:r>
        <w:tab/>
      </w:r>
      <w:r w:rsidR="00CC54A9">
        <w:rPr>
          <w:rStyle w:val="Appelnotedebasdep"/>
        </w:rPr>
        <w:footnoteRef/>
      </w:r>
      <w:r w:rsidR="00A954D3">
        <w:tab/>
      </w:r>
      <w:r w:rsidR="005F2E1F">
        <w:t xml:space="preserve">Cour européenne des droits de l’homme, </w:t>
      </w:r>
      <w:r w:rsidR="005F2E1F" w:rsidRPr="00270075">
        <w:rPr>
          <w:i/>
          <w:iCs/>
        </w:rPr>
        <w:t>X c. Suisse</w:t>
      </w:r>
      <w:r w:rsidR="005F2E1F">
        <w:t>, n</w:t>
      </w:r>
      <w:r w:rsidR="005F2E1F" w:rsidRPr="00270075">
        <w:rPr>
          <w:vertAlign w:val="superscript"/>
        </w:rPr>
        <w:t>o</w:t>
      </w:r>
      <w:r w:rsidR="005F2E1F">
        <w:t> 16744/14, 26 janvier 2017</w:t>
      </w:r>
      <w:r w:rsidR="00D447ED">
        <w:t> ;</w:t>
      </w:r>
      <w:r w:rsidR="005F2E1F">
        <w:t xml:space="preserve"> et </w:t>
      </w:r>
      <w:r w:rsidR="005F2E1F" w:rsidRPr="00270075">
        <w:rPr>
          <w:i/>
          <w:iCs/>
        </w:rPr>
        <w:t>A. </w:t>
      </w:r>
      <w:r w:rsidR="00C15E7B">
        <w:rPr>
          <w:i/>
          <w:iCs/>
        </w:rPr>
        <w:t xml:space="preserve">I. </w:t>
      </w:r>
      <w:r w:rsidR="005F2E1F" w:rsidRPr="00270075">
        <w:rPr>
          <w:i/>
          <w:iCs/>
        </w:rPr>
        <w:t>c. Suisse</w:t>
      </w:r>
      <w:r w:rsidR="005F2E1F">
        <w:t>, n</w:t>
      </w:r>
      <w:r w:rsidR="005F2E1F" w:rsidRPr="00270075">
        <w:rPr>
          <w:vertAlign w:val="superscript"/>
        </w:rPr>
        <w:t>o</w:t>
      </w:r>
      <w:r w:rsidR="005F2E1F">
        <w:t> </w:t>
      </w:r>
      <w:r w:rsidR="0074147A">
        <w:t>23378/15, 30 mai 2017.</w:t>
      </w:r>
    </w:p>
  </w:footnote>
  <w:footnote w:id="5">
    <w:p w:rsidR="007049AA" w:rsidRPr="00644E75" w:rsidRDefault="007049AA">
      <w:pPr>
        <w:pStyle w:val="Notedebasdepage"/>
      </w:pPr>
      <w:r>
        <w:tab/>
      </w:r>
      <w:r w:rsidRPr="00052055">
        <w:rPr>
          <w:rStyle w:val="Appelnotedebasdep"/>
        </w:rPr>
        <w:footnoteRef/>
      </w:r>
      <w:r>
        <w:tab/>
        <w:t>Cour</w:t>
      </w:r>
      <w:r w:rsidRPr="00C90AC4">
        <w:t xml:space="preserve"> </w:t>
      </w:r>
      <w:r>
        <w:t>européenne des droits de l’homme,</w:t>
      </w:r>
      <w:r w:rsidDel="00851528">
        <w:t xml:space="preserve"> </w:t>
      </w:r>
      <w:proofErr w:type="spellStart"/>
      <w:r w:rsidRPr="00A97B50">
        <w:rPr>
          <w:i/>
        </w:rPr>
        <w:t>Sharifi</w:t>
      </w:r>
      <w:proofErr w:type="spellEnd"/>
      <w:r w:rsidRPr="00A97B50">
        <w:rPr>
          <w:i/>
        </w:rPr>
        <w:t xml:space="preserve"> et autres </w:t>
      </w:r>
      <w:r w:rsidRPr="00A8565B">
        <w:rPr>
          <w:i/>
        </w:rPr>
        <w:t>c.</w:t>
      </w:r>
      <w:r w:rsidRPr="00A97B50">
        <w:rPr>
          <w:i/>
        </w:rPr>
        <w:t xml:space="preserve"> Italie et Grèce</w:t>
      </w:r>
      <w:r w:rsidRPr="00C90AC4">
        <w:t xml:space="preserve">, </w:t>
      </w:r>
      <w:r>
        <w:t>n</w:t>
      </w:r>
      <w:r w:rsidRPr="00A8565B">
        <w:rPr>
          <w:vertAlign w:val="superscript"/>
        </w:rPr>
        <w:t>o</w:t>
      </w:r>
      <w:r>
        <w:t xml:space="preserve"> 16643/09, </w:t>
      </w:r>
      <w:r w:rsidRPr="00C90AC4">
        <w:t>21</w:t>
      </w:r>
      <w:r>
        <w:t xml:space="preserve"> octobre </w:t>
      </w:r>
      <w:r w:rsidRPr="00C90AC4">
        <w:t>2014</w:t>
      </w:r>
      <w:r>
        <w:t xml:space="preserve"> ; </w:t>
      </w:r>
      <w:r w:rsidR="00D447ED">
        <w:t xml:space="preserve">et </w:t>
      </w:r>
      <w:proofErr w:type="spellStart"/>
      <w:r w:rsidRPr="00C7766B">
        <w:rPr>
          <w:i/>
        </w:rPr>
        <w:t>Ilias</w:t>
      </w:r>
      <w:proofErr w:type="spellEnd"/>
      <w:r w:rsidRPr="00C7766B">
        <w:rPr>
          <w:i/>
        </w:rPr>
        <w:t xml:space="preserve"> </w:t>
      </w:r>
      <w:r w:rsidR="00D447ED">
        <w:rPr>
          <w:i/>
        </w:rPr>
        <w:t>et</w:t>
      </w:r>
      <w:r w:rsidR="00D447ED" w:rsidRPr="00C7766B">
        <w:rPr>
          <w:i/>
        </w:rPr>
        <w:t xml:space="preserve"> </w:t>
      </w:r>
      <w:r w:rsidRPr="00C7766B">
        <w:rPr>
          <w:i/>
        </w:rPr>
        <w:t xml:space="preserve">Ahmed </w:t>
      </w:r>
      <w:r w:rsidR="00D447ED">
        <w:rPr>
          <w:i/>
        </w:rPr>
        <w:t>c</w:t>
      </w:r>
      <w:r w:rsidRPr="00C7766B">
        <w:rPr>
          <w:i/>
        </w:rPr>
        <w:t>. H</w:t>
      </w:r>
      <w:r w:rsidR="00D447ED">
        <w:rPr>
          <w:i/>
        </w:rPr>
        <w:t>ongrie</w:t>
      </w:r>
      <w:r>
        <w:t xml:space="preserve">, </w:t>
      </w:r>
      <w:r w:rsidRPr="00C7766B">
        <w:t>n</w:t>
      </w:r>
      <w:r w:rsidRPr="00270075">
        <w:rPr>
          <w:vertAlign w:val="superscript"/>
        </w:rPr>
        <w:t>o</w:t>
      </w:r>
      <w:r w:rsidR="00D447ED">
        <w:t> </w:t>
      </w:r>
      <w:r w:rsidRPr="00C7766B">
        <w:t>47287/15</w:t>
      </w:r>
      <w:r>
        <w:t xml:space="preserve">, 14 </w:t>
      </w:r>
      <w:r w:rsidR="00D447ED">
        <w:t xml:space="preserve">mars </w:t>
      </w:r>
      <w:r>
        <w:t xml:space="preserve">2017.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5E4CCB">
    <w:pPr>
      <w:pStyle w:val="En-tte"/>
    </w:pPr>
    <w:r>
      <w:fldChar w:fldCharType="begin"/>
    </w:r>
    <w:r>
      <w:instrText xml:space="preserve"> DOCPROPERTY  symh  \* MERGEFORMAT </w:instrText>
    </w:r>
    <w:r>
      <w:fldChar w:fldCharType="separate"/>
    </w:r>
    <w:r>
      <w:t>CAT/C/CHE/QPR/8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5E4CCB" w:rsidP="005B6BC9">
    <w:pPr>
      <w:pStyle w:val="En-tte"/>
      <w:jc w:val="right"/>
    </w:pPr>
    <w:r>
      <w:fldChar w:fldCharType="begin"/>
    </w:r>
    <w:r>
      <w:instrText xml:space="preserve"> DOCPROPERTY  symh  \* MERGEFORMAT </w:instrText>
    </w:r>
    <w:r>
      <w:fldChar w:fldCharType="separate"/>
    </w:r>
    <w:r>
      <w:t>CAT/C/CHE/QPR/8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E6" w:rsidRDefault="007C40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embedSystemFonts/>
  <w:proofState w:spelling="clean"/>
  <w:defaultTabStop w:val="567"/>
  <w:hyphenationZone w:val="425"/>
  <w:evenAndOddHeaders/>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4E9D"/>
    <w:rsid w:val="00012F03"/>
    <w:rsid w:val="0001509E"/>
    <w:rsid w:val="00017F94"/>
    <w:rsid w:val="0002274B"/>
    <w:rsid w:val="00023842"/>
    <w:rsid w:val="000305F7"/>
    <w:rsid w:val="000334F9"/>
    <w:rsid w:val="000363A4"/>
    <w:rsid w:val="000409C8"/>
    <w:rsid w:val="00041F0F"/>
    <w:rsid w:val="00061438"/>
    <w:rsid w:val="00073190"/>
    <w:rsid w:val="00076F78"/>
    <w:rsid w:val="0007796D"/>
    <w:rsid w:val="00081EF3"/>
    <w:rsid w:val="00083722"/>
    <w:rsid w:val="0009258D"/>
    <w:rsid w:val="0009631D"/>
    <w:rsid w:val="000A008E"/>
    <w:rsid w:val="000A0132"/>
    <w:rsid w:val="000A7605"/>
    <w:rsid w:val="000B21F7"/>
    <w:rsid w:val="000B7790"/>
    <w:rsid w:val="000C2875"/>
    <w:rsid w:val="000C390E"/>
    <w:rsid w:val="000F22F0"/>
    <w:rsid w:val="000F61AB"/>
    <w:rsid w:val="00111F2F"/>
    <w:rsid w:val="00132D0B"/>
    <w:rsid w:val="00135383"/>
    <w:rsid w:val="001363A1"/>
    <w:rsid w:val="001421A0"/>
    <w:rsid w:val="0014365E"/>
    <w:rsid w:val="00143A43"/>
    <w:rsid w:val="00143E88"/>
    <w:rsid w:val="001459C9"/>
    <w:rsid w:val="001509CD"/>
    <w:rsid w:val="00150DB2"/>
    <w:rsid w:val="00156743"/>
    <w:rsid w:val="0015699E"/>
    <w:rsid w:val="00176178"/>
    <w:rsid w:val="00176E9D"/>
    <w:rsid w:val="0019388C"/>
    <w:rsid w:val="00194704"/>
    <w:rsid w:val="001B73BF"/>
    <w:rsid w:val="001D352B"/>
    <w:rsid w:val="001E498C"/>
    <w:rsid w:val="001F525A"/>
    <w:rsid w:val="00201510"/>
    <w:rsid w:val="00207091"/>
    <w:rsid w:val="002158AA"/>
    <w:rsid w:val="00223272"/>
    <w:rsid w:val="00224B74"/>
    <w:rsid w:val="00230065"/>
    <w:rsid w:val="00232DB1"/>
    <w:rsid w:val="00234A7D"/>
    <w:rsid w:val="00236172"/>
    <w:rsid w:val="00245F00"/>
    <w:rsid w:val="00247236"/>
    <w:rsid w:val="0024779E"/>
    <w:rsid w:val="00264D76"/>
    <w:rsid w:val="00270075"/>
    <w:rsid w:val="00291F1D"/>
    <w:rsid w:val="00297025"/>
    <w:rsid w:val="002A0540"/>
    <w:rsid w:val="002A1348"/>
    <w:rsid w:val="002B2E68"/>
    <w:rsid w:val="002C0941"/>
    <w:rsid w:val="002E2F3D"/>
    <w:rsid w:val="002F4EF7"/>
    <w:rsid w:val="003134D0"/>
    <w:rsid w:val="00317D00"/>
    <w:rsid w:val="00333B85"/>
    <w:rsid w:val="0034015B"/>
    <w:rsid w:val="00350172"/>
    <w:rsid w:val="00353ED5"/>
    <w:rsid w:val="0035612A"/>
    <w:rsid w:val="0036224B"/>
    <w:rsid w:val="0037014C"/>
    <w:rsid w:val="00371993"/>
    <w:rsid w:val="0039005B"/>
    <w:rsid w:val="00395E0E"/>
    <w:rsid w:val="003B57C6"/>
    <w:rsid w:val="003C3A5D"/>
    <w:rsid w:val="003C413D"/>
    <w:rsid w:val="003C648E"/>
    <w:rsid w:val="003D1AD0"/>
    <w:rsid w:val="003D40EB"/>
    <w:rsid w:val="003D6F7A"/>
    <w:rsid w:val="003E6C82"/>
    <w:rsid w:val="003E7F71"/>
    <w:rsid w:val="003F1369"/>
    <w:rsid w:val="00406BE8"/>
    <w:rsid w:val="0041336D"/>
    <w:rsid w:val="004220D9"/>
    <w:rsid w:val="00426AE6"/>
    <w:rsid w:val="00426B88"/>
    <w:rsid w:val="00440E2A"/>
    <w:rsid w:val="00446FE5"/>
    <w:rsid w:val="00452396"/>
    <w:rsid w:val="0046750E"/>
    <w:rsid w:val="004941CD"/>
    <w:rsid w:val="004A34F1"/>
    <w:rsid w:val="004A703A"/>
    <w:rsid w:val="004B5410"/>
    <w:rsid w:val="004C26A4"/>
    <w:rsid w:val="004C5E74"/>
    <w:rsid w:val="004D4339"/>
    <w:rsid w:val="004D45E8"/>
    <w:rsid w:val="004D539D"/>
    <w:rsid w:val="005044A6"/>
    <w:rsid w:val="0050788C"/>
    <w:rsid w:val="005142F4"/>
    <w:rsid w:val="00526670"/>
    <w:rsid w:val="0053035B"/>
    <w:rsid w:val="005309DE"/>
    <w:rsid w:val="00536676"/>
    <w:rsid w:val="00541ACD"/>
    <w:rsid w:val="00546C0C"/>
    <w:rsid w:val="005505B7"/>
    <w:rsid w:val="00554981"/>
    <w:rsid w:val="00560FB7"/>
    <w:rsid w:val="005611A5"/>
    <w:rsid w:val="00573BE5"/>
    <w:rsid w:val="00582D63"/>
    <w:rsid w:val="00586ED3"/>
    <w:rsid w:val="00596AA9"/>
    <w:rsid w:val="00597694"/>
    <w:rsid w:val="00597D87"/>
    <w:rsid w:val="005A1794"/>
    <w:rsid w:val="005A40E5"/>
    <w:rsid w:val="005A4861"/>
    <w:rsid w:val="005B6BC9"/>
    <w:rsid w:val="005C58BF"/>
    <w:rsid w:val="005D4B74"/>
    <w:rsid w:val="005D6737"/>
    <w:rsid w:val="005E4CCB"/>
    <w:rsid w:val="005E5323"/>
    <w:rsid w:val="005F2E1F"/>
    <w:rsid w:val="005F600B"/>
    <w:rsid w:val="00602F8C"/>
    <w:rsid w:val="006056E0"/>
    <w:rsid w:val="00612ADC"/>
    <w:rsid w:val="0063134B"/>
    <w:rsid w:val="00632131"/>
    <w:rsid w:val="00632B0E"/>
    <w:rsid w:val="0064157F"/>
    <w:rsid w:val="00642C7E"/>
    <w:rsid w:val="00644EB2"/>
    <w:rsid w:val="00653DFA"/>
    <w:rsid w:val="00661AA3"/>
    <w:rsid w:val="00666993"/>
    <w:rsid w:val="00682075"/>
    <w:rsid w:val="00690C47"/>
    <w:rsid w:val="006910CE"/>
    <w:rsid w:val="00694B97"/>
    <w:rsid w:val="006A513C"/>
    <w:rsid w:val="006A7310"/>
    <w:rsid w:val="006B7DD3"/>
    <w:rsid w:val="006C1CA5"/>
    <w:rsid w:val="006D5410"/>
    <w:rsid w:val="006E131D"/>
    <w:rsid w:val="006E4AA5"/>
    <w:rsid w:val="006F2453"/>
    <w:rsid w:val="006F3188"/>
    <w:rsid w:val="007049AA"/>
    <w:rsid w:val="00706E82"/>
    <w:rsid w:val="007071CE"/>
    <w:rsid w:val="0071601D"/>
    <w:rsid w:val="0072235A"/>
    <w:rsid w:val="0072549A"/>
    <w:rsid w:val="0074147A"/>
    <w:rsid w:val="00743DE7"/>
    <w:rsid w:val="0075626F"/>
    <w:rsid w:val="007651C0"/>
    <w:rsid w:val="00766CEC"/>
    <w:rsid w:val="00775091"/>
    <w:rsid w:val="00775BE8"/>
    <w:rsid w:val="00780652"/>
    <w:rsid w:val="00781CA1"/>
    <w:rsid w:val="00782678"/>
    <w:rsid w:val="007A62E6"/>
    <w:rsid w:val="007B7649"/>
    <w:rsid w:val="007C40E6"/>
    <w:rsid w:val="007D0285"/>
    <w:rsid w:val="007D28B9"/>
    <w:rsid w:val="007D3E4C"/>
    <w:rsid w:val="007F12CD"/>
    <w:rsid w:val="007F2CC8"/>
    <w:rsid w:val="007F679F"/>
    <w:rsid w:val="0080684C"/>
    <w:rsid w:val="008075D0"/>
    <w:rsid w:val="008117DB"/>
    <w:rsid w:val="00815502"/>
    <w:rsid w:val="00824E9F"/>
    <w:rsid w:val="00843DBE"/>
    <w:rsid w:val="00845E18"/>
    <w:rsid w:val="0086086F"/>
    <w:rsid w:val="00862E32"/>
    <w:rsid w:val="00867D17"/>
    <w:rsid w:val="00871873"/>
    <w:rsid w:val="00871C75"/>
    <w:rsid w:val="008776DC"/>
    <w:rsid w:val="00886BE5"/>
    <w:rsid w:val="00893CB0"/>
    <w:rsid w:val="00894139"/>
    <w:rsid w:val="008A0E26"/>
    <w:rsid w:val="008A341C"/>
    <w:rsid w:val="008C1B08"/>
    <w:rsid w:val="008C39F5"/>
    <w:rsid w:val="008C7952"/>
    <w:rsid w:val="008D0E88"/>
    <w:rsid w:val="008D746F"/>
    <w:rsid w:val="008E2420"/>
    <w:rsid w:val="008E2996"/>
    <w:rsid w:val="00900F52"/>
    <w:rsid w:val="009034EE"/>
    <w:rsid w:val="00913293"/>
    <w:rsid w:val="00926571"/>
    <w:rsid w:val="0093516A"/>
    <w:rsid w:val="009462EF"/>
    <w:rsid w:val="0095451A"/>
    <w:rsid w:val="00957790"/>
    <w:rsid w:val="0096176F"/>
    <w:rsid w:val="009666D0"/>
    <w:rsid w:val="009705C8"/>
    <w:rsid w:val="00970623"/>
    <w:rsid w:val="00981901"/>
    <w:rsid w:val="00987543"/>
    <w:rsid w:val="00990E03"/>
    <w:rsid w:val="00991B57"/>
    <w:rsid w:val="009A2A38"/>
    <w:rsid w:val="009B241F"/>
    <w:rsid w:val="009B24BB"/>
    <w:rsid w:val="009C6019"/>
    <w:rsid w:val="009E06AD"/>
    <w:rsid w:val="009E7077"/>
    <w:rsid w:val="00A12571"/>
    <w:rsid w:val="00A16845"/>
    <w:rsid w:val="00A21020"/>
    <w:rsid w:val="00A52FEC"/>
    <w:rsid w:val="00A531BA"/>
    <w:rsid w:val="00A54DA9"/>
    <w:rsid w:val="00A57A43"/>
    <w:rsid w:val="00A70AF0"/>
    <w:rsid w:val="00A73488"/>
    <w:rsid w:val="00A75640"/>
    <w:rsid w:val="00A83F44"/>
    <w:rsid w:val="00A84EBB"/>
    <w:rsid w:val="00A87439"/>
    <w:rsid w:val="00A954D3"/>
    <w:rsid w:val="00A96A53"/>
    <w:rsid w:val="00AA608B"/>
    <w:rsid w:val="00AA71AA"/>
    <w:rsid w:val="00AB591F"/>
    <w:rsid w:val="00AC0B66"/>
    <w:rsid w:val="00AC3823"/>
    <w:rsid w:val="00AC7C7A"/>
    <w:rsid w:val="00AD52D0"/>
    <w:rsid w:val="00AD5795"/>
    <w:rsid w:val="00AE019A"/>
    <w:rsid w:val="00AE323C"/>
    <w:rsid w:val="00AE711B"/>
    <w:rsid w:val="00AF57CF"/>
    <w:rsid w:val="00B00181"/>
    <w:rsid w:val="00B0178D"/>
    <w:rsid w:val="00B1164E"/>
    <w:rsid w:val="00B21018"/>
    <w:rsid w:val="00B27076"/>
    <w:rsid w:val="00B30339"/>
    <w:rsid w:val="00B316E1"/>
    <w:rsid w:val="00B43C66"/>
    <w:rsid w:val="00B4631C"/>
    <w:rsid w:val="00B5052F"/>
    <w:rsid w:val="00B60C13"/>
    <w:rsid w:val="00B61C8C"/>
    <w:rsid w:val="00B727B4"/>
    <w:rsid w:val="00B765F7"/>
    <w:rsid w:val="00B76B56"/>
    <w:rsid w:val="00B866F7"/>
    <w:rsid w:val="00BA0CA9"/>
    <w:rsid w:val="00BA67E5"/>
    <w:rsid w:val="00BB38A0"/>
    <w:rsid w:val="00BD1A9A"/>
    <w:rsid w:val="00BE4745"/>
    <w:rsid w:val="00BF3C2C"/>
    <w:rsid w:val="00C02897"/>
    <w:rsid w:val="00C15E7B"/>
    <w:rsid w:val="00C22A13"/>
    <w:rsid w:val="00C25D96"/>
    <w:rsid w:val="00C450B9"/>
    <w:rsid w:val="00C54ED5"/>
    <w:rsid w:val="00C60810"/>
    <w:rsid w:val="00C748A7"/>
    <w:rsid w:val="00CA457B"/>
    <w:rsid w:val="00CA5737"/>
    <w:rsid w:val="00CC2887"/>
    <w:rsid w:val="00CC41D6"/>
    <w:rsid w:val="00CC54A9"/>
    <w:rsid w:val="00CD1FD6"/>
    <w:rsid w:val="00CE2F51"/>
    <w:rsid w:val="00CE33C1"/>
    <w:rsid w:val="00CE4427"/>
    <w:rsid w:val="00CE6717"/>
    <w:rsid w:val="00CF6BB4"/>
    <w:rsid w:val="00D052F2"/>
    <w:rsid w:val="00D12FA8"/>
    <w:rsid w:val="00D203A6"/>
    <w:rsid w:val="00D22AC8"/>
    <w:rsid w:val="00D30447"/>
    <w:rsid w:val="00D32A09"/>
    <w:rsid w:val="00D3439C"/>
    <w:rsid w:val="00D41A70"/>
    <w:rsid w:val="00D447ED"/>
    <w:rsid w:val="00D46EF0"/>
    <w:rsid w:val="00D6318B"/>
    <w:rsid w:val="00D7117A"/>
    <w:rsid w:val="00DA22F4"/>
    <w:rsid w:val="00DA3423"/>
    <w:rsid w:val="00DB1831"/>
    <w:rsid w:val="00DD0E97"/>
    <w:rsid w:val="00DD3BFD"/>
    <w:rsid w:val="00DD41D3"/>
    <w:rsid w:val="00DF02AA"/>
    <w:rsid w:val="00DF6678"/>
    <w:rsid w:val="00E018E1"/>
    <w:rsid w:val="00E02E28"/>
    <w:rsid w:val="00E22CF2"/>
    <w:rsid w:val="00E2437C"/>
    <w:rsid w:val="00E506F1"/>
    <w:rsid w:val="00E52D9F"/>
    <w:rsid w:val="00E62A17"/>
    <w:rsid w:val="00E81A6A"/>
    <w:rsid w:val="00E83270"/>
    <w:rsid w:val="00E840C4"/>
    <w:rsid w:val="00E91E63"/>
    <w:rsid w:val="00E928B6"/>
    <w:rsid w:val="00EA0791"/>
    <w:rsid w:val="00EA46F9"/>
    <w:rsid w:val="00EB69FF"/>
    <w:rsid w:val="00EC28FD"/>
    <w:rsid w:val="00EC2DB3"/>
    <w:rsid w:val="00ED28E4"/>
    <w:rsid w:val="00ED34E9"/>
    <w:rsid w:val="00ED4005"/>
    <w:rsid w:val="00EF42FF"/>
    <w:rsid w:val="00F00FE6"/>
    <w:rsid w:val="00F164B0"/>
    <w:rsid w:val="00F16E72"/>
    <w:rsid w:val="00F3795B"/>
    <w:rsid w:val="00F40A1F"/>
    <w:rsid w:val="00F43810"/>
    <w:rsid w:val="00F660DF"/>
    <w:rsid w:val="00F7129A"/>
    <w:rsid w:val="00F73E41"/>
    <w:rsid w:val="00F76BC4"/>
    <w:rsid w:val="00F80094"/>
    <w:rsid w:val="00F95C08"/>
    <w:rsid w:val="00FA3ADD"/>
    <w:rsid w:val="00FA41DF"/>
    <w:rsid w:val="00FA7E1A"/>
    <w:rsid w:val="00FD5BBF"/>
    <w:rsid w:val="00FE4E9D"/>
    <w:rsid w:val="00FF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71BCA76"/>
  <w15:docId w15:val="{65623648-D497-43EE-8DB7-1CFCFC14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75"/>
    <w:pPr>
      <w:suppressAutoHyphens/>
      <w:spacing w:line="240" w:lineRule="atLeast"/>
    </w:pPr>
    <w:rPr>
      <w:rFonts w:ascii="Times New Roman" w:eastAsia="Times New Roman" w:hAnsi="Times New Roman" w:cs="Times New Roman"/>
      <w:lang w:val="fr-CH"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kinsoku w:val="0"/>
      <w:overflowPunct w:val="0"/>
      <w:autoSpaceDE w:val="0"/>
      <w:autoSpaceDN w:val="0"/>
      <w:adjustRightInd w:val="0"/>
      <w:snapToGrid w:val="0"/>
      <w:outlineLvl w:val="1"/>
    </w:pPr>
    <w:rPr>
      <w:rFonts w:eastAsia="Calibri"/>
    </w:rPr>
  </w:style>
  <w:style w:type="paragraph" w:styleId="Titre3">
    <w:name w:val="heading 3"/>
    <w:basedOn w:val="Normal"/>
    <w:next w:val="Normal"/>
    <w:link w:val="Titre3Car"/>
    <w:semiHidden/>
    <w:qFormat/>
    <w:rsid w:val="00023842"/>
    <w:pPr>
      <w:kinsoku w:val="0"/>
      <w:overflowPunct w:val="0"/>
      <w:autoSpaceDE w:val="0"/>
      <w:autoSpaceDN w:val="0"/>
      <w:adjustRightInd w:val="0"/>
      <w:snapToGrid w:val="0"/>
      <w:outlineLvl w:val="2"/>
    </w:pPr>
    <w:rPr>
      <w:rFonts w:eastAsia="Calibri"/>
    </w:rPr>
  </w:style>
  <w:style w:type="paragraph" w:styleId="Titre4">
    <w:name w:val="heading 4"/>
    <w:basedOn w:val="Normal"/>
    <w:next w:val="Normal"/>
    <w:link w:val="Titre4Car"/>
    <w:semiHidden/>
    <w:qFormat/>
    <w:rsid w:val="00023842"/>
    <w:pPr>
      <w:kinsoku w:val="0"/>
      <w:overflowPunct w:val="0"/>
      <w:autoSpaceDE w:val="0"/>
      <w:autoSpaceDN w:val="0"/>
      <w:adjustRightInd w:val="0"/>
      <w:snapToGrid w:val="0"/>
      <w:outlineLvl w:val="3"/>
    </w:pPr>
    <w:rPr>
      <w:rFonts w:eastAsia="Calibri"/>
    </w:rPr>
  </w:style>
  <w:style w:type="paragraph" w:styleId="Titre5">
    <w:name w:val="heading 5"/>
    <w:basedOn w:val="Normal"/>
    <w:next w:val="Normal"/>
    <w:link w:val="Titre5Car"/>
    <w:semiHidden/>
    <w:qFormat/>
    <w:rsid w:val="00023842"/>
    <w:pPr>
      <w:kinsoku w:val="0"/>
      <w:overflowPunct w:val="0"/>
      <w:autoSpaceDE w:val="0"/>
      <w:autoSpaceDN w:val="0"/>
      <w:adjustRightInd w:val="0"/>
      <w:snapToGrid w:val="0"/>
      <w:outlineLvl w:val="4"/>
    </w:pPr>
    <w:rPr>
      <w:rFonts w:eastAsia="Calibri"/>
    </w:rPr>
  </w:style>
  <w:style w:type="paragraph" w:styleId="Titre6">
    <w:name w:val="heading 6"/>
    <w:basedOn w:val="Normal"/>
    <w:next w:val="Normal"/>
    <w:link w:val="Titre6Car"/>
    <w:semiHidden/>
    <w:qFormat/>
    <w:rsid w:val="00023842"/>
    <w:pPr>
      <w:kinsoku w:val="0"/>
      <w:overflowPunct w:val="0"/>
      <w:autoSpaceDE w:val="0"/>
      <w:autoSpaceDN w:val="0"/>
      <w:adjustRightInd w:val="0"/>
      <w:snapToGrid w:val="0"/>
      <w:outlineLvl w:val="5"/>
    </w:pPr>
    <w:rPr>
      <w:rFonts w:eastAsia="Calibri"/>
    </w:rPr>
  </w:style>
  <w:style w:type="paragraph" w:styleId="Titre7">
    <w:name w:val="heading 7"/>
    <w:basedOn w:val="Normal"/>
    <w:next w:val="Normal"/>
    <w:link w:val="Titre7Car"/>
    <w:semiHidden/>
    <w:qFormat/>
    <w:rsid w:val="00023842"/>
    <w:pPr>
      <w:kinsoku w:val="0"/>
      <w:overflowPunct w:val="0"/>
      <w:autoSpaceDE w:val="0"/>
      <w:autoSpaceDN w:val="0"/>
      <w:adjustRightInd w:val="0"/>
      <w:snapToGrid w:val="0"/>
      <w:outlineLvl w:val="6"/>
    </w:pPr>
    <w:rPr>
      <w:rFonts w:eastAsia="Calibri"/>
    </w:rPr>
  </w:style>
  <w:style w:type="paragraph" w:styleId="Titre8">
    <w:name w:val="heading 8"/>
    <w:basedOn w:val="Normal"/>
    <w:next w:val="Normal"/>
    <w:link w:val="Titre8Car"/>
    <w:semiHidden/>
    <w:qFormat/>
    <w:rsid w:val="00023842"/>
    <w:pPr>
      <w:kinsoku w:val="0"/>
      <w:overflowPunct w:val="0"/>
      <w:autoSpaceDE w:val="0"/>
      <w:autoSpaceDN w:val="0"/>
      <w:adjustRightInd w:val="0"/>
      <w:snapToGrid w:val="0"/>
      <w:outlineLvl w:val="7"/>
    </w:pPr>
    <w:rPr>
      <w:rFonts w:eastAsia="Calibri"/>
    </w:rPr>
  </w:style>
  <w:style w:type="paragraph" w:styleId="Titre9">
    <w:name w:val="heading 9"/>
    <w:basedOn w:val="Normal"/>
    <w:next w:val="Normal"/>
    <w:link w:val="Titre9Car"/>
    <w:semiHidden/>
    <w:qFormat/>
    <w:rsid w:val="00023842"/>
    <w:pPr>
      <w:kinsoku w:val="0"/>
      <w:overflowPunct w:val="0"/>
      <w:autoSpaceDE w:val="0"/>
      <w:autoSpaceDN w:val="0"/>
      <w:adjustRightInd w:val="0"/>
      <w:snapToGrid w:val="0"/>
      <w:outlineLvl w:val="8"/>
    </w:pPr>
    <w:rPr>
      <w:rFonts w:eastAsia="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kinsoku w:val="0"/>
      <w:overflowPunct w:val="0"/>
      <w:autoSpaceDE w:val="0"/>
      <w:autoSpaceDN w:val="0"/>
      <w:adjustRightInd w:val="0"/>
      <w:snapToGrid w:val="0"/>
      <w:spacing w:line="240" w:lineRule="auto"/>
    </w:pPr>
    <w:rPr>
      <w:rFonts w:eastAsia="Calibri"/>
      <w:b/>
      <w:sz w:val="18"/>
    </w:rPr>
  </w:style>
  <w:style w:type="character" w:customStyle="1" w:styleId="En-tteCar">
    <w:name w:val="En-tête Car"/>
    <w:aliases w:val="6_G Car"/>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kinsoku w:val="0"/>
      <w:overflowPunct w:val="0"/>
      <w:autoSpaceDE w:val="0"/>
      <w:autoSpaceDN w:val="0"/>
      <w:adjustRightInd w:val="0"/>
      <w:snapToGrid w:val="0"/>
      <w:spacing w:line="240" w:lineRule="auto"/>
    </w:pPr>
    <w:rPr>
      <w:rFonts w:eastAsia="Calibri"/>
      <w:sz w:val="16"/>
    </w:rPr>
  </w:style>
  <w:style w:type="character" w:customStyle="1" w:styleId="PieddepageCar">
    <w:name w:val="Pied de page Car"/>
    <w:aliases w:val="3_G Car"/>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Calibri"/>
      <w:b/>
      <w:sz w:val="34"/>
    </w:rPr>
  </w:style>
  <w:style w:type="paragraph" w:customStyle="1" w:styleId="HChG">
    <w:name w:val="_ H _Ch_G"/>
    <w:basedOn w:val="Normal"/>
    <w:next w:val="Normal"/>
    <w:link w:val="HChGChar"/>
    <w:qFormat/>
    <w:rsid w:val="0080684C"/>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Calibri"/>
      <w:b/>
      <w:sz w:val="28"/>
    </w:rPr>
  </w:style>
  <w:style w:type="paragraph" w:customStyle="1" w:styleId="H1G">
    <w:name w:val="_ H_1_G"/>
    <w:basedOn w:val="Normal"/>
    <w:next w:val="Normal"/>
    <w:link w:val="H1GChar"/>
    <w:qFormat/>
    <w:rsid w:val="0080684C"/>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Calibri"/>
      <w:b/>
      <w:sz w:val="24"/>
    </w:rPr>
  </w:style>
  <w:style w:type="paragraph" w:customStyle="1" w:styleId="H23G">
    <w:name w:val="_ H_2/3_G"/>
    <w:basedOn w:val="Normal"/>
    <w:next w:val="Normal"/>
    <w:link w:val="H23GChar"/>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b/>
    </w:rPr>
  </w:style>
  <w:style w:type="paragraph" w:customStyle="1" w:styleId="H4G">
    <w:name w:val="_ H_4_G"/>
    <w:basedOn w:val="Normal"/>
    <w:next w:val="Normal"/>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i/>
    </w:rPr>
  </w:style>
  <w:style w:type="paragraph" w:customStyle="1" w:styleId="H56G">
    <w:name w:val="_ H_5/6_G"/>
    <w:basedOn w:val="Normal"/>
    <w:next w:val="Normal"/>
    <w:qFormat/>
    <w:rsid w:val="00871C75"/>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rPr>
  </w:style>
  <w:style w:type="paragraph" w:customStyle="1" w:styleId="SingleTxtG">
    <w:name w:val="_ Single Txt_G"/>
    <w:basedOn w:val="Normal"/>
    <w:link w:val="SingleTxtGChar"/>
    <w:qFormat/>
    <w:rsid w:val="0080684C"/>
    <w:pPr>
      <w:kinsoku w:val="0"/>
      <w:overflowPunct w:val="0"/>
      <w:autoSpaceDE w:val="0"/>
      <w:autoSpaceDN w:val="0"/>
      <w:adjustRightInd w:val="0"/>
      <w:snapToGrid w:val="0"/>
      <w:spacing w:after="120"/>
      <w:ind w:left="1134" w:right="1134"/>
      <w:jc w:val="both"/>
    </w:pPr>
    <w:rPr>
      <w:rFonts w:eastAsia="Calibri"/>
    </w:r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kinsoku w:val="0"/>
      <w:overflowPunct w:val="0"/>
      <w:autoSpaceDE w:val="0"/>
      <w:autoSpaceDN w:val="0"/>
      <w:adjustRightInd w:val="0"/>
      <w:snapToGrid w:val="0"/>
      <w:spacing w:after="120"/>
      <w:ind w:right="1134"/>
      <w:jc w:val="both"/>
    </w:pPr>
    <w:rPr>
      <w:rFonts w:eastAsia="Calibri"/>
    </w:rPr>
  </w:style>
  <w:style w:type="paragraph" w:customStyle="1" w:styleId="Bullet2G">
    <w:name w:val="_Bullet 2_G"/>
    <w:basedOn w:val="Normal"/>
    <w:qFormat/>
    <w:rsid w:val="0080684C"/>
    <w:pPr>
      <w:numPr>
        <w:numId w:val="2"/>
      </w:numPr>
      <w:kinsoku w:val="0"/>
      <w:overflowPunct w:val="0"/>
      <w:autoSpaceDE w:val="0"/>
      <w:autoSpaceDN w:val="0"/>
      <w:adjustRightInd w:val="0"/>
      <w:snapToGrid w:val="0"/>
      <w:spacing w:after="120"/>
      <w:ind w:right="1134"/>
      <w:jc w:val="both"/>
    </w:pPr>
    <w:rPr>
      <w:rFonts w:eastAsia="Calibri"/>
    </w:rPr>
  </w:style>
  <w:style w:type="paragraph" w:customStyle="1" w:styleId="ParNoG">
    <w:name w:val="_ParNo_G"/>
    <w:basedOn w:val="Normal"/>
    <w:qFormat/>
    <w:rsid w:val="00DF6678"/>
    <w:pPr>
      <w:numPr>
        <w:numId w:val="3"/>
      </w:numPr>
      <w:tabs>
        <w:tab w:val="clear" w:pos="1701"/>
      </w:tabs>
      <w:kinsoku w:val="0"/>
      <w:overflowPunct w:val="0"/>
      <w:autoSpaceDE w:val="0"/>
      <w:autoSpaceDN w:val="0"/>
      <w:adjustRightInd w:val="0"/>
      <w:snapToGrid w:val="0"/>
      <w:spacing w:after="120"/>
      <w:ind w:right="1134"/>
      <w:jc w:val="both"/>
    </w:pPr>
    <w:rPr>
      <w:rFonts w:eastAsia="Calibri"/>
    </w:rPr>
  </w:style>
  <w:style w:type="character" w:styleId="Appelnotedebasdep">
    <w:name w:val="footnote reference"/>
    <w:aliases w:val="4_G"/>
    <w:qFormat/>
    <w:rsid w:val="00AA71AA"/>
    <w:rPr>
      <w:rFonts w:ascii="Times New Roman" w:hAnsi="Times New Roman"/>
      <w:sz w:val="18"/>
      <w:vertAlign w:val="superscript"/>
      <w:lang w:val="fr-CH"/>
    </w:rPr>
  </w:style>
  <w:style w:type="character" w:styleId="Appeldenotedefin">
    <w:name w:val="endnote reference"/>
    <w:aliases w:val="1_G"/>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957790"/>
    <w:rPr>
      <w:color w:val="0000FF"/>
      <w:u w:val="none"/>
    </w:rPr>
  </w:style>
  <w:style w:type="character" w:styleId="Lienhypertextesuivivisit">
    <w:name w:val="FollowedHyperlink"/>
    <w:semiHidden/>
    <w:rsid w:val="00957790"/>
    <w:rPr>
      <w:color w:val="0000FF"/>
      <w:u w:val="none"/>
    </w:rPr>
  </w:style>
  <w:style w:type="paragraph" w:styleId="Notedebasdepage">
    <w:name w:val="footnote text"/>
    <w:aliases w:val="5_G"/>
    <w:basedOn w:val="Normal"/>
    <w:link w:val="NotedebasdepageCar"/>
    <w:qFormat/>
    <w:rsid w:val="00AA71AA"/>
    <w:pPr>
      <w:tabs>
        <w:tab w:val="right" w:pos="1021"/>
      </w:tabs>
      <w:kinsoku w:val="0"/>
      <w:overflowPunct w:val="0"/>
      <w:autoSpaceDE w:val="0"/>
      <w:autoSpaceDN w:val="0"/>
      <w:adjustRightInd w:val="0"/>
      <w:snapToGrid w:val="0"/>
      <w:spacing w:line="220" w:lineRule="exact"/>
      <w:ind w:left="1134" w:right="1134" w:hanging="1134"/>
    </w:pPr>
    <w:rPr>
      <w:rFonts w:eastAsia="Calibri"/>
      <w:sz w:val="18"/>
    </w:rPr>
  </w:style>
  <w:style w:type="character" w:customStyle="1" w:styleId="NotedebasdepageCar">
    <w:name w:val="Note de bas de page Car"/>
    <w:aliases w:val="5_G Car"/>
    <w:link w:val="Notedebasdepage"/>
    <w:rsid w:val="00AA71AA"/>
    <w:rPr>
      <w:rFonts w:ascii="Times New Roman" w:hAnsi="Times New Roman" w:cs="Times New Roman"/>
      <w:sz w:val="18"/>
      <w:szCs w:val="20"/>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link w:val="Notedefin"/>
    <w:rsid w:val="0080684C"/>
    <w:rPr>
      <w:rFonts w:ascii="Times New Roman" w:eastAsia="Times New Roman" w:hAnsi="Times New Roman" w:cs="Times New Roman"/>
      <w:sz w:val="18"/>
      <w:szCs w:val="20"/>
      <w:lang w:eastAsia="en-US"/>
    </w:rPr>
  </w:style>
  <w:style w:type="character" w:styleId="Numrodepage">
    <w:name w:val="page number"/>
    <w:aliases w:val="7_G"/>
    <w:qFormat/>
    <w:rsid w:val="00023842"/>
    <w:rPr>
      <w:rFonts w:ascii="Times New Roman" w:hAnsi="Times New Roman"/>
      <w:b/>
      <w:sz w:val="18"/>
      <w:lang w:val="fr-CH"/>
    </w:rPr>
  </w:style>
  <w:style w:type="character" w:customStyle="1" w:styleId="Titre1Car">
    <w:name w:val="Titre 1 Car"/>
    <w:aliases w:val="Table_G Car"/>
    <w:link w:val="Titre1"/>
    <w:rsid w:val="0080684C"/>
    <w:rPr>
      <w:rFonts w:ascii="Times New Roman" w:eastAsia="Times New Roman" w:hAnsi="Times New Roman" w:cs="Times New Roman"/>
      <w:sz w:val="20"/>
      <w:szCs w:val="20"/>
      <w:lang w:eastAsia="en-US"/>
    </w:rPr>
  </w:style>
  <w:style w:type="character" w:customStyle="1" w:styleId="Titre2Car">
    <w:name w:val="Titre 2 Car"/>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 w:type="paragraph" w:styleId="PrformatHTML">
    <w:name w:val="HTML Preformatted"/>
    <w:basedOn w:val="Normal"/>
    <w:link w:val="PrformatHTMLCar"/>
    <w:uiPriority w:val="99"/>
    <w:semiHidden/>
    <w:unhideWhenUsed/>
    <w:rsid w:val="0007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fr-CH"/>
    </w:rPr>
  </w:style>
  <w:style w:type="character" w:customStyle="1" w:styleId="PrformatHTMLCar">
    <w:name w:val="Préformaté HTML Car"/>
    <w:link w:val="PrformatHTML"/>
    <w:uiPriority w:val="99"/>
    <w:semiHidden/>
    <w:rsid w:val="00073190"/>
    <w:rPr>
      <w:rFonts w:ascii="Courier New" w:eastAsia="Times New Roman" w:hAnsi="Courier New" w:cs="Courier New"/>
      <w:sz w:val="20"/>
      <w:szCs w:val="20"/>
      <w:lang w:eastAsia="fr-CH"/>
    </w:rPr>
  </w:style>
  <w:style w:type="paragraph" w:styleId="Rvision">
    <w:name w:val="Revision"/>
    <w:hidden/>
    <w:uiPriority w:val="99"/>
    <w:semiHidden/>
    <w:rsid w:val="006D5410"/>
    <w:rPr>
      <w:rFonts w:ascii="Times New Roman" w:eastAsia="Times New Roman" w:hAnsi="Times New Roman" w:cs="Times New Roma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1410">
      <w:bodyDiv w:val="1"/>
      <w:marLeft w:val="0"/>
      <w:marRight w:val="0"/>
      <w:marTop w:val="0"/>
      <w:marBottom w:val="0"/>
      <w:divBdr>
        <w:top w:val="none" w:sz="0" w:space="0" w:color="auto"/>
        <w:left w:val="none" w:sz="0" w:space="0" w:color="auto"/>
        <w:bottom w:val="none" w:sz="0" w:space="0" w:color="auto"/>
        <w:right w:val="none" w:sz="0" w:space="0" w:color="auto"/>
      </w:divBdr>
      <w:divsChild>
        <w:div w:id="1045451151">
          <w:marLeft w:val="0"/>
          <w:marRight w:val="0"/>
          <w:marTop w:val="0"/>
          <w:marBottom w:val="0"/>
          <w:divBdr>
            <w:top w:val="none" w:sz="0" w:space="0" w:color="auto"/>
            <w:left w:val="none" w:sz="0" w:space="0" w:color="auto"/>
            <w:bottom w:val="none" w:sz="0" w:space="0" w:color="auto"/>
            <w:right w:val="none" w:sz="0" w:space="0" w:color="auto"/>
          </w:divBdr>
          <w:divsChild>
            <w:div w:id="489055471">
              <w:marLeft w:val="0"/>
              <w:marRight w:val="0"/>
              <w:marTop w:val="0"/>
              <w:marBottom w:val="0"/>
              <w:divBdr>
                <w:top w:val="none" w:sz="0" w:space="0" w:color="auto"/>
                <w:left w:val="none" w:sz="0" w:space="0" w:color="auto"/>
                <w:bottom w:val="none" w:sz="0" w:space="0" w:color="auto"/>
                <w:right w:val="none" w:sz="0" w:space="0" w:color="auto"/>
              </w:divBdr>
              <w:divsChild>
                <w:div w:id="2856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30797">
      <w:bodyDiv w:val="1"/>
      <w:marLeft w:val="0"/>
      <w:marRight w:val="0"/>
      <w:marTop w:val="0"/>
      <w:marBottom w:val="0"/>
      <w:divBdr>
        <w:top w:val="none" w:sz="0" w:space="0" w:color="auto"/>
        <w:left w:val="none" w:sz="0" w:space="0" w:color="auto"/>
        <w:bottom w:val="none" w:sz="0" w:space="0" w:color="auto"/>
        <w:right w:val="none" w:sz="0" w:space="0" w:color="auto"/>
      </w:divBdr>
      <w:divsChild>
        <w:div w:id="247424416">
          <w:marLeft w:val="0"/>
          <w:marRight w:val="0"/>
          <w:marTop w:val="0"/>
          <w:marBottom w:val="0"/>
          <w:divBdr>
            <w:top w:val="none" w:sz="0" w:space="0" w:color="auto"/>
            <w:left w:val="none" w:sz="0" w:space="0" w:color="auto"/>
            <w:bottom w:val="none" w:sz="0" w:space="0" w:color="auto"/>
            <w:right w:val="none" w:sz="0" w:space="0" w:color="auto"/>
          </w:divBdr>
          <w:divsChild>
            <w:div w:id="385573084">
              <w:marLeft w:val="0"/>
              <w:marRight w:val="0"/>
              <w:marTop w:val="0"/>
              <w:marBottom w:val="0"/>
              <w:divBdr>
                <w:top w:val="none" w:sz="0" w:space="0" w:color="auto"/>
                <w:left w:val="none" w:sz="0" w:space="0" w:color="auto"/>
                <w:bottom w:val="none" w:sz="0" w:space="0" w:color="auto"/>
                <w:right w:val="none" w:sz="0" w:space="0" w:color="auto"/>
              </w:divBdr>
              <w:divsChild>
                <w:div w:id="5315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C2EC474514A9409E22A1A36D8AC4F5" ma:contentTypeVersion="0" ma:contentTypeDescription="Create a new document." ma:contentTypeScope="" ma:versionID="f8967dbf89cfbaf95af1be0f8b64e4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11204-1D47-4F9D-A695-8EE44A25A38A}">
  <ds:schemaRefs>
    <ds:schemaRef ds:uri="http://schemas.microsoft.com/sharepoint/v3/contenttype/forms"/>
  </ds:schemaRefs>
</ds:datastoreItem>
</file>

<file path=customXml/itemProps2.xml><?xml version="1.0" encoding="utf-8"?>
<ds:datastoreItem xmlns:ds="http://schemas.openxmlformats.org/officeDocument/2006/customXml" ds:itemID="{48793301-1A50-4351-8410-3527B884FC5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5C8EFAF-7DDF-4A50-8AB0-63F43E45B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7B125F-63CB-4E34-902C-DF6D5924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2949</Words>
  <Characters>16221</Characters>
  <Application>Microsoft Office Word</Application>
  <DocSecurity>0</DocSecurity>
  <Lines>135</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CAT/C/CHE/QPR/8</vt:lpstr>
      <vt:lpstr>CAT/C/CHE/QPR/R.8</vt:lpstr>
    </vt:vector>
  </TitlesOfParts>
  <Company>DCM</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CAT/C/CHE/QPR/8</dc:title>
  <dc:subject>qrcode</dc:subject>
  <dc:creator>dvx</dc:creator>
  <cp:keywords/>
  <dc:description/>
  <cp:lastModifiedBy>Corinne ROBERT</cp:lastModifiedBy>
  <cp:revision>3</cp:revision>
  <cp:lastPrinted>2018-01-09T09:50:00Z</cp:lastPrinted>
  <dcterms:created xsi:type="dcterms:W3CDTF">2018-01-09T09:50:00Z</dcterms:created>
  <dcterms:modified xsi:type="dcterms:W3CDTF">2018-01-09T09:50:00Z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C/CHE/QPR/8</vt:lpwstr>
  </property>
  <property fmtid="{D5CDD505-2E9C-101B-9397-08002B2CF9AE}" pid="3" name="symh">
    <vt:lpwstr>CAT/C/CHE/QPR/8</vt:lpwstr>
  </property>
  <property fmtid="{D5CDD505-2E9C-101B-9397-08002B2CF9AE}" pid="4" name="dist">
    <vt:lpwstr>restreinte</vt:lpwstr>
  </property>
  <property fmtid="{D5CDD505-2E9C-101B-9397-08002B2CF9AE}" pid="5" name="date">
    <vt:lpwstr>19 juillet 2017</vt:lpwstr>
  </property>
  <property fmtid="{D5CDD505-2E9C-101B-9397-08002B2CF9AE}" pid="6" name="sdate">
    <vt:lpwstr>[Start-End Dates]</vt:lpwstr>
  </property>
  <property fmtid="{D5CDD505-2E9C-101B-9397-08002B2CF9AE}" pid="7" name="virs">
    <vt:lpwstr>Anglais et Espagnol seulement</vt:lpwstr>
  </property>
  <property fmtid="{D5CDD505-2E9C-101B-9397-08002B2CF9AE}" pid="8" name="snum">
    <vt:lpwstr>[NUMBER]</vt:lpwstr>
  </property>
  <property fmtid="{D5CDD505-2E9C-101B-9397-08002B2CF9AE}" pid="9" name="anum">
    <vt:lpwstr>[NUMBER]</vt:lpwstr>
  </property>
  <property fmtid="{D5CDD505-2E9C-101B-9397-08002B2CF9AE}" pid="10" name="count">
    <vt:lpwstr>de la Suisse </vt:lpwstr>
  </property>
  <property fmtid="{D5CDD505-2E9C-101B-9397-08002B2CF9AE}" pid="11" name="gdoc">
    <vt:lpwstr/>
  </property>
  <property fmtid="{D5CDD505-2E9C-101B-9397-08002B2CF9AE}" pid="12" name="gdocf">
    <vt:lpwstr/>
  </property>
  <property fmtid="{D5CDD505-2E9C-101B-9397-08002B2CF9AE}" pid="13" name="tlang">
    <vt:lpwstr/>
  </property>
  <property fmtid="{D5CDD505-2E9C-101B-9397-08002B2CF9AE}" pid="14" name="atitle">
    <vt:lpwstr>[Title]</vt:lpwstr>
  </property>
  <property fmtid="{D5CDD505-2E9C-101B-9397-08002B2CF9AE}" pid="15" name="stitle">
    <vt:lpwstr>[Title]</vt:lpwstr>
  </property>
  <property fmtid="{D5CDD505-2E9C-101B-9397-08002B2CF9AE}" pid="16" name="prep">
    <vt:lpwstr>huitième rapport périodique de la Suisse </vt:lpwstr>
  </property>
  <property fmtid="{D5CDD505-2E9C-101B-9397-08002B2CF9AE}" pid="17" name="olang">
    <vt:lpwstr>Français</vt:lpwstr>
  </property>
  <property fmtid="{D5CDD505-2E9C-101B-9397-08002B2CF9AE}" pid="18" name="Author">
    <vt:lpwstr/>
  </property>
  <property fmtid="{D5CDD505-2E9C-101B-9397-08002B2CF9AE}" pid="19" name="bar">
    <vt:lpwstr/>
  </property>
  <property fmtid="{D5CDD505-2E9C-101B-9397-08002B2CF9AE}" pid="20" name="Title">
    <vt:lpwstr>CAT/C/CHE/QPR/R.8</vt:lpwstr>
  </property>
  <property fmtid="{D5CDD505-2E9C-101B-9397-08002B2CF9AE}" pid="21" name="ContentTypeId">
    <vt:lpwstr>0x01010017C2EC474514A9409E22A1A36D8AC4F5</vt:lpwstr>
  </property>
</Properties>
</file>