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EC2359" w:rsidRDefault="00A879C2" w:rsidP="00626C95">
            <w:pPr>
              <w:spacing w:line="240" w:lineRule="atLeast"/>
              <w:jc w:val="right"/>
              <w:rPr>
                <w:szCs w:val="21"/>
              </w:rPr>
            </w:pPr>
            <w:r w:rsidRPr="00EC2359">
              <w:rPr>
                <w:sz w:val="40"/>
                <w:szCs w:val="40"/>
              </w:rPr>
              <w:t>CAT</w:t>
            </w:r>
            <w:r w:rsidRPr="00EC2359">
              <w:rPr>
                <w:sz w:val="20"/>
              </w:rPr>
              <w:t>/C</w:t>
            </w:r>
            <w:r w:rsidR="00F86194" w:rsidRPr="00EC2359">
              <w:rPr>
                <w:rFonts w:hint="eastAsia"/>
                <w:sz w:val="20"/>
              </w:rPr>
              <w:t>/</w:t>
            </w:r>
            <w:r w:rsidR="00481982">
              <w:rPr>
                <w:sz w:val="20"/>
              </w:rPr>
              <w:t>49D/346/2008</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EC2359" w:rsidRDefault="00481982">
            <w:pPr>
              <w:spacing w:line="240" w:lineRule="atLeast"/>
              <w:rPr>
                <w:rFonts w:hint="eastAsia"/>
                <w:sz w:val="20"/>
              </w:rPr>
            </w:pPr>
            <w:r>
              <w:rPr>
                <w:sz w:val="20"/>
              </w:rPr>
              <w:t xml:space="preserve">30 </w:t>
            </w:r>
            <w:r w:rsidRPr="00481982">
              <w:rPr>
                <w:sz w:val="20"/>
              </w:rPr>
              <w:t>January</w:t>
            </w:r>
            <w:r w:rsidR="00D83B4B" w:rsidRPr="00EC2359">
              <w:rPr>
                <w:sz w:val="20"/>
              </w:rPr>
              <w:t xml:space="preserve"> 20</w:t>
            </w:r>
            <w:r w:rsidR="000A551A" w:rsidRPr="00EC2359">
              <w:rPr>
                <w:rFonts w:hint="eastAsia"/>
                <w:sz w:val="20"/>
              </w:rPr>
              <w:t>1</w:t>
            </w:r>
            <w:r w:rsidR="00E04D00">
              <w:rPr>
                <w:rFonts w:hint="eastAsia"/>
                <w:sz w:val="20"/>
              </w:rPr>
              <w:t>3</w:t>
            </w:r>
          </w:p>
          <w:p w:rsidR="00A879C2" w:rsidRPr="00EC2359" w:rsidRDefault="00A879C2" w:rsidP="00626C95">
            <w:pPr>
              <w:spacing w:line="240" w:lineRule="atLeast"/>
              <w:rPr>
                <w:sz w:val="20"/>
              </w:rPr>
            </w:pPr>
            <w:r w:rsidRPr="00EC2359">
              <w:rPr>
                <w:sz w:val="20"/>
              </w:rPr>
              <w:t xml:space="preserve">Chinese </w:t>
            </w:r>
          </w:p>
          <w:p w:rsidR="00A879C2" w:rsidRPr="00EC2359" w:rsidRDefault="00A879C2" w:rsidP="00137BEA">
            <w:pPr>
              <w:spacing w:line="240" w:lineRule="atLeast"/>
              <w:rPr>
                <w:rFonts w:hint="eastAsia"/>
                <w:sz w:val="20"/>
              </w:rPr>
            </w:pPr>
            <w:r w:rsidRPr="00EC2359">
              <w:rPr>
                <w:sz w:val="20"/>
              </w:rPr>
              <w:t xml:space="preserve">Original: </w:t>
            </w:r>
            <w:r w:rsidR="00481982" w:rsidRPr="00481982">
              <w:rPr>
                <w:sz w:val="20"/>
              </w:rPr>
              <w:t>French</w:t>
            </w:r>
          </w:p>
        </w:tc>
      </w:tr>
    </w:tbl>
    <w:p w:rsidR="00A879C2" w:rsidRDefault="00A879C2">
      <w:pPr>
        <w:spacing w:before="120"/>
        <w:rPr>
          <w:rFonts w:eastAsia="SimHei" w:hAnsi="Time New Roman"/>
          <w:sz w:val="24"/>
          <w:szCs w:val="24"/>
        </w:rPr>
      </w:pPr>
      <w:r w:rsidRPr="00EC2359">
        <w:rPr>
          <w:rFonts w:eastAsia="SimHei" w:hAnsi="Time New Roman" w:hint="eastAsia"/>
          <w:sz w:val="24"/>
          <w:szCs w:val="24"/>
        </w:rPr>
        <w:t>禁止酷刑委员会</w:t>
      </w:r>
    </w:p>
    <w:p w:rsidR="00481982" w:rsidRPr="00EC2359" w:rsidRDefault="00481982" w:rsidP="00481982">
      <w:pPr>
        <w:pStyle w:val="SingleTxtGC"/>
      </w:pP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481982">
        <w:rPr>
          <w:lang w:val="en-GB"/>
        </w:rPr>
        <w:t>346/2008</w:t>
      </w:r>
      <w:r w:rsidR="00DF3D7E" w:rsidRPr="00EC2359">
        <w:rPr>
          <w:rFonts w:hint="eastAsia"/>
          <w:lang w:val="en-GB"/>
        </w:rPr>
        <w:t>号来文</w:t>
      </w:r>
    </w:p>
    <w:p w:rsidR="007C1091" w:rsidRPr="00EC2359" w:rsidRDefault="00A30B03" w:rsidP="0049385A">
      <w:pPr>
        <w:pStyle w:val="H1GC"/>
        <w:rPr>
          <w:rFonts w:hint="eastAsia"/>
          <w:lang w:val="en-GB"/>
        </w:rPr>
      </w:pPr>
      <w:r w:rsidRPr="00EC2359">
        <w:rPr>
          <w:rFonts w:hint="eastAsia"/>
          <w:lang w:val="en-GB"/>
        </w:rPr>
        <w:tab/>
      </w:r>
      <w:r w:rsidRPr="00EC2359">
        <w:rPr>
          <w:rFonts w:hint="eastAsia"/>
          <w:lang w:val="en-GB"/>
        </w:rPr>
        <w:tab/>
      </w:r>
      <w:r w:rsidR="0049385A">
        <w:rPr>
          <w:rFonts w:hint="eastAsia"/>
          <w:lang w:val="en-GB"/>
        </w:rPr>
        <w:t>委员会第</w:t>
      </w:r>
      <w:r w:rsidR="00481982">
        <w:rPr>
          <w:rFonts w:hint="eastAsia"/>
          <w:lang w:val="en-GB"/>
        </w:rPr>
        <w:t>四十九</w:t>
      </w:r>
      <w:r w:rsidR="00DF3D7E" w:rsidRPr="00EC2359">
        <w:rPr>
          <w:rFonts w:hint="eastAsia"/>
          <w:lang w:val="en-GB"/>
        </w:rPr>
        <w:t>届会议</w:t>
      </w:r>
      <w:r w:rsidR="00A77618">
        <w:rPr>
          <w:rFonts w:hint="eastAsia"/>
          <w:lang w:val="en-GB"/>
        </w:rPr>
        <w:t>(</w:t>
      </w:r>
      <w:r w:rsidR="0049385A">
        <w:rPr>
          <w:rFonts w:hint="eastAsia"/>
          <w:lang w:val="en-GB"/>
        </w:rPr>
        <w:t>20</w:t>
      </w:r>
      <w:r w:rsidR="00481982">
        <w:rPr>
          <w:rFonts w:hint="eastAsia"/>
          <w:lang w:val="en-GB"/>
        </w:rPr>
        <w:t>12</w:t>
      </w:r>
      <w:r w:rsidR="007C1091" w:rsidRPr="00EC2359">
        <w:rPr>
          <w:rFonts w:hint="eastAsia"/>
          <w:lang w:val="en-GB"/>
        </w:rPr>
        <w:t>年</w:t>
      </w:r>
      <w:r w:rsidR="00481982">
        <w:rPr>
          <w:rFonts w:hint="eastAsia"/>
          <w:lang w:val="en-GB"/>
        </w:rPr>
        <w:t>10</w:t>
      </w:r>
      <w:r w:rsidR="007C1091" w:rsidRPr="00EC2359">
        <w:rPr>
          <w:rFonts w:hint="eastAsia"/>
          <w:lang w:val="en-GB"/>
        </w:rPr>
        <w:t>月</w:t>
      </w:r>
      <w:r w:rsidR="00481982">
        <w:rPr>
          <w:rFonts w:hint="eastAsia"/>
          <w:lang w:val="en-GB"/>
        </w:rPr>
        <w:t>29</w:t>
      </w:r>
      <w:r w:rsidR="007C1091" w:rsidRPr="00EC2359">
        <w:rPr>
          <w:rFonts w:hint="eastAsia"/>
          <w:lang w:val="en-GB"/>
        </w:rPr>
        <w:t>日至</w:t>
      </w:r>
      <w:r w:rsidR="00481982">
        <w:rPr>
          <w:rFonts w:hint="eastAsia"/>
          <w:lang w:val="en-GB"/>
        </w:rPr>
        <w:t>11</w:t>
      </w:r>
      <w:r w:rsidR="007C1091" w:rsidRPr="00EC2359">
        <w:rPr>
          <w:rFonts w:hint="eastAsia"/>
          <w:lang w:val="en-GB"/>
        </w:rPr>
        <w:t>月</w:t>
      </w:r>
      <w:r w:rsidR="00481982">
        <w:rPr>
          <w:rFonts w:hint="eastAsia"/>
          <w:lang w:val="en-GB"/>
        </w:rPr>
        <w:t>23</w:t>
      </w:r>
      <w:r w:rsidR="007C1091" w:rsidRPr="00EC2359">
        <w:rPr>
          <w:rFonts w:hint="eastAsia"/>
          <w:lang w:val="en-GB"/>
        </w:rPr>
        <w:t>日</w:t>
      </w:r>
      <w:r w:rsidR="00A77618">
        <w:rPr>
          <w:rFonts w:hint="eastAsia"/>
          <w:lang w:val="en-GB"/>
        </w:rPr>
        <w:t>)</w:t>
      </w:r>
      <w:r w:rsidR="007C1091" w:rsidRPr="00EC2359">
        <w:rPr>
          <w:rFonts w:hint="eastAsia"/>
          <w:lang w:val="en-GB"/>
        </w:rPr>
        <w:t>作出的决定</w:t>
      </w:r>
    </w:p>
    <w:tbl>
      <w:tblPr>
        <w:tblStyle w:val="TableGrid"/>
        <w:tblW w:w="0" w:type="auto"/>
        <w:tblInd w:w="1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18"/>
        <w:gridCol w:w="4735"/>
      </w:tblGrid>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hint="eastAsia"/>
              </w:rPr>
            </w:pPr>
            <w:r w:rsidRPr="00962A6B">
              <w:rPr>
                <w:rFonts w:eastAsia="KaiTi_GB2312" w:hAnsi="Time New Roman" w:hint="eastAsia"/>
              </w:rPr>
              <w:t>提交人：</w:t>
            </w:r>
          </w:p>
        </w:tc>
        <w:tc>
          <w:tcPr>
            <w:tcW w:w="4735" w:type="dxa"/>
          </w:tcPr>
          <w:p w:rsidR="00A77618" w:rsidRPr="00962A6B" w:rsidRDefault="00A77618" w:rsidP="008171DC">
            <w:pPr>
              <w:tabs>
                <w:tab w:val="left" w:pos="1134"/>
                <w:tab w:val="left" w:pos="1565"/>
                <w:tab w:val="left" w:pos="1996"/>
                <w:tab w:val="left" w:pos="2427"/>
              </w:tabs>
              <w:spacing w:after="120"/>
              <w:rPr>
                <w:snapToGrid/>
                <w:lang w:val="fr-FR"/>
              </w:rPr>
            </w:pPr>
            <w:r>
              <w:rPr>
                <w:rFonts w:hint="eastAsia"/>
                <w:snapToGrid/>
                <w:lang w:val="fr-FR"/>
              </w:rPr>
              <w:t>S.A.C.</w:t>
            </w:r>
            <w:r w:rsidR="00813BC4">
              <w:rPr>
                <w:rFonts w:hint="eastAsia"/>
                <w:snapToGrid/>
                <w:lang w:val="fr-FR"/>
              </w:rPr>
              <w:t xml:space="preserve"> </w:t>
            </w:r>
            <w:r w:rsidRPr="00962A6B">
              <w:rPr>
                <w:snapToGrid/>
                <w:lang w:val="fr-FR"/>
              </w:rPr>
              <w:t>(</w:t>
            </w:r>
            <w:r>
              <w:rPr>
                <w:rFonts w:hint="eastAsia"/>
                <w:snapToGrid/>
                <w:lang w:val="fr-FR"/>
              </w:rPr>
              <w:t>由</w:t>
            </w:r>
            <w:r>
              <w:rPr>
                <w:rFonts w:hint="eastAsia"/>
                <w:snapToGrid/>
                <w:lang w:val="fr-FR"/>
              </w:rPr>
              <w:t>Frank Michel</w:t>
            </w:r>
            <w:r w:rsidRPr="00962A6B">
              <w:rPr>
                <w:rFonts w:hint="eastAsia"/>
                <w:snapToGrid/>
                <w:lang w:val="fr-FR"/>
              </w:rPr>
              <w:t>律师代理</w:t>
            </w:r>
            <w:r w:rsidRPr="00962A6B">
              <w:rPr>
                <w:snapToGrid/>
                <w:lang w:val="fr-FR"/>
              </w:rPr>
              <w:t>)</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hint="eastAsia"/>
              </w:rPr>
            </w:pPr>
            <w:r w:rsidRPr="00962A6B">
              <w:rPr>
                <w:rFonts w:eastAsia="KaiTi_GB2312" w:hAnsi="Time New Roman" w:hint="eastAsia"/>
              </w:rPr>
              <w:t>据称受害人：</w:t>
            </w:r>
          </w:p>
        </w:tc>
        <w:tc>
          <w:tcPr>
            <w:tcW w:w="4735" w:type="dxa"/>
          </w:tcPr>
          <w:p w:rsidR="00A77618" w:rsidRPr="00962A6B" w:rsidRDefault="00A77618" w:rsidP="008171DC">
            <w:pPr>
              <w:tabs>
                <w:tab w:val="left" w:pos="1134"/>
                <w:tab w:val="left" w:pos="1565"/>
                <w:tab w:val="left" w:pos="1996"/>
                <w:tab w:val="left" w:pos="2427"/>
              </w:tabs>
              <w:spacing w:after="120"/>
              <w:rPr>
                <w:rFonts w:hint="eastAsia"/>
                <w:snapToGrid/>
                <w:lang w:val="fr-FR"/>
              </w:rPr>
            </w:pPr>
            <w:r>
              <w:rPr>
                <w:rFonts w:hint="eastAsia"/>
                <w:snapToGrid/>
                <w:lang w:val="fr-FR"/>
              </w:rPr>
              <w:t>S.A.C.</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hint="eastAsia"/>
              </w:rPr>
            </w:pPr>
            <w:r w:rsidRPr="00962A6B">
              <w:rPr>
                <w:rFonts w:eastAsia="KaiTi_GB2312" w:hAnsi="Time New Roman" w:hint="eastAsia"/>
              </w:rPr>
              <w:t>所涉缔约国：</w:t>
            </w:r>
          </w:p>
        </w:tc>
        <w:tc>
          <w:tcPr>
            <w:tcW w:w="4735" w:type="dxa"/>
          </w:tcPr>
          <w:p w:rsidR="00A77618" w:rsidRPr="00962A6B" w:rsidRDefault="00A77618" w:rsidP="008171DC">
            <w:pPr>
              <w:tabs>
                <w:tab w:val="left" w:pos="1134"/>
                <w:tab w:val="left" w:pos="1565"/>
                <w:tab w:val="left" w:pos="1996"/>
                <w:tab w:val="left" w:pos="2427"/>
              </w:tabs>
              <w:spacing w:after="120"/>
              <w:rPr>
                <w:rFonts w:hint="eastAsia"/>
                <w:snapToGrid/>
                <w:lang w:val="fr-FR"/>
              </w:rPr>
            </w:pPr>
            <w:r>
              <w:rPr>
                <w:rFonts w:hint="eastAsia"/>
                <w:snapToGrid/>
                <w:lang w:val="fr-FR"/>
              </w:rPr>
              <w:t>摩纳哥</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rPr>
            </w:pPr>
            <w:r w:rsidRPr="00962A6B">
              <w:rPr>
                <w:rFonts w:eastAsia="KaiTi_GB2312" w:hAnsi="Time New Roman" w:hint="eastAsia"/>
              </w:rPr>
              <w:t>申诉日期</w:t>
            </w:r>
            <w:r w:rsidRPr="00962A6B">
              <w:rPr>
                <w:rFonts w:eastAsia="KaiTi_GB2312" w:hAnsi="Time New Roman"/>
              </w:rPr>
              <w:t>：</w:t>
            </w:r>
          </w:p>
        </w:tc>
        <w:tc>
          <w:tcPr>
            <w:tcW w:w="4735" w:type="dxa"/>
          </w:tcPr>
          <w:p w:rsidR="00A77618" w:rsidRPr="00962A6B" w:rsidRDefault="00A77618" w:rsidP="008171DC">
            <w:pPr>
              <w:tabs>
                <w:tab w:val="left" w:pos="1134"/>
                <w:tab w:val="left" w:pos="1565"/>
                <w:tab w:val="left" w:pos="1996"/>
                <w:tab w:val="left" w:pos="2427"/>
              </w:tabs>
              <w:spacing w:after="120"/>
              <w:rPr>
                <w:snapToGrid/>
                <w:lang w:val="fr-FR"/>
              </w:rPr>
            </w:pPr>
            <w:r w:rsidRPr="00962A6B">
              <w:rPr>
                <w:snapToGrid/>
                <w:lang w:val="fr-FR"/>
              </w:rPr>
              <w:t>20</w:t>
            </w:r>
            <w:r>
              <w:rPr>
                <w:rFonts w:hint="eastAsia"/>
                <w:snapToGrid/>
                <w:lang w:val="fr-FR"/>
              </w:rPr>
              <w:t>08</w:t>
            </w:r>
            <w:r w:rsidRPr="00962A6B">
              <w:rPr>
                <w:rFonts w:hint="eastAsia"/>
                <w:snapToGrid/>
                <w:lang w:val="fr-FR"/>
              </w:rPr>
              <w:t>年</w:t>
            </w:r>
            <w:r>
              <w:rPr>
                <w:rFonts w:hint="eastAsia"/>
                <w:snapToGrid/>
                <w:lang w:val="fr-FR"/>
              </w:rPr>
              <w:t>7</w:t>
            </w:r>
            <w:r w:rsidRPr="00962A6B">
              <w:rPr>
                <w:rFonts w:hint="eastAsia"/>
                <w:snapToGrid/>
                <w:lang w:val="fr-FR"/>
              </w:rPr>
              <w:t>月</w:t>
            </w:r>
            <w:r>
              <w:rPr>
                <w:rFonts w:hint="eastAsia"/>
                <w:snapToGrid/>
                <w:lang w:val="fr-FR"/>
              </w:rPr>
              <w:t>8</w:t>
            </w:r>
            <w:r w:rsidRPr="00962A6B">
              <w:rPr>
                <w:rFonts w:hint="eastAsia"/>
                <w:snapToGrid/>
                <w:lang w:val="fr-FR"/>
              </w:rPr>
              <w:t>日</w:t>
            </w:r>
            <w:r w:rsidRPr="00962A6B">
              <w:rPr>
                <w:snapToGrid/>
                <w:lang w:val="fr-FR"/>
              </w:rPr>
              <w:t>(</w:t>
            </w:r>
            <w:r>
              <w:rPr>
                <w:rFonts w:hint="eastAsia"/>
                <w:snapToGrid/>
                <w:lang w:val="fr-FR"/>
              </w:rPr>
              <w:t>初</w:t>
            </w:r>
            <w:r w:rsidRPr="00962A6B">
              <w:rPr>
                <w:rFonts w:hint="eastAsia"/>
                <w:snapToGrid/>
                <w:lang w:val="fr-FR"/>
              </w:rPr>
              <w:t>次提交</w:t>
            </w:r>
            <w:r w:rsidRPr="00962A6B">
              <w:rPr>
                <w:snapToGrid/>
                <w:lang w:val="fr-FR"/>
              </w:rPr>
              <w:t>)</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rPr>
            </w:pPr>
            <w:r w:rsidRPr="00962A6B">
              <w:rPr>
                <w:rFonts w:eastAsia="KaiTi_GB2312" w:hAnsi="Time New Roman" w:hint="eastAsia"/>
              </w:rPr>
              <w:t>本决定日期</w:t>
            </w:r>
            <w:r w:rsidRPr="00962A6B">
              <w:rPr>
                <w:rFonts w:eastAsia="KaiTi_GB2312" w:hAnsi="Time New Roman"/>
              </w:rPr>
              <w:t>：</w:t>
            </w:r>
          </w:p>
        </w:tc>
        <w:tc>
          <w:tcPr>
            <w:tcW w:w="4735" w:type="dxa"/>
          </w:tcPr>
          <w:p w:rsidR="00A77618" w:rsidRPr="00962A6B" w:rsidRDefault="00A77618" w:rsidP="008171DC">
            <w:pPr>
              <w:tabs>
                <w:tab w:val="left" w:pos="1134"/>
                <w:tab w:val="left" w:pos="1565"/>
                <w:tab w:val="left" w:pos="1996"/>
                <w:tab w:val="left" w:pos="2427"/>
              </w:tabs>
              <w:spacing w:after="120"/>
              <w:rPr>
                <w:rFonts w:hint="eastAsia"/>
                <w:snapToGrid/>
                <w:lang w:val="fr-FR"/>
              </w:rPr>
            </w:pPr>
            <w:r w:rsidRPr="00962A6B">
              <w:rPr>
                <w:snapToGrid/>
                <w:lang w:val="fr-FR"/>
              </w:rPr>
              <w:t>20</w:t>
            </w:r>
            <w:r>
              <w:rPr>
                <w:rFonts w:hint="eastAsia"/>
                <w:snapToGrid/>
                <w:lang w:val="fr-FR"/>
              </w:rPr>
              <w:t>12</w:t>
            </w:r>
            <w:r w:rsidRPr="00962A6B">
              <w:rPr>
                <w:rFonts w:hint="eastAsia"/>
                <w:snapToGrid/>
                <w:lang w:val="fr-FR"/>
              </w:rPr>
              <w:t>年</w:t>
            </w:r>
            <w:r>
              <w:rPr>
                <w:rFonts w:hint="eastAsia"/>
                <w:snapToGrid/>
                <w:lang w:val="fr-FR"/>
              </w:rPr>
              <w:t>11</w:t>
            </w:r>
            <w:r w:rsidRPr="00962A6B">
              <w:rPr>
                <w:rFonts w:hint="eastAsia"/>
                <w:snapToGrid/>
                <w:lang w:val="fr-FR"/>
              </w:rPr>
              <w:t>月</w:t>
            </w:r>
            <w:r>
              <w:rPr>
                <w:rFonts w:hint="eastAsia"/>
                <w:snapToGrid/>
                <w:lang w:val="fr-FR"/>
              </w:rPr>
              <w:t>13</w:t>
            </w:r>
            <w:r w:rsidRPr="00962A6B">
              <w:rPr>
                <w:rFonts w:hint="eastAsia"/>
                <w:snapToGrid/>
                <w:lang w:val="fr-FR"/>
              </w:rPr>
              <w:t>日</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rPr>
            </w:pPr>
            <w:r w:rsidRPr="00962A6B">
              <w:rPr>
                <w:rFonts w:eastAsia="KaiTi_GB2312" w:hAnsi="Time New Roman" w:hint="eastAsia"/>
              </w:rPr>
              <w:t>事由</w:t>
            </w:r>
            <w:r w:rsidRPr="00962A6B">
              <w:rPr>
                <w:rFonts w:eastAsia="KaiTi_GB2312" w:hAnsi="Time New Roman"/>
              </w:rPr>
              <w:t>：</w:t>
            </w:r>
          </w:p>
        </w:tc>
        <w:tc>
          <w:tcPr>
            <w:tcW w:w="4735" w:type="dxa"/>
          </w:tcPr>
          <w:p w:rsidR="00A77618" w:rsidRPr="00962A6B" w:rsidRDefault="00A77618" w:rsidP="008171DC">
            <w:pPr>
              <w:tabs>
                <w:tab w:val="left" w:pos="1134"/>
                <w:tab w:val="left" w:pos="1565"/>
                <w:tab w:val="left" w:pos="1996"/>
                <w:tab w:val="left" w:pos="2427"/>
              </w:tabs>
              <w:spacing w:after="120"/>
              <w:rPr>
                <w:snapToGrid/>
                <w:lang w:val="fr-FR"/>
              </w:rPr>
            </w:pPr>
            <w:r>
              <w:rPr>
                <w:rFonts w:hint="eastAsia"/>
                <w:snapToGrid/>
                <w:lang w:val="fr-FR"/>
              </w:rPr>
              <w:t>将申诉人从摩纳哥驱逐回巴西</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iCs/>
                <w:lang w:val="en-GB"/>
              </w:rPr>
            </w:pPr>
            <w:r w:rsidRPr="00962A6B">
              <w:rPr>
                <w:rFonts w:eastAsia="KaiTi_GB2312" w:hint="eastAsia"/>
                <w:iCs/>
                <w:lang w:val="en-GB"/>
              </w:rPr>
              <w:t>程序性</w:t>
            </w:r>
            <w:r w:rsidRPr="00962A6B">
              <w:rPr>
                <w:rFonts w:eastAsia="KaiTi_GB2312" w:hAnsi="Time New Roman" w:hint="eastAsia"/>
              </w:rPr>
              <w:t>问题</w:t>
            </w:r>
            <w:r w:rsidRPr="00962A6B">
              <w:rPr>
                <w:lang w:val="en-GB"/>
              </w:rPr>
              <w:t>：</w:t>
            </w:r>
          </w:p>
        </w:tc>
        <w:tc>
          <w:tcPr>
            <w:tcW w:w="4735" w:type="dxa"/>
          </w:tcPr>
          <w:p w:rsidR="00A77618" w:rsidRPr="00962A6B" w:rsidRDefault="00A77618" w:rsidP="008171DC">
            <w:pPr>
              <w:tabs>
                <w:tab w:val="left" w:pos="1134"/>
                <w:tab w:val="left" w:pos="1565"/>
                <w:tab w:val="left" w:pos="1996"/>
                <w:tab w:val="left" w:pos="2427"/>
              </w:tabs>
              <w:spacing w:after="120"/>
              <w:rPr>
                <w:rFonts w:hint="eastAsia"/>
                <w:snapToGrid/>
                <w:lang w:val="fr-FR"/>
              </w:rPr>
            </w:pPr>
            <w:r>
              <w:rPr>
                <w:rFonts w:hint="eastAsia"/>
                <w:snapToGrid/>
                <w:lang w:val="fr-FR"/>
              </w:rPr>
              <w:t>由另一个国际解决机构审议案件并用尽国内补救</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rPr>
                <w:rFonts w:eastAsia="KaiTi_GB2312"/>
              </w:rPr>
            </w:pPr>
            <w:r w:rsidRPr="00962A6B">
              <w:rPr>
                <w:rFonts w:eastAsia="KaiTi_GB2312" w:hAnsi="Time New Roman" w:hint="eastAsia"/>
              </w:rPr>
              <w:t>实质性问题</w:t>
            </w:r>
            <w:r w:rsidRPr="00962A6B">
              <w:rPr>
                <w:rFonts w:eastAsia="KaiTi_GB2312" w:hAnsi="Time New Roman"/>
              </w:rPr>
              <w:t>：</w:t>
            </w:r>
          </w:p>
        </w:tc>
        <w:tc>
          <w:tcPr>
            <w:tcW w:w="4735" w:type="dxa"/>
          </w:tcPr>
          <w:p w:rsidR="00A77618" w:rsidRPr="00962A6B" w:rsidRDefault="00A77618" w:rsidP="008171DC">
            <w:pPr>
              <w:tabs>
                <w:tab w:val="left" w:pos="1134"/>
                <w:tab w:val="left" w:pos="1565"/>
                <w:tab w:val="left" w:pos="1996"/>
                <w:tab w:val="left" w:pos="2427"/>
              </w:tabs>
              <w:spacing w:after="120"/>
              <w:rPr>
                <w:rFonts w:hint="eastAsia"/>
                <w:snapToGrid/>
                <w:lang w:val="fr-FR"/>
              </w:rPr>
            </w:pPr>
            <w:r>
              <w:rPr>
                <w:rFonts w:hint="eastAsia"/>
                <w:snapToGrid/>
                <w:lang w:val="fr-FR"/>
              </w:rPr>
              <w:t>引渡后遭受酷刑的风险</w:t>
            </w:r>
          </w:p>
        </w:tc>
      </w:tr>
      <w:tr w:rsidR="00A77618" w:rsidRPr="00962A6B" w:rsidTr="00021481">
        <w:tc>
          <w:tcPr>
            <w:tcW w:w="2118" w:type="dxa"/>
          </w:tcPr>
          <w:p w:rsidR="00A77618" w:rsidRPr="00962A6B" w:rsidRDefault="00A77618" w:rsidP="008171DC">
            <w:pPr>
              <w:tabs>
                <w:tab w:val="left" w:pos="1134"/>
                <w:tab w:val="left" w:pos="1565"/>
                <w:tab w:val="left" w:pos="1996"/>
                <w:tab w:val="left" w:pos="2427"/>
              </w:tabs>
              <w:spacing w:after="120"/>
              <w:ind w:left="-85"/>
              <w:rPr>
                <w:rFonts w:eastAsia="KaiTi_GB2312"/>
              </w:rPr>
            </w:pPr>
            <w:r w:rsidRPr="00962A6B">
              <w:rPr>
                <w:rFonts w:eastAsia="KaiTi_GB2312" w:hAnsi="Time New Roman" w:hint="eastAsia"/>
              </w:rPr>
              <w:t>《公约》条款</w:t>
            </w:r>
            <w:r w:rsidRPr="00962A6B">
              <w:rPr>
                <w:rFonts w:eastAsia="KaiTi_GB2312" w:hAnsi="Time New Roman"/>
              </w:rPr>
              <w:t>：</w:t>
            </w:r>
          </w:p>
        </w:tc>
        <w:tc>
          <w:tcPr>
            <w:tcW w:w="4735" w:type="dxa"/>
          </w:tcPr>
          <w:p w:rsidR="00A77618" w:rsidRPr="00962A6B" w:rsidRDefault="00A77618" w:rsidP="008171DC">
            <w:pPr>
              <w:tabs>
                <w:tab w:val="left" w:pos="1134"/>
                <w:tab w:val="left" w:pos="1565"/>
                <w:tab w:val="left" w:pos="1996"/>
                <w:tab w:val="left" w:pos="2427"/>
              </w:tabs>
              <w:spacing w:after="120"/>
              <w:rPr>
                <w:rFonts w:hint="eastAsia"/>
                <w:lang w:val="en-GB"/>
              </w:rPr>
            </w:pPr>
            <w:r>
              <w:rPr>
                <w:rFonts w:hint="eastAsia"/>
                <w:snapToGrid/>
                <w:lang w:val="fr-FR"/>
              </w:rPr>
              <w:t>《公约》条款第</w:t>
            </w:r>
            <w:r>
              <w:rPr>
                <w:rFonts w:hint="eastAsia"/>
                <w:snapToGrid/>
                <w:lang w:val="fr-FR"/>
              </w:rPr>
              <w:t>3</w:t>
            </w:r>
            <w:r>
              <w:rPr>
                <w:rFonts w:hint="eastAsia"/>
                <w:snapToGrid/>
                <w:lang w:val="fr-FR"/>
              </w:rPr>
              <w:t>和</w:t>
            </w:r>
            <w:r>
              <w:rPr>
                <w:rFonts w:hint="eastAsia"/>
                <w:snapToGrid/>
                <w:lang w:val="fr-FR"/>
              </w:rPr>
              <w:t>22</w:t>
            </w:r>
            <w:r w:rsidRPr="00962A6B">
              <w:rPr>
                <w:rFonts w:hint="eastAsia"/>
                <w:snapToGrid/>
                <w:lang w:val="fr-FR"/>
              </w:rPr>
              <w:t>条</w:t>
            </w:r>
            <w:r>
              <w:rPr>
                <w:rFonts w:hint="eastAsia"/>
                <w:snapToGrid/>
                <w:lang w:val="fr-FR"/>
              </w:rPr>
              <w:t>第</w:t>
            </w:r>
            <w:r>
              <w:rPr>
                <w:rFonts w:hint="eastAsia"/>
                <w:snapToGrid/>
                <w:lang w:val="fr-FR"/>
              </w:rPr>
              <w:t>5(a)</w:t>
            </w:r>
            <w:r>
              <w:rPr>
                <w:rFonts w:hint="eastAsia"/>
                <w:snapToGrid/>
                <w:lang w:val="fr-FR"/>
              </w:rPr>
              <w:t>和</w:t>
            </w:r>
            <w:r>
              <w:rPr>
                <w:rFonts w:hint="eastAsia"/>
                <w:snapToGrid/>
                <w:lang w:val="fr-FR"/>
              </w:rPr>
              <w:t>(b)</w:t>
            </w:r>
            <w:r>
              <w:rPr>
                <w:rFonts w:hint="eastAsia"/>
                <w:snapToGrid/>
                <w:lang w:val="fr-FR"/>
              </w:rPr>
              <w:t>款</w:t>
            </w:r>
          </w:p>
        </w:tc>
      </w:tr>
    </w:tbl>
    <w:p w:rsidR="007C1091" w:rsidRDefault="007C1091" w:rsidP="007C1091">
      <w:pPr>
        <w:pStyle w:val="SingleTxtGC"/>
        <w:rPr>
          <w:rFonts w:hint="eastAsia"/>
          <w:lang w:val="en-GB"/>
        </w:rPr>
      </w:pPr>
    </w:p>
    <w:p w:rsidR="00813BC4" w:rsidRPr="00EC2359" w:rsidRDefault="007C1091" w:rsidP="00813BC4">
      <w:pPr>
        <w:pStyle w:val="HChGC"/>
      </w:pPr>
      <w:r w:rsidRPr="00EC2359">
        <w:rPr>
          <w:b/>
          <w:lang w:val="en-GB"/>
        </w:rPr>
        <w:br w:type="page"/>
      </w:r>
      <w:r w:rsidR="00813BC4" w:rsidRPr="00EC2359">
        <w:rPr>
          <w:rFonts w:hint="eastAsia"/>
          <w:snapToGrid/>
        </w:rPr>
        <w:t>附件</w:t>
      </w:r>
    </w:p>
    <w:p w:rsidR="00813BC4" w:rsidRPr="00EC2359" w:rsidRDefault="00813BC4" w:rsidP="00813BC4">
      <w:pPr>
        <w:pStyle w:val="HChGC"/>
      </w:pPr>
      <w:r w:rsidRPr="00EC2359">
        <w:rPr>
          <w:snapToGrid/>
        </w:rPr>
        <w:tab/>
      </w:r>
      <w:r w:rsidRPr="00EC2359">
        <w:rPr>
          <w:snapToGrid/>
        </w:rPr>
        <w:tab/>
      </w:r>
      <w:r w:rsidRPr="00EC2359">
        <w:rPr>
          <w:rFonts w:hint="eastAsia"/>
          <w:snapToGrid/>
        </w:rPr>
        <w:t>禁止酷刑委员会</w:t>
      </w:r>
      <w:r>
        <w:rPr>
          <w:rFonts w:hint="eastAsia"/>
          <w:snapToGrid/>
        </w:rPr>
        <w:t>根据《</w:t>
      </w:r>
      <w:r w:rsidRPr="00EE3B5B">
        <w:rPr>
          <w:rFonts w:hint="eastAsia"/>
          <w:snapToGrid/>
        </w:rPr>
        <w:t>禁止酷刑和其他残忍、不人道或有辱</w:t>
      </w:r>
      <w:r w:rsidRPr="00813BC4">
        <w:rPr>
          <w:rFonts w:hint="eastAsia"/>
          <w:spacing w:val="-2"/>
        </w:rPr>
        <w:t>人格的待遇或处罚公约》第</w:t>
      </w:r>
      <w:r w:rsidRPr="00813BC4">
        <w:rPr>
          <w:rFonts w:hint="eastAsia"/>
          <w:spacing w:val="-2"/>
        </w:rPr>
        <w:t>22</w:t>
      </w:r>
      <w:r w:rsidRPr="00813BC4">
        <w:rPr>
          <w:rFonts w:hint="eastAsia"/>
          <w:spacing w:val="-2"/>
        </w:rPr>
        <w:t>条在第四十九届会议上作出的</w:t>
      </w:r>
    </w:p>
    <w:p w:rsidR="00813BC4" w:rsidRPr="00EC2359" w:rsidRDefault="00813BC4" w:rsidP="00813BC4">
      <w:pPr>
        <w:pStyle w:val="SingleTxtGC"/>
        <w:rPr>
          <w:snapToGrid/>
        </w:rPr>
      </w:pPr>
      <w:r w:rsidRPr="00EC2359">
        <w:rPr>
          <w:rFonts w:hint="eastAsia"/>
          <w:snapToGrid/>
        </w:rPr>
        <w:t>关</w:t>
      </w:r>
      <w:r>
        <w:rPr>
          <w:rFonts w:hint="eastAsia"/>
          <w:snapToGrid/>
        </w:rPr>
        <w:t>于</w:t>
      </w:r>
    </w:p>
    <w:p w:rsidR="00813BC4" w:rsidRPr="00EC2359" w:rsidRDefault="00813BC4" w:rsidP="00021481">
      <w:pPr>
        <w:pStyle w:val="H1GC"/>
        <w:rPr>
          <w:rFonts w:hint="eastAsia"/>
          <w:snapToGrid/>
        </w:rPr>
      </w:pPr>
      <w:r w:rsidRPr="00EC2359">
        <w:rPr>
          <w:snapToGrid/>
        </w:rPr>
        <w:tab/>
      </w:r>
      <w:r w:rsidRPr="00EC2359">
        <w:rPr>
          <w:snapToGrid/>
        </w:rPr>
        <w:tab/>
      </w:r>
      <w:r w:rsidRPr="00EC2359">
        <w:rPr>
          <w:rFonts w:hint="eastAsia"/>
          <w:snapToGrid/>
        </w:rPr>
        <w:t>第</w:t>
      </w:r>
      <w:r>
        <w:rPr>
          <w:rFonts w:hint="eastAsia"/>
          <w:snapToGrid/>
        </w:rPr>
        <w:t>346/2008</w:t>
      </w:r>
      <w:r w:rsidRPr="00EC2359">
        <w:rPr>
          <w:rFonts w:hint="eastAsia"/>
          <w:snapToGrid/>
        </w:rPr>
        <w:t>号来文的决定</w:t>
      </w:r>
    </w:p>
    <w:tbl>
      <w:tblPr>
        <w:tblStyle w:val="TableGrid"/>
        <w:tblW w:w="0" w:type="auto"/>
        <w:tblInd w:w="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0"/>
        <w:gridCol w:w="4345"/>
      </w:tblGrid>
      <w:tr w:rsidR="00813BC4" w:rsidRPr="00EC2359" w:rsidTr="00021481">
        <w:tc>
          <w:tcPr>
            <w:tcW w:w="2620" w:type="dxa"/>
          </w:tcPr>
          <w:p w:rsidR="00813BC4" w:rsidRPr="00EC2359" w:rsidRDefault="00813BC4" w:rsidP="008171DC">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813BC4" w:rsidRPr="00EC2359" w:rsidRDefault="00813BC4" w:rsidP="008171DC">
            <w:pPr>
              <w:pStyle w:val="SingleTxtGC"/>
              <w:suppressAutoHyphens w:val="0"/>
              <w:ind w:left="0" w:right="0"/>
              <w:rPr>
                <w:snapToGrid/>
                <w:lang w:val="fr-FR"/>
              </w:rPr>
            </w:pPr>
            <w:r>
              <w:rPr>
                <w:rFonts w:hint="eastAsia"/>
                <w:snapToGrid/>
                <w:lang w:val="fr-FR"/>
              </w:rPr>
              <w:t>S.A.C.</w:t>
            </w:r>
            <w:r w:rsidRPr="00962A6B">
              <w:rPr>
                <w:snapToGrid/>
                <w:lang w:val="fr-FR"/>
              </w:rPr>
              <w:t>(</w:t>
            </w:r>
            <w:r>
              <w:rPr>
                <w:rFonts w:hint="eastAsia"/>
                <w:snapToGrid/>
                <w:lang w:val="fr-FR"/>
              </w:rPr>
              <w:t>由</w:t>
            </w:r>
            <w:r>
              <w:rPr>
                <w:rFonts w:hint="eastAsia"/>
                <w:snapToGrid/>
                <w:lang w:val="fr-FR"/>
              </w:rPr>
              <w:t>Frank Michel</w:t>
            </w:r>
            <w:r w:rsidRPr="00962A6B">
              <w:rPr>
                <w:rFonts w:hint="eastAsia"/>
                <w:snapToGrid/>
                <w:lang w:val="fr-FR"/>
              </w:rPr>
              <w:t>律师代理</w:t>
            </w:r>
            <w:r w:rsidRPr="00962A6B">
              <w:rPr>
                <w:snapToGrid/>
                <w:lang w:val="fr-FR"/>
              </w:rPr>
              <w:t>)</w:t>
            </w:r>
          </w:p>
        </w:tc>
      </w:tr>
      <w:tr w:rsidR="00813BC4" w:rsidRPr="00EC2359" w:rsidTr="00021481">
        <w:tc>
          <w:tcPr>
            <w:tcW w:w="2620" w:type="dxa"/>
          </w:tcPr>
          <w:p w:rsidR="00813BC4" w:rsidRPr="00EC2359" w:rsidRDefault="00813BC4" w:rsidP="008171DC">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813BC4" w:rsidRPr="00EC2359" w:rsidRDefault="00813BC4" w:rsidP="008171DC">
            <w:pPr>
              <w:pStyle w:val="SingleTxtGC"/>
              <w:suppressAutoHyphens w:val="0"/>
              <w:ind w:left="0" w:right="0"/>
              <w:rPr>
                <w:rFonts w:hint="eastAsia"/>
                <w:snapToGrid/>
                <w:lang w:val="fr-FR"/>
              </w:rPr>
            </w:pPr>
            <w:r>
              <w:rPr>
                <w:rFonts w:hint="eastAsia"/>
                <w:snapToGrid/>
                <w:lang w:val="fr-FR"/>
              </w:rPr>
              <w:t>S.A.C.</w:t>
            </w:r>
          </w:p>
        </w:tc>
      </w:tr>
      <w:tr w:rsidR="00813BC4" w:rsidRPr="00EC2359" w:rsidTr="00021481">
        <w:tc>
          <w:tcPr>
            <w:tcW w:w="2620" w:type="dxa"/>
          </w:tcPr>
          <w:p w:rsidR="00813BC4" w:rsidRPr="00EC2359" w:rsidRDefault="00813BC4" w:rsidP="008171DC">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813BC4" w:rsidRPr="00EC2359" w:rsidRDefault="00813BC4" w:rsidP="008171DC">
            <w:pPr>
              <w:pStyle w:val="SingleTxtGC"/>
              <w:suppressAutoHyphens w:val="0"/>
              <w:ind w:left="0" w:right="0"/>
              <w:rPr>
                <w:rFonts w:hint="eastAsia"/>
                <w:snapToGrid/>
                <w:lang w:val="fr-FR"/>
              </w:rPr>
            </w:pPr>
            <w:r>
              <w:rPr>
                <w:rFonts w:hint="eastAsia"/>
                <w:snapToGrid/>
                <w:lang w:val="fr-FR"/>
              </w:rPr>
              <w:t>摩纳哥</w:t>
            </w:r>
          </w:p>
        </w:tc>
      </w:tr>
      <w:tr w:rsidR="00813BC4" w:rsidRPr="00EC2359" w:rsidTr="00021481">
        <w:tc>
          <w:tcPr>
            <w:tcW w:w="2620" w:type="dxa"/>
          </w:tcPr>
          <w:p w:rsidR="00813BC4" w:rsidRPr="00EC2359" w:rsidRDefault="00813BC4" w:rsidP="008171DC">
            <w:pPr>
              <w:pStyle w:val="SingleTxtGC"/>
              <w:suppressAutoHyphens w:val="0"/>
              <w:ind w:left="0" w:right="0"/>
              <w:rPr>
                <w:rFonts w:eastAsia="KaiTi_GB2312"/>
              </w:rPr>
            </w:pPr>
            <w:r w:rsidRPr="00EC2359">
              <w:rPr>
                <w:rFonts w:eastAsia="KaiTi_GB2312" w:hAnsi="Time New Roman" w:hint="eastAsia"/>
              </w:rPr>
              <w:t>申诉日期</w:t>
            </w:r>
            <w:r w:rsidRPr="00EC2359">
              <w:rPr>
                <w:rFonts w:eastAsia="KaiTi_GB2312" w:hAnsi="Time New Roman"/>
              </w:rPr>
              <w:t>：</w:t>
            </w:r>
          </w:p>
        </w:tc>
        <w:tc>
          <w:tcPr>
            <w:tcW w:w="4345" w:type="dxa"/>
          </w:tcPr>
          <w:p w:rsidR="00813BC4" w:rsidRPr="00EC2359" w:rsidRDefault="00813BC4" w:rsidP="008171DC">
            <w:pPr>
              <w:pStyle w:val="SingleTxtGC"/>
              <w:suppressAutoHyphens w:val="0"/>
              <w:ind w:left="0" w:right="0"/>
              <w:rPr>
                <w:snapToGrid/>
                <w:lang w:val="fr-FR"/>
              </w:rPr>
            </w:pPr>
            <w:r w:rsidRPr="00962A6B">
              <w:rPr>
                <w:snapToGrid/>
                <w:lang w:val="fr-FR"/>
              </w:rPr>
              <w:t>20</w:t>
            </w:r>
            <w:r>
              <w:rPr>
                <w:rFonts w:hint="eastAsia"/>
                <w:snapToGrid/>
                <w:lang w:val="fr-FR"/>
              </w:rPr>
              <w:t>08</w:t>
            </w:r>
            <w:r w:rsidRPr="00962A6B">
              <w:rPr>
                <w:rFonts w:hint="eastAsia"/>
                <w:snapToGrid/>
                <w:lang w:val="fr-FR"/>
              </w:rPr>
              <w:t>年</w:t>
            </w:r>
            <w:r>
              <w:rPr>
                <w:rFonts w:hint="eastAsia"/>
                <w:snapToGrid/>
                <w:lang w:val="fr-FR"/>
              </w:rPr>
              <w:t>7</w:t>
            </w:r>
            <w:r w:rsidRPr="00962A6B">
              <w:rPr>
                <w:rFonts w:hint="eastAsia"/>
                <w:snapToGrid/>
                <w:lang w:val="fr-FR"/>
              </w:rPr>
              <w:t>月</w:t>
            </w:r>
            <w:r>
              <w:rPr>
                <w:rFonts w:hint="eastAsia"/>
                <w:snapToGrid/>
                <w:lang w:val="fr-FR"/>
              </w:rPr>
              <w:t>8</w:t>
            </w:r>
            <w:r w:rsidRPr="00962A6B">
              <w:rPr>
                <w:rFonts w:hint="eastAsia"/>
                <w:snapToGrid/>
                <w:lang w:val="fr-FR"/>
              </w:rPr>
              <w:t>日</w:t>
            </w:r>
            <w:r w:rsidRPr="00962A6B">
              <w:rPr>
                <w:snapToGrid/>
                <w:lang w:val="fr-FR"/>
              </w:rPr>
              <w:t>(</w:t>
            </w:r>
            <w:r>
              <w:rPr>
                <w:rFonts w:hint="eastAsia"/>
                <w:snapToGrid/>
                <w:lang w:val="fr-FR"/>
              </w:rPr>
              <w:t>初</w:t>
            </w:r>
            <w:r w:rsidRPr="00962A6B">
              <w:rPr>
                <w:rFonts w:hint="eastAsia"/>
                <w:snapToGrid/>
                <w:lang w:val="fr-FR"/>
              </w:rPr>
              <w:t>次提交</w:t>
            </w:r>
            <w:r w:rsidRPr="00962A6B">
              <w:rPr>
                <w:snapToGrid/>
                <w:lang w:val="fr-FR"/>
              </w:rPr>
              <w:t>)</w:t>
            </w:r>
          </w:p>
        </w:tc>
      </w:tr>
    </w:tbl>
    <w:p w:rsidR="00813BC4" w:rsidRPr="00EC2359" w:rsidRDefault="00813BC4" w:rsidP="00813BC4">
      <w:pPr>
        <w:pStyle w:val="SingleTxtGC"/>
        <w:spacing w:after="0" w:line="200" w:lineRule="exact"/>
        <w:rPr>
          <w:rFonts w:hint="eastAsia"/>
          <w:lang w:val="en-GB"/>
        </w:rPr>
      </w:pPr>
    </w:p>
    <w:p w:rsidR="00813BC4" w:rsidRPr="00EC2359" w:rsidRDefault="00813BC4" w:rsidP="00813BC4">
      <w:pPr>
        <w:pStyle w:val="SingleTxtGC"/>
        <w:rPr>
          <w:lang w:val="en-GB"/>
        </w:rPr>
      </w:pPr>
      <w:r w:rsidRPr="00EC2359">
        <w:rPr>
          <w:lang w:val="en-GB"/>
        </w:rPr>
        <w:tab/>
      </w:r>
      <w:r>
        <w:rPr>
          <w:lang w:val="en-GB"/>
        </w:rPr>
        <w:t>根据《</w:t>
      </w:r>
      <w:r w:rsidRPr="00EE3B5B">
        <w:rPr>
          <w:rFonts w:hint="eastAsia"/>
          <w:snapToGrid/>
        </w:rPr>
        <w:t>禁止酷刑和其他残忍、不人道或有辱人格的待遇或处罚公约</w:t>
      </w:r>
      <w:r w:rsidRPr="00EC2359">
        <w:rPr>
          <w:lang w:val="en-GB"/>
        </w:rPr>
        <w:t>》第</w:t>
      </w:r>
      <w:r>
        <w:rPr>
          <w:rFonts w:hint="eastAsia"/>
          <w:lang w:val="en-GB"/>
        </w:rPr>
        <w:t>17</w:t>
      </w:r>
      <w:r w:rsidRPr="00EC2359">
        <w:rPr>
          <w:lang w:val="en-GB"/>
        </w:rPr>
        <w:t>条设立的</w:t>
      </w:r>
      <w:r w:rsidRPr="00EC2359">
        <w:rPr>
          <w:rFonts w:eastAsia="KaiTi_GB2312"/>
          <w:lang w:val="en-GB"/>
        </w:rPr>
        <w:t>禁止酷刑委员会</w:t>
      </w:r>
      <w:r w:rsidRPr="00EC2359">
        <w:rPr>
          <w:lang w:val="en-GB"/>
        </w:rPr>
        <w:t>，</w:t>
      </w:r>
    </w:p>
    <w:p w:rsidR="00813BC4" w:rsidRPr="00EC2359" w:rsidRDefault="00813BC4" w:rsidP="00813BC4">
      <w:pPr>
        <w:pStyle w:val="SingleTxtGC"/>
        <w:rPr>
          <w:rFonts w:hint="eastAsia"/>
          <w:lang w:val="en-GB"/>
        </w:rPr>
      </w:pPr>
      <w:r w:rsidRPr="00EC2359">
        <w:rPr>
          <w:lang w:val="en-GB"/>
        </w:rPr>
        <w:tab/>
      </w:r>
      <w:r w:rsidRPr="00EC2359">
        <w:rPr>
          <w:rFonts w:hint="eastAsia"/>
          <w:lang w:val="en-GB"/>
        </w:rPr>
        <w:t>于</w:t>
      </w:r>
      <w:r>
        <w:rPr>
          <w:rFonts w:hint="eastAsia"/>
          <w:lang w:val="en-GB"/>
        </w:rPr>
        <w:t>2012</w:t>
      </w:r>
      <w:r w:rsidRPr="00EC2359">
        <w:rPr>
          <w:rFonts w:hint="eastAsia"/>
          <w:lang w:val="en-GB"/>
        </w:rPr>
        <w:t>年</w:t>
      </w:r>
      <w:r>
        <w:rPr>
          <w:rFonts w:hint="eastAsia"/>
          <w:lang w:val="en-GB"/>
        </w:rPr>
        <w:t>10</w:t>
      </w:r>
      <w:r w:rsidRPr="00EC2359">
        <w:rPr>
          <w:rFonts w:hint="eastAsia"/>
          <w:lang w:val="en-GB"/>
        </w:rPr>
        <w:t>月</w:t>
      </w:r>
      <w:r>
        <w:rPr>
          <w:rFonts w:hint="eastAsia"/>
          <w:lang w:val="en-GB"/>
        </w:rPr>
        <w:t>13</w:t>
      </w:r>
      <w:r w:rsidRPr="00EC2359">
        <w:rPr>
          <w:rFonts w:hint="eastAsia"/>
          <w:lang w:val="en-GB"/>
        </w:rPr>
        <w:t>日</w:t>
      </w:r>
      <w:r w:rsidRPr="00EC2359">
        <w:rPr>
          <w:rFonts w:eastAsia="KaiTi_GB2312" w:hint="eastAsia"/>
          <w:lang w:val="en-GB"/>
        </w:rPr>
        <w:t>举行会议</w:t>
      </w:r>
      <w:r w:rsidRPr="00EC2359">
        <w:rPr>
          <w:rFonts w:hint="eastAsia"/>
          <w:i/>
          <w:lang w:val="en-GB"/>
        </w:rPr>
        <w:t>，</w:t>
      </w:r>
    </w:p>
    <w:p w:rsidR="00813BC4" w:rsidRPr="00EE3B5B" w:rsidRDefault="00813BC4" w:rsidP="00813BC4">
      <w:pPr>
        <w:pStyle w:val="SingleTxtGC"/>
        <w:rPr>
          <w:rFonts w:hint="eastAsia"/>
          <w:lang w:val="en-GB"/>
        </w:rPr>
      </w:pPr>
      <w:r w:rsidRPr="00EC2359">
        <w:rPr>
          <w:lang w:val="en-GB"/>
        </w:rPr>
        <w:tab/>
      </w:r>
      <w:r w:rsidRPr="00EC2359">
        <w:rPr>
          <w:rFonts w:eastAsia="KaiTi_GB2312"/>
          <w:lang w:val="en-GB"/>
        </w:rPr>
        <w:t>结束了</w:t>
      </w:r>
      <w:r>
        <w:rPr>
          <w:rFonts w:hint="eastAsia"/>
          <w:lang w:val="en-GB"/>
        </w:rPr>
        <w:t>由</w:t>
      </w:r>
      <w:r>
        <w:rPr>
          <w:rFonts w:hint="eastAsia"/>
          <w:lang w:val="en-GB"/>
        </w:rPr>
        <w:t>S.A.C.</w:t>
      </w:r>
      <w:r>
        <w:rPr>
          <w:rFonts w:hint="eastAsia"/>
          <w:lang w:val="en-GB"/>
        </w:rPr>
        <w:t>先生</w:t>
      </w:r>
      <w:r w:rsidRPr="00EE3B5B">
        <w:rPr>
          <w:rFonts w:hint="eastAsia"/>
          <w:lang w:val="en-GB"/>
        </w:rPr>
        <w:t>根据</w:t>
      </w:r>
      <w:r>
        <w:rPr>
          <w:lang w:val="en-GB"/>
        </w:rPr>
        <w:t>《</w:t>
      </w:r>
      <w:r w:rsidRPr="00EE3B5B">
        <w:rPr>
          <w:rFonts w:hint="eastAsia"/>
          <w:snapToGrid/>
        </w:rPr>
        <w:t>禁止酷刑和其他残忍、不人道或有辱人格的待遇或处罚公约</w:t>
      </w:r>
      <w:r w:rsidRPr="00EC2359">
        <w:rPr>
          <w:lang w:val="en-GB"/>
        </w:rPr>
        <w:t>》第</w:t>
      </w:r>
      <w:r>
        <w:rPr>
          <w:rFonts w:hint="eastAsia"/>
          <w:lang w:val="en-GB"/>
        </w:rPr>
        <w:t>22</w:t>
      </w:r>
      <w:r w:rsidRPr="00EC2359">
        <w:rPr>
          <w:lang w:val="en-GB"/>
        </w:rPr>
        <w:t>条</w:t>
      </w:r>
      <w:r>
        <w:rPr>
          <w:rFonts w:hint="eastAsia"/>
          <w:lang w:val="en-GB"/>
        </w:rPr>
        <w:t>提交的第</w:t>
      </w:r>
      <w:r>
        <w:rPr>
          <w:rFonts w:hint="eastAsia"/>
          <w:snapToGrid/>
        </w:rPr>
        <w:t>346/2008</w:t>
      </w:r>
      <w:r w:rsidRPr="00EC2359">
        <w:rPr>
          <w:rFonts w:hint="eastAsia"/>
          <w:snapToGrid/>
        </w:rPr>
        <w:t>号</w:t>
      </w:r>
      <w:r>
        <w:rPr>
          <w:rFonts w:hint="eastAsia"/>
          <w:snapToGrid/>
        </w:rPr>
        <w:t>申诉的审议工作，</w:t>
      </w:r>
    </w:p>
    <w:p w:rsidR="00813BC4" w:rsidRDefault="00813BC4" w:rsidP="00813BC4">
      <w:pPr>
        <w:pStyle w:val="SingleTxtGC"/>
        <w:rPr>
          <w:rFonts w:hint="eastAsia"/>
          <w:lang w:val="en-GB"/>
        </w:rPr>
      </w:pPr>
      <w:r w:rsidRPr="00EC2359">
        <w:rPr>
          <w:lang w:val="en-GB"/>
        </w:rPr>
        <w:tab/>
      </w:r>
      <w:r w:rsidRPr="00EC2359">
        <w:rPr>
          <w:rFonts w:eastAsia="KaiTi_GB2312"/>
          <w:lang w:val="en-GB"/>
        </w:rPr>
        <w:t>考虑了</w:t>
      </w:r>
      <w:r w:rsidRPr="00EE3B5B">
        <w:rPr>
          <w:rFonts w:hint="eastAsia"/>
          <w:lang w:val="en-GB"/>
        </w:rPr>
        <w:t>来文提交人、其律师和缔约国提交委员会的所有资料，根据</w:t>
      </w:r>
      <w:r w:rsidRPr="00EE3B5B">
        <w:rPr>
          <w:lang w:val="en-GB"/>
        </w:rPr>
        <w:t>《</w:t>
      </w:r>
      <w:r w:rsidRPr="00EE3B5B">
        <w:rPr>
          <w:rFonts w:hint="eastAsia"/>
          <w:snapToGrid/>
        </w:rPr>
        <w:t>禁止酷刑公约</w:t>
      </w:r>
      <w:r w:rsidRPr="00EC2359">
        <w:rPr>
          <w:lang w:val="en-GB"/>
        </w:rPr>
        <w:t>》第</w:t>
      </w:r>
      <w:r>
        <w:rPr>
          <w:rFonts w:hint="eastAsia"/>
          <w:lang w:val="en-GB"/>
        </w:rPr>
        <w:t>22</w:t>
      </w:r>
      <w:r w:rsidRPr="00EC2359">
        <w:rPr>
          <w:lang w:val="en-GB"/>
        </w:rPr>
        <w:t>条</w:t>
      </w:r>
      <w:r>
        <w:rPr>
          <w:rFonts w:hint="eastAsia"/>
          <w:lang w:val="en-GB"/>
        </w:rPr>
        <w:t>第</w:t>
      </w:r>
      <w:r>
        <w:rPr>
          <w:rFonts w:hint="eastAsia"/>
          <w:lang w:val="en-GB"/>
        </w:rPr>
        <w:t>7</w:t>
      </w:r>
      <w:r>
        <w:rPr>
          <w:rFonts w:hint="eastAsia"/>
          <w:lang w:val="en-GB"/>
        </w:rPr>
        <w:t>款，</w:t>
      </w:r>
    </w:p>
    <w:p w:rsidR="00813BC4" w:rsidRDefault="00813BC4" w:rsidP="00813BC4">
      <w:pPr>
        <w:pStyle w:val="SingleTxtGC"/>
        <w:rPr>
          <w:rFonts w:hint="eastAsia"/>
          <w:lang w:val="en-GB"/>
        </w:rPr>
      </w:pPr>
      <w:r w:rsidRPr="00EE3B5B">
        <w:rPr>
          <w:rFonts w:eastAsia="KaiTi_GB2312" w:hint="eastAsia"/>
          <w:lang w:val="en-GB"/>
        </w:rPr>
        <w:t>通过了</w:t>
      </w:r>
      <w:r>
        <w:rPr>
          <w:rFonts w:hint="eastAsia"/>
          <w:lang w:val="en-GB"/>
        </w:rPr>
        <w:t>以下</w:t>
      </w:r>
    </w:p>
    <w:p w:rsidR="00813BC4" w:rsidRPr="00EE3B5B" w:rsidRDefault="00813BC4" w:rsidP="00813BC4">
      <w:pPr>
        <w:pStyle w:val="H1GC"/>
        <w:rPr>
          <w:rFonts w:eastAsia="KaiTi_GB2312" w:hint="eastAsia"/>
          <w:lang w:val="en-GB"/>
        </w:rPr>
      </w:pPr>
      <w:r>
        <w:rPr>
          <w:rFonts w:hint="eastAsia"/>
          <w:lang w:val="en-GB"/>
        </w:rPr>
        <w:tab/>
      </w:r>
      <w:r>
        <w:rPr>
          <w:rFonts w:hint="eastAsia"/>
          <w:lang w:val="en-GB"/>
        </w:rPr>
        <w:tab/>
      </w:r>
      <w:r>
        <w:rPr>
          <w:rFonts w:hint="eastAsia"/>
          <w:lang w:val="en-GB"/>
        </w:rPr>
        <w:t>决定</w:t>
      </w:r>
    </w:p>
    <w:p w:rsidR="00813BC4" w:rsidRDefault="00813BC4" w:rsidP="00813BC4">
      <w:pPr>
        <w:pStyle w:val="SingleTxtGC"/>
        <w:rPr>
          <w:rFonts w:hint="eastAsia"/>
          <w:lang w:val="en-GB"/>
        </w:rPr>
      </w:pPr>
      <w:r>
        <w:rPr>
          <w:rFonts w:hint="eastAsia"/>
          <w:lang w:val="en-GB"/>
        </w:rPr>
        <w:t>1.1</w:t>
      </w:r>
      <w:r w:rsidR="00021481">
        <w:rPr>
          <w:rFonts w:hint="eastAsia"/>
          <w:lang w:val="en-GB"/>
        </w:rPr>
        <w:t xml:space="preserve">  </w:t>
      </w:r>
      <w:r>
        <w:rPr>
          <w:rFonts w:hint="eastAsia"/>
          <w:lang w:val="en-GB"/>
        </w:rPr>
        <w:t>申诉人</w:t>
      </w:r>
      <w:r>
        <w:rPr>
          <w:rFonts w:hint="eastAsia"/>
          <w:lang w:val="en-GB"/>
        </w:rPr>
        <w:t>S.A.C.</w:t>
      </w:r>
      <w:r>
        <w:rPr>
          <w:rFonts w:hint="eastAsia"/>
          <w:lang w:val="en-GB"/>
        </w:rPr>
        <w:t>于</w:t>
      </w:r>
      <w:r>
        <w:rPr>
          <w:rFonts w:hint="eastAsia"/>
          <w:lang w:val="en-GB"/>
        </w:rPr>
        <w:t>1944</w:t>
      </w:r>
      <w:r>
        <w:rPr>
          <w:rFonts w:hint="eastAsia"/>
          <w:lang w:val="en-GB"/>
        </w:rPr>
        <w:t>年</w:t>
      </w:r>
      <w:r>
        <w:rPr>
          <w:rFonts w:hint="eastAsia"/>
          <w:lang w:val="en-GB"/>
        </w:rPr>
        <w:t>1</w:t>
      </w:r>
      <w:r>
        <w:rPr>
          <w:rFonts w:hint="eastAsia"/>
          <w:lang w:val="en-GB"/>
        </w:rPr>
        <w:t>月</w:t>
      </w:r>
      <w:r>
        <w:rPr>
          <w:rFonts w:hint="eastAsia"/>
          <w:lang w:val="en-GB"/>
        </w:rPr>
        <w:t>7</w:t>
      </w:r>
      <w:r>
        <w:rPr>
          <w:rFonts w:hint="eastAsia"/>
          <w:lang w:val="en-GB"/>
        </w:rPr>
        <w:t>日生于意大利</w:t>
      </w:r>
      <w:r>
        <w:rPr>
          <w:rFonts w:hint="eastAsia"/>
          <w:lang w:val="en-GB"/>
        </w:rPr>
        <w:t xml:space="preserve">Tradate, </w:t>
      </w:r>
      <w:r>
        <w:rPr>
          <w:rFonts w:hint="eastAsia"/>
          <w:lang w:val="en-GB"/>
        </w:rPr>
        <w:t>持有巴西和意大利国籍。他声称将他引渡到巴西将构成侵犯《禁止酷刑公约》第</w:t>
      </w:r>
      <w:r>
        <w:rPr>
          <w:rFonts w:hint="eastAsia"/>
          <w:lang w:val="en-GB"/>
        </w:rPr>
        <w:t>3</w:t>
      </w:r>
      <w:r>
        <w:rPr>
          <w:rFonts w:hint="eastAsia"/>
          <w:lang w:val="en-GB"/>
        </w:rPr>
        <w:t>条。申诉人由律师</w:t>
      </w:r>
      <w:r>
        <w:rPr>
          <w:rFonts w:hint="eastAsia"/>
          <w:lang w:val="en-GB"/>
        </w:rPr>
        <w:t>Frank Michel</w:t>
      </w:r>
      <w:r>
        <w:rPr>
          <w:rFonts w:hint="eastAsia"/>
          <w:lang w:val="en-GB"/>
        </w:rPr>
        <w:t>代理。</w:t>
      </w:r>
      <w:r>
        <w:rPr>
          <w:rStyle w:val="FootnoteReference"/>
          <w:lang w:val="en-GB"/>
        </w:rPr>
        <w:footnoteReference w:id="1"/>
      </w:r>
      <w:r>
        <w:rPr>
          <w:rFonts w:hint="eastAsia"/>
          <w:lang w:val="en-GB"/>
        </w:rPr>
        <w:t xml:space="preserve"> </w:t>
      </w:r>
    </w:p>
    <w:p w:rsidR="00813BC4" w:rsidRDefault="00813BC4" w:rsidP="00813BC4">
      <w:pPr>
        <w:pStyle w:val="SingleTxtGC"/>
        <w:rPr>
          <w:rFonts w:hint="eastAsia"/>
        </w:rPr>
      </w:pPr>
      <w:r>
        <w:rPr>
          <w:rFonts w:hint="eastAsia"/>
        </w:rPr>
        <w:t>1.2  2008</w:t>
      </w:r>
      <w:r>
        <w:rPr>
          <w:rFonts w:hint="eastAsia"/>
        </w:rPr>
        <w:t>年</w:t>
      </w:r>
      <w:r>
        <w:rPr>
          <w:rFonts w:hint="eastAsia"/>
        </w:rPr>
        <w:t>7</w:t>
      </w:r>
      <w:r>
        <w:rPr>
          <w:rFonts w:hint="eastAsia"/>
        </w:rPr>
        <w:t>月</w:t>
      </w:r>
      <w:r>
        <w:rPr>
          <w:rFonts w:hint="eastAsia"/>
        </w:rPr>
        <w:t>11</w:t>
      </w:r>
      <w:r>
        <w:rPr>
          <w:rFonts w:hint="eastAsia"/>
        </w:rPr>
        <w:t>日，新申诉和临时措施报告员决定不要求缔约国采取临时措施停止将申诉人过渡到巴西。</w:t>
      </w:r>
    </w:p>
    <w:p w:rsidR="00813BC4" w:rsidRDefault="00021481" w:rsidP="00021481">
      <w:pPr>
        <w:pStyle w:val="H23GC"/>
        <w:rPr>
          <w:rFonts w:hint="eastAsia"/>
        </w:rPr>
      </w:pPr>
      <w:r>
        <w:br w:type="page"/>
      </w:r>
      <w:r w:rsidR="00813BC4">
        <w:rPr>
          <w:rFonts w:hint="eastAsia"/>
        </w:rPr>
        <w:tab/>
      </w:r>
      <w:r w:rsidR="00813BC4">
        <w:rPr>
          <w:rFonts w:hint="eastAsia"/>
        </w:rPr>
        <w:tab/>
      </w:r>
      <w:r w:rsidR="00813BC4">
        <w:rPr>
          <w:rFonts w:hint="eastAsia"/>
        </w:rPr>
        <w:t>申诉人提交的事实</w:t>
      </w:r>
    </w:p>
    <w:p w:rsidR="00813BC4" w:rsidRDefault="00813BC4" w:rsidP="00021481">
      <w:pPr>
        <w:pStyle w:val="SingleTxtGC"/>
        <w:rPr>
          <w:rFonts w:hint="eastAsia"/>
        </w:rPr>
      </w:pPr>
      <w:r>
        <w:rPr>
          <w:rFonts w:hint="eastAsia"/>
        </w:rPr>
        <w:t xml:space="preserve">2.1  </w:t>
      </w:r>
      <w:r>
        <w:rPr>
          <w:rFonts w:hint="eastAsia"/>
        </w:rPr>
        <w:t>申诉人曾经居住在巴西，他在巴西当一名银行家。</w:t>
      </w:r>
      <w:r>
        <w:rPr>
          <w:rFonts w:hint="eastAsia"/>
        </w:rPr>
        <w:t>2005</w:t>
      </w:r>
      <w:r>
        <w:rPr>
          <w:rFonts w:hint="eastAsia"/>
        </w:rPr>
        <w:t>年</w:t>
      </w:r>
      <w:r>
        <w:rPr>
          <w:rFonts w:hint="eastAsia"/>
        </w:rPr>
        <w:t>3</w:t>
      </w:r>
      <w:r>
        <w:rPr>
          <w:rFonts w:hint="eastAsia"/>
        </w:rPr>
        <w:t>月</w:t>
      </w:r>
      <w:r>
        <w:rPr>
          <w:rFonts w:hint="eastAsia"/>
        </w:rPr>
        <w:t>31</w:t>
      </w:r>
      <w:r>
        <w:rPr>
          <w:rFonts w:hint="eastAsia"/>
        </w:rPr>
        <w:t>日，里约热内卢州法庭的一名法官以其在管理巴西中央银行时挪用资金和欺诈行为为由判其</w:t>
      </w:r>
      <w:r>
        <w:rPr>
          <w:rFonts w:hint="eastAsia"/>
        </w:rPr>
        <w:t>13</w:t>
      </w:r>
      <w:r>
        <w:rPr>
          <w:rFonts w:hint="eastAsia"/>
        </w:rPr>
        <w:t>年监禁。申诉人被临时释放。他然后离开巴西到达意大利，在那里他居住下来。巴西最高法院院长最后取消了释放他的决定，但那时申诉人早已在意大利。</w:t>
      </w:r>
    </w:p>
    <w:p w:rsidR="00813BC4" w:rsidRDefault="00813BC4" w:rsidP="00813BC4">
      <w:pPr>
        <w:pStyle w:val="SingleTxtGC"/>
        <w:rPr>
          <w:rFonts w:hint="eastAsia"/>
        </w:rPr>
      </w:pPr>
      <w:r>
        <w:rPr>
          <w:rFonts w:hint="eastAsia"/>
        </w:rPr>
        <w:t>2.2  2000</w:t>
      </w:r>
      <w:r>
        <w:rPr>
          <w:rFonts w:hint="eastAsia"/>
        </w:rPr>
        <w:t>年</w:t>
      </w:r>
      <w:r>
        <w:rPr>
          <w:rFonts w:hint="eastAsia"/>
        </w:rPr>
        <w:t>7</w:t>
      </w:r>
      <w:r>
        <w:rPr>
          <w:rFonts w:hint="eastAsia"/>
        </w:rPr>
        <w:t>月</w:t>
      </w:r>
      <w:r>
        <w:rPr>
          <w:rFonts w:hint="eastAsia"/>
        </w:rPr>
        <w:t>19</w:t>
      </w:r>
      <w:r>
        <w:rPr>
          <w:rFonts w:hint="eastAsia"/>
        </w:rPr>
        <w:t>日</w:t>
      </w:r>
      <w:r w:rsidRPr="00574280">
        <w:rPr>
          <w:rStyle w:val="FootnoteReference"/>
        </w:rPr>
        <w:footnoteReference w:id="2"/>
      </w:r>
      <w:r w:rsidRPr="00021481">
        <w:rPr>
          <w:rFonts w:hint="eastAsia"/>
        </w:rPr>
        <w:t xml:space="preserve"> </w:t>
      </w:r>
      <w:r>
        <w:rPr>
          <w:rFonts w:hint="eastAsia"/>
        </w:rPr>
        <w:t>里约热内卢一名法官发出逮捕申诉人的法令之后，摩纳哥当局于</w:t>
      </w:r>
      <w:r>
        <w:rPr>
          <w:rFonts w:hint="eastAsia"/>
        </w:rPr>
        <w:t>2007</w:t>
      </w:r>
      <w:r>
        <w:rPr>
          <w:rFonts w:hint="eastAsia"/>
        </w:rPr>
        <w:t>年</w:t>
      </w:r>
      <w:r>
        <w:rPr>
          <w:rFonts w:hint="eastAsia"/>
        </w:rPr>
        <w:t>9</w:t>
      </w:r>
      <w:r>
        <w:rPr>
          <w:rFonts w:hint="eastAsia"/>
        </w:rPr>
        <w:t>月</w:t>
      </w:r>
      <w:r>
        <w:rPr>
          <w:rFonts w:hint="eastAsia"/>
        </w:rPr>
        <w:t>15</w:t>
      </w:r>
      <w:r>
        <w:rPr>
          <w:rFonts w:hint="eastAsia"/>
        </w:rPr>
        <w:t>日传唤申诉人进行审问，并在巴西当局的要求之下将其临时逮捕。根据该项逮捕令，并根据</w:t>
      </w:r>
      <w:r>
        <w:rPr>
          <w:rFonts w:hint="eastAsia"/>
        </w:rPr>
        <w:t>2005</w:t>
      </w:r>
      <w:r>
        <w:rPr>
          <w:rFonts w:hint="eastAsia"/>
        </w:rPr>
        <w:t>年</w:t>
      </w:r>
      <w:r>
        <w:rPr>
          <w:rFonts w:hint="eastAsia"/>
        </w:rPr>
        <w:t>3</w:t>
      </w:r>
      <w:r>
        <w:rPr>
          <w:rFonts w:hint="eastAsia"/>
        </w:rPr>
        <w:t>月</w:t>
      </w:r>
      <w:r>
        <w:rPr>
          <w:rFonts w:hint="eastAsia"/>
        </w:rPr>
        <w:t>31</w:t>
      </w:r>
      <w:r>
        <w:rPr>
          <w:rFonts w:hint="eastAsia"/>
        </w:rPr>
        <w:t>日里约热内卢法庭的裁决，摩纳哥上诉法庭举行内庭聆讯，按其</w:t>
      </w:r>
      <w:r>
        <w:rPr>
          <w:rFonts w:hint="eastAsia"/>
        </w:rPr>
        <w:t>2008</w:t>
      </w:r>
      <w:r>
        <w:rPr>
          <w:rFonts w:hint="eastAsia"/>
        </w:rPr>
        <w:t>年</w:t>
      </w:r>
      <w:r>
        <w:rPr>
          <w:rFonts w:hint="eastAsia"/>
        </w:rPr>
        <w:t>4</w:t>
      </w:r>
      <w:r>
        <w:rPr>
          <w:rFonts w:hint="eastAsia"/>
        </w:rPr>
        <w:t>月</w:t>
      </w:r>
      <w:r>
        <w:rPr>
          <w:rFonts w:hint="eastAsia"/>
        </w:rPr>
        <w:t>15</w:t>
      </w:r>
      <w:r>
        <w:rPr>
          <w:rFonts w:hint="eastAsia"/>
        </w:rPr>
        <w:t>日的决定核准引渡申诉人。同一当局根据</w:t>
      </w:r>
      <w:r>
        <w:rPr>
          <w:rFonts w:hint="eastAsia"/>
        </w:rPr>
        <w:t>2007</w:t>
      </w:r>
      <w:r>
        <w:rPr>
          <w:rFonts w:hint="eastAsia"/>
        </w:rPr>
        <w:t>年</w:t>
      </w:r>
      <w:r>
        <w:rPr>
          <w:rFonts w:hint="eastAsia"/>
        </w:rPr>
        <w:t>9</w:t>
      </w:r>
      <w:r>
        <w:rPr>
          <w:rFonts w:hint="eastAsia"/>
        </w:rPr>
        <w:t>月</w:t>
      </w:r>
      <w:r>
        <w:rPr>
          <w:rFonts w:hint="eastAsia"/>
        </w:rPr>
        <w:t>27</w:t>
      </w:r>
      <w:r>
        <w:rPr>
          <w:rFonts w:hint="eastAsia"/>
        </w:rPr>
        <w:t>日的逮捕令对第二次引渡请求作出裁决。该当局处理其他在摩纳哥不受惩治的行为。</w:t>
      </w:r>
    </w:p>
    <w:p w:rsidR="00813BC4" w:rsidRDefault="00813BC4" w:rsidP="00813BC4">
      <w:pPr>
        <w:pStyle w:val="SingleTxtGC"/>
        <w:rPr>
          <w:rFonts w:hint="eastAsia"/>
        </w:rPr>
      </w:pPr>
      <w:r>
        <w:rPr>
          <w:rFonts w:hint="eastAsia"/>
        </w:rPr>
        <w:t xml:space="preserve">2.3  </w:t>
      </w:r>
      <w:r>
        <w:rPr>
          <w:rFonts w:hint="eastAsia"/>
        </w:rPr>
        <w:t>上诉法院核准引渡申诉人的理由如下：不能置疑根据巴西法庭</w:t>
      </w:r>
      <w:r>
        <w:rPr>
          <w:rFonts w:hint="eastAsia"/>
        </w:rPr>
        <w:t>2005</w:t>
      </w:r>
      <w:r>
        <w:rPr>
          <w:rFonts w:hint="eastAsia"/>
        </w:rPr>
        <w:t>年</w:t>
      </w:r>
      <w:r>
        <w:rPr>
          <w:rFonts w:hint="eastAsia"/>
        </w:rPr>
        <w:t>5</w:t>
      </w:r>
      <w:r>
        <w:rPr>
          <w:rFonts w:hint="eastAsia"/>
        </w:rPr>
        <w:t>月</w:t>
      </w:r>
      <w:r>
        <w:rPr>
          <w:rFonts w:hint="eastAsia"/>
        </w:rPr>
        <w:t>31</w:t>
      </w:r>
      <w:r>
        <w:rPr>
          <w:rFonts w:hint="eastAsia"/>
        </w:rPr>
        <w:t>日裁决发出的国际逮捕令的合法性；由于共同主持制度的采用并不能认为是公平审讯的必要条件，因而不能由于该裁决是由一名法官发布的，则认为在巴西对申诉人作出的定罪有悖于摩纳哥法律；单一法官的裁决似乎并不有悖于公平审讯的基本原则，因为法官并没有参与调查，并且似乎根据《欧洲人权公约》第</w:t>
      </w:r>
      <w:r>
        <w:rPr>
          <w:rFonts w:hint="eastAsia"/>
        </w:rPr>
        <w:t>6</w:t>
      </w:r>
      <w:r>
        <w:rPr>
          <w:rFonts w:hint="eastAsia"/>
        </w:rPr>
        <w:t>条遵守了对抗性诉讼程序原则；因一审定罪者逃跑而签发国际逮捕令并不排除有关人士提出上诉的可能性；因此缔约国逮捕和引渡申诉人并没违背国际法。</w:t>
      </w:r>
    </w:p>
    <w:p w:rsidR="00813BC4" w:rsidRDefault="00813BC4" w:rsidP="00813BC4">
      <w:pPr>
        <w:pStyle w:val="SingleTxtGC"/>
        <w:rPr>
          <w:rFonts w:hint="eastAsia"/>
        </w:rPr>
      </w:pPr>
      <w:r>
        <w:rPr>
          <w:rFonts w:hint="eastAsia"/>
        </w:rPr>
        <w:t>2.4  2008</w:t>
      </w:r>
      <w:r>
        <w:rPr>
          <w:rFonts w:hint="eastAsia"/>
        </w:rPr>
        <w:t>年</w:t>
      </w:r>
      <w:r>
        <w:rPr>
          <w:rFonts w:hint="eastAsia"/>
        </w:rPr>
        <w:t>6</w:t>
      </w:r>
      <w:r>
        <w:rPr>
          <w:rFonts w:hint="eastAsia"/>
        </w:rPr>
        <w:t>月</w:t>
      </w:r>
      <w:r>
        <w:rPr>
          <w:rFonts w:hint="eastAsia"/>
        </w:rPr>
        <w:t>19</w:t>
      </w:r>
      <w:r>
        <w:rPr>
          <w:rFonts w:hint="eastAsia"/>
        </w:rPr>
        <w:t>日摩纳哥公国复查法庭驳回申诉人对这一决定提出的上诉。</w:t>
      </w:r>
      <w:r>
        <w:rPr>
          <w:rFonts w:hint="eastAsia"/>
        </w:rPr>
        <w:t>2008</w:t>
      </w:r>
      <w:r>
        <w:rPr>
          <w:rFonts w:hint="eastAsia"/>
        </w:rPr>
        <w:t>年</w:t>
      </w:r>
      <w:r>
        <w:rPr>
          <w:rFonts w:hint="eastAsia"/>
        </w:rPr>
        <w:t>7</w:t>
      </w:r>
      <w:r>
        <w:rPr>
          <w:rFonts w:hint="eastAsia"/>
        </w:rPr>
        <w:t>月</w:t>
      </w:r>
      <w:r>
        <w:rPr>
          <w:rFonts w:hint="eastAsia"/>
        </w:rPr>
        <w:t>2</w:t>
      </w:r>
      <w:r>
        <w:rPr>
          <w:rFonts w:hint="eastAsia"/>
        </w:rPr>
        <w:t>日，摩纳哥王子授权引渡申诉人。在来文提交委员会时，即将向巴西引渡申诉人。</w:t>
      </w:r>
    </w:p>
    <w:p w:rsidR="00813BC4" w:rsidRDefault="00813BC4" w:rsidP="00813BC4">
      <w:pPr>
        <w:pStyle w:val="SingleTxtGC"/>
        <w:rPr>
          <w:rFonts w:hint="eastAsia"/>
        </w:rPr>
      </w:pPr>
      <w:r>
        <w:rPr>
          <w:rFonts w:hint="eastAsia"/>
        </w:rPr>
        <w:t>2.5  2008</w:t>
      </w:r>
      <w:r>
        <w:rPr>
          <w:rFonts w:hint="eastAsia"/>
        </w:rPr>
        <w:t>年</w:t>
      </w:r>
      <w:r>
        <w:rPr>
          <w:rFonts w:hint="eastAsia"/>
        </w:rPr>
        <w:t>6</w:t>
      </w:r>
      <w:r>
        <w:rPr>
          <w:rFonts w:hint="eastAsia"/>
        </w:rPr>
        <w:t>月</w:t>
      </w:r>
      <w:r>
        <w:rPr>
          <w:rFonts w:hint="eastAsia"/>
        </w:rPr>
        <w:t>24</w:t>
      </w:r>
      <w:r>
        <w:rPr>
          <w:rFonts w:hint="eastAsia"/>
        </w:rPr>
        <w:t>日，申诉人向欧洲人权法庭提出申诉，但被驳回。</w:t>
      </w:r>
    </w:p>
    <w:p w:rsidR="00813BC4" w:rsidRDefault="00813BC4" w:rsidP="00813BC4">
      <w:pPr>
        <w:pStyle w:val="H23GC"/>
        <w:rPr>
          <w:rFonts w:hint="eastAsia"/>
        </w:rPr>
      </w:pPr>
      <w:r>
        <w:rPr>
          <w:rFonts w:hint="eastAsia"/>
        </w:rPr>
        <w:tab/>
      </w:r>
      <w:r>
        <w:rPr>
          <w:rFonts w:hint="eastAsia"/>
        </w:rPr>
        <w:tab/>
      </w:r>
      <w:r>
        <w:rPr>
          <w:rFonts w:hint="eastAsia"/>
        </w:rPr>
        <w:t>申诉</w:t>
      </w:r>
    </w:p>
    <w:p w:rsidR="00813BC4" w:rsidRDefault="00813BC4" w:rsidP="00813BC4">
      <w:pPr>
        <w:pStyle w:val="SingleTxtGC"/>
        <w:rPr>
          <w:rFonts w:hint="eastAsia"/>
        </w:rPr>
      </w:pPr>
      <w:r>
        <w:rPr>
          <w:rFonts w:hint="eastAsia"/>
        </w:rPr>
        <w:t xml:space="preserve">3.1  </w:t>
      </w:r>
      <w:r>
        <w:rPr>
          <w:rFonts w:hint="eastAsia"/>
        </w:rPr>
        <w:t>申诉人申辩，如果他被驱回巴西，他将服役所判处的徒刑。鉴于巴西的监狱条件以及他个人案件的具体情况，他将受到不人道和有辱人格的待遇。</w:t>
      </w:r>
    </w:p>
    <w:p w:rsidR="00813BC4" w:rsidRDefault="00813BC4" w:rsidP="00813BC4">
      <w:pPr>
        <w:pStyle w:val="SingleTxtGC"/>
        <w:rPr>
          <w:rFonts w:hint="eastAsia"/>
        </w:rPr>
      </w:pPr>
      <w:r>
        <w:rPr>
          <w:rFonts w:hint="eastAsia"/>
        </w:rPr>
        <w:t xml:space="preserve">3.2  </w:t>
      </w:r>
      <w:r>
        <w:rPr>
          <w:rFonts w:hint="eastAsia"/>
        </w:rPr>
        <w:t>申诉人因经济罪而在巴西被判以</w:t>
      </w:r>
      <w:r>
        <w:rPr>
          <w:rFonts w:hint="eastAsia"/>
        </w:rPr>
        <w:t>13</w:t>
      </w:r>
      <w:r>
        <w:rPr>
          <w:rFonts w:hint="eastAsia"/>
        </w:rPr>
        <w:t>年监禁，他认为即便他确实有罪，也判刑过重，而且他认为他并没有犯罪。他出示了表明巴西监狱目前简陋状况的人权观察和大赦国际等组织的报告记录以及新闻文件与录像带，其中包括过分拥挤</w:t>
      </w:r>
      <w:r>
        <w:rPr>
          <w:rFonts w:hint="eastAsia"/>
        </w:rPr>
        <w:t>(</w:t>
      </w:r>
      <w:r>
        <w:rPr>
          <w:rFonts w:hint="eastAsia"/>
        </w:rPr>
        <w:t>在提交人提交来文时，巴西监狱人口是其构件能量的四倍以上</w:t>
      </w:r>
      <w:r>
        <w:rPr>
          <w:rFonts w:hint="eastAsia"/>
        </w:rPr>
        <w:t>)</w:t>
      </w:r>
      <w:r>
        <w:rPr>
          <w:rFonts w:hint="eastAsia"/>
        </w:rPr>
        <w:t>，</w:t>
      </w:r>
      <w:r>
        <w:rPr>
          <w:rStyle w:val="FootnoteReference"/>
        </w:rPr>
        <w:footnoteReference w:id="3"/>
      </w:r>
      <w:r w:rsidR="00021481">
        <w:rPr>
          <w:rFonts w:hint="eastAsia"/>
        </w:rPr>
        <w:t xml:space="preserve"> </w:t>
      </w:r>
      <w:r>
        <w:rPr>
          <w:rFonts w:hint="eastAsia"/>
        </w:rPr>
        <w:t>可怕的卫生条件，以及身心暴力行为，如警察为获取供词或者为恐吓或敲诈对囚犯实行酷刑。</w:t>
      </w:r>
      <w:r>
        <w:rPr>
          <w:rStyle w:val="FootnoteReference"/>
        </w:rPr>
        <w:footnoteReference w:id="4"/>
      </w:r>
    </w:p>
    <w:p w:rsidR="00813BC4" w:rsidRDefault="00813BC4" w:rsidP="00813BC4">
      <w:pPr>
        <w:pStyle w:val="SingleTxtGC"/>
        <w:rPr>
          <w:rFonts w:hint="eastAsia"/>
        </w:rPr>
      </w:pPr>
      <w:r>
        <w:rPr>
          <w:rFonts w:hint="eastAsia"/>
        </w:rPr>
        <w:t xml:space="preserve">3.3  </w:t>
      </w:r>
      <w:r>
        <w:rPr>
          <w:rFonts w:hint="eastAsia"/>
        </w:rPr>
        <w:t>申诉人提到在网页“囚徒之沉默”上发表的一篇文章，该篇文章着重论述了在外国被拘留的，可能成为侵犯人权行为受害者的意大利国民的状况。根据该篇文章，一名拘留在巴西的意大利国民请求意大利外交部代表其进行干预，之后，意大利和巴西签署了双边协定。根据该项协定，在巴西法庭定罪的意大利国民可以选择在其原籍国，即意大利服刑。提交人认为，如果巴西法庭最后定罪，这一协定适用于其案件，条件是，根据意大利所承认的基本法律保障审讯该案件。</w:t>
      </w:r>
    </w:p>
    <w:p w:rsidR="00813BC4" w:rsidRDefault="00813BC4" w:rsidP="00813BC4">
      <w:pPr>
        <w:pStyle w:val="SingleTxtGC"/>
        <w:rPr>
          <w:rFonts w:hint="eastAsia"/>
        </w:rPr>
      </w:pPr>
      <w:r>
        <w:rPr>
          <w:rFonts w:hint="eastAsia"/>
        </w:rPr>
        <w:t xml:space="preserve">3.4  </w:t>
      </w:r>
      <w:r>
        <w:rPr>
          <w:rFonts w:hint="eastAsia"/>
        </w:rPr>
        <w:t>尽管由巴西拘留者签署的谴责巴西监狱状况的请愿信以及一名在巴西被拘留的前法官致摩纳哥王子的信函都提交给举行内庭聆讯摩纳哥上诉法庭，以引起他们对巴西监狱状况的注意，但上诉法院认为没有必要在其裁决中纳入一条规定，要求巴西当局在引渡中保障尊重《公约》第</w:t>
      </w:r>
      <w:r>
        <w:rPr>
          <w:rFonts w:hint="eastAsia"/>
        </w:rPr>
        <w:t>3</w:t>
      </w:r>
      <w:r>
        <w:rPr>
          <w:rFonts w:hint="eastAsia"/>
        </w:rPr>
        <w:t>条。申诉人补充说，他年迈体弱，而且患有高血压，是加重病情的因素。</w:t>
      </w:r>
    </w:p>
    <w:p w:rsidR="00813BC4" w:rsidRDefault="00813BC4" w:rsidP="00813BC4">
      <w:pPr>
        <w:pStyle w:val="SingleTxtGC"/>
        <w:rPr>
          <w:rFonts w:hint="eastAsia"/>
        </w:rPr>
      </w:pPr>
      <w:r>
        <w:rPr>
          <w:rFonts w:hint="eastAsia"/>
        </w:rPr>
        <w:t xml:space="preserve">3.5  </w:t>
      </w:r>
      <w:r>
        <w:rPr>
          <w:rFonts w:hint="eastAsia"/>
        </w:rPr>
        <w:t>在以往</w:t>
      </w:r>
      <w:r>
        <w:rPr>
          <w:rFonts w:hint="eastAsia"/>
        </w:rPr>
        <w:t>10</w:t>
      </w:r>
      <w:r>
        <w:rPr>
          <w:rFonts w:hint="eastAsia"/>
        </w:rPr>
        <w:t>年，巴西新闻界和当局将申诉人描绘为一名公共敌人。因而他害怕，由于媒体宣传缘故他不受欢迎，他将受到打击报复。事实上，他已著书描写他的状况，他的申诉附有这本著作。该案件具有极高的政治色彩，因为申诉人及其他巴西中央银行的管理人均因受嫌疑参与巴西政府最高层的内部交易而被起诉，申诉人本身对此进行了谴责。在他的书中，申诉人谴责司法系统成员间的腐败现象，其中包括</w:t>
      </w:r>
      <w:r>
        <w:rPr>
          <w:rFonts w:hint="eastAsia"/>
        </w:rPr>
        <w:t>2007</w:t>
      </w:r>
      <w:r>
        <w:rPr>
          <w:rFonts w:hint="eastAsia"/>
        </w:rPr>
        <w:t>年向其下达逮捕令并之后指控其犯有腐败的法官。</w:t>
      </w:r>
    </w:p>
    <w:p w:rsidR="00813BC4" w:rsidRDefault="00813BC4" w:rsidP="00813BC4">
      <w:pPr>
        <w:pStyle w:val="SingleTxtGC"/>
        <w:rPr>
          <w:rFonts w:hint="eastAsia"/>
        </w:rPr>
      </w:pPr>
      <w:r>
        <w:rPr>
          <w:rFonts w:hint="eastAsia"/>
        </w:rPr>
        <w:t xml:space="preserve">3.6  </w:t>
      </w:r>
      <w:r>
        <w:rPr>
          <w:rFonts w:hint="eastAsia"/>
        </w:rPr>
        <w:t>申诉人认为，在巴西的司法诉讼程序中没有尊重他的基本权利，乃至于授予其暂时释放的决定被突然取消，没有给他任何质疑该措施的机会。对他的骚扰如此之严重，以至于他的女儿自杀。此外，在其向委员会提交申诉时，巴西正处于全国大选之中，巴西当局与新闻界很可能认为申诉人可能拥有可将当时巴西最高当局判罪的资料。</w:t>
      </w:r>
    </w:p>
    <w:p w:rsidR="00813BC4" w:rsidRDefault="00813BC4" w:rsidP="00813BC4">
      <w:pPr>
        <w:pStyle w:val="H23GC"/>
        <w:rPr>
          <w:rFonts w:hint="eastAsia"/>
        </w:rPr>
      </w:pPr>
      <w:r>
        <w:rPr>
          <w:rFonts w:hint="eastAsia"/>
        </w:rPr>
        <w:tab/>
      </w:r>
      <w:r>
        <w:rPr>
          <w:rFonts w:hint="eastAsia"/>
        </w:rPr>
        <w:tab/>
      </w:r>
      <w:r>
        <w:rPr>
          <w:rFonts w:hint="eastAsia"/>
        </w:rPr>
        <w:t>缔约国对可否受理的意见</w:t>
      </w:r>
    </w:p>
    <w:p w:rsidR="00813BC4" w:rsidRDefault="00813BC4" w:rsidP="00813BC4">
      <w:pPr>
        <w:pStyle w:val="SingleTxtGC"/>
        <w:rPr>
          <w:rFonts w:hint="eastAsia"/>
        </w:rPr>
      </w:pPr>
      <w:r>
        <w:rPr>
          <w:rFonts w:hint="eastAsia"/>
        </w:rPr>
        <w:t>4.1  2008</w:t>
      </w:r>
      <w:r>
        <w:rPr>
          <w:rFonts w:hint="eastAsia"/>
        </w:rPr>
        <w:t>年</w:t>
      </w:r>
      <w:r>
        <w:rPr>
          <w:rFonts w:hint="eastAsia"/>
        </w:rPr>
        <w:t>9</w:t>
      </w:r>
      <w:r>
        <w:rPr>
          <w:rFonts w:hint="eastAsia"/>
        </w:rPr>
        <w:t>月</w:t>
      </w:r>
      <w:r>
        <w:rPr>
          <w:rFonts w:hint="eastAsia"/>
        </w:rPr>
        <w:t>9</w:t>
      </w:r>
      <w:r>
        <w:rPr>
          <w:rFonts w:hint="eastAsia"/>
        </w:rPr>
        <w:t>日，缔约国根据《公约》第</w:t>
      </w:r>
      <w:r>
        <w:rPr>
          <w:rFonts w:hint="eastAsia"/>
        </w:rPr>
        <w:t>22</w:t>
      </w:r>
      <w:r>
        <w:rPr>
          <w:rFonts w:hint="eastAsia"/>
        </w:rPr>
        <w:t>条第</w:t>
      </w:r>
      <w:r>
        <w:rPr>
          <w:rFonts w:hint="eastAsia"/>
        </w:rPr>
        <w:t>5(a)</w:t>
      </w:r>
      <w:r>
        <w:rPr>
          <w:rFonts w:hint="eastAsia"/>
        </w:rPr>
        <w:t>和</w:t>
      </w:r>
      <w:r>
        <w:rPr>
          <w:rFonts w:hint="eastAsia"/>
        </w:rPr>
        <w:t>(b)</w:t>
      </w:r>
      <w:r>
        <w:rPr>
          <w:rFonts w:hint="eastAsia"/>
        </w:rPr>
        <w:t>款对来文可否受理提出置疑。</w:t>
      </w:r>
    </w:p>
    <w:p w:rsidR="00813BC4" w:rsidRDefault="00813BC4" w:rsidP="00813BC4">
      <w:pPr>
        <w:pStyle w:val="SingleTxtGC"/>
        <w:rPr>
          <w:rFonts w:hint="eastAsia"/>
        </w:rPr>
      </w:pPr>
      <w:r>
        <w:rPr>
          <w:rFonts w:hint="eastAsia"/>
        </w:rPr>
        <w:t xml:space="preserve">4.2  </w:t>
      </w:r>
      <w:r>
        <w:rPr>
          <w:rFonts w:hint="eastAsia"/>
        </w:rPr>
        <w:t>缔约国指出，根据申诉人本身提供的资料，申诉人引用了禁止酷刑、不人道或有辱人格的待遇或处罚的《欧洲人权公约》第</w:t>
      </w:r>
      <w:r>
        <w:rPr>
          <w:rFonts w:hint="eastAsia"/>
        </w:rPr>
        <w:t>3</w:t>
      </w:r>
      <w:r>
        <w:rPr>
          <w:rFonts w:hint="eastAsia"/>
        </w:rPr>
        <w:t>条向欧洲人权法院提交了本案件。如果这样，同一问题提交了另一个国际机构。此外，在根据法庭第</w:t>
      </w:r>
      <w:r>
        <w:rPr>
          <w:rFonts w:hint="eastAsia"/>
        </w:rPr>
        <w:t>39</w:t>
      </w:r>
      <w:r>
        <w:rPr>
          <w:rFonts w:hint="eastAsia"/>
        </w:rPr>
        <w:t>条要求暂停引渡申诉人的临时措施的第</w:t>
      </w:r>
      <w:r>
        <w:rPr>
          <w:rFonts w:hint="eastAsia"/>
        </w:rPr>
        <w:t>2008</w:t>
      </w:r>
      <w:r>
        <w:rPr>
          <w:rFonts w:hint="eastAsia"/>
        </w:rPr>
        <w:t>年</w:t>
      </w:r>
      <w:r>
        <w:rPr>
          <w:rFonts w:hint="eastAsia"/>
        </w:rPr>
        <w:t>6</w:t>
      </w:r>
      <w:r>
        <w:rPr>
          <w:rFonts w:hint="eastAsia"/>
        </w:rPr>
        <w:t>月</w:t>
      </w:r>
      <w:r>
        <w:rPr>
          <w:rFonts w:hint="eastAsia"/>
        </w:rPr>
        <w:t>24</w:t>
      </w:r>
      <w:r>
        <w:rPr>
          <w:rFonts w:hint="eastAsia"/>
        </w:rPr>
        <w:t>日的决定中，欧洲人权法庭第</w:t>
      </w:r>
      <w:r>
        <w:rPr>
          <w:rFonts w:hint="eastAsia"/>
        </w:rPr>
        <w:t>5</w:t>
      </w:r>
      <w:r>
        <w:rPr>
          <w:rFonts w:hint="eastAsia"/>
        </w:rPr>
        <w:t>科科长决定不向缔约国指出所要求的临时措施。</w:t>
      </w:r>
    </w:p>
    <w:p w:rsidR="00813BC4" w:rsidRDefault="00813BC4" w:rsidP="00813BC4">
      <w:pPr>
        <w:pStyle w:val="SingleTxtGC"/>
        <w:rPr>
          <w:rFonts w:hint="eastAsia"/>
        </w:rPr>
      </w:pPr>
      <w:r>
        <w:rPr>
          <w:rFonts w:hint="eastAsia"/>
        </w:rPr>
        <w:t xml:space="preserve">4.3  </w:t>
      </w:r>
      <w:r>
        <w:rPr>
          <w:rFonts w:hint="eastAsia"/>
        </w:rPr>
        <w:t>然而，缔约国认为，申诉人在向委员会提交申诉之前应确保用尽所有国内补救。结果申诉人并没有根据《宪法》第</w:t>
      </w:r>
      <w:r>
        <w:rPr>
          <w:rFonts w:hint="eastAsia"/>
        </w:rPr>
        <w:t>90</w:t>
      </w:r>
      <w:r>
        <w:rPr>
          <w:rFonts w:hint="eastAsia"/>
        </w:rPr>
        <w:t>条利用任何机会向最高法院提出申诉推翻缔约国引渡其的决定。</w:t>
      </w:r>
      <w:r>
        <w:rPr>
          <w:rStyle w:val="FootnoteReference"/>
        </w:rPr>
        <w:footnoteReference w:id="5"/>
      </w:r>
      <w:r>
        <w:rPr>
          <w:rFonts w:hint="eastAsia"/>
        </w:rPr>
        <w:t xml:space="preserve"> </w:t>
      </w:r>
      <w:r>
        <w:rPr>
          <w:rFonts w:hint="eastAsia"/>
        </w:rPr>
        <w:t>此外，关于最高法院组织与程序的</w:t>
      </w:r>
      <w:r>
        <w:rPr>
          <w:rFonts w:hint="eastAsia"/>
        </w:rPr>
        <w:t>1963</w:t>
      </w:r>
      <w:r>
        <w:rPr>
          <w:rFonts w:hint="eastAsia"/>
        </w:rPr>
        <w:t>年</w:t>
      </w:r>
      <w:r>
        <w:rPr>
          <w:rFonts w:hint="eastAsia"/>
        </w:rPr>
        <w:t>4</w:t>
      </w:r>
      <w:r>
        <w:rPr>
          <w:rFonts w:hint="eastAsia"/>
        </w:rPr>
        <w:t>月</w:t>
      </w:r>
      <w:r>
        <w:rPr>
          <w:rFonts w:hint="eastAsia"/>
        </w:rPr>
        <w:t>16</w:t>
      </w:r>
      <w:r>
        <w:rPr>
          <w:rFonts w:hint="eastAsia"/>
        </w:rPr>
        <w:t>日法的第</w:t>
      </w:r>
      <w:r>
        <w:rPr>
          <w:rFonts w:hint="eastAsia"/>
        </w:rPr>
        <w:t>39</w:t>
      </w:r>
      <w:r>
        <w:rPr>
          <w:rFonts w:hint="eastAsia"/>
        </w:rPr>
        <w:t>和</w:t>
      </w:r>
      <w:r>
        <w:rPr>
          <w:rFonts w:hint="eastAsia"/>
        </w:rPr>
        <w:t>44</w:t>
      </w:r>
      <w:r>
        <w:rPr>
          <w:rFonts w:hint="eastAsia"/>
        </w:rPr>
        <w:t>条对暂停执行一项命令和临时释放规定的紧急措施。第</w:t>
      </w:r>
      <w:r>
        <w:rPr>
          <w:rFonts w:hint="eastAsia"/>
        </w:rPr>
        <w:t>40</w:t>
      </w:r>
      <w:r>
        <w:rPr>
          <w:rFonts w:hint="eastAsia"/>
        </w:rPr>
        <w:t>条为申诉人提供了一个在最高法院对案情作出裁决之前要求暂停执行一项决定的机会。然而申诉人并没有提出此类上诉，因此没有用尽国内补救。</w:t>
      </w:r>
    </w:p>
    <w:p w:rsidR="00813BC4" w:rsidRDefault="00813BC4" w:rsidP="00813BC4">
      <w:pPr>
        <w:pStyle w:val="SingleTxtGC"/>
        <w:rPr>
          <w:rFonts w:hint="eastAsia"/>
        </w:rPr>
      </w:pPr>
      <w:r>
        <w:rPr>
          <w:rFonts w:hint="eastAsia"/>
        </w:rPr>
        <w:t xml:space="preserve">4.4  </w:t>
      </w:r>
      <w:r>
        <w:rPr>
          <w:rFonts w:hint="eastAsia"/>
        </w:rPr>
        <w:t>缔约国认为，引渡的前景并不会使上诉无效。虽然引渡在国际法内被认为是一项主权行为，最高法院裁定，如果案子的性质似乎是“悖于正常引渡作法”那么引渡可能属于其管辖权限之内，</w:t>
      </w:r>
      <w:r>
        <w:rPr>
          <w:rStyle w:val="FootnoteReference"/>
        </w:rPr>
        <w:footnoteReference w:id="6"/>
      </w:r>
      <w:r>
        <w:rPr>
          <w:rFonts w:hint="eastAsia"/>
        </w:rPr>
        <w:t xml:space="preserve"> </w:t>
      </w:r>
      <w:r>
        <w:rPr>
          <w:rFonts w:hint="eastAsia"/>
        </w:rPr>
        <w:t>这正是申诉人不断诉求的。申诉人的论点是在其司法上诉过程中没有很好地遵守程序。此外，尽管法律并没明确提到中止效力，在司法总长能够按</w:t>
      </w:r>
      <w:r>
        <w:rPr>
          <w:rFonts w:hint="eastAsia"/>
        </w:rPr>
        <w:t>1999</w:t>
      </w:r>
      <w:r>
        <w:rPr>
          <w:rFonts w:hint="eastAsia"/>
        </w:rPr>
        <w:t>年</w:t>
      </w:r>
      <w:r>
        <w:rPr>
          <w:rFonts w:hint="eastAsia"/>
        </w:rPr>
        <w:t>12</w:t>
      </w:r>
      <w:r>
        <w:rPr>
          <w:rFonts w:hint="eastAsia"/>
        </w:rPr>
        <w:t>月</w:t>
      </w:r>
      <w:r>
        <w:rPr>
          <w:rFonts w:hint="eastAsia"/>
        </w:rPr>
        <w:t>28</w:t>
      </w:r>
      <w:r>
        <w:rPr>
          <w:rFonts w:hint="eastAsia"/>
        </w:rPr>
        <w:t>日《引渡法》所规定的程序，特别是那些按该《法》第</w:t>
      </w:r>
      <w:r>
        <w:rPr>
          <w:rFonts w:hint="eastAsia"/>
        </w:rPr>
        <w:t>17</w:t>
      </w:r>
      <w:r>
        <w:rPr>
          <w:rFonts w:hint="eastAsia"/>
        </w:rPr>
        <w:t>条规定的涉及程序，向王子充分汇报本案件的所有方面之前，亦不能实施引渡裁决。缔约国指出，无论如何，在</w:t>
      </w:r>
      <w:r>
        <w:rPr>
          <w:rFonts w:hint="eastAsia"/>
        </w:rPr>
        <w:t>2008</w:t>
      </w:r>
      <w:r>
        <w:rPr>
          <w:rFonts w:hint="eastAsia"/>
        </w:rPr>
        <w:t>年</w:t>
      </w:r>
      <w:r>
        <w:rPr>
          <w:rFonts w:hint="eastAsia"/>
        </w:rPr>
        <w:t>7</w:t>
      </w:r>
      <w:r>
        <w:rPr>
          <w:rFonts w:hint="eastAsia"/>
        </w:rPr>
        <w:t>月</w:t>
      </w:r>
      <w:r>
        <w:rPr>
          <w:rFonts w:hint="eastAsia"/>
        </w:rPr>
        <w:t>2</w:t>
      </w:r>
      <w:r>
        <w:rPr>
          <w:rFonts w:hint="eastAsia"/>
        </w:rPr>
        <w:t>日之前，即在欧洲人权法庭和委员会拒绝准予临时措施之后，王子并没有核准申诉人的引渡。</w:t>
      </w:r>
    </w:p>
    <w:p w:rsidR="00813BC4" w:rsidRDefault="00813BC4" w:rsidP="00813BC4">
      <w:pPr>
        <w:pStyle w:val="H23GC"/>
        <w:rPr>
          <w:rFonts w:hint="eastAsia"/>
        </w:rPr>
      </w:pPr>
      <w:r>
        <w:rPr>
          <w:rFonts w:hint="eastAsia"/>
        </w:rPr>
        <w:tab/>
      </w:r>
      <w:r>
        <w:rPr>
          <w:rFonts w:hint="eastAsia"/>
        </w:rPr>
        <w:tab/>
      </w:r>
      <w:r>
        <w:rPr>
          <w:rFonts w:hint="eastAsia"/>
        </w:rPr>
        <w:t>缔约国关于案情的意见</w:t>
      </w:r>
    </w:p>
    <w:p w:rsidR="00813BC4" w:rsidRDefault="00813BC4" w:rsidP="00813BC4">
      <w:pPr>
        <w:pStyle w:val="SingleTxtGC"/>
        <w:rPr>
          <w:rFonts w:hint="eastAsia"/>
        </w:rPr>
      </w:pPr>
      <w:r>
        <w:rPr>
          <w:rFonts w:hint="eastAsia"/>
        </w:rPr>
        <w:t>5.1  2009</w:t>
      </w:r>
      <w:r>
        <w:rPr>
          <w:rFonts w:hint="eastAsia"/>
        </w:rPr>
        <w:t>年</w:t>
      </w:r>
      <w:r>
        <w:rPr>
          <w:rFonts w:hint="eastAsia"/>
        </w:rPr>
        <w:t>1</w:t>
      </w:r>
      <w:r>
        <w:rPr>
          <w:rFonts w:hint="eastAsia"/>
        </w:rPr>
        <w:t>月</w:t>
      </w:r>
      <w:r>
        <w:rPr>
          <w:rFonts w:hint="eastAsia"/>
        </w:rPr>
        <w:t>5</w:t>
      </w:r>
      <w:r>
        <w:rPr>
          <w:rFonts w:hint="eastAsia"/>
        </w:rPr>
        <w:t>日，缔约国就案情提出意见。关于巴西的人权状况，缔约国承认报刊报告的有关巴西监狱过分拥挤的批评，委员会本身在其</w:t>
      </w:r>
      <w:r>
        <w:rPr>
          <w:rFonts w:hint="eastAsia"/>
        </w:rPr>
        <w:t>2001</w:t>
      </w:r>
      <w:r>
        <w:rPr>
          <w:rFonts w:hint="eastAsia"/>
        </w:rPr>
        <w:t>年</w:t>
      </w:r>
      <w:r>
        <w:rPr>
          <w:rFonts w:hint="eastAsia"/>
        </w:rPr>
        <w:t>5</w:t>
      </w:r>
      <w:r>
        <w:rPr>
          <w:rFonts w:hint="eastAsia"/>
        </w:rPr>
        <w:t>月</w:t>
      </w:r>
      <w:r>
        <w:rPr>
          <w:rFonts w:hint="eastAsia"/>
        </w:rPr>
        <w:t>16</w:t>
      </w:r>
      <w:r>
        <w:rPr>
          <w:rFonts w:hint="eastAsia"/>
        </w:rPr>
        <w:t>日有关巴西的结论性意见中也提到同样情况。但缔约国注意到，委员会在其意见中也承认了若干积极进展，如</w:t>
      </w:r>
      <w:r>
        <w:rPr>
          <w:rFonts w:hint="eastAsia"/>
        </w:rPr>
        <w:t>1997</w:t>
      </w:r>
      <w:r>
        <w:rPr>
          <w:rFonts w:hint="eastAsia"/>
        </w:rPr>
        <w:t>年</w:t>
      </w:r>
      <w:r>
        <w:rPr>
          <w:rFonts w:hint="eastAsia"/>
        </w:rPr>
        <w:t>4</w:t>
      </w:r>
      <w:r>
        <w:rPr>
          <w:rFonts w:hint="eastAsia"/>
        </w:rPr>
        <w:t>月的法律改革，该项法律将酷刑行为可作为刑事犯法行为惩治。巴西当局关注改进监狱条件的必要性，因此于</w:t>
      </w:r>
      <w:r>
        <w:rPr>
          <w:rFonts w:hint="eastAsia"/>
        </w:rPr>
        <w:t>2007</w:t>
      </w:r>
      <w:r>
        <w:rPr>
          <w:rFonts w:hint="eastAsia"/>
        </w:rPr>
        <w:t>年</w:t>
      </w:r>
      <w:r>
        <w:rPr>
          <w:rFonts w:hint="eastAsia"/>
        </w:rPr>
        <w:t>1</w:t>
      </w:r>
      <w:r>
        <w:rPr>
          <w:rFonts w:hint="eastAsia"/>
        </w:rPr>
        <w:t>月</w:t>
      </w:r>
      <w:r>
        <w:rPr>
          <w:rFonts w:hint="eastAsia"/>
        </w:rPr>
        <w:t>12</w:t>
      </w:r>
      <w:r>
        <w:rPr>
          <w:rFonts w:hint="eastAsia"/>
        </w:rPr>
        <w:t>日批准了</w:t>
      </w:r>
      <w:r>
        <w:rPr>
          <w:rFonts w:hint="eastAsia"/>
        </w:rPr>
        <w:t>2020</w:t>
      </w:r>
      <w:r>
        <w:rPr>
          <w:rFonts w:hint="eastAsia"/>
        </w:rPr>
        <w:t>年</w:t>
      </w:r>
      <w:r>
        <w:rPr>
          <w:rFonts w:hint="eastAsia"/>
        </w:rPr>
        <w:t>12</w:t>
      </w:r>
      <w:r>
        <w:rPr>
          <w:rFonts w:hint="eastAsia"/>
        </w:rPr>
        <w:t>月</w:t>
      </w:r>
      <w:r>
        <w:rPr>
          <w:rFonts w:hint="eastAsia"/>
        </w:rPr>
        <w:t>18</w:t>
      </w:r>
      <w:r>
        <w:rPr>
          <w:rFonts w:hint="eastAsia"/>
        </w:rPr>
        <w:t>日的《禁止酷刑和其他残忍、不人道或有辱人格的待遇或处罚公约的任择议定书》。无论巴西是否执行了委员会的建议，申诉人有资格根据上述</w:t>
      </w:r>
      <w:r>
        <w:rPr>
          <w:rFonts w:hint="eastAsia"/>
        </w:rPr>
        <w:t>1997</w:t>
      </w:r>
      <w:r>
        <w:rPr>
          <w:rFonts w:hint="eastAsia"/>
        </w:rPr>
        <w:t>年</w:t>
      </w:r>
      <w:r>
        <w:rPr>
          <w:rFonts w:hint="eastAsia"/>
        </w:rPr>
        <w:t>4</w:t>
      </w:r>
      <w:r>
        <w:rPr>
          <w:rFonts w:hint="eastAsia"/>
        </w:rPr>
        <w:t>月的法律要求获得国内补救。</w:t>
      </w:r>
    </w:p>
    <w:p w:rsidR="004306A3" w:rsidRDefault="004306A3" w:rsidP="004306A3">
      <w:pPr>
        <w:pStyle w:val="SingleTxtGC"/>
        <w:rPr>
          <w:rFonts w:hint="eastAsia"/>
        </w:rPr>
      </w:pPr>
      <w:r>
        <w:rPr>
          <w:rFonts w:hint="eastAsia"/>
        </w:rPr>
        <w:t xml:space="preserve">5.2  </w:t>
      </w:r>
      <w:r>
        <w:rPr>
          <w:rFonts w:hint="eastAsia"/>
        </w:rPr>
        <w:t>此外，巴西司法部</w:t>
      </w:r>
      <w:r>
        <w:rPr>
          <w:rFonts w:hint="eastAsia"/>
        </w:rPr>
        <w:t>2007</w:t>
      </w:r>
      <w:r>
        <w:rPr>
          <w:rFonts w:hint="eastAsia"/>
        </w:rPr>
        <w:t>年</w:t>
      </w:r>
      <w:r>
        <w:rPr>
          <w:rFonts w:hint="eastAsia"/>
        </w:rPr>
        <w:t>9</w:t>
      </w:r>
      <w:r>
        <w:rPr>
          <w:rFonts w:hint="eastAsia"/>
        </w:rPr>
        <w:t>月</w:t>
      </w:r>
      <w:r>
        <w:rPr>
          <w:rFonts w:hint="eastAsia"/>
        </w:rPr>
        <w:t>20</w:t>
      </w:r>
      <w:r>
        <w:rPr>
          <w:rFonts w:hint="eastAsia"/>
        </w:rPr>
        <w:t>日引渡申诉人的正式要求中，巴西司法部说，《巴西宪法》禁止死刑、终身监禁、劳役徒刑和任何其他形式的残忍惩罚，因此有悖于人的尊严的任何惩罚从宪法上是非法的，因而不得再巴西实施。缔约国进一步指出，至今，没有向委员会提出有关巴西的任何申诉，尽管巴西承认委员会有职权审议个别申诉。</w:t>
      </w:r>
    </w:p>
    <w:p w:rsidR="004306A3" w:rsidRDefault="004306A3" w:rsidP="004306A3">
      <w:pPr>
        <w:pStyle w:val="SingleTxtGC"/>
        <w:rPr>
          <w:rFonts w:hint="eastAsia"/>
        </w:rPr>
      </w:pPr>
      <w:r>
        <w:rPr>
          <w:rFonts w:hint="eastAsia"/>
        </w:rPr>
        <w:t xml:space="preserve">5.3  </w:t>
      </w:r>
      <w:r>
        <w:rPr>
          <w:rFonts w:hint="eastAsia"/>
        </w:rPr>
        <w:t>缔约国补充说，根据委员会的判例法，即使确认存在暴力行为，其本身不能构成充分的理由断定某人会遭到酷刑风险，因为风险必须是个人的。因而应由申诉者表明风险证据，并且证明这类风险超越了假定或怀疑。然而申诉人并没有向委员会提供此类证据，在国内法庭中，他也没向</w:t>
      </w:r>
      <w:r>
        <w:rPr>
          <w:rStyle w:val="longtext"/>
          <w:rFonts w:ascii="Arial" w:hAnsi="Arial" w:cs="Arial"/>
          <w:color w:val="333333"/>
          <w:szCs w:val="21"/>
        </w:rPr>
        <w:t>摩</w:t>
      </w:r>
      <w:r w:rsidRPr="003276B0">
        <w:t>纳哥司法当局</w:t>
      </w:r>
      <w:r>
        <w:rPr>
          <w:rFonts w:hint="eastAsia"/>
        </w:rPr>
        <w:t>提供此类证据。他向</w:t>
      </w:r>
      <w:r>
        <w:rPr>
          <w:rStyle w:val="longtext"/>
          <w:rFonts w:ascii="Arial" w:hAnsi="Arial" w:cs="Arial"/>
          <w:color w:val="333333"/>
          <w:szCs w:val="21"/>
        </w:rPr>
        <w:t>摩</w:t>
      </w:r>
      <w:r w:rsidRPr="003276B0">
        <w:t>纳哥</w:t>
      </w:r>
      <w:r>
        <w:rPr>
          <w:rFonts w:hint="eastAsia"/>
        </w:rPr>
        <w:t>法庭提交的唯一证据是巴西囚徒对巴西监狱状况的一般性申诉的两封信函和由若干囚犯签署的一份请愿书。这些文件都没有具体提到申诉人可能最终被关押的监狱，因而缔约国可以合法地怀疑这些文件的确实价值。</w:t>
      </w:r>
    </w:p>
    <w:p w:rsidR="004306A3" w:rsidRDefault="004306A3" w:rsidP="004306A3">
      <w:pPr>
        <w:pStyle w:val="SingleTxtGC"/>
        <w:rPr>
          <w:rFonts w:hint="eastAsia"/>
        </w:rPr>
      </w:pPr>
      <w:r>
        <w:rPr>
          <w:rFonts w:hint="eastAsia"/>
        </w:rPr>
        <w:t xml:space="preserve">5.4  </w:t>
      </w:r>
      <w:r>
        <w:rPr>
          <w:rFonts w:hint="eastAsia"/>
        </w:rPr>
        <w:t>缔约国指出，即使提交人向上诉法庭提出申诉要求撤回引渡令，上诉法院举行内庭聆讯审议其案件时，提交人并没有声称他将有酷刑风险。申诉人仅仅提到了上文提到的文件</w:t>
      </w:r>
      <w:r>
        <w:rPr>
          <w:rFonts w:hint="eastAsia"/>
        </w:rPr>
        <w:t>(</w:t>
      </w:r>
      <w:r>
        <w:rPr>
          <w:rFonts w:hint="eastAsia"/>
        </w:rPr>
        <w:t>见</w:t>
      </w:r>
      <w:r>
        <w:rPr>
          <w:rFonts w:hint="eastAsia"/>
        </w:rPr>
        <w:t>5.3</w:t>
      </w:r>
      <w:r>
        <w:rPr>
          <w:rFonts w:hint="eastAsia"/>
        </w:rPr>
        <w:t>段</w:t>
      </w:r>
      <w:r>
        <w:rPr>
          <w:rFonts w:hint="eastAsia"/>
        </w:rPr>
        <w:t>)</w:t>
      </w:r>
      <w:r>
        <w:rPr>
          <w:rFonts w:hint="eastAsia"/>
        </w:rPr>
        <w:t>，但没有引用其作为要求暂停实施引渡令的理由，尽管虐待和酷刑的风险确实构成</w:t>
      </w:r>
      <w:r>
        <w:rPr>
          <w:rFonts w:hint="eastAsia"/>
        </w:rPr>
        <w:t>1999</w:t>
      </w:r>
      <w:r>
        <w:rPr>
          <w:rFonts w:hint="eastAsia"/>
        </w:rPr>
        <w:t>年</w:t>
      </w:r>
      <w:r>
        <w:rPr>
          <w:rFonts w:hint="eastAsia"/>
        </w:rPr>
        <w:t>12</w:t>
      </w:r>
      <w:r>
        <w:rPr>
          <w:rFonts w:hint="eastAsia"/>
        </w:rPr>
        <w:t>月</w:t>
      </w:r>
      <w:r>
        <w:rPr>
          <w:rFonts w:hint="eastAsia"/>
        </w:rPr>
        <w:t>28</w:t>
      </w:r>
      <w:r>
        <w:rPr>
          <w:rFonts w:hint="eastAsia"/>
        </w:rPr>
        <w:t>日第</w:t>
      </w:r>
      <w:r>
        <w:rPr>
          <w:rFonts w:hint="eastAsia"/>
        </w:rPr>
        <w:t>1.222</w:t>
      </w:r>
      <w:r>
        <w:rPr>
          <w:rFonts w:hint="eastAsia"/>
        </w:rPr>
        <w:t>号《引渡法》第</w:t>
      </w:r>
      <w:r>
        <w:rPr>
          <w:rFonts w:hint="eastAsia"/>
        </w:rPr>
        <w:t>6</w:t>
      </w:r>
      <w:r>
        <w:rPr>
          <w:rFonts w:hint="eastAsia"/>
        </w:rPr>
        <w:t>条下规定的拒绝引渡的法律理由。因而申诉人没有给予法庭就这一点作出裁决的机会。而且，在先前有关将某人从缔约国引渡到俄罗斯联邦的案件中，因为有关人士出示了他先前在俄罗斯联邦遭到虐待的证据。</w:t>
      </w:r>
      <w:r>
        <w:rPr>
          <w:rStyle w:val="FootnoteReference"/>
        </w:rPr>
        <w:footnoteReference w:id="7"/>
      </w:r>
      <w:r>
        <w:rPr>
          <w:rFonts w:hint="eastAsia"/>
        </w:rPr>
        <w:t xml:space="preserve"> </w:t>
      </w:r>
      <w:r>
        <w:rPr>
          <w:rFonts w:hint="eastAsia"/>
        </w:rPr>
        <w:t>上诉法院要求俄罗斯当局作出保障的同时对其裁决附加了若干要求，例如准许家庭和律师探访。提交人的律师对上诉法院的这部分案例法是了解的，因为在目前案件发生之前他曾担任有关向俄罗斯联邦引渡案当事人的律师。因而缔约国不明白为什么同一名律师不在申诉人的案件中提出这样的请求。缔约国认为，律师没有提出这一论点表明其无法确立如果申诉人返回巴西将有酷刑或虐待风险。</w:t>
      </w:r>
    </w:p>
    <w:p w:rsidR="004306A3" w:rsidRDefault="004306A3" w:rsidP="004306A3">
      <w:pPr>
        <w:pStyle w:val="SingleTxtGC"/>
        <w:rPr>
          <w:rFonts w:hint="eastAsia"/>
        </w:rPr>
      </w:pPr>
      <w:r>
        <w:rPr>
          <w:rFonts w:hint="eastAsia"/>
        </w:rPr>
        <w:t xml:space="preserve">5.5  </w:t>
      </w:r>
      <w:r>
        <w:rPr>
          <w:rFonts w:hint="eastAsia"/>
        </w:rPr>
        <w:t>而且，申诉人律师向摩纳哥上诉法庭提出的诉求仅仅提出了一般性的意见，提到了有可能侵犯被告的权利，但没有提供构成持续严重、公然，或大规模侵犯人权的虐待事件的确实证据。相反，申诉人律师着重于不公正定罪的论断即：申诉人是在高度政治化的气氛中被一名法官定罪的而且他的判刑过重。</w:t>
      </w:r>
    </w:p>
    <w:p w:rsidR="004306A3" w:rsidRDefault="004306A3" w:rsidP="004306A3">
      <w:pPr>
        <w:pStyle w:val="SingleTxtGC"/>
        <w:rPr>
          <w:rFonts w:hint="eastAsia"/>
        </w:rPr>
      </w:pPr>
      <w:r>
        <w:rPr>
          <w:rFonts w:hint="eastAsia"/>
        </w:rPr>
        <w:t xml:space="preserve">5.6  </w:t>
      </w:r>
      <w:r>
        <w:rPr>
          <w:rFonts w:hint="eastAsia"/>
        </w:rPr>
        <w:t>缔约国还提到</w:t>
      </w:r>
      <w:r>
        <w:rPr>
          <w:rFonts w:hint="eastAsia"/>
        </w:rPr>
        <w:t>2008</w:t>
      </w:r>
      <w:r>
        <w:rPr>
          <w:rFonts w:hint="eastAsia"/>
        </w:rPr>
        <w:t>年</w:t>
      </w:r>
      <w:r>
        <w:rPr>
          <w:rFonts w:hint="eastAsia"/>
        </w:rPr>
        <w:t>2</w:t>
      </w:r>
      <w:r>
        <w:rPr>
          <w:rFonts w:hint="eastAsia"/>
        </w:rPr>
        <w:t>月</w:t>
      </w:r>
      <w:r>
        <w:rPr>
          <w:rFonts w:hint="eastAsia"/>
        </w:rPr>
        <w:t>26</w:t>
      </w:r>
      <w:r>
        <w:rPr>
          <w:rFonts w:hint="eastAsia"/>
        </w:rPr>
        <w:t>日，摩纳哥上诉法庭内庭聆讯要求向其提供申诉人早先在巴西对其判罪提出上诉的全部资料，并要求巴西政府确保如果申诉人根据逮捕令被引渡，那么将在对抗申诉程序中将审议上诉。巴西当局在</w:t>
      </w:r>
      <w:r>
        <w:rPr>
          <w:rFonts w:hint="eastAsia"/>
        </w:rPr>
        <w:t>2008</w:t>
      </w:r>
      <w:r>
        <w:rPr>
          <w:rFonts w:hint="eastAsia"/>
        </w:rPr>
        <w:t>年</w:t>
      </w:r>
      <w:r>
        <w:rPr>
          <w:rFonts w:hint="eastAsia"/>
        </w:rPr>
        <w:t>2</w:t>
      </w:r>
      <w:r>
        <w:rPr>
          <w:rFonts w:hint="eastAsia"/>
        </w:rPr>
        <w:t>月</w:t>
      </w:r>
      <w:r>
        <w:rPr>
          <w:rFonts w:hint="eastAsia"/>
        </w:rPr>
        <w:t>20</w:t>
      </w:r>
      <w:r>
        <w:rPr>
          <w:rFonts w:hint="eastAsia"/>
        </w:rPr>
        <w:t>普通照会中确认所有提交巴西司法当局的上诉都将在对抗诉讼程序中予以审查。巴西审查了由申诉人提交的任何上诉，包括对其定罪的上诉。</w:t>
      </w:r>
    </w:p>
    <w:p w:rsidR="004306A3" w:rsidRDefault="004306A3" w:rsidP="004306A3">
      <w:pPr>
        <w:pStyle w:val="SingleTxtGC"/>
        <w:rPr>
          <w:rFonts w:hint="eastAsia"/>
        </w:rPr>
      </w:pPr>
      <w:r>
        <w:rPr>
          <w:rFonts w:hint="eastAsia"/>
        </w:rPr>
        <w:t xml:space="preserve">5.7  </w:t>
      </w:r>
      <w:r>
        <w:rPr>
          <w:rFonts w:hint="eastAsia"/>
        </w:rPr>
        <w:t>缔约国认为，委员会拒绝，且在这之前，欧洲人权法庭拒绝在本案中准予临时措施也都表明提交人关于酷刑或虐待风险的论点是毫无根据。缔约国提到委员会的判例法，根据委员会的判例法，申诉人必须表明他有受到酷刑的风险，有严峻的理由相信风险的存在，并且申诉人本人或者目前受到风险。</w:t>
      </w:r>
      <w:r>
        <w:rPr>
          <w:rStyle w:val="FootnoteReference"/>
        </w:rPr>
        <w:footnoteReference w:id="8"/>
      </w:r>
      <w:r>
        <w:rPr>
          <w:rFonts w:hint="eastAsia"/>
        </w:rPr>
        <w:t xml:space="preserve"> </w:t>
      </w:r>
      <w:r>
        <w:rPr>
          <w:rFonts w:hint="eastAsia"/>
        </w:rPr>
        <w:t>关于提交人声称因政治原因他个人受到风险，因为，在所发事件</w:t>
      </w:r>
      <w:r>
        <w:rPr>
          <w:rFonts w:hint="eastAsia"/>
        </w:rPr>
        <w:t>10</w:t>
      </w:r>
      <w:r>
        <w:rPr>
          <w:rFonts w:hint="eastAsia"/>
        </w:rPr>
        <w:t>年之后，他仍然被认为第</w:t>
      </w:r>
      <w:r>
        <w:rPr>
          <w:rFonts w:hint="eastAsia"/>
        </w:rPr>
        <w:t>1</w:t>
      </w:r>
      <w:r>
        <w:rPr>
          <w:rFonts w:hint="eastAsia"/>
        </w:rPr>
        <w:t>号公敌，因他拥有罪证资料，他处于危险之中。缔约国认为申诉人的这些断言无非是理论性的、怀疑性的和假设性的，因为申诉人没有提交任何证据佐证其论点。</w:t>
      </w:r>
    </w:p>
    <w:p w:rsidR="004306A3" w:rsidRDefault="006944EA" w:rsidP="004306A3">
      <w:pPr>
        <w:pStyle w:val="SingleTxtGC"/>
      </w:pPr>
      <w:r>
        <w:br w:type="page"/>
      </w:r>
      <w:r w:rsidR="004306A3">
        <w:rPr>
          <w:rFonts w:hint="eastAsia"/>
        </w:rPr>
        <w:t xml:space="preserve">5.8  </w:t>
      </w:r>
      <w:r w:rsidR="004306A3">
        <w:rPr>
          <w:rFonts w:hint="eastAsia"/>
        </w:rPr>
        <w:t>此外，申诉人在从监狱转移到巴西法庭时，他带手铐被录像的事实尽管有辱人格但并不足以严重到可称为虐待。然而这仅仅是申诉人提到的有辱人格的一些例子。缔约国补充说，申诉人提到了他的年龄以及他所描述的极其虚弱的身体状况，但申诉人并没有表明他在巴西被关押的监狱里不能得到充分的治疗。申诉人也没有表明，他没有得到巴西当局的适当保护。缔约国指出，自申诉人于</w:t>
      </w:r>
      <w:r w:rsidR="004306A3">
        <w:rPr>
          <w:rFonts w:hint="eastAsia"/>
        </w:rPr>
        <w:t>2008</w:t>
      </w:r>
      <w:r w:rsidR="004306A3">
        <w:rPr>
          <w:rFonts w:hint="eastAsia"/>
        </w:rPr>
        <w:t>年</w:t>
      </w:r>
      <w:r w:rsidR="004306A3">
        <w:rPr>
          <w:rFonts w:hint="eastAsia"/>
        </w:rPr>
        <w:t>7</w:t>
      </w:r>
      <w:r w:rsidR="004306A3">
        <w:rPr>
          <w:rFonts w:hint="eastAsia"/>
        </w:rPr>
        <w:t>月中引渡到巴西，申诉人并没有举报任何酷刑和严重虐待的行为。</w:t>
      </w:r>
    </w:p>
    <w:p w:rsidR="004306A3" w:rsidRDefault="004306A3" w:rsidP="004306A3">
      <w:pPr>
        <w:pStyle w:val="SingleTxtGC"/>
        <w:rPr>
          <w:rFonts w:hint="eastAsia"/>
        </w:rPr>
      </w:pPr>
      <w:r>
        <w:rPr>
          <w:rFonts w:hint="eastAsia"/>
        </w:rPr>
        <w:t xml:space="preserve">5.9  </w:t>
      </w:r>
      <w:r>
        <w:rPr>
          <w:rFonts w:hint="eastAsia"/>
        </w:rPr>
        <w:t>因而申诉人并没有提出任何理由或证据表明由缔约国根据国际法实施的合法引渡程序将他置于在巴西遭受人身、真正或可预见的酷刑或虐待风险之下。</w:t>
      </w:r>
    </w:p>
    <w:p w:rsidR="004306A3" w:rsidRDefault="004306A3" w:rsidP="004306A3">
      <w:pPr>
        <w:pStyle w:val="H23GC"/>
        <w:rPr>
          <w:rFonts w:hint="eastAsia"/>
        </w:rPr>
      </w:pPr>
      <w:r>
        <w:rPr>
          <w:rFonts w:hint="eastAsia"/>
        </w:rPr>
        <w:tab/>
      </w:r>
      <w:r>
        <w:rPr>
          <w:rFonts w:hint="eastAsia"/>
        </w:rPr>
        <w:tab/>
      </w:r>
      <w:r>
        <w:rPr>
          <w:rFonts w:hint="eastAsia"/>
        </w:rPr>
        <w:t>申诉人关于缔约国来文的评论</w:t>
      </w:r>
    </w:p>
    <w:p w:rsidR="004306A3" w:rsidRDefault="004306A3" w:rsidP="004306A3">
      <w:pPr>
        <w:pStyle w:val="SingleTxtGC"/>
        <w:rPr>
          <w:rFonts w:hint="eastAsia"/>
        </w:rPr>
      </w:pPr>
      <w:r>
        <w:rPr>
          <w:rFonts w:hint="eastAsia"/>
        </w:rPr>
        <w:t xml:space="preserve">6.1  </w:t>
      </w:r>
      <w:r>
        <w:rPr>
          <w:rFonts w:hint="eastAsia"/>
        </w:rPr>
        <w:t>申诉人在</w:t>
      </w:r>
      <w:r>
        <w:rPr>
          <w:rFonts w:hint="eastAsia"/>
        </w:rPr>
        <w:t>2009</w:t>
      </w:r>
      <w:r>
        <w:rPr>
          <w:rFonts w:hint="eastAsia"/>
        </w:rPr>
        <w:t>年</w:t>
      </w:r>
      <w:r>
        <w:rPr>
          <w:rFonts w:hint="eastAsia"/>
        </w:rPr>
        <w:t>6</w:t>
      </w:r>
      <w:r>
        <w:rPr>
          <w:rFonts w:hint="eastAsia"/>
        </w:rPr>
        <w:t>月</w:t>
      </w:r>
      <w:r>
        <w:rPr>
          <w:rFonts w:hint="eastAsia"/>
        </w:rPr>
        <w:t>30</w:t>
      </w:r>
      <w:r>
        <w:rPr>
          <w:rFonts w:hint="eastAsia"/>
        </w:rPr>
        <w:t>日的评论中并没有提到缔约国关于来文可否受理的意见，仅对案情进行了评论。</w:t>
      </w:r>
    </w:p>
    <w:p w:rsidR="004306A3" w:rsidRDefault="004306A3" w:rsidP="004306A3">
      <w:pPr>
        <w:pStyle w:val="SingleTxtGC"/>
        <w:rPr>
          <w:rFonts w:hint="eastAsia"/>
        </w:rPr>
      </w:pPr>
      <w:r>
        <w:rPr>
          <w:rFonts w:hint="eastAsia"/>
        </w:rPr>
        <w:t xml:space="preserve">6.2  </w:t>
      </w:r>
      <w:r>
        <w:rPr>
          <w:rFonts w:hint="eastAsia"/>
        </w:rPr>
        <w:t>申诉人对缔约国当时所作的论点提出质疑，根据缔约国，如果他被引渡到巴西，他不会遭受《公约》第三条所界定的风险。他声称他在首次提交来文和在国内法庭的上诉程序中提供了足够的风险证据。提交人提到他所描述的该案件不可否认的政治性质，因为这被视</w:t>
      </w:r>
      <w:r w:rsidRPr="00445215">
        <w:t>作</w:t>
      </w:r>
      <w:r>
        <w:rPr>
          <w:rFonts w:hint="eastAsia"/>
        </w:rPr>
        <w:t>巴西卷入金融丑闻的国家大事，在这件丑闻中，当时任职的一些当局将受到牵连。</w:t>
      </w:r>
    </w:p>
    <w:p w:rsidR="004306A3" w:rsidRDefault="004306A3" w:rsidP="004306A3">
      <w:pPr>
        <w:pStyle w:val="SingleTxtGC"/>
        <w:rPr>
          <w:rFonts w:hint="eastAsia"/>
        </w:rPr>
      </w:pPr>
      <w:r>
        <w:rPr>
          <w:rFonts w:hint="eastAsia"/>
        </w:rPr>
        <w:t xml:space="preserve">6.3  </w:t>
      </w:r>
      <w:r>
        <w:rPr>
          <w:rFonts w:hint="eastAsia"/>
        </w:rPr>
        <w:t>申诉人还驳斥缔约国的论点，即他的律师没有声称他将受到酷刑的风险，尽管这位律师在先前涉及俄罗斯联邦的引渡案件中提出了这点。相反，他的律师在上诉法庭内提出了这一论点，即申诉人事实上将冒此类风险。在向欧洲人权法庭提交的申诉中也提到了这一事实。</w:t>
      </w:r>
    </w:p>
    <w:p w:rsidR="004306A3" w:rsidRDefault="004306A3" w:rsidP="004306A3">
      <w:pPr>
        <w:pStyle w:val="H23GC"/>
        <w:rPr>
          <w:rFonts w:hint="eastAsia"/>
        </w:rPr>
      </w:pPr>
      <w:r>
        <w:rPr>
          <w:rFonts w:hint="eastAsia"/>
        </w:rPr>
        <w:tab/>
      </w:r>
      <w:r>
        <w:rPr>
          <w:rFonts w:hint="eastAsia"/>
        </w:rPr>
        <w:tab/>
      </w:r>
      <w:r>
        <w:rPr>
          <w:rFonts w:hint="eastAsia"/>
        </w:rPr>
        <w:t>委员会需处理的问题和议事情况</w:t>
      </w:r>
    </w:p>
    <w:p w:rsidR="004306A3" w:rsidRDefault="004306A3" w:rsidP="004306A3">
      <w:pPr>
        <w:pStyle w:val="H4GC"/>
        <w:rPr>
          <w:rFonts w:hint="eastAsia"/>
        </w:rPr>
      </w:pPr>
      <w:r>
        <w:rPr>
          <w:rFonts w:hint="eastAsia"/>
        </w:rPr>
        <w:tab/>
      </w:r>
      <w:r>
        <w:rPr>
          <w:rFonts w:hint="eastAsia"/>
        </w:rPr>
        <w:tab/>
      </w:r>
      <w:r>
        <w:rPr>
          <w:rFonts w:hint="eastAsia"/>
        </w:rPr>
        <w:t>对可否受理的审议</w:t>
      </w:r>
    </w:p>
    <w:p w:rsidR="004306A3" w:rsidRDefault="004306A3" w:rsidP="004306A3">
      <w:pPr>
        <w:pStyle w:val="SingleTxtGC"/>
        <w:rPr>
          <w:rFonts w:hint="eastAsia"/>
        </w:rPr>
      </w:pPr>
      <w:r>
        <w:rPr>
          <w:rFonts w:hint="eastAsia"/>
        </w:rPr>
        <w:t xml:space="preserve">7.1  </w:t>
      </w:r>
      <w:r>
        <w:rPr>
          <w:rFonts w:hint="eastAsia"/>
        </w:rPr>
        <w:t>在审议来文所载的任何申诉之前，禁止酷刑委员会必须根据《公约》第二十二条决定来文可否受理。委员会注意到</w:t>
      </w:r>
      <w:r>
        <w:rPr>
          <w:rFonts w:hint="eastAsia"/>
        </w:rPr>
        <w:t>2008</w:t>
      </w:r>
      <w:r>
        <w:rPr>
          <w:rFonts w:hint="eastAsia"/>
        </w:rPr>
        <w:t>年</w:t>
      </w:r>
      <w:r>
        <w:rPr>
          <w:rFonts w:hint="eastAsia"/>
        </w:rPr>
        <w:t>6</w:t>
      </w:r>
      <w:r>
        <w:rPr>
          <w:rFonts w:hint="eastAsia"/>
        </w:rPr>
        <w:t>月</w:t>
      </w:r>
      <w:r>
        <w:rPr>
          <w:rFonts w:hint="eastAsia"/>
        </w:rPr>
        <w:t>25</w:t>
      </w:r>
      <w:r>
        <w:rPr>
          <w:rFonts w:hint="eastAsia"/>
        </w:rPr>
        <w:t>日，申诉人向欧洲人权法庭提出申诉</w:t>
      </w:r>
      <w:r>
        <w:rPr>
          <w:rFonts w:hint="eastAsia"/>
        </w:rPr>
        <w:t>(</w:t>
      </w:r>
      <w:r>
        <w:rPr>
          <w:rFonts w:hint="eastAsia"/>
        </w:rPr>
        <w:t>登记号</w:t>
      </w:r>
      <w:r>
        <w:rPr>
          <w:rFonts w:hint="eastAsia"/>
        </w:rPr>
        <w:t>30114/08)</w:t>
      </w:r>
      <w:r>
        <w:rPr>
          <w:rFonts w:hint="eastAsia"/>
        </w:rPr>
        <w:t>，并注意到本申诉是基于同样的理由</w:t>
      </w:r>
      <w:r>
        <w:rPr>
          <w:rFonts w:hint="eastAsia"/>
        </w:rPr>
        <w:t>(</w:t>
      </w:r>
      <w:r>
        <w:rPr>
          <w:rFonts w:hint="eastAsia"/>
        </w:rPr>
        <w:t>引渡巴西有悖于不驱回原则</w:t>
      </w:r>
      <w:r>
        <w:rPr>
          <w:rFonts w:hint="eastAsia"/>
        </w:rPr>
        <w:t>)</w:t>
      </w:r>
      <w:r>
        <w:rPr>
          <w:rFonts w:hint="eastAsia"/>
        </w:rPr>
        <w:t>。然而，该申诉在没有审议案情的情况下被驳回。委员会认为，根据这些情况，这一案件不能被认为按照《公约》第二十二条第</w:t>
      </w:r>
      <w:r>
        <w:rPr>
          <w:rFonts w:hint="eastAsia"/>
        </w:rPr>
        <w:t>5</w:t>
      </w:r>
      <w:r>
        <w:t>(a)</w:t>
      </w:r>
      <w:r>
        <w:rPr>
          <w:rFonts w:hint="eastAsia"/>
        </w:rPr>
        <w:t>款的意思，在另一个国际调查或解决程序中予以审查。因而委员会不排斥在这个基础上审议申诉。</w:t>
      </w:r>
    </w:p>
    <w:p w:rsidR="004306A3" w:rsidRDefault="004306A3" w:rsidP="004306A3">
      <w:pPr>
        <w:pStyle w:val="SingleTxtGC"/>
        <w:rPr>
          <w:rFonts w:hint="eastAsia"/>
        </w:rPr>
      </w:pPr>
      <w:r>
        <w:rPr>
          <w:rFonts w:hint="eastAsia"/>
        </w:rPr>
        <w:t xml:space="preserve">7.2  </w:t>
      </w:r>
      <w:r>
        <w:rPr>
          <w:rFonts w:hint="eastAsia"/>
        </w:rPr>
        <w:t>委员会注意到，缔约国就来文的可否受理提出争议，理由是没有用尽所有国内补救，因为申诉人没有根据《宪法》第</w:t>
      </w:r>
      <w:r>
        <w:rPr>
          <w:rFonts w:hint="eastAsia"/>
        </w:rPr>
        <w:t>90</w:t>
      </w:r>
      <w:r>
        <w:rPr>
          <w:rFonts w:hint="eastAsia"/>
        </w:rPr>
        <w:t>条向最高法院提出申诉要求撤回该国引渡的裁决。委员会认为申诉人并没有驳斥或者争辩这一论点。委员会还注意到委员会在审议摩纳哥根据《公约》第十九条提交第四次和第五次定期报告时，缔约国援引了这方面可适用的程序，缔约国说可以就国务部通过的行政决定，对遣返</w:t>
      </w:r>
      <w:r>
        <w:rPr>
          <w:rFonts w:hint="eastAsia"/>
        </w:rPr>
        <w:t>(</w:t>
      </w:r>
      <w:r>
        <w:rPr>
          <w:rFonts w:hint="eastAsia"/>
        </w:rPr>
        <w:t>驱回</w:t>
      </w:r>
      <w:r>
        <w:rPr>
          <w:rFonts w:hint="eastAsia"/>
        </w:rPr>
        <w:t>)</w:t>
      </w:r>
      <w:r>
        <w:rPr>
          <w:rFonts w:hint="eastAsia"/>
        </w:rPr>
        <w:t>和驱逐令向最高法院提出上诉。在没有收到申诉人反对意见的情况下，委员会认为，这项补救稍作适当修正适用于引渡决定，并认为如缔约国在本决定第</w:t>
      </w:r>
      <w:r>
        <w:rPr>
          <w:rFonts w:hint="eastAsia"/>
        </w:rPr>
        <w:t>4.4</w:t>
      </w:r>
      <w:r>
        <w:rPr>
          <w:rFonts w:hint="eastAsia"/>
        </w:rPr>
        <w:t>段内关于可否受理意见中所提到的那样，只要在实际具有</w:t>
      </w:r>
      <w:r w:rsidRPr="00194028">
        <w:t>中止</w:t>
      </w:r>
      <w:r>
        <w:rPr>
          <w:rFonts w:hint="eastAsia"/>
        </w:rPr>
        <w:t>效力，将是有效的补救。</w:t>
      </w:r>
    </w:p>
    <w:p w:rsidR="004306A3" w:rsidRDefault="004306A3" w:rsidP="004306A3">
      <w:pPr>
        <w:pStyle w:val="SingleTxtGC"/>
        <w:rPr>
          <w:rFonts w:hint="eastAsia"/>
        </w:rPr>
      </w:pPr>
      <w:r>
        <w:rPr>
          <w:rFonts w:hint="eastAsia"/>
        </w:rPr>
        <w:t xml:space="preserve">7.3  </w:t>
      </w:r>
      <w:r>
        <w:rPr>
          <w:rFonts w:hint="eastAsia"/>
        </w:rPr>
        <w:t>委员会认为申诉人并没有用尽国内补救，因而目前的申诉根据《公约》第二十二条第</w:t>
      </w:r>
      <w:r>
        <w:rPr>
          <w:rFonts w:hint="eastAsia"/>
        </w:rPr>
        <w:t>5</w:t>
      </w:r>
      <w:r>
        <w:t>(b)</w:t>
      </w:r>
      <w:r>
        <w:rPr>
          <w:rFonts w:hint="eastAsia"/>
        </w:rPr>
        <w:t>款不予以受理。</w:t>
      </w:r>
    </w:p>
    <w:p w:rsidR="004306A3" w:rsidRDefault="004306A3" w:rsidP="006944EA">
      <w:pPr>
        <w:pStyle w:val="SingleTxtGC"/>
        <w:rPr>
          <w:rFonts w:hint="eastAsia"/>
        </w:rPr>
      </w:pPr>
      <w:r>
        <w:rPr>
          <w:rFonts w:hint="eastAsia"/>
        </w:rPr>
        <w:t xml:space="preserve">7.4  </w:t>
      </w:r>
      <w:r>
        <w:rPr>
          <w:rFonts w:hint="eastAsia"/>
        </w:rPr>
        <w:t>因此，禁止酷刑委员会决定：</w:t>
      </w:r>
    </w:p>
    <w:p w:rsidR="004306A3" w:rsidRDefault="004306A3" w:rsidP="006944EA">
      <w:pPr>
        <w:pStyle w:val="SingleTxtGC"/>
        <w:numPr>
          <w:ilvl w:val="0"/>
          <w:numId w:val="36"/>
        </w:numPr>
        <w:rPr>
          <w:rFonts w:hint="eastAsia"/>
        </w:rPr>
      </w:pPr>
      <w:r>
        <w:rPr>
          <w:rFonts w:hint="eastAsia"/>
        </w:rPr>
        <w:t>本来文不予以受理；</w:t>
      </w:r>
    </w:p>
    <w:p w:rsidR="004306A3" w:rsidRDefault="004306A3" w:rsidP="006944EA">
      <w:pPr>
        <w:pStyle w:val="SingleTxtGC"/>
        <w:numPr>
          <w:ilvl w:val="0"/>
          <w:numId w:val="36"/>
        </w:numPr>
        <w:rPr>
          <w:rFonts w:hint="eastAsia"/>
        </w:rPr>
      </w:pPr>
      <w:r>
        <w:rPr>
          <w:rFonts w:hint="eastAsia"/>
        </w:rPr>
        <w:t>将本决定转交缔约国及申诉人。</w:t>
      </w:r>
    </w:p>
    <w:p w:rsidR="004306A3" w:rsidRDefault="004306A3" w:rsidP="006944EA">
      <w:pPr>
        <w:pStyle w:val="SingleTxtGC"/>
        <w:rPr>
          <w:rFonts w:hint="eastAsia"/>
        </w:rPr>
      </w:pPr>
      <w:r>
        <w:rPr>
          <w:rFonts w:hint="eastAsia"/>
        </w:rPr>
        <w:t>[</w:t>
      </w:r>
      <w:r>
        <w:rPr>
          <w:rFonts w:hint="eastAsia"/>
        </w:rPr>
        <w:t>通过时有英文、法文和西班牙文本，英文文本为原文。将以阿拉伯文、中文和俄文发表作为委员会提交大会年度报告的一部分。</w:t>
      </w:r>
      <w:r>
        <w:rPr>
          <w:rFonts w:hint="eastAsia"/>
        </w:rPr>
        <w:t>]</w:t>
      </w:r>
    </w:p>
    <w:p w:rsidR="004306A3" w:rsidRPr="002D6A9C" w:rsidRDefault="004306A3" w:rsidP="004306A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13BC4" w:rsidRPr="00813BC4" w:rsidRDefault="00813BC4" w:rsidP="00813BC4">
      <w:pPr>
        <w:pStyle w:val="SingleTxtGC"/>
        <w:rPr>
          <w:rFonts w:hint="eastAsia"/>
          <w:snapToGrid/>
        </w:rPr>
      </w:pPr>
    </w:p>
    <w:p w:rsidR="00813BC4" w:rsidRDefault="00813BC4" w:rsidP="004306A3">
      <w:pPr>
        <w:pStyle w:val="SingleTxtGC"/>
        <w:rPr>
          <w:rFonts w:hint="eastAsia"/>
          <w:snapToGrid/>
        </w:rPr>
      </w:pPr>
    </w:p>
    <w:sectPr w:rsidR="00813BC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AD" w:rsidRPr="00EE3782" w:rsidRDefault="00FE42AD"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FE42AD" w:rsidRPr="00EE3782" w:rsidRDefault="00FE42AD"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C" w:rsidRPr="00021481" w:rsidRDefault="008171DC"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AE14E1">
      <w:rPr>
        <w:rStyle w:val="PageNumber"/>
        <w:noProof/>
      </w:rPr>
      <w:t>8</w:t>
    </w:r>
    <w:r>
      <w:rPr>
        <w:rStyle w:val="PageNumber"/>
      </w:rPr>
      <w:fldChar w:fldCharType="end"/>
    </w:r>
    <w:r>
      <w:rPr>
        <w:rStyle w:val="PageNumber"/>
        <w:rFonts w:eastAsia="SimSun" w:hint="eastAsia"/>
        <w:lang w:eastAsia="zh-CN"/>
      </w:rPr>
      <w:tab/>
    </w:r>
    <w:r w:rsidRPr="00021481">
      <w:rPr>
        <w:rFonts w:eastAsia="SimSun"/>
        <w:lang w:val="en-US" w:eastAsia="zh-CN"/>
      </w:rPr>
      <w:t>GE.13-40768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C" w:rsidRDefault="008171DC">
    <w:pPr>
      <w:pStyle w:val="Footer"/>
      <w:tabs>
        <w:tab w:val="right" w:pos="9639"/>
      </w:tabs>
    </w:pPr>
    <w:r w:rsidRPr="00021481">
      <w:rPr>
        <w:rFonts w:eastAsia="SimSun"/>
        <w:lang w:val="en-US" w:eastAsia="zh-CN"/>
      </w:rPr>
      <w:t>GE.13-40768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E14E1">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C" w:rsidRPr="001A57B0" w:rsidRDefault="008171DC" w:rsidP="001A57B0">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40768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210313</w:t>
    </w:r>
    <w:r>
      <w:rPr>
        <w:rFonts w:eastAsia="SimSun"/>
        <w:sz w:val="20"/>
        <w:lang w:eastAsia="zh-CN"/>
      </w:rPr>
      <w:tab/>
    </w:r>
    <w:r>
      <w:rPr>
        <w:rFonts w:eastAsia="SimSun" w:hint="eastAsia"/>
        <w:sz w:val="20"/>
        <w:lang w:eastAsia="zh-CN"/>
      </w:rPr>
      <w:t>210313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AD" w:rsidRPr="003126F9" w:rsidRDefault="00FE42A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E42AD" w:rsidRPr="003126F9" w:rsidRDefault="00FE42A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171DC"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缔约国于</w:t>
      </w:r>
      <w:r>
        <w:rPr>
          <w:rFonts w:hint="eastAsia"/>
        </w:rPr>
        <w:t>1991</w:t>
      </w:r>
      <w:r>
        <w:rPr>
          <w:rFonts w:hint="eastAsia"/>
        </w:rPr>
        <w:t>年</w:t>
      </w:r>
      <w:r>
        <w:rPr>
          <w:rFonts w:hint="eastAsia"/>
        </w:rPr>
        <w:t>12</w:t>
      </w:r>
      <w:r>
        <w:rPr>
          <w:rFonts w:hint="eastAsia"/>
        </w:rPr>
        <w:t>月</w:t>
      </w:r>
      <w:r>
        <w:rPr>
          <w:rFonts w:hint="eastAsia"/>
        </w:rPr>
        <w:t>6</w:t>
      </w:r>
      <w:r>
        <w:rPr>
          <w:rFonts w:hint="eastAsia"/>
        </w:rPr>
        <w:t>日对《公约》第</w:t>
      </w:r>
      <w:r>
        <w:rPr>
          <w:rFonts w:hint="eastAsia"/>
        </w:rPr>
        <w:t>22</w:t>
      </w:r>
      <w:r>
        <w:rPr>
          <w:rFonts w:hint="eastAsia"/>
        </w:rPr>
        <w:t>条提出一项声明。</w:t>
      </w:r>
    </w:p>
  </w:footnote>
  <w:footnote w:id="2">
    <w:p w:rsidR="008171DC"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根据上诉法院</w:t>
      </w:r>
      <w:r>
        <w:rPr>
          <w:rFonts w:hint="eastAsia"/>
        </w:rPr>
        <w:t>2008</w:t>
      </w:r>
      <w:r>
        <w:rPr>
          <w:rFonts w:hint="eastAsia"/>
        </w:rPr>
        <w:t>年</w:t>
      </w:r>
      <w:r>
        <w:rPr>
          <w:rFonts w:hint="eastAsia"/>
        </w:rPr>
        <w:t>4</w:t>
      </w:r>
      <w:r>
        <w:rPr>
          <w:rFonts w:hint="eastAsia"/>
        </w:rPr>
        <w:t>月</w:t>
      </w:r>
      <w:r>
        <w:rPr>
          <w:rFonts w:hint="eastAsia"/>
        </w:rPr>
        <w:t>15</w:t>
      </w:r>
      <w:r>
        <w:rPr>
          <w:rFonts w:hint="eastAsia"/>
        </w:rPr>
        <w:t>日的裁决，巴西司法当局于</w:t>
      </w:r>
      <w:r>
        <w:rPr>
          <w:rFonts w:hint="eastAsia"/>
        </w:rPr>
        <w:t>2000</w:t>
      </w:r>
      <w:r>
        <w:rPr>
          <w:rFonts w:hint="eastAsia"/>
        </w:rPr>
        <w:t>年</w:t>
      </w:r>
      <w:r>
        <w:rPr>
          <w:rFonts w:hint="eastAsia"/>
        </w:rPr>
        <w:t>7</w:t>
      </w:r>
      <w:r>
        <w:rPr>
          <w:rFonts w:hint="eastAsia"/>
        </w:rPr>
        <w:t>月</w:t>
      </w:r>
      <w:r>
        <w:rPr>
          <w:rFonts w:hint="eastAsia"/>
        </w:rPr>
        <w:t>19</w:t>
      </w:r>
      <w:r>
        <w:rPr>
          <w:rFonts w:hint="eastAsia"/>
        </w:rPr>
        <w:t>日已发布了国际逮捕令。因有关人士逃往往意大利，于</w:t>
      </w:r>
      <w:r>
        <w:rPr>
          <w:rFonts w:hint="eastAsia"/>
        </w:rPr>
        <w:t>2006</w:t>
      </w:r>
      <w:r>
        <w:rPr>
          <w:rFonts w:hint="eastAsia"/>
        </w:rPr>
        <w:t>年</w:t>
      </w:r>
      <w:r>
        <w:rPr>
          <w:rFonts w:hint="eastAsia"/>
        </w:rPr>
        <w:t>6</w:t>
      </w:r>
      <w:r>
        <w:rPr>
          <w:rFonts w:hint="eastAsia"/>
        </w:rPr>
        <w:t>月</w:t>
      </w:r>
      <w:r>
        <w:rPr>
          <w:rFonts w:hint="eastAsia"/>
        </w:rPr>
        <w:t>26</w:t>
      </w:r>
      <w:r>
        <w:rPr>
          <w:rFonts w:hint="eastAsia"/>
        </w:rPr>
        <w:t>日重新发布了国际逮捕令。</w:t>
      </w:r>
    </w:p>
  </w:footnote>
  <w:footnote w:id="3">
    <w:p w:rsidR="008171DC"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提交人提到在</w:t>
      </w:r>
      <w:r w:rsidRPr="005262A2">
        <w:rPr>
          <w:rStyle w:val="HChGC"/>
        </w:rPr>
        <w:t>www.leduecittà.it</w:t>
      </w:r>
      <w:r>
        <w:rPr>
          <w:rFonts w:hint="eastAsia"/>
        </w:rPr>
        <w:t>上公布的资料</w:t>
      </w:r>
      <w:r>
        <w:rPr>
          <w:rFonts w:hint="eastAsia"/>
        </w:rPr>
        <w:t>(</w:t>
      </w:r>
      <w:r>
        <w:rPr>
          <w:rFonts w:hint="eastAsia"/>
        </w:rPr>
        <w:t>意大利监狱部审查</w:t>
      </w:r>
      <w:r>
        <w:rPr>
          <w:rFonts w:hint="eastAsia"/>
        </w:rPr>
        <w:t>)</w:t>
      </w:r>
      <w:r>
        <w:rPr>
          <w:rFonts w:hint="eastAsia"/>
        </w:rPr>
        <w:t>。</w:t>
      </w:r>
    </w:p>
  </w:footnote>
  <w:footnote w:id="4">
    <w:p w:rsidR="008171DC" w:rsidRPr="00761DE7"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申诉人提到由人权观察发表的众多文件，特别是“巴西：巴西囚犯杀害案调查”，</w:t>
      </w:r>
      <w:r>
        <w:rPr>
          <w:rFonts w:hint="eastAsia"/>
        </w:rPr>
        <w:t>2011</w:t>
      </w:r>
      <w:r>
        <w:rPr>
          <w:rFonts w:hint="eastAsia"/>
        </w:rPr>
        <w:t>年</w:t>
      </w:r>
      <w:r>
        <w:rPr>
          <w:rFonts w:hint="eastAsia"/>
        </w:rPr>
        <w:t>2</w:t>
      </w:r>
      <w:r>
        <w:rPr>
          <w:rFonts w:hint="eastAsia"/>
        </w:rPr>
        <w:t>月</w:t>
      </w:r>
      <w:r>
        <w:rPr>
          <w:rFonts w:hint="eastAsia"/>
        </w:rPr>
        <w:t>20</w:t>
      </w:r>
      <w:r>
        <w:rPr>
          <w:rFonts w:hint="eastAsia"/>
        </w:rPr>
        <w:t>日，和题为“巴西铁窗之后”的报告</w:t>
      </w:r>
      <w:r>
        <w:rPr>
          <w:rFonts w:hint="eastAsia"/>
        </w:rPr>
        <w:t>(</w:t>
      </w:r>
      <w:r>
        <w:rPr>
          <w:rFonts w:hint="eastAsia"/>
        </w:rPr>
        <w:t>题为“囚犯对囚犯的虐待”报告第七章</w:t>
      </w:r>
      <w:r>
        <w:rPr>
          <w:rFonts w:hint="eastAsia"/>
        </w:rPr>
        <w:t>)</w:t>
      </w:r>
      <w:r>
        <w:rPr>
          <w:rFonts w:hint="eastAsia"/>
        </w:rPr>
        <w:t>，</w:t>
      </w:r>
      <w:r>
        <w:rPr>
          <w:rFonts w:hint="eastAsia"/>
        </w:rPr>
        <w:t>1998</w:t>
      </w:r>
      <w:r>
        <w:rPr>
          <w:rFonts w:hint="eastAsia"/>
        </w:rPr>
        <w:t>年</w:t>
      </w:r>
      <w:r>
        <w:rPr>
          <w:rFonts w:hint="eastAsia"/>
        </w:rPr>
        <w:t>12</w:t>
      </w:r>
      <w:r>
        <w:rPr>
          <w:rFonts w:hint="eastAsia"/>
        </w:rPr>
        <w:t>月。</w:t>
      </w:r>
    </w:p>
  </w:footnote>
  <w:footnote w:id="5">
    <w:p w:rsidR="008171DC"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《宪法》第</w:t>
      </w:r>
      <w:r>
        <w:rPr>
          <w:rFonts w:hint="eastAsia"/>
        </w:rPr>
        <w:t>90</w:t>
      </w:r>
      <w:r>
        <w:rPr>
          <w:rFonts w:hint="eastAsia"/>
        </w:rPr>
        <w:t>条界定了最高法院的司法权，声明在行政事务中，最高法院可在以下情况发出最后裁决，如“</w:t>
      </w:r>
      <w:r>
        <w:rPr>
          <w:rFonts w:hint="eastAsia"/>
        </w:rPr>
        <w:t>(2)</w:t>
      </w:r>
      <w:r>
        <w:rPr>
          <w:rFonts w:hint="eastAsia"/>
        </w:rPr>
        <w:t>对行政法院终审裁决提出撤消原判的上诉”。</w:t>
      </w:r>
    </w:p>
  </w:footnote>
  <w:footnote w:id="6">
    <w:p w:rsidR="008171DC" w:rsidRDefault="008171DC" w:rsidP="00813BC4">
      <w:pPr>
        <w:pStyle w:val="FootnoteText"/>
        <w:rPr>
          <w:rFonts w:hint="eastAsia"/>
        </w:rPr>
      </w:pPr>
      <w:r>
        <w:rPr>
          <w:rFonts w:hint="eastAsia"/>
        </w:rPr>
        <w:tab/>
      </w:r>
      <w:r>
        <w:rPr>
          <w:rStyle w:val="FootnoteReference"/>
        </w:rPr>
        <w:footnoteRef/>
      </w:r>
      <w:r>
        <w:rPr>
          <w:rFonts w:hint="eastAsia"/>
        </w:rPr>
        <w:tab/>
      </w:r>
      <w:r>
        <w:rPr>
          <w:rFonts w:hint="eastAsia"/>
        </w:rPr>
        <w:t>见最高法院</w:t>
      </w:r>
      <w:r>
        <w:rPr>
          <w:rFonts w:hint="eastAsia"/>
        </w:rPr>
        <w:t>1986</w:t>
      </w:r>
      <w:r>
        <w:rPr>
          <w:rFonts w:hint="eastAsia"/>
        </w:rPr>
        <w:t>年</w:t>
      </w:r>
      <w:r>
        <w:rPr>
          <w:rFonts w:hint="eastAsia"/>
        </w:rPr>
        <w:t>6</w:t>
      </w:r>
      <w:r>
        <w:rPr>
          <w:rFonts w:hint="eastAsia"/>
        </w:rPr>
        <w:t>月</w:t>
      </w:r>
      <w:r>
        <w:rPr>
          <w:rFonts w:hint="eastAsia"/>
        </w:rPr>
        <w:t>28</w:t>
      </w:r>
      <w:r>
        <w:rPr>
          <w:rFonts w:hint="eastAsia"/>
        </w:rPr>
        <w:t>日</w:t>
      </w:r>
      <w:r>
        <w:t>Van Troyes</w:t>
      </w:r>
      <w:r>
        <w:rPr>
          <w:rFonts w:hint="eastAsia"/>
        </w:rPr>
        <w:t>案件的裁决。</w:t>
      </w:r>
    </w:p>
  </w:footnote>
  <w:footnote w:id="7">
    <w:p w:rsidR="008171DC" w:rsidRPr="005614B8" w:rsidRDefault="008171DC" w:rsidP="004306A3">
      <w:pPr>
        <w:pStyle w:val="FootnoteText"/>
        <w:rPr>
          <w:rFonts w:hint="eastAsia"/>
        </w:rPr>
      </w:pPr>
      <w:r>
        <w:rPr>
          <w:rFonts w:hint="eastAsia"/>
        </w:rPr>
        <w:tab/>
      </w:r>
      <w:r>
        <w:rPr>
          <w:rStyle w:val="FootnoteReference"/>
        </w:rPr>
        <w:footnoteRef/>
      </w:r>
      <w:r>
        <w:rPr>
          <w:rFonts w:hint="eastAsia"/>
        </w:rPr>
        <w:tab/>
      </w:r>
      <w:r w:rsidRPr="004306A3">
        <w:rPr>
          <w:rStyle w:val="EndnoteTextChar"/>
          <w:rFonts w:hint="eastAsia"/>
          <w:spacing w:val="-4"/>
        </w:rPr>
        <w:t>缔约国引用了</w:t>
      </w:r>
      <w:r w:rsidRPr="004306A3">
        <w:rPr>
          <w:rStyle w:val="EndnoteTextChar"/>
          <w:rFonts w:hint="eastAsia"/>
          <w:spacing w:val="-4"/>
        </w:rPr>
        <w:t>2004</w:t>
      </w:r>
      <w:r w:rsidRPr="004306A3">
        <w:rPr>
          <w:rStyle w:val="EndnoteTextChar"/>
          <w:rFonts w:hint="eastAsia"/>
          <w:spacing w:val="-4"/>
        </w:rPr>
        <w:t>年</w:t>
      </w:r>
      <w:r w:rsidRPr="004306A3">
        <w:rPr>
          <w:rStyle w:val="EndnoteTextChar"/>
          <w:rFonts w:hint="eastAsia"/>
          <w:spacing w:val="-4"/>
        </w:rPr>
        <w:t>10</w:t>
      </w:r>
      <w:r w:rsidRPr="004306A3">
        <w:rPr>
          <w:rStyle w:val="EndnoteTextChar"/>
          <w:rFonts w:hint="eastAsia"/>
          <w:spacing w:val="-4"/>
        </w:rPr>
        <w:t>月</w:t>
      </w:r>
      <w:r w:rsidRPr="004306A3">
        <w:rPr>
          <w:rStyle w:val="EndnoteTextChar"/>
          <w:rFonts w:hint="eastAsia"/>
          <w:spacing w:val="-4"/>
        </w:rPr>
        <w:t>30</w:t>
      </w:r>
      <w:r w:rsidRPr="004306A3">
        <w:rPr>
          <w:rStyle w:val="EndnoteTextChar"/>
          <w:rFonts w:hint="eastAsia"/>
          <w:spacing w:val="-4"/>
        </w:rPr>
        <w:t>日</w:t>
      </w:r>
      <w:r w:rsidRPr="004306A3">
        <w:rPr>
          <w:rStyle w:val="EndnoteTextChar"/>
          <w:rFonts w:hint="eastAsia"/>
          <w:spacing w:val="-4"/>
        </w:rPr>
        <w:t>E.</w:t>
      </w:r>
      <w:r w:rsidRPr="004306A3">
        <w:rPr>
          <w:rStyle w:val="EndnoteTextChar"/>
          <w:spacing w:val="-4"/>
        </w:rPr>
        <w:t>Bourmaga</w:t>
      </w:r>
      <w:r w:rsidRPr="004306A3">
        <w:rPr>
          <w:rStyle w:val="EndnoteTextChar"/>
          <w:rFonts w:hint="eastAsia"/>
          <w:spacing w:val="-4"/>
        </w:rPr>
        <w:t>案件中的上诉法庭内庭聆讯作出的裁决</w:t>
      </w:r>
      <w:r w:rsidRPr="004306A3">
        <w:rPr>
          <w:rStyle w:val="EndnoteTextChar"/>
          <w:rFonts w:hint="eastAsia"/>
          <w:spacing w:val="-4"/>
        </w:rPr>
        <w:t>(</w:t>
      </w:r>
      <w:r w:rsidRPr="004306A3">
        <w:rPr>
          <w:rStyle w:val="EndnoteTextChar"/>
          <w:rFonts w:hint="eastAsia"/>
          <w:spacing w:val="-4"/>
        </w:rPr>
        <w:t>供有副本</w:t>
      </w:r>
      <w:r w:rsidRPr="004306A3">
        <w:rPr>
          <w:rStyle w:val="EndnoteTextChar"/>
          <w:rFonts w:hint="eastAsia"/>
          <w:spacing w:val="-4"/>
        </w:rPr>
        <w:t>)</w:t>
      </w:r>
      <w:r w:rsidRPr="004306A3">
        <w:rPr>
          <w:rStyle w:val="EndnoteTextChar"/>
          <w:rFonts w:hint="eastAsia"/>
          <w:spacing w:val="-2"/>
        </w:rPr>
        <w:t>。</w:t>
      </w:r>
    </w:p>
  </w:footnote>
  <w:footnote w:id="8">
    <w:p w:rsidR="008171DC" w:rsidRPr="00710157" w:rsidRDefault="008171DC" w:rsidP="004306A3">
      <w:pPr>
        <w:pStyle w:val="FootnoteText"/>
        <w:rPr>
          <w:rStyle w:val="EndnoteTextChar"/>
        </w:rPr>
      </w:pPr>
      <w:r>
        <w:rPr>
          <w:rFonts w:hint="eastAsia"/>
        </w:rPr>
        <w:tab/>
      </w:r>
      <w:r>
        <w:rPr>
          <w:rStyle w:val="FootnoteReference"/>
        </w:rPr>
        <w:footnoteRef/>
      </w:r>
      <w:r>
        <w:rPr>
          <w:rFonts w:hint="eastAsia"/>
        </w:rPr>
        <w:tab/>
      </w:r>
      <w:r>
        <w:rPr>
          <w:rFonts w:hint="eastAsia"/>
        </w:rPr>
        <w:t>缔约国特别提到委员会关于第</w:t>
      </w:r>
      <w:r>
        <w:t>245/2004</w:t>
      </w:r>
      <w:r>
        <w:rPr>
          <w:rFonts w:hint="eastAsia"/>
        </w:rPr>
        <w:t>号来文</w:t>
      </w:r>
      <w:r>
        <w:t>，</w:t>
      </w:r>
      <w:r w:rsidRPr="00CB72B1">
        <w:rPr>
          <w:i/>
        </w:rPr>
        <w:t>S.S.S</w:t>
      </w:r>
      <w:r>
        <w:rPr>
          <w:i/>
        </w:rPr>
        <w:t>.</w:t>
      </w:r>
      <w:r w:rsidRPr="0047748C">
        <w:rPr>
          <w:rFonts w:eastAsia="KaiTi_GB2312" w:hint="eastAsia"/>
        </w:rPr>
        <w:t>诉</w:t>
      </w:r>
      <w:r>
        <w:rPr>
          <w:rFonts w:eastAsia="KaiTi_GB2312" w:hint="eastAsia"/>
        </w:rPr>
        <w:t>加拿大</w:t>
      </w:r>
      <w:r w:rsidRPr="00710157">
        <w:rPr>
          <w:rStyle w:val="EndnoteTextChar"/>
          <w:rFonts w:hint="eastAsia"/>
        </w:rPr>
        <w:t>的决定</w:t>
      </w:r>
      <w:r>
        <w:rPr>
          <w:rStyle w:val="EndnoteTextChar"/>
          <w:rFonts w:hint="eastAsia"/>
        </w:rPr>
        <w:t>，</w:t>
      </w:r>
      <w:r>
        <w:rPr>
          <w:rStyle w:val="EndnoteTextChar"/>
          <w:rFonts w:hint="eastAsia"/>
        </w:rPr>
        <w:t>2005</w:t>
      </w:r>
      <w:r>
        <w:rPr>
          <w:rStyle w:val="EndnoteTextChar"/>
          <w:rFonts w:hint="eastAsia"/>
        </w:rPr>
        <w:t>年</w:t>
      </w:r>
      <w:r>
        <w:rPr>
          <w:rStyle w:val="EndnoteTextChar"/>
          <w:rFonts w:hint="eastAsia"/>
        </w:rPr>
        <w:t>11</w:t>
      </w:r>
      <w:r>
        <w:rPr>
          <w:rStyle w:val="EndnoteTextChar"/>
          <w:rFonts w:hint="eastAsia"/>
        </w:rPr>
        <w:t>月</w:t>
      </w:r>
      <w:r>
        <w:rPr>
          <w:rStyle w:val="EndnoteTextChar"/>
          <w:rFonts w:hint="eastAsia"/>
        </w:rPr>
        <w:t>16</w:t>
      </w:r>
      <w:r>
        <w:rPr>
          <w:rStyle w:val="EndnoteTextChar"/>
          <w:rFonts w:hint="eastAsia"/>
        </w:rPr>
        <w:t>日通过，第</w:t>
      </w:r>
      <w:r>
        <w:rPr>
          <w:rStyle w:val="EndnoteTextChar"/>
          <w:rFonts w:hint="eastAsia"/>
        </w:rPr>
        <w:t>8.3</w:t>
      </w:r>
      <w:r>
        <w:rPr>
          <w:rStyle w:val="EndnoteTextChar"/>
          <w:rFonts w:hint="eastAsia"/>
        </w:rPr>
        <w:t>和</w:t>
      </w:r>
      <w:r>
        <w:rPr>
          <w:rStyle w:val="EndnoteTextChar"/>
          <w:rFonts w:hint="eastAsia"/>
        </w:rPr>
        <w:t>8.5</w:t>
      </w:r>
      <w:r>
        <w:rPr>
          <w:rStyle w:val="EndnoteTextCha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C" w:rsidRPr="00021481" w:rsidRDefault="008171DC">
    <w:pPr>
      <w:pStyle w:val="Header"/>
    </w:pPr>
    <w:r w:rsidRPr="00021481">
      <w:t>CAT/C/49D/346/2008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C" w:rsidRPr="00021481" w:rsidRDefault="008171DC" w:rsidP="00C56429">
    <w:pPr>
      <w:pStyle w:val="Header"/>
      <w:jc w:val="right"/>
      <w:rPr>
        <w:rFonts w:hint="eastAsia"/>
        <w:lang w:eastAsia="zh-CN"/>
      </w:rPr>
    </w:pPr>
    <w:r w:rsidRPr="00021481">
      <w:rPr>
        <w:lang w:eastAsia="zh-CN"/>
      </w:rPr>
      <w:t>CAT/C/49D/346/2008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C204783"/>
    <w:multiLevelType w:val="hybridMultilevel"/>
    <w:tmpl w:val="4A5C3C6C"/>
    <w:lvl w:ilvl="0" w:tplc="69FA323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9"/>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21"/>
  </w:num>
  <w:num w:numId="21">
    <w:abstractNumId w:val="10"/>
  </w:num>
  <w:num w:numId="22">
    <w:abstractNumId w:val="16"/>
  </w:num>
  <w:num w:numId="23">
    <w:abstractNumId w:val="13"/>
  </w:num>
  <w:num w:numId="24">
    <w:abstractNumId w:val="22"/>
  </w:num>
  <w:num w:numId="25">
    <w:abstractNumId w:val="18"/>
  </w:num>
  <w:num w:numId="26">
    <w:abstractNumId w:val="15"/>
  </w:num>
  <w:num w:numId="27">
    <w:abstractNumId w:val="24"/>
  </w:num>
  <w:num w:numId="28">
    <w:abstractNumId w:val="22"/>
  </w:num>
  <w:num w:numId="29">
    <w:abstractNumId w:val="18"/>
  </w:num>
  <w:num w:numId="30">
    <w:abstractNumId w:val="15"/>
  </w:num>
  <w:num w:numId="31">
    <w:abstractNumId w:val="21"/>
  </w:num>
  <w:num w:numId="32">
    <w:abstractNumId w:val="10"/>
  </w:num>
  <w:num w:numId="33">
    <w:abstractNumId w:val="16"/>
  </w:num>
  <w:num w:numId="34">
    <w:abstractNumId w:val="24"/>
  </w:num>
  <w:num w:numId="35">
    <w:abstractNumId w:val="17"/>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982"/>
    <w:rsid w:val="000058EC"/>
    <w:rsid w:val="00011569"/>
    <w:rsid w:val="00021481"/>
    <w:rsid w:val="00027608"/>
    <w:rsid w:val="00046581"/>
    <w:rsid w:val="00055D21"/>
    <w:rsid w:val="00066D74"/>
    <w:rsid w:val="000725DD"/>
    <w:rsid w:val="00076F85"/>
    <w:rsid w:val="00092A0D"/>
    <w:rsid w:val="00094095"/>
    <w:rsid w:val="000A01D8"/>
    <w:rsid w:val="000A551A"/>
    <w:rsid w:val="000C1A2F"/>
    <w:rsid w:val="000C4087"/>
    <w:rsid w:val="000C6070"/>
    <w:rsid w:val="000D1566"/>
    <w:rsid w:val="000F00DC"/>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52072"/>
    <w:rsid w:val="002521E9"/>
    <w:rsid w:val="00296B09"/>
    <w:rsid w:val="002B6A04"/>
    <w:rsid w:val="003126F9"/>
    <w:rsid w:val="00325EF5"/>
    <w:rsid w:val="003412AD"/>
    <w:rsid w:val="003517C6"/>
    <w:rsid w:val="00355A94"/>
    <w:rsid w:val="003613F6"/>
    <w:rsid w:val="003617F4"/>
    <w:rsid w:val="00376C5B"/>
    <w:rsid w:val="003843D8"/>
    <w:rsid w:val="0038638B"/>
    <w:rsid w:val="00386DA3"/>
    <w:rsid w:val="00391902"/>
    <w:rsid w:val="00401C99"/>
    <w:rsid w:val="00403D57"/>
    <w:rsid w:val="004306A3"/>
    <w:rsid w:val="00446028"/>
    <w:rsid w:val="00481982"/>
    <w:rsid w:val="0049385A"/>
    <w:rsid w:val="00496FA9"/>
    <w:rsid w:val="004D3F9C"/>
    <w:rsid w:val="004D4B56"/>
    <w:rsid w:val="004D5556"/>
    <w:rsid w:val="004E1A04"/>
    <w:rsid w:val="004E2B57"/>
    <w:rsid w:val="004E678D"/>
    <w:rsid w:val="00515BE0"/>
    <w:rsid w:val="00516C7C"/>
    <w:rsid w:val="0053311A"/>
    <w:rsid w:val="00561C95"/>
    <w:rsid w:val="005B4399"/>
    <w:rsid w:val="005E1F6E"/>
    <w:rsid w:val="005F1AF4"/>
    <w:rsid w:val="00601F88"/>
    <w:rsid w:val="00606650"/>
    <w:rsid w:val="00626C95"/>
    <w:rsid w:val="00633D02"/>
    <w:rsid w:val="00634C3D"/>
    <w:rsid w:val="00641EF6"/>
    <w:rsid w:val="006625DC"/>
    <w:rsid w:val="00673E9B"/>
    <w:rsid w:val="006944EA"/>
    <w:rsid w:val="006B3550"/>
    <w:rsid w:val="00715915"/>
    <w:rsid w:val="00721E6D"/>
    <w:rsid w:val="00756374"/>
    <w:rsid w:val="00761BF9"/>
    <w:rsid w:val="0079383F"/>
    <w:rsid w:val="0079553A"/>
    <w:rsid w:val="007A32CB"/>
    <w:rsid w:val="007B5A04"/>
    <w:rsid w:val="007C1091"/>
    <w:rsid w:val="007C3EED"/>
    <w:rsid w:val="007D6445"/>
    <w:rsid w:val="007E208B"/>
    <w:rsid w:val="00800A05"/>
    <w:rsid w:val="00800F27"/>
    <w:rsid w:val="00805092"/>
    <w:rsid w:val="00813BC4"/>
    <w:rsid w:val="008171DC"/>
    <w:rsid w:val="00825287"/>
    <w:rsid w:val="0083376D"/>
    <w:rsid w:val="008571A0"/>
    <w:rsid w:val="008573F1"/>
    <w:rsid w:val="008651B9"/>
    <w:rsid w:val="00865F9A"/>
    <w:rsid w:val="00873C25"/>
    <w:rsid w:val="008D6116"/>
    <w:rsid w:val="008E7CA7"/>
    <w:rsid w:val="008F4B6E"/>
    <w:rsid w:val="008F5B7D"/>
    <w:rsid w:val="009015AF"/>
    <w:rsid w:val="00932EAB"/>
    <w:rsid w:val="009502BD"/>
    <w:rsid w:val="00953E65"/>
    <w:rsid w:val="00973D44"/>
    <w:rsid w:val="00984DAB"/>
    <w:rsid w:val="009852F5"/>
    <w:rsid w:val="009A4D41"/>
    <w:rsid w:val="009B4331"/>
    <w:rsid w:val="009F5AE0"/>
    <w:rsid w:val="00A02DA3"/>
    <w:rsid w:val="00A22F01"/>
    <w:rsid w:val="00A30B03"/>
    <w:rsid w:val="00A45F96"/>
    <w:rsid w:val="00A5135B"/>
    <w:rsid w:val="00A74043"/>
    <w:rsid w:val="00A77115"/>
    <w:rsid w:val="00A77618"/>
    <w:rsid w:val="00A879C2"/>
    <w:rsid w:val="00AC7CE6"/>
    <w:rsid w:val="00AD10BC"/>
    <w:rsid w:val="00AE14E1"/>
    <w:rsid w:val="00AF5F1E"/>
    <w:rsid w:val="00B067A1"/>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80338"/>
    <w:rsid w:val="00C917CC"/>
    <w:rsid w:val="00C91A07"/>
    <w:rsid w:val="00C956B9"/>
    <w:rsid w:val="00CB38D9"/>
    <w:rsid w:val="00CC6728"/>
    <w:rsid w:val="00CD6F63"/>
    <w:rsid w:val="00D039EE"/>
    <w:rsid w:val="00D40103"/>
    <w:rsid w:val="00D40281"/>
    <w:rsid w:val="00D4682E"/>
    <w:rsid w:val="00D710CF"/>
    <w:rsid w:val="00D71651"/>
    <w:rsid w:val="00D75B05"/>
    <w:rsid w:val="00D83B4B"/>
    <w:rsid w:val="00DA658B"/>
    <w:rsid w:val="00DC0297"/>
    <w:rsid w:val="00DF018C"/>
    <w:rsid w:val="00DF3D7E"/>
    <w:rsid w:val="00E04D00"/>
    <w:rsid w:val="00E11F54"/>
    <w:rsid w:val="00E15F5D"/>
    <w:rsid w:val="00E30F4B"/>
    <w:rsid w:val="00E80EE4"/>
    <w:rsid w:val="00EB58F3"/>
    <w:rsid w:val="00EC2359"/>
    <w:rsid w:val="00EE195B"/>
    <w:rsid w:val="00EE3782"/>
    <w:rsid w:val="00F02747"/>
    <w:rsid w:val="00F03CC4"/>
    <w:rsid w:val="00F118F2"/>
    <w:rsid w:val="00F3417C"/>
    <w:rsid w:val="00F6357E"/>
    <w:rsid w:val="00F77050"/>
    <w:rsid w:val="00F82D07"/>
    <w:rsid w:val="00F85DFD"/>
    <w:rsid w:val="00F86194"/>
    <w:rsid w:val="00F94C89"/>
    <w:rsid w:val="00FA2C35"/>
    <w:rsid w:val="00FC6DA6"/>
    <w:rsid w:val="00FD0260"/>
    <w:rsid w:val="00FD739A"/>
    <w:rsid w:val="00FE42AD"/>
    <w:rsid w:val="00FE664C"/>
    <w:rsid w:val="00FF1252"/>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link w:val="FootnoteTextChar"/>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link w:val="EndnoteTextChar"/>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306A3"/>
  </w:style>
  <w:style w:type="character" w:customStyle="1" w:styleId="FootnoteTextChar">
    <w:name w:val="Footnote Text Char"/>
    <w:link w:val="FootnoteText"/>
    <w:rsid w:val="004306A3"/>
    <w:rPr>
      <w:rFonts w:eastAsia="SimSun"/>
      <w:snapToGrid w:val="0"/>
      <w:sz w:val="18"/>
      <w:lang w:val="en-US" w:eastAsia="zh-CN" w:bidi="ar-SA"/>
    </w:rPr>
  </w:style>
  <w:style w:type="character" w:customStyle="1" w:styleId="EndnoteTextChar">
    <w:name w:val="Endnote Text Char"/>
    <w:basedOn w:val="FootnoteTextChar"/>
    <w:link w:val="EndnoteText"/>
    <w:rsid w:val="004306A3"/>
    <w:rPr>
      <w:rFonts w:eastAsia="SimSun"/>
      <w:snapToGrid w:val="0"/>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Template>
  <TotalTime>2</TotalTime>
  <Pages>1</Pages>
  <Words>3086</Words>
  <Characters>3304</Characters>
  <Application>Microsoft Office Word</Application>
  <DocSecurity>4</DocSecurity>
  <Lines>132</Lines>
  <Paragraphs>92</Paragraphs>
  <ScaleCrop>false</ScaleCrop>
  <Company>CSD</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2013-03-21T14:36:00Z</cp:lastPrinted>
  <dcterms:created xsi:type="dcterms:W3CDTF">2013-03-21T14:36:00Z</dcterms:created>
  <dcterms:modified xsi:type="dcterms:W3CDTF">2013-03-21T14:38:00Z</dcterms:modified>
</cp:coreProperties>
</file>