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89" w:tblpY="568"/>
        <w:tblOverlap w:val="never"/>
        <w:bidiVisual/>
        <w:tblW w:w="9639" w:type="dxa"/>
        <w:tblInd w:w="18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1885"/>
        <w:gridCol w:w="2868"/>
        <w:gridCol w:w="3612"/>
      </w:tblGrid>
      <w:tr w:rsidR="00AD0014" w:rsidRPr="00DB7679" w:rsidTr="005B46D9">
        <w:trPr>
          <w:trHeight w:hRule="exact" w:val="851"/>
        </w:trPr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AD0014" w:rsidRPr="000F3A9F" w:rsidRDefault="00AD0014" w:rsidP="00BC55C8">
            <w:pPr>
              <w:rPr>
                <w:rFonts w:hint="cs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AD0014" w:rsidRPr="00DB7679" w:rsidRDefault="00AD0014" w:rsidP="00BC55C8">
            <w:pPr>
              <w:spacing w:after="80" w:line="480" w:lineRule="exact"/>
              <w:jc w:val="left"/>
              <w:rPr>
                <w:rFonts w:hint="cs"/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bottom"/>
          </w:tcPr>
          <w:p w:rsidR="00AD0014" w:rsidRPr="00DB7679" w:rsidRDefault="0067691F" w:rsidP="0067691F">
            <w:pPr>
              <w:bidi w:val="0"/>
              <w:spacing w:after="20"/>
              <w:jc w:val="left"/>
              <w:rPr>
                <w:szCs w:val="20"/>
              </w:rPr>
            </w:pPr>
            <w:r w:rsidRPr="0067691F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/C/49/3</w:t>
            </w:r>
          </w:p>
        </w:tc>
      </w:tr>
      <w:tr w:rsidR="00257225" w:rsidRPr="00DB7679" w:rsidTr="005B46D9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257225" w:rsidRPr="00DB7679" w:rsidRDefault="00C64FE1" w:rsidP="00D75657">
            <w:pPr>
              <w:jc w:val="center"/>
              <w:rPr>
                <w:rFonts w:hint="cs"/>
              </w:rPr>
            </w:pPr>
            <w:r w:rsidRPr="00DB7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9.5pt" o:allowincell="f" o:allowoverlap="f">
                  <v:imagedata r:id="rId7" o:title=""/>
                </v:shape>
              </w:pic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7225" w:rsidRPr="005B46D9" w:rsidRDefault="00257225" w:rsidP="005A7259">
            <w:pPr>
              <w:bidi w:val="0"/>
              <w:rPr>
                <w:szCs w:val="60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12" w:space="0" w:color="auto"/>
            </w:tcBorders>
          </w:tcPr>
          <w:p w:rsidR="0067691F" w:rsidRDefault="0067691F" w:rsidP="0067691F">
            <w:pPr>
              <w:bidi w:val="0"/>
              <w:spacing w:before="240"/>
              <w:jc w:val="left"/>
            </w:pPr>
            <w:r>
              <w:t>Distr.: General</w:t>
            </w:r>
          </w:p>
          <w:p w:rsidR="0067691F" w:rsidRDefault="0067691F" w:rsidP="0067691F">
            <w:pPr>
              <w:bidi w:val="0"/>
              <w:jc w:val="left"/>
            </w:pPr>
            <w:r>
              <w:t>17 April 2013</w:t>
            </w:r>
          </w:p>
          <w:p w:rsidR="0067691F" w:rsidRDefault="0067691F" w:rsidP="0067691F">
            <w:pPr>
              <w:bidi w:val="0"/>
              <w:jc w:val="left"/>
            </w:pPr>
            <w:r>
              <w:t>Arabic</w:t>
            </w:r>
          </w:p>
          <w:p w:rsidR="00257225" w:rsidRPr="008B4BC6" w:rsidRDefault="0067691F" w:rsidP="0067691F">
            <w:pPr>
              <w:bidi w:val="0"/>
              <w:jc w:val="left"/>
            </w:pPr>
            <w:r>
              <w:t>Original: English</w:t>
            </w:r>
          </w:p>
        </w:tc>
      </w:tr>
    </w:tbl>
    <w:p w:rsidR="008B4BC6" w:rsidRPr="007F4FA5" w:rsidRDefault="002B15AF" w:rsidP="007F4FA5">
      <w:pPr>
        <w:spacing w:before="120" w:line="380" w:lineRule="exact"/>
        <w:rPr>
          <w:rFonts w:hint="cs"/>
          <w:b/>
          <w:bCs/>
          <w:sz w:val="26"/>
          <w:szCs w:val="36"/>
          <w:rtl/>
        </w:rPr>
      </w:pPr>
      <w:r>
        <w:rPr>
          <w:rFonts w:hint="cs"/>
          <w:b/>
          <w:bCs/>
          <w:sz w:val="26"/>
          <w:szCs w:val="36"/>
          <w:rtl/>
        </w:rPr>
        <w:t>لجنة مناهضة التعذيب</w:t>
      </w:r>
    </w:p>
    <w:p w:rsidR="00A316D1" w:rsidRDefault="0071150B" w:rsidP="00DF1F76">
      <w:pPr>
        <w:pStyle w:val="HChGA"/>
        <w:rPr>
          <w:rFonts w:hint="cs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A316D1" w:rsidRPr="00B72119">
        <w:rPr>
          <w:rFonts w:hint="cs"/>
          <w:rtl/>
        </w:rPr>
        <w:t>بيان لجنـة مناهضة التعذيب الذي اعتمدته في دورتها التاسعة والأربعين (29 تشرين الأول/أكتوبر</w:t>
      </w:r>
      <w:r w:rsidR="00030158">
        <w:rPr>
          <w:rFonts w:hint="cs"/>
          <w:rtl/>
        </w:rPr>
        <w:t xml:space="preserve"> </w:t>
      </w:r>
      <w:r w:rsidR="00A316D1" w:rsidRPr="00B72119">
        <w:rPr>
          <w:rFonts w:hint="cs"/>
          <w:rtl/>
        </w:rPr>
        <w:t>-</w:t>
      </w:r>
      <w:r w:rsidR="00DF1F76">
        <w:rPr>
          <w:rFonts w:hint="cs"/>
          <w:rtl/>
        </w:rPr>
        <w:t xml:space="preserve"> </w:t>
      </w:r>
      <w:r w:rsidR="00A316D1" w:rsidRPr="00B72119">
        <w:rPr>
          <w:rFonts w:hint="cs"/>
          <w:rtl/>
        </w:rPr>
        <w:t>23</w:t>
      </w:r>
      <w:r w:rsidR="00030158">
        <w:rPr>
          <w:rFonts w:hint="cs"/>
          <w:rtl/>
        </w:rPr>
        <w:t xml:space="preserve"> </w:t>
      </w:r>
      <w:r w:rsidR="00A316D1" w:rsidRPr="00B72119">
        <w:rPr>
          <w:rFonts w:hint="cs"/>
          <w:rtl/>
        </w:rPr>
        <w:t>تشرين الثاني/</w:t>
      </w:r>
      <w:r w:rsidR="009F3946">
        <w:rPr>
          <w:rFonts w:hint="cs"/>
          <w:rtl/>
        </w:rPr>
        <w:t xml:space="preserve">              </w:t>
      </w:r>
      <w:r w:rsidR="00A316D1" w:rsidRPr="00B72119">
        <w:rPr>
          <w:rFonts w:hint="cs"/>
          <w:rtl/>
        </w:rPr>
        <w:t xml:space="preserve">نوفمبر </w:t>
      </w:r>
      <w:r w:rsidR="00A316D1" w:rsidRPr="00FE46EE">
        <w:rPr>
          <w:rtl/>
        </w:rPr>
        <w:t xml:space="preserve">2012) بشأن المبادئ التوجيهية المتعلقة باستقلال </w:t>
      </w:r>
      <w:r w:rsidR="00A316D1">
        <w:rPr>
          <w:rFonts w:hint="cs"/>
          <w:rtl/>
        </w:rPr>
        <w:t xml:space="preserve">وحياد </w:t>
      </w:r>
      <w:r w:rsidR="00A316D1" w:rsidRPr="00FE46EE">
        <w:rPr>
          <w:rtl/>
        </w:rPr>
        <w:t xml:space="preserve">أعضاء هيئات معاهدات حقوق الإنسان </w:t>
      </w:r>
      <w:r w:rsidR="00A316D1">
        <w:rPr>
          <w:rFonts w:hint="cs"/>
          <w:rtl/>
        </w:rPr>
        <w:t>("مبادئ أديس أبابا التوجيهية")</w:t>
      </w:r>
    </w:p>
    <w:p w:rsidR="00A316D1" w:rsidRPr="00B46ED0" w:rsidRDefault="00A316D1" w:rsidP="00D5315C">
      <w:pPr>
        <w:pStyle w:val="SingleTxtGA"/>
        <w:rPr>
          <w:rFonts w:hint="cs"/>
          <w:spacing w:val="4"/>
          <w:rtl/>
        </w:rPr>
      </w:pPr>
      <w:r w:rsidRPr="00E505CD">
        <w:rPr>
          <w:rFonts w:hint="cs"/>
          <w:spacing w:val="4"/>
          <w:rtl/>
        </w:rPr>
        <w:t>1-</w:t>
      </w:r>
      <w:r w:rsidRPr="00E505CD">
        <w:rPr>
          <w:rFonts w:hint="cs"/>
          <w:spacing w:val="4"/>
          <w:rtl/>
        </w:rPr>
        <w:tab/>
      </w:r>
      <w:r w:rsidRPr="00B46ED0">
        <w:rPr>
          <w:rFonts w:hint="cs"/>
          <w:spacing w:val="4"/>
          <w:rtl/>
        </w:rPr>
        <w:t>ناقش أعضاء لجنة مناهضة التعذيب، خلال الدورة التاسعة والأربعين للجنة،</w:t>
      </w:r>
      <w:r w:rsidRPr="00B46ED0">
        <w:rPr>
          <w:spacing w:val="4"/>
          <w:rtl/>
        </w:rPr>
        <w:t xml:space="preserve"> </w:t>
      </w:r>
      <w:r w:rsidRPr="00B46ED0">
        <w:rPr>
          <w:rtl/>
        </w:rPr>
        <w:t>المبا</w:t>
      </w:r>
      <w:r>
        <w:rPr>
          <w:rtl/>
        </w:rPr>
        <w:t>دئ التوجيهية المتعلقة باستقلال</w:t>
      </w:r>
      <w:r>
        <w:rPr>
          <w:rFonts w:hint="cs"/>
          <w:rtl/>
        </w:rPr>
        <w:t xml:space="preserve"> وحياد</w:t>
      </w:r>
      <w:r w:rsidRPr="00B46ED0">
        <w:rPr>
          <w:rtl/>
        </w:rPr>
        <w:t xml:space="preserve"> أعضاء هيئات معاهدات حقوق الإنسان </w:t>
      </w:r>
      <w:r w:rsidRPr="00B46ED0">
        <w:rPr>
          <w:rFonts w:hint="cs"/>
          <w:rtl/>
        </w:rPr>
        <w:t xml:space="preserve">("مبادئ أديس أبابا التوجيهية"، المرفق الأول من الوثيقة </w:t>
      </w:r>
      <w:r w:rsidRPr="00B46ED0">
        <w:rPr>
          <w:rFonts w:eastAsia="Calibri"/>
        </w:rPr>
        <w:t>A/67/222</w:t>
      </w:r>
      <w:r w:rsidRPr="00B46ED0">
        <w:rPr>
          <w:rFonts w:hint="cs"/>
          <w:rtl/>
        </w:rPr>
        <w:t>، والوثيق</w:t>
      </w:r>
      <w:r w:rsidR="00A374A0">
        <w:rPr>
          <w:rFonts w:hint="cs"/>
          <w:rtl/>
        </w:rPr>
        <w:t xml:space="preserve">ة </w:t>
      </w:r>
      <w:r w:rsidRPr="00B46ED0">
        <w:rPr>
          <w:rFonts w:eastAsia="Calibri"/>
        </w:rPr>
        <w:t>A/67/222/Corr.</w:t>
      </w:r>
      <w:r w:rsidR="00A374A0">
        <w:rPr>
          <w:rFonts w:eastAsia="Calibri"/>
        </w:rPr>
        <w:t>1</w:t>
      </w:r>
      <w:r w:rsidR="00D5315C">
        <w:rPr>
          <w:rFonts w:hint="cs"/>
          <w:rtl/>
        </w:rPr>
        <w:t>)</w:t>
      </w:r>
      <w:r w:rsidRPr="00B46ED0">
        <w:rPr>
          <w:rFonts w:hint="cs"/>
          <w:rtl/>
        </w:rPr>
        <w:t xml:space="preserve">، وهي المبادئ </w:t>
      </w:r>
      <w:r w:rsidRPr="00B46ED0">
        <w:rPr>
          <w:rtl/>
        </w:rPr>
        <w:t xml:space="preserve">التي </w:t>
      </w:r>
      <w:r w:rsidRPr="00B46ED0">
        <w:rPr>
          <w:rFonts w:hint="cs"/>
          <w:rtl/>
        </w:rPr>
        <w:t>تعزز وتؤكد</w:t>
      </w:r>
      <w:r w:rsidRPr="00B46ED0">
        <w:rPr>
          <w:rtl/>
        </w:rPr>
        <w:t xml:space="preserve"> </w:t>
      </w:r>
      <w:r w:rsidRPr="00B46ED0">
        <w:rPr>
          <w:rFonts w:hint="cs"/>
          <w:rtl/>
        </w:rPr>
        <w:t>النظام الداخلي وأفضل الممارسات في 10 هيئات من هيئات معاهدات حقوق الإنسان التابعة للأمم المتحدة</w:t>
      </w:r>
      <w:r w:rsidR="00782E5C">
        <w:rPr>
          <w:vertAlign w:val="superscript"/>
          <w:rtl/>
        </w:rPr>
        <w:t>(</w:t>
      </w:r>
      <w:r w:rsidR="00782E5C">
        <w:rPr>
          <w:rStyle w:val="FootnoteReference"/>
          <w:rtl/>
        </w:rPr>
        <w:footnoteReference w:id="1"/>
      </w:r>
      <w:r w:rsidR="00782E5C">
        <w:rPr>
          <w:vertAlign w:val="superscript"/>
          <w:rtl/>
        </w:rPr>
        <w:t>)</w:t>
      </w:r>
      <w:r w:rsidRPr="00B46ED0">
        <w:rPr>
          <w:rFonts w:hint="cs"/>
          <w:rtl/>
        </w:rPr>
        <w:t>.</w:t>
      </w:r>
      <w:r w:rsidR="00997D33">
        <w:rPr>
          <w:rFonts w:hint="cs"/>
          <w:rtl/>
        </w:rPr>
        <w:t xml:space="preserve"> </w:t>
      </w:r>
      <w:r w:rsidRPr="00B46ED0">
        <w:rPr>
          <w:rFonts w:hint="cs"/>
          <w:rtl/>
        </w:rPr>
        <w:t xml:space="preserve">ويرحب </w:t>
      </w:r>
      <w:r w:rsidRPr="00B46ED0">
        <w:rPr>
          <w:rtl/>
        </w:rPr>
        <w:t>أعضاء اللجنة بالمبادرة التي اتخذ</w:t>
      </w:r>
      <w:r w:rsidRPr="00B46ED0">
        <w:rPr>
          <w:rFonts w:hint="cs"/>
          <w:rtl/>
        </w:rPr>
        <w:t>ها</w:t>
      </w:r>
      <w:r w:rsidRPr="00B46ED0">
        <w:rPr>
          <w:rtl/>
        </w:rPr>
        <w:t xml:space="preserve"> الاجتماعا</w:t>
      </w:r>
      <w:r w:rsidRPr="00B46ED0">
        <w:rPr>
          <w:rFonts w:hint="cs"/>
          <w:rtl/>
        </w:rPr>
        <w:t>ن</w:t>
      </w:r>
      <w:r w:rsidRPr="00B46ED0">
        <w:rPr>
          <w:rtl/>
        </w:rPr>
        <w:t xml:space="preserve"> الثالث والعشر</w:t>
      </w:r>
      <w:r w:rsidRPr="00B46ED0">
        <w:rPr>
          <w:rFonts w:hint="cs"/>
          <w:rtl/>
        </w:rPr>
        <w:t>و</w:t>
      </w:r>
      <w:r w:rsidRPr="00B46ED0">
        <w:rPr>
          <w:rtl/>
        </w:rPr>
        <w:t>ن والراب</w:t>
      </w:r>
      <w:r w:rsidRPr="00B46ED0">
        <w:rPr>
          <w:rFonts w:hint="cs"/>
          <w:rtl/>
        </w:rPr>
        <w:t>ع</w:t>
      </w:r>
      <w:r w:rsidRPr="00B46ED0">
        <w:rPr>
          <w:rtl/>
        </w:rPr>
        <w:t xml:space="preserve"> والعشر</w:t>
      </w:r>
      <w:r w:rsidRPr="00B46ED0">
        <w:rPr>
          <w:rFonts w:hint="cs"/>
          <w:rtl/>
        </w:rPr>
        <w:t>و</w:t>
      </w:r>
      <w:r w:rsidRPr="00B46ED0">
        <w:rPr>
          <w:rtl/>
        </w:rPr>
        <w:t xml:space="preserve">ن لرؤساء </w:t>
      </w:r>
      <w:r w:rsidRPr="00B46ED0">
        <w:rPr>
          <w:rFonts w:hint="cs"/>
          <w:rtl/>
        </w:rPr>
        <w:t>هيئات</w:t>
      </w:r>
      <w:r w:rsidRPr="00B46ED0">
        <w:rPr>
          <w:rtl/>
        </w:rPr>
        <w:t xml:space="preserve"> </w:t>
      </w:r>
      <w:r w:rsidRPr="00B46ED0">
        <w:rPr>
          <w:rFonts w:hint="cs"/>
          <w:rtl/>
        </w:rPr>
        <w:t>ال</w:t>
      </w:r>
      <w:r w:rsidRPr="00B46ED0">
        <w:rPr>
          <w:rtl/>
        </w:rPr>
        <w:t>معاهدات</w:t>
      </w:r>
      <w:r w:rsidRPr="00B46ED0">
        <w:rPr>
          <w:rFonts w:hint="cs"/>
          <w:rtl/>
        </w:rPr>
        <w:t xml:space="preserve"> الذين أعدوا</w:t>
      </w:r>
      <w:r w:rsidRPr="00B46ED0">
        <w:rPr>
          <w:rtl/>
        </w:rPr>
        <w:t xml:space="preserve"> هذه المبادئ التوجيهية </w:t>
      </w:r>
      <w:r w:rsidRPr="00B46ED0">
        <w:rPr>
          <w:rFonts w:hint="cs"/>
          <w:rtl/>
        </w:rPr>
        <w:t>وأوصوا كل لجنة بالنظر فيها.</w:t>
      </w:r>
    </w:p>
    <w:p w:rsidR="00A316D1" w:rsidRDefault="00A316D1" w:rsidP="000C75D0">
      <w:pPr>
        <w:pStyle w:val="SingleTxtGA"/>
        <w:rPr>
          <w:rFonts w:hint="cs"/>
          <w:spacing w:val="4"/>
          <w:rtl/>
        </w:rPr>
      </w:pPr>
      <w:r>
        <w:rPr>
          <w:rFonts w:hint="cs"/>
          <w:spacing w:val="4"/>
          <w:rtl/>
        </w:rPr>
        <w:t>2</w:t>
      </w:r>
      <w:r w:rsidRPr="00E505CD">
        <w:rPr>
          <w:rFonts w:hint="cs"/>
          <w:spacing w:val="4"/>
          <w:rtl/>
        </w:rPr>
        <w:t>-</w:t>
      </w:r>
      <w:r w:rsidRPr="00E505CD">
        <w:rPr>
          <w:rFonts w:hint="cs"/>
          <w:spacing w:val="4"/>
          <w:rtl/>
        </w:rPr>
        <w:tab/>
      </w:r>
      <w:r>
        <w:rPr>
          <w:rFonts w:hint="cs"/>
          <w:spacing w:val="4"/>
          <w:rtl/>
        </w:rPr>
        <w:t>و</w:t>
      </w:r>
      <w:r>
        <w:rPr>
          <w:rFonts w:ascii="Traditional Arabic" w:hAnsi="Traditional Arabic" w:hint="cs"/>
          <w:spacing w:val="4"/>
          <w:rtl/>
        </w:rPr>
        <w:t>يرحب أعضاء</w:t>
      </w:r>
      <w:r w:rsidRPr="00FB1699">
        <w:rPr>
          <w:rFonts w:ascii="Traditional Arabic" w:hAnsi="Traditional Arabic"/>
          <w:spacing w:val="4"/>
          <w:rtl/>
        </w:rPr>
        <w:t xml:space="preserve"> لجنة مناهضة التعذيب</w:t>
      </w:r>
      <w:r w:rsidRPr="00FB1699">
        <w:rPr>
          <w:rFonts w:ascii="Traditional Arabic" w:hAnsi="Traditional Arabic" w:hint="cs"/>
          <w:spacing w:val="4"/>
          <w:rtl/>
        </w:rPr>
        <w:t xml:space="preserve"> بتقرير</w:t>
      </w:r>
      <w:r w:rsidRPr="00FB1699">
        <w:rPr>
          <w:rFonts w:hint="cs"/>
          <w:rtl/>
        </w:rPr>
        <w:t xml:space="preserve"> </w:t>
      </w:r>
      <w:r w:rsidRPr="00FB1699">
        <w:rPr>
          <w:rtl/>
        </w:rPr>
        <w:t xml:space="preserve">مفوضة الأمم المتحدة السامية لحقوق الإنسان عن تعزيز </w:t>
      </w:r>
      <w:r w:rsidRPr="006A02D9">
        <w:rPr>
          <w:rFonts w:hint="cs"/>
          <w:sz w:val="30"/>
          <w:rtl/>
        </w:rPr>
        <w:t>الهيئات المنشأة بموجب معاهدات الأمم المتحدة لحقوق الإنسان</w:t>
      </w:r>
      <w:r w:rsidRPr="00FB1699">
        <w:rPr>
          <w:rFonts w:hint="cs"/>
          <w:rtl/>
        </w:rPr>
        <w:t xml:space="preserve"> (</w:t>
      </w:r>
      <w:r w:rsidRPr="00FB1699">
        <w:rPr>
          <w:rFonts w:eastAsia="Calibri"/>
        </w:rPr>
        <w:t>A/66/860</w:t>
      </w:r>
      <w:r w:rsidRPr="00FB1699">
        <w:rPr>
          <w:rFonts w:hint="cs"/>
          <w:rtl/>
        </w:rPr>
        <w:t>)</w:t>
      </w:r>
      <w:r w:rsidRPr="00FB1699">
        <w:rPr>
          <w:rFonts w:ascii="Traditional Arabic" w:hAnsi="Traditional Arabic"/>
          <w:spacing w:val="4"/>
          <w:rtl/>
        </w:rPr>
        <w:t>،</w:t>
      </w:r>
      <w:r>
        <w:rPr>
          <w:rFonts w:ascii="Traditional Arabic" w:hAnsi="Traditional Arabic" w:hint="cs"/>
          <w:spacing w:val="4"/>
          <w:rtl/>
        </w:rPr>
        <w:t xml:space="preserve"> والذي </w:t>
      </w:r>
      <w:r w:rsidR="00BE279D">
        <w:rPr>
          <w:rFonts w:ascii="Traditional Arabic" w:hAnsi="Traditional Arabic" w:hint="cs"/>
          <w:spacing w:val="4"/>
          <w:rtl/>
        </w:rPr>
        <w:t>تشير</w:t>
      </w:r>
      <w:r>
        <w:rPr>
          <w:rFonts w:ascii="Traditional Arabic" w:hAnsi="Traditional Arabic" w:hint="cs"/>
          <w:spacing w:val="4"/>
          <w:rtl/>
        </w:rPr>
        <w:t xml:space="preserve"> فيه المفوضة السامية إلى "</w:t>
      </w:r>
      <w:r>
        <w:rPr>
          <w:rtl/>
        </w:rPr>
        <w:t xml:space="preserve">صلاحيات </w:t>
      </w:r>
      <w:r w:rsidR="00BE279D">
        <w:rPr>
          <w:rFonts w:hint="cs"/>
          <w:rtl/>
        </w:rPr>
        <w:t>هيئات المعاهدات فيما يتعلق بتحديد</w:t>
      </w:r>
      <w:r>
        <w:rPr>
          <w:rtl/>
        </w:rPr>
        <w:t xml:space="preserve"> أساليب </w:t>
      </w:r>
      <w:r w:rsidR="005E2037">
        <w:rPr>
          <w:rFonts w:hint="cs"/>
          <w:rtl/>
        </w:rPr>
        <w:t xml:space="preserve">عملها </w:t>
      </w:r>
      <w:r>
        <w:rPr>
          <w:rtl/>
        </w:rPr>
        <w:t xml:space="preserve">وقواعد الإجراءات </w:t>
      </w:r>
      <w:r w:rsidR="005E2037">
        <w:rPr>
          <w:rFonts w:hint="cs"/>
          <w:rtl/>
        </w:rPr>
        <w:t xml:space="preserve">الخاصة </w:t>
      </w:r>
      <w:proofErr w:type="spellStart"/>
      <w:r w:rsidR="005E2037">
        <w:rPr>
          <w:rFonts w:hint="cs"/>
          <w:rtl/>
        </w:rPr>
        <w:t>بها</w:t>
      </w:r>
      <w:proofErr w:type="spellEnd"/>
      <w:r w:rsidR="005E2037">
        <w:rPr>
          <w:rFonts w:hint="cs"/>
          <w:rtl/>
        </w:rPr>
        <w:t xml:space="preserve"> </w:t>
      </w:r>
      <w:r>
        <w:rPr>
          <w:rtl/>
        </w:rPr>
        <w:t>وضمان استقلالها على النحو المحدد في المعاهدات ذات الصلة</w:t>
      </w:r>
      <w:r>
        <w:rPr>
          <w:rFonts w:ascii="Traditional Arabic" w:hAnsi="Traditional Arabic" w:hint="cs"/>
          <w:spacing w:val="4"/>
          <w:rtl/>
        </w:rPr>
        <w:t xml:space="preserve">" (الصفحة </w:t>
      </w:r>
      <w:r w:rsidR="004E42D7">
        <w:rPr>
          <w:rFonts w:ascii="Traditional Arabic" w:hAnsi="Traditional Arabic" w:hint="cs"/>
          <w:spacing w:val="4"/>
          <w:rtl/>
        </w:rPr>
        <w:t>11</w:t>
      </w:r>
      <w:r>
        <w:rPr>
          <w:rFonts w:ascii="Traditional Arabic" w:hAnsi="Traditional Arabic" w:hint="cs"/>
          <w:spacing w:val="4"/>
          <w:rtl/>
        </w:rPr>
        <w:t>). وأكد تقرير المفوضة السامية أن "</w:t>
      </w:r>
      <w:r>
        <w:rPr>
          <w:rtl/>
        </w:rPr>
        <w:t>تحقيق مثل هذا المعيار من الاستقلال وال</w:t>
      </w:r>
      <w:r>
        <w:rPr>
          <w:rFonts w:hint="cs"/>
          <w:rtl/>
        </w:rPr>
        <w:t>حياد</w:t>
      </w:r>
      <w:r>
        <w:rPr>
          <w:rtl/>
        </w:rPr>
        <w:t xml:space="preserve"> يُعد</w:t>
      </w:r>
      <w:r>
        <w:rPr>
          <w:rFonts w:hint="cs"/>
          <w:rtl/>
        </w:rPr>
        <w:t>ّ</w:t>
      </w:r>
      <w:r w:rsidR="000C75D0">
        <w:rPr>
          <w:rtl/>
        </w:rPr>
        <w:t xml:space="preserve"> شرط</w:t>
      </w:r>
      <w:r>
        <w:rPr>
          <w:rtl/>
        </w:rPr>
        <w:t>ا</w:t>
      </w:r>
      <w:r w:rsidR="000C75D0">
        <w:rPr>
          <w:rFonts w:hint="cs"/>
          <w:rtl/>
        </w:rPr>
        <w:t>ً</w:t>
      </w:r>
      <w:r w:rsidR="000C75D0">
        <w:rPr>
          <w:rtl/>
        </w:rPr>
        <w:t xml:space="preserve"> مسبق</w:t>
      </w:r>
      <w:r>
        <w:rPr>
          <w:rtl/>
        </w:rPr>
        <w:t>ا</w:t>
      </w:r>
      <w:r w:rsidR="000C75D0">
        <w:rPr>
          <w:rFonts w:hint="cs"/>
          <w:rtl/>
        </w:rPr>
        <w:t>ً</w:t>
      </w:r>
      <w:r>
        <w:rPr>
          <w:rtl/>
        </w:rPr>
        <w:t xml:space="preserve"> لتحقيق الهدف </w:t>
      </w:r>
      <w:r w:rsidR="00EE4478">
        <w:rPr>
          <w:rFonts w:hint="cs"/>
          <w:rtl/>
        </w:rPr>
        <w:t>المنشود ل</w:t>
      </w:r>
      <w:r>
        <w:rPr>
          <w:rtl/>
        </w:rPr>
        <w:t xml:space="preserve">نظام </w:t>
      </w:r>
      <w:r>
        <w:rPr>
          <w:rFonts w:hint="cs"/>
          <w:rtl/>
        </w:rPr>
        <w:t>هيئات المعاهدات</w:t>
      </w:r>
      <w:r>
        <w:rPr>
          <w:rtl/>
        </w:rPr>
        <w:t>، وهو تقديم تقيي</w:t>
      </w:r>
      <w:r w:rsidR="000C75D0">
        <w:rPr>
          <w:rtl/>
        </w:rPr>
        <w:t>م وتوجيهات أكثر موضوعية واحترام</w:t>
      </w:r>
      <w:r>
        <w:rPr>
          <w:rtl/>
        </w:rPr>
        <w:t>ا</w:t>
      </w:r>
      <w:r w:rsidR="000C75D0">
        <w:rPr>
          <w:rFonts w:hint="cs"/>
          <w:rtl/>
        </w:rPr>
        <w:t>ً</w:t>
      </w:r>
      <w:r>
        <w:rPr>
          <w:rtl/>
        </w:rPr>
        <w:t xml:space="preserve"> للدول الأطراف في الوفاء بالتزاماتها الخاصة بمعاهدات حقوق الإنسان</w:t>
      </w:r>
      <w:r>
        <w:rPr>
          <w:rFonts w:ascii="Traditional Arabic" w:hAnsi="Traditional Arabic" w:hint="cs"/>
          <w:spacing w:val="4"/>
          <w:rtl/>
        </w:rPr>
        <w:t>" (الصفحة 105).</w:t>
      </w:r>
    </w:p>
    <w:p w:rsidR="00A316D1" w:rsidRPr="00FC4938" w:rsidRDefault="00A316D1" w:rsidP="00462889">
      <w:pPr>
        <w:pStyle w:val="SingleTxtGA"/>
        <w:rPr>
          <w:spacing w:val="4"/>
          <w:rtl/>
        </w:rPr>
      </w:pPr>
      <w:r w:rsidRPr="00403CC4">
        <w:rPr>
          <w:spacing w:val="4"/>
          <w:rtl/>
        </w:rPr>
        <w:t>3-</w:t>
      </w:r>
      <w:r w:rsidRPr="00403CC4">
        <w:rPr>
          <w:spacing w:val="4"/>
          <w:rtl/>
        </w:rPr>
        <w:tab/>
      </w:r>
      <w:r w:rsidRPr="00FC4938">
        <w:rPr>
          <w:rFonts w:hint="cs"/>
          <w:rtl/>
        </w:rPr>
        <w:t>و</w:t>
      </w:r>
      <w:r>
        <w:rPr>
          <w:rFonts w:hint="cs"/>
          <w:rtl/>
        </w:rPr>
        <w:t>يُ</w:t>
      </w:r>
      <w:r w:rsidRPr="00FC4938">
        <w:rPr>
          <w:rtl/>
        </w:rPr>
        <w:t>ذك</w:t>
      </w:r>
      <w:r w:rsidRPr="00FC4938">
        <w:rPr>
          <w:rFonts w:hint="cs"/>
          <w:rtl/>
        </w:rPr>
        <w:t>ّ</w:t>
      </w:r>
      <w:r w:rsidRPr="00FC4938">
        <w:rPr>
          <w:rtl/>
        </w:rPr>
        <w:t xml:space="preserve">ر أعضاء اللجنة </w:t>
      </w:r>
      <w:r w:rsidRPr="00FC4938">
        <w:rPr>
          <w:rFonts w:hint="cs"/>
          <w:rtl/>
        </w:rPr>
        <w:t xml:space="preserve">بأن </w:t>
      </w:r>
      <w:r w:rsidRPr="00FC4938">
        <w:rPr>
          <w:rtl/>
        </w:rPr>
        <w:t xml:space="preserve">المادة 18 من اتفاقية مناهضة التعذيب وغيره من ضروب المعاملة أو العقوبة القاسية أو </w:t>
      </w:r>
      <w:proofErr w:type="spellStart"/>
      <w:r w:rsidRPr="00FC4938">
        <w:rPr>
          <w:rtl/>
        </w:rPr>
        <w:t>اللاإنسانية</w:t>
      </w:r>
      <w:proofErr w:type="spellEnd"/>
      <w:r w:rsidRPr="00FC4938">
        <w:rPr>
          <w:rtl/>
        </w:rPr>
        <w:t xml:space="preserve"> أو المهينة، </w:t>
      </w:r>
      <w:r w:rsidRPr="00FC4938">
        <w:rPr>
          <w:rFonts w:hint="cs"/>
          <w:rtl/>
        </w:rPr>
        <w:t>تطلب من اللجنة وضع</w:t>
      </w:r>
      <w:r w:rsidRPr="00FC4938">
        <w:rPr>
          <w:rtl/>
        </w:rPr>
        <w:t xml:space="preserve"> "نظامها الداخلي"، وأن</w:t>
      </w:r>
      <w:r w:rsidRPr="00FC4938">
        <w:rPr>
          <w:rFonts w:hint="cs"/>
          <w:rtl/>
        </w:rPr>
        <w:t xml:space="preserve"> اللجنة قد حددت</w:t>
      </w:r>
      <w:r w:rsidR="000C324C">
        <w:rPr>
          <w:rFonts w:hint="cs"/>
          <w:rtl/>
        </w:rPr>
        <w:t xml:space="preserve"> </w:t>
      </w:r>
      <w:r w:rsidR="000C324C" w:rsidRPr="00FC4938">
        <w:rPr>
          <w:rtl/>
        </w:rPr>
        <w:t>في نظامها الداخلي</w:t>
      </w:r>
      <w:r w:rsidR="000C324C" w:rsidRPr="00FC4938">
        <w:rPr>
          <w:rFonts w:hint="cs"/>
          <w:rtl/>
        </w:rPr>
        <w:t xml:space="preserve"> (</w:t>
      </w:r>
      <w:r w:rsidR="000C324C" w:rsidRPr="00FC4938">
        <w:rPr>
          <w:rFonts w:eastAsia="Calibri"/>
        </w:rPr>
        <w:t>CAT/C/3/Rev.5</w:t>
      </w:r>
      <w:r w:rsidR="000C324C" w:rsidRPr="00FC4938">
        <w:rPr>
          <w:rFonts w:hint="cs"/>
          <w:rtl/>
        </w:rPr>
        <w:t>)</w:t>
      </w:r>
      <w:r w:rsidRPr="00FC4938">
        <w:rPr>
          <w:rtl/>
        </w:rPr>
        <w:t xml:space="preserve">، </w:t>
      </w:r>
      <w:r w:rsidRPr="00FC4938">
        <w:rPr>
          <w:rFonts w:hint="cs"/>
          <w:rtl/>
        </w:rPr>
        <w:t>لدى</w:t>
      </w:r>
      <w:r w:rsidRPr="00FC4938">
        <w:rPr>
          <w:rtl/>
        </w:rPr>
        <w:t xml:space="preserve"> </w:t>
      </w:r>
      <w:r w:rsidRPr="00FC4938">
        <w:rPr>
          <w:rFonts w:hint="cs"/>
          <w:rtl/>
        </w:rPr>
        <w:t>تطبيق</w:t>
      </w:r>
      <w:r w:rsidRPr="00FC4938">
        <w:rPr>
          <w:rtl/>
        </w:rPr>
        <w:t xml:space="preserve"> هذا الحكم </w:t>
      </w:r>
      <w:r w:rsidRPr="00FC4938">
        <w:rPr>
          <w:rFonts w:hint="cs"/>
          <w:rtl/>
        </w:rPr>
        <w:t>من أحكام المعاهدة</w:t>
      </w:r>
      <w:r w:rsidRPr="00FC4938">
        <w:rPr>
          <w:rtl/>
        </w:rPr>
        <w:t>، مستوى عال</w:t>
      </w:r>
      <w:r w:rsidRPr="00FC4938">
        <w:rPr>
          <w:rFonts w:hint="cs"/>
          <w:rtl/>
        </w:rPr>
        <w:t>ياً</w:t>
      </w:r>
      <w:r w:rsidRPr="00FC4938">
        <w:rPr>
          <w:rtl/>
        </w:rPr>
        <w:t xml:space="preserve"> </w:t>
      </w:r>
      <w:r w:rsidRPr="00FC4938">
        <w:rPr>
          <w:rFonts w:hint="cs"/>
          <w:rtl/>
        </w:rPr>
        <w:t>فيما يتعلق</w:t>
      </w:r>
      <w:r w:rsidRPr="00FC4938">
        <w:rPr>
          <w:rtl/>
        </w:rPr>
        <w:t xml:space="preserve"> </w:t>
      </w:r>
      <w:r w:rsidRPr="00FC4938">
        <w:rPr>
          <w:rFonts w:hint="cs"/>
          <w:rtl/>
        </w:rPr>
        <w:t>ب</w:t>
      </w:r>
      <w:r>
        <w:rPr>
          <w:rtl/>
        </w:rPr>
        <w:t>استقلال</w:t>
      </w:r>
      <w:r w:rsidRPr="00FC4938">
        <w:rPr>
          <w:rtl/>
        </w:rPr>
        <w:t xml:space="preserve"> و</w:t>
      </w:r>
      <w:r>
        <w:rPr>
          <w:rFonts w:hint="cs"/>
          <w:rtl/>
        </w:rPr>
        <w:t>حياد</w:t>
      </w:r>
      <w:r w:rsidRPr="00FC4938">
        <w:rPr>
          <w:rtl/>
        </w:rPr>
        <w:t xml:space="preserve"> أعضائها</w:t>
      </w:r>
      <w:r w:rsidRPr="00FC4938">
        <w:rPr>
          <w:rFonts w:hint="cs"/>
          <w:rtl/>
        </w:rPr>
        <w:t>.</w:t>
      </w:r>
      <w:r w:rsidRPr="00FC4938">
        <w:rPr>
          <w:rtl/>
        </w:rPr>
        <w:t xml:space="preserve"> </w:t>
      </w:r>
      <w:r>
        <w:rPr>
          <w:rFonts w:hint="cs"/>
          <w:rtl/>
        </w:rPr>
        <w:t>وبوجه خاص،</w:t>
      </w:r>
      <w:r w:rsidRPr="00FC4938">
        <w:rPr>
          <w:rtl/>
        </w:rPr>
        <w:t xml:space="preserve"> </w:t>
      </w:r>
      <w:r w:rsidR="00335B8A">
        <w:rPr>
          <w:rFonts w:hint="cs"/>
          <w:rtl/>
        </w:rPr>
        <w:t xml:space="preserve">تتناول </w:t>
      </w:r>
      <w:r w:rsidRPr="00FC4938">
        <w:rPr>
          <w:rtl/>
        </w:rPr>
        <w:t xml:space="preserve">المادة 15 "استقلال </w:t>
      </w:r>
      <w:r w:rsidRPr="00FC4938">
        <w:rPr>
          <w:rFonts w:hint="cs"/>
          <w:rtl/>
        </w:rPr>
        <w:t>ال</w:t>
      </w:r>
      <w:r w:rsidRPr="00FC4938">
        <w:rPr>
          <w:rtl/>
        </w:rPr>
        <w:t>أعضاء"</w:t>
      </w:r>
      <w:r w:rsidRPr="00FC4938">
        <w:rPr>
          <w:rFonts w:hint="cs"/>
          <w:rtl/>
        </w:rPr>
        <w:t xml:space="preserve">، وتتناول </w:t>
      </w:r>
      <w:r w:rsidRPr="00FC4938">
        <w:rPr>
          <w:rtl/>
        </w:rPr>
        <w:t>المادة 73 "</w:t>
      </w:r>
      <w:r>
        <w:rPr>
          <w:rFonts w:hint="cs"/>
          <w:rtl/>
        </w:rPr>
        <w:t>إلزامية عدم</w:t>
      </w:r>
      <w:r w:rsidRPr="00FC4938">
        <w:rPr>
          <w:rFonts w:hint="cs"/>
          <w:rtl/>
        </w:rPr>
        <w:t xml:space="preserve"> مشاركة أي عضو في النظر في تقرير ما أو حضوره خلال </w:t>
      </w:r>
      <w:r>
        <w:rPr>
          <w:rFonts w:hint="cs"/>
          <w:rtl/>
        </w:rPr>
        <w:t>النظر في هذا التقرير</w:t>
      </w:r>
      <w:r w:rsidRPr="00FC4938">
        <w:rPr>
          <w:rFonts w:hint="cs"/>
          <w:rtl/>
        </w:rPr>
        <w:t>".</w:t>
      </w:r>
    </w:p>
    <w:p w:rsidR="00A316D1" w:rsidRPr="00403CC4" w:rsidRDefault="00A316D1" w:rsidP="000668AC">
      <w:pPr>
        <w:pStyle w:val="SingleTxtGA"/>
        <w:rPr>
          <w:spacing w:val="4"/>
          <w:rtl/>
        </w:rPr>
      </w:pPr>
      <w:r w:rsidRPr="00403CC4">
        <w:rPr>
          <w:spacing w:val="4"/>
          <w:rtl/>
        </w:rPr>
        <w:t>4-</w:t>
      </w:r>
      <w:r w:rsidRPr="00403CC4">
        <w:rPr>
          <w:spacing w:val="4"/>
          <w:rtl/>
        </w:rPr>
        <w:tab/>
      </w:r>
      <w:r w:rsidRPr="002A16E0">
        <w:rPr>
          <w:rFonts w:hint="cs"/>
          <w:spacing w:val="4"/>
          <w:rtl/>
        </w:rPr>
        <w:t>ويلا</w:t>
      </w:r>
      <w:r w:rsidRPr="002A16E0">
        <w:rPr>
          <w:rtl/>
        </w:rPr>
        <w:t xml:space="preserve">حظ أعضاء اللجنة أن </w:t>
      </w:r>
      <w:r w:rsidRPr="002A16E0">
        <w:rPr>
          <w:rFonts w:hint="cs"/>
          <w:rtl/>
        </w:rPr>
        <w:t>م</w:t>
      </w:r>
      <w:r w:rsidRPr="002A16E0">
        <w:rPr>
          <w:rtl/>
        </w:rPr>
        <w:t xml:space="preserve">بادئ أديس أبابا التوجيهية </w:t>
      </w:r>
      <w:r w:rsidRPr="002A16E0">
        <w:rPr>
          <w:rFonts w:hint="cs"/>
          <w:rtl/>
        </w:rPr>
        <w:t>تعكس</w:t>
      </w:r>
      <w:r w:rsidRPr="002A16E0">
        <w:rPr>
          <w:rtl/>
        </w:rPr>
        <w:t xml:space="preserve"> وتؤكد </w:t>
      </w:r>
      <w:r w:rsidRPr="002A16E0">
        <w:rPr>
          <w:rFonts w:hint="cs"/>
          <w:rtl/>
        </w:rPr>
        <w:t>النظام</w:t>
      </w:r>
      <w:r w:rsidRPr="002A16E0">
        <w:rPr>
          <w:rtl/>
        </w:rPr>
        <w:t xml:space="preserve"> الداخلي</w:t>
      </w:r>
      <w:r w:rsidRPr="002A16E0">
        <w:rPr>
          <w:rFonts w:hint="cs"/>
          <w:rtl/>
        </w:rPr>
        <w:t xml:space="preserve"> للجنة</w:t>
      </w:r>
      <w:r w:rsidRPr="002A16E0">
        <w:rPr>
          <w:rtl/>
        </w:rPr>
        <w:t xml:space="preserve">، بما في ذلك الفقرة 1 من المادة 15 </w:t>
      </w:r>
      <w:r>
        <w:rPr>
          <w:rFonts w:hint="cs"/>
          <w:rtl/>
        </w:rPr>
        <w:t>المتعلقة</w:t>
      </w:r>
      <w:r w:rsidRPr="002A16E0">
        <w:rPr>
          <w:rFonts w:hint="cs"/>
          <w:rtl/>
        </w:rPr>
        <w:t xml:space="preserve"> </w:t>
      </w:r>
      <w:r w:rsidR="00E41542">
        <w:rPr>
          <w:rFonts w:hint="cs"/>
          <w:rtl/>
        </w:rPr>
        <w:t>ب</w:t>
      </w:r>
      <w:r w:rsidRPr="002A16E0">
        <w:rPr>
          <w:rFonts w:hint="cs"/>
          <w:rtl/>
        </w:rPr>
        <w:t>عدم خضوع</w:t>
      </w:r>
      <w:r>
        <w:rPr>
          <w:rtl/>
        </w:rPr>
        <w:t xml:space="preserve"> </w:t>
      </w:r>
      <w:r>
        <w:rPr>
          <w:rFonts w:hint="cs"/>
          <w:rtl/>
        </w:rPr>
        <w:t>الأعضاء</w:t>
      </w:r>
      <w:r w:rsidRPr="002A16E0">
        <w:rPr>
          <w:rFonts w:hint="cs"/>
          <w:rtl/>
        </w:rPr>
        <w:t xml:space="preserve"> إلا لمساءلة</w:t>
      </w:r>
      <w:r w:rsidRPr="002A16E0">
        <w:rPr>
          <w:rtl/>
        </w:rPr>
        <w:t xml:space="preserve"> "</w:t>
      </w:r>
      <w:r w:rsidRPr="002A16E0">
        <w:rPr>
          <w:rFonts w:hint="cs"/>
          <w:rtl/>
        </w:rPr>
        <w:t>اللجنة ولما يمليه عليهم ضميرهم</w:t>
      </w:r>
      <w:r w:rsidRPr="002A16E0">
        <w:rPr>
          <w:rtl/>
        </w:rPr>
        <w:t>". وتشير المبادئ التوجيهية أيضا</w:t>
      </w:r>
      <w:r w:rsidRPr="002A16E0">
        <w:rPr>
          <w:rFonts w:hint="cs"/>
          <w:rtl/>
        </w:rPr>
        <w:t>ً</w:t>
      </w:r>
      <w:r w:rsidRPr="002A16E0">
        <w:rPr>
          <w:rtl/>
        </w:rPr>
        <w:t xml:space="preserve"> إلى أن </w:t>
      </w:r>
      <w:r w:rsidRPr="002A16E0">
        <w:rPr>
          <w:rFonts w:hint="cs"/>
          <w:rtl/>
        </w:rPr>
        <w:t>ال</w:t>
      </w:r>
      <w:r w:rsidRPr="002A16E0">
        <w:rPr>
          <w:rtl/>
        </w:rPr>
        <w:t>أعضاء "</w:t>
      </w:r>
      <w:r w:rsidRPr="002A16E0">
        <w:rPr>
          <w:rFonts w:hint="cs"/>
          <w:rtl/>
        </w:rPr>
        <w:t>لا يتلقون توجيهات أو يُمارس عليهم نفوذ من أي نوع، أو</w:t>
      </w:r>
      <w:r w:rsidRPr="002A16E0">
        <w:rPr>
          <w:rFonts w:hint="eastAsia"/>
          <w:rtl/>
        </w:rPr>
        <w:t> </w:t>
      </w:r>
      <w:r w:rsidRPr="002A16E0">
        <w:rPr>
          <w:rFonts w:hint="cs"/>
          <w:rtl/>
        </w:rPr>
        <w:t>يتعرضون لضغط" من دولهم أو أي دولة أخرى أو وكالاتها"</w:t>
      </w:r>
      <w:r w:rsidRPr="002A16E0">
        <w:rPr>
          <w:rtl/>
        </w:rPr>
        <w:t xml:space="preserve">. </w:t>
      </w:r>
      <w:r w:rsidR="00B77E8A">
        <w:rPr>
          <w:rFonts w:hint="cs"/>
          <w:rtl/>
        </w:rPr>
        <w:t>وتدعو</w:t>
      </w:r>
      <w:r w:rsidRPr="002A16E0">
        <w:rPr>
          <w:rFonts w:hint="cs"/>
          <w:rtl/>
        </w:rPr>
        <w:t xml:space="preserve"> كل </w:t>
      </w:r>
      <w:r w:rsidR="00B77E8A">
        <w:rPr>
          <w:rFonts w:hint="cs"/>
          <w:rtl/>
        </w:rPr>
        <w:t xml:space="preserve">الأعضاء </w:t>
      </w:r>
      <w:r w:rsidRPr="002A16E0">
        <w:rPr>
          <w:rFonts w:hint="cs"/>
          <w:rtl/>
        </w:rPr>
        <w:t>والرئيس واللجنة ككل إلى</w:t>
      </w:r>
      <w:r w:rsidRPr="002A16E0">
        <w:rPr>
          <w:rtl/>
        </w:rPr>
        <w:t xml:space="preserve"> "</w:t>
      </w:r>
      <w:r w:rsidRPr="002A16E0">
        <w:rPr>
          <w:rFonts w:hint="cs"/>
          <w:rtl/>
        </w:rPr>
        <w:t>الحفاظ</w:t>
      </w:r>
      <w:r w:rsidRPr="002A16E0">
        <w:rPr>
          <w:rtl/>
        </w:rPr>
        <w:t xml:space="preserve"> على متطلبات </w:t>
      </w:r>
      <w:r w:rsidRPr="002A16E0">
        <w:rPr>
          <w:rFonts w:hint="cs"/>
          <w:rtl/>
        </w:rPr>
        <w:t>استقلال وحياد</w:t>
      </w:r>
      <w:r w:rsidRPr="002A16E0">
        <w:rPr>
          <w:rtl/>
        </w:rPr>
        <w:t xml:space="preserve"> أعضائه</w:t>
      </w:r>
      <w:r w:rsidRPr="002A16E0">
        <w:rPr>
          <w:rFonts w:hint="cs"/>
          <w:rtl/>
        </w:rPr>
        <w:t>ا".</w:t>
      </w:r>
    </w:p>
    <w:p w:rsidR="00A316D1" w:rsidRDefault="00A316D1" w:rsidP="000668AC">
      <w:pPr>
        <w:pStyle w:val="SingleTxtGA"/>
        <w:rPr>
          <w:rFonts w:hint="cs"/>
          <w:spacing w:val="4"/>
          <w:rtl/>
        </w:rPr>
      </w:pPr>
      <w:r w:rsidRPr="00403CC4">
        <w:rPr>
          <w:spacing w:val="4"/>
          <w:rtl/>
        </w:rPr>
        <w:t>5-</w:t>
      </w:r>
      <w:r w:rsidRPr="00403CC4">
        <w:rPr>
          <w:spacing w:val="4"/>
          <w:rtl/>
        </w:rPr>
        <w:tab/>
      </w:r>
      <w:r w:rsidRPr="00D41BBB">
        <w:rPr>
          <w:rFonts w:hint="cs"/>
          <w:spacing w:val="4"/>
          <w:rtl/>
        </w:rPr>
        <w:t xml:space="preserve">ويؤكد </w:t>
      </w:r>
      <w:r w:rsidRPr="00D41BBB">
        <w:rPr>
          <w:rtl/>
        </w:rPr>
        <w:t xml:space="preserve">أعضاء لجنة مناهضة التعذيب </w:t>
      </w:r>
      <w:r w:rsidRPr="00D41BBB">
        <w:rPr>
          <w:rFonts w:hint="cs"/>
          <w:rtl/>
        </w:rPr>
        <w:t>دعمهم</w:t>
      </w:r>
      <w:r w:rsidRPr="00D41BBB">
        <w:rPr>
          <w:rtl/>
        </w:rPr>
        <w:t xml:space="preserve"> القوي لاستقلال و</w:t>
      </w:r>
      <w:r w:rsidRPr="00D41BBB">
        <w:rPr>
          <w:rFonts w:hint="cs"/>
          <w:rtl/>
        </w:rPr>
        <w:t xml:space="preserve">حياد </w:t>
      </w:r>
      <w:r w:rsidRPr="00D41BBB">
        <w:rPr>
          <w:rtl/>
        </w:rPr>
        <w:t>جميع أعضا</w:t>
      </w:r>
      <w:r w:rsidRPr="00D41BBB">
        <w:rPr>
          <w:rFonts w:hint="cs"/>
          <w:rtl/>
        </w:rPr>
        <w:t>ئها</w:t>
      </w:r>
      <w:r w:rsidRPr="00D41BBB">
        <w:rPr>
          <w:rtl/>
        </w:rPr>
        <w:t xml:space="preserve">، </w:t>
      </w:r>
      <w:r w:rsidRPr="00D41BBB">
        <w:rPr>
          <w:rFonts w:hint="cs"/>
          <w:rtl/>
        </w:rPr>
        <w:t>على النحو المكرس في</w:t>
      </w:r>
      <w:r w:rsidRPr="00D41BBB">
        <w:rPr>
          <w:rtl/>
        </w:rPr>
        <w:t xml:space="preserve"> </w:t>
      </w:r>
      <w:r w:rsidRPr="00D41BBB">
        <w:rPr>
          <w:rFonts w:hint="cs"/>
          <w:rtl/>
        </w:rPr>
        <w:t>م</w:t>
      </w:r>
      <w:r w:rsidRPr="00D41BBB">
        <w:rPr>
          <w:rtl/>
        </w:rPr>
        <w:t xml:space="preserve">بادئ أديس أبابا التوجيهية، </w:t>
      </w:r>
      <w:r w:rsidRPr="00D41BBB">
        <w:rPr>
          <w:rFonts w:hint="cs"/>
          <w:rtl/>
        </w:rPr>
        <w:t>ويتطلعون إلى مواصلة مناقشة</w:t>
      </w:r>
      <w:r w:rsidRPr="00D41BBB">
        <w:rPr>
          <w:rtl/>
        </w:rPr>
        <w:t xml:space="preserve"> </w:t>
      </w:r>
      <w:r w:rsidRPr="00D41BBB">
        <w:rPr>
          <w:rFonts w:hint="cs"/>
          <w:rtl/>
        </w:rPr>
        <w:t>السبل الكفيلة</w:t>
      </w:r>
      <w:r w:rsidRPr="00D41BBB">
        <w:rPr>
          <w:rtl/>
        </w:rPr>
        <w:t xml:space="preserve"> </w:t>
      </w:r>
      <w:r w:rsidRPr="00D41BBB">
        <w:rPr>
          <w:rFonts w:hint="cs"/>
          <w:rtl/>
        </w:rPr>
        <w:t>ب</w:t>
      </w:r>
      <w:r w:rsidRPr="00D41BBB">
        <w:rPr>
          <w:rtl/>
        </w:rPr>
        <w:t>إنفاذ هذه المبادئ التوجيهية خلال الدورة الخمسين القادمة للجنة (</w:t>
      </w:r>
      <w:r w:rsidRPr="00D41BBB">
        <w:rPr>
          <w:rFonts w:hint="cs"/>
          <w:rtl/>
        </w:rPr>
        <w:t xml:space="preserve">في الفترة </w:t>
      </w:r>
      <w:r w:rsidRPr="00D41BBB">
        <w:rPr>
          <w:rtl/>
        </w:rPr>
        <w:t xml:space="preserve">من 6 إلى 31 </w:t>
      </w:r>
      <w:r w:rsidRPr="00D41BBB">
        <w:rPr>
          <w:rFonts w:hint="cs"/>
          <w:rtl/>
        </w:rPr>
        <w:t>أيار/</w:t>
      </w:r>
      <w:r w:rsidRPr="00D41BBB">
        <w:rPr>
          <w:rtl/>
        </w:rPr>
        <w:t>مايو 2013)</w:t>
      </w:r>
      <w:r w:rsidRPr="00D41BBB">
        <w:rPr>
          <w:rFonts w:hint="cs"/>
          <w:rtl/>
        </w:rPr>
        <w:t xml:space="preserve"> بوسائل منها</w:t>
      </w:r>
      <w:r w:rsidRPr="00D41BBB">
        <w:rPr>
          <w:rtl/>
        </w:rPr>
        <w:t xml:space="preserve"> تعديل المادة 14 من </w:t>
      </w:r>
      <w:r w:rsidRPr="00D41BBB">
        <w:rPr>
          <w:rFonts w:hint="cs"/>
          <w:rtl/>
        </w:rPr>
        <w:t>النظام الداخلي للجنة</w:t>
      </w:r>
      <w:r w:rsidRPr="00D41BBB">
        <w:rPr>
          <w:rtl/>
        </w:rPr>
        <w:t xml:space="preserve">. </w:t>
      </w:r>
      <w:r w:rsidRPr="00D41BBB">
        <w:rPr>
          <w:rFonts w:hint="cs"/>
          <w:rtl/>
        </w:rPr>
        <w:t>وسيضيف هذا التعديل</w:t>
      </w:r>
      <w:r w:rsidRPr="00D41BBB">
        <w:rPr>
          <w:rtl/>
        </w:rPr>
        <w:t xml:space="preserve"> </w:t>
      </w:r>
      <w:r w:rsidRPr="00D41BBB">
        <w:rPr>
          <w:rFonts w:hint="cs"/>
          <w:rtl/>
        </w:rPr>
        <w:t>عبارة</w:t>
      </w:r>
      <w:r w:rsidRPr="00D41BBB">
        <w:rPr>
          <w:rtl/>
        </w:rPr>
        <w:t xml:space="preserve"> "</w:t>
      </w:r>
      <w:r w:rsidRPr="00D41BBB">
        <w:rPr>
          <w:rFonts w:hint="cs"/>
          <w:rtl/>
        </w:rPr>
        <w:t xml:space="preserve">بشكل </w:t>
      </w:r>
      <w:r w:rsidRPr="00D41BBB">
        <w:rPr>
          <w:rtl/>
        </w:rPr>
        <w:t xml:space="preserve">مستقل" إلى </w:t>
      </w:r>
      <w:r w:rsidRPr="00D41BBB">
        <w:rPr>
          <w:rFonts w:hint="cs"/>
          <w:rtl/>
        </w:rPr>
        <w:t>ال</w:t>
      </w:r>
      <w:r w:rsidR="000668AC">
        <w:rPr>
          <w:rFonts w:hint="cs"/>
          <w:rtl/>
        </w:rPr>
        <w:t>ت</w:t>
      </w:r>
      <w:r w:rsidRPr="00D41BBB">
        <w:rPr>
          <w:rFonts w:hint="cs"/>
          <w:rtl/>
        </w:rPr>
        <w:t>عهد</w:t>
      </w:r>
      <w:r>
        <w:rPr>
          <w:rtl/>
        </w:rPr>
        <w:t xml:space="preserve"> الرسمي ال</w:t>
      </w:r>
      <w:r>
        <w:rPr>
          <w:rFonts w:hint="cs"/>
          <w:rtl/>
        </w:rPr>
        <w:t>ذي ي</w:t>
      </w:r>
      <w:r w:rsidR="00D5315C">
        <w:rPr>
          <w:rFonts w:hint="cs"/>
          <w:rtl/>
        </w:rPr>
        <w:t>ُ</w:t>
      </w:r>
      <w:r>
        <w:rPr>
          <w:rFonts w:hint="cs"/>
          <w:rtl/>
        </w:rPr>
        <w:t>طلب</w:t>
      </w:r>
      <w:r w:rsidRPr="00D41BBB">
        <w:rPr>
          <w:rtl/>
        </w:rPr>
        <w:t xml:space="preserve"> من أعضاء اللجنة</w:t>
      </w:r>
      <w:r w:rsidR="00DB73DE">
        <w:rPr>
          <w:rFonts w:hint="cs"/>
          <w:rtl/>
        </w:rPr>
        <w:t xml:space="preserve"> أداؤ</w:t>
      </w:r>
      <w:r>
        <w:rPr>
          <w:rFonts w:hint="cs"/>
          <w:rtl/>
        </w:rPr>
        <w:t>ه</w:t>
      </w:r>
      <w:r w:rsidRPr="00D41BBB">
        <w:rPr>
          <w:rtl/>
        </w:rPr>
        <w:t xml:space="preserve"> قبل </w:t>
      </w:r>
      <w:r w:rsidRPr="00D41BBB">
        <w:rPr>
          <w:rFonts w:hint="cs"/>
          <w:rtl/>
        </w:rPr>
        <w:t>أن يتولوا مهامه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 w:rsidRPr="00D41BBB">
        <w:rPr>
          <w:rtl/>
        </w:rPr>
        <w:t xml:space="preserve"> </w:t>
      </w:r>
      <w:r w:rsidRPr="00D41BBB">
        <w:rPr>
          <w:rFonts w:hint="cs"/>
          <w:rtl/>
        </w:rPr>
        <w:t>انتخابهم لأول مرة في اللجنة.</w:t>
      </w:r>
    </w:p>
    <w:p w:rsidR="00445BF0" w:rsidRPr="00D5315C" w:rsidRDefault="00D5315C" w:rsidP="00D5315C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445BF0" w:rsidRPr="00D5315C" w:rsidSect="00715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56" w:rsidRPr="00FE6865" w:rsidRDefault="00AF4856" w:rsidP="00FE6865">
      <w:pPr>
        <w:pStyle w:val="Footer"/>
      </w:pPr>
    </w:p>
  </w:endnote>
  <w:endnote w:type="continuationSeparator" w:id="0">
    <w:p w:rsidR="00AF4856" w:rsidRDefault="00AF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1F" w:rsidRPr="0067691F" w:rsidRDefault="0067691F" w:rsidP="0067691F">
    <w:pPr>
      <w:pStyle w:val="Footer"/>
      <w:tabs>
        <w:tab w:val="right" w:pos="9598"/>
      </w:tabs>
    </w:pPr>
    <w:r>
      <w:t>GE.13-42704</w:t>
    </w:r>
    <w:r>
      <w:tab/>
    </w:r>
    <w:r w:rsidRPr="0067691F">
      <w:rPr>
        <w:b/>
        <w:sz w:val="18"/>
      </w:rPr>
      <w:fldChar w:fldCharType="begin"/>
    </w:r>
    <w:r w:rsidRPr="0067691F">
      <w:rPr>
        <w:b/>
        <w:sz w:val="18"/>
      </w:rPr>
      <w:instrText xml:space="preserve"> PAGE  \* MERGEFORMAT </w:instrText>
    </w:r>
    <w:r w:rsidRPr="0067691F">
      <w:rPr>
        <w:b/>
        <w:sz w:val="18"/>
      </w:rPr>
      <w:fldChar w:fldCharType="separate"/>
    </w:r>
    <w:r w:rsidR="00E33529">
      <w:rPr>
        <w:b/>
        <w:noProof/>
        <w:sz w:val="18"/>
      </w:rPr>
      <w:t>2</w:t>
    </w:r>
    <w:r w:rsidRPr="0067691F"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1F" w:rsidRPr="0067691F" w:rsidRDefault="0067691F" w:rsidP="0067691F">
    <w:pPr>
      <w:pStyle w:val="Footer"/>
      <w:tabs>
        <w:tab w:val="right" w:pos="9598"/>
      </w:tabs>
      <w:rPr>
        <w:b/>
        <w:sz w:val="18"/>
      </w:rPr>
    </w:pPr>
    <w:r w:rsidRPr="0067691F">
      <w:rPr>
        <w:b/>
        <w:sz w:val="18"/>
      </w:rPr>
      <w:fldChar w:fldCharType="begin"/>
    </w:r>
    <w:r w:rsidRPr="0067691F">
      <w:rPr>
        <w:b/>
        <w:sz w:val="18"/>
      </w:rPr>
      <w:instrText xml:space="preserve"> PAGE  \* MERGEFORMAT </w:instrText>
    </w:r>
    <w:r w:rsidRPr="0067691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7691F">
      <w:rPr>
        <w:b/>
        <w:sz w:val="18"/>
      </w:rPr>
      <w:fldChar w:fldCharType="end"/>
    </w:r>
    <w:r>
      <w:rPr>
        <w:b/>
        <w:sz w:val="18"/>
      </w:rPr>
      <w:tab/>
    </w:r>
    <w:r>
      <w:t>GE.13-42704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92" w:rsidRDefault="0067691F" w:rsidP="008E2146">
    <w:pPr>
      <w:pStyle w:val="Footer"/>
      <w:jc w:val="right"/>
    </w:pPr>
    <w:r>
      <w:rPr>
        <w:sz w:val="20"/>
      </w:rPr>
      <w:t>(A)   GE.13-4270</w:t>
    </w:r>
    <w:r w:rsidR="008E2146">
      <w:rPr>
        <w:sz w:val="20"/>
      </w:rPr>
      <w:t>4    080513    080513</w:t>
    </w:r>
    <w:r w:rsidR="0055389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91.5pt;height:25.5pt;z-index:-2;mso-position-horizontal-relative:text;mso-position-vertical-relative:text" wrapcoords="-177 0 -177 20965 21600 20965 21600 0 -177 0" o:allowincell="f">
          <v:imagedata r:id="rId1" o:title="PleaseRecycleArabic"/>
          <w10:wrap type="tight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56" w:rsidRDefault="00AF4856" w:rsidP="00BA7098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type="continuationSeparator" w:id="0">
    <w:p w:rsidR="00AF4856" w:rsidRDefault="00AF4856" w:rsidP="00BA7098">
      <w:pPr>
        <w:pStyle w:val="Footer"/>
        <w:bidi/>
        <w:spacing w:after="80" w:line="200" w:lineRule="exact"/>
        <w:ind w:left="680"/>
      </w:pPr>
      <w:r>
        <w:rPr>
          <w:rFonts w:hint="cs"/>
          <w:rtl/>
        </w:rPr>
        <w:t>__________</w:t>
      </w:r>
    </w:p>
  </w:footnote>
  <w:footnote w:id="1">
    <w:p w:rsidR="00782E5C" w:rsidRDefault="00782E5C" w:rsidP="008E2146">
      <w:pPr>
        <w:pStyle w:val="FootnoteText"/>
        <w:numPr>
          <w:ilvl w:val="0"/>
          <w:numId w:val="40"/>
        </w:numPr>
        <w:tabs>
          <w:tab w:val="clear" w:pos="1293"/>
          <w:tab w:val="left" w:pos="1239"/>
        </w:tabs>
        <w:spacing w:after="60" w:line="300" w:lineRule="exact"/>
        <w:ind w:left="1247" w:right="1247"/>
        <w:rPr>
          <w:rFonts w:hint="cs"/>
        </w:rPr>
      </w:pPr>
      <w:r w:rsidRPr="00A0309E">
        <w:rPr>
          <w:rFonts w:ascii="Traditional Arabic" w:hAnsi="Traditional Arabic"/>
          <w:sz w:val="26"/>
          <w:szCs w:val="26"/>
          <w:rtl/>
        </w:rPr>
        <w:t>تتولى كل هيئة من هيئات المعاهدات (باستثناء لجنة الحقوق الاقتصادية والاجتماعية والثقافية)</w:t>
      </w:r>
      <w:r w:rsidR="00680074">
        <w:rPr>
          <w:rFonts w:ascii="Traditional Arabic" w:hAnsi="Traditional Arabic" w:hint="cs"/>
          <w:sz w:val="26"/>
          <w:szCs w:val="26"/>
          <w:rtl/>
        </w:rPr>
        <w:t>،</w:t>
      </w:r>
      <w:r w:rsidRPr="00A0309E">
        <w:rPr>
          <w:rFonts w:ascii="Traditional Arabic" w:hAnsi="Traditional Arabic"/>
          <w:sz w:val="26"/>
          <w:szCs w:val="26"/>
          <w:rtl/>
        </w:rPr>
        <w:t xml:space="preserve"> </w:t>
      </w:r>
      <w:r w:rsidRPr="00A0309E">
        <w:rPr>
          <w:rFonts w:ascii="Traditional Arabic" w:hAnsi="Traditional Arabic" w:hint="cs"/>
          <w:sz w:val="26"/>
          <w:szCs w:val="26"/>
          <w:rtl/>
        </w:rPr>
        <w:t xml:space="preserve">بموجب </w:t>
      </w:r>
      <w:r w:rsidRPr="00A0309E">
        <w:rPr>
          <w:rFonts w:ascii="Traditional Arabic" w:hAnsi="Traditional Arabic"/>
          <w:sz w:val="26"/>
          <w:szCs w:val="26"/>
          <w:rtl/>
        </w:rPr>
        <w:t>المعاهدة نفسها</w:t>
      </w:r>
      <w:r w:rsidR="00017E8E">
        <w:rPr>
          <w:rFonts w:ascii="Traditional Arabic" w:hAnsi="Traditional Arabic" w:hint="cs"/>
          <w:sz w:val="26"/>
          <w:szCs w:val="26"/>
          <w:rtl/>
        </w:rPr>
        <w:t>،</w:t>
      </w:r>
      <w:r w:rsidRPr="00A0309E">
        <w:rPr>
          <w:rFonts w:ascii="Traditional Arabic" w:hAnsi="Traditional Arabic"/>
          <w:sz w:val="26"/>
          <w:szCs w:val="26"/>
          <w:rtl/>
        </w:rPr>
        <w:t xml:space="preserve"> </w:t>
      </w:r>
      <w:r w:rsidRPr="00A0309E">
        <w:rPr>
          <w:rFonts w:ascii="Traditional Arabic" w:hAnsi="Traditional Arabic" w:hint="cs"/>
          <w:sz w:val="26"/>
          <w:szCs w:val="26"/>
          <w:rtl/>
        </w:rPr>
        <w:t xml:space="preserve">اعتماد </w:t>
      </w:r>
      <w:r w:rsidRPr="00A0309E">
        <w:rPr>
          <w:rFonts w:ascii="Traditional Arabic" w:hAnsi="Traditional Arabic"/>
          <w:sz w:val="26"/>
          <w:szCs w:val="26"/>
          <w:rtl/>
        </w:rPr>
        <w:t>نظامها الداخلي. انظر اتفاقية مناهضة التعذيب وغيره من ضروب المعاملة أو العقوبة القاسية أو اللاإنسانية أو المهينة،</w:t>
      </w:r>
      <w:r w:rsidRPr="00A0309E">
        <w:rPr>
          <w:rFonts w:ascii="Traditional Arabic" w:hAnsi="Traditional Arabic" w:hint="cs"/>
          <w:sz w:val="26"/>
          <w:szCs w:val="26"/>
          <w:rtl/>
        </w:rPr>
        <w:t xml:space="preserve"> الفقرة 2 من</w:t>
      </w:r>
      <w:r w:rsidRPr="00A0309E">
        <w:rPr>
          <w:rFonts w:ascii="Traditional Arabic" w:hAnsi="Traditional Arabic"/>
          <w:sz w:val="26"/>
          <w:szCs w:val="26"/>
          <w:rtl/>
        </w:rPr>
        <w:t xml:space="preserve"> المادة 18؛ </w:t>
      </w:r>
      <w:r w:rsidRPr="00A0309E">
        <w:rPr>
          <w:rFonts w:ascii="Traditional Arabic" w:hAnsi="Traditional Arabic" w:hint="cs"/>
          <w:sz w:val="26"/>
          <w:szCs w:val="26"/>
          <w:rtl/>
        </w:rPr>
        <w:t>و</w:t>
      </w:r>
      <w:r w:rsidRPr="00A0309E">
        <w:rPr>
          <w:rFonts w:ascii="Traditional Arabic" w:hAnsi="Traditional Arabic"/>
          <w:sz w:val="26"/>
          <w:szCs w:val="26"/>
          <w:rtl/>
        </w:rPr>
        <w:t>العهد الدولي الخاص بالحقوق المدنية والسياسية، الفقرة 2</w:t>
      </w:r>
      <w:r w:rsidRPr="00A0309E">
        <w:rPr>
          <w:rFonts w:ascii="Traditional Arabic" w:hAnsi="Traditional Arabic" w:hint="cs"/>
          <w:sz w:val="26"/>
          <w:szCs w:val="26"/>
          <w:rtl/>
        </w:rPr>
        <w:t xml:space="preserve"> من </w:t>
      </w:r>
      <w:r w:rsidRPr="00A0309E">
        <w:rPr>
          <w:rFonts w:ascii="Traditional Arabic" w:hAnsi="Traditional Arabic"/>
          <w:sz w:val="26"/>
          <w:szCs w:val="26"/>
          <w:rtl/>
        </w:rPr>
        <w:t>المادة 39؛</w:t>
      </w:r>
      <w:r w:rsidRPr="00A0309E">
        <w:rPr>
          <w:rFonts w:ascii="Traditional Arabic" w:hAnsi="Traditional Arabic" w:hint="cs"/>
          <w:sz w:val="26"/>
          <w:szCs w:val="26"/>
          <w:rtl/>
        </w:rPr>
        <w:t xml:space="preserve"> و</w:t>
      </w:r>
      <w:r w:rsidRPr="00A0309E">
        <w:rPr>
          <w:rFonts w:ascii="Traditional Arabic" w:hAnsi="Traditional Arabic"/>
          <w:sz w:val="26"/>
          <w:szCs w:val="26"/>
          <w:rtl/>
        </w:rPr>
        <w:t xml:space="preserve">الاتفاقية الدولية للقضاء على جميع أشكال التمييز العنصري، </w:t>
      </w:r>
      <w:r w:rsidRPr="00A0309E">
        <w:rPr>
          <w:rFonts w:ascii="Traditional Arabic" w:hAnsi="Traditional Arabic" w:hint="cs"/>
          <w:sz w:val="26"/>
          <w:szCs w:val="26"/>
          <w:rtl/>
        </w:rPr>
        <w:t>الفقرة 1 من</w:t>
      </w:r>
      <w:r w:rsidR="00C83744">
        <w:rPr>
          <w:rFonts w:ascii="Traditional Arabic" w:hAnsi="Traditional Arabic" w:hint="cs"/>
          <w:sz w:val="26"/>
          <w:szCs w:val="26"/>
          <w:rtl/>
        </w:rPr>
        <w:t xml:space="preserve"> </w:t>
      </w:r>
      <w:r w:rsidRPr="00A0309E">
        <w:rPr>
          <w:rFonts w:ascii="Traditional Arabic" w:hAnsi="Traditional Arabic"/>
          <w:sz w:val="26"/>
          <w:szCs w:val="26"/>
          <w:rtl/>
        </w:rPr>
        <w:t>المادة 10</w:t>
      </w:r>
      <w:r w:rsidRPr="00A0309E">
        <w:rPr>
          <w:rFonts w:ascii="Traditional Arabic" w:hAnsi="Traditional Arabic" w:hint="cs"/>
          <w:sz w:val="26"/>
          <w:szCs w:val="26"/>
          <w:rtl/>
        </w:rPr>
        <w:t>؛</w:t>
      </w:r>
      <w:r w:rsidRPr="00A0309E">
        <w:rPr>
          <w:rFonts w:ascii="Traditional Arabic" w:hAnsi="Traditional Arabic"/>
          <w:sz w:val="26"/>
          <w:szCs w:val="26"/>
          <w:rtl/>
        </w:rPr>
        <w:t xml:space="preserve"> </w:t>
      </w:r>
      <w:r w:rsidRPr="00A0309E">
        <w:rPr>
          <w:rFonts w:ascii="Traditional Arabic" w:hAnsi="Traditional Arabic" w:hint="cs"/>
          <w:sz w:val="26"/>
          <w:szCs w:val="26"/>
          <w:rtl/>
        </w:rPr>
        <w:t>و</w:t>
      </w:r>
      <w:r w:rsidRPr="00A0309E">
        <w:rPr>
          <w:rFonts w:ascii="Traditional Arabic" w:hAnsi="Traditional Arabic"/>
          <w:sz w:val="26"/>
          <w:szCs w:val="26"/>
          <w:rtl/>
        </w:rPr>
        <w:t>اتفاقية القضاء على جميع أشكال التمييز ضد المرأة،</w:t>
      </w:r>
      <w:r w:rsidRPr="00A0309E">
        <w:rPr>
          <w:rFonts w:ascii="Traditional Arabic" w:hAnsi="Traditional Arabic" w:hint="cs"/>
          <w:sz w:val="26"/>
          <w:szCs w:val="26"/>
          <w:rtl/>
        </w:rPr>
        <w:t xml:space="preserve"> الفقرة 1 من</w:t>
      </w:r>
      <w:r w:rsidRPr="00A0309E">
        <w:rPr>
          <w:rFonts w:ascii="Traditional Arabic" w:hAnsi="Traditional Arabic"/>
          <w:sz w:val="26"/>
          <w:szCs w:val="26"/>
          <w:rtl/>
        </w:rPr>
        <w:t xml:space="preserve"> المادة 19</w:t>
      </w:r>
      <w:r w:rsidRPr="00A0309E">
        <w:rPr>
          <w:rFonts w:ascii="Traditional Arabic" w:hAnsi="Traditional Arabic" w:hint="cs"/>
          <w:sz w:val="26"/>
          <w:szCs w:val="26"/>
          <w:rtl/>
        </w:rPr>
        <w:t>؛</w:t>
      </w:r>
      <w:r w:rsidRPr="00A0309E">
        <w:rPr>
          <w:rFonts w:ascii="Traditional Arabic" w:hAnsi="Traditional Arabic"/>
          <w:sz w:val="26"/>
          <w:szCs w:val="26"/>
          <w:rtl/>
        </w:rPr>
        <w:t xml:space="preserve"> </w:t>
      </w:r>
      <w:r w:rsidRPr="00A0309E">
        <w:rPr>
          <w:rFonts w:ascii="Traditional Arabic" w:hAnsi="Traditional Arabic" w:hint="cs"/>
          <w:sz w:val="26"/>
          <w:szCs w:val="26"/>
          <w:rtl/>
        </w:rPr>
        <w:t>و</w:t>
      </w:r>
      <w:r w:rsidRPr="00A0309E">
        <w:rPr>
          <w:rFonts w:ascii="Traditional Arabic" w:hAnsi="Traditional Arabic"/>
          <w:sz w:val="26"/>
          <w:szCs w:val="26"/>
          <w:rtl/>
        </w:rPr>
        <w:t xml:space="preserve">اتفاقية حقوق الأشخاص ذوي الإعاقة، </w:t>
      </w:r>
      <w:r w:rsidRPr="00A0309E">
        <w:rPr>
          <w:rFonts w:ascii="Traditional Arabic" w:hAnsi="Traditional Arabic" w:hint="cs"/>
          <w:sz w:val="26"/>
          <w:szCs w:val="26"/>
          <w:rtl/>
        </w:rPr>
        <w:t xml:space="preserve">الفقرة 10 من المادة </w:t>
      </w:r>
      <w:r w:rsidRPr="00A0309E">
        <w:rPr>
          <w:rFonts w:ascii="Traditional Arabic" w:hAnsi="Traditional Arabic"/>
          <w:sz w:val="26"/>
          <w:szCs w:val="26"/>
          <w:rtl/>
        </w:rPr>
        <w:t>34</w:t>
      </w:r>
      <w:r w:rsidRPr="00A0309E">
        <w:rPr>
          <w:rFonts w:ascii="Traditional Arabic" w:hAnsi="Traditional Arabic" w:hint="cs"/>
          <w:sz w:val="26"/>
          <w:szCs w:val="26"/>
          <w:rtl/>
        </w:rPr>
        <w:t>؛ و</w:t>
      </w:r>
      <w:r w:rsidRPr="00A0309E">
        <w:rPr>
          <w:rFonts w:ascii="Traditional Arabic" w:hAnsi="Traditional Arabic"/>
          <w:sz w:val="26"/>
          <w:szCs w:val="26"/>
          <w:rtl/>
        </w:rPr>
        <w:t>الاتفاقية الدولية لحماية حقوق جميع العمال المهاجرين وأفراد أسرهم، الفقرة</w:t>
      </w:r>
      <w:r w:rsidRPr="00A0309E">
        <w:rPr>
          <w:rFonts w:ascii="Traditional Arabic" w:hAnsi="Traditional Arabic" w:hint="cs"/>
          <w:sz w:val="26"/>
          <w:szCs w:val="26"/>
          <w:rtl/>
        </w:rPr>
        <w:t xml:space="preserve"> 1 من المادة 75؛</w:t>
      </w:r>
      <w:r w:rsidRPr="00A0309E">
        <w:rPr>
          <w:rFonts w:ascii="Traditional Arabic" w:hAnsi="Traditional Arabic"/>
          <w:sz w:val="26"/>
          <w:szCs w:val="26"/>
          <w:rtl/>
        </w:rPr>
        <w:t xml:space="preserve"> </w:t>
      </w:r>
      <w:r w:rsidRPr="00A0309E">
        <w:rPr>
          <w:rFonts w:ascii="Traditional Arabic" w:hAnsi="Traditional Arabic" w:hint="cs"/>
          <w:sz w:val="26"/>
          <w:szCs w:val="26"/>
          <w:rtl/>
        </w:rPr>
        <w:t>و</w:t>
      </w:r>
      <w:r w:rsidRPr="00A0309E">
        <w:rPr>
          <w:rFonts w:ascii="Traditional Arabic" w:hAnsi="Traditional Arabic"/>
          <w:sz w:val="26"/>
          <w:szCs w:val="26"/>
          <w:rtl/>
        </w:rPr>
        <w:t xml:space="preserve">البروتوكول الاختياري لاتفاقية مناهضة التعذيب وغيره من ضروب المعاملة أو العقوبة القاسية أو اللاإنسانية أو المهينة، </w:t>
      </w:r>
      <w:r w:rsidRPr="00A0309E">
        <w:rPr>
          <w:rFonts w:ascii="Traditional Arabic" w:hAnsi="Traditional Arabic" w:hint="cs"/>
          <w:sz w:val="26"/>
          <w:szCs w:val="26"/>
          <w:rtl/>
        </w:rPr>
        <w:t xml:space="preserve">الفقرة 2 من </w:t>
      </w:r>
      <w:r w:rsidRPr="00A0309E">
        <w:rPr>
          <w:rFonts w:ascii="Traditional Arabic" w:hAnsi="Traditional Arabic"/>
          <w:sz w:val="26"/>
          <w:szCs w:val="26"/>
          <w:rtl/>
        </w:rPr>
        <w:t>المادة 10</w:t>
      </w:r>
      <w:r w:rsidRPr="00A0309E">
        <w:rPr>
          <w:rFonts w:ascii="Traditional Arabic" w:hAnsi="Traditional Arabic" w:hint="cs"/>
          <w:sz w:val="26"/>
          <w:szCs w:val="26"/>
          <w:rtl/>
        </w:rPr>
        <w:t>؛ و</w:t>
      </w:r>
      <w:r w:rsidRPr="00A0309E">
        <w:rPr>
          <w:rFonts w:ascii="Traditional Arabic" w:hAnsi="Traditional Arabic"/>
          <w:sz w:val="26"/>
          <w:szCs w:val="26"/>
          <w:rtl/>
        </w:rPr>
        <w:t xml:space="preserve">الاتفاقية الدولية لحماية جميع الأشخاص من الاختفاء القسري، </w:t>
      </w:r>
      <w:r w:rsidRPr="00A0309E">
        <w:rPr>
          <w:rFonts w:ascii="Traditional Arabic" w:hAnsi="Traditional Arabic" w:hint="cs"/>
          <w:sz w:val="26"/>
          <w:szCs w:val="26"/>
          <w:rtl/>
        </w:rPr>
        <w:t xml:space="preserve">الفقرة 6 من </w:t>
      </w:r>
      <w:r w:rsidRPr="00A0309E">
        <w:rPr>
          <w:rFonts w:ascii="Traditional Arabic" w:hAnsi="Traditional Arabic"/>
          <w:sz w:val="26"/>
          <w:szCs w:val="26"/>
          <w:rtl/>
        </w:rPr>
        <w:t>المادة 26</w:t>
      </w:r>
      <w:r w:rsidRPr="00A0309E">
        <w:rPr>
          <w:rFonts w:ascii="Traditional Arabic" w:hAnsi="Traditional Arabic" w:hint="cs"/>
          <w:sz w:val="26"/>
          <w:szCs w:val="26"/>
          <w:rtl/>
        </w:rPr>
        <w:t xml:space="preserve">. </w:t>
      </w:r>
      <w:r w:rsidRPr="00A0309E">
        <w:rPr>
          <w:rFonts w:ascii="Traditional Arabic" w:hAnsi="Traditional Arabic"/>
          <w:sz w:val="26"/>
          <w:szCs w:val="26"/>
          <w:rtl/>
        </w:rPr>
        <w:t xml:space="preserve">ملاحظة، </w:t>
      </w:r>
      <w:r w:rsidRPr="00A0309E">
        <w:rPr>
          <w:rFonts w:ascii="Traditional Arabic" w:hAnsi="Traditional Arabic" w:hint="cs"/>
          <w:sz w:val="26"/>
          <w:szCs w:val="26"/>
          <w:rtl/>
        </w:rPr>
        <w:t>لم يناقش النظام الداخلي</w:t>
      </w:r>
      <w:r w:rsidRPr="00A0309E">
        <w:rPr>
          <w:rFonts w:ascii="Traditional Arabic" w:hAnsi="Traditional Arabic"/>
          <w:sz w:val="26"/>
          <w:szCs w:val="26"/>
          <w:rtl/>
        </w:rPr>
        <w:t xml:space="preserve"> في العهد الدولي الخاص بالحقوق الاقتصادية والاجتماعية والثقافية، </w:t>
      </w:r>
      <w:r w:rsidRPr="00A0309E">
        <w:rPr>
          <w:rFonts w:ascii="Traditional Arabic" w:hAnsi="Traditional Arabic" w:hint="cs"/>
          <w:sz w:val="26"/>
          <w:szCs w:val="26"/>
          <w:rtl/>
        </w:rPr>
        <w:t>بيد أن</w:t>
      </w:r>
      <w:r w:rsidRPr="00A0309E">
        <w:rPr>
          <w:rFonts w:ascii="Traditional Arabic" w:hAnsi="Traditional Arabic"/>
          <w:sz w:val="26"/>
          <w:szCs w:val="26"/>
          <w:rtl/>
        </w:rPr>
        <w:t xml:space="preserve"> اللجنة </w:t>
      </w:r>
      <w:r w:rsidR="00017E8E">
        <w:rPr>
          <w:rFonts w:ascii="Traditional Arabic" w:hAnsi="Traditional Arabic" w:hint="cs"/>
          <w:sz w:val="26"/>
          <w:szCs w:val="26"/>
          <w:rtl/>
        </w:rPr>
        <w:t>اعتمدت نظامها الداخلي، ا</w:t>
      </w:r>
      <w:r w:rsidRPr="00A0309E">
        <w:rPr>
          <w:rFonts w:ascii="Traditional Arabic" w:hAnsi="Traditional Arabic" w:hint="cs"/>
          <w:sz w:val="26"/>
          <w:szCs w:val="26"/>
          <w:rtl/>
        </w:rPr>
        <w:t xml:space="preserve">نظر الوثيقة </w:t>
      </w:r>
      <w:r w:rsidRPr="00A0309E">
        <w:rPr>
          <w:sz w:val="18"/>
          <w:szCs w:val="18"/>
        </w:rPr>
        <w:t>E/C.12/1990/4/Rev.1</w:t>
      </w:r>
      <w:r w:rsidRPr="00A0309E">
        <w:rPr>
          <w:rFonts w:ascii="Traditional Arabic" w:hAnsi="Traditional Arabic" w:hint="cs"/>
          <w:sz w:val="26"/>
          <w:szCs w:val="26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1F" w:rsidRPr="0067691F" w:rsidRDefault="0067691F" w:rsidP="0067691F">
    <w:pPr>
      <w:pStyle w:val="Header"/>
      <w:jc w:val="right"/>
    </w:pPr>
    <w:r w:rsidRPr="0067691F">
      <w:t>CAT/C/49/3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92" w:rsidRPr="0067691F" w:rsidRDefault="0067691F" w:rsidP="0067691F">
    <w:pPr>
      <w:pStyle w:val="Header"/>
      <w:jc w:val="left"/>
    </w:pPr>
    <w:r w:rsidRPr="0067691F">
      <w:t>CAT/C/49/3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92" w:rsidRDefault="00553892" w:rsidP="005B46D9">
    <w:pPr>
      <w:pStyle w:val="Header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79.55pt;margin-top:19.35pt;width:243.45pt;height:117pt;z-index:2" o:allowincell="f" filled="f" stroked="f">
          <v:textbox inset="0,0,0,0">
            <w:txbxContent>
              <w:p w:rsidR="005A7259" w:rsidRPr="002B399E" w:rsidRDefault="005A7259" w:rsidP="005A7259">
                <w:pPr>
                  <w:spacing w:before="120" w:line="460" w:lineRule="exact"/>
                  <w:rPr>
                    <w:rFonts w:hint="cs"/>
                    <w:b/>
                    <w:bCs/>
                    <w:sz w:val="54"/>
                    <w:szCs w:val="54"/>
                    <w:rtl/>
                  </w:rPr>
                </w:pPr>
                <w:r w:rsidRPr="002B399E">
                  <w:rPr>
                    <w:rFonts w:hint="cs"/>
                    <w:b/>
                    <w:bCs/>
                    <w:sz w:val="54"/>
                    <w:szCs w:val="54"/>
                    <w:rtl/>
                  </w:rPr>
                  <w:t>اتفاقية مناهضة التعذيب وغيره</w:t>
                </w:r>
              </w:p>
              <w:p w:rsidR="005A7259" w:rsidRPr="002B399E" w:rsidRDefault="005A7259" w:rsidP="005A7259">
                <w:pPr>
                  <w:spacing w:before="120" w:line="480" w:lineRule="exact"/>
                  <w:rPr>
                    <w:rFonts w:hint="cs"/>
                    <w:b/>
                    <w:bCs/>
                    <w:sz w:val="54"/>
                    <w:szCs w:val="54"/>
                    <w:rtl/>
                  </w:rPr>
                </w:pPr>
                <w:r w:rsidRPr="002B399E">
                  <w:rPr>
                    <w:rFonts w:hint="cs"/>
                    <w:b/>
                    <w:bCs/>
                    <w:sz w:val="54"/>
                    <w:szCs w:val="54"/>
                    <w:rtl/>
                  </w:rPr>
                  <w:t>من ضروب المعاملة أو العقوبة</w:t>
                </w:r>
              </w:p>
              <w:p w:rsidR="00553892" w:rsidRPr="00285D6D" w:rsidRDefault="005A7259" w:rsidP="005A7259">
                <w:pPr>
                  <w:spacing w:line="540" w:lineRule="exact"/>
                  <w:rPr>
                    <w:rFonts w:hint="cs"/>
                  </w:rPr>
                </w:pPr>
                <w:r w:rsidRPr="002B399E">
                  <w:rPr>
                    <w:rFonts w:hint="cs"/>
                    <w:b/>
                    <w:bCs/>
                    <w:sz w:val="52"/>
                    <w:szCs w:val="52"/>
                    <w:rtl/>
                  </w:rPr>
                  <w:t>القاسية أو اللاإنسانية أو المهينة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8C"/>
    <w:multiLevelType w:val="multilevel"/>
    <w:tmpl w:val="DAE891C4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51AF4"/>
    <w:multiLevelType w:val="hybridMultilevel"/>
    <w:tmpl w:val="DAE891C4"/>
    <w:lvl w:ilvl="0" w:tplc="810655FA">
      <w:start w:val="1"/>
      <w:numFmt w:val="bullet"/>
      <w:pStyle w:val="Bullet1GA"/>
      <w:lvlText w:val=""/>
      <w:lvlJc w:val="left"/>
      <w:pPr>
        <w:tabs>
          <w:tab w:val="num" w:pos="2041"/>
        </w:tabs>
        <w:ind w:left="204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153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066F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4EC59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9D1D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13662C"/>
    <w:multiLevelType w:val="multilevel"/>
    <w:tmpl w:val="E424DC24"/>
    <w:lvl w:ilvl="0">
      <w:start w:val="1"/>
      <w:numFmt w:val="bullet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7">
    <w:nsid w:val="247317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F272F0"/>
    <w:multiLevelType w:val="hybridMultilevel"/>
    <w:tmpl w:val="F88E26C4"/>
    <w:lvl w:ilvl="0">
      <w:start w:val="1"/>
      <w:numFmt w:val="decimal"/>
      <w:pStyle w:val="Roman1GA"/>
      <w:lvlText w:val="'%1'"/>
      <w:lvlJc w:val="right"/>
      <w:pPr>
        <w:tabs>
          <w:tab w:val="num" w:pos="2041"/>
        </w:tabs>
        <w:ind w:left="2041" w:hanging="397"/>
      </w:pPr>
      <w:rPr>
        <w:rFonts w:ascii="Times New Roman" w:hAnsi="Times New Roman" w:cs="Traditional Arabic" w:hint="default"/>
        <w:sz w:val="20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9">
    <w:nsid w:val="2A3156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DE438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1">
    <w:nsid w:val="2EF24007"/>
    <w:multiLevelType w:val="hybridMultilevel"/>
    <w:tmpl w:val="D186B3F2"/>
    <w:lvl w:ilvl="0" w:tplc="C9CC33EA">
      <w:start w:val="1"/>
      <w:numFmt w:val="decimal"/>
      <w:lvlRestart w:val="0"/>
      <w:lvlText w:val="(%1)"/>
      <w:lvlJc w:val="right"/>
      <w:pPr>
        <w:tabs>
          <w:tab w:val="num" w:pos="1293"/>
        </w:tabs>
        <w:ind w:left="1293" w:hanging="227"/>
      </w:pPr>
      <w:rPr>
        <w:rFonts w:ascii="Traditional Arabic" w:hAnsi="Traditional Arabic" w:cs="Traditional Arabic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2">
    <w:nsid w:val="32A75D52"/>
    <w:multiLevelType w:val="hybridMultilevel"/>
    <w:tmpl w:val="AF6C6348"/>
    <w:lvl w:ilvl="0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B4A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54B2370"/>
    <w:multiLevelType w:val="hybridMultilevel"/>
    <w:tmpl w:val="278EE6AE"/>
    <w:lvl w:ilvl="0">
      <w:start w:val="1"/>
      <w:numFmt w:val="bullet"/>
      <w:pStyle w:val="Bullet2GA"/>
      <w:lvlText w:val=""/>
      <w:lvlJc w:val="left"/>
      <w:pPr>
        <w:tabs>
          <w:tab w:val="num" w:pos="1644"/>
        </w:tabs>
        <w:ind w:left="2041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5">
    <w:nsid w:val="45657E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C854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97E7BE8"/>
    <w:multiLevelType w:val="hybridMultilevel"/>
    <w:tmpl w:val="BABA24F0"/>
    <w:lvl w:ilvl="0">
      <w:start w:val="1"/>
      <w:numFmt w:val="decimal"/>
      <w:lvlRestart w:val="0"/>
      <w:lvlText w:val="(%1)"/>
      <w:lvlJc w:val="right"/>
      <w:pPr>
        <w:tabs>
          <w:tab w:val="num" w:pos="1307"/>
        </w:tabs>
        <w:ind w:left="1307" w:hanging="227"/>
      </w:pPr>
      <w:rPr>
        <w:rFonts w:ascii="Traditional Arabic" w:hAnsi="Traditional Arabic" w:cs="Traditional Arabic" w:hint="default"/>
        <w:b w:val="0"/>
        <w:bCs w:val="0"/>
        <w:i w:val="0"/>
        <w:iCs w:val="0"/>
        <w:caps w:val="0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4D645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C818B7"/>
    <w:multiLevelType w:val="hybridMultilevel"/>
    <w:tmpl w:val="D3749CB6"/>
    <w:lvl w:ilvl="0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 w:hint="default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>
    <w:nsid w:val="78D00C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AE32A09"/>
    <w:multiLevelType w:val="hybridMultilevel"/>
    <w:tmpl w:val="9C5295AC"/>
    <w:lvl w:ilvl="0">
      <w:start w:val="1"/>
      <w:numFmt w:val="decimal"/>
      <w:pStyle w:val="Roman2GA"/>
      <w:lvlText w:val="'%1'"/>
      <w:lvlJc w:val="right"/>
      <w:pPr>
        <w:tabs>
          <w:tab w:val="num" w:pos="2438"/>
        </w:tabs>
        <w:ind w:left="2438" w:hanging="397"/>
      </w:pPr>
      <w:rPr>
        <w:rFonts w:ascii="Georgia" w:hAnsi="Georgia" w:cs="Traditional Arabic" w:hint="default"/>
        <w:sz w:val="20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22">
    <w:nsid w:val="7CAD59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21"/>
  </w:num>
  <w:num w:numId="7">
    <w:abstractNumId w:val="10"/>
  </w:num>
  <w:num w:numId="8">
    <w:abstractNumId w:val="9"/>
  </w:num>
  <w:num w:numId="9">
    <w:abstractNumId w:val="13"/>
  </w:num>
  <w:num w:numId="10">
    <w:abstractNumId w:val="20"/>
  </w:num>
  <w:num w:numId="11">
    <w:abstractNumId w:val="1"/>
  </w:num>
  <w:num w:numId="12">
    <w:abstractNumId w:val="14"/>
  </w:num>
  <w:num w:numId="13">
    <w:abstractNumId w:val="12"/>
  </w:num>
  <w:num w:numId="14">
    <w:abstractNumId w:val="8"/>
  </w:num>
  <w:num w:numId="15">
    <w:abstractNumId w:val="21"/>
  </w:num>
  <w:num w:numId="16">
    <w:abstractNumId w:val="1"/>
  </w:num>
  <w:num w:numId="17">
    <w:abstractNumId w:val="14"/>
  </w:num>
  <w:num w:numId="18">
    <w:abstractNumId w:val="12"/>
  </w:num>
  <w:num w:numId="19">
    <w:abstractNumId w:val="8"/>
  </w:num>
  <w:num w:numId="20">
    <w:abstractNumId w:val="21"/>
  </w:num>
  <w:num w:numId="21">
    <w:abstractNumId w:val="1"/>
  </w:num>
  <w:num w:numId="22">
    <w:abstractNumId w:val="14"/>
  </w:num>
  <w:num w:numId="23">
    <w:abstractNumId w:val="8"/>
  </w:num>
  <w:num w:numId="24">
    <w:abstractNumId w:val="21"/>
  </w:num>
  <w:num w:numId="25">
    <w:abstractNumId w:val="14"/>
  </w:num>
  <w:num w:numId="26">
    <w:abstractNumId w:val="1"/>
  </w:num>
  <w:num w:numId="27">
    <w:abstractNumId w:val="3"/>
  </w:num>
  <w:num w:numId="28">
    <w:abstractNumId w:val="2"/>
  </w:num>
  <w:num w:numId="29">
    <w:abstractNumId w:val="16"/>
  </w:num>
  <w:num w:numId="30">
    <w:abstractNumId w:val="4"/>
  </w:num>
  <w:num w:numId="31">
    <w:abstractNumId w:val="7"/>
  </w:num>
  <w:num w:numId="32">
    <w:abstractNumId w:val="15"/>
  </w:num>
  <w:num w:numId="33">
    <w:abstractNumId w:val="18"/>
  </w:num>
  <w:num w:numId="34">
    <w:abstractNumId w:val="22"/>
  </w:num>
  <w:num w:numId="35">
    <w:abstractNumId w:val="5"/>
  </w:num>
  <w:num w:numId="36">
    <w:abstractNumId w:val="17"/>
  </w:num>
  <w:num w:numId="37">
    <w:abstractNumId w:val="19"/>
  </w:num>
  <w:num w:numId="38">
    <w:abstractNumId w:val="0"/>
  </w:num>
  <w:num w:numId="39">
    <w:abstractNumId w:val="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ar-SA" w:vendorID="4" w:dllVersion="512" w:checkStyle="0"/>
  <w:proofState w:spelling="clean"/>
  <w:attachedTemplate r:id="rId1"/>
  <w:stylePaneFormatFilter w:val="1F01"/>
  <w:doNotTrackMoves/>
  <w:defaultTabStop w:val="567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892"/>
    <w:rsid w:val="00017E8E"/>
    <w:rsid w:val="00030158"/>
    <w:rsid w:val="00040E25"/>
    <w:rsid w:val="00042149"/>
    <w:rsid w:val="000648EA"/>
    <w:rsid w:val="000668AC"/>
    <w:rsid w:val="000957C8"/>
    <w:rsid w:val="00097049"/>
    <w:rsid w:val="000A04D5"/>
    <w:rsid w:val="000B4BF9"/>
    <w:rsid w:val="000B52F2"/>
    <w:rsid w:val="000C324C"/>
    <w:rsid w:val="000C75D0"/>
    <w:rsid w:val="000D0EAE"/>
    <w:rsid w:val="000D5380"/>
    <w:rsid w:val="000D6654"/>
    <w:rsid w:val="000E103D"/>
    <w:rsid w:val="000E7915"/>
    <w:rsid w:val="000F0264"/>
    <w:rsid w:val="000F2EBF"/>
    <w:rsid w:val="000F3A9F"/>
    <w:rsid w:val="000F5FF6"/>
    <w:rsid w:val="001022B5"/>
    <w:rsid w:val="00113FA5"/>
    <w:rsid w:val="00115B4F"/>
    <w:rsid w:val="001455A0"/>
    <w:rsid w:val="001602A3"/>
    <w:rsid w:val="001A5161"/>
    <w:rsid w:val="001A60BD"/>
    <w:rsid w:val="00232277"/>
    <w:rsid w:val="0023736D"/>
    <w:rsid w:val="00257225"/>
    <w:rsid w:val="00283B46"/>
    <w:rsid w:val="00285D6D"/>
    <w:rsid w:val="002B15AF"/>
    <w:rsid w:val="002B268C"/>
    <w:rsid w:val="002E354B"/>
    <w:rsid w:val="002E375B"/>
    <w:rsid w:val="00310160"/>
    <w:rsid w:val="00335B8A"/>
    <w:rsid w:val="00341A8C"/>
    <w:rsid w:val="003519E6"/>
    <w:rsid w:val="003B4356"/>
    <w:rsid w:val="003F08A8"/>
    <w:rsid w:val="004250E3"/>
    <w:rsid w:val="00445BF0"/>
    <w:rsid w:val="00462889"/>
    <w:rsid w:val="0046563F"/>
    <w:rsid w:val="0047137E"/>
    <w:rsid w:val="00472A81"/>
    <w:rsid w:val="004A20A6"/>
    <w:rsid w:val="004B2C92"/>
    <w:rsid w:val="004D6A3A"/>
    <w:rsid w:val="004E42D7"/>
    <w:rsid w:val="004F4AD7"/>
    <w:rsid w:val="004F6C48"/>
    <w:rsid w:val="00553892"/>
    <w:rsid w:val="00557CD3"/>
    <w:rsid w:val="00571432"/>
    <w:rsid w:val="005732A2"/>
    <w:rsid w:val="00574C79"/>
    <w:rsid w:val="005762A5"/>
    <w:rsid w:val="00590BA3"/>
    <w:rsid w:val="005A7259"/>
    <w:rsid w:val="005B46D9"/>
    <w:rsid w:val="005B7AE0"/>
    <w:rsid w:val="005E2037"/>
    <w:rsid w:val="005F146F"/>
    <w:rsid w:val="005F71B6"/>
    <w:rsid w:val="00654786"/>
    <w:rsid w:val="00660FD4"/>
    <w:rsid w:val="0067691F"/>
    <w:rsid w:val="00680074"/>
    <w:rsid w:val="006A4425"/>
    <w:rsid w:val="006B00A4"/>
    <w:rsid w:val="006B4669"/>
    <w:rsid w:val="006F6BF8"/>
    <w:rsid w:val="00707BDF"/>
    <w:rsid w:val="00710727"/>
    <w:rsid w:val="0071150B"/>
    <w:rsid w:val="00712AD3"/>
    <w:rsid w:val="00715F45"/>
    <w:rsid w:val="00731815"/>
    <w:rsid w:val="00731B84"/>
    <w:rsid w:val="00734AE7"/>
    <w:rsid w:val="00782E5C"/>
    <w:rsid w:val="0079344E"/>
    <w:rsid w:val="007E197F"/>
    <w:rsid w:val="007F4FA5"/>
    <w:rsid w:val="007F68C4"/>
    <w:rsid w:val="008153DE"/>
    <w:rsid w:val="00820108"/>
    <w:rsid w:val="00852A10"/>
    <w:rsid w:val="00862634"/>
    <w:rsid w:val="00866C59"/>
    <w:rsid w:val="00877306"/>
    <w:rsid w:val="008A6242"/>
    <w:rsid w:val="008B4BC6"/>
    <w:rsid w:val="008E2146"/>
    <w:rsid w:val="00901E57"/>
    <w:rsid w:val="009070DF"/>
    <w:rsid w:val="00935F0E"/>
    <w:rsid w:val="0095208F"/>
    <w:rsid w:val="00977B3F"/>
    <w:rsid w:val="009814AE"/>
    <w:rsid w:val="00982EB8"/>
    <w:rsid w:val="009901D3"/>
    <w:rsid w:val="00996BBE"/>
    <w:rsid w:val="00997D33"/>
    <w:rsid w:val="009B2C03"/>
    <w:rsid w:val="009D1DD5"/>
    <w:rsid w:val="009F3946"/>
    <w:rsid w:val="009F722C"/>
    <w:rsid w:val="00A26157"/>
    <w:rsid w:val="00A265C3"/>
    <w:rsid w:val="00A316D1"/>
    <w:rsid w:val="00A374A0"/>
    <w:rsid w:val="00A43F9A"/>
    <w:rsid w:val="00A53F38"/>
    <w:rsid w:val="00A543D4"/>
    <w:rsid w:val="00AD0014"/>
    <w:rsid w:val="00AD4CF2"/>
    <w:rsid w:val="00AF0BBA"/>
    <w:rsid w:val="00AF4856"/>
    <w:rsid w:val="00B009C0"/>
    <w:rsid w:val="00B30468"/>
    <w:rsid w:val="00B44E31"/>
    <w:rsid w:val="00B77E8A"/>
    <w:rsid w:val="00BA4F7E"/>
    <w:rsid w:val="00BA7098"/>
    <w:rsid w:val="00BB2C41"/>
    <w:rsid w:val="00BC55C8"/>
    <w:rsid w:val="00BC5C10"/>
    <w:rsid w:val="00BE279D"/>
    <w:rsid w:val="00BE2964"/>
    <w:rsid w:val="00C21623"/>
    <w:rsid w:val="00C24FBD"/>
    <w:rsid w:val="00C473BA"/>
    <w:rsid w:val="00C611ED"/>
    <w:rsid w:val="00C6490A"/>
    <w:rsid w:val="00C64FE1"/>
    <w:rsid w:val="00C74296"/>
    <w:rsid w:val="00C8345E"/>
    <w:rsid w:val="00C83744"/>
    <w:rsid w:val="00CA5F7C"/>
    <w:rsid w:val="00D51067"/>
    <w:rsid w:val="00D5315C"/>
    <w:rsid w:val="00D75657"/>
    <w:rsid w:val="00D960AD"/>
    <w:rsid w:val="00DA0E0E"/>
    <w:rsid w:val="00DB0C39"/>
    <w:rsid w:val="00DB73DE"/>
    <w:rsid w:val="00DB7679"/>
    <w:rsid w:val="00DF1702"/>
    <w:rsid w:val="00DF1F76"/>
    <w:rsid w:val="00DF4DD8"/>
    <w:rsid w:val="00DF668E"/>
    <w:rsid w:val="00E04826"/>
    <w:rsid w:val="00E14D2B"/>
    <w:rsid w:val="00E20DBA"/>
    <w:rsid w:val="00E33529"/>
    <w:rsid w:val="00E41542"/>
    <w:rsid w:val="00E6524A"/>
    <w:rsid w:val="00E660D6"/>
    <w:rsid w:val="00E771AB"/>
    <w:rsid w:val="00EA5DF2"/>
    <w:rsid w:val="00EA796F"/>
    <w:rsid w:val="00EB077B"/>
    <w:rsid w:val="00EC50B9"/>
    <w:rsid w:val="00ED26A0"/>
    <w:rsid w:val="00EE4478"/>
    <w:rsid w:val="00F1727A"/>
    <w:rsid w:val="00F34764"/>
    <w:rsid w:val="00F54E3C"/>
    <w:rsid w:val="00F80F64"/>
    <w:rsid w:val="00F874BD"/>
    <w:rsid w:val="00F93E23"/>
    <w:rsid w:val="00FB1D0B"/>
    <w:rsid w:val="00FE55A3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259"/>
    <w:pPr>
      <w:bidi/>
      <w:spacing w:line="240" w:lineRule="atLeast"/>
      <w:jc w:val="lowKashida"/>
    </w:pPr>
    <w:rPr>
      <w:rFonts w:cs="Traditional Arabic"/>
      <w:szCs w:val="30"/>
    </w:rPr>
  </w:style>
  <w:style w:type="paragraph" w:styleId="Heading1">
    <w:name w:val="heading 1"/>
    <w:aliases w:val="Table_GA"/>
    <w:basedOn w:val="SingleTxtGA"/>
    <w:next w:val="Normal"/>
    <w:qFormat/>
    <w:rsid w:val="000D6654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qFormat/>
    <w:rsid w:val="00E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6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A"/>
    <w:basedOn w:val="Normal"/>
    <w:rsid w:val="000D6654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paragraph" w:styleId="Footer">
    <w:name w:val="footer"/>
    <w:aliases w:val="3_GA"/>
    <w:basedOn w:val="Normal"/>
    <w:rsid w:val="000D6654"/>
    <w:pPr>
      <w:suppressAutoHyphens/>
      <w:bidi w:val="0"/>
      <w:spacing w:line="240" w:lineRule="auto"/>
    </w:pPr>
    <w:rPr>
      <w:sz w:val="16"/>
      <w:szCs w:val="22"/>
      <w:lang w:val="en-GB"/>
    </w:rPr>
  </w:style>
  <w:style w:type="table" w:styleId="TableGrid">
    <w:name w:val="Table Grid"/>
    <w:basedOn w:val="TableNormal"/>
    <w:semiHidden/>
    <w:rsid w:val="000D5380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MGA">
    <w:name w:val="_ H __M_GA"/>
    <w:basedOn w:val="Normal"/>
    <w:next w:val="Normal"/>
    <w:rsid w:val="000E7915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rsid w:val="001022B5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rsid w:val="00E771AB"/>
    <w:pPr>
      <w:tabs>
        <w:tab w:val="right" w:pos="1021"/>
      </w:tabs>
      <w:spacing w:before="12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rsid w:val="00E771AB"/>
    <w:pPr>
      <w:keepNext/>
      <w:keepLines/>
      <w:tabs>
        <w:tab w:val="right" w:pos="1021"/>
      </w:tabs>
      <w:suppressAutoHyphens/>
      <w:spacing w:before="12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rsid w:val="008B4BC6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rsid w:val="000D6654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rsid w:val="000D6654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rsid w:val="000D6654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rsid w:val="000D6654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rsid w:val="003519E6"/>
    <w:pPr>
      <w:numPr>
        <w:numId w:val="26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rsid w:val="009D1DD5"/>
    <w:pPr>
      <w:numPr>
        <w:numId w:val="25"/>
      </w:numPr>
      <w:tabs>
        <w:tab w:val="clear" w:pos="1644"/>
        <w:tab w:val="left" w:pos="2438"/>
      </w:tabs>
      <w:suppressAutoHyphens/>
      <w:bidi w:val="0"/>
      <w:spacing w:after="120" w:line="380" w:lineRule="exact"/>
      <w:ind w:left="2438" w:right="1247" w:hanging="397"/>
    </w:pPr>
  </w:style>
  <w:style w:type="paragraph" w:customStyle="1" w:styleId="ParaNoGA">
    <w:name w:val="_ParaNo._GA"/>
    <w:basedOn w:val="SingleTxtGA"/>
    <w:rsid w:val="000D6654"/>
    <w:pPr>
      <w:numPr>
        <w:numId w:val="18"/>
      </w:numPr>
      <w:suppressAutoHyphens/>
      <w:bidi w:val="0"/>
    </w:pPr>
  </w:style>
  <w:style w:type="paragraph" w:styleId="EndnoteText">
    <w:name w:val="endnote text"/>
    <w:aliases w:val="2_ 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paragraph" w:styleId="FootnoteText">
    <w:name w:val="footnote text"/>
    <w:basedOn w:val="Normal"/>
    <w:semiHidden/>
    <w:rsid w:val="00EB077B"/>
    <w:rPr>
      <w:szCs w:val="20"/>
    </w:rPr>
  </w:style>
  <w:style w:type="character" w:customStyle="1" w:styleId="EndtnoteReference">
    <w:name w:val="Endtnote Reference"/>
    <w:aliases w:val="1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character" w:styleId="FootnoteReference">
    <w:name w:val="footnote reference"/>
    <w:aliases w:val="4_GA"/>
    <w:basedOn w:val="DefaultParagraphFont"/>
    <w:rsid w:val="000D6654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footnoteText0">
    <w:name w:val="footnote Text"/>
    <w:aliases w:val="5_GA"/>
    <w:basedOn w:val="Normal"/>
    <w:rsid w:val="00E20DBA"/>
    <w:pPr>
      <w:tabs>
        <w:tab w:val="right" w:pos="1021"/>
      </w:tabs>
      <w:spacing w:after="60" w:line="300" w:lineRule="exact"/>
      <w:ind w:left="1247" w:right="1247" w:hanging="1247"/>
    </w:pPr>
    <w:rPr>
      <w:sz w:val="18"/>
      <w:szCs w:val="26"/>
    </w:rPr>
  </w:style>
  <w:style w:type="character" w:styleId="PageNumber">
    <w:name w:val="page number"/>
    <w:aliases w:val="7_GA"/>
    <w:basedOn w:val="DefaultParagraphFont"/>
    <w:rsid w:val="000D6654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rsid w:val="000D665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Roman1GA">
    <w:name w:val="_Roman 1_GA"/>
    <w:basedOn w:val="Normal"/>
    <w:rsid w:val="003519E6"/>
    <w:pPr>
      <w:numPr>
        <w:numId w:val="23"/>
      </w:numPr>
      <w:suppressAutoHyphens/>
      <w:bidi w:val="0"/>
      <w:spacing w:after="120" w:line="380" w:lineRule="exact"/>
      <w:ind w:right="1247"/>
    </w:pPr>
  </w:style>
  <w:style w:type="paragraph" w:customStyle="1" w:styleId="Roman2GA">
    <w:name w:val="_Roman 2_GA"/>
    <w:basedOn w:val="Normal"/>
    <w:next w:val="Normal"/>
    <w:rsid w:val="005F71B6"/>
    <w:pPr>
      <w:numPr>
        <w:numId w:val="24"/>
      </w:numPr>
      <w:spacing w:after="120" w:line="380" w:lineRule="exact"/>
      <w:ind w:right="1247"/>
    </w:pPr>
  </w:style>
  <w:style w:type="numbering" w:styleId="111111">
    <w:name w:val="Outline List 2"/>
    <w:basedOn w:val="NoList"/>
    <w:semiHidden/>
    <w:rsid w:val="005732A2"/>
    <w:pPr>
      <w:numPr>
        <w:numId w:val="8"/>
      </w:numPr>
    </w:pPr>
  </w:style>
  <w:style w:type="numbering" w:styleId="1ai">
    <w:name w:val="Outline List 1"/>
    <w:basedOn w:val="NoList"/>
    <w:semiHidden/>
    <w:rsid w:val="005732A2"/>
    <w:pPr>
      <w:numPr>
        <w:numId w:val="10"/>
      </w:numPr>
    </w:pPr>
  </w:style>
  <w:style w:type="character" w:styleId="EndnoteReference">
    <w:name w:val="endnote reference"/>
    <w:basedOn w:val="DefaultParagraphFont"/>
    <w:semiHidden/>
    <w:rsid w:val="00FE68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AT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CATOP.dot</Template>
  <TotalTime>0</TotalTime>
  <Pages>2</Pages>
  <Words>445</Words>
  <Characters>2419</Characters>
  <Application>Microsoft Office Outlook</Application>
  <DocSecurity>4</DocSecurity>
  <Lines>49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CAT/C/49/3</vt:lpstr>
    </vt:vector>
  </TitlesOfParts>
  <Company>CSD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CAT/C/49/3</dc:title>
  <dc:subject>Naili/Shakour</dc:subject>
  <dc:creator>Mervat</dc:creator>
  <cp:keywords/>
  <dc:description/>
  <cp:lastModifiedBy>Mervat</cp:lastModifiedBy>
  <cp:revision>2</cp:revision>
  <cp:lastPrinted>2013-05-08T12:01:00Z</cp:lastPrinted>
  <dcterms:created xsi:type="dcterms:W3CDTF">2013-05-08T14:22:00Z</dcterms:created>
  <dcterms:modified xsi:type="dcterms:W3CDTF">2013-05-08T14:22:00Z</dcterms:modified>
</cp:coreProperties>
</file>