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E55FBA" w:rsidP="00E55FBA">
            <w:pPr>
              <w:jc w:val="right"/>
            </w:pPr>
            <w:r w:rsidRPr="00E55FBA">
              <w:rPr>
                <w:sz w:val="40"/>
              </w:rPr>
              <w:t>CERD</w:t>
            </w:r>
            <w:r>
              <w:t>/C/FJI/Q/18-20</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E55FB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E55FBA" w:rsidRDefault="00E55FBA" w:rsidP="00593658">
            <w:pPr>
              <w:spacing w:before="240"/>
            </w:pPr>
            <w:r>
              <w:t>Distr. générale</w:t>
            </w:r>
          </w:p>
          <w:p w:rsidR="00E55FBA" w:rsidRDefault="00E55FBA" w:rsidP="00E55FBA">
            <w:pPr>
              <w:spacing w:line="240" w:lineRule="exact"/>
            </w:pPr>
            <w:r>
              <w:t>8 août 2012</w:t>
            </w:r>
          </w:p>
          <w:p w:rsidR="00E55FBA" w:rsidRDefault="00E55FBA" w:rsidP="00E55FBA">
            <w:pPr>
              <w:spacing w:line="240" w:lineRule="exact"/>
            </w:pPr>
            <w:r>
              <w:t>Français</w:t>
            </w:r>
          </w:p>
          <w:p w:rsidR="002E0D40" w:rsidRPr="00DB58B5" w:rsidRDefault="00E55FBA" w:rsidP="00E55FBA">
            <w:pPr>
              <w:spacing w:line="240" w:lineRule="exact"/>
            </w:pPr>
            <w:r>
              <w:t>Original: anglais</w:t>
            </w:r>
          </w:p>
        </w:tc>
      </w:tr>
    </w:tbl>
    <w:p w:rsidR="00FF1DBD" w:rsidRDefault="0078670C" w:rsidP="00E55FBA">
      <w:pPr>
        <w:spacing w:before="120"/>
        <w:rPr>
          <w:b/>
          <w:sz w:val="24"/>
          <w:szCs w:val="24"/>
        </w:rPr>
      </w:pPr>
      <w:r w:rsidRPr="00C56102">
        <w:rPr>
          <w:b/>
          <w:sz w:val="24"/>
          <w:szCs w:val="24"/>
        </w:rPr>
        <w:t>Comité pour l</w:t>
      </w:r>
      <w:r w:rsidR="00E55FBA">
        <w:rPr>
          <w:b/>
          <w:sz w:val="24"/>
          <w:szCs w:val="24"/>
        </w:rPr>
        <w:t>’</w:t>
      </w:r>
      <w:r w:rsidRPr="00C56102">
        <w:rPr>
          <w:b/>
          <w:sz w:val="24"/>
          <w:szCs w:val="24"/>
        </w:rPr>
        <w:t>éliminati</w:t>
      </w:r>
      <w:r w:rsidR="00E55FBA">
        <w:rPr>
          <w:b/>
          <w:sz w:val="24"/>
          <w:szCs w:val="24"/>
        </w:rPr>
        <w:t>on de la discrimination raciale</w:t>
      </w:r>
    </w:p>
    <w:p w:rsidR="00E55FBA" w:rsidRPr="00E55FBA" w:rsidRDefault="00743332" w:rsidP="00E55FBA">
      <w:pPr>
        <w:rPr>
          <w:b/>
        </w:rPr>
      </w:pPr>
      <w:r>
        <w:rPr>
          <w:b/>
        </w:rPr>
        <w:t>Quatre-vingt-</w:t>
      </w:r>
      <w:r w:rsidR="00E55FBA" w:rsidRPr="00E55FBA">
        <w:rPr>
          <w:b/>
        </w:rPr>
        <w:t>unième session</w:t>
      </w:r>
    </w:p>
    <w:p w:rsidR="00E55FBA" w:rsidRDefault="00E55FBA" w:rsidP="00E55FBA">
      <w:r>
        <w:t>6-31 août 2012</w:t>
      </w:r>
    </w:p>
    <w:p w:rsidR="00E55FBA" w:rsidRDefault="00E55FBA" w:rsidP="00E55FBA">
      <w:pPr>
        <w:pStyle w:val="HChG"/>
      </w:pPr>
      <w:r>
        <w:tab/>
      </w:r>
      <w:r>
        <w:tab/>
        <w:t>Application de la Convention internationale sur l’élimination de toutes les formes de discrimination raciale</w:t>
      </w:r>
    </w:p>
    <w:p w:rsidR="00E55FBA" w:rsidRDefault="00E55FBA" w:rsidP="00E55FBA">
      <w:pPr>
        <w:pStyle w:val="H1G"/>
        <w:rPr>
          <w:sz w:val="20"/>
        </w:rPr>
      </w:pPr>
      <w:r>
        <w:tab/>
      </w:r>
      <w:r>
        <w:tab/>
        <w:t>Liste de thèmes à traiter à l’occasion de l’examen des dix-huitième à vingtième rapports périodiques de Fidji (CERD/C/FJI/18-20)</w:t>
      </w:r>
      <w:r w:rsidRPr="00E55FBA">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7653"/>
      </w:tblGrid>
      <w:tr w:rsidR="00E55FBA" w:rsidTr="00E55FBA">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E55FBA" w:rsidRDefault="00E55FBA" w:rsidP="00E55FBA"/>
        </w:tc>
      </w:tr>
      <w:tr w:rsidR="00E55FBA" w:rsidTr="00E55FBA">
        <w:trPr>
          <w:jc w:val="center"/>
        </w:trPr>
        <w:tc>
          <w:tcPr>
            <w:tcW w:w="7653" w:type="dxa"/>
            <w:tcBorders>
              <w:left w:val="single" w:sz="4" w:space="0" w:color="auto"/>
              <w:bottom w:val="nil"/>
              <w:right w:val="single" w:sz="4" w:space="0" w:color="auto"/>
            </w:tcBorders>
            <w:shd w:val="clear" w:color="auto" w:fill="auto"/>
          </w:tcPr>
          <w:p w:rsidR="00E55FBA" w:rsidRDefault="00E55FBA" w:rsidP="00E55FBA">
            <w:pPr>
              <w:spacing w:after="120"/>
              <w:jc w:val="both"/>
            </w:pPr>
            <w:r>
              <w:tab/>
              <w:t>On trouvera ci-a</w:t>
            </w:r>
            <w:r w:rsidR="00132845">
              <w:t>près une liste de thèmes définis</w:t>
            </w:r>
            <w:r>
              <w:t xml:space="preserve"> par le rapporteur de pays aux fins de l’examen des dix-huitième à vingtième rapports périodiques de Fidji. Cette liste a pour but de structurer le dialogue entre la délégation de l’État partie et le Comité et </w:t>
            </w:r>
            <w:r w:rsidRPr="00404B07">
              <w:rPr>
                <w:i/>
              </w:rPr>
              <w:t>n’appelle pas de réponses écrites</w:t>
            </w:r>
            <w:r>
              <w:t>. Elle n’est pas exhaustive; d’autres questions pourront être abordées au cours du dialogue.</w:t>
            </w:r>
          </w:p>
        </w:tc>
      </w:tr>
      <w:tr w:rsidR="00E55FBA" w:rsidTr="00E55FBA">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E55FBA" w:rsidRDefault="00E55FBA" w:rsidP="00E55FBA"/>
        </w:tc>
      </w:tr>
    </w:tbl>
    <w:p w:rsidR="00E55FBA" w:rsidRDefault="00E55FBA" w:rsidP="00E55FBA">
      <w:pPr>
        <w:pStyle w:val="H23G"/>
      </w:pPr>
      <w:r>
        <w:tab/>
        <w:t>1.</w:t>
      </w:r>
      <w:r>
        <w:tab/>
      </w:r>
      <w:r w:rsidR="00404B07">
        <w:t xml:space="preserve">La </w:t>
      </w:r>
      <w:r>
        <w:t>Convention dans le droit interne</w:t>
      </w:r>
      <w:r w:rsidR="00404B07">
        <w:t>,</w:t>
      </w:r>
      <w:r>
        <w:t xml:space="preserve"> cadre institu</w:t>
      </w:r>
      <w:r w:rsidR="00C716C3">
        <w:t xml:space="preserve">tionnel </w:t>
      </w:r>
      <w:r w:rsidR="00404B07">
        <w:t xml:space="preserve">et </w:t>
      </w:r>
      <w:r w:rsidR="00C716C3">
        <w:t>général pour sa mise en </w:t>
      </w:r>
      <w:r>
        <w:t>œuvre, voies de recours judiciaires et mesures de réparation (art. 2 à 7):</w:t>
      </w:r>
    </w:p>
    <w:p w:rsidR="00E55FBA" w:rsidRDefault="00E55FBA" w:rsidP="00E55FBA">
      <w:pPr>
        <w:pStyle w:val="SingleTxtG"/>
      </w:pPr>
      <w:r>
        <w:tab/>
        <w:t>a)</w:t>
      </w:r>
      <w:r>
        <w:tab/>
        <w:t>Progrès accomplis en vu</w:t>
      </w:r>
      <w:r w:rsidR="00132845">
        <w:t>e de l’adoption de la nouvelle c</w:t>
      </w:r>
      <w:r>
        <w:t xml:space="preserve">onstitution, en particulier mesures prises pour garantir la participation de tous les Fidjiens au processus de consultation </w:t>
      </w:r>
      <w:r w:rsidR="00404B07">
        <w:t>actuel en vue d’une nouvelle constitution</w:t>
      </w:r>
      <w:r>
        <w:t>; progrès accomplis en ce qui concerne les réformes électorales, en particulier mesures antidiscriminat</w:t>
      </w:r>
      <w:r w:rsidR="00404B07">
        <w:t xml:space="preserve">ion </w:t>
      </w:r>
      <w:r>
        <w:t>envisagées pour garantir l’accès de tous les Fidjiens au processus actuel d’enregistrement électoral (CERD/C/FJI/</w:t>
      </w:r>
      <w:r w:rsidRPr="000B4ECB">
        <w:t>18-20</w:t>
      </w:r>
      <w:r w:rsidR="00C716C3">
        <w:t>, par. 18, 19, 56 et </w:t>
      </w:r>
      <w:r>
        <w:t>57);</w:t>
      </w:r>
    </w:p>
    <w:p w:rsidR="00E55FBA" w:rsidRDefault="00E55FBA" w:rsidP="00E55FBA">
      <w:pPr>
        <w:pStyle w:val="SingleTxtG"/>
      </w:pPr>
      <w:r>
        <w:tab/>
        <w:t>b)</w:t>
      </w:r>
      <w:r>
        <w:tab/>
        <w:t xml:space="preserve">Renseignements sur la composition de la Commission fidjienne des droits de l’homme et les ressources qui lui sont allouées, ainsi que sur les mesures prises pour garantir que la Commission respecte </w:t>
      </w:r>
      <w:r w:rsidRPr="00943FFC">
        <w:t>les principes relatifs au statut des institutions nationales pour la promotion et la protection des droits de l</w:t>
      </w:r>
      <w:r>
        <w:t>’</w:t>
      </w:r>
      <w:r w:rsidRPr="00943FFC">
        <w:t>homme</w:t>
      </w:r>
      <w:r>
        <w:t xml:space="preserve"> (Principes de Paris); informations actualisées concernant les travaux de la Commission dans le domaine de la discrimination raciale (</w:t>
      </w:r>
      <w:r w:rsidRPr="000B4ECB">
        <w:t>CERD/C/FJI/</w:t>
      </w:r>
      <w:r>
        <w:t>CO</w:t>
      </w:r>
      <w:r w:rsidRPr="000B4ECB">
        <w:t>/</w:t>
      </w:r>
      <w:r>
        <w:t xml:space="preserve">17, par. 11; </w:t>
      </w:r>
      <w:r w:rsidRPr="008B6BC3">
        <w:t>CERD/C/FJI/18-20</w:t>
      </w:r>
      <w:r w:rsidR="00C716C3">
        <w:t>, par. 35 à </w:t>
      </w:r>
      <w:r>
        <w:t>38</w:t>
      </w:r>
      <w:r w:rsidR="00132845">
        <w:t>)</w:t>
      </w:r>
      <w:r>
        <w:t>;</w:t>
      </w:r>
    </w:p>
    <w:p w:rsidR="00E55FBA" w:rsidRDefault="00E55FBA" w:rsidP="00E55FBA">
      <w:pPr>
        <w:pStyle w:val="SingleTxtG"/>
      </w:pPr>
      <w:r>
        <w:tab/>
        <w:t>c)</w:t>
      </w:r>
      <w:r>
        <w:tab/>
        <w:t xml:space="preserve">Mesures prises ou envisagées </w:t>
      </w:r>
      <w:r w:rsidR="00404B07">
        <w:t xml:space="preserve">en vue de l’adoption d’une loi générale pour </w:t>
      </w:r>
      <w:r>
        <w:t>l’élimination de toutes les formes de discrimination raciale (CERD/C/FJI/CO</w:t>
      </w:r>
      <w:r w:rsidRPr="008B6BC3">
        <w:t>/1</w:t>
      </w:r>
      <w:r>
        <w:t xml:space="preserve">7, par. 15; </w:t>
      </w:r>
      <w:r w:rsidRPr="008B6BC3">
        <w:t>CERD/C/FJI/18-20</w:t>
      </w:r>
      <w:r>
        <w:t>, annexe 1);</w:t>
      </w:r>
    </w:p>
    <w:p w:rsidR="00E55FBA" w:rsidRDefault="00E55FBA" w:rsidP="00E55FBA">
      <w:pPr>
        <w:pStyle w:val="SingleTxtG"/>
      </w:pPr>
      <w:r>
        <w:tab/>
        <w:t>d)</w:t>
      </w:r>
      <w:r>
        <w:tab/>
        <w:t xml:space="preserve">Informations détaillées sur les décisions prises par les juridictions nationales pour sanctionner les actes de discrimination raciale, y compris les </w:t>
      </w:r>
      <w:r w:rsidR="00404B07">
        <w:t xml:space="preserve">voies de recours </w:t>
      </w:r>
      <w:r>
        <w:t xml:space="preserve">judiciaires et </w:t>
      </w:r>
      <w:r w:rsidR="00404B07">
        <w:t xml:space="preserve">les mesures de réparation </w:t>
      </w:r>
      <w:r>
        <w:t>prévu</w:t>
      </w:r>
      <w:r w:rsidR="00404B07">
        <w:t>e</w:t>
      </w:r>
      <w:r>
        <w:t>s pour les victimes (CERD/C/FJI/CO</w:t>
      </w:r>
      <w:r w:rsidRPr="008B6BC3">
        <w:t>/1</w:t>
      </w:r>
      <w:r>
        <w:t xml:space="preserve">7, par. 14); </w:t>
      </w:r>
    </w:p>
    <w:p w:rsidR="00E55FBA" w:rsidRDefault="00E55FBA" w:rsidP="00E55FBA">
      <w:pPr>
        <w:pStyle w:val="SingleTxtG"/>
      </w:pPr>
      <w:r>
        <w:tab/>
        <w:t>e)</w:t>
      </w:r>
      <w:r>
        <w:tab/>
        <w:t xml:space="preserve">Informations </w:t>
      </w:r>
      <w:r w:rsidR="00404B07">
        <w:t xml:space="preserve">complémentaires </w:t>
      </w:r>
      <w:r>
        <w:t>sur l’efficacité des mesures prises pour garantir le principe de non-discrimination dans l’accès à l’éducation, notamment le changement de</w:t>
      </w:r>
      <w:r w:rsidR="00404B07">
        <w:t>s</w:t>
      </w:r>
      <w:r>
        <w:t xml:space="preserve"> nom</w:t>
      </w:r>
      <w:r w:rsidR="00404B07">
        <w:t>s</w:t>
      </w:r>
      <w:r>
        <w:t xml:space="preserve"> d</w:t>
      </w:r>
      <w:r w:rsidR="00404B07">
        <w:t>’</w:t>
      </w:r>
      <w:r>
        <w:t>écoles à connotation raciale et la mise en place de l’</w:t>
      </w:r>
      <w:r w:rsidR="00404B07">
        <w:t xml:space="preserve">instruction </w:t>
      </w:r>
      <w:r>
        <w:t xml:space="preserve">obligatoire en </w:t>
      </w:r>
      <w:r w:rsidR="00095EA1">
        <w:t>langue iT</w:t>
      </w:r>
      <w:r w:rsidR="00743332">
        <w:t>au</w:t>
      </w:r>
      <w:r w:rsidR="00404B07">
        <w:t xml:space="preserve">kei </w:t>
      </w:r>
      <w:r>
        <w:t>et en hindi (CERD/C/FJI/CO</w:t>
      </w:r>
      <w:r w:rsidRPr="008B6BC3">
        <w:t>/1</w:t>
      </w:r>
      <w:r>
        <w:t xml:space="preserve">7, par. 19; </w:t>
      </w:r>
      <w:r w:rsidRPr="008B6BC3">
        <w:t>CERD/C/FJI/18-20</w:t>
      </w:r>
      <w:r>
        <w:t>, par. 78 et 79</w:t>
      </w:r>
      <w:r w:rsidR="00132845">
        <w:t>)</w:t>
      </w:r>
      <w:r>
        <w:t>;</w:t>
      </w:r>
    </w:p>
    <w:p w:rsidR="00E55FBA" w:rsidRDefault="00E55FBA" w:rsidP="00E55FBA">
      <w:pPr>
        <w:pStyle w:val="SingleTxtG"/>
      </w:pPr>
      <w:r>
        <w:tab/>
        <w:t>f)</w:t>
      </w:r>
      <w:r>
        <w:tab/>
        <w:t xml:space="preserve">Informations actualisées sur les mesures prises </w:t>
      </w:r>
      <w:r w:rsidR="00095EA1">
        <w:t xml:space="preserve">afin de </w:t>
      </w:r>
      <w:r>
        <w:t>promouvoir les écoles mixtes et autres mesures visant à promouvoir la diversité, la tolérance et l’éducation interculturelle (</w:t>
      </w:r>
      <w:r w:rsidRPr="008B6BC3">
        <w:t>CERD/C/FJI/</w:t>
      </w:r>
      <w:r>
        <w:t>CO</w:t>
      </w:r>
      <w:r w:rsidRPr="008B6BC3">
        <w:t>/1</w:t>
      </w:r>
      <w:r>
        <w:t>7, par. 19).</w:t>
      </w:r>
    </w:p>
    <w:p w:rsidR="00E55FBA" w:rsidRDefault="00E55FBA" w:rsidP="00E55FBA">
      <w:pPr>
        <w:pStyle w:val="H23G"/>
      </w:pPr>
      <w:r>
        <w:tab/>
        <w:t>2.</w:t>
      </w:r>
      <w:r>
        <w:tab/>
        <w:t>Situation des minorités (art. 5)</w:t>
      </w:r>
      <w:r w:rsidR="00CE5116">
        <w:t>:</w:t>
      </w:r>
    </w:p>
    <w:p w:rsidR="00E55FBA" w:rsidRDefault="00E55FBA" w:rsidP="00E55FBA">
      <w:pPr>
        <w:pStyle w:val="SingleTxtG"/>
      </w:pPr>
      <w:r>
        <w:tab/>
        <w:t>a)</w:t>
      </w:r>
      <w:r>
        <w:tab/>
        <w:t xml:space="preserve">Mesures additionnelles prises ou envisagées afin d’améliorer l’accès des communautés ethniques toujours sous-représentées, notamment les Indo-Fidjiens, </w:t>
      </w:r>
      <w:r w:rsidR="00CE5116">
        <w:t xml:space="preserve">à des fonctions </w:t>
      </w:r>
      <w:r>
        <w:t xml:space="preserve">dans l’administration publique, en particulier dans les forces </w:t>
      </w:r>
      <w:r w:rsidR="00CE5116">
        <w:t xml:space="preserve">armées </w:t>
      </w:r>
      <w:r>
        <w:t>et l</w:t>
      </w:r>
      <w:r w:rsidR="00CE5116">
        <w:t xml:space="preserve">a </w:t>
      </w:r>
      <w:r>
        <w:t>police (</w:t>
      </w:r>
      <w:r w:rsidRPr="008B6BC3">
        <w:t>CERD/C/FJI/</w:t>
      </w:r>
      <w:r>
        <w:t>CO</w:t>
      </w:r>
      <w:r w:rsidRPr="008B6BC3">
        <w:t>/1</w:t>
      </w:r>
      <w:r>
        <w:t xml:space="preserve">7, par. 18; </w:t>
      </w:r>
      <w:r w:rsidRPr="008B6BC3">
        <w:t>CERD/C/FJI/18-20</w:t>
      </w:r>
      <w:r w:rsidR="00C716C3">
        <w:t>, par. 28 à </w:t>
      </w:r>
      <w:r>
        <w:t>31);</w:t>
      </w:r>
    </w:p>
    <w:p w:rsidR="00E55FBA" w:rsidRDefault="00E55FBA" w:rsidP="00E55FBA">
      <w:pPr>
        <w:pStyle w:val="SingleTxtG"/>
      </w:pPr>
      <w:r>
        <w:tab/>
        <w:t>b)</w:t>
      </w:r>
      <w:r>
        <w:tab/>
        <w:t xml:space="preserve">Informations actualisées sur l’efficacité des mesures prises, en particulier le </w:t>
      </w:r>
      <w:r w:rsidRPr="00943FFC">
        <w:t>décret relatif à l</w:t>
      </w:r>
      <w:r>
        <w:t>’</w:t>
      </w:r>
      <w:r w:rsidRPr="00943FFC">
        <w:t>exploitation foncière</w:t>
      </w:r>
      <w:r>
        <w:t xml:space="preserve"> de 2010, qui </w:t>
      </w:r>
      <w:r w:rsidR="00CE5116">
        <w:t xml:space="preserve">accorde des droits fonciers </w:t>
      </w:r>
      <w:r>
        <w:t xml:space="preserve">aux Indo-Fidjiens et aux minorités plus restreintes, et </w:t>
      </w:r>
      <w:r w:rsidR="00CE5116">
        <w:t xml:space="preserve">sur </w:t>
      </w:r>
      <w:r>
        <w:t>leur application en droit et en pratique (</w:t>
      </w:r>
      <w:r w:rsidRPr="008B6BC3">
        <w:t>CERD/C/FJI/</w:t>
      </w:r>
      <w:r>
        <w:t>CO/17, par. </w:t>
      </w:r>
      <w:r w:rsidRPr="008B6BC3">
        <w:t>2</w:t>
      </w:r>
      <w:r>
        <w:t>2; CERD/C/FJI</w:t>
      </w:r>
      <w:r w:rsidRPr="008B6BC3">
        <w:t>/18-20</w:t>
      </w:r>
      <w:r w:rsidR="00C716C3">
        <w:t>, par. 47 à </w:t>
      </w:r>
      <w:r>
        <w:t>51);</w:t>
      </w:r>
    </w:p>
    <w:p w:rsidR="00E55FBA" w:rsidRDefault="00E55FBA" w:rsidP="00E55FBA">
      <w:pPr>
        <w:pStyle w:val="SingleTxtG"/>
      </w:pPr>
      <w:r>
        <w:tab/>
        <w:t>c)</w:t>
      </w:r>
      <w:r>
        <w:tab/>
        <w:t xml:space="preserve">Mesures additionnelles </w:t>
      </w:r>
      <w:r w:rsidR="00CE5116">
        <w:t xml:space="preserve">visant à combattre </w:t>
      </w:r>
      <w:r>
        <w:t xml:space="preserve">la discrimination raciale </w:t>
      </w:r>
      <w:r w:rsidR="00CE5116">
        <w:t xml:space="preserve">à l’encontre des </w:t>
      </w:r>
      <w:r>
        <w:t>personnes qui appartiennent à des groupes minoritaires</w:t>
      </w:r>
      <w:r w:rsidR="00CE5116">
        <w:t xml:space="preserve"> plus restreints</w:t>
      </w:r>
      <w:r>
        <w:t>.</w:t>
      </w:r>
    </w:p>
    <w:p w:rsidR="00E55FBA" w:rsidRPr="00E55FBA" w:rsidRDefault="00E55FBA" w:rsidP="00E55FBA">
      <w:pPr>
        <w:pStyle w:val="SingleTxtG"/>
        <w:spacing w:before="240" w:after="0"/>
        <w:jc w:val="center"/>
        <w:rPr>
          <w:u w:val="single"/>
        </w:rPr>
      </w:pPr>
      <w:r>
        <w:rPr>
          <w:u w:val="single"/>
        </w:rPr>
        <w:tab/>
      </w:r>
      <w:r>
        <w:rPr>
          <w:u w:val="single"/>
        </w:rPr>
        <w:tab/>
      </w:r>
      <w:r>
        <w:rPr>
          <w:u w:val="single"/>
        </w:rPr>
        <w:tab/>
      </w:r>
    </w:p>
    <w:sectPr w:rsidR="00E55FBA" w:rsidRPr="00E55FBA" w:rsidSect="00E55FB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3" w:rsidRDefault="00027513"/>
  </w:endnote>
  <w:endnote w:type="continuationSeparator" w:id="0">
    <w:p w:rsidR="00027513" w:rsidRDefault="00027513"/>
  </w:endnote>
  <w:endnote w:type="continuationNotice" w:id="1">
    <w:p w:rsidR="00027513" w:rsidRPr="00201F68" w:rsidRDefault="00027513"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3" w:rsidRPr="00E55FBA" w:rsidRDefault="00027513" w:rsidP="00E55FBA">
    <w:pPr>
      <w:pStyle w:val="Footer"/>
      <w:tabs>
        <w:tab w:val="right" w:pos="9638"/>
      </w:tabs>
    </w:pPr>
    <w:r w:rsidRPr="00E55FBA">
      <w:rPr>
        <w:b/>
        <w:sz w:val="18"/>
      </w:rPr>
      <w:fldChar w:fldCharType="begin"/>
    </w:r>
    <w:r w:rsidRPr="00E55FBA">
      <w:rPr>
        <w:b/>
        <w:sz w:val="18"/>
      </w:rPr>
      <w:instrText xml:space="preserve"> PAGE  \* MERGEFORMAT </w:instrText>
    </w:r>
    <w:r w:rsidRPr="00E55FBA">
      <w:rPr>
        <w:b/>
        <w:sz w:val="18"/>
      </w:rPr>
      <w:fldChar w:fldCharType="separate"/>
    </w:r>
    <w:r w:rsidR="00F6365A">
      <w:rPr>
        <w:b/>
        <w:noProof/>
        <w:sz w:val="18"/>
      </w:rPr>
      <w:t>2</w:t>
    </w:r>
    <w:r w:rsidRPr="00E55FBA">
      <w:rPr>
        <w:b/>
        <w:sz w:val="18"/>
      </w:rPr>
      <w:fldChar w:fldCharType="end"/>
    </w:r>
    <w:r>
      <w:rPr>
        <w:b/>
        <w:sz w:val="18"/>
      </w:rPr>
      <w:tab/>
    </w:r>
    <w:r>
      <w:t>GE.12-44696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3" w:rsidRPr="00E55FBA" w:rsidRDefault="00027513" w:rsidP="00E55FBA">
    <w:pPr>
      <w:pStyle w:val="Footer"/>
      <w:tabs>
        <w:tab w:val="right" w:pos="9638"/>
      </w:tabs>
      <w:rPr>
        <w:b/>
        <w:sz w:val="18"/>
      </w:rPr>
    </w:pPr>
    <w:r>
      <w:t>GE.12-44696</w:t>
    </w:r>
    <w:r>
      <w:tab/>
    </w:r>
    <w:r w:rsidRPr="00E55FBA">
      <w:rPr>
        <w:b/>
        <w:sz w:val="18"/>
      </w:rPr>
      <w:fldChar w:fldCharType="begin"/>
    </w:r>
    <w:r w:rsidRPr="00E55FBA">
      <w:rPr>
        <w:b/>
        <w:sz w:val="18"/>
      </w:rPr>
      <w:instrText xml:space="preserve"> PAGE  \* MERGEFORMAT </w:instrText>
    </w:r>
    <w:r w:rsidRPr="00E55FBA">
      <w:rPr>
        <w:b/>
        <w:sz w:val="18"/>
      </w:rPr>
      <w:fldChar w:fldCharType="separate"/>
    </w:r>
    <w:r>
      <w:rPr>
        <w:b/>
        <w:noProof/>
        <w:sz w:val="18"/>
      </w:rPr>
      <w:t>3</w:t>
    </w:r>
    <w:r w:rsidRPr="00E55F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3" w:rsidRDefault="00027513">
    <w:pPr>
      <w:pStyle w:val="Footer"/>
    </w:pPr>
    <w:r>
      <w:rPr>
        <w:sz w:val="20"/>
      </w:rPr>
      <w:t>GE.12-44696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310812    100912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3" w:rsidRPr="00D27D5E" w:rsidRDefault="00027513" w:rsidP="00D27D5E">
      <w:pPr>
        <w:tabs>
          <w:tab w:val="right" w:pos="2155"/>
        </w:tabs>
        <w:spacing w:after="80"/>
        <w:ind w:left="680"/>
        <w:rPr>
          <w:u w:val="single"/>
        </w:rPr>
      </w:pPr>
      <w:r>
        <w:rPr>
          <w:u w:val="single"/>
        </w:rPr>
        <w:tab/>
      </w:r>
    </w:p>
  </w:footnote>
  <w:footnote w:type="continuationSeparator" w:id="0">
    <w:p w:rsidR="00027513" w:rsidRPr="00AA7FE7" w:rsidRDefault="00027513" w:rsidP="00AA7FE7">
      <w:pPr>
        <w:tabs>
          <w:tab w:val="right" w:pos="2155"/>
        </w:tabs>
        <w:spacing w:after="80"/>
        <w:ind w:left="680"/>
        <w:rPr>
          <w:u w:val="single"/>
        </w:rPr>
      </w:pPr>
      <w:r w:rsidRPr="00AA7FE7">
        <w:rPr>
          <w:u w:val="single"/>
        </w:rPr>
        <w:tab/>
      </w:r>
    </w:p>
  </w:footnote>
  <w:footnote w:type="continuationNotice" w:id="1">
    <w:p w:rsidR="00027513" w:rsidRPr="00201F68" w:rsidRDefault="00027513" w:rsidP="00201F68">
      <w:pPr>
        <w:spacing w:line="240" w:lineRule="auto"/>
        <w:rPr>
          <w:sz w:val="2"/>
          <w:szCs w:val="2"/>
        </w:rPr>
      </w:pPr>
    </w:p>
  </w:footnote>
  <w:footnote w:id="2">
    <w:p w:rsidR="00027513" w:rsidRPr="000B4ECB" w:rsidRDefault="00027513" w:rsidP="00E55FBA">
      <w:pPr>
        <w:pStyle w:val="FootnoteText"/>
      </w:pPr>
      <w:r>
        <w:tab/>
      </w:r>
      <w:r w:rsidRPr="00E55FBA">
        <w:rPr>
          <w:rStyle w:val="FootnoteReference"/>
          <w:sz w:val="20"/>
          <w:vertAlign w:val="baseline"/>
        </w:rPr>
        <w:t>*</w:t>
      </w:r>
      <w:r>
        <w:rPr>
          <w:sz w:val="20"/>
        </w:rPr>
        <w:tab/>
      </w:r>
      <w:r>
        <w:t>Soumission tardive.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3" w:rsidRPr="00E55FBA" w:rsidRDefault="00027513">
    <w:pPr>
      <w:pStyle w:val="Header"/>
    </w:pPr>
    <w:r>
      <w:t>CERD/C/FJI/Q/18-20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3" w:rsidRPr="00E55FBA" w:rsidRDefault="00027513" w:rsidP="00E55FBA">
    <w:pPr>
      <w:pStyle w:val="Header"/>
      <w:jc w:val="right"/>
    </w:pPr>
    <w:r>
      <w:t>CERD/C/FJI/Q/18-20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0D294"/>
    <w:lvl w:ilvl="0">
      <w:start w:val="1"/>
      <w:numFmt w:val="decimal"/>
      <w:lvlText w:val="%1."/>
      <w:lvlJc w:val="left"/>
      <w:pPr>
        <w:tabs>
          <w:tab w:val="num" w:pos="1492"/>
        </w:tabs>
        <w:ind w:left="1492" w:hanging="360"/>
      </w:pPr>
    </w:lvl>
  </w:abstractNum>
  <w:abstractNum w:abstractNumId="1">
    <w:nsid w:val="FFFFFF7D"/>
    <w:multiLevelType w:val="singleLevel"/>
    <w:tmpl w:val="6338B392"/>
    <w:lvl w:ilvl="0">
      <w:start w:val="1"/>
      <w:numFmt w:val="decimal"/>
      <w:lvlText w:val="%1."/>
      <w:lvlJc w:val="left"/>
      <w:pPr>
        <w:tabs>
          <w:tab w:val="num" w:pos="1209"/>
        </w:tabs>
        <w:ind w:left="1209" w:hanging="360"/>
      </w:pPr>
    </w:lvl>
  </w:abstractNum>
  <w:abstractNum w:abstractNumId="2">
    <w:nsid w:val="FFFFFF7E"/>
    <w:multiLevelType w:val="singleLevel"/>
    <w:tmpl w:val="0608B800"/>
    <w:lvl w:ilvl="0">
      <w:start w:val="1"/>
      <w:numFmt w:val="decimal"/>
      <w:lvlText w:val="%1."/>
      <w:lvlJc w:val="left"/>
      <w:pPr>
        <w:tabs>
          <w:tab w:val="num" w:pos="926"/>
        </w:tabs>
        <w:ind w:left="926" w:hanging="360"/>
      </w:pPr>
    </w:lvl>
  </w:abstractNum>
  <w:abstractNum w:abstractNumId="3">
    <w:nsid w:val="FFFFFF7F"/>
    <w:multiLevelType w:val="singleLevel"/>
    <w:tmpl w:val="AD261A94"/>
    <w:lvl w:ilvl="0">
      <w:start w:val="1"/>
      <w:numFmt w:val="decimal"/>
      <w:lvlText w:val="%1."/>
      <w:lvlJc w:val="left"/>
      <w:pPr>
        <w:tabs>
          <w:tab w:val="num" w:pos="643"/>
        </w:tabs>
        <w:ind w:left="643" w:hanging="360"/>
      </w:pPr>
    </w:lvl>
  </w:abstractNum>
  <w:abstractNum w:abstractNumId="4">
    <w:nsid w:val="FFFFFF80"/>
    <w:multiLevelType w:val="singleLevel"/>
    <w:tmpl w:val="1A6E3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C3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608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0AA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44C54C"/>
    <w:lvl w:ilvl="0">
      <w:start w:val="1"/>
      <w:numFmt w:val="decimal"/>
      <w:lvlText w:val="%1."/>
      <w:lvlJc w:val="left"/>
      <w:pPr>
        <w:tabs>
          <w:tab w:val="num" w:pos="360"/>
        </w:tabs>
        <w:ind w:left="360" w:hanging="360"/>
      </w:pPr>
    </w:lvl>
  </w:abstractNum>
  <w:abstractNum w:abstractNumId="9">
    <w:nsid w:val="FFFFFF89"/>
    <w:multiLevelType w:val="singleLevel"/>
    <w:tmpl w:val="FFDC624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732"/>
    <w:rsid w:val="00016AC5"/>
    <w:rsid w:val="00027513"/>
    <w:rsid w:val="00054609"/>
    <w:rsid w:val="000740BB"/>
    <w:rsid w:val="00095EA1"/>
    <w:rsid w:val="000A6F55"/>
    <w:rsid w:val="000E7579"/>
    <w:rsid w:val="000F41F2"/>
    <w:rsid w:val="001231AD"/>
    <w:rsid w:val="00132845"/>
    <w:rsid w:val="001450E6"/>
    <w:rsid w:val="00150465"/>
    <w:rsid w:val="00160540"/>
    <w:rsid w:val="00192EEB"/>
    <w:rsid w:val="00197832"/>
    <w:rsid w:val="001A20FB"/>
    <w:rsid w:val="001B3867"/>
    <w:rsid w:val="001D72C5"/>
    <w:rsid w:val="001D7F8A"/>
    <w:rsid w:val="001E3FEB"/>
    <w:rsid w:val="001E4A02"/>
    <w:rsid w:val="00201F68"/>
    <w:rsid w:val="00225A8C"/>
    <w:rsid w:val="002271AF"/>
    <w:rsid w:val="002372F2"/>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04B07"/>
    <w:rsid w:val="004159D0"/>
    <w:rsid w:val="00472145"/>
    <w:rsid w:val="00540389"/>
    <w:rsid w:val="00543D5E"/>
    <w:rsid w:val="00571F41"/>
    <w:rsid w:val="00593658"/>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43332"/>
    <w:rsid w:val="0078670C"/>
    <w:rsid w:val="007F55CB"/>
    <w:rsid w:val="007F5F34"/>
    <w:rsid w:val="00807DC0"/>
    <w:rsid w:val="00832977"/>
    <w:rsid w:val="00844750"/>
    <w:rsid w:val="008B44C4"/>
    <w:rsid w:val="008D2259"/>
    <w:rsid w:val="008E7FAE"/>
    <w:rsid w:val="00911BF7"/>
    <w:rsid w:val="00977EC8"/>
    <w:rsid w:val="009C17F5"/>
    <w:rsid w:val="009D3A8C"/>
    <w:rsid w:val="009E7956"/>
    <w:rsid w:val="00A2492E"/>
    <w:rsid w:val="00A82B6C"/>
    <w:rsid w:val="00AA7FE7"/>
    <w:rsid w:val="00AB3173"/>
    <w:rsid w:val="00AC01AA"/>
    <w:rsid w:val="00AC67A1"/>
    <w:rsid w:val="00AC7977"/>
    <w:rsid w:val="00AE352C"/>
    <w:rsid w:val="00B32E2D"/>
    <w:rsid w:val="00B61990"/>
    <w:rsid w:val="00BF0556"/>
    <w:rsid w:val="00C03431"/>
    <w:rsid w:val="00C261F8"/>
    <w:rsid w:val="00C33100"/>
    <w:rsid w:val="00C716C3"/>
    <w:rsid w:val="00CD1A71"/>
    <w:rsid w:val="00CD1FBB"/>
    <w:rsid w:val="00CE5116"/>
    <w:rsid w:val="00D016B5"/>
    <w:rsid w:val="00D034F1"/>
    <w:rsid w:val="00D27D5E"/>
    <w:rsid w:val="00D37345"/>
    <w:rsid w:val="00DC156C"/>
    <w:rsid w:val="00DE6D90"/>
    <w:rsid w:val="00DF002F"/>
    <w:rsid w:val="00E0244D"/>
    <w:rsid w:val="00E42D5E"/>
    <w:rsid w:val="00E55FBA"/>
    <w:rsid w:val="00E81E94"/>
    <w:rsid w:val="00E82607"/>
    <w:rsid w:val="00EC5A42"/>
    <w:rsid w:val="00F6365A"/>
    <w:rsid w:val="00F63BC6"/>
    <w:rsid w:val="00F90732"/>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table" w:styleId="TableGrid">
    <w:name w:val="Table Grid"/>
    <w:basedOn w:val="TableNormal"/>
    <w:semiHidden/>
    <w:rsid w:val="00E55FB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2</Pages>
  <Words>559</Words>
  <Characters>3382</Characters>
  <Application>Microsoft Office Word</Application>
  <DocSecurity>4</DocSecurity>
  <Lines>67</Lines>
  <Paragraphs>28</Paragraphs>
  <ScaleCrop>false</ScaleCrop>
  <HeadingPairs>
    <vt:vector size="2" baseType="variant">
      <vt:variant>
        <vt:lpstr>Titre</vt:lpstr>
      </vt:variant>
      <vt:variant>
        <vt:i4>1</vt:i4>
      </vt:variant>
    </vt:vector>
  </HeadingPairs>
  <TitlesOfParts>
    <vt:vector size="1" baseType="lpstr">
      <vt:lpstr>CERD/C/FJI/Q/18-20</vt:lpstr>
    </vt:vector>
  </TitlesOfParts>
  <Company>CSD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CERD/C/FJI/Q/18-20</dc:title>
  <dc:subject/>
  <dc:creator>D. Toutain</dc:creator>
  <cp:keywords/>
  <dc:description/>
  <cp:lastModifiedBy>D. Toutain</cp:lastModifiedBy>
  <cp:revision>2</cp:revision>
  <cp:lastPrinted>2009-10-07T16:37:00Z</cp:lastPrinted>
  <dcterms:created xsi:type="dcterms:W3CDTF">2012-09-10T11:55:00Z</dcterms:created>
  <dcterms:modified xsi:type="dcterms:W3CDTF">2012-09-10T11:55:00Z</dcterms:modified>
</cp:coreProperties>
</file>