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95C69FA" w14:textId="77777777" w:rsidTr="005B51C4">
        <w:trPr>
          <w:trHeight w:hRule="exact" w:val="851"/>
        </w:trPr>
        <w:tc>
          <w:tcPr>
            <w:tcW w:w="1274" w:type="dxa"/>
            <w:tcBorders>
              <w:bottom w:val="single" w:sz="4" w:space="0" w:color="auto"/>
            </w:tcBorders>
            <w:shd w:val="clear" w:color="auto" w:fill="auto"/>
          </w:tcPr>
          <w:p w14:paraId="77C2774C" w14:textId="77777777" w:rsidR="006B3E27" w:rsidRPr="00C175A6" w:rsidRDefault="006B3E27" w:rsidP="00E94A98">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7A678FBF"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2029D60" w14:textId="1F49A856" w:rsidR="006B3E27" w:rsidRPr="00BA38AA" w:rsidRDefault="00922B30" w:rsidP="00922B30">
            <w:pPr>
              <w:bidi w:val="0"/>
              <w:rPr>
                <w:szCs w:val="20"/>
              </w:rPr>
            </w:pPr>
            <w:r w:rsidRPr="00432722">
              <w:rPr>
                <w:sz w:val="40"/>
              </w:rPr>
              <w:t>CCPR</w:t>
            </w:r>
            <w:r>
              <w:t>/C/BWA/CO/</w:t>
            </w:r>
            <w:r w:rsidRPr="00911C28">
              <w:t>2</w:t>
            </w:r>
          </w:p>
        </w:tc>
      </w:tr>
      <w:tr w:rsidR="006B3E27" w:rsidRPr="00C175A6" w14:paraId="0A7958E7" w14:textId="77777777" w:rsidTr="005B51C4">
        <w:trPr>
          <w:trHeight w:hRule="exact" w:val="2835"/>
        </w:trPr>
        <w:tc>
          <w:tcPr>
            <w:tcW w:w="1274" w:type="dxa"/>
            <w:tcBorders>
              <w:top w:val="single" w:sz="4" w:space="0" w:color="auto"/>
              <w:bottom w:val="single" w:sz="12" w:space="0" w:color="auto"/>
            </w:tcBorders>
            <w:shd w:val="clear" w:color="auto" w:fill="auto"/>
          </w:tcPr>
          <w:p w14:paraId="195A90A3"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62F14C7" wp14:editId="073D0D82">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26B7782" w14:textId="77777777" w:rsidR="006B3E27" w:rsidRPr="00911C28" w:rsidRDefault="00ED7442" w:rsidP="00730446">
            <w:pPr>
              <w:spacing w:before="120" w:after="40" w:line="640" w:lineRule="exact"/>
              <w:ind w:left="57"/>
              <w:rPr>
                <w:b/>
                <w:bCs/>
                <w:sz w:val="46"/>
                <w:szCs w:val="46"/>
              </w:rPr>
            </w:pPr>
            <w:r w:rsidRPr="00911C28">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9AE6359" w14:textId="77777777" w:rsidR="006B3E27" w:rsidRDefault="00BA38AA" w:rsidP="004B27E0">
            <w:pPr>
              <w:bidi w:val="0"/>
              <w:spacing w:before="240"/>
              <w:rPr>
                <w:szCs w:val="20"/>
              </w:rPr>
            </w:pPr>
            <w:r>
              <w:rPr>
                <w:szCs w:val="20"/>
              </w:rPr>
              <w:t>Distr.: General</w:t>
            </w:r>
          </w:p>
          <w:p w14:paraId="4F9185B9" w14:textId="32DB0D69" w:rsidR="00BA38AA" w:rsidRDefault="0036244E" w:rsidP="00BA38AA">
            <w:pPr>
              <w:bidi w:val="0"/>
              <w:spacing w:line="240" w:lineRule="exact"/>
              <w:jc w:val="left"/>
              <w:rPr>
                <w:szCs w:val="20"/>
              </w:rPr>
            </w:pPr>
            <w:r w:rsidRPr="00911C28">
              <w:rPr>
                <w:szCs w:val="20"/>
              </w:rPr>
              <w:t>24</w:t>
            </w:r>
            <w:r>
              <w:rPr>
                <w:szCs w:val="20"/>
              </w:rPr>
              <w:t xml:space="preserve"> November </w:t>
            </w:r>
            <w:r w:rsidR="00BA38AA" w:rsidRPr="00911C28">
              <w:rPr>
                <w:szCs w:val="20"/>
              </w:rPr>
              <w:t>2021</w:t>
            </w:r>
          </w:p>
          <w:p w14:paraId="67A939BD" w14:textId="77777777" w:rsidR="00BA38AA" w:rsidRDefault="00BA38AA" w:rsidP="00BA38AA">
            <w:pPr>
              <w:bidi w:val="0"/>
              <w:spacing w:line="240" w:lineRule="exact"/>
              <w:jc w:val="left"/>
              <w:rPr>
                <w:szCs w:val="20"/>
              </w:rPr>
            </w:pPr>
            <w:r>
              <w:rPr>
                <w:szCs w:val="20"/>
              </w:rPr>
              <w:t>Arabic</w:t>
            </w:r>
          </w:p>
          <w:p w14:paraId="2FD49C35" w14:textId="72A079DD" w:rsidR="00BA38AA" w:rsidRPr="00BA38AA" w:rsidRDefault="00BA38AA" w:rsidP="00BA38AA">
            <w:pPr>
              <w:bidi w:val="0"/>
              <w:spacing w:line="240" w:lineRule="exact"/>
              <w:jc w:val="left"/>
              <w:rPr>
                <w:szCs w:val="20"/>
              </w:rPr>
            </w:pPr>
            <w:r>
              <w:rPr>
                <w:szCs w:val="20"/>
              </w:rPr>
              <w:t>Original: English</w:t>
            </w:r>
          </w:p>
        </w:tc>
      </w:tr>
    </w:tbl>
    <w:p w14:paraId="44346732" w14:textId="77777777" w:rsidR="0063517E" w:rsidRPr="00911C28" w:rsidRDefault="0063517E" w:rsidP="0063517E">
      <w:pPr>
        <w:pStyle w:val="SingleTxtGA"/>
        <w:spacing w:before="120" w:after="0"/>
        <w:ind w:left="0" w:right="283"/>
        <w:jc w:val="left"/>
        <w:rPr>
          <w:b/>
          <w:bCs/>
          <w:sz w:val="26"/>
          <w:szCs w:val="26"/>
          <w:lang w:val="ar-SA" w:eastAsia="zh-TW" w:bidi="en-GB"/>
        </w:rPr>
      </w:pPr>
      <w:r w:rsidRPr="00911C28">
        <w:rPr>
          <w:b/>
          <w:bCs/>
          <w:sz w:val="26"/>
          <w:szCs w:val="26"/>
          <w:rtl/>
        </w:rPr>
        <w:t>اللجنة المعنية بحقوق الإنسان</w:t>
      </w:r>
    </w:p>
    <w:p w14:paraId="2967C567" w14:textId="5D9F906C" w:rsidR="0063517E" w:rsidRPr="00911C28" w:rsidRDefault="0063517E" w:rsidP="0063517E">
      <w:pPr>
        <w:pStyle w:val="HChGA"/>
        <w:rPr>
          <w:lang w:val="en-US" w:eastAsia="zh-TW" w:bidi="en-GB"/>
        </w:rPr>
      </w:pPr>
      <w:r w:rsidRPr="00911C28">
        <w:rPr>
          <w:rtl/>
        </w:rPr>
        <w:tab/>
      </w:r>
      <w:r w:rsidRPr="00911C28">
        <w:rPr>
          <w:rtl/>
        </w:rPr>
        <w:tab/>
        <w:t>الملاحظات الختامية بشأن التقرير الدوري الثاني لبوتسوانا</w:t>
      </w:r>
      <w:r w:rsidRPr="00911C28">
        <w:rPr>
          <w:rStyle w:val="FootnoteReference"/>
          <w:sz w:val="26"/>
          <w:szCs w:val="26"/>
          <w:vertAlign w:val="baseline"/>
          <w:rtl/>
          <w:lang w:val="en-US" w:eastAsia="zh-TW"/>
        </w:rPr>
        <w:footnoteReference w:customMarkFollows="1" w:id="1"/>
        <w:t>*</w:t>
      </w:r>
    </w:p>
    <w:p w14:paraId="0D0CCAE6" w14:textId="2B0F5C35" w:rsidR="0063517E" w:rsidRPr="0036244E" w:rsidRDefault="0063517E" w:rsidP="0063517E">
      <w:pPr>
        <w:pStyle w:val="SingleTxtGA"/>
        <w:rPr>
          <w:rFonts w:eastAsiaTheme="minorEastAsia"/>
          <w:lang w:val="en-US" w:eastAsia="zh-TW" w:bidi="en-GB"/>
        </w:rPr>
      </w:pPr>
      <w:r w:rsidRPr="00911C28">
        <w:rPr>
          <w:rFonts w:eastAsiaTheme="minorEastAsia"/>
          <w:rtl/>
        </w:rPr>
        <w:t>1</w:t>
      </w:r>
      <w:r w:rsidRPr="0063517E">
        <w:rPr>
          <w:rFonts w:eastAsiaTheme="minorEastAsia"/>
          <w:rtl/>
        </w:rPr>
        <w:t>-</w:t>
      </w:r>
      <w:r w:rsidRPr="0063517E">
        <w:rPr>
          <w:rFonts w:eastAsiaTheme="minorEastAsia"/>
          <w:rtl/>
        </w:rPr>
        <w:tab/>
        <w:t>نظرت اللجنة في التقرير الدوري الثاني لبوتسوانا</w:t>
      </w:r>
      <w:r>
        <w:rPr>
          <w:rStyle w:val="FootnoteReference"/>
          <w:rFonts w:eastAsiaTheme="minorEastAsia"/>
          <w:szCs w:val="22"/>
          <w:rtl/>
        </w:rPr>
        <w:t>(</w:t>
      </w:r>
      <w:r w:rsidRPr="00911C28">
        <w:rPr>
          <w:rStyle w:val="FootnoteReference"/>
          <w:rFonts w:eastAsiaTheme="minorEastAsia"/>
          <w:szCs w:val="22"/>
          <w:lang w:val="en-US"/>
        </w:rPr>
        <w:footnoteReference w:id="2"/>
      </w:r>
      <w:r>
        <w:rPr>
          <w:rStyle w:val="FootnoteReference"/>
          <w:rFonts w:eastAsiaTheme="minorEastAsia"/>
          <w:szCs w:val="22"/>
          <w:rtl/>
        </w:rPr>
        <w:t>)</w:t>
      </w:r>
      <w:r w:rsidR="0036244E">
        <w:rPr>
          <w:rFonts w:eastAsiaTheme="minorEastAsia" w:hint="cs"/>
          <w:rtl/>
        </w:rPr>
        <w:t xml:space="preserve"> </w:t>
      </w:r>
      <w:r w:rsidRPr="0063517E">
        <w:rPr>
          <w:rFonts w:eastAsiaTheme="minorEastAsia"/>
          <w:rtl/>
        </w:rPr>
        <w:t xml:space="preserve">في جلستيها </w:t>
      </w:r>
      <w:r w:rsidRPr="00911C28">
        <w:rPr>
          <w:rFonts w:eastAsiaTheme="minorEastAsia"/>
          <w:rtl/>
        </w:rPr>
        <w:t>3815</w:t>
      </w:r>
      <w:r w:rsidRPr="0063517E">
        <w:rPr>
          <w:rFonts w:eastAsiaTheme="minorEastAsia"/>
          <w:rtl/>
        </w:rPr>
        <w:t xml:space="preserve"> و</w:t>
      </w:r>
      <w:r w:rsidRPr="00911C28">
        <w:rPr>
          <w:rFonts w:eastAsiaTheme="minorEastAsia"/>
          <w:rtl/>
        </w:rPr>
        <w:t>3816</w:t>
      </w:r>
      <w:r>
        <w:rPr>
          <w:rStyle w:val="FootnoteReference"/>
          <w:rFonts w:eastAsiaTheme="minorEastAsia"/>
          <w:szCs w:val="22"/>
          <w:rtl/>
        </w:rPr>
        <w:t>(</w:t>
      </w:r>
      <w:r w:rsidRPr="00911C28">
        <w:rPr>
          <w:rStyle w:val="FootnoteReference"/>
          <w:rFonts w:eastAsiaTheme="minorEastAsia"/>
          <w:szCs w:val="22"/>
          <w:lang w:val="en-US"/>
        </w:rPr>
        <w:footnoteReference w:id="3"/>
      </w:r>
      <w:r>
        <w:rPr>
          <w:rStyle w:val="FootnoteReference"/>
          <w:rFonts w:eastAsiaTheme="minorEastAsia"/>
          <w:szCs w:val="22"/>
          <w:rtl/>
        </w:rPr>
        <w:t>)</w:t>
      </w:r>
      <w:r w:rsidR="0036244E">
        <w:rPr>
          <w:rFonts w:eastAsiaTheme="minorEastAsia" w:hint="cs"/>
          <w:rtl/>
        </w:rPr>
        <w:t>،</w:t>
      </w:r>
      <w:r w:rsidRPr="0063517E">
        <w:rPr>
          <w:rFonts w:eastAsiaTheme="minorEastAsia"/>
          <w:rtl/>
        </w:rPr>
        <w:t xml:space="preserve"> المعقودتين يومي </w:t>
      </w:r>
      <w:r w:rsidRPr="00911C28">
        <w:rPr>
          <w:rFonts w:eastAsiaTheme="minorEastAsia"/>
          <w:rtl/>
        </w:rPr>
        <w:t>20</w:t>
      </w:r>
      <w:r w:rsidRPr="0063517E">
        <w:rPr>
          <w:rFonts w:eastAsiaTheme="minorEastAsia"/>
          <w:rtl/>
        </w:rPr>
        <w:t xml:space="preserve"> و</w:t>
      </w:r>
      <w:r w:rsidRPr="00911C28">
        <w:rPr>
          <w:rFonts w:eastAsiaTheme="minorEastAsia"/>
          <w:rtl/>
        </w:rPr>
        <w:t>21</w:t>
      </w:r>
      <w:r w:rsidRPr="0063517E">
        <w:rPr>
          <w:rFonts w:eastAsiaTheme="minorEastAsia"/>
          <w:rtl/>
        </w:rPr>
        <w:t xml:space="preserve"> تشرين الأول/أكتوبر </w:t>
      </w:r>
      <w:r w:rsidRPr="00911C28">
        <w:rPr>
          <w:rFonts w:eastAsiaTheme="minorEastAsia"/>
          <w:rtl/>
        </w:rPr>
        <w:t>2021</w:t>
      </w:r>
      <w:r w:rsidRPr="0063517E">
        <w:rPr>
          <w:rFonts w:eastAsiaTheme="minorEastAsia"/>
          <w:rtl/>
        </w:rPr>
        <w:t>. واعتمدت اللجنة هذه الملاحظات الختامية في جلستها</w:t>
      </w:r>
      <w:r w:rsidR="0036244E">
        <w:rPr>
          <w:rFonts w:eastAsiaTheme="minorEastAsia" w:hint="cs"/>
          <w:rtl/>
        </w:rPr>
        <w:t> </w:t>
      </w:r>
      <w:r w:rsidRPr="00911C28">
        <w:rPr>
          <w:rFonts w:eastAsiaTheme="minorEastAsia"/>
          <w:rtl/>
        </w:rPr>
        <w:t>3827</w:t>
      </w:r>
      <w:r w:rsidRPr="0063517E">
        <w:rPr>
          <w:rFonts w:eastAsiaTheme="minorEastAsia"/>
          <w:rtl/>
        </w:rPr>
        <w:t xml:space="preserve">، المعقودة في </w:t>
      </w:r>
      <w:r w:rsidRPr="00911C28">
        <w:rPr>
          <w:rFonts w:eastAsiaTheme="minorEastAsia"/>
          <w:rtl/>
        </w:rPr>
        <w:t>1</w:t>
      </w:r>
      <w:r w:rsidRPr="0063517E">
        <w:rPr>
          <w:rFonts w:eastAsiaTheme="minorEastAsia"/>
          <w:rtl/>
        </w:rPr>
        <w:t xml:space="preserve"> تشرين الثاني/نوفمبر </w:t>
      </w:r>
      <w:r w:rsidRPr="00911C28">
        <w:rPr>
          <w:rFonts w:eastAsiaTheme="minorEastAsia"/>
          <w:rtl/>
        </w:rPr>
        <w:t>2021</w:t>
      </w:r>
      <w:r w:rsidRPr="0063517E">
        <w:rPr>
          <w:rFonts w:eastAsiaTheme="minorEastAsia"/>
          <w:rtl/>
        </w:rPr>
        <w:t>.</w:t>
      </w:r>
    </w:p>
    <w:p w14:paraId="3ED0A229" w14:textId="3244C320" w:rsidR="0063517E" w:rsidRPr="00911C28" w:rsidRDefault="0063517E" w:rsidP="0063517E">
      <w:pPr>
        <w:pStyle w:val="H1GA"/>
        <w:rPr>
          <w:lang w:val="en-US" w:eastAsia="zh-TW" w:bidi="en-GB"/>
        </w:rPr>
      </w:pPr>
      <w:r w:rsidRPr="00911C28">
        <w:rPr>
          <w:rtl/>
        </w:rPr>
        <w:tab/>
        <w:t>ألف-</w:t>
      </w:r>
      <w:r w:rsidRPr="00911C28">
        <w:rPr>
          <w:rtl/>
        </w:rPr>
        <w:tab/>
        <w:t>مقدمة</w:t>
      </w:r>
    </w:p>
    <w:p w14:paraId="64E9D91B" w14:textId="6F014036" w:rsidR="0063517E" w:rsidRPr="0036244E" w:rsidRDefault="0063517E" w:rsidP="0063517E">
      <w:pPr>
        <w:pStyle w:val="SingleTxtGA"/>
        <w:rPr>
          <w:rFonts w:eastAsiaTheme="minorEastAsia"/>
          <w:lang w:val="en-US" w:eastAsia="zh-TW" w:bidi="en-GB"/>
        </w:rPr>
      </w:pPr>
      <w:r w:rsidRPr="00911C28">
        <w:rPr>
          <w:rFonts w:eastAsiaTheme="minorEastAsia"/>
          <w:rtl/>
        </w:rPr>
        <w:t>2</w:t>
      </w:r>
      <w:r w:rsidRPr="0063517E">
        <w:rPr>
          <w:rFonts w:eastAsiaTheme="minorEastAsia"/>
          <w:rtl/>
        </w:rPr>
        <w:t>-</w:t>
      </w:r>
      <w:r w:rsidRPr="0063517E">
        <w:rPr>
          <w:rFonts w:eastAsiaTheme="minorEastAsia"/>
          <w:rtl/>
        </w:rPr>
        <w:tab/>
        <w:t xml:space="preserve">تعرب اللجنة عن امتنانها للدولة الطرف لقبولها الإجراء المبسط لتقديم التقارير وتقديمها تقريرها الدوري الثاني رداً على </w:t>
      </w:r>
      <w:bookmarkStart w:id="0" w:name="_Hlk89178872"/>
      <w:r w:rsidRPr="0063517E">
        <w:rPr>
          <w:rFonts w:eastAsiaTheme="minorEastAsia"/>
          <w:rtl/>
        </w:rPr>
        <w:t xml:space="preserve">قائمة المسائل السابقة لتقديم التقارير </w:t>
      </w:r>
      <w:bookmarkEnd w:id="0"/>
      <w:r w:rsidRPr="0063517E">
        <w:rPr>
          <w:rFonts w:eastAsiaTheme="minorEastAsia"/>
          <w:rtl/>
        </w:rPr>
        <w:t>التي أُعدت في إطار هذا الإجراء</w:t>
      </w:r>
      <w:r>
        <w:rPr>
          <w:rStyle w:val="FootnoteReference"/>
          <w:rFonts w:eastAsiaTheme="minorEastAsia"/>
          <w:szCs w:val="22"/>
          <w:rtl/>
        </w:rPr>
        <w:t>(</w:t>
      </w:r>
      <w:r w:rsidRPr="00911C28">
        <w:rPr>
          <w:rStyle w:val="FootnoteReference"/>
          <w:rFonts w:eastAsiaTheme="minorEastAsia"/>
          <w:szCs w:val="22"/>
          <w:lang w:val="en-US"/>
        </w:rPr>
        <w:footnoteReference w:id="4"/>
      </w:r>
      <w:r>
        <w:rPr>
          <w:rStyle w:val="FootnoteReference"/>
          <w:rFonts w:eastAsiaTheme="minorEastAsia"/>
          <w:szCs w:val="22"/>
          <w:rtl/>
        </w:rPr>
        <w:t>)</w:t>
      </w:r>
      <w:r w:rsidR="0036244E">
        <w:rPr>
          <w:rFonts w:eastAsiaTheme="minorEastAsia" w:hint="cs"/>
          <w:rtl/>
        </w:rPr>
        <w:t>.</w:t>
      </w:r>
      <w:r w:rsidRPr="0063517E">
        <w:rPr>
          <w:rFonts w:eastAsiaTheme="minorEastAsia"/>
          <w:rtl/>
        </w:rPr>
        <w:t xml:space="preserve"> وتعرب اللجنة عن تقديرها بشأن الفرصة التي أُتيحت لتجديد حوارها البنَّاء مع وفد الدولة الطرف الرفيع المستوى حول التدابير المتخذة خلال الفترة الم</w:t>
      </w:r>
      <w:r w:rsidR="009A4084">
        <w:rPr>
          <w:rFonts w:eastAsiaTheme="minorEastAsia" w:hint="cs"/>
          <w:rtl/>
        </w:rPr>
        <w:t>ش</w:t>
      </w:r>
      <w:r w:rsidRPr="0063517E">
        <w:rPr>
          <w:rFonts w:eastAsiaTheme="minorEastAsia"/>
          <w:rtl/>
        </w:rPr>
        <w:t>مولة بالتقرير من أجل تنفيذ أحكام العهد. وتوجّه اللجنة شكرها إلى</w:t>
      </w:r>
      <w:r w:rsidR="0036244E">
        <w:rPr>
          <w:rFonts w:eastAsiaTheme="minorEastAsia" w:hint="cs"/>
          <w:rtl/>
        </w:rPr>
        <w:t> </w:t>
      </w:r>
      <w:r w:rsidRPr="0063517E">
        <w:rPr>
          <w:rFonts w:eastAsiaTheme="minorEastAsia"/>
          <w:rtl/>
        </w:rPr>
        <w:t>الدولة الطرف على الردود الشفوية التي قدمها الوفد وعلى المعلومات التكميلية التي زُودت بها خطياً</w:t>
      </w:r>
      <w:r w:rsidR="0036244E">
        <w:rPr>
          <w:rFonts w:eastAsiaTheme="minorEastAsia" w:hint="cs"/>
          <w:rtl/>
        </w:rPr>
        <w:t> </w:t>
      </w:r>
      <w:r w:rsidRPr="0063517E">
        <w:rPr>
          <w:rFonts w:eastAsiaTheme="minorEastAsia"/>
          <w:rtl/>
        </w:rPr>
        <w:t>بعد الحوار.</w:t>
      </w:r>
      <w:bookmarkStart w:id="1" w:name="_Hlk70693515"/>
      <w:bookmarkEnd w:id="1"/>
    </w:p>
    <w:p w14:paraId="7A3AD552" w14:textId="12FE7A25" w:rsidR="0063517E" w:rsidRPr="00911C28" w:rsidRDefault="0063517E" w:rsidP="0063517E">
      <w:pPr>
        <w:pStyle w:val="H1GA"/>
        <w:rPr>
          <w:lang w:val="ar-SA" w:eastAsia="zh-TW" w:bidi="en-GB"/>
        </w:rPr>
      </w:pPr>
      <w:r w:rsidRPr="00911C28">
        <w:rPr>
          <w:rtl/>
        </w:rPr>
        <w:tab/>
        <w:t>باء-</w:t>
      </w:r>
      <w:r w:rsidRPr="00911C28">
        <w:rPr>
          <w:rtl/>
        </w:rPr>
        <w:tab/>
        <w:t>الجوانب الإيجابية</w:t>
      </w:r>
    </w:p>
    <w:p w14:paraId="3E1695F0" w14:textId="77777777" w:rsidR="0063517E" w:rsidRPr="0063517E" w:rsidRDefault="0063517E" w:rsidP="0063517E">
      <w:pPr>
        <w:pStyle w:val="SingleTxtGA"/>
        <w:rPr>
          <w:rFonts w:eastAsiaTheme="minorEastAsia"/>
          <w:lang w:val="ar-SA" w:eastAsia="zh-TW" w:bidi="en-GB"/>
        </w:rPr>
      </w:pPr>
      <w:r w:rsidRPr="00911C28">
        <w:rPr>
          <w:rFonts w:eastAsiaTheme="minorEastAsia"/>
          <w:rtl/>
        </w:rPr>
        <w:t>3</w:t>
      </w:r>
      <w:r w:rsidRPr="0063517E">
        <w:rPr>
          <w:rFonts w:eastAsiaTheme="minorEastAsia"/>
          <w:rtl/>
        </w:rPr>
        <w:t>-</w:t>
      </w:r>
      <w:r w:rsidRPr="0063517E">
        <w:rPr>
          <w:rFonts w:eastAsiaTheme="minorEastAsia"/>
          <w:rtl/>
        </w:rPr>
        <w:tab/>
        <w:t>ترحب اللجنة باعتماد الدولة الطرف التدابير التشريعية التالية وغيرها من التدابير:</w:t>
      </w:r>
    </w:p>
    <w:p w14:paraId="0382E871" w14:textId="54DEA2EF" w:rsidR="0063517E" w:rsidRPr="0063517E" w:rsidRDefault="0063517E" w:rsidP="0063517E">
      <w:pPr>
        <w:pStyle w:val="SingleTxtGA"/>
        <w:rPr>
          <w:rFonts w:eastAsiaTheme="minorEastAsia"/>
          <w:spacing w:val="4"/>
          <w:w w:val="103"/>
          <w:kern w:val="14"/>
          <w:lang w:val="en-US" w:eastAsia="zh-TW"/>
        </w:rPr>
      </w:pPr>
      <w:r>
        <w:rPr>
          <w:rFonts w:eastAsiaTheme="minorEastAsia"/>
          <w:rtl/>
        </w:rPr>
        <w:tab/>
      </w:r>
      <w:r w:rsidRPr="0063517E">
        <w:rPr>
          <w:rFonts w:eastAsiaTheme="minorEastAsia"/>
          <w:rtl/>
        </w:rPr>
        <w:t>(أ)</w:t>
      </w:r>
      <w:r w:rsidRPr="0063517E">
        <w:rPr>
          <w:rFonts w:eastAsiaTheme="minorEastAsia"/>
          <w:rtl/>
        </w:rPr>
        <w:tab/>
      </w:r>
      <w:r w:rsidRPr="0063517E">
        <w:rPr>
          <w:rFonts w:eastAsiaTheme="minorEastAsia"/>
          <w:spacing w:val="4"/>
          <w:w w:val="103"/>
          <w:kern w:val="14"/>
          <w:rtl/>
          <w:lang w:val="en-US" w:eastAsia="zh-TW"/>
        </w:rPr>
        <w:t>القانون المتعلق بنظام روما الأساسي للمحكمة الجنائية الدولية، في عام</w:t>
      </w:r>
      <w:r w:rsidR="0036244E">
        <w:rPr>
          <w:rFonts w:eastAsiaTheme="minorEastAsia" w:hint="cs"/>
          <w:spacing w:val="4"/>
          <w:w w:val="103"/>
          <w:kern w:val="14"/>
          <w:rtl/>
          <w:lang w:val="en-US" w:eastAsia="zh-TW"/>
        </w:rPr>
        <w:t> </w:t>
      </w:r>
      <w:r w:rsidRPr="00911C28">
        <w:rPr>
          <w:rFonts w:eastAsiaTheme="minorEastAsia"/>
          <w:spacing w:val="4"/>
          <w:w w:val="103"/>
          <w:kern w:val="14"/>
          <w:rtl/>
          <w:lang w:val="en-US" w:eastAsia="zh-TW"/>
        </w:rPr>
        <w:t>2017</w:t>
      </w:r>
      <w:r w:rsidRPr="0063517E">
        <w:rPr>
          <w:rFonts w:eastAsiaTheme="minorEastAsia"/>
          <w:spacing w:val="4"/>
          <w:w w:val="103"/>
          <w:kern w:val="14"/>
          <w:rtl/>
          <w:lang w:val="en-US" w:eastAsia="zh-TW"/>
        </w:rPr>
        <w:t>؛</w:t>
      </w:r>
    </w:p>
    <w:p w14:paraId="501BD8C5" w14:textId="76CA4EB2" w:rsidR="0063517E" w:rsidRPr="0063517E" w:rsidRDefault="0063517E" w:rsidP="0063517E">
      <w:pPr>
        <w:pStyle w:val="SingleTxtGA"/>
        <w:rPr>
          <w:rFonts w:eastAsiaTheme="minorEastAsia"/>
          <w:w w:val="103"/>
          <w:lang w:val="ar-SA" w:eastAsia="zh-TW" w:bidi="en-GB"/>
        </w:rPr>
      </w:pPr>
      <w:r>
        <w:rPr>
          <w:rFonts w:eastAsiaTheme="minorEastAsia"/>
          <w:rtl/>
        </w:rPr>
        <w:tab/>
      </w:r>
      <w:r w:rsidRPr="0063517E">
        <w:rPr>
          <w:rFonts w:eastAsiaTheme="minorEastAsia"/>
          <w:rtl/>
        </w:rPr>
        <w:t>(ب)</w:t>
      </w:r>
      <w:r w:rsidRPr="0063517E">
        <w:rPr>
          <w:rFonts w:eastAsiaTheme="minorEastAsia"/>
          <w:rtl/>
        </w:rPr>
        <w:tab/>
        <w:t xml:space="preserve">قانون مكافحة الاتجار بالبشر، في عام </w:t>
      </w:r>
      <w:r w:rsidRPr="00911C28">
        <w:rPr>
          <w:rFonts w:eastAsiaTheme="minorEastAsia"/>
          <w:rtl/>
        </w:rPr>
        <w:t>2014</w:t>
      </w:r>
      <w:r w:rsidRPr="0063517E">
        <w:rPr>
          <w:rFonts w:eastAsiaTheme="minorEastAsia"/>
          <w:rtl/>
        </w:rPr>
        <w:t>؛</w:t>
      </w:r>
    </w:p>
    <w:p w14:paraId="5757CD5D" w14:textId="4A39EBA3" w:rsidR="0063517E" w:rsidRPr="0063517E" w:rsidRDefault="0063517E" w:rsidP="0063517E">
      <w:pPr>
        <w:pStyle w:val="SingleTxtGA"/>
        <w:rPr>
          <w:rFonts w:eastAsiaTheme="minorEastAsia"/>
          <w:spacing w:val="4"/>
          <w:w w:val="103"/>
          <w:kern w:val="14"/>
          <w:lang w:val="ar-SA" w:eastAsia="zh-TW" w:bidi="en-GB"/>
        </w:rPr>
      </w:pPr>
      <w:r>
        <w:rPr>
          <w:rFonts w:eastAsiaTheme="minorEastAsia"/>
          <w:rtl/>
        </w:rPr>
        <w:tab/>
      </w:r>
      <w:r w:rsidRPr="0063517E">
        <w:rPr>
          <w:rFonts w:eastAsiaTheme="minorEastAsia"/>
          <w:rtl/>
        </w:rPr>
        <w:t>(ج)</w:t>
      </w:r>
      <w:r w:rsidRPr="0063517E">
        <w:rPr>
          <w:rFonts w:eastAsiaTheme="minorEastAsia"/>
          <w:rtl/>
        </w:rPr>
        <w:tab/>
        <w:t xml:space="preserve">قانون ملكية الأشخاص المتزوجين، في عام </w:t>
      </w:r>
      <w:r w:rsidRPr="00911C28">
        <w:rPr>
          <w:rFonts w:eastAsiaTheme="minorEastAsia"/>
          <w:rtl/>
        </w:rPr>
        <w:t>2014</w:t>
      </w:r>
      <w:r w:rsidRPr="0063517E">
        <w:rPr>
          <w:rFonts w:eastAsiaTheme="minorEastAsia"/>
          <w:rtl/>
        </w:rPr>
        <w:t>؛</w:t>
      </w:r>
    </w:p>
    <w:p w14:paraId="5E6E53C8" w14:textId="2B11B87D" w:rsidR="0063517E" w:rsidRPr="0063517E" w:rsidRDefault="0063517E" w:rsidP="0063517E">
      <w:pPr>
        <w:pStyle w:val="SingleTxtGA"/>
        <w:rPr>
          <w:rFonts w:eastAsiaTheme="minorEastAsia"/>
          <w:spacing w:val="4"/>
          <w:w w:val="103"/>
          <w:kern w:val="14"/>
          <w:lang w:val="ar-SA" w:eastAsia="zh-TW" w:bidi="en-GB"/>
        </w:rPr>
      </w:pPr>
      <w:r>
        <w:rPr>
          <w:rFonts w:eastAsiaTheme="minorEastAsia"/>
          <w:rtl/>
        </w:rPr>
        <w:tab/>
      </w:r>
      <w:r w:rsidRPr="0063517E">
        <w:rPr>
          <w:rFonts w:eastAsiaTheme="minorEastAsia"/>
          <w:rtl/>
        </w:rPr>
        <w:t>(د)</w:t>
      </w:r>
      <w:r w:rsidRPr="0063517E">
        <w:rPr>
          <w:rFonts w:eastAsiaTheme="minorEastAsia"/>
          <w:rtl/>
        </w:rPr>
        <w:tab/>
        <w:t xml:space="preserve">قانون المعونة القانونية، في عام </w:t>
      </w:r>
      <w:r w:rsidRPr="00911C28">
        <w:rPr>
          <w:rFonts w:eastAsiaTheme="minorEastAsia"/>
          <w:rtl/>
        </w:rPr>
        <w:t>2013</w:t>
      </w:r>
      <w:r w:rsidRPr="0063517E">
        <w:rPr>
          <w:rFonts w:eastAsiaTheme="minorEastAsia"/>
          <w:rtl/>
        </w:rPr>
        <w:t>؛</w:t>
      </w:r>
    </w:p>
    <w:p w14:paraId="4991082E" w14:textId="61DF58F1" w:rsidR="0063517E" w:rsidRPr="0063517E" w:rsidRDefault="0063517E" w:rsidP="0063517E">
      <w:pPr>
        <w:pStyle w:val="SingleTxtGA"/>
        <w:rPr>
          <w:rFonts w:eastAsiaTheme="minorEastAsia"/>
          <w:spacing w:val="4"/>
          <w:w w:val="103"/>
          <w:kern w:val="14"/>
          <w:lang w:val="ar-SA" w:eastAsia="zh-TW" w:bidi="en-GB"/>
        </w:rPr>
      </w:pPr>
      <w:r>
        <w:rPr>
          <w:rFonts w:eastAsiaTheme="minorEastAsia"/>
          <w:rtl/>
        </w:rPr>
        <w:tab/>
      </w:r>
      <w:r w:rsidRPr="0063517E">
        <w:rPr>
          <w:rFonts w:eastAsiaTheme="minorEastAsia"/>
          <w:rtl/>
        </w:rPr>
        <w:t>(هـ)</w:t>
      </w:r>
      <w:r w:rsidRPr="0063517E">
        <w:rPr>
          <w:rFonts w:eastAsiaTheme="minorEastAsia"/>
          <w:rtl/>
        </w:rPr>
        <w:tab/>
        <w:t xml:space="preserve">قانون العمل (تعديل)، في عام </w:t>
      </w:r>
      <w:r w:rsidRPr="00911C28">
        <w:rPr>
          <w:rFonts w:eastAsiaTheme="minorEastAsia"/>
          <w:rtl/>
        </w:rPr>
        <w:t>2010</w:t>
      </w:r>
      <w:r w:rsidRPr="0063517E">
        <w:rPr>
          <w:rFonts w:eastAsiaTheme="minorEastAsia"/>
          <w:rtl/>
        </w:rPr>
        <w:t>؛</w:t>
      </w:r>
    </w:p>
    <w:p w14:paraId="5BF3B576" w14:textId="506404F8" w:rsidR="0063517E" w:rsidRPr="0063517E" w:rsidRDefault="0063517E" w:rsidP="0063517E">
      <w:pPr>
        <w:pStyle w:val="SingleTxtGA"/>
        <w:rPr>
          <w:rFonts w:eastAsiaTheme="minorEastAsia"/>
          <w:spacing w:val="4"/>
          <w:w w:val="103"/>
          <w:kern w:val="14"/>
          <w:lang w:val="ar-SA" w:eastAsia="zh-TW" w:bidi="en-GB"/>
        </w:rPr>
      </w:pPr>
      <w:r>
        <w:rPr>
          <w:rFonts w:eastAsiaTheme="minorEastAsia"/>
          <w:rtl/>
        </w:rPr>
        <w:lastRenderedPageBreak/>
        <w:tab/>
      </w:r>
      <w:r w:rsidRPr="0063517E">
        <w:rPr>
          <w:rFonts w:eastAsiaTheme="minorEastAsia"/>
          <w:rtl/>
        </w:rPr>
        <w:t>(و)</w:t>
      </w:r>
      <w:r w:rsidRPr="0063517E">
        <w:rPr>
          <w:rFonts w:eastAsiaTheme="minorEastAsia"/>
          <w:rtl/>
        </w:rPr>
        <w:tab/>
        <w:t xml:space="preserve">الإطار الوطني للحماية الاجتماعية، في عام </w:t>
      </w:r>
      <w:r w:rsidRPr="00911C28">
        <w:rPr>
          <w:rFonts w:eastAsiaTheme="minorEastAsia"/>
          <w:rtl/>
        </w:rPr>
        <w:t>2020</w:t>
      </w:r>
      <w:r w:rsidRPr="0063517E">
        <w:rPr>
          <w:rFonts w:eastAsiaTheme="minorEastAsia"/>
          <w:rtl/>
        </w:rPr>
        <w:t>؛</w:t>
      </w:r>
    </w:p>
    <w:p w14:paraId="2F854729" w14:textId="34EAE7BE" w:rsidR="0063517E" w:rsidRPr="0063517E" w:rsidRDefault="00930469" w:rsidP="0063517E">
      <w:pPr>
        <w:pStyle w:val="SingleTxtGA"/>
        <w:rPr>
          <w:rFonts w:eastAsiaTheme="minorEastAsia"/>
          <w:spacing w:val="4"/>
          <w:w w:val="103"/>
          <w:kern w:val="14"/>
          <w:lang w:val="ar-SA" w:eastAsia="zh-TW" w:bidi="en-GB"/>
        </w:rPr>
      </w:pPr>
      <w:r>
        <w:rPr>
          <w:rFonts w:eastAsiaTheme="minorEastAsia"/>
          <w:rtl/>
        </w:rPr>
        <w:tab/>
      </w:r>
      <w:r w:rsidR="0063517E" w:rsidRPr="0063517E">
        <w:rPr>
          <w:rFonts w:eastAsiaTheme="minorEastAsia"/>
          <w:rtl/>
        </w:rPr>
        <w:t>(ز)</w:t>
      </w:r>
      <w:r w:rsidR="0063517E" w:rsidRPr="0063517E">
        <w:rPr>
          <w:rFonts w:eastAsiaTheme="minorEastAsia"/>
          <w:rtl/>
        </w:rPr>
        <w:tab/>
        <w:t>خطة العمل الوطنية لمكافحة الاتجار بالأشخاص (</w:t>
      </w:r>
      <w:r w:rsidR="0063517E" w:rsidRPr="00911C28">
        <w:rPr>
          <w:rFonts w:eastAsiaTheme="minorEastAsia"/>
          <w:rtl/>
        </w:rPr>
        <w:t>2017</w:t>
      </w:r>
      <w:r w:rsidR="0063517E" w:rsidRPr="0063517E">
        <w:rPr>
          <w:rFonts w:eastAsiaTheme="minorEastAsia"/>
          <w:rtl/>
        </w:rPr>
        <w:t>-</w:t>
      </w:r>
      <w:r w:rsidR="0063517E" w:rsidRPr="00911C28">
        <w:rPr>
          <w:rFonts w:eastAsiaTheme="minorEastAsia"/>
          <w:rtl/>
        </w:rPr>
        <w:t>2018</w:t>
      </w:r>
      <w:r w:rsidR="0063517E" w:rsidRPr="0063517E">
        <w:rPr>
          <w:rFonts w:eastAsiaTheme="minorEastAsia"/>
          <w:rtl/>
        </w:rPr>
        <w:t xml:space="preserve">)، في عام </w:t>
      </w:r>
      <w:r w:rsidR="0063517E" w:rsidRPr="00911C28">
        <w:rPr>
          <w:rFonts w:eastAsiaTheme="minorEastAsia"/>
          <w:rtl/>
        </w:rPr>
        <w:t>2017</w:t>
      </w:r>
      <w:r w:rsidR="0063517E" w:rsidRPr="0063517E">
        <w:rPr>
          <w:rFonts w:eastAsiaTheme="minorEastAsia"/>
          <w:rtl/>
        </w:rPr>
        <w:t>؛</w:t>
      </w:r>
    </w:p>
    <w:p w14:paraId="2707BAD3" w14:textId="32C94176" w:rsidR="0063517E" w:rsidRPr="0063517E" w:rsidRDefault="00930469" w:rsidP="0063517E">
      <w:pPr>
        <w:pStyle w:val="SingleTxtGA"/>
        <w:rPr>
          <w:rFonts w:eastAsiaTheme="minorEastAsia"/>
          <w:spacing w:val="4"/>
          <w:w w:val="103"/>
          <w:kern w:val="14"/>
          <w:lang w:val="ar-SA" w:eastAsia="zh-TW" w:bidi="en-GB"/>
        </w:rPr>
      </w:pPr>
      <w:r>
        <w:rPr>
          <w:rFonts w:eastAsiaTheme="minorEastAsia"/>
          <w:rtl/>
        </w:rPr>
        <w:tab/>
      </w:r>
      <w:r w:rsidR="0063517E" w:rsidRPr="0063517E">
        <w:rPr>
          <w:rFonts w:eastAsiaTheme="minorEastAsia"/>
          <w:rtl/>
        </w:rPr>
        <w:t>(ح)</w:t>
      </w:r>
      <w:r w:rsidR="0063517E" w:rsidRPr="0063517E">
        <w:rPr>
          <w:rFonts w:eastAsiaTheme="minorEastAsia"/>
          <w:rtl/>
        </w:rPr>
        <w:tab/>
        <w:t>الاستراتيجية الوطنية للقضاء على العنف الجنساني في بوتسوانا (</w:t>
      </w:r>
      <w:r w:rsidR="0063517E" w:rsidRPr="00911C28">
        <w:rPr>
          <w:rFonts w:eastAsiaTheme="minorEastAsia"/>
          <w:rtl/>
        </w:rPr>
        <w:t>2016</w:t>
      </w:r>
      <w:r w:rsidR="0063517E" w:rsidRPr="0063517E">
        <w:rPr>
          <w:rFonts w:eastAsiaTheme="minorEastAsia"/>
          <w:rtl/>
        </w:rPr>
        <w:t>-</w:t>
      </w:r>
      <w:r w:rsidR="0063517E" w:rsidRPr="00911C28">
        <w:rPr>
          <w:rFonts w:eastAsiaTheme="minorEastAsia"/>
          <w:rtl/>
        </w:rPr>
        <w:t>2020</w:t>
      </w:r>
      <w:r w:rsidR="0063517E" w:rsidRPr="0063517E">
        <w:rPr>
          <w:rFonts w:eastAsiaTheme="minorEastAsia"/>
          <w:rtl/>
        </w:rPr>
        <w:t xml:space="preserve">) والاستراتيجية الوطنية لمشاركة الجنسين في عملية التنمية، في عام </w:t>
      </w:r>
      <w:r w:rsidR="0063517E" w:rsidRPr="00911C28">
        <w:rPr>
          <w:rFonts w:eastAsiaTheme="minorEastAsia"/>
          <w:rtl/>
        </w:rPr>
        <w:t>2016</w:t>
      </w:r>
      <w:r w:rsidR="0063517E" w:rsidRPr="0063517E">
        <w:rPr>
          <w:rFonts w:eastAsiaTheme="minorEastAsia"/>
          <w:rtl/>
        </w:rPr>
        <w:t>.</w:t>
      </w:r>
    </w:p>
    <w:p w14:paraId="6E96FCB4" w14:textId="169C1B39" w:rsidR="0063517E" w:rsidRPr="0063517E" w:rsidRDefault="0063517E" w:rsidP="0063517E">
      <w:pPr>
        <w:pStyle w:val="SingleTxtGA"/>
        <w:rPr>
          <w:rFonts w:eastAsiaTheme="minorEastAsia"/>
          <w:spacing w:val="4"/>
          <w:w w:val="103"/>
          <w:kern w:val="14"/>
          <w:lang w:val="en-US" w:eastAsia="zh-TW" w:bidi="en-GB"/>
        </w:rPr>
      </w:pPr>
      <w:r w:rsidRPr="00911C28">
        <w:rPr>
          <w:rFonts w:eastAsiaTheme="minorEastAsia"/>
          <w:rtl/>
        </w:rPr>
        <w:t>4</w:t>
      </w:r>
      <w:r w:rsidRPr="0063517E">
        <w:rPr>
          <w:rFonts w:eastAsiaTheme="minorEastAsia"/>
          <w:rtl/>
        </w:rPr>
        <w:t>-</w:t>
      </w:r>
      <w:r w:rsidRPr="0063517E">
        <w:rPr>
          <w:rFonts w:eastAsiaTheme="minorEastAsia"/>
          <w:rtl/>
        </w:rPr>
        <w:tab/>
        <w:t xml:space="preserve">وترحب اللجنة أيضاً بإنشاء لجنة التنسيق الوطنية لحقوق الإنسان، في عام </w:t>
      </w:r>
      <w:r w:rsidRPr="00911C28">
        <w:rPr>
          <w:rFonts w:eastAsiaTheme="minorEastAsia"/>
          <w:rtl/>
        </w:rPr>
        <w:t>2020</w:t>
      </w:r>
      <w:r w:rsidRPr="0063517E">
        <w:rPr>
          <w:rFonts w:eastAsiaTheme="minorEastAsia"/>
          <w:rtl/>
        </w:rPr>
        <w:t>، والانضمام إلى اتفاقية حقوق الأشخاص ذوي الإعاقة، وإقرار البرلمان للسياسة المنقحة المتعلقة بالإعاقة، في عام</w:t>
      </w:r>
      <w:r w:rsidR="0036244E">
        <w:rPr>
          <w:rFonts w:eastAsiaTheme="minorEastAsia" w:hint="cs"/>
          <w:rtl/>
        </w:rPr>
        <w:t> </w:t>
      </w:r>
      <w:r w:rsidRPr="00911C28">
        <w:rPr>
          <w:rFonts w:eastAsiaTheme="minorEastAsia"/>
          <w:rtl/>
        </w:rPr>
        <w:t>2021</w:t>
      </w:r>
      <w:r w:rsidRPr="0063517E">
        <w:rPr>
          <w:rFonts w:eastAsiaTheme="minorEastAsia"/>
          <w:rtl/>
        </w:rPr>
        <w:t>.</w:t>
      </w:r>
    </w:p>
    <w:p w14:paraId="31696D3E" w14:textId="3605011B" w:rsidR="0063517E" w:rsidRPr="00911C28" w:rsidRDefault="0063517E" w:rsidP="0063517E">
      <w:pPr>
        <w:pStyle w:val="H1GA"/>
        <w:rPr>
          <w:lang w:val="ar-SA" w:eastAsia="zh-TW" w:bidi="en-GB"/>
        </w:rPr>
      </w:pPr>
      <w:r w:rsidRPr="00911C28">
        <w:rPr>
          <w:rtl/>
        </w:rPr>
        <w:tab/>
        <w:t>جيم-</w:t>
      </w:r>
      <w:r w:rsidRPr="00911C28">
        <w:rPr>
          <w:rtl/>
        </w:rPr>
        <w:tab/>
        <w:t>دواعي القلق الرئيسية والتوصيات</w:t>
      </w:r>
    </w:p>
    <w:p w14:paraId="3490B413" w14:textId="77777777" w:rsidR="0063517E" w:rsidRPr="00911C28" w:rsidRDefault="0063517E" w:rsidP="0063517E">
      <w:pPr>
        <w:pStyle w:val="H23GA"/>
        <w:rPr>
          <w:lang w:val="en-US" w:eastAsia="zh-TW"/>
        </w:rPr>
      </w:pPr>
      <w:r w:rsidRPr="00911C28">
        <w:rPr>
          <w:rtl/>
        </w:rPr>
        <w:tab/>
      </w:r>
      <w:r w:rsidRPr="00911C28">
        <w:rPr>
          <w:rtl/>
        </w:rPr>
        <w:tab/>
        <w:t xml:space="preserve">نطاق تطبيق العهد في النظام القانوني المحلي </w:t>
      </w:r>
    </w:p>
    <w:p w14:paraId="2E58FA7F" w14:textId="6B23D2A5" w:rsidR="0063517E" w:rsidRPr="0063517E" w:rsidRDefault="0063517E" w:rsidP="0063517E">
      <w:pPr>
        <w:pStyle w:val="SingleTxtGA"/>
        <w:rPr>
          <w:rFonts w:eastAsiaTheme="minorEastAsia"/>
          <w:lang w:val="ar-SA" w:eastAsia="zh-TW" w:bidi="en-GB"/>
        </w:rPr>
      </w:pPr>
      <w:r w:rsidRPr="00911C28">
        <w:rPr>
          <w:rFonts w:eastAsiaTheme="minorEastAsia"/>
          <w:rtl/>
        </w:rPr>
        <w:t>5</w:t>
      </w:r>
      <w:r w:rsidRPr="0063517E">
        <w:rPr>
          <w:rFonts w:eastAsiaTheme="minorEastAsia"/>
          <w:rtl/>
        </w:rPr>
        <w:t>-</w:t>
      </w:r>
      <w:r w:rsidRPr="0063517E">
        <w:rPr>
          <w:rFonts w:eastAsiaTheme="minorEastAsia"/>
          <w:rtl/>
        </w:rPr>
        <w:tab/>
        <w:t>تلاحظ اللجنة أن العهد لا يطبَّق مباشرةً في القانون المحلي. ولئن كانت ترحب بالجهود التي تبذلها الدولة الطرف لمواءمة التشريعات القانونية والعرفية مع العهد، فإنها تشعر بالقلق لأنه لا تزال ثمة</w:t>
      </w:r>
      <w:r>
        <w:rPr>
          <w:rFonts w:eastAsiaTheme="minorEastAsia" w:hint="cs"/>
          <w:rtl/>
        </w:rPr>
        <w:t> </w:t>
      </w:r>
      <w:r w:rsidRPr="0063517E">
        <w:rPr>
          <w:rFonts w:eastAsiaTheme="minorEastAsia"/>
          <w:rtl/>
        </w:rPr>
        <w:t>أحكام غير متسقة مع العهد في التشريعات المحلية، وعلى وجه الخصوص القوانين العرفية. كما</w:t>
      </w:r>
      <w:r>
        <w:rPr>
          <w:rFonts w:eastAsiaTheme="minorEastAsia" w:hint="cs"/>
          <w:rtl/>
        </w:rPr>
        <w:t> </w:t>
      </w:r>
      <w:r w:rsidRPr="0063517E">
        <w:rPr>
          <w:rFonts w:eastAsiaTheme="minorEastAsia"/>
          <w:rtl/>
        </w:rPr>
        <w:t>يساور اللجنة القلق لأن الدولة الطرف لم تصدق بعد على البروتوكول الاختياري الأول الملحق بالعهد</w:t>
      </w:r>
      <w:r>
        <w:rPr>
          <w:rFonts w:eastAsiaTheme="minorEastAsia" w:hint="cs"/>
          <w:rtl/>
        </w:rPr>
        <w:t> </w:t>
      </w:r>
      <w:r w:rsidRPr="0063517E">
        <w:rPr>
          <w:rFonts w:eastAsiaTheme="minorEastAsia"/>
          <w:rtl/>
        </w:rPr>
        <w:t xml:space="preserve">(المادة </w:t>
      </w:r>
      <w:r w:rsidRPr="00911C28">
        <w:rPr>
          <w:rFonts w:eastAsiaTheme="minorEastAsia"/>
          <w:rtl/>
        </w:rPr>
        <w:t>2</w:t>
      </w:r>
      <w:r w:rsidRPr="0063517E">
        <w:rPr>
          <w:rFonts w:eastAsiaTheme="minorEastAsia"/>
          <w:rtl/>
        </w:rPr>
        <w:t>).</w:t>
      </w:r>
    </w:p>
    <w:p w14:paraId="268E9974" w14:textId="5854F010" w:rsidR="0063517E" w:rsidRPr="00911C28" w:rsidRDefault="0063517E" w:rsidP="0063517E">
      <w:pPr>
        <w:pStyle w:val="SingleTxtGA"/>
        <w:rPr>
          <w:rFonts w:eastAsiaTheme="minorEastAsia"/>
          <w:bCs/>
          <w:lang w:val="ar-SA" w:eastAsia="zh-TW" w:bidi="en-GB"/>
        </w:rPr>
      </w:pPr>
      <w:r w:rsidRPr="00911C28">
        <w:rPr>
          <w:rFonts w:eastAsiaTheme="minorEastAsia"/>
          <w:rtl/>
        </w:rPr>
        <w:t>6</w:t>
      </w:r>
      <w:r w:rsidRPr="0063517E">
        <w:rPr>
          <w:rFonts w:eastAsiaTheme="minorEastAsia"/>
          <w:rtl/>
        </w:rPr>
        <w:t>-</w:t>
      </w:r>
      <w:r w:rsidRPr="0063517E">
        <w:rPr>
          <w:rFonts w:eastAsiaTheme="minorEastAsia"/>
          <w:rtl/>
        </w:rPr>
        <w:tab/>
      </w:r>
      <w:r w:rsidRPr="00911C28">
        <w:rPr>
          <w:rFonts w:eastAsiaTheme="minorEastAsia"/>
          <w:bCs/>
          <w:rtl/>
        </w:rPr>
        <w:t>وإذ تشير اللجنة إلى توصياتها السابقة</w:t>
      </w:r>
      <w:r w:rsidRPr="00911C28">
        <w:rPr>
          <w:rStyle w:val="FootnoteReference"/>
          <w:rFonts w:eastAsiaTheme="minorEastAsia"/>
          <w:b/>
          <w:szCs w:val="22"/>
          <w:rtl/>
        </w:rPr>
        <w:t>(</w:t>
      </w:r>
      <w:r w:rsidRPr="00911C28">
        <w:rPr>
          <w:rStyle w:val="FootnoteReference"/>
          <w:rFonts w:eastAsiaTheme="minorEastAsia"/>
          <w:b/>
          <w:szCs w:val="22"/>
          <w:lang w:val="en-US"/>
        </w:rPr>
        <w:footnoteReference w:id="5"/>
      </w:r>
      <w:r w:rsidRPr="00911C28">
        <w:rPr>
          <w:rStyle w:val="FootnoteReference"/>
          <w:rFonts w:eastAsiaTheme="minorEastAsia"/>
          <w:b/>
          <w:szCs w:val="22"/>
          <w:rtl/>
        </w:rPr>
        <w:t>)</w:t>
      </w:r>
      <w:r w:rsidRPr="00911C28">
        <w:rPr>
          <w:rFonts w:eastAsiaTheme="minorEastAsia"/>
          <w:bCs/>
          <w:rtl/>
        </w:rPr>
        <w:t>، فإنه ينبغي للدولة الطرف القيام بما يلي:</w:t>
      </w:r>
    </w:p>
    <w:p w14:paraId="47A1BD46" w14:textId="4D8A73D9"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(أ)</w:t>
      </w:r>
      <w:r w:rsidRPr="0063517E">
        <w:rPr>
          <w:rFonts w:eastAsiaTheme="minorEastAsia"/>
          <w:rtl/>
        </w:rPr>
        <w:tab/>
      </w:r>
      <w:r w:rsidRPr="00911C28">
        <w:rPr>
          <w:rFonts w:eastAsiaTheme="minorEastAsia"/>
          <w:bCs/>
          <w:rtl/>
        </w:rPr>
        <w:t>مواصلة تقييم وتنقيح التشريعات القانونية والعرفية لكفالة مواءمتها مع الحقوق المكفولة في العهد، وكفالة تفسير القوانين المحلية وتطبيقها وفقاً لأحكامه؛</w:t>
      </w:r>
    </w:p>
    <w:p w14:paraId="22E700DF" w14:textId="7E198AB3" w:rsidR="0063517E" w:rsidRPr="00911C28" w:rsidRDefault="0063517E" w:rsidP="0063517E">
      <w:pPr>
        <w:pStyle w:val="SingleTxtGA"/>
        <w:rPr>
          <w:rFonts w:eastAsiaTheme="minorEastAsia"/>
          <w:bCs/>
          <w:lang w:val="en-US" w:eastAsia="zh-TW" w:bidi="en-GB"/>
        </w:rPr>
      </w:pPr>
      <w:r>
        <w:rPr>
          <w:rFonts w:eastAsiaTheme="minorEastAsia"/>
          <w:rtl/>
        </w:rPr>
        <w:tab/>
      </w:r>
      <w:r w:rsidRPr="0063517E">
        <w:rPr>
          <w:rFonts w:eastAsiaTheme="minorEastAsia"/>
          <w:rtl/>
        </w:rPr>
        <w:t>(ب)</w:t>
      </w:r>
      <w:r w:rsidRPr="0063517E">
        <w:rPr>
          <w:rFonts w:eastAsiaTheme="minorEastAsia"/>
          <w:rtl/>
        </w:rPr>
        <w:tab/>
      </w:r>
      <w:r w:rsidRPr="00911C28">
        <w:rPr>
          <w:rFonts w:eastAsiaTheme="minorEastAsia"/>
          <w:bCs/>
          <w:rtl/>
        </w:rPr>
        <w:t>تكثيف جهودها الرامية إلى التوعية بأحكام العهد، بوسائل منها نشر توصيات اللجنة على نطاق واسع وتوفير تدريب محدد بشأن العهد للمسؤولين الحكوميين والمدَّعين العامين والقضاة في المحاكم الرسمية والعرفية، وكذلك للمحامين</w:t>
      </w:r>
      <w:r w:rsidR="00930469" w:rsidRPr="00911C28">
        <w:rPr>
          <w:rFonts w:eastAsiaTheme="minorEastAsia" w:hint="cs"/>
          <w:bCs/>
          <w:rtl/>
        </w:rPr>
        <w:t>؛</w:t>
      </w:r>
    </w:p>
    <w:p w14:paraId="131927B5" w14:textId="1BF4ABE0" w:rsidR="0063517E" w:rsidRPr="00911C28" w:rsidRDefault="0063517E" w:rsidP="0063517E">
      <w:pPr>
        <w:pStyle w:val="SingleTxtGA"/>
        <w:rPr>
          <w:rFonts w:eastAsiaTheme="minorEastAsia"/>
          <w:bCs/>
          <w:lang w:val="en-US" w:eastAsia="zh-TW" w:bidi="en-GB"/>
        </w:rPr>
      </w:pPr>
      <w:r>
        <w:rPr>
          <w:rFonts w:eastAsiaTheme="minorEastAsia"/>
          <w:rtl/>
        </w:rPr>
        <w:tab/>
      </w:r>
      <w:r w:rsidRPr="0063517E">
        <w:rPr>
          <w:rFonts w:eastAsiaTheme="minorEastAsia"/>
          <w:rtl/>
        </w:rPr>
        <w:t>(ج)</w:t>
      </w:r>
      <w:r w:rsidRPr="0063517E">
        <w:rPr>
          <w:rFonts w:eastAsiaTheme="minorEastAsia"/>
          <w:rtl/>
        </w:rPr>
        <w:tab/>
      </w:r>
      <w:r w:rsidRPr="00911C28">
        <w:rPr>
          <w:rFonts w:eastAsiaTheme="minorEastAsia"/>
          <w:bCs/>
          <w:rtl/>
        </w:rPr>
        <w:t>النظر في التصديق على البروتوكول الاختياري الأول الملحق بالعهد، الذي يُنشئ آلية لتقديم الشكاوى الفردية.</w:t>
      </w:r>
    </w:p>
    <w:p w14:paraId="4715032D" w14:textId="77777777" w:rsidR="0063517E" w:rsidRPr="00911C28" w:rsidRDefault="0063517E" w:rsidP="0063517E">
      <w:pPr>
        <w:pStyle w:val="H23GA"/>
        <w:rPr>
          <w:lang w:val="ar-SA" w:eastAsia="zh-TW" w:bidi="en-GB"/>
        </w:rPr>
      </w:pPr>
      <w:r w:rsidRPr="00911C28">
        <w:rPr>
          <w:rtl/>
        </w:rPr>
        <w:tab/>
      </w:r>
      <w:r w:rsidRPr="00911C28">
        <w:rPr>
          <w:rtl/>
        </w:rPr>
        <w:tab/>
        <w:t>التحفظات</w:t>
      </w:r>
    </w:p>
    <w:p w14:paraId="0C27A693" w14:textId="14726D38" w:rsidR="0063517E" w:rsidRPr="0063517E" w:rsidRDefault="0063517E" w:rsidP="0063517E">
      <w:pPr>
        <w:pStyle w:val="SingleTxtGA"/>
        <w:rPr>
          <w:rFonts w:eastAsiaTheme="minorEastAsia"/>
          <w:lang w:val="en-US" w:eastAsia="zh-TW" w:bidi="en-GB"/>
        </w:rPr>
      </w:pPr>
      <w:bookmarkStart w:id="2" w:name="_Hlk88649194"/>
      <w:r w:rsidRPr="00911C28">
        <w:rPr>
          <w:rFonts w:eastAsiaTheme="minorEastAsia"/>
          <w:rtl/>
        </w:rPr>
        <w:t>7</w:t>
      </w:r>
      <w:r w:rsidRPr="0063517E">
        <w:rPr>
          <w:rFonts w:eastAsiaTheme="minorEastAsia"/>
          <w:rtl/>
        </w:rPr>
        <w:t>-</w:t>
      </w:r>
      <w:r w:rsidRPr="0063517E">
        <w:rPr>
          <w:rFonts w:eastAsiaTheme="minorEastAsia"/>
          <w:rtl/>
        </w:rPr>
        <w:tab/>
        <w:t xml:space="preserve">يساور اللجنة القلق لأن الدولة الطرف تُبقي على تحفظاتها على المادتين </w:t>
      </w:r>
      <w:r w:rsidRPr="00911C28">
        <w:rPr>
          <w:rFonts w:eastAsiaTheme="minorEastAsia"/>
          <w:rtl/>
        </w:rPr>
        <w:t>7</w:t>
      </w:r>
      <w:r w:rsidRPr="0063517E">
        <w:rPr>
          <w:rFonts w:eastAsiaTheme="minorEastAsia"/>
          <w:rtl/>
        </w:rPr>
        <w:t xml:space="preserve"> و</w:t>
      </w:r>
      <w:r w:rsidRPr="00911C28">
        <w:rPr>
          <w:rFonts w:eastAsiaTheme="minorEastAsia"/>
          <w:rtl/>
        </w:rPr>
        <w:t>12</w:t>
      </w:r>
      <w:r w:rsidRPr="0063517E">
        <w:rPr>
          <w:rFonts w:eastAsiaTheme="minorEastAsia"/>
          <w:rtl/>
        </w:rPr>
        <w:t xml:space="preserve"> من العهد. وفيما يتعلق بالتحفظ على المادة </w:t>
      </w:r>
      <w:r w:rsidRPr="00911C28">
        <w:rPr>
          <w:rFonts w:eastAsiaTheme="minorEastAsia"/>
          <w:rtl/>
        </w:rPr>
        <w:t>7</w:t>
      </w:r>
      <w:r w:rsidRPr="0063517E">
        <w:rPr>
          <w:rFonts w:eastAsiaTheme="minorEastAsia"/>
          <w:rtl/>
        </w:rPr>
        <w:t xml:space="preserve"> من العهد، تشير اللجنة إلى أن التحفظات على حظر التعذيب تتعارض مع مواضيع العهد وأهدافه (المادة </w:t>
      </w:r>
      <w:r w:rsidRPr="00911C28">
        <w:rPr>
          <w:rFonts w:eastAsiaTheme="minorEastAsia"/>
          <w:rtl/>
        </w:rPr>
        <w:t>2</w:t>
      </w:r>
      <w:r w:rsidRPr="0063517E">
        <w:rPr>
          <w:rFonts w:eastAsiaTheme="minorEastAsia"/>
          <w:rtl/>
        </w:rPr>
        <w:t>).</w:t>
      </w:r>
      <w:bookmarkEnd w:id="2"/>
    </w:p>
    <w:p w14:paraId="682E04FB" w14:textId="04D4C3B5" w:rsidR="0063517E" w:rsidRPr="00911C28" w:rsidRDefault="0063517E" w:rsidP="0063517E">
      <w:pPr>
        <w:pStyle w:val="SingleTxtGA"/>
        <w:rPr>
          <w:rFonts w:eastAsiaTheme="minorEastAsia"/>
          <w:bCs/>
          <w:lang w:val="ar-SA" w:eastAsia="zh-TW" w:bidi="en-GB"/>
        </w:rPr>
      </w:pPr>
      <w:r w:rsidRPr="00911C28">
        <w:rPr>
          <w:rFonts w:eastAsiaTheme="minorEastAsia"/>
          <w:rtl/>
        </w:rPr>
        <w:t>8</w:t>
      </w:r>
      <w:r w:rsidRPr="0063517E">
        <w:rPr>
          <w:rFonts w:eastAsiaTheme="minorEastAsia"/>
          <w:rtl/>
        </w:rPr>
        <w:t>-</w:t>
      </w:r>
      <w:r w:rsidRPr="0063517E">
        <w:rPr>
          <w:rFonts w:eastAsiaTheme="minorEastAsia"/>
          <w:rtl/>
        </w:rPr>
        <w:tab/>
      </w:r>
      <w:r w:rsidRPr="00911C28">
        <w:rPr>
          <w:rFonts w:eastAsiaTheme="minorEastAsia"/>
          <w:bCs/>
          <w:rtl/>
        </w:rPr>
        <w:t>وإذ تشير اللجنة إلى توصياتها السابقة</w:t>
      </w:r>
      <w:r w:rsidRPr="00911C28">
        <w:rPr>
          <w:rStyle w:val="FootnoteReference"/>
          <w:rFonts w:eastAsiaTheme="minorEastAsia"/>
          <w:b/>
          <w:szCs w:val="22"/>
          <w:rtl/>
        </w:rPr>
        <w:t>(</w:t>
      </w:r>
      <w:r w:rsidRPr="00911C28">
        <w:rPr>
          <w:rStyle w:val="FootnoteReference"/>
          <w:rFonts w:eastAsiaTheme="minorEastAsia"/>
          <w:b/>
          <w:szCs w:val="22"/>
          <w:lang w:val="en-US"/>
        </w:rPr>
        <w:footnoteReference w:id="6"/>
      </w:r>
      <w:r w:rsidRPr="00911C28">
        <w:rPr>
          <w:rStyle w:val="FootnoteReference"/>
          <w:rFonts w:eastAsiaTheme="minorEastAsia"/>
          <w:b/>
          <w:szCs w:val="22"/>
          <w:rtl/>
        </w:rPr>
        <w:t>)</w:t>
      </w:r>
      <w:r w:rsidRPr="00911C28">
        <w:rPr>
          <w:rFonts w:eastAsiaTheme="minorEastAsia"/>
          <w:bCs/>
          <w:rtl/>
        </w:rPr>
        <w:t>، فإنها تكرر التأكيد أنه ينبغي للدولة الطرف أن تنظر في سحب تحفظاتها على المادتين 7 و12 من العهد.</w:t>
      </w:r>
    </w:p>
    <w:p w14:paraId="4881F823" w14:textId="77777777" w:rsidR="0063517E" w:rsidRPr="00911C28" w:rsidRDefault="0063517E" w:rsidP="0063517E">
      <w:pPr>
        <w:pStyle w:val="H23GA"/>
        <w:rPr>
          <w:lang w:val="en-US" w:eastAsia="zh-TW" w:bidi="en-GB"/>
        </w:rPr>
      </w:pPr>
      <w:r w:rsidRPr="00911C28">
        <w:rPr>
          <w:rtl/>
        </w:rPr>
        <w:lastRenderedPageBreak/>
        <w:tab/>
      </w:r>
      <w:r w:rsidRPr="00911C28">
        <w:rPr>
          <w:rtl/>
        </w:rPr>
        <w:tab/>
        <w:t>المؤسسة الوطنية لحقوق الإنسان</w:t>
      </w:r>
    </w:p>
    <w:p w14:paraId="3D192038" w14:textId="77777777" w:rsidR="0063517E" w:rsidRPr="0063517E" w:rsidRDefault="0063517E" w:rsidP="0063517E">
      <w:pPr>
        <w:pStyle w:val="SingleTxtGA"/>
        <w:rPr>
          <w:rFonts w:eastAsiaTheme="minorEastAsia"/>
          <w:lang w:val="ar-SA" w:eastAsia="zh-TW" w:bidi="en-GB"/>
        </w:rPr>
      </w:pPr>
      <w:r w:rsidRPr="00911C28">
        <w:rPr>
          <w:rFonts w:eastAsiaTheme="minorEastAsia"/>
          <w:rtl/>
        </w:rPr>
        <w:t>9</w:t>
      </w:r>
      <w:r w:rsidRPr="0063517E">
        <w:rPr>
          <w:rFonts w:eastAsiaTheme="minorEastAsia"/>
          <w:rtl/>
        </w:rPr>
        <w:t>-</w:t>
      </w:r>
      <w:r w:rsidRPr="0063517E">
        <w:rPr>
          <w:rFonts w:eastAsiaTheme="minorEastAsia"/>
          <w:rtl/>
        </w:rPr>
        <w:tab/>
        <w:t xml:space="preserve">ترحب اللجنة بمشروع تعديل قانون أمين المظالم، الذي أقره البرلمان في عام </w:t>
      </w:r>
      <w:r w:rsidRPr="00911C28">
        <w:rPr>
          <w:rFonts w:eastAsiaTheme="minorEastAsia"/>
          <w:rtl/>
        </w:rPr>
        <w:t>2021</w:t>
      </w:r>
      <w:r w:rsidRPr="0063517E">
        <w:rPr>
          <w:rFonts w:eastAsiaTheme="minorEastAsia"/>
          <w:rtl/>
        </w:rPr>
        <w:t xml:space="preserve"> وبات حالياً في انتظار موافقة رئيس البلد، وتحيط علماً ببيان الوفد الذي يفيد بأنه سيتم سنّ هذا المشروع ليصبح قانوناً في الوقت اللازم. بيد أن اللجنة تشعر بالقلق لعدم توافر معلومات عن عملية اختيار أمين المظالم، ولأن ليس لدى هذه المؤسسة سوى أربعة مكاتب لتغطية </w:t>
      </w:r>
      <w:r w:rsidRPr="00911C28">
        <w:rPr>
          <w:rFonts w:eastAsiaTheme="minorEastAsia"/>
          <w:rtl/>
        </w:rPr>
        <w:t>16</w:t>
      </w:r>
      <w:r w:rsidRPr="0063517E">
        <w:rPr>
          <w:rFonts w:eastAsiaTheme="minorEastAsia"/>
          <w:rtl/>
        </w:rPr>
        <w:t xml:space="preserve"> منطقة (المادة </w:t>
      </w:r>
      <w:r w:rsidRPr="00911C28">
        <w:rPr>
          <w:rFonts w:eastAsiaTheme="minorEastAsia"/>
          <w:rtl/>
        </w:rPr>
        <w:t>2</w:t>
      </w:r>
      <w:r w:rsidRPr="0063517E">
        <w:rPr>
          <w:rFonts w:eastAsiaTheme="minorEastAsia"/>
          <w:rtl/>
        </w:rPr>
        <w:t>).</w:t>
      </w:r>
    </w:p>
    <w:p w14:paraId="07F5E574" w14:textId="77777777" w:rsidR="0063517E" w:rsidRPr="00911C28" w:rsidRDefault="0063517E" w:rsidP="0063517E">
      <w:pPr>
        <w:pStyle w:val="SingleTxtGA"/>
        <w:rPr>
          <w:rFonts w:eastAsiaTheme="minorEastAsia"/>
          <w:b/>
          <w:bCs/>
        </w:rPr>
      </w:pPr>
      <w:r w:rsidRPr="00911C28">
        <w:rPr>
          <w:rFonts w:eastAsiaTheme="minorEastAsia"/>
          <w:rtl/>
        </w:rPr>
        <w:t>10</w:t>
      </w:r>
      <w:r w:rsidRPr="0063517E">
        <w:rPr>
          <w:rFonts w:eastAsiaTheme="minorEastAsia"/>
          <w:rtl/>
        </w:rPr>
        <w:t>-</w:t>
      </w:r>
      <w:r w:rsidRPr="0063517E">
        <w:rPr>
          <w:rFonts w:eastAsiaTheme="minorEastAsia"/>
          <w:rtl/>
        </w:rPr>
        <w:tab/>
      </w:r>
      <w:r w:rsidRPr="00911C28">
        <w:rPr>
          <w:rFonts w:eastAsiaTheme="minorEastAsia"/>
          <w:b/>
          <w:bCs/>
          <w:rtl/>
        </w:rPr>
        <w:t>ينبغي للدولة الطرف أن تتخذ جميع التدابير اللازمة لكفالة سنّ مشروع تعديل قانون أمين المظالم لكي يصيح قانوناً، دون إبطاء، فضلاً عن امتثال مكتب أمين المظالم امتثالاً تاماً للمبادئ المتعلقة بمركز المؤسسات الوطنية لتعزيز وحماية حقوق الإنسان (مبادئ باريس). وينبغي للدولة الطرف أن تزوّد المكتب بما يكفي من الموارد البشرية والمالية لتنفيذ ولايته في جميع أنحاء البلد وكفالة تعاونه مع النظم الإقليمية والدولية لحقوق الإنسان.</w:t>
      </w:r>
    </w:p>
    <w:p w14:paraId="7F705633" w14:textId="77777777" w:rsidR="0063517E" w:rsidRPr="00911C28" w:rsidRDefault="0063517E" w:rsidP="0063517E">
      <w:pPr>
        <w:pStyle w:val="H23GA"/>
        <w:rPr>
          <w:lang w:val="ar-SA" w:eastAsia="zh-TW" w:bidi="en-GB"/>
        </w:rPr>
      </w:pPr>
      <w:r w:rsidRPr="00911C28">
        <w:rPr>
          <w:rtl/>
        </w:rPr>
        <w:tab/>
      </w:r>
      <w:r w:rsidRPr="00911C28">
        <w:rPr>
          <w:rtl/>
        </w:rPr>
        <w:tab/>
        <w:t>عدم التمييز</w:t>
      </w:r>
    </w:p>
    <w:p w14:paraId="13A7D22C" w14:textId="6E992325" w:rsidR="0063517E" w:rsidRPr="0063517E" w:rsidRDefault="0063517E" w:rsidP="0063517E">
      <w:pPr>
        <w:pStyle w:val="SingleTxtGA"/>
        <w:rPr>
          <w:rFonts w:eastAsiaTheme="minorEastAsia"/>
        </w:rPr>
      </w:pPr>
      <w:r w:rsidRPr="00911C28">
        <w:rPr>
          <w:rFonts w:eastAsiaTheme="minorEastAsia"/>
          <w:rtl/>
        </w:rPr>
        <w:t>11</w:t>
      </w:r>
      <w:r w:rsidRPr="0063517E">
        <w:rPr>
          <w:rFonts w:eastAsiaTheme="minorEastAsia"/>
          <w:rtl/>
        </w:rPr>
        <w:t>-</w:t>
      </w:r>
      <w:r w:rsidRPr="0063517E">
        <w:rPr>
          <w:rFonts w:eastAsiaTheme="minorEastAsia"/>
          <w:rtl/>
        </w:rPr>
        <w:tab/>
        <w:t>يساور اللجنة القلق إزاء عدم وجود تشريعات شاملة لمكافحة التمييز وإزاء الإبقاء على المادة</w:t>
      </w:r>
      <w:r w:rsidR="00930469">
        <w:rPr>
          <w:rFonts w:eastAsiaTheme="minorEastAsia" w:hint="cs"/>
          <w:rtl/>
        </w:rPr>
        <w:t> </w:t>
      </w:r>
      <w:r w:rsidRPr="00911C28">
        <w:rPr>
          <w:rFonts w:eastAsiaTheme="minorEastAsia"/>
          <w:rtl/>
        </w:rPr>
        <w:t>15</w:t>
      </w:r>
      <w:r w:rsidR="0036244E">
        <w:rPr>
          <w:rFonts w:eastAsiaTheme="minorEastAsia"/>
          <w:rtl/>
        </w:rPr>
        <w:t>(</w:t>
      </w:r>
      <w:r w:rsidRPr="00911C28">
        <w:rPr>
          <w:rFonts w:eastAsiaTheme="minorEastAsia"/>
          <w:rtl/>
        </w:rPr>
        <w:t>4</w:t>
      </w:r>
      <w:r w:rsidRPr="0063517E">
        <w:rPr>
          <w:rFonts w:eastAsiaTheme="minorEastAsia"/>
          <w:rtl/>
        </w:rPr>
        <w:t>)</w:t>
      </w:r>
      <w:r w:rsidR="0036244E">
        <w:rPr>
          <w:rFonts w:eastAsiaTheme="minorEastAsia"/>
          <w:rtl/>
        </w:rPr>
        <w:t>(</w:t>
      </w:r>
      <w:proofErr w:type="gramStart"/>
      <w:r w:rsidRPr="0063517E">
        <w:rPr>
          <w:rFonts w:eastAsiaTheme="minorEastAsia"/>
          <w:rtl/>
        </w:rPr>
        <w:t>ب)-</w:t>
      </w:r>
      <w:proofErr w:type="gramEnd"/>
      <w:r w:rsidRPr="0063517E">
        <w:rPr>
          <w:rFonts w:eastAsiaTheme="minorEastAsia"/>
          <w:rtl/>
        </w:rPr>
        <w:t xml:space="preserve">(د) من الدستور التي تنص على استثناءات من الحق في عدم التعرض للتمييز. كما تشعر اللجنة بالقلق لأن قرار المحكمة العليا في بوتسوانا الصادر في عام </w:t>
      </w:r>
      <w:r w:rsidRPr="00911C28">
        <w:rPr>
          <w:rFonts w:eastAsiaTheme="minorEastAsia"/>
          <w:rtl/>
        </w:rPr>
        <w:t>2019</w:t>
      </w:r>
      <w:r w:rsidRPr="0063517E">
        <w:rPr>
          <w:rFonts w:eastAsiaTheme="minorEastAsia"/>
          <w:rtl/>
        </w:rPr>
        <w:t xml:space="preserve"> في قضية </w:t>
      </w:r>
      <w:proofErr w:type="spellStart"/>
      <w:r w:rsidRPr="00911C28">
        <w:rPr>
          <w:rFonts w:eastAsiaTheme="minorEastAsia"/>
          <w:i/>
        </w:rPr>
        <w:t>Letsweletse</w:t>
      </w:r>
      <w:proofErr w:type="spellEnd"/>
      <w:r w:rsidRPr="00911C28">
        <w:rPr>
          <w:rFonts w:eastAsiaTheme="minorEastAsia"/>
          <w:i/>
        </w:rPr>
        <w:t xml:space="preserve"> </w:t>
      </w:r>
      <w:proofErr w:type="spellStart"/>
      <w:r w:rsidRPr="00911C28">
        <w:rPr>
          <w:rFonts w:eastAsiaTheme="minorEastAsia"/>
          <w:i/>
        </w:rPr>
        <w:t>Motshediemang</w:t>
      </w:r>
      <w:proofErr w:type="spellEnd"/>
      <w:r w:rsidRPr="00911C28">
        <w:rPr>
          <w:rFonts w:eastAsiaTheme="minorEastAsia"/>
          <w:i/>
        </w:rPr>
        <w:t xml:space="preserve"> v. Attorney General</w:t>
      </w:r>
      <w:r w:rsidRPr="0063517E">
        <w:rPr>
          <w:rFonts w:eastAsiaTheme="minorEastAsia"/>
          <w:rtl/>
        </w:rPr>
        <w:t xml:space="preserve">، الذي يقضي بإلغاء المادة </w:t>
      </w:r>
      <w:r w:rsidRPr="00911C28">
        <w:rPr>
          <w:rFonts w:eastAsiaTheme="minorEastAsia"/>
          <w:rtl/>
        </w:rPr>
        <w:t>164</w:t>
      </w:r>
      <w:r w:rsidRPr="0063517E">
        <w:rPr>
          <w:rFonts w:eastAsiaTheme="minorEastAsia"/>
          <w:rtl/>
        </w:rPr>
        <w:t xml:space="preserve"> من قانون العقوبات التي تجرّم العلاقات الجنسية المثلية، لم ينفَّذ بعد، نتيجةً لطلب الاستئناف المقدم من قبل المدعي العام، الذي لا يزال جارياً. كما تشعر اللجنة بالقلق إزاء استمرار القوانين والممارسات العرفية التمييزية ضد المرأة، ولا</w:t>
      </w:r>
      <w:r w:rsidR="0036244E">
        <w:rPr>
          <w:rFonts w:eastAsiaTheme="minorEastAsia" w:hint="cs"/>
          <w:rtl/>
        </w:rPr>
        <w:t> </w:t>
      </w:r>
      <w:r w:rsidRPr="0063517E">
        <w:rPr>
          <w:rFonts w:eastAsiaTheme="minorEastAsia"/>
          <w:rtl/>
        </w:rPr>
        <w:t xml:space="preserve">سيما فيما يتعلق بالزواج والعلاقات الأسرية، والميراث، وحقوق الملكية، والوصاية القانونية التي يمارسها الرجال على النساء غير المتزوجات (المواد </w:t>
      </w:r>
      <w:r w:rsidRPr="00911C28">
        <w:rPr>
          <w:rFonts w:eastAsiaTheme="minorEastAsia"/>
          <w:rtl/>
        </w:rPr>
        <w:t>2</w:t>
      </w:r>
      <w:r w:rsidRPr="0063517E">
        <w:rPr>
          <w:rFonts w:eastAsiaTheme="minorEastAsia"/>
          <w:rtl/>
        </w:rPr>
        <w:t xml:space="preserve"> و</w:t>
      </w:r>
      <w:r w:rsidRPr="00911C28">
        <w:rPr>
          <w:rFonts w:eastAsiaTheme="minorEastAsia"/>
          <w:rtl/>
        </w:rPr>
        <w:t>3</w:t>
      </w:r>
      <w:r w:rsidRPr="0063517E">
        <w:rPr>
          <w:rFonts w:eastAsiaTheme="minorEastAsia"/>
          <w:rtl/>
        </w:rPr>
        <w:t xml:space="preserve"> و</w:t>
      </w:r>
      <w:r w:rsidRPr="00911C28">
        <w:rPr>
          <w:rFonts w:eastAsiaTheme="minorEastAsia"/>
          <w:rtl/>
        </w:rPr>
        <w:t>17</w:t>
      </w:r>
      <w:r w:rsidRPr="0063517E">
        <w:rPr>
          <w:rFonts w:eastAsiaTheme="minorEastAsia"/>
          <w:rtl/>
        </w:rPr>
        <w:t xml:space="preserve"> و</w:t>
      </w:r>
      <w:r w:rsidRPr="00911C28">
        <w:rPr>
          <w:rFonts w:eastAsiaTheme="minorEastAsia"/>
          <w:rtl/>
        </w:rPr>
        <w:t>26</w:t>
      </w:r>
      <w:r w:rsidRPr="0063517E">
        <w:rPr>
          <w:rFonts w:eastAsiaTheme="minorEastAsia"/>
          <w:rtl/>
        </w:rPr>
        <w:t xml:space="preserve"> و</w:t>
      </w:r>
      <w:r w:rsidRPr="00911C28">
        <w:rPr>
          <w:rFonts w:eastAsiaTheme="minorEastAsia"/>
          <w:rtl/>
        </w:rPr>
        <w:t>27</w:t>
      </w:r>
      <w:r w:rsidRPr="0063517E">
        <w:rPr>
          <w:rFonts w:eastAsiaTheme="minorEastAsia"/>
          <w:rtl/>
        </w:rPr>
        <w:t>).</w:t>
      </w:r>
    </w:p>
    <w:p w14:paraId="2836AE57" w14:textId="2ECEFCC8" w:rsidR="0063517E" w:rsidRPr="00911C28" w:rsidRDefault="0063517E" w:rsidP="0063517E">
      <w:pPr>
        <w:pStyle w:val="SingleTxtGA"/>
        <w:rPr>
          <w:rFonts w:eastAsiaTheme="minorEastAsia"/>
          <w:bCs/>
          <w:spacing w:val="-6"/>
          <w:lang w:val="ar-SA" w:eastAsia="zh-TW" w:bidi="en-GB"/>
        </w:rPr>
      </w:pPr>
      <w:r w:rsidRPr="00911C28">
        <w:rPr>
          <w:rFonts w:eastAsiaTheme="minorEastAsia"/>
          <w:spacing w:val="-6"/>
          <w:rtl/>
        </w:rPr>
        <w:t>12</w:t>
      </w:r>
      <w:r w:rsidRPr="00C54F2D">
        <w:rPr>
          <w:rFonts w:eastAsiaTheme="minorEastAsia"/>
          <w:spacing w:val="-6"/>
          <w:rtl/>
        </w:rPr>
        <w:t>-</w:t>
      </w:r>
      <w:r w:rsidRPr="00C54F2D">
        <w:rPr>
          <w:rFonts w:eastAsiaTheme="minorEastAsia"/>
          <w:spacing w:val="-6"/>
          <w:rtl/>
        </w:rPr>
        <w:tab/>
      </w:r>
      <w:r w:rsidRPr="00911C28">
        <w:rPr>
          <w:rFonts w:eastAsiaTheme="minorEastAsia"/>
          <w:bCs/>
          <w:spacing w:val="-6"/>
          <w:rtl/>
        </w:rPr>
        <w:t>وفي ضوء التوصيات السابقة للجنة</w:t>
      </w:r>
      <w:r w:rsidRPr="00911C28">
        <w:rPr>
          <w:rStyle w:val="FootnoteReference"/>
          <w:rFonts w:eastAsiaTheme="minorEastAsia"/>
          <w:b/>
          <w:spacing w:val="-6"/>
          <w:szCs w:val="22"/>
          <w:rtl/>
        </w:rPr>
        <w:t>(</w:t>
      </w:r>
      <w:r w:rsidRPr="00911C28">
        <w:rPr>
          <w:rStyle w:val="FootnoteReference"/>
          <w:rFonts w:eastAsiaTheme="minorEastAsia"/>
          <w:b/>
          <w:spacing w:val="-6"/>
          <w:szCs w:val="22"/>
          <w:lang w:val="en-US"/>
        </w:rPr>
        <w:footnoteReference w:id="7"/>
      </w:r>
      <w:r w:rsidRPr="00911C28">
        <w:rPr>
          <w:rStyle w:val="FootnoteReference"/>
          <w:rFonts w:eastAsiaTheme="minorEastAsia"/>
          <w:b/>
          <w:spacing w:val="-6"/>
          <w:szCs w:val="22"/>
          <w:rtl/>
        </w:rPr>
        <w:t>)</w:t>
      </w:r>
      <w:r w:rsidRPr="00911C28">
        <w:rPr>
          <w:rFonts w:eastAsiaTheme="minorEastAsia"/>
          <w:bCs/>
          <w:spacing w:val="-6"/>
          <w:rtl/>
        </w:rPr>
        <w:t xml:space="preserve"> ومع وضعها في الاعتبار، ينبغي للدولة الطرف القيام بما</w:t>
      </w:r>
      <w:r w:rsidR="00930469" w:rsidRPr="00911C28">
        <w:rPr>
          <w:rFonts w:eastAsiaTheme="minorEastAsia" w:hint="cs"/>
          <w:bCs/>
          <w:spacing w:val="-6"/>
          <w:rtl/>
        </w:rPr>
        <w:t> </w:t>
      </w:r>
      <w:r w:rsidRPr="00911C28">
        <w:rPr>
          <w:rFonts w:eastAsiaTheme="minorEastAsia"/>
          <w:bCs/>
          <w:spacing w:val="-6"/>
          <w:rtl/>
        </w:rPr>
        <w:t>يلي:</w:t>
      </w:r>
    </w:p>
    <w:p w14:paraId="54CAF69A" w14:textId="553173EB"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(أ)</w:t>
      </w:r>
      <w:r w:rsidRPr="0063517E">
        <w:rPr>
          <w:rFonts w:eastAsiaTheme="minorEastAsia"/>
          <w:rtl/>
        </w:rPr>
        <w:tab/>
      </w:r>
      <w:r w:rsidRPr="00911C28">
        <w:rPr>
          <w:rFonts w:eastAsiaTheme="minorEastAsia"/>
          <w:bCs/>
          <w:rtl/>
        </w:rPr>
        <w:t>اعتماد تشريعات شاملة لحظر التمييز، بما في ذلك التمييز المتعدد الأشكال المباشر وغير المباشر في جميع المجالات، سواء في القطاع العام أو الخاص، القائم على أيٍّ من الأسس المحظورة بمقتضى العهد، بما في ذلك نوع الجنس، أو الميل الجنسي، أو الهوية الجنسانية، أو الدين، أو</w:t>
      </w:r>
      <w:r w:rsidR="0036244E" w:rsidRPr="00911C28">
        <w:rPr>
          <w:rFonts w:eastAsiaTheme="minorEastAsia" w:hint="cs"/>
          <w:bCs/>
          <w:rtl/>
        </w:rPr>
        <w:t> </w:t>
      </w:r>
      <w:r w:rsidRPr="00911C28">
        <w:rPr>
          <w:rFonts w:eastAsiaTheme="minorEastAsia"/>
          <w:bCs/>
          <w:rtl/>
        </w:rPr>
        <w:t>الإعاقة، أو الوضع الاجتماعي والاقتصادي، أو الإصابة بفيروس نقص المناعة البشرية/الإيدز، أو</w:t>
      </w:r>
      <w:r w:rsidR="0036244E" w:rsidRPr="00911C28">
        <w:rPr>
          <w:rFonts w:eastAsiaTheme="minorEastAsia" w:hint="cs"/>
          <w:bCs/>
          <w:rtl/>
        </w:rPr>
        <w:t> </w:t>
      </w:r>
      <w:r w:rsidRPr="00911C28">
        <w:rPr>
          <w:rFonts w:eastAsiaTheme="minorEastAsia"/>
          <w:bCs/>
          <w:rtl/>
        </w:rPr>
        <w:t>الانتماء الإثني والسياسي، أو أي وضع آخر؛</w:t>
      </w:r>
    </w:p>
    <w:p w14:paraId="0963583A" w14:textId="1B802F32"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(ب)</w:t>
      </w:r>
      <w:r w:rsidRPr="0063517E">
        <w:rPr>
          <w:rFonts w:eastAsiaTheme="minorEastAsia"/>
          <w:rtl/>
        </w:rPr>
        <w:tab/>
      </w:r>
      <w:r w:rsidRPr="00911C28">
        <w:rPr>
          <w:rFonts w:eastAsiaTheme="minorEastAsia"/>
          <w:bCs/>
          <w:rtl/>
        </w:rPr>
        <w:t>تعديل المادة 15 من الدستور لجعلها متوائمة مع المواد 2 و3 و26 من العهد؛</w:t>
      </w:r>
    </w:p>
    <w:p w14:paraId="433C5A39" w14:textId="1F9F5234" w:rsidR="0063517E" w:rsidRPr="00911C28" w:rsidRDefault="0063517E" w:rsidP="0063517E">
      <w:pPr>
        <w:pStyle w:val="SingleTxtGA"/>
        <w:rPr>
          <w:rFonts w:eastAsiaTheme="minorEastAsia"/>
          <w:bCs/>
        </w:rPr>
      </w:pPr>
      <w:r>
        <w:rPr>
          <w:rFonts w:eastAsiaTheme="minorEastAsia"/>
          <w:rtl/>
        </w:rPr>
        <w:tab/>
      </w:r>
      <w:r w:rsidRPr="0063517E">
        <w:rPr>
          <w:rFonts w:eastAsiaTheme="minorEastAsia"/>
          <w:rtl/>
        </w:rPr>
        <w:t>(ج)</w:t>
      </w:r>
      <w:r w:rsidRPr="0063517E">
        <w:rPr>
          <w:rFonts w:eastAsiaTheme="minorEastAsia"/>
          <w:rtl/>
        </w:rPr>
        <w:tab/>
      </w:r>
      <w:r w:rsidRPr="00911C28">
        <w:rPr>
          <w:rFonts w:eastAsiaTheme="minorEastAsia"/>
          <w:bCs/>
          <w:rtl/>
        </w:rPr>
        <w:t>إلغاء المادة 164 من قانون العقوبات؛</w:t>
      </w:r>
    </w:p>
    <w:p w14:paraId="7D5E1C89" w14:textId="21B363DA" w:rsidR="0063517E" w:rsidRPr="00911C28" w:rsidRDefault="0063517E" w:rsidP="0063517E">
      <w:pPr>
        <w:pStyle w:val="SingleTxtGA"/>
        <w:rPr>
          <w:rFonts w:eastAsiaTheme="minorEastAsia"/>
          <w:bCs/>
        </w:rPr>
      </w:pPr>
      <w:r>
        <w:rPr>
          <w:rFonts w:eastAsiaTheme="minorEastAsia"/>
          <w:rtl/>
        </w:rPr>
        <w:tab/>
      </w:r>
      <w:r w:rsidRPr="0063517E">
        <w:rPr>
          <w:rFonts w:eastAsiaTheme="minorEastAsia"/>
          <w:rtl/>
        </w:rPr>
        <w:t>(د)</w:t>
      </w:r>
      <w:r w:rsidRPr="0063517E">
        <w:rPr>
          <w:rFonts w:eastAsiaTheme="minorEastAsia"/>
          <w:rtl/>
        </w:rPr>
        <w:tab/>
      </w:r>
      <w:r w:rsidRPr="00911C28">
        <w:rPr>
          <w:rFonts w:eastAsiaTheme="minorEastAsia"/>
          <w:bCs/>
          <w:rtl/>
        </w:rPr>
        <w:t>استعراض القوانين والممارسات العرفية التمييزية ضد المرأة لكفالة امتثالها الكامل لأحكام العهد؛</w:t>
      </w:r>
    </w:p>
    <w:p w14:paraId="1E79C030" w14:textId="7A0A6780" w:rsidR="0063517E" w:rsidRPr="00911C28" w:rsidRDefault="0063517E" w:rsidP="0063517E">
      <w:pPr>
        <w:pStyle w:val="SingleTxtGA"/>
        <w:rPr>
          <w:rFonts w:eastAsiaTheme="minorEastAsia"/>
          <w:bCs/>
        </w:rPr>
      </w:pPr>
      <w:r>
        <w:rPr>
          <w:rFonts w:eastAsiaTheme="minorEastAsia"/>
          <w:rtl/>
        </w:rPr>
        <w:tab/>
      </w:r>
      <w:r w:rsidRPr="0063517E">
        <w:rPr>
          <w:rFonts w:eastAsiaTheme="minorEastAsia"/>
          <w:rtl/>
        </w:rPr>
        <w:t>(هـ)</w:t>
      </w:r>
      <w:r w:rsidRPr="0063517E">
        <w:rPr>
          <w:rFonts w:eastAsiaTheme="minorEastAsia"/>
          <w:rtl/>
        </w:rPr>
        <w:tab/>
      </w:r>
      <w:r w:rsidRPr="00911C28">
        <w:rPr>
          <w:rFonts w:eastAsiaTheme="minorEastAsia"/>
          <w:bCs/>
          <w:rtl/>
        </w:rPr>
        <w:t>وضع وتنفيذ استراتيجيات لمكافحة المواقف الأبوية والقوالب النمطية بشأن أدوار المرأة والرجل ومسؤولياتهما في الأسرة وفي المجتمع ككل؛</w:t>
      </w:r>
    </w:p>
    <w:p w14:paraId="3FCEB433" w14:textId="7C319A60" w:rsidR="0063517E" w:rsidRPr="00911C28" w:rsidRDefault="0063517E" w:rsidP="0063517E">
      <w:pPr>
        <w:pStyle w:val="SingleTxtGA"/>
        <w:rPr>
          <w:rFonts w:eastAsiaTheme="minorEastAsia"/>
          <w:b/>
          <w:lang w:val="ar-SA" w:eastAsia="zh-TW" w:bidi="en-GB"/>
        </w:rPr>
      </w:pPr>
      <w:r>
        <w:rPr>
          <w:rFonts w:eastAsiaTheme="minorEastAsia"/>
          <w:rtl/>
        </w:rPr>
        <w:tab/>
      </w:r>
      <w:r w:rsidRPr="0063517E">
        <w:rPr>
          <w:rFonts w:eastAsiaTheme="minorEastAsia"/>
          <w:rtl/>
        </w:rPr>
        <w:t>(و)</w:t>
      </w:r>
      <w:r w:rsidRPr="0063517E">
        <w:rPr>
          <w:rFonts w:eastAsiaTheme="minorEastAsia"/>
          <w:rtl/>
        </w:rPr>
        <w:tab/>
      </w:r>
      <w:r w:rsidRPr="00911C28">
        <w:rPr>
          <w:rFonts w:eastAsiaTheme="minorEastAsia"/>
          <w:bCs/>
          <w:rtl/>
        </w:rPr>
        <w:t>اتخاذ خطوات ملموسة، مثل حملات وأنشطة التوعية الشاملة، من أجل التصدي للوصم والمواقف التمييزية وتعزيز الإحساس بالآخر واحترام التنوع بين عامة الجمهور</w:t>
      </w:r>
      <w:r w:rsidRPr="00911C28">
        <w:rPr>
          <w:rFonts w:eastAsiaTheme="minorEastAsia"/>
          <w:b/>
          <w:rtl/>
        </w:rPr>
        <w:t>.</w:t>
      </w:r>
    </w:p>
    <w:p w14:paraId="77E3DC4B" w14:textId="77777777" w:rsidR="0063517E" w:rsidRPr="00911C28" w:rsidRDefault="0063517E" w:rsidP="0063517E">
      <w:pPr>
        <w:pStyle w:val="H23GA"/>
        <w:rPr>
          <w:lang w:val="ar-SA" w:eastAsia="zh-TW" w:bidi="en-GB"/>
        </w:rPr>
      </w:pPr>
      <w:r w:rsidRPr="00911C28">
        <w:rPr>
          <w:rtl/>
        </w:rPr>
        <w:lastRenderedPageBreak/>
        <w:tab/>
      </w:r>
      <w:r w:rsidRPr="00911C28">
        <w:rPr>
          <w:rtl/>
        </w:rPr>
        <w:tab/>
        <w:t>العنف ضد النساء والأطفال</w:t>
      </w:r>
    </w:p>
    <w:p w14:paraId="7B872C4B" w14:textId="77777777" w:rsidR="0063517E" w:rsidRPr="0063517E" w:rsidRDefault="0063517E" w:rsidP="0063517E">
      <w:pPr>
        <w:pStyle w:val="SingleTxtGA"/>
        <w:rPr>
          <w:rFonts w:eastAsiaTheme="minorEastAsia"/>
          <w:lang w:val="ar-SA" w:eastAsia="zh-TW" w:bidi="en-GB"/>
        </w:rPr>
      </w:pPr>
      <w:r w:rsidRPr="00911C28">
        <w:rPr>
          <w:rFonts w:eastAsiaTheme="minorEastAsia"/>
          <w:rtl/>
        </w:rPr>
        <w:t>13</w:t>
      </w:r>
      <w:r w:rsidRPr="0063517E">
        <w:rPr>
          <w:rFonts w:eastAsiaTheme="minorEastAsia"/>
          <w:rtl/>
        </w:rPr>
        <w:t>-</w:t>
      </w:r>
      <w:r w:rsidRPr="0063517E">
        <w:rPr>
          <w:rFonts w:eastAsiaTheme="minorEastAsia"/>
          <w:rtl/>
        </w:rPr>
        <w:tab/>
        <w:t>يساور اللجنة القلق إزاء المستوى المرتفع للعنف ضد النساء والأطفال، بما في ذلك العنف الجنسي والعائلي، الذي ازداد زيادة كبيرة خلال جائحة مرض فيروس كورونا (كوفيد-</w:t>
      </w:r>
      <w:r w:rsidRPr="00911C28">
        <w:rPr>
          <w:rFonts w:eastAsiaTheme="minorEastAsia"/>
          <w:rtl/>
        </w:rPr>
        <w:t>19</w:t>
      </w:r>
      <w:r w:rsidRPr="0063517E">
        <w:rPr>
          <w:rFonts w:eastAsiaTheme="minorEastAsia"/>
          <w:rtl/>
        </w:rPr>
        <w:t xml:space="preserve">)، واستمرار الممارسات التقليدية الضارة إزاء النساء والأطفال، بما في ذلك زواج الأطفال، وتعدد الزوجات، وطقوس الترمّل، ودفع المهر </w:t>
      </w:r>
      <w:r w:rsidRPr="00911C28">
        <w:rPr>
          <w:rFonts w:eastAsiaTheme="minorEastAsia"/>
          <w:i/>
          <w:iCs/>
          <w:rtl/>
        </w:rPr>
        <w:t>(بُغادي)</w:t>
      </w:r>
      <w:r w:rsidRPr="0063517E">
        <w:rPr>
          <w:rFonts w:eastAsiaTheme="minorEastAsia"/>
          <w:rtl/>
        </w:rPr>
        <w:t xml:space="preserve">. كما تشعر اللجنة بالقلق لأن الاغتصاب الزوجي والعنف الجنسي لا يُعتبران جريمتين في التشريعات المحلية، ويساورها القلق إزاء المستوى المتدني للإبلاغ عن هذه الحالات والمعدل المرتفع لسحب الشكاوى. كما تشعر اللجنة بالقلق إزاء عدم كفاية الحماية والدعم المقدمين إلى ضحايا العنف العائلي وأسرهم، بما في ذلك من حيث عدد </w:t>
      </w:r>
      <w:proofErr w:type="spellStart"/>
      <w:r w:rsidRPr="0063517E">
        <w:rPr>
          <w:rFonts w:eastAsiaTheme="minorEastAsia"/>
          <w:rtl/>
        </w:rPr>
        <w:t>المآوي</w:t>
      </w:r>
      <w:proofErr w:type="spellEnd"/>
      <w:r w:rsidRPr="0063517E">
        <w:rPr>
          <w:rFonts w:eastAsiaTheme="minorEastAsia"/>
          <w:rtl/>
        </w:rPr>
        <w:t xml:space="preserve"> وتوافر الخدمات </w:t>
      </w:r>
      <w:bookmarkStart w:id="3" w:name="_Hlk89018658"/>
      <w:r w:rsidRPr="0063517E">
        <w:rPr>
          <w:rFonts w:eastAsiaTheme="minorEastAsia"/>
          <w:rtl/>
        </w:rPr>
        <w:t>الطبية والنفسية وخدمات إعادة التأهيل</w:t>
      </w:r>
      <w:bookmarkEnd w:id="3"/>
      <w:r w:rsidRPr="0063517E">
        <w:rPr>
          <w:rFonts w:eastAsiaTheme="minorEastAsia"/>
          <w:rtl/>
        </w:rPr>
        <w:t xml:space="preserve">. وتأسف اللجنة لعدم تلقيها معلومات كافية عن عدد التحقيقات، والملاحقات القضائية، والإدانات الصادرة بحق الجناة في قضايا العنف ضد النساء والأطفال (المواد </w:t>
      </w:r>
      <w:r w:rsidRPr="00911C28">
        <w:rPr>
          <w:rFonts w:eastAsiaTheme="minorEastAsia"/>
          <w:rtl/>
        </w:rPr>
        <w:t>2</w:t>
      </w:r>
      <w:r w:rsidRPr="0063517E">
        <w:rPr>
          <w:rFonts w:eastAsiaTheme="minorEastAsia"/>
          <w:rtl/>
        </w:rPr>
        <w:t xml:space="preserve"> و</w:t>
      </w:r>
      <w:r w:rsidRPr="00911C28">
        <w:rPr>
          <w:rFonts w:eastAsiaTheme="minorEastAsia"/>
          <w:rtl/>
        </w:rPr>
        <w:t>3</w:t>
      </w:r>
      <w:r w:rsidRPr="0063517E">
        <w:rPr>
          <w:rFonts w:eastAsiaTheme="minorEastAsia"/>
          <w:rtl/>
        </w:rPr>
        <w:t xml:space="preserve"> و</w:t>
      </w:r>
      <w:r w:rsidRPr="00911C28">
        <w:rPr>
          <w:rFonts w:eastAsiaTheme="minorEastAsia"/>
          <w:rtl/>
        </w:rPr>
        <w:t>6</w:t>
      </w:r>
      <w:r w:rsidRPr="0063517E">
        <w:rPr>
          <w:rFonts w:eastAsiaTheme="minorEastAsia"/>
          <w:rtl/>
        </w:rPr>
        <w:t xml:space="preserve"> و</w:t>
      </w:r>
      <w:r w:rsidRPr="00911C28">
        <w:rPr>
          <w:rFonts w:eastAsiaTheme="minorEastAsia"/>
          <w:rtl/>
        </w:rPr>
        <w:t>7</w:t>
      </w:r>
      <w:r w:rsidRPr="0063517E">
        <w:rPr>
          <w:rFonts w:eastAsiaTheme="minorEastAsia"/>
          <w:rtl/>
        </w:rPr>
        <w:t xml:space="preserve"> و</w:t>
      </w:r>
      <w:r w:rsidRPr="00911C28">
        <w:rPr>
          <w:rFonts w:eastAsiaTheme="minorEastAsia"/>
          <w:rtl/>
        </w:rPr>
        <w:t>24</w:t>
      </w:r>
      <w:r w:rsidRPr="0063517E">
        <w:rPr>
          <w:rFonts w:eastAsiaTheme="minorEastAsia"/>
          <w:rtl/>
        </w:rPr>
        <w:t xml:space="preserve"> و</w:t>
      </w:r>
      <w:r w:rsidRPr="00911C28">
        <w:rPr>
          <w:rFonts w:eastAsiaTheme="minorEastAsia"/>
          <w:rtl/>
        </w:rPr>
        <w:t>26</w:t>
      </w:r>
      <w:r w:rsidRPr="0063517E">
        <w:rPr>
          <w:rFonts w:eastAsiaTheme="minorEastAsia"/>
          <w:rtl/>
        </w:rPr>
        <w:t>).</w:t>
      </w:r>
    </w:p>
    <w:p w14:paraId="0BBB2D9D" w14:textId="77777777" w:rsidR="0063517E" w:rsidRPr="00911C28" w:rsidRDefault="0063517E" w:rsidP="0063517E">
      <w:pPr>
        <w:pStyle w:val="SingleTxtGA"/>
        <w:rPr>
          <w:rFonts w:eastAsiaTheme="minorEastAsia"/>
          <w:bCs/>
          <w:lang w:val="ar-SA" w:eastAsia="zh-TW" w:bidi="en-GB"/>
        </w:rPr>
      </w:pPr>
      <w:r w:rsidRPr="00911C28">
        <w:rPr>
          <w:rFonts w:eastAsiaTheme="minorEastAsia"/>
          <w:rtl/>
        </w:rPr>
        <w:t>14</w:t>
      </w:r>
      <w:r w:rsidRPr="0063517E">
        <w:rPr>
          <w:rFonts w:eastAsiaTheme="minorEastAsia"/>
          <w:rtl/>
        </w:rPr>
        <w:t>-</w:t>
      </w:r>
      <w:r w:rsidRPr="0063517E">
        <w:rPr>
          <w:rFonts w:eastAsiaTheme="minorEastAsia"/>
          <w:rtl/>
        </w:rPr>
        <w:tab/>
      </w:r>
      <w:r w:rsidRPr="00911C28">
        <w:rPr>
          <w:rFonts w:eastAsiaTheme="minorEastAsia"/>
          <w:bCs/>
          <w:rtl/>
        </w:rPr>
        <w:t>ينبغي للدولة الطرف القيام بما يلي:</w:t>
      </w:r>
    </w:p>
    <w:p w14:paraId="26D196F6" w14:textId="15FC3EE7"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(أ)</w:t>
      </w:r>
      <w:r w:rsidRPr="0063517E">
        <w:rPr>
          <w:rFonts w:eastAsiaTheme="minorEastAsia"/>
          <w:rtl/>
        </w:rPr>
        <w:tab/>
      </w:r>
      <w:r w:rsidRPr="00911C28">
        <w:rPr>
          <w:rFonts w:eastAsiaTheme="minorEastAsia"/>
          <w:bCs/>
          <w:rtl/>
        </w:rPr>
        <w:t>تعزيز الأطر القانونية والمؤسسية لحماية النساء والأطفال من العنف، بوسائل منها تجريم الاغتصاب الزوجي والعنف الجنسي صراحةً، وكفالة التنفيذ الكامل والفعال للقانون المتعلق بالعنف العائلي (2008)؛</w:t>
      </w:r>
    </w:p>
    <w:p w14:paraId="51991450" w14:textId="0905D84C"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(ب)</w:t>
      </w:r>
      <w:r w:rsidRPr="0063517E">
        <w:rPr>
          <w:rFonts w:eastAsiaTheme="minorEastAsia"/>
          <w:rtl/>
        </w:rPr>
        <w:tab/>
      </w:r>
      <w:r w:rsidRPr="00911C28">
        <w:rPr>
          <w:rFonts w:eastAsiaTheme="minorEastAsia"/>
          <w:bCs/>
          <w:rtl/>
        </w:rPr>
        <w:t>اتخاذ خطوات ملموسة للقضاء على الممارسات التقليدية الضارة، بوسائل منها حملات وبرامج التوعية المنهجية لتغيير المواقف الاجتماعية وطرق التفكير والقوالب النمطية السائدة؛</w:t>
      </w:r>
    </w:p>
    <w:p w14:paraId="78AD1CB2" w14:textId="40478DD0"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(ج)</w:t>
      </w:r>
      <w:r w:rsidRPr="0063517E">
        <w:rPr>
          <w:rFonts w:eastAsiaTheme="minorEastAsia"/>
          <w:rtl/>
        </w:rPr>
        <w:tab/>
      </w:r>
      <w:r w:rsidRPr="00911C28">
        <w:rPr>
          <w:rFonts w:eastAsiaTheme="minorEastAsia"/>
          <w:bCs/>
          <w:rtl/>
        </w:rPr>
        <w:t xml:space="preserve">كفالة التحقيق الشامل في حالات العنف ضد النساء والأطفال، ومقاضاة الجناة ومعاقبتهم بعقوبات مناسبة في حال إدانتهم، وحصول الضحايا على سبل الانتصاف الفعالة ووسائل الحماية والمساعدة اللازمة، بما في ذلك إتاحة </w:t>
      </w:r>
      <w:proofErr w:type="spellStart"/>
      <w:r w:rsidRPr="00911C28">
        <w:rPr>
          <w:rFonts w:eastAsiaTheme="minorEastAsia"/>
          <w:bCs/>
          <w:rtl/>
        </w:rPr>
        <w:t>المآوي</w:t>
      </w:r>
      <w:proofErr w:type="spellEnd"/>
      <w:r w:rsidRPr="00911C28">
        <w:rPr>
          <w:rFonts w:eastAsiaTheme="minorEastAsia"/>
          <w:bCs/>
          <w:rtl/>
        </w:rPr>
        <w:t xml:space="preserve"> في جميع أنحاء البلد وما يكفي من خدمات الدعم على الصعيدين الطبي والنفسي وفي مجال إعادة التأهيل؛</w:t>
      </w:r>
    </w:p>
    <w:p w14:paraId="2432DE7D" w14:textId="141832DE"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(د)</w:t>
      </w:r>
      <w:r w:rsidRPr="0063517E">
        <w:rPr>
          <w:rFonts w:eastAsiaTheme="minorEastAsia"/>
          <w:rtl/>
        </w:rPr>
        <w:tab/>
      </w:r>
      <w:r w:rsidRPr="00911C28">
        <w:rPr>
          <w:rFonts w:eastAsiaTheme="minorEastAsia"/>
          <w:bCs/>
          <w:rtl/>
        </w:rPr>
        <w:t>تنظيم حملات لتوعية عامة الجمهور بالعنف ضد النساء والأطفال، بما يشمل القانون المتعلق بالعنف العائلي (2008)، وكفالة حصول موظفي الشرطة والمدعين العامين والقضاة في المحاكم الجنائية والعرفية على التدريب المناسب للتعامل مع هذه القضايا بفعالية.</w:t>
      </w:r>
    </w:p>
    <w:p w14:paraId="4E8E24C5" w14:textId="77777777" w:rsidR="0063517E" w:rsidRPr="00911C28" w:rsidRDefault="0063517E" w:rsidP="0063517E">
      <w:pPr>
        <w:pStyle w:val="H23GA"/>
        <w:rPr>
          <w:lang w:val="ar-SA" w:eastAsia="zh-TW" w:bidi="en-GB"/>
        </w:rPr>
      </w:pPr>
      <w:r w:rsidRPr="00911C28">
        <w:rPr>
          <w:rtl/>
        </w:rPr>
        <w:tab/>
      </w:r>
      <w:r w:rsidRPr="00911C28">
        <w:rPr>
          <w:rtl/>
        </w:rPr>
        <w:tab/>
        <w:t>عقوبة الإعدام</w:t>
      </w:r>
    </w:p>
    <w:p w14:paraId="3E257EB8" w14:textId="53F03D14" w:rsidR="0063517E" w:rsidRPr="0063517E" w:rsidRDefault="0063517E" w:rsidP="0063517E">
      <w:pPr>
        <w:pStyle w:val="SingleTxtGA"/>
        <w:rPr>
          <w:rFonts w:eastAsiaTheme="minorEastAsia"/>
          <w:lang w:val="ar-SA" w:eastAsia="zh-TW" w:bidi="en-GB"/>
        </w:rPr>
      </w:pPr>
      <w:r w:rsidRPr="00911C28">
        <w:rPr>
          <w:rFonts w:eastAsiaTheme="minorEastAsia"/>
          <w:rtl/>
        </w:rPr>
        <w:t>15</w:t>
      </w:r>
      <w:r w:rsidRPr="0063517E">
        <w:rPr>
          <w:rFonts w:eastAsiaTheme="minorEastAsia"/>
          <w:rtl/>
        </w:rPr>
        <w:t>-</w:t>
      </w:r>
      <w:r w:rsidRPr="0063517E">
        <w:rPr>
          <w:rFonts w:eastAsiaTheme="minorEastAsia"/>
          <w:rtl/>
        </w:rPr>
        <w:tab/>
        <w:t xml:space="preserve">تأسف اللجنة لأن الدولة الطرف لا تعتزم إلغاء عقوبة الإعدام أو فرض وقف للعمل بهذه العقوبة، وتكرر الإعراب عن قلقها لاستمرار فرض وتنفيذ أحكام الإعدام. ويساور اللجنة القلق لعدم قبول أي طلب من طلبات التماس الرحمة المعروضة على اللجنة الاستشارية المعنية بامتيازات الرحمة، وهي تأسف لعدم توافر معلومات عن المعايير المطبقة لقبول أو رفض هذه الطلبات. كما يساورها القلق لعدم توفير الوقت الكافي لإعداد التماسات الرأفة على الرغم من قرار محكمة الاستئناف الصادر في عام </w:t>
      </w:r>
      <w:r w:rsidRPr="00911C28">
        <w:rPr>
          <w:rFonts w:eastAsiaTheme="minorEastAsia"/>
          <w:rtl/>
        </w:rPr>
        <w:t>2016</w:t>
      </w:r>
      <w:r w:rsidRPr="0063517E">
        <w:rPr>
          <w:rFonts w:eastAsiaTheme="minorEastAsia"/>
          <w:rtl/>
        </w:rPr>
        <w:t xml:space="preserve"> في قضية </w:t>
      </w:r>
      <w:proofErr w:type="spellStart"/>
      <w:r w:rsidRPr="00911C28">
        <w:rPr>
          <w:rFonts w:eastAsiaTheme="minorEastAsia"/>
          <w:i/>
          <w:iCs/>
        </w:rPr>
        <w:t>Gabaakanye</w:t>
      </w:r>
      <w:proofErr w:type="spellEnd"/>
      <w:r w:rsidRPr="00911C28">
        <w:rPr>
          <w:rFonts w:eastAsiaTheme="minorEastAsia"/>
          <w:i/>
          <w:iCs/>
        </w:rPr>
        <w:t xml:space="preserve"> v. the State</w:t>
      </w:r>
      <w:r w:rsidRPr="0063517E">
        <w:rPr>
          <w:rFonts w:eastAsiaTheme="minorEastAsia"/>
          <w:rtl/>
        </w:rPr>
        <w:t xml:space="preserve">، ولعدم توجيه إخطار مسبق بيوم الإعدام للسجناء وأسرهم، ولعدم إعادة جثة الشخص بعد إعدامه إلى الأسرة لإجراء مراسم دفن خاصة. وتلاحظ اللجنة أن عقوبة الإعدام إلزامية في جرائم القتل وجرائم الخيانة، وتكرر تأكيد رأيها بأن الفرض الإلزامي لعقوبة الإعدام على أي جريمة يشكل انتهاكاً للمادة </w:t>
      </w:r>
      <w:r w:rsidRPr="00911C28">
        <w:rPr>
          <w:rFonts w:eastAsiaTheme="minorEastAsia"/>
          <w:rtl/>
        </w:rPr>
        <w:t>6</w:t>
      </w:r>
      <w:r w:rsidRPr="0063517E">
        <w:rPr>
          <w:rFonts w:eastAsiaTheme="minorEastAsia"/>
          <w:rtl/>
        </w:rPr>
        <w:t>(</w:t>
      </w:r>
      <w:r w:rsidRPr="00911C28">
        <w:rPr>
          <w:rFonts w:eastAsiaTheme="minorEastAsia"/>
          <w:rtl/>
        </w:rPr>
        <w:t>2</w:t>
      </w:r>
      <w:r w:rsidRPr="0063517E">
        <w:rPr>
          <w:rFonts w:eastAsiaTheme="minorEastAsia"/>
          <w:rtl/>
        </w:rPr>
        <w:t xml:space="preserve">) من العهد. وبالإضافة إلى ذلك، ترى اللجنة أن الخيانة لا تُدرج ضمن أشد الجرائم خطورة بالمعنى المقصود في المادة </w:t>
      </w:r>
      <w:r w:rsidRPr="00911C28">
        <w:rPr>
          <w:rFonts w:eastAsiaTheme="minorEastAsia"/>
          <w:rtl/>
        </w:rPr>
        <w:t>6</w:t>
      </w:r>
      <w:r w:rsidR="0036244E">
        <w:rPr>
          <w:rFonts w:eastAsiaTheme="minorEastAsia"/>
          <w:rtl/>
        </w:rPr>
        <w:t>(</w:t>
      </w:r>
      <w:r w:rsidRPr="00911C28">
        <w:rPr>
          <w:rFonts w:eastAsiaTheme="minorEastAsia"/>
          <w:rtl/>
        </w:rPr>
        <w:t>2</w:t>
      </w:r>
      <w:r w:rsidRPr="0063517E">
        <w:rPr>
          <w:rFonts w:eastAsiaTheme="minorEastAsia"/>
          <w:rtl/>
        </w:rPr>
        <w:t xml:space="preserve">) من العهد (المواد </w:t>
      </w:r>
      <w:r w:rsidRPr="00911C28">
        <w:rPr>
          <w:rFonts w:eastAsiaTheme="minorEastAsia"/>
          <w:rtl/>
        </w:rPr>
        <w:t>6</w:t>
      </w:r>
      <w:r w:rsidRPr="0063517E">
        <w:rPr>
          <w:rFonts w:eastAsiaTheme="minorEastAsia"/>
          <w:rtl/>
        </w:rPr>
        <w:t xml:space="preserve"> و</w:t>
      </w:r>
      <w:r w:rsidRPr="00911C28">
        <w:rPr>
          <w:rFonts w:eastAsiaTheme="minorEastAsia"/>
          <w:rtl/>
        </w:rPr>
        <w:t>7</w:t>
      </w:r>
      <w:r w:rsidRPr="0063517E">
        <w:rPr>
          <w:rFonts w:eastAsiaTheme="minorEastAsia"/>
          <w:rtl/>
        </w:rPr>
        <w:t xml:space="preserve"> و</w:t>
      </w:r>
      <w:r w:rsidRPr="00911C28">
        <w:rPr>
          <w:rFonts w:eastAsiaTheme="minorEastAsia"/>
          <w:rtl/>
        </w:rPr>
        <w:t>10</w:t>
      </w:r>
      <w:r w:rsidRPr="0063517E">
        <w:rPr>
          <w:rFonts w:eastAsiaTheme="minorEastAsia"/>
          <w:rtl/>
        </w:rPr>
        <w:t xml:space="preserve"> و</w:t>
      </w:r>
      <w:r w:rsidRPr="00911C28">
        <w:rPr>
          <w:rFonts w:eastAsiaTheme="minorEastAsia"/>
          <w:rtl/>
        </w:rPr>
        <w:t>23</w:t>
      </w:r>
      <w:r w:rsidRPr="0063517E">
        <w:rPr>
          <w:rFonts w:eastAsiaTheme="minorEastAsia"/>
          <w:rtl/>
        </w:rPr>
        <w:t>).</w:t>
      </w:r>
    </w:p>
    <w:p w14:paraId="3F7B3AED" w14:textId="74DC02D5" w:rsidR="0063517E" w:rsidRPr="00911C28" w:rsidRDefault="0063517E" w:rsidP="0063517E">
      <w:pPr>
        <w:pStyle w:val="SingleTxtGA"/>
        <w:rPr>
          <w:rFonts w:eastAsiaTheme="minorEastAsia"/>
          <w:b/>
          <w:bCs/>
          <w:lang w:val="en-US" w:eastAsia="zh-TW" w:bidi="en-GB"/>
        </w:rPr>
      </w:pPr>
      <w:r w:rsidRPr="00911C28">
        <w:rPr>
          <w:rFonts w:eastAsiaTheme="minorEastAsia"/>
          <w:rtl/>
        </w:rPr>
        <w:lastRenderedPageBreak/>
        <w:t>16</w:t>
      </w:r>
      <w:r w:rsidRPr="0063517E">
        <w:rPr>
          <w:rFonts w:eastAsiaTheme="minorEastAsia"/>
          <w:rtl/>
        </w:rPr>
        <w:t>-</w:t>
      </w:r>
      <w:r w:rsidRPr="0063517E">
        <w:rPr>
          <w:rFonts w:eastAsiaTheme="minorEastAsia"/>
          <w:rtl/>
        </w:rPr>
        <w:tab/>
      </w:r>
      <w:r w:rsidRPr="00911C28">
        <w:rPr>
          <w:rFonts w:eastAsiaTheme="minorEastAsia"/>
          <w:b/>
          <w:bCs/>
          <w:spacing w:val="-6"/>
          <w:rtl/>
        </w:rPr>
        <w:t>وفي ضوء تعليق اللجنة العام رقم 36(2018) وتوصيتها السابقة، ومع وضعهما في الاعتبار</w:t>
      </w:r>
      <w:r w:rsidRPr="002A6D1C">
        <w:rPr>
          <w:rStyle w:val="FootnoteReference"/>
          <w:rFonts w:eastAsiaTheme="minorEastAsia"/>
          <w:szCs w:val="22"/>
          <w:rtl/>
        </w:rPr>
        <w:t>(</w:t>
      </w:r>
      <w:r w:rsidRPr="00911C28">
        <w:rPr>
          <w:rStyle w:val="FootnoteReference"/>
          <w:rFonts w:eastAsiaTheme="minorEastAsia"/>
          <w:szCs w:val="22"/>
          <w:lang w:val="en-US"/>
        </w:rPr>
        <w:footnoteReference w:id="8"/>
      </w:r>
      <w:r w:rsidRPr="002A6D1C">
        <w:rPr>
          <w:rStyle w:val="FootnoteReference"/>
          <w:rFonts w:eastAsiaTheme="minorEastAsia"/>
          <w:szCs w:val="22"/>
          <w:rtl/>
        </w:rPr>
        <w:t>)</w:t>
      </w:r>
      <w:r w:rsidRPr="00911C28">
        <w:rPr>
          <w:rStyle w:val="FootnoteReference"/>
          <w:rFonts w:eastAsiaTheme="minorEastAsia" w:hint="cs"/>
          <w:b/>
          <w:bCs/>
          <w:szCs w:val="22"/>
          <w:vertAlign w:val="baseline"/>
          <w:rtl/>
        </w:rPr>
        <w:t>،</w:t>
      </w:r>
      <w:r w:rsidRPr="00911C28">
        <w:rPr>
          <w:rFonts w:eastAsiaTheme="minorEastAsia"/>
          <w:b/>
          <w:bCs/>
          <w:rtl/>
        </w:rPr>
        <w:t xml:space="preserve"> ينبغي للدولة الطرف القيام بما يلي:</w:t>
      </w:r>
    </w:p>
    <w:p w14:paraId="75906704" w14:textId="7263AC75" w:rsidR="0063517E" w:rsidRPr="00911C28" w:rsidRDefault="0063517E" w:rsidP="0063517E">
      <w:pPr>
        <w:pStyle w:val="SingleTxtGA"/>
        <w:rPr>
          <w:rFonts w:eastAsiaTheme="minorEastAsia"/>
          <w:bCs/>
          <w:lang w:val="en-US" w:eastAsia="zh-TW" w:bidi="en-GB"/>
        </w:rPr>
      </w:pPr>
      <w:r>
        <w:rPr>
          <w:rFonts w:eastAsiaTheme="minorEastAsia"/>
          <w:rtl/>
        </w:rPr>
        <w:tab/>
      </w:r>
      <w:r w:rsidRPr="0063517E">
        <w:rPr>
          <w:rFonts w:eastAsiaTheme="minorEastAsia"/>
          <w:rtl/>
        </w:rPr>
        <w:t>(أ)</w:t>
      </w:r>
      <w:r w:rsidRPr="0063517E">
        <w:rPr>
          <w:rFonts w:eastAsiaTheme="minorEastAsia"/>
          <w:rtl/>
        </w:rPr>
        <w:tab/>
      </w:r>
      <w:r w:rsidRPr="00911C28">
        <w:rPr>
          <w:rFonts w:eastAsiaTheme="minorEastAsia"/>
          <w:bCs/>
          <w:rtl/>
        </w:rPr>
        <w:t>تنقيح قانون العقوبات بحيث يمتثل امتثالاً تاماً لأحكام المادة 6(2) من العهد، وحصر الجرائم التي يجوز فرض عقوبة الإعدام على مرتكبيها بأشد الجرائم خطورة، أي الجرائم التي تنطوي على القتل العمد؛</w:t>
      </w:r>
    </w:p>
    <w:p w14:paraId="3FCD0B40" w14:textId="376588CF" w:rsidR="0063517E" w:rsidRPr="00911C28" w:rsidRDefault="0063517E" w:rsidP="0063517E">
      <w:pPr>
        <w:pStyle w:val="SingleTxtGA"/>
        <w:rPr>
          <w:rFonts w:eastAsiaTheme="minorEastAsia"/>
          <w:bCs/>
          <w:lang w:val="en-US" w:eastAsia="zh-TW" w:bidi="en-GB"/>
        </w:rPr>
      </w:pPr>
      <w:r>
        <w:rPr>
          <w:rFonts w:eastAsiaTheme="minorEastAsia"/>
          <w:rtl/>
        </w:rPr>
        <w:tab/>
      </w:r>
      <w:r w:rsidRPr="0063517E">
        <w:rPr>
          <w:rFonts w:eastAsiaTheme="minorEastAsia"/>
          <w:rtl/>
        </w:rPr>
        <w:t>(ب)</w:t>
      </w:r>
      <w:r w:rsidRPr="0063517E">
        <w:rPr>
          <w:rFonts w:eastAsiaTheme="minorEastAsia"/>
          <w:rtl/>
        </w:rPr>
        <w:tab/>
      </w:r>
      <w:r w:rsidRPr="00911C28">
        <w:rPr>
          <w:rFonts w:eastAsiaTheme="minorEastAsia"/>
          <w:bCs/>
          <w:rtl/>
        </w:rPr>
        <w:t>مضاعفة جهودها الرامية إلى تخفيف عقوبة الإعدام الصادرة بحق الأشخاص المحكوم عليهم بالإعدام لتصبح عقوبة بالسجن مدى الحياة؛</w:t>
      </w:r>
    </w:p>
    <w:p w14:paraId="38356766" w14:textId="4D3E4889" w:rsidR="0063517E" w:rsidRPr="00911C28" w:rsidRDefault="0063517E" w:rsidP="0063517E">
      <w:pPr>
        <w:pStyle w:val="SingleTxtGA"/>
        <w:rPr>
          <w:rFonts w:eastAsiaTheme="minorEastAsia"/>
          <w:bCs/>
          <w:lang w:val="en-US" w:eastAsia="zh-TW" w:bidi="en-GB"/>
        </w:rPr>
      </w:pPr>
      <w:r>
        <w:rPr>
          <w:rFonts w:eastAsiaTheme="minorEastAsia"/>
          <w:rtl/>
        </w:rPr>
        <w:tab/>
      </w:r>
      <w:r w:rsidRPr="0063517E">
        <w:rPr>
          <w:rFonts w:eastAsiaTheme="minorEastAsia"/>
          <w:rtl/>
        </w:rPr>
        <w:t>(ج)</w:t>
      </w:r>
      <w:r w:rsidRPr="0063517E">
        <w:rPr>
          <w:rFonts w:eastAsiaTheme="minorEastAsia"/>
          <w:rtl/>
        </w:rPr>
        <w:tab/>
      </w:r>
      <w:r w:rsidRPr="00911C28">
        <w:rPr>
          <w:rFonts w:eastAsiaTheme="minorEastAsia"/>
          <w:bCs/>
          <w:rtl/>
        </w:rPr>
        <w:t>كفالة إبلاغ السجناء وأسرهم مسبقاً بتاريخ الإعدام وإعادة الجثة إلى الأسرة لإجراء مراسم دفن خاصة؛</w:t>
      </w:r>
    </w:p>
    <w:p w14:paraId="73CC8307" w14:textId="697199B7" w:rsidR="0063517E" w:rsidRPr="00911C28" w:rsidRDefault="0063517E" w:rsidP="0063517E">
      <w:pPr>
        <w:pStyle w:val="SingleTxtGA"/>
        <w:rPr>
          <w:rFonts w:eastAsiaTheme="minorEastAsia"/>
          <w:bCs/>
          <w:lang w:val="en-US" w:eastAsia="zh-TW" w:bidi="en-GB"/>
        </w:rPr>
      </w:pPr>
      <w:r>
        <w:rPr>
          <w:rFonts w:eastAsiaTheme="minorEastAsia"/>
          <w:rtl/>
        </w:rPr>
        <w:tab/>
      </w:r>
      <w:r w:rsidRPr="0063517E">
        <w:rPr>
          <w:rFonts w:eastAsiaTheme="minorEastAsia"/>
          <w:rtl/>
        </w:rPr>
        <w:t>(د)</w:t>
      </w:r>
      <w:r w:rsidRPr="0063517E">
        <w:rPr>
          <w:rFonts w:eastAsiaTheme="minorEastAsia"/>
          <w:rtl/>
        </w:rPr>
        <w:tab/>
      </w:r>
      <w:r w:rsidRPr="00911C28">
        <w:rPr>
          <w:rFonts w:eastAsiaTheme="minorEastAsia"/>
          <w:bCs/>
          <w:rtl/>
        </w:rPr>
        <w:t>النظر في بدء عملية سياسية وتشريعية لإلغاء عقوبة الإعدام، وبذل الجهود وتنظيم الحملات في مجال الدعوة العامة من أجل النهوض بهذا الهدف، بما في ذلك إجراء مناقشة عامة بشأن عقوبة الإعدام على أساس عرضٍ كامل لجميع جوانب هذه المسألة، مع التركيز على أهمية إحراز تقدم بشأن ضمان التمتع بالحق في الحياة.</w:t>
      </w:r>
    </w:p>
    <w:p w14:paraId="07CB8E9F" w14:textId="77777777" w:rsidR="0063517E" w:rsidRPr="00911C28" w:rsidRDefault="0063517E" w:rsidP="0063517E">
      <w:pPr>
        <w:pStyle w:val="H23GA"/>
        <w:rPr>
          <w:lang w:val="en-US" w:eastAsia="zh-TW" w:bidi="en-GB"/>
        </w:rPr>
      </w:pPr>
      <w:r w:rsidRPr="00911C28">
        <w:rPr>
          <w:rtl/>
        </w:rPr>
        <w:tab/>
      </w:r>
      <w:r w:rsidRPr="00911C28">
        <w:rPr>
          <w:rtl/>
        </w:rPr>
        <w:tab/>
        <w:t>حظر التعذيب وغيره من ضروب المعاملة أو العقوبة القاسية أو اللاإنسانية أو المهينة</w:t>
      </w:r>
    </w:p>
    <w:p w14:paraId="272B0C9B" w14:textId="5A6C1073" w:rsidR="0063517E" w:rsidRPr="0063517E" w:rsidRDefault="0063517E" w:rsidP="0063517E">
      <w:pPr>
        <w:pStyle w:val="SingleTxtGA"/>
        <w:rPr>
          <w:rFonts w:eastAsiaTheme="minorEastAsia"/>
          <w:lang w:val="ar-SA" w:eastAsia="zh-TW" w:bidi="en-GB"/>
        </w:rPr>
      </w:pPr>
      <w:r w:rsidRPr="00911C28">
        <w:rPr>
          <w:rFonts w:eastAsiaTheme="minorEastAsia"/>
          <w:rtl/>
        </w:rPr>
        <w:t>17</w:t>
      </w:r>
      <w:r w:rsidRPr="0063517E">
        <w:rPr>
          <w:rFonts w:eastAsiaTheme="minorEastAsia"/>
          <w:rtl/>
        </w:rPr>
        <w:t>-</w:t>
      </w:r>
      <w:r w:rsidRPr="0063517E">
        <w:rPr>
          <w:rFonts w:eastAsiaTheme="minorEastAsia"/>
          <w:rtl/>
        </w:rPr>
        <w:tab/>
        <w:t>يساور اللجنة القلق لأن قانون العقوبات لا يُدرج تعريفاً للتعذيب باعتباره جريمة. كما يساورها القلق إزاء عدم وجود آلية مستقلة وفعالة ومتيسّرة لتلقي الشكاوى المتعلقة بتعذيب وإساءة معاملة الأشخاص المحرومين من حريتهم، والتحقيق فيها، وتأسف لعدم تلقيها معلومات عن: (أ) إنشاء مؤسسة مستقلة لزيارة ورصد أماكن الحرمان من الحرية؛ (ب) عدد الشكاوى الواردة، والتحقيقات التي أُجريت، والعقوبات التي فُرضت، والتدابير التي اتُخذت في مجال إعادة التأهيل، وأشكال الانتصاف التي توفرت للضحايا. كما</w:t>
      </w:r>
      <w:r w:rsidR="0036244E">
        <w:rPr>
          <w:rFonts w:eastAsiaTheme="minorEastAsia" w:hint="cs"/>
          <w:rtl/>
        </w:rPr>
        <w:t> </w:t>
      </w:r>
      <w:r w:rsidRPr="0063517E">
        <w:rPr>
          <w:rFonts w:eastAsiaTheme="minorEastAsia"/>
          <w:rtl/>
        </w:rPr>
        <w:t xml:space="preserve">تأسف اللجنة لأن الدولة الطرف لم تصدّق بعد على البروتوكول الاختياري لاتفاقية مناهضة التعذيب وغيره من ضروب المعاملة أو العقوبة القاسية أو اللاإنسانية أو المهينة (المادتان </w:t>
      </w:r>
      <w:r w:rsidRPr="00911C28">
        <w:rPr>
          <w:rFonts w:eastAsiaTheme="minorEastAsia"/>
          <w:rtl/>
        </w:rPr>
        <w:t>7</w:t>
      </w:r>
      <w:r w:rsidRPr="0063517E">
        <w:rPr>
          <w:rFonts w:eastAsiaTheme="minorEastAsia"/>
          <w:rtl/>
        </w:rPr>
        <w:t xml:space="preserve"> و</w:t>
      </w:r>
      <w:r w:rsidRPr="00911C28">
        <w:rPr>
          <w:rFonts w:eastAsiaTheme="minorEastAsia"/>
          <w:rtl/>
        </w:rPr>
        <w:t>10</w:t>
      </w:r>
      <w:r w:rsidRPr="0063517E">
        <w:rPr>
          <w:rFonts w:eastAsiaTheme="minorEastAsia"/>
          <w:rtl/>
        </w:rPr>
        <w:t>).</w:t>
      </w:r>
    </w:p>
    <w:p w14:paraId="398F5B8B" w14:textId="06AF3A23" w:rsidR="0063517E" w:rsidRPr="00911C28" w:rsidRDefault="0063517E" w:rsidP="0063517E">
      <w:pPr>
        <w:pStyle w:val="SingleTxtGA"/>
        <w:rPr>
          <w:rFonts w:eastAsiaTheme="minorEastAsia"/>
          <w:b/>
          <w:bCs/>
          <w:lang w:val="ar-SA" w:eastAsia="zh-TW" w:bidi="en-GB"/>
        </w:rPr>
      </w:pPr>
      <w:r w:rsidRPr="00911C28">
        <w:rPr>
          <w:rFonts w:eastAsiaTheme="minorEastAsia"/>
          <w:rtl/>
        </w:rPr>
        <w:t>18</w:t>
      </w:r>
      <w:r w:rsidRPr="0063517E">
        <w:rPr>
          <w:rFonts w:eastAsiaTheme="minorEastAsia"/>
          <w:rtl/>
        </w:rPr>
        <w:t>-</w:t>
      </w:r>
      <w:r w:rsidRPr="0063517E">
        <w:rPr>
          <w:rFonts w:eastAsiaTheme="minorEastAsia"/>
          <w:rtl/>
        </w:rPr>
        <w:tab/>
      </w:r>
      <w:r w:rsidRPr="00911C28">
        <w:rPr>
          <w:rFonts w:eastAsiaTheme="minorEastAsia"/>
          <w:b/>
          <w:bCs/>
          <w:rtl/>
        </w:rPr>
        <w:t>وفي ضوء التوصيات السابقة للجنة ومع مراعاتها</w:t>
      </w:r>
      <w:r w:rsidRPr="00930469">
        <w:rPr>
          <w:rStyle w:val="FootnoteReference"/>
          <w:rFonts w:eastAsiaTheme="minorEastAsia"/>
          <w:szCs w:val="22"/>
          <w:rtl/>
        </w:rPr>
        <w:t>(</w:t>
      </w:r>
      <w:r w:rsidRPr="00911C28">
        <w:rPr>
          <w:rStyle w:val="FootnoteReference"/>
          <w:rFonts w:eastAsiaTheme="minorEastAsia"/>
          <w:szCs w:val="22"/>
          <w:lang w:val="en-US"/>
        </w:rPr>
        <w:footnoteReference w:id="9"/>
      </w:r>
      <w:r w:rsidRPr="00930469">
        <w:rPr>
          <w:rStyle w:val="FootnoteReference"/>
          <w:rFonts w:eastAsiaTheme="minorEastAsia"/>
          <w:szCs w:val="22"/>
          <w:rtl/>
        </w:rPr>
        <w:t>)</w:t>
      </w:r>
      <w:r w:rsidRPr="00911C28">
        <w:rPr>
          <w:rFonts w:eastAsiaTheme="minorEastAsia"/>
          <w:b/>
          <w:bCs/>
          <w:rtl/>
        </w:rPr>
        <w:t>، ينبغي للدولة الطرف القيام بما يلي:</w:t>
      </w:r>
    </w:p>
    <w:p w14:paraId="4BB7B70A" w14:textId="4622FB8A" w:rsidR="0063517E" w:rsidRPr="00911C28" w:rsidRDefault="0063517E" w:rsidP="0063517E">
      <w:pPr>
        <w:pStyle w:val="SingleTxtGA"/>
        <w:rPr>
          <w:rFonts w:eastAsiaTheme="minorEastAsia"/>
          <w:bCs/>
          <w:lang w:val="en-US" w:eastAsia="zh-TW" w:bidi="en-GB"/>
        </w:rPr>
      </w:pPr>
      <w:r>
        <w:rPr>
          <w:rFonts w:eastAsiaTheme="minorEastAsia"/>
          <w:rtl/>
        </w:rPr>
        <w:tab/>
      </w:r>
      <w:r w:rsidRPr="0063517E">
        <w:rPr>
          <w:rFonts w:eastAsiaTheme="minorEastAsia"/>
          <w:rtl/>
        </w:rPr>
        <w:t>(أ)</w:t>
      </w:r>
      <w:r w:rsidRPr="0063517E">
        <w:rPr>
          <w:rFonts w:eastAsiaTheme="minorEastAsia"/>
          <w:rtl/>
        </w:rPr>
        <w:tab/>
      </w:r>
      <w:r w:rsidRPr="00911C28">
        <w:rPr>
          <w:rFonts w:eastAsiaTheme="minorEastAsia"/>
          <w:bCs/>
          <w:rtl/>
        </w:rPr>
        <w:t>اعتماد إطار تنظيمي بشأن التعذيب، بوسائل منها إدراج التعذيب باعتباره جريمة في قانون العقوبات، على نحو يعكس المعايير الدولية ذات الصلة ويمتثل لها؛</w:t>
      </w:r>
    </w:p>
    <w:p w14:paraId="61F5E8C7" w14:textId="4718B2DA" w:rsidR="0063517E" w:rsidRPr="00911C28" w:rsidRDefault="0063517E" w:rsidP="0063517E">
      <w:pPr>
        <w:pStyle w:val="SingleTxtGA"/>
        <w:rPr>
          <w:rFonts w:eastAsiaTheme="minorEastAsia"/>
          <w:bCs/>
        </w:rPr>
      </w:pPr>
      <w:r>
        <w:rPr>
          <w:rFonts w:eastAsiaTheme="minorEastAsia"/>
          <w:rtl/>
        </w:rPr>
        <w:tab/>
      </w:r>
      <w:r w:rsidRPr="0063517E">
        <w:rPr>
          <w:rFonts w:eastAsiaTheme="minorEastAsia"/>
          <w:rtl/>
        </w:rPr>
        <w:t>(ب)</w:t>
      </w:r>
      <w:r w:rsidRPr="0063517E">
        <w:rPr>
          <w:rFonts w:eastAsiaTheme="minorEastAsia"/>
          <w:rtl/>
        </w:rPr>
        <w:tab/>
      </w:r>
      <w:r w:rsidRPr="00911C28">
        <w:rPr>
          <w:rFonts w:eastAsiaTheme="minorEastAsia"/>
          <w:bCs/>
          <w:rtl/>
        </w:rPr>
        <w:t>إجراء تحقيقات فورية وشاملة وفعالة ومستقلة ونزيهة في جميع الادعاءات المتعلقة بالتعذيب وإساءة المعاملة، وفقاً لدليل التقصي والتوثيق الفعالين للتعذيب وغيره من ضروب المعاملة أو العقوبة القاسية أو اللاإنسانية أو المهينة (بروتوكول اسطنبول)، وكفالة مقاضاة الجناة، ومعاقبتهم بعقوبات مناسبة في حال إدانتهم، وحصول الضحايا على التعويض الكامل؛</w:t>
      </w:r>
    </w:p>
    <w:p w14:paraId="31EFF495" w14:textId="1992273F"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(ج)</w:t>
      </w:r>
      <w:r w:rsidRPr="0063517E">
        <w:rPr>
          <w:rFonts w:eastAsiaTheme="minorEastAsia"/>
          <w:rtl/>
        </w:rPr>
        <w:tab/>
      </w:r>
      <w:r w:rsidRPr="00911C28">
        <w:rPr>
          <w:rFonts w:eastAsiaTheme="minorEastAsia"/>
          <w:bCs/>
          <w:rtl/>
        </w:rPr>
        <w:t>كفالة الإمكانية لجميع الأشخاص المحرومين من حريتهم للجوء إلى آلية مستقلة وفعالة لتقديم الشكاوى بغية التحقيق في ادعاءات التعذيب وإساءة المعاملة، على أن تكفل الآلية اللجوء الفوري</w:t>
      </w:r>
      <w:r w:rsidRPr="00911C28">
        <w:rPr>
          <w:rFonts w:eastAsiaTheme="minorEastAsia"/>
          <w:b/>
          <w:rtl/>
        </w:rPr>
        <w:t xml:space="preserve"> </w:t>
      </w:r>
      <w:r w:rsidRPr="00911C28">
        <w:rPr>
          <w:rFonts w:eastAsiaTheme="minorEastAsia"/>
          <w:bCs/>
          <w:rtl/>
        </w:rPr>
        <w:t>والفعال والمباشر إلى الهيئات المسؤولة عن معالجة هذه الشكاوى، بوسائل منها تعزيز استقلالية مكتب أمين المظالم وقدرته على الاستجابة للشكاوى؛</w:t>
      </w:r>
    </w:p>
    <w:p w14:paraId="5D86CD3F" w14:textId="4E711B50" w:rsidR="0063517E" w:rsidRPr="00911C28" w:rsidRDefault="0063517E" w:rsidP="0063517E">
      <w:pPr>
        <w:pStyle w:val="SingleTxtGA"/>
        <w:rPr>
          <w:rFonts w:eastAsiaTheme="minorEastAsia"/>
          <w:bCs/>
          <w:lang w:val="ar-SA" w:eastAsia="zh-TW" w:bidi="en-GB"/>
        </w:rPr>
      </w:pPr>
      <w:r>
        <w:rPr>
          <w:rFonts w:eastAsiaTheme="minorEastAsia"/>
          <w:rtl/>
        </w:rPr>
        <w:lastRenderedPageBreak/>
        <w:tab/>
      </w:r>
      <w:r w:rsidRPr="0063517E">
        <w:rPr>
          <w:rFonts w:eastAsiaTheme="minorEastAsia"/>
          <w:rtl/>
        </w:rPr>
        <w:t>(د)</w:t>
      </w:r>
      <w:r w:rsidRPr="0063517E">
        <w:rPr>
          <w:rFonts w:eastAsiaTheme="minorEastAsia"/>
          <w:rtl/>
        </w:rPr>
        <w:tab/>
      </w:r>
      <w:r w:rsidRPr="00911C28">
        <w:rPr>
          <w:rFonts w:eastAsiaTheme="minorEastAsia"/>
          <w:bCs/>
          <w:spacing w:val="-4"/>
          <w:rtl/>
        </w:rPr>
        <w:t>إنشاء مؤسسة مستقلة مكلفة بإجراء زيارات إلى أماكن الحرمان من الحرية ورصدها،</w:t>
      </w:r>
      <w:r w:rsidRPr="00911C28">
        <w:rPr>
          <w:rFonts w:eastAsiaTheme="minorEastAsia"/>
          <w:bCs/>
          <w:rtl/>
        </w:rPr>
        <w:t xml:space="preserve"> وكفالة خضوع جميع هذه الأماكن للرصد والتفتيش المستقلين والفعالين والمنتظمين دون إخطار مسبق وعلى أساس غير خاضع للرقابة؛</w:t>
      </w:r>
    </w:p>
    <w:p w14:paraId="177CD0EA" w14:textId="643199B0"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(هـ)</w:t>
      </w:r>
      <w:r w:rsidRPr="0063517E">
        <w:rPr>
          <w:rFonts w:eastAsiaTheme="minorEastAsia"/>
          <w:rtl/>
        </w:rPr>
        <w:tab/>
      </w:r>
      <w:r w:rsidRPr="00911C28">
        <w:rPr>
          <w:rFonts w:eastAsiaTheme="minorEastAsia"/>
          <w:bCs/>
          <w:rtl/>
        </w:rPr>
        <w:t>توفير التدريب المنتظم في مجال حقوق الإنسان للقضاة والمدعين العامين والمحامين وموظفي الأمن وموظفي إنفاذ القانون، ولا سيما فيما يتعلق بتوثيق حالات التعذيب وإساءة المعاملة والتحقيق فيها، بما في ذلك المواد المشمولة ببروتوكول اسطنبول؛</w:t>
      </w:r>
    </w:p>
    <w:p w14:paraId="2A67717C" w14:textId="0CE38EDB" w:rsidR="0063517E" w:rsidRPr="00911C28" w:rsidRDefault="0063517E" w:rsidP="0063517E">
      <w:pPr>
        <w:pStyle w:val="SingleTxtGA"/>
        <w:rPr>
          <w:rFonts w:eastAsiaTheme="minorEastAsia"/>
          <w:bCs/>
          <w:lang w:val="en-US" w:eastAsia="zh-TW" w:bidi="en-GB"/>
        </w:rPr>
      </w:pPr>
      <w:r>
        <w:rPr>
          <w:rFonts w:eastAsiaTheme="minorEastAsia"/>
          <w:rtl/>
        </w:rPr>
        <w:tab/>
      </w:r>
      <w:r w:rsidRPr="0063517E">
        <w:rPr>
          <w:rFonts w:eastAsiaTheme="minorEastAsia"/>
          <w:rtl/>
        </w:rPr>
        <w:t>(و)</w:t>
      </w:r>
      <w:r w:rsidRPr="0063517E">
        <w:rPr>
          <w:rFonts w:eastAsiaTheme="minorEastAsia"/>
          <w:rtl/>
        </w:rPr>
        <w:tab/>
      </w:r>
      <w:r w:rsidRPr="00911C28">
        <w:rPr>
          <w:rFonts w:eastAsiaTheme="minorEastAsia"/>
          <w:bCs/>
          <w:rtl/>
        </w:rPr>
        <w:t>النظر في التصديق على البروتوكول الاختياري لاتفاقية مناهضة التعذيب وغيره من ضروب المعاملة أو العقوبة القاسية أو اللاإنسانية أو المهينة</w:t>
      </w:r>
      <w:r w:rsidR="00930469" w:rsidRPr="00911C28">
        <w:rPr>
          <w:rFonts w:eastAsiaTheme="minorEastAsia" w:hint="cs"/>
          <w:bCs/>
          <w:rtl/>
        </w:rPr>
        <w:t>.</w:t>
      </w:r>
    </w:p>
    <w:p w14:paraId="5D7958AB" w14:textId="77777777" w:rsidR="0063517E" w:rsidRPr="00911C28" w:rsidRDefault="0063517E" w:rsidP="0063517E">
      <w:pPr>
        <w:pStyle w:val="H23GA"/>
        <w:rPr>
          <w:lang w:val="ar-SA" w:eastAsia="zh-TW" w:bidi="en-GB"/>
        </w:rPr>
      </w:pPr>
      <w:r w:rsidRPr="00911C28">
        <w:rPr>
          <w:rtl/>
        </w:rPr>
        <w:tab/>
      </w:r>
      <w:r w:rsidRPr="00911C28">
        <w:rPr>
          <w:rtl/>
        </w:rPr>
        <w:tab/>
        <w:t>العقوبة البدنية</w:t>
      </w:r>
    </w:p>
    <w:p w14:paraId="134B81EC" w14:textId="77777777" w:rsidR="0063517E" w:rsidRPr="0063517E" w:rsidRDefault="0063517E" w:rsidP="0063517E">
      <w:pPr>
        <w:pStyle w:val="SingleTxtGA"/>
        <w:rPr>
          <w:rFonts w:eastAsiaTheme="minorEastAsia"/>
          <w:shd w:val="clear" w:color="auto" w:fill="FFFFFF"/>
          <w:lang w:val="ar-SA" w:eastAsia="zh-TW" w:bidi="en-GB"/>
        </w:rPr>
      </w:pPr>
      <w:r w:rsidRPr="00911C28">
        <w:rPr>
          <w:rFonts w:eastAsiaTheme="minorEastAsia"/>
          <w:rtl/>
        </w:rPr>
        <w:t>19</w:t>
      </w:r>
      <w:r w:rsidRPr="0063517E">
        <w:rPr>
          <w:rFonts w:eastAsiaTheme="minorEastAsia"/>
          <w:rtl/>
        </w:rPr>
        <w:t>-</w:t>
      </w:r>
      <w:r w:rsidRPr="0063517E">
        <w:rPr>
          <w:rFonts w:eastAsiaTheme="minorEastAsia"/>
          <w:rtl/>
        </w:rPr>
        <w:tab/>
        <w:t xml:space="preserve">يساور اللجنة القلق لأن المادة </w:t>
      </w:r>
      <w:r w:rsidRPr="00911C28">
        <w:rPr>
          <w:rFonts w:eastAsiaTheme="minorEastAsia"/>
          <w:rtl/>
        </w:rPr>
        <w:t>25</w:t>
      </w:r>
      <w:r w:rsidRPr="0063517E">
        <w:rPr>
          <w:rFonts w:eastAsiaTheme="minorEastAsia"/>
          <w:rtl/>
        </w:rPr>
        <w:t xml:space="preserve"> من قانون العقوبات والمادة </w:t>
      </w:r>
      <w:r w:rsidRPr="00911C28">
        <w:rPr>
          <w:rFonts w:eastAsiaTheme="minorEastAsia"/>
          <w:rtl/>
        </w:rPr>
        <w:t>90</w:t>
      </w:r>
      <w:r w:rsidRPr="0063517E">
        <w:rPr>
          <w:rFonts w:eastAsiaTheme="minorEastAsia"/>
          <w:rtl/>
        </w:rPr>
        <w:t xml:space="preserve"> من قانون الطفل تنصان على العقوبة البدنية باعتبارها عقوبة غير </w:t>
      </w:r>
      <w:proofErr w:type="spellStart"/>
      <w:r w:rsidRPr="0063517E">
        <w:rPr>
          <w:rFonts w:eastAsiaTheme="minorEastAsia"/>
          <w:rtl/>
        </w:rPr>
        <w:t>احتجازية</w:t>
      </w:r>
      <w:proofErr w:type="spellEnd"/>
      <w:r w:rsidRPr="0063517E">
        <w:rPr>
          <w:rFonts w:eastAsiaTheme="minorEastAsia"/>
          <w:rtl/>
        </w:rPr>
        <w:t xml:space="preserve">، ولأن المادتين </w:t>
      </w:r>
      <w:r w:rsidRPr="00911C28">
        <w:rPr>
          <w:rFonts w:eastAsiaTheme="minorEastAsia"/>
          <w:rtl/>
        </w:rPr>
        <w:t>114</w:t>
      </w:r>
      <w:r w:rsidRPr="0063517E">
        <w:rPr>
          <w:rFonts w:eastAsiaTheme="minorEastAsia"/>
          <w:rtl/>
        </w:rPr>
        <w:t xml:space="preserve"> و</w:t>
      </w:r>
      <w:r w:rsidRPr="00911C28">
        <w:rPr>
          <w:rFonts w:eastAsiaTheme="minorEastAsia"/>
          <w:rtl/>
        </w:rPr>
        <w:t>115</w:t>
      </w:r>
      <w:r w:rsidRPr="0063517E">
        <w:rPr>
          <w:rFonts w:eastAsiaTheme="minorEastAsia"/>
          <w:rtl/>
        </w:rPr>
        <w:t xml:space="preserve"> من قانون السجون تنصان على </w:t>
      </w:r>
      <w:r w:rsidRPr="00C54F2D">
        <w:rPr>
          <w:rFonts w:eastAsiaTheme="minorEastAsia"/>
          <w:bCs/>
          <w:spacing w:val="-4"/>
          <w:rtl/>
        </w:rPr>
        <w:t>العقوبة البدنية باعتبارها تدبيراً تأديبياً معتمداً في السجون. وتتخذ هذه العقوبة البدنية شكل الضرب بالعصيّ</w:t>
      </w:r>
      <w:r w:rsidRPr="0063517E">
        <w:rPr>
          <w:rFonts w:eastAsiaTheme="minorEastAsia"/>
          <w:rtl/>
        </w:rPr>
        <w:t xml:space="preserve">، مما يمثّل في حد ذاته انتهاكاً للمادة </w:t>
      </w:r>
      <w:r w:rsidRPr="00911C28">
        <w:rPr>
          <w:rFonts w:eastAsiaTheme="minorEastAsia"/>
          <w:rtl/>
        </w:rPr>
        <w:t>7</w:t>
      </w:r>
      <w:r w:rsidRPr="0063517E">
        <w:rPr>
          <w:rFonts w:eastAsiaTheme="minorEastAsia"/>
          <w:rtl/>
        </w:rPr>
        <w:t xml:space="preserve"> من العهد (المادة </w:t>
      </w:r>
      <w:r w:rsidRPr="00911C28">
        <w:rPr>
          <w:rFonts w:eastAsiaTheme="minorEastAsia"/>
          <w:rtl/>
        </w:rPr>
        <w:t>7</w:t>
      </w:r>
      <w:r w:rsidRPr="0063517E">
        <w:rPr>
          <w:rFonts w:eastAsiaTheme="minorEastAsia"/>
          <w:rtl/>
        </w:rPr>
        <w:t>).</w:t>
      </w:r>
    </w:p>
    <w:p w14:paraId="52C4007E" w14:textId="05C41E05" w:rsidR="0063517E" w:rsidRPr="00911C28" w:rsidRDefault="0063517E" w:rsidP="0063517E">
      <w:pPr>
        <w:pStyle w:val="SingleTxtGA"/>
        <w:rPr>
          <w:rFonts w:eastAsiaTheme="minorEastAsia"/>
          <w:bCs/>
          <w:lang w:val="ar-SA" w:eastAsia="zh-TW" w:bidi="en-GB"/>
        </w:rPr>
      </w:pPr>
      <w:r w:rsidRPr="00911C28">
        <w:rPr>
          <w:rFonts w:eastAsiaTheme="minorEastAsia"/>
          <w:rtl/>
        </w:rPr>
        <w:t>20</w:t>
      </w:r>
      <w:r w:rsidRPr="0063517E">
        <w:rPr>
          <w:rFonts w:eastAsiaTheme="minorEastAsia"/>
          <w:rtl/>
        </w:rPr>
        <w:t>-</w:t>
      </w:r>
      <w:r w:rsidRPr="0063517E">
        <w:rPr>
          <w:rFonts w:eastAsiaTheme="minorEastAsia"/>
          <w:rtl/>
        </w:rPr>
        <w:tab/>
      </w:r>
      <w:r w:rsidRPr="00911C28">
        <w:rPr>
          <w:rFonts w:eastAsiaTheme="minorEastAsia"/>
          <w:bCs/>
          <w:rtl/>
        </w:rPr>
        <w:t>وإذ تشير اللجنة إلى توصيتها السابقة</w:t>
      </w:r>
      <w:r w:rsidRPr="00911C28">
        <w:rPr>
          <w:rStyle w:val="FootnoteReference"/>
          <w:rFonts w:eastAsiaTheme="minorEastAsia"/>
          <w:b/>
          <w:szCs w:val="22"/>
          <w:rtl/>
        </w:rPr>
        <w:t>(</w:t>
      </w:r>
      <w:r w:rsidRPr="00911C28">
        <w:rPr>
          <w:rStyle w:val="FootnoteReference"/>
          <w:rFonts w:eastAsiaTheme="minorEastAsia"/>
          <w:b/>
          <w:szCs w:val="22"/>
          <w:lang w:val="en-US"/>
        </w:rPr>
        <w:footnoteReference w:id="10"/>
      </w:r>
      <w:r w:rsidRPr="00911C28">
        <w:rPr>
          <w:rStyle w:val="FootnoteReference"/>
          <w:rFonts w:eastAsiaTheme="minorEastAsia"/>
          <w:b/>
          <w:szCs w:val="22"/>
          <w:rtl/>
        </w:rPr>
        <w:t>)</w:t>
      </w:r>
      <w:r w:rsidRPr="00911C28">
        <w:rPr>
          <w:rFonts w:eastAsiaTheme="minorEastAsia"/>
          <w:bCs/>
          <w:rtl/>
        </w:rPr>
        <w:t>، فإنه ينبغي للدولة الطرف اتخاذ التدابير التشريعية اللازمة لحظر العقوبة البدنية صراحةً في إقامة العدل، وإلغاء أحكام تشريعاتها التي تنص على عقوبات تُمثل انتهاكاً للمادة 7 من العهد.</w:t>
      </w:r>
    </w:p>
    <w:p w14:paraId="4453BFBC" w14:textId="77777777" w:rsidR="0063517E" w:rsidRPr="00911C28" w:rsidRDefault="0063517E" w:rsidP="0063517E">
      <w:pPr>
        <w:pStyle w:val="H23GA"/>
        <w:rPr>
          <w:lang w:val="en-US" w:eastAsia="zh-TW"/>
        </w:rPr>
      </w:pPr>
      <w:r w:rsidRPr="00911C28">
        <w:rPr>
          <w:rtl/>
        </w:rPr>
        <w:tab/>
      </w:r>
      <w:bookmarkStart w:id="4" w:name="_Hlk89178463"/>
      <w:r w:rsidRPr="00911C28">
        <w:rPr>
          <w:rtl/>
        </w:rPr>
        <w:tab/>
        <w:t>حرية الفرد والأمان على شخصه</w:t>
      </w:r>
      <w:bookmarkEnd w:id="4"/>
    </w:p>
    <w:p w14:paraId="5BEF6098" w14:textId="77777777" w:rsidR="0063517E" w:rsidRPr="00C54F2D" w:rsidRDefault="0063517E" w:rsidP="0063517E">
      <w:pPr>
        <w:pStyle w:val="SingleTxtGA"/>
        <w:rPr>
          <w:rFonts w:eastAsiaTheme="minorEastAsia"/>
          <w:spacing w:val="-2"/>
          <w:lang w:val="ar-SA" w:eastAsia="zh-TW" w:bidi="en-GB"/>
        </w:rPr>
      </w:pPr>
      <w:r w:rsidRPr="00911C28">
        <w:rPr>
          <w:rFonts w:eastAsiaTheme="minorEastAsia"/>
          <w:spacing w:val="-2"/>
          <w:rtl/>
        </w:rPr>
        <w:t>21</w:t>
      </w:r>
      <w:r w:rsidRPr="00C54F2D">
        <w:rPr>
          <w:rFonts w:eastAsiaTheme="minorEastAsia"/>
          <w:spacing w:val="-2"/>
          <w:rtl/>
        </w:rPr>
        <w:t>-</w:t>
      </w:r>
      <w:r w:rsidRPr="00C54F2D">
        <w:rPr>
          <w:rFonts w:eastAsiaTheme="minorEastAsia"/>
          <w:spacing w:val="-2"/>
          <w:rtl/>
        </w:rPr>
        <w:tab/>
        <w:t xml:space="preserve">تعترف اللجنة بالتدابير المتخذة لتحسين ظروف السجون، وتحيط علماً بالمعلومات التي قدمها الوفد والتي تفيد بأن النسبة الحالية لشغل السجون تبلغ </w:t>
      </w:r>
      <w:r w:rsidRPr="00911C28">
        <w:rPr>
          <w:rFonts w:eastAsiaTheme="minorEastAsia"/>
          <w:spacing w:val="-2"/>
          <w:rtl/>
        </w:rPr>
        <w:t>91</w:t>
      </w:r>
      <w:r w:rsidRPr="00C54F2D">
        <w:rPr>
          <w:rFonts w:eastAsiaTheme="minorEastAsia"/>
          <w:spacing w:val="-2"/>
          <w:rtl/>
        </w:rPr>
        <w:t xml:space="preserve"> في المائة. غير أنها تأسف لعدم تلقيها معلومات عن عدد المحتجزين قبل المحاكمة أو متوسط مدة الاحتجاز السابق للمحاكمة. وفي هذا الصدد، يساور اللجنة القلق لأن المادة </w:t>
      </w:r>
      <w:r w:rsidRPr="00911C28">
        <w:rPr>
          <w:rFonts w:eastAsiaTheme="minorEastAsia"/>
          <w:spacing w:val="-2"/>
          <w:rtl/>
        </w:rPr>
        <w:t>133</w:t>
      </w:r>
      <w:r w:rsidRPr="00C54F2D">
        <w:rPr>
          <w:rFonts w:eastAsiaTheme="minorEastAsia"/>
          <w:spacing w:val="-2"/>
          <w:rtl/>
        </w:rPr>
        <w:t xml:space="preserve"> من قانون الإجراءات الجنائية وقانون البينة تنص على إمكانية </w:t>
      </w:r>
      <w:bookmarkStart w:id="5" w:name="_Hlk89085412"/>
      <w:r w:rsidRPr="00C54F2D">
        <w:rPr>
          <w:rFonts w:eastAsiaTheme="minorEastAsia"/>
          <w:spacing w:val="-2"/>
          <w:rtl/>
        </w:rPr>
        <w:t xml:space="preserve">الاحتجاز قبل المحاكمة </w:t>
      </w:r>
      <w:bookmarkEnd w:id="5"/>
      <w:r w:rsidRPr="00C54F2D">
        <w:rPr>
          <w:rFonts w:eastAsiaTheme="minorEastAsia"/>
          <w:spacing w:val="-2"/>
          <w:rtl/>
        </w:rPr>
        <w:t xml:space="preserve">لفترة مطوَّلة، ولأن التقارير تفيد باحتجاز أشخاص قبل المحاكمة لفترات طويلة جداً، بل ولفترات أطول من أي عقوبات محتملة عند الإدانة. كما يساورها القلق إزاء التقارير التي تفيد بأن المحتجزين الذين يُعلن أنهم غير قادرين على المثول أمام المحكمة يخضعون </w:t>
      </w:r>
      <w:bookmarkStart w:id="6" w:name="_Hlk89087476"/>
      <w:r w:rsidRPr="00C54F2D">
        <w:rPr>
          <w:rFonts w:eastAsiaTheme="minorEastAsia"/>
          <w:spacing w:val="-2"/>
          <w:rtl/>
        </w:rPr>
        <w:t xml:space="preserve">للاحتجاز لفترة غير محددة </w:t>
      </w:r>
      <w:bookmarkEnd w:id="6"/>
      <w:r w:rsidRPr="00C54F2D">
        <w:rPr>
          <w:rFonts w:eastAsiaTheme="minorEastAsia"/>
          <w:spacing w:val="-2"/>
          <w:rtl/>
        </w:rPr>
        <w:t xml:space="preserve">(المادتان </w:t>
      </w:r>
      <w:r w:rsidRPr="00911C28">
        <w:rPr>
          <w:rFonts w:eastAsiaTheme="minorEastAsia"/>
          <w:spacing w:val="-2"/>
          <w:rtl/>
        </w:rPr>
        <w:t>9</w:t>
      </w:r>
      <w:r w:rsidRPr="00C54F2D">
        <w:rPr>
          <w:rFonts w:eastAsiaTheme="minorEastAsia"/>
          <w:spacing w:val="-2"/>
          <w:rtl/>
        </w:rPr>
        <w:t>-</w:t>
      </w:r>
      <w:r w:rsidRPr="00911C28">
        <w:rPr>
          <w:rFonts w:eastAsiaTheme="minorEastAsia"/>
          <w:spacing w:val="-2"/>
          <w:rtl/>
        </w:rPr>
        <w:t>10</w:t>
      </w:r>
      <w:r w:rsidRPr="00C54F2D">
        <w:rPr>
          <w:rFonts w:eastAsiaTheme="minorEastAsia"/>
          <w:spacing w:val="-2"/>
          <w:rtl/>
        </w:rPr>
        <w:t>).</w:t>
      </w:r>
    </w:p>
    <w:p w14:paraId="09598422" w14:textId="06939025" w:rsidR="0063517E" w:rsidRPr="00911C28" w:rsidRDefault="0063517E" w:rsidP="0063517E">
      <w:pPr>
        <w:pStyle w:val="SingleTxtGA"/>
        <w:rPr>
          <w:rFonts w:eastAsiaTheme="minorEastAsia"/>
          <w:b/>
          <w:bCs/>
          <w:lang w:val="ar-SA" w:eastAsia="zh-TW" w:bidi="en-GB"/>
        </w:rPr>
      </w:pPr>
      <w:r w:rsidRPr="00911C28">
        <w:rPr>
          <w:rFonts w:eastAsiaTheme="minorEastAsia"/>
          <w:rtl/>
        </w:rPr>
        <w:t>22</w:t>
      </w:r>
      <w:r w:rsidRPr="0063517E">
        <w:rPr>
          <w:rFonts w:eastAsiaTheme="minorEastAsia"/>
          <w:rtl/>
        </w:rPr>
        <w:t>-</w:t>
      </w:r>
      <w:r w:rsidRPr="0063517E">
        <w:rPr>
          <w:rFonts w:eastAsiaTheme="minorEastAsia"/>
          <w:rtl/>
        </w:rPr>
        <w:tab/>
      </w:r>
      <w:r w:rsidRPr="00911C28">
        <w:rPr>
          <w:rFonts w:eastAsiaTheme="minorEastAsia"/>
          <w:b/>
          <w:bCs/>
          <w:rtl/>
        </w:rPr>
        <w:t>وفي ضوء التوصية السابقة للجنة ومع مراعاتها</w:t>
      </w:r>
      <w:r w:rsidRPr="002A6D1C">
        <w:rPr>
          <w:rStyle w:val="FootnoteReference"/>
          <w:rFonts w:eastAsiaTheme="minorEastAsia"/>
          <w:szCs w:val="22"/>
          <w:rtl/>
        </w:rPr>
        <w:t>(</w:t>
      </w:r>
      <w:r w:rsidRPr="00911C28">
        <w:rPr>
          <w:rStyle w:val="FootnoteReference"/>
          <w:rFonts w:eastAsiaTheme="minorEastAsia"/>
          <w:szCs w:val="22"/>
          <w:lang w:val="en-US"/>
        </w:rPr>
        <w:footnoteReference w:id="11"/>
      </w:r>
      <w:r w:rsidRPr="002A6D1C">
        <w:rPr>
          <w:rStyle w:val="FootnoteReference"/>
          <w:rFonts w:eastAsiaTheme="minorEastAsia"/>
          <w:szCs w:val="22"/>
          <w:rtl/>
        </w:rPr>
        <w:t>)</w:t>
      </w:r>
      <w:r w:rsidRPr="00911C28">
        <w:rPr>
          <w:rFonts w:eastAsiaTheme="minorEastAsia" w:hint="cs"/>
          <w:b/>
          <w:bCs/>
          <w:rtl/>
        </w:rPr>
        <w:t>،</w:t>
      </w:r>
      <w:r w:rsidRPr="00911C28">
        <w:rPr>
          <w:rFonts w:eastAsiaTheme="minorEastAsia"/>
          <w:b/>
          <w:bCs/>
          <w:rtl/>
        </w:rPr>
        <w:t xml:space="preserve"> ينبغي للدولة الطرف القيام بما يلي:</w:t>
      </w:r>
    </w:p>
    <w:p w14:paraId="4A2EC8D2" w14:textId="3BCEEE11" w:rsidR="0063517E" w:rsidRPr="00911C28" w:rsidRDefault="0063517E" w:rsidP="0063517E">
      <w:pPr>
        <w:pStyle w:val="SingleTxtGA"/>
        <w:rPr>
          <w:rFonts w:eastAsiaTheme="minorEastAsia"/>
          <w:bCs/>
        </w:rPr>
      </w:pPr>
      <w:r>
        <w:rPr>
          <w:rFonts w:eastAsiaTheme="minorEastAsia"/>
          <w:rtl/>
        </w:rPr>
        <w:tab/>
      </w:r>
      <w:r w:rsidRPr="0063517E">
        <w:rPr>
          <w:rFonts w:eastAsiaTheme="minorEastAsia"/>
          <w:rtl/>
        </w:rPr>
        <w:t>(أ)</w:t>
      </w:r>
      <w:r w:rsidRPr="0063517E">
        <w:rPr>
          <w:rFonts w:eastAsiaTheme="minorEastAsia"/>
          <w:rtl/>
        </w:rPr>
        <w:tab/>
      </w:r>
      <w:r w:rsidRPr="00911C28">
        <w:rPr>
          <w:rFonts w:eastAsiaTheme="minorEastAsia"/>
          <w:bCs/>
          <w:rtl/>
        </w:rPr>
        <w:t>مواصلة جهودها لكفالة أن تكون الظروف السائدة في أماكن الاحتجاز متوائمة تماماً مع قواعد الأمم المتحدة النموذجية الدنيا لمعاملة السجناء (قواعد نيلسون مانديلا)؛</w:t>
      </w:r>
    </w:p>
    <w:p w14:paraId="7FDAEA2A" w14:textId="660D961C"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(ب)</w:t>
      </w:r>
      <w:r w:rsidRPr="0063517E">
        <w:rPr>
          <w:rFonts w:eastAsiaTheme="minorEastAsia"/>
          <w:rtl/>
        </w:rPr>
        <w:tab/>
      </w:r>
      <w:r w:rsidRPr="00911C28">
        <w:rPr>
          <w:rFonts w:eastAsiaTheme="minorEastAsia"/>
          <w:bCs/>
          <w:rtl/>
        </w:rPr>
        <w:t xml:space="preserve">زيادة استخدام التدابير البديلة غير </w:t>
      </w:r>
      <w:proofErr w:type="spellStart"/>
      <w:r w:rsidRPr="00911C28">
        <w:rPr>
          <w:rFonts w:eastAsiaTheme="minorEastAsia"/>
          <w:bCs/>
          <w:rtl/>
        </w:rPr>
        <w:t>الاحتجازية</w:t>
      </w:r>
      <w:proofErr w:type="spellEnd"/>
      <w:r w:rsidRPr="00911C28">
        <w:rPr>
          <w:rFonts w:eastAsiaTheme="minorEastAsia"/>
          <w:bCs/>
          <w:rtl/>
        </w:rPr>
        <w:t>، بما في ذلك الإفراج عن الشخص بكفالة، وكفالة أن يكون الاحتجاز السابق للمحاكمة تدبيراً استثنائياً ومعقولاً وضرورياً يقوم على ظروف فردية، وأن يُعتمد لأقصر فترة ممكنة، وفقاً لأحكام العهد، وأن يُستعرض على أساس منتظم؛</w:t>
      </w:r>
    </w:p>
    <w:p w14:paraId="0C565136" w14:textId="324492A1" w:rsidR="0063517E" w:rsidRPr="00911C28" w:rsidRDefault="0063517E" w:rsidP="0063517E">
      <w:pPr>
        <w:pStyle w:val="SingleTxtGA"/>
        <w:rPr>
          <w:rFonts w:eastAsiaTheme="minorEastAsia"/>
          <w:bCs/>
        </w:rPr>
      </w:pPr>
      <w:r>
        <w:rPr>
          <w:rFonts w:eastAsiaTheme="minorEastAsia"/>
          <w:rtl/>
        </w:rPr>
        <w:tab/>
      </w:r>
      <w:r w:rsidRPr="0063517E">
        <w:rPr>
          <w:rFonts w:eastAsiaTheme="minorEastAsia"/>
          <w:rtl/>
        </w:rPr>
        <w:t>(ج)</w:t>
      </w:r>
      <w:r w:rsidRPr="0063517E">
        <w:rPr>
          <w:rFonts w:eastAsiaTheme="minorEastAsia"/>
          <w:rtl/>
        </w:rPr>
        <w:tab/>
      </w:r>
      <w:r w:rsidRPr="00911C28">
        <w:rPr>
          <w:rFonts w:eastAsiaTheme="minorEastAsia"/>
          <w:bCs/>
          <w:rtl/>
        </w:rPr>
        <w:t>استعراض الإجراءات القانونية والإدارية للمحتجزين الذين يُعلن أنهم غير قادرين على المثول أمام المحكمة لكفالة عدم إخضاعهم للاحتجاز لفترة غير محددة.</w:t>
      </w:r>
    </w:p>
    <w:p w14:paraId="66763325" w14:textId="77777777" w:rsidR="0063517E" w:rsidRPr="00911C28" w:rsidRDefault="0063517E" w:rsidP="0063517E">
      <w:pPr>
        <w:pStyle w:val="H23GA"/>
        <w:rPr>
          <w:lang w:val="ar-SA" w:eastAsia="zh-TW" w:bidi="en-GB"/>
        </w:rPr>
      </w:pPr>
      <w:r w:rsidRPr="00911C28">
        <w:rPr>
          <w:rtl/>
        </w:rPr>
        <w:lastRenderedPageBreak/>
        <w:tab/>
      </w:r>
      <w:r w:rsidRPr="00911C28">
        <w:rPr>
          <w:rtl/>
        </w:rPr>
        <w:tab/>
        <w:t>إقامة العدل</w:t>
      </w:r>
    </w:p>
    <w:p w14:paraId="5F950AED" w14:textId="77777777" w:rsidR="0063517E" w:rsidRPr="0063517E" w:rsidRDefault="0063517E" w:rsidP="0063517E">
      <w:pPr>
        <w:pStyle w:val="SingleTxtGA"/>
        <w:rPr>
          <w:rFonts w:eastAsiaTheme="minorEastAsia"/>
          <w:lang w:val="ar-SA" w:eastAsia="zh-TW" w:bidi="en-GB"/>
        </w:rPr>
      </w:pPr>
      <w:r w:rsidRPr="00911C28">
        <w:rPr>
          <w:rFonts w:eastAsiaTheme="minorEastAsia"/>
          <w:rtl/>
        </w:rPr>
        <w:t>23</w:t>
      </w:r>
      <w:r w:rsidRPr="0063517E">
        <w:rPr>
          <w:rFonts w:eastAsiaTheme="minorEastAsia"/>
          <w:rtl/>
        </w:rPr>
        <w:t>-</w:t>
      </w:r>
      <w:r w:rsidRPr="0063517E">
        <w:rPr>
          <w:rFonts w:eastAsiaTheme="minorEastAsia"/>
          <w:rtl/>
        </w:rPr>
        <w:tab/>
        <w:t xml:space="preserve">تُثني اللجنة على الدولة الطرف لما تبذله من جهود لكفالة استقلالية سلطتها القضائية ومديرية الادعاء العام. وبينما ترحب اللجنة بالتدابير المتخذة لمعالجة النقص في الموظفين القضائيين والإداريين وللحد من تراكم </w:t>
      </w:r>
      <w:bookmarkStart w:id="7" w:name="_Hlk89088751"/>
      <w:r w:rsidRPr="0063517E">
        <w:rPr>
          <w:rFonts w:eastAsiaTheme="minorEastAsia"/>
          <w:rtl/>
        </w:rPr>
        <w:t xml:space="preserve">القضايا المتأخرة </w:t>
      </w:r>
      <w:bookmarkEnd w:id="7"/>
      <w:r w:rsidRPr="0063517E">
        <w:rPr>
          <w:rFonts w:eastAsiaTheme="minorEastAsia"/>
          <w:rtl/>
        </w:rPr>
        <w:t xml:space="preserve">غير المبتوت فيها، فإنها لا تزال تشعر بالقلق لأن العدد الحالي لموظفي القضاء والادعاء قد لا يكون كافياً لضمان </w:t>
      </w:r>
      <w:bookmarkStart w:id="8" w:name="_Hlk89088512"/>
      <w:r w:rsidRPr="0063517E">
        <w:rPr>
          <w:rFonts w:eastAsiaTheme="minorEastAsia"/>
          <w:rtl/>
        </w:rPr>
        <w:t xml:space="preserve">إمكانية اللجوء إلى القضاء </w:t>
      </w:r>
      <w:bookmarkEnd w:id="8"/>
      <w:r w:rsidRPr="0063517E">
        <w:rPr>
          <w:rFonts w:eastAsiaTheme="minorEastAsia"/>
          <w:rtl/>
        </w:rPr>
        <w:t xml:space="preserve">في جميع أنحاء البلد. كما يساور اللجنة القلق إزاء عدم توافر معلومات واضحة عن الأمن الوظيفي للمدعين العامين، الذين يُعتبرون موظفين عموميين، وعن مدى مساءلة مديرية الادعاء العام (المادتان </w:t>
      </w:r>
      <w:r w:rsidRPr="00911C28">
        <w:rPr>
          <w:rFonts w:eastAsiaTheme="minorEastAsia"/>
          <w:rtl/>
        </w:rPr>
        <w:t>2</w:t>
      </w:r>
      <w:r w:rsidRPr="0063517E">
        <w:rPr>
          <w:rFonts w:eastAsiaTheme="minorEastAsia"/>
          <w:rtl/>
        </w:rPr>
        <w:t xml:space="preserve"> و</w:t>
      </w:r>
      <w:r w:rsidRPr="00911C28">
        <w:rPr>
          <w:rFonts w:eastAsiaTheme="minorEastAsia"/>
          <w:rtl/>
        </w:rPr>
        <w:t>14</w:t>
      </w:r>
      <w:r w:rsidRPr="0063517E">
        <w:rPr>
          <w:rFonts w:eastAsiaTheme="minorEastAsia"/>
          <w:rtl/>
        </w:rPr>
        <w:t>).</w:t>
      </w:r>
    </w:p>
    <w:p w14:paraId="73D102EE" w14:textId="77777777" w:rsidR="0063517E" w:rsidRPr="00911C28" w:rsidRDefault="0063517E" w:rsidP="0063517E">
      <w:pPr>
        <w:pStyle w:val="SingleTxtGA"/>
        <w:rPr>
          <w:rFonts w:eastAsiaTheme="minorEastAsia"/>
          <w:bCs/>
          <w:lang w:val="ar-SA" w:eastAsia="zh-TW" w:bidi="en-GB"/>
        </w:rPr>
      </w:pPr>
      <w:r w:rsidRPr="00911C28">
        <w:rPr>
          <w:rFonts w:eastAsiaTheme="minorEastAsia"/>
          <w:rtl/>
        </w:rPr>
        <w:t>24</w:t>
      </w:r>
      <w:r w:rsidRPr="0063517E">
        <w:rPr>
          <w:rFonts w:eastAsiaTheme="minorEastAsia"/>
          <w:rtl/>
        </w:rPr>
        <w:t>-</w:t>
      </w:r>
      <w:r w:rsidRPr="0063517E">
        <w:rPr>
          <w:rFonts w:eastAsiaTheme="minorEastAsia"/>
          <w:rtl/>
        </w:rPr>
        <w:tab/>
      </w:r>
      <w:r w:rsidRPr="00911C28">
        <w:rPr>
          <w:rFonts w:eastAsiaTheme="minorEastAsia"/>
          <w:bCs/>
          <w:rtl/>
        </w:rPr>
        <w:t>ينبغي للدولة الطرف القيام بما يلي:</w:t>
      </w:r>
    </w:p>
    <w:p w14:paraId="346A66B0" w14:textId="5326DBE4" w:rsidR="0063517E" w:rsidRPr="00911C28" w:rsidRDefault="0063517E" w:rsidP="0063517E">
      <w:pPr>
        <w:pStyle w:val="SingleTxtGA"/>
        <w:rPr>
          <w:rFonts w:eastAsiaTheme="minorEastAsia"/>
          <w:bCs/>
        </w:rPr>
      </w:pPr>
      <w:r>
        <w:rPr>
          <w:rFonts w:eastAsiaTheme="minorEastAsia"/>
          <w:rtl/>
        </w:rPr>
        <w:tab/>
      </w:r>
      <w:r w:rsidRPr="0063517E">
        <w:rPr>
          <w:rFonts w:eastAsiaTheme="minorEastAsia"/>
          <w:rtl/>
        </w:rPr>
        <w:t>(أ)</w:t>
      </w:r>
      <w:r w:rsidRPr="0063517E">
        <w:rPr>
          <w:rFonts w:eastAsiaTheme="minorEastAsia"/>
          <w:rtl/>
        </w:rPr>
        <w:tab/>
      </w:r>
      <w:r w:rsidRPr="00911C28">
        <w:rPr>
          <w:rFonts w:eastAsiaTheme="minorEastAsia"/>
          <w:bCs/>
          <w:rtl/>
        </w:rPr>
        <w:t xml:space="preserve">تعزيز التدابير الرامية إلى كفالة إمكانية اللجوء إلى القضاء في جميع أنحاء أراضيها، بوسائل منها استقدام موظفي </w:t>
      </w:r>
      <w:bookmarkStart w:id="9" w:name="_Hlk89088793"/>
      <w:r w:rsidRPr="00911C28">
        <w:rPr>
          <w:rFonts w:eastAsiaTheme="minorEastAsia"/>
          <w:bCs/>
          <w:rtl/>
        </w:rPr>
        <w:t xml:space="preserve">القضاء والادعاء </w:t>
      </w:r>
      <w:bookmarkEnd w:id="9"/>
      <w:r w:rsidRPr="00911C28">
        <w:rPr>
          <w:rFonts w:eastAsiaTheme="minorEastAsia"/>
          <w:bCs/>
          <w:rtl/>
        </w:rPr>
        <w:t>والموظفين الإداريين اللازمين، وزيادة استخدام نُظم المحاكم</w:t>
      </w:r>
      <w:r w:rsidRPr="00911C28">
        <w:rPr>
          <w:rFonts w:eastAsiaTheme="minorEastAsia" w:hint="cs"/>
          <w:bCs/>
          <w:rtl/>
        </w:rPr>
        <w:t> </w:t>
      </w:r>
      <w:r w:rsidRPr="00911C28">
        <w:rPr>
          <w:rFonts w:eastAsiaTheme="minorEastAsia"/>
          <w:bCs/>
          <w:rtl/>
        </w:rPr>
        <w:t>المتنقلة؛</w:t>
      </w:r>
    </w:p>
    <w:p w14:paraId="70F23C16" w14:textId="14CEAE32"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(ب)</w:t>
      </w:r>
      <w:r w:rsidRPr="0063517E">
        <w:rPr>
          <w:rFonts w:eastAsiaTheme="minorEastAsia"/>
          <w:rtl/>
        </w:rPr>
        <w:tab/>
      </w:r>
      <w:r w:rsidRPr="00911C28">
        <w:rPr>
          <w:rFonts w:eastAsiaTheme="minorEastAsia"/>
          <w:bCs/>
          <w:rtl/>
        </w:rPr>
        <w:t>مضاعفة جهودها الرامية إلى مواصلة الحد من تراكم القضايا المتأخرة غير المبتوت فيها وتحسين كفاءة دوائر القضاء والادعاء؛</w:t>
      </w:r>
    </w:p>
    <w:p w14:paraId="17F80324" w14:textId="259EB021" w:rsidR="0063517E" w:rsidRPr="00911C28" w:rsidRDefault="0063517E" w:rsidP="0063517E">
      <w:pPr>
        <w:pStyle w:val="SingleTxtGA"/>
        <w:rPr>
          <w:rFonts w:eastAsiaTheme="minorEastAsia"/>
          <w:bCs/>
          <w:rtl/>
        </w:rPr>
      </w:pPr>
      <w:r>
        <w:rPr>
          <w:rFonts w:eastAsiaTheme="minorEastAsia"/>
          <w:rtl/>
        </w:rPr>
        <w:tab/>
      </w:r>
      <w:r w:rsidRPr="0063517E">
        <w:rPr>
          <w:rFonts w:eastAsiaTheme="minorEastAsia"/>
          <w:rtl/>
        </w:rPr>
        <w:t>(ج)</w:t>
      </w:r>
      <w:r w:rsidRPr="0063517E">
        <w:rPr>
          <w:rFonts w:eastAsiaTheme="minorEastAsia"/>
          <w:rtl/>
        </w:rPr>
        <w:tab/>
      </w:r>
      <w:r w:rsidRPr="00911C28">
        <w:rPr>
          <w:rFonts w:eastAsiaTheme="minorEastAsia"/>
          <w:bCs/>
          <w:rtl/>
        </w:rPr>
        <w:t>كفالة امتثال إجراءات اختيار القضاة والمدعين العامين وتعيينهم وترقيتهم، والتدابير التأديبية المتخذة بحقهم، وإجراءات عزلهم من منصبهم، لأحكام العهد والمعايير الدولية ذات الصلة، بما</w:t>
      </w:r>
      <w:r w:rsidR="0036244E" w:rsidRPr="00911C28">
        <w:rPr>
          <w:rFonts w:eastAsiaTheme="minorEastAsia" w:hint="cs"/>
          <w:bCs/>
          <w:rtl/>
        </w:rPr>
        <w:t> </w:t>
      </w:r>
      <w:r w:rsidRPr="00911C28">
        <w:rPr>
          <w:rFonts w:eastAsiaTheme="minorEastAsia"/>
          <w:bCs/>
          <w:rtl/>
        </w:rPr>
        <w:t>في ذلك المبادئ الأساسية بشأن استقلال السلطة القضائية والمبادئ التوجيهية المتعلقة بدور أعضاء الادعاء العام.</w:t>
      </w:r>
    </w:p>
    <w:p w14:paraId="209D4C54" w14:textId="77777777" w:rsidR="0063517E" w:rsidRPr="00911C28" w:rsidRDefault="0063517E" w:rsidP="0063517E">
      <w:pPr>
        <w:pStyle w:val="H23GA"/>
        <w:rPr>
          <w:lang w:val="ar-SA" w:eastAsia="zh-TW" w:bidi="en-GB"/>
        </w:rPr>
      </w:pPr>
      <w:r w:rsidRPr="00911C28">
        <w:rPr>
          <w:rtl/>
        </w:rPr>
        <w:tab/>
      </w:r>
      <w:r w:rsidRPr="00911C28">
        <w:rPr>
          <w:rtl/>
        </w:rPr>
        <w:tab/>
        <w:t>الاتجار بالأشخاص والعمل القسري</w:t>
      </w:r>
    </w:p>
    <w:p w14:paraId="4D85FA99" w14:textId="132E69A5" w:rsidR="0063517E" w:rsidRPr="0063517E" w:rsidRDefault="0063517E" w:rsidP="0063517E">
      <w:pPr>
        <w:pStyle w:val="SingleTxtGA"/>
        <w:rPr>
          <w:rFonts w:eastAsiaTheme="minorEastAsia"/>
          <w:lang w:val="ar-SA" w:eastAsia="zh-TW" w:bidi="en-GB"/>
        </w:rPr>
      </w:pPr>
      <w:r w:rsidRPr="00911C28">
        <w:rPr>
          <w:rFonts w:eastAsiaTheme="minorEastAsia"/>
          <w:rtl/>
        </w:rPr>
        <w:t>25</w:t>
      </w:r>
      <w:r w:rsidRPr="0063517E">
        <w:rPr>
          <w:rFonts w:eastAsiaTheme="minorEastAsia"/>
          <w:rtl/>
        </w:rPr>
        <w:t>-</w:t>
      </w:r>
      <w:r w:rsidRPr="0063517E">
        <w:rPr>
          <w:rFonts w:eastAsiaTheme="minorEastAsia"/>
          <w:rtl/>
        </w:rPr>
        <w:tab/>
        <w:t>ترحب اللجنة بالجهود التي تبذلها الدولة الطرف لمكافحة الاتجار بالأشخاص. غير أن اللجنة لا</w:t>
      </w:r>
      <w:r w:rsidR="0036244E">
        <w:rPr>
          <w:rFonts w:eastAsiaTheme="minorEastAsia" w:hint="cs"/>
          <w:rtl/>
        </w:rPr>
        <w:t> </w:t>
      </w:r>
      <w:r w:rsidRPr="0063517E">
        <w:rPr>
          <w:rFonts w:eastAsiaTheme="minorEastAsia"/>
          <w:rtl/>
        </w:rPr>
        <w:t>تزال تشعر بالقلق بشأن ما يلي: (أ) انتشار الاتجار بالأشخاص، ولا سيما بالنساء والأطفال، لأغراض الاستغلال الاقتصادي والاستغلال الجنسي لأغراض تجارية؛ (ب) ضعف تنفيذ قانون مكافحة الاتجار بالبشر (</w:t>
      </w:r>
      <w:r w:rsidRPr="00911C28">
        <w:rPr>
          <w:rFonts w:eastAsiaTheme="minorEastAsia"/>
          <w:rtl/>
        </w:rPr>
        <w:t>2014</w:t>
      </w:r>
      <w:r w:rsidRPr="0063517E">
        <w:rPr>
          <w:rFonts w:eastAsiaTheme="minorEastAsia"/>
          <w:rtl/>
        </w:rPr>
        <w:t xml:space="preserve">)؛ (ج) المعدل المنخفض بشدة للتحقيقات والملاحقات القضائية والإدانات المتعلقة بجريمة الاتجار؛ (د) العقوبات المتساهلة التي تُفرض على المتجرين؛ </w:t>
      </w:r>
      <w:r w:rsidRPr="0063517E">
        <w:rPr>
          <w:rFonts w:eastAsiaTheme="minorEastAsia"/>
          <w:spacing w:val="-4"/>
          <w:rtl/>
        </w:rPr>
        <w:t xml:space="preserve">(هـ) المعدل المنخفض للتعرف على الضحايا. كما تشعر اللجنة بالقلق إزاء التقارير التي تفيد عن العمل القسري وعمل الأطفال في رعي </w:t>
      </w:r>
      <w:r w:rsidRPr="0063517E">
        <w:rPr>
          <w:rFonts w:eastAsiaTheme="minorEastAsia"/>
          <w:rtl/>
        </w:rPr>
        <w:t xml:space="preserve">الماشية، مما يؤثر بوجه خاص على أطفال جماعة سان (المواد </w:t>
      </w:r>
      <w:r w:rsidRPr="00911C28">
        <w:rPr>
          <w:rFonts w:eastAsiaTheme="minorEastAsia"/>
          <w:rtl/>
        </w:rPr>
        <w:t>7</w:t>
      </w:r>
      <w:r w:rsidRPr="0063517E">
        <w:rPr>
          <w:rFonts w:eastAsiaTheme="minorEastAsia"/>
          <w:rtl/>
        </w:rPr>
        <w:t>-</w:t>
      </w:r>
      <w:r w:rsidRPr="00911C28">
        <w:rPr>
          <w:rFonts w:eastAsiaTheme="minorEastAsia"/>
          <w:rtl/>
        </w:rPr>
        <w:t>8</w:t>
      </w:r>
      <w:r w:rsidRPr="0063517E">
        <w:rPr>
          <w:rFonts w:eastAsiaTheme="minorEastAsia"/>
          <w:rtl/>
        </w:rPr>
        <w:t xml:space="preserve"> و</w:t>
      </w:r>
      <w:r w:rsidRPr="00911C28">
        <w:rPr>
          <w:rFonts w:eastAsiaTheme="minorEastAsia"/>
          <w:rtl/>
        </w:rPr>
        <w:t>24</w:t>
      </w:r>
      <w:r w:rsidRPr="0063517E">
        <w:rPr>
          <w:rFonts w:eastAsiaTheme="minorEastAsia"/>
          <w:rtl/>
        </w:rPr>
        <w:t>).</w:t>
      </w:r>
    </w:p>
    <w:p w14:paraId="27EB8F62" w14:textId="0394CE5D" w:rsidR="0063517E" w:rsidRPr="00911C28" w:rsidRDefault="0063517E" w:rsidP="0063517E">
      <w:pPr>
        <w:pStyle w:val="SingleTxtGA"/>
        <w:rPr>
          <w:rFonts w:eastAsiaTheme="minorEastAsia"/>
          <w:b/>
          <w:bCs/>
          <w:lang w:val="ar-SA" w:eastAsia="zh-TW" w:bidi="en-GB"/>
        </w:rPr>
      </w:pPr>
      <w:r w:rsidRPr="00911C28">
        <w:rPr>
          <w:rFonts w:eastAsiaTheme="minorEastAsia"/>
          <w:rtl/>
        </w:rPr>
        <w:t>26</w:t>
      </w:r>
      <w:r w:rsidRPr="0063517E">
        <w:rPr>
          <w:rFonts w:eastAsiaTheme="minorEastAsia"/>
          <w:rtl/>
        </w:rPr>
        <w:t>-</w:t>
      </w:r>
      <w:r w:rsidRPr="0063517E">
        <w:rPr>
          <w:rFonts w:eastAsiaTheme="minorEastAsia"/>
          <w:rtl/>
        </w:rPr>
        <w:tab/>
      </w:r>
      <w:r w:rsidRPr="00911C28">
        <w:rPr>
          <w:rFonts w:eastAsiaTheme="minorEastAsia"/>
          <w:b/>
          <w:bCs/>
          <w:rtl/>
        </w:rPr>
        <w:t>وفي ضوء التوصية السابقة للجنة ومع ومراعاتها</w:t>
      </w:r>
      <w:r w:rsidRPr="002A6D1C">
        <w:rPr>
          <w:rStyle w:val="FootnoteReference"/>
          <w:rFonts w:eastAsiaTheme="minorEastAsia"/>
          <w:szCs w:val="22"/>
          <w:rtl/>
        </w:rPr>
        <w:t>(</w:t>
      </w:r>
      <w:r w:rsidRPr="00911C28">
        <w:rPr>
          <w:rStyle w:val="FootnoteReference"/>
          <w:rFonts w:eastAsiaTheme="minorEastAsia"/>
          <w:szCs w:val="22"/>
          <w:lang w:val="en-US"/>
        </w:rPr>
        <w:footnoteReference w:id="12"/>
      </w:r>
      <w:r w:rsidRPr="002A6D1C">
        <w:rPr>
          <w:rStyle w:val="FootnoteReference"/>
          <w:rFonts w:eastAsiaTheme="minorEastAsia"/>
          <w:szCs w:val="22"/>
          <w:rtl/>
        </w:rPr>
        <w:t>)</w:t>
      </w:r>
      <w:r w:rsidRPr="00911C28">
        <w:rPr>
          <w:rFonts w:eastAsiaTheme="minorEastAsia"/>
          <w:b/>
          <w:bCs/>
          <w:rtl/>
        </w:rPr>
        <w:t>، ينبغي للدولة الطرف القيام بما يلي:</w:t>
      </w:r>
    </w:p>
    <w:p w14:paraId="12E8673D" w14:textId="2FFF2A6E"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(أ)</w:t>
      </w:r>
      <w:r w:rsidRPr="0063517E">
        <w:rPr>
          <w:rFonts w:eastAsiaTheme="minorEastAsia"/>
          <w:rtl/>
        </w:rPr>
        <w:tab/>
      </w:r>
      <w:r w:rsidRPr="00911C28">
        <w:rPr>
          <w:rFonts w:eastAsiaTheme="minorEastAsia"/>
          <w:bCs/>
          <w:rtl/>
        </w:rPr>
        <w:t>تكثيف جهودها الرامية إلى منع الاتجار بالأشخاص ومكافحته بفعالية، بوسائل منها إنفاذ قانون مكافحة الاتجار بالبشر وتطبيقه تطبيقاً كاملاً (2014)؛</w:t>
      </w:r>
    </w:p>
    <w:p w14:paraId="78CD5152" w14:textId="37AE7AEE"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(ب)</w:t>
      </w:r>
      <w:r w:rsidRPr="0063517E">
        <w:rPr>
          <w:rFonts w:eastAsiaTheme="minorEastAsia"/>
          <w:rtl/>
        </w:rPr>
        <w:tab/>
      </w:r>
      <w:r w:rsidRPr="00911C28">
        <w:rPr>
          <w:rFonts w:eastAsiaTheme="minorEastAsia"/>
          <w:bCs/>
          <w:rtl/>
        </w:rPr>
        <w:t>كفالة التحقيق الشامل في جميع حالات الاتجار بالأشخاص، ومقاضاة الجناة، ومعاقبتهم بعقوبات مناسبة، وحصول الضحايا على التعويض الكامل؛</w:t>
      </w:r>
    </w:p>
    <w:p w14:paraId="77B59F89" w14:textId="4DFDFA8C" w:rsidR="0063517E" w:rsidRPr="00911C28" w:rsidRDefault="0063517E" w:rsidP="0063517E">
      <w:pPr>
        <w:pStyle w:val="SingleTxtGA"/>
        <w:rPr>
          <w:rFonts w:eastAsiaTheme="minorEastAsia"/>
          <w:bCs/>
          <w:shd w:val="clear" w:color="auto" w:fill="FFFFFF"/>
          <w:lang w:val="ar-SA" w:eastAsia="zh-TW" w:bidi="en-GB"/>
        </w:rPr>
      </w:pPr>
      <w:r>
        <w:rPr>
          <w:rFonts w:eastAsiaTheme="minorEastAsia"/>
          <w:rtl/>
        </w:rPr>
        <w:tab/>
      </w:r>
      <w:r w:rsidRPr="0063517E">
        <w:rPr>
          <w:rFonts w:eastAsiaTheme="minorEastAsia"/>
          <w:rtl/>
        </w:rPr>
        <w:t>(ج)</w:t>
      </w:r>
      <w:r w:rsidRPr="0063517E">
        <w:rPr>
          <w:rFonts w:eastAsiaTheme="minorEastAsia"/>
          <w:rtl/>
        </w:rPr>
        <w:tab/>
      </w:r>
      <w:r w:rsidRPr="00911C28">
        <w:rPr>
          <w:rFonts w:eastAsiaTheme="minorEastAsia"/>
          <w:bCs/>
          <w:rtl/>
        </w:rPr>
        <w:t>مضاعفة جهودها للتعرف على ضحايا الاتجار وكفالة توفير الحماية والمساعدة لهم، بما في ذلك إمكانية اللجوء إلى الملاجئ والحصول على الخدمات القانونية والطبية والنفسية</w:t>
      </w:r>
      <w:r w:rsidR="00B875C3" w:rsidRPr="00911C28">
        <w:rPr>
          <w:rFonts w:eastAsiaTheme="minorEastAsia" w:hint="cs"/>
          <w:bCs/>
          <w:rtl/>
        </w:rPr>
        <w:t> </w:t>
      </w:r>
      <w:r w:rsidRPr="00911C28">
        <w:rPr>
          <w:rFonts w:eastAsiaTheme="minorEastAsia"/>
          <w:bCs/>
          <w:rtl/>
        </w:rPr>
        <w:t>الملائمة؛</w:t>
      </w:r>
    </w:p>
    <w:p w14:paraId="0DB64894" w14:textId="46D48ED6" w:rsidR="0063517E" w:rsidRPr="00911C28" w:rsidRDefault="0063517E" w:rsidP="00C54F2D">
      <w:pPr>
        <w:pStyle w:val="SingleTxtGA"/>
        <w:spacing w:line="346" w:lineRule="exact"/>
        <w:rPr>
          <w:rFonts w:eastAsiaTheme="minorEastAsia"/>
          <w:bCs/>
          <w:lang w:val="en-US" w:eastAsia="zh-TW" w:bidi="en-GB"/>
        </w:rPr>
      </w:pPr>
      <w:r>
        <w:rPr>
          <w:rFonts w:eastAsiaTheme="minorEastAsia"/>
          <w:rtl/>
        </w:rPr>
        <w:lastRenderedPageBreak/>
        <w:tab/>
      </w:r>
      <w:r w:rsidRPr="0063517E">
        <w:rPr>
          <w:rFonts w:eastAsiaTheme="minorEastAsia"/>
          <w:rtl/>
        </w:rPr>
        <w:t>(د)</w:t>
      </w:r>
      <w:r w:rsidRPr="0063517E">
        <w:rPr>
          <w:rFonts w:eastAsiaTheme="minorEastAsia"/>
          <w:rtl/>
        </w:rPr>
        <w:tab/>
      </w:r>
      <w:r w:rsidRPr="00911C28">
        <w:rPr>
          <w:rFonts w:eastAsiaTheme="minorEastAsia"/>
          <w:bCs/>
          <w:rtl/>
        </w:rPr>
        <w:t>توفير التدريب الكافي، بما في ذلك بشأن المعايير والإجراءات المتعلقة بالتعرف على ضحايا الاتجار وسبل إحالتهم، لفائدة جميع موظفي الدولة المعنيين، بمن فيهم القضاة والمدعون العامون وموظفو إنفاذ القانون وموظفو شؤون الهجرة والموظفون العاملون في جميع مرافق الاستقبال، وكذلك</w:t>
      </w:r>
      <w:r w:rsidRPr="00911C28">
        <w:rPr>
          <w:rFonts w:eastAsiaTheme="minorEastAsia" w:hint="cs"/>
          <w:bCs/>
          <w:rtl/>
        </w:rPr>
        <w:t> </w:t>
      </w:r>
      <w:r w:rsidRPr="00911C28">
        <w:rPr>
          <w:rFonts w:eastAsiaTheme="minorEastAsia"/>
          <w:bCs/>
          <w:rtl/>
        </w:rPr>
        <w:t>المحامون؛</w:t>
      </w:r>
    </w:p>
    <w:p w14:paraId="250B0858" w14:textId="216EDE89" w:rsidR="0063517E" w:rsidRPr="00911C28" w:rsidRDefault="0063517E" w:rsidP="00C54F2D">
      <w:pPr>
        <w:pStyle w:val="SingleTxtGA"/>
        <w:spacing w:line="342" w:lineRule="exact"/>
        <w:rPr>
          <w:rFonts w:eastAsiaTheme="minorEastAsia"/>
          <w:bCs/>
          <w:lang w:val="ar-SA" w:eastAsia="zh-TW" w:bidi="en-GB"/>
        </w:rPr>
      </w:pPr>
      <w:r>
        <w:rPr>
          <w:rFonts w:eastAsiaTheme="minorEastAsia"/>
          <w:rtl/>
        </w:rPr>
        <w:tab/>
      </w:r>
      <w:r w:rsidRPr="0063517E">
        <w:rPr>
          <w:rFonts w:eastAsiaTheme="minorEastAsia"/>
          <w:rtl/>
        </w:rPr>
        <w:t>(هـ)</w:t>
      </w:r>
      <w:r w:rsidRPr="0063517E">
        <w:rPr>
          <w:rFonts w:eastAsiaTheme="minorEastAsia"/>
          <w:rtl/>
        </w:rPr>
        <w:tab/>
      </w:r>
      <w:r w:rsidRPr="00911C28">
        <w:rPr>
          <w:rFonts w:eastAsiaTheme="minorEastAsia"/>
          <w:bCs/>
          <w:rtl/>
        </w:rPr>
        <w:t>مضاعفة جهودها للقضاء على العمل القسري وجميع أشكال عمل الأطفال، ولا سيما في قطاع الزراعة، بوسائل منها زيادة عمليات تفتيش العمل.</w:t>
      </w:r>
    </w:p>
    <w:p w14:paraId="334BE2C0" w14:textId="77777777" w:rsidR="0063517E" w:rsidRPr="00911C28" w:rsidRDefault="0063517E" w:rsidP="00C54F2D">
      <w:pPr>
        <w:pStyle w:val="H23GA"/>
        <w:spacing w:line="342" w:lineRule="exact"/>
        <w:rPr>
          <w:lang w:val="en-US" w:eastAsia="zh-TW" w:bidi="en-GB"/>
        </w:rPr>
      </w:pPr>
      <w:r w:rsidRPr="00911C28">
        <w:rPr>
          <w:rtl/>
        </w:rPr>
        <w:tab/>
      </w:r>
      <w:r w:rsidRPr="00911C28">
        <w:rPr>
          <w:rtl/>
        </w:rPr>
        <w:tab/>
        <w:t>الحق في محاكمة عادلة</w:t>
      </w:r>
    </w:p>
    <w:p w14:paraId="01469DDF" w14:textId="5EDA0F6B" w:rsidR="0063517E" w:rsidRPr="0063517E" w:rsidRDefault="0063517E" w:rsidP="00C54F2D">
      <w:pPr>
        <w:pStyle w:val="SingleTxtGA"/>
        <w:spacing w:line="342" w:lineRule="exact"/>
        <w:rPr>
          <w:rFonts w:eastAsiaTheme="minorEastAsia"/>
        </w:rPr>
      </w:pPr>
      <w:r w:rsidRPr="00911C28">
        <w:rPr>
          <w:rFonts w:eastAsiaTheme="minorEastAsia"/>
          <w:rtl/>
        </w:rPr>
        <w:t>27</w:t>
      </w:r>
      <w:r w:rsidRPr="0063517E">
        <w:rPr>
          <w:rFonts w:eastAsiaTheme="minorEastAsia"/>
          <w:rtl/>
        </w:rPr>
        <w:t>-</w:t>
      </w:r>
      <w:r w:rsidRPr="0063517E">
        <w:rPr>
          <w:rFonts w:eastAsiaTheme="minorEastAsia"/>
          <w:rtl/>
        </w:rPr>
        <w:tab/>
        <w:t xml:space="preserve">ترحب اللجنة بإنشاء دائرة بوتسوانا للمعونة القانونية. بيد أنها لا تزال تشعر بالقلق لعدم توفر المساعدة القانونية المجانية في جميع القضايا الجنائية، ولأن المادة </w:t>
      </w:r>
      <w:r w:rsidRPr="00911C28">
        <w:rPr>
          <w:rFonts w:eastAsiaTheme="minorEastAsia"/>
          <w:rtl/>
        </w:rPr>
        <w:t>32</w:t>
      </w:r>
      <w:r w:rsidRPr="0063517E">
        <w:rPr>
          <w:rFonts w:eastAsiaTheme="minorEastAsia"/>
          <w:rtl/>
        </w:rPr>
        <w:t xml:space="preserve"> من قانون المحاكم العرفية لا تكفل </w:t>
      </w:r>
      <w:r w:rsidRPr="00C54F2D">
        <w:rPr>
          <w:rFonts w:eastAsiaTheme="minorEastAsia"/>
          <w:spacing w:val="-2"/>
          <w:rtl/>
        </w:rPr>
        <w:t>صراحةً التمثيل القانوني في المحاكم العرفية. كما يساورها القلق إزاء نقص التدريب المتعلق بقانون العقوبات</w:t>
      </w:r>
      <w:r w:rsidRPr="0063517E">
        <w:rPr>
          <w:rFonts w:eastAsiaTheme="minorEastAsia"/>
          <w:rtl/>
        </w:rPr>
        <w:t xml:space="preserve"> المتاح لزعماء القبائل والإدارة القبلية، رغم أن بتّ المحاكم العرفية في القضايا الجنائية يجب أن يستند إلى </w:t>
      </w:r>
      <w:r w:rsidRPr="00C54F2D">
        <w:rPr>
          <w:rFonts w:eastAsiaTheme="minorEastAsia"/>
          <w:spacing w:val="-2"/>
          <w:rtl/>
        </w:rPr>
        <w:t>قانون العقوبات. وتأسف اللجنة لعدم تلقيها معلومات عن عدد طلبات الاستئناف المقدمة إلى نظام المحاكم</w:t>
      </w:r>
      <w:r w:rsidRPr="0063517E">
        <w:rPr>
          <w:rFonts w:eastAsiaTheme="minorEastAsia"/>
          <w:rtl/>
        </w:rPr>
        <w:t xml:space="preserve"> المدنية والجنائية ضد القرارات الصادرة عن المحاكم العرفية (المواد </w:t>
      </w:r>
      <w:r w:rsidRPr="00911C28">
        <w:rPr>
          <w:rFonts w:eastAsiaTheme="minorEastAsia"/>
          <w:rtl/>
        </w:rPr>
        <w:t>2</w:t>
      </w:r>
      <w:r w:rsidR="00B875C3">
        <w:rPr>
          <w:rFonts w:eastAsiaTheme="minorEastAsia" w:hint="cs"/>
          <w:rtl/>
        </w:rPr>
        <w:t>-</w:t>
      </w:r>
      <w:r w:rsidRPr="00911C28">
        <w:rPr>
          <w:rFonts w:eastAsiaTheme="minorEastAsia"/>
          <w:rtl/>
        </w:rPr>
        <w:t>3</w:t>
      </w:r>
      <w:r w:rsidRPr="0063517E">
        <w:rPr>
          <w:rFonts w:eastAsiaTheme="minorEastAsia"/>
          <w:rtl/>
        </w:rPr>
        <w:t xml:space="preserve"> و</w:t>
      </w:r>
      <w:r w:rsidRPr="00911C28">
        <w:rPr>
          <w:rFonts w:eastAsiaTheme="minorEastAsia"/>
          <w:rtl/>
        </w:rPr>
        <w:t>14</w:t>
      </w:r>
      <w:r w:rsidRPr="0063517E">
        <w:rPr>
          <w:rFonts w:eastAsiaTheme="minorEastAsia"/>
          <w:rtl/>
        </w:rPr>
        <w:t>).</w:t>
      </w:r>
    </w:p>
    <w:p w14:paraId="0D231762" w14:textId="0C0B7221" w:rsidR="0063517E" w:rsidRPr="00911C28" w:rsidRDefault="0063517E" w:rsidP="00C54F2D">
      <w:pPr>
        <w:pStyle w:val="SingleTxtGA"/>
        <w:spacing w:line="342" w:lineRule="exact"/>
        <w:rPr>
          <w:rFonts w:eastAsiaTheme="minorEastAsia"/>
          <w:bCs/>
          <w:lang w:val="ar-SA" w:eastAsia="zh-TW" w:bidi="en-GB"/>
        </w:rPr>
      </w:pPr>
      <w:r w:rsidRPr="00911C28">
        <w:rPr>
          <w:rFonts w:eastAsiaTheme="minorEastAsia"/>
          <w:rtl/>
        </w:rPr>
        <w:t>28</w:t>
      </w:r>
      <w:r w:rsidRPr="0063517E">
        <w:rPr>
          <w:rFonts w:eastAsiaTheme="minorEastAsia"/>
          <w:rtl/>
        </w:rPr>
        <w:t>-</w:t>
      </w:r>
      <w:r w:rsidRPr="0063517E">
        <w:rPr>
          <w:rFonts w:eastAsiaTheme="minorEastAsia"/>
          <w:rtl/>
        </w:rPr>
        <w:tab/>
      </w:r>
      <w:r w:rsidRPr="00911C28">
        <w:rPr>
          <w:rFonts w:eastAsiaTheme="minorEastAsia"/>
          <w:bCs/>
          <w:rtl/>
        </w:rPr>
        <w:t>وفي ضوء التوصيات السابقة للجنة ومع مراعاتها</w:t>
      </w:r>
      <w:r w:rsidRPr="00911C28">
        <w:rPr>
          <w:rStyle w:val="FootnoteReference"/>
          <w:rFonts w:eastAsiaTheme="minorEastAsia"/>
          <w:b/>
          <w:szCs w:val="22"/>
          <w:rtl/>
        </w:rPr>
        <w:t>(</w:t>
      </w:r>
      <w:r w:rsidRPr="00911C28">
        <w:rPr>
          <w:rStyle w:val="FootnoteReference"/>
          <w:rFonts w:eastAsiaTheme="minorEastAsia"/>
          <w:b/>
          <w:szCs w:val="22"/>
          <w:lang w:val="en-US"/>
        </w:rPr>
        <w:footnoteReference w:id="13"/>
      </w:r>
      <w:r w:rsidRPr="00911C28">
        <w:rPr>
          <w:rStyle w:val="FootnoteReference"/>
          <w:rFonts w:eastAsiaTheme="minorEastAsia"/>
          <w:b/>
          <w:szCs w:val="22"/>
          <w:rtl/>
        </w:rPr>
        <w:t>)</w:t>
      </w:r>
      <w:r w:rsidRPr="00911C28">
        <w:rPr>
          <w:rFonts w:eastAsiaTheme="minorEastAsia"/>
          <w:bCs/>
          <w:rtl/>
        </w:rPr>
        <w:t>، ينبغي للدولة الطرف القيام بما يلي:</w:t>
      </w:r>
    </w:p>
    <w:p w14:paraId="1644B3E4" w14:textId="65359B6F" w:rsidR="0063517E" w:rsidRPr="00911C28" w:rsidRDefault="0063517E" w:rsidP="00C54F2D">
      <w:pPr>
        <w:pStyle w:val="SingleTxtGA"/>
        <w:spacing w:line="342" w:lineRule="exact"/>
        <w:rPr>
          <w:rFonts w:eastAsiaTheme="minorEastAsia"/>
          <w:bCs/>
          <w:lang w:val="ar-SA" w:eastAsia="zh-TW" w:bidi="en-GB"/>
        </w:rPr>
      </w:pPr>
      <w:r>
        <w:rPr>
          <w:rFonts w:eastAsiaTheme="minorEastAsia"/>
          <w:rtl/>
        </w:rPr>
        <w:tab/>
      </w:r>
      <w:r w:rsidRPr="0063517E">
        <w:rPr>
          <w:rFonts w:eastAsiaTheme="minorEastAsia"/>
          <w:rtl/>
        </w:rPr>
        <w:t>(أ)</w:t>
      </w:r>
      <w:r w:rsidRPr="0063517E">
        <w:rPr>
          <w:rFonts w:eastAsiaTheme="minorEastAsia"/>
          <w:rtl/>
        </w:rPr>
        <w:tab/>
      </w:r>
      <w:r w:rsidRPr="00911C28">
        <w:rPr>
          <w:rFonts w:eastAsiaTheme="minorEastAsia"/>
          <w:bCs/>
          <w:rtl/>
        </w:rPr>
        <w:t>توسيع ولاية دائرة بوتسوانا للمعونة القانونية من أجل ضمان التمثيل القانوني في جميع القضايا الجنائية لمن ليست لديهم الوسائل الكافية لتحمّل التكاليف ذات الصلة، ولا سيما في الحالات التي تستلزم فيها مصلحة العدالة ذلك، وفقاً للمادة 14(3)</w:t>
      </w:r>
      <w:r w:rsidR="0036244E" w:rsidRPr="00911C28">
        <w:rPr>
          <w:rFonts w:eastAsiaTheme="minorEastAsia"/>
          <w:bCs/>
          <w:rtl/>
        </w:rPr>
        <w:t>(</w:t>
      </w:r>
      <w:r w:rsidRPr="00911C28">
        <w:rPr>
          <w:rFonts w:eastAsiaTheme="minorEastAsia"/>
          <w:bCs/>
          <w:rtl/>
        </w:rPr>
        <w:t>د) من العهد؛</w:t>
      </w:r>
    </w:p>
    <w:p w14:paraId="64B5F406" w14:textId="67554373" w:rsidR="0063517E" w:rsidRPr="00911C28" w:rsidRDefault="0063517E" w:rsidP="00C54F2D">
      <w:pPr>
        <w:pStyle w:val="SingleTxtGA"/>
        <w:spacing w:line="342" w:lineRule="exact"/>
        <w:rPr>
          <w:rFonts w:eastAsiaTheme="minorEastAsia"/>
          <w:bCs/>
          <w:lang w:val="ar-SA" w:eastAsia="zh-TW" w:bidi="en-GB"/>
        </w:rPr>
      </w:pPr>
      <w:r>
        <w:rPr>
          <w:rFonts w:eastAsiaTheme="minorEastAsia"/>
          <w:rtl/>
        </w:rPr>
        <w:tab/>
      </w:r>
      <w:r w:rsidRPr="0063517E">
        <w:rPr>
          <w:rFonts w:eastAsiaTheme="minorEastAsia"/>
          <w:rtl/>
        </w:rPr>
        <w:t>(ب)</w:t>
      </w:r>
      <w:r w:rsidRPr="0063517E">
        <w:rPr>
          <w:rFonts w:eastAsiaTheme="minorEastAsia"/>
          <w:rtl/>
        </w:rPr>
        <w:tab/>
      </w:r>
      <w:r w:rsidRPr="00911C28">
        <w:rPr>
          <w:rFonts w:eastAsiaTheme="minorEastAsia"/>
          <w:bCs/>
          <w:rtl/>
        </w:rPr>
        <w:t>كفالة أن يعمل نظام القانون العرفي ومحاكمه بطريقة متسقة مع المادة 14 من العهد والفقرة 24 من تعليق اللجنة العام رقم 32</w:t>
      </w:r>
      <w:r w:rsidR="0036244E" w:rsidRPr="00911C28">
        <w:rPr>
          <w:rFonts w:eastAsiaTheme="minorEastAsia"/>
          <w:bCs/>
          <w:rtl/>
        </w:rPr>
        <w:t>(</w:t>
      </w:r>
      <w:r w:rsidRPr="00911C28">
        <w:rPr>
          <w:rFonts w:eastAsiaTheme="minorEastAsia"/>
          <w:bCs/>
          <w:rtl/>
        </w:rPr>
        <w:t>2007) وأن يضمن، على وجه الخصوص، التمثيل</w:t>
      </w:r>
      <w:r w:rsidR="00B875C3" w:rsidRPr="00911C28">
        <w:rPr>
          <w:rFonts w:eastAsiaTheme="minorEastAsia" w:hint="cs"/>
          <w:bCs/>
          <w:rtl/>
        </w:rPr>
        <w:t> </w:t>
      </w:r>
      <w:r w:rsidRPr="00911C28">
        <w:rPr>
          <w:rFonts w:eastAsiaTheme="minorEastAsia"/>
          <w:bCs/>
          <w:rtl/>
        </w:rPr>
        <w:t>القانوني؛</w:t>
      </w:r>
    </w:p>
    <w:p w14:paraId="335F8999" w14:textId="21B4CF85" w:rsidR="0063517E" w:rsidRPr="00911C28" w:rsidRDefault="0063517E" w:rsidP="00C54F2D">
      <w:pPr>
        <w:pStyle w:val="SingleTxtGA"/>
        <w:spacing w:line="342" w:lineRule="exact"/>
        <w:rPr>
          <w:rFonts w:eastAsiaTheme="minorEastAsia"/>
          <w:bCs/>
          <w:lang w:val="ar-SA" w:eastAsia="zh-TW" w:bidi="en-GB"/>
        </w:rPr>
      </w:pPr>
      <w:r>
        <w:rPr>
          <w:rFonts w:eastAsiaTheme="minorEastAsia"/>
          <w:rtl/>
        </w:rPr>
        <w:tab/>
      </w:r>
      <w:r w:rsidRPr="0063517E">
        <w:rPr>
          <w:rFonts w:eastAsiaTheme="minorEastAsia"/>
          <w:rtl/>
        </w:rPr>
        <w:t>(ج)</w:t>
      </w:r>
      <w:r w:rsidRPr="0063517E">
        <w:rPr>
          <w:rFonts w:eastAsiaTheme="minorEastAsia"/>
          <w:rtl/>
        </w:rPr>
        <w:tab/>
      </w:r>
      <w:r w:rsidRPr="00911C28">
        <w:rPr>
          <w:rFonts w:eastAsiaTheme="minorEastAsia"/>
          <w:bCs/>
          <w:rtl/>
        </w:rPr>
        <w:t>توفير التدريب بشأن قانون العقوبات والعهد والمعايير الدولية الأخرى لحقوق الإنسان لفائدة زعماء القبائل والإدارة القبلية، ولا سيما قضاة المحاكم العرفية؛</w:t>
      </w:r>
    </w:p>
    <w:p w14:paraId="732E74AA" w14:textId="3089F7DC" w:rsidR="0063517E" w:rsidRPr="00911C28" w:rsidRDefault="0063517E" w:rsidP="00C54F2D">
      <w:pPr>
        <w:pStyle w:val="SingleTxtGA"/>
        <w:spacing w:line="342" w:lineRule="exact"/>
        <w:rPr>
          <w:rFonts w:eastAsiaTheme="minorEastAsia"/>
          <w:bCs/>
          <w:lang w:val="ar-SA" w:eastAsia="zh-TW" w:bidi="en-GB"/>
        </w:rPr>
      </w:pPr>
      <w:r>
        <w:rPr>
          <w:rFonts w:eastAsiaTheme="minorEastAsia"/>
          <w:rtl/>
        </w:rPr>
        <w:tab/>
      </w:r>
      <w:r w:rsidRPr="0063517E">
        <w:rPr>
          <w:rFonts w:eastAsiaTheme="minorEastAsia"/>
          <w:rtl/>
        </w:rPr>
        <w:t>(د)</w:t>
      </w:r>
      <w:r w:rsidRPr="0063517E">
        <w:rPr>
          <w:rFonts w:eastAsiaTheme="minorEastAsia"/>
          <w:rtl/>
        </w:rPr>
        <w:tab/>
      </w:r>
      <w:r w:rsidRPr="00911C28">
        <w:rPr>
          <w:rFonts w:eastAsiaTheme="minorEastAsia"/>
          <w:bCs/>
          <w:rtl/>
        </w:rPr>
        <w:t>توعية السكان بالحق في تقديم طلب إحالة القضية من المحاكم العرفية إلى المحاكم المدنية والجنائية، والحق في استئناف قرارات المحاكم العرفية.</w:t>
      </w:r>
    </w:p>
    <w:p w14:paraId="583EA5E7" w14:textId="77777777" w:rsidR="0063517E" w:rsidRPr="00911C28" w:rsidRDefault="0063517E" w:rsidP="00C54F2D">
      <w:pPr>
        <w:pStyle w:val="H23GA"/>
        <w:spacing w:line="342" w:lineRule="exact"/>
        <w:rPr>
          <w:lang w:val="en-US" w:eastAsia="zh-TW" w:bidi="en-GB"/>
        </w:rPr>
      </w:pPr>
      <w:r w:rsidRPr="00911C28">
        <w:rPr>
          <w:rtl/>
        </w:rPr>
        <w:tab/>
      </w:r>
      <w:r w:rsidRPr="00911C28">
        <w:rPr>
          <w:rtl/>
        </w:rPr>
        <w:tab/>
        <w:t>معاملة اللاجئين وملتمسي اللجوء ومنع انعدام الجنسية</w:t>
      </w:r>
    </w:p>
    <w:p w14:paraId="766F6A67" w14:textId="7ED2423C" w:rsidR="0063517E" w:rsidRPr="0063517E" w:rsidRDefault="0063517E" w:rsidP="00C54F2D">
      <w:pPr>
        <w:pStyle w:val="SingleTxtGA"/>
        <w:spacing w:line="342" w:lineRule="exact"/>
        <w:rPr>
          <w:rFonts w:eastAsiaTheme="minorEastAsia"/>
          <w:lang w:val="ar-SA" w:eastAsia="zh-TW" w:bidi="en-GB"/>
        </w:rPr>
      </w:pPr>
      <w:r w:rsidRPr="00911C28">
        <w:rPr>
          <w:rFonts w:eastAsiaTheme="minorEastAsia"/>
          <w:rtl/>
        </w:rPr>
        <w:t>29</w:t>
      </w:r>
      <w:r w:rsidRPr="0063517E">
        <w:rPr>
          <w:rFonts w:eastAsiaTheme="minorEastAsia"/>
          <w:rtl/>
        </w:rPr>
        <w:t>-</w:t>
      </w:r>
      <w:r w:rsidRPr="0063517E">
        <w:rPr>
          <w:rFonts w:eastAsiaTheme="minorEastAsia"/>
          <w:rtl/>
        </w:rPr>
        <w:tab/>
        <w:t xml:space="preserve">ترحب اللجنة بصياغة مشروع قانون اللاجئين (الاعتراف والمراقبة)، إلا أنها تشعر بالقلق إزاء ما يلي: (أ) التقارير الواردة عن طرد المهاجرين وملتمسي اللجوء، بما في ذلك من يحتاجون إلى الحماية الدولية، دون إجراء التقييمات الفردية اللازمة؛ (ب) التقارير الواردة عن رفض إصدار وثائق هوية لملتمسي اللجوء الذين يتعرضون للاعتقال والترحيل نتيجةً لعدم حصولهم على وثائق؛ (ج) التقارير التي تفيد بأن </w:t>
      </w:r>
      <w:r w:rsidRPr="00C54F2D">
        <w:rPr>
          <w:rFonts w:eastAsiaTheme="minorEastAsia"/>
          <w:spacing w:val="-2"/>
          <w:rtl/>
        </w:rPr>
        <w:t>أغلبية طلبات اللجوء غير المقبولة تُرفض فقط على أساس مفهومَي "بلد اللجوء الأول" أو "البلد الثالث الآمن</w:t>
      </w:r>
      <w:r w:rsidRPr="0063517E">
        <w:rPr>
          <w:rFonts w:eastAsiaTheme="minorEastAsia"/>
          <w:rtl/>
        </w:rPr>
        <w:t xml:space="preserve">"؛ </w:t>
      </w:r>
      <w:r w:rsidRPr="00C54F2D">
        <w:rPr>
          <w:rFonts w:eastAsiaTheme="minorEastAsia"/>
          <w:spacing w:val="2"/>
          <w:rtl/>
        </w:rPr>
        <w:t xml:space="preserve">(د) التقارير الواردة عن الاحتجاز الإلزامي والمطول لملتمسي اللجوء في مركز </w:t>
      </w:r>
      <w:proofErr w:type="spellStart"/>
      <w:r w:rsidRPr="00C54F2D">
        <w:rPr>
          <w:rFonts w:eastAsiaTheme="minorEastAsia"/>
          <w:spacing w:val="2"/>
          <w:rtl/>
        </w:rPr>
        <w:t>فرانسيستاون</w:t>
      </w:r>
      <w:proofErr w:type="spellEnd"/>
      <w:r w:rsidRPr="00C54F2D">
        <w:rPr>
          <w:rFonts w:eastAsiaTheme="minorEastAsia"/>
          <w:spacing w:val="2"/>
          <w:rtl/>
        </w:rPr>
        <w:t xml:space="preserve">، ووجوب إقامة اللاجئين في مخيم </w:t>
      </w:r>
      <w:proofErr w:type="spellStart"/>
      <w:r w:rsidRPr="00C54F2D">
        <w:rPr>
          <w:rFonts w:eastAsiaTheme="minorEastAsia"/>
          <w:spacing w:val="2"/>
          <w:rtl/>
        </w:rPr>
        <w:t>دوكوي</w:t>
      </w:r>
      <w:proofErr w:type="spellEnd"/>
      <w:r w:rsidRPr="00C54F2D">
        <w:rPr>
          <w:rFonts w:eastAsiaTheme="minorEastAsia"/>
          <w:spacing w:val="2"/>
          <w:rtl/>
        </w:rPr>
        <w:t xml:space="preserve"> دون أن تتاح لهم إمكانية الوصول إلى سوق العمل خارج المخيم؛ </w:t>
      </w:r>
      <w:r w:rsidR="00C54F2D">
        <w:rPr>
          <w:rFonts w:eastAsiaTheme="minorEastAsia" w:hint="cs"/>
          <w:spacing w:val="2"/>
          <w:rtl/>
        </w:rPr>
        <w:t xml:space="preserve">      </w:t>
      </w:r>
      <w:r w:rsidRPr="00C54F2D">
        <w:rPr>
          <w:rFonts w:eastAsiaTheme="minorEastAsia"/>
          <w:spacing w:val="2"/>
          <w:rtl/>
        </w:rPr>
        <w:t>(ه)</w:t>
      </w:r>
      <w:r w:rsidRPr="0063517E">
        <w:rPr>
          <w:rFonts w:eastAsiaTheme="minorEastAsia"/>
          <w:rtl/>
        </w:rPr>
        <w:t xml:space="preserve"> عدم توافر الضمانات الكافية لمنع انعدام الجنسية في التشريع الحالي الذي ينظم شروط المواطنة، لجملة أسباب منها أنه لا يضمن اكتساب جنسية بوتسوانا للأطفال المولودين في بوتسوانا أو اللقطاء الذين سيكونون لولا ذلك عديمي الجنسية (المواد </w:t>
      </w:r>
      <w:r w:rsidRPr="00911C28">
        <w:rPr>
          <w:rFonts w:eastAsiaTheme="minorEastAsia"/>
          <w:rtl/>
        </w:rPr>
        <w:t>2</w:t>
      </w:r>
      <w:r w:rsidRPr="0063517E">
        <w:rPr>
          <w:rFonts w:eastAsiaTheme="minorEastAsia"/>
          <w:rtl/>
        </w:rPr>
        <w:t xml:space="preserve"> و</w:t>
      </w:r>
      <w:r w:rsidRPr="00911C28">
        <w:rPr>
          <w:rFonts w:eastAsiaTheme="minorEastAsia"/>
          <w:rtl/>
        </w:rPr>
        <w:t>7</w:t>
      </w:r>
      <w:r w:rsidRPr="0063517E">
        <w:rPr>
          <w:rFonts w:eastAsiaTheme="minorEastAsia"/>
          <w:rtl/>
        </w:rPr>
        <w:t xml:space="preserve"> و</w:t>
      </w:r>
      <w:r w:rsidRPr="00911C28">
        <w:rPr>
          <w:rFonts w:eastAsiaTheme="minorEastAsia"/>
          <w:rtl/>
        </w:rPr>
        <w:t>9</w:t>
      </w:r>
      <w:r w:rsidRPr="0063517E">
        <w:rPr>
          <w:rFonts w:eastAsiaTheme="minorEastAsia"/>
          <w:rtl/>
        </w:rPr>
        <w:t>-</w:t>
      </w:r>
      <w:r w:rsidRPr="00911C28">
        <w:rPr>
          <w:rFonts w:eastAsiaTheme="minorEastAsia"/>
          <w:rtl/>
        </w:rPr>
        <w:t>10</w:t>
      </w:r>
      <w:r w:rsidRPr="0063517E">
        <w:rPr>
          <w:rFonts w:eastAsiaTheme="minorEastAsia"/>
          <w:rtl/>
        </w:rPr>
        <w:t xml:space="preserve"> و</w:t>
      </w:r>
      <w:r w:rsidRPr="00911C28">
        <w:rPr>
          <w:rFonts w:eastAsiaTheme="minorEastAsia"/>
          <w:rtl/>
        </w:rPr>
        <w:t>13</w:t>
      </w:r>
      <w:r w:rsidRPr="0063517E">
        <w:rPr>
          <w:rFonts w:eastAsiaTheme="minorEastAsia"/>
          <w:rtl/>
        </w:rPr>
        <w:t xml:space="preserve"> و</w:t>
      </w:r>
      <w:r w:rsidRPr="00911C28">
        <w:rPr>
          <w:rFonts w:eastAsiaTheme="minorEastAsia"/>
          <w:rtl/>
        </w:rPr>
        <w:t>24</w:t>
      </w:r>
      <w:r w:rsidRPr="0063517E">
        <w:rPr>
          <w:rFonts w:eastAsiaTheme="minorEastAsia"/>
          <w:rtl/>
        </w:rPr>
        <w:t>).</w:t>
      </w:r>
    </w:p>
    <w:p w14:paraId="2B51E94E" w14:textId="77777777" w:rsidR="0063517E" w:rsidRPr="00911C28" w:rsidRDefault="0063517E" w:rsidP="0063517E">
      <w:pPr>
        <w:pStyle w:val="SingleTxtGA"/>
        <w:rPr>
          <w:rFonts w:eastAsiaTheme="minorEastAsia"/>
          <w:bCs/>
          <w:lang w:val="ar-SA" w:eastAsia="zh-TW" w:bidi="en-GB"/>
        </w:rPr>
      </w:pPr>
      <w:r w:rsidRPr="00911C28">
        <w:rPr>
          <w:rFonts w:eastAsiaTheme="minorEastAsia"/>
          <w:rtl/>
        </w:rPr>
        <w:lastRenderedPageBreak/>
        <w:t>30</w:t>
      </w:r>
      <w:r w:rsidRPr="0063517E">
        <w:rPr>
          <w:rFonts w:eastAsiaTheme="minorEastAsia"/>
          <w:rtl/>
        </w:rPr>
        <w:t>-</w:t>
      </w:r>
      <w:r w:rsidRPr="0063517E">
        <w:rPr>
          <w:rFonts w:eastAsiaTheme="minorEastAsia"/>
          <w:rtl/>
        </w:rPr>
        <w:tab/>
      </w:r>
      <w:r w:rsidRPr="00911C28">
        <w:rPr>
          <w:rFonts w:eastAsiaTheme="minorEastAsia"/>
          <w:bCs/>
          <w:rtl/>
        </w:rPr>
        <w:t>ينبغي للدولة الطرف القيام بما يلي:</w:t>
      </w:r>
    </w:p>
    <w:p w14:paraId="007020CB" w14:textId="65F09A75"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(أ)</w:t>
      </w:r>
      <w:r w:rsidRPr="0063517E">
        <w:rPr>
          <w:rFonts w:eastAsiaTheme="minorEastAsia"/>
          <w:rtl/>
        </w:rPr>
        <w:tab/>
      </w:r>
      <w:r w:rsidRPr="00911C28">
        <w:rPr>
          <w:rFonts w:eastAsiaTheme="minorEastAsia"/>
          <w:bCs/>
          <w:rtl/>
        </w:rPr>
        <w:t>كفالة أن يكون مشروع قانون اللاجئين (الاعتراف والمراقبة) ممتثلاً تماماً للعهد والمعايير الدولية ذات الصلة، بوسائل منها مواصلة التعاون والعمل مع مفوضية الأمم المتحدة لشؤون اللاجئين في جميع مراحل عملية الصياغة؛</w:t>
      </w:r>
    </w:p>
    <w:p w14:paraId="68A6BBD9" w14:textId="5A626E1E"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(ب)</w:t>
      </w:r>
      <w:r w:rsidRPr="0063517E">
        <w:rPr>
          <w:rFonts w:eastAsiaTheme="minorEastAsia"/>
          <w:rtl/>
        </w:rPr>
        <w:tab/>
      </w:r>
      <w:r w:rsidRPr="00911C28">
        <w:rPr>
          <w:rFonts w:eastAsiaTheme="minorEastAsia"/>
          <w:bCs/>
          <w:rtl/>
        </w:rPr>
        <w:t>وضع إجراءات لجوءٍ عادلة وفعالة تتفق مع المعايير الدولية، وتشمل آلية استئناف مستقلة ذات أثر إيقافي إزاء القرارات السلبية المتعلقة باللجوء، وتنص على توافر ضمانات كافية ضد الاحتجاز التعسفي والترحيل والإعادة القسرية؛</w:t>
      </w:r>
    </w:p>
    <w:p w14:paraId="5F816533" w14:textId="0D275928" w:rsidR="0063517E" w:rsidRPr="00911C28" w:rsidRDefault="0063517E" w:rsidP="0063517E">
      <w:pPr>
        <w:pStyle w:val="SingleTxtGA"/>
        <w:rPr>
          <w:rFonts w:eastAsiaTheme="minorEastAsia"/>
          <w:bCs/>
          <w:lang w:val="ar-SA" w:eastAsia="zh-TW" w:bidi="en-GB"/>
        </w:rPr>
      </w:pPr>
      <w:r>
        <w:rPr>
          <w:rFonts w:eastAsiaTheme="minorEastAsia"/>
          <w:rtl/>
        </w:rPr>
        <w:tab/>
      </w:r>
      <w:r w:rsidRPr="0063517E">
        <w:rPr>
          <w:rFonts w:eastAsiaTheme="minorEastAsia"/>
          <w:rtl/>
        </w:rPr>
        <w:t>(ج)</w:t>
      </w:r>
      <w:r w:rsidRPr="0063517E">
        <w:rPr>
          <w:rFonts w:eastAsiaTheme="minorEastAsia"/>
          <w:rtl/>
        </w:rPr>
        <w:tab/>
      </w:r>
      <w:r w:rsidRPr="00911C28">
        <w:rPr>
          <w:rFonts w:eastAsiaTheme="minorEastAsia"/>
          <w:bCs/>
          <w:rtl/>
        </w:rPr>
        <w:t>كفالة ألا يجري احتجاز ملتمسي اللجوء إلا كخيار أخير، ووضع بدائل لاحتجاز الأطفال والأسر التي لديها أطفال؛</w:t>
      </w:r>
    </w:p>
    <w:p w14:paraId="02143404" w14:textId="59ABF97A" w:rsidR="0063517E" w:rsidRPr="00911C28" w:rsidRDefault="0063517E" w:rsidP="0063517E">
      <w:pPr>
        <w:pStyle w:val="SingleTxtGA"/>
        <w:rPr>
          <w:rFonts w:eastAsiaTheme="minorEastAsia"/>
          <w:bCs/>
          <w:lang w:val="en-US" w:eastAsia="zh-TW" w:bidi="en-GB"/>
        </w:rPr>
      </w:pPr>
      <w:r>
        <w:rPr>
          <w:rFonts w:eastAsiaTheme="minorEastAsia"/>
          <w:rtl/>
        </w:rPr>
        <w:tab/>
      </w:r>
      <w:r w:rsidRPr="0063517E">
        <w:rPr>
          <w:rFonts w:eastAsiaTheme="minorEastAsia"/>
          <w:rtl/>
        </w:rPr>
        <w:t>(د)</w:t>
      </w:r>
      <w:r w:rsidRPr="0063517E">
        <w:rPr>
          <w:rFonts w:eastAsiaTheme="minorEastAsia"/>
          <w:rtl/>
        </w:rPr>
        <w:tab/>
      </w:r>
      <w:r w:rsidRPr="00911C28">
        <w:rPr>
          <w:rFonts w:eastAsiaTheme="minorEastAsia"/>
          <w:bCs/>
          <w:rtl/>
        </w:rPr>
        <w:t>إصدار وتجديد وثائق الهوية لملتمسي اللجوء في الوقت المناسب لمنع احتجازهم تعسفاً</w:t>
      </w:r>
      <w:r w:rsidRPr="00911C28">
        <w:rPr>
          <w:rFonts w:eastAsiaTheme="minorEastAsia" w:hint="cs"/>
          <w:bCs/>
          <w:rtl/>
        </w:rPr>
        <w:t> </w:t>
      </w:r>
      <w:r w:rsidRPr="00911C28">
        <w:rPr>
          <w:rFonts w:eastAsiaTheme="minorEastAsia"/>
          <w:bCs/>
          <w:rtl/>
        </w:rPr>
        <w:t>وترحيلهم؛</w:t>
      </w:r>
    </w:p>
    <w:p w14:paraId="5C1C32CD" w14:textId="04ADD2C7" w:rsidR="0063517E" w:rsidRPr="00911C28" w:rsidRDefault="0063517E" w:rsidP="0063517E">
      <w:pPr>
        <w:pStyle w:val="SingleTxtGA"/>
        <w:rPr>
          <w:rFonts w:eastAsiaTheme="minorEastAsia"/>
          <w:bCs/>
          <w:lang w:val="en-US" w:eastAsia="zh-TW" w:bidi="en-GB"/>
        </w:rPr>
      </w:pPr>
      <w:r>
        <w:rPr>
          <w:rFonts w:eastAsiaTheme="minorEastAsia"/>
          <w:rtl/>
        </w:rPr>
        <w:tab/>
      </w:r>
      <w:r w:rsidRPr="0063517E">
        <w:rPr>
          <w:rFonts w:eastAsiaTheme="minorEastAsia"/>
          <w:rtl/>
        </w:rPr>
        <w:t>(هـ)</w:t>
      </w:r>
      <w:r w:rsidRPr="0063517E">
        <w:rPr>
          <w:rFonts w:eastAsiaTheme="minorEastAsia"/>
          <w:rtl/>
        </w:rPr>
        <w:tab/>
      </w:r>
      <w:r w:rsidRPr="00911C28">
        <w:rPr>
          <w:rFonts w:eastAsiaTheme="minorEastAsia"/>
          <w:bCs/>
          <w:rtl/>
        </w:rPr>
        <w:t>اتخاذ التدابير التشريعية اللازمة لكفالة أن تنصّ التشريعات المتعلقة بالمواطنة على</w:t>
      </w:r>
      <w:r w:rsidR="00D46D12" w:rsidRPr="00911C28">
        <w:rPr>
          <w:rFonts w:eastAsiaTheme="minorEastAsia" w:hint="cs"/>
          <w:bCs/>
          <w:rtl/>
        </w:rPr>
        <w:t> </w:t>
      </w:r>
      <w:r w:rsidRPr="00911C28">
        <w:rPr>
          <w:rFonts w:eastAsiaTheme="minorEastAsia"/>
          <w:bCs/>
          <w:rtl/>
        </w:rPr>
        <w:t>ضمانات كافية لمنع حالات انعدام الجنسية، وفقاً للمعايير الدولية</w:t>
      </w:r>
      <w:r w:rsidR="00B875C3" w:rsidRPr="00911C28">
        <w:rPr>
          <w:rFonts w:eastAsiaTheme="minorEastAsia" w:hint="cs"/>
          <w:bCs/>
          <w:rtl/>
        </w:rPr>
        <w:t>؛</w:t>
      </w:r>
    </w:p>
    <w:p w14:paraId="40D5C8E7" w14:textId="6D185194" w:rsidR="0063517E" w:rsidRPr="00911C28" w:rsidRDefault="00D46D12" w:rsidP="0063517E">
      <w:pPr>
        <w:pStyle w:val="SingleTxtGA"/>
        <w:rPr>
          <w:rFonts w:eastAsiaTheme="minorEastAsia"/>
          <w:bCs/>
          <w:lang w:val="en-US" w:eastAsia="zh-TW" w:bidi="en-GB"/>
        </w:rPr>
      </w:pPr>
      <w:r>
        <w:rPr>
          <w:rFonts w:eastAsiaTheme="minorEastAsia"/>
          <w:rtl/>
        </w:rPr>
        <w:tab/>
      </w:r>
      <w:r w:rsidR="0063517E" w:rsidRPr="0063517E">
        <w:rPr>
          <w:rFonts w:eastAsiaTheme="minorEastAsia"/>
          <w:rtl/>
        </w:rPr>
        <w:t>(و)</w:t>
      </w:r>
      <w:r w:rsidR="0063517E" w:rsidRPr="0063517E">
        <w:rPr>
          <w:rFonts w:eastAsiaTheme="minorEastAsia"/>
          <w:rtl/>
        </w:rPr>
        <w:tab/>
      </w:r>
      <w:r w:rsidR="0063517E" w:rsidRPr="00911C28">
        <w:rPr>
          <w:rFonts w:eastAsiaTheme="minorEastAsia"/>
          <w:bCs/>
          <w:rtl/>
        </w:rPr>
        <w:t>النظر في التصديق على اتفاقية عام 1961 المتعلقة بخفض حالات انعدام الجنسية، وسحب التحفظ على اتفاقية عام 1951 الخاصة بوضع اللاجئين‏.</w:t>
      </w:r>
    </w:p>
    <w:p w14:paraId="64891C02" w14:textId="77777777" w:rsidR="0063517E" w:rsidRPr="00911C28" w:rsidRDefault="0063517E" w:rsidP="00D46D12">
      <w:pPr>
        <w:pStyle w:val="H23GA"/>
        <w:rPr>
          <w:lang w:val="ar-SA" w:eastAsia="zh-TW" w:bidi="en-GB"/>
        </w:rPr>
      </w:pPr>
      <w:r w:rsidRPr="00911C28">
        <w:rPr>
          <w:rtl/>
        </w:rPr>
        <w:tab/>
      </w:r>
      <w:r w:rsidRPr="00911C28">
        <w:rPr>
          <w:rtl/>
        </w:rPr>
        <w:tab/>
        <w:t>المراقبة والحق في الخصوصية</w:t>
      </w:r>
    </w:p>
    <w:p w14:paraId="7B046D9D" w14:textId="77777777" w:rsidR="0063517E" w:rsidRPr="0063517E" w:rsidRDefault="0063517E" w:rsidP="0063517E">
      <w:pPr>
        <w:pStyle w:val="SingleTxtGA"/>
        <w:rPr>
          <w:rFonts w:eastAsiaTheme="minorEastAsia"/>
          <w:lang w:val="ar-SA" w:eastAsia="zh-TW" w:bidi="en-GB"/>
        </w:rPr>
      </w:pPr>
      <w:r w:rsidRPr="00911C28">
        <w:rPr>
          <w:rFonts w:eastAsiaTheme="minorEastAsia"/>
          <w:rtl/>
        </w:rPr>
        <w:t>31</w:t>
      </w:r>
      <w:r w:rsidRPr="0063517E">
        <w:rPr>
          <w:rFonts w:eastAsiaTheme="minorEastAsia"/>
          <w:rtl/>
        </w:rPr>
        <w:t>-</w:t>
      </w:r>
      <w:r w:rsidRPr="0063517E">
        <w:rPr>
          <w:rFonts w:eastAsiaTheme="minorEastAsia"/>
          <w:rtl/>
        </w:rPr>
        <w:tab/>
        <w:t xml:space="preserve">يساور اللجنة القلق إزاء التقارير التي تفيد بزيادة عمليات رصد الأنشطة </w:t>
      </w:r>
      <w:proofErr w:type="spellStart"/>
      <w:r w:rsidRPr="0063517E">
        <w:rPr>
          <w:rFonts w:eastAsiaTheme="minorEastAsia"/>
          <w:rtl/>
        </w:rPr>
        <w:t>المضطلع</w:t>
      </w:r>
      <w:proofErr w:type="spellEnd"/>
      <w:r w:rsidRPr="0063517E">
        <w:rPr>
          <w:rFonts w:eastAsiaTheme="minorEastAsia"/>
          <w:rtl/>
        </w:rPr>
        <w:t xml:space="preserve"> بها عن طريق الإنترنت، ولجوء أجهزة الأمن والاستخبارات التابعة للدولة إلى الأساليب التدخلية لجمع المعلومات، بما في ذلك في سياق تدابير حالة الطوارئ ذات الصلة بكوفيد-</w:t>
      </w:r>
      <w:r w:rsidRPr="00911C28">
        <w:rPr>
          <w:rFonts w:eastAsiaTheme="minorEastAsia"/>
          <w:rtl/>
        </w:rPr>
        <w:t>19</w:t>
      </w:r>
      <w:r w:rsidRPr="0063517E">
        <w:rPr>
          <w:rFonts w:eastAsiaTheme="minorEastAsia"/>
          <w:rtl/>
        </w:rPr>
        <w:t xml:space="preserve">، وعدم وجود آليات للرقابة أو ضماناتٍ كافية ضد التدخل التعسفي في الحق في الخصوصية فيما يتعلق بأنشطة المراقبة واعتراض الاتصالات التي تنفّذها سلطات الدولة (المادة </w:t>
      </w:r>
      <w:r w:rsidRPr="00911C28">
        <w:rPr>
          <w:rFonts w:eastAsiaTheme="minorEastAsia"/>
          <w:rtl/>
        </w:rPr>
        <w:t>17</w:t>
      </w:r>
      <w:r w:rsidRPr="0063517E">
        <w:rPr>
          <w:rFonts w:eastAsiaTheme="minorEastAsia"/>
          <w:rtl/>
        </w:rPr>
        <w:t>).</w:t>
      </w:r>
    </w:p>
    <w:p w14:paraId="73EE07A8" w14:textId="77777777" w:rsidR="0063517E" w:rsidRPr="00911C28" w:rsidRDefault="0063517E" w:rsidP="0063517E">
      <w:pPr>
        <w:pStyle w:val="SingleTxtGA"/>
        <w:rPr>
          <w:rFonts w:eastAsiaTheme="minorEastAsia"/>
          <w:bCs/>
          <w:shd w:val="clear" w:color="auto" w:fill="FFFFFF"/>
          <w:lang w:val="ar-SA" w:eastAsia="zh-TW" w:bidi="en-GB"/>
        </w:rPr>
      </w:pPr>
      <w:r w:rsidRPr="00911C28">
        <w:rPr>
          <w:rFonts w:eastAsiaTheme="minorEastAsia"/>
          <w:rtl/>
        </w:rPr>
        <w:t>32</w:t>
      </w:r>
      <w:r w:rsidRPr="0063517E">
        <w:rPr>
          <w:rFonts w:eastAsiaTheme="minorEastAsia"/>
          <w:rtl/>
        </w:rPr>
        <w:t>-</w:t>
      </w:r>
      <w:r w:rsidRPr="0063517E">
        <w:rPr>
          <w:rFonts w:eastAsiaTheme="minorEastAsia"/>
          <w:rtl/>
        </w:rPr>
        <w:tab/>
      </w:r>
      <w:r w:rsidRPr="00911C28">
        <w:rPr>
          <w:rFonts w:eastAsiaTheme="minorEastAsia"/>
          <w:bCs/>
          <w:rtl/>
        </w:rPr>
        <w:t>ينبغي للدولة الطرف أن تكفل ما يلي:</w:t>
      </w:r>
    </w:p>
    <w:p w14:paraId="0DA8C054" w14:textId="79EF7270" w:rsidR="0063517E" w:rsidRPr="00911C28" w:rsidRDefault="00D46D12" w:rsidP="0063517E">
      <w:pPr>
        <w:pStyle w:val="SingleTxtGA"/>
        <w:rPr>
          <w:rFonts w:eastAsiaTheme="minorEastAsia"/>
          <w:bCs/>
          <w:lang w:val="ar-SA" w:eastAsia="zh-TW" w:bidi="en-GB"/>
        </w:rPr>
      </w:pPr>
      <w:r>
        <w:rPr>
          <w:rFonts w:eastAsiaTheme="minorEastAsia"/>
          <w:rtl/>
        </w:rPr>
        <w:tab/>
      </w:r>
      <w:r w:rsidR="0063517E" w:rsidRPr="0063517E">
        <w:rPr>
          <w:rFonts w:eastAsiaTheme="minorEastAsia"/>
          <w:rtl/>
        </w:rPr>
        <w:t>(أ)</w:t>
      </w:r>
      <w:r w:rsidR="0063517E" w:rsidRPr="0063517E">
        <w:rPr>
          <w:rFonts w:eastAsiaTheme="minorEastAsia"/>
          <w:rtl/>
        </w:rPr>
        <w:tab/>
      </w:r>
      <w:r w:rsidR="0063517E" w:rsidRPr="00911C28">
        <w:rPr>
          <w:rFonts w:eastAsiaTheme="minorEastAsia"/>
          <w:bCs/>
          <w:rtl/>
        </w:rPr>
        <w:t>خضوع جميع أنواع أنشطة المراقبة والتدخل في الخصوصية، بما في ذلك المراقبة عن طريق الإنترنت، واعتراض الاتصالات، والاطّلاع على بيانات الاتصالات، واستعادة البيانات، للتشريعات المناسبة التي تتفق مع مواد العهد، ولا سيما المادة 17، ومع مبادئ الشرعية والتناسب</w:t>
      </w:r>
      <w:r w:rsidR="00B875C3" w:rsidRPr="00911C28">
        <w:rPr>
          <w:rFonts w:eastAsiaTheme="minorEastAsia" w:hint="cs"/>
          <w:bCs/>
          <w:rtl/>
        </w:rPr>
        <w:t> </w:t>
      </w:r>
      <w:r w:rsidR="0063517E" w:rsidRPr="00911C28">
        <w:rPr>
          <w:rFonts w:eastAsiaTheme="minorEastAsia"/>
          <w:bCs/>
          <w:rtl/>
        </w:rPr>
        <w:t>والضرورة؛</w:t>
      </w:r>
    </w:p>
    <w:p w14:paraId="1DE71994" w14:textId="14646288" w:rsidR="0063517E" w:rsidRPr="00911C28" w:rsidRDefault="00D46D12" w:rsidP="0063517E">
      <w:pPr>
        <w:pStyle w:val="SingleTxtGA"/>
        <w:rPr>
          <w:rFonts w:eastAsiaTheme="minorEastAsia"/>
          <w:bCs/>
          <w:lang w:val="ar-SA" w:eastAsia="zh-TW" w:bidi="en-GB"/>
        </w:rPr>
      </w:pPr>
      <w:r>
        <w:rPr>
          <w:rFonts w:eastAsiaTheme="minorEastAsia"/>
          <w:rtl/>
        </w:rPr>
        <w:tab/>
      </w:r>
      <w:r w:rsidR="0063517E" w:rsidRPr="0063517E">
        <w:rPr>
          <w:rFonts w:eastAsiaTheme="minorEastAsia"/>
          <w:rtl/>
        </w:rPr>
        <w:t>(ب)</w:t>
      </w:r>
      <w:r w:rsidR="0063517E" w:rsidRPr="0063517E">
        <w:rPr>
          <w:rFonts w:eastAsiaTheme="minorEastAsia"/>
          <w:rtl/>
        </w:rPr>
        <w:tab/>
      </w:r>
      <w:r w:rsidR="0063517E" w:rsidRPr="00911C28">
        <w:rPr>
          <w:rFonts w:eastAsiaTheme="minorEastAsia"/>
          <w:bCs/>
          <w:rtl/>
        </w:rPr>
        <w:t>الاضطلاع بأنشطة المراقبة واعتراض الاتصالات رهناً بالحصول على إذن قضائي والخضوع لآليات رقابة فعالة ومستقلة، وكفالة إمكانية لجوء الأشخاص المتضررين، على النحو الواجب، إلى سبل الانتصاف الفعالة في حال إساءة استخدام الأنشطة أعلاه.</w:t>
      </w:r>
    </w:p>
    <w:p w14:paraId="45CD0C0C" w14:textId="77777777" w:rsidR="0063517E" w:rsidRPr="00911C28" w:rsidRDefault="0063517E" w:rsidP="00D46D12">
      <w:pPr>
        <w:pStyle w:val="H23GA"/>
        <w:rPr>
          <w:lang w:val="ar-SA" w:eastAsia="zh-TW" w:bidi="en-GB"/>
        </w:rPr>
      </w:pPr>
      <w:r w:rsidRPr="00911C28">
        <w:rPr>
          <w:rtl/>
        </w:rPr>
        <w:tab/>
      </w:r>
      <w:r w:rsidRPr="00911C28">
        <w:rPr>
          <w:rtl/>
        </w:rPr>
        <w:tab/>
        <w:t>حرية التعبير</w:t>
      </w:r>
    </w:p>
    <w:p w14:paraId="6653F48F" w14:textId="0C77B64F" w:rsidR="0063517E" w:rsidRPr="0063517E" w:rsidRDefault="0063517E" w:rsidP="0063517E">
      <w:pPr>
        <w:pStyle w:val="SingleTxtGA"/>
        <w:rPr>
          <w:rFonts w:eastAsiaTheme="minorEastAsia"/>
          <w:lang w:val="ar-SA" w:eastAsia="zh-TW" w:bidi="en-GB"/>
        </w:rPr>
      </w:pPr>
      <w:r w:rsidRPr="00911C28">
        <w:rPr>
          <w:rFonts w:eastAsiaTheme="minorEastAsia"/>
          <w:rtl/>
        </w:rPr>
        <w:t>33</w:t>
      </w:r>
      <w:r w:rsidRPr="0063517E">
        <w:rPr>
          <w:rFonts w:eastAsiaTheme="minorEastAsia"/>
          <w:rtl/>
        </w:rPr>
        <w:t>-</w:t>
      </w:r>
      <w:r w:rsidRPr="0063517E">
        <w:rPr>
          <w:rFonts w:eastAsiaTheme="minorEastAsia"/>
          <w:rtl/>
        </w:rPr>
        <w:tab/>
        <w:t>يساور اللجنة القلق لأن الأحكام المحلية السارية قد تقيّد دون وجه حق حرية التعبير والحصول</w:t>
      </w:r>
      <w:r w:rsidR="0036244E">
        <w:rPr>
          <w:rFonts w:eastAsiaTheme="minorEastAsia" w:hint="cs"/>
          <w:rtl/>
        </w:rPr>
        <w:t> </w:t>
      </w:r>
      <w:r w:rsidRPr="0063517E">
        <w:rPr>
          <w:rFonts w:eastAsiaTheme="minorEastAsia"/>
          <w:rtl/>
        </w:rPr>
        <w:t>على المعلومات. ويُذكر من بين هذه الأحكام قانون الأمن الوطني، وقانون الفتنة، وقانون</w:t>
      </w:r>
      <w:r w:rsidR="0036244E">
        <w:rPr>
          <w:rFonts w:eastAsiaTheme="minorEastAsia" w:hint="cs"/>
          <w:rtl/>
        </w:rPr>
        <w:t> </w:t>
      </w:r>
      <w:r w:rsidRPr="0063517E">
        <w:rPr>
          <w:rFonts w:eastAsiaTheme="minorEastAsia"/>
          <w:rtl/>
        </w:rPr>
        <w:t>الإعلاميين (</w:t>
      </w:r>
      <w:r w:rsidRPr="00911C28">
        <w:rPr>
          <w:rFonts w:eastAsiaTheme="minorEastAsia"/>
          <w:rtl/>
        </w:rPr>
        <w:t>2008</w:t>
      </w:r>
      <w:r w:rsidRPr="0063517E">
        <w:rPr>
          <w:rFonts w:eastAsiaTheme="minorEastAsia"/>
          <w:rtl/>
        </w:rPr>
        <w:t xml:space="preserve">)، وقانون الجريمة الإلكترونية والجرائم ذات الصلة، المواد </w:t>
      </w:r>
      <w:r w:rsidRPr="00911C28">
        <w:rPr>
          <w:rFonts w:eastAsiaTheme="minorEastAsia"/>
          <w:rtl/>
        </w:rPr>
        <w:t>90</w:t>
      </w:r>
      <w:r w:rsidRPr="0063517E">
        <w:rPr>
          <w:rFonts w:eastAsiaTheme="minorEastAsia"/>
          <w:rtl/>
        </w:rPr>
        <w:t>-</w:t>
      </w:r>
      <w:r w:rsidRPr="00911C28">
        <w:rPr>
          <w:rFonts w:eastAsiaTheme="minorEastAsia"/>
          <w:rtl/>
        </w:rPr>
        <w:t>91</w:t>
      </w:r>
      <w:r w:rsidRPr="0063517E">
        <w:rPr>
          <w:rFonts w:eastAsiaTheme="minorEastAsia"/>
          <w:rtl/>
        </w:rPr>
        <w:t xml:space="preserve"> و</w:t>
      </w:r>
      <w:r w:rsidRPr="00911C28">
        <w:rPr>
          <w:rFonts w:eastAsiaTheme="minorEastAsia"/>
          <w:rtl/>
        </w:rPr>
        <w:t>93</w:t>
      </w:r>
      <w:r w:rsidRPr="0063517E">
        <w:rPr>
          <w:rFonts w:eastAsiaTheme="minorEastAsia"/>
          <w:rtl/>
        </w:rPr>
        <w:t xml:space="preserve"> </w:t>
      </w:r>
      <w:r w:rsidRPr="0036244E">
        <w:rPr>
          <w:rFonts w:eastAsiaTheme="minorEastAsia"/>
          <w:spacing w:val="-4"/>
          <w:rtl/>
        </w:rPr>
        <w:t>و</w:t>
      </w:r>
      <w:r w:rsidRPr="00911C28">
        <w:rPr>
          <w:rFonts w:eastAsiaTheme="minorEastAsia"/>
          <w:spacing w:val="-4"/>
          <w:rtl/>
        </w:rPr>
        <w:t>192</w:t>
      </w:r>
      <w:r w:rsidRPr="0036244E">
        <w:rPr>
          <w:rFonts w:eastAsiaTheme="minorEastAsia"/>
          <w:spacing w:val="-4"/>
          <w:rtl/>
        </w:rPr>
        <w:t>-</w:t>
      </w:r>
      <w:r w:rsidRPr="00911C28">
        <w:rPr>
          <w:rFonts w:eastAsiaTheme="minorEastAsia"/>
          <w:spacing w:val="-4"/>
          <w:rtl/>
        </w:rPr>
        <w:t>199</w:t>
      </w:r>
      <w:r w:rsidRPr="0036244E">
        <w:rPr>
          <w:rFonts w:eastAsiaTheme="minorEastAsia"/>
          <w:spacing w:val="-4"/>
          <w:rtl/>
        </w:rPr>
        <w:t xml:space="preserve"> من قانون العقوبات، وقانون الصلاحيات في حالات الطوارئ الذي سُنّ خلال جائحة كوفيد-</w:t>
      </w:r>
      <w:r w:rsidRPr="00911C28">
        <w:rPr>
          <w:rFonts w:eastAsiaTheme="minorEastAsia"/>
          <w:spacing w:val="-4"/>
          <w:rtl/>
        </w:rPr>
        <w:t>19</w:t>
      </w:r>
      <w:r w:rsidRPr="0036244E">
        <w:rPr>
          <w:rFonts w:eastAsiaTheme="minorEastAsia"/>
          <w:spacing w:val="-4"/>
          <w:rtl/>
        </w:rPr>
        <w:t>.</w:t>
      </w:r>
      <w:r w:rsidRPr="0063517E">
        <w:rPr>
          <w:rFonts w:eastAsiaTheme="minorEastAsia"/>
          <w:rtl/>
        </w:rPr>
        <w:t xml:space="preserve"> </w:t>
      </w:r>
      <w:r w:rsidRPr="0063517E">
        <w:rPr>
          <w:rFonts w:eastAsiaTheme="minorEastAsia"/>
          <w:rtl/>
        </w:rPr>
        <w:lastRenderedPageBreak/>
        <w:t xml:space="preserve">كما تشعر اللجنة بالقلق لأن التشهير لا يزال يجرَّم في الدولة الطرف، ولأنه لا توجد أحكام محددة في التشريعات المحلية لحماية الصحفيين والمدافعين عن حقوق الإنسان أثناء أداء عملهم. وفي هذا الصدد، يساور اللجنة القلق إزاء التقارير التي تفيد بممارسة الحكومة الضغط وعمليات الاعتقال والتعذيب والاعتداء بلا مبرر إزاء أفراد المعارضة السياسية، والصحفيين والمدافعين عن حقوق الإنسان وغيرهم ممن ينتقدون الحكومة، مما قد يخلف أثراً مثبطاً في الحيز المدني (المادة </w:t>
      </w:r>
      <w:r w:rsidRPr="00911C28">
        <w:rPr>
          <w:rFonts w:eastAsiaTheme="minorEastAsia"/>
          <w:rtl/>
        </w:rPr>
        <w:t>19</w:t>
      </w:r>
      <w:r w:rsidRPr="0063517E">
        <w:rPr>
          <w:rFonts w:eastAsiaTheme="minorEastAsia"/>
          <w:rtl/>
        </w:rPr>
        <w:t>).</w:t>
      </w:r>
    </w:p>
    <w:p w14:paraId="3DDA07BD" w14:textId="77777777" w:rsidR="0063517E" w:rsidRPr="00911C28" w:rsidRDefault="0063517E" w:rsidP="0063517E">
      <w:pPr>
        <w:pStyle w:val="SingleTxtGA"/>
        <w:rPr>
          <w:rFonts w:eastAsiaTheme="minorEastAsia"/>
          <w:bCs/>
          <w:lang w:val="ar-SA" w:eastAsia="zh-TW" w:bidi="en-GB"/>
        </w:rPr>
      </w:pPr>
      <w:r w:rsidRPr="00911C28">
        <w:rPr>
          <w:rFonts w:eastAsiaTheme="minorEastAsia"/>
          <w:rtl/>
        </w:rPr>
        <w:t>34</w:t>
      </w:r>
      <w:r w:rsidRPr="0063517E">
        <w:rPr>
          <w:rFonts w:eastAsiaTheme="minorEastAsia"/>
          <w:rtl/>
        </w:rPr>
        <w:t>-</w:t>
      </w:r>
      <w:r w:rsidRPr="0063517E">
        <w:rPr>
          <w:rFonts w:eastAsiaTheme="minorEastAsia"/>
          <w:rtl/>
        </w:rPr>
        <w:tab/>
      </w:r>
      <w:r w:rsidRPr="00911C28">
        <w:rPr>
          <w:rFonts w:eastAsiaTheme="minorEastAsia"/>
          <w:bCs/>
          <w:rtl/>
        </w:rPr>
        <w:t>ينبغي للدولة الطرف القيام بما يلي:</w:t>
      </w:r>
    </w:p>
    <w:p w14:paraId="7067A5D0" w14:textId="0C799C29" w:rsidR="0063517E" w:rsidRPr="00911C28" w:rsidRDefault="00D46D12" w:rsidP="0063517E">
      <w:pPr>
        <w:pStyle w:val="SingleTxtGA"/>
        <w:rPr>
          <w:rFonts w:eastAsiaTheme="minorEastAsia"/>
          <w:bCs/>
          <w:lang w:val="en-US" w:eastAsia="zh-TW" w:bidi="en-GB"/>
        </w:rPr>
      </w:pPr>
      <w:r>
        <w:rPr>
          <w:rFonts w:eastAsiaTheme="minorEastAsia"/>
          <w:rtl/>
        </w:rPr>
        <w:tab/>
      </w:r>
      <w:r w:rsidR="0063517E" w:rsidRPr="0063517E">
        <w:rPr>
          <w:rFonts w:eastAsiaTheme="minorEastAsia"/>
          <w:rtl/>
        </w:rPr>
        <w:t>(أ)</w:t>
      </w:r>
      <w:r w:rsidR="0063517E" w:rsidRPr="0063517E">
        <w:rPr>
          <w:rFonts w:eastAsiaTheme="minorEastAsia"/>
          <w:rtl/>
        </w:rPr>
        <w:tab/>
      </w:r>
      <w:r w:rsidR="0063517E" w:rsidRPr="00911C28">
        <w:rPr>
          <w:rFonts w:eastAsiaTheme="minorEastAsia"/>
          <w:bCs/>
          <w:rtl/>
        </w:rPr>
        <w:t>أن تنقّح التشريعات الوطنية التي قد تقيّد دون مبرر الحق في حرية التعبير، بما في ذلك القوانين المذكورة أعلاه، لجعلها متوائمة مع التزاماتها بمقتضى العهد، في ظل مراعاة تعليق اللجنة العام رقم 34</w:t>
      </w:r>
      <w:r w:rsidR="0036244E" w:rsidRPr="00911C28">
        <w:rPr>
          <w:rFonts w:eastAsiaTheme="minorEastAsia"/>
          <w:bCs/>
          <w:rtl/>
        </w:rPr>
        <w:t>(</w:t>
      </w:r>
      <w:r w:rsidR="0063517E" w:rsidRPr="00911C28">
        <w:rPr>
          <w:rFonts w:eastAsiaTheme="minorEastAsia"/>
          <w:bCs/>
          <w:rtl/>
        </w:rPr>
        <w:t>2011)؛</w:t>
      </w:r>
    </w:p>
    <w:p w14:paraId="535119B1" w14:textId="1CA94207" w:rsidR="0063517E" w:rsidRPr="00911C28" w:rsidRDefault="00D46D12" w:rsidP="0063517E">
      <w:pPr>
        <w:pStyle w:val="SingleTxtGA"/>
        <w:rPr>
          <w:rFonts w:eastAsiaTheme="minorEastAsia"/>
          <w:bCs/>
          <w:lang w:val="ar-SA" w:eastAsia="zh-TW" w:bidi="en-GB"/>
        </w:rPr>
      </w:pPr>
      <w:r>
        <w:rPr>
          <w:rFonts w:eastAsiaTheme="minorEastAsia"/>
          <w:rtl/>
        </w:rPr>
        <w:tab/>
      </w:r>
      <w:r w:rsidR="0063517E" w:rsidRPr="0063517E">
        <w:rPr>
          <w:rFonts w:eastAsiaTheme="minorEastAsia"/>
          <w:rtl/>
        </w:rPr>
        <w:t>(ب)</w:t>
      </w:r>
      <w:r w:rsidR="0063517E" w:rsidRPr="0063517E">
        <w:rPr>
          <w:rFonts w:eastAsiaTheme="minorEastAsia"/>
          <w:rtl/>
        </w:rPr>
        <w:tab/>
      </w:r>
      <w:r w:rsidR="0063517E" w:rsidRPr="00911C28">
        <w:rPr>
          <w:rFonts w:eastAsiaTheme="minorEastAsia"/>
          <w:bCs/>
          <w:rtl/>
        </w:rPr>
        <w:t>أن تكفل امتثال أي قيود يجري فرضها على ممارسة حرية التعبير للمتطلبات الصارمة المنصوص عليها في المادة 19(3) من العهد؛</w:t>
      </w:r>
    </w:p>
    <w:p w14:paraId="69538253" w14:textId="371DA5FE" w:rsidR="0063517E" w:rsidRPr="00911C28" w:rsidRDefault="00D46D12" w:rsidP="0063517E">
      <w:pPr>
        <w:pStyle w:val="SingleTxtGA"/>
        <w:rPr>
          <w:rFonts w:eastAsiaTheme="minorEastAsia"/>
          <w:bCs/>
          <w:lang w:val="en-US" w:eastAsia="zh-TW" w:bidi="en-GB"/>
        </w:rPr>
      </w:pPr>
      <w:r>
        <w:rPr>
          <w:rFonts w:eastAsiaTheme="minorEastAsia"/>
          <w:rtl/>
        </w:rPr>
        <w:tab/>
      </w:r>
      <w:r w:rsidR="0063517E" w:rsidRPr="0063517E">
        <w:rPr>
          <w:rFonts w:eastAsiaTheme="minorEastAsia"/>
          <w:rtl/>
        </w:rPr>
        <w:t>(ج)</w:t>
      </w:r>
      <w:r w:rsidR="0063517E" w:rsidRPr="0063517E">
        <w:rPr>
          <w:rFonts w:eastAsiaTheme="minorEastAsia"/>
          <w:rtl/>
        </w:rPr>
        <w:tab/>
      </w:r>
      <w:r w:rsidR="0063517E" w:rsidRPr="00911C28">
        <w:rPr>
          <w:rFonts w:eastAsiaTheme="minorEastAsia"/>
          <w:bCs/>
          <w:rtl/>
        </w:rPr>
        <w:t>أن تنظر في إنهاء تجريم التشهير، وعدم اللجوء بأي حال من الأحوال إلى القانون الجنائي إلا في أشد القضايا خطورةً، وأن تضع في اعتبارها أن السجن لا يشكل قط عقوبة مناسبة تُفرض على التشهير، على النحو المبين في التعليق العام رقم 34</w:t>
      </w:r>
      <w:r w:rsidR="0036244E" w:rsidRPr="00911C28">
        <w:rPr>
          <w:rFonts w:eastAsiaTheme="minorEastAsia"/>
          <w:bCs/>
          <w:rtl/>
        </w:rPr>
        <w:t>(</w:t>
      </w:r>
      <w:r w:rsidR="0063517E" w:rsidRPr="00911C28">
        <w:rPr>
          <w:rFonts w:eastAsiaTheme="minorEastAsia"/>
          <w:bCs/>
          <w:rtl/>
        </w:rPr>
        <w:t>2011)؛</w:t>
      </w:r>
    </w:p>
    <w:p w14:paraId="43BBA0FD" w14:textId="3C4380CC" w:rsidR="0063517E" w:rsidRPr="00911C28" w:rsidRDefault="00D46D12" w:rsidP="0063517E">
      <w:pPr>
        <w:pStyle w:val="SingleTxtGA"/>
        <w:rPr>
          <w:rFonts w:eastAsiaTheme="minorEastAsia"/>
          <w:bCs/>
          <w:lang w:val="ar-SA" w:eastAsia="zh-TW" w:bidi="en-GB"/>
        </w:rPr>
      </w:pPr>
      <w:r>
        <w:rPr>
          <w:rFonts w:eastAsiaTheme="minorEastAsia"/>
          <w:rtl/>
        </w:rPr>
        <w:tab/>
      </w:r>
      <w:r w:rsidR="0063517E" w:rsidRPr="0063517E">
        <w:rPr>
          <w:rFonts w:eastAsiaTheme="minorEastAsia"/>
          <w:rtl/>
        </w:rPr>
        <w:t>(د)</w:t>
      </w:r>
      <w:r>
        <w:rPr>
          <w:rFonts w:eastAsiaTheme="minorEastAsia"/>
          <w:rtl/>
        </w:rPr>
        <w:tab/>
      </w:r>
      <w:r w:rsidR="0063517E" w:rsidRPr="00911C28">
        <w:rPr>
          <w:rFonts w:eastAsiaTheme="minorEastAsia"/>
          <w:bCs/>
          <w:rtl/>
        </w:rPr>
        <w:t>أن تكفل الحماية للصحفيين والمدافعين عن حقوق الإنسان، وأن تحقق في جميع عمليات المضايقة، والاعتقال والاحتجاز التعسفيين إزاءهم، وأن تُقاضي وتعاقب المسؤولين عن هذه الحالات، وأن تقدم التعويض الكامل للضحايا.</w:t>
      </w:r>
    </w:p>
    <w:p w14:paraId="101BE6E6" w14:textId="77777777" w:rsidR="0063517E" w:rsidRPr="00911C28" w:rsidRDefault="0063517E" w:rsidP="00D46D12">
      <w:pPr>
        <w:pStyle w:val="H23GA"/>
        <w:rPr>
          <w:lang w:val="ar-SA" w:eastAsia="zh-TW" w:bidi="en-GB"/>
        </w:rPr>
      </w:pPr>
      <w:r w:rsidRPr="00911C28">
        <w:rPr>
          <w:rtl/>
        </w:rPr>
        <w:tab/>
      </w:r>
      <w:r w:rsidRPr="00911C28">
        <w:rPr>
          <w:rtl/>
        </w:rPr>
        <w:tab/>
      </w:r>
      <w:r w:rsidRPr="00911C28">
        <w:rPr>
          <w:rtl/>
        </w:rPr>
        <w:tab/>
        <w:t>التجمع السلمي</w:t>
      </w:r>
      <w:r w:rsidRPr="00911C28">
        <w:rPr>
          <w:rFonts w:cs="Times New Roman" w:hint="cs"/>
          <w:rtl/>
        </w:rPr>
        <w:t>‬</w:t>
      </w:r>
    </w:p>
    <w:p w14:paraId="1975C8FE" w14:textId="04B0DAB8" w:rsidR="0063517E" w:rsidRPr="0063517E" w:rsidRDefault="0063517E" w:rsidP="0063517E">
      <w:pPr>
        <w:pStyle w:val="SingleTxtGA"/>
        <w:rPr>
          <w:rFonts w:eastAsiaTheme="minorEastAsia"/>
          <w:lang w:val="ar-SA" w:eastAsia="zh-TW" w:bidi="en-GB"/>
        </w:rPr>
      </w:pPr>
      <w:r w:rsidRPr="00911C28">
        <w:rPr>
          <w:rFonts w:eastAsiaTheme="minorEastAsia"/>
          <w:rtl/>
        </w:rPr>
        <w:t>35</w:t>
      </w:r>
      <w:r w:rsidRPr="0063517E">
        <w:rPr>
          <w:rFonts w:eastAsiaTheme="minorEastAsia"/>
          <w:rtl/>
        </w:rPr>
        <w:t>-</w:t>
      </w:r>
      <w:r w:rsidRPr="0063517E">
        <w:rPr>
          <w:rFonts w:eastAsiaTheme="minorEastAsia"/>
          <w:rtl/>
        </w:rPr>
        <w:tab/>
        <w:t xml:space="preserve">يساور اللجنة القلق لأن قانون النظام العام يتطلب الحصول على تصريح من الشرطة من أجل التجمع، إضافةً إلى ورود تقارير تفيد بأن هذا الشرط يُستخدم في الممارسة العملية لرفض الإذن بالتجمع السلمي. ويساور اللجنة القلق أيضاً إزاء التقارير التي تفيد باستخدام سلطات الدولة المفرط للقوة بغية تفريق المحتجين، وباحتجاز المحتجين واعتقالهم تعسفاً لممارستهم حقهم في التجمع السلمي (المواد </w:t>
      </w:r>
      <w:r w:rsidRPr="00911C28">
        <w:rPr>
          <w:rFonts w:eastAsiaTheme="minorEastAsia"/>
          <w:rtl/>
        </w:rPr>
        <w:t>7</w:t>
      </w:r>
      <w:r w:rsidRPr="0063517E">
        <w:rPr>
          <w:rFonts w:eastAsiaTheme="minorEastAsia"/>
          <w:rtl/>
        </w:rPr>
        <w:t xml:space="preserve"> و</w:t>
      </w:r>
      <w:r w:rsidRPr="00911C28">
        <w:rPr>
          <w:rFonts w:eastAsiaTheme="minorEastAsia"/>
          <w:rtl/>
        </w:rPr>
        <w:t>9</w:t>
      </w:r>
      <w:r w:rsidRPr="0063517E">
        <w:rPr>
          <w:rFonts w:eastAsiaTheme="minorEastAsia"/>
          <w:rtl/>
        </w:rPr>
        <w:t xml:space="preserve"> و</w:t>
      </w:r>
      <w:r w:rsidRPr="00911C28">
        <w:rPr>
          <w:rFonts w:eastAsiaTheme="minorEastAsia"/>
          <w:rtl/>
        </w:rPr>
        <w:t>21</w:t>
      </w:r>
      <w:r w:rsidRPr="0063517E">
        <w:rPr>
          <w:rFonts w:eastAsiaTheme="minorEastAsia"/>
          <w:rtl/>
        </w:rPr>
        <w:t>).</w:t>
      </w:r>
    </w:p>
    <w:p w14:paraId="56AC7E08" w14:textId="4CEB55A9" w:rsidR="0063517E" w:rsidRPr="00911C28" w:rsidRDefault="0063517E" w:rsidP="0063517E">
      <w:pPr>
        <w:pStyle w:val="SingleTxtGA"/>
        <w:rPr>
          <w:rFonts w:eastAsiaTheme="minorEastAsia"/>
          <w:b/>
          <w:bCs/>
          <w:rtl/>
        </w:rPr>
      </w:pPr>
      <w:r w:rsidRPr="00911C28">
        <w:rPr>
          <w:rFonts w:eastAsiaTheme="minorEastAsia"/>
          <w:rtl/>
        </w:rPr>
        <w:t>36</w:t>
      </w:r>
      <w:r w:rsidRPr="0063517E">
        <w:rPr>
          <w:rFonts w:eastAsiaTheme="minorEastAsia"/>
          <w:rtl/>
        </w:rPr>
        <w:t>-</w:t>
      </w:r>
      <w:r w:rsidRPr="0063517E">
        <w:rPr>
          <w:rFonts w:eastAsiaTheme="minorEastAsia"/>
          <w:rtl/>
        </w:rPr>
        <w:tab/>
      </w:r>
      <w:r w:rsidRPr="00911C28">
        <w:rPr>
          <w:rFonts w:eastAsiaTheme="minorEastAsia"/>
          <w:b/>
          <w:bCs/>
          <w:rtl/>
        </w:rPr>
        <w:t>ومع مراعاة التعليق العام للجنة رقم 37</w:t>
      </w:r>
      <w:r w:rsidR="0036244E" w:rsidRPr="00911C28">
        <w:rPr>
          <w:rFonts w:eastAsiaTheme="minorEastAsia"/>
          <w:b/>
          <w:bCs/>
          <w:rtl/>
        </w:rPr>
        <w:t>(</w:t>
      </w:r>
      <w:r w:rsidRPr="00911C28">
        <w:rPr>
          <w:rFonts w:eastAsiaTheme="minorEastAsia"/>
          <w:b/>
          <w:bCs/>
          <w:rtl/>
        </w:rPr>
        <w:t>2020)، ينبغي للدولة الطرف أن توائم جميع القوانين والممارسات التي تنظم التجمع السلمي، ولا سيما قانون النظام العام، لتصبح ممتثلة امتثالاً كاملاً للعهد، وأن تكفل امتثال أي قيود يتم فرضها للمتطلبات الصارمة الواردة فيه. وينبغي لها أيضاً أن تُجري تحقيقات فعالة في جميع حالات العنف والاعتقال والاحتجاز التعسفيين إزاء المحتجين المسالمين، وتقديم المسؤولين عنها إلى المحاكمة. وينبغي أن تتم مواءمة استعمال القوة من جانب موظفي إنفاذ القانون أثناء التجمعات السلمية مع التوجيهات المتعلقة بحقوق الإنسان الصادرة عن الأمم المتحدة بشأن استخدام الأسلحة الأقل فتكاً في سياق إنفاذ القانون، والمبادئ الأساسية بشأن استخدام القوة والأسلحة النارية من جانب الموظفين المكلفين بإنفاذ القوانين.</w:t>
      </w:r>
    </w:p>
    <w:p w14:paraId="326BD6DE" w14:textId="58FA12D0" w:rsidR="0063517E" w:rsidRPr="00911C28" w:rsidRDefault="00D46D12" w:rsidP="00D46D12">
      <w:pPr>
        <w:pStyle w:val="H23GA"/>
      </w:pPr>
      <w:r w:rsidRPr="00911C28">
        <w:rPr>
          <w:rtl/>
        </w:rPr>
        <w:tab/>
      </w:r>
      <w:r w:rsidRPr="00911C28">
        <w:rPr>
          <w:rtl/>
        </w:rPr>
        <w:tab/>
      </w:r>
      <w:r w:rsidR="0063517E" w:rsidRPr="00911C28">
        <w:rPr>
          <w:rtl/>
        </w:rPr>
        <w:t>حقوق الأقليات ومجتمعات الشعوب الأصلية</w:t>
      </w:r>
    </w:p>
    <w:p w14:paraId="6E1ED3F1" w14:textId="6F123637" w:rsidR="0063517E" w:rsidRPr="00D46D12" w:rsidRDefault="0063517E" w:rsidP="0063517E">
      <w:pPr>
        <w:pStyle w:val="SingleTxtGA"/>
        <w:rPr>
          <w:rFonts w:eastAsiaTheme="minorEastAsia"/>
          <w:spacing w:val="-2"/>
          <w:lang w:val="ar-SA" w:eastAsia="zh-TW" w:bidi="en-GB"/>
        </w:rPr>
      </w:pPr>
      <w:r w:rsidRPr="00911C28">
        <w:rPr>
          <w:rFonts w:eastAsiaTheme="minorEastAsia"/>
          <w:rtl/>
        </w:rPr>
        <w:t>37</w:t>
      </w:r>
      <w:r w:rsidRPr="0063517E">
        <w:rPr>
          <w:rFonts w:eastAsiaTheme="minorEastAsia"/>
          <w:rtl/>
        </w:rPr>
        <w:t>-</w:t>
      </w:r>
      <w:r w:rsidRPr="0063517E">
        <w:rPr>
          <w:rFonts w:eastAsiaTheme="minorEastAsia"/>
          <w:rtl/>
        </w:rPr>
        <w:tab/>
        <w:t>يساور اللجنة القلق إزاء الصعوبات التي تواجهها الأقليات ومجتمعات الشعوب الأصلية في الحصول على الخدمات العامة، بما في ذلك الرعاية الصحية والتعليم، وفي التمتع بحقوقها في أراضيها التقليدية ومواردها الطبيعية وفي ممارسة حقوقها اللغوية. ويساورها القلق بوجه خاص إزاء ما يلي: (أ)</w:t>
      </w:r>
      <w:r w:rsidR="00D46D12">
        <w:rPr>
          <w:rFonts w:eastAsiaTheme="minorEastAsia" w:hint="cs"/>
          <w:rtl/>
        </w:rPr>
        <w:t> </w:t>
      </w:r>
      <w:r w:rsidRPr="0063517E">
        <w:rPr>
          <w:rFonts w:eastAsiaTheme="minorEastAsia"/>
          <w:rtl/>
        </w:rPr>
        <w:t xml:space="preserve">مطالبة المقيمين السابقين في محمية </w:t>
      </w:r>
      <w:bookmarkStart w:id="10" w:name="_Hlk89176404"/>
      <w:proofErr w:type="spellStart"/>
      <w:r w:rsidRPr="0063517E">
        <w:rPr>
          <w:rFonts w:eastAsiaTheme="minorEastAsia"/>
          <w:rtl/>
        </w:rPr>
        <w:t>كالاهاري</w:t>
      </w:r>
      <w:proofErr w:type="spellEnd"/>
      <w:r w:rsidRPr="0063517E">
        <w:rPr>
          <w:rFonts w:eastAsiaTheme="minorEastAsia"/>
          <w:rtl/>
        </w:rPr>
        <w:t xml:space="preserve"> الوسطى</w:t>
      </w:r>
      <w:bookmarkEnd w:id="10"/>
      <w:r w:rsidRPr="0063517E">
        <w:rPr>
          <w:rFonts w:eastAsiaTheme="minorEastAsia"/>
          <w:rtl/>
        </w:rPr>
        <w:t xml:space="preserve">، ولا سيما أفراد </w:t>
      </w:r>
      <w:proofErr w:type="spellStart"/>
      <w:r w:rsidRPr="0063517E">
        <w:rPr>
          <w:rFonts w:eastAsiaTheme="minorEastAsia"/>
          <w:rtl/>
        </w:rPr>
        <w:t>الباساروا</w:t>
      </w:r>
      <w:proofErr w:type="spellEnd"/>
      <w:r w:rsidRPr="0063517E">
        <w:rPr>
          <w:rFonts w:eastAsiaTheme="minorEastAsia"/>
          <w:rtl/>
        </w:rPr>
        <w:t xml:space="preserve"> </w:t>
      </w:r>
      <w:proofErr w:type="spellStart"/>
      <w:r w:rsidRPr="0063517E">
        <w:rPr>
          <w:rFonts w:eastAsiaTheme="minorEastAsia"/>
          <w:rtl/>
        </w:rPr>
        <w:t>والباكغالاغادي</w:t>
      </w:r>
      <w:proofErr w:type="spellEnd"/>
      <w:r w:rsidRPr="0063517E">
        <w:rPr>
          <w:rFonts w:eastAsiaTheme="minorEastAsia"/>
          <w:rtl/>
        </w:rPr>
        <w:t xml:space="preserve">، </w:t>
      </w:r>
      <w:r w:rsidRPr="0063517E">
        <w:rPr>
          <w:rFonts w:eastAsiaTheme="minorEastAsia"/>
          <w:rtl/>
        </w:rPr>
        <w:lastRenderedPageBreak/>
        <w:t xml:space="preserve">الذين لم يتقدموا بطلبات </w:t>
      </w:r>
      <w:bookmarkStart w:id="11" w:name="_Hlk89176488"/>
      <w:r w:rsidRPr="0063517E">
        <w:rPr>
          <w:rFonts w:eastAsiaTheme="minorEastAsia"/>
          <w:rtl/>
        </w:rPr>
        <w:t>في قضية رُ</w:t>
      </w:r>
      <w:r w:rsidRPr="00911C28">
        <w:rPr>
          <w:rFonts w:eastAsiaTheme="minorEastAsia"/>
          <w:i/>
          <w:iCs/>
          <w:rtl/>
        </w:rPr>
        <w:t xml:space="preserve">وي </w:t>
      </w:r>
      <w:proofErr w:type="spellStart"/>
      <w:r w:rsidRPr="00911C28">
        <w:rPr>
          <w:rFonts w:eastAsiaTheme="minorEastAsia"/>
          <w:i/>
          <w:iCs/>
          <w:rtl/>
        </w:rPr>
        <w:t>سيسانا</w:t>
      </w:r>
      <w:proofErr w:type="spellEnd"/>
      <w:r w:rsidRPr="00911C28">
        <w:rPr>
          <w:rFonts w:eastAsiaTheme="minorEastAsia"/>
          <w:i/>
          <w:iCs/>
          <w:rtl/>
        </w:rPr>
        <w:t xml:space="preserve"> وآخرون ضد المدعي العام</w:t>
      </w:r>
      <w:r w:rsidRPr="0063517E">
        <w:rPr>
          <w:rFonts w:eastAsiaTheme="minorEastAsia"/>
          <w:rtl/>
        </w:rPr>
        <w:t xml:space="preserve">، </w:t>
      </w:r>
      <w:bookmarkEnd w:id="11"/>
      <w:r w:rsidRPr="0063517E">
        <w:rPr>
          <w:rFonts w:eastAsiaTheme="minorEastAsia"/>
          <w:rtl/>
        </w:rPr>
        <w:t xml:space="preserve">بالحصول على تصاريح لدخول المحمية؛ (ب) إيداع الأطفال المنتمين إلى الأقليات في المناطق النائية، ولا سيما أطفال </w:t>
      </w:r>
      <w:proofErr w:type="spellStart"/>
      <w:r w:rsidRPr="0063517E">
        <w:rPr>
          <w:rFonts w:eastAsiaTheme="minorEastAsia"/>
          <w:rtl/>
        </w:rPr>
        <w:t>الباساروا</w:t>
      </w:r>
      <w:proofErr w:type="spellEnd"/>
      <w:r w:rsidRPr="0063517E">
        <w:rPr>
          <w:rFonts w:eastAsiaTheme="minorEastAsia"/>
          <w:rtl/>
        </w:rPr>
        <w:t xml:space="preserve">، في دور إيواء تقع بعيداً جداً عن أسرهم بهدف تلقي التعليم الابتدائي. وتفيد التقارير بأن هذه الأماكن غير </w:t>
      </w:r>
      <w:r w:rsidRPr="00D46D12">
        <w:rPr>
          <w:rFonts w:eastAsiaTheme="minorEastAsia"/>
          <w:spacing w:val="-2"/>
          <w:rtl/>
        </w:rPr>
        <w:t xml:space="preserve">آمنة وتفتقر أحياناً إلى المياه أو الكهرباء؛ (ج) حظر اللغات غير اللغتين الإنكليزية </w:t>
      </w:r>
      <w:proofErr w:type="spellStart"/>
      <w:r w:rsidRPr="00D46D12">
        <w:rPr>
          <w:rFonts w:eastAsiaTheme="minorEastAsia"/>
          <w:spacing w:val="-2"/>
          <w:rtl/>
        </w:rPr>
        <w:t>والسيتسوانية</w:t>
      </w:r>
      <w:proofErr w:type="spellEnd"/>
      <w:r w:rsidRPr="00D46D12">
        <w:rPr>
          <w:rFonts w:eastAsiaTheme="minorEastAsia"/>
          <w:spacing w:val="-2"/>
          <w:rtl/>
        </w:rPr>
        <w:t xml:space="preserve"> في أنشطة البث الإذاعي </w:t>
      </w:r>
      <w:bookmarkStart w:id="12" w:name="_Hlk89176865"/>
      <w:r w:rsidRPr="00D46D12">
        <w:rPr>
          <w:rFonts w:eastAsiaTheme="minorEastAsia"/>
          <w:spacing w:val="-2"/>
          <w:rtl/>
        </w:rPr>
        <w:t>ووسائط الإعلام المطبوعة الخاصة والمحطات الإذاعية الخاصة</w:t>
      </w:r>
      <w:bookmarkEnd w:id="12"/>
      <w:r w:rsidRPr="00D46D12">
        <w:rPr>
          <w:rFonts w:eastAsiaTheme="minorEastAsia"/>
          <w:spacing w:val="-2"/>
          <w:rtl/>
        </w:rPr>
        <w:t>؛ (د) عدم توافر أحكام في قانون هيئة تنظيم الاتصالات (</w:t>
      </w:r>
      <w:r w:rsidRPr="00911C28">
        <w:rPr>
          <w:rFonts w:eastAsiaTheme="minorEastAsia"/>
          <w:spacing w:val="-2"/>
          <w:rtl/>
        </w:rPr>
        <w:t>2012</w:t>
      </w:r>
      <w:r w:rsidRPr="00D46D12">
        <w:rPr>
          <w:rFonts w:eastAsiaTheme="minorEastAsia"/>
          <w:spacing w:val="-2"/>
          <w:rtl/>
        </w:rPr>
        <w:t xml:space="preserve">) من أجل البث المجتمعي المحلي، ورفض منح تراخيص البث لمحطات الإذاعة المجتمعية المحلية، حسبما أفادت به تقارير؛ (ه) عدم أهلية أفراد الأقليات الذين لا يتكلمون الإنكليزية لأن يُنتخبوا أعضاء في الجمعية الوطنية، بمقتضى الدستور (المواد </w:t>
      </w:r>
      <w:r w:rsidRPr="00911C28">
        <w:rPr>
          <w:rFonts w:eastAsiaTheme="minorEastAsia"/>
          <w:spacing w:val="-2"/>
          <w:rtl/>
        </w:rPr>
        <w:t>2</w:t>
      </w:r>
      <w:r w:rsidRPr="00D46D12">
        <w:rPr>
          <w:rFonts w:eastAsiaTheme="minorEastAsia"/>
          <w:spacing w:val="-2"/>
          <w:rtl/>
        </w:rPr>
        <w:t xml:space="preserve"> و</w:t>
      </w:r>
      <w:r w:rsidRPr="00911C28">
        <w:rPr>
          <w:rFonts w:eastAsiaTheme="minorEastAsia"/>
          <w:spacing w:val="-2"/>
          <w:rtl/>
        </w:rPr>
        <w:t>19</w:t>
      </w:r>
      <w:r w:rsidRPr="00D46D12">
        <w:rPr>
          <w:rFonts w:eastAsiaTheme="minorEastAsia"/>
          <w:spacing w:val="-2"/>
          <w:rtl/>
        </w:rPr>
        <w:t xml:space="preserve"> و</w:t>
      </w:r>
      <w:r w:rsidRPr="00911C28">
        <w:rPr>
          <w:rFonts w:eastAsiaTheme="minorEastAsia"/>
          <w:spacing w:val="-2"/>
          <w:rtl/>
        </w:rPr>
        <w:t>25</w:t>
      </w:r>
      <w:r w:rsidRPr="00D46D12">
        <w:rPr>
          <w:rFonts w:eastAsiaTheme="minorEastAsia"/>
          <w:spacing w:val="-2"/>
          <w:rtl/>
        </w:rPr>
        <w:t>-</w:t>
      </w:r>
      <w:r w:rsidRPr="00911C28">
        <w:rPr>
          <w:rFonts w:eastAsiaTheme="minorEastAsia"/>
          <w:spacing w:val="-2"/>
          <w:rtl/>
        </w:rPr>
        <w:t>27</w:t>
      </w:r>
      <w:r w:rsidRPr="00D46D12">
        <w:rPr>
          <w:rFonts w:eastAsiaTheme="minorEastAsia"/>
          <w:spacing w:val="-2"/>
          <w:rtl/>
        </w:rPr>
        <w:t>).</w:t>
      </w:r>
      <w:bookmarkStart w:id="13" w:name="_Hlk88649306"/>
      <w:bookmarkEnd w:id="13"/>
    </w:p>
    <w:p w14:paraId="2FB5C7D4" w14:textId="2DFB3E8F" w:rsidR="0063517E" w:rsidRPr="00911C28" w:rsidRDefault="0063517E" w:rsidP="0063517E">
      <w:pPr>
        <w:pStyle w:val="SingleTxtGA"/>
        <w:rPr>
          <w:rFonts w:eastAsiaTheme="minorEastAsia"/>
          <w:b/>
          <w:bCs/>
          <w:lang w:val="ar-SA" w:eastAsia="zh-TW" w:bidi="en-GB"/>
        </w:rPr>
      </w:pPr>
      <w:r w:rsidRPr="00911C28">
        <w:rPr>
          <w:rFonts w:eastAsiaTheme="minorEastAsia"/>
          <w:rtl/>
        </w:rPr>
        <w:t>38</w:t>
      </w:r>
      <w:r w:rsidRPr="0063517E">
        <w:rPr>
          <w:rFonts w:eastAsiaTheme="minorEastAsia"/>
          <w:rtl/>
        </w:rPr>
        <w:t>-</w:t>
      </w:r>
      <w:r w:rsidRPr="0063517E">
        <w:rPr>
          <w:rFonts w:eastAsiaTheme="minorEastAsia"/>
          <w:rtl/>
        </w:rPr>
        <w:tab/>
      </w:r>
      <w:r w:rsidRPr="00911C28">
        <w:rPr>
          <w:rFonts w:eastAsiaTheme="minorEastAsia"/>
          <w:b/>
          <w:bCs/>
          <w:rtl/>
        </w:rPr>
        <w:t>وفي ضوء التوصية السابقة للجنة ومع مراعاتها</w:t>
      </w:r>
      <w:r w:rsidRPr="002A6D1C">
        <w:rPr>
          <w:rStyle w:val="FootnoteReference"/>
          <w:rFonts w:eastAsiaTheme="minorEastAsia"/>
          <w:szCs w:val="22"/>
          <w:rtl/>
        </w:rPr>
        <w:t>(</w:t>
      </w:r>
      <w:r w:rsidRPr="00911C28">
        <w:rPr>
          <w:rStyle w:val="FootnoteReference"/>
          <w:rFonts w:eastAsiaTheme="minorEastAsia"/>
          <w:szCs w:val="22"/>
          <w:lang w:val="en-US"/>
        </w:rPr>
        <w:footnoteReference w:id="14"/>
      </w:r>
      <w:r w:rsidRPr="002A6D1C">
        <w:rPr>
          <w:rStyle w:val="FootnoteReference"/>
          <w:rFonts w:eastAsiaTheme="minorEastAsia"/>
          <w:szCs w:val="22"/>
          <w:rtl/>
        </w:rPr>
        <w:t>)</w:t>
      </w:r>
      <w:r w:rsidR="0036244E" w:rsidRPr="00911C28">
        <w:rPr>
          <w:rFonts w:eastAsiaTheme="minorEastAsia" w:hint="cs"/>
          <w:b/>
          <w:bCs/>
          <w:rtl/>
        </w:rPr>
        <w:t>،</w:t>
      </w:r>
      <w:r w:rsidRPr="00911C28">
        <w:rPr>
          <w:rFonts w:eastAsiaTheme="minorEastAsia"/>
          <w:b/>
          <w:bCs/>
          <w:rtl/>
        </w:rPr>
        <w:t xml:space="preserve"> ينبغي للدولة الطرف القيام بما يلي:</w:t>
      </w:r>
    </w:p>
    <w:p w14:paraId="6BBFCC7B" w14:textId="28B6BC7D" w:rsidR="0063517E" w:rsidRPr="00911C28" w:rsidRDefault="00D46D12" w:rsidP="0063517E">
      <w:pPr>
        <w:pStyle w:val="SingleTxtGA"/>
        <w:rPr>
          <w:rFonts w:eastAsiaTheme="minorEastAsia"/>
          <w:bCs/>
          <w:lang w:val="ar-SA" w:eastAsia="zh-TW" w:bidi="en-GB"/>
        </w:rPr>
      </w:pPr>
      <w:r>
        <w:rPr>
          <w:rFonts w:eastAsiaTheme="minorEastAsia"/>
          <w:rtl/>
        </w:rPr>
        <w:tab/>
      </w:r>
      <w:r w:rsidR="0063517E" w:rsidRPr="0063517E">
        <w:rPr>
          <w:rFonts w:eastAsiaTheme="minorEastAsia"/>
          <w:rtl/>
        </w:rPr>
        <w:t>(أ)</w:t>
      </w:r>
      <w:r w:rsidR="0063517E" w:rsidRPr="0063517E">
        <w:rPr>
          <w:rFonts w:eastAsiaTheme="minorEastAsia"/>
          <w:rtl/>
        </w:rPr>
        <w:tab/>
      </w:r>
      <w:r w:rsidR="0063517E" w:rsidRPr="00911C28">
        <w:rPr>
          <w:rFonts w:eastAsiaTheme="minorEastAsia"/>
          <w:bCs/>
          <w:rtl/>
        </w:rPr>
        <w:t>كفالة تعزيز حقوق الأقليات ومجتمعات الشعوب الأصلية وحمايتها والاعتراف بها في القانون وفي الممارسة العملية، ولا سيما فيما يتعلق بأراضيها التقليدية ومواردها الطبيعية وحقوقها اللغوية، بوسائل منها وضع وسنّ تشريعات مخصصة لضمان تمتعها بحقوق العهد دون تمييز؛</w:t>
      </w:r>
    </w:p>
    <w:p w14:paraId="38147AED" w14:textId="49AE2907" w:rsidR="0063517E" w:rsidRPr="00911C28" w:rsidRDefault="00D46D12" w:rsidP="0063517E">
      <w:pPr>
        <w:pStyle w:val="SingleTxtGA"/>
        <w:rPr>
          <w:rFonts w:eastAsiaTheme="minorEastAsia"/>
          <w:bCs/>
        </w:rPr>
      </w:pPr>
      <w:r>
        <w:rPr>
          <w:rFonts w:eastAsiaTheme="minorEastAsia"/>
          <w:rtl/>
        </w:rPr>
        <w:tab/>
      </w:r>
      <w:r w:rsidR="0063517E" w:rsidRPr="0063517E">
        <w:rPr>
          <w:rFonts w:eastAsiaTheme="minorEastAsia"/>
          <w:rtl/>
        </w:rPr>
        <w:t>(ب)</w:t>
      </w:r>
      <w:r w:rsidR="0063517E" w:rsidRPr="0063517E">
        <w:rPr>
          <w:rFonts w:eastAsiaTheme="minorEastAsia"/>
          <w:rtl/>
        </w:rPr>
        <w:tab/>
      </w:r>
      <w:r w:rsidR="0063517E" w:rsidRPr="00911C28">
        <w:rPr>
          <w:rFonts w:eastAsiaTheme="minorEastAsia"/>
          <w:bCs/>
          <w:rtl/>
        </w:rPr>
        <w:t>كفالة التطبيق المتسق والفعال لمبدأ الموافقة الحرة والمسبقة والمستنيرة قبل الاضطلاع بأي أنشطة إنمائية أو غيرها من الأنشطة في الأراضي التي تستخدمها الأقليات ومجتمعات الشعوب الأصلية أو تشغلها أو تملكها تقليدياً؛</w:t>
      </w:r>
    </w:p>
    <w:p w14:paraId="04BCB3D6" w14:textId="01D11CFD" w:rsidR="0063517E" w:rsidRPr="00911C28" w:rsidRDefault="00D46D12" w:rsidP="0063517E">
      <w:pPr>
        <w:pStyle w:val="SingleTxtGA"/>
        <w:rPr>
          <w:rFonts w:eastAsiaTheme="minorEastAsia"/>
          <w:bCs/>
          <w:lang w:val="ar-SA" w:eastAsia="zh-TW" w:bidi="en-GB"/>
        </w:rPr>
      </w:pPr>
      <w:r>
        <w:rPr>
          <w:rFonts w:eastAsiaTheme="minorEastAsia"/>
          <w:rtl/>
        </w:rPr>
        <w:tab/>
      </w:r>
      <w:r w:rsidR="0063517E" w:rsidRPr="0063517E">
        <w:rPr>
          <w:rFonts w:eastAsiaTheme="minorEastAsia"/>
          <w:rtl/>
        </w:rPr>
        <w:t>(ج)</w:t>
      </w:r>
      <w:r w:rsidR="0063517E" w:rsidRPr="0063517E">
        <w:rPr>
          <w:rFonts w:eastAsiaTheme="minorEastAsia"/>
          <w:rtl/>
        </w:rPr>
        <w:tab/>
      </w:r>
      <w:r w:rsidR="0063517E" w:rsidRPr="00911C28">
        <w:rPr>
          <w:rFonts w:eastAsiaTheme="minorEastAsia"/>
          <w:bCs/>
          <w:rtl/>
        </w:rPr>
        <w:t xml:space="preserve">كفالة عدم فرض قيود على المقيمين الحاليين والسابقين في محمية </w:t>
      </w:r>
      <w:proofErr w:type="spellStart"/>
      <w:r w:rsidR="0063517E" w:rsidRPr="00911C28">
        <w:rPr>
          <w:rFonts w:eastAsiaTheme="minorEastAsia"/>
          <w:bCs/>
          <w:rtl/>
        </w:rPr>
        <w:t>كالاهاري</w:t>
      </w:r>
      <w:proofErr w:type="spellEnd"/>
      <w:r w:rsidR="0063517E" w:rsidRPr="00911C28">
        <w:rPr>
          <w:rFonts w:eastAsiaTheme="minorEastAsia"/>
          <w:bCs/>
          <w:rtl/>
        </w:rPr>
        <w:t xml:space="preserve"> الوسطى، بما يشمل الذين لم يتقدموا بطلبات في قضية </w:t>
      </w:r>
      <w:r w:rsidR="0063517E" w:rsidRPr="00911C28">
        <w:rPr>
          <w:rFonts w:eastAsiaTheme="minorEastAsia"/>
          <w:bCs/>
          <w:i/>
          <w:iCs/>
          <w:rtl/>
        </w:rPr>
        <w:t xml:space="preserve">رُوي </w:t>
      </w:r>
      <w:proofErr w:type="spellStart"/>
      <w:r w:rsidR="0063517E" w:rsidRPr="00911C28">
        <w:rPr>
          <w:rFonts w:eastAsiaTheme="minorEastAsia"/>
          <w:bCs/>
          <w:i/>
          <w:iCs/>
          <w:rtl/>
        </w:rPr>
        <w:t>سيسانا</w:t>
      </w:r>
      <w:proofErr w:type="spellEnd"/>
      <w:r w:rsidR="0063517E" w:rsidRPr="00911C28">
        <w:rPr>
          <w:rFonts w:eastAsiaTheme="minorEastAsia"/>
          <w:bCs/>
          <w:i/>
          <w:iCs/>
          <w:rtl/>
        </w:rPr>
        <w:t xml:space="preserve"> وآخرون ضد المدعي العام</w:t>
      </w:r>
      <w:r w:rsidR="0063517E" w:rsidRPr="00911C28">
        <w:rPr>
          <w:rFonts w:eastAsiaTheme="minorEastAsia"/>
          <w:bCs/>
          <w:rtl/>
        </w:rPr>
        <w:t>، تحول دون عودتهم إلى المحمية والبقاء فيها؛</w:t>
      </w:r>
      <w:bookmarkStart w:id="14" w:name="_Hlk88649398"/>
    </w:p>
    <w:bookmarkEnd w:id="14"/>
    <w:p w14:paraId="564BD522" w14:textId="521CA9CC" w:rsidR="0063517E" w:rsidRPr="00911C28" w:rsidRDefault="00D46D12" w:rsidP="0063517E">
      <w:pPr>
        <w:pStyle w:val="SingleTxtGA"/>
        <w:rPr>
          <w:rFonts w:eastAsiaTheme="minorEastAsia"/>
          <w:bCs/>
          <w:lang w:val="ar-SA" w:eastAsia="zh-TW" w:bidi="en-GB"/>
        </w:rPr>
      </w:pPr>
      <w:r>
        <w:rPr>
          <w:rFonts w:eastAsiaTheme="minorEastAsia"/>
          <w:rtl/>
        </w:rPr>
        <w:tab/>
      </w:r>
      <w:r w:rsidR="0063517E" w:rsidRPr="0063517E">
        <w:rPr>
          <w:rFonts w:eastAsiaTheme="minorEastAsia"/>
          <w:rtl/>
        </w:rPr>
        <w:t>(د)</w:t>
      </w:r>
      <w:r>
        <w:rPr>
          <w:rFonts w:eastAsiaTheme="minorEastAsia"/>
          <w:rtl/>
        </w:rPr>
        <w:tab/>
      </w:r>
      <w:r w:rsidR="0063517E" w:rsidRPr="00911C28">
        <w:rPr>
          <w:rFonts w:eastAsiaTheme="minorEastAsia"/>
          <w:bCs/>
          <w:rtl/>
        </w:rPr>
        <w:t>استعراض ممارسة إيداع الأطفال المنتمين إلى الأقليات في المناطق النائية في دور إيواء لغرض تلقي التعليم، وإيجاد البدائل المناسبة؛</w:t>
      </w:r>
    </w:p>
    <w:p w14:paraId="363C62A0" w14:textId="7422D7D4" w:rsidR="0063517E" w:rsidRPr="00911C28" w:rsidRDefault="00D46D12" w:rsidP="0063517E">
      <w:pPr>
        <w:pStyle w:val="SingleTxtGA"/>
        <w:rPr>
          <w:rFonts w:eastAsiaTheme="minorEastAsia"/>
          <w:bCs/>
          <w:lang w:val="ar-SA" w:eastAsia="zh-TW" w:bidi="en-GB"/>
        </w:rPr>
      </w:pPr>
      <w:r>
        <w:rPr>
          <w:rFonts w:eastAsiaTheme="minorEastAsia"/>
          <w:rtl/>
        </w:rPr>
        <w:tab/>
      </w:r>
      <w:r w:rsidR="0063517E" w:rsidRPr="0063517E">
        <w:rPr>
          <w:rFonts w:eastAsiaTheme="minorEastAsia"/>
          <w:rtl/>
        </w:rPr>
        <w:t>(هـ)</w:t>
      </w:r>
      <w:r w:rsidR="0063517E" w:rsidRPr="0063517E">
        <w:rPr>
          <w:rFonts w:eastAsiaTheme="minorEastAsia"/>
          <w:rtl/>
        </w:rPr>
        <w:tab/>
      </w:r>
      <w:r w:rsidR="0063517E" w:rsidRPr="00911C28">
        <w:rPr>
          <w:rFonts w:eastAsiaTheme="minorEastAsia"/>
          <w:bCs/>
          <w:rtl/>
        </w:rPr>
        <w:t>كفالة قدرة مجتمعات الشعوب الأصلية على التعبير عن نفسها بلغاتها الخاصة</w:t>
      </w:r>
      <w:r w:rsidR="00B875C3" w:rsidRPr="00911C28">
        <w:rPr>
          <w:rFonts w:eastAsiaTheme="minorEastAsia" w:hint="cs"/>
          <w:bCs/>
          <w:rtl/>
        </w:rPr>
        <w:t> </w:t>
      </w:r>
      <w:r w:rsidR="0063517E" w:rsidRPr="00911C28">
        <w:rPr>
          <w:rFonts w:eastAsiaTheme="minorEastAsia"/>
          <w:bCs/>
          <w:rtl/>
        </w:rPr>
        <w:t>وتعزيز ثقافاتها، بسبل منها البث الإذاعي، ووسائط الإعلام المطبوعة الخاصة، والمحطات الإذاعية الخاصة.</w:t>
      </w:r>
    </w:p>
    <w:p w14:paraId="45A075D5" w14:textId="77777777" w:rsidR="0063517E" w:rsidRPr="00D46D12" w:rsidRDefault="0063517E" w:rsidP="0063517E">
      <w:pPr>
        <w:pStyle w:val="SingleTxtGA"/>
        <w:rPr>
          <w:rFonts w:eastAsiaTheme="minorEastAsia"/>
          <w:lang w:val="en-US" w:eastAsia="zh-TW" w:bidi="en-GB"/>
        </w:rPr>
      </w:pPr>
      <w:r w:rsidRPr="00911C28">
        <w:rPr>
          <w:rFonts w:eastAsiaTheme="minorEastAsia"/>
          <w:rtl/>
        </w:rPr>
        <w:t>39</w:t>
      </w:r>
      <w:r w:rsidRPr="0063517E">
        <w:rPr>
          <w:rFonts w:eastAsiaTheme="minorEastAsia"/>
          <w:rtl/>
        </w:rPr>
        <w:t>-</w:t>
      </w:r>
      <w:r w:rsidRPr="0063517E">
        <w:rPr>
          <w:rFonts w:eastAsiaTheme="minorEastAsia"/>
          <w:rtl/>
        </w:rPr>
        <w:tab/>
      </w:r>
      <w:r w:rsidRPr="00D46D12">
        <w:rPr>
          <w:rFonts w:eastAsiaTheme="minorEastAsia"/>
          <w:spacing w:val="-6"/>
          <w:rtl/>
        </w:rPr>
        <w:t>ويساور اللجنة القلق لأن القواعد الحالية المتعلقة بالتعيينات في مجلس الأعيان (</w:t>
      </w:r>
      <w:proofErr w:type="spellStart"/>
      <w:r w:rsidRPr="00D46D12">
        <w:rPr>
          <w:rFonts w:eastAsiaTheme="minorEastAsia"/>
          <w:spacing w:val="-6"/>
        </w:rPr>
        <w:t>Ntlo</w:t>
      </w:r>
      <w:proofErr w:type="spellEnd"/>
      <w:r w:rsidRPr="00D46D12">
        <w:rPr>
          <w:rFonts w:eastAsiaTheme="minorEastAsia"/>
          <w:spacing w:val="-6"/>
        </w:rPr>
        <w:t xml:space="preserve"> </w:t>
      </w:r>
      <w:proofErr w:type="spellStart"/>
      <w:r w:rsidRPr="00D46D12">
        <w:rPr>
          <w:rFonts w:eastAsiaTheme="minorEastAsia"/>
          <w:spacing w:val="-6"/>
        </w:rPr>
        <w:t>ya</w:t>
      </w:r>
      <w:proofErr w:type="spellEnd"/>
      <w:r w:rsidRPr="00D46D12">
        <w:rPr>
          <w:rFonts w:eastAsiaTheme="minorEastAsia"/>
          <w:spacing w:val="-6"/>
        </w:rPr>
        <w:t xml:space="preserve"> </w:t>
      </w:r>
      <w:proofErr w:type="spellStart"/>
      <w:r w:rsidRPr="00D46D12">
        <w:rPr>
          <w:rFonts w:eastAsiaTheme="minorEastAsia"/>
          <w:spacing w:val="-6"/>
        </w:rPr>
        <w:t>Dikgosi</w:t>
      </w:r>
      <w:proofErr w:type="spellEnd"/>
      <w:r w:rsidRPr="00D46D12">
        <w:rPr>
          <w:rFonts w:eastAsiaTheme="minorEastAsia"/>
          <w:spacing w:val="-6"/>
          <w:rtl/>
        </w:rPr>
        <w:t>)</w:t>
      </w:r>
      <w:r w:rsidRPr="0063517E">
        <w:rPr>
          <w:rFonts w:eastAsiaTheme="minorEastAsia"/>
          <w:rtl/>
        </w:rPr>
        <w:t xml:space="preserve"> لا تضمن التمثيل العادل للقبائل غير التسوانا، رغم التعديلات التشريعية المعتمدة، ولا سيما: (أ) أن الدستور لا يزال يمنح المركز المفضَّل لقبائل التسوانا والتعيين التلقائي الفعلي لزعمائها لدى مجلس الأعيان؛ (ب) أنه لم يجرِ الاعتراف إلا ببضع قبائل غير التسوانا بمقتضى قانون </w:t>
      </w:r>
      <w:proofErr w:type="spellStart"/>
      <w:r w:rsidRPr="0063517E">
        <w:rPr>
          <w:rFonts w:eastAsiaTheme="minorEastAsia"/>
          <w:rtl/>
        </w:rPr>
        <w:t>بوغوسي</w:t>
      </w:r>
      <w:proofErr w:type="spellEnd"/>
      <w:r w:rsidRPr="0063517E">
        <w:rPr>
          <w:rFonts w:eastAsiaTheme="minorEastAsia"/>
          <w:rtl/>
        </w:rPr>
        <w:t xml:space="preserve"> لعام </w:t>
      </w:r>
      <w:r w:rsidRPr="00911C28">
        <w:rPr>
          <w:rFonts w:eastAsiaTheme="minorEastAsia"/>
          <w:rtl/>
        </w:rPr>
        <w:t>2008</w:t>
      </w:r>
      <w:r w:rsidRPr="0063517E">
        <w:rPr>
          <w:rFonts w:eastAsiaTheme="minorEastAsia"/>
          <w:rtl/>
        </w:rPr>
        <w:t xml:space="preserve"> (المواد </w:t>
      </w:r>
      <w:r w:rsidRPr="00911C28">
        <w:rPr>
          <w:rFonts w:eastAsiaTheme="minorEastAsia"/>
          <w:rtl/>
        </w:rPr>
        <w:t>25</w:t>
      </w:r>
      <w:r w:rsidRPr="0063517E">
        <w:rPr>
          <w:rFonts w:eastAsiaTheme="minorEastAsia"/>
          <w:rtl/>
        </w:rPr>
        <w:t>-</w:t>
      </w:r>
      <w:r w:rsidRPr="00911C28">
        <w:rPr>
          <w:rFonts w:eastAsiaTheme="minorEastAsia"/>
          <w:rtl/>
        </w:rPr>
        <w:t>27</w:t>
      </w:r>
      <w:r w:rsidRPr="0063517E">
        <w:rPr>
          <w:rFonts w:eastAsiaTheme="minorEastAsia"/>
          <w:rtl/>
        </w:rPr>
        <w:t>).</w:t>
      </w:r>
    </w:p>
    <w:p w14:paraId="37D540D3" w14:textId="33443798" w:rsidR="0063517E" w:rsidRPr="00911C28" w:rsidRDefault="0063517E" w:rsidP="0063517E">
      <w:pPr>
        <w:pStyle w:val="SingleTxtGA"/>
        <w:rPr>
          <w:rFonts w:eastAsiaTheme="minorEastAsia"/>
          <w:bCs/>
          <w:lang w:val="en-US" w:eastAsia="zh-TW" w:bidi="en-GB"/>
        </w:rPr>
      </w:pPr>
      <w:r w:rsidRPr="00911C28">
        <w:rPr>
          <w:rFonts w:eastAsiaTheme="minorEastAsia"/>
          <w:rtl/>
        </w:rPr>
        <w:t>40</w:t>
      </w:r>
      <w:r w:rsidRPr="0063517E">
        <w:rPr>
          <w:rFonts w:eastAsiaTheme="minorEastAsia"/>
          <w:rtl/>
        </w:rPr>
        <w:t>-</w:t>
      </w:r>
      <w:r w:rsidRPr="0063517E">
        <w:rPr>
          <w:rFonts w:eastAsiaTheme="minorEastAsia"/>
          <w:rtl/>
        </w:rPr>
        <w:tab/>
      </w:r>
      <w:r w:rsidRPr="00911C28">
        <w:rPr>
          <w:rFonts w:eastAsiaTheme="minorEastAsia"/>
          <w:bCs/>
          <w:rtl/>
        </w:rPr>
        <w:t>وإذ تشير اللجنة إلى توصيتها السابقة</w:t>
      </w:r>
      <w:r w:rsidRPr="00911C28">
        <w:rPr>
          <w:rStyle w:val="FootnoteReference"/>
          <w:rFonts w:eastAsiaTheme="minorEastAsia"/>
          <w:b/>
          <w:szCs w:val="22"/>
          <w:rtl/>
        </w:rPr>
        <w:t>(</w:t>
      </w:r>
      <w:r w:rsidRPr="00911C28">
        <w:rPr>
          <w:rStyle w:val="FootnoteReference"/>
          <w:rFonts w:eastAsiaTheme="minorEastAsia"/>
          <w:b/>
          <w:szCs w:val="22"/>
          <w:lang w:val="en-US"/>
        </w:rPr>
        <w:footnoteReference w:id="15"/>
      </w:r>
      <w:r w:rsidRPr="00911C28">
        <w:rPr>
          <w:rStyle w:val="FootnoteReference"/>
          <w:rFonts w:eastAsiaTheme="minorEastAsia"/>
          <w:b/>
          <w:szCs w:val="22"/>
          <w:rtl/>
        </w:rPr>
        <w:t>)</w:t>
      </w:r>
      <w:r w:rsidRPr="00911C28">
        <w:rPr>
          <w:rFonts w:eastAsiaTheme="minorEastAsia"/>
          <w:bCs/>
          <w:rtl/>
        </w:rPr>
        <w:t>، فإنه ينبغي للدولة الطرف أن تتخذ جميع التدابير التشريعية اللازمة لإلغاء أي عنصر تمييزي في تعيين القبائل وتمثيلها لدى مجلس الأعيان، وكفالة التمثيل العادل للقبائل غير التسوانا.</w:t>
      </w:r>
    </w:p>
    <w:p w14:paraId="0B24AD55" w14:textId="6C7AEF6E" w:rsidR="0063517E" w:rsidRPr="00911C28" w:rsidRDefault="00D46D12" w:rsidP="00D46D12">
      <w:pPr>
        <w:pStyle w:val="H1GA"/>
        <w:rPr>
          <w:lang w:val="ar-SA" w:eastAsia="zh-TW" w:bidi="en-GB"/>
        </w:rPr>
      </w:pPr>
      <w:r w:rsidRPr="00911C28">
        <w:rPr>
          <w:rtl/>
        </w:rPr>
        <w:lastRenderedPageBreak/>
        <w:tab/>
      </w:r>
      <w:r w:rsidR="0063517E" w:rsidRPr="00911C28">
        <w:rPr>
          <w:rtl/>
        </w:rPr>
        <w:t>دال-</w:t>
      </w:r>
      <w:r w:rsidR="0063517E" w:rsidRPr="00911C28">
        <w:rPr>
          <w:rtl/>
        </w:rPr>
        <w:tab/>
        <w:t>النشر والمتابعة</w:t>
      </w:r>
    </w:p>
    <w:p w14:paraId="191A3EB8" w14:textId="11023FDC" w:rsidR="0063517E" w:rsidRPr="00911C28" w:rsidRDefault="0063517E" w:rsidP="0063517E">
      <w:pPr>
        <w:pStyle w:val="SingleTxtGA"/>
        <w:rPr>
          <w:rFonts w:eastAsiaTheme="minorEastAsia"/>
          <w:bCs/>
          <w:lang w:val="en-US" w:eastAsia="zh-TW" w:bidi="en-GB"/>
        </w:rPr>
      </w:pPr>
      <w:r w:rsidRPr="00911C28">
        <w:rPr>
          <w:rFonts w:eastAsiaTheme="minorEastAsia"/>
          <w:rtl/>
        </w:rPr>
        <w:t>41</w:t>
      </w:r>
      <w:r w:rsidRPr="0063517E">
        <w:rPr>
          <w:rFonts w:eastAsiaTheme="minorEastAsia"/>
          <w:rtl/>
        </w:rPr>
        <w:t>-</w:t>
      </w:r>
      <w:r w:rsidRPr="0063517E">
        <w:rPr>
          <w:rFonts w:eastAsiaTheme="minorEastAsia"/>
          <w:rtl/>
        </w:rPr>
        <w:tab/>
      </w:r>
      <w:r w:rsidRPr="00911C28">
        <w:rPr>
          <w:rFonts w:eastAsiaTheme="minorEastAsia"/>
          <w:bCs/>
          <w:rtl/>
        </w:rPr>
        <w:t>ينبغي للدولة الطرف أن تنشر على نطاق واسع نص العهد، وتقريرها الدوري الثاني، وهذه الملاحظات الختامية بهدف زيادة الوعي بالحقوق التي يكرّسها العهد في أوساط السلطات القضائية والتشريعية والإدارية، والمجتمع المدني والمنظمات غير الحكومية العاملة في البلد، وعامة الجمهور. وينبغي للدولة الطرف أن تكفل ترجمة التقرير الدوري وهذه الملاحظات الختامية إلى اللغات الرسمية للدولة</w:t>
      </w:r>
      <w:r w:rsidR="00D46D12" w:rsidRPr="00911C28">
        <w:rPr>
          <w:rFonts w:eastAsiaTheme="minorEastAsia" w:hint="cs"/>
          <w:bCs/>
          <w:rtl/>
        </w:rPr>
        <w:t> </w:t>
      </w:r>
      <w:r w:rsidRPr="00911C28">
        <w:rPr>
          <w:rFonts w:eastAsiaTheme="minorEastAsia"/>
          <w:bCs/>
          <w:rtl/>
        </w:rPr>
        <w:t>الطرف.</w:t>
      </w:r>
    </w:p>
    <w:p w14:paraId="1EE4CC19" w14:textId="3CD04BDE" w:rsidR="0063517E" w:rsidRPr="00911C28" w:rsidRDefault="0063517E" w:rsidP="0063517E">
      <w:pPr>
        <w:pStyle w:val="SingleTxtGA"/>
        <w:rPr>
          <w:rFonts w:eastAsiaTheme="minorEastAsia"/>
          <w:bCs/>
          <w:lang w:val="en-US" w:eastAsia="zh-TW" w:bidi="en-GB"/>
        </w:rPr>
      </w:pPr>
      <w:r w:rsidRPr="00911C28">
        <w:rPr>
          <w:rFonts w:eastAsiaTheme="minorEastAsia"/>
          <w:rtl/>
        </w:rPr>
        <w:t>42</w:t>
      </w:r>
      <w:r w:rsidRPr="0063517E">
        <w:rPr>
          <w:rFonts w:eastAsiaTheme="minorEastAsia"/>
          <w:rtl/>
        </w:rPr>
        <w:t>-</w:t>
      </w:r>
      <w:r w:rsidRPr="0063517E">
        <w:rPr>
          <w:rFonts w:eastAsiaTheme="minorEastAsia"/>
          <w:rtl/>
        </w:rPr>
        <w:tab/>
      </w:r>
      <w:r w:rsidRPr="00911C28">
        <w:rPr>
          <w:rFonts w:eastAsiaTheme="minorEastAsia"/>
          <w:bCs/>
          <w:rtl/>
        </w:rPr>
        <w:t>ووفقاً للفقرة 1 من المادة 75 من النظام الداخلي للجنة، يُطلب إلى الدولة الطرف أن تقدم، بحلول 5 تشرين الثاني/نوفمبر 2024، معلومات عن تنفيذ التوصيات التي قدمتها اللجنة في الفقرات</w:t>
      </w:r>
      <w:r w:rsidR="00922B30" w:rsidRPr="00911C28">
        <w:rPr>
          <w:rFonts w:eastAsiaTheme="minorEastAsia" w:hint="cs"/>
          <w:bCs/>
          <w:rtl/>
        </w:rPr>
        <w:t> </w:t>
      </w:r>
      <w:r w:rsidRPr="00911C28">
        <w:rPr>
          <w:rFonts w:eastAsiaTheme="minorEastAsia"/>
          <w:bCs/>
          <w:rtl/>
        </w:rPr>
        <w:t>22 (حرية الفرد والأمان على شخصه)، و26 (الاتجار بالأشخاص والعمل القسري)، و30 (معاملة اللاجئين وملتمسي اللجوء ومنع انعدام الجنسية) أعلاه.</w:t>
      </w:r>
    </w:p>
    <w:p w14:paraId="4A7697D9" w14:textId="1E588B2E" w:rsidR="0063517E" w:rsidRPr="00911C28" w:rsidRDefault="0063517E" w:rsidP="0063517E">
      <w:pPr>
        <w:pStyle w:val="SingleTxtGA"/>
        <w:rPr>
          <w:rFonts w:eastAsiaTheme="minorEastAsia"/>
          <w:bCs/>
          <w:lang w:val="en-US" w:eastAsia="zh-TW" w:bidi="en-GB"/>
        </w:rPr>
      </w:pPr>
      <w:r w:rsidRPr="00911C28">
        <w:rPr>
          <w:rFonts w:eastAsiaTheme="minorEastAsia"/>
          <w:rtl/>
        </w:rPr>
        <w:t>43</w:t>
      </w:r>
      <w:r w:rsidRPr="0063517E">
        <w:rPr>
          <w:rFonts w:eastAsiaTheme="minorEastAsia"/>
          <w:rtl/>
        </w:rPr>
        <w:t>-</w:t>
      </w:r>
      <w:r w:rsidRPr="0063517E">
        <w:rPr>
          <w:rFonts w:eastAsiaTheme="minorEastAsia"/>
          <w:rtl/>
        </w:rPr>
        <w:tab/>
      </w:r>
      <w:r w:rsidRPr="00911C28">
        <w:rPr>
          <w:rFonts w:eastAsiaTheme="minorEastAsia"/>
          <w:bCs/>
          <w:rtl/>
        </w:rPr>
        <w:t>ووفقاً لجولة الاستعراض المتوقعة للجنة، ستتلقى الدولة الطرف في عام 2027 قائمة المسائل السابقة لتقديم التقرير التي تعدّها اللجنة، ويُنتظر أن تقدم ردودها على قائمة المسائل في غضون سنة واحدة، على أن يشكل ذلك تقريرها الدوري الثالث. وتطلب اللجنة أيضاً إلى الدولة الطرف أن تعقد، لدى إعداد التقرير، مشاورات واسعة النطاق مع المجتمع المدني والمنظمات غير الحكومية العاملة في البلد. ووفقاً لقرار الجمعية العامة 68/268، ينبغي ألا يتجاوز عدد كلمات التقرير 200 21 كلمة. وسيُعقد الحوار البنَّاء المقبل مع الدولة الطرف في عام 2029 في جنيف.</w:t>
      </w:r>
    </w:p>
    <w:p w14:paraId="35683AE0" w14:textId="7AA76D1A" w:rsidR="00D46D12" w:rsidRPr="00D46D12" w:rsidRDefault="00D46D12" w:rsidP="00D46D12">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D46D12" w:rsidRPr="00D46D12" w:rsidSect="00BA38A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2872E" w14:textId="77777777" w:rsidR="00930469" w:rsidRPr="002901D9" w:rsidRDefault="00930469" w:rsidP="00DC4D4B">
      <w:pPr>
        <w:spacing w:after="60" w:line="240" w:lineRule="auto"/>
        <w:ind w:left="57"/>
        <w:rPr>
          <w:i/>
          <w:iCs/>
        </w:rPr>
      </w:pPr>
      <w:r>
        <w:rPr>
          <w:rFonts w:hint="cs"/>
          <w:i/>
          <w:iCs/>
          <w:rtl/>
        </w:rPr>
        <w:t>الحواشي</w:t>
      </w:r>
    </w:p>
  </w:endnote>
  <w:endnote w:type="continuationSeparator" w:id="0">
    <w:p w14:paraId="2E22C814" w14:textId="77777777" w:rsidR="00930469" w:rsidRDefault="0093046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056D" w14:textId="3336730B" w:rsidR="00930469" w:rsidRPr="00E94A98" w:rsidRDefault="00930469" w:rsidP="00E94A98">
    <w:pPr>
      <w:pStyle w:val="Footer"/>
      <w:tabs>
        <w:tab w:val="right" w:pos="9638"/>
      </w:tabs>
      <w:rPr>
        <w:b/>
        <w:sz w:val="18"/>
        <w:lang w:val="en-US"/>
      </w:rPr>
    </w:pPr>
    <w:r>
      <w:rPr>
        <w:lang w:val="en-US"/>
      </w:rPr>
      <w:t>GE.21-17289A</w:t>
    </w:r>
    <w:r>
      <w:rPr>
        <w:lang w:val="en-US"/>
      </w:rPr>
      <w:tab/>
    </w:r>
    <w:r w:rsidRPr="00E94A98">
      <w:rPr>
        <w:b/>
        <w:sz w:val="18"/>
        <w:lang w:val="en-US"/>
      </w:rPr>
      <w:fldChar w:fldCharType="begin"/>
    </w:r>
    <w:r w:rsidRPr="00E94A98">
      <w:rPr>
        <w:b/>
        <w:sz w:val="18"/>
        <w:lang w:val="en-US"/>
      </w:rPr>
      <w:instrText xml:space="preserve"> PAGE  \* MERGEFORMAT </w:instrText>
    </w:r>
    <w:r w:rsidRPr="00E94A98">
      <w:rPr>
        <w:b/>
        <w:sz w:val="18"/>
        <w:lang w:val="en-US"/>
      </w:rPr>
      <w:fldChar w:fldCharType="separate"/>
    </w:r>
    <w:r w:rsidRPr="00E94A98">
      <w:rPr>
        <w:b/>
        <w:noProof/>
        <w:sz w:val="18"/>
        <w:lang w:val="en-US"/>
      </w:rPr>
      <w:t>2</w:t>
    </w:r>
    <w:r w:rsidRPr="00E94A9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9D561" w14:textId="2AD9EDD5" w:rsidR="00930469" w:rsidRPr="00E94A98" w:rsidRDefault="00930469" w:rsidP="00E94A9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GE.21-17289A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6AEF3" w14:textId="6E6D769A" w:rsidR="00930469" w:rsidRPr="00E94A98" w:rsidRDefault="00930469" w:rsidP="00E94A98">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038553A1" wp14:editId="0B2AB93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21-17289A (A)</w:t>
    </w:r>
    <w:r>
      <w:rPr>
        <w:noProof/>
        <w:sz w:val="20"/>
        <w:lang w:val="en-US"/>
      </w:rPr>
      <w:drawing>
        <wp:anchor distT="0" distB="0" distL="114300" distR="114300" simplePos="0" relativeHeight="251659264" behindDoc="0" locked="0" layoutInCell="1" allowOverlap="1" wp14:anchorId="047E0863" wp14:editId="14A99319">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BE767" w14:textId="77777777" w:rsidR="00930469" w:rsidRPr="008A49D2" w:rsidRDefault="00930469"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51FB5A4" w14:textId="77777777" w:rsidR="00930469" w:rsidRDefault="00930469" w:rsidP="00656392">
      <w:pPr>
        <w:spacing w:line="240" w:lineRule="auto"/>
      </w:pPr>
      <w:r>
        <w:continuationSeparator/>
      </w:r>
    </w:p>
  </w:footnote>
  <w:footnote w:id="1">
    <w:p w14:paraId="6AAE459B" w14:textId="325E102E" w:rsidR="00930469" w:rsidRPr="0063517E" w:rsidRDefault="00930469" w:rsidP="0063517E">
      <w:pPr>
        <w:pStyle w:val="FootnoteText1"/>
        <w:rPr>
          <w:rtl/>
        </w:rPr>
      </w:pPr>
      <w:r w:rsidRPr="0063517E">
        <w:rPr>
          <w:rtl/>
        </w:rPr>
        <w:t>*</w:t>
      </w:r>
      <w:r w:rsidRPr="0063517E">
        <w:rPr>
          <w:rtl/>
        </w:rPr>
        <w:tab/>
        <w:t xml:space="preserve">اعتمدتها اللجنة في دورتها </w:t>
      </w:r>
      <w:r w:rsidRPr="00911C28">
        <w:rPr>
          <w:rtl/>
        </w:rPr>
        <w:t>133</w:t>
      </w:r>
      <w:r w:rsidRPr="0063517E">
        <w:rPr>
          <w:rtl/>
        </w:rPr>
        <w:t xml:space="preserve"> </w:t>
      </w:r>
      <w:r w:rsidRPr="0063517E">
        <w:rPr>
          <w:rFonts w:ascii="Traditional Arabic"/>
          <w:rtl/>
        </w:rPr>
        <w:t>(</w:t>
      </w:r>
      <w:r w:rsidRPr="00911C28">
        <w:rPr>
          <w:rFonts w:ascii="Traditional Arabic"/>
          <w:rtl/>
        </w:rPr>
        <w:t>11</w:t>
      </w:r>
      <w:r w:rsidRPr="0063517E">
        <w:rPr>
          <w:rtl/>
        </w:rPr>
        <w:t xml:space="preserve"> تشرين الأول/أكتوبر - </w:t>
      </w:r>
      <w:r w:rsidRPr="00911C28">
        <w:rPr>
          <w:rFonts w:ascii="Traditional Arabic"/>
          <w:rtl/>
        </w:rPr>
        <w:t>5</w:t>
      </w:r>
      <w:r w:rsidRPr="0063517E">
        <w:rPr>
          <w:rtl/>
        </w:rPr>
        <w:t xml:space="preserve"> تشرين الثاني/نوفمبر </w:t>
      </w:r>
      <w:r w:rsidRPr="00911C28">
        <w:rPr>
          <w:rFonts w:ascii="Traditional Arabic"/>
          <w:rtl/>
        </w:rPr>
        <w:t>2021</w:t>
      </w:r>
      <w:r w:rsidRPr="0063517E">
        <w:rPr>
          <w:rFonts w:ascii="Traditional Arabic"/>
          <w:rtl/>
        </w:rPr>
        <w:t>)</w:t>
      </w:r>
      <w:r w:rsidRPr="0063517E">
        <w:rPr>
          <w:rtl/>
        </w:rPr>
        <w:t>.</w:t>
      </w:r>
    </w:p>
  </w:footnote>
  <w:footnote w:id="2">
    <w:p w14:paraId="03EFE3A2" w14:textId="2FFE334C" w:rsidR="00930469" w:rsidRPr="0063517E" w:rsidRDefault="00930469" w:rsidP="0063517E">
      <w:pPr>
        <w:pStyle w:val="FootnoteText1"/>
        <w:textDirection w:val="tbRlV"/>
        <w:rPr>
          <w:lang w:eastAsia="zh-TW" w:bidi="en-GB"/>
        </w:rPr>
      </w:pPr>
      <w:r w:rsidRPr="0063517E">
        <w:rPr>
          <w:rtl/>
        </w:rPr>
        <w:t>(</w:t>
      </w:r>
      <w:r w:rsidRPr="00911C28">
        <w:rPr>
          <w:rStyle w:val="FootnoteReference"/>
          <w:vertAlign w:val="baseline"/>
        </w:rPr>
        <w:footnoteRef/>
      </w:r>
      <w:r w:rsidRPr="0063517E">
        <w:rPr>
          <w:rStyle w:val="FootnoteReference"/>
          <w:vertAlign w:val="baseline"/>
          <w:rtl/>
        </w:rPr>
        <w:t>)</w:t>
      </w:r>
      <w:r w:rsidRPr="0063517E">
        <w:rPr>
          <w:rStyle w:val="FootnoteReference"/>
          <w:vertAlign w:val="baseline"/>
          <w:rtl/>
        </w:rPr>
        <w:tab/>
      </w:r>
      <w:hyperlink r:id="rId1" w:history="1">
        <w:r w:rsidRPr="00922B30">
          <w:rPr>
            <w:rStyle w:val="Hyperlink"/>
            <w:rFonts w:cs="Times New Roman"/>
          </w:rPr>
          <w:t>CCPR/C/BWA/</w:t>
        </w:r>
        <w:r w:rsidRPr="00911C28">
          <w:rPr>
            <w:rStyle w:val="Hyperlink"/>
            <w:rFonts w:cs="Times New Roman"/>
          </w:rPr>
          <w:t>2</w:t>
        </w:r>
      </w:hyperlink>
      <w:r w:rsidRPr="0063517E">
        <w:rPr>
          <w:rtl/>
        </w:rPr>
        <w:t>.</w:t>
      </w:r>
    </w:p>
  </w:footnote>
  <w:footnote w:id="3">
    <w:p w14:paraId="75401B87" w14:textId="765E1400" w:rsidR="00930469" w:rsidRPr="0063517E" w:rsidRDefault="00930469" w:rsidP="0063517E">
      <w:pPr>
        <w:pStyle w:val="FootnoteText1"/>
        <w:textDirection w:val="tbRlV"/>
        <w:rPr>
          <w:lang w:val="ar-SA" w:eastAsia="zh-TW" w:bidi="en-GB"/>
        </w:rPr>
      </w:pPr>
      <w:r w:rsidRPr="0063517E">
        <w:rPr>
          <w:rtl/>
        </w:rPr>
        <w:t>(</w:t>
      </w:r>
      <w:r w:rsidRPr="00911C28">
        <w:rPr>
          <w:rStyle w:val="FootnoteReference"/>
          <w:vertAlign w:val="baseline"/>
        </w:rPr>
        <w:footnoteRef/>
      </w:r>
      <w:r w:rsidRPr="0063517E">
        <w:rPr>
          <w:rStyle w:val="FootnoteReference"/>
          <w:vertAlign w:val="baseline"/>
          <w:rtl/>
        </w:rPr>
        <w:t>)</w:t>
      </w:r>
      <w:r w:rsidRPr="0063517E">
        <w:rPr>
          <w:rStyle w:val="FootnoteReference"/>
          <w:vertAlign w:val="baseline"/>
          <w:rtl/>
        </w:rPr>
        <w:tab/>
      </w:r>
      <w:r w:rsidRPr="0063517E">
        <w:rPr>
          <w:rtl/>
        </w:rPr>
        <w:t xml:space="preserve">انظر </w:t>
      </w:r>
      <w:hyperlink r:id="rId2" w:history="1">
        <w:r w:rsidRPr="00922B30">
          <w:rPr>
            <w:rStyle w:val="Hyperlink"/>
            <w:rFonts w:cs="Times New Roman"/>
          </w:rPr>
          <w:t>CCPR/C/SR.</w:t>
        </w:r>
        <w:r w:rsidRPr="00911C28">
          <w:rPr>
            <w:rStyle w:val="Hyperlink"/>
            <w:rFonts w:cs="Times New Roman"/>
          </w:rPr>
          <w:t>3815</w:t>
        </w:r>
      </w:hyperlink>
      <w:r w:rsidRPr="0063517E">
        <w:rPr>
          <w:rtl/>
        </w:rPr>
        <w:t xml:space="preserve"> و</w:t>
      </w:r>
      <w:hyperlink r:id="rId3" w:history="1">
        <w:r w:rsidR="00922B30" w:rsidRPr="00922B30">
          <w:rPr>
            <w:rStyle w:val="Hyperlink"/>
          </w:rPr>
          <w:t>CCPR/C/SR.</w:t>
        </w:r>
        <w:r w:rsidR="00922B30" w:rsidRPr="00911C28">
          <w:rPr>
            <w:rStyle w:val="Hyperlink"/>
          </w:rPr>
          <w:t>3816</w:t>
        </w:r>
      </w:hyperlink>
      <w:r w:rsidRPr="0063517E">
        <w:rPr>
          <w:rtl/>
        </w:rPr>
        <w:t>.</w:t>
      </w:r>
    </w:p>
  </w:footnote>
  <w:footnote w:id="4">
    <w:p w14:paraId="0C15A4A5" w14:textId="22F059BB" w:rsidR="00930469" w:rsidRPr="0063517E" w:rsidRDefault="00930469" w:rsidP="0063517E">
      <w:pPr>
        <w:pStyle w:val="FootnoteText1"/>
        <w:textDirection w:val="tbRlV"/>
        <w:rPr>
          <w:lang w:val="ar-SA" w:eastAsia="zh-TW" w:bidi="en-GB"/>
        </w:rPr>
      </w:pPr>
      <w:r w:rsidRPr="0063517E">
        <w:rPr>
          <w:rtl/>
        </w:rPr>
        <w:t>(</w:t>
      </w:r>
      <w:r w:rsidRPr="00911C28">
        <w:rPr>
          <w:rStyle w:val="FootnoteReference"/>
          <w:vertAlign w:val="baseline"/>
        </w:rPr>
        <w:footnoteRef/>
      </w:r>
      <w:r w:rsidRPr="0063517E">
        <w:rPr>
          <w:rStyle w:val="FootnoteReference"/>
          <w:vertAlign w:val="baseline"/>
          <w:rtl/>
        </w:rPr>
        <w:t>)</w:t>
      </w:r>
      <w:r w:rsidRPr="0063517E">
        <w:rPr>
          <w:rStyle w:val="FootnoteReference"/>
          <w:vertAlign w:val="baseline"/>
          <w:rtl/>
        </w:rPr>
        <w:tab/>
      </w:r>
      <w:hyperlink r:id="rId4" w:history="1">
        <w:r w:rsidR="00922B30" w:rsidRPr="00922B30">
          <w:rPr>
            <w:rStyle w:val="Hyperlink"/>
          </w:rPr>
          <w:t>CCPR/C/BWA/QPR/</w:t>
        </w:r>
        <w:r w:rsidR="00922B30" w:rsidRPr="00911C28">
          <w:rPr>
            <w:rStyle w:val="Hyperlink"/>
          </w:rPr>
          <w:t>2</w:t>
        </w:r>
      </w:hyperlink>
      <w:r w:rsidRPr="0063517E">
        <w:rPr>
          <w:rtl/>
        </w:rPr>
        <w:t>.</w:t>
      </w:r>
    </w:p>
  </w:footnote>
  <w:footnote w:id="5">
    <w:p w14:paraId="3E2B11CF" w14:textId="5C2D3C89" w:rsidR="00930469" w:rsidRPr="0063517E" w:rsidRDefault="00930469" w:rsidP="0063517E">
      <w:pPr>
        <w:pStyle w:val="FootnoteText1"/>
        <w:textDirection w:val="tbRlV"/>
        <w:rPr>
          <w:lang w:val="ar-SA" w:eastAsia="zh-TW" w:bidi="en-GB"/>
        </w:rPr>
      </w:pPr>
      <w:r w:rsidRPr="0063517E">
        <w:rPr>
          <w:rtl/>
        </w:rPr>
        <w:t>(</w:t>
      </w:r>
      <w:r w:rsidRPr="00911C28">
        <w:rPr>
          <w:rStyle w:val="FootnoteReference"/>
          <w:vertAlign w:val="baseline"/>
        </w:rPr>
        <w:footnoteRef/>
      </w:r>
      <w:r w:rsidRPr="0063517E">
        <w:rPr>
          <w:rStyle w:val="FootnoteReference"/>
          <w:vertAlign w:val="baseline"/>
          <w:rtl/>
        </w:rPr>
        <w:t>)</w:t>
      </w:r>
      <w:r w:rsidRPr="0063517E">
        <w:rPr>
          <w:rStyle w:val="FootnoteReference"/>
          <w:vertAlign w:val="baseline"/>
          <w:rtl/>
        </w:rPr>
        <w:tab/>
      </w:r>
      <w:hyperlink r:id="rId5" w:history="1">
        <w:r w:rsidR="00922B30" w:rsidRPr="003A439E">
          <w:rPr>
            <w:rStyle w:val="Hyperlink"/>
            <w:rFonts w:eastAsia="Calibri"/>
            <w:lang w:val="es-ES"/>
          </w:rPr>
          <w:t>CCPR/C/BWA/CO/</w:t>
        </w:r>
        <w:r w:rsidR="00922B30" w:rsidRPr="00911C28">
          <w:rPr>
            <w:rStyle w:val="Hyperlink"/>
            <w:rFonts w:eastAsia="Calibri"/>
            <w:lang w:val="es-ES"/>
          </w:rPr>
          <w:t>1</w:t>
        </w:r>
      </w:hyperlink>
      <w:r w:rsidRPr="0063517E">
        <w:rPr>
          <w:rtl/>
        </w:rPr>
        <w:t xml:space="preserve">، الفقرتان </w:t>
      </w:r>
      <w:r w:rsidRPr="00911C28">
        <w:rPr>
          <w:rFonts w:ascii="Traditional Arabic"/>
          <w:rtl/>
        </w:rPr>
        <w:t>6</w:t>
      </w:r>
      <w:r>
        <w:rPr>
          <w:rtl/>
        </w:rPr>
        <w:t xml:space="preserve"> و</w:t>
      </w:r>
      <w:r w:rsidRPr="00911C28">
        <w:rPr>
          <w:rFonts w:ascii="Traditional Arabic"/>
          <w:rtl/>
        </w:rPr>
        <w:t>10</w:t>
      </w:r>
      <w:r w:rsidRPr="0063517E">
        <w:rPr>
          <w:rtl/>
        </w:rPr>
        <w:t>.</w:t>
      </w:r>
    </w:p>
  </w:footnote>
  <w:footnote w:id="6">
    <w:p w14:paraId="611C27E9" w14:textId="19CE4180" w:rsidR="00930469" w:rsidRPr="0063517E" w:rsidRDefault="00930469" w:rsidP="0063517E">
      <w:pPr>
        <w:pStyle w:val="FootnoteText1"/>
        <w:textDirection w:val="tbRlV"/>
        <w:rPr>
          <w:lang w:eastAsia="zh-TW" w:bidi="en-GB"/>
        </w:rPr>
      </w:pPr>
      <w:r w:rsidRPr="0063517E">
        <w:rPr>
          <w:rtl/>
        </w:rPr>
        <w:t>(</w:t>
      </w:r>
      <w:r w:rsidRPr="00911C28">
        <w:rPr>
          <w:rStyle w:val="FootnoteReference"/>
          <w:vertAlign w:val="baseline"/>
        </w:rPr>
        <w:footnoteRef/>
      </w:r>
      <w:r w:rsidRPr="0063517E">
        <w:rPr>
          <w:rStyle w:val="FootnoteReference"/>
          <w:vertAlign w:val="baseline"/>
          <w:rtl/>
        </w:rPr>
        <w:t>)</w:t>
      </w:r>
      <w:r w:rsidRPr="0063517E">
        <w:rPr>
          <w:rStyle w:val="FootnoteReference"/>
          <w:vertAlign w:val="baseline"/>
          <w:rtl/>
        </w:rPr>
        <w:tab/>
      </w:r>
      <w:r w:rsidRPr="0063517E">
        <w:rPr>
          <w:rtl/>
        </w:rPr>
        <w:t xml:space="preserve">المرجع نفسه، الفقرة </w:t>
      </w:r>
      <w:r w:rsidRPr="00911C28">
        <w:rPr>
          <w:rFonts w:ascii="Traditional Arabic"/>
          <w:rtl/>
        </w:rPr>
        <w:t>14</w:t>
      </w:r>
      <w:r w:rsidRPr="0063517E">
        <w:rPr>
          <w:rtl/>
        </w:rPr>
        <w:t>.</w:t>
      </w:r>
    </w:p>
  </w:footnote>
  <w:footnote w:id="7">
    <w:p w14:paraId="7484454D" w14:textId="4D92095A" w:rsidR="00930469" w:rsidRPr="0063517E" w:rsidRDefault="00930469" w:rsidP="0063517E">
      <w:pPr>
        <w:pStyle w:val="FootnoteText1"/>
        <w:textDirection w:val="tbRlV"/>
        <w:rPr>
          <w:lang w:val="ar-SA" w:eastAsia="zh-TW" w:bidi="en-GB"/>
        </w:rPr>
      </w:pPr>
      <w:r w:rsidRPr="0063517E">
        <w:rPr>
          <w:rtl/>
        </w:rPr>
        <w:t>(</w:t>
      </w:r>
      <w:r w:rsidRPr="00911C28">
        <w:rPr>
          <w:rStyle w:val="FootnoteReference"/>
          <w:vertAlign w:val="baseline"/>
        </w:rPr>
        <w:footnoteRef/>
      </w:r>
      <w:r w:rsidRPr="0063517E">
        <w:rPr>
          <w:rStyle w:val="FootnoteReference"/>
          <w:vertAlign w:val="baseline"/>
          <w:rtl/>
        </w:rPr>
        <w:t>)</w:t>
      </w:r>
      <w:r w:rsidRPr="0063517E">
        <w:rPr>
          <w:rStyle w:val="FootnoteReference"/>
          <w:vertAlign w:val="baseline"/>
          <w:rtl/>
        </w:rPr>
        <w:tab/>
      </w:r>
      <w:r w:rsidRPr="0063517E">
        <w:rPr>
          <w:rtl/>
        </w:rPr>
        <w:t xml:space="preserve">المرجع نفسه، الفقرات </w:t>
      </w:r>
      <w:r w:rsidRPr="00911C28">
        <w:rPr>
          <w:rFonts w:ascii="Traditional Arabic"/>
          <w:rtl/>
        </w:rPr>
        <w:t>9</w:t>
      </w:r>
      <w:r>
        <w:rPr>
          <w:rtl/>
        </w:rPr>
        <w:t xml:space="preserve"> و</w:t>
      </w:r>
      <w:r w:rsidRPr="00911C28">
        <w:rPr>
          <w:rFonts w:ascii="Traditional Arabic"/>
          <w:rtl/>
        </w:rPr>
        <w:t>11</w:t>
      </w:r>
      <w:r>
        <w:rPr>
          <w:rtl/>
        </w:rPr>
        <w:t xml:space="preserve"> و</w:t>
      </w:r>
      <w:r w:rsidRPr="00911C28">
        <w:rPr>
          <w:rFonts w:ascii="Traditional Arabic"/>
          <w:rtl/>
        </w:rPr>
        <w:t>22</w:t>
      </w:r>
      <w:r w:rsidRPr="0063517E">
        <w:rPr>
          <w:rFonts w:ascii="Traditional Arabic"/>
          <w:rtl/>
        </w:rPr>
        <w:t>–</w:t>
      </w:r>
      <w:r w:rsidRPr="00911C28">
        <w:rPr>
          <w:rFonts w:ascii="Traditional Arabic"/>
          <w:rtl/>
        </w:rPr>
        <w:t>23</w:t>
      </w:r>
      <w:r w:rsidRPr="0063517E">
        <w:rPr>
          <w:rtl/>
        </w:rPr>
        <w:t>.</w:t>
      </w:r>
    </w:p>
  </w:footnote>
  <w:footnote w:id="8">
    <w:p w14:paraId="25FDD5EB" w14:textId="1B916892" w:rsidR="00930469" w:rsidRPr="0063517E" w:rsidRDefault="00930469" w:rsidP="0063517E">
      <w:pPr>
        <w:pStyle w:val="FootnoteText1"/>
        <w:textDirection w:val="tbRlV"/>
        <w:rPr>
          <w:lang w:val="ar-SA" w:eastAsia="zh-TW" w:bidi="en-GB"/>
        </w:rPr>
      </w:pPr>
      <w:r w:rsidRPr="0063517E">
        <w:rPr>
          <w:rtl/>
        </w:rPr>
        <w:t>(</w:t>
      </w:r>
      <w:r w:rsidRPr="00911C28">
        <w:rPr>
          <w:rStyle w:val="FootnoteReference"/>
          <w:vertAlign w:val="baseline"/>
        </w:rPr>
        <w:footnoteRef/>
      </w:r>
      <w:r w:rsidRPr="0063517E">
        <w:rPr>
          <w:rStyle w:val="FootnoteReference"/>
          <w:vertAlign w:val="baseline"/>
          <w:rtl/>
        </w:rPr>
        <w:t>)</w:t>
      </w:r>
      <w:r w:rsidRPr="0063517E">
        <w:rPr>
          <w:rStyle w:val="FootnoteReference"/>
          <w:vertAlign w:val="baseline"/>
          <w:rtl/>
        </w:rPr>
        <w:tab/>
      </w:r>
      <w:r w:rsidRPr="0063517E">
        <w:rPr>
          <w:rtl/>
        </w:rPr>
        <w:t xml:space="preserve">المرجع نفسه، الفقرة </w:t>
      </w:r>
      <w:r w:rsidRPr="00911C28">
        <w:rPr>
          <w:rFonts w:ascii="Traditional Arabic"/>
          <w:rtl/>
        </w:rPr>
        <w:t>13</w:t>
      </w:r>
      <w:r w:rsidRPr="0063517E">
        <w:rPr>
          <w:rtl/>
        </w:rPr>
        <w:t>.</w:t>
      </w:r>
    </w:p>
  </w:footnote>
  <w:footnote w:id="9">
    <w:p w14:paraId="0B560D43" w14:textId="1935ADA3" w:rsidR="00930469" w:rsidRPr="0063517E" w:rsidRDefault="00930469" w:rsidP="0063517E">
      <w:pPr>
        <w:pStyle w:val="FootnoteText1"/>
        <w:textDirection w:val="tbRlV"/>
        <w:rPr>
          <w:lang w:val="ar-SA" w:eastAsia="zh-TW" w:bidi="en-GB"/>
        </w:rPr>
      </w:pPr>
      <w:r w:rsidRPr="0063517E">
        <w:rPr>
          <w:rtl/>
        </w:rPr>
        <w:t>(</w:t>
      </w:r>
      <w:r w:rsidRPr="00911C28">
        <w:rPr>
          <w:rStyle w:val="FootnoteReference"/>
          <w:vertAlign w:val="baseline"/>
        </w:rPr>
        <w:footnoteRef/>
      </w:r>
      <w:r w:rsidRPr="0063517E">
        <w:rPr>
          <w:rStyle w:val="FootnoteReference"/>
          <w:vertAlign w:val="baseline"/>
          <w:rtl/>
        </w:rPr>
        <w:t>)</w:t>
      </w:r>
      <w:r w:rsidRPr="0063517E">
        <w:rPr>
          <w:rStyle w:val="FootnoteReference"/>
          <w:vertAlign w:val="baseline"/>
          <w:rtl/>
        </w:rPr>
        <w:tab/>
      </w:r>
      <w:r w:rsidRPr="0063517E">
        <w:rPr>
          <w:rtl/>
        </w:rPr>
        <w:t xml:space="preserve">المرجع نفسه، الفقرتان </w:t>
      </w:r>
      <w:r w:rsidRPr="00911C28">
        <w:rPr>
          <w:rFonts w:ascii="Traditional Arabic"/>
          <w:rtl/>
        </w:rPr>
        <w:t>15</w:t>
      </w:r>
      <w:r>
        <w:rPr>
          <w:rtl/>
        </w:rPr>
        <w:t xml:space="preserve"> و</w:t>
      </w:r>
      <w:r w:rsidRPr="00911C28">
        <w:rPr>
          <w:rFonts w:ascii="Traditional Arabic"/>
          <w:rtl/>
        </w:rPr>
        <w:t>18</w:t>
      </w:r>
      <w:r w:rsidRPr="0063517E">
        <w:rPr>
          <w:rtl/>
        </w:rPr>
        <w:t>.</w:t>
      </w:r>
    </w:p>
  </w:footnote>
  <w:footnote w:id="10">
    <w:p w14:paraId="4FC05F10" w14:textId="37F895EC" w:rsidR="00930469" w:rsidRPr="0063517E" w:rsidRDefault="00930469" w:rsidP="0063517E">
      <w:pPr>
        <w:pStyle w:val="FootnoteText1"/>
        <w:textDirection w:val="tbRlV"/>
        <w:rPr>
          <w:lang w:eastAsia="zh-TW" w:bidi="en-GB"/>
        </w:rPr>
      </w:pPr>
      <w:r w:rsidRPr="0063517E">
        <w:rPr>
          <w:rtl/>
        </w:rPr>
        <w:t>(</w:t>
      </w:r>
      <w:r w:rsidRPr="00911C28">
        <w:rPr>
          <w:rStyle w:val="FootnoteReference"/>
          <w:vertAlign w:val="baseline"/>
        </w:rPr>
        <w:footnoteRef/>
      </w:r>
      <w:r w:rsidRPr="0063517E">
        <w:rPr>
          <w:rStyle w:val="FootnoteReference"/>
          <w:vertAlign w:val="baseline"/>
          <w:rtl/>
        </w:rPr>
        <w:t>)</w:t>
      </w:r>
      <w:r w:rsidRPr="0063517E">
        <w:rPr>
          <w:rStyle w:val="FootnoteReference"/>
          <w:vertAlign w:val="baseline"/>
          <w:rtl/>
        </w:rPr>
        <w:tab/>
      </w:r>
      <w:r w:rsidRPr="0063517E">
        <w:rPr>
          <w:rtl/>
        </w:rPr>
        <w:t xml:space="preserve">المرجع نفسه، الفقرة </w:t>
      </w:r>
      <w:r w:rsidRPr="00911C28">
        <w:rPr>
          <w:rFonts w:ascii="Traditional Arabic"/>
          <w:rtl/>
        </w:rPr>
        <w:t>19</w:t>
      </w:r>
      <w:r w:rsidRPr="0063517E">
        <w:rPr>
          <w:rtl/>
        </w:rPr>
        <w:t>.</w:t>
      </w:r>
    </w:p>
  </w:footnote>
  <w:footnote w:id="11">
    <w:p w14:paraId="7C7F8894" w14:textId="44780E2C" w:rsidR="00930469" w:rsidRPr="0063517E" w:rsidRDefault="00930469" w:rsidP="0063517E">
      <w:pPr>
        <w:pStyle w:val="FootnoteText1"/>
        <w:textDirection w:val="tbRlV"/>
        <w:rPr>
          <w:lang w:val="ar-SA" w:eastAsia="zh-TW" w:bidi="en-GB"/>
        </w:rPr>
      </w:pPr>
      <w:r w:rsidRPr="0063517E">
        <w:rPr>
          <w:rtl/>
        </w:rPr>
        <w:t>(</w:t>
      </w:r>
      <w:r w:rsidRPr="00911C28">
        <w:rPr>
          <w:rStyle w:val="FootnoteReference"/>
          <w:vertAlign w:val="baseline"/>
        </w:rPr>
        <w:footnoteRef/>
      </w:r>
      <w:r w:rsidRPr="0063517E">
        <w:rPr>
          <w:rStyle w:val="FootnoteReference"/>
          <w:vertAlign w:val="baseline"/>
          <w:rtl/>
        </w:rPr>
        <w:t>)</w:t>
      </w:r>
      <w:r w:rsidRPr="0063517E">
        <w:rPr>
          <w:rStyle w:val="FootnoteReference"/>
          <w:vertAlign w:val="baseline"/>
          <w:rtl/>
        </w:rPr>
        <w:tab/>
      </w:r>
      <w:r w:rsidRPr="0063517E">
        <w:rPr>
          <w:rtl/>
        </w:rPr>
        <w:t xml:space="preserve">المرجع نفسه، الفقرة </w:t>
      </w:r>
      <w:r w:rsidRPr="00911C28">
        <w:rPr>
          <w:rFonts w:ascii="Traditional Arabic"/>
          <w:rtl/>
        </w:rPr>
        <w:t>17</w:t>
      </w:r>
      <w:r w:rsidRPr="0063517E">
        <w:rPr>
          <w:rtl/>
        </w:rPr>
        <w:t>.</w:t>
      </w:r>
    </w:p>
  </w:footnote>
  <w:footnote w:id="12">
    <w:p w14:paraId="7EBD7E94" w14:textId="2B8450DA" w:rsidR="00930469" w:rsidRPr="0063517E" w:rsidRDefault="00930469" w:rsidP="0063517E">
      <w:pPr>
        <w:pStyle w:val="FootnoteText1"/>
        <w:textDirection w:val="tbRlV"/>
        <w:rPr>
          <w:lang w:eastAsia="zh-TW" w:bidi="en-GB"/>
        </w:rPr>
      </w:pPr>
      <w:r w:rsidRPr="0063517E">
        <w:rPr>
          <w:rtl/>
        </w:rPr>
        <w:t>(</w:t>
      </w:r>
      <w:r w:rsidRPr="00911C28">
        <w:rPr>
          <w:rStyle w:val="FootnoteReference"/>
          <w:vertAlign w:val="baseline"/>
        </w:rPr>
        <w:footnoteRef/>
      </w:r>
      <w:r w:rsidRPr="0063517E">
        <w:rPr>
          <w:rStyle w:val="FootnoteReference"/>
          <w:vertAlign w:val="baseline"/>
          <w:rtl/>
        </w:rPr>
        <w:t>)</w:t>
      </w:r>
      <w:r w:rsidRPr="0063517E">
        <w:rPr>
          <w:rStyle w:val="FootnoteReference"/>
          <w:vertAlign w:val="baseline"/>
          <w:rtl/>
        </w:rPr>
        <w:tab/>
      </w:r>
      <w:r w:rsidRPr="0063517E">
        <w:rPr>
          <w:rtl/>
        </w:rPr>
        <w:t xml:space="preserve">المرجع نفسه، الفقرة </w:t>
      </w:r>
      <w:r w:rsidRPr="00911C28">
        <w:rPr>
          <w:rFonts w:ascii="Traditional Arabic"/>
          <w:rtl/>
        </w:rPr>
        <w:t>16</w:t>
      </w:r>
      <w:r w:rsidRPr="0063517E">
        <w:rPr>
          <w:rtl/>
        </w:rPr>
        <w:t>.</w:t>
      </w:r>
    </w:p>
  </w:footnote>
  <w:footnote w:id="13">
    <w:p w14:paraId="2E26055A" w14:textId="7D1600DE" w:rsidR="00930469" w:rsidRPr="0063517E" w:rsidRDefault="00930469" w:rsidP="00C54F2D">
      <w:pPr>
        <w:pStyle w:val="FootnoteText1"/>
        <w:spacing w:line="260" w:lineRule="exact"/>
        <w:textDirection w:val="tbRlV"/>
        <w:rPr>
          <w:lang w:val="ar-SA" w:eastAsia="zh-TW" w:bidi="en-GB"/>
        </w:rPr>
      </w:pPr>
      <w:r w:rsidRPr="0063517E">
        <w:rPr>
          <w:rtl/>
        </w:rPr>
        <w:t>(</w:t>
      </w:r>
      <w:r w:rsidRPr="00911C28">
        <w:rPr>
          <w:rStyle w:val="FootnoteReference"/>
          <w:vertAlign w:val="baseline"/>
        </w:rPr>
        <w:footnoteRef/>
      </w:r>
      <w:r w:rsidRPr="0063517E">
        <w:rPr>
          <w:rStyle w:val="FootnoteReference"/>
          <w:vertAlign w:val="baseline"/>
          <w:rtl/>
        </w:rPr>
        <w:t>)</w:t>
      </w:r>
      <w:r w:rsidRPr="0063517E">
        <w:rPr>
          <w:rStyle w:val="FootnoteReference"/>
          <w:vertAlign w:val="baseline"/>
          <w:rtl/>
        </w:rPr>
        <w:tab/>
      </w:r>
      <w:r w:rsidRPr="0063517E">
        <w:rPr>
          <w:rtl/>
        </w:rPr>
        <w:t xml:space="preserve">المرجع نفسه، الفقرات </w:t>
      </w:r>
      <w:r w:rsidRPr="00911C28">
        <w:rPr>
          <w:rFonts w:ascii="Traditional Arabic"/>
          <w:rtl/>
        </w:rPr>
        <w:t>12</w:t>
      </w:r>
      <w:r>
        <w:rPr>
          <w:rtl/>
        </w:rPr>
        <w:t xml:space="preserve"> و</w:t>
      </w:r>
      <w:r w:rsidRPr="00911C28">
        <w:rPr>
          <w:rFonts w:ascii="Traditional Arabic"/>
          <w:rtl/>
        </w:rPr>
        <w:t>20</w:t>
      </w:r>
      <w:r w:rsidRPr="0063517E">
        <w:rPr>
          <w:rFonts w:ascii="Traditional Arabic"/>
          <w:rtl/>
        </w:rPr>
        <w:t>–</w:t>
      </w:r>
      <w:r w:rsidRPr="00911C28">
        <w:rPr>
          <w:rFonts w:ascii="Traditional Arabic"/>
          <w:rtl/>
        </w:rPr>
        <w:t>21</w:t>
      </w:r>
      <w:r w:rsidRPr="0063517E">
        <w:rPr>
          <w:rtl/>
        </w:rPr>
        <w:t>.</w:t>
      </w:r>
    </w:p>
  </w:footnote>
  <w:footnote w:id="14">
    <w:p w14:paraId="1713DA6C" w14:textId="0FD1D2C5" w:rsidR="00930469" w:rsidRPr="0063517E" w:rsidRDefault="00930469" w:rsidP="0063517E">
      <w:pPr>
        <w:pStyle w:val="FootnoteText1"/>
        <w:textDirection w:val="tbRlV"/>
        <w:rPr>
          <w:lang w:val="ar-SA" w:eastAsia="zh-TW" w:bidi="en-GB"/>
        </w:rPr>
      </w:pPr>
      <w:r w:rsidRPr="0063517E">
        <w:rPr>
          <w:rtl/>
        </w:rPr>
        <w:t>(</w:t>
      </w:r>
      <w:r w:rsidRPr="00911C28">
        <w:rPr>
          <w:rStyle w:val="FootnoteReference"/>
          <w:vertAlign w:val="baseline"/>
        </w:rPr>
        <w:footnoteRef/>
      </w:r>
      <w:r w:rsidRPr="0063517E">
        <w:rPr>
          <w:rStyle w:val="FootnoteReference"/>
          <w:vertAlign w:val="baseline"/>
          <w:rtl/>
        </w:rPr>
        <w:t>)</w:t>
      </w:r>
      <w:r w:rsidRPr="0063517E">
        <w:rPr>
          <w:rStyle w:val="FootnoteReference"/>
          <w:vertAlign w:val="baseline"/>
          <w:rtl/>
        </w:rPr>
        <w:tab/>
      </w:r>
      <w:r w:rsidRPr="0063517E">
        <w:rPr>
          <w:rtl/>
        </w:rPr>
        <w:t xml:space="preserve">المرجع نفسه، الفقرة </w:t>
      </w:r>
      <w:r w:rsidRPr="00911C28">
        <w:rPr>
          <w:rFonts w:ascii="Traditional Arabic"/>
          <w:rtl/>
        </w:rPr>
        <w:t>23</w:t>
      </w:r>
      <w:r w:rsidRPr="0063517E">
        <w:rPr>
          <w:rtl/>
        </w:rPr>
        <w:t>.</w:t>
      </w:r>
    </w:p>
  </w:footnote>
  <w:footnote w:id="15">
    <w:p w14:paraId="5B158846" w14:textId="406F257C" w:rsidR="00930469" w:rsidRPr="0063517E" w:rsidRDefault="00930469" w:rsidP="0063517E">
      <w:pPr>
        <w:pStyle w:val="FootnoteText1"/>
        <w:textDirection w:val="tbRlV"/>
        <w:rPr>
          <w:lang w:eastAsia="zh-TW" w:bidi="en-GB"/>
        </w:rPr>
      </w:pPr>
      <w:r w:rsidRPr="0063517E">
        <w:rPr>
          <w:rStyle w:val="FootnoteReference"/>
          <w:vertAlign w:val="baseline"/>
          <w:rtl/>
        </w:rPr>
        <w:t>(</w:t>
      </w:r>
      <w:r w:rsidRPr="00911C28">
        <w:rPr>
          <w:rStyle w:val="FootnoteReference"/>
          <w:vertAlign w:val="baseline"/>
        </w:rPr>
        <w:footnoteRef/>
      </w:r>
      <w:r w:rsidRPr="0063517E">
        <w:rPr>
          <w:rStyle w:val="FootnoteReference"/>
          <w:vertAlign w:val="baseline"/>
          <w:rtl/>
        </w:rPr>
        <w:t>)</w:t>
      </w:r>
      <w:r w:rsidRPr="0063517E">
        <w:rPr>
          <w:rStyle w:val="FootnoteReference"/>
          <w:vertAlign w:val="baseline"/>
          <w:rtl/>
        </w:rPr>
        <w:tab/>
      </w:r>
      <w:r w:rsidRPr="0063517E">
        <w:rPr>
          <w:rtl/>
        </w:rPr>
        <w:t xml:space="preserve">المرجع نفسه، الفقرة </w:t>
      </w:r>
      <w:r w:rsidRPr="00911C28">
        <w:rPr>
          <w:rFonts w:ascii="Traditional Arabic"/>
          <w:rtl/>
        </w:rPr>
        <w:t>24</w:t>
      </w:r>
      <w:r w:rsidRPr="0063517E">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93526" w14:textId="5282BDAC" w:rsidR="00930469" w:rsidRPr="00E94A98" w:rsidRDefault="00930469" w:rsidP="00E94A9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CCPR/C/BWA/CO/2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CB712" w14:textId="66E2C152" w:rsidR="00930469" w:rsidRPr="00E94A98" w:rsidRDefault="00930469" w:rsidP="00E94A9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CCPR/C/BWA/CO/2</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2B362816"/>
    <w:lvl w:ilvl="0" w:tplc="3132BBBA">
      <w:start w:val="1"/>
      <w:numFmt w:val="decimal"/>
      <w:lvlText w:val="%1."/>
      <w:lvlJc w:val="left"/>
      <w:pPr>
        <w:tabs>
          <w:tab w:val="num" w:pos="1701"/>
        </w:tabs>
        <w:ind w:left="1134" w:firstLine="0"/>
      </w:pPr>
      <w:rPr>
        <w:rFonts w:ascii="Times New Roman" w:hAnsi="Times New Roman" w:hint="default"/>
        <w:b w:val="0"/>
        <w:i w:val="0"/>
        <w:sz w:val="20"/>
      </w:rPr>
    </w:lvl>
    <w:lvl w:ilvl="1" w:tplc="59C2F9B2" w:tentative="1">
      <w:start w:val="1"/>
      <w:numFmt w:val="lowerLetter"/>
      <w:lvlText w:val="%2."/>
      <w:lvlJc w:val="left"/>
      <w:pPr>
        <w:tabs>
          <w:tab w:val="num" w:pos="1440"/>
        </w:tabs>
        <w:ind w:left="1440" w:hanging="360"/>
      </w:pPr>
    </w:lvl>
    <w:lvl w:ilvl="2" w:tplc="A29A9E4A" w:tentative="1">
      <w:start w:val="1"/>
      <w:numFmt w:val="lowerRoman"/>
      <w:lvlText w:val="%3."/>
      <w:lvlJc w:val="right"/>
      <w:pPr>
        <w:tabs>
          <w:tab w:val="num" w:pos="2160"/>
        </w:tabs>
        <w:ind w:left="2160" w:hanging="180"/>
      </w:pPr>
    </w:lvl>
    <w:lvl w:ilvl="3" w:tplc="2A347F00" w:tentative="1">
      <w:start w:val="1"/>
      <w:numFmt w:val="decimal"/>
      <w:lvlText w:val="%4."/>
      <w:lvlJc w:val="left"/>
      <w:pPr>
        <w:tabs>
          <w:tab w:val="num" w:pos="2880"/>
        </w:tabs>
        <w:ind w:left="2880" w:hanging="360"/>
      </w:pPr>
    </w:lvl>
    <w:lvl w:ilvl="4" w:tplc="8EC0F47E" w:tentative="1">
      <w:start w:val="1"/>
      <w:numFmt w:val="lowerLetter"/>
      <w:lvlText w:val="%5."/>
      <w:lvlJc w:val="left"/>
      <w:pPr>
        <w:tabs>
          <w:tab w:val="num" w:pos="3600"/>
        </w:tabs>
        <w:ind w:left="3600" w:hanging="360"/>
      </w:pPr>
    </w:lvl>
    <w:lvl w:ilvl="5" w:tplc="4A7CF8EE" w:tentative="1">
      <w:start w:val="1"/>
      <w:numFmt w:val="lowerRoman"/>
      <w:lvlText w:val="%6."/>
      <w:lvlJc w:val="right"/>
      <w:pPr>
        <w:tabs>
          <w:tab w:val="num" w:pos="4320"/>
        </w:tabs>
        <w:ind w:left="4320" w:hanging="180"/>
      </w:pPr>
    </w:lvl>
    <w:lvl w:ilvl="6" w:tplc="55C851D4" w:tentative="1">
      <w:start w:val="1"/>
      <w:numFmt w:val="decimal"/>
      <w:lvlText w:val="%7."/>
      <w:lvlJc w:val="left"/>
      <w:pPr>
        <w:tabs>
          <w:tab w:val="num" w:pos="5040"/>
        </w:tabs>
        <w:ind w:left="5040" w:hanging="360"/>
      </w:pPr>
    </w:lvl>
    <w:lvl w:ilvl="7" w:tplc="9BFA31EA" w:tentative="1">
      <w:start w:val="1"/>
      <w:numFmt w:val="lowerLetter"/>
      <w:lvlText w:val="%8."/>
      <w:lvlJc w:val="left"/>
      <w:pPr>
        <w:tabs>
          <w:tab w:val="num" w:pos="5760"/>
        </w:tabs>
        <w:ind w:left="5760" w:hanging="360"/>
      </w:pPr>
    </w:lvl>
    <w:lvl w:ilvl="8" w:tplc="56927C94"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B43D5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15:restartNumberingAfterBreak="0">
    <w:nsid w:val="2B2266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0F601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4"/>
  </w:num>
  <w:num w:numId="2">
    <w:abstractNumId w:val="19"/>
  </w:num>
  <w:num w:numId="3">
    <w:abstractNumId w:val="2"/>
  </w:num>
  <w:num w:numId="4">
    <w:abstractNumId w:val="18"/>
  </w:num>
  <w:num w:numId="5">
    <w:abstractNumId w:val="15"/>
  </w:num>
  <w:num w:numId="6">
    <w:abstractNumId w:val="9"/>
  </w:num>
  <w:num w:numId="7">
    <w:abstractNumId w:val="27"/>
  </w:num>
  <w:num w:numId="8">
    <w:abstractNumId w:val="2"/>
  </w:num>
  <w:num w:numId="9">
    <w:abstractNumId w:val="18"/>
  </w:num>
  <w:num w:numId="10">
    <w:abstractNumId w:val="9"/>
  </w:num>
  <w:num w:numId="11">
    <w:abstractNumId w:val="27"/>
  </w:num>
  <w:num w:numId="12">
    <w:abstractNumId w:val="2"/>
  </w:num>
  <w:num w:numId="13">
    <w:abstractNumId w:val="18"/>
  </w:num>
  <w:num w:numId="14">
    <w:abstractNumId w:val="15"/>
  </w:num>
  <w:num w:numId="15">
    <w:abstractNumId w:val="9"/>
  </w:num>
  <w:num w:numId="16">
    <w:abstractNumId w:val="27"/>
  </w:num>
  <w:num w:numId="17">
    <w:abstractNumId w:val="7"/>
  </w:num>
  <w:num w:numId="18">
    <w:abstractNumId w:val="3"/>
  </w:num>
  <w:num w:numId="19">
    <w:abstractNumId w:val="25"/>
  </w:num>
  <w:num w:numId="20">
    <w:abstractNumId w:val="20"/>
  </w:num>
  <w:num w:numId="21">
    <w:abstractNumId w:val="1"/>
  </w:num>
  <w:num w:numId="22">
    <w:abstractNumId w:val="23"/>
  </w:num>
  <w:num w:numId="23">
    <w:abstractNumId w:val="0"/>
  </w:num>
  <w:num w:numId="24">
    <w:abstractNumId w:val="16"/>
  </w:num>
  <w:num w:numId="25">
    <w:abstractNumId w:val="23"/>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12"/>
  </w:num>
  <w:num w:numId="31">
    <w:abstractNumId w:val="11"/>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11"/>
  </w:num>
  <w:num w:numId="33">
    <w:abstractNumId w:val="14"/>
  </w:num>
  <w:num w:numId="34">
    <w:abstractNumId w:val="8"/>
  </w:num>
  <w:num w:numId="35">
    <w:abstractNumId w:val="21"/>
  </w:num>
  <w:num w:numId="36">
    <w:abstractNumId w:val="22"/>
  </w:num>
  <w:num w:numId="37">
    <w:abstractNumId w:val="26"/>
  </w:num>
  <w:num w:numId="38">
    <w:abstractNumId w:val="5"/>
  </w:num>
  <w:num w:numId="39">
    <w:abstractNumId w:val="4"/>
  </w:num>
  <w:num w:numId="40">
    <w:abstractNumId w:val="10"/>
  </w:num>
  <w:num w:numId="41">
    <w:abstractNumId w:val="1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37"/>
    <w:rsid w:val="000064DD"/>
    <w:rsid w:val="00006F7E"/>
    <w:rsid w:val="000076D5"/>
    <w:rsid w:val="00043663"/>
    <w:rsid w:val="000437B8"/>
    <w:rsid w:val="000505CF"/>
    <w:rsid w:val="000D701C"/>
    <w:rsid w:val="000E2A71"/>
    <w:rsid w:val="00145577"/>
    <w:rsid w:val="00160263"/>
    <w:rsid w:val="00181F96"/>
    <w:rsid w:val="00182037"/>
    <w:rsid w:val="001872B1"/>
    <w:rsid w:val="001A1371"/>
    <w:rsid w:val="001B043F"/>
    <w:rsid w:val="001B346A"/>
    <w:rsid w:val="001E1CAD"/>
    <w:rsid w:val="001E290D"/>
    <w:rsid w:val="002144FA"/>
    <w:rsid w:val="0023469A"/>
    <w:rsid w:val="00243C8A"/>
    <w:rsid w:val="00267A0E"/>
    <w:rsid w:val="002901D9"/>
    <w:rsid w:val="002976C2"/>
    <w:rsid w:val="002A6D1C"/>
    <w:rsid w:val="003068BC"/>
    <w:rsid w:val="003260FF"/>
    <w:rsid w:val="00340AAE"/>
    <w:rsid w:val="00343D95"/>
    <w:rsid w:val="0036244E"/>
    <w:rsid w:val="00363A18"/>
    <w:rsid w:val="00374341"/>
    <w:rsid w:val="003D1062"/>
    <w:rsid w:val="00402051"/>
    <w:rsid w:val="00420D7B"/>
    <w:rsid w:val="00450B21"/>
    <w:rsid w:val="00453B63"/>
    <w:rsid w:val="00455780"/>
    <w:rsid w:val="0046323F"/>
    <w:rsid w:val="004B0A1C"/>
    <w:rsid w:val="004B27E0"/>
    <w:rsid w:val="004D298E"/>
    <w:rsid w:val="00502F9F"/>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3517E"/>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822884"/>
    <w:rsid w:val="00852A9A"/>
    <w:rsid w:val="008A49D2"/>
    <w:rsid w:val="008F49E1"/>
    <w:rsid w:val="0090370F"/>
    <w:rsid w:val="00911C28"/>
    <w:rsid w:val="00922B30"/>
    <w:rsid w:val="009269D2"/>
    <w:rsid w:val="00930469"/>
    <w:rsid w:val="00942135"/>
    <w:rsid w:val="009521B0"/>
    <w:rsid w:val="00957437"/>
    <w:rsid w:val="00982139"/>
    <w:rsid w:val="009867A8"/>
    <w:rsid w:val="00991F44"/>
    <w:rsid w:val="00996849"/>
    <w:rsid w:val="009A0CFB"/>
    <w:rsid w:val="009A4084"/>
    <w:rsid w:val="009A7E9F"/>
    <w:rsid w:val="009C17EC"/>
    <w:rsid w:val="009E5018"/>
    <w:rsid w:val="00A03700"/>
    <w:rsid w:val="00A053F2"/>
    <w:rsid w:val="00A12B37"/>
    <w:rsid w:val="00A54828"/>
    <w:rsid w:val="00A97E1F"/>
    <w:rsid w:val="00AB512E"/>
    <w:rsid w:val="00AB6758"/>
    <w:rsid w:val="00AB727F"/>
    <w:rsid w:val="00B13763"/>
    <w:rsid w:val="00B477A4"/>
    <w:rsid w:val="00B54045"/>
    <w:rsid w:val="00B63ADD"/>
    <w:rsid w:val="00B875C3"/>
    <w:rsid w:val="00BA38AA"/>
    <w:rsid w:val="00BB09A0"/>
    <w:rsid w:val="00C175A6"/>
    <w:rsid w:val="00C41DCF"/>
    <w:rsid w:val="00C42AF7"/>
    <w:rsid w:val="00C438D7"/>
    <w:rsid w:val="00C54F2D"/>
    <w:rsid w:val="00C62C20"/>
    <w:rsid w:val="00C81B50"/>
    <w:rsid w:val="00C902EF"/>
    <w:rsid w:val="00CB0011"/>
    <w:rsid w:val="00CB6622"/>
    <w:rsid w:val="00CD1801"/>
    <w:rsid w:val="00CF56F9"/>
    <w:rsid w:val="00CF65C6"/>
    <w:rsid w:val="00D00A89"/>
    <w:rsid w:val="00D10EF1"/>
    <w:rsid w:val="00D42810"/>
    <w:rsid w:val="00D46D12"/>
    <w:rsid w:val="00D60DD5"/>
    <w:rsid w:val="00D914A7"/>
    <w:rsid w:val="00DC4D4B"/>
    <w:rsid w:val="00DD13C3"/>
    <w:rsid w:val="00DD596E"/>
    <w:rsid w:val="00DD621E"/>
    <w:rsid w:val="00DE50B1"/>
    <w:rsid w:val="00DE7914"/>
    <w:rsid w:val="00DF0138"/>
    <w:rsid w:val="00DF0575"/>
    <w:rsid w:val="00E2228E"/>
    <w:rsid w:val="00E70E04"/>
    <w:rsid w:val="00E76FF9"/>
    <w:rsid w:val="00E77E6C"/>
    <w:rsid w:val="00E83ED5"/>
    <w:rsid w:val="00E94A98"/>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531B59"/>
  <w15:docId w15:val="{5C6EE0DF-2F95-4A93-B0E4-B3EDACA6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621120"/>
    <w:pPr>
      <w:keepNext/>
      <w:keepLines/>
      <w:spacing w:before="200"/>
      <w:outlineLvl w:val="2"/>
    </w:pPr>
    <w:rPr>
      <w:b/>
      <w:bCs/>
      <w:color w:val="4F81BD"/>
    </w:rPr>
  </w:style>
  <w:style w:type="paragraph" w:styleId="Heading4">
    <w:name w:val="heading 4"/>
    <w:basedOn w:val="Normal"/>
    <w:next w:val="Normal"/>
    <w:link w:val="Heading4Char"/>
    <w:unhideWhenUsed/>
    <w:rsid w:val="00621120"/>
    <w:pPr>
      <w:keepNext/>
      <w:keepLines/>
      <w:spacing w:before="200"/>
      <w:outlineLvl w:val="3"/>
    </w:pPr>
    <w:rPr>
      <w:b/>
      <w:bCs/>
      <w:i/>
      <w:iCs/>
      <w:color w:val="4F81BD"/>
    </w:rPr>
  </w:style>
  <w:style w:type="paragraph" w:styleId="Heading5">
    <w:name w:val="heading 5"/>
    <w:basedOn w:val="Normal"/>
    <w:next w:val="Normal"/>
    <w:link w:val="Heading5Char"/>
    <w:unhideWhenUsed/>
    <w:rsid w:val="00621120"/>
    <w:pPr>
      <w:keepNext/>
      <w:keepLines/>
      <w:spacing w:before="200"/>
      <w:outlineLvl w:val="4"/>
    </w:pPr>
    <w:rPr>
      <w:color w:val="243F60"/>
    </w:rPr>
  </w:style>
  <w:style w:type="paragraph" w:styleId="Heading6">
    <w:name w:val="heading 6"/>
    <w:basedOn w:val="Normal"/>
    <w:next w:val="Normal"/>
    <w:link w:val="Heading6Char"/>
    <w:unhideWhenUsed/>
    <w:rsid w:val="00621120"/>
    <w:pPr>
      <w:keepNext/>
      <w:keepLines/>
      <w:spacing w:before="200"/>
      <w:outlineLvl w:val="5"/>
    </w:pPr>
    <w:rPr>
      <w:i/>
      <w:iCs/>
      <w:color w:val="243F60"/>
    </w:rPr>
  </w:style>
  <w:style w:type="paragraph" w:styleId="Heading7">
    <w:name w:val="heading 7"/>
    <w:basedOn w:val="Normal"/>
    <w:next w:val="Normal"/>
    <w:link w:val="Heading7Char"/>
    <w:unhideWhenUsed/>
    <w:rsid w:val="00621120"/>
    <w:pPr>
      <w:keepNext/>
      <w:keepLines/>
      <w:spacing w:before="200"/>
      <w:outlineLvl w:val="6"/>
    </w:pPr>
    <w:rPr>
      <w:i/>
      <w:iCs/>
      <w:color w:val="404040"/>
    </w:rPr>
  </w:style>
  <w:style w:type="paragraph" w:styleId="Heading8">
    <w:name w:val="heading 8"/>
    <w:basedOn w:val="Normal"/>
    <w:next w:val="Normal"/>
    <w:link w:val="Heading8Char"/>
    <w:unhideWhenUsed/>
    <w:rsid w:val="00621120"/>
    <w:pPr>
      <w:keepNext/>
      <w:keepLines/>
      <w:spacing w:before="200"/>
      <w:outlineLvl w:val="7"/>
    </w:pPr>
    <w:rPr>
      <w:color w:val="404040"/>
      <w:szCs w:val="20"/>
    </w:rPr>
  </w:style>
  <w:style w:type="paragraph" w:styleId="Heading9">
    <w:name w:val="heading 9"/>
    <w:basedOn w:val="Normal"/>
    <w:next w:val="Normal"/>
    <w:link w:val="Heading9Char"/>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621120"/>
    <w:rPr>
      <w:rFonts w:ascii="Times New Roman" w:eastAsia="PMingLiU" w:hAnsi="Times New Roman" w:cs="Simplified Arabic"/>
      <w:color w:val="404040"/>
      <w:lang w:eastAsia="en-US"/>
    </w:rPr>
  </w:style>
  <w:style w:type="character" w:customStyle="1" w:styleId="Heading9Char">
    <w:name w:val="Heading 9 Char"/>
    <w:link w:val="Heading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 w:type="numbering" w:styleId="111111">
    <w:name w:val="Outline List 2"/>
    <w:basedOn w:val="NoList"/>
    <w:semiHidden/>
    <w:rsid w:val="0063517E"/>
    <w:pPr>
      <w:numPr>
        <w:numId w:val="36"/>
      </w:numPr>
    </w:pPr>
  </w:style>
  <w:style w:type="numbering" w:styleId="1ai">
    <w:name w:val="Outline List 1"/>
    <w:basedOn w:val="NoList"/>
    <w:semiHidden/>
    <w:rsid w:val="0063517E"/>
    <w:pPr>
      <w:numPr>
        <w:numId w:val="37"/>
      </w:numPr>
    </w:pPr>
  </w:style>
  <w:style w:type="character" w:customStyle="1" w:styleId="UnresolvedMention1">
    <w:name w:val="Unresolved Mention1"/>
    <w:basedOn w:val="DefaultParagraphFont"/>
    <w:uiPriority w:val="99"/>
    <w:semiHidden/>
    <w:unhideWhenUsed/>
    <w:rsid w:val="00635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ARA\COMMON\FINAL\CCPR\C\SR.3816" TargetMode="External"/><Relationship Id="rId2" Type="http://schemas.openxmlformats.org/officeDocument/2006/relationships/hyperlink" Target="http://undocs.org/ar/CCPR/C/SR.3815" TargetMode="External"/><Relationship Id="rId1" Type="http://schemas.openxmlformats.org/officeDocument/2006/relationships/hyperlink" Target="http://undocs.org/ar/CCPR/C/BWA/2" TargetMode="External"/><Relationship Id="rId5" Type="http://schemas.openxmlformats.org/officeDocument/2006/relationships/hyperlink" Target="http://undocs.org/en/CCPR/C/BWA/CO/1" TargetMode="External"/><Relationship Id="rId4" Type="http://schemas.openxmlformats.org/officeDocument/2006/relationships/hyperlink" Target="http://undocs.org/ar/CCPR/C/BWA/QP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3510</Words>
  <Characters>23908</Characters>
  <Application>Microsoft Office Word</Application>
  <DocSecurity>0</DocSecurity>
  <Lines>3415</Lines>
  <Paragraphs>2492</Paragraphs>
  <ScaleCrop>false</ScaleCrop>
  <HeadingPairs>
    <vt:vector size="2" baseType="variant">
      <vt:variant>
        <vt:lpstr>Title</vt:lpstr>
      </vt:variant>
      <vt:variant>
        <vt:i4>1</vt:i4>
      </vt:variant>
    </vt:vector>
  </HeadingPairs>
  <TitlesOfParts>
    <vt:vector size="1" baseType="lpstr">
      <vt:lpstr>CCPR/C/BWA/CO/2</vt:lpstr>
    </vt:vector>
  </TitlesOfParts>
  <Company>DCM</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CCPR/C/BWA/CO/2</dc:title>
  <dc:subject>GE.2117289A(A)</dc:subject>
  <dc:creator>Muntaha BUHNAM - MIR</dc:creator>
  <cp:keywords>GE.2135264(A)</cp:keywords>
  <dc:description>Distr.: General
24 November 2021
Arabic
Original: English</dc:description>
  <cp:lastModifiedBy>Gamal MAHMOUD</cp:lastModifiedBy>
  <cp:revision>2</cp:revision>
  <dcterms:created xsi:type="dcterms:W3CDTF">2021-12-02T16:06:00Z</dcterms:created>
  <dcterms:modified xsi:type="dcterms:W3CDTF">2021-12-02T16:06:00Z</dcterms:modified>
  <cp:category>Finale</cp:category>
</cp:coreProperties>
</file>