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682"/>
        <w:gridCol w:w="1858"/>
        <w:gridCol w:w="2819"/>
      </w:tblGrid>
      <w:tr w:rsidR="002D5AAC" w14:paraId="091C4395" w14:textId="77777777" w:rsidTr="00BC3629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384183F1" w14:textId="77777777" w:rsidR="002D5AAC" w:rsidRDefault="002D5AAC" w:rsidP="00212ED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bottom"/>
          </w:tcPr>
          <w:p w14:paraId="446F7597" w14:textId="77777777" w:rsidR="002D5AAC" w:rsidRPr="00BD33EE" w:rsidRDefault="00DF71B9" w:rsidP="00BC3629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vAlign w:val="bottom"/>
          </w:tcPr>
          <w:p w14:paraId="02FEEED0" w14:textId="51297915" w:rsidR="002D5AAC" w:rsidRDefault="00212ED6" w:rsidP="00212ED6">
            <w:pPr>
              <w:jc w:val="right"/>
            </w:pPr>
            <w:r w:rsidRPr="00C2792E">
              <w:rPr>
                <w:sz w:val="40"/>
              </w:rPr>
              <w:t>CCPR</w:t>
            </w:r>
            <w:r w:rsidRPr="00C2792E">
              <w:t>/C/BWA/CO/2</w:t>
            </w:r>
          </w:p>
        </w:tc>
      </w:tr>
      <w:tr w:rsidR="002D5AAC" w:rsidRPr="000F2FD8" w14:paraId="35314811" w14:textId="77777777" w:rsidTr="00BC3629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C597071" w14:textId="77777777" w:rsidR="002D5AAC" w:rsidRDefault="002E5067" w:rsidP="00BC3629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1774D7B0" wp14:editId="78833408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E3B6A32" w14:textId="77777777" w:rsidR="002D5AAC" w:rsidRPr="00033EE1" w:rsidRDefault="00DE32CD" w:rsidP="00BC3629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C255FE">
              <w:rPr>
                <w:b/>
                <w:spacing w:val="-4"/>
                <w:sz w:val="34"/>
                <w:szCs w:val="34"/>
              </w:rPr>
              <w:t xml:space="preserve">Международный пакт </w:t>
            </w:r>
            <w:r w:rsidRPr="00C255FE">
              <w:rPr>
                <w:b/>
                <w:spacing w:val="-4"/>
                <w:sz w:val="34"/>
                <w:szCs w:val="34"/>
              </w:rPr>
              <w:br/>
              <w:t xml:space="preserve">о гражданских и политических </w:t>
            </w:r>
            <w:r w:rsidRPr="00C255FE">
              <w:rPr>
                <w:b/>
                <w:spacing w:val="-4"/>
                <w:sz w:val="34"/>
                <w:szCs w:val="34"/>
              </w:rPr>
              <w:br/>
              <w:t>правах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552D84B2" w14:textId="77777777" w:rsidR="002D5AAC" w:rsidRPr="00865565" w:rsidRDefault="00212ED6" w:rsidP="00BC3629">
            <w:pPr>
              <w:spacing w:before="240"/>
              <w:rPr>
                <w:lang w:val="en-US"/>
              </w:rPr>
            </w:pPr>
            <w:r w:rsidRPr="00865565">
              <w:rPr>
                <w:lang w:val="en-US"/>
              </w:rPr>
              <w:t>Distr.: General</w:t>
            </w:r>
          </w:p>
          <w:p w14:paraId="052119BA" w14:textId="77777777" w:rsidR="00212ED6" w:rsidRPr="00865565" w:rsidRDefault="00212ED6" w:rsidP="00212ED6">
            <w:pPr>
              <w:spacing w:line="240" w:lineRule="exact"/>
              <w:rPr>
                <w:lang w:val="en-US"/>
              </w:rPr>
            </w:pPr>
            <w:r w:rsidRPr="00865565">
              <w:rPr>
                <w:lang w:val="en-US"/>
              </w:rPr>
              <w:t>24 November 2021</w:t>
            </w:r>
          </w:p>
          <w:p w14:paraId="5043E011" w14:textId="77777777" w:rsidR="00212ED6" w:rsidRPr="00865565" w:rsidRDefault="00212ED6" w:rsidP="00212ED6">
            <w:pPr>
              <w:spacing w:line="240" w:lineRule="exact"/>
              <w:rPr>
                <w:lang w:val="en-US"/>
              </w:rPr>
            </w:pPr>
            <w:r w:rsidRPr="00865565">
              <w:rPr>
                <w:lang w:val="en-US"/>
              </w:rPr>
              <w:t>Russian</w:t>
            </w:r>
          </w:p>
          <w:p w14:paraId="3865D1E0" w14:textId="7D59F7C1" w:rsidR="00212ED6" w:rsidRPr="00865565" w:rsidRDefault="00212ED6" w:rsidP="00212ED6">
            <w:pPr>
              <w:spacing w:line="240" w:lineRule="exact"/>
              <w:rPr>
                <w:lang w:val="en-US"/>
              </w:rPr>
            </w:pPr>
            <w:r w:rsidRPr="00865565">
              <w:rPr>
                <w:lang w:val="en-US"/>
              </w:rPr>
              <w:t>Original: English</w:t>
            </w:r>
          </w:p>
        </w:tc>
      </w:tr>
    </w:tbl>
    <w:p w14:paraId="37F646C5" w14:textId="77777777" w:rsidR="00212ED6" w:rsidRPr="0031149D" w:rsidRDefault="00212ED6" w:rsidP="002733AC">
      <w:pPr>
        <w:spacing w:before="120" w:after="120"/>
        <w:rPr>
          <w:b/>
          <w:sz w:val="24"/>
          <w:szCs w:val="24"/>
        </w:rPr>
      </w:pPr>
      <w:r w:rsidRPr="0031149D">
        <w:rPr>
          <w:b/>
          <w:bCs/>
          <w:sz w:val="24"/>
          <w:szCs w:val="24"/>
        </w:rPr>
        <w:t>Комитет по правам человека</w:t>
      </w:r>
    </w:p>
    <w:p w14:paraId="7E05C097" w14:textId="77777777" w:rsidR="00212ED6" w:rsidRPr="002728E8" w:rsidRDefault="00212ED6" w:rsidP="002733AC">
      <w:pPr>
        <w:pStyle w:val="HChG"/>
      </w:pPr>
      <w:r>
        <w:tab/>
      </w:r>
      <w:r>
        <w:tab/>
        <w:t xml:space="preserve">Заключительные </w:t>
      </w:r>
      <w:r w:rsidRPr="002733AC">
        <w:t>замечания</w:t>
      </w:r>
      <w:r>
        <w:t xml:space="preserve"> по второму периодическому докладу Ботсваны</w:t>
      </w:r>
      <w:r w:rsidRPr="002733AC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</w:p>
    <w:p w14:paraId="3DBA5691" w14:textId="20E97611" w:rsidR="00212ED6" w:rsidRPr="002728E8" w:rsidRDefault="00212ED6" w:rsidP="00212ED6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>
        <w:t>1.</w:t>
      </w:r>
      <w:r>
        <w:tab/>
        <w:t>Комитет рассмотрел второй периодический доклад Ботсваны</w:t>
      </w:r>
      <w:r w:rsidRPr="005C1FCD">
        <w:rPr>
          <w:rStyle w:val="aa"/>
        </w:rPr>
        <w:footnoteReference w:id="2"/>
      </w:r>
      <w:r>
        <w:t xml:space="preserve"> на своих </w:t>
      </w:r>
      <w:r w:rsidR="002733AC">
        <w:br/>
      </w:r>
      <w:r w:rsidRPr="00CB12A2">
        <w:rPr>
          <w:color w:val="333333"/>
          <w:sz w:val="21"/>
          <w:szCs w:val="21"/>
          <w:shd w:val="clear" w:color="auto" w:fill="FFFFFF"/>
        </w:rPr>
        <w:t>3815</w:t>
      </w:r>
      <w:r>
        <w:t xml:space="preserve">-м и </w:t>
      </w:r>
      <w:r w:rsidRPr="00CB12A2">
        <w:rPr>
          <w:color w:val="333333"/>
          <w:sz w:val="21"/>
          <w:szCs w:val="21"/>
          <w:shd w:val="clear" w:color="auto" w:fill="FFFFFF"/>
        </w:rPr>
        <w:t>381</w:t>
      </w:r>
      <w:r>
        <w:rPr>
          <w:color w:val="333333"/>
          <w:sz w:val="21"/>
          <w:szCs w:val="21"/>
          <w:shd w:val="clear" w:color="auto" w:fill="FFFFFF"/>
        </w:rPr>
        <w:t>6</w:t>
      </w:r>
      <w:r>
        <w:t>-м заседаниях</w:t>
      </w:r>
      <w:r w:rsidRPr="005C1FCD">
        <w:rPr>
          <w:rStyle w:val="aa"/>
        </w:rPr>
        <w:footnoteReference w:id="3"/>
      </w:r>
      <w:r>
        <w:t xml:space="preserve">, состоявшихся 20 и 21 октября 2021 года. На своем </w:t>
      </w:r>
      <w:r w:rsidR="002733AC">
        <w:br/>
      </w:r>
      <w:r>
        <w:t>3827-м заседании, состоявшемся 1 ноября 2021 года, Комитет принял настоящие заключительные замечания.</w:t>
      </w:r>
    </w:p>
    <w:p w14:paraId="3097E04E" w14:textId="37633ED8" w:rsidR="00212ED6" w:rsidRPr="002728E8" w:rsidRDefault="002733AC" w:rsidP="002733AC">
      <w:pPr>
        <w:pStyle w:val="H1G"/>
        <w:rPr>
          <w:rFonts w:eastAsiaTheme="minorEastAsia"/>
        </w:rPr>
      </w:pPr>
      <w:r>
        <w:tab/>
      </w:r>
      <w:r w:rsidR="00212ED6">
        <w:t>A.</w:t>
      </w:r>
      <w:r w:rsidR="00212ED6">
        <w:tab/>
      </w:r>
      <w:r w:rsidR="00212ED6">
        <w:tab/>
      </w:r>
      <w:r w:rsidR="00212ED6" w:rsidRPr="002733AC">
        <w:t>Введение</w:t>
      </w:r>
    </w:p>
    <w:p w14:paraId="4D84CBD4" w14:textId="756EC80C" w:rsidR="00212ED6" w:rsidRPr="002728E8" w:rsidRDefault="00212ED6" w:rsidP="00212ED6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>
        <w:t>2.</w:t>
      </w:r>
      <w:r>
        <w:tab/>
        <w:t>Комитет выражает признательность государству-участнику за согласие следовать упрощенной процедуре представления докладов и за представление своего второго периодического доклада в ответ на препровожденный до представления доклада перечень вопросов, который был подготовлен в рамках этой процедуры</w:t>
      </w:r>
      <w:r w:rsidRPr="005C1FCD">
        <w:rPr>
          <w:rStyle w:val="aa"/>
        </w:rPr>
        <w:footnoteReference w:id="4"/>
      </w:r>
      <w:r>
        <w:t xml:space="preserve">. </w:t>
      </w:r>
      <w:r w:rsidR="002733AC">
        <w:br/>
      </w:r>
      <w:r>
        <w:t>Он высоко оценивает возможность возобновить конструктивный диалог с высокопоставленной делегацией государства-участника относительно мер, принятых в течение отчетного периода для осуществления положений Пакта. Комитет благодарит государство-участник за устные ответы членов делегации, а также за дополнительную информацию, представленную ему в письменном виде после диалога.</w:t>
      </w:r>
      <w:bookmarkStart w:id="0" w:name="_Hlk70693515"/>
      <w:bookmarkEnd w:id="0"/>
    </w:p>
    <w:p w14:paraId="7A8C6665" w14:textId="35FD5D8F" w:rsidR="00212ED6" w:rsidRPr="002728E8" w:rsidRDefault="002733AC" w:rsidP="002733AC">
      <w:pPr>
        <w:pStyle w:val="H1G"/>
        <w:rPr>
          <w:rFonts w:eastAsiaTheme="minorEastAsia"/>
        </w:rPr>
      </w:pPr>
      <w:r>
        <w:tab/>
      </w:r>
      <w:r w:rsidR="00212ED6">
        <w:t>B.</w:t>
      </w:r>
      <w:r w:rsidR="00212ED6">
        <w:tab/>
      </w:r>
      <w:r w:rsidR="00212ED6">
        <w:tab/>
        <w:t>Позитивные аспекты</w:t>
      </w:r>
    </w:p>
    <w:p w14:paraId="77411D7C" w14:textId="77777777" w:rsidR="00212ED6" w:rsidRPr="002728E8" w:rsidRDefault="00212ED6" w:rsidP="00212ED6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>
        <w:t>3.</w:t>
      </w:r>
      <w:r>
        <w:tab/>
        <w:t>Комитет приветствует принятие государством-участником следующих законодательных и других мер:</w:t>
      </w:r>
    </w:p>
    <w:p w14:paraId="1815145D" w14:textId="2D680F3C" w:rsidR="00212ED6" w:rsidRPr="002728E8" w:rsidRDefault="002733AC" w:rsidP="00212ED6">
      <w:pPr>
        <w:pStyle w:val="SingleTxtG"/>
        <w:rPr>
          <w:rFonts w:eastAsiaTheme="minorHAnsi"/>
          <w:spacing w:val="4"/>
          <w:w w:val="103"/>
          <w:kern w:val="14"/>
        </w:rPr>
      </w:pPr>
      <w:r>
        <w:tab/>
      </w:r>
      <w:r w:rsidR="00212ED6">
        <w:t>a)</w:t>
      </w:r>
      <w:r w:rsidR="00212ED6">
        <w:tab/>
        <w:t>Римского статута Международного уголовного суда в 201</w:t>
      </w:r>
      <w:r w:rsidR="00C2792E" w:rsidRPr="00C2792E">
        <w:t>7</w:t>
      </w:r>
      <w:r w:rsidR="00212ED6">
        <w:t xml:space="preserve"> году;</w:t>
      </w:r>
    </w:p>
    <w:p w14:paraId="7BBAE011" w14:textId="52F0BA36" w:rsidR="00212ED6" w:rsidRPr="0031037F" w:rsidRDefault="002733AC" w:rsidP="00212ED6">
      <w:pPr>
        <w:pStyle w:val="SingleTxtG"/>
        <w:rPr>
          <w:rFonts w:eastAsiaTheme="minorHAnsi"/>
          <w:w w:val="103"/>
        </w:rPr>
      </w:pPr>
      <w:r>
        <w:tab/>
      </w:r>
      <w:r w:rsidR="00212ED6">
        <w:t>b)</w:t>
      </w:r>
      <w:r w:rsidR="00212ED6">
        <w:tab/>
        <w:t>Закона о борьбе с торговлей людьми в 2014 году;</w:t>
      </w:r>
    </w:p>
    <w:p w14:paraId="4B32D36D" w14:textId="7824840D" w:rsidR="00212ED6" w:rsidRPr="002728E8" w:rsidRDefault="002733AC" w:rsidP="00212ED6">
      <w:pPr>
        <w:pStyle w:val="SingleTxtG"/>
        <w:rPr>
          <w:rFonts w:eastAsiaTheme="minorHAnsi"/>
          <w:spacing w:val="4"/>
          <w:w w:val="103"/>
          <w:kern w:val="14"/>
        </w:rPr>
      </w:pPr>
      <w:r>
        <w:tab/>
      </w:r>
      <w:r w:rsidR="00212ED6">
        <w:t>c)</w:t>
      </w:r>
      <w:r w:rsidR="00212ED6">
        <w:tab/>
        <w:t>Закона об имуществе супругов в 2014 году;</w:t>
      </w:r>
    </w:p>
    <w:p w14:paraId="77E5E21F" w14:textId="2BEAF025" w:rsidR="00212ED6" w:rsidRPr="002728E8" w:rsidRDefault="002733AC" w:rsidP="00212ED6">
      <w:pPr>
        <w:pStyle w:val="SingleTxtG"/>
        <w:rPr>
          <w:rFonts w:eastAsiaTheme="minorHAnsi"/>
          <w:spacing w:val="4"/>
          <w:w w:val="103"/>
          <w:kern w:val="14"/>
        </w:rPr>
      </w:pPr>
      <w:r>
        <w:tab/>
      </w:r>
      <w:r w:rsidR="00212ED6">
        <w:t>d)</w:t>
      </w:r>
      <w:r w:rsidR="00212ED6">
        <w:tab/>
        <w:t>Закона о правовой помощи в 2013 году;</w:t>
      </w:r>
    </w:p>
    <w:p w14:paraId="4920C42F" w14:textId="6F0B7402" w:rsidR="00212ED6" w:rsidRPr="002728E8" w:rsidRDefault="002733AC" w:rsidP="00212ED6">
      <w:pPr>
        <w:pStyle w:val="SingleTxtG"/>
        <w:rPr>
          <w:rFonts w:eastAsiaTheme="minorHAnsi"/>
          <w:spacing w:val="4"/>
          <w:w w:val="103"/>
          <w:kern w:val="14"/>
        </w:rPr>
      </w:pPr>
      <w:r>
        <w:tab/>
      </w:r>
      <w:r w:rsidR="00212ED6">
        <w:t>e)</w:t>
      </w:r>
      <w:r w:rsidR="00212ED6">
        <w:tab/>
        <w:t>Закона о занятости (поправка) в 2010 году;</w:t>
      </w:r>
    </w:p>
    <w:p w14:paraId="091321E9" w14:textId="256E7640" w:rsidR="00212ED6" w:rsidRPr="002728E8" w:rsidRDefault="002733AC" w:rsidP="00212ED6">
      <w:pPr>
        <w:pStyle w:val="SingleTxtG"/>
        <w:rPr>
          <w:rFonts w:eastAsiaTheme="minorHAnsi"/>
          <w:spacing w:val="4"/>
          <w:w w:val="103"/>
          <w:kern w:val="14"/>
        </w:rPr>
      </w:pPr>
      <w:r>
        <w:tab/>
      </w:r>
      <w:r w:rsidR="00212ED6">
        <w:t>f)</w:t>
      </w:r>
      <w:r w:rsidR="00212ED6">
        <w:tab/>
        <w:t>Национальной системы социальной защиты в 2020 году;</w:t>
      </w:r>
    </w:p>
    <w:p w14:paraId="3E088B29" w14:textId="400A0BB8" w:rsidR="00212ED6" w:rsidRPr="002728E8" w:rsidRDefault="002733AC" w:rsidP="00212ED6">
      <w:pPr>
        <w:pStyle w:val="SingleTxtG"/>
        <w:rPr>
          <w:rFonts w:eastAsiaTheme="minorHAnsi"/>
          <w:spacing w:val="4"/>
          <w:w w:val="103"/>
          <w:kern w:val="14"/>
        </w:rPr>
      </w:pPr>
      <w:r>
        <w:tab/>
      </w:r>
      <w:r w:rsidR="00212ED6">
        <w:t>g)</w:t>
      </w:r>
      <w:r w:rsidR="00212ED6">
        <w:tab/>
        <w:t xml:space="preserve">Национального плана действий по борьбе с торговлей людьми </w:t>
      </w:r>
      <w:r>
        <w:br/>
      </w:r>
      <w:r w:rsidR="00212ED6">
        <w:t>(на 2017–2018 годы) в 2017 году;</w:t>
      </w:r>
    </w:p>
    <w:p w14:paraId="68CF817A" w14:textId="1FFEFBCE" w:rsidR="00212ED6" w:rsidRPr="002728E8" w:rsidRDefault="00E06FD0" w:rsidP="00212ED6">
      <w:pPr>
        <w:pStyle w:val="SingleTxtG"/>
        <w:rPr>
          <w:rFonts w:eastAsiaTheme="minorHAnsi"/>
          <w:spacing w:val="4"/>
          <w:w w:val="103"/>
          <w:kern w:val="14"/>
        </w:rPr>
      </w:pPr>
      <w:r>
        <w:lastRenderedPageBreak/>
        <w:tab/>
      </w:r>
      <w:r w:rsidR="00212ED6">
        <w:t>h)</w:t>
      </w:r>
      <w:r w:rsidR="00212ED6">
        <w:tab/>
        <w:t>Национальной стратегии по прекращению гендерного насилия в Ботсване (на 2016</w:t>
      </w:r>
      <w:r w:rsidRPr="00E06FD0">
        <w:t>–</w:t>
      </w:r>
      <w:r w:rsidR="00212ED6">
        <w:t>2020 годы) и Национальной стратегии по обеспечению гендерного равенства и развития в 2016 году.</w:t>
      </w:r>
    </w:p>
    <w:p w14:paraId="7BA72080" w14:textId="77777777" w:rsidR="00212ED6" w:rsidRPr="002728E8" w:rsidRDefault="00212ED6" w:rsidP="00212ED6">
      <w:pPr>
        <w:pStyle w:val="ParaNoG"/>
        <w:numPr>
          <w:ilvl w:val="0"/>
          <w:numId w:val="0"/>
        </w:numPr>
        <w:tabs>
          <w:tab w:val="left" w:pos="0"/>
        </w:tabs>
        <w:ind w:left="1134"/>
        <w:rPr>
          <w:rFonts w:eastAsiaTheme="minorHAnsi"/>
          <w:spacing w:val="4"/>
          <w:w w:val="103"/>
          <w:kern w:val="14"/>
        </w:rPr>
      </w:pPr>
      <w:r>
        <w:t>4.</w:t>
      </w:r>
      <w:r>
        <w:tab/>
        <w:t>Комитет также приветствует создание Национального координационного комитета по правам человека в 2020 году, присоединение к Конвенции о правах инвалидов и принятие парламентом пересмотренной политики в области инвалидности в 2021 году.</w:t>
      </w:r>
    </w:p>
    <w:p w14:paraId="5596C004" w14:textId="7CEE947B" w:rsidR="00212ED6" w:rsidRPr="002728E8" w:rsidRDefault="00E06FD0" w:rsidP="00E06FD0">
      <w:pPr>
        <w:pStyle w:val="H1G"/>
      </w:pPr>
      <w:r>
        <w:tab/>
      </w:r>
      <w:r w:rsidR="00212ED6">
        <w:t>C.</w:t>
      </w:r>
      <w:r w:rsidR="00212ED6">
        <w:tab/>
      </w:r>
      <w:r w:rsidR="00212ED6">
        <w:tab/>
        <w:t xml:space="preserve">Основные </w:t>
      </w:r>
      <w:r w:rsidR="00212ED6" w:rsidRPr="00E06FD0">
        <w:t>вопросы</w:t>
      </w:r>
      <w:r w:rsidR="00212ED6">
        <w:t>, вызывающие обеспокоенность, и</w:t>
      </w:r>
      <w:r>
        <w:rPr>
          <w:lang w:val="en-US"/>
        </w:rPr>
        <w:t> </w:t>
      </w:r>
      <w:r w:rsidR="00212ED6">
        <w:t>рекомендации</w:t>
      </w:r>
    </w:p>
    <w:p w14:paraId="13513A7D" w14:textId="39FF2027" w:rsidR="00212ED6" w:rsidRPr="002728E8" w:rsidRDefault="00212ED6" w:rsidP="00E06FD0">
      <w:pPr>
        <w:pStyle w:val="H23G"/>
        <w:rPr>
          <w:rFonts w:eastAsiaTheme="minorEastAsia"/>
        </w:rPr>
      </w:pPr>
      <w:r>
        <w:tab/>
      </w:r>
      <w:r>
        <w:tab/>
        <w:t xml:space="preserve">Применимость Пакта </w:t>
      </w:r>
      <w:r w:rsidRPr="006C1BBC">
        <w:t>во внутренней правовой системе</w:t>
      </w:r>
    </w:p>
    <w:p w14:paraId="2E3D8981" w14:textId="77777777" w:rsidR="00212ED6" w:rsidRPr="001C7A18" w:rsidRDefault="00212ED6" w:rsidP="00212ED6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>
        <w:t>5.</w:t>
      </w:r>
      <w:r>
        <w:tab/>
        <w:t xml:space="preserve">Комитет отмечает, что Пакт не имеет прямого применения во внутреннем праве, и, приветствуя усилия государства-участника по приведению статутного и обычного законодательства в соответствие с Пактом, он обеспокоен тем, что во внутреннем законодательстве, особенно в обычном праве, все еще остаются положения, несовместимые с Пактом. Комитет также обеспокоен тем, что государство-участник до сих пор не ратифицировало первый Факультативный протокол к Пакту </w:t>
      </w:r>
      <w:r w:rsidRPr="00FC1315">
        <w:rPr>
          <w:rStyle w:val="eref"/>
          <w:color w:val="333333"/>
          <w:sz w:val="21"/>
          <w:szCs w:val="21"/>
          <w:shd w:val="clear" w:color="auto" w:fill="FFFFFF"/>
        </w:rPr>
        <w:t>(</w:t>
      </w:r>
      <w:r>
        <w:rPr>
          <w:rStyle w:val="eref"/>
          <w:color w:val="333333"/>
          <w:sz w:val="21"/>
          <w:szCs w:val="21"/>
          <w:shd w:val="clear" w:color="auto" w:fill="FFFFFF"/>
        </w:rPr>
        <w:t>статья</w:t>
      </w:r>
      <w:r w:rsidRPr="00FC1315">
        <w:rPr>
          <w:rStyle w:val="eref"/>
          <w:color w:val="333333"/>
          <w:sz w:val="21"/>
          <w:szCs w:val="21"/>
          <w:shd w:val="clear" w:color="auto" w:fill="FFFFFF"/>
        </w:rPr>
        <w:t xml:space="preserve"> 2</w:t>
      </w:r>
      <w:r w:rsidRPr="00FC1315">
        <w:rPr>
          <w:color w:val="333333"/>
          <w:sz w:val="21"/>
          <w:szCs w:val="21"/>
          <w:shd w:val="clear" w:color="auto" w:fill="FFFFFF"/>
        </w:rPr>
        <w:t>)</w:t>
      </w:r>
      <w:r>
        <w:t>.</w:t>
      </w:r>
    </w:p>
    <w:p w14:paraId="09D0E745" w14:textId="77777777" w:rsidR="00212ED6" w:rsidRPr="002728E8" w:rsidRDefault="00212ED6" w:rsidP="00212ED6">
      <w:pPr>
        <w:pStyle w:val="ParaNoG"/>
        <w:numPr>
          <w:ilvl w:val="0"/>
          <w:numId w:val="0"/>
        </w:numPr>
        <w:tabs>
          <w:tab w:val="left" w:pos="0"/>
        </w:tabs>
        <w:ind w:left="1134"/>
        <w:rPr>
          <w:b/>
          <w:bCs/>
        </w:rPr>
      </w:pPr>
      <w:r>
        <w:t>6.</w:t>
      </w:r>
      <w:r>
        <w:tab/>
      </w:r>
      <w:r>
        <w:rPr>
          <w:b/>
          <w:bCs/>
        </w:rPr>
        <w:t xml:space="preserve">С учетом </w:t>
      </w:r>
      <w:r w:rsidRPr="004015CD">
        <w:rPr>
          <w:b/>
          <w:bCs/>
        </w:rPr>
        <w:t>вынесенных ранее Комитетом рекомендаций</w:t>
      </w:r>
      <w:r w:rsidRPr="00C2792E">
        <w:rPr>
          <w:rStyle w:val="aa"/>
        </w:rPr>
        <w:footnoteReference w:id="5"/>
      </w:r>
      <w:r>
        <w:rPr>
          <w:b/>
          <w:bCs/>
        </w:rPr>
        <w:t xml:space="preserve"> государству-участнику следует:</w:t>
      </w:r>
    </w:p>
    <w:p w14:paraId="2E44E788" w14:textId="67C31D9B" w:rsidR="00212ED6" w:rsidRPr="002728E8" w:rsidRDefault="00E06FD0" w:rsidP="00212ED6">
      <w:pPr>
        <w:pStyle w:val="SingleTxtG"/>
        <w:rPr>
          <w:b/>
          <w:bCs/>
        </w:rPr>
      </w:pPr>
      <w:r>
        <w:tab/>
      </w:r>
      <w:r w:rsidR="00212ED6" w:rsidRPr="00E06FD0">
        <w:rPr>
          <w:b/>
          <w:bCs/>
        </w:rPr>
        <w:t>a)</w:t>
      </w:r>
      <w:r w:rsidR="00212ED6" w:rsidRPr="00E06FD0">
        <w:rPr>
          <w:b/>
          <w:bCs/>
        </w:rPr>
        <w:tab/>
      </w:r>
      <w:r w:rsidR="00212ED6">
        <w:rPr>
          <w:b/>
          <w:bCs/>
        </w:rPr>
        <w:t xml:space="preserve">продолжить оценку и пересмотр </w:t>
      </w:r>
      <w:r w:rsidR="00212ED6" w:rsidRPr="00761307">
        <w:rPr>
          <w:b/>
          <w:bCs/>
        </w:rPr>
        <w:t>статутного и обычного законодательства</w:t>
      </w:r>
      <w:r w:rsidR="00212ED6">
        <w:rPr>
          <w:b/>
          <w:bCs/>
        </w:rPr>
        <w:t xml:space="preserve"> для обеспечения его согласования с правами, гарантируемыми Пактом, а также обеспечить толкование и применение внутренних законов в соответствии с положениями Пакта;</w:t>
      </w:r>
    </w:p>
    <w:p w14:paraId="24731F5B" w14:textId="4353A4F1" w:rsidR="00212ED6" w:rsidRPr="002728E8" w:rsidRDefault="00E06FD0" w:rsidP="00212ED6">
      <w:pPr>
        <w:pStyle w:val="SingleTxtG"/>
        <w:rPr>
          <w:b/>
          <w:bCs/>
        </w:rPr>
      </w:pPr>
      <w:r>
        <w:tab/>
      </w:r>
      <w:r w:rsidR="00212ED6" w:rsidRPr="00E06FD0">
        <w:rPr>
          <w:b/>
          <w:bCs/>
        </w:rPr>
        <w:t>b)</w:t>
      </w:r>
      <w:r w:rsidR="00212ED6" w:rsidRPr="00E06FD0">
        <w:rPr>
          <w:b/>
          <w:bCs/>
        </w:rPr>
        <w:tab/>
      </w:r>
      <w:r w:rsidR="00212ED6">
        <w:rPr>
          <w:b/>
          <w:bCs/>
        </w:rPr>
        <w:t>активизировать свои усилия по повышению осведомленности о Пакте, в том числе посредством широкого распространения рекомендаций Комитета и путем предоставления специальной подготовки по Пакту государственным должностным лицам, прокурорам и судьям в судах статутного и обычного права, а также адвокатам;</w:t>
      </w:r>
    </w:p>
    <w:p w14:paraId="6F869C74" w14:textId="7AEB7F06" w:rsidR="00212ED6" w:rsidRPr="002728E8" w:rsidRDefault="00E06FD0" w:rsidP="00212ED6">
      <w:pPr>
        <w:pStyle w:val="SingleTxtG"/>
        <w:rPr>
          <w:b/>
          <w:bCs/>
        </w:rPr>
      </w:pPr>
      <w:r>
        <w:rPr>
          <w:b/>
          <w:bCs/>
        </w:rPr>
        <w:tab/>
      </w:r>
      <w:r w:rsidR="00212ED6" w:rsidRPr="00E06FD0">
        <w:rPr>
          <w:b/>
          <w:bCs/>
        </w:rPr>
        <w:t>c)</w:t>
      </w:r>
      <w:r w:rsidR="00212ED6" w:rsidRPr="00E06FD0">
        <w:rPr>
          <w:b/>
          <w:bCs/>
        </w:rPr>
        <w:tab/>
      </w:r>
      <w:r w:rsidR="00212ED6">
        <w:rPr>
          <w:b/>
          <w:bCs/>
        </w:rPr>
        <w:t>рассмотреть вопрос о ратификации первого Факультативного протокола к Пакту, которым предусмотрено создание механизма подачи индивидуальных жалоб.</w:t>
      </w:r>
    </w:p>
    <w:p w14:paraId="1A2D0966" w14:textId="77777777" w:rsidR="00212ED6" w:rsidRPr="002728E8" w:rsidRDefault="00212ED6" w:rsidP="00E06FD0">
      <w:pPr>
        <w:pStyle w:val="H23G"/>
      </w:pPr>
      <w:r>
        <w:tab/>
      </w:r>
      <w:r>
        <w:tab/>
      </w:r>
      <w:r w:rsidRPr="00E06FD0">
        <w:t>Оговорки</w:t>
      </w:r>
    </w:p>
    <w:p w14:paraId="4CCE6040" w14:textId="77777777" w:rsidR="00212ED6" w:rsidRPr="002728E8" w:rsidRDefault="00212ED6" w:rsidP="00212ED6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bookmarkStart w:id="1" w:name="_Hlk88649194"/>
      <w:r>
        <w:t>7.</w:t>
      </w:r>
      <w:r>
        <w:tab/>
        <w:t>Комитет обеспокоен тем, что государство-участник все еще сохраняет свои оговорки к статьям 7 и 12 Пакта. По поводу оговорки к статье 7 Пакта он напоминает о том, что оговорки в отношении запрещения пыток несовместимы с целью и предметом Пакта (статья 2).</w:t>
      </w:r>
      <w:bookmarkEnd w:id="1"/>
    </w:p>
    <w:p w14:paraId="244F5B0E" w14:textId="77777777" w:rsidR="00212ED6" w:rsidRPr="00585F24" w:rsidRDefault="00212ED6" w:rsidP="00212ED6">
      <w:pPr>
        <w:pStyle w:val="ParaNoG"/>
        <w:numPr>
          <w:ilvl w:val="0"/>
          <w:numId w:val="0"/>
        </w:numPr>
        <w:tabs>
          <w:tab w:val="left" w:pos="0"/>
        </w:tabs>
        <w:ind w:left="1134"/>
        <w:rPr>
          <w:b/>
          <w:bCs/>
        </w:rPr>
      </w:pPr>
      <w:r w:rsidRPr="00585F24">
        <w:t>8.</w:t>
      </w:r>
      <w:r w:rsidRPr="00585F24">
        <w:tab/>
      </w:r>
      <w:r w:rsidRPr="00585F24">
        <w:rPr>
          <w:b/>
          <w:bCs/>
          <w:color w:val="333333"/>
          <w:shd w:val="clear" w:color="auto" w:fill="FFFFFF"/>
        </w:rPr>
        <w:t>С учетом вынесенных ранее Комитетом рекомендаций</w:t>
      </w:r>
      <w:r w:rsidRPr="00585F24">
        <w:rPr>
          <w:rStyle w:val="aa"/>
        </w:rPr>
        <w:footnoteReference w:id="6"/>
      </w:r>
      <w:r w:rsidRPr="00585F24">
        <w:rPr>
          <w:b/>
          <w:bCs/>
        </w:rPr>
        <w:t xml:space="preserve"> Комитет вновь заявляет, что государству-участнику следует рассмотреть возможность снятия своих оговорок к статьям </w:t>
      </w:r>
      <w:r>
        <w:rPr>
          <w:b/>
          <w:bCs/>
        </w:rPr>
        <w:t xml:space="preserve">7 и 12 </w:t>
      </w:r>
      <w:r w:rsidRPr="00585F24">
        <w:rPr>
          <w:b/>
          <w:bCs/>
        </w:rPr>
        <w:t>Пакта.</w:t>
      </w:r>
    </w:p>
    <w:p w14:paraId="1364FFD4" w14:textId="77777777" w:rsidR="00212ED6" w:rsidRPr="002728E8" w:rsidRDefault="00212ED6" w:rsidP="00E06FD0">
      <w:pPr>
        <w:pStyle w:val="H23G"/>
      </w:pPr>
      <w:r>
        <w:tab/>
      </w:r>
      <w:r>
        <w:tab/>
        <w:t xml:space="preserve">Национальное правозащитное </w:t>
      </w:r>
      <w:r w:rsidRPr="00E06FD0">
        <w:t>учреждение</w:t>
      </w:r>
    </w:p>
    <w:p w14:paraId="24B73665" w14:textId="1EE79282" w:rsidR="00212ED6" w:rsidRPr="007452E8" w:rsidRDefault="00212ED6" w:rsidP="00212ED6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>
        <w:t>9.</w:t>
      </w:r>
      <w:r>
        <w:tab/>
        <w:t xml:space="preserve">Комитет приветствует </w:t>
      </w:r>
      <w:r w:rsidRPr="00B71C85">
        <w:t>законопроект о поправках к Закону об омбудсмене</w:t>
      </w:r>
      <w:r>
        <w:t>, который был принят парламентом в 2021 году и в настоящее время ожидает утверждения президентом, и принимает к сведению заявление делегации о том, что этот законопроект будет введен в действие в установленном порядке. Однако Комитет обеспокоен отсутствием информации о процессе выбора омбудсмена и тем фактом, что это учреждение располагает только четырьмя отделениями</w:t>
      </w:r>
      <w:r w:rsidRPr="00B519CF">
        <w:t xml:space="preserve"> </w:t>
      </w:r>
      <w:r>
        <w:t>для работы в 16</w:t>
      </w:r>
      <w:r w:rsidR="00E06FD0">
        <w:rPr>
          <w:lang w:val="en-US"/>
        </w:rPr>
        <w:t> </w:t>
      </w:r>
      <w:r>
        <w:t>округах (статья 2).</w:t>
      </w:r>
    </w:p>
    <w:p w14:paraId="23AE7405" w14:textId="77777777" w:rsidR="00212ED6" w:rsidRPr="002728E8" w:rsidRDefault="00212ED6" w:rsidP="00212ED6">
      <w:pPr>
        <w:pStyle w:val="ParaNoG"/>
        <w:numPr>
          <w:ilvl w:val="0"/>
          <w:numId w:val="0"/>
        </w:numPr>
        <w:tabs>
          <w:tab w:val="left" w:pos="0"/>
        </w:tabs>
        <w:ind w:left="1134"/>
        <w:rPr>
          <w:b/>
          <w:bCs/>
        </w:rPr>
      </w:pPr>
      <w:r>
        <w:lastRenderedPageBreak/>
        <w:t>10.</w:t>
      </w:r>
      <w:r>
        <w:tab/>
      </w:r>
      <w:r w:rsidRPr="00B519CF">
        <w:rPr>
          <w:b/>
          <w:bCs/>
        </w:rPr>
        <w:t>Государству-участнику следует принять все меры</w:t>
      </w:r>
      <w:r>
        <w:rPr>
          <w:b/>
          <w:bCs/>
        </w:rPr>
        <w:t>, необходимые</w:t>
      </w:r>
      <w:r w:rsidRPr="00B519CF">
        <w:rPr>
          <w:b/>
          <w:bCs/>
        </w:rPr>
        <w:t xml:space="preserve"> </w:t>
      </w:r>
      <w:r>
        <w:rPr>
          <w:b/>
          <w:bCs/>
        </w:rPr>
        <w:t>для</w:t>
      </w:r>
      <w:r w:rsidRPr="00B519CF">
        <w:rPr>
          <w:b/>
          <w:bCs/>
        </w:rPr>
        <w:t xml:space="preserve"> обеспечени</w:t>
      </w:r>
      <w:r>
        <w:rPr>
          <w:b/>
          <w:bCs/>
        </w:rPr>
        <w:t>я</w:t>
      </w:r>
      <w:r w:rsidRPr="00B519CF">
        <w:rPr>
          <w:b/>
          <w:bCs/>
        </w:rPr>
        <w:t xml:space="preserve"> </w:t>
      </w:r>
      <w:r w:rsidRPr="00467744">
        <w:rPr>
          <w:b/>
          <w:bCs/>
        </w:rPr>
        <w:t xml:space="preserve">незамедлительного </w:t>
      </w:r>
      <w:r w:rsidRPr="00467744">
        <w:rPr>
          <w:b/>
          <w:bCs/>
          <w:color w:val="333333"/>
          <w:shd w:val="clear" w:color="auto" w:fill="FFFFFF"/>
        </w:rPr>
        <w:t>введения в действие</w:t>
      </w:r>
      <w:r w:rsidRPr="00B519CF">
        <w:rPr>
          <w:b/>
          <w:bCs/>
        </w:rPr>
        <w:t xml:space="preserve"> законопроект</w:t>
      </w:r>
      <w:r>
        <w:rPr>
          <w:b/>
          <w:bCs/>
        </w:rPr>
        <w:t>а</w:t>
      </w:r>
      <w:r w:rsidRPr="00B519CF">
        <w:rPr>
          <w:b/>
          <w:bCs/>
        </w:rPr>
        <w:t xml:space="preserve"> о поправках к Закону об омбудсмене </w:t>
      </w:r>
      <w:r>
        <w:rPr>
          <w:b/>
          <w:bCs/>
        </w:rPr>
        <w:t>и полного соответствия Управления омбудсмена</w:t>
      </w:r>
      <w:r w:rsidRPr="008218D9">
        <w:rPr>
          <w:b/>
          <w:bCs/>
        </w:rPr>
        <w:t xml:space="preserve"> </w:t>
      </w:r>
      <w:r w:rsidRPr="00467744">
        <w:rPr>
          <w:b/>
          <w:bCs/>
        </w:rPr>
        <w:t>принципам, касающимся статуса национальных учреждений, занимающихся поощрением и защитой прав человека</w:t>
      </w:r>
      <w:r w:rsidRPr="00B519CF">
        <w:rPr>
          <w:b/>
          <w:bCs/>
        </w:rPr>
        <w:t xml:space="preserve"> (Парижски</w:t>
      </w:r>
      <w:r>
        <w:rPr>
          <w:b/>
          <w:bCs/>
        </w:rPr>
        <w:t>е</w:t>
      </w:r>
      <w:r w:rsidRPr="00B519CF">
        <w:rPr>
          <w:b/>
          <w:bCs/>
        </w:rPr>
        <w:t xml:space="preserve"> принцип</w:t>
      </w:r>
      <w:r>
        <w:rPr>
          <w:b/>
          <w:bCs/>
        </w:rPr>
        <w:t>ы</w:t>
      </w:r>
      <w:r w:rsidRPr="00B519CF">
        <w:rPr>
          <w:b/>
          <w:bCs/>
        </w:rPr>
        <w:t xml:space="preserve">). Государству-участнику следует предоставить </w:t>
      </w:r>
      <w:r>
        <w:rPr>
          <w:b/>
          <w:bCs/>
        </w:rPr>
        <w:t>У</w:t>
      </w:r>
      <w:r w:rsidRPr="00B519CF">
        <w:rPr>
          <w:b/>
          <w:bCs/>
        </w:rPr>
        <w:t xml:space="preserve">правлению достаточные людские и финансовые ресурсы для выполнения </w:t>
      </w:r>
      <w:r>
        <w:rPr>
          <w:b/>
          <w:bCs/>
        </w:rPr>
        <w:t xml:space="preserve">им </w:t>
      </w:r>
      <w:r w:rsidRPr="00B519CF">
        <w:rPr>
          <w:b/>
          <w:bCs/>
        </w:rPr>
        <w:t>своего мандата во всех частях страны и обеспечить его сотрудничество с региональными и международными правозащитными системами.</w:t>
      </w:r>
    </w:p>
    <w:p w14:paraId="76A5A78C" w14:textId="77777777" w:rsidR="00212ED6" w:rsidRPr="002728E8" w:rsidRDefault="00212ED6" w:rsidP="00E06FD0">
      <w:pPr>
        <w:pStyle w:val="H23G"/>
        <w:rPr>
          <w:rFonts w:eastAsiaTheme="minorEastAsia"/>
        </w:rPr>
      </w:pPr>
      <w:r>
        <w:tab/>
      </w:r>
      <w:r>
        <w:tab/>
      </w:r>
      <w:r w:rsidRPr="00E06FD0">
        <w:t>Недискриминация</w:t>
      </w:r>
    </w:p>
    <w:p w14:paraId="4C19ADDB" w14:textId="0895A6FD" w:rsidR="00212ED6" w:rsidRPr="002B3BFD" w:rsidRDefault="00212ED6" w:rsidP="00212ED6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>
        <w:t>11.</w:t>
      </w:r>
      <w:r>
        <w:tab/>
        <w:t>Комитет обеспокоен по поводу отсутствия всеобъемлющего антидискриминационного законодательства и тем фактом, что подпунктами 4 b)</w:t>
      </w:r>
      <w:r w:rsidR="00E06FD0" w:rsidRPr="00E06FD0">
        <w:t>–</w:t>
      </w:r>
      <w:r>
        <w:t xml:space="preserve">d) статьи 15 Конституции по-прежнему предусмотрены исключения из права не подвергаться дискриминации. Комитет также обеспокоен тем, что постановление высокого суда Ботсваны от 2019 года по делу </w:t>
      </w:r>
      <w:r w:rsidRPr="006210A7">
        <w:rPr>
          <w:i/>
          <w:iCs/>
        </w:rPr>
        <w:t>Летсвелетсе Мотшедиеманг против Генерального прокурора</w:t>
      </w:r>
      <w:r>
        <w:t xml:space="preserve"> с требованием отменить статью 164 Уголовного кодекса, криминализирующую однополые отношения, до сих пор не выполнено ввиду продолжающегося рассмотрения апелляции Генерального прокурора. Кроме того, Комитет обеспокоен сохранением обычных законов и видов практики, дискриминирующих женщин, особенно в вопросах брака и семейных отношений, наследования, имущественных прав и попечительства со стороны мужчин над незамужними женщинами (статьи 2</w:t>
      </w:r>
      <w:r w:rsidR="00E06FD0" w:rsidRPr="00E06FD0">
        <w:t>–</w:t>
      </w:r>
      <w:r>
        <w:t>3, 17 и 26</w:t>
      </w:r>
      <w:r w:rsidR="00E06FD0" w:rsidRPr="00E06FD0">
        <w:t>–</w:t>
      </w:r>
      <w:r>
        <w:t>27).</w:t>
      </w:r>
    </w:p>
    <w:p w14:paraId="102F781D" w14:textId="1A828B5B" w:rsidR="00212ED6" w:rsidRPr="001C7A18" w:rsidRDefault="00212ED6" w:rsidP="00212ED6">
      <w:pPr>
        <w:pStyle w:val="ParaNoG"/>
        <w:numPr>
          <w:ilvl w:val="0"/>
          <w:numId w:val="0"/>
        </w:numPr>
        <w:tabs>
          <w:tab w:val="left" w:pos="0"/>
        </w:tabs>
        <w:ind w:left="1134"/>
        <w:rPr>
          <w:b/>
          <w:bCs/>
        </w:rPr>
      </w:pPr>
      <w:r>
        <w:t>12.</w:t>
      </w:r>
      <w:r>
        <w:tab/>
      </w:r>
      <w:r w:rsidRPr="002B3BFD">
        <w:rPr>
          <w:b/>
          <w:bCs/>
        </w:rPr>
        <w:t xml:space="preserve">В свете </w:t>
      </w:r>
      <w:r w:rsidRPr="00585F24">
        <w:rPr>
          <w:b/>
          <w:bCs/>
          <w:color w:val="333333"/>
          <w:shd w:val="clear" w:color="auto" w:fill="FFFFFF"/>
        </w:rPr>
        <w:t>вынесенных ранее Комитетом рекомендаций</w:t>
      </w:r>
      <w:r w:rsidRPr="005C1FCD">
        <w:rPr>
          <w:rStyle w:val="aa"/>
        </w:rPr>
        <w:footnoteReference w:id="7"/>
      </w:r>
      <w:r>
        <w:rPr>
          <w:b/>
          <w:bCs/>
        </w:rPr>
        <w:t xml:space="preserve"> и памятуя о них, государству-участнику следует:</w:t>
      </w:r>
    </w:p>
    <w:p w14:paraId="081FA3F1" w14:textId="12BD47EF" w:rsidR="00212ED6" w:rsidRPr="002728E8" w:rsidRDefault="00E06FD0" w:rsidP="00212ED6">
      <w:pPr>
        <w:pStyle w:val="SingleTxtG"/>
        <w:rPr>
          <w:b/>
          <w:bCs/>
        </w:rPr>
      </w:pPr>
      <w:r>
        <w:rPr>
          <w:b/>
          <w:bCs/>
        </w:rPr>
        <w:tab/>
      </w:r>
      <w:r w:rsidR="00212ED6" w:rsidRPr="00E06FD0">
        <w:rPr>
          <w:b/>
          <w:bCs/>
        </w:rPr>
        <w:t>a)</w:t>
      </w:r>
      <w:r w:rsidR="00212ED6" w:rsidRPr="00E06FD0">
        <w:rPr>
          <w:b/>
          <w:bCs/>
        </w:rPr>
        <w:tab/>
      </w:r>
      <w:r w:rsidR="00212ED6">
        <w:rPr>
          <w:b/>
          <w:bCs/>
        </w:rPr>
        <w:t>принять всеобъемлющее законодательство, запрещающее дискриминацию, в том числе множественную, прямую и косвенную, во всех сферах как в государственном, так и в частном секторах и по всем признакам, запрещенным Пактом, включая пол, сексуальную ориентацию, гендерную идентичность, религию, инвалидность, социально-экономический статус, наличие ВИЧ/СПИДа, этническую или политическую принадлежность или иные обстоятельства;</w:t>
      </w:r>
    </w:p>
    <w:p w14:paraId="40E0F8E4" w14:textId="4203E5D6" w:rsidR="00212ED6" w:rsidRPr="002728E8" w:rsidRDefault="00E06FD0" w:rsidP="00212ED6">
      <w:pPr>
        <w:pStyle w:val="SingleTxtG"/>
        <w:rPr>
          <w:b/>
          <w:bCs/>
        </w:rPr>
      </w:pPr>
      <w:r>
        <w:rPr>
          <w:b/>
          <w:bCs/>
        </w:rPr>
        <w:tab/>
      </w:r>
      <w:r w:rsidR="00212ED6" w:rsidRPr="00E06FD0">
        <w:rPr>
          <w:b/>
          <w:bCs/>
        </w:rPr>
        <w:t>b)</w:t>
      </w:r>
      <w:r w:rsidR="00212ED6" w:rsidRPr="00E06FD0">
        <w:rPr>
          <w:b/>
          <w:bCs/>
        </w:rPr>
        <w:tab/>
      </w:r>
      <w:r w:rsidR="00212ED6">
        <w:rPr>
          <w:b/>
          <w:bCs/>
        </w:rPr>
        <w:t>внести изменения в статью 15 Конституции и привести ее в соответствие со статьями 2</w:t>
      </w:r>
      <w:r w:rsidRPr="00E06FD0">
        <w:rPr>
          <w:b/>
          <w:bCs/>
        </w:rPr>
        <w:t>–</w:t>
      </w:r>
      <w:r w:rsidR="00212ED6">
        <w:rPr>
          <w:b/>
          <w:bCs/>
        </w:rPr>
        <w:t>3 и 26 Пакта;</w:t>
      </w:r>
    </w:p>
    <w:p w14:paraId="11B92057" w14:textId="2A950D99" w:rsidR="00212ED6" w:rsidRPr="002728E8" w:rsidRDefault="00E06FD0" w:rsidP="00212ED6">
      <w:pPr>
        <w:pStyle w:val="SingleTxtG"/>
        <w:rPr>
          <w:b/>
          <w:bCs/>
        </w:rPr>
      </w:pPr>
      <w:r>
        <w:rPr>
          <w:b/>
          <w:bCs/>
        </w:rPr>
        <w:tab/>
      </w:r>
      <w:r w:rsidR="00212ED6" w:rsidRPr="00E06FD0">
        <w:rPr>
          <w:b/>
          <w:bCs/>
        </w:rPr>
        <w:t>c)</w:t>
      </w:r>
      <w:r w:rsidR="00212ED6" w:rsidRPr="00E06FD0">
        <w:rPr>
          <w:b/>
          <w:bCs/>
        </w:rPr>
        <w:tab/>
      </w:r>
      <w:r w:rsidR="00212ED6">
        <w:rPr>
          <w:b/>
          <w:bCs/>
        </w:rPr>
        <w:t>отменить статью 164 Уголовного кодекса;</w:t>
      </w:r>
    </w:p>
    <w:p w14:paraId="061A7776" w14:textId="33376BAB" w:rsidR="00212ED6" w:rsidRPr="002728E8" w:rsidRDefault="00E06FD0" w:rsidP="00212ED6">
      <w:pPr>
        <w:pStyle w:val="SingleTxtG"/>
        <w:rPr>
          <w:b/>
          <w:bCs/>
          <w:szCs w:val="18"/>
        </w:rPr>
      </w:pPr>
      <w:r>
        <w:rPr>
          <w:b/>
          <w:bCs/>
        </w:rPr>
        <w:tab/>
      </w:r>
      <w:r w:rsidR="00212ED6" w:rsidRPr="00E06FD0">
        <w:rPr>
          <w:b/>
          <w:bCs/>
        </w:rPr>
        <w:t xml:space="preserve">d) </w:t>
      </w:r>
      <w:r w:rsidR="00212ED6" w:rsidRPr="00E06FD0">
        <w:rPr>
          <w:b/>
          <w:bCs/>
        </w:rPr>
        <w:tab/>
      </w:r>
      <w:r w:rsidR="00212ED6">
        <w:rPr>
          <w:b/>
          <w:bCs/>
        </w:rPr>
        <w:t>пересмотреть обычные законы и виды практики, дискриминирующие женщин, для обеспечения их полного соответствия положениям Пакта;</w:t>
      </w:r>
    </w:p>
    <w:p w14:paraId="406592C7" w14:textId="702A44BA" w:rsidR="00212ED6" w:rsidRPr="002728E8" w:rsidRDefault="00E06FD0" w:rsidP="00212ED6">
      <w:pPr>
        <w:pStyle w:val="SingleTxtG"/>
        <w:rPr>
          <w:b/>
          <w:bCs/>
        </w:rPr>
      </w:pPr>
      <w:r>
        <w:rPr>
          <w:b/>
          <w:bCs/>
        </w:rPr>
        <w:tab/>
      </w:r>
      <w:r w:rsidR="00212ED6" w:rsidRPr="00E06FD0">
        <w:rPr>
          <w:b/>
          <w:bCs/>
        </w:rPr>
        <w:t>e)</w:t>
      </w:r>
      <w:r w:rsidR="00212ED6" w:rsidRPr="00E06FD0">
        <w:rPr>
          <w:b/>
          <w:bCs/>
        </w:rPr>
        <w:tab/>
      </w:r>
      <w:r w:rsidR="00212ED6">
        <w:rPr>
          <w:b/>
          <w:bCs/>
        </w:rPr>
        <w:t>разработать и реализовать стратегии по борьбе с патриархальными представлениями и стереотипами относительно ролей и обязанностей женщин и мужчин в семье и обществе в целом;</w:t>
      </w:r>
    </w:p>
    <w:p w14:paraId="13BCBCE1" w14:textId="209B89F6" w:rsidR="00212ED6" w:rsidRPr="002728E8" w:rsidRDefault="00E06FD0" w:rsidP="00212ED6">
      <w:pPr>
        <w:pStyle w:val="SingleTxtG"/>
        <w:rPr>
          <w:b/>
          <w:bCs/>
        </w:rPr>
      </w:pPr>
      <w:r>
        <w:rPr>
          <w:b/>
          <w:bCs/>
        </w:rPr>
        <w:tab/>
      </w:r>
      <w:r w:rsidR="00212ED6" w:rsidRPr="00E06FD0">
        <w:rPr>
          <w:b/>
          <w:bCs/>
        </w:rPr>
        <w:t>f)</w:t>
      </w:r>
      <w:r w:rsidR="00212ED6" w:rsidRPr="00E06FD0">
        <w:rPr>
          <w:b/>
          <w:bCs/>
        </w:rPr>
        <w:tab/>
      </w:r>
      <w:r w:rsidR="00212ED6">
        <w:rPr>
          <w:b/>
          <w:bCs/>
        </w:rPr>
        <w:t>предпринимать конкретные шаги, в частности проводить всеобъемлющие кампании по повышению осведомленности и соответствующие мероприятия, для решения проблемы стигматизации и дискриминационного отношения, а также для поощрения восприимчивости и уважения к многообразию со стороны широкой общественности.</w:t>
      </w:r>
    </w:p>
    <w:p w14:paraId="4AA6BC62" w14:textId="77777777" w:rsidR="00212ED6" w:rsidRPr="002728E8" w:rsidRDefault="00212ED6" w:rsidP="00E06FD0">
      <w:pPr>
        <w:pStyle w:val="H23G"/>
      </w:pPr>
      <w:r>
        <w:tab/>
      </w:r>
      <w:r>
        <w:tab/>
        <w:t xml:space="preserve">Насилие в </w:t>
      </w:r>
      <w:r w:rsidRPr="00E06FD0">
        <w:t>отношении</w:t>
      </w:r>
      <w:r>
        <w:t xml:space="preserve"> женщин и детей</w:t>
      </w:r>
    </w:p>
    <w:p w14:paraId="7995E1BA" w14:textId="5F3E6815" w:rsidR="00212ED6" w:rsidRPr="002728E8" w:rsidRDefault="00212ED6" w:rsidP="00212ED6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>
        <w:t>13.</w:t>
      </w:r>
      <w:r>
        <w:tab/>
        <w:t>Комитет обеспокоен высоким уровнем насилия в отношении женщин и детей, включая сексуальное насилие и насилие</w:t>
      </w:r>
      <w:r w:rsidRPr="002E215A">
        <w:t xml:space="preserve"> </w:t>
      </w:r>
      <w:r>
        <w:t xml:space="preserve">в семье, уровень которого значительно вырос за время пандемии коронавирусной инфекции (COVID-19), а также сохранением вредных видов традиционной практики в отношении женщин и детей, включая </w:t>
      </w:r>
      <w:r>
        <w:lastRenderedPageBreak/>
        <w:t>детские браки, полигамию, обряды вдовства и выплату выкупа за невесту (</w:t>
      </w:r>
      <w:r w:rsidRPr="00E06FD0">
        <w:t>богади</w:t>
      </w:r>
      <w:r>
        <w:rPr>
          <w:i/>
          <w:iCs/>
        </w:rPr>
        <w:t>)</w:t>
      </w:r>
      <w:r>
        <w:t>. Комитет также обеспокоен по поводу того, что изнасилование в браке и сексуальное насилие согласно национальному законодательству не являются уголовными преступлениями, низким уровнем регистрации случаев такого насилия и высоким уровнем отзыва жалоб. Он также обеспокоен недостаточной защитой и поддержкой жертв насилия в семье и их семей, в том числе по показателям количества приютов и обеспеченности медицинскими, психологическими и реабилитационными услугами. Комитет выражает сожаление по поводу отсутствия достаточной информации о количестве расследований, судебных преследований и вынесенных приговоров по делам о насилии в отношении женщин (статьи 2</w:t>
      </w:r>
      <w:r w:rsidR="00E06FD0" w:rsidRPr="00E06FD0">
        <w:t>–</w:t>
      </w:r>
      <w:r>
        <w:t>3, 6</w:t>
      </w:r>
      <w:r w:rsidR="00E06FD0" w:rsidRPr="00E06FD0">
        <w:t>–</w:t>
      </w:r>
      <w:r>
        <w:t>7, 24 и 26).</w:t>
      </w:r>
    </w:p>
    <w:p w14:paraId="06018C84" w14:textId="77777777" w:rsidR="00212ED6" w:rsidRPr="002728E8" w:rsidRDefault="00212ED6" w:rsidP="00212ED6">
      <w:pPr>
        <w:pStyle w:val="ParaNoG"/>
        <w:numPr>
          <w:ilvl w:val="0"/>
          <w:numId w:val="0"/>
        </w:numPr>
        <w:tabs>
          <w:tab w:val="left" w:pos="0"/>
        </w:tabs>
        <w:ind w:left="1134"/>
        <w:rPr>
          <w:b/>
        </w:rPr>
      </w:pPr>
      <w:r>
        <w:t>14.</w:t>
      </w:r>
      <w:r>
        <w:tab/>
      </w:r>
      <w:r>
        <w:rPr>
          <w:b/>
          <w:bCs/>
        </w:rPr>
        <w:t>Государству-участнику следует:</w:t>
      </w:r>
    </w:p>
    <w:p w14:paraId="047865D2" w14:textId="782BCE6F" w:rsidR="00212ED6" w:rsidRPr="002728E8" w:rsidRDefault="00E06FD0" w:rsidP="00212ED6">
      <w:pPr>
        <w:pStyle w:val="SingleTxtG"/>
        <w:rPr>
          <w:b/>
        </w:rPr>
      </w:pPr>
      <w:r>
        <w:rPr>
          <w:b/>
          <w:bCs/>
        </w:rPr>
        <w:tab/>
      </w:r>
      <w:r w:rsidR="00212ED6" w:rsidRPr="00E06FD0">
        <w:rPr>
          <w:b/>
          <w:bCs/>
        </w:rPr>
        <w:t>a)</w:t>
      </w:r>
      <w:r w:rsidR="00212ED6" w:rsidRPr="00E06FD0">
        <w:rPr>
          <w:b/>
          <w:bCs/>
        </w:rPr>
        <w:tab/>
      </w:r>
      <w:r w:rsidR="00212ED6">
        <w:rPr>
          <w:b/>
          <w:bCs/>
        </w:rPr>
        <w:t>укреплять правовую и институциональную базу для защиты женщин и детей от насилия, в том числе путем прямой криминализации изнасилования в браке и сексуального насилия и обеспечения полного и эффективного применения Закона о насилии в семье (2008 года);</w:t>
      </w:r>
    </w:p>
    <w:p w14:paraId="19E6CFCE" w14:textId="439B6C3D" w:rsidR="00212ED6" w:rsidRPr="002728E8" w:rsidRDefault="00E06FD0" w:rsidP="00212ED6">
      <w:pPr>
        <w:pStyle w:val="SingleTxtG"/>
        <w:rPr>
          <w:b/>
        </w:rPr>
      </w:pPr>
      <w:r>
        <w:rPr>
          <w:b/>
          <w:bCs/>
        </w:rPr>
        <w:tab/>
      </w:r>
      <w:r w:rsidR="00212ED6" w:rsidRPr="00E06FD0">
        <w:rPr>
          <w:b/>
          <w:bCs/>
        </w:rPr>
        <w:t>b)</w:t>
      </w:r>
      <w:r w:rsidR="00212ED6" w:rsidRPr="00E06FD0">
        <w:rPr>
          <w:b/>
          <w:bCs/>
        </w:rPr>
        <w:tab/>
      </w:r>
      <w:r w:rsidR="00212ED6">
        <w:rPr>
          <w:b/>
          <w:bCs/>
        </w:rPr>
        <w:t>предпринять конкретные шаги по искоренению вредных видов традиционной практики, в том числе путем проведения систематических кампаний по повышению информированности и осуществления программ по изменению социальных установок, образа мышления и стереотипов;</w:t>
      </w:r>
    </w:p>
    <w:p w14:paraId="46BED340" w14:textId="3C943A00" w:rsidR="00212ED6" w:rsidRPr="002728E8" w:rsidRDefault="00E06FD0" w:rsidP="00212ED6">
      <w:pPr>
        <w:pStyle w:val="SingleTxtG"/>
        <w:rPr>
          <w:b/>
        </w:rPr>
      </w:pPr>
      <w:r>
        <w:rPr>
          <w:b/>
          <w:bCs/>
        </w:rPr>
        <w:tab/>
      </w:r>
      <w:r w:rsidR="00212ED6" w:rsidRPr="00E06FD0">
        <w:rPr>
          <w:b/>
          <w:bCs/>
        </w:rPr>
        <w:t>c)</w:t>
      </w:r>
      <w:r w:rsidR="00212ED6" w:rsidRPr="00E06FD0">
        <w:rPr>
          <w:b/>
          <w:bCs/>
        </w:rPr>
        <w:tab/>
      </w:r>
      <w:r w:rsidR="00212ED6" w:rsidRPr="003139B3">
        <w:rPr>
          <w:b/>
          <w:bCs/>
        </w:rPr>
        <w:t xml:space="preserve">обеспечить </w:t>
      </w:r>
      <w:r w:rsidR="00212ED6">
        <w:rPr>
          <w:b/>
          <w:bCs/>
        </w:rPr>
        <w:t>тщательное расследование случаев насилия в отношении женщин и детей, судебное преследование виновных и, в случае их осуждения, назначения им надлежащих наказаний, а также предоставление жертвам доступа к эффективным средствам правовой защиты и иным видам защиты и помощи, в том числе к приютам в любой части страны, а также к достаточным медицинским, психологическим и реабилитационным услугам;</w:t>
      </w:r>
    </w:p>
    <w:p w14:paraId="21BB07AF" w14:textId="1D81E3AD" w:rsidR="00212ED6" w:rsidRPr="002728E8" w:rsidRDefault="00E06FD0" w:rsidP="00212ED6">
      <w:pPr>
        <w:pStyle w:val="SingleTxtG"/>
        <w:rPr>
          <w:b/>
        </w:rPr>
      </w:pPr>
      <w:r>
        <w:rPr>
          <w:b/>
          <w:bCs/>
        </w:rPr>
        <w:tab/>
      </w:r>
      <w:r w:rsidR="00212ED6" w:rsidRPr="00E06FD0">
        <w:rPr>
          <w:b/>
          <w:bCs/>
        </w:rPr>
        <w:t>d)</w:t>
      </w:r>
      <w:r w:rsidR="00212ED6" w:rsidRPr="00E06FD0">
        <w:rPr>
          <w:b/>
          <w:bCs/>
        </w:rPr>
        <w:tab/>
      </w:r>
      <w:r w:rsidR="00212ED6">
        <w:rPr>
          <w:b/>
          <w:bCs/>
        </w:rPr>
        <w:t>осуществлять деятельность по повышению осведомленности широкой общественности по вопросам насилия в отношении женщин и детей, в том числе о Законе о насилии в семье (2008 года), и обеспечить получение надлежащей подготовки по эффективному рассмотрению таких дел сотрудниками полиции, прокурорами и судьями в уголовных судах и судах обычного права.</w:t>
      </w:r>
    </w:p>
    <w:p w14:paraId="1F22785A" w14:textId="77777777" w:rsidR="00212ED6" w:rsidRPr="002728E8" w:rsidRDefault="00212ED6" w:rsidP="00E06FD0">
      <w:pPr>
        <w:pStyle w:val="H23G"/>
      </w:pPr>
      <w:r>
        <w:tab/>
      </w:r>
      <w:r>
        <w:tab/>
        <w:t xml:space="preserve">Смертная </w:t>
      </w:r>
      <w:r w:rsidRPr="00E06FD0">
        <w:t>казнь</w:t>
      </w:r>
    </w:p>
    <w:p w14:paraId="086FDBE2" w14:textId="1F735804" w:rsidR="00212ED6" w:rsidRPr="002728E8" w:rsidRDefault="00212ED6" w:rsidP="00212ED6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>
        <w:t>15.</w:t>
      </w:r>
      <w:r>
        <w:tab/>
        <w:t>Комитет сожалеет, что государство-участник не планирует отменить смертную казнь или ввести мораторий на нее и вновь выражает свою обеспокоенность по поводу вынесения и приведения в исполнение смертных приговоров. Комитет обеспокоен тем, что ни одно заявление о помиловании, поданное в Консультативный комитет по прерогативе помилования, не было удовлетворено, и выражает сожаление в связи с отсутствием информации о критериях, применяемых при вынесении решений об удовлетворении или неудовлетворении таких заявлений. Он также обеспокоен</w:t>
      </w:r>
      <w:r w:rsidR="005E00DE" w:rsidRPr="005E00DE">
        <w:t xml:space="preserve"> </w:t>
      </w:r>
      <w:r w:rsidR="005E00DE">
        <w:t>тем</w:t>
      </w:r>
      <w:r>
        <w:t xml:space="preserve">, что вопреки постановлению апелляционного суда от 2016 года по делу </w:t>
      </w:r>
      <w:r w:rsidRPr="008061BB">
        <w:rPr>
          <w:i/>
          <w:iCs/>
        </w:rPr>
        <w:t>Габааканье против государства</w:t>
      </w:r>
      <w:r>
        <w:t xml:space="preserve"> для подготовки ходатайств о помиловании не предоставляется достаточно времени, что заключенные и их семьи заблаговременно не уведомляются о дне казни, а тело казненного не возвращается семье для захоронения в присутствии близких. Комитет отмечает, что смертная казнь является обязательной за такие преступления, как убийство и государственная измена, и вновь подтверждает свое мнение о том, что обязательное назначение смертной казни за какое-либо преступление является нарушением пункта 2 статьи 6 Пакта. Кроме того, Комитет считает, что государственная измена не входит в число наиболее тяжких преступлений по смыслу пункта 2 статьи 6 Пакта (статьи 6</w:t>
      </w:r>
      <w:r w:rsidR="00E06FD0" w:rsidRPr="00E06FD0">
        <w:t>–</w:t>
      </w:r>
      <w:r>
        <w:t>7, 10 и 23).</w:t>
      </w:r>
    </w:p>
    <w:p w14:paraId="46530FA5" w14:textId="27046214" w:rsidR="00212ED6" w:rsidRPr="001C7A18" w:rsidRDefault="00212ED6" w:rsidP="00212ED6">
      <w:pPr>
        <w:pStyle w:val="ParaNoG"/>
        <w:numPr>
          <w:ilvl w:val="0"/>
          <w:numId w:val="0"/>
        </w:numPr>
        <w:tabs>
          <w:tab w:val="left" w:pos="0"/>
        </w:tabs>
        <w:ind w:left="1134"/>
        <w:rPr>
          <w:b/>
          <w:bCs/>
        </w:rPr>
      </w:pPr>
      <w:r>
        <w:t>16.</w:t>
      </w:r>
      <w:r>
        <w:tab/>
      </w:r>
      <w:r>
        <w:rPr>
          <w:b/>
          <w:bCs/>
        </w:rPr>
        <w:t>В свете замечания общего порядка № 36 (2018 года) Комитета и его предыдущей рекомендации</w:t>
      </w:r>
      <w:r w:rsidRPr="005C1FCD">
        <w:rPr>
          <w:rStyle w:val="aa"/>
        </w:rPr>
        <w:footnoteReference w:id="8"/>
      </w:r>
      <w:r>
        <w:rPr>
          <w:b/>
          <w:bCs/>
        </w:rPr>
        <w:t xml:space="preserve"> и памятуя о них, государству-участнику следует:</w:t>
      </w:r>
    </w:p>
    <w:p w14:paraId="7B8BFCA9" w14:textId="43A34936" w:rsidR="00212ED6" w:rsidRPr="002728E8" w:rsidRDefault="00E06FD0" w:rsidP="00212ED6">
      <w:pPr>
        <w:pStyle w:val="SingleTxtG"/>
        <w:rPr>
          <w:b/>
          <w:bCs/>
        </w:rPr>
      </w:pPr>
      <w:r>
        <w:rPr>
          <w:b/>
          <w:bCs/>
        </w:rPr>
        <w:lastRenderedPageBreak/>
        <w:tab/>
      </w:r>
      <w:r w:rsidR="00212ED6" w:rsidRPr="00E06FD0">
        <w:rPr>
          <w:b/>
          <w:bCs/>
        </w:rPr>
        <w:t>a)</w:t>
      </w:r>
      <w:r w:rsidR="00212ED6" w:rsidRPr="00E06FD0">
        <w:rPr>
          <w:b/>
          <w:bCs/>
        </w:rPr>
        <w:tab/>
      </w:r>
      <w:r w:rsidR="00212ED6">
        <w:rPr>
          <w:b/>
          <w:bCs/>
        </w:rPr>
        <w:t xml:space="preserve">пересмотреть Уголовный кодекс с целью его приведения в </w:t>
      </w:r>
      <w:r>
        <w:rPr>
          <w:b/>
          <w:bCs/>
        </w:rPr>
        <w:br/>
      </w:r>
      <w:r w:rsidR="00212ED6">
        <w:rPr>
          <w:b/>
          <w:bCs/>
        </w:rPr>
        <w:t>строгое соответствие с пунктом 2 статьи 6 Пакта и ограничить категорию преступлений, за которые преступникам может быть назначена смертная казнь, особо тяжкими преступлениями, т.</w:t>
      </w:r>
      <w:r>
        <w:rPr>
          <w:b/>
          <w:bCs/>
          <w:lang w:val="en-US"/>
        </w:rPr>
        <w:t> </w:t>
      </w:r>
      <w:r w:rsidR="00212ED6">
        <w:rPr>
          <w:b/>
          <w:bCs/>
        </w:rPr>
        <w:t>е. преступлениями, связанными с совершением преднамеренного убийства</w:t>
      </w:r>
      <w:r w:rsidR="005E00DE">
        <w:rPr>
          <w:b/>
          <w:bCs/>
        </w:rPr>
        <w:t>;</w:t>
      </w:r>
    </w:p>
    <w:p w14:paraId="4468E9CA" w14:textId="29B95949" w:rsidR="00212ED6" w:rsidRPr="002728E8" w:rsidRDefault="00E06FD0" w:rsidP="00212ED6">
      <w:pPr>
        <w:pStyle w:val="SingleTxtG"/>
        <w:rPr>
          <w:b/>
          <w:bCs/>
        </w:rPr>
      </w:pPr>
      <w:r>
        <w:rPr>
          <w:b/>
          <w:bCs/>
        </w:rPr>
        <w:tab/>
      </w:r>
      <w:r w:rsidR="00212ED6" w:rsidRPr="00E06FD0">
        <w:rPr>
          <w:b/>
          <w:bCs/>
        </w:rPr>
        <w:t>b)</w:t>
      </w:r>
      <w:r w:rsidR="00212ED6" w:rsidRPr="00E06FD0">
        <w:rPr>
          <w:b/>
          <w:bCs/>
        </w:rPr>
        <w:tab/>
      </w:r>
      <w:r w:rsidR="00212ED6">
        <w:rPr>
          <w:b/>
          <w:bCs/>
        </w:rPr>
        <w:t>активизировать свои усилия в целях принятия мер по замене смертного приговора, назначенного лицам, ожидающих смертной казни, на пожизненное лишение свободы</w:t>
      </w:r>
      <w:r w:rsidR="005E00DE">
        <w:rPr>
          <w:b/>
          <w:bCs/>
        </w:rPr>
        <w:t>;</w:t>
      </w:r>
    </w:p>
    <w:p w14:paraId="07DDB0BF" w14:textId="46A30BBA" w:rsidR="00212ED6" w:rsidRPr="002728E8" w:rsidRDefault="00E06FD0" w:rsidP="00212ED6">
      <w:pPr>
        <w:pStyle w:val="SingleTxtG"/>
        <w:rPr>
          <w:b/>
          <w:bCs/>
        </w:rPr>
      </w:pPr>
      <w:r>
        <w:rPr>
          <w:b/>
          <w:bCs/>
        </w:rPr>
        <w:tab/>
      </w:r>
      <w:r w:rsidR="00212ED6" w:rsidRPr="00E06FD0">
        <w:rPr>
          <w:b/>
          <w:bCs/>
        </w:rPr>
        <w:t>c)</w:t>
      </w:r>
      <w:r w:rsidR="00212ED6" w:rsidRPr="00E06FD0">
        <w:rPr>
          <w:b/>
          <w:bCs/>
        </w:rPr>
        <w:tab/>
      </w:r>
      <w:r w:rsidR="00212ED6">
        <w:rPr>
          <w:b/>
          <w:bCs/>
        </w:rPr>
        <w:t>обеспечить, чтобы заключенные и их семьи заранее информировались о дате казни и чтобы тело казненного возвращалось семье для захоронения близкими;</w:t>
      </w:r>
    </w:p>
    <w:p w14:paraId="5ED23201" w14:textId="49874715" w:rsidR="00212ED6" w:rsidRPr="002728E8" w:rsidRDefault="00E06FD0" w:rsidP="00212ED6">
      <w:pPr>
        <w:pStyle w:val="SingleTxtG"/>
        <w:rPr>
          <w:b/>
          <w:bCs/>
        </w:rPr>
      </w:pPr>
      <w:r>
        <w:rPr>
          <w:b/>
          <w:bCs/>
        </w:rPr>
        <w:tab/>
      </w:r>
      <w:r w:rsidR="00212ED6" w:rsidRPr="00E06FD0">
        <w:rPr>
          <w:b/>
          <w:bCs/>
        </w:rPr>
        <w:t>d)</w:t>
      </w:r>
      <w:r w:rsidR="00212ED6" w:rsidRPr="00E06FD0">
        <w:rPr>
          <w:b/>
          <w:bCs/>
        </w:rPr>
        <w:tab/>
      </w:r>
      <w:r w:rsidR="00212ED6">
        <w:rPr>
          <w:b/>
          <w:bCs/>
        </w:rPr>
        <w:t xml:space="preserve">рассмотреть возможность приступить к политическому и законодательному процессу по отмене смертной казни и </w:t>
      </w:r>
      <w:r w:rsidR="00212ED6" w:rsidRPr="00835F85">
        <w:rPr>
          <w:b/>
          <w:bCs/>
        </w:rPr>
        <w:t>принять меры по привлечению внимания общественности к этой проблеме и проведению кампаний</w:t>
      </w:r>
      <w:r w:rsidR="00212ED6">
        <w:rPr>
          <w:b/>
          <w:bCs/>
        </w:rPr>
        <w:t xml:space="preserve"> в поддержку достижения этой цели, включая публичное обсуждение вопроса о смертной казни на основе полной информации обо всех аспектах этого вопроса, особенно о важности достижения прогресса в обеспечении гарантий осуществления права на жизнь.</w:t>
      </w:r>
    </w:p>
    <w:p w14:paraId="40D5270E" w14:textId="77777777" w:rsidR="00212ED6" w:rsidRPr="00B86B27" w:rsidRDefault="00212ED6" w:rsidP="00E06FD0">
      <w:pPr>
        <w:pStyle w:val="H23G"/>
      </w:pPr>
      <w:r>
        <w:tab/>
      </w:r>
      <w:r>
        <w:tab/>
        <w:t xml:space="preserve">Запрещение пыток и других жестоких, </w:t>
      </w:r>
      <w:r w:rsidRPr="00E06FD0">
        <w:t>бесчеловечных</w:t>
      </w:r>
      <w:r>
        <w:t xml:space="preserve"> или унижающих достоинство видов обращения и наказания</w:t>
      </w:r>
    </w:p>
    <w:p w14:paraId="4C4823FE" w14:textId="77777777" w:rsidR="00212ED6" w:rsidRPr="002728E8" w:rsidRDefault="00212ED6" w:rsidP="00212ED6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>
        <w:t>17.</w:t>
      </w:r>
      <w:r>
        <w:tab/>
        <w:t>Комитет обеспокоен по поводу того, что в Уголовном кодексе пытки не квалифицируются как уголовное преступление. Он также обеспокоен отсутствием независимого, эффективного и доступного механизма получения и расследования жалоб на пытки и неправомерное обращение с лицами, лишенными свободы, и сожалеет, что не получил информацию в отношении: a) создания независимого учреждения для посещения и мониторинга мест лишения свободы; и b) количества полученных жалоб, проведенных расследований, назначенных наказаний и мер реабилитации, а также форм предоставленного жертвам возмещения ущерба. Кроме того, он сожалеет по поводу того, что государство-участник еще не предприняло шаги для ратификации Факультативного протокола к Конвенции против пыток и других жестоких, бесчеловечных или унижающих достоинство видов обращения и наказания (статьи 7 и 10).</w:t>
      </w:r>
    </w:p>
    <w:p w14:paraId="0699B44C" w14:textId="6B13FDE6" w:rsidR="00212ED6" w:rsidRPr="001C7A18" w:rsidRDefault="00212ED6" w:rsidP="00212ED6">
      <w:pPr>
        <w:pStyle w:val="ParaNoG"/>
        <w:keepNext/>
        <w:numPr>
          <w:ilvl w:val="0"/>
          <w:numId w:val="0"/>
        </w:numPr>
        <w:tabs>
          <w:tab w:val="left" w:pos="0"/>
        </w:tabs>
        <w:ind w:left="1134"/>
        <w:rPr>
          <w:b/>
          <w:bCs/>
        </w:rPr>
      </w:pPr>
      <w:r>
        <w:t>18.</w:t>
      </w:r>
      <w:r>
        <w:tab/>
      </w:r>
      <w:r>
        <w:rPr>
          <w:b/>
          <w:bCs/>
        </w:rPr>
        <w:t>В свете в</w:t>
      </w:r>
      <w:r w:rsidR="000F2FD8">
        <w:rPr>
          <w:b/>
          <w:bCs/>
        </w:rPr>
        <w:t>ы</w:t>
      </w:r>
      <w:r>
        <w:rPr>
          <w:b/>
          <w:bCs/>
        </w:rPr>
        <w:t>несенных ранее Комитетом</w:t>
      </w:r>
      <w:r w:rsidR="00865565" w:rsidRPr="00865565">
        <w:rPr>
          <w:b/>
          <w:bCs/>
        </w:rPr>
        <w:t xml:space="preserve"> </w:t>
      </w:r>
      <w:r w:rsidR="00865565">
        <w:rPr>
          <w:b/>
          <w:bCs/>
        </w:rPr>
        <w:t>рекомендаций</w:t>
      </w:r>
      <w:r w:rsidRPr="005C1FCD">
        <w:rPr>
          <w:rStyle w:val="aa"/>
        </w:rPr>
        <w:footnoteReference w:id="9"/>
      </w:r>
      <w:r>
        <w:rPr>
          <w:b/>
          <w:bCs/>
        </w:rPr>
        <w:t xml:space="preserve"> и памятуя о них, государству-участнику следует:</w:t>
      </w:r>
    </w:p>
    <w:p w14:paraId="51A68619" w14:textId="32901D4A" w:rsidR="00212ED6" w:rsidRPr="002728E8" w:rsidRDefault="00E06FD0" w:rsidP="00212ED6">
      <w:pPr>
        <w:pStyle w:val="SingleTxtG"/>
        <w:rPr>
          <w:b/>
        </w:rPr>
      </w:pPr>
      <w:r>
        <w:rPr>
          <w:b/>
          <w:bCs/>
        </w:rPr>
        <w:tab/>
      </w:r>
      <w:r w:rsidR="00212ED6" w:rsidRPr="00E06FD0">
        <w:rPr>
          <w:b/>
          <w:bCs/>
        </w:rPr>
        <w:t>a)</w:t>
      </w:r>
      <w:r w:rsidR="00212ED6" w:rsidRPr="00E06FD0">
        <w:rPr>
          <w:b/>
          <w:bCs/>
        </w:rPr>
        <w:tab/>
      </w:r>
      <w:r w:rsidR="00212ED6">
        <w:rPr>
          <w:b/>
          <w:bCs/>
        </w:rPr>
        <w:t xml:space="preserve">принять нормативно-правовую базу по борьбе с пытками, </w:t>
      </w:r>
      <w:r>
        <w:rPr>
          <w:b/>
          <w:bCs/>
        </w:rPr>
        <w:br/>
      </w:r>
      <w:r w:rsidR="00212ED6">
        <w:rPr>
          <w:b/>
          <w:bCs/>
        </w:rPr>
        <w:t>в том числе путем квалификации пыток в Уголовном кодексе в качестве уголовного преступления, которая бы отражала и обеспечивала соблюдение соответствующих международных стандартов;</w:t>
      </w:r>
    </w:p>
    <w:p w14:paraId="7C7359A6" w14:textId="5A560F26" w:rsidR="00212ED6" w:rsidRPr="002728E8" w:rsidRDefault="00E06FD0" w:rsidP="00212ED6">
      <w:pPr>
        <w:pStyle w:val="SingleTxtG"/>
        <w:rPr>
          <w:b/>
        </w:rPr>
      </w:pPr>
      <w:r>
        <w:rPr>
          <w:b/>
          <w:bCs/>
        </w:rPr>
        <w:tab/>
      </w:r>
      <w:r w:rsidR="00212ED6" w:rsidRPr="00E06FD0">
        <w:rPr>
          <w:b/>
          <w:bCs/>
        </w:rPr>
        <w:t>b)</w:t>
      </w:r>
      <w:r w:rsidR="00212ED6" w:rsidRPr="00E06FD0">
        <w:rPr>
          <w:b/>
          <w:bCs/>
        </w:rPr>
        <w:tab/>
      </w:r>
      <w:r w:rsidR="00212ED6">
        <w:rPr>
          <w:b/>
          <w:bCs/>
        </w:rPr>
        <w:t>проводить оперативные, тщательные, эффективные, независимые и беспристрастные расследования всех утверждений о применении пыток и неправомерного обращении в соответствии с Руководством по эффективному расследованию и документированию пыток и других жестоких, бесчеловечных или унижающих достоинство видов обращения и наказания (Стамбульский протокол), обеспечить привлечение виновных к ответственности и, в случае их осуждения, назначать им надлежащее наказание и предоставлять жертвам полное возмещение;</w:t>
      </w:r>
    </w:p>
    <w:p w14:paraId="70433D12" w14:textId="5DC07CB8" w:rsidR="00212ED6" w:rsidRPr="002728E8" w:rsidRDefault="00E06FD0" w:rsidP="00212ED6">
      <w:pPr>
        <w:pStyle w:val="SingleTxtG"/>
        <w:rPr>
          <w:b/>
        </w:rPr>
      </w:pPr>
      <w:r>
        <w:rPr>
          <w:b/>
          <w:bCs/>
        </w:rPr>
        <w:tab/>
      </w:r>
      <w:r w:rsidR="00212ED6" w:rsidRPr="00E06FD0">
        <w:rPr>
          <w:b/>
          <w:bCs/>
        </w:rPr>
        <w:t>c)</w:t>
      </w:r>
      <w:r w:rsidR="00212ED6" w:rsidRPr="00E06FD0">
        <w:rPr>
          <w:b/>
          <w:bCs/>
        </w:rPr>
        <w:tab/>
      </w:r>
      <w:r w:rsidR="00212ED6">
        <w:rPr>
          <w:b/>
          <w:bCs/>
        </w:rPr>
        <w:t xml:space="preserve">обеспечить, чтобы все лица, лишенные свободы, имели доступ к независимому и эффективному механизму подачи жалоб для расследования утверждений о применении пыток и неправомерного обращения, который бы гарантировал оперативный, эффективный и прямой доступ к органам, отвечающим за рассмотрение таких жалоб, в том числе путем укрепления </w:t>
      </w:r>
      <w:r w:rsidR="00212ED6">
        <w:rPr>
          <w:b/>
          <w:bCs/>
        </w:rPr>
        <w:lastRenderedPageBreak/>
        <w:t>независимости омбудсмена и его/ее потенциала по реагированию на такие жалобы;</w:t>
      </w:r>
    </w:p>
    <w:p w14:paraId="5E8AE0D6" w14:textId="3C7D7AB5" w:rsidR="00212ED6" w:rsidRPr="002728E8" w:rsidRDefault="00E06FD0" w:rsidP="00212ED6">
      <w:pPr>
        <w:pStyle w:val="SingleTxtG"/>
        <w:rPr>
          <w:b/>
        </w:rPr>
      </w:pPr>
      <w:r>
        <w:rPr>
          <w:b/>
          <w:bCs/>
        </w:rPr>
        <w:tab/>
      </w:r>
      <w:r w:rsidR="00212ED6" w:rsidRPr="00E06FD0">
        <w:rPr>
          <w:b/>
          <w:bCs/>
        </w:rPr>
        <w:t xml:space="preserve">d) </w:t>
      </w:r>
      <w:r w:rsidR="00212ED6" w:rsidRPr="00E06FD0">
        <w:rPr>
          <w:b/>
          <w:bCs/>
        </w:rPr>
        <w:tab/>
      </w:r>
      <w:r w:rsidR="00212ED6">
        <w:rPr>
          <w:b/>
          <w:bCs/>
        </w:rPr>
        <w:t xml:space="preserve">создать независимое учреждение, уполномоченное проводить посещения и мониторинг мест лишения свободы, и обеспечить, чтобы все такие места подвергались независимому, эффективному и регулярному мониторингу и инспекции без предварительного уведомления </w:t>
      </w:r>
      <w:r w:rsidR="00212ED6" w:rsidRPr="00A83500">
        <w:rPr>
          <w:b/>
          <w:bCs/>
        </w:rPr>
        <w:t>и какого-либо контроля</w:t>
      </w:r>
      <w:r w:rsidR="00212ED6">
        <w:rPr>
          <w:b/>
          <w:bCs/>
        </w:rPr>
        <w:t>;</w:t>
      </w:r>
    </w:p>
    <w:p w14:paraId="10E050FB" w14:textId="55DF30E4" w:rsidR="00212ED6" w:rsidRPr="002728E8" w:rsidRDefault="00E06FD0" w:rsidP="00212ED6">
      <w:pPr>
        <w:pStyle w:val="SingleTxtG"/>
        <w:rPr>
          <w:b/>
        </w:rPr>
      </w:pPr>
      <w:r>
        <w:rPr>
          <w:b/>
          <w:bCs/>
        </w:rPr>
        <w:tab/>
      </w:r>
      <w:r w:rsidR="00212ED6" w:rsidRPr="00E06FD0">
        <w:rPr>
          <w:b/>
          <w:bCs/>
        </w:rPr>
        <w:t>e)</w:t>
      </w:r>
      <w:r w:rsidR="00212ED6" w:rsidRPr="00E06FD0">
        <w:rPr>
          <w:b/>
          <w:bCs/>
        </w:rPr>
        <w:tab/>
      </w:r>
      <w:r w:rsidR="00212ED6">
        <w:rPr>
          <w:b/>
          <w:bCs/>
        </w:rPr>
        <w:t>проводить регулярную подготовку судей, прокуроров, адвокатов, сотрудников служб безопасности и правоохранительных органов в области прав человека</w:t>
      </w:r>
      <w:r w:rsidR="00955E04">
        <w:rPr>
          <w:b/>
          <w:bCs/>
        </w:rPr>
        <w:t>,</w:t>
      </w:r>
      <w:r w:rsidR="00212ED6">
        <w:rPr>
          <w:b/>
          <w:bCs/>
        </w:rPr>
        <w:t xml:space="preserve"> и в частности по вопросам документирования и расследования случаев пыток и неправомерного обращения, в том числе по материалам, охватываемым Стамбульским протоколом;</w:t>
      </w:r>
    </w:p>
    <w:p w14:paraId="088F5B7E" w14:textId="7AC9FB68" w:rsidR="00212ED6" w:rsidRPr="002728E8" w:rsidRDefault="00E06FD0" w:rsidP="00212ED6">
      <w:pPr>
        <w:pStyle w:val="SingleTxtG"/>
        <w:rPr>
          <w:b/>
        </w:rPr>
      </w:pPr>
      <w:r>
        <w:rPr>
          <w:b/>
          <w:bCs/>
        </w:rPr>
        <w:tab/>
      </w:r>
      <w:r w:rsidR="00212ED6" w:rsidRPr="00E06FD0">
        <w:rPr>
          <w:b/>
          <w:bCs/>
        </w:rPr>
        <w:t>f)</w:t>
      </w:r>
      <w:r w:rsidR="00212ED6" w:rsidRPr="00E06FD0">
        <w:rPr>
          <w:b/>
          <w:bCs/>
        </w:rPr>
        <w:tab/>
      </w:r>
      <w:r w:rsidR="00212ED6" w:rsidRPr="00D20D34">
        <w:rPr>
          <w:b/>
          <w:bCs/>
        </w:rPr>
        <w:t>рассмотреть вопрос о ратификации</w:t>
      </w:r>
      <w:r w:rsidR="00212ED6">
        <w:t xml:space="preserve"> </w:t>
      </w:r>
      <w:r w:rsidR="00212ED6">
        <w:rPr>
          <w:b/>
          <w:bCs/>
        </w:rPr>
        <w:t>Факультативного протокола к Конвенции против пыток и других жестоких, бесчеловечных или унижающих достоинство видов обращения и наказания</w:t>
      </w:r>
      <w:r w:rsidR="00955E04">
        <w:rPr>
          <w:b/>
          <w:bCs/>
        </w:rPr>
        <w:t>.</w:t>
      </w:r>
    </w:p>
    <w:p w14:paraId="7EB5ADFD" w14:textId="77777777" w:rsidR="00212ED6" w:rsidRPr="002728E8" w:rsidRDefault="00212ED6" w:rsidP="00E06FD0">
      <w:pPr>
        <w:pStyle w:val="H23G"/>
        <w:rPr>
          <w:rFonts w:eastAsia="SimSun"/>
        </w:rPr>
      </w:pPr>
      <w:r>
        <w:tab/>
      </w:r>
      <w:r>
        <w:tab/>
        <w:t xml:space="preserve">Телесные </w:t>
      </w:r>
      <w:r w:rsidRPr="00E06FD0">
        <w:t>наказания</w:t>
      </w:r>
    </w:p>
    <w:p w14:paraId="1AE0AC1D" w14:textId="77777777" w:rsidR="00212ED6" w:rsidRPr="002728E8" w:rsidRDefault="00212ED6" w:rsidP="00212ED6">
      <w:pPr>
        <w:pStyle w:val="ParaNoG"/>
        <w:numPr>
          <w:ilvl w:val="0"/>
          <w:numId w:val="0"/>
        </w:numPr>
        <w:tabs>
          <w:tab w:val="left" w:pos="0"/>
        </w:tabs>
        <w:ind w:left="1134"/>
        <w:rPr>
          <w:bCs/>
          <w:shd w:val="clear" w:color="auto" w:fill="FFFFFF"/>
        </w:rPr>
      </w:pPr>
      <w:r>
        <w:t>19.</w:t>
      </w:r>
      <w:r>
        <w:tab/>
        <w:t xml:space="preserve">Комитет обеспокоен по поводу того, что статьей 25 Уголовного кодекса и статьей 90 Закона о детях установлены телесные наказания в качестве наказания, не связанного с лишением свободы, что статьями 114 и 115 Закона о тюрьмах </w:t>
      </w:r>
      <w:r w:rsidRPr="00E830EA">
        <w:t>установлены</w:t>
      </w:r>
      <w:r>
        <w:t xml:space="preserve"> телесные наказания в качестве дисциплинарной меры в тюрьмах и что такие телесные наказания применяются в форме избиения палками, что по своей сути является нарушением статьи 7 Пакта (статья 7).</w:t>
      </w:r>
    </w:p>
    <w:p w14:paraId="383788E9" w14:textId="77777777" w:rsidR="00212ED6" w:rsidRPr="002728E8" w:rsidRDefault="00212ED6" w:rsidP="00212ED6">
      <w:pPr>
        <w:pStyle w:val="ParaNoG"/>
        <w:numPr>
          <w:ilvl w:val="0"/>
          <w:numId w:val="0"/>
        </w:numPr>
        <w:tabs>
          <w:tab w:val="left" w:pos="0"/>
        </w:tabs>
        <w:ind w:left="1134"/>
        <w:rPr>
          <w:b/>
          <w:bCs/>
        </w:rPr>
      </w:pPr>
      <w:r>
        <w:t>20.</w:t>
      </w:r>
      <w:r>
        <w:tab/>
      </w:r>
      <w:r>
        <w:rPr>
          <w:b/>
          <w:bCs/>
        </w:rPr>
        <w:t>С учетом внесенной ранее Комитетом рекомендации</w:t>
      </w:r>
      <w:r w:rsidRPr="005C1FCD">
        <w:rPr>
          <w:rStyle w:val="aa"/>
        </w:rPr>
        <w:footnoteReference w:id="10"/>
      </w:r>
      <w:r>
        <w:rPr>
          <w:b/>
          <w:bCs/>
        </w:rPr>
        <w:t xml:space="preserve"> государству-участнику следует принять необходимые законодательные меры, устанавливающие прямой запрет на телесные наказания при отправлении правосудия, и отменить положения своего законодательства, предусматривающие наказания, нарушающие статью 7 Пакта.</w:t>
      </w:r>
    </w:p>
    <w:p w14:paraId="458C2B36" w14:textId="77777777" w:rsidR="00212ED6" w:rsidRPr="002728E8" w:rsidRDefault="00212ED6" w:rsidP="00E06FD0">
      <w:pPr>
        <w:pStyle w:val="H23G"/>
        <w:rPr>
          <w:rFonts w:eastAsia="SimSun"/>
        </w:rPr>
      </w:pPr>
      <w:r>
        <w:tab/>
      </w:r>
      <w:r>
        <w:tab/>
        <w:t xml:space="preserve">Свобода и </w:t>
      </w:r>
      <w:r w:rsidRPr="00E06FD0">
        <w:t>личная</w:t>
      </w:r>
      <w:r>
        <w:t xml:space="preserve"> неприкосновенность</w:t>
      </w:r>
    </w:p>
    <w:p w14:paraId="2D6284EB" w14:textId="1AE0417E" w:rsidR="00212ED6" w:rsidRPr="002728E8" w:rsidRDefault="00212ED6" w:rsidP="00212ED6">
      <w:pPr>
        <w:pStyle w:val="ParaNoG"/>
        <w:numPr>
          <w:ilvl w:val="0"/>
          <w:numId w:val="0"/>
        </w:numPr>
        <w:tabs>
          <w:tab w:val="left" w:pos="0"/>
        </w:tabs>
        <w:ind w:left="1134"/>
        <w:rPr>
          <w:rFonts w:eastAsia="Calibri"/>
        </w:rPr>
      </w:pPr>
      <w:r>
        <w:t>21.</w:t>
      </w:r>
      <w:r>
        <w:tab/>
        <w:t>Комитет признает меры, принятые для улучшения условий содержания в тюрьмах, и принимает к сведению представленную делегацией информацию, согласно которой в настоящее время заполненность тюрем составляет 91</w:t>
      </w:r>
      <w:r w:rsidR="00E06FD0">
        <w:rPr>
          <w:lang w:val="en-US"/>
        </w:rPr>
        <w:t> </w:t>
      </w:r>
      <w:r>
        <w:t>%. Однако он сожалеет, что не получил информацию о количестве лиц, содержащихся в предварительном заключении, или о средней продолжительности предварительного заключения. В этой связи Комитет обеспокоен тем, что статьей 133 Закона об уголовном судопроизводстве и доказательствах предусмотрено досудебное содержание под стражей в течение чрезмерно продолжительного периода, а также сообщениями о лицах, содержащихся в предварительном заключении в течение чрезмерно длительных периодов времени и сроков, превышающих возможные сроки наказания после вынесения приговора. Он также обеспокоен сообщениями о том, что задержанные, признанные неспособными к даче показаний в суде, подвергаются бессрочному содержанию под стражей (статьи 9</w:t>
      </w:r>
      <w:r w:rsidR="00E06FD0" w:rsidRPr="00E06FD0">
        <w:t>–</w:t>
      </w:r>
      <w:r>
        <w:t>10).</w:t>
      </w:r>
    </w:p>
    <w:p w14:paraId="3791FE18" w14:textId="46C21FE0" w:rsidR="00212ED6" w:rsidRPr="001C7A18" w:rsidRDefault="00212ED6" w:rsidP="00212ED6">
      <w:pPr>
        <w:pStyle w:val="ParaNoG"/>
        <w:numPr>
          <w:ilvl w:val="0"/>
          <w:numId w:val="0"/>
        </w:numPr>
        <w:tabs>
          <w:tab w:val="left" w:pos="0"/>
        </w:tabs>
        <w:ind w:left="1134"/>
        <w:rPr>
          <w:b/>
        </w:rPr>
      </w:pPr>
      <w:r>
        <w:t>22.</w:t>
      </w:r>
      <w:r>
        <w:tab/>
      </w:r>
      <w:r>
        <w:rPr>
          <w:b/>
          <w:bCs/>
        </w:rPr>
        <w:t>С учетом внесенной ранее Комитетом рекомендации</w:t>
      </w:r>
      <w:r w:rsidRPr="005C1FCD">
        <w:rPr>
          <w:rStyle w:val="aa"/>
        </w:rPr>
        <w:footnoteReference w:id="11"/>
      </w:r>
      <w:r>
        <w:rPr>
          <w:b/>
          <w:bCs/>
        </w:rPr>
        <w:t xml:space="preserve"> </w:t>
      </w:r>
      <w:r w:rsidR="00955E04">
        <w:rPr>
          <w:b/>
          <w:bCs/>
        </w:rPr>
        <w:t xml:space="preserve">и памятуя о них, </w:t>
      </w:r>
      <w:r>
        <w:rPr>
          <w:b/>
          <w:bCs/>
        </w:rPr>
        <w:t>государству-участнику следует:</w:t>
      </w:r>
    </w:p>
    <w:p w14:paraId="76CDA692" w14:textId="283D4582" w:rsidR="00212ED6" w:rsidRPr="002728E8" w:rsidRDefault="00E06FD0" w:rsidP="00212ED6">
      <w:pPr>
        <w:pStyle w:val="SingleTxtG"/>
        <w:rPr>
          <w:b/>
          <w:bCs/>
        </w:rPr>
      </w:pPr>
      <w:r>
        <w:rPr>
          <w:b/>
          <w:bCs/>
        </w:rPr>
        <w:tab/>
      </w:r>
      <w:r w:rsidR="00212ED6" w:rsidRPr="00E06FD0">
        <w:rPr>
          <w:b/>
          <w:bCs/>
        </w:rPr>
        <w:t>a)</w:t>
      </w:r>
      <w:r w:rsidR="00212ED6" w:rsidRPr="00E06FD0">
        <w:rPr>
          <w:b/>
          <w:bCs/>
        </w:rPr>
        <w:tab/>
      </w:r>
      <w:r w:rsidR="00212ED6">
        <w:rPr>
          <w:b/>
          <w:bCs/>
        </w:rPr>
        <w:t>и впредь прилагать усилия для обеспечения соответствия условий во всех пенитенциарных учреждениях Минимальным стандартным правилам Организации Объединенных Наций в отношении обращения с заключенными (Правила Нельсона Манделы);</w:t>
      </w:r>
    </w:p>
    <w:p w14:paraId="4A7C36A9" w14:textId="51A051AF" w:rsidR="00212ED6" w:rsidRPr="002728E8" w:rsidRDefault="00E06FD0" w:rsidP="00212ED6">
      <w:pPr>
        <w:pStyle w:val="SingleTxtG"/>
        <w:rPr>
          <w:rFonts w:eastAsia="Calibri"/>
          <w:b/>
          <w:bCs/>
        </w:rPr>
      </w:pPr>
      <w:r>
        <w:rPr>
          <w:b/>
          <w:bCs/>
        </w:rPr>
        <w:tab/>
      </w:r>
      <w:r w:rsidR="00212ED6" w:rsidRPr="00E06FD0">
        <w:rPr>
          <w:b/>
          <w:bCs/>
        </w:rPr>
        <w:t>b)</w:t>
      </w:r>
      <w:r w:rsidR="00212ED6" w:rsidRPr="00E06FD0">
        <w:rPr>
          <w:b/>
          <w:bCs/>
        </w:rPr>
        <w:tab/>
      </w:r>
      <w:r w:rsidR="00212ED6">
        <w:rPr>
          <w:b/>
          <w:bCs/>
        </w:rPr>
        <w:t xml:space="preserve">расширить использование альтернативных мер, не связанных с лишением свободы, включая </w:t>
      </w:r>
      <w:r w:rsidR="00212ED6" w:rsidRPr="00297E80">
        <w:rPr>
          <w:b/>
          <w:bCs/>
          <w:color w:val="333333"/>
          <w:sz w:val="21"/>
          <w:szCs w:val="21"/>
          <w:shd w:val="clear" w:color="auto" w:fill="FFFFFF"/>
        </w:rPr>
        <w:t>освобождение под</w:t>
      </w:r>
      <w:r w:rsidR="00212ED6">
        <w:rPr>
          <w:b/>
          <w:bCs/>
        </w:rPr>
        <w:t xml:space="preserve"> залог</w:t>
      </w:r>
      <w:r w:rsidR="00212ED6" w:rsidRPr="006E0DE6">
        <w:rPr>
          <w:b/>
          <w:bCs/>
        </w:rPr>
        <w:t xml:space="preserve">, чтобы досудебное содержание под стражей было исключительной, разумной и необходимой мерой, </w:t>
      </w:r>
      <w:r w:rsidR="00212ED6" w:rsidRPr="006E0DE6">
        <w:rPr>
          <w:b/>
          <w:bCs/>
        </w:rPr>
        <w:lastRenderedPageBreak/>
        <w:t xml:space="preserve">учитывающей индивидуальные обстоятельства, и чтобы </w:t>
      </w:r>
      <w:r w:rsidR="00212ED6">
        <w:rPr>
          <w:b/>
          <w:bCs/>
        </w:rPr>
        <w:t>в соответствии с положениями Пакта</w:t>
      </w:r>
      <w:r w:rsidR="00212ED6" w:rsidRPr="006E0DE6">
        <w:rPr>
          <w:b/>
          <w:bCs/>
        </w:rPr>
        <w:t xml:space="preserve"> оно было как можно более коротким </w:t>
      </w:r>
      <w:r w:rsidR="00212ED6">
        <w:rPr>
          <w:b/>
          <w:bCs/>
        </w:rPr>
        <w:t>и пересматривалось на регулярной основе;</w:t>
      </w:r>
    </w:p>
    <w:p w14:paraId="1A49C28B" w14:textId="0E6A8F07" w:rsidR="00212ED6" w:rsidRPr="002728E8" w:rsidRDefault="00E06FD0" w:rsidP="00212ED6">
      <w:pPr>
        <w:pStyle w:val="SingleTxtG"/>
        <w:rPr>
          <w:rFonts w:eastAsia="Calibri"/>
          <w:b/>
          <w:bCs/>
        </w:rPr>
      </w:pPr>
      <w:r>
        <w:rPr>
          <w:b/>
          <w:bCs/>
        </w:rPr>
        <w:tab/>
      </w:r>
      <w:r w:rsidR="00212ED6" w:rsidRPr="00E06FD0">
        <w:rPr>
          <w:b/>
          <w:bCs/>
        </w:rPr>
        <w:t>c)</w:t>
      </w:r>
      <w:r w:rsidR="00212ED6" w:rsidRPr="00E06FD0">
        <w:rPr>
          <w:b/>
          <w:bCs/>
        </w:rPr>
        <w:tab/>
      </w:r>
      <w:r w:rsidR="00212ED6">
        <w:rPr>
          <w:b/>
          <w:bCs/>
        </w:rPr>
        <w:t>пересмотреть правовые и административные процедуры в отношении задержанных, которые признаны неспособными к даче показаний в суде, с тем чтобы не допускать их бессрочного содержания под стражей.</w:t>
      </w:r>
    </w:p>
    <w:p w14:paraId="1AB91D79" w14:textId="77777777" w:rsidR="00212ED6" w:rsidRPr="002728E8" w:rsidRDefault="00212ED6" w:rsidP="00E06FD0">
      <w:pPr>
        <w:pStyle w:val="H23G"/>
        <w:rPr>
          <w:rFonts w:eastAsia="SimSun"/>
        </w:rPr>
      </w:pPr>
      <w:r>
        <w:tab/>
      </w:r>
      <w:r>
        <w:tab/>
        <w:t xml:space="preserve">Отправление </w:t>
      </w:r>
      <w:r w:rsidRPr="00E06FD0">
        <w:t>правосудия</w:t>
      </w:r>
    </w:p>
    <w:p w14:paraId="4AAC6FAA" w14:textId="77777777" w:rsidR="00212ED6" w:rsidRPr="002728E8" w:rsidRDefault="00212ED6" w:rsidP="00212ED6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>
        <w:t>23.</w:t>
      </w:r>
      <w:r>
        <w:tab/>
        <w:t>Комитет положительно оценивает усилия государства-участника по обеспечению независимости судебной системы и Управления государственного обвинения. Приветствуя меры, принятые для решения проблемы нехватки судебного и административного персонала и сокращения количества нерассмотренных дел, Комитет по-прежнему обеспокоен тем, что имеющегося на настоящее время количества сотрудников судебных органов и прокуратуры может быть недостаточно для гарантирования доступа к правосудию во всех частях страны. Комитет также обеспокоен отсутствием четкой информации о гарантиях пребывания в должности прокуроров, которые считаются государственными служащими, а также о степени подотчетности Управления государственных обвинений (статьи 2 и 14).</w:t>
      </w:r>
    </w:p>
    <w:p w14:paraId="5444BC40" w14:textId="77777777" w:rsidR="00212ED6" w:rsidRPr="002728E8" w:rsidRDefault="00212ED6" w:rsidP="00212ED6">
      <w:pPr>
        <w:pStyle w:val="ParaNoG"/>
        <w:numPr>
          <w:ilvl w:val="0"/>
          <w:numId w:val="0"/>
        </w:numPr>
        <w:tabs>
          <w:tab w:val="left" w:pos="0"/>
        </w:tabs>
        <w:ind w:left="1134"/>
        <w:rPr>
          <w:b/>
          <w:bCs/>
        </w:rPr>
      </w:pPr>
      <w:r>
        <w:t>24.</w:t>
      </w:r>
      <w:r>
        <w:tab/>
      </w:r>
      <w:r>
        <w:rPr>
          <w:b/>
          <w:bCs/>
        </w:rPr>
        <w:t>Государству-участнику следует:</w:t>
      </w:r>
    </w:p>
    <w:p w14:paraId="6BF6C7E0" w14:textId="28FDBAF6" w:rsidR="00212ED6" w:rsidRPr="002728E8" w:rsidRDefault="00E06FD0" w:rsidP="00212ED6">
      <w:pPr>
        <w:pStyle w:val="SingleTxtG"/>
        <w:rPr>
          <w:rFonts w:eastAsia="Calibri"/>
          <w:b/>
          <w:bCs/>
        </w:rPr>
      </w:pPr>
      <w:r>
        <w:rPr>
          <w:b/>
          <w:bCs/>
        </w:rPr>
        <w:tab/>
      </w:r>
      <w:r w:rsidR="00212ED6" w:rsidRPr="00E06FD0">
        <w:rPr>
          <w:b/>
          <w:bCs/>
        </w:rPr>
        <w:t>a)</w:t>
      </w:r>
      <w:r w:rsidR="00212ED6" w:rsidRPr="00E06FD0">
        <w:rPr>
          <w:b/>
          <w:bCs/>
        </w:rPr>
        <w:tab/>
      </w:r>
      <w:r w:rsidR="00212ED6">
        <w:rPr>
          <w:b/>
          <w:bCs/>
        </w:rPr>
        <w:t>усилить меры по обеспечению доступа к правосудию на всей своей территории, в том числе путем найма необходимого судебного, прокурорского и административного персонала и более широкого использования системы мобильных судов;</w:t>
      </w:r>
    </w:p>
    <w:p w14:paraId="755EDA67" w14:textId="28FA4AC8" w:rsidR="00212ED6" w:rsidRPr="002728E8" w:rsidRDefault="00E06FD0" w:rsidP="00212ED6">
      <w:pPr>
        <w:pStyle w:val="SingleTxtG"/>
        <w:rPr>
          <w:rFonts w:eastAsia="Calibri"/>
          <w:b/>
          <w:bCs/>
        </w:rPr>
      </w:pPr>
      <w:r>
        <w:rPr>
          <w:b/>
          <w:bCs/>
        </w:rPr>
        <w:tab/>
      </w:r>
      <w:r w:rsidR="00212ED6" w:rsidRPr="00E06FD0">
        <w:rPr>
          <w:b/>
          <w:bCs/>
        </w:rPr>
        <w:t>b)</w:t>
      </w:r>
      <w:r w:rsidR="00212ED6" w:rsidRPr="00E06FD0">
        <w:rPr>
          <w:b/>
          <w:bCs/>
        </w:rPr>
        <w:tab/>
      </w:r>
      <w:r w:rsidR="00212ED6">
        <w:rPr>
          <w:b/>
          <w:bCs/>
        </w:rPr>
        <w:t>активизировать усилия по дальнейшему сокращению количества нерассмотренных дел и повышению эффективности работы судебных органов и прокуратуры;</w:t>
      </w:r>
    </w:p>
    <w:p w14:paraId="52ED8F56" w14:textId="5F0766D1" w:rsidR="00212ED6" w:rsidRPr="002728E8" w:rsidRDefault="00E06FD0" w:rsidP="00212ED6">
      <w:pPr>
        <w:pStyle w:val="SingleTxtG"/>
        <w:rPr>
          <w:b/>
          <w:bCs/>
        </w:rPr>
      </w:pPr>
      <w:r>
        <w:rPr>
          <w:b/>
          <w:bCs/>
        </w:rPr>
        <w:tab/>
      </w:r>
      <w:r w:rsidR="00212ED6" w:rsidRPr="00E06FD0">
        <w:rPr>
          <w:b/>
          <w:bCs/>
        </w:rPr>
        <w:t>c)</w:t>
      </w:r>
      <w:r w:rsidR="00212ED6" w:rsidRPr="00E06FD0">
        <w:rPr>
          <w:b/>
          <w:bCs/>
        </w:rPr>
        <w:tab/>
      </w:r>
      <w:r w:rsidR="00212ED6">
        <w:rPr>
          <w:b/>
          <w:bCs/>
        </w:rPr>
        <w:t>обеспечить, чтобы процедуры отбора, назначения, продвижения по службе и увольнения судей и прокуроров соответствовали положениями Пакта и соответствующим международным стандартам, включая Основные принципы независимости судебных органов и Руководящие принципы, касающиеся роли лиц, осуществляющих судебное преследование</w:t>
      </w:r>
      <w:r w:rsidR="00955E04">
        <w:rPr>
          <w:b/>
          <w:bCs/>
        </w:rPr>
        <w:t>.</w:t>
      </w:r>
    </w:p>
    <w:p w14:paraId="7EA0C20F" w14:textId="77777777" w:rsidR="00212ED6" w:rsidRPr="002728E8" w:rsidRDefault="00212ED6" w:rsidP="00E06FD0">
      <w:pPr>
        <w:pStyle w:val="H23G"/>
      </w:pPr>
      <w:r>
        <w:tab/>
      </w:r>
      <w:r>
        <w:tab/>
      </w:r>
      <w:r>
        <w:tab/>
        <w:t xml:space="preserve">Торговля людьми и </w:t>
      </w:r>
      <w:r w:rsidRPr="00E06FD0">
        <w:t>принудительный</w:t>
      </w:r>
      <w:r>
        <w:t xml:space="preserve"> труд</w:t>
      </w:r>
    </w:p>
    <w:p w14:paraId="7841C842" w14:textId="424103FA" w:rsidR="00212ED6" w:rsidRPr="002728E8" w:rsidRDefault="00212ED6" w:rsidP="00E06FD0">
      <w:pPr>
        <w:pStyle w:val="SingleTxtG"/>
      </w:pPr>
      <w:r>
        <w:t>25.</w:t>
      </w:r>
      <w:r>
        <w:tab/>
        <w:t>Комитет приветствует усилия государства-участника по борьбе с торговлей людьми. Однако Комитет по-прежнему обеспокоен: a) распространением торговли людьми, особенно женщинами и детьми, для сексуальной эксплуатации в экономических и коммерческих целях; b) слабым правоприменением Закона о борьбе с торговлей людьми (2014 года); c) крайне низким уровнем расследований, судебных преследований и вынесения приговоров за преступление торговли людьми; d) мягкими наказаниями, назначаемыми торговцам людьми; низким уровнем работы по выявлению жертв. Комитет также обеспокоен сообщениями о принудительном и детском труде в скотоводстве, особенно затрагивающем детей из общины сан (статьи</w:t>
      </w:r>
      <w:r w:rsidR="00E06FD0">
        <w:rPr>
          <w:lang w:val="en-US"/>
        </w:rPr>
        <w:t> </w:t>
      </w:r>
      <w:r>
        <w:t>7</w:t>
      </w:r>
      <w:r w:rsidR="00E06FD0" w:rsidRPr="00E06FD0">
        <w:t>–</w:t>
      </w:r>
      <w:r>
        <w:t>8 и 24).</w:t>
      </w:r>
    </w:p>
    <w:p w14:paraId="0EAC9446" w14:textId="3A00380B" w:rsidR="00212ED6" w:rsidRPr="001C7A18" w:rsidRDefault="00212ED6" w:rsidP="00212ED6">
      <w:pPr>
        <w:pStyle w:val="ParaNoG"/>
        <w:numPr>
          <w:ilvl w:val="0"/>
          <w:numId w:val="0"/>
        </w:numPr>
        <w:tabs>
          <w:tab w:val="left" w:pos="0"/>
        </w:tabs>
        <w:ind w:left="1134"/>
        <w:rPr>
          <w:b/>
        </w:rPr>
      </w:pPr>
      <w:r>
        <w:t>26.</w:t>
      </w:r>
      <w:r>
        <w:tab/>
      </w:r>
      <w:r>
        <w:rPr>
          <w:b/>
          <w:bCs/>
        </w:rPr>
        <w:t>С учетом внесенной ранее Комитетом рекомендации</w:t>
      </w:r>
      <w:r w:rsidRPr="005C1FCD">
        <w:rPr>
          <w:rStyle w:val="aa"/>
        </w:rPr>
        <w:footnoteReference w:id="12"/>
      </w:r>
      <w:r>
        <w:rPr>
          <w:b/>
          <w:bCs/>
        </w:rPr>
        <w:t xml:space="preserve"> и памятуя о ней, государству-участнику следует:</w:t>
      </w:r>
    </w:p>
    <w:p w14:paraId="0DC1047E" w14:textId="53426B8E" w:rsidR="00212ED6" w:rsidRPr="002728E8" w:rsidRDefault="00E06FD0" w:rsidP="00212ED6">
      <w:pPr>
        <w:pStyle w:val="SingleTxtG"/>
        <w:rPr>
          <w:b/>
        </w:rPr>
      </w:pPr>
      <w:r>
        <w:tab/>
      </w:r>
      <w:r w:rsidR="00212ED6" w:rsidRPr="00E06FD0">
        <w:rPr>
          <w:b/>
          <w:bCs/>
        </w:rPr>
        <w:t>a)</w:t>
      </w:r>
      <w:r w:rsidR="00212ED6" w:rsidRPr="00E06FD0">
        <w:rPr>
          <w:b/>
          <w:bCs/>
        </w:rPr>
        <w:tab/>
      </w:r>
      <w:r w:rsidR="00212ED6">
        <w:rPr>
          <w:b/>
          <w:bCs/>
        </w:rPr>
        <w:t>наращивать свои усилия по эффективному предотвращению торговли людьми и борьбе с ней, в том числе путем обеспечения соблюдения и применения в полном объеме Закона о борьбе с торговлей людьми (2014 года);</w:t>
      </w:r>
    </w:p>
    <w:p w14:paraId="40D61F0E" w14:textId="36250958" w:rsidR="00212ED6" w:rsidRPr="002728E8" w:rsidRDefault="00E06FD0" w:rsidP="00212ED6">
      <w:pPr>
        <w:pStyle w:val="SingleTxtG"/>
        <w:rPr>
          <w:b/>
        </w:rPr>
      </w:pPr>
      <w:r>
        <w:tab/>
      </w:r>
      <w:r w:rsidR="00212ED6" w:rsidRPr="00E06FD0">
        <w:rPr>
          <w:b/>
          <w:bCs/>
        </w:rPr>
        <w:t xml:space="preserve">b) </w:t>
      </w:r>
      <w:r w:rsidR="00212ED6" w:rsidRPr="00E06FD0">
        <w:rPr>
          <w:b/>
          <w:bCs/>
        </w:rPr>
        <w:tab/>
      </w:r>
      <w:r w:rsidR="00212ED6">
        <w:rPr>
          <w:b/>
          <w:bCs/>
        </w:rPr>
        <w:t>обеспечить тщательное расследование всех случаев торговли людьми, привлечение к судебной ответственности виновных и назначение им надлежащих наказаний, а также предоставление жертвам полного возмещения;</w:t>
      </w:r>
    </w:p>
    <w:p w14:paraId="71722849" w14:textId="45E437E1" w:rsidR="00212ED6" w:rsidRPr="002728E8" w:rsidRDefault="00E06FD0" w:rsidP="00212ED6">
      <w:pPr>
        <w:pStyle w:val="SingleTxtG"/>
        <w:rPr>
          <w:b/>
          <w:shd w:val="clear" w:color="auto" w:fill="FFFFFF"/>
        </w:rPr>
      </w:pPr>
      <w:r>
        <w:lastRenderedPageBreak/>
        <w:tab/>
      </w:r>
      <w:r w:rsidR="00212ED6" w:rsidRPr="00E06FD0">
        <w:rPr>
          <w:b/>
          <w:bCs/>
        </w:rPr>
        <w:t xml:space="preserve">c) </w:t>
      </w:r>
      <w:r w:rsidR="00212ED6" w:rsidRPr="00E06FD0">
        <w:rPr>
          <w:b/>
          <w:bCs/>
        </w:rPr>
        <w:tab/>
      </w:r>
      <w:r w:rsidR="00212ED6">
        <w:rPr>
          <w:b/>
          <w:bCs/>
        </w:rPr>
        <w:t>удвоить свои усилия по выявлению жертв торговли людьми и обеспечить им защиту и помощь, включая доступ к приютам и надлежащим юридическим, медицинским и психологическим услугам;</w:t>
      </w:r>
    </w:p>
    <w:p w14:paraId="43806E4F" w14:textId="5F409471" w:rsidR="00212ED6" w:rsidRPr="002728E8" w:rsidRDefault="00E06FD0" w:rsidP="00212ED6">
      <w:pPr>
        <w:pStyle w:val="SingleTxtG"/>
        <w:rPr>
          <w:b/>
        </w:rPr>
      </w:pPr>
      <w:r>
        <w:tab/>
      </w:r>
      <w:r w:rsidR="00212ED6" w:rsidRPr="00E06FD0">
        <w:rPr>
          <w:b/>
          <w:bCs/>
        </w:rPr>
        <w:t>d)</w:t>
      </w:r>
      <w:r w:rsidR="00212ED6" w:rsidRPr="00E06FD0">
        <w:rPr>
          <w:b/>
          <w:bCs/>
        </w:rPr>
        <w:tab/>
      </w:r>
      <w:r w:rsidR="00212ED6">
        <w:rPr>
          <w:b/>
          <w:bCs/>
        </w:rPr>
        <w:t xml:space="preserve">предоставлять надлежащую подготовку, в том числе по стандартам и процедурам выявления и </w:t>
      </w:r>
      <w:r w:rsidR="00212ED6" w:rsidRPr="006D0D63">
        <w:rPr>
          <w:b/>
          <w:bCs/>
          <w:color w:val="333333"/>
          <w:sz w:val="21"/>
          <w:szCs w:val="21"/>
          <w:shd w:val="clear" w:color="auto" w:fill="FFFFFF"/>
        </w:rPr>
        <w:t>направления соответствующим службам жертв</w:t>
      </w:r>
      <w:r w:rsidR="00212ED6">
        <w:rPr>
          <w:b/>
          <w:bCs/>
        </w:rPr>
        <w:t xml:space="preserve"> торговли людьми, всем соответствующим государственным должностным лицам, включая судей, прокуроров, сотрудников правоохранительных органов, сотрудников иммиграционной службы и персонала, работающего во всех пунктах приема жертв, а также адвокатам;</w:t>
      </w:r>
    </w:p>
    <w:p w14:paraId="311494DB" w14:textId="4B8BADDC" w:rsidR="00212ED6" w:rsidRPr="002728E8" w:rsidRDefault="00E06FD0" w:rsidP="00212ED6">
      <w:pPr>
        <w:pStyle w:val="SingleTxtG"/>
        <w:rPr>
          <w:b/>
        </w:rPr>
      </w:pPr>
      <w:r>
        <w:tab/>
      </w:r>
      <w:r w:rsidR="00212ED6" w:rsidRPr="00E06FD0">
        <w:rPr>
          <w:b/>
          <w:bCs/>
        </w:rPr>
        <w:t xml:space="preserve">e) </w:t>
      </w:r>
      <w:r w:rsidR="00212ED6" w:rsidRPr="00E06FD0">
        <w:rPr>
          <w:b/>
          <w:bCs/>
        </w:rPr>
        <w:tab/>
      </w:r>
      <w:r w:rsidR="00212ED6">
        <w:rPr>
          <w:b/>
          <w:bCs/>
        </w:rPr>
        <w:t>наращивать усилия по искоренению принудительного труда и всех форм детского труда, особенно в сельскохозяйственном секторе, в том числе путем расширения трудовых инспекций.</w:t>
      </w:r>
    </w:p>
    <w:p w14:paraId="7D9F6C52" w14:textId="77777777" w:rsidR="00212ED6" w:rsidRPr="002728E8" w:rsidRDefault="00212ED6" w:rsidP="00E06FD0">
      <w:pPr>
        <w:pStyle w:val="H23G"/>
      </w:pPr>
      <w:r>
        <w:tab/>
      </w:r>
      <w:r>
        <w:tab/>
        <w:t xml:space="preserve">Право на справедливое судебное </w:t>
      </w:r>
      <w:r w:rsidRPr="00E06FD0">
        <w:t>разбирательство</w:t>
      </w:r>
    </w:p>
    <w:p w14:paraId="680B9307" w14:textId="488C7FC8" w:rsidR="00212ED6" w:rsidRPr="002728E8" w:rsidRDefault="00212ED6" w:rsidP="00212ED6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>
        <w:t>27.</w:t>
      </w:r>
      <w:r>
        <w:tab/>
        <w:t>Комитет приветствует создание организации «Правовая помощь</w:t>
      </w:r>
      <w:r w:rsidRPr="007D0939">
        <w:t xml:space="preserve"> </w:t>
      </w:r>
      <w:r>
        <w:t>в</w:t>
      </w:r>
      <w:r w:rsidRPr="007D0939">
        <w:t xml:space="preserve"> </w:t>
      </w:r>
      <w:r>
        <w:t>Ботсване». Однако он по-прежнему обеспокоен тем, что бесплатная правовая помощь предоставляется не по всем уголовным делам и что в статье 32 Закона о судах обычного права не содержится четких гарантий на участие защитника в судах обычного права. Он также обеспокоен отсутствием подготовки по Уголовному кодексу для традиционных вождей и администрации племен, хотя вынесение решений судами обычного права по уголовным делам должно основываться на Уголовном кодексе. Комитет сожалеет о том, что он не получил информацию о количестве апелляций, поданных в систему гражданских и уголовных судов на решения судов обычного права (статьи 2</w:t>
      </w:r>
      <w:r w:rsidR="00E06FD0" w:rsidRPr="00E06FD0">
        <w:t>–</w:t>
      </w:r>
      <w:r>
        <w:t>3 и 14).</w:t>
      </w:r>
    </w:p>
    <w:p w14:paraId="1F145C85" w14:textId="01DF7CF9" w:rsidR="00212ED6" w:rsidRPr="001C7A18" w:rsidRDefault="00212ED6" w:rsidP="00212ED6">
      <w:pPr>
        <w:pStyle w:val="ParaNoG"/>
        <w:numPr>
          <w:ilvl w:val="0"/>
          <w:numId w:val="0"/>
        </w:numPr>
        <w:tabs>
          <w:tab w:val="left" w:pos="0"/>
        </w:tabs>
        <w:ind w:left="1134"/>
        <w:rPr>
          <w:b/>
        </w:rPr>
      </w:pPr>
      <w:r>
        <w:t>28.</w:t>
      </w:r>
      <w:r>
        <w:tab/>
      </w:r>
      <w:r>
        <w:rPr>
          <w:b/>
          <w:bCs/>
        </w:rPr>
        <w:t>В свете в</w:t>
      </w:r>
      <w:r w:rsidR="000F2FD8">
        <w:rPr>
          <w:b/>
          <w:bCs/>
        </w:rPr>
        <w:t>ы</w:t>
      </w:r>
      <w:r>
        <w:rPr>
          <w:b/>
          <w:bCs/>
        </w:rPr>
        <w:t>несенных ранее Комитетом рекомендаций</w:t>
      </w:r>
      <w:r w:rsidRPr="005C1FCD">
        <w:rPr>
          <w:rStyle w:val="aa"/>
        </w:rPr>
        <w:footnoteReference w:id="13"/>
      </w:r>
      <w:r>
        <w:rPr>
          <w:b/>
          <w:bCs/>
        </w:rPr>
        <w:t xml:space="preserve"> и памятуя о них, государству-участнику следует:</w:t>
      </w:r>
    </w:p>
    <w:p w14:paraId="6B2E2026" w14:textId="510EF545" w:rsidR="00212ED6" w:rsidRPr="002728E8" w:rsidRDefault="00E06FD0" w:rsidP="00212ED6">
      <w:pPr>
        <w:pStyle w:val="SingleTxtG"/>
        <w:rPr>
          <w:b/>
          <w:bCs/>
        </w:rPr>
      </w:pPr>
      <w:r>
        <w:rPr>
          <w:b/>
          <w:bCs/>
        </w:rPr>
        <w:tab/>
      </w:r>
      <w:r w:rsidR="00212ED6" w:rsidRPr="00E06FD0">
        <w:rPr>
          <w:b/>
          <w:bCs/>
        </w:rPr>
        <w:t>a)</w:t>
      </w:r>
      <w:r w:rsidR="00212ED6" w:rsidRPr="00E06FD0">
        <w:rPr>
          <w:b/>
          <w:bCs/>
        </w:rPr>
        <w:tab/>
      </w:r>
      <w:r w:rsidR="00212ED6">
        <w:rPr>
          <w:b/>
          <w:bCs/>
        </w:rPr>
        <w:t xml:space="preserve">расширить мандат организации </w:t>
      </w:r>
      <w:r w:rsidR="00212ED6" w:rsidRPr="00B0213A">
        <w:rPr>
          <w:b/>
          <w:bCs/>
        </w:rPr>
        <w:t>«Правовая помощь в Ботсване»</w:t>
      </w:r>
      <w:r w:rsidR="00212ED6">
        <w:rPr>
          <w:b/>
          <w:bCs/>
        </w:rPr>
        <w:t>, с тем чтобы в соответствии с подпунктом 3 d) статьи 14 Пакта гарантировать участие защитника во всех уголовных делах для тех, кто не имеет достаточных средств для его оплаты защитника, особенно в случаях, когда этого требуют интересы правосудия;</w:t>
      </w:r>
    </w:p>
    <w:p w14:paraId="639436BB" w14:textId="73CDFA39" w:rsidR="00212ED6" w:rsidRPr="002728E8" w:rsidRDefault="00E06FD0" w:rsidP="00212ED6">
      <w:pPr>
        <w:pStyle w:val="SingleTxtG"/>
        <w:rPr>
          <w:b/>
          <w:bCs/>
        </w:rPr>
      </w:pPr>
      <w:r>
        <w:rPr>
          <w:b/>
          <w:bCs/>
        </w:rPr>
        <w:tab/>
      </w:r>
      <w:r w:rsidR="00212ED6" w:rsidRPr="00E06FD0">
        <w:rPr>
          <w:b/>
          <w:bCs/>
        </w:rPr>
        <w:t>b)</w:t>
      </w:r>
      <w:r w:rsidR="00212ED6" w:rsidRPr="00E06FD0">
        <w:rPr>
          <w:b/>
          <w:bCs/>
        </w:rPr>
        <w:tab/>
      </w:r>
      <w:r w:rsidR="00212ED6">
        <w:rPr>
          <w:b/>
          <w:bCs/>
        </w:rPr>
        <w:t>обеспечить, чтобы система обычного права и ее суды функционировали в соответствии со статьей 14 Пакта и пунктом 24 замечания общего порядка Комитета № 32 (2007)</w:t>
      </w:r>
      <w:r w:rsidR="00955E04">
        <w:rPr>
          <w:b/>
          <w:bCs/>
        </w:rPr>
        <w:t>,</w:t>
      </w:r>
      <w:r w:rsidR="00212ED6">
        <w:rPr>
          <w:b/>
          <w:bCs/>
        </w:rPr>
        <w:t xml:space="preserve"> и в частности гарантировать защиту в суде;</w:t>
      </w:r>
    </w:p>
    <w:p w14:paraId="4804978C" w14:textId="5FBFD2EA" w:rsidR="00212ED6" w:rsidRPr="002728E8" w:rsidRDefault="00E06FD0" w:rsidP="00212ED6">
      <w:pPr>
        <w:pStyle w:val="SingleTxtG"/>
        <w:rPr>
          <w:b/>
          <w:bCs/>
        </w:rPr>
      </w:pPr>
      <w:r>
        <w:rPr>
          <w:b/>
          <w:bCs/>
        </w:rPr>
        <w:tab/>
      </w:r>
      <w:r w:rsidR="00212ED6" w:rsidRPr="00E06FD0">
        <w:rPr>
          <w:b/>
          <w:bCs/>
        </w:rPr>
        <w:t>c)</w:t>
      </w:r>
      <w:r w:rsidR="00212ED6" w:rsidRPr="00E06FD0">
        <w:rPr>
          <w:b/>
          <w:bCs/>
        </w:rPr>
        <w:tab/>
      </w:r>
      <w:r w:rsidR="00212ED6">
        <w:rPr>
          <w:b/>
          <w:bCs/>
        </w:rPr>
        <w:t>предоставлять подготовку по Уголовному кодексу, Пакту и другим международным стандартам в области прав человека традиционным вождям и администрации племен, особенно судьям в судах обычного права;</w:t>
      </w:r>
    </w:p>
    <w:p w14:paraId="7336BA1C" w14:textId="5D0B4E79" w:rsidR="00212ED6" w:rsidRPr="002728E8" w:rsidRDefault="00E06FD0" w:rsidP="00212ED6">
      <w:pPr>
        <w:pStyle w:val="SingleTxtG"/>
        <w:rPr>
          <w:b/>
          <w:bCs/>
        </w:rPr>
      </w:pPr>
      <w:r>
        <w:rPr>
          <w:b/>
          <w:bCs/>
        </w:rPr>
        <w:tab/>
      </w:r>
      <w:r w:rsidR="00212ED6" w:rsidRPr="00E06FD0">
        <w:rPr>
          <w:b/>
          <w:bCs/>
        </w:rPr>
        <w:t>d)</w:t>
      </w:r>
      <w:r w:rsidR="00212ED6" w:rsidRPr="00E06FD0">
        <w:rPr>
          <w:b/>
          <w:bCs/>
        </w:rPr>
        <w:tab/>
      </w:r>
      <w:r w:rsidR="00212ED6">
        <w:rPr>
          <w:b/>
          <w:bCs/>
        </w:rPr>
        <w:t>повысить осведомленность населения о праве требовать передачи дела из судов обычного права в гражданские и уголовные суды, а также о праве обжаловать решения судов обычного права.</w:t>
      </w:r>
    </w:p>
    <w:p w14:paraId="158EC5BA" w14:textId="77777777" w:rsidR="00212ED6" w:rsidRPr="002728E8" w:rsidRDefault="00212ED6" w:rsidP="00E06FD0">
      <w:pPr>
        <w:pStyle w:val="H23G"/>
      </w:pPr>
      <w:r>
        <w:tab/>
      </w:r>
      <w:r>
        <w:tab/>
        <w:t>Обращение с беженцами, просителями убежища и предотвращение безгражданства</w:t>
      </w:r>
    </w:p>
    <w:p w14:paraId="2144264C" w14:textId="0B7CF130" w:rsidR="00212ED6" w:rsidRPr="002728E8" w:rsidRDefault="00212ED6" w:rsidP="00212ED6">
      <w:pPr>
        <w:pStyle w:val="ParaNoG"/>
        <w:numPr>
          <w:ilvl w:val="0"/>
          <w:numId w:val="0"/>
        </w:numPr>
        <w:tabs>
          <w:tab w:val="left" w:pos="0"/>
        </w:tabs>
        <w:ind w:left="1134"/>
        <w:rPr>
          <w:bCs/>
        </w:rPr>
      </w:pPr>
      <w:r>
        <w:t>29.</w:t>
      </w:r>
      <w:r>
        <w:tab/>
        <w:t xml:space="preserve">Приветствуя разработку законопроекта о беженцах (признание и контроль), Комитет обеспокоен: a) сообщениями о высылке мигрантов и просителей убежища, включая тех из них, кто нуждается в международной защите, без проведения необходимых индивидуальных оценок; b) сообщениями об отказах в выдаче удостоверений личности просителям убежища, которые подвергаются опасности ареста и высылки по причине отсутствия документов; c) сообщениями о том, что большинство неудовлетворенных ходатайств о предоставлении убежища были отклонены исключительно на основании понятий «первая страна убежища» или </w:t>
      </w:r>
      <w:r>
        <w:lastRenderedPageBreak/>
        <w:t xml:space="preserve">«безопасная третья страна»; d) сообщениями об обязательном и длительном содержании просителей убежища в Центре во Франсистауне и обязанности беженцев проживать в лагере в Дукви без доступа к рынку труда за пределами лагеря; </w:t>
      </w:r>
      <w:r w:rsidR="00E06FD0">
        <w:br/>
      </w:r>
      <w:r>
        <w:t xml:space="preserve">и e) тем фактом, что действующее законодательство, регулирующее вопросы гражданства, не обеспечивает достаточных гарантий для предотвращения безгражданства, в том числе по причине отсутствия в нем гарантий приобретение гражданства Ботсваны детьми, родившимися в Ботсване, или брошенными детьми, которые </w:t>
      </w:r>
      <w:r w:rsidRPr="00553262">
        <w:t xml:space="preserve">иначе </w:t>
      </w:r>
      <w:r>
        <w:t>стали</w:t>
      </w:r>
      <w:r w:rsidRPr="00553262">
        <w:t xml:space="preserve"> бы апатрид</w:t>
      </w:r>
      <w:r>
        <w:t>ами</w:t>
      </w:r>
      <w:r w:rsidRPr="00553262">
        <w:t xml:space="preserve"> </w:t>
      </w:r>
      <w:r>
        <w:t>(статьи 2, 7, 9</w:t>
      </w:r>
      <w:r w:rsidR="00E06FD0" w:rsidRPr="00E06FD0">
        <w:t>–</w:t>
      </w:r>
      <w:r>
        <w:t>10, 13 и 24).</w:t>
      </w:r>
    </w:p>
    <w:p w14:paraId="4E7DEE27" w14:textId="77777777" w:rsidR="00212ED6" w:rsidRPr="002728E8" w:rsidRDefault="00212ED6" w:rsidP="00212ED6">
      <w:pPr>
        <w:pStyle w:val="ParaNoG"/>
        <w:numPr>
          <w:ilvl w:val="0"/>
          <w:numId w:val="0"/>
        </w:numPr>
        <w:tabs>
          <w:tab w:val="left" w:pos="0"/>
        </w:tabs>
        <w:ind w:left="1134"/>
        <w:rPr>
          <w:b/>
          <w:bCs/>
        </w:rPr>
      </w:pPr>
      <w:r>
        <w:t>30.</w:t>
      </w:r>
      <w:r>
        <w:tab/>
      </w:r>
      <w:r>
        <w:rPr>
          <w:b/>
          <w:bCs/>
        </w:rPr>
        <w:t>Государству-участнику следует:</w:t>
      </w:r>
    </w:p>
    <w:p w14:paraId="50261F04" w14:textId="533D7B0E" w:rsidR="00212ED6" w:rsidRPr="002728E8" w:rsidRDefault="00E06FD0" w:rsidP="00212ED6">
      <w:pPr>
        <w:pStyle w:val="SingleTxtG"/>
        <w:rPr>
          <w:b/>
          <w:bCs/>
        </w:rPr>
      </w:pPr>
      <w:r>
        <w:rPr>
          <w:b/>
          <w:bCs/>
        </w:rPr>
        <w:tab/>
      </w:r>
      <w:r w:rsidR="00212ED6" w:rsidRPr="00E06FD0">
        <w:rPr>
          <w:b/>
          <w:bCs/>
        </w:rPr>
        <w:t>a)</w:t>
      </w:r>
      <w:r w:rsidR="00212ED6" w:rsidRPr="00E06FD0">
        <w:rPr>
          <w:b/>
          <w:bCs/>
        </w:rPr>
        <w:tab/>
      </w:r>
      <w:r w:rsidR="00212ED6">
        <w:rPr>
          <w:b/>
          <w:bCs/>
        </w:rPr>
        <w:t>обеспечить полное соответствие законопроекта о беженцах (признание и контроль) Пакту и соответствующим международным стандартам, в том числе путем дальнейшего сотрудничества и взаимодействия с Управлением Верховного комиссара ООН по делам беженцев на всех этапах процесса его разработки;</w:t>
      </w:r>
    </w:p>
    <w:p w14:paraId="6180B5EA" w14:textId="78A69FE6" w:rsidR="00212ED6" w:rsidRPr="002728E8" w:rsidRDefault="00E06FD0" w:rsidP="00212ED6">
      <w:pPr>
        <w:pStyle w:val="SingleTxtG"/>
        <w:rPr>
          <w:b/>
          <w:bCs/>
        </w:rPr>
      </w:pPr>
      <w:r>
        <w:rPr>
          <w:b/>
          <w:bCs/>
        </w:rPr>
        <w:tab/>
      </w:r>
      <w:r w:rsidR="00212ED6" w:rsidRPr="00E06FD0">
        <w:rPr>
          <w:b/>
          <w:bCs/>
        </w:rPr>
        <w:t>b)</w:t>
      </w:r>
      <w:r w:rsidR="00212ED6" w:rsidRPr="00E06FD0">
        <w:rPr>
          <w:b/>
          <w:bCs/>
        </w:rPr>
        <w:tab/>
      </w:r>
      <w:r w:rsidR="00212ED6">
        <w:rPr>
          <w:b/>
          <w:bCs/>
        </w:rPr>
        <w:t>установить соответствующие международным стандартам справедливые и эффективные процедуры предоставления убежища, включающие независимый механизм обжалования с приостанавливающим действием в отношении отрицательных решений о предоставлении убежища и предусматривающие достаточные гарантии против произвольного задержания, депортации и неправомерной высылки;</w:t>
      </w:r>
    </w:p>
    <w:p w14:paraId="21CFCD91" w14:textId="2B513643" w:rsidR="00212ED6" w:rsidRPr="002728E8" w:rsidRDefault="00E06FD0" w:rsidP="00212ED6">
      <w:pPr>
        <w:pStyle w:val="SingleTxtG"/>
        <w:rPr>
          <w:b/>
          <w:bCs/>
        </w:rPr>
      </w:pPr>
      <w:r>
        <w:rPr>
          <w:b/>
          <w:bCs/>
        </w:rPr>
        <w:tab/>
      </w:r>
      <w:r w:rsidR="00212ED6" w:rsidRPr="00E06FD0">
        <w:rPr>
          <w:b/>
          <w:bCs/>
        </w:rPr>
        <w:t>c)</w:t>
      </w:r>
      <w:r w:rsidR="00212ED6" w:rsidRPr="00E06FD0">
        <w:rPr>
          <w:b/>
          <w:bCs/>
        </w:rPr>
        <w:tab/>
      </w:r>
      <w:r w:rsidR="00212ED6">
        <w:rPr>
          <w:b/>
          <w:bCs/>
        </w:rPr>
        <w:t>обеспечить, чтобы задержание просителей убежища производилось только в качестве крайней меры, и приять меры, альтернативные задержанию детей и семей с детьми;</w:t>
      </w:r>
    </w:p>
    <w:p w14:paraId="3C0DFB4F" w14:textId="659B7DFB" w:rsidR="00212ED6" w:rsidRPr="002728E8" w:rsidRDefault="00E06FD0" w:rsidP="00212ED6">
      <w:pPr>
        <w:pStyle w:val="SingleTxtG"/>
        <w:rPr>
          <w:b/>
          <w:bCs/>
        </w:rPr>
      </w:pPr>
      <w:r>
        <w:rPr>
          <w:b/>
          <w:bCs/>
        </w:rPr>
        <w:tab/>
      </w:r>
      <w:r w:rsidR="00212ED6" w:rsidRPr="00E06FD0">
        <w:rPr>
          <w:b/>
          <w:bCs/>
        </w:rPr>
        <w:t>d)</w:t>
      </w:r>
      <w:r w:rsidR="00212ED6" w:rsidRPr="00E06FD0">
        <w:rPr>
          <w:b/>
          <w:bCs/>
        </w:rPr>
        <w:tab/>
      </w:r>
      <w:r w:rsidR="00212ED6">
        <w:rPr>
          <w:b/>
          <w:bCs/>
        </w:rPr>
        <w:t>своевременно выдавать и продлевать удостоверения личности просителям убежища в целях предотвращения их произвольного подхода к их задержанию и депортации;</w:t>
      </w:r>
    </w:p>
    <w:p w14:paraId="7F6ED20C" w14:textId="5CC6206D" w:rsidR="00212ED6" w:rsidRPr="002728E8" w:rsidRDefault="00E06FD0" w:rsidP="00212ED6">
      <w:pPr>
        <w:pStyle w:val="SingleTxtG"/>
        <w:rPr>
          <w:b/>
          <w:bCs/>
        </w:rPr>
      </w:pPr>
      <w:r>
        <w:rPr>
          <w:b/>
          <w:bCs/>
        </w:rPr>
        <w:tab/>
      </w:r>
      <w:r w:rsidR="00212ED6" w:rsidRPr="00E06FD0">
        <w:rPr>
          <w:b/>
          <w:bCs/>
        </w:rPr>
        <w:t>e)</w:t>
      </w:r>
      <w:r w:rsidR="00212ED6" w:rsidRPr="00E06FD0">
        <w:rPr>
          <w:b/>
          <w:bCs/>
        </w:rPr>
        <w:tab/>
      </w:r>
      <w:r w:rsidR="00212ED6">
        <w:rPr>
          <w:b/>
          <w:bCs/>
        </w:rPr>
        <w:t>принять необходимые законодательные меры для обеспечения включения в законодательство надлежащих гарантий в целях предотвращения безгражданства в соответствии с международными стандартами</w:t>
      </w:r>
      <w:r w:rsidR="005D0BDE">
        <w:rPr>
          <w:b/>
          <w:bCs/>
        </w:rPr>
        <w:t>;</w:t>
      </w:r>
    </w:p>
    <w:p w14:paraId="597D1A15" w14:textId="52F48F1D" w:rsidR="00212ED6" w:rsidRPr="002728E8" w:rsidRDefault="00E06FD0" w:rsidP="00212ED6">
      <w:pPr>
        <w:pStyle w:val="SingleTxtG"/>
        <w:rPr>
          <w:b/>
          <w:bCs/>
        </w:rPr>
      </w:pPr>
      <w:r>
        <w:rPr>
          <w:b/>
          <w:bCs/>
        </w:rPr>
        <w:tab/>
      </w:r>
      <w:r w:rsidR="00212ED6" w:rsidRPr="00E06FD0">
        <w:rPr>
          <w:b/>
          <w:bCs/>
        </w:rPr>
        <w:t>f)</w:t>
      </w:r>
      <w:r w:rsidR="00212ED6" w:rsidRPr="00E06FD0">
        <w:rPr>
          <w:b/>
          <w:bCs/>
        </w:rPr>
        <w:tab/>
      </w:r>
      <w:r w:rsidR="00212ED6">
        <w:rPr>
          <w:b/>
          <w:bCs/>
        </w:rPr>
        <w:t>рассмотреть возможность ратификации Конвенции 1961 года о сокращении безгражданства и снятия оговорки к Конвенции 1951 года о статусе беженцев.</w:t>
      </w:r>
    </w:p>
    <w:p w14:paraId="2F5E7E0F" w14:textId="77777777" w:rsidR="00212ED6" w:rsidRPr="002728E8" w:rsidRDefault="00212ED6" w:rsidP="00E06FD0">
      <w:pPr>
        <w:pStyle w:val="H23G"/>
      </w:pPr>
      <w:r>
        <w:tab/>
      </w:r>
      <w:r>
        <w:tab/>
        <w:t xml:space="preserve">Наблюдение и право на неприкосновенность частной </w:t>
      </w:r>
      <w:r w:rsidRPr="00E06FD0">
        <w:t>жизни</w:t>
      </w:r>
    </w:p>
    <w:p w14:paraId="5716C48A" w14:textId="77777777" w:rsidR="00212ED6" w:rsidRPr="002728E8" w:rsidRDefault="00212ED6" w:rsidP="00212ED6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>
        <w:t>31.</w:t>
      </w:r>
      <w:r>
        <w:tab/>
        <w:t>Комитет обеспокоен сообщениями об усилении мониторинга онлайновой деятельности и интрузивном использовании методов сбора информации государственными службами безопасности и разведки, в том числе в рамках чрезвычайных мер по борьбе с COVID-19, а также отсутствием механизмов надзора и достаточных гарантий против произвольного вмешательства в право на частную жизнь в связи с деятельностью государственных органов по наблюдению и перехвату информации (статья 17).</w:t>
      </w:r>
    </w:p>
    <w:p w14:paraId="1F7EB9BA" w14:textId="77777777" w:rsidR="00212ED6" w:rsidRPr="002728E8" w:rsidRDefault="00212ED6" w:rsidP="00212ED6">
      <w:pPr>
        <w:pStyle w:val="ParaNoG"/>
        <w:numPr>
          <w:ilvl w:val="0"/>
          <w:numId w:val="0"/>
        </w:numPr>
        <w:tabs>
          <w:tab w:val="left" w:pos="0"/>
        </w:tabs>
        <w:ind w:left="1134"/>
        <w:rPr>
          <w:b/>
          <w:bCs/>
          <w:shd w:val="clear" w:color="auto" w:fill="FFFFFF"/>
        </w:rPr>
      </w:pPr>
      <w:r>
        <w:t>32.</w:t>
      </w:r>
      <w:r>
        <w:tab/>
      </w:r>
      <w:r>
        <w:rPr>
          <w:b/>
          <w:bCs/>
        </w:rPr>
        <w:t>Государству участнику следует обеспечить, чтобы:</w:t>
      </w:r>
    </w:p>
    <w:p w14:paraId="5BA7D502" w14:textId="5B7EFDC5" w:rsidR="00212ED6" w:rsidRPr="002728E8" w:rsidRDefault="00E06FD0" w:rsidP="00212ED6">
      <w:pPr>
        <w:pStyle w:val="SingleTxtG"/>
        <w:rPr>
          <w:b/>
          <w:bCs/>
        </w:rPr>
      </w:pPr>
      <w:r>
        <w:rPr>
          <w:b/>
          <w:bCs/>
        </w:rPr>
        <w:tab/>
      </w:r>
      <w:r w:rsidR="00212ED6" w:rsidRPr="00E06FD0">
        <w:rPr>
          <w:b/>
          <w:bCs/>
        </w:rPr>
        <w:t xml:space="preserve">a) </w:t>
      </w:r>
      <w:r w:rsidR="00212ED6" w:rsidRPr="00E06FD0">
        <w:rPr>
          <w:b/>
          <w:bCs/>
        </w:rPr>
        <w:tab/>
      </w:r>
      <w:r w:rsidR="00212ED6">
        <w:rPr>
          <w:b/>
          <w:bCs/>
        </w:rPr>
        <w:t xml:space="preserve">все виды деятельности по наблюдению и вмешательству </w:t>
      </w:r>
      <w:r w:rsidR="005D0BDE">
        <w:rPr>
          <w:b/>
          <w:bCs/>
        </w:rPr>
        <w:br/>
      </w:r>
      <w:r w:rsidR="00212ED6">
        <w:rPr>
          <w:b/>
          <w:bCs/>
        </w:rPr>
        <w:t xml:space="preserve">в частную жизнь, включая наблюдение в режиме онлайн, перехват сообщений, доступ к </w:t>
      </w:r>
      <w:r w:rsidR="00212ED6" w:rsidRPr="00E24ACE">
        <w:rPr>
          <w:b/>
          <w:bCs/>
          <w:color w:val="333333"/>
          <w:sz w:val="21"/>
          <w:szCs w:val="21"/>
          <w:shd w:val="clear" w:color="auto" w:fill="FFFFFF"/>
        </w:rPr>
        <w:t>передаваемым данным</w:t>
      </w:r>
      <w:r w:rsidR="00212ED6">
        <w:rPr>
          <w:b/>
          <w:bCs/>
        </w:rPr>
        <w:t xml:space="preserve"> и извлечение данных, регулировались соответствующим законодательством, отвечающим положениям Пакта, в частности статье 17, а также принципам законности, соразмерности и необходимости;</w:t>
      </w:r>
    </w:p>
    <w:p w14:paraId="50A38FA8" w14:textId="61CF5E27" w:rsidR="00212ED6" w:rsidRPr="002728E8" w:rsidRDefault="00E06FD0" w:rsidP="00212ED6">
      <w:pPr>
        <w:pStyle w:val="SingleTxtG"/>
        <w:rPr>
          <w:b/>
          <w:bCs/>
        </w:rPr>
      </w:pPr>
      <w:r>
        <w:rPr>
          <w:b/>
          <w:bCs/>
        </w:rPr>
        <w:tab/>
      </w:r>
      <w:r w:rsidR="00212ED6" w:rsidRPr="00E06FD0">
        <w:rPr>
          <w:b/>
          <w:bCs/>
        </w:rPr>
        <w:t xml:space="preserve">b) </w:t>
      </w:r>
      <w:r w:rsidR="00212ED6" w:rsidRPr="00E06FD0">
        <w:rPr>
          <w:b/>
          <w:bCs/>
        </w:rPr>
        <w:tab/>
      </w:r>
      <w:r w:rsidR="00212ED6" w:rsidRPr="00E76E2B">
        <w:rPr>
          <w:b/>
          <w:bCs/>
        </w:rPr>
        <w:t>деятельность по</w:t>
      </w:r>
      <w:r w:rsidR="00212ED6">
        <w:t xml:space="preserve"> </w:t>
      </w:r>
      <w:r w:rsidR="00212ED6">
        <w:rPr>
          <w:b/>
          <w:bCs/>
        </w:rPr>
        <w:t>наблюдению и перехвату данных производил</w:t>
      </w:r>
      <w:r w:rsidR="005D0BDE">
        <w:rPr>
          <w:b/>
          <w:bCs/>
        </w:rPr>
        <w:t>а</w:t>
      </w:r>
      <w:r w:rsidR="00212ED6">
        <w:rPr>
          <w:b/>
          <w:bCs/>
        </w:rPr>
        <w:t>сь только с разрешения суда и под надзором эффективных и независимых механизмов и чтобы затрагиваемые лица имели надлежащий доступ к эффективным средствам правовой защиты в случае нарушения их прав.</w:t>
      </w:r>
    </w:p>
    <w:p w14:paraId="2DCB0962" w14:textId="77777777" w:rsidR="00212ED6" w:rsidRPr="002728E8" w:rsidRDefault="00212ED6" w:rsidP="00212ED6">
      <w:pPr>
        <w:pStyle w:val="H23G"/>
        <w:spacing w:before="0" w:line="240" w:lineRule="atLeast"/>
      </w:pPr>
      <w:r>
        <w:lastRenderedPageBreak/>
        <w:tab/>
      </w:r>
      <w:r>
        <w:tab/>
      </w:r>
      <w:r>
        <w:rPr>
          <w:bCs/>
        </w:rPr>
        <w:t>Свобода выражения мнений</w:t>
      </w:r>
    </w:p>
    <w:p w14:paraId="6133B6E9" w14:textId="5DFEA146" w:rsidR="00212ED6" w:rsidRPr="002728E8" w:rsidRDefault="00212ED6" w:rsidP="00212ED6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>
        <w:t>33.</w:t>
      </w:r>
      <w:r>
        <w:tab/>
        <w:t>Комитет обеспокоен тем, что положения внутреннего права, возможно, неоправданно ограничивают свободу выражения мнений и доступ к информации. Такие положения присутствуют в Законе о национальной безопасности, Законе о подстрекательстве к мятежу, Законе о работниках органов СМИ (2008 года), Законе о киберпреступности и связанных с ней преступлениях, статьях 90</w:t>
      </w:r>
      <w:r w:rsidR="00C0672E" w:rsidRPr="00C0672E">
        <w:t>–</w:t>
      </w:r>
      <w:r>
        <w:t>91, 93 и 192</w:t>
      </w:r>
      <w:r w:rsidR="00C0672E" w:rsidRPr="00C0672E">
        <w:t>–</w:t>
      </w:r>
      <w:r>
        <w:t>199 Уголовного кодекса и Законе о чрезвычайных полномочиях, который был принят в период пандемии COVID-19. Комитет также обеспокоен тем, что в государстве-участнике по-прежнему криминализирована диффамация и что во внутреннем законодательстве нет конкретных положений, защищающих журналистов и правозащитников при выполнении ими своих обязанностей. В этой связи Комитет обеспокоен сообщениями о неоправданном давлении со стороны правительства, арестах, пытках и нападениях на представителей политической оппозиции, журналистов, правозащитников и других лиц, критикующих правительство, что может отрицательно сказаться на гражданском пространстве (статья 19).</w:t>
      </w:r>
    </w:p>
    <w:p w14:paraId="17FCFF55" w14:textId="77777777" w:rsidR="00212ED6" w:rsidRPr="002728E8" w:rsidRDefault="00212ED6" w:rsidP="00212ED6">
      <w:pPr>
        <w:pStyle w:val="ParaNoG"/>
        <w:keepNext/>
        <w:numPr>
          <w:ilvl w:val="0"/>
          <w:numId w:val="0"/>
        </w:numPr>
        <w:tabs>
          <w:tab w:val="left" w:pos="0"/>
        </w:tabs>
        <w:ind w:left="1134"/>
        <w:rPr>
          <w:b/>
          <w:bCs/>
        </w:rPr>
      </w:pPr>
      <w:r>
        <w:t>34.</w:t>
      </w:r>
      <w:r>
        <w:tab/>
      </w:r>
      <w:r>
        <w:rPr>
          <w:b/>
          <w:bCs/>
        </w:rPr>
        <w:t>Государству-участнику следует:</w:t>
      </w:r>
    </w:p>
    <w:p w14:paraId="5FDC2EED" w14:textId="32B67673" w:rsidR="00212ED6" w:rsidRPr="002728E8" w:rsidRDefault="00C0672E" w:rsidP="00212ED6">
      <w:pPr>
        <w:pStyle w:val="SingleTxtG"/>
        <w:rPr>
          <w:b/>
          <w:bCs/>
        </w:rPr>
      </w:pPr>
      <w:r>
        <w:rPr>
          <w:b/>
          <w:bCs/>
        </w:rPr>
        <w:tab/>
      </w:r>
      <w:r w:rsidR="00212ED6" w:rsidRPr="00C0672E">
        <w:rPr>
          <w:b/>
          <w:bCs/>
        </w:rPr>
        <w:t>a)</w:t>
      </w:r>
      <w:r w:rsidR="00212ED6" w:rsidRPr="00C0672E">
        <w:rPr>
          <w:b/>
          <w:bCs/>
        </w:rPr>
        <w:tab/>
      </w:r>
      <w:r w:rsidR="00212ED6">
        <w:rPr>
          <w:b/>
          <w:bCs/>
        </w:rPr>
        <w:t>пересмотреть национальное законодательство, которое, возможно, необоснованно ограничивает право на свободу выражения мнений, включая вышеупомянутые законы, с целью приведения их в соответствие со своими обязательствами по Пакту и принимая во внимание также замечание общего порядка № 34 (2011 года) Комитета;</w:t>
      </w:r>
    </w:p>
    <w:p w14:paraId="1D012C24" w14:textId="538FBDDD" w:rsidR="00212ED6" w:rsidRPr="002728E8" w:rsidRDefault="00C0672E" w:rsidP="00212ED6">
      <w:pPr>
        <w:pStyle w:val="SingleTxtG"/>
        <w:rPr>
          <w:b/>
          <w:bCs/>
        </w:rPr>
      </w:pPr>
      <w:r>
        <w:rPr>
          <w:b/>
          <w:bCs/>
        </w:rPr>
        <w:tab/>
      </w:r>
      <w:r w:rsidR="00212ED6" w:rsidRPr="00C0672E">
        <w:rPr>
          <w:b/>
          <w:bCs/>
        </w:rPr>
        <w:t>b)</w:t>
      </w:r>
      <w:r w:rsidR="00212ED6" w:rsidRPr="00C0672E">
        <w:rPr>
          <w:b/>
          <w:bCs/>
        </w:rPr>
        <w:tab/>
      </w:r>
      <w:r w:rsidR="00212ED6">
        <w:rPr>
          <w:b/>
          <w:bCs/>
        </w:rPr>
        <w:t>обеспечить, чтобы любые ограничения на осуществление свободы выражения мнений соответствовали жестким требованиям пункта 3 статьи 19 Пакта;</w:t>
      </w:r>
    </w:p>
    <w:p w14:paraId="51072616" w14:textId="5A20920E" w:rsidR="00212ED6" w:rsidRPr="002728E8" w:rsidRDefault="00C0672E" w:rsidP="00212ED6">
      <w:pPr>
        <w:pStyle w:val="SingleTxtG"/>
        <w:rPr>
          <w:b/>
          <w:bCs/>
        </w:rPr>
      </w:pPr>
      <w:r>
        <w:rPr>
          <w:b/>
          <w:bCs/>
        </w:rPr>
        <w:tab/>
      </w:r>
      <w:r w:rsidR="00212ED6" w:rsidRPr="00C0672E">
        <w:rPr>
          <w:b/>
          <w:bCs/>
        </w:rPr>
        <w:t>c)</w:t>
      </w:r>
      <w:r w:rsidR="00212ED6" w:rsidRPr="00C0672E">
        <w:rPr>
          <w:b/>
          <w:bCs/>
        </w:rPr>
        <w:tab/>
      </w:r>
      <w:r w:rsidR="00212ED6">
        <w:rPr>
          <w:b/>
          <w:bCs/>
        </w:rPr>
        <w:t>рассмотреть вопрос о декриминализации диффамации и в любом случае прибегать к уголовному праву только в самых серьезных случаях, памятуя о том, что тюремное заключение никогда не является надлежащим наказанием за диффамацию, как это предусмотрено в замечании общего порядка</w:t>
      </w:r>
      <w:r>
        <w:rPr>
          <w:b/>
          <w:bCs/>
          <w:lang w:val="en-US"/>
        </w:rPr>
        <w:t> </w:t>
      </w:r>
      <w:r w:rsidR="00212ED6">
        <w:rPr>
          <w:b/>
          <w:bCs/>
        </w:rPr>
        <w:t>№ 34</w:t>
      </w:r>
      <w:r w:rsidR="005D0BDE">
        <w:rPr>
          <w:b/>
          <w:bCs/>
        </w:rPr>
        <w:t>;</w:t>
      </w:r>
    </w:p>
    <w:p w14:paraId="1A4CFF00" w14:textId="0E9F5045" w:rsidR="00212ED6" w:rsidRPr="002728E8" w:rsidRDefault="00C0672E" w:rsidP="00212ED6">
      <w:pPr>
        <w:pStyle w:val="SingleTxtG"/>
        <w:rPr>
          <w:b/>
          <w:bCs/>
        </w:rPr>
      </w:pPr>
      <w:r>
        <w:rPr>
          <w:b/>
          <w:bCs/>
        </w:rPr>
        <w:tab/>
      </w:r>
      <w:r w:rsidR="00212ED6" w:rsidRPr="00C0672E">
        <w:rPr>
          <w:b/>
          <w:bCs/>
        </w:rPr>
        <w:t xml:space="preserve">d) </w:t>
      </w:r>
      <w:r w:rsidR="00212ED6" w:rsidRPr="00C0672E">
        <w:rPr>
          <w:b/>
          <w:bCs/>
        </w:rPr>
        <w:tab/>
      </w:r>
      <w:r w:rsidR="00212ED6">
        <w:rPr>
          <w:b/>
          <w:bCs/>
        </w:rPr>
        <w:t>защищать журналистов и правозащитников и расследовать все случаи преследования, произвольных арестов и задержаний в их отношении, преследовать и наказывать виновных, а также предоставлять жертвам полное возмещение ущерба.</w:t>
      </w:r>
    </w:p>
    <w:p w14:paraId="16DF50C9" w14:textId="77777777" w:rsidR="00212ED6" w:rsidRPr="002728E8" w:rsidRDefault="00212ED6" w:rsidP="00C0672E">
      <w:pPr>
        <w:pStyle w:val="H23G"/>
      </w:pPr>
      <w:r>
        <w:tab/>
      </w:r>
      <w:r>
        <w:tab/>
      </w:r>
      <w:r>
        <w:tab/>
        <w:t xml:space="preserve">Мирные </w:t>
      </w:r>
      <w:r w:rsidRPr="00C0672E">
        <w:t>собрания</w:t>
      </w:r>
    </w:p>
    <w:p w14:paraId="102AE1D3" w14:textId="77777777" w:rsidR="00212ED6" w:rsidRPr="002728E8" w:rsidRDefault="00212ED6" w:rsidP="00212ED6">
      <w:pPr>
        <w:pStyle w:val="ParaNoG"/>
        <w:numPr>
          <w:ilvl w:val="0"/>
          <w:numId w:val="0"/>
        </w:numPr>
        <w:tabs>
          <w:tab w:val="left" w:pos="0"/>
        </w:tabs>
        <w:ind w:left="1134"/>
        <w:rPr>
          <w:bCs/>
        </w:rPr>
      </w:pPr>
      <w:r>
        <w:t>35.</w:t>
      </w:r>
      <w:r>
        <w:tab/>
        <w:t>Комитет обеспокоен по поводу того, что в соответствии с Законом об общественном порядке необходимо получать разрешение органов полиции на проведение собрания, а также сообщениями о том, что это требование на практике используется для отказа в разрешении на проведение мирных собраний. Комитет также обеспокоен сообщениями о применении чрезмерной силы для разгона протестов, а также о произвольном задержании и аресте правозащитников за осуществление ими своего права на мирные собрания (статьи 7, 9 и 21).</w:t>
      </w:r>
    </w:p>
    <w:p w14:paraId="582614F9" w14:textId="1C4E903A" w:rsidR="00212ED6" w:rsidRPr="002728E8" w:rsidRDefault="00212ED6" w:rsidP="00212ED6">
      <w:pPr>
        <w:pStyle w:val="ParaNoG"/>
        <w:numPr>
          <w:ilvl w:val="0"/>
          <w:numId w:val="0"/>
        </w:numPr>
        <w:tabs>
          <w:tab w:val="left" w:pos="0"/>
        </w:tabs>
        <w:ind w:left="1134"/>
        <w:rPr>
          <w:b/>
          <w:bCs/>
        </w:rPr>
      </w:pPr>
      <w:r>
        <w:t>36.</w:t>
      </w:r>
      <w:r>
        <w:tab/>
      </w:r>
      <w:r>
        <w:rPr>
          <w:b/>
          <w:bCs/>
        </w:rPr>
        <w:t>Памятуя о замечании общего порядка № 37 (2020 года) Комитета, государству-участнику следует привести все регулирующие мирные собрания законы и виды практики, в частности Закон об общественном порядке, в полное соответствие с Пактом и обеспечить, чтобы любые введенные ограничения соответствовали содержащимся в нем жестким требованиям.</w:t>
      </w:r>
      <w:r>
        <w:t xml:space="preserve"> </w:t>
      </w:r>
      <w:r>
        <w:rPr>
          <w:b/>
          <w:bCs/>
        </w:rPr>
        <w:t xml:space="preserve">Ему следует </w:t>
      </w:r>
      <w:r w:rsidR="00C0672E">
        <w:rPr>
          <w:b/>
          <w:bCs/>
        </w:rPr>
        <w:br/>
      </w:r>
      <w:r>
        <w:rPr>
          <w:b/>
          <w:bCs/>
        </w:rPr>
        <w:t xml:space="preserve">также эффективно расследовать все случаи насилия, произвольных </w:t>
      </w:r>
      <w:r w:rsidR="00C0672E">
        <w:rPr>
          <w:b/>
          <w:bCs/>
        </w:rPr>
        <w:br/>
      </w:r>
      <w:r>
        <w:rPr>
          <w:b/>
          <w:bCs/>
        </w:rPr>
        <w:t>арестов и задержания участников мирных акций протеста и привлекать виновных к судебной ответственности.</w:t>
      </w:r>
      <w:r>
        <w:t xml:space="preserve"> </w:t>
      </w:r>
      <w:r>
        <w:rPr>
          <w:b/>
          <w:bCs/>
        </w:rPr>
        <w:t>Применение силы сотрудниками правоохранительных органов во время мирных собраний должно быть приведено в соответствие с Руководством Организации Объединенных Наций по правам человека при применении менее смертоносного оружия в правоохранительной деятельности и Основными принципами применения силы и огнестрельного оружия должностными лицами по поддержанию правопорядка.</w:t>
      </w:r>
    </w:p>
    <w:p w14:paraId="47FF6C93" w14:textId="77777777" w:rsidR="00212ED6" w:rsidRPr="002728E8" w:rsidRDefault="00212ED6" w:rsidP="00C0672E">
      <w:pPr>
        <w:pStyle w:val="H23G"/>
      </w:pPr>
      <w:r>
        <w:lastRenderedPageBreak/>
        <w:tab/>
      </w:r>
      <w:r>
        <w:tab/>
      </w:r>
      <w:r>
        <w:tab/>
        <w:t xml:space="preserve">Права меньшинств и </w:t>
      </w:r>
      <w:r w:rsidRPr="00C0672E">
        <w:t>коренных</w:t>
      </w:r>
      <w:r>
        <w:t xml:space="preserve"> народов</w:t>
      </w:r>
    </w:p>
    <w:p w14:paraId="2CF50E42" w14:textId="642C0A2C" w:rsidR="00212ED6" w:rsidRPr="002728E8" w:rsidRDefault="00212ED6" w:rsidP="00212ED6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>
        <w:t>37.</w:t>
      </w:r>
      <w:r>
        <w:tab/>
        <w:t xml:space="preserve">Комитет обеспокоен по поводу трудностей, с которыми сталкиваются меньшинства и коренных общины в доступе к услугам общего пользования, включая медицинское обслуживание и образование, в осуществлении своих прав на свои традиционные земли и природные ресурсы, а также в осуществлении своих языковых прав. В частности, он обеспокоен тем, что: a) населявшие территории </w:t>
      </w:r>
      <w:r w:rsidRPr="00F02ED2">
        <w:rPr>
          <w:color w:val="333333"/>
          <w:sz w:val="21"/>
          <w:szCs w:val="21"/>
          <w:shd w:val="clear" w:color="auto" w:fill="FFFFFF"/>
        </w:rPr>
        <w:t>охотничьего заповедника Сентрал-Калахари</w:t>
      </w:r>
      <w:r>
        <w:rPr>
          <w:color w:val="333333"/>
          <w:sz w:val="21"/>
          <w:szCs w:val="21"/>
          <w:shd w:val="clear" w:color="auto" w:fill="FFFFFF"/>
        </w:rPr>
        <w:t xml:space="preserve"> группы</w:t>
      </w:r>
      <w:r>
        <w:t xml:space="preserve">, в частности басарва и бакгалагади, которые не были заявителями в деле </w:t>
      </w:r>
      <w:r w:rsidRPr="006E0C58">
        <w:rPr>
          <w:i/>
          <w:iCs/>
        </w:rPr>
        <w:t>Рой Сесана и др</w:t>
      </w:r>
      <w:r>
        <w:rPr>
          <w:i/>
          <w:iCs/>
        </w:rPr>
        <w:t>угие</w:t>
      </w:r>
      <w:r w:rsidRPr="006E0C58">
        <w:rPr>
          <w:i/>
          <w:iCs/>
        </w:rPr>
        <w:t xml:space="preserve"> против Генерального прокурора</w:t>
      </w:r>
      <w:r>
        <w:t xml:space="preserve">, обязаны получать разрешение на </w:t>
      </w:r>
      <w:r w:rsidR="0031149D">
        <w:t>подступ</w:t>
      </w:r>
      <w:r>
        <w:t xml:space="preserve"> в заповедник; b) дети, принадлежащие к группам меньшинств из отдаленных районов, особенно дети басарва, для получения начального образования помещаются в общежития, расположенные на большом удалении от их семей, которые, как сообщается, являются небезопасными и в которых в некоторых случаях отсутствует доступ к воде или электричеству; c) языки, отличные от английского языка и языка тсвана, запрещены для использования в теле- и радиовещании, частных печатных СМИ и на частных радиостанциях; d) в Законе о регулировании коммуникаций (2012 года) отсутствуют положения о местном общинном вещании и что, по сообщениям, местным общинным радиостанциям было отказано в выдаче лицензий; и e) согласно Конституции, представители меньшинств, не владеющие английским языком, не имеют права быть избранными в Национальную ассамблею (статьи 2, 19 и 25</w:t>
      </w:r>
      <w:r w:rsidR="00C0672E" w:rsidRPr="005D0BDE">
        <w:t>–</w:t>
      </w:r>
      <w:r>
        <w:t>27).</w:t>
      </w:r>
      <w:bookmarkStart w:id="2" w:name="_Hlk88649306"/>
      <w:bookmarkEnd w:id="2"/>
    </w:p>
    <w:p w14:paraId="5030BF0F" w14:textId="088F3911" w:rsidR="00212ED6" w:rsidRPr="001C7A18" w:rsidRDefault="00212ED6" w:rsidP="00212ED6">
      <w:pPr>
        <w:pStyle w:val="ParaNoG"/>
        <w:numPr>
          <w:ilvl w:val="0"/>
          <w:numId w:val="0"/>
        </w:numPr>
        <w:tabs>
          <w:tab w:val="left" w:pos="0"/>
        </w:tabs>
        <w:ind w:left="1134"/>
        <w:rPr>
          <w:b/>
          <w:bCs/>
        </w:rPr>
      </w:pPr>
      <w:r>
        <w:t>38.</w:t>
      </w:r>
      <w:r>
        <w:tab/>
      </w:r>
      <w:r>
        <w:rPr>
          <w:b/>
          <w:bCs/>
        </w:rPr>
        <w:t>В свете ранее вынесенной Комитетом рекомендации</w:t>
      </w:r>
      <w:r w:rsidRPr="005C1FCD">
        <w:rPr>
          <w:rStyle w:val="aa"/>
        </w:rPr>
        <w:footnoteReference w:id="14"/>
      </w:r>
      <w:r>
        <w:rPr>
          <w:b/>
          <w:bCs/>
        </w:rPr>
        <w:t xml:space="preserve"> и памятуя о ней, государству-участнику следует:</w:t>
      </w:r>
    </w:p>
    <w:p w14:paraId="791E8E6B" w14:textId="795F2E05" w:rsidR="00212ED6" w:rsidRPr="002728E8" w:rsidRDefault="0031149D" w:rsidP="00212ED6">
      <w:pPr>
        <w:pStyle w:val="SingleTxtG"/>
        <w:rPr>
          <w:b/>
        </w:rPr>
      </w:pPr>
      <w:r>
        <w:rPr>
          <w:b/>
          <w:bCs/>
        </w:rPr>
        <w:tab/>
      </w:r>
      <w:r w:rsidR="00212ED6" w:rsidRPr="0031149D">
        <w:rPr>
          <w:b/>
          <w:bCs/>
        </w:rPr>
        <w:t>a)</w:t>
      </w:r>
      <w:r w:rsidR="00212ED6" w:rsidRPr="0031149D">
        <w:rPr>
          <w:b/>
          <w:bCs/>
        </w:rPr>
        <w:tab/>
      </w:r>
      <w:r w:rsidR="00212ED6">
        <w:rPr>
          <w:b/>
          <w:bCs/>
        </w:rPr>
        <w:t>обеспечить поощрение, защиту и признание прав меньшинств и коренных общин, особенно в отношении их традиционных земель, природных ресурсов и языковых прав, в том числе путем разработки и принятия специального законодательства с целью гарантировать осуществление ими без дискриминации прав, закрепленных в Пакте;</w:t>
      </w:r>
    </w:p>
    <w:p w14:paraId="244A9543" w14:textId="53755F2A" w:rsidR="00212ED6" w:rsidRPr="002728E8" w:rsidRDefault="0031149D" w:rsidP="00212ED6">
      <w:pPr>
        <w:pStyle w:val="SingleTxtG"/>
        <w:rPr>
          <w:b/>
        </w:rPr>
      </w:pPr>
      <w:r>
        <w:rPr>
          <w:b/>
          <w:bCs/>
        </w:rPr>
        <w:tab/>
      </w:r>
      <w:r w:rsidR="00212ED6" w:rsidRPr="0031149D">
        <w:rPr>
          <w:b/>
          <w:bCs/>
        </w:rPr>
        <w:t xml:space="preserve">b) </w:t>
      </w:r>
      <w:r w:rsidR="00212ED6" w:rsidRPr="0031149D">
        <w:rPr>
          <w:b/>
          <w:bCs/>
        </w:rPr>
        <w:tab/>
      </w:r>
      <w:r w:rsidR="00212ED6">
        <w:rPr>
          <w:b/>
          <w:bCs/>
        </w:rPr>
        <w:t>обеспечить последовательное и эффективное применение принципа свободного, предварительного и осознанного согласия до начала любой деятельности по освоению ресурсов или иной деятельности на землях, традиционно используемых, занимаемых или принадлежащих меньшинствам и коренным общинам;</w:t>
      </w:r>
    </w:p>
    <w:p w14:paraId="5C4CDE84" w14:textId="58D0B715" w:rsidR="00212ED6" w:rsidRPr="002728E8" w:rsidRDefault="0031149D" w:rsidP="00212ED6">
      <w:pPr>
        <w:pStyle w:val="SingleTxtG"/>
        <w:rPr>
          <w:rFonts w:eastAsia="Calibri"/>
          <w:b/>
        </w:rPr>
      </w:pPr>
      <w:r>
        <w:rPr>
          <w:b/>
          <w:bCs/>
        </w:rPr>
        <w:tab/>
      </w:r>
      <w:r w:rsidR="00212ED6" w:rsidRPr="0031149D">
        <w:rPr>
          <w:b/>
          <w:bCs/>
        </w:rPr>
        <w:t xml:space="preserve">c) </w:t>
      </w:r>
      <w:r w:rsidR="00212ED6" w:rsidRPr="0031149D">
        <w:rPr>
          <w:b/>
          <w:bCs/>
        </w:rPr>
        <w:tab/>
      </w:r>
      <w:r w:rsidR="00212ED6">
        <w:rPr>
          <w:b/>
          <w:bCs/>
        </w:rPr>
        <w:t xml:space="preserve">обеспечить, чтобы в отношении нынешних и бывших жителей </w:t>
      </w:r>
      <w:r w:rsidR="00212ED6" w:rsidRPr="00B50B05">
        <w:rPr>
          <w:b/>
          <w:bCs/>
          <w:color w:val="333333"/>
          <w:sz w:val="21"/>
          <w:szCs w:val="21"/>
          <w:shd w:val="clear" w:color="auto" w:fill="FFFFFF"/>
        </w:rPr>
        <w:t>охотничьего заповедника Сентрал-Калахари</w:t>
      </w:r>
      <w:r w:rsidR="00212ED6">
        <w:rPr>
          <w:b/>
          <w:bCs/>
        </w:rPr>
        <w:t xml:space="preserve">, включая тех, кто не был заявителем в деле </w:t>
      </w:r>
      <w:r w:rsidR="00212ED6" w:rsidRPr="00B50B05">
        <w:rPr>
          <w:b/>
          <w:bCs/>
          <w:i/>
          <w:iCs/>
        </w:rPr>
        <w:t>Рой Сесана и другие против Генерального прокурора</w:t>
      </w:r>
      <w:r w:rsidR="00212ED6">
        <w:rPr>
          <w:b/>
          <w:bCs/>
        </w:rPr>
        <w:t>, не вводились никакие ограничения на их возвращение в заповедник и пребывание в нем;</w:t>
      </w:r>
      <w:bookmarkStart w:id="3" w:name="_Hlk88649398"/>
    </w:p>
    <w:bookmarkEnd w:id="3"/>
    <w:p w14:paraId="0C014A1E" w14:textId="5A0C7EE3" w:rsidR="00212ED6" w:rsidRPr="002728E8" w:rsidRDefault="0031149D" w:rsidP="00212ED6">
      <w:pPr>
        <w:pStyle w:val="SingleTxtG"/>
        <w:rPr>
          <w:b/>
        </w:rPr>
      </w:pPr>
      <w:r>
        <w:rPr>
          <w:b/>
          <w:bCs/>
        </w:rPr>
        <w:tab/>
      </w:r>
      <w:r w:rsidR="00212ED6" w:rsidRPr="0031149D">
        <w:rPr>
          <w:b/>
          <w:bCs/>
        </w:rPr>
        <w:t xml:space="preserve">d) </w:t>
      </w:r>
      <w:r w:rsidR="00212ED6" w:rsidRPr="0031149D">
        <w:rPr>
          <w:b/>
          <w:bCs/>
        </w:rPr>
        <w:tab/>
      </w:r>
      <w:r w:rsidR="00212ED6">
        <w:rPr>
          <w:b/>
          <w:bCs/>
        </w:rPr>
        <w:t>пересмотреть практику помещения в общежития детей, принадлежащих к группам меньшинств из отдаленных районов, в период получения ими образования и изыскать подходящие альтернативные решения;</w:t>
      </w:r>
    </w:p>
    <w:p w14:paraId="28852469" w14:textId="2C6CB7A3" w:rsidR="00212ED6" w:rsidRPr="002728E8" w:rsidRDefault="0031149D" w:rsidP="00212ED6">
      <w:pPr>
        <w:pStyle w:val="SingleTxtG"/>
        <w:rPr>
          <w:rFonts w:eastAsia="Calibri"/>
          <w:b/>
        </w:rPr>
      </w:pPr>
      <w:r>
        <w:rPr>
          <w:b/>
          <w:bCs/>
        </w:rPr>
        <w:tab/>
      </w:r>
      <w:r w:rsidR="00212ED6" w:rsidRPr="0031149D">
        <w:rPr>
          <w:b/>
          <w:bCs/>
        </w:rPr>
        <w:t>e)</w:t>
      </w:r>
      <w:r w:rsidR="00212ED6" w:rsidRPr="0031149D">
        <w:rPr>
          <w:b/>
          <w:bCs/>
        </w:rPr>
        <w:tab/>
      </w:r>
      <w:r w:rsidR="00212ED6">
        <w:rPr>
          <w:b/>
          <w:bCs/>
        </w:rPr>
        <w:t>обеспечить, чтобы коренные общины могли выражаться на своих языках и пропагандировать свою культуру, в том числе в теле- и радиовещании, частных печатных СМИ и на частных радиостанциях.</w:t>
      </w:r>
    </w:p>
    <w:p w14:paraId="16D29CE0" w14:textId="6A862BA5" w:rsidR="00212ED6" w:rsidRPr="002728E8" w:rsidRDefault="00212ED6" w:rsidP="00212ED6">
      <w:pPr>
        <w:pStyle w:val="ParaNoG"/>
        <w:numPr>
          <w:ilvl w:val="0"/>
          <w:numId w:val="0"/>
        </w:numPr>
        <w:tabs>
          <w:tab w:val="left" w:pos="0"/>
        </w:tabs>
        <w:ind w:left="1134"/>
      </w:pPr>
      <w:r>
        <w:t>39.</w:t>
      </w:r>
      <w:r>
        <w:tab/>
        <w:t>Комитет обеспокоен в связи с тем, что, несмотря на внесенные в законодательство поправки, действующие правила назначения в состав «Нтло я дикгоси» (Палата вождей) не гарантируют справедливого представительства племен помимо тсвана</w:t>
      </w:r>
      <w:r w:rsidR="005D0BDE">
        <w:t>,</w:t>
      </w:r>
      <w:r>
        <w:t xml:space="preserve"> и в частности тем, что: a) Конституцией по-прежнему предоставляется предпочтительный статус племенам тсвана и де-факто автоматическое назначение их вождей в «Нтло я дикгоси»; и b) только несколько племен помимо тсвана были признаны в соответствии с Законом Богоси от 2008 года (статьи 25</w:t>
      </w:r>
      <w:r w:rsidR="0031149D" w:rsidRPr="0031149D">
        <w:t>–</w:t>
      </w:r>
      <w:r>
        <w:t>27).</w:t>
      </w:r>
    </w:p>
    <w:p w14:paraId="28D8F0DA" w14:textId="77777777" w:rsidR="00212ED6" w:rsidRPr="002728E8" w:rsidRDefault="00212ED6" w:rsidP="00212ED6">
      <w:pPr>
        <w:pStyle w:val="ParaNoG"/>
        <w:numPr>
          <w:ilvl w:val="0"/>
          <w:numId w:val="0"/>
        </w:numPr>
        <w:tabs>
          <w:tab w:val="left" w:pos="0"/>
        </w:tabs>
        <w:ind w:left="1134"/>
        <w:rPr>
          <w:b/>
          <w:bCs/>
        </w:rPr>
      </w:pPr>
      <w:r>
        <w:lastRenderedPageBreak/>
        <w:t>40.</w:t>
      </w:r>
      <w:r>
        <w:tab/>
      </w:r>
      <w:r w:rsidRPr="00F50004">
        <w:rPr>
          <w:b/>
          <w:bCs/>
          <w:color w:val="333333"/>
          <w:sz w:val="21"/>
          <w:szCs w:val="21"/>
          <w:shd w:val="clear" w:color="auto" w:fill="FFFFFF"/>
        </w:rPr>
        <w:t>С учетом предыдущей рекомендации Комитета</w:t>
      </w:r>
      <w:r w:rsidRPr="0031149D">
        <w:rPr>
          <w:rStyle w:val="aa"/>
        </w:rPr>
        <w:footnoteReference w:id="15"/>
      </w:r>
      <w:r w:rsidRPr="00F50004">
        <w:rPr>
          <w:b/>
          <w:bCs/>
        </w:rPr>
        <w:t xml:space="preserve"> </w:t>
      </w:r>
      <w:r>
        <w:rPr>
          <w:b/>
          <w:bCs/>
        </w:rPr>
        <w:t xml:space="preserve">государству-участнику следует принять все необходимые законодательные меры для отмены любого дискриминационного элемента в назначении и представительстве племен в «Нтло я дикгоси» и обеспечить справедливое представительство </w:t>
      </w:r>
      <w:r w:rsidRPr="00F50004">
        <w:rPr>
          <w:b/>
          <w:bCs/>
        </w:rPr>
        <w:t xml:space="preserve">племен </w:t>
      </w:r>
      <w:r>
        <w:rPr>
          <w:b/>
          <w:bCs/>
        </w:rPr>
        <w:t xml:space="preserve">в этом органе </w:t>
      </w:r>
      <w:r w:rsidRPr="00F50004">
        <w:rPr>
          <w:b/>
          <w:bCs/>
        </w:rPr>
        <w:t>помимо тсвана</w:t>
      </w:r>
      <w:r>
        <w:rPr>
          <w:b/>
          <w:bCs/>
        </w:rPr>
        <w:t>.</w:t>
      </w:r>
    </w:p>
    <w:p w14:paraId="259CACDE" w14:textId="4BF8DB55" w:rsidR="00212ED6" w:rsidRPr="002728E8" w:rsidRDefault="0031149D" w:rsidP="0031149D">
      <w:pPr>
        <w:pStyle w:val="H1G"/>
        <w:rPr>
          <w:rFonts w:eastAsiaTheme="minorEastAsia"/>
        </w:rPr>
      </w:pPr>
      <w:r>
        <w:tab/>
      </w:r>
      <w:r w:rsidR="00212ED6">
        <w:t>D.</w:t>
      </w:r>
      <w:r w:rsidR="00212ED6">
        <w:tab/>
      </w:r>
      <w:r w:rsidR="00212ED6">
        <w:tab/>
        <w:t>Распространение информации и последующая деятельность</w:t>
      </w:r>
    </w:p>
    <w:p w14:paraId="06A09A0B" w14:textId="77777777" w:rsidR="00212ED6" w:rsidRPr="002728E8" w:rsidRDefault="00212ED6" w:rsidP="00212ED6">
      <w:pPr>
        <w:pStyle w:val="ParaNoG"/>
        <w:numPr>
          <w:ilvl w:val="0"/>
          <w:numId w:val="0"/>
        </w:numPr>
        <w:tabs>
          <w:tab w:val="left" w:pos="0"/>
        </w:tabs>
        <w:ind w:left="1134"/>
        <w:rPr>
          <w:b/>
          <w:bCs/>
        </w:rPr>
      </w:pPr>
      <w:r>
        <w:t>41.</w:t>
      </w:r>
      <w:r>
        <w:tab/>
      </w:r>
      <w:r>
        <w:rPr>
          <w:b/>
          <w:bCs/>
        </w:rPr>
        <w:t>Государству-участнику следует обеспечить широкое распространение Пакта, своего второго периодического доклада и настоящих заключительных замечаний, с тем чтобы повысить уровень осведомленности о закрепленных в Пакте правах среди представителей судебных, законодательных и административных органов, гражданского общества и действующих в стране неправительственных организаций, а также широкой общественности.</w:t>
      </w:r>
      <w:r>
        <w:t xml:space="preserve"> </w:t>
      </w:r>
      <w:r>
        <w:rPr>
          <w:b/>
          <w:bCs/>
        </w:rPr>
        <w:t>Государству-участнику следует обеспечить перевод периодического доклада и настоящих заключительных замечаний на официальные языки государства-участника.</w:t>
      </w:r>
    </w:p>
    <w:p w14:paraId="5A423FDB" w14:textId="204543FE" w:rsidR="00212ED6" w:rsidRPr="002728E8" w:rsidRDefault="00212ED6" w:rsidP="00212ED6">
      <w:pPr>
        <w:pStyle w:val="ParaNoG"/>
        <w:numPr>
          <w:ilvl w:val="0"/>
          <w:numId w:val="0"/>
        </w:numPr>
        <w:tabs>
          <w:tab w:val="left" w:pos="0"/>
        </w:tabs>
        <w:ind w:left="1134"/>
        <w:rPr>
          <w:b/>
          <w:bCs/>
        </w:rPr>
      </w:pPr>
      <w:r>
        <w:t>42.</w:t>
      </w:r>
      <w:r>
        <w:tab/>
      </w:r>
      <w:r>
        <w:rPr>
          <w:b/>
          <w:bCs/>
        </w:rPr>
        <w:t>В соответствии с пунктом 1 правила 75 правил процедуры Комитета государству-участнику предлагается представить к 5 ноября 2024 года информацию о выполнении им рекомендаций Комитета, изложенных в пунктах</w:t>
      </w:r>
      <w:r w:rsidR="0031149D">
        <w:rPr>
          <w:b/>
          <w:bCs/>
          <w:lang w:val="en-US"/>
        </w:rPr>
        <w:t> </w:t>
      </w:r>
      <w:r>
        <w:rPr>
          <w:b/>
          <w:bCs/>
        </w:rPr>
        <w:t>22 (</w:t>
      </w:r>
      <w:r w:rsidRPr="001A5280">
        <w:rPr>
          <w:b/>
        </w:rPr>
        <w:t>свобода и личная неприкосновенность</w:t>
      </w:r>
      <w:r>
        <w:rPr>
          <w:b/>
          <w:bCs/>
        </w:rPr>
        <w:t>), 26 (торговля людьми и принудительный труд) и 30 (о</w:t>
      </w:r>
      <w:r w:rsidRPr="00B16BCC">
        <w:rPr>
          <w:b/>
          <w:bCs/>
        </w:rPr>
        <w:t>бращение с беженцами, просителями убежища и предотвращение безгражданства</w:t>
      </w:r>
      <w:r>
        <w:rPr>
          <w:b/>
          <w:bCs/>
        </w:rPr>
        <w:t>) выше.</w:t>
      </w:r>
    </w:p>
    <w:p w14:paraId="3A98A6AD" w14:textId="77777777" w:rsidR="00212ED6" w:rsidRPr="002728E8" w:rsidRDefault="00212ED6" w:rsidP="00212ED6">
      <w:pPr>
        <w:pStyle w:val="ParaNoG"/>
        <w:numPr>
          <w:ilvl w:val="0"/>
          <w:numId w:val="0"/>
        </w:numPr>
        <w:tabs>
          <w:tab w:val="left" w:pos="0"/>
        </w:tabs>
        <w:ind w:left="1134"/>
        <w:rPr>
          <w:b/>
          <w:bCs/>
        </w:rPr>
      </w:pPr>
      <w:r>
        <w:t>43.</w:t>
      </w:r>
      <w:r>
        <w:tab/>
      </w:r>
      <w:r>
        <w:rPr>
          <w:b/>
          <w:bCs/>
        </w:rPr>
        <w:t>В соответствии с прогнозируемым циклом обзора Комитета государство-участник получит в 2027 году перечень вопросов Комитета до представления доклада и должно будет представить в течение одного года свои ответы на перечень вопросов, которые и будут представлять собой его третий периодический доклад.</w:t>
      </w:r>
      <w:r>
        <w:t xml:space="preserve"> </w:t>
      </w:r>
      <w:r>
        <w:rPr>
          <w:b/>
          <w:bCs/>
        </w:rPr>
        <w:t>Комитет также просит государство-участник при подготовке своего доклада провести широкие консультации с представителями гражданского общества и действующих в стране неправительственных организаций.</w:t>
      </w:r>
      <w:r>
        <w:t xml:space="preserve"> </w:t>
      </w:r>
      <w:r>
        <w:rPr>
          <w:b/>
          <w:bCs/>
        </w:rPr>
        <w:t>В соответствии с резолюцией 68/268 Генеральной Ассамблеи объем доклада не должен превышать 21 200 слов.</w:t>
      </w:r>
      <w:r>
        <w:t xml:space="preserve"> </w:t>
      </w:r>
      <w:r>
        <w:rPr>
          <w:b/>
          <w:bCs/>
        </w:rPr>
        <w:t>Следующий конструктивный диалог с государством-участником состоится в 2029 году в Женеве.</w:t>
      </w:r>
    </w:p>
    <w:p w14:paraId="0D3F06D4" w14:textId="77777777" w:rsidR="00212ED6" w:rsidRPr="002728E8" w:rsidRDefault="00212ED6" w:rsidP="00212ED6">
      <w:pPr>
        <w:spacing w:after="120"/>
        <w:jc w:val="center"/>
        <w:rPr>
          <w:u w:val="single"/>
        </w:rPr>
      </w:pPr>
      <w:r w:rsidRPr="002728E8">
        <w:rPr>
          <w:u w:val="single"/>
        </w:rPr>
        <w:tab/>
      </w:r>
      <w:r w:rsidRPr="002728E8">
        <w:rPr>
          <w:u w:val="single"/>
        </w:rPr>
        <w:tab/>
      </w:r>
      <w:r w:rsidRPr="002728E8">
        <w:rPr>
          <w:u w:val="single"/>
        </w:rPr>
        <w:tab/>
      </w:r>
    </w:p>
    <w:sectPr w:rsidR="00212ED6" w:rsidRPr="002728E8" w:rsidSect="00212ED6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1AF52" w14:textId="77777777" w:rsidR="00DF7FF1" w:rsidRPr="00A312BC" w:rsidRDefault="00DF7FF1" w:rsidP="00A312BC"/>
  </w:endnote>
  <w:endnote w:type="continuationSeparator" w:id="0">
    <w:p w14:paraId="2D039E51" w14:textId="77777777" w:rsidR="00DF7FF1" w:rsidRPr="00A312BC" w:rsidRDefault="00DF7FF1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86783" w14:textId="00BA2C84" w:rsidR="00212ED6" w:rsidRPr="00212ED6" w:rsidRDefault="00212ED6">
    <w:pPr>
      <w:pStyle w:val="a8"/>
    </w:pPr>
    <w:r w:rsidRPr="00212ED6">
      <w:rPr>
        <w:b/>
        <w:sz w:val="18"/>
      </w:rPr>
      <w:fldChar w:fldCharType="begin"/>
    </w:r>
    <w:r w:rsidRPr="00212ED6">
      <w:rPr>
        <w:b/>
        <w:sz w:val="18"/>
      </w:rPr>
      <w:instrText xml:space="preserve"> PAGE  \* MERGEFORMAT </w:instrText>
    </w:r>
    <w:r w:rsidRPr="00212ED6">
      <w:rPr>
        <w:b/>
        <w:sz w:val="18"/>
      </w:rPr>
      <w:fldChar w:fldCharType="separate"/>
    </w:r>
    <w:r w:rsidRPr="00212ED6">
      <w:rPr>
        <w:b/>
        <w:noProof/>
        <w:sz w:val="18"/>
      </w:rPr>
      <w:t>2</w:t>
    </w:r>
    <w:r w:rsidRPr="00212ED6">
      <w:rPr>
        <w:b/>
        <w:sz w:val="18"/>
      </w:rPr>
      <w:fldChar w:fldCharType="end"/>
    </w:r>
    <w:r>
      <w:rPr>
        <w:b/>
        <w:sz w:val="18"/>
      </w:rPr>
      <w:tab/>
    </w:r>
    <w:r>
      <w:t>GE.21-17289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1B66B" w14:textId="635CC140" w:rsidR="00212ED6" w:rsidRPr="00212ED6" w:rsidRDefault="00212ED6" w:rsidP="00212ED6">
    <w:pPr>
      <w:pStyle w:val="a8"/>
      <w:tabs>
        <w:tab w:val="clear" w:pos="9639"/>
        <w:tab w:val="right" w:pos="9638"/>
      </w:tabs>
      <w:rPr>
        <w:b/>
        <w:sz w:val="18"/>
      </w:rPr>
    </w:pPr>
    <w:r>
      <w:t>GE.21-17289</w:t>
    </w:r>
    <w:r>
      <w:tab/>
    </w:r>
    <w:r w:rsidRPr="00212ED6">
      <w:rPr>
        <w:b/>
        <w:sz w:val="18"/>
      </w:rPr>
      <w:fldChar w:fldCharType="begin"/>
    </w:r>
    <w:r w:rsidRPr="00212ED6">
      <w:rPr>
        <w:b/>
        <w:sz w:val="18"/>
      </w:rPr>
      <w:instrText xml:space="preserve"> PAGE  \* MERGEFORMAT </w:instrText>
    </w:r>
    <w:r w:rsidRPr="00212ED6">
      <w:rPr>
        <w:b/>
        <w:sz w:val="18"/>
      </w:rPr>
      <w:fldChar w:fldCharType="separate"/>
    </w:r>
    <w:r w:rsidRPr="00212ED6">
      <w:rPr>
        <w:b/>
        <w:noProof/>
        <w:sz w:val="18"/>
      </w:rPr>
      <w:t>3</w:t>
    </w:r>
    <w:r w:rsidRPr="00212ED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3ECE8" w14:textId="551F5A4E" w:rsidR="00042B72" w:rsidRPr="00212ED6" w:rsidRDefault="00212ED6" w:rsidP="00212ED6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35EA1663" wp14:editId="711758A5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21-17289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6D448833" wp14:editId="42B44E2E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280122  040222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0007B" w14:textId="77777777" w:rsidR="00DF7FF1" w:rsidRPr="001075E9" w:rsidRDefault="00DF7FF1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DBC52BF" w14:textId="77777777" w:rsidR="00DF7FF1" w:rsidRDefault="00DF7FF1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421E7CF6" w14:textId="1B8B2290" w:rsidR="00212ED6" w:rsidRPr="002728E8" w:rsidRDefault="00212ED6" w:rsidP="00212ED6">
      <w:pPr>
        <w:pStyle w:val="ad"/>
      </w:pPr>
      <w:r>
        <w:tab/>
      </w:r>
      <w:r w:rsidRPr="00E06FD0">
        <w:rPr>
          <w:sz w:val="20"/>
        </w:rPr>
        <w:t>*</w:t>
      </w:r>
      <w:r>
        <w:tab/>
        <w:t>Приняты Комитетом на его 1</w:t>
      </w:r>
      <w:r w:rsidRPr="00CB12A2">
        <w:t>33</w:t>
      </w:r>
      <w:r>
        <w:t>-й сессии (</w:t>
      </w:r>
      <w:r w:rsidRPr="00CB12A2">
        <w:t xml:space="preserve">11 </w:t>
      </w:r>
      <w:r>
        <w:t xml:space="preserve">октября </w:t>
      </w:r>
      <w:r w:rsidR="00E06FD0" w:rsidRPr="00E06FD0">
        <w:t>—</w:t>
      </w:r>
      <w:r>
        <w:t xml:space="preserve"> 5 ноября 2021 года).</w:t>
      </w:r>
    </w:p>
  </w:footnote>
  <w:footnote w:id="2">
    <w:p w14:paraId="26ACB1E6" w14:textId="45F39DB1" w:rsidR="00212ED6" w:rsidRPr="002728E8" w:rsidRDefault="00212ED6" w:rsidP="00212ED6">
      <w:pPr>
        <w:pStyle w:val="ad"/>
      </w:pPr>
      <w:r w:rsidRPr="003A439E">
        <w:tab/>
      </w:r>
      <w:r w:rsidRPr="003A439E">
        <w:rPr>
          <w:rStyle w:val="aa"/>
        </w:rPr>
        <w:footnoteRef/>
      </w:r>
      <w:r>
        <w:t xml:space="preserve"> </w:t>
      </w:r>
      <w:r>
        <w:tab/>
      </w:r>
      <w:hyperlink r:id="rId1" w:history="1">
        <w:r w:rsidRPr="00C2792E">
          <w:rPr>
            <w:rStyle w:val="af1"/>
          </w:rPr>
          <w:t>CCPR/C/BWA/2</w:t>
        </w:r>
      </w:hyperlink>
      <w:r>
        <w:t>.</w:t>
      </w:r>
    </w:p>
  </w:footnote>
  <w:footnote w:id="3">
    <w:p w14:paraId="4A3197CD" w14:textId="21D2EA28" w:rsidR="00212ED6" w:rsidRPr="002728E8" w:rsidRDefault="00212ED6" w:rsidP="00212ED6">
      <w:pPr>
        <w:pStyle w:val="ad"/>
      </w:pPr>
      <w:r w:rsidRPr="003A439E">
        <w:tab/>
      </w:r>
      <w:r w:rsidRPr="003A439E">
        <w:rPr>
          <w:rStyle w:val="aa"/>
        </w:rPr>
        <w:footnoteRef/>
      </w:r>
      <w:r>
        <w:t xml:space="preserve"> </w:t>
      </w:r>
      <w:r>
        <w:tab/>
        <w:t xml:space="preserve">См. </w:t>
      </w:r>
      <w:hyperlink r:id="rId2" w:history="1">
        <w:r w:rsidRPr="00C2792E">
          <w:rPr>
            <w:rStyle w:val="af1"/>
          </w:rPr>
          <w:t>CCPR/C/SR.3815</w:t>
        </w:r>
      </w:hyperlink>
      <w:r>
        <w:t xml:space="preserve"> и </w:t>
      </w:r>
      <w:hyperlink r:id="rId3" w:history="1">
        <w:r w:rsidRPr="00C2792E">
          <w:rPr>
            <w:rStyle w:val="af1"/>
          </w:rPr>
          <w:t>CCPR/C/SR.3816</w:t>
        </w:r>
      </w:hyperlink>
      <w:r>
        <w:t>.</w:t>
      </w:r>
    </w:p>
  </w:footnote>
  <w:footnote w:id="4">
    <w:p w14:paraId="6B9965BE" w14:textId="3488CC4B" w:rsidR="00212ED6" w:rsidRPr="002728E8" w:rsidRDefault="00212ED6" w:rsidP="00212ED6">
      <w:pPr>
        <w:pStyle w:val="ad"/>
      </w:pPr>
      <w:r w:rsidRPr="003A439E">
        <w:tab/>
      </w:r>
      <w:r w:rsidRPr="003A439E">
        <w:rPr>
          <w:rStyle w:val="aa"/>
        </w:rPr>
        <w:footnoteRef/>
      </w:r>
      <w:r>
        <w:t xml:space="preserve"> </w:t>
      </w:r>
      <w:r>
        <w:tab/>
      </w:r>
      <w:hyperlink r:id="rId4" w:history="1">
        <w:r w:rsidRPr="00C2792E">
          <w:rPr>
            <w:rStyle w:val="af1"/>
          </w:rPr>
          <w:t>CCPR/C/BWA/QPR/2</w:t>
        </w:r>
      </w:hyperlink>
      <w:r>
        <w:t>.</w:t>
      </w:r>
    </w:p>
  </w:footnote>
  <w:footnote w:id="5">
    <w:p w14:paraId="76E114CB" w14:textId="02A75B04" w:rsidR="00212ED6" w:rsidRPr="00B86B27" w:rsidRDefault="00212ED6" w:rsidP="00212ED6">
      <w:pPr>
        <w:pStyle w:val="ad"/>
      </w:pPr>
      <w:r w:rsidRPr="003A439E">
        <w:tab/>
      </w:r>
      <w:r w:rsidRPr="003A439E">
        <w:rPr>
          <w:rStyle w:val="aa"/>
        </w:rPr>
        <w:footnoteRef/>
      </w:r>
      <w:r w:rsidRPr="00B86B27">
        <w:t xml:space="preserve"> </w:t>
      </w:r>
      <w:r w:rsidRPr="00B86B27">
        <w:tab/>
      </w:r>
      <w:hyperlink r:id="rId5" w:history="1">
        <w:r w:rsidRPr="00C2792E">
          <w:rPr>
            <w:rStyle w:val="af1"/>
            <w:lang w:val="en-US"/>
          </w:rPr>
          <w:t>CCPR</w:t>
        </w:r>
        <w:r w:rsidRPr="00C2792E">
          <w:rPr>
            <w:rStyle w:val="af1"/>
          </w:rPr>
          <w:t>/</w:t>
        </w:r>
        <w:r w:rsidRPr="00C2792E">
          <w:rPr>
            <w:rStyle w:val="af1"/>
            <w:lang w:val="en-US"/>
          </w:rPr>
          <w:t>C</w:t>
        </w:r>
        <w:r w:rsidRPr="00C2792E">
          <w:rPr>
            <w:rStyle w:val="af1"/>
          </w:rPr>
          <w:t>/</w:t>
        </w:r>
        <w:r w:rsidRPr="00C2792E">
          <w:rPr>
            <w:rStyle w:val="af1"/>
            <w:lang w:val="en-US"/>
          </w:rPr>
          <w:t>BWA</w:t>
        </w:r>
        <w:r w:rsidRPr="00C2792E">
          <w:rPr>
            <w:rStyle w:val="af1"/>
          </w:rPr>
          <w:t>/</w:t>
        </w:r>
        <w:r w:rsidRPr="00C2792E">
          <w:rPr>
            <w:rStyle w:val="af1"/>
            <w:lang w:val="en-US"/>
          </w:rPr>
          <w:t>CO</w:t>
        </w:r>
        <w:r w:rsidRPr="00C2792E">
          <w:rPr>
            <w:rStyle w:val="af1"/>
          </w:rPr>
          <w:t>/1</w:t>
        </w:r>
      </w:hyperlink>
      <w:r w:rsidRPr="00B86B27">
        <w:t xml:space="preserve">, </w:t>
      </w:r>
      <w:r>
        <w:t>пп</w:t>
      </w:r>
      <w:r w:rsidRPr="00B86B27">
        <w:t xml:space="preserve">. 6 </w:t>
      </w:r>
      <w:r>
        <w:t>и</w:t>
      </w:r>
      <w:r w:rsidRPr="00B86B27">
        <w:t xml:space="preserve"> 10.</w:t>
      </w:r>
    </w:p>
  </w:footnote>
  <w:footnote w:id="6">
    <w:p w14:paraId="33E7A9CE" w14:textId="77777777" w:rsidR="00212ED6" w:rsidRPr="00212ED6" w:rsidRDefault="00212ED6" w:rsidP="00212ED6">
      <w:pPr>
        <w:pStyle w:val="ad"/>
      </w:pPr>
      <w:r w:rsidRPr="00B86B27">
        <w:tab/>
      </w:r>
      <w:r w:rsidRPr="003A439E">
        <w:rPr>
          <w:rStyle w:val="aa"/>
        </w:rPr>
        <w:footnoteRef/>
      </w:r>
      <w:r>
        <w:t xml:space="preserve"> </w:t>
      </w:r>
      <w:r>
        <w:tab/>
        <w:t>Там же, п. 14.</w:t>
      </w:r>
    </w:p>
  </w:footnote>
  <w:footnote w:id="7">
    <w:p w14:paraId="596A19A1" w14:textId="77777777" w:rsidR="00212ED6" w:rsidRPr="00B86B27" w:rsidRDefault="00212ED6" w:rsidP="00212ED6">
      <w:pPr>
        <w:pStyle w:val="ad"/>
      </w:pPr>
      <w:r w:rsidRPr="003A439E">
        <w:tab/>
      </w:r>
      <w:r w:rsidRPr="003A439E">
        <w:rPr>
          <w:rStyle w:val="aa"/>
        </w:rPr>
        <w:footnoteRef/>
      </w:r>
      <w:r>
        <w:t xml:space="preserve"> </w:t>
      </w:r>
      <w:r>
        <w:tab/>
        <w:t>Там же, пп. 9, 11 и 22–23.</w:t>
      </w:r>
    </w:p>
  </w:footnote>
  <w:footnote w:id="8">
    <w:p w14:paraId="56660E81" w14:textId="77777777" w:rsidR="00212ED6" w:rsidRPr="002728E8" w:rsidRDefault="00212ED6" w:rsidP="00212ED6">
      <w:pPr>
        <w:pStyle w:val="ad"/>
      </w:pPr>
      <w:r w:rsidRPr="003A439E">
        <w:tab/>
      </w:r>
      <w:r w:rsidRPr="003A439E">
        <w:rPr>
          <w:rStyle w:val="aa"/>
        </w:rPr>
        <w:footnoteRef/>
      </w:r>
      <w:r>
        <w:t xml:space="preserve"> </w:t>
      </w:r>
      <w:r>
        <w:tab/>
        <w:t>Там же, п. 13.</w:t>
      </w:r>
    </w:p>
  </w:footnote>
  <w:footnote w:id="9">
    <w:p w14:paraId="24473C9D" w14:textId="77777777" w:rsidR="00212ED6" w:rsidRPr="002728E8" w:rsidRDefault="00212ED6" w:rsidP="00212ED6">
      <w:pPr>
        <w:pStyle w:val="ad"/>
      </w:pPr>
      <w:r w:rsidRPr="003A439E">
        <w:tab/>
      </w:r>
      <w:r w:rsidRPr="003A439E">
        <w:rPr>
          <w:rStyle w:val="aa"/>
        </w:rPr>
        <w:footnoteRef/>
      </w:r>
      <w:r>
        <w:t xml:space="preserve"> </w:t>
      </w:r>
      <w:r>
        <w:tab/>
        <w:t>Там же, пп. 15 и 18.</w:t>
      </w:r>
    </w:p>
  </w:footnote>
  <w:footnote w:id="10">
    <w:p w14:paraId="5BED0D07" w14:textId="77777777" w:rsidR="00212ED6" w:rsidRPr="002728E8" w:rsidRDefault="00212ED6" w:rsidP="00212ED6">
      <w:pPr>
        <w:pStyle w:val="ad"/>
      </w:pPr>
      <w:r w:rsidRPr="003A439E">
        <w:tab/>
      </w:r>
      <w:r w:rsidRPr="003A439E">
        <w:rPr>
          <w:rStyle w:val="aa"/>
        </w:rPr>
        <w:footnoteRef/>
      </w:r>
      <w:r>
        <w:t xml:space="preserve"> </w:t>
      </w:r>
      <w:r>
        <w:tab/>
        <w:t>Там же, п. 19.</w:t>
      </w:r>
    </w:p>
  </w:footnote>
  <w:footnote w:id="11">
    <w:p w14:paraId="3019B603" w14:textId="77777777" w:rsidR="00212ED6" w:rsidRPr="002728E8" w:rsidRDefault="00212ED6" w:rsidP="00212ED6">
      <w:pPr>
        <w:pStyle w:val="ad"/>
      </w:pPr>
      <w:r w:rsidRPr="003A439E">
        <w:tab/>
      </w:r>
      <w:r w:rsidRPr="003A439E">
        <w:rPr>
          <w:rStyle w:val="aa"/>
        </w:rPr>
        <w:footnoteRef/>
      </w:r>
      <w:r>
        <w:t xml:space="preserve"> </w:t>
      </w:r>
      <w:r>
        <w:tab/>
        <w:t>Там же, п. 17.</w:t>
      </w:r>
    </w:p>
  </w:footnote>
  <w:footnote w:id="12">
    <w:p w14:paraId="65685D37" w14:textId="77777777" w:rsidR="00212ED6" w:rsidRPr="002728E8" w:rsidRDefault="00212ED6" w:rsidP="00212ED6">
      <w:pPr>
        <w:pStyle w:val="ad"/>
      </w:pPr>
      <w:r w:rsidRPr="003A439E">
        <w:tab/>
      </w:r>
      <w:r w:rsidRPr="003A439E">
        <w:rPr>
          <w:rStyle w:val="aa"/>
        </w:rPr>
        <w:footnoteRef/>
      </w:r>
      <w:r>
        <w:t xml:space="preserve"> </w:t>
      </w:r>
      <w:r>
        <w:tab/>
        <w:t>Там же, п. 16.</w:t>
      </w:r>
    </w:p>
  </w:footnote>
  <w:footnote w:id="13">
    <w:p w14:paraId="6FCCF5CC" w14:textId="77777777" w:rsidR="00212ED6" w:rsidRPr="00212ED6" w:rsidRDefault="00212ED6" w:rsidP="00212ED6">
      <w:pPr>
        <w:pStyle w:val="ad"/>
      </w:pPr>
      <w:r w:rsidRPr="003A439E">
        <w:tab/>
      </w:r>
      <w:r w:rsidRPr="003A439E">
        <w:rPr>
          <w:rStyle w:val="aa"/>
        </w:rPr>
        <w:footnoteRef/>
      </w:r>
      <w:r>
        <w:t xml:space="preserve"> </w:t>
      </w:r>
      <w:r>
        <w:tab/>
        <w:t>Там же, пп. 12 и 20–21.</w:t>
      </w:r>
    </w:p>
  </w:footnote>
  <w:footnote w:id="14">
    <w:p w14:paraId="24FE85C0" w14:textId="77777777" w:rsidR="00212ED6" w:rsidRPr="002728E8" w:rsidRDefault="00212ED6" w:rsidP="00212ED6">
      <w:pPr>
        <w:pStyle w:val="ad"/>
      </w:pPr>
      <w:r w:rsidRPr="003A439E">
        <w:tab/>
      </w:r>
      <w:r w:rsidRPr="003A439E">
        <w:rPr>
          <w:rStyle w:val="aa"/>
        </w:rPr>
        <w:footnoteRef/>
      </w:r>
      <w:r>
        <w:t xml:space="preserve"> </w:t>
      </w:r>
      <w:r>
        <w:tab/>
        <w:t>Там же, п. 23.</w:t>
      </w:r>
    </w:p>
  </w:footnote>
  <w:footnote w:id="15">
    <w:p w14:paraId="535DED4B" w14:textId="77777777" w:rsidR="00212ED6" w:rsidRPr="002728E8" w:rsidRDefault="00212ED6" w:rsidP="00212ED6">
      <w:pPr>
        <w:pStyle w:val="ad"/>
      </w:pPr>
      <w:r w:rsidRPr="003A439E">
        <w:tab/>
      </w:r>
      <w:r w:rsidRPr="003A439E">
        <w:rPr>
          <w:rStyle w:val="aa"/>
        </w:rPr>
        <w:footnoteRef/>
      </w:r>
      <w:r>
        <w:t xml:space="preserve"> </w:t>
      </w:r>
      <w:r>
        <w:tab/>
        <w:t>Там же, п. 24.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CDF37" w14:textId="3B27F036" w:rsidR="00212ED6" w:rsidRPr="00212ED6" w:rsidRDefault="00E24B6B">
    <w:pPr>
      <w:pStyle w:val="a5"/>
    </w:pPr>
    <w:fldSimple w:instr=" TITLE  \* MERGEFORMAT ">
      <w:r w:rsidR="002D40AA">
        <w:t>CCPR/C/BWA/CO/2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19CFE" w14:textId="09FA6EFA" w:rsidR="00212ED6" w:rsidRPr="00212ED6" w:rsidRDefault="00E24B6B" w:rsidP="00212ED6">
    <w:pPr>
      <w:pStyle w:val="a5"/>
      <w:jc w:val="right"/>
    </w:pPr>
    <w:fldSimple w:instr=" TITLE  \* MERGEFORMAT ">
      <w:r w:rsidR="002D40AA">
        <w:t>CCPR/C/BWA/CO/2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54887"/>
    <w:multiLevelType w:val="hybridMultilevel"/>
    <w:tmpl w:val="2B362816"/>
    <w:lvl w:ilvl="0" w:tplc="3132BBBA">
      <w:start w:val="1"/>
      <w:numFmt w:val="decimal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59C2F9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9A9E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A347F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C0F4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A7CF8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5C851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FA31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6927C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6B43D5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2266E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0F60149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</w:lvl>
    <w:lvl w:ilvl="4">
      <w:start w:val="1"/>
      <w:numFmt w:val="lowerLetter"/>
      <w:lvlText w:val="%5)"/>
      <w:lvlJc w:val="left"/>
      <w:pPr>
        <w:ind w:left="1800" w:hanging="360"/>
      </w:pPr>
    </w:lvl>
    <w:lvl w:ilvl="5">
      <w:start w:val="1"/>
      <w:numFmt w:val="lowerRoman"/>
      <w:lvlText w:val="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CF4EB2"/>
    <w:multiLevelType w:val="hybridMultilevel"/>
    <w:tmpl w:val="CB6C816A"/>
    <w:lvl w:ilvl="0" w:tplc="C974158C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18280DC4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6EE0F1F2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5DF012E6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6B2022B6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1AFA7036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3174AF7A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868E6A9E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C36CB7AA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1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AD07B2"/>
    <w:multiLevelType w:val="hybridMultilevel"/>
    <w:tmpl w:val="7FEE3222"/>
    <w:lvl w:ilvl="0" w:tplc="F216CF9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8168F5E4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B720C47C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73C0FA4C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DF94CFC6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7FC408A0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2C040B98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4734E484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16CCDC9E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8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</w:lvl>
    <w:lvl w:ilvl="4">
      <w:start w:val="1"/>
      <w:numFmt w:val="lowerLetter"/>
      <w:lvlText w:val="%5)"/>
      <w:lvlJc w:val="left"/>
      <w:pPr>
        <w:ind w:left="1800" w:hanging="360"/>
      </w:pPr>
    </w:lvl>
    <w:lvl w:ilvl="5">
      <w:start w:val="1"/>
      <w:numFmt w:val="lowerRoman"/>
      <w:lvlText w:val="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8"/>
  </w:num>
  <w:num w:numId="2">
    <w:abstractNumId w:val="19"/>
  </w:num>
  <w:num w:numId="3">
    <w:abstractNumId w:val="14"/>
  </w:num>
  <w:num w:numId="4">
    <w:abstractNumId w:val="29"/>
  </w:num>
  <w:num w:numId="5">
    <w:abstractNumId w:val="22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26"/>
  </w:num>
  <w:num w:numId="17">
    <w:abstractNumId w:val="21"/>
  </w:num>
  <w:num w:numId="18">
    <w:abstractNumId w:val="23"/>
  </w:num>
  <w:num w:numId="19">
    <w:abstractNumId w:val="26"/>
  </w:num>
  <w:num w:numId="20">
    <w:abstractNumId w:val="21"/>
  </w:num>
  <w:num w:numId="21">
    <w:abstractNumId w:val="23"/>
  </w:num>
  <w:num w:numId="22">
    <w:abstractNumId w:val="18"/>
  </w:num>
  <w:num w:numId="23">
    <w:abstractNumId w:val="15"/>
  </w:num>
  <w:num w:numId="24">
    <w:abstractNumId w:val="10"/>
  </w:num>
  <w:num w:numId="25">
    <w:abstractNumId w:val="24"/>
  </w:num>
  <w:num w:numId="26">
    <w:abstractNumId w:val="25"/>
  </w:num>
  <w:num w:numId="27">
    <w:abstractNumId w:val="30"/>
  </w:num>
  <w:num w:numId="28">
    <w:abstractNumId w:val="12"/>
  </w:num>
  <w:num w:numId="29">
    <w:abstractNumId w:val="27"/>
  </w:num>
  <w:num w:numId="30">
    <w:abstractNumId w:val="20"/>
  </w:num>
  <w:num w:numId="31">
    <w:abstractNumId w:val="11"/>
  </w:num>
  <w:num w:numId="32">
    <w:abstractNumId w:val="16"/>
  </w:num>
  <w:num w:numId="33">
    <w:abstractNumId w:val="17"/>
  </w:num>
  <w:num w:numId="34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FF1"/>
    <w:rsid w:val="00033EE1"/>
    <w:rsid w:val="000358F2"/>
    <w:rsid w:val="00042B72"/>
    <w:rsid w:val="000558BD"/>
    <w:rsid w:val="000B57E7"/>
    <w:rsid w:val="000B6373"/>
    <w:rsid w:val="000F09DF"/>
    <w:rsid w:val="000F2FD8"/>
    <w:rsid w:val="000F61B2"/>
    <w:rsid w:val="001075E9"/>
    <w:rsid w:val="00180183"/>
    <w:rsid w:val="0018024D"/>
    <w:rsid w:val="0018649F"/>
    <w:rsid w:val="00196389"/>
    <w:rsid w:val="001B3EF6"/>
    <w:rsid w:val="001C7A89"/>
    <w:rsid w:val="00212ED6"/>
    <w:rsid w:val="00254812"/>
    <w:rsid w:val="002733AC"/>
    <w:rsid w:val="002A2EFC"/>
    <w:rsid w:val="002C0E18"/>
    <w:rsid w:val="002D40AA"/>
    <w:rsid w:val="002D5AAC"/>
    <w:rsid w:val="002E00F0"/>
    <w:rsid w:val="002E5067"/>
    <w:rsid w:val="002F405F"/>
    <w:rsid w:val="002F7EEC"/>
    <w:rsid w:val="00301299"/>
    <w:rsid w:val="00305C08"/>
    <w:rsid w:val="00307FB6"/>
    <w:rsid w:val="0031149D"/>
    <w:rsid w:val="00317339"/>
    <w:rsid w:val="00322004"/>
    <w:rsid w:val="0032326A"/>
    <w:rsid w:val="003402C2"/>
    <w:rsid w:val="00375F01"/>
    <w:rsid w:val="00381C24"/>
    <w:rsid w:val="003958D0"/>
    <w:rsid w:val="003B00E5"/>
    <w:rsid w:val="00401FB2"/>
    <w:rsid w:val="00407B78"/>
    <w:rsid w:val="00424203"/>
    <w:rsid w:val="00452493"/>
    <w:rsid w:val="00454E07"/>
    <w:rsid w:val="00472C5C"/>
    <w:rsid w:val="004969B2"/>
    <w:rsid w:val="0050108D"/>
    <w:rsid w:val="00513081"/>
    <w:rsid w:val="00517901"/>
    <w:rsid w:val="00526683"/>
    <w:rsid w:val="005709E0"/>
    <w:rsid w:val="00572E19"/>
    <w:rsid w:val="005961C8"/>
    <w:rsid w:val="005D0BDE"/>
    <w:rsid w:val="005D7914"/>
    <w:rsid w:val="005E00DE"/>
    <w:rsid w:val="005E2B41"/>
    <w:rsid w:val="005F0B42"/>
    <w:rsid w:val="00666B97"/>
    <w:rsid w:val="00681A10"/>
    <w:rsid w:val="006A1ED8"/>
    <w:rsid w:val="006C2031"/>
    <w:rsid w:val="006D461A"/>
    <w:rsid w:val="006F35EE"/>
    <w:rsid w:val="007021FF"/>
    <w:rsid w:val="00712895"/>
    <w:rsid w:val="0075523D"/>
    <w:rsid w:val="00757357"/>
    <w:rsid w:val="00787D3A"/>
    <w:rsid w:val="00791B9D"/>
    <w:rsid w:val="00825F8D"/>
    <w:rsid w:val="00834B71"/>
    <w:rsid w:val="0086445C"/>
    <w:rsid w:val="00865565"/>
    <w:rsid w:val="00894693"/>
    <w:rsid w:val="008A08D7"/>
    <w:rsid w:val="008B6909"/>
    <w:rsid w:val="00906890"/>
    <w:rsid w:val="00911BE4"/>
    <w:rsid w:val="00931A71"/>
    <w:rsid w:val="00951972"/>
    <w:rsid w:val="00955E04"/>
    <w:rsid w:val="009608F3"/>
    <w:rsid w:val="009918E2"/>
    <w:rsid w:val="009A24AC"/>
    <w:rsid w:val="009D21FD"/>
    <w:rsid w:val="00A14DA8"/>
    <w:rsid w:val="00A22E41"/>
    <w:rsid w:val="00A312BC"/>
    <w:rsid w:val="00A34D07"/>
    <w:rsid w:val="00A84021"/>
    <w:rsid w:val="00A84D35"/>
    <w:rsid w:val="00A917B3"/>
    <w:rsid w:val="00AB4B51"/>
    <w:rsid w:val="00AD6F87"/>
    <w:rsid w:val="00B10CC7"/>
    <w:rsid w:val="00B136DB"/>
    <w:rsid w:val="00B47CB7"/>
    <w:rsid w:val="00B539E7"/>
    <w:rsid w:val="00B62458"/>
    <w:rsid w:val="00BC18B2"/>
    <w:rsid w:val="00BC3629"/>
    <w:rsid w:val="00BD33EE"/>
    <w:rsid w:val="00BF1A04"/>
    <w:rsid w:val="00C0177C"/>
    <w:rsid w:val="00C0672E"/>
    <w:rsid w:val="00C106D6"/>
    <w:rsid w:val="00C2792E"/>
    <w:rsid w:val="00C46D5A"/>
    <w:rsid w:val="00C60F0C"/>
    <w:rsid w:val="00C805C9"/>
    <w:rsid w:val="00C92939"/>
    <w:rsid w:val="00CA1679"/>
    <w:rsid w:val="00CB151C"/>
    <w:rsid w:val="00CE5A1A"/>
    <w:rsid w:val="00CF55F6"/>
    <w:rsid w:val="00D33D63"/>
    <w:rsid w:val="00D90028"/>
    <w:rsid w:val="00D90138"/>
    <w:rsid w:val="00D9090B"/>
    <w:rsid w:val="00DD78D1"/>
    <w:rsid w:val="00DE32CD"/>
    <w:rsid w:val="00DF71B9"/>
    <w:rsid w:val="00DF7FF1"/>
    <w:rsid w:val="00E005F7"/>
    <w:rsid w:val="00E06BEE"/>
    <w:rsid w:val="00E06FD0"/>
    <w:rsid w:val="00E24B6B"/>
    <w:rsid w:val="00E46656"/>
    <w:rsid w:val="00E73F76"/>
    <w:rsid w:val="00EA2C9F"/>
    <w:rsid w:val="00EA420E"/>
    <w:rsid w:val="00ED0BDA"/>
    <w:rsid w:val="00EF1360"/>
    <w:rsid w:val="00EF3220"/>
    <w:rsid w:val="00F43903"/>
    <w:rsid w:val="00F94155"/>
    <w:rsid w:val="00F9783F"/>
    <w:rsid w:val="00FC636C"/>
    <w:rsid w:val="00FD2EF7"/>
    <w:rsid w:val="00FE447E"/>
    <w:rsid w:val="00FF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BE29194"/>
  <w15:docId w15:val="{6A7F10FA-1E81-44A2-BE5F-3633963C8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5523D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AD6F87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link w:val="20"/>
    <w:semiHidden/>
    <w:rsid w:val="00BF1A04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link w:val="30"/>
    <w:semiHidden/>
    <w:rsid w:val="00BF1A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rsid w:val="00BF1A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rsid w:val="00BF1A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rsid w:val="00BF1A04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link w:val="70"/>
    <w:semiHidden/>
    <w:rsid w:val="00BF1A04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semiHidden/>
    <w:rsid w:val="00BF1A04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rsid w:val="00BF1A04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F1A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1A71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AD6F87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AD6F87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AD6F87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AD6F87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AD6F87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AD6F87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qFormat/>
    <w:rsid w:val="00931A71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AD6F87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AD6F87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AD6F87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AD6F87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AD6F87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AD6F87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931A71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AD6F87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AD6F87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AD6F87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AD6F87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AD6F87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AD6F87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AD6F87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AD6F87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AD6F87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rsid w:val="0075523D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AD6F87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AD6F87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AD6F87"/>
  </w:style>
  <w:style w:type="character" w:customStyle="1" w:styleId="af0">
    <w:name w:val="Текст концевой сноски Знак"/>
    <w:aliases w:val="2_G Знак"/>
    <w:basedOn w:val="a0"/>
    <w:link w:val="af"/>
    <w:rsid w:val="00AD6F87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AD6F87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uiPriority w:val="99"/>
    <w:rsid w:val="00AD6F87"/>
    <w:rPr>
      <w:color w:val="0000FF" w:themeColor="hyperlink"/>
      <w:u w:val="none"/>
    </w:rPr>
  </w:style>
  <w:style w:type="character" w:styleId="af2">
    <w:name w:val="FollowedHyperlink"/>
    <w:basedOn w:val="a0"/>
    <w:rsid w:val="00AD6F87"/>
    <w:rPr>
      <w:color w:val="800080" w:themeColor="followedHyperlink"/>
      <w:u w:val="none"/>
    </w:rPr>
  </w:style>
  <w:style w:type="numbering" w:styleId="111111">
    <w:name w:val="Outline List 2"/>
    <w:basedOn w:val="a2"/>
    <w:semiHidden/>
    <w:rsid w:val="00212ED6"/>
    <w:pPr>
      <w:numPr>
        <w:numId w:val="26"/>
      </w:numPr>
    </w:pPr>
  </w:style>
  <w:style w:type="numbering" w:styleId="1ai">
    <w:name w:val="Outline List 1"/>
    <w:basedOn w:val="a2"/>
    <w:semiHidden/>
    <w:rsid w:val="00212ED6"/>
    <w:pPr>
      <w:numPr>
        <w:numId w:val="27"/>
      </w:numPr>
    </w:pPr>
  </w:style>
  <w:style w:type="character" w:customStyle="1" w:styleId="20">
    <w:name w:val="Заголовок 2 Знак"/>
    <w:basedOn w:val="a0"/>
    <w:link w:val="2"/>
    <w:semiHidden/>
    <w:rsid w:val="00212ED6"/>
    <w:rPr>
      <w:rFonts w:eastAsiaTheme="minorHAnsi" w:cs="Arial"/>
      <w:bCs/>
      <w:iCs/>
      <w:szCs w:val="28"/>
      <w:lang w:val="ru-RU" w:eastAsia="en-US"/>
    </w:rPr>
  </w:style>
  <w:style w:type="character" w:customStyle="1" w:styleId="30">
    <w:name w:val="Заголовок 3 Знак"/>
    <w:basedOn w:val="a0"/>
    <w:link w:val="3"/>
    <w:semiHidden/>
    <w:rsid w:val="00212ED6"/>
    <w:rPr>
      <w:rFonts w:ascii="Arial" w:eastAsiaTheme="minorHAnsi" w:hAnsi="Arial" w:cs="Arial"/>
      <w:b/>
      <w:bCs/>
      <w:sz w:val="26"/>
      <w:szCs w:val="26"/>
      <w:lang w:val="ru-RU" w:eastAsia="en-US"/>
    </w:rPr>
  </w:style>
  <w:style w:type="character" w:customStyle="1" w:styleId="40">
    <w:name w:val="Заголовок 4 Знак"/>
    <w:basedOn w:val="a0"/>
    <w:link w:val="4"/>
    <w:semiHidden/>
    <w:rsid w:val="00212ED6"/>
    <w:rPr>
      <w:rFonts w:eastAsiaTheme="minorHAnsi" w:cstheme="minorBidi"/>
      <w:b/>
      <w:bCs/>
      <w:sz w:val="28"/>
      <w:szCs w:val="28"/>
      <w:lang w:val="ru-RU" w:eastAsia="en-US"/>
    </w:rPr>
  </w:style>
  <w:style w:type="character" w:customStyle="1" w:styleId="50">
    <w:name w:val="Заголовок 5 Знак"/>
    <w:basedOn w:val="a0"/>
    <w:link w:val="5"/>
    <w:semiHidden/>
    <w:rsid w:val="00212ED6"/>
    <w:rPr>
      <w:rFonts w:eastAsiaTheme="minorHAnsi" w:cstheme="minorBidi"/>
      <w:b/>
      <w:bCs/>
      <w:i/>
      <w:iCs/>
      <w:sz w:val="26"/>
      <w:szCs w:val="26"/>
      <w:lang w:val="ru-RU" w:eastAsia="en-US"/>
    </w:rPr>
  </w:style>
  <w:style w:type="character" w:customStyle="1" w:styleId="60">
    <w:name w:val="Заголовок 6 Знак"/>
    <w:basedOn w:val="a0"/>
    <w:link w:val="6"/>
    <w:semiHidden/>
    <w:rsid w:val="00212ED6"/>
    <w:rPr>
      <w:rFonts w:eastAsiaTheme="minorHAnsi" w:cstheme="minorBidi"/>
      <w:b/>
      <w:bCs/>
      <w:sz w:val="22"/>
      <w:szCs w:val="22"/>
      <w:lang w:val="ru-RU" w:eastAsia="en-US"/>
    </w:rPr>
  </w:style>
  <w:style w:type="character" w:customStyle="1" w:styleId="70">
    <w:name w:val="Заголовок 7 Знак"/>
    <w:basedOn w:val="a0"/>
    <w:link w:val="7"/>
    <w:semiHidden/>
    <w:rsid w:val="00212ED6"/>
    <w:rPr>
      <w:rFonts w:eastAsiaTheme="minorHAnsi" w:cstheme="minorBidi"/>
      <w:sz w:val="24"/>
      <w:szCs w:val="24"/>
      <w:lang w:val="ru-RU" w:eastAsia="en-US"/>
    </w:rPr>
  </w:style>
  <w:style w:type="character" w:customStyle="1" w:styleId="80">
    <w:name w:val="Заголовок 8 Знак"/>
    <w:basedOn w:val="a0"/>
    <w:link w:val="8"/>
    <w:semiHidden/>
    <w:rsid w:val="00212ED6"/>
    <w:rPr>
      <w:rFonts w:eastAsiaTheme="minorHAnsi" w:cstheme="minorBidi"/>
      <w:i/>
      <w:iCs/>
      <w:sz w:val="24"/>
      <w:szCs w:val="24"/>
      <w:lang w:val="ru-RU" w:eastAsia="en-US"/>
    </w:rPr>
  </w:style>
  <w:style w:type="character" w:customStyle="1" w:styleId="90">
    <w:name w:val="Заголовок 9 Знак"/>
    <w:basedOn w:val="a0"/>
    <w:link w:val="9"/>
    <w:semiHidden/>
    <w:rsid w:val="00212ED6"/>
    <w:rPr>
      <w:rFonts w:ascii="Arial" w:eastAsiaTheme="minorHAnsi" w:hAnsi="Arial" w:cs="Arial"/>
      <w:sz w:val="22"/>
      <w:szCs w:val="22"/>
      <w:lang w:val="ru-RU" w:eastAsia="en-US"/>
    </w:rPr>
  </w:style>
  <w:style w:type="character" w:styleId="af3">
    <w:name w:val="Book Title"/>
    <w:basedOn w:val="a0"/>
    <w:uiPriority w:val="33"/>
    <w:rsid w:val="00212ED6"/>
    <w:rPr>
      <w:b/>
      <w:bCs/>
      <w:smallCaps/>
      <w:spacing w:val="5"/>
    </w:rPr>
  </w:style>
  <w:style w:type="paragraph" w:styleId="af4">
    <w:name w:val="Revision"/>
    <w:hidden/>
    <w:uiPriority w:val="99"/>
    <w:semiHidden/>
    <w:rsid w:val="00212ED6"/>
    <w:rPr>
      <w:lang w:val="en-GB" w:eastAsia="en-US"/>
    </w:rPr>
  </w:style>
  <w:style w:type="character" w:styleId="af5">
    <w:name w:val="annotation reference"/>
    <w:basedOn w:val="a0"/>
    <w:uiPriority w:val="99"/>
    <w:semiHidden/>
    <w:unhideWhenUsed/>
    <w:rsid w:val="00212ED6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212ED6"/>
    <w:pPr>
      <w:spacing w:line="240" w:lineRule="auto"/>
    </w:pPr>
    <w:rPr>
      <w:rFonts w:eastAsia="Times New Roman" w:cs="Times New Roman"/>
      <w:szCs w:val="20"/>
      <w:lang w:val="en-GB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212ED6"/>
    <w:rPr>
      <w:lang w:val="en-GB" w:eastAsia="en-US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212ED6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212ED6"/>
    <w:rPr>
      <w:b/>
      <w:bCs/>
      <w:lang w:val="en-GB" w:eastAsia="en-US"/>
    </w:rPr>
  </w:style>
  <w:style w:type="character" w:customStyle="1" w:styleId="UnresolvedMention1">
    <w:name w:val="Unresolved Mention1"/>
    <w:basedOn w:val="a0"/>
    <w:uiPriority w:val="99"/>
    <w:semiHidden/>
    <w:unhideWhenUsed/>
    <w:rsid w:val="00212ED6"/>
    <w:rPr>
      <w:color w:val="605E5C"/>
      <w:shd w:val="clear" w:color="auto" w:fill="E1DFDD"/>
    </w:rPr>
  </w:style>
  <w:style w:type="character" w:customStyle="1" w:styleId="eref">
    <w:name w:val="eref"/>
    <w:basedOn w:val="a0"/>
    <w:rsid w:val="00212ED6"/>
  </w:style>
  <w:style w:type="character" w:styleId="afa">
    <w:name w:val="Unresolved Mention"/>
    <w:basedOn w:val="a0"/>
    <w:uiPriority w:val="99"/>
    <w:semiHidden/>
    <w:unhideWhenUsed/>
    <w:rsid w:val="00212ED6"/>
    <w:rPr>
      <w:color w:val="605E5C"/>
      <w:shd w:val="clear" w:color="auto" w:fill="E1DFDD"/>
    </w:rPr>
  </w:style>
  <w:style w:type="paragraph" w:styleId="afb">
    <w:name w:val="Normal (Web)"/>
    <w:basedOn w:val="a"/>
    <w:uiPriority w:val="99"/>
    <w:semiHidden/>
    <w:unhideWhenUsed/>
    <w:rsid w:val="00212ED6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fr-FR" w:eastAsia="fr-FR"/>
    </w:rPr>
  </w:style>
  <w:style w:type="character" w:styleId="afc">
    <w:name w:val="Emphasis"/>
    <w:basedOn w:val="a0"/>
    <w:uiPriority w:val="20"/>
    <w:qFormat/>
    <w:rsid w:val="00212ED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undocs.org/en/CCPR/C/SR.3816" TargetMode="External"/><Relationship Id="rId2" Type="http://schemas.openxmlformats.org/officeDocument/2006/relationships/hyperlink" Target="https://undocs.org/en/CCPR/C/SR.3815" TargetMode="External"/><Relationship Id="rId1" Type="http://schemas.openxmlformats.org/officeDocument/2006/relationships/hyperlink" Target="https://undocs.org/en/CCPR/C/BWA/2" TargetMode="External"/><Relationship Id="rId5" Type="http://schemas.openxmlformats.org/officeDocument/2006/relationships/hyperlink" Target="https://undocs.org/en/CCPR/C/BWA/CO/1" TargetMode="External"/><Relationship Id="rId4" Type="http://schemas.openxmlformats.org/officeDocument/2006/relationships/hyperlink" Target="https://undocs.org/en/CCPR/C/BWA/QPR/2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CPR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CCPR.dotm</Template>
  <TotalTime>1</TotalTime>
  <Pages>12</Pages>
  <Words>4604</Words>
  <Characters>30955</Characters>
  <Application>Microsoft Office Word</Application>
  <DocSecurity>0</DocSecurity>
  <Lines>573</Lines>
  <Paragraphs>136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CCPR/C/BWA/CO/2</vt:lpstr>
      <vt:lpstr>A/</vt:lpstr>
      <vt:lpstr>A/</vt:lpstr>
    </vt:vector>
  </TitlesOfParts>
  <Company>DCM</Company>
  <LinksUpToDate>false</LinksUpToDate>
  <CharactersWithSpaces>35540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CCPR/C/BWA/CO/2</dc:title>
  <dc:subject/>
  <dc:creator>Svetlana PROKOUDINA</dc:creator>
  <cp:keywords/>
  <cp:lastModifiedBy>Ioulia Goussarova</cp:lastModifiedBy>
  <cp:revision>3</cp:revision>
  <cp:lastPrinted>2022-02-04T18:49:00Z</cp:lastPrinted>
  <dcterms:created xsi:type="dcterms:W3CDTF">2022-02-04T18:49:00Z</dcterms:created>
  <dcterms:modified xsi:type="dcterms:W3CDTF">2022-02-04T18:49:00Z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