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4E6131" w:rsidTr="00850C3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850C3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850C33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="00C10381">
              <w:rPr>
                <w:lang w:val="en-US"/>
              </w:rPr>
              <w:fldChar w:fldCharType="separate"/>
            </w:r>
            <w:r w:rsidR="007177EB">
              <w:rPr>
                <w:lang w:val="en-US"/>
              </w:rPr>
              <w:t>C/JOR/CO/3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767C58" w:rsidTr="00850C3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850C33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3392517" wp14:editId="4250A13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850C33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850C33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850C33">
              <w:rPr>
                <w:lang w:val="en-US"/>
              </w:rPr>
            </w:r>
            <w:r w:rsidR="00850C33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850C33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="00C10381">
              <w:rPr>
                <w:lang w:val="en-US"/>
              </w:rPr>
              <w:fldChar w:fldCharType="separate"/>
            </w:r>
            <w:r w:rsidR="007177EB">
              <w:t xml:space="preserve">29 </w:t>
            </w:r>
            <w:proofErr w:type="spellStart"/>
            <w:r w:rsidR="007177EB">
              <w:t>January</w:t>
            </w:r>
            <w:proofErr w:type="spellEnd"/>
            <w:r w:rsidR="007177EB">
              <w:t xml:space="preserve"> 2016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850C33">
            <w:r w:rsidRPr="004E6131">
              <w:rPr>
                <w:lang w:val="en-US"/>
              </w:rPr>
              <w:t>Russian</w:t>
            </w:r>
          </w:p>
          <w:p w:rsidR="008855BE" w:rsidRPr="004E6131" w:rsidRDefault="008855BE" w:rsidP="00850C33"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Pr="004E6131"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850C33">
              <w:rPr>
                <w:lang w:val="en-US"/>
              </w:rPr>
            </w:r>
            <w:r w:rsidR="00850C33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1"/>
          </w:p>
          <w:p w:rsidR="008855BE" w:rsidRPr="00767C58" w:rsidRDefault="008855BE" w:rsidP="00850C33"/>
        </w:tc>
      </w:tr>
    </w:tbl>
    <w:p w:rsidR="00850C33" w:rsidRPr="00C10381" w:rsidRDefault="00850C33" w:rsidP="00C10381">
      <w:pPr>
        <w:spacing w:before="120"/>
        <w:rPr>
          <w:b/>
          <w:bCs/>
          <w:sz w:val="24"/>
          <w:szCs w:val="24"/>
          <w:lang w:val="en-GB"/>
        </w:rPr>
      </w:pPr>
      <w:r w:rsidRPr="00C10381">
        <w:rPr>
          <w:b/>
          <w:bCs/>
          <w:sz w:val="24"/>
          <w:szCs w:val="24"/>
        </w:rPr>
        <w:t>Комитет против пыток</w:t>
      </w:r>
    </w:p>
    <w:p w:rsidR="00850C33" w:rsidRPr="00C10381" w:rsidRDefault="00850C33" w:rsidP="00C10381">
      <w:pPr>
        <w:pStyle w:val="HChGR"/>
      </w:pPr>
      <w:r w:rsidRPr="00C10381">
        <w:tab/>
      </w:r>
      <w:r w:rsidRPr="00C10381">
        <w:tab/>
        <w:t>Заключительные замечания по третьему периодическому докладу Иордании</w:t>
      </w:r>
      <w:r w:rsidRPr="00C10381">
        <w:rPr>
          <w:b w:val="0"/>
          <w:bCs/>
          <w:sz w:val="18"/>
          <w:szCs w:val="18"/>
        </w:rPr>
        <w:footnoteReference w:customMarkFollows="1" w:id="1"/>
        <w:t>*</w:t>
      </w:r>
    </w:p>
    <w:p w:rsidR="00850C33" w:rsidRPr="00C10381" w:rsidRDefault="00850C33" w:rsidP="00BC339A">
      <w:pPr>
        <w:pStyle w:val="SingleTxtGR"/>
        <w:spacing w:line="234" w:lineRule="atLeast"/>
      </w:pPr>
      <w:r w:rsidRPr="00C10381">
        <w:t>1.</w:t>
      </w:r>
      <w:r w:rsidRPr="00C10381">
        <w:tab/>
        <w:t>Комитет против пыток рассмотрел третий периодический доклад Иорд</w:t>
      </w:r>
      <w:r w:rsidRPr="00C10381">
        <w:t>а</w:t>
      </w:r>
      <w:r w:rsidRPr="00C10381">
        <w:t>нии (CAT/C/JOR/3) на своих 1374-м и 1377-м заседаниях (см. CAT/C/SR.1374 и 1377), состоявшихся 20 и 23 ноября 2015 года, и на своем 1390-м заседании, с</w:t>
      </w:r>
      <w:r w:rsidRPr="00C10381">
        <w:t>о</w:t>
      </w:r>
      <w:r w:rsidRPr="00C10381">
        <w:t>стоявшемся 3 декабря 2015 года, принял настоящие заключительные замечания.</w:t>
      </w:r>
    </w:p>
    <w:p w:rsidR="00850C33" w:rsidRPr="00C10381" w:rsidRDefault="00850C33" w:rsidP="00BC339A">
      <w:pPr>
        <w:pStyle w:val="H1GR"/>
        <w:spacing w:line="260" w:lineRule="exact"/>
      </w:pPr>
      <w:r w:rsidRPr="00C10381">
        <w:tab/>
        <w:t>А.</w:t>
      </w:r>
      <w:r w:rsidRPr="00C10381">
        <w:tab/>
        <w:t>Введение</w:t>
      </w:r>
    </w:p>
    <w:p w:rsidR="00850C33" w:rsidRPr="00C10381" w:rsidRDefault="00850C33" w:rsidP="00BC339A">
      <w:pPr>
        <w:pStyle w:val="SingleTxtGR"/>
        <w:spacing w:line="234" w:lineRule="atLeast"/>
      </w:pPr>
      <w:r w:rsidRPr="00C10381">
        <w:t>2.</w:t>
      </w:r>
      <w:r w:rsidRPr="00C10381">
        <w:tab/>
        <w:t xml:space="preserve">Комитет выражает признательность государству-участнику за согласие следовать </w:t>
      </w:r>
      <w:r w:rsidR="00E93A45">
        <w:t>упрощенной</w:t>
      </w:r>
      <w:r w:rsidRPr="00C10381">
        <w:t xml:space="preserve"> процедуре представления докладов и за представление периодического доклада в соответствии с ее требованиями, что помогло улу</w:t>
      </w:r>
      <w:r w:rsidRPr="00C10381">
        <w:t>ч</w:t>
      </w:r>
      <w:r w:rsidRPr="00C10381">
        <w:t>шить сотрудничество между государством-участником и Комитетом и сделать диалог с д</w:t>
      </w:r>
      <w:r w:rsidRPr="00C10381">
        <w:t>е</w:t>
      </w:r>
      <w:r w:rsidRPr="00C10381">
        <w:t>легацией более целенаправленным.</w:t>
      </w:r>
    </w:p>
    <w:p w:rsidR="00850C33" w:rsidRPr="00C10381" w:rsidRDefault="00850C33" w:rsidP="00BC339A">
      <w:pPr>
        <w:pStyle w:val="SingleTxtGR"/>
        <w:spacing w:line="234" w:lineRule="atLeast"/>
      </w:pPr>
      <w:r w:rsidRPr="00C10381">
        <w:t>3.</w:t>
      </w:r>
      <w:r w:rsidRPr="00C10381">
        <w:tab/>
        <w:t>Комитет выражает признательность за предоставленную ему возмо</w:t>
      </w:r>
      <w:r w:rsidRPr="00C10381">
        <w:t>ж</w:t>
      </w:r>
      <w:r w:rsidRPr="00C10381">
        <w:t>ность провести конструктивный диалог с делегацией высокого уровня госуда</w:t>
      </w:r>
      <w:r w:rsidRPr="00C10381">
        <w:t>р</w:t>
      </w:r>
      <w:r w:rsidRPr="00C10381">
        <w:t xml:space="preserve">ства-участника и за ответы на вопросы, затронутые в ходе </w:t>
      </w:r>
      <w:r w:rsidR="00E93A45">
        <w:t>диалога</w:t>
      </w:r>
      <w:r w:rsidRPr="00C10381">
        <w:t>.</w:t>
      </w:r>
    </w:p>
    <w:p w:rsidR="00850C33" w:rsidRPr="00C10381" w:rsidRDefault="00850C33" w:rsidP="00BC339A">
      <w:pPr>
        <w:pStyle w:val="H1GR"/>
        <w:spacing w:line="250" w:lineRule="exact"/>
      </w:pPr>
      <w:r w:rsidRPr="00C10381">
        <w:tab/>
        <w:t>B.</w:t>
      </w:r>
      <w:r w:rsidRPr="00C10381">
        <w:tab/>
        <w:t>Позитивные аспекты</w:t>
      </w:r>
    </w:p>
    <w:p w:rsidR="00850C33" w:rsidRPr="00C10381" w:rsidRDefault="00850C33" w:rsidP="00BC339A">
      <w:pPr>
        <w:pStyle w:val="SingleTxtGR"/>
        <w:spacing w:line="234" w:lineRule="atLeast"/>
      </w:pPr>
      <w:r w:rsidRPr="00C10381">
        <w:t>4.</w:t>
      </w:r>
      <w:r w:rsidRPr="00C10381">
        <w:tab/>
        <w:t>Комитет приветствует следующие законодательные меры, принятые гос</w:t>
      </w:r>
      <w:r w:rsidRPr="00C10381">
        <w:t>у</w:t>
      </w:r>
      <w:r w:rsidRPr="00C10381">
        <w:t>дарством-участником в областях, имеющих отношение к Конвенции:</w:t>
      </w:r>
    </w:p>
    <w:p w:rsidR="00850C33" w:rsidRPr="00C10381" w:rsidRDefault="00850C33" w:rsidP="00BC339A">
      <w:pPr>
        <w:pStyle w:val="SingleTxtGR"/>
        <w:spacing w:line="234" w:lineRule="atLeast"/>
      </w:pPr>
      <w:r w:rsidRPr="00C10381">
        <w:tab/>
        <w:t>a)</w:t>
      </w:r>
      <w:r w:rsidRPr="00C10381">
        <w:tab/>
        <w:t>Закон о несовершеннолетних № 32, в 2014 году;</w:t>
      </w:r>
    </w:p>
    <w:p w:rsidR="00850C33" w:rsidRPr="00C10381" w:rsidRDefault="00850C33" w:rsidP="00BC339A">
      <w:pPr>
        <w:pStyle w:val="SingleTxtGR"/>
        <w:spacing w:line="234" w:lineRule="atLeast"/>
      </w:pPr>
      <w:r w:rsidRPr="00C10381">
        <w:tab/>
        <w:t>b)</w:t>
      </w:r>
      <w:r w:rsidRPr="00C10381">
        <w:tab/>
        <w:t>Закон о независимости судебных органов № 29, в 2014 году;</w:t>
      </w:r>
    </w:p>
    <w:p w:rsidR="00850C33" w:rsidRPr="00C10381" w:rsidRDefault="00850C33" w:rsidP="00BC339A">
      <w:pPr>
        <w:pStyle w:val="SingleTxtGR"/>
        <w:spacing w:line="234" w:lineRule="atLeast"/>
      </w:pPr>
      <w:r w:rsidRPr="00C10381">
        <w:tab/>
        <w:t>с)</w:t>
      </w:r>
      <w:r w:rsidRPr="00C10381">
        <w:tab/>
        <w:t>Закон о Конституционном суде № 15, в 2012 году;</w:t>
      </w:r>
    </w:p>
    <w:p w:rsidR="00850C33" w:rsidRPr="00C10381" w:rsidRDefault="00850C33" w:rsidP="00BC339A">
      <w:pPr>
        <w:pStyle w:val="SingleTxtGR"/>
        <w:spacing w:line="234" w:lineRule="atLeast"/>
      </w:pPr>
      <w:r w:rsidRPr="00C10381">
        <w:tab/>
        <w:t>d)</w:t>
      </w:r>
      <w:r w:rsidRPr="00C10381">
        <w:tab/>
        <w:t>более жесткие санкции, предусмотренные поправками к Уголовн</w:t>
      </w:r>
      <w:r w:rsidRPr="00C10381">
        <w:t>о</w:t>
      </w:r>
      <w:r w:rsidRPr="00C10381">
        <w:t>му кодексу 2011 года, за преступления, связанные с физическим и сексуальным насилием, включая изнасилование (статья 292), развратные действия (ст</w:t>
      </w:r>
      <w:r w:rsidRPr="00C10381">
        <w:t>а</w:t>
      </w:r>
      <w:r w:rsidRPr="00C10381">
        <w:t>тьи</w:t>
      </w:r>
      <w:r w:rsidR="00C10381">
        <w:rPr>
          <w:lang w:val="en-US"/>
        </w:rPr>
        <w:t> </w:t>
      </w:r>
      <w:r w:rsidRPr="00C10381">
        <w:t>296–298), похищение (статьи 302–303), а также сексуальные домогательства (статьи 304–307).</w:t>
      </w:r>
    </w:p>
    <w:p w:rsidR="00850C33" w:rsidRPr="00C10381" w:rsidRDefault="00850C33" w:rsidP="00C10381">
      <w:pPr>
        <w:pStyle w:val="SingleTxtGR"/>
      </w:pPr>
      <w:r w:rsidRPr="00C10381">
        <w:lastRenderedPageBreak/>
        <w:t>5.</w:t>
      </w:r>
      <w:r w:rsidRPr="00C10381">
        <w:tab/>
        <w:t>Комитет принимает к сведению поправки к Конституции Иордании, вн</w:t>
      </w:r>
      <w:r w:rsidRPr="00C10381">
        <w:t>е</w:t>
      </w:r>
      <w:r w:rsidR="007E26F8">
        <w:t>сенные в 2011 году, в частности</w:t>
      </w:r>
      <w:r w:rsidRPr="00C10381">
        <w:t xml:space="preserve"> поправки к пункту 2 статьи 8, предусматрив</w:t>
      </w:r>
      <w:r w:rsidRPr="00C10381">
        <w:t>а</w:t>
      </w:r>
      <w:r w:rsidRPr="00C10381">
        <w:t>ющие запрет на применение пыток и устанавливающие, что показания, пол</w:t>
      </w:r>
      <w:r w:rsidRPr="00C10381">
        <w:t>у</w:t>
      </w:r>
      <w:r w:rsidRPr="00C10381">
        <w:t>ченные в результате пыток, причинения вреда или угроз, являются недейств</w:t>
      </w:r>
      <w:r w:rsidRPr="00C10381">
        <w:t>и</w:t>
      </w:r>
      <w:r w:rsidRPr="00C10381">
        <w:t>тельными.</w:t>
      </w:r>
    </w:p>
    <w:p w:rsidR="00850C33" w:rsidRPr="00C10381" w:rsidRDefault="00850C33" w:rsidP="00C10381">
      <w:pPr>
        <w:pStyle w:val="SingleTxtGR"/>
      </w:pPr>
      <w:r w:rsidRPr="00C10381">
        <w:t>6.</w:t>
      </w:r>
      <w:r w:rsidRPr="00C10381">
        <w:tab/>
        <w:t>Комитет приветствует следующие меры:</w:t>
      </w:r>
    </w:p>
    <w:p w:rsidR="00850C33" w:rsidRPr="00C10381" w:rsidRDefault="00850C33" w:rsidP="00C10381">
      <w:pPr>
        <w:pStyle w:val="SingleTxtGR"/>
      </w:pPr>
      <w:r w:rsidRPr="00C10381">
        <w:tab/>
        <w:t>a)</w:t>
      </w:r>
      <w:r w:rsidRPr="00C10381">
        <w:tab/>
        <w:t>создание в государственной прокуратуре национального регистра по делам, связанным с применением пыток;</w:t>
      </w:r>
    </w:p>
    <w:p w:rsidR="00850C33" w:rsidRPr="00C10381" w:rsidRDefault="00850C33" w:rsidP="00C10381">
      <w:pPr>
        <w:pStyle w:val="SingleTxtGR"/>
      </w:pPr>
      <w:r w:rsidRPr="00C10381">
        <w:tab/>
        <w:t>b)</w:t>
      </w:r>
      <w:r w:rsidRPr="00C10381">
        <w:tab/>
        <w:t>принятие Национальной стратегии по борьбе с торговлей людьми (на 2010–2012 годы);</w:t>
      </w:r>
    </w:p>
    <w:p w:rsidR="00850C33" w:rsidRPr="00C10381" w:rsidRDefault="00850C33" w:rsidP="00E93A45">
      <w:pPr>
        <w:pStyle w:val="SingleTxtGR"/>
      </w:pPr>
      <w:r w:rsidRPr="00C10381">
        <w:tab/>
        <w:t>с)</w:t>
      </w:r>
      <w:r w:rsidRPr="00C10381">
        <w:tab/>
        <w:t>проведение двух международных конференций по борьбе с прим</w:t>
      </w:r>
      <w:r w:rsidRPr="00C10381">
        <w:t>е</w:t>
      </w:r>
      <w:r w:rsidRPr="00C10381">
        <w:t xml:space="preserve">нением пыток и альтернативам досудебному </w:t>
      </w:r>
      <w:r w:rsidR="00E93A45">
        <w:t>содержанию под стражей</w:t>
      </w:r>
      <w:r w:rsidRPr="00C10381">
        <w:t>, которые были организованы министерством юстици</w:t>
      </w:r>
      <w:r w:rsidR="00BC339A">
        <w:t>и на Мертвом море в 2013 и 2015 </w:t>
      </w:r>
      <w:r w:rsidRPr="00C10381">
        <w:t>годах.</w:t>
      </w:r>
    </w:p>
    <w:p w:rsidR="00850C33" w:rsidRPr="00BC339A" w:rsidRDefault="00850C33" w:rsidP="00BC339A">
      <w:pPr>
        <w:pStyle w:val="SingleTxtGR"/>
        <w:rPr>
          <w:spacing w:val="2"/>
        </w:rPr>
      </w:pPr>
      <w:r w:rsidRPr="00C10381">
        <w:t>7.</w:t>
      </w:r>
      <w:r w:rsidRPr="00C10381">
        <w:tab/>
        <w:t xml:space="preserve">Комитет положительно отмечает факт принятия государством-участником более чем 1,2 </w:t>
      </w:r>
      <w:r w:rsidR="00BC339A">
        <w:t>млн.</w:t>
      </w:r>
      <w:r w:rsidRPr="00C10381">
        <w:t xml:space="preserve"> беженцев и просителей убежища, </w:t>
      </w:r>
      <w:r w:rsidRPr="00BC339A">
        <w:rPr>
          <w:spacing w:val="2"/>
        </w:rPr>
        <w:t>главным образом сири</w:t>
      </w:r>
      <w:r w:rsidRPr="00BC339A">
        <w:rPr>
          <w:spacing w:val="2"/>
        </w:rPr>
        <w:t>й</w:t>
      </w:r>
      <w:r w:rsidRPr="00BC339A">
        <w:rPr>
          <w:spacing w:val="2"/>
        </w:rPr>
        <w:t>цев, покинувших свою страну из-за происходящего</w:t>
      </w:r>
      <w:r w:rsidRPr="00C10381">
        <w:t xml:space="preserve"> там </w:t>
      </w:r>
      <w:r w:rsidRPr="00BC339A">
        <w:rPr>
          <w:spacing w:val="2"/>
        </w:rPr>
        <w:t>вооруженного конфли</w:t>
      </w:r>
      <w:r w:rsidRPr="00BC339A">
        <w:rPr>
          <w:spacing w:val="2"/>
        </w:rPr>
        <w:t>к</w:t>
      </w:r>
      <w:r w:rsidRPr="00BC339A">
        <w:rPr>
          <w:spacing w:val="2"/>
        </w:rPr>
        <w:t>та.</w:t>
      </w:r>
    </w:p>
    <w:p w:rsidR="00850C33" w:rsidRPr="00C10381" w:rsidRDefault="00850C33" w:rsidP="00C10381">
      <w:pPr>
        <w:pStyle w:val="H1GR"/>
      </w:pPr>
      <w:r w:rsidRPr="00C10381">
        <w:tab/>
        <w:t>С.</w:t>
      </w:r>
      <w:r w:rsidRPr="00C10381">
        <w:tab/>
        <w:t>Основные вопросы, вызывающие обеспокоенность, и рекомендации</w:t>
      </w:r>
    </w:p>
    <w:p w:rsidR="00850C33" w:rsidRPr="00C10381" w:rsidRDefault="00850C33" w:rsidP="00C10381">
      <w:pPr>
        <w:pStyle w:val="H23GR"/>
      </w:pPr>
      <w:r w:rsidRPr="00C10381">
        <w:tab/>
      </w:r>
      <w:r w:rsidRPr="00C10381">
        <w:tab/>
        <w:t>Нерешенные вопросы последующей деятельности по результатам предыдущего цикла представления докладов</w:t>
      </w:r>
    </w:p>
    <w:p w:rsidR="00850C33" w:rsidRPr="00C10381" w:rsidRDefault="00850C33" w:rsidP="00C10381">
      <w:pPr>
        <w:pStyle w:val="SingleTxtGR"/>
      </w:pPr>
      <w:r w:rsidRPr="00C10381">
        <w:t>8.</w:t>
      </w:r>
      <w:r w:rsidRPr="00C10381">
        <w:tab/>
        <w:t>Комитет с сожалением отмечает несоблюдение государством-участником процедуры последующей деятельности, а также неполные ответы, предста</w:t>
      </w:r>
      <w:r w:rsidRPr="00C10381">
        <w:t>в</w:t>
      </w:r>
      <w:r w:rsidRPr="00C10381">
        <w:t>ленные делегацией в ходе диалога, в отношении рекомендаций Комитета, изл</w:t>
      </w:r>
      <w:r w:rsidRPr="00C10381">
        <w:t>о</w:t>
      </w:r>
      <w:r w:rsidRPr="00C10381">
        <w:t xml:space="preserve">женных в пунктах 10, 11, 18 и 31 </w:t>
      </w:r>
      <w:r w:rsidR="00E93A45">
        <w:t xml:space="preserve">его </w:t>
      </w:r>
      <w:r w:rsidRPr="00C10381">
        <w:t>предыдущих заключительных замечаний (CAT/C/JOR/CO/2).</w:t>
      </w:r>
    </w:p>
    <w:p w:rsidR="00850C33" w:rsidRPr="00C10381" w:rsidRDefault="00850C33" w:rsidP="00C10381">
      <w:pPr>
        <w:pStyle w:val="H23GR"/>
      </w:pPr>
      <w:r w:rsidRPr="00C10381">
        <w:tab/>
      </w:r>
      <w:r w:rsidRPr="00C10381">
        <w:tab/>
        <w:t>Определение пыток</w:t>
      </w:r>
    </w:p>
    <w:p w:rsidR="00850C33" w:rsidRPr="00BC339A" w:rsidRDefault="00850C33" w:rsidP="00C10381">
      <w:pPr>
        <w:pStyle w:val="SingleTxtGR"/>
        <w:rPr>
          <w:spacing w:val="2"/>
        </w:rPr>
      </w:pPr>
      <w:r w:rsidRPr="00C10381">
        <w:t>9.</w:t>
      </w:r>
      <w:r w:rsidRPr="00C10381">
        <w:tab/>
        <w:t>Принимая к сведению представленную делегацией информацию о тек</w:t>
      </w:r>
      <w:r w:rsidRPr="00C10381">
        <w:t>у</w:t>
      </w:r>
      <w:r w:rsidRPr="00C10381">
        <w:t>щей правовой реформе, направленной на приведение Уголовного кодекса гос</w:t>
      </w:r>
      <w:r w:rsidRPr="00C10381">
        <w:t>у</w:t>
      </w:r>
      <w:r w:rsidRPr="00C10381">
        <w:t>дарства-участника в соответствие с Конвенцией, Комитет по-прежнему обесп</w:t>
      </w:r>
      <w:r w:rsidRPr="00C10381">
        <w:t>о</w:t>
      </w:r>
      <w:r w:rsidRPr="00C10381">
        <w:t>коен тем, что определение пытки в Уголовном кодексе (статья 208) не соотве</w:t>
      </w:r>
      <w:r w:rsidRPr="00C10381">
        <w:t>т</w:t>
      </w:r>
      <w:r w:rsidRPr="00C10381">
        <w:t>ствует статьям 1 и 4 Конвенции. В частности, Комитет обеспокоен тем, что пытки не рассматриваются в качестве уголовного преступления и что наказания не соответствуют тяжести таких деяний и подлежат амнистии, а также прим</w:t>
      </w:r>
      <w:r w:rsidRPr="00C10381">
        <w:t>е</w:t>
      </w:r>
      <w:r w:rsidRPr="00C10381">
        <w:t>нению положений о сроке давности. Комитет также обеспокоен тем, что нак</w:t>
      </w:r>
      <w:r w:rsidRPr="00C10381">
        <w:t>а</w:t>
      </w:r>
      <w:r w:rsidRPr="00C10381">
        <w:t xml:space="preserve">зания ограничены лицами, которые отдают распоряжение о применении пыток </w:t>
      </w:r>
      <w:r w:rsidRPr="00BC339A">
        <w:rPr>
          <w:spacing w:val="2"/>
        </w:rPr>
        <w:t>или непосредственно применяют пытки, но не распространяются на лиц,</w:t>
      </w:r>
      <w:r w:rsidRPr="00C10381">
        <w:t xml:space="preserve"> </w:t>
      </w:r>
      <w:r w:rsidRPr="00BC339A">
        <w:rPr>
          <w:spacing w:val="2"/>
        </w:rPr>
        <w:t>кот</w:t>
      </w:r>
      <w:r w:rsidRPr="00BC339A">
        <w:rPr>
          <w:spacing w:val="2"/>
        </w:rPr>
        <w:t>о</w:t>
      </w:r>
      <w:r w:rsidRPr="00BC339A">
        <w:rPr>
          <w:spacing w:val="2"/>
        </w:rPr>
        <w:t>рые иным образом являются соучастниками в совершении таких актов (статьи 1 и 4).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t>10.</w:t>
      </w:r>
      <w:r w:rsidRPr="00C10381">
        <w:tab/>
      </w:r>
      <w:r w:rsidRPr="00C10381">
        <w:rPr>
          <w:b/>
          <w:bCs/>
        </w:rPr>
        <w:t>Комитет настоятельно призывает государство-участник принять определение пыток, охватывающее все элементы, содержащиеся в статье 1 Конвенции, и обеспечить, чтобы применение пыток считалось уголовным преступлением, а наказания за применение пыток были соразмерны тяж</w:t>
      </w:r>
      <w:r w:rsidRPr="00C10381">
        <w:rPr>
          <w:b/>
          <w:bCs/>
        </w:rPr>
        <w:t>е</w:t>
      </w:r>
      <w:r w:rsidRPr="00C10381">
        <w:rPr>
          <w:b/>
          <w:bCs/>
        </w:rPr>
        <w:t xml:space="preserve">сти преступления в соответствии с пунктом 2 статьи 4 Конвенции и не подлежали амнистии или помилованию. Государству-участнику следует также обеспечить, чтобы определение пыток распространялось на всех </w:t>
      </w:r>
      <w:r w:rsidRPr="00C10381">
        <w:rPr>
          <w:b/>
          <w:bCs/>
        </w:rPr>
        <w:lastRenderedPageBreak/>
        <w:t>лиц, совершающих акты пыток, пытающихся совершить акты пыток, а также на тех, кто подстрекает к совершению таких актов, соглашается с совершением таких актов или потворс</w:t>
      </w:r>
      <w:r w:rsidR="00BC339A">
        <w:rPr>
          <w:b/>
          <w:bCs/>
        </w:rPr>
        <w:t>твует совершению таких актов. В </w:t>
      </w:r>
      <w:r w:rsidRPr="00C10381">
        <w:rPr>
          <w:b/>
          <w:bCs/>
        </w:rPr>
        <w:t>этой связи Комитет обращает внимание на свое замечание общего поря</w:t>
      </w:r>
      <w:r w:rsidRPr="00C10381">
        <w:rPr>
          <w:b/>
          <w:bCs/>
        </w:rPr>
        <w:t>д</w:t>
      </w:r>
      <w:r w:rsidRPr="00C10381">
        <w:rPr>
          <w:b/>
          <w:bCs/>
        </w:rPr>
        <w:t>ка № 2 (2007 год) об имплементации статьи 2 государствами-участниками, в котором говорится, что серьезные расхождения между определением, данным в Конвенции, и определениями, включенными во внутреннее з</w:t>
      </w:r>
      <w:r w:rsidRPr="00C10381">
        <w:rPr>
          <w:b/>
          <w:bCs/>
        </w:rPr>
        <w:t>а</w:t>
      </w:r>
      <w:r w:rsidRPr="00C10381">
        <w:rPr>
          <w:b/>
          <w:bCs/>
        </w:rPr>
        <w:t>конодательство, создают реальные или потенциальные лазейки для безн</w:t>
      </w:r>
      <w:r w:rsidRPr="00C10381">
        <w:rPr>
          <w:b/>
          <w:bCs/>
        </w:rPr>
        <w:t>а</w:t>
      </w:r>
      <w:r w:rsidRPr="00C10381">
        <w:rPr>
          <w:b/>
          <w:bCs/>
        </w:rPr>
        <w:t>казанности (пункт 9). Он рекомендует государству-участнику принять м</w:t>
      </w:r>
      <w:r w:rsidRPr="00C10381">
        <w:rPr>
          <w:b/>
          <w:bCs/>
        </w:rPr>
        <w:t>е</w:t>
      </w:r>
      <w:r w:rsidRPr="00C10381">
        <w:rPr>
          <w:b/>
          <w:bCs/>
        </w:rPr>
        <w:t>ры для включения в Уголовный кодекс положения об отсутствии срока давности за преступление пытки.</w:t>
      </w:r>
    </w:p>
    <w:p w:rsidR="00850C33" w:rsidRPr="00C10381" w:rsidRDefault="00850C33" w:rsidP="00C10381">
      <w:pPr>
        <w:pStyle w:val="H23GR"/>
      </w:pPr>
      <w:r w:rsidRPr="00C10381">
        <w:tab/>
      </w:r>
      <w:r w:rsidRPr="00C10381">
        <w:tab/>
        <w:t>Полное запрещение пыток</w:t>
      </w:r>
    </w:p>
    <w:p w:rsidR="00850C33" w:rsidRPr="00C10381" w:rsidRDefault="00850C33" w:rsidP="00C10381">
      <w:pPr>
        <w:pStyle w:val="SingleTxtGR"/>
      </w:pPr>
      <w:r w:rsidRPr="00C10381">
        <w:t>11.</w:t>
      </w:r>
      <w:r w:rsidRPr="00C10381">
        <w:tab/>
        <w:t>Комитет обеспокоен тем, что законодательство государства-участника не содержит четких положений, гарантирующих безусловное и полное запрещение пыток. Отмечая, что статья 61 Уголовного кодекса государства-участника предусматривает, что лицо не несет уголовной ответственности, если оно и</w:t>
      </w:r>
      <w:r w:rsidRPr="00C10381">
        <w:t>с</w:t>
      </w:r>
      <w:r w:rsidRPr="00C10381">
        <w:t>полняет приказ, выданный компетентным органом, который должен исполнят</w:t>
      </w:r>
      <w:r w:rsidR="00006BF5">
        <w:t>ь</w:t>
      </w:r>
      <w:r w:rsidRPr="00C10381">
        <w:t>ся по закону, если только этот приказ не является незаконным, Комитет выр</w:t>
      </w:r>
      <w:r w:rsidRPr="00C10381">
        <w:t>а</w:t>
      </w:r>
      <w:r w:rsidRPr="00C10381">
        <w:t>жает свою озабоченность в связи с отсутствием информации о том, существуют ли механизмы или процедуры для защиты подчиненных от репресалий, с тем чтобы они могли отказываться выполнять незакон</w:t>
      </w:r>
      <w:r w:rsidR="00C10381">
        <w:t>ные приказы на практике (статья</w:t>
      </w:r>
      <w:r w:rsidR="00C10381">
        <w:rPr>
          <w:lang w:val="en-US"/>
        </w:rPr>
        <w:t> </w:t>
      </w:r>
      <w:r w:rsidRPr="00C10381">
        <w:t>2).</w:t>
      </w:r>
    </w:p>
    <w:p w:rsidR="00850C33" w:rsidRPr="00C10381" w:rsidRDefault="00850C33" w:rsidP="00E93A45">
      <w:pPr>
        <w:pStyle w:val="SingleTxtGR"/>
        <w:rPr>
          <w:b/>
          <w:bCs/>
        </w:rPr>
      </w:pPr>
      <w:r w:rsidRPr="00C10381">
        <w:t>12.</w:t>
      </w:r>
      <w:r w:rsidRPr="00C10381">
        <w:tab/>
      </w:r>
      <w:r w:rsidRPr="00C10381">
        <w:rPr>
          <w:b/>
          <w:bCs/>
        </w:rPr>
        <w:t>Государству-участнику следует обеспечить включение принципа а</w:t>
      </w:r>
      <w:r w:rsidRPr="00C10381">
        <w:rPr>
          <w:b/>
          <w:bCs/>
        </w:rPr>
        <w:t>б</w:t>
      </w:r>
      <w:r w:rsidRPr="00C10381">
        <w:rPr>
          <w:b/>
          <w:bCs/>
        </w:rPr>
        <w:t xml:space="preserve">солютного запрещения пыток в свое законодательство и его </w:t>
      </w:r>
      <w:r w:rsidR="00E93A45">
        <w:rPr>
          <w:b/>
          <w:bCs/>
        </w:rPr>
        <w:t xml:space="preserve">строгое </w:t>
      </w:r>
      <w:r w:rsidRPr="00C10381">
        <w:rPr>
          <w:b/>
          <w:bCs/>
        </w:rPr>
        <w:t>пр</w:t>
      </w:r>
      <w:r w:rsidRPr="00C10381">
        <w:rPr>
          <w:b/>
          <w:bCs/>
        </w:rPr>
        <w:t>и</w:t>
      </w:r>
      <w:r w:rsidRPr="00C10381">
        <w:rPr>
          <w:b/>
          <w:bCs/>
        </w:rPr>
        <w:t>мен</w:t>
      </w:r>
      <w:r w:rsidR="00E93A45">
        <w:rPr>
          <w:b/>
          <w:bCs/>
        </w:rPr>
        <w:t>ение</w:t>
      </w:r>
      <w:r w:rsidRPr="00C10381">
        <w:rPr>
          <w:b/>
          <w:bCs/>
        </w:rPr>
        <w:t xml:space="preserve"> в соответствии с пунктом 2 статьи 2 Конвенции. Государству-участнику следует также обеспечить, чтобы приказ начальника не мог служить оправданием пыток и с этой целью создать механизм для защиты подчиненных, которые отказываются подчиняться такому приказу, и обе</w:t>
      </w:r>
      <w:r w:rsidRPr="00C10381">
        <w:rPr>
          <w:b/>
          <w:bCs/>
        </w:rPr>
        <w:t>с</w:t>
      </w:r>
      <w:r w:rsidRPr="00C10381">
        <w:rPr>
          <w:b/>
          <w:bCs/>
        </w:rPr>
        <w:t>печить, чтобы все сотрудники правоохранительных органов были инфо</w:t>
      </w:r>
      <w:r w:rsidRPr="00C10381">
        <w:rPr>
          <w:b/>
          <w:bCs/>
        </w:rPr>
        <w:t>р</w:t>
      </w:r>
      <w:r w:rsidRPr="00C10381">
        <w:rPr>
          <w:b/>
          <w:bCs/>
        </w:rPr>
        <w:t xml:space="preserve">мированы о запрете подчиняться незаконным приказам и осведомлены о </w:t>
      </w:r>
      <w:r w:rsidR="00E93A45">
        <w:rPr>
          <w:b/>
          <w:bCs/>
        </w:rPr>
        <w:t>созданных</w:t>
      </w:r>
      <w:r w:rsidRPr="00C10381">
        <w:rPr>
          <w:b/>
          <w:bCs/>
        </w:rPr>
        <w:t xml:space="preserve"> механизмах их защиты.</w:t>
      </w:r>
    </w:p>
    <w:p w:rsidR="00850C33" w:rsidRPr="00C10381" w:rsidRDefault="00850C33" w:rsidP="00C10381">
      <w:pPr>
        <w:pStyle w:val="H23GR"/>
      </w:pPr>
      <w:r w:rsidRPr="00C10381">
        <w:tab/>
      </w:r>
      <w:r w:rsidRPr="00C10381">
        <w:tab/>
        <w:t>Беженцы и запрет высылки</w:t>
      </w:r>
    </w:p>
    <w:p w:rsidR="00850C33" w:rsidRPr="00BC339A" w:rsidRDefault="00850C33" w:rsidP="00C10381">
      <w:pPr>
        <w:pStyle w:val="SingleTxtGR"/>
        <w:rPr>
          <w:spacing w:val="2"/>
        </w:rPr>
      </w:pPr>
      <w:r w:rsidRPr="00C10381">
        <w:t>13.</w:t>
      </w:r>
      <w:r w:rsidRPr="00C10381">
        <w:tab/>
        <w:t>Высоко оценивая усилия государства-участника по приему исключител</w:t>
      </w:r>
      <w:r w:rsidRPr="00C10381">
        <w:t>ь</w:t>
      </w:r>
      <w:r w:rsidRPr="00C10381">
        <w:t>но большого числа беженцев, спасающихся от вооруженных конфликтов в с</w:t>
      </w:r>
      <w:r w:rsidRPr="00C10381">
        <w:t>о</w:t>
      </w:r>
      <w:r w:rsidRPr="00C10381">
        <w:t>седних странах, Комитет выражает озабоченность по поводу условий жизни в лагерях беженцев, которые могут быть равносильны жестокому обращению. Принимая к сведению заявление делегации о том, что принцип невысылки применяется на практике, Комитет, тем не менее, по-прежнему обеспокоен с</w:t>
      </w:r>
      <w:r w:rsidRPr="00C10381">
        <w:t>о</w:t>
      </w:r>
      <w:r w:rsidRPr="00C10381">
        <w:t>общениями о непоследовательной политике в области пограничного контроля. В этой связи Комитет с озабоченностью отмечает политику государства-участника, не допускающую приема палестинских беженцев, спасающихся от конфликта в Сирии. Он также отмечает ряд случаев принудительного возвр</w:t>
      </w:r>
      <w:r w:rsidRPr="00C10381">
        <w:t>а</w:t>
      </w:r>
      <w:r w:rsidRPr="00C10381">
        <w:t>щения таких лиц в Сирию без необходимых индивидуальных процедур. Ком</w:t>
      </w:r>
      <w:r w:rsidRPr="00C10381">
        <w:t>и</w:t>
      </w:r>
      <w:r w:rsidRPr="00C10381">
        <w:t>тет обеспокоен также сообщениями о причас</w:t>
      </w:r>
      <w:r w:rsidR="00C10381">
        <w:t xml:space="preserve">тности государства-участника к </w:t>
      </w:r>
      <w:r w:rsidR="00C10381" w:rsidRPr="00BC339A">
        <w:t>«</w:t>
      </w:r>
      <w:r w:rsidRPr="00BC339A">
        <w:t>чрезвычайным выдач</w:t>
      </w:r>
      <w:r w:rsidR="00C10381" w:rsidRPr="00BC339A">
        <w:t>ам»</w:t>
      </w:r>
      <w:r w:rsidRPr="00BC339A">
        <w:rPr>
          <w:spacing w:val="2"/>
        </w:rPr>
        <w:t xml:space="preserve"> </w:t>
      </w:r>
      <w:r w:rsidRPr="00BC339A">
        <w:t>в контексте борьб</w:t>
      </w:r>
      <w:r w:rsidR="00BC339A" w:rsidRPr="00BC339A">
        <w:t>ы</w:t>
      </w:r>
      <w:r w:rsidR="00BC339A" w:rsidRPr="00BC339A">
        <w:rPr>
          <w:spacing w:val="2"/>
        </w:rPr>
        <w:t xml:space="preserve"> </w:t>
      </w:r>
      <w:r w:rsidR="00BC339A" w:rsidRPr="00BC339A">
        <w:t>с терроризмом</w:t>
      </w:r>
      <w:r w:rsidR="00BC339A" w:rsidRPr="00BC339A">
        <w:rPr>
          <w:spacing w:val="2"/>
        </w:rPr>
        <w:t xml:space="preserve"> (статьи 3, 12 и </w:t>
      </w:r>
      <w:r w:rsidRPr="00BC339A">
        <w:rPr>
          <w:spacing w:val="2"/>
        </w:rPr>
        <w:t>13).</w:t>
      </w:r>
    </w:p>
    <w:p w:rsidR="00850C33" w:rsidRPr="00C10381" w:rsidRDefault="00850C33" w:rsidP="00BC339A">
      <w:pPr>
        <w:pStyle w:val="SingleTxtGR"/>
        <w:keepNext/>
        <w:keepLines/>
        <w:rPr>
          <w:b/>
          <w:bCs/>
        </w:rPr>
      </w:pPr>
      <w:r w:rsidRPr="00C10381">
        <w:lastRenderedPageBreak/>
        <w:t>14.</w:t>
      </w:r>
      <w:r w:rsidRPr="00C10381">
        <w:tab/>
      </w:r>
      <w:r w:rsidRPr="00C10381">
        <w:rPr>
          <w:b/>
          <w:bCs/>
        </w:rPr>
        <w:t>Государству-участнику следует:</w:t>
      </w:r>
    </w:p>
    <w:p w:rsidR="00850C33" w:rsidRPr="00C10381" w:rsidRDefault="00850C33" w:rsidP="00BC339A">
      <w:pPr>
        <w:pStyle w:val="SingleTxtGR"/>
        <w:keepNext/>
        <w:keepLines/>
        <w:rPr>
          <w:b/>
          <w:bCs/>
        </w:rPr>
      </w:pPr>
      <w:r w:rsidRPr="00C10381">
        <w:rPr>
          <w:b/>
          <w:bCs/>
        </w:rPr>
        <w:tab/>
        <w:t>a)</w:t>
      </w:r>
      <w:r w:rsidRPr="00C10381">
        <w:rPr>
          <w:b/>
          <w:bCs/>
        </w:rPr>
        <w:tab/>
        <w:t>принять эффективные меры для улучшения условий жизни в лагерях беженцев;</w:t>
      </w:r>
    </w:p>
    <w:p w:rsidR="00850C33" w:rsidRPr="00C10381" w:rsidRDefault="00850C33" w:rsidP="00BC339A">
      <w:pPr>
        <w:pStyle w:val="SingleTxtGR"/>
        <w:keepNext/>
        <w:keepLines/>
        <w:rPr>
          <w:b/>
          <w:bCs/>
        </w:rPr>
      </w:pPr>
      <w:r w:rsidRPr="00C10381">
        <w:rPr>
          <w:b/>
          <w:bCs/>
        </w:rPr>
        <w:tab/>
        <w:t>b)</w:t>
      </w:r>
      <w:r w:rsidRPr="00C10381">
        <w:rPr>
          <w:b/>
          <w:bCs/>
        </w:rPr>
        <w:tab/>
        <w:t>укрепить свои национальные законодательные рамки посре</w:t>
      </w:r>
      <w:r w:rsidRPr="00C10381">
        <w:rPr>
          <w:b/>
          <w:bCs/>
        </w:rPr>
        <w:t>д</w:t>
      </w:r>
      <w:r w:rsidRPr="00C10381">
        <w:rPr>
          <w:b/>
          <w:bCs/>
        </w:rPr>
        <w:t>ством принятия всеобъемлющего закона об убежище, соответствующего междунаро</w:t>
      </w:r>
      <w:r w:rsidRPr="00C10381">
        <w:rPr>
          <w:b/>
          <w:bCs/>
        </w:rPr>
        <w:t>д</w:t>
      </w:r>
      <w:r w:rsidRPr="00C10381">
        <w:rPr>
          <w:b/>
          <w:bCs/>
        </w:rPr>
        <w:t>ным стандартам и статье 3 Конвенции;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rPr>
          <w:b/>
          <w:bCs/>
        </w:rPr>
        <w:tab/>
        <w:t>с)</w:t>
      </w:r>
      <w:r w:rsidRPr="00C10381">
        <w:rPr>
          <w:b/>
          <w:bCs/>
        </w:rPr>
        <w:tab/>
        <w:t>отменить политику, не допускающую приема палестинских б</w:t>
      </w:r>
      <w:r w:rsidRPr="00C10381">
        <w:rPr>
          <w:b/>
          <w:bCs/>
        </w:rPr>
        <w:t>е</w:t>
      </w:r>
      <w:r w:rsidRPr="00C10381">
        <w:rPr>
          <w:b/>
          <w:bCs/>
        </w:rPr>
        <w:t>женцев, спасающихся от конфликта в Сирии, и воздерживаться от их в</w:t>
      </w:r>
      <w:r w:rsidRPr="00C10381">
        <w:rPr>
          <w:b/>
          <w:bCs/>
        </w:rPr>
        <w:t>ы</w:t>
      </w:r>
      <w:r w:rsidRPr="00C10381">
        <w:rPr>
          <w:b/>
          <w:bCs/>
        </w:rPr>
        <w:t>сылки в Сирию, если они пересекают границы;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rPr>
          <w:b/>
          <w:bCs/>
        </w:rPr>
        <w:tab/>
        <w:t>d)</w:t>
      </w:r>
      <w:r w:rsidRPr="00C10381">
        <w:rPr>
          <w:b/>
          <w:bCs/>
        </w:rPr>
        <w:tab/>
        <w:t>обеспечить процессуальные гарантии запрещения высылки и эффективные средства правовой защиты в связи с жалобами, касающим</w:t>
      </w:r>
      <w:r w:rsidRPr="00C10381">
        <w:rPr>
          <w:b/>
          <w:bCs/>
        </w:rPr>
        <w:t>и</w:t>
      </w:r>
      <w:r w:rsidRPr="00C10381">
        <w:rPr>
          <w:b/>
          <w:bCs/>
        </w:rPr>
        <w:t>ся пр</w:t>
      </w:r>
      <w:r w:rsidRPr="00C10381">
        <w:rPr>
          <w:b/>
          <w:bCs/>
        </w:rPr>
        <w:t>и</w:t>
      </w:r>
      <w:r w:rsidRPr="00C10381">
        <w:rPr>
          <w:b/>
          <w:bCs/>
        </w:rPr>
        <w:t>нудительного возвращения, включая пересмотр решений об отказе в предоста</w:t>
      </w:r>
      <w:r w:rsidRPr="00C10381">
        <w:rPr>
          <w:b/>
          <w:bCs/>
        </w:rPr>
        <w:t>в</w:t>
      </w:r>
      <w:r w:rsidRPr="00C10381">
        <w:rPr>
          <w:b/>
          <w:bCs/>
        </w:rPr>
        <w:t>лении убежища независимым судебным органом;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rPr>
          <w:b/>
          <w:bCs/>
        </w:rPr>
        <w:tab/>
        <w:t>е)</w:t>
      </w:r>
      <w:r w:rsidRPr="00C10381">
        <w:rPr>
          <w:b/>
          <w:bCs/>
        </w:rPr>
        <w:tab/>
        <w:t>обеспечить, чтобы ни одно лицо, находящееся под его контр</w:t>
      </w:r>
      <w:r w:rsidRPr="00C10381">
        <w:rPr>
          <w:b/>
          <w:bCs/>
        </w:rPr>
        <w:t>о</w:t>
      </w:r>
      <w:r w:rsidRPr="00C10381">
        <w:rPr>
          <w:b/>
          <w:bCs/>
        </w:rPr>
        <w:t>лем,</w:t>
      </w:r>
      <w:r w:rsidR="00E93A45">
        <w:rPr>
          <w:b/>
          <w:bCs/>
        </w:rPr>
        <w:t xml:space="preserve"> в любое время не подвергалось «чрезвычайной выдаче»</w:t>
      </w:r>
      <w:r w:rsidRPr="00C10381">
        <w:rPr>
          <w:b/>
          <w:bCs/>
        </w:rPr>
        <w:t>; проводить эффективные и беспристрастные расс</w:t>
      </w:r>
      <w:r w:rsidR="00E93A45">
        <w:rPr>
          <w:b/>
          <w:bCs/>
        </w:rPr>
        <w:t>ледования любых случаев «</w:t>
      </w:r>
      <w:r w:rsidRPr="00C10381">
        <w:rPr>
          <w:b/>
          <w:bCs/>
        </w:rPr>
        <w:t>чрезв</w:t>
      </w:r>
      <w:r w:rsidRPr="00C10381">
        <w:rPr>
          <w:b/>
          <w:bCs/>
        </w:rPr>
        <w:t>ы</w:t>
      </w:r>
      <w:r w:rsidR="00E93A45">
        <w:rPr>
          <w:b/>
          <w:bCs/>
        </w:rPr>
        <w:t>чайной выдачи»</w:t>
      </w:r>
      <w:r w:rsidRPr="00C10381">
        <w:rPr>
          <w:b/>
          <w:bCs/>
        </w:rPr>
        <w:t>, в которых государство-участник, возможно, сыгр</w:t>
      </w:r>
      <w:r w:rsidR="00E93A45">
        <w:rPr>
          <w:b/>
          <w:bCs/>
        </w:rPr>
        <w:t>ало определенную роль; и проясня</w:t>
      </w:r>
      <w:r w:rsidRPr="00C10381">
        <w:rPr>
          <w:b/>
          <w:bCs/>
        </w:rPr>
        <w:t>ть обстоятельства таких случаев. Госуда</w:t>
      </w:r>
      <w:r w:rsidRPr="00C10381">
        <w:rPr>
          <w:b/>
          <w:bCs/>
        </w:rPr>
        <w:t>р</w:t>
      </w:r>
      <w:r w:rsidRPr="00C10381">
        <w:rPr>
          <w:b/>
          <w:bCs/>
        </w:rPr>
        <w:t>ству-участнику следует также преследовать в уголовном порядке и нак</w:t>
      </w:r>
      <w:r w:rsidRPr="00C10381">
        <w:rPr>
          <w:b/>
          <w:bCs/>
        </w:rPr>
        <w:t>а</w:t>
      </w:r>
      <w:r w:rsidRPr="00C10381">
        <w:rPr>
          <w:b/>
          <w:bCs/>
        </w:rPr>
        <w:t>зывать лиц, ответственных за такие выдачи, и обеспечивать компенсацию поте</w:t>
      </w:r>
      <w:r w:rsidRPr="00C10381">
        <w:rPr>
          <w:b/>
          <w:bCs/>
        </w:rPr>
        <w:t>р</w:t>
      </w:r>
      <w:r w:rsidRPr="00C10381">
        <w:rPr>
          <w:b/>
          <w:bCs/>
        </w:rPr>
        <w:t>певшим;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rPr>
          <w:b/>
          <w:bCs/>
        </w:rPr>
        <w:tab/>
        <w:t>f)</w:t>
      </w:r>
      <w:r w:rsidRPr="00C10381">
        <w:rPr>
          <w:b/>
          <w:bCs/>
        </w:rPr>
        <w:tab/>
        <w:t>рассмотреть возможность ратификации Конвенции 1951 года о статусе беженцев, Протокола 1967 года о с</w:t>
      </w:r>
      <w:r w:rsidR="00BC339A">
        <w:rPr>
          <w:b/>
          <w:bCs/>
        </w:rPr>
        <w:t>татусе беженцев, Конвенции 1954 </w:t>
      </w:r>
      <w:r w:rsidRPr="00C10381">
        <w:rPr>
          <w:b/>
          <w:bCs/>
        </w:rPr>
        <w:t>года о статусе апатридов и Конвенции 1961 года о сокращении бе</w:t>
      </w:r>
      <w:r w:rsidRPr="00C10381">
        <w:rPr>
          <w:b/>
          <w:bCs/>
        </w:rPr>
        <w:t>з</w:t>
      </w:r>
      <w:r w:rsidRPr="00C10381">
        <w:rPr>
          <w:b/>
          <w:bCs/>
        </w:rPr>
        <w:t>гражданства.</w:t>
      </w:r>
    </w:p>
    <w:p w:rsidR="00850C33" w:rsidRPr="00C10381" w:rsidRDefault="00850C33" w:rsidP="00C10381">
      <w:pPr>
        <w:pStyle w:val="H23GR"/>
      </w:pPr>
      <w:r w:rsidRPr="00C10381">
        <w:tab/>
      </w:r>
      <w:r w:rsidRPr="00C10381">
        <w:tab/>
        <w:t>Лишение гражданства или идентификационного номера граждан</w:t>
      </w:r>
      <w:r w:rsidRPr="00C10381">
        <w:t>и</w:t>
      </w:r>
      <w:r w:rsidRPr="00C10381">
        <w:t>на</w:t>
      </w:r>
    </w:p>
    <w:p w:rsidR="00850C33" w:rsidRPr="00C10381" w:rsidRDefault="00850C33" w:rsidP="00C10381">
      <w:pPr>
        <w:pStyle w:val="SingleTxtGR"/>
      </w:pPr>
      <w:r w:rsidRPr="00C10381">
        <w:t>15.</w:t>
      </w:r>
      <w:r w:rsidRPr="00C10381">
        <w:tab/>
        <w:t>Несмотря на разъяснения, представленные делегацией, Комитет по-прежнему обеспокоен сообщениями, указывающими на произвольное лишение гражданства или лишение идентификационного номера гражданина иорданцев палестинского происхождения, что подвергает их риску незаконной высылки и</w:t>
      </w:r>
      <w:r w:rsidR="00E93A45">
        <w:t xml:space="preserve"> нарушения их прав, в частности</w:t>
      </w:r>
      <w:r w:rsidRPr="00C10381">
        <w:t xml:space="preserve"> прав на образование и здравоохранение (ст</w:t>
      </w:r>
      <w:r w:rsidRPr="00C10381">
        <w:t>а</w:t>
      </w:r>
      <w:r w:rsidR="00BC339A">
        <w:t>тьи </w:t>
      </w:r>
      <w:r w:rsidRPr="00C10381">
        <w:t>3 и 16).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t>16.</w:t>
      </w:r>
      <w:r w:rsidRPr="00C10381">
        <w:tab/>
      </w:r>
      <w:r w:rsidRPr="00C10381">
        <w:rPr>
          <w:b/>
          <w:bCs/>
        </w:rPr>
        <w:t>Комитет повторяет свою предыдущую рекомендацию (CAT/C/JOR/</w:t>
      </w:r>
      <w:r w:rsidR="00BC339A">
        <w:rPr>
          <w:b/>
          <w:bCs/>
        </w:rPr>
        <w:br/>
      </w:r>
      <w:r w:rsidRPr="00C10381">
        <w:rPr>
          <w:b/>
          <w:bCs/>
        </w:rPr>
        <w:t>CO/2, пункт 24) положить конец произвольному лишению иорданцев пал</w:t>
      </w:r>
      <w:r w:rsidRPr="00C10381">
        <w:rPr>
          <w:b/>
          <w:bCs/>
        </w:rPr>
        <w:t>е</w:t>
      </w:r>
      <w:r w:rsidRPr="00C10381">
        <w:rPr>
          <w:b/>
          <w:bCs/>
        </w:rPr>
        <w:t>стинского происхождения идентификационных номеров гражданина. Гос</w:t>
      </w:r>
      <w:r w:rsidRPr="00C10381">
        <w:rPr>
          <w:b/>
          <w:bCs/>
        </w:rPr>
        <w:t>у</w:t>
      </w:r>
      <w:r w:rsidRPr="00C10381">
        <w:rPr>
          <w:b/>
          <w:bCs/>
        </w:rPr>
        <w:t>дарство-участник должно также обеспечить, чтобы решения, касающиеся аннулирования гражданства, принимались компетентным органом и не противоречили соответствующим международным критериям, включая право соответствующих лиц быть выслушанными и оспаривать такие р</w:t>
      </w:r>
      <w:r w:rsidRPr="00C10381">
        <w:rPr>
          <w:b/>
          <w:bCs/>
        </w:rPr>
        <w:t>е</w:t>
      </w:r>
      <w:r w:rsidRPr="00C10381">
        <w:rPr>
          <w:b/>
          <w:bCs/>
        </w:rPr>
        <w:t>шения.</w:t>
      </w:r>
    </w:p>
    <w:p w:rsidR="00850C33" w:rsidRPr="00C10381" w:rsidRDefault="00850C33" w:rsidP="00C10381">
      <w:pPr>
        <w:pStyle w:val="H23GR"/>
      </w:pPr>
      <w:r w:rsidRPr="00C10381">
        <w:tab/>
      </w:r>
      <w:r w:rsidRPr="00C10381">
        <w:tab/>
        <w:t>Основные правовые гарантии</w:t>
      </w:r>
    </w:p>
    <w:p w:rsidR="00850C33" w:rsidRPr="00C10381" w:rsidRDefault="00850C33" w:rsidP="00C10381">
      <w:pPr>
        <w:pStyle w:val="SingleTxtGR"/>
      </w:pPr>
      <w:r w:rsidRPr="00C10381">
        <w:t>17.</w:t>
      </w:r>
      <w:r w:rsidRPr="00C10381">
        <w:tab/>
        <w:t>Комитет принимает к сведению процедурные гарантии, предусмотре</w:t>
      </w:r>
      <w:r w:rsidRPr="00C10381">
        <w:t>н</w:t>
      </w:r>
      <w:r w:rsidRPr="00C10381">
        <w:t>ные, в частности, статьями 100 и 113 Уголовно-процес</w:t>
      </w:r>
      <w:r w:rsidR="007E26F8">
        <w:t>суального кодекса. Тем не менее</w:t>
      </w:r>
      <w:r w:rsidRPr="00C10381">
        <w:t xml:space="preserve"> он сожалеет по поводу отсутствия четкого положения о праве на д</w:t>
      </w:r>
      <w:r w:rsidRPr="00C10381">
        <w:t>о</w:t>
      </w:r>
      <w:r w:rsidRPr="00C10381">
        <w:t>ступ к адвокату сразу после ареста; по поводу того, что статьи 63 (2) и 64 (3) Уголовно-процессуального кодекса позволяют допрашивать задерж</w:t>
      </w:r>
      <w:r w:rsidR="00C10381">
        <w:t>анных без присутствия адвоката «</w:t>
      </w:r>
      <w:r w:rsidRPr="00C10381">
        <w:t xml:space="preserve">в </w:t>
      </w:r>
      <w:r w:rsidR="00C10381">
        <w:t>безотлагательных случаях»</w:t>
      </w:r>
      <w:r w:rsidRPr="00C10381">
        <w:t>; и по поводу того, что ст</w:t>
      </w:r>
      <w:r w:rsidRPr="00C10381">
        <w:t>а</w:t>
      </w:r>
      <w:r w:rsidRPr="00C10381">
        <w:lastRenderedPageBreak/>
        <w:t>тья 66 (1) Кодекса позволяет государственному прокурору запретить коммун</w:t>
      </w:r>
      <w:r w:rsidRPr="00C10381">
        <w:t>и</w:t>
      </w:r>
      <w:r w:rsidRPr="00C10381">
        <w:t>кацию с задержанным на период до 10 дней, который может быть продлен. К</w:t>
      </w:r>
      <w:r w:rsidRPr="00C10381">
        <w:t>о</w:t>
      </w:r>
      <w:r w:rsidRPr="00C10381">
        <w:t>митет обеспокоен тем, что государство-участник не обеспечивает применение этих и других основополагающих правовых гарантий для предотвращения п</w:t>
      </w:r>
      <w:r w:rsidRPr="00C10381">
        <w:t>ы</w:t>
      </w:r>
      <w:r w:rsidRPr="00C10381">
        <w:t>ток и же</w:t>
      </w:r>
      <w:r w:rsidR="007E26F8">
        <w:t>стокого обращения. В этой связи</w:t>
      </w:r>
      <w:r w:rsidRPr="00C10381">
        <w:t xml:space="preserve"> Комитет обеспокоен постоянными с</w:t>
      </w:r>
      <w:r w:rsidRPr="00C10381">
        <w:t>о</w:t>
      </w:r>
      <w:r w:rsidRPr="00C10381">
        <w:t>общениями о том, что задержанные, в частности, содержащиеся в учрежд</w:t>
      </w:r>
      <w:r w:rsidRPr="00C10381">
        <w:t>е</w:t>
      </w:r>
      <w:r w:rsidRPr="00C10381">
        <w:t>ниях Главного управления разведки и Управления общественной безопасности, часто лишены возможности своевременного доступа к адвокату и врачу, а также л</w:t>
      </w:r>
      <w:r w:rsidRPr="00C10381">
        <w:t>и</w:t>
      </w:r>
      <w:r w:rsidRPr="00C10381">
        <w:t>шены права уведомить о своем задержании лицо по своему выбору. Он также обеспокоен сообщениями о неисполнении требования о доставке задержанных в компетентный орган в течение 24 часов и необеспечении конфиденциальн</w:t>
      </w:r>
      <w:r w:rsidRPr="00C10381">
        <w:t>о</w:t>
      </w:r>
      <w:r w:rsidRPr="00C10381">
        <w:t>сти консультаций между клиентом и адвокатом (статья 2).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t>18.</w:t>
      </w:r>
      <w:r w:rsidRPr="00C10381">
        <w:tab/>
      </w:r>
      <w:r w:rsidRPr="00C10381">
        <w:rPr>
          <w:b/>
          <w:bCs/>
        </w:rPr>
        <w:t>Государству-участнику следует обеспечить, чтобы всем задержанным с момента их лишения свободы обеспечивались, по закону и на практике, все основные правовые гарантии, включая незамедлительный доступ к а</w:t>
      </w:r>
      <w:r w:rsidRPr="00C10381">
        <w:rPr>
          <w:b/>
          <w:bCs/>
        </w:rPr>
        <w:t>д</w:t>
      </w:r>
      <w:r w:rsidRPr="00C10381">
        <w:rPr>
          <w:b/>
          <w:bCs/>
        </w:rPr>
        <w:t>вокату; незамедлительный доступ к независимому врачу безотносительно к любому медицинскому осмотру, который может проводиться по требов</w:t>
      </w:r>
      <w:r w:rsidRPr="00C10381">
        <w:rPr>
          <w:b/>
          <w:bCs/>
        </w:rPr>
        <w:t>а</w:t>
      </w:r>
      <w:r w:rsidRPr="00C10381">
        <w:rPr>
          <w:b/>
          <w:bCs/>
        </w:rPr>
        <w:t>нию властей; получение информации о причинах ареста и характере л</w:t>
      </w:r>
      <w:r w:rsidRPr="00C10381">
        <w:rPr>
          <w:b/>
          <w:bCs/>
        </w:rPr>
        <w:t>ю</w:t>
      </w:r>
      <w:r w:rsidRPr="00C10381">
        <w:rPr>
          <w:b/>
          <w:bCs/>
        </w:rPr>
        <w:t>бых обвинений пр</w:t>
      </w:r>
      <w:r w:rsidRPr="00C10381">
        <w:rPr>
          <w:b/>
          <w:bCs/>
        </w:rPr>
        <w:t>о</w:t>
      </w:r>
      <w:r w:rsidRPr="00C10381">
        <w:rPr>
          <w:b/>
          <w:bCs/>
        </w:rPr>
        <w:t>тив них на языке, который они понимают; регистрацию в месте содержания под стражей; возможность незамедлительно сообщить близкому родственнику или третьей стороне о своем аресте; незамедл</w:t>
      </w:r>
      <w:r w:rsidRPr="00C10381">
        <w:rPr>
          <w:b/>
          <w:bCs/>
        </w:rPr>
        <w:t>и</w:t>
      </w:r>
      <w:r w:rsidRPr="00C10381">
        <w:rPr>
          <w:b/>
          <w:bCs/>
        </w:rPr>
        <w:t>тельную доставку к судье; и конфиденциальные консультации с адвокат</w:t>
      </w:r>
      <w:r w:rsidRPr="00C10381">
        <w:rPr>
          <w:b/>
          <w:bCs/>
        </w:rPr>
        <w:t>а</w:t>
      </w:r>
      <w:r w:rsidRPr="00C10381">
        <w:rPr>
          <w:b/>
          <w:bCs/>
        </w:rPr>
        <w:t>ми.</w:t>
      </w:r>
    </w:p>
    <w:p w:rsidR="00850C33" w:rsidRPr="00C10381" w:rsidRDefault="00850C33" w:rsidP="00E93A45">
      <w:pPr>
        <w:pStyle w:val="H23GR"/>
      </w:pPr>
      <w:r w:rsidRPr="00C10381">
        <w:tab/>
      </w:r>
      <w:r w:rsidRPr="00C10381">
        <w:tab/>
        <w:t xml:space="preserve">Досудебное </w:t>
      </w:r>
      <w:r w:rsidR="00E93A45">
        <w:t>содержание под стражей</w:t>
      </w:r>
    </w:p>
    <w:p w:rsidR="00850C33" w:rsidRPr="00C10381" w:rsidRDefault="00850C33" w:rsidP="00C10381">
      <w:pPr>
        <w:pStyle w:val="SingleTxtGR"/>
      </w:pPr>
      <w:r w:rsidRPr="00C10381">
        <w:t>19.</w:t>
      </w:r>
      <w:r w:rsidRPr="00C10381">
        <w:tab/>
        <w:t>Комитет обеспокоен по поводу большого числа лиц, находящихся под стражей до суда. Он также обеспокоен тем, что в результате этого такие закл</w:t>
      </w:r>
      <w:r w:rsidRPr="00C10381">
        <w:t>ю</w:t>
      </w:r>
      <w:r w:rsidRPr="00C10381">
        <w:t>ченные не отделяются систематически от осужденных заключенных, а дети не отделяются от взрослых (статьи 2, 11 и 16).</w:t>
      </w:r>
    </w:p>
    <w:p w:rsidR="00850C33" w:rsidRPr="00C10381" w:rsidRDefault="00850C33" w:rsidP="00E93A45">
      <w:pPr>
        <w:pStyle w:val="SingleTxtGR"/>
      </w:pPr>
      <w:r w:rsidRPr="00C10381">
        <w:t>20.</w:t>
      </w:r>
      <w:r w:rsidRPr="00C10381">
        <w:tab/>
      </w:r>
      <w:r w:rsidRPr="00C10381">
        <w:rPr>
          <w:b/>
          <w:bCs/>
        </w:rPr>
        <w:t xml:space="preserve">Комитет рекомендует государству-участнику активизировать свои усилия по сокращению числа лиц, </w:t>
      </w:r>
      <w:r w:rsidR="00E93A45">
        <w:rPr>
          <w:b/>
          <w:bCs/>
        </w:rPr>
        <w:t>содержащихся</w:t>
      </w:r>
      <w:r w:rsidRPr="00C10381">
        <w:rPr>
          <w:b/>
          <w:bCs/>
        </w:rPr>
        <w:t xml:space="preserve"> п</w:t>
      </w:r>
      <w:r w:rsidR="00E93A45">
        <w:rPr>
          <w:b/>
          <w:bCs/>
        </w:rPr>
        <w:t>од стражей</w:t>
      </w:r>
      <w:r w:rsidRPr="00C10381">
        <w:rPr>
          <w:b/>
          <w:bCs/>
        </w:rPr>
        <w:t xml:space="preserve"> до суда, в том числе путем применения альтернатив тюремному заключению. Гос</w:t>
      </w:r>
      <w:r w:rsidRPr="00C10381">
        <w:rPr>
          <w:b/>
          <w:bCs/>
        </w:rPr>
        <w:t>у</w:t>
      </w:r>
      <w:r w:rsidRPr="00C10381">
        <w:rPr>
          <w:b/>
          <w:bCs/>
        </w:rPr>
        <w:t>дарству-участнику следует также обеспечить отдельное содержание заде</w:t>
      </w:r>
      <w:r w:rsidRPr="00C10381">
        <w:rPr>
          <w:b/>
          <w:bCs/>
        </w:rPr>
        <w:t>р</w:t>
      </w:r>
      <w:r w:rsidRPr="00C10381">
        <w:rPr>
          <w:b/>
          <w:bCs/>
        </w:rPr>
        <w:t>жанных до суда и осужденных заключенных и отделение несовершенноле</w:t>
      </w:r>
      <w:r w:rsidRPr="00C10381">
        <w:rPr>
          <w:b/>
          <w:bCs/>
        </w:rPr>
        <w:t>т</w:t>
      </w:r>
      <w:r w:rsidRPr="00C10381">
        <w:rPr>
          <w:b/>
          <w:bCs/>
        </w:rPr>
        <w:t>них от взрослых во всех местах содержания под стражей.</w:t>
      </w:r>
    </w:p>
    <w:p w:rsidR="00850C33" w:rsidRPr="00C10381" w:rsidRDefault="00850C33" w:rsidP="00C10381">
      <w:pPr>
        <w:pStyle w:val="H23GR"/>
      </w:pPr>
      <w:r w:rsidRPr="00C10381">
        <w:tab/>
      </w:r>
      <w:r w:rsidRPr="00C10381">
        <w:tab/>
        <w:t>Административное задержание</w:t>
      </w:r>
    </w:p>
    <w:p w:rsidR="00850C33" w:rsidRPr="00C10381" w:rsidRDefault="00850C33" w:rsidP="00C10381">
      <w:pPr>
        <w:pStyle w:val="SingleTxtGR"/>
      </w:pPr>
      <w:r w:rsidRPr="00C10381">
        <w:t>21.</w:t>
      </w:r>
      <w:r w:rsidRPr="00C10381">
        <w:tab/>
        <w:t>Комитет крайне обеспокоен постоянным использованием государством-участником мер административного задержания согласно Закону о профилакт</w:t>
      </w:r>
      <w:r w:rsidRPr="00C10381">
        <w:t>и</w:t>
      </w:r>
      <w:r w:rsidRPr="00C10381">
        <w:t>ке преступлений (1954 года), который допускает содержание под стражей без предъявления обвинения и порождае</w:t>
      </w:r>
      <w:r w:rsidR="007E26F8">
        <w:t>т вопросы в отношении разделени</w:t>
      </w:r>
      <w:r w:rsidR="00006BF5">
        <w:t>я</w:t>
      </w:r>
      <w:r w:rsidRPr="00C10381">
        <w:t xml:space="preserve"> полн</w:t>
      </w:r>
      <w:r w:rsidRPr="00C10381">
        <w:t>о</w:t>
      </w:r>
      <w:r w:rsidRPr="00C10381">
        <w:t>мочий между исполнительной и судебной ветвями власти. Комитет особенно обеспокоен растущим числом лиц, задержанных в административном порядке на длительные периоды времени, в течение которых задержанные лишены пр</w:t>
      </w:r>
      <w:r w:rsidRPr="00C10381">
        <w:t>о</w:t>
      </w:r>
      <w:r w:rsidRPr="00C10381">
        <w:t>цессуальных гарантий. Он также обеспокоен тем, что административное заде</w:t>
      </w:r>
      <w:r w:rsidRPr="00C10381">
        <w:t>р</w:t>
      </w:r>
      <w:r w:rsidRPr="00C10381">
        <w:t>жание используется, в частности, в отношении женщин и девочек, ставших жертвами насилия, под предлогом их защиты, а также в отношении трудящи</w:t>
      </w:r>
      <w:r w:rsidRPr="00C10381">
        <w:t>х</w:t>
      </w:r>
      <w:r w:rsidRPr="00C10381">
        <w:t>ся-мигрантов, сбежавших от жестоко обращающихся с ними работодателей (статьи 1, 2, 11 и 16).</w:t>
      </w:r>
    </w:p>
    <w:p w:rsidR="00850C33" w:rsidRPr="00C10381" w:rsidRDefault="00850C33" w:rsidP="00BC339A">
      <w:pPr>
        <w:pStyle w:val="SingleTxtGR"/>
        <w:keepNext/>
        <w:keepLines/>
        <w:rPr>
          <w:b/>
          <w:bCs/>
        </w:rPr>
      </w:pPr>
      <w:r w:rsidRPr="00C10381">
        <w:lastRenderedPageBreak/>
        <w:t>22.</w:t>
      </w:r>
      <w:r w:rsidRPr="00C10381">
        <w:tab/>
      </w:r>
      <w:r w:rsidRPr="00C10381">
        <w:rPr>
          <w:b/>
          <w:bCs/>
        </w:rPr>
        <w:t>Комитет повторяет свою предыдущую рекомендацию (CAT/C/JOR/</w:t>
      </w:r>
      <w:r w:rsidR="00BC339A">
        <w:rPr>
          <w:b/>
          <w:bCs/>
        </w:rPr>
        <w:br/>
      </w:r>
      <w:r w:rsidRPr="00C10381">
        <w:rPr>
          <w:b/>
          <w:bCs/>
        </w:rPr>
        <w:t>CO/2, пункт 13) отменить практику административного задержания, включая, в частности</w:t>
      </w:r>
      <w:r w:rsidR="00E93A45">
        <w:rPr>
          <w:b/>
          <w:bCs/>
        </w:rPr>
        <w:t>,</w:t>
      </w:r>
      <w:r w:rsidRPr="00C10381">
        <w:rPr>
          <w:b/>
          <w:bCs/>
        </w:rPr>
        <w:t xml:space="preserve"> задержание женщин и девочек, ставших жертвами насилия, в </w:t>
      </w:r>
      <w:r w:rsidR="00C10381">
        <w:rPr>
          <w:b/>
          <w:bCs/>
        </w:rPr>
        <w:t>рамках «</w:t>
      </w:r>
      <w:r w:rsidRPr="00C10381">
        <w:rPr>
          <w:b/>
          <w:bCs/>
        </w:rPr>
        <w:t>за</w:t>
      </w:r>
      <w:r w:rsidR="00C10381">
        <w:rPr>
          <w:b/>
          <w:bCs/>
        </w:rPr>
        <w:t>держания в целях защиты»</w:t>
      </w:r>
      <w:r w:rsidRPr="00C10381">
        <w:rPr>
          <w:b/>
          <w:bCs/>
        </w:rPr>
        <w:t>, а также тр</w:t>
      </w:r>
      <w:r w:rsidRPr="00C10381">
        <w:rPr>
          <w:b/>
          <w:bCs/>
        </w:rPr>
        <w:t>у</w:t>
      </w:r>
      <w:r w:rsidRPr="00C10381">
        <w:rPr>
          <w:b/>
          <w:bCs/>
        </w:rPr>
        <w:t>дящихся-мигрантов, сбежавших от жестоко обращавшихся с ними работодателей. Следует также обеспечить обязательное применение всех основных проце</w:t>
      </w:r>
      <w:r w:rsidRPr="00C10381">
        <w:rPr>
          <w:b/>
          <w:bCs/>
        </w:rPr>
        <w:t>с</w:t>
      </w:r>
      <w:r w:rsidRPr="00C10381">
        <w:rPr>
          <w:b/>
          <w:bCs/>
        </w:rPr>
        <w:t>суальных гарантий для всех задержанных. Государству-участнику следует принять незамедлительные меры для внесения поправок в Закон о проф</w:t>
      </w:r>
      <w:r w:rsidRPr="00C10381">
        <w:rPr>
          <w:b/>
          <w:bCs/>
        </w:rPr>
        <w:t>и</w:t>
      </w:r>
      <w:r w:rsidRPr="00C10381">
        <w:rPr>
          <w:b/>
          <w:bCs/>
        </w:rPr>
        <w:t>лактике преступлений с целью приведения его в соответствие с междун</w:t>
      </w:r>
      <w:r w:rsidRPr="00C10381">
        <w:rPr>
          <w:b/>
          <w:bCs/>
        </w:rPr>
        <w:t>а</w:t>
      </w:r>
      <w:r w:rsidRPr="00C10381">
        <w:rPr>
          <w:b/>
          <w:bCs/>
        </w:rPr>
        <w:t>родными стандартами в области прав человека и обязательствами госуда</w:t>
      </w:r>
      <w:r w:rsidRPr="00C10381">
        <w:rPr>
          <w:b/>
          <w:bCs/>
        </w:rPr>
        <w:t>р</w:t>
      </w:r>
      <w:r w:rsidRPr="00C10381">
        <w:rPr>
          <w:b/>
          <w:bCs/>
        </w:rPr>
        <w:t>ства-участника по Конвенции; в качестве альтернат</w:t>
      </w:r>
      <w:r w:rsidRPr="00C10381">
        <w:rPr>
          <w:b/>
          <w:bCs/>
        </w:rPr>
        <w:t>и</w:t>
      </w:r>
      <w:r w:rsidRPr="00C10381">
        <w:rPr>
          <w:b/>
          <w:bCs/>
        </w:rPr>
        <w:t>вы государству-участнику следует отменить Закон о профилактике пр</w:t>
      </w:r>
      <w:r w:rsidRPr="00C10381">
        <w:rPr>
          <w:b/>
          <w:bCs/>
        </w:rPr>
        <w:t>е</w:t>
      </w:r>
      <w:r w:rsidRPr="00C10381">
        <w:rPr>
          <w:b/>
          <w:bCs/>
        </w:rPr>
        <w:t>ступлений.</w:t>
      </w:r>
    </w:p>
    <w:p w:rsidR="00850C33" w:rsidRPr="00C10381" w:rsidRDefault="00850C33" w:rsidP="00C10381">
      <w:pPr>
        <w:pStyle w:val="H23GR"/>
      </w:pPr>
      <w:r w:rsidRPr="00C10381">
        <w:tab/>
      </w:r>
      <w:r w:rsidRPr="00C10381">
        <w:tab/>
        <w:t>Сообщения о пытках и жестоком обращении</w:t>
      </w:r>
    </w:p>
    <w:p w:rsidR="00850C33" w:rsidRPr="00C10381" w:rsidRDefault="00850C33" w:rsidP="00C10381">
      <w:pPr>
        <w:pStyle w:val="SingleTxtGR"/>
      </w:pPr>
      <w:r w:rsidRPr="00C10381">
        <w:t>23.</w:t>
      </w:r>
      <w:r w:rsidRPr="00C10381">
        <w:tab/>
        <w:t>Комитет обеспокоен постоянными сообщениями о широко распростр</w:t>
      </w:r>
      <w:r w:rsidRPr="00C10381">
        <w:t>а</w:t>
      </w:r>
      <w:r w:rsidRPr="00C10381">
        <w:t>ненной практике пыток и жестокого обращения с подозреваемыми со стороны сотрудников органов безопасности и правоохранительных органов, особенно в местах содержания под стражей, контролируемых Генеральным управлением разведки, а также Департаментом уголовных расследований и Департаментом по борьбе с наркотиками Управления общественной безопасности, главным о</w:t>
      </w:r>
      <w:r w:rsidRPr="00C10381">
        <w:t>б</w:t>
      </w:r>
      <w:r w:rsidRPr="00C10381">
        <w:t>разом для получения признаний или информации, которые будут использоват</w:t>
      </w:r>
      <w:r w:rsidRPr="00C10381">
        <w:t>ь</w:t>
      </w:r>
      <w:r w:rsidRPr="00C10381">
        <w:t>ся в уголовном судопроизводстве (статьи 1, 2, 4, 11, 12, 13, 15 и 16).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t>24.</w:t>
      </w:r>
      <w:r w:rsidRPr="00C10381">
        <w:tab/>
      </w:r>
      <w:r w:rsidRPr="00C10381">
        <w:rPr>
          <w:b/>
          <w:bCs/>
        </w:rPr>
        <w:t>Комитет повторяет свои предыдущие рекомендации (CAT/C/JOR/</w:t>
      </w:r>
      <w:r w:rsidR="00BC339A">
        <w:rPr>
          <w:b/>
          <w:bCs/>
        </w:rPr>
        <w:br/>
      </w:r>
      <w:r w:rsidRPr="00C10381">
        <w:rPr>
          <w:b/>
          <w:bCs/>
        </w:rPr>
        <w:t>CO/2, пункт 16) поместить все департаменты государств</w:t>
      </w:r>
      <w:r w:rsidR="00E93A45">
        <w:rPr>
          <w:b/>
          <w:bCs/>
        </w:rPr>
        <w:t>енной безопасн</w:t>
      </w:r>
      <w:r w:rsidR="00E93A45">
        <w:rPr>
          <w:b/>
          <w:bCs/>
        </w:rPr>
        <w:t>о</w:t>
      </w:r>
      <w:r w:rsidR="00E93A45">
        <w:rPr>
          <w:b/>
          <w:bCs/>
        </w:rPr>
        <w:t>сти, в частности</w:t>
      </w:r>
      <w:r w:rsidRPr="00C10381">
        <w:rPr>
          <w:b/>
          <w:bCs/>
        </w:rPr>
        <w:t xml:space="preserve"> Генеральное управление разведки, под гражданское управление и надзор, а также ограничить полномочия Управления. Кроме того, Комитет настоятельно призывает государство-участник: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rPr>
          <w:b/>
          <w:bCs/>
        </w:rPr>
        <w:tab/>
        <w:t>a)</w:t>
      </w:r>
      <w:r w:rsidRPr="00C10381">
        <w:rPr>
          <w:b/>
          <w:bCs/>
        </w:rPr>
        <w:tab/>
        <w:t>обеспечить, чтобы все случаи пыток и неправомерного обр</w:t>
      </w:r>
      <w:r w:rsidRPr="00C10381">
        <w:rPr>
          <w:b/>
          <w:bCs/>
        </w:rPr>
        <w:t>а</w:t>
      </w:r>
      <w:r w:rsidR="00E93A45">
        <w:rPr>
          <w:b/>
          <w:bCs/>
        </w:rPr>
        <w:t>щения, а также сообщения о них</w:t>
      </w:r>
      <w:r w:rsidRPr="00C10381">
        <w:rPr>
          <w:b/>
          <w:bCs/>
        </w:rPr>
        <w:t xml:space="preserve"> оперативно, эффективно и беспристрас</w:t>
      </w:r>
      <w:r w:rsidRPr="00C10381">
        <w:rPr>
          <w:b/>
          <w:bCs/>
        </w:rPr>
        <w:t>т</w:t>
      </w:r>
      <w:r w:rsidRPr="00C10381">
        <w:rPr>
          <w:b/>
          <w:bCs/>
        </w:rPr>
        <w:t>но расслед</w:t>
      </w:r>
      <w:r w:rsidRPr="00C10381">
        <w:rPr>
          <w:b/>
          <w:bCs/>
        </w:rPr>
        <w:t>о</w:t>
      </w:r>
      <w:r w:rsidRPr="00C10381">
        <w:rPr>
          <w:b/>
          <w:bCs/>
        </w:rPr>
        <w:t>вались, а виновные привлекались к уголовной ответственности и получали наказание, соразмерное тяжести своих деяний, согласно треб</w:t>
      </w:r>
      <w:r w:rsidRPr="00C10381">
        <w:rPr>
          <w:b/>
          <w:bCs/>
        </w:rPr>
        <w:t>о</w:t>
      </w:r>
      <w:r w:rsidRPr="00C10381">
        <w:rPr>
          <w:b/>
          <w:bCs/>
        </w:rPr>
        <w:t>ваниям статьи 4 Конвенции;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rPr>
          <w:b/>
          <w:bCs/>
        </w:rPr>
        <w:tab/>
        <w:t>b)</w:t>
      </w:r>
      <w:r w:rsidRPr="00C10381">
        <w:rPr>
          <w:b/>
          <w:bCs/>
        </w:rPr>
        <w:tab/>
        <w:t>установить аппаратуру и вести видеозапись всех допросов и установить видеонаблюдение на всех территориях и помещениях в местах лишения свободы, где могут находиться заключенные, за исключением тех территорий и помещений, где такое видеонаблюдение может нарушить права задержанных на частную жизнь и на конфиденциальный характер общения с адвокатом или с врачом. Материалы видеозаписи должны хр</w:t>
      </w:r>
      <w:r w:rsidRPr="00C10381">
        <w:rPr>
          <w:b/>
          <w:bCs/>
        </w:rPr>
        <w:t>а</w:t>
      </w:r>
      <w:r w:rsidRPr="00C10381">
        <w:rPr>
          <w:b/>
          <w:bCs/>
        </w:rPr>
        <w:t>ниться в защищенных помещениях и предоставляться следователям, з</w:t>
      </w:r>
      <w:r w:rsidRPr="00C10381">
        <w:rPr>
          <w:b/>
          <w:bCs/>
        </w:rPr>
        <w:t>а</w:t>
      </w:r>
      <w:r w:rsidRPr="00C10381">
        <w:rPr>
          <w:b/>
          <w:bCs/>
        </w:rPr>
        <w:t>держанным и адвокатам по их просьбе;</w:t>
      </w:r>
    </w:p>
    <w:p w:rsidR="00850C33" w:rsidRPr="00C10381" w:rsidRDefault="00850C33" w:rsidP="00C10381">
      <w:pPr>
        <w:pStyle w:val="SingleTxtGR"/>
        <w:rPr>
          <w:b/>
          <w:bCs/>
        </w:rPr>
      </w:pPr>
      <w:r w:rsidRPr="00C10381">
        <w:rPr>
          <w:b/>
          <w:bCs/>
        </w:rPr>
        <w:tab/>
        <w:t>c)</w:t>
      </w:r>
      <w:r w:rsidRPr="00C10381">
        <w:rPr>
          <w:b/>
          <w:bCs/>
        </w:rPr>
        <w:tab/>
        <w:t>недвусмысленно подтвердить абсолютный запрет пыток и пу</w:t>
      </w:r>
      <w:r w:rsidRPr="00C10381">
        <w:rPr>
          <w:b/>
          <w:bCs/>
        </w:rPr>
        <w:t>б</w:t>
      </w:r>
      <w:r w:rsidRPr="00C10381">
        <w:rPr>
          <w:b/>
          <w:bCs/>
        </w:rPr>
        <w:t>лично предупредить, что любое лицо, совершающее такие деяния или иным обр</w:t>
      </w:r>
      <w:r w:rsidRPr="00C10381">
        <w:rPr>
          <w:b/>
          <w:bCs/>
        </w:rPr>
        <w:t>а</w:t>
      </w:r>
      <w:r w:rsidRPr="00C10381">
        <w:rPr>
          <w:b/>
          <w:bCs/>
        </w:rPr>
        <w:t>зом причастное к применению пыток или одобряющее их, будет лично привлекаться к ответственности по закону за совершение таких д</w:t>
      </w:r>
      <w:r w:rsidRPr="00C10381">
        <w:rPr>
          <w:b/>
          <w:bCs/>
        </w:rPr>
        <w:t>е</w:t>
      </w:r>
      <w:r w:rsidRPr="00C10381">
        <w:rPr>
          <w:b/>
          <w:bCs/>
        </w:rPr>
        <w:t>яний и подвергаться уголовному преследованию и соответствующим нак</w:t>
      </w:r>
      <w:r w:rsidRPr="00C10381">
        <w:rPr>
          <w:b/>
          <w:bCs/>
        </w:rPr>
        <w:t>а</w:t>
      </w:r>
      <w:r w:rsidRPr="00C10381">
        <w:rPr>
          <w:b/>
          <w:bCs/>
        </w:rPr>
        <w:t>заниям.</w:t>
      </w:r>
    </w:p>
    <w:p w:rsidR="00850C33" w:rsidRPr="00C10381" w:rsidRDefault="00850C33" w:rsidP="00BC339A">
      <w:pPr>
        <w:pStyle w:val="H23GR"/>
      </w:pPr>
      <w:r w:rsidRPr="00C10381">
        <w:lastRenderedPageBreak/>
        <w:tab/>
      </w:r>
      <w:r w:rsidRPr="00C10381">
        <w:tab/>
        <w:t>Случаи смерти в заключении</w:t>
      </w:r>
    </w:p>
    <w:p w:rsidR="00850C33" w:rsidRPr="00C10381" w:rsidRDefault="00850C33" w:rsidP="00BC339A">
      <w:pPr>
        <w:pStyle w:val="SingleTxtGR"/>
        <w:keepNext/>
        <w:keepLines/>
      </w:pPr>
      <w:r w:rsidRPr="00C10381">
        <w:t>25.</w:t>
      </w:r>
      <w:r w:rsidRPr="00C10381">
        <w:tab/>
        <w:t>Комитет встревожен несколькими случаями</w:t>
      </w:r>
      <w:r>
        <w:t xml:space="preserve"> смерти заключенных в 2015 </w:t>
      </w:r>
      <w:r w:rsidRPr="00C10381">
        <w:t xml:space="preserve">году, а именно: смертью Ибрагима Абдуллы эль-Кадри, Омара эль-Насера и Абдуллы эль-Зоаби. Он также обеспокоен тем, что дело Султана Алкхататби, который умер в тюрьме Джандавил в 2013 году, все еще ожидает рассмотрения, несмотря на то, что оно давно было передано </w:t>
      </w:r>
      <w:r w:rsidR="007E26F8">
        <w:t xml:space="preserve">в </w:t>
      </w:r>
      <w:r w:rsidRPr="00C10381">
        <w:t>Полицейски</w:t>
      </w:r>
      <w:r w:rsidR="00B230D9">
        <w:t>й суд (статьи 2, 11 и </w:t>
      </w:r>
      <w:r w:rsidRPr="00C10381">
        <w:t>16).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C10381">
        <w:t>26.</w:t>
      </w:r>
      <w:r w:rsidRPr="00C10381">
        <w:tab/>
      </w:r>
      <w:r w:rsidRPr="00850C33">
        <w:rPr>
          <w:b/>
          <w:bCs/>
        </w:rPr>
        <w:t>Государству-участнику следует ускорить расследования всех случаев смерти в местах содержания под стражей в соответствии с международн</w:t>
      </w:r>
      <w:r w:rsidRPr="00850C33">
        <w:rPr>
          <w:b/>
          <w:bCs/>
        </w:rPr>
        <w:t>ы</w:t>
      </w:r>
      <w:r w:rsidRPr="00850C33">
        <w:rPr>
          <w:b/>
          <w:bCs/>
        </w:rPr>
        <w:t>ми стандартами расследования, привлечь виновных к судебной отве</w:t>
      </w:r>
      <w:r w:rsidRPr="00850C33">
        <w:rPr>
          <w:b/>
          <w:bCs/>
        </w:rPr>
        <w:t>т</w:t>
      </w:r>
      <w:r w:rsidRPr="00850C33">
        <w:rPr>
          <w:b/>
          <w:bCs/>
        </w:rPr>
        <w:t>ственности и соответственно наказать их, если они будут признаны вино</w:t>
      </w:r>
      <w:r w:rsidRPr="00850C33">
        <w:rPr>
          <w:b/>
          <w:bCs/>
        </w:rPr>
        <w:t>в</w:t>
      </w:r>
      <w:r w:rsidRPr="00850C33">
        <w:rPr>
          <w:b/>
          <w:bCs/>
        </w:rPr>
        <w:t>ными.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Сообщения о нападениях на журналистов</w:t>
      </w:r>
    </w:p>
    <w:p w:rsidR="00850C33" w:rsidRPr="00C10381" w:rsidRDefault="00850C33" w:rsidP="00E93A45">
      <w:pPr>
        <w:pStyle w:val="SingleTxtGR"/>
      </w:pPr>
      <w:r w:rsidRPr="00C10381">
        <w:t>27.</w:t>
      </w:r>
      <w:r w:rsidRPr="00C10381">
        <w:tab/>
        <w:t>Комитет обеспокоен сообщениями о чрезмерном применении силы пол</w:t>
      </w:r>
      <w:r w:rsidRPr="00C10381">
        <w:t>и</w:t>
      </w:r>
      <w:r w:rsidRPr="00C10381">
        <w:t>цией при разгоне демонстраций, в том числе, в частности, против журнал</w:t>
      </w:r>
      <w:r w:rsidRPr="00C10381">
        <w:t>и</w:t>
      </w:r>
      <w:r w:rsidRPr="00C10381">
        <w:t xml:space="preserve">стов, что может быть равносильно жестокому обращению или пыткам. Комитет обеспокоен тем, что расследование использования силы против журналистов со стороны полиции и сил безопасности в связи с демонстрациями, которые имели место в апреле и июле 2011 года, проводилось Управлением </w:t>
      </w:r>
      <w:r w:rsidR="007E26F8">
        <w:t>общественной</w:t>
      </w:r>
      <w:r w:rsidR="007E26F8">
        <w:br/>
      </w:r>
      <w:r w:rsidRPr="00C10381">
        <w:t>безопасности, в котором работают предполагаемые виновные, и что это рассл</w:t>
      </w:r>
      <w:r w:rsidRPr="00C10381">
        <w:t>е</w:t>
      </w:r>
      <w:r w:rsidRPr="00C10381">
        <w:t>дование привело к применению в отношении виновных лишь дисциплинарных мер в связи с демонстрацией, имевшей место в июле 2011 года, а в связи с д</w:t>
      </w:r>
      <w:r w:rsidRPr="00C10381">
        <w:t>е</w:t>
      </w:r>
      <w:r w:rsidRPr="00C10381">
        <w:t>монстрациями, имевшими место в апреле и июле 2011 года, ни один из предп</w:t>
      </w:r>
      <w:r w:rsidRPr="00C10381">
        <w:t>о</w:t>
      </w:r>
      <w:r w:rsidRPr="00C10381">
        <w:t>лагаемых виновных не был привлечен к уголовной ответственности.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C10381">
        <w:t>28.</w:t>
      </w:r>
      <w:r w:rsidRPr="00C10381">
        <w:tab/>
      </w:r>
      <w:r w:rsidRPr="00850C33">
        <w:rPr>
          <w:b/>
          <w:bCs/>
        </w:rPr>
        <w:t>Государству-участнику следует: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a)</w:t>
      </w:r>
      <w:r w:rsidRPr="00850C33">
        <w:rPr>
          <w:b/>
          <w:bCs/>
        </w:rPr>
        <w:tab/>
        <w:t>провести оперативные, беспристрастные, тщательные и э</w:t>
      </w:r>
      <w:r w:rsidRPr="00850C33">
        <w:rPr>
          <w:b/>
          <w:bCs/>
        </w:rPr>
        <w:t>ф</w:t>
      </w:r>
      <w:r w:rsidRPr="00850C33">
        <w:rPr>
          <w:b/>
          <w:bCs/>
        </w:rPr>
        <w:t>фективные расследования в связи со всеми утверждениями о применении чрезмерной силы, в том числе о применении пыток и жестоком обращении, со стороны с</w:t>
      </w:r>
      <w:r w:rsidRPr="00850C33">
        <w:rPr>
          <w:b/>
          <w:bCs/>
        </w:rPr>
        <w:t>о</w:t>
      </w:r>
      <w:r w:rsidRPr="00850C33">
        <w:rPr>
          <w:b/>
          <w:bCs/>
        </w:rPr>
        <w:t>трудников правоохранительных органов и обеспечить, чтобы лица, подозреваемые в совершении таких деяний, незамедлительно о</w:t>
      </w:r>
      <w:r w:rsidRPr="00850C33">
        <w:rPr>
          <w:b/>
          <w:bCs/>
        </w:rPr>
        <w:t>т</w:t>
      </w:r>
      <w:r w:rsidRPr="00850C33">
        <w:rPr>
          <w:b/>
          <w:bCs/>
        </w:rPr>
        <w:t>странялись от исполнения должностных обязанностей на весь срок пров</w:t>
      </w:r>
      <w:r w:rsidRPr="00850C33">
        <w:rPr>
          <w:b/>
          <w:bCs/>
        </w:rPr>
        <w:t>е</w:t>
      </w:r>
      <w:r w:rsidRPr="00850C33">
        <w:rPr>
          <w:b/>
          <w:bCs/>
        </w:rPr>
        <w:t>дения расследований, при этом соблюдая принцип презумпции невиновн</w:t>
      </w:r>
      <w:r w:rsidRPr="00850C33">
        <w:rPr>
          <w:b/>
          <w:bCs/>
        </w:rPr>
        <w:t>о</w:t>
      </w:r>
      <w:r w:rsidRPr="00850C33">
        <w:rPr>
          <w:b/>
          <w:bCs/>
        </w:rPr>
        <w:t>сти;</w:t>
      </w:r>
    </w:p>
    <w:p w:rsidR="00850C33" w:rsidRPr="00850C33" w:rsidRDefault="00850C33" w:rsidP="00E93A45">
      <w:pPr>
        <w:pStyle w:val="SingleTxtGR"/>
        <w:rPr>
          <w:b/>
          <w:bCs/>
        </w:rPr>
      </w:pPr>
      <w:r w:rsidRPr="00850C33">
        <w:rPr>
          <w:b/>
          <w:bCs/>
        </w:rPr>
        <w:tab/>
        <w:t>b)</w:t>
      </w:r>
      <w:r w:rsidRPr="00850C33">
        <w:rPr>
          <w:b/>
          <w:bCs/>
        </w:rPr>
        <w:tab/>
        <w:t>преследовать в уголовном порядке лиц, подозреваемых в пр</w:t>
      </w:r>
      <w:r w:rsidRPr="00850C33">
        <w:rPr>
          <w:b/>
          <w:bCs/>
        </w:rPr>
        <w:t>и</w:t>
      </w:r>
      <w:r w:rsidRPr="00850C33">
        <w:rPr>
          <w:b/>
          <w:bCs/>
        </w:rPr>
        <w:t>менении пыток или жестоко</w:t>
      </w:r>
      <w:r w:rsidR="00E93A45">
        <w:rPr>
          <w:b/>
          <w:bCs/>
        </w:rPr>
        <w:t>м обращении</w:t>
      </w:r>
      <w:r w:rsidRPr="00850C33">
        <w:rPr>
          <w:b/>
          <w:bCs/>
        </w:rPr>
        <w:t xml:space="preserve"> в отношении журналистов в ходе указа</w:t>
      </w:r>
      <w:r w:rsidRPr="00850C33">
        <w:rPr>
          <w:b/>
          <w:bCs/>
        </w:rPr>
        <w:t>н</w:t>
      </w:r>
      <w:r w:rsidRPr="00850C33">
        <w:rPr>
          <w:b/>
          <w:bCs/>
        </w:rPr>
        <w:t>ных выше событий;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с)</w:t>
      </w:r>
      <w:r w:rsidRPr="00850C33">
        <w:rPr>
          <w:b/>
          <w:bCs/>
        </w:rPr>
        <w:tab/>
        <w:t>принять незамедлительные меры для искоренения всех форм притеснений и жестокого обращения со стороны представителей прав</w:t>
      </w:r>
      <w:r w:rsidRPr="00850C33">
        <w:rPr>
          <w:b/>
          <w:bCs/>
        </w:rPr>
        <w:t>о</w:t>
      </w:r>
      <w:r w:rsidRPr="00850C33">
        <w:rPr>
          <w:b/>
          <w:bCs/>
        </w:rPr>
        <w:t>охранительных органов во время демонстраций и обеспечить, чтобы дол</w:t>
      </w:r>
      <w:r w:rsidRPr="00850C33">
        <w:rPr>
          <w:b/>
          <w:bCs/>
        </w:rPr>
        <w:t>ж</w:t>
      </w:r>
      <w:r w:rsidRPr="00850C33">
        <w:rPr>
          <w:b/>
          <w:bCs/>
        </w:rPr>
        <w:t>ностные лица правоохранительных органов проходили подготовку по в</w:t>
      </w:r>
      <w:r w:rsidRPr="00850C33">
        <w:rPr>
          <w:b/>
          <w:bCs/>
        </w:rPr>
        <w:t>о</w:t>
      </w:r>
      <w:r w:rsidRPr="00850C33">
        <w:rPr>
          <w:b/>
          <w:bCs/>
        </w:rPr>
        <w:t>просам профессиональ</w:t>
      </w:r>
      <w:r w:rsidR="00E93A45">
        <w:rPr>
          <w:b/>
          <w:bCs/>
        </w:rPr>
        <w:t>ных методов работы, в частности</w:t>
      </w:r>
      <w:r w:rsidRPr="00850C33">
        <w:rPr>
          <w:b/>
          <w:bCs/>
        </w:rPr>
        <w:t xml:space="preserve"> по вопросам з</w:t>
      </w:r>
      <w:r w:rsidRPr="00850C33">
        <w:rPr>
          <w:b/>
          <w:bCs/>
        </w:rPr>
        <w:t>а</w:t>
      </w:r>
      <w:r w:rsidRPr="00850C33">
        <w:rPr>
          <w:b/>
          <w:bCs/>
        </w:rPr>
        <w:t>прета использования силы, если это не является строго необходимым, и только в той степени, в которой это необходимо для исполнения их обяза</w:t>
      </w:r>
      <w:r w:rsidRPr="00850C33">
        <w:rPr>
          <w:b/>
          <w:bCs/>
        </w:rPr>
        <w:t>н</w:t>
      </w:r>
      <w:r w:rsidRPr="00850C33">
        <w:rPr>
          <w:b/>
          <w:bCs/>
        </w:rPr>
        <w:t>ностей.</w:t>
      </w:r>
    </w:p>
    <w:p w:rsidR="00850C33" w:rsidRPr="00006BF5" w:rsidRDefault="00850C33" w:rsidP="00C10381">
      <w:pPr>
        <w:pStyle w:val="SingleTxtGR"/>
        <w:rPr>
          <w:lang w:val="en-US"/>
        </w:rPr>
      </w:pPr>
      <w:r w:rsidRPr="00C10381">
        <w:t>29.</w:t>
      </w:r>
      <w:r w:rsidRPr="00C10381">
        <w:tab/>
        <w:t xml:space="preserve">Комитет также обеспокоен тем, что расплывчатое определение </w:t>
      </w:r>
      <w:r>
        <w:t>«</w:t>
      </w:r>
      <w:r w:rsidRPr="00C10381">
        <w:t>террор</w:t>
      </w:r>
      <w:r w:rsidRPr="00C10381">
        <w:t>и</w:t>
      </w:r>
      <w:r w:rsidRPr="00C10381">
        <w:t>стического акта</w:t>
      </w:r>
      <w:r>
        <w:t>»</w:t>
      </w:r>
      <w:r w:rsidRPr="00C10381">
        <w:t xml:space="preserve"> в Законе о борьбе с терроризмом (№ 55), в том числе форм</w:t>
      </w:r>
      <w:r w:rsidRPr="00C10381">
        <w:t>у</w:t>
      </w:r>
      <w:r w:rsidRPr="00C10381">
        <w:t>ли</w:t>
      </w:r>
      <w:r>
        <w:t>ровка «</w:t>
      </w:r>
      <w:r w:rsidRPr="00C10381">
        <w:t>нанесение ущерба отноше</w:t>
      </w:r>
      <w:r>
        <w:t>ниям с иностранным государством»</w:t>
      </w:r>
      <w:r w:rsidRPr="00C10381">
        <w:t>, а та</w:t>
      </w:r>
      <w:r w:rsidRPr="00C10381">
        <w:t>к</w:t>
      </w:r>
      <w:r w:rsidRPr="00C10381">
        <w:t xml:space="preserve">же наличие в Уголовном кодексе ограничительных положений в отношении </w:t>
      </w:r>
      <w:r w:rsidRPr="00C10381">
        <w:lastRenderedPageBreak/>
        <w:t>свободы средств м</w:t>
      </w:r>
      <w:r w:rsidR="007E26F8">
        <w:t>ассовой информации и публикаций</w:t>
      </w:r>
      <w:r w:rsidRPr="00C10381">
        <w:t xml:space="preserve"> привели к существенным ограничениям на работу журналистов, многие из которых подвергаются прои</w:t>
      </w:r>
      <w:r w:rsidRPr="00C10381">
        <w:t>з</w:t>
      </w:r>
      <w:r w:rsidRPr="00C10381">
        <w:t>вольным задержаниям в отсутствие процессуальных гарантий и которым в Суде по вопросам государственной безопасности предъявляются уголовные обвин</w:t>
      </w:r>
      <w:r w:rsidRPr="00C10381">
        <w:t>е</w:t>
      </w:r>
      <w:r w:rsidRPr="00C10381">
        <w:t>ния в связи с нарушением вышеуказанных законов (статьи 2, 12, 13 и 16).</w:t>
      </w:r>
      <w:bookmarkStart w:id="2" w:name="_GoBack"/>
      <w:bookmarkEnd w:id="2"/>
    </w:p>
    <w:p w:rsidR="00850C33" w:rsidRPr="00C10381" w:rsidRDefault="00850C33" w:rsidP="00C10381">
      <w:pPr>
        <w:pStyle w:val="SingleTxtGR"/>
        <w:rPr>
          <w:bCs/>
        </w:rPr>
      </w:pPr>
      <w:r w:rsidRPr="00C10381">
        <w:t>30.</w:t>
      </w:r>
      <w:r w:rsidRPr="00C10381">
        <w:tab/>
      </w:r>
      <w:r w:rsidRPr="00850C33">
        <w:rPr>
          <w:b/>
          <w:bCs/>
        </w:rPr>
        <w:t>Комитет рекомендует государству-участнику устранить препятствия, влияющие на работу журналистов, в том числе путем принятия необход</w:t>
      </w:r>
      <w:r w:rsidRPr="00850C33">
        <w:rPr>
          <w:b/>
          <w:bCs/>
        </w:rPr>
        <w:t>и</w:t>
      </w:r>
      <w:r w:rsidRPr="00850C33">
        <w:rPr>
          <w:b/>
          <w:bCs/>
        </w:rPr>
        <w:t>мых поправок к Закону о борьбе с терроризмом и Уголовному кодексу, а также обеспечить эффективную защиту журналистов от произвольных арестов и задержаний, в том числе путем уголовного преследования и наказания лиц, ответстве</w:t>
      </w:r>
      <w:r w:rsidRPr="00850C33">
        <w:rPr>
          <w:b/>
          <w:bCs/>
        </w:rPr>
        <w:t>н</w:t>
      </w:r>
      <w:r w:rsidRPr="00850C33">
        <w:rPr>
          <w:b/>
          <w:bCs/>
        </w:rPr>
        <w:t>ных за такие действия.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Мониторинг центров содержания под стражей</w:t>
      </w:r>
    </w:p>
    <w:p w:rsidR="00850C33" w:rsidRPr="00C10381" w:rsidRDefault="00850C33" w:rsidP="00C10381">
      <w:pPr>
        <w:pStyle w:val="SingleTxtGR"/>
      </w:pPr>
      <w:r w:rsidRPr="00C10381">
        <w:t>31.</w:t>
      </w:r>
      <w:r w:rsidRPr="00C10381">
        <w:tab/>
        <w:t>Отмечая, что статья 10 Закона об обществах (№ 51) наделяет Национал</w:t>
      </w:r>
      <w:r w:rsidRPr="00C10381">
        <w:t>ь</w:t>
      </w:r>
      <w:r w:rsidRPr="00C10381">
        <w:t>ный центр по правам человека правом посещать все исправительные и реаб</w:t>
      </w:r>
      <w:r w:rsidRPr="00C10381">
        <w:t>и</w:t>
      </w:r>
      <w:r w:rsidRPr="00C10381">
        <w:t>литационные учреждения, Комитет обеспокоен тем, что Центр не может и</w:t>
      </w:r>
      <w:r w:rsidRPr="00C10381">
        <w:t>н</w:t>
      </w:r>
      <w:r w:rsidRPr="00C10381">
        <w:t>спектировать места содержания под стражей, находящиеся в ведении Главного управления разведки, и что за рассматриваемый период Центр осуществил ограниченное количество посещений Управления. Он далее выражает сожал</w:t>
      </w:r>
      <w:r w:rsidRPr="00C10381">
        <w:t>е</w:t>
      </w:r>
      <w:r w:rsidRPr="00C10381">
        <w:t>ние в связи с отсутствием информации о мерах, принятых государством-участником по итогам посещений, а также о мерах, принятых для выполнения рекомендаций, вынесенных Центром. Комитет также озабочен ограниченн</w:t>
      </w:r>
      <w:r w:rsidRPr="00C10381">
        <w:t>о</w:t>
      </w:r>
      <w:r w:rsidRPr="00C10381">
        <w:t>стью ресурсов, выделяемых Центру. Наконец, Комитет обеспокоен тем, что н</w:t>
      </w:r>
      <w:r w:rsidRPr="00C10381">
        <w:t>е</w:t>
      </w:r>
      <w:r w:rsidRPr="00C10381">
        <w:t>правительственным организациям не предоставляется доступ в исправительные и реабилитационные центры (статьи 2, 11 и 16).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C10381">
        <w:t>32.</w:t>
      </w:r>
      <w:r w:rsidRPr="00C10381">
        <w:tab/>
      </w:r>
      <w:r w:rsidRPr="00850C33">
        <w:rPr>
          <w:b/>
          <w:bCs/>
        </w:rPr>
        <w:t>Государству-участнику следует обеспечить, чтобы Национальному центру по правам человека был предоставлен доступ во все места соде</w:t>
      </w:r>
      <w:r w:rsidRPr="00850C33">
        <w:rPr>
          <w:b/>
          <w:bCs/>
        </w:rPr>
        <w:t>р</w:t>
      </w:r>
      <w:r w:rsidRPr="00850C33">
        <w:rPr>
          <w:b/>
          <w:bCs/>
        </w:rPr>
        <w:t>жания под стражей и чтобы он мог проводить необъявленные и регуля</w:t>
      </w:r>
      <w:r w:rsidRPr="00850C33">
        <w:rPr>
          <w:b/>
          <w:bCs/>
        </w:rPr>
        <w:t>р</w:t>
      </w:r>
      <w:r w:rsidRPr="00850C33">
        <w:rPr>
          <w:b/>
          <w:bCs/>
        </w:rPr>
        <w:t>ные посещения всех таких объектов. Кроме того, государству-участнику следует создать независимый механизм контроля с мандатом проводить р</w:t>
      </w:r>
      <w:r w:rsidRPr="00850C33">
        <w:rPr>
          <w:b/>
          <w:bCs/>
        </w:rPr>
        <w:t>е</w:t>
      </w:r>
      <w:r w:rsidRPr="00850C33">
        <w:rPr>
          <w:b/>
          <w:bCs/>
        </w:rPr>
        <w:t>гулярные посещения всех мест содержания под стражей без предварител</w:t>
      </w:r>
      <w:r w:rsidRPr="00850C33">
        <w:rPr>
          <w:b/>
          <w:bCs/>
        </w:rPr>
        <w:t>ь</w:t>
      </w:r>
      <w:r w:rsidRPr="00850C33">
        <w:rPr>
          <w:b/>
          <w:bCs/>
        </w:rPr>
        <w:t>ного уведомления. Комитет пр</w:t>
      </w:r>
      <w:r w:rsidRPr="00850C33">
        <w:rPr>
          <w:b/>
          <w:bCs/>
        </w:rPr>
        <w:t>и</w:t>
      </w:r>
      <w:r w:rsidRPr="00850C33">
        <w:rPr>
          <w:b/>
          <w:bCs/>
        </w:rPr>
        <w:t>зывает государство-участник внимательно изучить рекомендации, вынесенные Центром после посещения мест соде</w:t>
      </w:r>
      <w:r w:rsidRPr="00850C33">
        <w:rPr>
          <w:b/>
          <w:bCs/>
        </w:rPr>
        <w:t>р</w:t>
      </w:r>
      <w:r w:rsidRPr="00850C33">
        <w:rPr>
          <w:b/>
          <w:bCs/>
        </w:rPr>
        <w:t>жания под стражей, и принять соотве</w:t>
      </w:r>
      <w:r w:rsidRPr="00850C33">
        <w:rPr>
          <w:b/>
          <w:bCs/>
        </w:rPr>
        <w:t>т</w:t>
      </w:r>
      <w:r w:rsidRPr="00850C33">
        <w:rPr>
          <w:b/>
          <w:bCs/>
        </w:rPr>
        <w:t>ствующие меры для осуществления таких рекомендаций, в том числе, в частности, в связи с сообщениями о пытках или жестоком обращении, сод</w:t>
      </w:r>
      <w:r w:rsidR="007E26F8">
        <w:rPr>
          <w:b/>
          <w:bCs/>
        </w:rPr>
        <w:t>ержащимися в докладах Центра. В </w:t>
      </w:r>
      <w:r w:rsidRPr="00850C33">
        <w:rPr>
          <w:b/>
          <w:bCs/>
        </w:rPr>
        <w:t>этой связи государству-участнику следует увеличить ре</w:t>
      </w:r>
      <w:r w:rsidR="00E93A45">
        <w:rPr>
          <w:b/>
          <w:bCs/>
        </w:rPr>
        <w:t>сурсы, выделя</w:t>
      </w:r>
      <w:r w:rsidR="00E93A45">
        <w:rPr>
          <w:b/>
          <w:bCs/>
        </w:rPr>
        <w:t>е</w:t>
      </w:r>
      <w:r w:rsidR="00E93A45">
        <w:rPr>
          <w:b/>
          <w:bCs/>
        </w:rPr>
        <w:t>мые для Ц</w:t>
      </w:r>
      <w:r w:rsidRPr="00850C33">
        <w:rPr>
          <w:b/>
          <w:bCs/>
        </w:rPr>
        <w:t>ентра, с тем чтобы он мог эффективно выполнять свою роль. Комитет призывает государство-участник предоставить НПО доступ в м</w:t>
      </w:r>
      <w:r w:rsidRPr="00850C33">
        <w:rPr>
          <w:b/>
          <w:bCs/>
        </w:rPr>
        <w:t>е</w:t>
      </w:r>
      <w:r w:rsidRPr="00850C33">
        <w:rPr>
          <w:b/>
          <w:bCs/>
        </w:rPr>
        <w:t>ста содержания под стражей. Он также предлагает государству-участнику ратифицировать Факультативный протокол к Конвенции.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Механизмы подачи жалоб и проведения расследований</w:t>
      </w:r>
    </w:p>
    <w:p w:rsidR="00850C33" w:rsidRPr="00C10381" w:rsidRDefault="00850C33" w:rsidP="00E93A45">
      <w:pPr>
        <w:pStyle w:val="SingleTxtGR"/>
      </w:pPr>
      <w:r w:rsidRPr="00C10381">
        <w:t>33.</w:t>
      </w:r>
      <w:r w:rsidRPr="00C10381">
        <w:tab/>
        <w:t>Комитет обеспокоен постоянной неспособностью государства-участника создать независимый механизм для расследования случаев жестокого обращ</w:t>
      </w:r>
      <w:r w:rsidRPr="00C10381">
        <w:t>е</w:t>
      </w:r>
      <w:r w:rsidRPr="00C10381">
        <w:t xml:space="preserve">ния и утверждений о применении пыток. В этой связи он обеспокоен тем, что существующие механизмы жалоб, такие как подача жалобы директору тюрьмы </w:t>
      </w:r>
      <w:r w:rsidR="00E93A45">
        <w:t>либо</w:t>
      </w:r>
      <w:r w:rsidRPr="00C10381">
        <w:t xml:space="preserve"> в правовой департамент или в отдел по приему жалоб и правам человека Управления общественной безопасности, не обеспечивают конфиденциальность и защиту заявителей и свидетелей, в то время как существующие сл</w:t>
      </w:r>
      <w:r w:rsidR="00E93A45">
        <w:t>едственные органы, прежде всего</w:t>
      </w:r>
      <w:r w:rsidRPr="00C10381">
        <w:t xml:space="preserve"> государственный прокурор, не обладают необходимой н</w:t>
      </w:r>
      <w:r w:rsidRPr="00C10381">
        <w:t>е</w:t>
      </w:r>
      <w:r w:rsidRPr="00C10381">
        <w:lastRenderedPageBreak/>
        <w:t>зависимостью, поскольку они работают в рамках той же структуры, что и пре</w:t>
      </w:r>
      <w:r w:rsidRPr="00C10381">
        <w:t>д</w:t>
      </w:r>
      <w:r w:rsidRPr="00C10381">
        <w:t>полагаемые виновные. Кроме того, Комитет обеспокоен сообщениями о том, что на задержанных и заключенных оказывается давление, с тем чтобы они не подавали жалобы или отозвали свои жалобы, в противном случае заявители рискуют подвергнуться репрессалиям. Комитет обеспокоен также тем, что лишь несколько жалоб о жестоком обращении или пытках привели к уголовн</w:t>
      </w:r>
      <w:r w:rsidRPr="00C10381">
        <w:t>о</w:t>
      </w:r>
      <w:r w:rsidRPr="00C10381">
        <w:t>му преследованию, причем ни в одном случае не было вынесено обвинительн</w:t>
      </w:r>
      <w:r w:rsidRPr="00C10381">
        <w:t>о</w:t>
      </w:r>
      <w:r w:rsidRPr="00C10381">
        <w:t>го приговора (статьи 2, 12, 13 и 16).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C10381">
        <w:t>34.</w:t>
      </w:r>
      <w:r w:rsidRPr="00C10381">
        <w:tab/>
      </w:r>
      <w:r w:rsidRPr="00850C33">
        <w:rPr>
          <w:b/>
          <w:bCs/>
        </w:rPr>
        <w:t>Комитет настоятельно призывает государство-участник: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a)</w:t>
      </w:r>
      <w:r w:rsidRPr="00850C33">
        <w:rPr>
          <w:b/>
          <w:bCs/>
        </w:rPr>
        <w:tab/>
        <w:t>создать независимый механизм приема жалоб и проведения расследований, отвечающий требованиям институциональной независим</w:t>
      </w:r>
      <w:r w:rsidRPr="00850C33">
        <w:rPr>
          <w:b/>
          <w:bCs/>
        </w:rPr>
        <w:t>о</w:t>
      </w:r>
      <w:r w:rsidRPr="00850C33">
        <w:rPr>
          <w:b/>
          <w:bCs/>
        </w:rPr>
        <w:t>сти, чтобы избегать конфликта интересов при проведении расследований жалоб со стор</w:t>
      </w:r>
      <w:r w:rsidRPr="00850C33">
        <w:rPr>
          <w:b/>
          <w:bCs/>
        </w:rPr>
        <w:t>о</w:t>
      </w:r>
      <w:r w:rsidRPr="00850C33">
        <w:rPr>
          <w:b/>
          <w:bCs/>
        </w:rPr>
        <w:t>ны коллег;</w:t>
      </w:r>
    </w:p>
    <w:p w:rsidR="00850C33" w:rsidRPr="00850C33" w:rsidRDefault="00850C33" w:rsidP="00E93A45">
      <w:pPr>
        <w:pStyle w:val="SingleTxtGR"/>
        <w:rPr>
          <w:b/>
          <w:bCs/>
        </w:rPr>
      </w:pPr>
      <w:r w:rsidRPr="00850C33">
        <w:rPr>
          <w:b/>
          <w:bCs/>
        </w:rPr>
        <w:tab/>
        <w:t>b)</w:t>
      </w:r>
      <w:r w:rsidRPr="00850C33">
        <w:rPr>
          <w:b/>
          <w:bCs/>
        </w:rPr>
        <w:tab/>
        <w:t>обеспечить незамедлительное расследование всех жалоб о пр</w:t>
      </w:r>
      <w:r w:rsidRPr="00850C33">
        <w:rPr>
          <w:b/>
          <w:bCs/>
        </w:rPr>
        <w:t>и</w:t>
      </w:r>
      <w:r w:rsidRPr="00850C33">
        <w:rPr>
          <w:b/>
          <w:bCs/>
        </w:rPr>
        <w:t>менении пыток или жесток</w:t>
      </w:r>
      <w:r w:rsidR="00E93A45">
        <w:rPr>
          <w:b/>
          <w:bCs/>
        </w:rPr>
        <w:t>ом обращении</w:t>
      </w:r>
      <w:r w:rsidRPr="00850C33">
        <w:rPr>
          <w:b/>
          <w:bCs/>
        </w:rPr>
        <w:t xml:space="preserve"> на беспристрастной основе и должным образом преследовать виновных в судебном порядке, а если их </w:t>
      </w:r>
      <w:r w:rsidR="00E93A45">
        <w:rPr>
          <w:b/>
          <w:bCs/>
        </w:rPr>
        <w:t xml:space="preserve">вина </w:t>
      </w:r>
      <w:r w:rsidRPr="00850C33">
        <w:rPr>
          <w:b/>
          <w:bCs/>
        </w:rPr>
        <w:t>будет доказана, наказывать их соразмерно тяжести с</w:t>
      </w:r>
      <w:r w:rsidRPr="00850C33">
        <w:rPr>
          <w:b/>
          <w:bCs/>
        </w:rPr>
        <w:t>о</w:t>
      </w:r>
      <w:r w:rsidRPr="00850C33">
        <w:rPr>
          <w:b/>
          <w:bCs/>
        </w:rPr>
        <w:t>вершенных ими деяний;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с)</w:t>
      </w:r>
      <w:r w:rsidRPr="00850C33">
        <w:rPr>
          <w:b/>
          <w:bCs/>
        </w:rPr>
        <w:tab/>
        <w:t>обеспечить, чтобы власти по собственной инициативе провод</w:t>
      </w:r>
      <w:r w:rsidRPr="00850C33">
        <w:rPr>
          <w:b/>
          <w:bCs/>
        </w:rPr>
        <w:t>и</w:t>
      </w:r>
      <w:r w:rsidRPr="00850C33">
        <w:rPr>
          <w:b/>
          <w:bCs/>
        </w:rPr>
        <w:t>ли расследования во всех случаях, когда имеются достаточные основания полагать, что имели место пытки или жестокое обращение;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d)</w:t>
      </w:r>
      <w:r w:rsidRPr="00850C33">
        <w:rPr>
          <w:b/>
          <w:bCs/>
        </w:rPr>
        <w:tab/>
        <w:t>обеспечить, чтобы предполагаемые виновные в пытках и ж</w:t>
      </w:r>
      <w:r w:rsidRPr="00850C33">
        <w:rPr>
          <w:b/>
          <w:bCs/>
        </w:rPr>
        <w:t>е</w:t>
      </w:r>
      <w:r w:rsidRPr="00850C33">
        <w:rPr>
          <w:b/>
          <w:bCs/>
        </w:rPr>
        <w:t>стоком обращении немедленно отстранялись от работы на время расслед</w:t>
      </w:r>
      <w:r w:rsidRPr="00850C33">
        <w:rPr>
          <w:b/>
          <w:bCs/>
        </w:rPr>
        <w:t>о</w:t>
      </w:r>
      <w:r w:rsidRPr="00850C33">
        <w:rPr>
          <w:b/>
          <w:bCs/>
        </w:rPr>
        <w:t>вания;</w:t>
      </w:r>
    </w:p>
    <w:p w:rsidR="00850C33" w:rsidRPr="00850C33" w:rsidRDefault="00850C33" w:rsidP="00E93A45">
      <w:pPr>
        <w:pStyle w:val="SingleTxtGR"/>
        <w:rPr>
          <w:b/>
          <w:bCs/>
        </w:rPr>
      </w:pPr>
      <w:r w:rsidRPr="00850C33">
        <w:rPr>
          <w:b/>
          <w:bCs/>
        </w:rPr>
        <w:tab/>
        <w:t>е)</w:t>
      </w:r>
      <w:r w:rsidRPr="00850C33">
        <w:rPr>
          <w:b/>
          <w:bCs/>
        </w:rPr>
        <w:tab/>
        <w:t>обеспечить, чтобы заявители были защищены от любого ж</w:t>
      </w:r>
      <w:r w:rsidRPr="00850C33">
        <w:rPr>
          <w:b/>
          <w:bCs/>
        </w:rPr>
        <w:t>е</w:t>
      </w:r>
      <w:r w:rsidRPr="00850C33">
        <w:rPr>
          <w:b/>
          <w:bCs/>
        </w:rPr>
        <w:t>стокого обращения, запугивания или репрессалий вследствие их жалобы и чтобы к сотрудникам правоохранительных органов за такие действия применялись соответствующие дисциплинарные или, где это уместно, уг</w:t>
      </w:r>
      <w:r w:rsidRPr="00850C33">
        <w:rPr>
          <w:b/>
          <w:bCs/>
        </w:rPr>
        <w:t>о</w:t>
      </w:r>
      <w:r w:rsidRPr="00850C33">
        <w:rPr>
          <w:b/>
          <w:bCs/>
        </w:rPr>
        <w:t>ловные меры.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Меры по борьбе с терроризмом</w:t>
      </w:r>
    </w:p>
    <w:p w:rsidR="00850C33" w:rsidRPr="00C10381" w:rsidRDefault="00850C33" w:rsidP="00C10381">
      <w:pPr>
        <w:pStyle w:val="SingleTxtGR"/>
      </w:pPr>
      <w:r w:rsidRPr="00C10381">
        <w:t>35.</w:t>
      </w:r>
      <w:r w:rsidRPr="00C10381">
        <w:tab/>
        <w:t>Комитет обеспокоен тем, что поправки, внесенные в Закон о борьбе с терроризмом (№ 55) в 2014 году, расш</w:t>
      </w:r>
      <w:r w:rsidR="00E93A45">
        <w:t>ирили и без того уже расплывчато</w:t>
      </w:r>
      <w:r w:rsidRPr="00C10381">
        <w:t>е опр</w:t>
      </w:r>
      <w:r w:rsidRPr="00C10381">
        <w:t>е</w:t>
      </w:r>
      <w:r w:rsidR="00E93A45">
        <w:t>деление</w:t>
      </w:r>
      <w:r w:rsidRPr="00C10381">
        <w:t xml:space="preserve"> террористических актов и распространили юрисдикцию Суда по в</w:t>
      </w:r>
      <w:r w:rsidRPr="00C10381">
        <w:t>о</w:t>
      </w:r>
      <w:r w:rsidRPr="00C10381">
        <w:t>просам государственной безопасности на дела, связанные с предположител</w:t>
      </w:r>
      <w:r w:rsidRPr="00C10381">
        <w:t>ь</w:t>
      </w:r>
      <w:r w:rsidRPr="00C10381">
        <w:t>ным нарушением общественного порядка (статьи 2 и 16).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C10381">
        <w:t>36.</w:t>
      </w:r>
      <w:r w:rsidRPr="00C10381">
        <w:tab/>
      </w:r>
      <w:r w:rsidRPr="00850C33">
        <w:rPr>
          <w:b/>
          <w:bCs/>
        </w:rPr>
        <w:t>Комитет настоятельно призывает государство-участник пересмо</w:t>
      </w:r>
      <w:r w:rsidRPr="00850C33">
        <w:rPr>
          <w:b/>
          <w:bCs/>
        </w:rPr>
        <w:t>т</w:t>
      </w:r>
      <w:r w:rsidRPr="00850C33">
        <w:rPr>
          <w:b/>
          <w:bCs/>
        </w:rPr>
        <w:t>реть Закон о борьбе с терроризмом и обеспечить, чтобы определения те</w:t>
      </w:r>
      <w:r w:rsidRPr="00850C33">
        <w:rPr>
          <w:b/>
          <w:bCs/>
        </w:rPr>
        <w:t>р</w:t>
      </w:r>
      <w:r w:rsidRPr="00850C33">
        <w:rPr>
          <w:b/>
          <w:bCs/>
        </w:rPr>
        <w:t>роризма и террористических актов были краткими и совместимыми с об</w:t>
      </w:r>
      <w:r w:rsidRPr="00850C33">
        <w:rPr>
          <w:b/>
          <w:bCs/>
        </w:rPr>
        <w:t>я</w:t>
      </w:r>
      <w:r w:rsidRPr="00850C33">
        <w:rPr>
          <w:b/>
          <w:bCs/>
        </w:rPr>
        <w:t>зательствами государства-участника по Конвенции.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Суды специальной юрисдикции</w:t>
      </w:r>
    </w:p>
    <w:p w:rsidR="00850C33" w:rsidRPr="00C10381" w:rsidRDefault="00850C33" w:rsidP="00C10381">
      <w:pPr>
        <w:pStyle w:val="SingleTxtGR"/>
      </w:pPr>
      <w:r w:rsidRPr="00C10381">
        <w:t>37.</w:t>
      </w:r>
      <w:r w:rsidRPr="00C10381">
        <w:tab/>
        <w:t>Комитет обеспокоен сохранением в государстве-участнике судов спец</w:t>
      </w:r>
      <w:r w:rsidRPr="00C10381">
        <w:t>и</w:t>
      </w:r>
      <w:r w:rsidRPr="00C10381">
        <w:t>альной юрисдикции, включая Полицейский суд и Суд по вопросам госуда</w:t>
      </w:r>
      <w:r w:rsidRPr="00C10381">
        <w:t>р</w:t>
      </w:r>
      <w:r w:rsidRPr="00C10381">
        <w:t>ственной безопасности. Принимая к сведению представленную делегацией и</w:t>
      </w:r>
      <w:r w:rsidRPr="00C10381">
        <w:t>н</w:t>
      </w:r>
      <w:r w:rsidRPr="00C10381">
        <w:t>формацию о включении гражданских суд</w:t>
      </w:r>
      <w:r w:rsidR="007E26F8">
        <w:t>ей в состав Полицейского суда и</w:t>
      </w:r>
      <w:r w:rsidR="007E26F8">
        <w:br/>
      </w:r>
      <w:r w:rsidRPr="00C10381">
        <w:t xml:space="preserve">внесении в 2015 году поправок в Закон </w:t>
      </w:r>
      <w:r w:rsidR="007E26F8">
        <w:t>о государственной безопасн</w:t>
      </w:r>
      <w:r w:rsidR="007E26F8">
        <w:t>о</w:t>
      </w:r>
      <w:r w:rsidR="007E26F8">
        <w:t>сти,</w:t>
      </w:r>
      <w:r w:rsidR="007E26F8">
        <w:br/>
      </w:r>
      <w:r w:rsidRPr="00C10381">
        <w:t>предусматривающих создание Полицейско</w:t>
      </w:r>
      <w:r w:rsidR="007E26F8">
        <w:t>го апелляционного суда, Комитет</w:t>
      </w:r>
      <w:r w:rsidR="007E26F8">
        <w:br/>
      </w:r>
      <w:r w:rsidRPr="00C10381">
        <w:t xml:space="preserve">по-прежнему обеспокоен сохраняющейся, согласно сообщениям, недостаточной </w:t>
      </w:r>
      <w:r w:rsidRPr="00C10381">
        <w:lastRenderedPageBreak/>
        <w:t>независимостью и беспристрастностью этих судов, что препятствует полному осуществлению прав человека, таких как запрет пыток и других жестоких, бе</w:t>
      </w:r>
      <w:r w:rsidRPr="00C10381">
        <w:t>с</w:t>
      </w:r>
      <w:r w:rsidRPr="00C10381">
        <w:t xml:space="preserve">человечных и унижающих достоинство видов </w:t>
      </w:r>
      <w:r w:rsidR="007E26F8">
        <w:t xml:space="preserve">обращения </w:t>
      </w:r>
      <w:r w:rsidRPr="00C10381">
        <w:t>или наказания. Ком</w:t>
      </w:r>
      <w:r w:rsidRPr="00C10381">
        <w:t>и</w:t>
      </w:r>
      <w:r w:rsidRPr="00C10381">
        <w:t>тет далее обеспокоен тем, что, хотя весьма ограниченное число дел, касающи</w:t>
      </w:r>
      <w:r w:rsidRPr="00C10381">
        <w:t>х</w:t>
      </w:r>
      <w:r w:rsidRPr="00C10381">
        <w:t>ся пыток или жестокого обращения, фактически были переданы в Полицейский суд, суд работает с этими делами очень медленно (статьи 2, 11 и 12).</w:t>
      </w:r>
    </w:p>
    <w:p w:rsidR="00850C33" w:rsidRPr="00850C33" w:rsidRDefault="00850C33" w:rsidP="00E93A45">
      <w:pPr>
        <w:pStyle w:val="SingleTxtGR"/>
        <w:rPr>
          <w:b/>
          <w:bCs/>
        </w:rPr>
      </w:pPr>
      <w:r w:rsidRPr="00C10381">
        <w:t>38.</w:t>
      </w:r>
      <w:r w:rsidRPr="00C10381">
        <w:tab/>
      </w:r>
      <w:r w:rsidRPr="00850C33">
        <w:rPr>
          <w:b/>
          <w:bCs/>
        </w:rPr>
        <w:t>Комитет рекомендует государству-участнику исправить эту давнюю проблему путем передачи юрисдикции для рассмотрения дел сотрудников Упра</w:t>
      </w:r>
      <w:r w:rsidRPr="00850C33">
        <w:rPr>
          <w:b/>
          <w:bCs/>
        </w:rPr>
        <w:t>в</w:t>
      </w:r>
      <w:r w:rsidRPr="00850C33">
        <w:rPr>
          <w:b/>
          <w:bCs/>
        </w:rPr>
        <w:t>ления общественной безопасности в обычные суды и, таким образом, преследовать в судебном порядке должностных лиц, подозреваемых в пр</w:t>
      </w:r>
      <w:r w:rsidRPr="00850C33">
        <w:rPr>
          <w:b/>
          <w:bCs/>
        </w:rPr>
        <w:t>и</w:t>
      </w:r>
      <w:r w:rsidRPr="00850C33">
        <w:rPr>
          <w:b/>
          <w:bCs/>
        </w:rPr>
        <w:t>менении пыток и жестоко</w:t>
      </w:r>
      <w:r w:rsidR="00E93A45">
        <w:rPr>
          <w:b/>
          <w:bCs/>
        </w:rPr>
        <w:t>м обращении</w:t>
      </w:r>
      <w:r w:rsidRPr="00850C33">
        <w:rPr>
          <w:b/>
          <w:bCs/>
        </w:rPr>
        <w:t>, в обычных гражданских судах. К</w:t>
      </w:r>
      <w:r w:rsidRPr="00850C33">
        <w:rPr>
          <w:b/>
          <w:bCs/>
        </w:rPr>
        <w:t>о</w:t>
      </w:r>
      <w:r w:rsidRPr="00850C33">
        <w:rPr>
          <w:b/>
          <w:bCs/>
        </w:rPr>
        <w:t>митет также настоятельно призывает государство-участник ликвидир</w:t>
      </w:r>
      <w:r w:rsidRPr="00850C33">
        <w:rPr>
          <w:b/>
          <w:bCs/>
        </w:rPr>
        <w:t>о</w:t>
      </w:r>
      <w:r w:rsidRPr="00850C33">
        <w:rPr>
          <w:b/>
          <w:bCs/>
        </w:rPr>
        <w:t>вать Суд по вопросам государственной безопасности в соответствии с р</w:t>
      </w:r>
      <w:r w:rsidRPr="00850C33">
        <w:rPr>
          <w:b/>
          <w:bCs/>
        </w:rPr>
        <w:t>е</w:t>
      </w:r>
      <w:r w:rsidRPr="00850C33">
        <w:rPr>
          <w:b/>
          <w:bCs/>
        </w:rPr>
        <w:t xml:space="preserve">комендацией Комитета по правам человека, вынесенной в 2010 </w:t>
      </w:r>
      <w:r w:rsidR="00B230D9">
        <w:rPr>
          <w:b/>
          <w:bCs/>
        </w:rPr>
        <w:t>году</w:t>
      </w:r>
      <w:r w:rsidR="00B230D9">
        <w:rPr>
          <w:b/>
          <w:bCs/>
        </w:rPr>
        <w:br/>
      </w:r>
      <w:r w:rsidRPr="00850C33">
        <w:rPr>
          <w:b/>
          <w:bCs/>
        </w:rPr>
        <w:t>(см. CCPR/C/JOR/CO/4, пункт 12).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Гендерное насилие</w:t>
      </w:r>
    </w:p>
    <w:p w:rsidR="00850C33" w:rsidRPr="00C10381" w:rsidRDefault="00850C33" w:rsidP="00E93A45">
      <w:pPr>
        <w:pStyle w:val="SingleTxtGR"/>
      </w:pPr>
      <w:r w:rsidRPr="00C10381">
        <w:t>39.</w:t>
      </w:r>
      <w:r w:rsidRPr="00C10381">
        <w:tab/>
        <w:t>Принимая к сведению информацию, представленную делегацией относ</w:t>
      </w:r>
      <w:r w:rsidRPr="00C10381">
        <w:t>и</w:t>
      </w:r>
      <w:r w:rsidRPr="00C10381">
        <w:t>тельно проекта закона о защите от насилия</w:t>
      </w:r>
      <w:r w:rsidR="00E93A45">
        <w:t xml:space="preserve"> в семье</w:t>
      </w:r>
      <w:r w:rsidRPr="00C10381">
        <w:t>, Комитет серьезно обесп</w:t>
      </w:r>
      <w:r w:rsidRPr="00C10381">
        <w:t>о</w:t>
      </w:r>
      <w:r w:rsidRPr="00C10381">
        <w:t xml:space="preserve">коен тем, что гендерное насилие, включая насилие </w:t>
      </w:r>
      <w:r w:rsidR="00E93A45">
        <w:t xml:space="preserve">в семье </w:t>
      </w:r>
      <w:r w:rsidRPr="00C10381">
        <w:t>и преступления, с</w:t>
      </w:r>
      <w:r w:rsidRPr="00C10381">
        <w:t>о</w:t>
      </w:r>
      <w:r>
        <w:t>вершенные в «защиту чести»</w:t>
      </w:r>
      <w:r w:rsidRPr="00C10381">
        <w:t>, остается в государстве-участнике широко ра</w:t>
      </w:r>
      <w:r w:rsidRPr="00C10381">
        <w:t>с</w:t>
      </w:r>
      <w:r w:rsidRPr="00C10381">
        <w:t>пространенным явлением. Принимая к сведению информацию о текущей пр</w:t>
      </w:r>
      <w:r w:rsidRPr="00C10381">
        <w:t>а</w:t>
      </w:r>
      <w:r w:rsidRPr="00C10381">
        <w:t>вовой реформе, проводимой в государстве-участнике, Комитет по-прежнему обеспокоен сохранением в Уголовном кодексе статей 98, 99, 308 и 340, согласно которым виновные в изнасилованиях освобождаются от уголовной ответстве</w:t>
      </w:r>
      <w:r w:rsidRPr="00C10381">
        <w:t>н</w:t>
      </w:r>
      <w:r w:rsidRPr="00C10381">
        <w:t>ности, если они женятся на жертвах, и которые допускают смягчение пригов</w:t>
      </w:r>
      <w:r w:rsidRPr="00C10381">
        <w:t>о</w:t>
      </w:r>
      <w:r w:rsidRPr="00C10381">
        <w:t>ров в определенных обстоятельствах для виновных в преступлениях, сове</w:t>
      </w:r>
      <w:r w:rsidRPr="00C10381">
        <w:t>р</w:t>
      </w:r>
      <w:r w:rsidRPr="00C10381">
        <w:t xml:space="preserve">шенных под предлогом </w:t>
      </w:r>
      <w:r>
        <w:t>«защиты чести»</w:t>
      </w:r>
      <w:r w:rsidRPr="00C10381">
        <w:t xml:space="preserve"> семьи, в результате чего виновные м</w:t>
      </w:r>
      <w:r w:rsidRPr="00C10381">
        <w:t>о</w:t>
      </w:r>
      <w:r w:rsidRPr="00C10381">
        <w:t>гут избежать наказания. Комитет далее выражает сожаление в связи с отсу</w:t>
      </w:r>
      <w:r w:rsidRPr="00C10381">
        <w:t>т</w:t>
      </w:r>
      <w:r w:rsidRPr="00C10381">
        <w:t>ствием информации о результатах судебных дел, связанных с гендерным нас</w:t>
      </w:r>
      <w:r w:rsidRPr="00C10381">
        <w:t>и</w:t>
      </w:r>
      <w:r w:rsidRPr="00C10381">
        <w:t>лием, вкл</w:t>
      </w:r>
      <w:r w:rsidRPr="00C10381">
        <w:t>ю</w:t>
      </w:r>
      <w:r w:rsidRPr="00C10381">
        <w:t>чая приговоры и наказания (статьи 1, 2, 4, 12 и 16).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C10381">
        <w:t>40.</w:t>
      </w:r>
      <w:r w:rsidRPr="00C10381">
        <w:tab/>
      </w:r>
      <w:r w:rsidRPr="00850C33">
        <w:rPr>
          <w:b/>
          <w:bCs/>
        </w:rPr>
        <w:t>Государству-участнику следует: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a)</w:t>
      </w:r>
      <w:r w:rsidRPr="00850C33">
        <w:rPr>
          <w:b/>
          <w:bCs/>
        </w:rPr>
        <w:tab/>
        <w:t>активизировать меры по борьбе со всеми формами насилия в отношении женщин и обеспечить, чтобы все такие случаи тщательно ра</w:t>
      </w:r>
      <w:r w:rsidRPr="00850C33">
        <w:rPr>
          <w:b/>
          <w:bCs/>
        </w:rPr>
        <w:t>с</w:t>
      </w:r>
      <w:r w:rsidRPr="00850C33">
        <w:rPr>
          <w:b/>
          <w:bCs/>
        </w:rPr>
        <w:t>следовались, виновные преследовались в судебном порядке и жертвы п</w:t>
      </w:r>
      <w:r w:rsidRPr="00850C33">
        <w:rPr>
          <w:b/>
          <w:bCs/>
        </w:rPr>
        <w:t>о</w:t>
      </w:r>
      <w:r w:rsidRPr="00850C33">
        <w:rPr>
          <w:b/>
          <w:bCs/>
        </w:rPr>
        <w:t>лучали возмещение ущерба, включая справедливую и достаточную ко</w:t>
      </w:r>
      <w:r w:rsidRPr="00850C33">
        <w:rPr>
          <w:b/>
          <w:bCs/>
        </w:rPr>
        <w:t>м</w:t>
      </w:r>
      <w:r w:rsidRPr="00850C33">
        <w:rPr>
          <w:b/>
          <w:bCs/>
        </w:rPr>
        <w:t>пенсацию;</w:t>
      </w:r>
    </w:p>
    <w:p w:rsidR="00850C33" w:rsidRPr="00850C33" w:rsidRDefault="00850C33" w:rsidP="00E93A45">
      <w:pPr>
        <w:pStyle w:val="SingleTxtGR"/>
        <w:rPr>
          <w:b/>
          <w:bCs/>
        </w:rPr>
      </w:pPr>
      <w:r w:rsidRPr="00850C33">
        <w:rPr>
          <w:b/>
          <w:bCs/>
        </w:rPr>
        <w:tab/>
        <w:t>b)</w:t>
      </w:r>
      <w:r w:rsidRPr="00850C33">
        <w:rPr>
          <w:b/>
          <w:bCs/>
        </w:rPr>
        <w:tab/>
        <w:t>завершить принятие проекта закона о защите от насилия</w:t>
      </w:r>
      <w:r w:rsidR="00E93A45">
        <w:rPr>
          <w:b/>
          <w:bCs/>
        </w:rPr>
        <w:t xml:space="preserve"> в с</w:t>
      </w:r>
      <w:r w:rsidR="00E93A45">
        <w:rPr>
          <w:b/>
          <w:bCs/>
        </w:rPr>
        <w:t>е</w:t>
      </w:r>
      <w:r w:rsidR="00E93A45">
        <w:rPr>
          <w:b/>
          <w:bCs/>
        </w:rPr>
        <w:t>мье</w:t>
      </w:r>
      <w:r w:rsidRPr="00850C33">
        <w:rPr>
          <w:b/>
          <w:bCs/>
        </w:rPr>
        <w:t xml:space="preserve"> и принять эффективные меры для обеспечения его осуществления на практике, в том числе путем создания необходимого механизма имплеме</w:t>
      </w:r>
      <w:r w:rsidRPr="00850C33">
        <w:rPr>
          <w:b/>
          <w:bCs/>
        </w:rPr>
        <w:t>н</w:t>
      </w:r>
      <w:r w:rsidRPr="00850C33">
        <w:rPr>
          <w:b/>
          <w:bCs/>
        </w:rPr>
        <w:t>тации и повышения осведомленности сотрудников правоохранительных органов, судей, прокуроров, юристов и социальных работников о новом з</w:t>
      </w:r>
      <w:r w:rsidRPr="00850C33">
        <w:rPr>
          <w:b/>
          <w:bCs/>
        </w:rPr>
        <w:t>а</w:t>
      </w:r>
      <w:r w:rsidRPr="00850C33">
        <w:rPr>
          <w:b/>
          <w:bCs/>
        </w:rPr>
        <w:t>коне;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с)</w:t>
      </w:r>
      <w:r w:rsidRPr="00850C33">
        <w:rPr>
          <w:b/>
          <w:bCs/>
        </w:rPr>
        <w:tab/>
        <w:t>без дальнейшего промедления отменить любые смягчающие и оправдательные положения Уголовного кодекса, касающиеся преступл</w:t>
      </w:r>
      <w:r w:rsidRPr="00850C33">
        <w:rPr>
          <w:b/>
          <w:bCs/>
        </w:rPr>
        <w:t>е</w:t>
      </w:r>
      <w:r w:rsidRPr="00850C33">
        <w:rPr>
          <w:b/>
          <w:bCs/>
        </w:rPr>
        <w:t xml:space="preserve">ний, связанных с изнасилованием и </w:t>
      </w:r>
      <w:r>
        <w:rPr>
          <w:b/>
          <w:bCs/>
        </w:rPr>
        <w:t>«защитой чести»</w:t>
      </w:r>
      <w:r w:rsidRPr="00850C33">
        <w:rPr>
          <w:b/>
          <w:bCs/>
        </w:rPr>
        <w:t xml:space="preserve">, и незамедлительно принять меры с целью положить конец безнаказанности за изнасилование, так называемые преступления с целью </w:t>
      </w:r>
      <w:r>
        <w:rPr>
          <w:b/>
          <w:bCs/>
        </w:rPr>
        <w:t>«защиты чести»</w:t>
      </w:r>
      <w:r w:rsidRPr="00850C33">
        <w:rPr>
          <w:b/>
          <w:bCs/>
        </w:rPr>
        <w:t xml:space="preserve"> и другие виды ге</w:t>
      </w:r>
      <w:r w:rsidRPr="00850C33">
        <w:rPr>
          <w:b/>
          <w:bCs/>
        </w:rPr>
        <w:t>н</w:t>
      </w:r>
      <w:r w:rsidRPr="00850C33">
        <w:rPr>
          <w:b/>
          <w:bCs/>
        </w:rPr>
        <w:t>дерного насилия;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lastRenderedPageBreak/>
        <w:tab/>
        <w:t>d)</w:t>
      </w:r>
      <w:r w:rsidRPr="00850C33">
        <w:rPr>
          <w:b/>
          <w:bCs/>
        </w:rPr>
        <w:tab/>
        <w:t>предоставить в своем следующем периодическом докладе п</w:t>
      </w:r>
      <w:r w:rsidRPr="00850C33">
        <w:rPr>
          <w:b/>
          <w:bCs/>
        </w:rPr>
        <w:t>о</w:t>
      </w:r>
      <w:r w:rsidRPr="00850C33">
        <w:rPr>
          <w:b/>
          <w:bCs/>
        </w:rPr>
        <w:t>дробную информацию о количестве жалоб, расследований, судебных пр</w:t>
      </w:r>
      <w:r w:rsidRPr="00850C33">
        <w:rPr>
          <w:b/>
          <w:bCs/>
        </w:rPr>
        <w:t>е</w:t>
      </w:r>
      <w:r w:rsidRPr="00850C33">
        <w:rPr>
          <w:b/>
          <w:bCs/>
        </w:rPr>
        <w:t>следований, обвинительных приговоров и санкций в связи со случаями гендерного насилия.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Подготовка кадров</w:t>
      </w:r>
    </w:p>
    <w:p w:rsidR="00850C33" w:rsidRPr="00C10381" w:rsidRDefault="00850C33" w:rsidP="00E93A45">
      <w:pPr>
        <w:pStyle w:val="SingleTxtGR"/>
      </w:pPr>
      <w:r w:rsidRPr="00C10381">
        <w:t>41.</w:t>
      </w:r>
      <w:r w:rsidRPr="00C10381">
        <w:tab/>
        <w:t>Принимая к сведению представленную делегацией информацию о сущ</w:t>
      </w:r>
      <w:r w:rsidRPr="00C10381">
        <w:t>е</w:t>
      </w:r>
      <w:r w:rsidRPr="00C10381">
        <w:t>ствующих программах подготовки по вопросам профилактики агрессивности и предупреждения пыток, организованных Управлением общественной безопа</w:t>
      </w:r>
      <w:r w:rsidRPr="00C10381">
        <w:t>с</w:t>
      </w:r>
      <w:r w:rsidRPr="00C10381">
        <w:t>ности, Комитет по-прежнему обеспокоен ограниченной информацией об э</w:t>
      </w:r>
      <w:r w:rsidRPr="00C10381">
        <w:t>ф</w:t>
      </w:r>
      <w:r w:rsidRPr="00C10381">
        <w:t>фективности такой подготовки. Комитет высоко оценивает предоставленную делегацией информацию о новых руководящих принципах для прокуроров, к</w:t>
      </w:r>
      <w:r w:rsidRPr="00C10381">
        <w:t>о</w:t>
      </w:r>
      <w:r w:rsidRPr="00C10381">
        <w:t>торые включают в себя Руководство по эффективному расследованию и док</w:t>
      </w:r>
      <w:r w:rsidRPr="00C10381">
        <w:t>у</w:t>
      </w:r>
      <w:r w:rsidRPr="00C10381">
        <w:t>ментированию пыток и других жестоких, бесчеловечных или унижающих д</w:t>
      </w:r>
      <w:r w:rsidRPr="00C10381">
        <w:t>о</w:t>
      </w:r>
      <w:r w:rsidRPr="00C10381">
        <w:t>стоинство видов обращения или наказания (Стамбульский протокол), однако он сожалеет об отсутствии специализированной подготовки для сотрудников пр</w:t>
      </w:r>
      <w:r w:rsidRPr="00C10381">
        <w:t>а</w:t>
      </w:r>
      <w:r w:rsidRPr="00C10381">
        <w:t xml:space="preserve">воохранительных органов, судей, прокуроров, судебно-медицинских </w:t>
      </w:r>
      <w:r w:rsidR="00E93A45">
        <w:t>экспертов</w:t>
      </w:r>
      <w:r w:rsidRPr="00C10381">
        <w:t xml:space="preserve"> и медицинского персонала, работающего с задержанными лицами, по вопросам выявления и документирования физических и психологических последствий пыток (статья 10).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C10381">
        <w:t>42.</w:t>
      </w:r>
      <w:r w:rsidRPr="00C10381">
        <w:tab/>
      </w:r>
      <w:r w:rsidRPr="00850C33">
        <w:rPr>
          <w:b/>
          <w:bCs/>
        </w:rPr>
        <w:t>Государству-участнику следует: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a)</w:t>
      </w:r>
      <w:r w:rsidRPr="00850C33">
        <w:rPr>
          <w:b/>
          <w:bCs/>
        </w:rPr>
        <w:tab/>
        <w:t>разработать и применять методику оценки эффективности пр</w:t>
      </w:r>
      <w:r w:rsidRPr="00850C33">
        <w:rPr>
          <w:b/>
          <w:bCs/>
        </w:rPr>
        <w:t>о</w:t>
      </w:r>
      <w:r w:rsidRPr="00850C33">
        <w:rPr>
          <w:b/>
          <w:bCs/>
        </w:rPr>
        <w:t>грамм подготовки с точки зрения уменьшения числа случаев применения пыток и неправомерного обращения и обеспечения расследования таких деяний и с</w:t>
      </w:r>
      <w:r w:rsidRPr="00850C33">
        <w:rPr>
          <w:b/>
          <w:bCs/>
        </w:rPr>
        <w:t>у</w:t>
      </w:r>
      <w:r w:rsidRPr="00850C33">
        <w:rPr>
          <w:b/>
          <w:bCs/>
        </w:rPr>
        <w:t>дебного преследования виновных;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b)</w:t>
      </w:r>
      <w:r w:rsidRPr="00850C33">
        <w:rPr>
          <w:b/>
          <w:bCs/>
        </w:rPr>
        <w:tab/>
        <w:t>обеспечить специализированную подготовку всех соответств</w:t>
      </w:r>
      <w:r w:rsidRPr="00850C33">
        <w:rPr>
          <w:b/>
          <w:bCs/>
        </w:rPr>
        <w:t>у</w:t>
      </w:r>
      <w:r w:rsidRPr="00850C33">
        <w:rPr>
          <w:b/>
          <w:bCs/>
        </w:rPr>
        <w:t>ющих сотрудников, включая медицинский персонал, по вопросам выявл</w:t>
      </w:r>
      <w:r w:rsidRPr="00850C33">
        <w:rPr>
          <w:b/>
          <w:bCs/>
        </w:rPr>
        <w:t>е</w:t>
      </w:r>
      <w:r w:rsidRPr="00850C33">
        <w:rPr>
          <w:b/>
          <w:bCs/>
        </w:rPr>
        <w:t>ния случаев пыток и жестокого обращения в соответствии со Стамбул</w:t>
      </w:r>
      <w:r w:rsidRPr="00850C33">
        <w:rPr>
          <w:b/>
          <w:bCs/>
        </w:rPr>
        <w:t>ь</w:t>
      </w:r>
      <w:r w:rsidRPr="00850C33">
        <w:rPr>
          <w:b/>
          <w:bCs/>
        </w:rPr>
        <w:t>ским проток</w:t>
      </w:r>
      <w:r w:rsidRPr="00850C33">
        <w:rPr>
          <w:b/>
          <w:bCs/>
        </w:rPr>
        <w:t>о</w:t>
      </w:r>
      <w:r w:rsidRPr="00850C33">
        <w:rPr>
          <w:b/>
          <w:bCs/>
        </w:rPr>
        <w:t>лом.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Условия содержания под стражей</w:t>
      </w:r>
    </w:p>
    <w:p w:rsidR="00850C33" w:rsidRPr="00C10381" w:rsidRDefault="00850C33" w:rsidP="00C10381">
      <w:pPr>
        <w:pStyle w:val="SingleTxtGR"/>
      </w:pPr>
      <w:r w:rsidRPr="00C10381">
        <w:t>43.</w:t>
      </w:r>
      <w:r w:rsidRPr="00C10381">
        <w:tab/>
        <w:t>Комитет обеспокоен тем, что, несмотря на некоторые меры, принятые для улучшения условий содержания под стражей, в том числе путем создания н</w:t>
      </w:r>
      <w:r w:rsidRPr="00C10381">
        <w:t>о</w:t>
      </w:r>
      <w:r w:rsidRPr="00C10381">
        <w:t xml:space="preserve">вых исправительных и реабилитационных центров, в местах содержания под стражей сохраняются </w:t>
      </w:r>
      <w:r w:rsidR="00BC339A">
        <w:t>серьезные проблемы, в частности</w:t>
      </w:r>
      <w:r w:rsidRPr="00C10381">
        <w:t xml:space="preserve"> переполненность, пл</w:t>
      </w:r>
      <w:r w:rsidRPr="00C10381">
        <w:t>о</w:t>
      </w:r>
      <w:r w:rsidRPr="00C10381">
        <w:t>хие санитарные условия, недостаточность медицинских услуг и мер в области здравоохранения, а также нехватка одеял и до</w:t>
      </w:r>
      <w:r w:rsidR="00B230D9">
        <w:t>статочного питания (статьи 11 и </w:t>
      </w:r>
      <w:r w:rsidRPr="00C10381">
        <w:t>16).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C10381">
        <w:t>44.</w:t>
      </w:r>
      <w:r w:rsidRPr="00C10381">
        <w:tab/>
      </w:r>
      <w:r w:rsidRPr="00850C33">
        <w:rPr>
          <w:b/>
          <w:bCs/>
        </w:rPr>
        <w:t>Государству-участнику следует: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a)</w:t>
      </w:r>
      <w:r w:rsidRPr="00850C33">
        <w:rPr>
          <w:b/>
          <w:bCs/>
        </w:rPr>
        <w:tab/>
        <w:t>продолжать свои усилия по снижению переполненности пен</w:t>
      </w:r>
      <w:r w:rsidRPr="00850C33">
        <w:rPr>
          <w:b/>
          <w:bCs/>
        </w:rPr>
        <w:t>и</w:t>
      </w:r>
      <w:r w:rsidRPr="00850C33">
        <w:rPr>
          <w:b/>
          <w:bCs/>
        </w:rPr>
        <w:t>тенциарных учреждений, в том числе путем применения мер, альтерн</w:t>
      </w:r>
      <w:r w:rsidRPr="00850C33">
        <w:rPr>
          <w:b/>
          <w:bCs/>
        </w:rPr>
        <w:t>а</w:t>
      </w:r>
      <w:r w:rsidRPr="00850C33">
        <w:rPr>
          <w:b/>
          <w:bCs/>
        </w:rPr>
        <w:t>тивных тюремному заключению, как отмечалось делегацией в ходе диал</w:t>
      </w:r>
      <w:r w:rsidRPr="00850C33">
        <w:rPr>
          <w:b/>
          <w:bCs/>
        </w:rPr>
        <w:t>о</w:t>
      </w:r>
      <w:r w:rsidR="00BC339A">
        <w:rPr>
          <w:b/>
          <w:bCs/>
        </w:rPr>
        <w:t>га, а также увеличения</w:t>
      </w:r>
      <w:r w:rsidRPr="00850C33">
        <w:rPr>
          <w:b/>
          <w:bCs/>
        </w:rPr>
        <w:t xml:space="preserve"> бюджетных ассигнований на развитие и реко</w:t>
      </w:r>
      <w:r w:rsidRPr="00850C33">
        <w:rPr>
          <w:b/>
          <w:bCs/>
        </w:rPr>
        <w:t>н</w:t>
      </w:r>
      <w:r w:rsidRPr="00850C33">
        <w:rPr>
          <w:b/>
          <w:bCs/>
        </w:rPr>
        <w:t>струкцию инфраструкт</w:t>
      </w:r>
      <w:r w:rsidRPr="00850C33">
        <w:rPr>
          <w:b/>
          <w:bCs/>
        </w:rPr>
        <w:t>у</w:t>
      </w:r>
      <w:r w:rsidRPr="00850C33">
        <w:rPr>
          <w:b/>
          <w:bCs/>
        </w:rPr>
        <w:t>ры тюрем и других мест содержания под стражей;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b)</w:t>
      </w:r>
      <w:r w:rsidRPr="00850C33">
        <w:rPr>
          <w:b/>
          <w:bCs/>
        </w:rPr>
        <w:tab/>
        <w:t>принять эффективные меры для улучшения санитарных усл</w:t>
      </w:r>
      <w:r w:rsidRPr="00850C33">
        <w:rPr>
          <w:b/>
          <w:bCs/>
        </w:rPr>
        <w:t>о</w:t>
      </w:r>
      <w:r w:rsidRPr="00850C33">
        <w:rPr>
          <w:b/>
          <w:bCs/>
        </w:rPr>
        <w:t>вий, качества пищи и медицинских услуг и удобств для заключенных;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850C33">
        <w:rPr>
          <w:b/>
          <w:bCs/>
        </w:rPr>
        <w:tab/>
        <w:t>с)</w:t>
      </w:r>
      <w:r w:rsidRPr="00850C33">
        <w:rPr>
          <w:b/>
          <w:bCs/>
        </w:rPr>
        <w:tab/>
        <w:t>обеспечить применение стандартных минимальных правил о</w:t>
      </w:r>
      <w:r w:rsidRPr="00850C33">
        <w:rPr>
          <w:b/>
          <w:bCs/>
        </w:rPr>
        <w:t>б</w:t>
      </w:r>
      <w:r w:rsidRPr="00850C33">
        <w:rPr>
          <w:b/>
          <w:bCs/>
        </w:rPr>
        <w:t>ращения с заключенными с учетом соответствующих международных стандартов в области прав человека.</w:t>
      </w:r>
    </w:p>
    <w:p w:rsidR="00850C33" w:rsidRPr="00C10381" w:rsidRDefault="00850C33" w:rsidP="00850C33">
      <w:pPr>
        <w:pStyle w:val="H23GR"/>
      </w:pPr>
      <w:r w:rsidRPr="00C10381">
        <w:lastRenderedPageBreak/>
        <w:tab/>
      </w:r>
      <w:r w:rsidRPr="00C10381">
        <w:tab/>
        <w:t>Трудящиеся женщины-мигранты</w:t>
      </w:r>
    </w:p>
    <w:p w:rsidR="00850C33" w:rsidRPr="00C10381" w:rsidRDefault="00850C33" w:rsidP="00B230D9">
      <w:pPr>
        <w:pStyle w:val="SingleTxtGR"/>
        <w:spacing w:line="234" w:lineRule="atLeast"/>
      </w:pPr>
      <w:r w:rsidRPr="00C10381">
        <w:t>45.</w:t>
      </w:r>
      <w:r w:rsidRPr="00C10381">
        <w:tab/>
        <w:t>Комитет обеспокоен продолжающейся экономической и физической эк</w:t>
      </w:r>
      <w:r w:rsidRPr="00C10381">
        <w:t>с</w:t>
      </w:r>
      <w:r w:rsidRPr="00C10381">
        <w:t>плуатацией трудящихся женщин-мигрантов, особенно домашней прислуги, в сочетании с недостаточно регулярными инспекционными поездками для наблюдения за условиями их труда. Он обеспокоен также отсутствием инфо</w:t>
      </w:r>
      <w:r w:rsidRPr="00C10381">
        <w:t>р</w:t>
      </w:r>
      <w:r w:rsidRPr="00C10381">
        <w:t>мации, касающейся уголовного преследования допускающих злоупотребления работодателей (статьи 12, 13 и 16).</w:t>
      </w:r>
    </w:p>
    <w:p w:rsidR="00850C33" w:rsidRPr="00850C33" w:rsidRDefault="00850C33" w:rsidP="00B230D9">
      <w:pPr>
        <w:pStyle w:val="SingleTxtGR"/>
        <w:spacing w:line="234" w:lineRule="atLeast"/>
        <w:rPr>
          <w:b/>
          <w:bCs/>
        </w:rPr>
      </w:pPr>
      <w:r w:rsidRPr="00C10381">
        <w:t>46.</w:t>
      </w:r>
      <w:r w:rsidRPr="00C10381">
        <w:tab/>
      </w:r>
      <w:r w:rsidRPr="00850C33">
        <w:rPr>
          <w:b/>
          <w:bCs/>
        </w:rPr>
        <w:t>Комитет рекомендует государству-участнику активизировать свои меры для улучшения положения трудящихся женщин-мигрантов, в том числе путем обеспечения эффективного осуществления трудового закон</w:t>
      </w:r>
      <w:r w:rsidRPr="00850C33">
        <w:rPr>
          <w:b/>
          <w:bCs/>
        </w:rPr>
        <w:t>о</w:t>
      </w:r>
      <w:r w:rsidRPr="00850C33">
        <w:rPr>
          <w:b/>
          <w:bCs/>
        </w:rPr>
        <w:t>дательства и увеличения числа посещений рабочих мест и общежитий тр</w:t>
      </w:r>
      <w:r w:rsidRPr="00850C33">
        <w:rPr>
          <w:b/>
          <w:bCs/>
        </w:rPr>
        <w:t>у</w:t>
      </w:r>
      <w:r w:rsidRPr="00850C33">
        <w:rPr>
          <w:b/>
          <w:bCs/>
        </w:rPr>
        <w:t>дящихся-мигрантов. Государству-участнику следует также облегчить д</w:t>
      </w:r>
      <w:r w:rsidRPr="00850C33">
        <w:rPr>
          <w:b/>
          <w:bCs/>
        </w:rPr>
        <w:t>о</w:t>
      </w:r>
      <w:r w:rsidRPr="00850C33">
        <w:rPr>
          <w:b/>
          <w:bCs/>
        </w:rPr>
        <w:t>ступ к правосудию для жертв, тщательно расследовать все жалобы, пр</w:t>
      </w:r>
      <w:r w:rsidRPr="00850C33">
        <w:rPr>
          <w:b/>
          <w:bCs/>
        </w:rPr>
        <w:t>и</w:t>
      </w:r>
      <w:r w:rsidRPr="00850C33">
        <w:rPr>
          <w:b/>
          <w:bCs/>
        </w:rPr>
        <w:t>влекать виновных к ответственности и, если они будут признаны вино</w:t>
      </w:r>
      <w:r w:rsidRPr="00850C33">
        <w:rPr>
          <w:b/>
          <w:bCs/>
        </w:rPr>
        <w:t>в</w:t>
      </w:r>
      <w:r w:rsidRPr="00850C33">
        <w:rPr>
          <w:b/>
          <w:bCs/>
        </w:rPr>
        <w:t>ными, соответственно их наказывать.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Возмещение ущерба и реабилитация</w:t>
      </w:r>
    </w:p>
    <w:p w:rsidR="00850C33" w:rsidRPr="00C10381" w:rsidRDefault="00850C33" w:rsidP="00B230D9">
      <w:pPr>
        <w:pStyle w:val="SingleTxtGR"/>
        <w:spacing w:line="234" w:lineRule="atLeast"/>
      </w:pPr>
      <w:r w:rsidRPr="00C10381">
        <w:t>47.</w:t>
      </w:r>
      <w:r w:rsidRPr="00C10381">
        <w:tab/>
        <w:t>Принимая во внимание положения статьи 256 Гражданского кодекса, по</w:t>
      </w:r>
      <w:r w:rsidRPr="00C10381">
        <w:t>з</w:t>
      </w:r>
      <w:r w:rsidRPr="00C10381">
        <w:t>воляющие истцам требовать возмещения ущерба вследствие нанесения им в</w:t>
      </w:r>
      <w:r w:rsidRPr="00C10381">
        <w:t>и</w:t>
      </w:r>
      <w:r w:rsidRPr="00C10381">
        <w:t>новными телесных повреждений, Комитет обеспокоен тем, что во внутреннем законодательстве нет четко прописанных положений, предусматривающих пр</w:t>
      </w:r>
      <w:r w:rsidRPr="00C10381">
        <w:t>а</w:t>
      </w:r>
      <w:r w:rsidRPr="00C10381">
        <w:t>во жертв пыток и неправомерного обращения на справедливую и адекватную компенсацию, включая средства для возможно более полной реабилитации, как это требуется статьей 14 Конвенции. Помимо одного судебного дела в 2014 г</w:t>
      </w:r>
      <w:r w:rsidRPr="00C10381">
        <w:t>о</w:t>
      </w:r>
      <w:r w:rsidRPr="00C10381">
        <w:t>ду, в котором суд постановил выплатить компенсацию истцу, который был нез</w:t>
      </w:r>
      <w:r w:rsidRPr="00C10381">
        <w:t>а</w:t>
      </w:r>
      <w:r w:rsidRPr="00C10381">
        <w:t>конно задержан, Комитет сожалеет, что делегация не смогла предоставить др</w:t>
      </w:r>
      <w:r w:rsidRPr="00C10381">
        <w:t>у</w:t>
      </w:r>
      <w:r w:rsidRPr="00C10381">
        <w:t>гую информацию о мерах возмещения и компенсации по решению судов или других государственных органов с момента вступления в силу Конвенции в государстве-участнике. Комитет также выражает сожаление в связи с отсу</w:t>
      </w:r>
      <w:r w:rsidRPr="00C10381">
        <w:t>т</w:t>
      </w:r>
      <w:r w:rsidRPr="00C10381">
        <w:t>ствием информации относительно лечения и услуг по социальной реабилит</w:t>
      </w:r>
      <w:r w:rsidRPr="00C10381">
        <w:t>а</w:t>
      </w:r>
      <w:r w:rsidRPr="00C10381">
        <w:t>ции, а также других форм помощи, в том числе медицинской и психосоциал</w:t>
      </w:r>
      <w:r w:rsidRPr="00C10381">
        <w:t>ь</w:t>
      </w:r>
      <w:r w:rsidRPr="00C10381">
        <w:t>ной реабилитации, предоставленных жертвам (статья 14).</w:t>
      </w:r>
    </w:p>
    <w:p w:rsidR="00850C33" w:rsidRPr="00850C33" w:rsidRDefault="00850C33" w:rsidP="00B230D9">
      <w:pPr>
        <w:pStyle w:val="SingleTxtGR"/>
        <w:spacing w:line="232" w:lineRule="atLeast"/>
        <w:rPr>
          <w:b/>
          <w:bCs/>
        </w:rPr>
      </w:pPr>
      <w:r w:rsidRPr="00C10381">
        <w:t>48.</w:t>
      </w:r>
      <w:r w:rsidRPr="00C10381">
        <w:tab/>
      </w:r>
      <w:r w:rsidRPr="00850C33">
        <w:rPr>
          <w:b/>
          <w:bCs/>
        </w:rPr>
        <w:t>Государству-участнику следует пересмотреть свое законодательство с целью включения в него четких положений о праве жертв пыток и жест</w:t>
      </w:r>
      <w:r w:rsidRPr="00850C33">
        <w:rPr>
          <w:b/>
          <w:bCs/>
        </w:rPr>
        <w:t>о</w:t>
      </w:r>
      <w:r w:rsidRPr="00850C33">
        <w:rPr>
          <w:b/>
          <w:bCs/>
        </w:rPr>
        <w:t>кого обращения на возмещение, включая справедливую и адекватную компенсацию и реабилитацию, а также обеспечить, чтобы жертвы могли, в частности, требовать и получать незамедлительную, справедливую и аде</w:t>
      </w:r>
      <w:r w:rsidRPr="00850C33">
        <w:rPr>
          <w:b/>
          <w:bCs/>
        </w:rPr>
        <w:t>к</w:t>
      </w:r>
      <w:r w:rsidRPr="00850C33">
        <w:rPr>
          <w:b/>
          <w:bCs/>
        </w:rPr>
        <w:t>ватную компенсацию, в том числе в случаях, когда гражданскую отве</w:t>
      </w:r>
      <w:r w:rsidRPr="00850C33">
        <w:rPr>
          <w:b/>
          <w:bCs/>
        </w:rPr>
        <w:t>т</w:t>
      </w:r>
      <w:r w:rsidRPr="00850C33">
        <w:rPr>
          <w:b/>
          <w:bCs/>
        </w:rPr>
        <w:t>ственность несет государство-участник, в соответствии со статьей 14 Ко</w:t>
      </w:r>
      <w:r w:rsidRPr="00850C33">
        <w:rPr>
          <w:b/>
          <w:bCs/>
        </w:rPr>
        <w:t>н</w:t>
      </w:r>
      <w:r w:rsidRPr="00850C33">
        <w:rPr>
          <w:b/>
          <w:bCs/>
        </w:rPr>
        <w:t>венции. Государству-участнику следует на практике обеспечить всем жер</w:t>
      </w:r>
      <w:r w:rsidRPr="00850C33">
        <w:rPr>
          <w:b/>
          <w:bCs/>
        </w:rPr>
        <w:t>т</w:t>
      </w:r>
      <w:r w:rsidRPr="00850C33">
        <w:rPr>
          <w:b/>
          <w:bCs/>
        </w:rPr>
        <w:t>вам пыток и жестокого обращения возмещение, включая справедливую и достаточную компенсацию, а также средства для как можно более полной реабилитации. Кроме того, Комитет рекомендует государству учредить программу реабилитации жертв, включая соответству</w:t>
      </w:r>
      <w:r w:rsidRPr="00850C33">
        <w:rPr>
          <w:b/>
          <w:bCs/>
        </w:rPr>
        <w:t>ю</w:t>
      </w:r>
      <w:r w:rsidRPr="00850C33">
        <w:rPr>
          <w:b/>
          <w:bCs/>
        </w:rPr>
        <w:t>щую медицинскую и психологическую помощь, а также выделить необходимые ресурсы для ее эффективного осуществления. Государству-участнику следует представить Комитету статистические данные о случаях, в которых оно предоставило компенсацию жертвам пыток или жестокого обращения, а также о разм</w:t>
      </w:r>
      <w:r w:rsidRPr="00850C33">
        <w:rPr>
          <w:b/>
          <w:bCs/>
        </w:rPr>
        <w:t>е</w:t>
      </w:r>
      <w:r w:rsidRPr="00850C33">
        <w:rPr>
          <w:b/>
          <w:bCs/>
        </w:rPr>
        <w:t>рах компенсации. Комитет привлекает внимание государства-участника к своему замечанию общего порядка № 3 (2012 год) об осуществлении гос</w:t>
      </w:r>
      <w:r w:rsidRPr="00850C33">
        <w:rPr>
          <w:b/>
          <w:bCs/>
        </w:rPr>
        <w:t>у</w:t>
      </w:r>
      <w:r w:rsidRPr="00850C33">
        <w:rPr>
          <w:b/>
          <w:bCs/>
        </w:rPr>
        <w:t>дарствами-участниками статьи 14 Конвенции, которое проясняет содерж</w:t>
      </w:r>
      <w:r w:rsidRPr="00850C33">
        <w:rPr>
          <w:b/>
          <w:bCs/>
        </w:rPr>
        <w:t>а</w:t>
      </w:r>
      <w:r w:rsidRPr="00850C33">
        <w:rPr>
          <w:b/>
          <w:bCs/>
        </w:rPr>
        <w:t>ние и объем обязательств государств-участников в отношении предоста</w:t>
      </w:r>
      <w:r w:rsidRPr="00850C33">
        <w:rPr>
          <w:b/>
          <w:bCs/>
        </w:rPr>
        <w:t>в</w:t>
      </w:r>
      <w:r w:rsidRPr="00850C33">
        <w:rPr>
          <w:b/>
          <w:bCs/>
        </w:rPr>
        <w:t>ления жер</w:t>
      </w:r>
      <w:r w:rsidRPr="00850C33">
        <w:rPr>
          <w:b/>
          <w:bCs/>
        </w:rPr>
        <w:t>т</w:t>
      </w:r>
      <w:r w:rsidRPr="00850C33">
        <w:rPr>
          <w:b/>
          <w:bCs/>
        </w:rPr>
        <w:t>вам пыток полного возмещения.</w:t>
      </w:r>
    </w:p>
    <w:p w:rsidR="00850C33" w:rsidRPr="00C10381" w:rsidRDefault="00850C33" w:rsidP="00850C33">
      <w:pPr>
        <w:pStyle w:val="H23GR"/>
      </w:pPr>
      <w:r w:rsidRPr="00C10381">
        <w:lastRenderedPageBreak/>
        <w:tab/>
      </w:r>
      <w:r w:rsidRPr="00C10381">
        <w:tab/>
        <w:t>Признательные показания, полученные под давлением</w:t>
      </w:r>
    </w:p>
    <w:p w:rsidR="00850C33" w:rsidRPr="00C10381" w:rsidRDefault="00850C33" w:rsidP="00C10381">
      <w:pPr>
        <w:pStyle w:val="SingleTxtGR"/>
      </w:pPr>
      <w:r w:rsidRPr="00C10381">
        <w:t>49.</w:t>
      </w:r>
      <w:r w:rsidRPr="00C10381">
        <w:tab/>
        <w:t>Принимая во внимание</w:t>
      </w:r>
      <w:r w:rsidR="007E26F8">
        <w:t xml:space="preserve"> правовые гарантии, закрепленные</w:t>
      </w:r>
      <w:r w:rsidRPr="00C10381">
        <w:t xml:space="preserve"> в Конституции Иордании, которые устанавливают неприемлемость доказательств, полученных под пыткой, а также в статье 159 Уголовно-процессуального кодекса, которая признает недействительными показания или доказательства, полученные с п</w:t>
      </w:r>
      <w:r w:rsidRPr="00C10381">
        <w:t>о</w:t>
      </w:r>
      <w:r w:rsidRPr="00C10381">
        <w:t>мощью физического или морального давления, Комитет озабочен тем, что на практике признания или заявления, полученные под давлением, по-прежнему используются в качестве приемлемых</w:t>
      </w:r>
      <w:r w:rsidR="007E26F8">
        <w:t xml:space="preserve"> доказательств в судах. К</w:t>
      </w:r>
      <w:r w:rsidR="007E26F8">
        <w:t>о</w:t>
      </w:r>
      <w:r w:rsidR="007E26F8">
        <w:t>митет</w:t>
      </w:r>
      <w:r w:rsidR="007E26F8">
        <w:br/>
      </w:r>
      <w:r w:rsidRPr="00C10381">
        <w:t>по-прежнему обеспокоен очевидным отсутствием расследований таких утве</w:t>
      </w:r>
      <w:r w:rsidRPr="00C10381">
        <w:t>р</w:t>
      </w:r>
      <w:r w:rsidRPr="00C10381">
        <w:t>ждений и отсутствием информации относительно судебного преследования и наказания должностных лиц, которые предположительно принуждали к таким признаниям (статья 15).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C10381">
        <w:t>50.</w:t>
      </w:r>
      <w:r w:rsidRPr="00C10381">
        <w:tab/>
      </w:r>
      <w:r w:rsidRPr="00850C33">
        <w:rPr>
          <w:b/>
          <w:bCs/>
        </w:rPr>
        <w:t>Государству-участнику следует принять эффективные меры для того, чтобы на практике гарантировать недопустимость признательных показ</w:t>
      </w:r>
      <w:r w:rsidRPr="00850C33">
        <w:rPr>
          <w:b/>
          <w:bCs/>
        </w:rPr>
        <w:t>а</w:t>
      </w:r>
      <w:r w:rsidRPr="00850C33">
        <w:rPr>
          <w:b/>
          <w:bCs/>
        </w:rPr>
        <w:t>ний или заявлений, полученных под давлением, за исключением тех случ</w:t>
      </w:r>
      <w:r w:rsidRPr="00850C33">
        <w:rPr>
          <w:b/>
          <w:bCs/>
        </w:rPr>
        <w:t>а</w:t>
      </w:r>
      <w:r w:rsidRPr="00850C33">
        <w:rPr>
          <w:b/>
          <w:bCs/>
        </w:rPr>
        <w:t>ев, когда они используются против лица, обвиняемого в применении п</w:t>
      </w:r>
      <w:r w:rsidRPr="00850C33">
        <w:rPr>
          <w:b/>
          <w:bCs/>
        </w:rPr>
        <w:t>ы</w:t>
      </w:r>
      <w:r w:rsidRPr="00850C33">
        <w:rPr>
          <w:b/>
          <w:bCs/>
        </w:rPr>
        <w:t>ток, в качестве доказательства того, что такое заявление было сделано. Кроме того, государству-участнику следует обеспечить подготовку сотру</w:t>
      </w:r>
      <w:r w:rsidRPr="00850C33">
        <w:rPr>
          <w:b/>
          <w:bCs/>
        </w:rPr>
        <w:t>д</w:t>
      </w:r>
      <w:r w:rsidRPr="00850C33">
        <w:rPr>
          <w:b/>
          <w:bCs/>
        </w:rPr>
        <w:t>ников правоохранительных органов, судей и адвокатов по вопросам выя</w:t>
      </w:r>
      <w:r w:rsidRPr="00850C33">
        <w:rPr>
          <w:b/>
          <w:bCs/>
        </w:rPr>
        <w:t>в</w:t>
      </w:r>
      <w:r w:rsidRPr="00850C33">
        <w:rPr>
          <w:b/>
          <w:bCs/>
        </w:rPr>
        <w:t>ления и расследования случ</w:t>
      </w:r>
      <w:r w:rsidRPr="00850C33">
        <w:rPr>
          <w:b/>
          <w:bCs/>
        </w:rPr>
        <w:t>а</w:t>
      </w:r>
      <w:r w:rsidRPr="00850C33">
        <w:rPr>
          <w:b/>
          <w:bCs/>
        </w:rPr>
        <w:t>ев, в которых признательные показания были получены под пытками. Кроме того, следует обеспечить, чтобы должнос</w:t>
      </w:r>
      <w:r w:rsidRPr="00850C33">
        <w:rPr>
          <w:b/>
          <w:bCs/>
        </w:rPr>
        <w:t>т</w:t>
      </w:r>
      <w:r w:rsidRPr="00850C33">
        <w:rPr>
          <w:b/>
          <w:bCs/>
        </w:rPr>
        <w:t>ные лица, которые принуждают к таким признаниям, привлекались к с</w:t>
      </w:r>
      <w:r w:rsidRPr="00850C33">
        <w:rPr>
          <w:b/>
          <w:bCs/>
        </w:rPr>
        <w:t>у</w:t>
      </w:r>
      <w:r w:rsidRPr="00850C33">
        <w:rPr>
          <w:b/>
          <w:bCs/>
        </w:rPr>
        <w:t>дебной ответственности, уголовному преследованию и приговаривались к соответствующему наказанию.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Процедура последующих действий</w:t>
      </w:r>
    </w:p>
    <w:p w:rsidR="00850C33" w:rsidRPr="00850C33" w:rsidRDefault="00850C33" w:rsidP="00C10381">
      <w:pPr>
        <w:pStyle w:val="SingleTxtGR"/>
        <w:rPr>
          <w:b/>
          <w:bCs/>
        </w:rPr>
      </w:pPr>
      <w:r w:rsidRPr="00C10381">
        <w:t>51.</w:t>
      </w:r>
      <w:r w:rsidRPr="00C10381">
        <w:tab/>
      </w:r>
      <w:r w:rsidRPr="00850C33">
        <w:rPr>
          <w:b/>
          <w:bCs/>
        </w:rPr>
        <w:t>Комитет просит государство-участн</w:t>
      </w:r>
      <w:r w:rsidR="00B230D9">
        <w:rPr>
          <w:b/>
          <w:bCs/>
        </w:rPr>
        <w:t>ик представить к 9 декабря 2016 </w:t>
      </w:r>
      <w:r w:rsidRPr="00850C33">
        <w:rPr>
          <w:b/>
          <w:bCs/>
        </w:rPr>
        <w:t>года информацию о последующих мерах по выполнению рекоменд</w:t>
      </w:r>
      <w:r w:rsidRPr="00850C33">
        <w:rPr>
          <w:b/>
          <w:bCs/>
        </w:rPr>
        <w:t>а</w:t>
      </w:r>
      <w:r w:rsidRPr="00850C33">
        <w:rPr>
          <w:b/>
          <w:bCs/>
        </w:rPr>
        <w:t>ций Комитета, основных правовых гарантий, административного задерж</w:t>
      </w:r>
      <w:r w:rsidRPr="00850C33">
        <w:rPr>
          <w:b/>
          <w:bCs/>
        </w:rPr>
        <w:t>а</w:t>
      </w:r>
      <w:r w:rsidRPr="00850C33">
        <w:rPr>
          <w:b/>
          <w:bCs/>
        </w:rPr>
        <w:t>ния, судов специальной юрисдикции и признательных показаний, пол</w:t>
      </w:r>
      <w:r w:rsidRPr="00850C33">
        <w:rPr>
          <w:b/>
          <w:bCs/>
        </w:rPr>
        <w:t>у</w:t>
      </w:r>
      <w:r w:rsidRPr="00850C33">
        <w:rPr>
          <w:b/>
          <w:bCs/>
        </w:rPr>
        <w:t xml:space="preserve">ченных под давлением (см. пункты 18, </w:t>
      </w:r>
      <w:r w:rsidR="007E26F8">
        <w:rPr>
          <w:b/>
          <w:bCs/>
        </w:rPr>
        <w:t>22, 38 и 50 выше). В этой связи</w:t>
      </w:r>
      <w:r w:rsidRPr="00850C33">
        <w:rPr>
          <w:b/>
          <w:bCs/>
        </w:rPr>
        <w:t xml:space="preserve"> гос</w:t>
      </w:r>
      <w:r w:rsidRPr="00850C33">
        <w:rPr>
          <w:b/>
          <w:bCs/>
        </w:rPr>
        <w:t>у</w:t>
      </w:r>
      <w:r w:rsidRPr="00850C33">
        <w:rPr>
          <w:b/>
          <w:bCs/>
        </w:rPr>
        <w:t>дарству-участнику предлагается сообщить Комитету о его планах по в</w:t>
      </w:r>
      <w:r w:rsidRPr="00850C33">
        <w:rPr>
          <w:b/>
          <w:bCs/>
        </w:rPr>
        <w:t>ы</w:t>
      </w:r>
      <w:r w:rsidRPr="00850C33">
        <w:rPr>
          <w:b/>
          <w:bCs/>
        </w:rPr>
        <w:t>полнению в течение предстоящего отчетного периода части или всех оставшихся рекомендаций, содержащихся в з</w:t>
      </w:r>
      <w:r w:rsidRPr="00850C33">
        <w:rPr>
          <w:b/>
          <w:bCs/>
        </w:rPr>
        <w:t>а</w:t>
      </w:r>
      <w:r w:rsidRPr="00850C33">
        <w:rPr>
          <w:b/>
          <w:bCs/>
        </w:rPr>
        <w:t>ключительных замечаниях.</w:t>
      </w:r>
    </w:p>
    <w:p w:rsidR="00850C33" w:rsidRPr="00C10381" w:rsidRDefault="00850C33" w:rsidP="00850C33">
      <w:pPr>
        <w:pStyle w:val="H23GR"/>
      </w:pPr>
      <w:r w:rsidRPr="00C10381">
        <w:tab/>
      </w:r>
      <w:r w:rsidRPr="00C10381">
        <w:tab/>
        <w:t>Другие вопросы</w:t>
      </w:r>
    </w:p>
    <w:p w:rsidR="00850C33" w:rsidRPr="00850C33" w:rsidRDefault="00850C33" w:rsidP="00B230D9">
      <w:pPr>
        <w:pStyle w:val="SingleTxtGR"/>
        <w:spacing w:line="234" w:lineRule="atLeast"/>
        <w:rPr>
          <w:b/>
          <w:bCs/>
        </w:rPr>
      </w:pPr>
      <w:r w:rsidRPr="00C10381">
        <w:t>52.</w:t>
      </w:r>
      <w:r w:rsidRPr="00C10381">
        <w:tab/>
      </w:r>
      <w:r w:rsidRPr="00850C33">
        <w:rPr>
          <w:b/>
          <w:bCs/>
        </w:rPr>
        <w:t>Комитет призывает государство-участник рассмотреть возможность того, чтобы сделать заявление по статье 22 Конвенции и признать тем с</w:t>
      </w:r>
      <w:r w:rsidRPr="00850C33">
        <w:rPr>
          <w:b/>
          <w:bCs/>
        </w:rPr>
        <w:t>а</w:t>
      </w:r>
      <w:r w:rsidRPr="00850C33">
        <w:rPr>
          <w:b/>
          <w:bCs/>
        </w:rPr>
        <w:t>мым компетенцию Комитета получать и рассматривать сообщения лиц, находящихся под его юрисдикцией.</w:t>
      </w:r>
    </w:p>
    <w:p w:rsidR="00850C33" w:rsidRPr="00850C33" w:rsidRDefault="00850C33" w:rsidP="00B230D9">
      <w:pPr>
        <w:pStyle w:val="SingleTxtGR"/>
        <w:spacing w:line="234" w:lineRule="atLeast"/>
        <w:rPr>
          <w:b/>
          <w:bCs/>
        </w:rPr>
      </w:pPr>
      <w:r w:rsidRPr="00C10381">
        <w:t>53.</w:t>
      </w:r>
      <w:r w:rsidRPr="00C10381">
        <w:tab/>
      </w:r>
      <w:r w:rsidRPr="00850C33">
        <w:rPr>
          <w:b/>
          <w:bCs/>
        </w:rPr>
        <w:t>Комитет предлагает государству-участнику ратифицировать осно</w:t>
      </w:r>
      <w:r w:rsidRPr="00850C33">
        <w:rPr>
          <w:b/>
          <w:bCs/>
        </w:rPr>
        <w:t>в</w:t>
      </w:r>
      <w:r w:rsidRPr="00850C33">
        <w:rPr>
          <w:b/>
          <w:bCs/>
        </w:rPr>
        <w:t>ные договоры Организации Объединенных Наций по правам человека, стороной которых оно еще не является, а именно Международную конве</w:t>
      </w:r>
      <w:r w:rsidRPr="00850C33">
        <w:rPr>
          <w:b/>
          <w:bCs/>
        </w:rPr>
        <w:t>н</w:t>
      </w:r>
      <w:r w:rsidRPr="00850C33">
        <w:rPr>
          <w:b/>
          <w:bCs/>
        </w:rPr>
        <w:t>цию о защите прав всех трудящихся-мигрантов и членов их семей и Ме</w:t>
      </w:r>
      <w:r w:rsidRPr="00850C33">
        <w:rPr>
          <w:b/>
          <w:bCs/>
        </w:rPr>
        <w:t>ж</w:t>
      </w:r>
      <w:r w:rsidRPr="00850C33">
        <w:rPr>
          <w:b/>
          <w:bCs/>
        </w:rPr>
        <w:t>дународную конвенцию для защиты всех лиц от насильственных исчезн</w:t>
      </w:r>
      <w:r w:rsidRPr="00850C33">
        <w:rPr>
          <w:b/>
          <w:bCs/>
        </w:rPr>
        <w:t>о</w:t>
      </w:r>
      <w:r w:rsidRPr="00850C33">
        <w:rPr>
          <w:b/>
          <w:bCs/>
        </w:rPr>
        <w:t>вений.</w:t>
      </w:r>
    </w:p>
    <w:p w:rsidR="00850C33" w:rsidRPr="00850C33" w:rsidRDefault="00850C33" w:rsidP="00B230D9">
      <w:pPr>
        <w:pStyle w:val="SingleTxtGR"/>
        <w:spacing w:line="234" w:lineRule="atLeast"/>
        <w:rPr>
          <w:b/>
          <w:bCs/>
        </w:rPr>
      </w:pPr>
      <w:r w:rsidRPr="00C10381">
        <w:t>54.</w:t>
      </w:r>
      <w:r w:rsidRPr="00C10381">
        <w:tab/>
      </w:r>
      <w:r w:rsidRPr="00850C33">
        <w:rPr>
          <w:b/>
          <w:bCs/>
        </w:rPr>
        <w:t>Государству-участнику предлагается обеспечить широкое распр</w:t>
      </w:r>
      <w:r w:rsidRPr="00850C33">
        <w:rPr>
          <w:b/>
          <w:bCs/>
        </w:rPr>
        <w:t>о</w:t>
      </w:r>
      <w:r w:rsidRPr="00850C33">
        <w:rPr>
          <w:b/>
          <w:bCs/>
        </w:rPr>
        <w:t>странение представленного Комитету доклада и настоящих заключител</w:t>
      </w:r>
      <w:r w:rsidRPr="00850C33">
        <w:rPr>
          <w:b/>
          <w:bCs/>
        </w:rPr>
        <w:t>ь</w:t>
      </w:r>
      <w:r w:rsidRPr="00850C33">
        <w:rPr>
          <w:b/>
          <w:bCs/>
        </w:rPr>
        <w:t>ных замеч</w:t>
      </w:r>
      <w:r w:rsidRPr="00850C33">
        <w:rPr>
          <w:b/>
          <w:bCs/>
        </w:rPr>
        <w:t>а</w:t>
      </w:r>
      <w:r w:rsidRPr="00850C33">
        <w:rPr>
          <w:b/>
          <w:bCs/>
        </w:rPr>
        <w:t>ний Комитета на соответствующих языках через официальные веб-сайты, средства массовой информации и неправительственные орган</w:t>
      </w:r>
      <w:r w:rsidRPr="00850C33">
        <w:rPr>
          <w:b/>
          <w:bCs/>
        </w:rPr>
        <w:t>и</w:t>
      </w:r>
      <w:r w:rsidRPr="00850C33">
        <w:rPr>
          <w:b/>
          <w:bCs/>
        </w:rPr>
        <w:t>зации.</w:t>
      </w:r>
    </w:p>
    <w:p w:rsidR="00760D3A" w:rsidRPr="00C10381" w:rsidRDefault="00850C33" w:rsidP="00BC339A">
      <w:pPr>
        <w:pStyle w:val="SingleTxtGR"/>
      </w:pPr>
      <w:r w:rsidRPr="00C10381">
        <w:lastRenderedPageBreak/>
        <w:t>55.</w:t>
      </w:r>
      <w:r w:rsidRPr="00C10381">
        <w:tab/>
      </w:r>
      <w:r w:rsidRPr="00850C33">
        <w:rPr>
          <w:b/>
          <w:bCs/>
        </w:rPr>
        <w:t>Комитет предлагает государству-участнику представить его четве</w:t>
      </w:r>
      <w:r w:rsidRPr="00850C33">
        <w:rPr>
          <w:b/>
          <w:bCs/>
        </w:rPr>
        <w:t>р</w:t>
      </w:r>
      <w:r w:rsidRPr="00850C33">
        <w:rPr>
          <w:b/>
          <w:bCs/>
        </w:rPr>
        <w:t>тый периодический доклад к 9 декабря 2019 года. В этой связи, с учетом того, что государство-участник согласилось представлять Комитету докл</w:t>
      </w:r>
      <w:r w:rsidRPr="00850C33">
        <w:rPr>
          <w:b/>
          <w:bCs/>
        </w:rPr>
        <w:t>а</w:t>
      </w:r>
      <w:r w:rsidRPr="00850C33">
        <w:rPr>
          <w:b/>
          <w:bCs/>
        </w:rPr>
        <w:t>ды в соответствии с упрощенной процедурой представления докладов, К</w:t>
      </w:r>
      <w:r w:rsidRPr="00850C33">
        <w:rPr>
          <w:b/>
          <w:bCs/>
        </w:rPr>
        <w:t>о</w:t>
      </w:r>
      <w:r w:rsidRPr="00850C33">
        <w:rPr>
          <w:b/>
          <w:bCs/>
        </w:rPr>
        <w:t>митет в устано</w:t>
      </w:r>
      <w:r w:rsidRPr="00850C33">
        <w:rPr>
          <w:b/>
          <w:bCs/>
        </w:rPr>
        <w:t>в</w:t>
      </w:r>
      <w:r w:rsidRPr="00850C33">
        <w:rPr>
          <w:b/>
          <w:bCs/>
        </w:rPr>
        <w:t xml:space="preserve">ленном порядке направит государству-участнику перечень вопросов, предваряющий представление доклада. Государству-участнику предлагается также представить свой </w:t>
      </w:r>
      <w:r w:rsidR="00BC339A">
        <w:rPr>
          <w:b/>
          <w:bCs/>
        </w:rPr>
        <w:t xml:space="preserve">общий </w:t>
      </w:r>
      <w:r w:rsidRPr="00850C33">
        <w:rPr>
          <w:b/>
          <w:bCs/>
        </w:rPr>
        <w:t>базовый документ в соотве</w:t>
      </w:r>
      <w:r w:rsidRPr="00850C33">
        <w:rPr>
          <w:b/>
          <w:bCs/>
        </w:rPr>
        <w:t>т</w:t>
      </w:r>
      <w:r w:rsidRPr="00850C33">
        <w:rPr>
          <w:b/>
          <w:bCs/>
        </w:rPr>
        <w:t>ствии с требованиями, содержащимися в согласованных руководящих принципах представления докладов</w:t>
      </w:r>
      <w:r w:rsidR="00BC339A">
        <w:rPr>
          <w:b/>
          <w:bCs/>
        </w:rPr>
        <w:t xml:space="preserve"> согласно</w:t>
      </w:r>
      <w:r w:rsidRPr="00850C33">
        <w:rPr>
          <w:b/>
          <w:bCs/>
        </w:rPr>
        <w:t xml:space="preserve"> международным договор</w:t>
      </w:r>
      <w:r w:rsidR="00BC339A">
        <w:rPr>
          <w:b/>
          <w:bCs/>
        </w:rPr>
        <w:t>ам</w:t>
      </w:r>
      <w:r w:rsidRPr="00850C33">
        <w:rPr>
          <w:b/>
          <w:bCs/>
        </w:rPr>
        <w:t xml:space="preserve"> в области прав человека (HRI/GEN.2/Rev.6).</w:t>
      </w:r>
    </w:p>
    <w:p w:rsidR="008855BE" w:rsidRPr="00850C33" w:rsidRDefault="00850C33" w:rsidP="00850C3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55BE" w:rsidRPr="00850C33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33" w:rsidRDefault="00850C33" w:rsidP="00B471C5">
      <w:r>
        <w:separator/>
      </w:r>
    </w:p>
  </w:endnote>
  <w:endnote w:type="continuationSeparator" w:id="0">
    <w:p w:rsidR="00850C33" w:rsidRDefault="00850C3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33" w:rsidRPr="00B74BE2" w:rsidRDefault="00850C33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7177EB">
      <w:rPr>
        <w:b/>
        <w:noProof/>
      </w:rPr>
      <w:t>8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</w:t>
    </w:r>
    <w:r w:rsidR="00B230D9">
      <w:rPr>
        <w:rStyle w:val="a9"/>
        <w:b w:val="0"/>
        <w:sz w:val="16"/>
        <w:szCs w:val="16"/>
        <w:lang w:val="en-US"/>
      </w:rPr>
      <w:t>01258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33" w:rsidRPr="003324D3" w:rsidRDefault="00B230D9">
    <w:pPr>
      <w:pStyle w:val="a7"/>
      <w:rPr>
        <w:b/>
        <w:sz w:val="18"/>
        <w:szCs w:val="18"/>
        <w:lang w:val="en-US"/>
      </w:rPr>
    </w:pPr>
    <w:r>
      <w:rPr>
        <w:rStyle w:val="a9"/>
        <w:b w:val="0"/>
        <w:sz w:val="16"/>
        <w:szCs w:val="16"/>
        <w:lang w:val="en-US"/>
      </w:rPr>
      <w:t>GE.16-01258</w:t>
    </w:r>
    <w:r w:rsidR="00850C33">
      <w:rPr>
        <w:lang w:val="en-US"/>
      </w:rPr>
      <w:tab/>
    </w:r>
    <w:r w:rsidR="00850C33" w:rsidRPr="003324D3">
      <w:rPr>
        <w:b/>
      </w:rPr>
      <w:fldChar w:fldCharType="begin"/>
    </w:r>
    <w:r w:rsidR="00850C33" w:rsidRPr="003324D3">
      <w:rPr>
        <w:b/>
      </w:rPr>
      <w:instrText xml:space="preserve"> PAGE  \* Arabic  \* MERGEFORMAT </w:instrText>
    </w:r>
    <w:r w:rsidR="00850C33" w:rsidRPr="003324D3">
      <w:rPr>
        <w:b/>
      </w:rPr>
      <w:fldChar w:fldCharType="separate"/>
    </w:r>
    <w:r w:rsidR="007177EB">
      <w:rPr>
        <w:b/>
        <w:noProof/>
      </w:rPr>
      <w:t>7</w:t>
    </w:r>
    <w:r w:rsidR="00850C33"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50C33" w:rsidRPr="00797A78" w:rsidTr="00850C33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50C33" w:rsidRPr="00B230D9" w:rsidRDefault="00850C33" w:rsidP="00850C33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B230D9">
            <w:t>01258</w:t>
          </w:r>
          <w:r w:rsidRPr="001C3ABC">
            <w:rPr>
              <w:lang w:val="en-US"/>
            </w:rPr>
            <w:t xml:space="preserve"> (R)</w:t>
          </w:r>
          <w:r w:rsidR="00B230D9">
            <w:t xml:space="preserve">  160316  310316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50C33" w:rsidRDefault="00850C33" w:rsidP="00850C33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50C33" w:rsidRPr="00B230D9" w:rsidRDefault="00B230D9" w:rsidP="00850C33">
          <w:pPr>
            <w:jc w:val="right"/>
            <w:rPr>
              <w:lang w:val="en-US"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CAT/C/JOR/CO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JOR/CO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0C33" w:rsidRPr="00797A78" w:rsidTr="00850C3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50C33" w:rsidRPr="00B230D9" w:rsidRDefault="00B230D9" w:rsidP="00850C33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230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230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230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230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230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230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B230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230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230D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50C33" w:rsidRDefault="00850C33" w:rsidP="00850C33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50C33" w:rsidRDefault="00850C33" w:rsidP="00850C33"/>
      </w:tc>
    </w:tr>
  </w:tbl>
  <w:p w:rsidR="00850C33" w:rsidRDefault="00850C33" w:rsidP="00850C33">
    <w:pPr>
      <w:spacing w:line="240" w:lineRule="auto"/>
      <w:rPr>
        <w:sz w:val="2"/>
        <w:szCs w:val="2"/>
        <w:lang w:val="en-US"/>
      </w:rPr>
    </w:pPr>
  </w:p>
  <w:p w:rsidR="00850C33" w:rsidRDefault="00850C33" w:rsidP="00850C33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33" w:rsidRPr="009141DC" w:rsidRDefault="00850C3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50C33" w:rsidRPr="00D1261C" w:rsidRDefault="00850C3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50C33" w:rsidRPr="00EA286B" w:rsidRDefault="00850C33" w:rsidP="00C10381">
      <w:pPr>
        <w:pStyle w:val="aa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пятьдесят шестой сессии (9 ноября – 9 декабря 2015 года)</w:t>
      </w:r>
      <w:r w:rsidR="007E26F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33" w:rsidRPr="008C469F" w:rsidRDefault="00B230D9">
    <w:pPr>
      <w:pStyle w:val="a3"/>
      <w:rPr>
        <w:lang w:val="en-US"/>
      </w:rPr>
    </w:pPr>
    <w:r w:rsidRPr="00B230D9">
      <w:rPr>
        <w:lang w:val="en-US"/>
      </w:rPr>
      <w:t>CAT/C/JOR/CO/3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33" w:rsidRPr="00B74BE2" w:rsidRDefault="00850C33" w:rsidP="00B230D9">
    <w:pPr>
      <w:pStyle w:val="a3"/>
      <w:rPr>
        <w:lang w:val="en-US"/>
      </w:rPr>
    </w:pPr>
    <w:r>
      <w:rPr>
        <w:lang w:val="en-US"/>
      </w:rPr>
      <w:tab/>
    </w:r>
    <w:r w:rsidR="00B230D9" w:rsidRPr="00B230D9">
      <w:rPr>
        <w:lang w:val="en-US"/>
      </w:rPr>
      <w:t>CAT/C/JOR/CO/3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H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C13F38"/>
    <w:multiLevelType w:val="hybridMultilevel"/>
    <w:tmpl w:val="CC2C3814"/>
    <w:lvl w:ilvl="0" w:tplc="CE1A48C2">
      <w:start w:val="1"/>
      <w:numFmt w:val="lowerLetter"/>
      <w:lvlText w:val="%1)"/>
      <w:lvlJc w:val="left"/>
      <w:pPr>
        <w:ind w:left="3131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697099F"/>
    <w:multiLevelType w:val="hybridMultilevel"/>
    <w:tmpl w:val="7938D9D8"/>
    <w:lvl w:ilvl="0" w:tplc="262603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A1B5C19"/>
    <w:multiLevelType w:val="hybridMultilevel"/>
    <w:tmpl w:val="80F4911E"/>
    <w:lvl w:ilvl="0" w:tplc="A7AE6CBE">
      <w:start w:val="1"/>
      <w:numFmt w:val="decimal"/>
      <w:lvlText w:val="%1."/>
      <w:lvlJc w:val="left"/>
      <w:pPr>
        <w:ind w:left="5039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5901" w:hanging="360"/>
      </w:pPr>
    </w:lvl>
    <w:lvl w:ilvl="2" w:tplc="0809001B">
      <w:start w:val="1"/>
      <w:numFmt w:val="lowerRoman"/>
      <w:lvlText w:val="%3."/>
      <w:lvlJc w:val="right"/>
      <w:pPr>
        <w:ind w:left="6621" w:hanging="180"/>
      </w:pPr>
    </w:lvl>
    <w:lvl w:ilvl="3" w:tplc="0809000F">
      <w:start w:val="1"/>
      <w:numFmt w:val="decimal"/>
      <w:lvlText w:val="%4."/>
      <w:lvlJc w:val="left"/>
      <w:pPr>
        <w:ind w:left="7341" w:hanging="360"/>
      </w:pPr>
    </w:lvl>
    <w:lvl w:ilvl="4" w:tplc="08090019">
      <w:start w:val="1"/>
      <w:numFmt w:val="lowerLetter"/>
      <w:lvlText w:val="%5."/>
      <w:lvlJc w:val="left"/>
      <w:pPr>
        <w:ind w:left="8061" w:hanging="360"/>
      </w:pPr>
    </w:lvl>
    <w:lvl w:ilvl="5" w:tplc="0809001B">
      <w:start w:val="1"/>
      <w:numFmt w:val="lowerRoman"/>
      <w:lvlText w:val="%6."/>
      <w:lvlJc w:val="right"/>
      <w:pPr>
        <w:ind w:left="8781" w:hanging="180"/>
      </w:pPr>
    </w:lvl>
    <w:lvl w:ilvl="6" w:tplc="0809000F">
      <w:start w:val="1"/>
      <w:numFmt w:val="decimal"/>
      <w:lvlText w:val="%7."/>
      <w:lvlJc w:val="left"/>
      <w:pPr>
        <w:ind w:left="9501" w:hanging="360"/>
      </w:pPr>
    </w:lvl>
    <w:lvl w:ilvl="7" w:tplc="08090019">
      <w:start w:val="1"/>
      <w:numFmt w:val="lowerLetter"/>
      <w:lvlText w:val="%8."/>
      <w:lvlJc w:val="left"/>
      <w:pPr>
        <w:ind w:left="10221" w:hanging="360"/>
      </w:pPr>
    </w:lvl>
    <w:lvl w:ilvl="8" w:tplc="0809001B">
      <w:start w:val="1"/>
      <w:numFmt w:val="lowerRoman"/>
      <w:lvlText w:val="%9."/>
      <w:lvlJc w:val="right"/>
      <w:pPr>
        <w:ind w:left="10941" w:hanging="180"/>
      </w:pPr>
    </w:lvl>
  </w:abstractNum>
  <w:abstractNum w:abstractNumId="4">
    <w:nsid w:val="46FE43F2"/>
    <w:multiLevelType w:val="hybridMultilevel"/>
    <w:tmpl w:val="153CF1F8"/>
    <w:lvl w:ilvl="0" w:tplc="69CAF89E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B8C6CF5"/>
    <w:multiLevelType w:val="hybridMultilevel"/>
    <w:tmpl w:val="93FCAD22"/>
    <w:lvl w:ilvl="0" w:tplc="F73C6636">
      <w:start w:val="1"/>
      <w:numFmt w:val="bullet"/>
      <w:pStyle w:val="H23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67A51"/>
    <w:multiLevelType w:val="hybridMultilevel"/>
    <w:tmpl w:val="DAAA34D8"/>
    <w:lvl w:ilvl="0" w:tplc="539272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36E7B13"/>
    <w:multiLevelType w:val="hybridMultilevel"/>
    <w:tmpl w:val="4E9042D8"/>
    <w:lvl w:ilvl="0" w:tplc="7F3212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8766563"/>
    <w:multiLevelType w:val="hybridMultilevel"/>
    <w:tmpl w:val="EE98F4CA"/>
    <w:lvl w:ilvl="0" w:tplc="69CAF89E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BC90228"/>
    <w:multiLevelType w:val="hybridMultilevel"/>
    <w:tmpl w:val="E5464F8E"/>
    <w:lvl w:ilvl="0" w:tplc="FD0C5992">
      <w:start w:val="1"/>
      <w:numFmt w:val="decimal"/>
      <w:pStyle w:val="H4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6D591B"/>
    <w:multiLevelType w:val="hybridMultilevel"/>
    <w:tmpl w:val="6090CB8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5BF12F8"/>
    <w:multiLevelType w:val="hybridMultilevel"/>
    <w:tmpl w:val="43A6C61A"/>
    <w:lvl w:ilvl="0" w:tplc="A652453E">
      <w:start w:val="1"/>
      <w:numFmt w:val="bullet"/>
      <w:pStyle w:val="H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62366"/>
    <w:multiLevelType w:val="hybridMultilevel"/>
    <w:tmpl w:val="523E6D94"/>
    <w:lvl w:ilvl="0" w:tplc="E24C15DA">
      <w:start w:val="1"/>
      <w:numFmt w:val="bullet"/>
      <w:pStyle w:val="H23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475186"/>
    <w:multiLevelType w:val="hybridMultilevel"/>
    <w:tmpl w:val="BE382274"/>
    <w:lvl w:ilvl="0" w:tplc="539272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BAA712F"/>
    <w:multiLevelType w:val="hybridMultilevel"/>
    <w:tmpl w:val="0FF21564"/>
    <w:lvl w:ilvl="0" w:tplc="C3DC498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C9E1781"/>
    <w:multiLevelType w:val="hybridMultilevel"/>
    <w:tmpl w:val="B0FA1478"/>
    <w:lvl w:ilvl="0" w:tplc="DC6259DC">
      <w:start w:val="1"/>
      <w:numFmt w:val="lowerLetter"/>
      <w:lvlText w:val="%1)"/>
      <w:lvlJc w:val="left"/>
      <w:pPr>
        <w:ind w:left="2826" w:hanging="112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>
      <w:start w:val="1"/>
      <w:numFmt w:val="lowerLetter"/>
      <w:lvlText w:val="%5."/>
      <w:lvlJc w:val="left"/>
      <w:pPr>
        <w:ind w:left="4941" w:hanging="360"/>
      </w:pPr>
    </w:lvl>
    <w:lvl w:ilvl="5" w:tplc="0809001B">
      <w:start w:val="1"/>
      <w:numFmt w:val="lowerRoman"/>
      <w:lvlText w:val="%6."/>
      <w:lvlJc w:val="right"/>
      <w:pPr>
        <w:ind w:left="5661" w:hanging="180"/>
      </w:pPr>
    </w:lvl>
    <w:lvl w:ilvl="6" w:tplc="0809000F">
      <w:start w:val="1"/>
      <w:numFmt w:val="decimal"/>
      <w:lvlText w:val="%7."/>
      <w:lvlJc w:val="left"/>
      <w:pPr>
        <w:ind w:left="6381" w:hanging="360"/>
      </w:pPr>
    </w:lvl>
    <w:lvl w:ilvl="7" w:tplc="08090019">
      <w:start w:val="1"/>
      <w:numFmt w:val="lowerLetter"/>
      <w:lvlText w:val="%8."/>
      <w:lvlJc w:val="left"/>
      <w:pPr>
        <w:ind w:left="7101" w:hanging="360"/>
      </w:pPr>
    </w:lvl>
    <w:lvl w:ilvl="8" w:tplc="080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81"/>
    <w:rsid w:val="00006BF5"/>
    <w:rsid w:val="000450D1"/>
    <w:rsid w:val="000F2A4F"/>
    <w:rsid w:val="00203F84"/>
    <w:rsid w:val="00271EB1"/>
    <w:rsid w:val="00275188"/>
    <w:rsid w:val="0028687D"/>
    <w:rsid w:val="002B091C"/>
    <w:rsid w:val="002D0CCB"/>
    <w:rsid w:val="00345C79"/>
    <w:rsid w:val="00366A39"/>
    <w:rsid w:val="0048005C"/>
    <w:rsid w:val="004E242B"/>
    <w:rsid w:val="00544379"/>
    <w:rsid w:val="00566944"/>
    <w:rsid w:val="005D56BF"/>
    <w:rsid w:val="00665D8D"/>
    <w:rsid w:val="006A7A3B"/>
    <w:rsid w:val="006B6B57"/>
    <w:rsid w:val="00705394"/>
    <w:rsid w:val="007177EB"/>
    <w:rsid w:val="00743F62"/>
    <w:rsid w:val="00760D3A"/>
    <w:rsid w:val="007A1F42"/>
    <w:rsid w:val="007D76DD"/>
    <w:rsid w:val="007E26F8"/>
    <w:rsid w:val="00843B95"/>
    <w:rsid w:val="00850C33"/>
    <w:rsid w:val="008717E8"/>
    <w:rsid w:val="008855BE"/>
    <w:rsid w:val="008D01AE"/>
    <w:rsid w:val="008E0423"/>
    <w:rsid w:val="009141DC"/>
    <w:rsid w:val="009174A1"/>
    <w:rsid w:val="0098674D"/>
    <w:rsid w:val="00997ACA"/>
    <w:rsid w:val="00A03FB7"/>
    <w:rsid w:val="00A75A11"/>
    <w:rsid w:val="00AD7EAD"/>
    <w:rsid w:val="00B230D9"/>
    <w:rsid w:val="00B35A32"/>
    <w:rsid w:val="00B432C6"/>
    <w:rsid w:val="00B471C5"/>
    <w:rsid w:val="00B6474A"/>
    <w:rsid w:val="00BC339A"/>
    <w:rsid w:val="00BC3427"/>
    <w:rsid w:val="00BE1742"/>
    <w:rsid w:val="00C10381"/>
    <w:rsid w:val="00D1261C"/>
    <w:rsid w:val="00D75DCE"/>
    <w:rsid w:val="00DD35AC"/>
    <w:rsid w:val="00DD479F"/>
    <w:rsid w:val="00DF6211"/>
    <w:rsid w:val="00E15E48"/>
    <w:rsid w:val="00E92D9E"/>
    <w:rsid w:val="00E93A45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uiPriority w:val="9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0381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C10381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uiPriority w:val="99"/>
    <w:qFormat/>
    <w:rsid w:val="00C10381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C10381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C10381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uiPriority w:val="99"/>
    <w:qFormat/>
    <w:rsid w:val="00C10381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uiPriority w:val="99"/>
    <w:qFormat/>
    <w:rsid w:val="00C10381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C10381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uiPriority w:val="99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uiPriority w:val="99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9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uiPriority w:val="99"/>
    <w:rsid w:val="00C10381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bCs/>
      <w:spacing w:val="0"/>
      <w:w w:val="100"/>
      <w:kern w:val="0"/>
      <w:sz w:val="34"/>
      <w:szCs w:val="34"/>
      <w:lang w:val="en-GB"/>
    </w:rPr>
  </w:style>
  <w:style w:type="paragraph" w:customStyle="1" w:styleId="HChG">
    <w:name w:val="_ H _Ch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bCs/>
      <w:spacing w:val="0"/>
      <w:w w:val="100"/>
      <w:kern w:val="0"/>
      <w:sz w:val="28"/>
      <w:szCs w:val="28"/>
      <w:lang w:val="en-GB"/>
    </w:rPr>
  </w:style>
  <w:style w:type="paragraph" w:customStyle="1" w:styleId="SMG">
    <w:name w:val="__S_M_G"/>
    <w:basedOn w:val="a"/>
    <w:next w:val="a"/>
    <w:uiPriority w:val="99"/>
    <w:rsid w:val="00C10381"/>
    <w:pPr>
      <w:keepNext/>
      <w:keepLines/>
      <w:suppressAutoHyphens/>
      <w:spacing w:before="240" w:after="240" w:line="420" w:lineRule="exact"/>
      <w:ind w:left="1134" w:right="1134"/>
    </w:pPr>
    <w:rPr>
      <w:b/>
      <w:bCs/>
      <w:spacing w:val="0"/>
      <w:w w:val="100"/>
      <w:kern w:val="0"/>
      <w:sz w:val="40"/>
      <w:szCs w:val="40"/>
      <w:lang w:val="en-GB"/>
    </w:rPr>
  </w:style>
  <w:style w:type="paragraph" w:customStyle="1" w:styleId="SLG">
    <w:name w:val="__S_L_G"/>
    <w:basedOn w:val="a"/>
    <w:next w:val="a"/>
    <w:uiPriority w:val="99"/>
    <w:rsid w:val="00C10381"/>
    <w:pPr>
      <w:keepNext/>
      <w:keepLines/>
      <w:suppressAutoHyphens/>
      <w:spacing w:before="240" w:after="240" w:line="580" w:lineRule="exact"/>
      <w:ind w:left="1134" w:right="1134"/>
    </w:pPr>
    <w:rPr>
      <w:b/>
      <w:bCs/>
      <w:spacing w:val="0"/>
      <w:w w:val="100"/>
      <w:kern w:val="0"/>
      <w:sz w:val="56"/>
      <w:szCs w:val="56"/>
      <w:lang w:val="en-GB"/>
    </w:rPr>
  </w:style>
  <w:style w:type="paragraph" w:customStyle="1" w:styleId="SSG">
    <w:name w:val="__S_S_G"/>
    <w:basedOn w:val="a"/>
    <w:next w:val="a"/>
    <w:uiPriority w:val="99"/>
    <w:rsid w:val="00C10381"/>
    <w:pPr>
      <w:keepNext/>
      <w:keepLines/>
      <w:suppressAutoHyphens/>
      <w:spacing w:before="240" w:after="240" w:line="300" w:lineRule="exact"/>
      <w:ind w:left="1134" w:right="1134"/>
    </w:pPr>
    <w:rPr>
      <w:b/>
      <w:bCs/>
      <w:spacing w:val="0"/>
      <w:w w:val="100"/>
      <w:kern w:val="0"/>
      <w:sz w:val="28"/>
      <w:szCs w:val="28"/>
      <w:lang w:val="en-GB"/>
    </w:rPr>
  </w:style>
  <w:style w:type="paragraph" w:customStyle="1" w:styleId="XLargeG">
    <w:name w:val="__XLarge_G"/>
    <w:basedOn w:val="a"/>
    <w:next w:val="a"/>
    <w:uiPriority w:val="99"/>
    <w:rsid w:val="00C10381"/>
    <w:pPr>
      <w:keepNext/>
      <w:keepLines/>
      <w:suppressAutoHyphens/>
      <w:spacing w:before="240" w:after="240" w:line="420" w:lineRule="exact"/>
      <w:ind w:left="1134" w:right="1134"/>
    </w:pPr>
    <w:rPr>
      <w:b/>
      <w:bCs/>
      <w:spacing w:val="0"/>
      <w:w w:val="100"/>
      <w:kern w:val="0"/>
      <w:sz w:val="40"/>
      <w:szCs w:val="40"/>
      <w:lang w:val="en-GB"/>
    </w:rPr>
  </w:style>
  <w:style w:type="paragraph" w:customStyle="1" w:styleId="Bullet1G">
    <w:name w:val="_Bullet 1_G"/>
    <w:basedOn w:val="a"/>
    <w:uiPriority w:val="99"/>
    <w:rsid w:val="00C10381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uiPriority w:val="99"/>
    <w:rsid w:val="00C10381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bCs/>
      <w:spacing w:val="0"/>
      <w:w w:val="100"/>
      <w:kern w:val="0"/>
      <w:sz w:val="24"/>
      <w:szCs w:val="24"/>
      <w:lang w:val="en-GB"/>
    </w:rPr>
  </w:style>
  <w:style w:type="paragraph" w:customStyle="1" w:styleId="H23G">
    <w:name w:val="_ H_2/3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bCs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iCs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af">
    <w:name w:val="Текст выноски Знак"/>
    <w:basedOn w:val="a0"/>
    <w:link w:val="af0"/>
    <w:uiPriority w:val="99"/>
    <w:semiHidden/>
    <w:rsid w:val="00C10381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C10381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</w:rPr>
  </w:style>
  <w:style w:type="character" w:customStyle="1" w:styleId="highlight1">
    <w:name w:val="highlight1"/>
    <w:uiPriority w:val="99"/>
    <w:rsid w:val="00C10381"/>
    <w:rPr>
      <w:shd w:val="clear" w:color="auto" w:fill="auto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annotation text"/>
    <w:basedOn w:val="a"/>
    <w:link w:val="af1"/>
    <w:uiPriority w:val="99"/>
    <w:semiHidden/>
    <w:rsid w:val="00C10381"/>
    <w:pPr>
      <w:suppressAutoHyphens/>
    </w:pPr>
    <w:rPr>
      <w:spacing w:val="0"/>
      <w:w w:val="100"/>
      <w:kern w:val="0"/>
      <w:lang w:val="en-GB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C1038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4">
    <w:name w:val="annotation subject"/>
    <w:basedOn w:val="af2"/>
    <w:next w:val="af2"/>
    <w:link w:val="af3"/>
    <w:uiPriority w:val="99"/>
    <w:semiHidden/>
    <w:rsid w:val="00C10381"/>
    <w:rPr>
      <w:b/>
      <w:bCs/>
    </w:rPr>
  </w:style>
  <w:style w:type="paragraph" w:styleId="af5">
    <w:name w:val="Normal (Web)"/>
    <w:basedOn w:val="a"/>
    <w:uiPriority w:val="99"/>
    <w:rsid w:val="00C10381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uiPriority w:val="9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0381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C10381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uiPriority w:val="99"/>
    <w:qFormat/>
    <w:rsid w:val="00C10381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C10381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uiPriority w:val="99"/>
    <w:qFormat/>
    <w:rsid w:val="00C10381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uiPriority w:val="99"/>
    <w:qFormat/>
    <w:rsid w:val="00C10381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uiPriority w:val="99"/>
    <w:qFormat/>
    <w:rsid w:val="00C10381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C10381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able_GR Знак,Table_G Знак"/>
    <w:basedOn w:val="a0"/>
    <w:link w:val="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9"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,6_G Знак"/>
    <w:basedOn w:val="a0"/>
    <w:link w:val="a3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a5">
    <w:name w:val="endnote reference"/>
    <w:aliases w:val="1_GR,1_G"/>
    <w:basedOn w:val="a6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uiPriority w:val="99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,3_G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uiPriority w:val="99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uiPriority w:val="99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uiPriority w:val="99"/>
    <w:qFormat/>
    <w:rsid w:val="00BE1742"/>
  </w:style>
  <w:style w:type="character" w:customStyle="1" w:styleId="ad">
    <w:name w:val="Текст концевой сноски Знак"/>
    <w:aliases w:val="2_GR Знак,2_G Знак"/>
    <w:basedOn w:val="a0"/>
    <w:link w:val="ac"/>
    <w:uiPriority w:val="99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9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uiPriority w:val="99"/>
    <w:rsid w:val="00C10381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bCs/>
      <w:spacing w:val="0"/>
      <w:w w:val="100"/>
      <w:kern w:val="0"/>
      <w:sz w:val="34"/>
      <w:szCs w:val="34"/>
      <w:lang w:val="en-GB"/>
    </w:rPr>
  </w:style>
  <w:style w:type="paragraph" w:customStyle="1" w:styleId="HChG">
    <w:name w:val="_ H _Ch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bCs/>
      <w:spacing w:val="0"/>
      <w:w w:val="100"/>
      <w:kern w:val="0"/>
      <w:sz w:val="28"/>
      <w:szCs w:val="28"/>
      <w:lang w:val="en-GB"/>
    </w:rPr>
  </w:style>
  <w:style w:type="paragraph" w:customStyle="1" w:styleId="SMG">
    <w:name w:val="__S_M_G"/>
    <w:basedOn w:val="a"/>
    <w:next w:val="a"/>
    <w:uiPriority w:val="99"/>
    <w:rsid w:val="00C10381"/>
    <w:pPr>
      <w:keepNext/>
      <w:keepLines/>
      <w:suppressAutoHyphens/>
      <w:spacing w:before="240" w:after="240" w:line="420" w:lineRule="exact"/>
      <w:ind w:left="1134" w:right="1134"/>
    </w:pPr>
    <w:rPr>
      <w:b/>
      <w:bCs/>
      <w:spacing w:val="0"/>
      <w:w w:val="100"/>
      <w:kern w:val="0"/>
      <w:sz w:val="40"/>
      <w:szCs w:val="40"/>
      <w:lang w:val="en-GB"/>
    </w:rPr>
  </w:style>
  <w:style w:type="paragraph" w:customStyle="1" w:styleId="SLG">
    <w:name w:val="__S_L_G"/>
    <w:basedOn w:val="a"/>
    <w:next w:val="a"/>
    <w:uiPriority w:val="99"/>
    <w:rsid w:val="00C10381"/>
    <w:pPr>
      <w:keepNext/>
      <w:keepLines/>
      <w:suppressAutoHyphens/>
      <w:spacing w:before="240" w:after="240" w:line="580" w:lineRule="exact"/>
      <w:ind w:left="1134" w:right="1134"/>
    </w:pPr>
    <w:rPr>
      <w:b/>
      <w:bCs/>
      <w:spacing w:val="0"/>
      <w:w w:val="100"/>
      <w:kern w:val="0"/>
      <w:sz w:val="56"/>
      <w:szCs w:val="56"/>
      <w:lang w:val="en-GB"/>
    </w:rPr>
  </w:style>
  <w:style w:type="paragraph" w:customStyle="1" w:styleId="SSG">
    <w:name w:val="__S_S_G"/>
    <w:basedOn w:val="a"/>
    <w:next w:val="a"/>
    <w:uiPriority w:val="99"/>
    <w:rsid w:val="00C10381"/>
    <w:pPr>
      <w:keepNext/>
      <w:keepLines/>
      <w:suppressAutoHyphens/>
      <w:spacing w:before="240" w:after="240" w:line="300" w:lineRule="exact"/>
      <w:ind w:left="1134" w:right="1134"/>
    </w:pPr>
    <w:rPr>
      <w:b/>
      <w:bCs/>
      <w:spacing w:val="0"/>
      <w:w w:val="100"/>
      <w:kern w:val="0"/>
      <w:sz w:val="28"/>
      <w:szCs w:val="28"/>
      <w:lang w:val="en-GB"/>
    </w:rPr>
  </w:style>
  <w:style w:type="paragraph" w:customStyle="1" w:styleId="XLargeG">
    <w:name w:val="__XLarge_G"/>
    <w:basedOn w:val="a"/>
    <w:next w:val="a"/>
    <w:uiPriority w:val="99"/>
    <w:rsid w:val="00C10381"/>
    <w:pPr>
      <w:keepNext/>
      <w:keepLines/>
      <w:suppressAutoHyphens/>
      <w:spacing w:before="240" w:after="240" w:line="420" w:lineRule="exact"/>
      <w:ind w:left="1134" w:right="1134"/>
    </w:pPr>
    <w:rPr>
      <w:b/>
      <w:bCs/>
      <w:spacing w:val="0"/>
      <w:w w:val="100"/>
      <w:kern w:val="0"/>
      <w:sz w:val="40"/>
      <w:szCs w:val="40"/>
      <w:lang w:val="en-GB"/>
    </w:rPr>
  </w:style>
  <w:style w:type="paragraph" w:customStyle="1" w:styleId="Bullet1G">
    <w:name w:val="_Bullet 1_G"/>
    <w:basedOn w:val="a"/>
    <w:uiPriority w:val="99"/>
    <w:rsid w:val="00C10381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uiPriority w:val="99"/>
    <w:rsid w:val="00C10381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bCs/>
      <w:spacing w:val="0"/>
      <w:w w:val="100"/>
      <w:kern w:val="0"/>
      <w:sz w:val="24"/>
      <w:szCs w:val="24"/>
      <w:lang w:val="en-GB"/>
    </w:rPr>
  </w:style>
  <w:style w:type="paragraph" w:customStyle="1" w:styleId="H23G">
    <w:name w:val="_ H_2/3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bCs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iCs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uiPriority w:val="99"/>
    <w:rsid w:val="00C1038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character" w:customStyle="1" w:styleId="af">
    <w:name w:val="Текст выноски Знак"/>
    <w:basedOn w:val="a0"/>
    <w:link w:val="af0"/>
    <w:uiPriority w:val="99"/>
    <w:semiHidden/>
    <w:rsid w:val="00C10381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C10381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</w:rPr>
  </w:style>
  <w:style w:type="character" w:customStyle="1" w:styleId="highlight1">
    <w:name w:val="highlight1"/>
    <w:uiPriority w:val="99"/>
    <w:rsid w:val="00C10381"/>
    <w:rPr>
      <w:shd w:val="clear" w:color="auto" w:fill="auto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C103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annotation text"/>
    <w:basedOn w:val="a"/>
    <w:link w:val="af1"/>
    <w:uiPriority w:val="99"/>
    <w:semiHidden/>
    <w:rsid w:val="00C10381"/>
    <w:pPr>
      <w:suppressAutoHyphens/>
    </w:pPr>
    <w:rPr>
      <w:spacing w:val="0"/>
      <w:w w:val="100"/>
      <w:kern w:val="0"/>
      <w:lang w:val="en-GB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C1038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4">
    <w:name w:val="annotation subject"/>
    <w:basedOn w:val="af2"/>
    <w:next w:val="af2"/>
    <w:link w:val="af3"/>
    <w:uiPriority w:val="99"/>
    <w:semiHidden/>
    <w:rsid w:val="00C10381"/>
    <w:rPr>
      <w:b/>
      <w:bCs/>
    </w:rPr>
  </w:style>
  <w:style w:type="paragraph" w:styleId="af5">
    <w:name w:val="Normal (Web)"/>
    <w:basedOn w:val="a"/>
    <w:uiPriority w:val="99"/>
    <w:rsid w:val="00C10381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1F69-D683-441C-AEAB-B168B435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14</Pages>
  <Words>4707</Words>
  <Characters>33228</Characters>
  <Application>Microsoft Office Word</Application>
  <DocSecurity>0</DocSecurity>
  <Lines>619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Uliana Antipova</cp:lastModifiedBy>
  <cp:revision>3</cp:revision>
  <cp:lastPrinted>2016-03-31T15:36:00Z</cp:lastPrinted>
  <dcterms:created xsi:type="dcterms:W3CDTF">2016-03-31T15:36:00Z</dcterms:created>
  <dcterms:modified xsi:type="dcterms:W3CDTF">2016-03-31T15:38:00Z</dcterms:modified>
</cp:coreProperties>
</file>