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14:paraId="7CA9023D" w14:textId="77777777" w:rsidTr="004C4D99">
        <w:trPr>
          <w:trHeight w:hRule="exact" w:val="851"/>
        </w:trPr>
        <w:tc>
          <w:tcPr>
            <w:tcW w:w="1276" w:type="dxa"/>
            <w:tcBorders>
              <w:bottom w:val="single" w:sz="4" w:space="0" w:color="auto"/>
            </w:tcBorders>
          </w:tcPr>
          <w:p w14:paraId="123F8639" w14:textId="77777777" w:rsidR="00392B1D" w:rsidRPr="00DB58B5" w:rsidRDefault="00392B1D" w:rsidP="007A7A5F"/>
        </w:tc>
        <w:tc>
          <w:tcPr>
            <w:tcW w:w="2268" w:type="dxa"/>
            <w:tcBorders>
              <w:bottom w:val="single" w:sz="4" w:space="0" w:color="auto"/>
            </w:tcBorders>
            <w:vAlign w:val="bottom"/>
          </w:tcPr>
          <w:p w14:paraId="2A0CE870" w14:textId="77777777" w:rsidR="00392B1D" w:rsidRPr="00DB58B5" w:rsidRDefault="00392B1D" w:rsidP="004C4D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C3DDF36" w14:textId="401628A5" w:rsidR="00392B1D" w:rsidRPr="00DB58B5" w:rsidRDefault="007A7A5F" w:rsidP="007A7A5F">
            <w:pPr>
              <w:jc w:val="right"/>
            </w:pPr>
            <w:r w:rsidRPr="007A7A5F">
              <w:rPr>
                <w:sz w:val="40"/>
              </w:rPr>
              <w:t>CED</w:t>
            </w:r>
            <w:r>
              <w:t>/C/IRQ/FOAI/1</w:t>
            </w:r>
          </w:p>
        </w:tc>
      </w:tr>
      <w:tr w:rsidR="00392B1D" w:rsidRPr="00DB58B5" w14:paraId="41E974C4" w14:textId="77777777" w:rsidTr="004C4D99">
        <w:trPr>
          <w:trHeight w:hRule="exact" w:val="2835"/>
        </w:trPr>
        <w:tc>
          <w:tcPr>
            <w:tcW w:w="1276" w:type="dxa"/>
            <w:tcBorders>
              <w:top w:val="single" w:sz="4" w:space="0" w:color="auto"/>
              <w:bottom w:val="single" w:sz="12" w:space="0" w:color="auto"/>
            </w:tcBorders>
          </w:tcPr>
          <w:p w14:paraId="7AC7E660" w14:textId="77777777" w:rsidR="00392B1D" w:rsidRPr="00DB58B5" w:rsidRDefault="00392B1D" w:rsidP="004C4D99">
            <w:pPr>
              <w:spacing w:before="120"/>
              <w:jc w:val="center"/>
            </w:pPr>
            <w:r>
              <w:rPr>
                <w:noProof/>
                <w:lang w:eastAsia="fr-CH"/>
              </w:rPr>
              <w:drawing>
                <wp:inline distT="0" distB="0" distL="0" distR="0" wp14:anchorId="396DFD09" wp14:editId="4B91280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1DDF9C4" w14:textId="77777777" w:rsidR="00392B1D" w:rsidRPr="00740562" w:rsidRDefault="00392B1D" w:rsidP="004C4D99">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14:paraId="05403571" w14:textId="77777777" w:rsidR="00392B1D" w:rsidRDefault="007A7A5F" w:rsidP="004C4D99">
            <w:pPr>
              <w:spacing w:before="240"/>
            </w:pPr>
            <w:r>
              <w:t>Distr. générale</w:t>
            </w:r>
          </w:p>
          <w:p w14:paraId="40049966" w14:textId="77777777" w:rsidR="007A7A5F" w:rsidRDefault="007A7A5F" w:rsidP="007A7A5F">
            <w:pPr>
              <w:spacing w:line="240" w:lineRule="exact"/>
            </w:pPr>
            <w:r>
              <w:t>13 décembre 2021</w:t>
            </w:r>
          </w:p>
          <w:p w14:paraId="105BC42D" w14:textId="77777777" w:rsidR="007A7A5F" w:rsidRDefault="007A7A5F" w:rsidP="007A7A5F">
            <w:pPr>
              <w:spacing w:line="240" w:lineRule="exact"/>
            </w:pPr>
            <w:r>
              <w:t>Français</w:t>
            </w:r>
          </w:p>
          <w:p w14:paraId="4F4E2B62" w14:textId="77777777" w:rsidR="007A7A5F" w:rsidRDefault="007A7A5F" w:rsidP="007A7A5F">
            <w:pPr>
              <w:spacing w:line="240" w:lineRule="exact"/>
            </w:pPr>
            <w:r>
              <w:t>Original : arabe</w:t>
            </w:r>
          </w:p>
          <w:p w14:paraId="1BC3CF03" w14:textId="06EA6571" w:rsidR="007A7A5F" w:rsidRPr="00DB58B5" w:rsidRDefault="007A7A5F" w:rsidP="007A7A5F">
            <w:pPr>
              <w:spacing w:line="240" w:lineRule="exact"/>
            </w:pPr>
            <w:r>
              <w:t>Anglais, arabe, espagnol et français seulement</w:t>
            </w:r>
          </w:p>
        </w:tc>
      </w:tr>
    </w:tbl>
    <w:p w14:paraId="34315267" w14:textId="77777777" w:rsidR="00392B1D" w:rsidRPr="00D55CFF" w:rsidRDefault="00392B1D" w:rsidP="00392B1D">
      <w:pPr>
        <w:spacing w:before="120"/>
        <w:rPr>
          <w:b/>
          <w:sz w:val="24"/>
          <w:szCs w:val="24"/>
        </w:rPr>
      </w:pPr>
      <w:r w:rsidRPr="00D55CFF">
        <w:rPr>
          <w:b/>
          <w:sz w:val="24"/>
          <w:szCs w:val="24"/>
        </w:rPr>
        <w:t>Comité des disparitions forcées</w:t>
      </w:r>
    </w:p>
    <w:p w14:paraId="34701D2C" w14:textId="2311FFFC" w:rsidR="007A7A5F" w:rsidRPr="00F13EB9" w:rsidRDefault="007A7A5F" w:rsidP="007A7A5F">
      <w:pPr>
        <w:pStyle w:val="HChG"/>
        <w:rPr>
          <w:lang w:val="fr-FR"/>
        </w:rPr>
      </w:pPr>
      <w:r w:rsidRPr="00F13EB9">
        <w:rPr>
          <w:lang w:val="fr-FR"/>
        </w:rPr>
        <w:tab/>
      </w:r>
      <w:r w:rsidRPr="00F13EB9">
        <w:rPr>
          <w:lang w:val="fr-FR"/>
        </w:rPr>
        <w:tab/>
        <w:t>Renseignements reçus de l</w:t>
      </w:r>
      <w:r>
        <w:rPr>
          <w:lang w:val="fr-FR"/>
        </w:rPr>
        <w:t>’</w:t>
      </w:r>
      <w:r w:rsidRPr="00F13EB9">
        <w:rPr>
          <w:lang w:val="fr-FR"/>
        </w:rPr>
        <w:t xml:space="preserve">Iraq au sujet de la suite </w:t>
      </w:r>
      <w:r>
        <w:rPr>
          <w:lang w:val="fr-FR"/>
        </w:rPr>
        <w:br/>
      </w:r>
      <w:r w:rsidRPr="00F13EB9">
        <w:rPr>
          <w:lang w:val="fr-FR"/>
        </w:rPr>
        <w:t xml:space="preserve">donnée aux observations finales concernant </w:t>
      </w:r>
      <w:r>
        <w:rPr>
          <w:lang w:val="fr-FR"/>
        </w:rPr>
        <w:br/>
      </w:r>
      <w:r w:rsidRPr="00F13EB9">
        <w:rPr>
          <w:lang w:val="fr-FR"/>
        </w:rPr>
        <w:t xml:space="preserve">les renseignements complémentaires soumis </w:t>
      </w:r>
      <w:r>
        <w:rPr>
          <w:lang w:val="fr-FR"/>
        </w:rPr>
        <w:br/>
      </w:r>
      <w:r w:rsidRPr="00F13EB9">
        <w:rPr>
          <w:lang w:val="fr-FR"/>
        </w:rPr>
        <w:t>en application de l</w:t>
      </w:r>
      <w:r>
        <w:rPr>
          <w:lang w:val="fr-FR"/>
        </w:rPr>
        <w:t>’</w:t>
      </w:r>
      <w:r w:rsidRPr="00F13EB9">
        <w:rPr>
          <w:lang w:val="fr-FR"/>
        </w:rPr>
        <w:t>article</w:t>
      </w:r>
      <w:r>
        <w:rPr>
          <w:lang w:val="fr-FR"/>
        </w:rPr>
        <w:t> </w:t>
      </w:r>
      <w:r w:rsidRPr="00F13EB9">
        <w:rPr>
          <w:lang w:val="fr-FR"/>
        </w:rPr>
        <w:t>29 (par.</w:t>
      </w:r>
      <w:r>
        <w:rPr>
          <w:lang w:val="fr-FR"/>
        </w:rPr>
        <w:t> </w:t>
      </w:r>
      <w:r w:rsidRPr="00F13EB9">
        <w:rPr>
          <w:lang w:val="fr-FR"/>
        </w:rPr>
        <w:t xml:space="preserve">4) </w:t>
      </w:r>
      <w:r>
        <w:rPr>
          <w:lang w:val="fr-FR"/>
        </w:rPr>
        <w:br/>
      </w:r>
      <w:r w:rsidRPr="00F13EB9">
        <w:rPr>
          <w:lang w:val="fr-FR"/>
        </w:rPr>
        <w:t>de la Convention</w:t>
      </w:r>
      <w:r w:rsidRPr="00F13EB9">
        <w:rPr>
          <w:rStyle w:val="Appelnotedebasdep"/>
          <w:b w:val="0"/>
          <w:sz w:val="20"/>
          <w:lang w:val="fr-FR"/>
        </w:rPr>
        <w:footnoteReference w:customMarkFollows="1" w:id="2"/>
        <w:t>*</w:t>
      </w:r>
    </w:p>
    <w:p w14:paraId="4C1BED1C" w14:textId="0354B012" w:rsidR="007A7A5F" w:rsidRDefault="007A7A5F" w:rsidP="007A7A5F">
      <w:pPr>
        <w:pStyle w:val="SingleTxtG"/>
        <w:jc w:val="right"/>
        <w:rPr>
          <w:lang w:val="fr-FR"/>
        </w:rPr>
      </w:pPr>
      <w:r w:rsidRPr="00F13EB9">
        <w:rPr>
          <w:lang w:val="fr-FR"/>
        </w:rPr>
        <w:t>[Date de réception</w:t>
      </w:r>
      <w:r>
        <w:rPr>
          <w:lang w:val="fr-FR"/>
        </w:rPr>
        <w:t> </w:t>
      </w:r>
      <w:r w:rsidRPr="00F13EB9">
        <w:rPr>
          <w:lang w:val="fr-FR"/>
        </w:rPr>
        <w:t>: 30</w:t>
      </w:r>
      <w:r>
        <w:rPr>
          <w:lang w:val="fr-FR"/>
        </w:rPr>
        <w:t> </w:t>
      </w:r>
      <w:r w:rsidRPr="00F13EB9">
        <w:rPr>
          <w:lang w:val="fr-FR"/>
        </w:rPr>
        <w:t>novembre 2021]</w:t>
      </w:r>
    </w:p>
    <w:p w14:paraId="62F35ABC" w14:textId="77777777" w:rsidR="007A7A5F" w:rsidRDefault="007A7A5F">
      <w:pPr>
        <w:suppressAutoHyphens w:val="0"/>
        <w:kinsoku/>
        <w:overflowPunct/>
        <w:autoSpaceDE/>
        <w:autoSpaceDN/>
        <w:adjustRightInd/>
        <w:snapToGrid/>
        <w:spacing w:after="200" w:line="276" w:lineRule="auto"/>
        <w:rPr>
          <w:lang w:val="fr-FR"/>
        </w:rPr>
      </w:pPr>
      <w:r>
        <w:rPr>
          <w:lang w:val="fr-FR"/>
        </w:rPr>
        <w:br w:type="page"/>
      </w:r>
    </w:p>
    <w:p w14:paraId="666439FD" w14:textId="77777777" w:rsidR="007A7A5F" w:rsidRPr="00F13EB9" w:rsidRDefault="007A7A5F" w:rsidP="007A7A5F">
      <w:pPr>
        <w:pStyle w:val="HChG"/>
        <w:rPr>
          <w:lang w:val="fr-FR"/>
        </w:rPr>
      </w:pPr>
      <w:r w:rsidRPr="00F13EB9">
        <w:rPr>
          <w:lang w:val="fr-FR"/>
        </w:rPr>
        <w:lastRenderedPageBreak/>
        <w:tab/>
      </w:r>
      <w:r w:rsidRPr="00F13EB9">
        <w:rPr>
          <w:lang w:val="fr-FR"/>
        </w:rPr>
        <w:tab/>
        <w:t>Introduction</w:t>
      </w:r>
    </w:p>
    <w:p w14:paraId="2E11918D" w14:textId="6EE71217" w:rsidR="007A7A5F" w:rsidRPr="00F13EB9" w:rsidRDefault="007A7A5F" w:rsidP="007A7A5F">
      <w:pPr>
        <w:pStyle w:val="SingleTxtG"/>
        <w:keepNext/>
        <w:rPr>
          <w:lang w:val="fr-FR"/>
        </w:rPr>
      </w:pPr>
      <w:r w:rsidRPr="00F13EB9">
        <w:rPr>
          <w:lang w:val="fr-FR"/>
        </w:rPr>
        <w:t>1.</w:t>
      </w:r>
      <w:r w:rsidRPr="00F13EB9">
        <w:rPr>
          <w:lang w:val="fr-FR"/>
        </w:rPr>
        <w:tab/>
        <w:t>Conformément au paragraphe 32 des observations finales concernant les renseignements complémentaires soumis par l</w:t>
      </w:r>
      <w:r>
        <w:rPr>
          <w:lang w:val="fr-FR"/>
        </w:rPr>
        <w:t>’</w:t>
      </w:r>
      <w:r w:rsidRPr="00F13EB9">
        <w:rPr>
          <w:lang w:val="fr-FR"/>
        </w:rPr>
        <w:t xml:space="preserve">Iraq </w:t>
      </w:r>
      <w:r>
        <w:rPr>
          <w:lang w:val="fr-FR"/>
        </w:rPr>
        <w:t>au titre</w:t>
      </w:r>
      <w:r w:rsidRPr="00F13EB9">
        <w:rPr>
          <w:lang w:val="fr-FR"/>
        </w:rPr>
        <w:t xml:space="preserve"> de la Convention pour la protection de toutes les personnes contre les disparitions forcées (CED/C/IRQ/OAI/1), le présent document contient le rapport de la République d</w:t>
      </w:r>
      <w:r>
        <w:rPr>
          <w:lang w:val="fr-FR"/>
        </w:rPr>
        <w:t>’</w:t>
      </w:r>
      <w:r w:rsidRPr="00F13EB9">
        <w:rPr>
          <w:lang w:val="fr-FR"/>
        </w:rPr>
        <w:t>Iraq sur la suite donnée aux recommandations prioritaires formulées par le Comité des disparations forcées dans ses observations finales au sujet du premier rapport de la République d</w:t>
      </w:r>
      <w:r>
        <w:rPr>
          <w:lang w:val="fr-FR"/>
        </w:rPr>
        <w:t>’</w:t>
      </w:r>
      <w:r w:rsidRPr="00F13EB9">
        <w:rPr>
          <w:lang w:val="fr-FR"/>
        </w:rPr>
        <w:t>Iraq. Nous tenons à préciser ce qui suit</w:t>
      </w:r>
      <w:r>
        <w:rPr>
          <w:lang w:val="fr-FR"/>
        </w:rPr>
        <w:t>.</w:t>
      </w:r>
    </w:p>
    <w:p w14:paraId="7309A49D" w14:textId="6457EE43" w:rsidR="007A7A5F" w:rsidRPr="00F13EB9" w:rsidRDefault="007A7A5F" w:rsidP="007A7A5F">
      <w:pPr>
        <w:pStyle w:val="H23G"/>
        <w:rPr>
          <w:lang w:val="fr-FR"/>
        </w:rPr>
      </w:pPr>
      <w:r w:rsidRPr="00F13EB9">
        <w:rPr>
          <w:lang w:val="fr-FR"/>
        </w:rPr>
        <w:tab/>
      </w:r>
      <w:r w:rsidRPr="00F13EB9">
        <w:rPr>
          <w:lang w:val="fr-FR"/>
        </w:rPr>
        <w:tab/>
        <w:t>Progrès accomplis dans l</w:t>
      </w:r>
      <w:r>
        <w:rPr>
          <w:lang w:val="fr-FR"/>
        </w:rPr>
        <w:t>’</w:t>
      </w:r>
      <w:r w:rsidRPr="00F13EB9">
        <w:rPr>
          <w:lang w:val="fr-FR"/>
        </w:rPr>
        <w:t>examen, l</w:t>
      </w:r>
      <w:r>
        <w:rPr>
          <w:lang w:val="fr-FR"/>
        </w:rPr>
        <w:t>’</w:t>
      </w:r>
      <w:r w:rsidRPr="00F13EB9">
        <w:rPr>
          <w:lang w:val="fr-FR"/>
        </w:rPr>
        <w:t>adoption et l</w:t>
      </w:r>
      <w:r>
        <w:rPr>
          <w:lang w:val="fr-FR"/>
        </w:rPr>
        <w:t xml:space="preserve">’application </w:t>
      </w:r>
      <w:r w:rsidRPr="00F13EB9">
        <w:rPr>
          <w:lang w:val="fr-FR"/>
        </w:rPr>
        <w:t xml:space="preserve">de la législation </w:t>
      </w:r>
      <w:r>
        <w:rPr>
          <w:lang w:val="fr-FR"/>
        </w:rPr>
        <w:br/>
      </w:r>
      <w:r w:rsidRPr="00F13EB9">
        <w:rPr>
          <w:lang w:val="fr-FR"/>
        </w:rPr>
        <w:t xml:space="preserve">relative </w:t>
      </w:r>
      <w:r>
        <w:rPr>
          <w:lang w:val="fr-FR"/>
        </w:rPr>
        <w:t xml:space="preserve">aux </w:t>
      </w:r>
      <w:r w:rsidRPr="00F13EB9">
        <w:rPr>
          <w:lang w:val="fr-FR"/>
        </w:rPr>
        <w:t>disparition</w:t>
      </w:r>
      <w:r>
        <w:rPr>
          <w:lang w:val="fr-FR"/>
        </w:rPr>
        <w:t>s</w:t>
      </w:r>
      <w:r w:rsidRPr="00F13EB9">
        <w:rPr>
          <w:lang w:val="fr-FR"/>
        </w:rPr>
        <w:t xml:space="preserve"> forcée</w:t>
      </w:r>
      <w:r>
        <w:rPr>
          <w:lang w:val="fr-FR"/>
        </w:rPr>
        <w:t>s</w:t>
      </w:r>
    </w:p>
    <w:p w14:paraId="53FD056F" w14:textId="77777777" w:rsidR="007A7A5F" w:rsidRPr="00F13EB9" w:rsidRDefault="007A7A5F" w:rsidP="007A7A5F">
      <w:pPr>
        <w:pStyle w:val="SingleTxtG"/>
        <w:rPr>
          <w:lang w:val="fr-FR"/>
        </w:rPr>
      </w:pPr>
      <w:r w:rsidRPr="00F13EB9">
        <w:rPr>
          <w:lang w:val="fr-FR"/>
        </w:rPr>
        <w:t>2.</w:t>
      </w:r>
      <w:r w:rsidRPr="00F13EB9">
        <w:rPr>
          <w:lang w:val="fr-FR"/>
        </w:rPr>
        <w:tab/>
        <w:t>La législation iraquienne, en particulier le Code de procédure pénale, est actuellement soumise à un examen en vue d</w:t>
      </w:r>
      <w:r>
        <w:rPr>
          <w:lang w:val="fr-FR"/>
        </w:rPr>
        <w:t>’</w:t>
      </w:r>
      <w:r w:rsidRPr="00F13EB9">
        <w:rPr>
          <w:lang w:val="fr-FR"/>
        </w:rPr>
        <w:t>être modifiée conformément aux normes relatives aux droits de l</w:t>
      </w:r>
      <w:r>
        <w:rPr>
          <w:lang w:val="fr-FR"/>
        </w:rPr>
        <w:t>’</w:t>
      </w:r>
      <w:r w:rsidRPr="00F13EB9">
        <w:rPr>
          <w:lang w:val="fr-FR"/>
        </w:rPr>
        <w:t>homme.</w:t>
      </w:r>
    </w:p>
    <w:p w14:paraId="2CC64A78" w14:textId="77777777" w:rsidR="007A7A5F" w:rsidRPr="00F13EB9" w:rsidRDefault="007A7A5F" w:rsidP="007A7A5F">
      <w:pPr>
        <w:pStyle w:val="SingleTxtG"/>
        <w:rPr>
          <w:lang w:val="fr-FR"/>
        </w:rPr>
      </w:pPr>
      <w:r w:rsidRPr="00F13EB9">
        <w:rPr>
          <w:lang w:val="fr-FR"/>
        </w:rPr>
        <w:t>3.</w:t>
      </w:r>
      <w:r w:rsidRPr="00F13EB9">
        <w:rPr>
          <w:lang w:val="fr-FR"/>
        </w:rPr>
        <w:tab/>
        <w:t>L</w:t>
      </w:r>
      <w:r>
        <w:rPr>
          <w:lang w:val="fr-FR"/>
        </w:rPr>
        <w:t xml:space="preserve">’adoption </w:t>
      </w:r>
      <w:r w:rsidRPr="00F13EB9">
        <w:rPr>
          <w:lang w:val="fr-FR"/>
        </w:rPr>
        <w:t>et la révision des lois relèvent exclusivement des autorités législatives, c</w:t>
      </w:r>
      <w:r>
        <w:rPr>
          <w:lang w:val="fr-FR"/>
        </w:rPr>
        <w:t>’</w:t>
      </w:r>
      <w:r w:rsidRPr="00F13EB9">
        <w:rPr>
          <w:lang w:val="fr-FR"/>
        </w:rPr>
        <w:t xml:space="preserve">est-à-dire </w:t>
      </w:r>
      <w:r>
        <w:rPr>
          <w:lang w:val="fr-FR"/>
        </w:rPr>
        <w:t xml:space="preserve">de </w:t>
      </w:r>
      <w:r w:rsidRPr="00F13EB9">
        <w:rPr>
          <w:lang w:val="fr-FR"/>
        </w:rPr>
        <w:t xml:space="preserve">la présidence de la Chambre des députés, en </w:t>
      </w:r>
      <w:r>
        <w:rPr>
          <w:lang w:val="fr-FR"/>
        </w:rPr>
        <w:t>vertu</w:t>
      </w:r>
      <w:r w:rsidRPr="00F13EB9">
        <w:rPr>
          <w:lang w:val="fr-FR"/>
        </w:rPr>
        <w:t xml:space="preserve"> du principe de la séparation des pouvoirs.</w:t>
      </w:r>
    </w:p>
    <w:p w14:paraId="4E239A96" w14:textId="7B51652C" w:rsidR="007A7A5F" w:rsidRPr="00F13EB9" w:rsidRDefault="007A7A5F" w:rsidP="007A7A5F">
      <w:pPr>
        <w:pStyle w:val="SingleTxtG"/>
        <w:rPr>
          <w:lang w:val="fr-FR"/>
        </w:rPr>
      </w:pPr>
      <w:r w:rsidRPr="00F13EB9">
        <w:rPr>
          <w:lang w:val="fr-FR"/>
        </w:rPr>
        <w:t>4.</w:t>
      </w:r>
      <w:r w:rsidRPr="00F13EB9">
        <w:rPr>
          <w:lang w:val="fr-FR"/>
        </w:rPr>
        <w:tab/>
        <w:t>L</w:t>
      </w:r>
      <w:r>
        <w:rPr>
          <w:lang w:val="fr-FR"/>
        </w:rPr>
        <w:t>’</w:t>
      </w:r>
      <w:r w:rsidRPr="00F13EB9">
        <w:rPr>
          <w:lang w:val="fr-FR"/>
        </w:rPr>
        <w:t>article</w:t>
      </w:r>
      <w:r>
        <w:rPr>
          <w:lang w:val="fr-FR"/>
        </w:rPr>
        <w:t xml:space="preserve"> </w:t>
      </w:r>
      <w:r w:rsidRPr="00F13EB9">
        <w:rPr>
          <w:lang w:val="fr-FR"/>
        </w:rPr>
        <w:t xml:space="preserve">premier du projet de loi sur les disparitions forcées </w:t>
      </w:r>
      <w:r>
        <w:rPr>
          <w:lang w:val="fr-FR"/>
        </w:rPr>
        <w:t>contient une définition de</w:t>
      </w:r>
      <w:r w:rsidRPr="00F13EB9">
        <w:rPr>
          <w:lang w:val="fr-FR"/>
        </w:rPr>
        <w:t xml:space="preserve"> l</w:t>
      </w:r>
      <w:r>
        <w:rPr>
          <w:lang w:val="fr-FR"/>
        </w:rPr>
        <w:t xml:space="preserve">’infraction </w:t>
      </w:r>
      <w:r w:rsidRPr="00F13EB9">
        <w:rPr>
          <w:lang w:val="fr-FR"/>
        </w:rPr>
        <w:t>de disparition forcée</w:t>
      </w:r>
      <w:r>
        <w:rPr>
          <w:lang w:val="fr-FR"/>
        </w:rPr>
        <w:t xml:space="preserve"> qui est</w:t>
      </w:r>
      <w:r w:rsidRPr="00F13EB9">
        <w:rPr>
          <w:lang w:val="fr-FR"/>
        </w:rPr>
        <w:t xml:space="preserve"> conform</w:t>
      </w:r>
      <w:r>
        <w:rPr>
          <w:lang w:val="fr-FR"/>
        </w:rPr>
        <w:t xml:space="preserve">e </w:t>
      </w:r>
      <w:r w:rsidRPr="00F13EB9">
        <w:rPr>
          <w:lang w:val="fr-FR"/>
        </w:rPr>
        <w:t xml:space="preserve">à </w:t>
      </w:r>
      <w:r>
        <w:rPr>
          <w:lang w:val="fr-FR"/>
        </w:rPr>
        <w:t>celle</w:t>
      </w:r>
      <w:r w:rsidRPr="00F13EB9">
        <w:rPr>
          <w:lang w:val="fr-FR"/>
        </w:rPr>
        <w:t xml:space="preserve"> figurant dans la Convention, et prévoit des peines appropriées à cet égard. Ce</w:t>
      </w:r>
      <w:r>
        <w:rPr>
          <w:lang w:val="fr-FR"/>
        </w:rPr>
        <w:t xml:space="preserve">tte infraction </w:t>
      </w:r>
      <w:r w:rsidRPr="00F13EB9">
        <w:rPr>
          <w:lang w:val="fr-FR"/>
        </w:rPr>
        <w:t>est également mentionné</w:t>
      </w:r>
      <w:r>
        <w:rPr>
          <w:lang w:val="fr-FR"/>
        </w:rPr>
        <w:t>e</w:t>
      </w:r>
      <w:r w:rsidRPr="00F13EB9">
        <w:rPr>
          <w:lang w:val="fr-FR"/>
        </w:rPr>
        <w:t xml:space="preserve"> dans le nouveau Code pénal, en cours d</w:t>
      </w:r>
      <w:r>
        <w:rPr>
          <w:lang w:val="fr-FR"/>
        </w:rPr>
        <w:t>’</w:t>
      </w:r>
      <w:r w:rsidRPr="00F13EB9">
        <w:rPr>
          <w:lang w:val="fr-FR"/>
        </w:rPr>
        <w:t>élaboration.</w:t>
      </w:r>
    </w:p>
    <w:p w14:paraId="46EE40C9" w14:textId="77777777" w:rsidR="007A7A5F" w:rsidRPr="00F13EB9" w:rsidRDefault="007A7A5F" w:rsidP="007A7A5F">
      <w:pPr>
        <w:pStyle w:val="SingleTxtG"/>
        <w:rPr>
          <w:spacing w:val="-4"/>
          <w:lang w:val="fr-FR"/>
        </w:rPr>
      </w:pPr>
      <w:r w:rsidRPr="00F13EB9">
        <w:rPr>
          <w:lang w:val="fr-FR"/>
        </w:rPr>
        <w:t>5.</w:t>
      </w:r>
      <w:r w:rsidRPr="00F13EB9">
        <w:rPr>
          <w:lang w:val="fr-FR"/>
        </w:rPr>
        <w:tab/>
        <w:t>Le Ministère de la justice a déployé des efforts considérables aux fins de l</w:t>
      </w:r>
      <w:r>
        <w:rPr>
          <w:lang w:val="fr-FR"/>
        </w:rPr>
        <w:t>’</w:t>
      </w:r>
      <w:r w:rsidRPr="00F13EB9">
        <w:rPr>
          <w:lang w:val="fr-FR"/>
        </w:rPr>
        <w:t>élaboration d</w:t>
      </w:r>
      <w:r>
        <w:rPr>
          <w:lang w:val="fr-FR"/>
        </w:rPr>
        <w:t>’</w:t>
      </w:r>
      <w:r w:rsidRPr="00F13EB9">
        <w:rPr>
          <w:lang w:val="fr-FR"/>
        </w:rPr>
        <w:t xml:space="preserve">une loi sur les disparitions forcées, compte tenu des recommandations du Secrétariat général du Conseil des ministres et </w:t>
      </w:r>
      <w:r>
        <w:rPr>
          <w:lang w:val="fr-FR"/>
        </w:rPr>
        <w:t xml:space="preserve">des </w:t>
      </w:r>
      <w:r w:rsidRPr="00F13EB9">
        <w:rPr>
          <w:lang w:val="fr-FR"/>
        </w:rPr>
        <w:t>observations du Comité des disparitions forcées. Le proj</w:t>
      </w:r>
      <w:r>
        <w:rPr>
          <w:lang w:val="fr-FR"/>
        </w:rPr>
        <w:t>et de loi sur la lutte contre les</w:t>
      </w:r>
      <w:r w:rsidRPr="00F13EB9">
        <w:rPr>
          <w:lang w:val="fr-FR"/>
        </w:rPr>
        <w:t xml:space="preserve"> disparition</w:t>
      </w:r>
      <w:r>
        <w:rPr>
          <w:lang w:val="fr-FR"/>
        </w:rPr>
        <w:t>s</w:t>
      </w:r>
      <w:r w:rsidRPr="00F13EB9">
        <w:rPr>
          <w:lang w:val="fr-FR"/>
        </w:rPr>
        <w:t xml:space="preserve"> forcée</w:t>
      </w:r>
      <w:r>
        <w:rPr>
          <w:lang w:val="fr-FR"/>
        </w:rPr>
        <w:t>s</w:t>
      </w:r>
      <w:r w:rsidRPr="00F13EB9">
        <w:rPr>
          <w:lang w:val="fr-FR"/>
        </w:rPr>
        <w:t xml:space="preserve"> a été soumis au Conseil d</w:t>
      </w:r>
      <w:r>
        <w:rPr>
          <w:lang w:val="fr-FR"/>
        </w:rPr>
        <w:t>’</w:t>
      </w:r>
      <w:r w:rsidRPr="00F13EB9">
        <w:rPr>
          <w:lang w:val="fr-FR"/>
        </w:rPr>
        <w:t xml:space="preserve">État, en </w:t>
      </w:r>
      <w:r>
        <w:rPr>
          <w:lang w:val="fr-FR"/>
        </w:rPr>
        <w:t>application</w:t>
      </w:r>
      <w:r w:rsidRPr="00F13EB9">
        <w:rPr>
          <w:lang w:val="fr-FR"/>
        </w:rPr>
        <w:t xml:space="preserve"> des dispositions de l</w:t>
      </w:r>
      <w:r>
        <w:rPr>
          <w:lang w:val="fr-FR"/>
        </w:rPr>
        <w:t>’</w:t>
      </w:r>
      <w:r w:rsidRPr="00F13EB9">
        <w:rPr>
          <w:lang w:val="fr-FR"/>
        </w:rPr>
        <w:t>article 13 de la loi n</w:t>
      </w:r>
      <w:r w:rsidRPr="00567B72">
        <w:rPr>
          <w:vertAlign w:val="superscript"/>
          <w:lang w:val="fr-FR"/>
        </w:rPr>
        <w:t>o</w:t>
      </w:r>
      <w:r w:rsidRPr="00F13EB9">
        <w:rPr>
          <w:lang w:val="fr-FR"/>
        </w:rPr>
        <w:t> 65 de 1989 du Conseil d</w:t>
      </w:r>
      <w:r>
        <w:rPr>
          <w:lang w:val="fr-FR"/>
        </w:rPr>
        <w:t>’</w:t>
      </w:r>
      <w:r w:rsidRPr="00F13EB9">
        <w:rPr>
          <w:lang w:val="fr-FR"/>
        </w:rPr>
        <w:t>État et dans le respect des obligations internationales de l</w:t>
      </w:r>
      <w:r>
        <w:rPr>
          <w:lang w:val="fr-FR"/>
        </w:rPr>
        <w:t>’</w:t>
      </w:r>
      <w:r w:rsidRPr="00F13EB9">
        <w:rPr>
          <w:lang w:val="fr-FR"/>
        </w:rPr>
        <w:t>Iraq au titre de la Convention internationale pour la protection de toutes les personnes contre les disparitions forcées. Le projet de loi, soumis le 6 novembre 2017, tient compte des observations des autorités compétentes, notamment du Conseil supérieur de la magistrature.</w:t>
      </w:r>
    </w:p>
    <w:p w14:paraId="3D38461F" w14:textId="77777777" w:rsidR="007A7A5F" w:rsidRPr="00F13EB9" w:rsidRDefault="007A7A5F" w:rsidP="007A7A5F">
      <w:pPr>
        <w:pStyle w:val="SingleTxtG"/>
        <w:rPr>
          <w:lang w:val="fr-FR"/>
        </w:rPr>
      </w:pPr>
      <w:r w:rsidRPr="00F13EB9">
        <w:rPr>
          <w:lang w:val="fr-FR"/>
        </w:rPr>
        <w:t>6.</w:t>
      </w:r>
      <w:r w:rsidRPr="00F13EB9">
        <w:rPr>
          <w:lang w:val="fr-FR"/>
        </w:rPr>
        <w:tab/>
        <w:t>Le projet de loi a été soumis à l</w:t>
      </w:r>
      <w:r>
        <w:rPr>
          <w:lang w:val="fr-FR"/>
        </w:rPr>
        <w:t>’</w:t>
      </w:r>
      <w:r w:rsidRPr="00F13EB9">
        <w:rPr>
          <w:lang w:val="fr-FR"/>
        </w:rPr>
        <w:t>organe compétent du Conseil d</w:t>
      </w:r>
      <w:r>
        <w:rPr>
          <w:lang w:val="fr-FR"/>
        </w:rPr>
        <w:t>’</w:t>
      </w:r>
      <w:r w:rsidRPr="00F13EB9">
        <w:rPr>
          <w:lang w:val="fr-FR"/>
        </w:rPr>
        <w:t>État, qui l</w:t>
      </w:r>
      <w:r>
        <w:rPr>
          <w:lang w:val="fr-FR"/>
        </w:rPr>
        <w:t>’</w:t>
      </w:r>
      <w:r w:rsidRPr="00F13EB9">
        <w:rPr>
          <w:lang w:val="fr-FR"/>
        </w:rPr>
        <w:t>a approuvé et l</w:t>
      </w:r>
      <w:r>
        <w:rPr>
          <w:lang w:val="fr-FR"/>
        </w:rPr>
        <w:t>’</w:t>
      </w:r>
      <w:r w:rsidRPr="00F13EB9">
        <w:rPr>
          <w:lang w:val="fr-FR"/>
        </w:rPr>
        <w:t>a renvoyé en plénière, où il a également été approuvé. Le 17 mars 2020, le Conseil d</w:t>
      </w:r>
      <w:r>
        <w:rPr>
          <w:lang w:val="fr-FR"/>
        </w:rPr>
        <w:t>’</w:t>
      </w:r>
      <w:r w:rsidRPr="00F13EB9">
        <w:rPr>
          <w:lang w:val="fr-FR"/>
        </w:rPr>
        <w:t xml:space="preserve">État a </w:t>
      </w:r>
      <w:r>
        <w:rPr>
          <w:lang w:val="fr-FR"/>
        </w:rPr>
        <w:t>transmis</w:t>
      </w:r>
      <w:r w:rsidRPr="00F13EB9">
        <w:rPr>
          <w:lang w:val="fr-FR"/>
        </w:rPr>
        <w:t xml:space="preserve"> le projet de loi au Secrétariat général du Conseil des ministres. Le texte de la décision examinée par le Conseil d</w:t>
      </w:r>
      <w:r>
        <w:rPr>
          <w:lang w:val="fr-FR"/>
        </w:rPr>
        <w:t>’</w:t>
      </w:r>
      <w:r w:rsidRPr="00F13EB9">
        <w:rPr>
          <w:lang w:val="fr-FR"/>
        </w:rPr>
        <w:t>État prévoyait l</w:t>
      </w:r>
      <w:r>
        <w:rPr>
          <w:lang w:val="fr-FR"/>
        </w:rPr>
        <w:t>’</w:t>
      </w:r>
      <w:r w:rsidRPr="00F13EB9">
        <w:rPr>
          <w:lang w:val="fr-FR"/>
        </w:rPr>
        <w:t xml:space="preserve">approbation du projet de loi sur les disparitions forcées soumis par le Ministère de la justice et sa transmission à la Chambre des représentants. </w:t>
      </w:r>
    </w:p>
    <w:p w14:paraId="32E6EAB4" w14:textId="77777777" w:rsidR="007A7A5F" w:rsidRPr="00F13EB9" w:rsidRDefault="007A7A5F" w:rsidP="007A7A5F">
      <w:pPr>
        <w:pStyle w:val="SingleTxtG"/>
        <w:rPr>
          <w:b/>
          <w:bCs/>
          <w:color w:val="002060"/>
          <w:lang w:val="fr-FR"/>
        </w:rPr>
      </w:pPr>
      <w:r w:rsidRPr="00F13EB9">
        <w:rPr>
          <w:lang w:val="fr-FR"/>
        </w:rPr>
        <w:t>7.</w:t>
      </w:r>
      <w:r w:rsidRPr="00F13EB9">
        <w:rPr>
          <w:lang w:val="fr-FR"/>
        </w:rPr>
        <w:tab/>
        <w:t>Un comité présidé par un conseiller du Conseil d</w:t>
      </w:r>
      <w:r>
        <w:rPr>
          <w:lang w:val="fr-FR"/>
        </w:rPr>
        <w:t>’</w:t>
      </w:r>
      <w:r w:rsidRPr="00F13EB9">
        <w:rPr>
          <w:lang w:val="fr-FR"/>
        </w:rPr>
        <w:t>État a été constitué pour revoir certains articles du projet, conformément aux directives du Premier Ministre.</w:t>
      </w:r>
    </w:p>
    <w:p w14:paraId="5FC6D441" w14:textId="77777777" w:rsidR="007A7A5F" w:rsidRPr="00F13EB9" w:rsidRDefault="007A7A5F" w:rsidP="007A7A5F">
      <w:pPr>
        <w:pStyle w:val="H23G"/>
        <w:rPr>
          <w:lang w:val="fr-FR"/>
        </w:rPr>
      </w:pPr>
      <w:r w:rsidRPr="00F13EB9">
        <w:rPr>
          <w:lang w:val="fr-FR"/>
        </w:rPr>
        <w:tab/>
      </w:r>
      <w:r w:rsidRPr="00F13EB9">
        <w:rPr>
          <w:lang w:val="fr-FR"/>
        </w:rPr>
        <w:tab/>
        <w:t>Détention secrète</w:t>
      </w:r>
    </w:p>
    <w:p w14:paraId="69C9ABC9" w14:textId="77777777" w:rsidR="007A7A5F" w:rsidRPr="00F13EB9" w:rsidRDefault="007A7A5F" w:rsidP="007A7A5F">
      <w:pPr>
        <w:pStyle w:val="SingleTxtG"/>
        <w:rPr>
          <w:spacing w:val="-4"/>
          <w:lang w:val="fr-FR"/>
        </w:rPr>
      </w:pPr>
      <w:r w:rsidRPr="00F13EB9">
        <w:rPr>
          <w:lang w:val="fr-FR"/>
        </w:rPr>
        <w:t>8.</w:t>
      </w:r>
      <w:r w:rsidRPr="00F13EB9">
        <w:rPr>
          <w:lang w:val="fr-FR"/>
        </w:rPr>
        <w:tab/>
      </w:r>
      <w:r>
        <w:rPr>
          <w:lang w:val="fr-FR"/>
        </w:rPr>
        <w:t xml:space="preserve">Rien ne porte à croire que l’on continue d’avoir recours à la </w:t>
      </w:r>
      <w:r w:rsidRPr="00F13EB9">
        <w:rPr>
          <w:lang w:val="fr-FR"/>
        </w:rPr>
        <w:t>détention secrète, notamment au Camp Justice, dans la prison de l</w:t>
      </w:r>
      <w:r>
        <w:rPr>
          <w:lang w:val="fr-FR"/>
        </w:rPr>
        <w:t>’</w:t>
      </w:r>
      <w:r w:rsidRPr="00F13EB9">
        <w:rPr>
          <w:lang w:val="fr-FR"/>
        </w:rPr>
        <w:t>aéroport d</w:t>
      </w:r>
      <w:r>
        <w:rPr>
          <w:lang w:val="fr-FR"/>
        </w:rPr>
        <w:t>’</w:t>
      </w:r>
      <w:r w:rsidRPr="00F13EB9">
        <w:rPr>
          <w:lang w:val="fr-FR"/>
        </w:rPr>
        <w:t>al-Muthanna, dans la prison de l</w:t>
      </w:r>
      <w:r>
        <w:rPr>
          <w:lang w:val="fr-FR"/>
        </w:rPr>
        <w:t>’</w:t>
      </w:r>
      <w:r w:rsidRPr="00F13EB9">
        <w:rPr>
          <w:lang w:val="fr-FR"/>
        </w:rPr>
        <w:t>aéroport de Bagdad et dans la ville de Jurf al-Sakhar. À cet égard, nous tenons à préciser que les prisons centrales et les centres de détention et d</w:t>
      </w:r>
      <w:r>
        <w:rPr>
          <w:lang w:val="fr-FR"/>
        </w:rPr>
        <w:t xml:space="preserve">’internement administratif </w:t>
      </w:r>
      <w:r w:rsidRPr="00F13EB9">
        <w:rPr>
          <w:lang w:val="fr-FR"/>
        </w:rPr>
        <w:t xml:space="preserve">sont placés sous la supervision du </w:t>
      </w:r>
      <w:r>
        <w:rPr>
          <w:lang w:val="fr-FR"/>
        </w:rPr>
        <w:t xml:space="preserve">Bureau du </w:t>
      </w:r>
      <w:r w:rsidRPr="00F13EB9">
        <w:rPr>
          <w:lang w:val="fr-FR"/>
        </w:rPr>
        <w:t>Procureur général et font régulièrement l</w:t>
      </w:r>
      <w:r>
        <w:rPr>
          <w:lang w:val="fr-FR"/>
        </w:rPr>
        <w:t>’</w:t>
      </w:r>
      <w:r w:rsidRPr="00F13EB9">
        <w:rPr>
          <w:lang w:val="fr-FR"/>
        </w:rPr>
        <w:t>objet de visites d</w:t>
      </w:r>
      <w:r>
        <w:rPr>
          <w:lang w:val="fr-FR"/>
        </w:rPr>
        <w:t>’</w:t>
      </w:r>
      <w:r w:rsidRPr="00F13EB9">
        <w:rPr>
          <w:lang w:val="fr-FR"/>
        </w:rPr>
        <w:t xml:space="preserve">inspection. Toute personne détenue dans ces lieux a été arrêtée en </w:t>
      </w:r>
      <w:r>
        <w:rPr>
          <w:lang w:val="fr-FR"/>
        </w:rPr>
        <w:t>exécution</w:t>
      </w:r>
      <w:r w:rsidRPr="00F13EB9">
        <w:rPr>
          <w:lang w:val="fr-FR"/>
        </w:rPr>
        <w:t xml:space="preserve"> d</w:t>
      </w:r>
      <w:r>
        <w:rPr>
          <w:lang w:val="fr-FR"/>
        </w:rPr>
        <w:t>’</w:t>
      </w:r>
      <w:r w:rsidRPr="00F13EB9">
        <w:rPr>
          <w:lang w:val="fr-FR"/>
        </w:rPr>
        <w:t>un mandat d</w:t>
      </w:r>
      <w:r>
        <w:rPr>
          <w:lang w:val="fr-FR"/>
        </w:rPr>
        <w:t>’</w:t>
      </w:r>
      <w:r w:rsidRPr="00F13EB9">
        <w:rPr>
          <w:lang w:val="fr-FR"/>
        </w:rPr>
        <w:t>arrêt officiel délivré par une autorité judiciaire. Par conséquent, personne et, en particulier, aucun manifestant</w:t>
      </w:r>
      <w:r>
        <w:rPr>
          <w:lang w:val="fr-FR"/>
        </w:rPr>
        <w:t>,</w:t>
      </w:r>
      <w:r w:rsidRPr="00F13EB9">
        <w:rPr>
          <w:lang w:val="fr-FR"/>
        </w:rPr>
        <w:t xml:space="preserve"> ne correspond aux descriptions faites par le Comité. De fait, aucun manifestant </w:t>
      </w:r>
      <w:r>
        <w:rPr>
          <w:lang w:val="fr-FR"/>
        </w:rPr>
        <w:t>ne se trouve</w:t>
      </w:r>
      <w:r w:rsidRPr="00F13EB9">
        <w:rPr>
          <w:lang w:val="fr-FR"/>
        </w:rPr>
        <w:t xml:space="preserve"> actuellement </w:t>
      </w:r>
      <w:r>
        <w:rPr>
          <w:lang w:val="fr-FR"/>
        </w:rPr>
        <w:t>en détention ou en garde à vue</w:t>
      </w:r>
      <w:r w:rsidRPr="00F13EB9">
        <w:rPr>
          <w:lang w:val="fr-FR"/>
        </w:rPr>
        <w:t>, à moins qu</w:t>
      </w:r>
      <w:r>
        <w:rPr>
          <w:lang w:val="fr-FR"/>
        </w:rPr>
        <w:t>’</w:t>
      </w:r>
      <w:r w:rsidRPr="00F13EB9">
        <w:rPr>
          <w:lang w:val="fr-FR"/>
        </w:rPr>
        <w:t>il s</w:t>
      </w:r>
      <w:r>
        <w:rPr>
          <w:lang w:val="fr-FR"/>
        </w:rPr>
        <w:t>’</w:t>
      </w:r>
      <w:r w:rsidRPr="00F13EB9">
        <w:rPr>
          <w:lang w:val="fr-FR"/>
        </w:rPr>
        <w:t>agisse d</w:t>
      </w:r>
      <w:r>
        <w:rPr>
          <w:lang w:val="fr-FR"/>
        </w:rPr>
        <w:t>’</w:t>
      </w:r>
      <w:r w:rsidRPr="00F13EB9">
        <w:rPr>
          <w:lang w:val="fr-FR"/>
        </w:rPr>
        <w:t xml:space="preserve">une personne ayant commis une infraction dans le </w:t>
      </w:r>
      <w:r>
        <w:rPr>
          <w:lang w:val="fr-FR"/>
        </w:rPr>
        <w:t>contexte</w:t>
      </w:r>
      <w:r w:rsidRPr="00F13EB9">
        <w:rPr>
          <w:lang w:val="fr-FR"/>
        </w:rPr>
        <w:t xml:space="preserve"> d</w:t>
      </w:r>
      <w:r>
        <w:rPr>
          <w:lang w:val="fr-FR"/>
        </w:rPr>
        <w:t>’</w:t>
      </w:r>
      <w:r w:rsidRPr="00F13EB9">
        <w:rPr>
          <w:lang w:val="fr-FR"/>
        </w:rPr>
        <w:t>une manifestation. Pour ce qui est de la ville de Jurf al-Sakhar, celle-ci ne compte aucun lieu de détention.</w:t>
      </w:r>
    </w:p>
    <w:p w14:paraId="78D0269E" w14:textId="77777777" w:rsidR="007A7A5F" w:rsidRPr="00F13EB9" w:rsidRDefault="007A7A5F" w:rsidP="007A7A5F">
      <w:pPr>
        <w:pStyle w:val="SingleTxtG"/>
        <w:keepLines/>
        <w:rPr>
          <w:lang w:val="fr-FR"/>
        </w:rPr>
      </w:pPr>
      <w:r w:rsidRPr="00F13EB9">
        <w:rPr>
          <w:lang w:val="fr-FR"/>
        </w:rPr>
        <w:lastRenderedPageBreak/>
        <w:t>9.</w:t>
      </w:r>
      <w:r w:rsidRPr="00F13EB9">
        <w:rPr>
          <w:lang w:val="fr-FR"/>
        </w:rPr>
        <w:tab/>
        <w:t>Une équipe composée de membres du Comité de rédaction des rapports internationaux a effectué une visite d</w:t>
      </w:r>
      <w:r>
        <w:rPr>
          <w:lang w:val="fr-FR"/>
        </w:rPr>
        <w:t>’</w:t>
      </w:r>
      <w:r w:rsidRPr="00F13EB9">
        <w:rPr>
          <w:lang w:val="fr-FR"/>
        </w:rPr>
        <w:t>inspection dans la prison centrale de l</w:t>
      </w:r>
      <w:r>
        <w:rPr>
          <w:lang w:val="fr-FR"/>
        </w:rPr>
        <w:t>’</w:t>
      </w:r>
      <w:r w:rsidRPr="00F13EB9">
        <w:rPr>
          <w:lang w:val="fr-FR"/>
        </w:rPr>
        <w:t>aéroport d</w:t>
      </w:r>
      <w:r>
        <w:rPr>
          <w:lang w:val="fr-FR"/>
        </w:rPr>
        <w:t>’</w:t>
      </w:r>
      <w:r w:rsidRPr="00F13EB9">
        <w:rPr>
          <w:lang w:val="fr-FR"/>
        </w:rPr>
        <w:t>al-Muthanna. Elle s</w:t>
      </w:r>
      <w:r>
        <w:rPr>
          <w:lang w:val="fr-FR"/>
        </w:rPr>
        <w:t>’</w:t>
      </w:r>
      <w:r w:rsidRPr="00F13EB9">
        <w:rPr>
          <w:lang w:val="fr-FR"/>
        </w:rPr>
        <w:t>est ainsi informée des mécanismes de fonctionnement</w:t>
      </w:r>
      <w:r>
        <w:rPr>
          <w:lang w:val="fr-FR"/>
        </w:rPr>
        <w:t xml:space="preserve"> de la prison</w:t>
      </w:r>
      <w:r w:rsidRPr="00F13EB9">
        <w:rPr>
          <w:lang w:val="fr-FR"/>
        </w:rPr>
        <w:t xml:space="preserve">, conformes à la législation iraquienne, a rencontré des détenus et obtenu des preuves attestant que cet établissement </w:t>
      </w:r>
      <w:r>
        <w:rPr>
          <w:lang w:val="fr-FR"/>
        </w:rPr>
        <w:t>faisait</w:t>
      </w:r>
      <w:r w:rsidRPr="00F13EB9">
        <w:rPr>
          <w:lang w:val="fr-FR"/>
        </w:rPr>
        <w:t xml:space="preserve"> bien l</w:t>
      </w:r>
      <w:r>
        <w:rPr>
          <w:lang w:val="fr-FR"/>
        </w:rPr>
        <w:t>’</w:t>
      </w:r>
      <w:r w:rsidRPr="00F13EB9">
        <w:rPr>
          <w:lang w:val="fr-FR"/>
        </w:rPr>
        <w:t>objet de visites de la part d</w:t>
      </w:r>
      <w:r>
        <w:rPr>
          <w:lang w:val="fr-FR"/>
        </w:rPr>
        <w:t>’</w:t>
      </w:r>
      <w:r w:rsidRPr="00F13EB9">
        <w:rPr>
          <w:lang w:val="fr-FR"/>
        </w:rPr>
        <w:t>organisations internationales, dont la Mission d</w:t>
      </w:r>
      <w:r>
        <w:rPr>
          <w:lang w:val="fr-FR"/>
        </w:rPr>
        <w:t>’</w:t>
      </w:r>
      <w:r w:rsidRPr="00F13EB9">
        <w:rPr>
          <w:lang w:val="fr-FR"/>
        </w:rPr>
        <w:t>assistance des Nations Unies pour l</w:t>
      </w:r>
      <w:r>
        <w:rPr>
          <w:lang w:val="fr-FR"/>
        </w:rPr>
        <w:t>’</w:t>
      </w:r>
      <w:r w:rsidRPr="00F13EB9">
        <w:rPr>
          <w:lang w:val="fr-FR"/>
        </w:rPr>
        <w:t>Iraq, la Croix-Roug</w:t>
      </w:r>
      <w:r>
        <w:rPr>
          <w:lang w:val="fr-FR"/>
        </w:rPr>
        <w:t>e et l</w:t>
      </w:r>
      <w:r w:rsidRPr="00F13EB9">
        <w:rPr>
          <w:lang w:val="fr-FR"/>
        </w:rPr>
        <w:t>es ambassades de certains pays.</w:t>
      </w:r>
    </w:p>
    <w:p w14:paraId="64666B1D" w14:textId="77777777" w:rsidR="007A7A5F" w:rsidRPr="00F13EB9" w:rsidRDefault="007A7A5F" w:rsidP="007A7A5F">
      <w:pPr>
        <w:pStyle w:val="H23G"/>
        <w:rPr>
          <w:lang w:val="fr-FR"/>
        </w:rPr>
      </w:pPr>
      <w:r w:rsidRPr="00F13EB9">
        <w:rPr>
          <w:lang w:val="fr-FR"/>
        </w:rPr>
        <w:tab/>
      </w:r>
      <w:r w:rsidRPr="00F13EB9">
        <w:rPr>
          <w:lang w:val="fr-FR"/>
        </w:rPr>
        <w:tab/>
        <w:t>Indemnisation des victimes</w:t>
      </w:r>
    </w:p>
    <w:p w14:paraId="48283125" w14:textId="77777777" w:rsidR="007A7A5F" w:rsidRPr="00F13EB9" w:rsidRDefault="007A7A5F" w:rsidP="007A7A5F">
      <w:pPr>
        <w:pStyle w:val="SingleTxtG"/>
        <w:rPr>
          <w:lang w:val="fr-FR"/>
        </w:rPr>
      </w:pPr>
      <w:r w:rsidRPr="00F13EB9">
        <w:rPr>
          <w:lang w:val="fr-FR"/>
        </w:rPr>
        <w:t>10.</w:t>
      </w:r>
      <w:r w:rsidRPr="00F13EB9">
        <w:rPr>
          <w:lang w:val="fr-FR"/>
        </w:rPr>
        <w:tab/>
        <w:t>Il convient de noter que</w:t>
      </w:r>
      <w:r>
        <w:rPr>
          <w:lang w:val="fr-FR"/>
        </w:rPr>
        <w:t>,</w:t>
      </w:r>
      <w:r w:rsidRPr="00F13EB9">
        <w:rPr>
          <w:lang w:val="fr-FR"/>
        </w:rPr>
        <w:t xml:space="preserve"> dans toute condamnation pénale pour enlèvement ou disparition forcée, le juge consacre une partie de sa décision au droit de la victime de saisir un tribunal civil pour demander </w:t>
      </w:r>
      <w:r>
        <w:rPr>
          <w:lang w:val="fr-FR"/>
        </w:rPr>
        <w:t>à être indemnisée</w:t>
      </w:r>
      <w:r w:rsidRPr="00F13EB9">
        <w:rPr>
          <w:lang w:val="fr-FR"/>
        </w:rPr>
        <w:t xml:space="preserve"> des </w:t>
      </w:r>
      <w:r>
        <w:rPr>
          <w:lang w:val="fr-FR"/>
        </w:rPr>
        <w:t>préjudices</w:t>
      </w:r>
      <w:r w:rsidRPr="00F13EB9">
        <w:rPr>
          <w:lang w:val="fr-FR"/>
        </w:rPr>
        <w:t xml:space="preserve"> subis </w:t>
      </w:r>
      <w:r>
        <w:rPr>
          <w:lang w:val="fr-FR"/>
        </w:rPr>
        <w:t>du fait</w:t>
      </w:r>
      <w:r w:rsidRPr="00F13EB9">
        <w:rPr>
          <w:lang w:val="fr-FR"/>
        </w:rPr>
        <w:t xml:space="preserve"> de son enlèvement ou de sa disparition forcée. Le tribunal civil est tenu de déterminer ce qui constituerait une indemnisation appropriée au moment de rendre sa décision condamnant l</w:t>
      </w:r>
      <w:r>
        <w:rPr>
          <w:lang w:val="fr-FR"/>
        </w:rPr>
        <w:t>’</w:t>
      </w:r>
      <w:r w:rsidRPr="00F13EB9">
        <w:rPr>
          <w:lang w:val="fr-FR"/>
        </w:rPr>
        <w:t xml:space="preserve">auteur </w:t>
      </w:r>
      <w:r>
        <w:rPr>
          <w:lang w:val="fr-FR"/>
        </w:rPr>
        <w:t>des faits</w:t>
      </w:r>
      <w:r w:rsidRPr="00F13EB9">
        <w:rPr>
          <w:lang w:val="fr-FR"/>
        </w:rPr>
        <w:t xml:space="preserve"> en </w:t>
      </w:r>
      <w:r>
        <w:rPr>
          <w:lang w:val="fr-FR"/>
        </w:rPr>
        <w:t>cause</w:t>
      </w:r>
      <w:r w:rsidRPr="00F13EB9">
        <w:rPr>
          <w:lang w:val="fr-FR"/>
        </w:rPr>
        <w:t>. Il a toute latitude pour déterminer le montant de l</w:t>
      </w:r>
      <w:r>
        <w:rPr>
          <w:lang w:val="fr-FR"/>
        </w:rPr>
        <w:t>’</w:t>
      </w:r>
      <w:r w:rsidRPr="00F13EB9">
        <w:rPr>
          <w:lang w:val="fr-FR"/>
        </w:rPr>
        <w:t>indemnisation, en fonction de la gravité de l</w:t>
      </w:r>
      <w:r>
        <w:rPr>
          <w:lang w:val="fr-FR"/>
        </w:rPr>
        <w:t>’</w:t>
      </w:r>
      <w:r w:rsidRPr="00F13EB9">
        <w:rPr>
          <w:lang w:val="fr-FR"/>
        </w:rPr>
        <w:t>acte commis et de l</w:t>
      </w:r>
      <w:r>
        <w:rPr>
          <w:lang w:val="fr-FR"/>
        </w:rPr>
        <w:t>’</w:t>
      </w:r>
      <w:r w:rsidRPr="00F13EB9">
        <w:rPr>
          <w:lang w:val="fr-FR"/>
        </w:rPr>
        <w:t>ampleur du préjudice causé à la victime.</w:t>
      </w:r>
    </w:p>
    <w:p w14:paraId="48F22AB6" w14:textId="77777777" w:rsidR="007A7A5F" w:rsidRPr="00F13EB9" w:rsidRDefault="007A7A5F" w:rsidP="007A7A5F">
      <w:pPr>
        <w:pStyle w:val="SingleTxtG"/>
        <w:rPr>
          <w:lang w:val="fr-FR"/>
        </w:rPr>
      </w:pPr>
      <w:r w:rsidRPr="00F13EB9">
        <w:rPr>
          <w:lang w:val="fr-FR"/>
        </w:rPr>
        <w:t>11.</w:t>
      </w:r>
      <w:r w:rsidRPr="00F13EB9">
        <w:rPr>
          <w:lang w:val="fr-FR"/>
        </w:rPr>
        <w:tab/>
        <w:t>L</w:t>
      </w:r>
      <w:r>
        <w:rPr>
          <w:lang w:val="fr-FR"/>
        </w:rPr>
        <w:t>’</w:t>
      </w:r>
      <w:r w:rsidRPr="00F13EB9">
        <w:rPr>
          <w:lang w:val="fr-FR"/>
        </w:rPr>
        <w:t>idée d</w:t>
      </w:r>
      <w:r>
        <w:rPr>
          <w:lang w:val="fr-FR"/>
        </w:rPr>
        <w:t>’</w:t>
      </w:r>
      <w:r w:rsidRPr="00F13EB9">
        <w:rPr>
          <w:lang w:val="fr-FR"/>
        </w:rPr>
        <w:t>un projet de loi sur l</w:t>
      </w:r>
      <w:r>
        <w:rPr>
          <w:lang w:val="fr-FR"/>
        </w:rPr>
        <w:t>’</w:t>
      </w:r>
      <w:r w:rsidRPr="00F13EB9">
        <w:rPr>
          <w:lang w:val="fr-FR"/>
        </w:rPr>
        <w:t>indemnisation de toute personne arrêtée ou détenue de manière arbitraire ou illégale et de toute personne dont l</w:t>
      </w:r>
      <w:r>
        <w:rPr>
          <w:lang w:val="fr-FR"/>
        </w:rPr>
        <w:t>’</w:t>
      </w:r>
      <w:r w:rsidRPr="00F13EB9">
        <w:rPr>
          <w:lang w:val="fr-FR"/>
        </w:rPr>
        <w:t xml:space="preserve">innocence a été reconnue </w:t>
      </w:r>
      <w:r>
        <w:rPr>
          <w:lang w:val="fr-FR"/>
        </w:rPr>
        <w:t xml:space="preserve">par </w:t>
      </w:r>
      <w:r w:rsidRPr="00F13EB9">
        <w:rPr>
          <w:lang w:val="fr-FR"/>
        </w:rPr>
        <w:t xml:space="preserve">une décision définitive avait déjà été </w:t>
      </w:r>
      <w:r>
        <w:rPr>
          <w:lang w:val="fr-FR"/>
        </w:rPr>
        <w:t>évoquée</w:t>
      </w:r>
      <w:r w:rsidRPr="00F13EB9">
        <w:rPr>
          <w:lang w:val="fr-FR"/>
        </w:rPr>
        <w:t>. Elle avait été proposée dans le cadre d</w:t>
      </w:r>
      <w:r>
        <w:rPr>
          <w:lang w:val="fr-FR"/>
        </w:rPr>
        <w:t>’</w:t>
      </w:r>
      <w:r w:rsidRPr="00F13EB9">
        <w:rPr>
          <w:lang w:val="fr-FR"/>
        </w:rPr>
        <w:t>un ensemble d</w:t>
      </w:r>
      <w:r>
        <w:rPr>
          <w:lang w:val="fr-FR"/>
        </w:rPr>
        <w:t>’</w:t>
      </w:r>
      <w:r w:rsidRPr="00F13EB9">
        <w:rPr>
          <w:lang w:val="fr-FR"/>
        </w:rPr>
        <w:t xml:space="preserve">idées à une époque où les activités terroristes étaient à leur apogée et où les mesures de sécurité, </w:t>
      </w:r>
      <w:r>
        <w:rPr>
          <w:lang w:val="fr-FR"/>
        </w:rPr>
        <w:t>notamment</w:t>
      </w:r>
      <w:r w:rsidRPr="00F13EB9">
        <w:rPr>
          <w:lang w:val="fr-FR"/>
        </w:rPr>
        <w:t xml:space="preserve"> les opérations d</w:t>
      </w:r>
      <w:r>
        <w:rPr>
          <w:lang w:val="fr-FR"/>
        </w:rPr>
        <w:t>’</w:t>
      </w:r>
      <w:r w:rsidRPr="00F13EB9">
        <w:rPr>
          <w:lang w:val="fr-FR"/>
        </w:rPr>
        <w:t>arrestation et de détention, étaient elles aussi très fréquentes. Elle n</w:t>
      </w:r>
      <w:r>
        <w:rPr>
          <w:lang w:val="fr-FR"/>
        </w:rPr>
        <w:t>’</w:t>
      </w:r>
      <w:r w:rsidRPr="00F13EB9">
        <w:rPr>
          <w:lang w:val="fr-FR"/>
        </w:rPr>
        <w:t>a cependant pas reçu un bon accueil sur le plan juridique, le droit iraquien prévoyant déjà des dispositions relatives à l</w:t>
      </w:r>
      <w:r>
        <w:rPr>
          <w:lang w:val="fr-FR"/>
        </w:rPr>
        <w:t>’</w:t>
      </w:r>
      <w:r w:rsidRPr="00F13EB9">
        <w:rPr>
          <w:lang w:val="fr-FR"/>
        </w:rPr>
        <w:t xml:space="preserve">indemnisation. </w:t>
      </w:r>
      <w:r>
        <w:rPr>
          <w:lang w:val="fr-FR"/>
        </w:rPr>
        <w:t xml:space="preserve">En outre, la législation </w:t>
      </w:r>
      <w:r w:rsidRPr="00F13EB9">
        <w:rPr>
          <w:lang w:val="fr-FR"/>
        </w:rPr>
        <w:t xml:space="preserve">iraquienne </w:t>
      </w:r>
      <w:r>
        <w:rPr>
          <w:lang w:val="fr-FR"/>
        </w:rPr>
        <w:t xml:space="preserve">assure aux accusés </w:t>
      </w:r>
      <w:r w:rsidRPr="00F13EB9">
        <w:rPr>
          <w:lang w:val="fr-FR"/>
        </w:rPr>
        <w:t xml:space="preserve">des garanties juridiques et procédurales appropriées </w:t>
      </w:r>
      <w:r>
        <w:rPr>
          <w:lang w:val="fr-FR"/>
        </w:rPr>
        <w:t>tant au stade de</w:t>
      </w:r>
      <w:r w:rsidRPr="00F13EB9">
        <w:rPr>
          <w:lang w:val="fr-FR"/>
        </w:rPr>
        <w:t xml:space="preserve"> l</w:t>
      </w:r>
      <w:r>
        <w:rPr>
          <w:lang w:val="fr-FR"/>
        </w:rPr>
        <w:t>’</w:t>
      </w:r>
      <w:r w:rsidRPr="00F13EB9">
        <w:rPr>
          <w:lang w:val="fr-FR"/>
        </w:rPr>
        <w:t xml:space="preserve">enquête </w:t>
      </w:r>
      <w:r>
        <w:rPr>
          <w:lang w:val="fr-FR"/>
        </w:rPr>
        <w:t xml:space="preserve">que pendant le </w:t>
      </w:r>
      <w:r w:rsidRPr="00F13EB9">
        <w:rPr>
          <w:lang w:val="fr-FR"/>
        </w:rPr>
        <w:t xml:space="preserve">procès. </w:t>
      </w:r>
      <w:r>
        <w:rPr>
          <w:lang w:val="fr-FR"/>
        </w:rPr>
        <w:t>Par ailleurs, l</w:t>
      </w:r>
      <w:r w:rsidRPr="00F13EB9">
        <w:rPr>
          <w:lang w:val="fr-FR"/>
        </w:rPr>
        <w:t>es décisions relatives à l</w:t>
      </w:r>
      <w:r>
        <w:rPr>
          <w:lang w:val="fr-FR"/>
        </w:rPr>
        <w:t>’</w:t>
      </w:r>
      <w:r w:rsidRPr="00F13EB9">
        <w:rPr>
          <w:lang w:val="fr-FR"/>
        </w:rPr>
        <w:t xml:space="preserve">arrestation et au renvoi devant </w:t>
      </w:r>
      <w:r>
        <w:rPr>
          <w:lang w:val="fr-FR"/>
        </w:rPr>
        <w:t>un</w:t>
      </w:r>
      <w:r w:rsidRPr="00F13EB9">
        <w:rPr>
          <w:lang w:val="fr-FR"/>
        </w:rPr>
        <w:t xml:space="preserve"> tribunal ne </w:t>
      </w:r>
      <w:r>
        <w:rPr>
          <w:lang w:val="fr-FR"/>
        </w:rPr>
        <w:t>sauraient</w:t>
      </w:r>
      <w:r w:rsidRPr="00F13EB9">
        <w:rPr>
          <w:lang w:val="fr-FR"/>
        </w:rPr>
        <w:t xml:space="preserve"> être fondé</w:t>
      </w:r>
      <w:r>
        <w:rPr>
          <w:lang w:val="fr-FR"/>
        </w:rPr>
        <w:t>e</w:t>
      </w:r>
      <w:r w:rsidRPr="00F13EB9">
        <w:rPr>
          <w:lang w:val="fr-FR"/>
        </w:rPr>
        <w:t xml:space="preserve">s sur des motifs futiles. Au contraire, elles ne </w:t>
      </w:r>
      <w:r>
        <w:rPr>
          <w:lang w:val="fr-FR"/>
        </w:rPr>
        <w:t>sont</w:t>
      </w:r>
      <w:r w:rsidRPr="00F13EB9">
        <w:rPr>
          <w:lang w:val="fr-FR"/>
        </w:rPr>
        <w:t xml:space="preserve"> prises que sur la base d</w:t>
      </w:r>
      <w:r>
        <w:rPr>
          <w:lang w:val="fr-FR"/>
        </w:rPr>
        <w:t>’</w:t>
      </w:r>
      <w:r w:rsidRPr="00F13EB9">
        <w:rPr>
          <w:lang w:val="fr-FR"/>
        </w:rPr>
        <w:t>éléments de preuve dignes d</w:t>
      </w:r>
      <w:r>
        <w:rPr>
          <w:lang w:val="fr-FR"/>
        </w:rPr>
        <w:t>’</w:t>
      </w:r>
      <w:r w:rsidRPr="00F13EB9">
        <w:rPr>
          <w:lang w:val="fr-FR"/>
        </w:rPr>
        <w:t xml:space="preserve">intérêt. En outre, </w:t>
      </w:r>
      <w:r>
        <w:rPr>
          <w:lang w:val="fr-FR"/>
        </w:rPr>
        <w:t>l’Iraq a adopté des</w:t>
      </w:r>
      <w:r w:rsidRPr="00F13EB9">
        <w:rPr>
          <w:lang w:val="fr-FR"/>
        </w:rPr>
        <w:t xml:space="preserve"> lois spéciales,</w:t>
      </w:r>
      <w:r>
        <w:rPr>
          <w:lang w:val="fr-FR"/>
        </w:rPr>
        <w:t xml:space="preserve"> parmi lesquelles</w:t>
      </w:r>
      <w:r w:rsidRPr="00F13EB9">
        <w:rPr>
          <w:lang w:val="fr-FR"/>
        </w:rPr>
        <w:t xml:space="preserve"> la loi n</w:t>
      </w:r>
      <w:r w:rsidRPr="008A0390">
        <w:rPr>
          <w:vertAlign w:val="superscript"/>
          <w:lang w:val="fr-FR"/>
        </w:rPr>
        <w:t>o</w:t>
      </w:r>
      <w:r w:rsidRPr="00F13EB9">
        <w:rPr>
          <w:lang w:val="fr-FR"/>
        </w:rPr>
        <w:t xml:space="preserve"> 23 de 2008 sur les récompenses offertes aux informateurs, </w:t>
      </w:r>
      <w:r>
        <w:rPr>
          <w:lang w:val="fr-FR"/>
        </w:rPr>
        <w:t>qui prévoit qu’</w:t>
      </w:r>
      <w:r w:rsidRPr="00F13EB9">
        <w:rPr>
          <w:lang w:val="fr-FR"/>
        </w:rPr>
        <w:t xml:space="preserve">un informateur </w:t>
      </w:r>
      <w:r>
        <w:rPr>
          <w:lang w:val="fr-FR"/>
        </w:rPr>
        <w:t>reconnu coupable de fausse dénonciation</w:t>
      </w:r>
      <w:r w:rsidRPr="00F13EB9">
        <w:rPr>
          <w:lang w:val="fr-FR"/>
        </w:rPr>
        <w:t xml:space="preserve"> est passible de la peine maximale applicable à l</w:t>
      </w:r>
      <w:r>
        <w:rPr>
          <w:lang w:val="fr-FR"/>
        </w:rPr>
        <w:t>’</w:t>
      </w:r>
      <w:r w:rsidRPr="00F13EB9">
        <w:rPr>
          <w:lang w:val="fr-FR"/>
        </w:rPr>
        <w:t>infraction qu</w:t>
      </w:r>
      <w:r>
        <w:rPr>
          <w:lang w:val="fr-FR"/>
        </w:rPr>
        <w:t>’</w:t>
      </w:r>
      <w:r w:rsidRPr="00F13EB9">
        <w:rPr>
          <w:lang w:val="fr-FR"/>
        </w:rPr>
        <w:t>il a dénoncée.</w:t>
      </w:r>
    </w:p>
    <w:p w14:paraId="0D5D72E5" w14:textId="77777777" w:rsidR="007A7A5F" w:rsidRPr="00F13EB9" w:rsidRDefault="007A7A5F" w:rsidP="007A7A5F">
      <w:pPr>
        <w:pStyle w:val="SingleTxtG"/>
        <w:rPr>
          <w:lang w:val="fr-FR"/>
        </w:rPr>
      </w:pPr>
      <w:r w:rsidRPr="00F13EB9">
        <w:rPr>
          <w:lang w:val="fr-FR"/>
        </w:rPr>
        <w:t>12.</w:t>
      </w:r>
      <w:r w:rsidRPr="00F13EB9">
        <w:rPr>
          <w:lang w:val="fr-FR"/>
        </w:rPr>
        <w:tab/>
        <w:t>La loi ira</w:t>
      </w:r>
      <w:r>
        <w:rPr>
          <w:lang w:val="fr-FR"/>
        </w:rPr>
        <w:t>qu</w:t>
      </w:r>
      <w:r w:rsidRPr="00F13EB9">
        <w:rPr>
          <w:lang w:val="fr-FR"/>
        </w:rPr>
        <w:t xml:space="preserve">ienne sur le budget </w:t>
      </w:r>
      <w:r>
        <w:rPr>
          <w:lang w:val="fr-FR"/>
        </w:rPr>
        <w:t>aborde la question de</w:t>
      </w:r>
      <w:r w:rsidRPr="00F13EB9">
        <w:rPr>
          <w:lang w:val="fr-FR"/>
        </w:rPr>
        <w:t xml:space="preserve"> l</w:t>
      </w:r>
      <w:r>
        <w:rPr>
          <w:lang w:val="fr-FR"/>
        </w:rPr>
        <w:t>’</w:t>
      </w:r>
      <w:r w:rsidRPr="00F13EB9">
        <w:rPr>
          <w:lang w:val="fr-FR"/>
        </w:rPr>
        <w:t>indemnisation des proches de la personne disparue. L</w:t>
      </w:r>
      <w:r>
        <w:rPr>
          <w:lang w:val="fr-FR"/>
        </w:rPr>
        <w:t>’</w:t>
      </w:r>
      <w:r w:rsidRPr="00F13EB9">
        <w:rPr>
          <w:lang w:val="fr-FR"/>
        </w:rPr>
        <w:t>article 60 de la loi sur le budget fédéral de 2021 prévoit que les dispositions de la loi modifiée n</w:t>
      </w:r>
      <w:r w:rsidRPr="00BB0FF8">
        <w:rPr>
          <w:vertAlign w:val="superscript"/>
          <w:lang w:val="fr-FR"/>
        </w:rPr>
        <w:t>o</w:t>
      </w:r>
      <w:r>
        <w:rPr>
          <w:vertAlign w:val="superscript"/>
          <w:lang w:val="fr-FR"/>
        </w:rPr>
        <w:t> </w:t>
      </w:r>
      <w:r w:rsidRPr="00F13EB9">
        <w:rPr>
          <w:lang w:val="fr-FR"/>
        </w:rPr>
        <w:t>20 de 2009 s</w:t>
      </w:r>
      <w:r>
        <w:rPr>
          <w:lang w:val="fr-FR"/>
        </w:rPr>
        <w:t>’</w:t>
      </w:r>
      <w:r w:rsidRPr="00F13EB9">
        <w:rPr>
          <w:lang w:val="fr-FR"/>
        </w:rPr>
        <w:t>appliquent aux personnes disparues dans les zones libérées</w:t>
      </w:r>
      <w:r>
        <w:rPr>
          <w:lang w:val="fr-FR"/>
        </w:rPr>
        <w:t xml:space="preserve"> entre 2014 et 2017</w:t>
      </w:r>
      <w:r w:rsidRPr="00F13EB9">
        <w:rPr>
          <w:lang w:val="fr-FR"/>
        </w:rPr>
        <w:t xml:space="preserve"> à la suite d</w:t>
      </w:r>
      <w:r>
        <w:rPr>
          <w:lang w:val="fr-FR"/>
        </w:rPr>
        <w:t>’</w:t>
      </w:r>
      <w:r w:rsidRPr="00F13EB9">
        <w:rPr>
          <w:lang w:val="fr-FR"/>
        </w:rPr>
        <w:t>un contrôle de sécurité et à leurs proches.</w:t>
      </w:r>
    </w:p>
    <w:p w14:paraId="550D6872" w14:textId="77777777" w:rsidR="007A7A5F" w:rsidRPr="00F13EB9" w:rsidRDefault="007A7A5F" w:rsidP="007A7A5F">
      <w:pPr>
        <w:pStyle w:val="H23G"/>
        <w:rPr>
          <w:lang w:val="fr-FR"/>
        </w:rPr>
      </w:pPr>
      <w:r w:rsidRPr="00F13EB9">
        <w:rPr>
          <w:lang w:val="fr-FR"/>
        </w:rPr>
        <w:tab/>
      </w:r>
      <w:r w:rsidRPr="00F13EB9">
        <w:rPr>
          <w:lang w:val="fr-FR"/>
        </w:rPr>
        <w:tab/>
        <w:t>Lois et pratiques relatives à la soustraction d</w:t>
      </w:r>
      <w:r>
        <w:rPr>
          <w:lang w:val="fr-FR"/>
        </w:rPr>
        <w:t>’</w:t>
      </w:r>
      <w:r w:rsidRPr="00F13EB9">
        <w:rPr>
          <w:lang w:val="fr-FR"/>
        </w:rPr>
        <w:t>enfants</w:t>
      </w:r>
    </w:p>
    <w:p w14:paraId="7E6CD286" w14:textId="77777777" w:rsidR="007A7A5F" w:rsidRPr="00F13EB9" w:rsidRDefault="007A7A5F" w:rsidP="007A7A5F">
      <w:pPr>
        <w:pStyle w:val="SingleTxtG"/>
        <w:rPr>
          <w:lang w:val="fr-FR"/>
        </w:rPr>
      </w:pPr>
      <w:r w:rsidRPr="00F13EB9">
        <w:rPr>
          <w:lang w:val="fr-FR"/>
        </w:rPr>
        <w:t>13.</w:t>
      </w:r>
      <w:r w:rsidRPr="00F13EB9">
        <w:rPr>
          <w:lang w:val="fr-FR"/>
        </w:rPr>
        <w:tab/>
        <w:t xml:space="preserve">Le Code pénal prévoit des peines plus sévères pour les crimes de disparition forcée commis contre des enfants ou </w:t>
      </w:r>
      <w:r>
        <w:rPr>
          <w:lang w:val="fr-FR"/>
        </w:rPr>
        <w:t>à l’égard de quiconque dissimule</w:t>
      </w:r>
      <w:r w:rsidRPr="00F13EB9">
        <w:rPr>
          <w:lang w:val="fr-FR"/>
        </w:rPr>
        <w:t xml:space="preserve"> des informations concernant un enfant dans l</w:t>
      </w:r>
      <w:r>
        <w:rPr>
          <w:lang w:val="fr-FR"/>
        </w:rPr>
        <w:t>’</w:t>
      </w:r>
      <w:r w:rsidRPr="00F13EB9">
        <w:rPr>
          <w:lang w:val="fr-FR"/>
        </w:rPr>
        <w:t>intention d</w:t>
      </w:r>
      <w:r>
        <w:rPr>
          <w:lang w:val="fr-FR"/>
        </w:rPr>
        <w:t>e l’</w:t>
      </w:r>
      <w:r w:rsidRPr="00F13EB9">
        <w:rPr>
          <w:lang w:val="fr-FR"/>
        </w:rPr>
        <w:t>enlever ou de l</w:t>
      </w:r>
      <w:r>
        <w:rPr>
          <w:lang w:val="fr-FR"/>
        </w:rPr>
        <w:t>’</w:t>
      </w:r>
      <w:r w:rsidRPr="00F13EB9">
        <w:rPr>
          <w:lang w:val="fr-FR"/>
        </w:rPr>
        <w:t xml:space="preserve">éloigner de sa famille. </w:t>
      </w:r>
    </w:p>
    <w:p w14:paraId="2FD55B36" w14:textId="77777777" w:rsidR="007A7A5F" w:rsidRPr="00F13EB9" w:rsidRDefault="007A7A5F" w:rsidP="007A7A5F">
      <w:pPr>
        <w:pStyle w:val="SingleTxtG"/>
        <w:rPr>
          <w:spacing w:val="-4"/>
          <w:lang w:val="fr-FR"/>
        </w:rPr>
      </w:pPr>
      <w:r w:rsidRPr="007A7A5F">
        <w:rPr>
          <w:lang w:val="fr-FR"/>
        </w:rPr>
        <w:t>14.</w:t>
      </w:r>
      <w:r w:rsidRPr="007A7A5F">
        <w:rPr>
          <w:lang w:val="fr-FR"/>
        </w:rPr>
        <w:tab/>
        <w:t>L’article 10 (al. m)) du projet de loi sur la lutte contre les disparitions forcées dispose en outre que l’auteur d’un acte de disparition forcée commis contre un enfant, l’un de ses parents ou son représentant légal encourt la réclusion à perpétuité.</w:t>
      </w:r>
    </w:p>
    <w:p w14:paraId="2718FC43" w14:textId="77777777" w:rsidR="007A7A5F" w:rsidRPr="00F13EB9" w:rsidRDefault="007A7A5F" w:rsidP="007A7A5F">
      <w:pPr>
        <w:pStyle w:val="SingleTxtG"/>
        <w:rPr>
          <w:lang w:val="fr-FR"/>
        </w:rPr>
      </w:pPr>
      <w:r w:rsidRPr="00F13EB9">
        <w:rPr>
          <w:lang w:val="fr-FR"/>
        </w:rPr>
        <w:t>15.</w:t>
      </w:r>
      <w:r w:rsidRPr="00F13EB9">
        <w:rPr>
          <w:lang w:val="fr-FR"/>
        </w:rPr>
        <w:tab/>
        <w:t>Selon l</w:t>
      </w:r>
      <w:r>
        <w:rPr>
          <w:lang w:val="fr-FR"/>
        </w:rPr>
        <w:t>’</w:t>
      </w:r>
      <w:r w:rsidRPr="00F13EB9">
        <w:rPr>
          <w:lang w:val="fr-FR"/>
        </w:rPr>
        <w:t>article 11 du projet de loi</w:t>
      </w:r>
      <w:r>
        <w:rPr>
          <w:lang w:val="fr-FR"/>
        </w:rPr>
        <w:t xml:space="preserve"> précité</w:t>
      </w:r>
      <w:r w:rsidRPr="00F13EB9">
        <w:rPr>
          <w:lang w:val="fr-FR"/>
        </w:rPr>
        <w:t xml:space="preserve">, quiconque falsifie, dissimule ou détruit des documents </w:t>
      </w:r>
      <w:r>
        <w:rPr>
          <w:lang w:val="fr-FR"/>
        </w:rPr>
        <w:t>attestant</w:t>
      </w:r>
      <w:r w:rsidRPr="00F13EB9">
        <w:rPr>
          <w:lang w:val="fr-FR"/>
        </w:rPr>
        <w:t xml:space="preserve"> la véritable identité des enfants visés à l</w:t>
      </w:r>
      <w:r>
        <w:rPr>
          <w:lang w:val="fr-FR"/>
        </w:rPr>
        <w:t>’</w:t>
      </w:r>
      <w:r w:rsidRPr="00F13EB9">
        <w:rPr>
          <w:lang w:val="fr-FR"/>
        </w:rPr>
        <w:t>article 10 susmentionné est passible d</w:t>
      </w:r>
      <w:r>
        <w:rPr>
          <w:lang w:val="fr-FR"/>
        </w:rPr>
        <w:t>’</w:t>
      </w:r>
      <w:r w:rsidRPr="00F13EB9">
        <w:rPr>
          <w:lang w:val="fr-FR"/>
        </w:rPr>
        <w:t>une peine d</w:t>
      </w:r>
      <w:r>
        <w:rPr>
          <w:lang w:val="fr-FR"/>
        </w:rPr>
        <w:t>’</w:t>
      </w:r>
      <w:r w:rsidRPr="00F13EB9">
        <w:rPr>
          <w:lang w:val="fr-FR"/>
        </w:rPr>
        <w:t xml:space="preserve">emprisonnement. </w:t>
      </w:r>
    </w:p>
    <w:p w14:paraId="0492616C" w14:textId="08A7F46D" w:rsidR="007A7A5F" w:rsidRPr="00F13EB9" w:rsidRDefault="007A7A5F" w:rsidP="007A7A5F">
      <w:pPr>
        <w:pStyle w:val="H23G"/>
        <w:rPr>
          <w:rFonts w:ascii="Times New Roman Bold" w:hAnsi="Times New Roman Bold" w:hint="eastAsia"/>
          <w:spacing w:val="-6"/>
          <w:lang w:val="fr-FR"/>
        </w:rPr>
      </w:pPr>
      <w:r w:rsidRPr="00F13EB9">
        <w:rPr>
          <w:lang w:val="fr-FR"/>
        </w:rPr>
        <w:tab/>
      </w:r>
      <w:r w:rsidRPr="00F13EB9">
        <w:rPr>
          <w:lang w:val="fr-FR"/>
        </w:rPr>
        <w:tab/>
      </w:r>
      <w:r w:rsidRPr="00256A4B">
        <w:rPr>
          <w:lang w:val="fr-FR"/>
        </w:rPr>
        <w:t>Interdiction</w:t>
      </w:r>
      <w:r w:rsidRPr="00F13EB9">
        <w:rPr>
          <w:lang w:val="fr-FR"/>
        </w:rPr>
        <w:t xml:space="preserve"> de tout acte d</w:t>
      </w:r>
      <w:r>
        <w:rPr>
          <w:lang w:val="fr-FR"/>
        </w:rPr>
        <w:t>’</w:t>
      </w:r>
      <w:r w:rsidRPr="00F13EB9">
        <w:rPr>
          <w:lang w:val="fr-FR"/>
        </w:rPr>
        <w:t xml:space="preserve">intimidation et des représailles et protection </w:t>
      </w:r>
      <w:r>
        <w:rPr>
          <w:lang w:val="fr-FR"/>
        </w:rPr>
        <w:br/>
      </w:r>
      <w:r w:rsidRPr="00F13EB9">
        <w:rPr>
          <w:lang w:val="fr-FR"/>
        </w:rPr>
        <w:t>des personnes visé</w:t>
      </w:r>
      <w:r>
        <w:rPr>
          <w:lang w:val="fr-FR"/>
        </w:rPr>
        <w:t>e</w:t>
      </w:r>
      <w:r w:rsidRPr="00F13EB9">
        <w:rPr>
          <w:lang w:val="fr-FR"/>
        </w:rPr>
        <w:t xml:space="preserve">s aux articles 12 (par. 1) et 30 (par. 1) de la Convention </w:t>
      </w:r>
    </w:p>
    <w:p w14:paraId="7EB01FDB" w14:textId="77777777" w:rsidR="007A7A5F" w:rsidRPr="00F13EB9" w:rsidRDefault="007A7A5F" w:rsidP="007A7A5F">
      <w:pPr>
        <w:pStyle w:val="SingleTxtG"/>
        <w:rPr>
          <w:lang w:val="fr-FR"/>
        </w:rPr>
      </w:pPr>
      <w:r w:rsidRPr="00F13EB9">
        <w:rPr>
          <w:lang w:val="fr-FR"/>
        </w:rPr>
        <w:t>16.</w:t>
      </w:r>
      <w:r w:rsidRPr="00F13EB9">
        <w:rPr>
          <w:lang w:val="fr-FR"/>
        </w:rPr>
        <w:tab/>
        <w:t>La législation iraquienne protège les proches des victimes, ainsi que leurs représentants légaux et les membres de la société civile contre toute attaque susceptible d</w:t>
      </w:r>
      <w:r>
        <w:rPr>
          <w:lang w:val="fr-FR"/>
        </w:rPr>
        <w:t>’</w:t>
      </w:r>
      <w:r w:rsidRPr="00F13EB9">
        <w:rPr>
          <w:lang w:val="fr-FR"/>
        </w:rPr>
        <w:t>être dirigée contre eux lorsqu</w:t>
      </w:r>
      <w:r>
        <w:rPr>
          <w:lang w:val="fr-FR"/>
        </w:rPr>
        <w:t>’</w:t>
      </w:r>
      <w:r w:rsidRPr="00F13EB9">
        <w:rPr>
          <w:lang w:val="fr-FR"/>
        </w:rPr>
        <w:t>ils saisissent la justice ou enquête</w:t>
      </w:r>
      <w:r>
        <w:rPr>
          <w:lang w:val="fr-FR"/>
        </w:rPr>
        <w:t>nt</w:t>
      </w:r>
      <w:r w:rsidRPr="00F13EB9">
        <w:rPr>
          <w:lang w:val="fr-FR"/>
        </w:rPr>
        <w:t xml:space="preserve"> sur les violations commises, dont les violations citées dans la Convention. L</w:t>
      </w:r>
      <w:r>
        <w:rPr>
          <w:lang w:val="fr-FR"/>
        </w:rPr>
        <w:t>’</w:t>
      </w:r>
      <w:r w:rsidRPr="00F13EB9">
        <w:rPr>
          <w:lang w:val="fr-FR"/>
        </w:rPr>
        <w:t xml:space="preserve">Iraq respecte en outre les dispositions de la Convention et des autres instruments </w:t>
      </w:r>
      <w:r>
        <w:rPr>
          <w:lang w:val="fr-FR"/>
        </w:rPr>
        <w:t>qui garantissent</w:t>
      </w:r>
      <w:r w:rsidRPr="00F13EB9">
        <w:rPr>
          <w:lang w:val="fr-FR"/>
        </w:rPr>
        <w:t xml:space="preserve"> expressément ou implicitement la protection des victimes, de leurs représentants légaux et de leurs proches lorsqu</w:t>
      </w:r>
      <w:r>
        <w:rPr>
          <w:lang w:val="fr-FR"/>
        </w:rPr>
        <w:t>’</w:t>
      </w:r>
      <w:r w:rsidRPr="00F13EB9">
        <w:rPr>
          <w:lang w:val="fr-FR"/>
        </w:rPr>
        <w:t>ils coopèrent avec les mécanismes internationaux.</w:t>
      </w:r>
    </w:p>
    <w:p w14:paraId="45C31A88" w14:textId="2B8CA28C" w:rsidR="007A7A5F" w:rsidRPr="00F13EB9" w:rsidRDefault="007A7A5F" w:rsidP="007A7A5F">
      <w:pPr>
        <w:pStyle w:val="SingleTxtG"/>
        <w:rPr>
          <w:lang w:val="fr-FR"/>
        </w:rPr>
      </w:pPr>
      <w:r w:rsidRPr="00F13EB9">
        <w:rPr>
          <w:lang w:val="fr-FR"/>
        </w:rPr>
        <w:lastRenderedPageBreak/>
        <w:t>17.</w:t>
      </w:r>
      <w:r w:rsidRPr="00F13EB9">
        <w:rPr>
          <w:lang w:val="fr-FR"/>
        </w:rPr>
        <w:tab/>
        <w:t>Conformément à ses obligations internationales, l</w:t>
      </w:r>
      <w:r>
        <w:rPr>
          <w:lang w:val="fr-FR"/>
        </w:rPr>
        <w:t>’</w:t>
      </w:r>
      <w:r w:rsidRPr="00F13EB9">
        <w:rPr>
          <w:lang w:val="fr-FR"/>
        </w:rPr>
        <w:t>Iraq a adopté la loi n</w:t>
      </w:r>
      <w:r w:rsidRPr="00931BB5">
        <w:rPr>
          <w:vertAlign w:val="superscript"/>
          <w:lang w:val="fr-FR"/>
        </w:rPr>
        <w:t>o</w:t>
      </w:r>
      <w:r w:rsidRPr="00F13EB9">
        <w:rPr>
          <w:lang w:val="fr-FR"/>
        </w:rPr>
        <w:t xml:space="preserve"> 58 de 2017 sur la protection des témoins, des experts, des informateurs et des victimes. </w:t>
      </w:r>
      <w:r w:rsidRPr="00F00557">
        <w:rPr>
          <w:lang w:val="fr-FR"/>
        </w:rPr>
        <w:t>En vertu</w:t>
      </w:r>
      <w:r w:rsidRPr="00F13EB9">
        <w:rPr>
          <w:lang w:val="fr-FR"/>
        </w:rPr>
        <w:t xml:space="preserve"> de </w:t>
      </w:r>
      <w:r>
        <w:rPr>
          <w:lang w:val="fr-FR"/>
        </w:rPr>
        <w:t>celle-ci</w:t>
      </w:r>
      <w:r w:rsidRPr="00F13EB9">
        <w:rPr>
          <w:lang w:val="fr-FR"/>
        </w:rPr>
        <w:t xml:space="preserve">, un mécanisme spécial a été créé pour permettre </w:t>
      </w:r>
      <w:r>
        <w:rPr>
          <w:lang w:val="fr-FR"/>
        </w:rPr>
        <w:t>le dépôt de</w:t>
      </w:r>
      <w:r w:rsidRPr="00F13EB9">
        <w:rPr>
          <w:lang w:val="fr-FR"/>
        </w:rPr>
        <w:t xml:space="preserve"> demande</w:t>
      </w:r>
      <w:r>
        <w:rPr>
          <w:lang w:val="fr-FR"/>
        </w:rPr>
        <w:t>s</w:t>
      </w:r>
      <w:r w:rsidRPr="00F13EB9">
        <w:rPr>
          <w:lang w:val="fr-FR"/>
        </w:rPr>
        <w:t xml:space="preserve"> de protection au</w:t>
      </w:r>
      <w:r>
        <w:rPr>
          <w:lang w:val="fr-FR"/>
        </w:rPr>
        <w:t>près du</w:t>
      </w:r>
      <w:r w:rsidRPr="00F13EB9">
        <w:rPr>
          <w:lang w:val="fr-FR"/>
        </w:rPr>
        <w:t xml:space="preserve"> juge d</w:t>
      </w:r>
      <w:r>
        <w:rPr>
          <w:lang w:val="fr-FR"/>
        </w:rPr>
        <w:t>’</w:t>
      </w:r>
      <w:r w:rsidRPr="00F13EB9">
        <w:rPr>
          <w:lang w:val="fr-FR"/>
        </w:rPr>
        <w:t xml:space="preserve">instruction ou </w:t>
      </w:r>
      <w:r>
        <w:rPr>
          <w:lang w:val="fr-FR"/>
        </w:rPr>
        <w:t>d</w:t>
      </w:r>
      <w:r w:rsidRPr="00F13EB9">
        <w:rPr>
          <w:lang w:val="fr-FR"/>
        </w:rPr>
        <w:t>u tribunal saisi. Cela permet aux autorités de protéger les informations personnelles des personnes sollicitant une protection et de leurs proches</w:t>
      </w:r>
      <w:r>
        <w:rPr>
          <w:lang w:val="fr-FR"/>
        </w:rPr>
        <w:t>, de faire en sorte que leur situation reste confidentielle</w:t>
      </w:r>
      <w:r w:rsidRPr="00F13EB9">
        <w:rPr>
          <w:lang w:val="fr-FR"/>
        </w:rPr>
        <w:t xml:space="preserve">, et de garantir </w:t>
      </w:r>
      <w:r>
        <w:rPr>
          <w:lang w:val="fr-FR"/>
        </w:rPr>
        <w:t xml:space="preserve">ainsi </w:t>
      </w:r>
      <w:r w:rsidRPr="00F13EB9">
        <w:rPr>
          <w:lang w:val="fr-FR"/>
        </w:rPr>
        <w:t>la poursuite du procès sans leur faire courir de risque. En vertu de la même loi, un service a été créé au sein du Ministère de l</w:t>
      </w:r>
      <w:r>
        <w:rPr>
          <w:lang w:val="fr-FR"/>
        </w:rPr>
        <w:t>’</w:t>
      </w:r>
      <w:r w:rsidRPr="00F13EB9">
        <w:rPr>
          <w:lang w:val="fr-FR"/>
        </w:rPr>
        <w:t>intérieur pour s</w:t>
      </w:r>
      <w:r>
        <w:rPr>
          <w:lang w:val="fr-FR"/>
        </w:rPr>
        <w:t>’</w:t>
      </w:r>
      <w:r w:rsidRPr="00F13EB9">
        <w:rPr>
          <w:lang w:val="fr-FR"/>
        </w:rPr>
        <w:t>acquitter de ces tâches. La loi n</w:t>
      </w:r>
      <w:r w:rsidRPr="00931BB5">
        <w:rPr>
          <w:vertAlign w:val="superscript"/>
          <w:lang w:val="fr-FR"/>
        </w:rPr>
        <w:t>o</w:t>
      </w:r>
      <w:r w:rsidRPr="00F13EB9">
        <w:rPr>
          <w:lang w:val="fr-FR"/>
        </w:rPr>
        <w:t> 9 de 2018 définit les cas visés par les dispositions de la loi sur la protection des témoins, des experts, des informateurs et des victimes.</w:t>
      </w:r>
      <w:r w:rsidR="00C915E2">
        <w:rPr>
          <w:lang w:val="fr-FR"/>
        </w:rPr>
        <w:t xml:space="preserve"> </w:t>
      </w:r>
    </w:p>
    <w:p w14:paraId="68DDA48D" w14:textId="77777777" w:rsidR="007A7A5F" w:rsidRPr="00F13EB9" w:rsidRDefault="007A7A5F" w:rsidP="007A7A5F">
      <w:pPr>
        <w:pStyle w:val="H23G"/>
        <w:rPr>
          <w:lang w:val="fr-FR"/>
        </w:rPr>
      </w:pPr>
      <w:r w:rsidRPr="00F13EB9">
        <w:rPr>
          <w:lang w:val="fr-FR"/>
        </w:rPr>
        <w:tab/>
      </w:r>
      <w:r w:rsidRPr="00F13EB9">
        <w:rPr>
          <w:lang w:val="fr-FR"/>
        </w:rPr>
        <w:tab/>
        <w:t>Diffusion de la Convention et des observations finales</w:t>
      </w:r>
    </w:p>
    <w:p w14:paraId="19FEAA90" w14:textId="77777777" w:rsidR="007A7A5F" w:rsidRPr="00F13EB9" w:rsidRDefault="007A7A5F" w:rsidP="007A7A5F">
      <w:pPr>
        <w:pStyle w:val="SingleTxtG"/>
        <w:keepNext/>
        <w:rPr>
          <w:lang w:val="fr-FR"/>
        </w:rPr>
      </w:pPr>
      <w:r w:rsidRPr="00F13EB9">
        <w:rPr>
          <w:lang w:val="fr-FR"/>
        </w:rPr>
        <w:t>18.</w:t>
      </w:r>
      <w:r w:rsidRPr="00F13EB9">
        <w:rPr>
          <w:lang w:val="fr-FR"/>
        </w:rPr>
        <w:tab/>
        <w:t>L</w:t>
      </w:r>
      <w:r>
        <w:rPr>
          <w:lang w:val="fr-FR"/>
        </w:rPr>
        <w:t>’</w:t>
      </w:r>
      <w:r w:rsidRPr="00F13EB9">
        <w:rPr>
          <w:lang w:val="fr-FR"/>
        </w:rPr>
        <w:t>Iraq s</w:t>
      </w:r>
      <w:r>
        <w:rPr>
          <w:lang w:val="fr-FR"/>
        </w:rPr>
        <w:t>’</w:t>
      </w:r>
      <w:r w:rsidRPr="00F13EB9">
        <w:rPr>
          <w:lang w:val="fr-FR"/>
        </w:rPr>
        <w:t>est efforcé de faire connaître la Convention par le plus grand nombre possible de personnes concernées et</w:t>
      </w:r>
      <w:r>
        <w:rPr>
          <w:lang w:val="fr-FR"/>
        </w:rPr>
        <w:t xml:space="preserve">, plus généralement, par </w:t>
      </w:r>
      <w:r w:rsidRPr="00F13EB9">
        <w:rPr>
          <w:lang w:val="fr-FR"/>
        </w:rPr>
        <w:t>le grand public, grâce aux mesures suivantes :</w:t>
      </w:r>
    </w:p>
    <w:p w14:paraId="59E21B05" w14:textId="173121B4" w:rsidR="007A7A5F" w:rsidRPr="00F13EB9" w:rsidRDefault="007A7A5F" w:rsidP="007A7A5F">
      <w:pPr>
        <w:pStyle w:val="SingleTxtG"/>
        <w:ind w:left="1701"/>
        <w:rPr>
          <w:lang w:val="fr-FR"/>
        </w:rPr>
      </w:pPr>
      <w:r w:rsidRPr="00F13EB9">
        <w:rPr>
          <w:lang w:val="fr-FR"/>
        </w:rPr>
        <w:t>1.</w:t>
      </w:r>
      <w:r w:rsidRPr="00F13EB9">
        <w:rPr>
          <w:lang w:val="fr-FR"/>
        </w:rPr>
        <w:tab/>
      </w:r>
      <w:r>
        <w:rPr>
          <w:lang w:val="fr-FR"/>
        </w:rPr>
        <w:t>L</w:t>
      </w:r>
      <w:r w:rsidRPr="00F13EB9">
        <w:rPr>
          <w:lang w:val="fr-FR"/>
        </w:rPr>
        <w:t xml:space="preserve">a Convention </w:t>
      </w:r>
      <w:r>
        <w:rPr>
          <w:lang w:val="fr-FR"/>
        </w:rPr>
        <w:t>a été inscrite aux programmes des</w:t>
      </w:r>
      <w:r w:rsidRPr="00F13EB9">
        <w:rPr>
          <w:lang w:val="fr-FR"/>
        </w:rPr>
        <w:t xml:space="preserve"> formation</w:t>
      </w:r>
      <w:r>
        <w:rPr>
          <w:lang w:val="fr-FR"/>
        </w:rPr>
        <w:t>s</w:t>
      </w:r>
      <w:r w:rsidRPr="00F13EB9">
        <w:rPr>
          <w:lang w:val="fr-FR"/>
        </w:rPr>
        <w:t xml:space="preserve"> </w:t>
      </w:r>
      <w:r>
        <w:rPr>
          <w:lang w:val="fr-FR"/>
        </w:rPr>
        <w:t>dispensées</w:t>
      </w:r>
      <w:r w:rsidRPr="00F13EB9">
        <w:rPr>
          <w:lang w:val="fr-FR"/>
        </w:rPr>
        <w:t xml:space="preserve"> par le Ministère de la défense, le Ministère de l</w:t>
      </w:r>
      <w:r>
        <w:rPr>
          <w:lang w:val="fr-FR"/>
        </w:rPr>
        <w:t>’</w:t>
      </w:r>
      <w:r w:rsidRPr="00F13EB9">
        <w:rPr>
          <w:lang w:val="fr-FR"/>
        </w:rPr>
        <w:t xml:space="preserve">intérieur, les </w:t>
      </w:r>
      <w:r>
        <w:rPr>
          <w:lang w:val="fr-FR"/>
        </w:rPr>
        <w:t>écoles</w:t>
      </w:r>
      <w:r w:rsidRPr="00F13EB9">
        <w:rPr>
          <w:lang w:val="fr-FR"/>
        </w:rPr>
        <w:t xml:space="preserve"> militaires, l</w:t>
      </w:r>
      <w:r>
        <w:rPr>
          <w:lang w:val="fr-FR"/>
        </w:rPr>
        <w:t>’Écol</w:t>
      </w:r>
      <w:r w:rsidRPr="00F13EB9">
        <w:rPr>
          <w:lang w:val="fr-FR"/>
        </w:rPr>
        <w:t>e de police, le Haut-Commissariat iraquien aux droits de l</w:t>
      </w:r>
      <w:r>
        <w:rPr>
          <w:lang w:val="fr-FR"/>
        </w:rPr>
        <w:t>’</w:t>
      </w:r>
      <w:r w:rsidRPr="00F13EB9">
        <w:rPr>
          <w:lang w:val="fr-FR"/>
        </w:rPr>
        <w:t>homme, l</w:t>
      </w:r>
      <w:r>
        <w:rPr>
          <w:lang w:val="fr-FR"/>
        </w:rPr>
        <w:t>’</w:t>
      </w:r>
      <w:r w:rsidRPr="00F13EB9">
        <w:rPr>
          <w:lang w:val="fr-FR"/>
        </w:rPr>
        <w:t>École de la magistrature, l</w:t>
      </w:r>
      <w:r>
        <w:rPr>
          <w:lang w:val="fr-FR"/>
        </w:rPr>
        <w:t>’</w:t>
      </w:r>
      <w:r w:rsidRPr="00F13EB9">
        <w:rPr>
          <w:lang w:val="fr-FR"/>
        </w:rPr>
        <w:t>Institut de formation judiciaire, la Direction iraquienne des services pénitentiaires, les services de sécurité, l</w:t>
      </w:r>
      <w:r>
        <w:rPr>
          <w:lang w:val="fr-FR"/>
        </w:rPr>
        <w:t>’</w:t>
      </w:r>
      <w:r w:rsidRPr="00F13EB9">
        <w:rPr>
          <w:lang w:val="fr-FR"/>
        </w:rPr>
        <w:t>appareil exécutif et les autorités judiciaires de la région du Kurdistan</w:t>
      </w:r>
      <w:r>
        <w:rPr>
          <w:lang w:val="fr-FR"/>
        </w:rPr>
        <w:t>,</w:t>
      </w:r>
      <w:r w:rsidRPr="00F13EB9">
        <w:rPr>
          <w:lang w:val="fr-FR"/>
        </w:rPr>
        <w:t xml:space="preserve"> et les facultés de droit, </w:t>
      </w:r>
      <w:r>
        <w:rPr>
          <w:lang w:val="fr-FR"/>
        </w:rPr>
        <w:t>et elle est également intégrée</w:t>
      </w:r>
      <w:r w:rsidRPr="00F13EB9">
        <w:rPr>
          <w:lang w:val="fr-FR"/>
        </w:rPr>
        <w:t xml:space="preserve"> dans les programmes </w:t>
      </w:r>
      <w:r>
        <w:rPr>
          <w:lang w:val="fr-FR"/>
        </w:rPr>
        <w:t>dispensés par</w:t>
      </w:r>
      <w:r w:rsidRPr="00F13EB9">
        <w:rPr>
          <w:lang w:val="fr-FR"/>
        </w:rPr>
        <w:t xml:space="preserve"> la société civile et </w:t>
      </w:r>
      <w:r>
        <w:rPr>
          <w:lang w:val="fr-FR"/>
        </w:rPr>
        <w:t>le</w:t>
      </w:r>
      <w:r w:rsidRPr="00F13EB9">
        <w:rPr>
          <w:lang w:val="fr-FR"/>
        </w:rPr>
        <w:t xml:space="preserve"> Département des droits de l</w:t>
      </w:r>
      <w:r>
        <w:rPr>
          <w:lang w:val="fr-FR"/>
        </w:rPr>
        <w:t>’</w:t>
      </w:r>
      <w:r w:rsidRPr="00F13EB9">
        <w:rPr>
          <w:lang w:val="fr-FR"/>
        </w:rPr>
        <w:t>homme du Ministère de la justice.</w:t>
      </w:r>
    </w:p>
    <w:p w14:paraId="52337E4F" w14:textId="7EE652AE" w:rsidR="007A7A5F" w:rsidRPr="00F13EB9" w:rsidRDefault="007A7A5F" w:rsidP="007A7A5F">
      <w:pPr>
        <w:pStyle w:val="SingleTxtG"/>
        <w:ind w:left="1701"/>
        <w:rPr>
          <w:spacing w:val="-4"/>
          <w:lang w:val="fr-FR"/>
        </w:rPr>
      </w:pPr>
      <w:r w:rsidRPr="00F13EB9">
        <w:rPr>
          <w:lang w:val="fr-FR"/>
        </w:rPr>
        <w:t>2.</w:t>
      </w:r>
      <w:r w:rsidRPr="00F13EB9">
        <w:rPr>
          <w:lang w:val="fr-FR"/>
        </w:rPr>
        <w:tab/>
        <w:t xml:space="preserve">Dans le cadre de ses efforts </w:t>
      </w:r>
      <w:r>
        <w:rPr>
          <w:lang w:val="fr-FR"/>
        </w:rPr>
        <w:t xml:space="preserve">de sensibilisation à </w:t>
      </w:r>
      <w:r w:rsidRPr="00F13EB9">
        <w:rPr>
          <w:lang w:val="fr-FR"/>
        </w:rPr>
        <w:t>la Convention, l</w:t>
      </w:r>
      <w:r>
        <w:rPr>
          <w:lang w:val="fr-FR"/>
        </w:rPr>
        <w:t>’</w:t>
      </w:r>
      <w:r w:rsidRPr="00F13EB9">
        <w:rPr>
          <w:lang w:val="fr-FR"/>
        </w:rPr>
        <w:t>Iraq s</w:t>
      </w:r>
      <w:r>
        <w:rPr>
          <w:lang w:val="fr-FR"/>
        </w:rPr>
        <w:t>’</w:t>
      </w:r>
      <w:r w:rsidRPr="00F13EB9">
        <w:rPr>
          <w:lang w:val="fr-FR"/>
        </w:rPr>
        <w:t>est également employé à créer des mécanismes de mise en œuvre en adoptant un projet de loi sur l</w:t>
      </w:r>
      <w:r>
        <w:rPr>
          <w:lang w:val="fr-FR"/>
        </w:rPr>
        <w:t>’</w:t>
      </w:r>
      <w:r w:rsidRPr="00F13EB9">
        <w:rPr>
          <w:lang w:val="fr-FR"/>
        </w:rPr>
        <w:t>application de la Convention, qui est en cours d</w:t>
      </w:r>
      <w:r>
        <w:rPr>
          <w:lang w:val="fr-FR"/>
        </w:rPr>
        <w:t>’</w:t>
      </w:r>
      <w:r w:rsidRPr="00F13EB9">
        <w:rPr>
          <w:lang w:val="fr-FR"/>
        </w:rPr>
        <w:t>élaboration</w:t>
      </w:r>
      <w:r>
        <w:rPr>
          <w:lang w:val="fr-FR"/>
        </w:rPr>
        <w:t>,</w:t>
      </w:r>
      <w:r w:rsidRPr="00F13EB9">
        <w:rPr>
          <w:lang w:val="fr-FR"/>
        </w:rPr>
        <w:t xml:space="preserve"> comme indiqué plus haut.</w:t>
      </w:r>
    </w:p>
    <w:p w14:paraId="1C818155" w14:textId="1058C7AB" w:rsidR="007A7A5F" w:rsidRPr="00F13EB9" w:rsidRDefault="007A7A5F" w:rsidP="007A7A5F">
      <w:pPr>
        <w:pStyle w:val="SingleTxtG"/>
        <w:keepNext/>
        <w:ind w:left="1701"/>
        <w:rPr>
          <w:lang w:val="fr-FR"/>
        </w:rPr>
      </w:pPr>
      <w:r w:rsidRPr="00F13EB9">
        <w:rPr>
          <w:lang w:val="fr-FR"/>
        </w:rPr>
        <w:t>3.</w:t>
      </w:r>
      <w:r w:rsidRPr="00F13EB9">
        <w:rPr>
          <w:lang w:val="fr-FR"/>
        </w:rPr>
        <w:tab/>
        <w:t>En ce qui concerne les observations finales visant les ministères, les organismes qui ne relèvent d</w:t>
      </w:r>
      <w:r>
        <w:rPr>
          <w:lang w:val="fr-FR"/>
        </w:rPr>
        <w:t>’</w:t>
      </w:r>
      <w:r w:rsidRPr="00F13EB9">
        <w:rPr>
          <w:lang w:val="fr-FR"/>
        </w:rPr>
        <w:t>aucun ministère, les services de sécurité et la région du Kurdistan :</w:t>
      </w:r>
    </w:p>
    <w:p w14:paraId="2F4B4B2F" w14:textId="77777777" w:rsidR="007A7A5F" w:rsidRPr="00F13EB9" w:rsidRDefault="007A7A5F" w:rsidP="007A7A5F">
      <w:pPr>
        <w:pStyle w:val="Bullet2G"/>
        <w:rPr>
          <w:lang w:val="fr-FR"/>
        </w:rPr>
      </w:pPr>
      <w:r>
        <w:rPr>
          <w:lang w:val="fr-FR"/>
        </w:rPr>
        <w:t>I</w:t>
      </w:r>
      <w:r w:rsidRPr="00F13EB9">
        <w:rPr>
          <w:lang w:val="fr-FR"/>
        </w:rPr>
        <w:t>l en a été tenu compte dans les programmes du Ministère de la justice relatifs à</w:t>
      </w:r>
      <w:r>
        <w:rPr>
          <w:lang w:val="fr-FR"/>
        </w:rPr>
        <w:t xml:space="preserve"> l’application de la Convention ;</w:t>
      </w:r>
    </w:p>
    <w:p w14:paraId="7690117A" w14:textId="0587BCA6" w:rsidR="007A7A5F" w:rsidRPr="00F13EB9" w:rsidRDefault="007A7A5F" w:rsidP="007A7A5F">
      <w:pPr>
        <w:pStyle w:val="Bullet2G"/>
        <w:rPr>
          <w:lang w:val="fr-FR"/>
        </w:rPr>
      </w:pPr>
      <w:r w:rsidRPr="00F13EB9">
        <w:rPr>
          <w:lang w:val="fr-FR"/>
        </w:rPr>
        <w:t>Elles ont également été diffusées dans le cadre d</w:t>
      </w:r>
      <w:r>
        <w:rPr>
          <w:lang w:val="fr-FR"/>
        </w:rPr>
        <w:t>’</w:t>
      </w:r>
      <w:r w:rsidRPr="00F13EB9">
        <w:rPr>
          <w:lang w:val="fr-FR"/>
        </w:rPr>
        <w:t>une coopération avec le Haut</w:t>
      </w:r>
      <w:r>
        <w:rPr>
          <w:lang w:val="fr-FR"/>
        </w:rPr>
        <w:noBreakHyphen/>
      </w:r>
      <w:r w:rsidRPr="00F13EB9">
        <w:rPr>
          <w:lang w:val="fr-FR"/>
        </w:rPr>
        <w:t xml:space="preserve">Commissariat iraquien aux droits </w:t>
      </w:r>
      <w:r>
        <w:rPr>
          <w:lang w:val="fr-FR"/>
        </w:rPr>
        <w:t>de l’homme et la société civile ;</w:t>
      </w:r>
    </w:p>
    <w:p w14:paraId="0FFB797F" w14:textId="3CB2BE85" w:rsidR="007A7A5F" w:rsidRDefault="007A7A5F" w:rsidP="007A7A5F">
      <w:pPr>
        <w:pStyle w:val="Bullet2G"/>
        <w:rPr>
          <w:lang w:val="fr-FR"/>
        </w:rPr>
      </w:pPr>
      <w:r w:rsidRPr="00F13EB9">
        <w:rPr>
          <w:lang w:val="fr-FR"/>
        </w:rPr>
        <w:t>Des réunions ont été organisées à l</w:t>
      </w:r>
      <w:r>
        <w:rPr>
          <w:lang w:val="fr-FR"/>
        </w:rPr>
        <w:t>’</w:t>
      </w:r>
      <w:r w:rsidRPr="00F13EB9">
        <w:rPr>
          <w:lang w:val="fr-FR"/>
        </w:rPr>
        <w:t>intention des autorités responsables de la mise en œuvre des recommandations afin de faire connaître les responsabilités de chaque ministère s</w:t>
      </w:r>
      <w:r>
        <w:rPr>
          <w:lang w:val="fr-FR"/>
        </w:rPr>
        <w:t>’</w:t>
      </w:r>
      <w:r w:rsidRPr="00F13EB9">
        <w:rPr>
          <w:lang w:val="fr-FR"/>
        </w:rPr>
        <w:t>agissant de l</w:t>
      </w:r>
      <w:r>
        <w:rPr>
          <w:lang w:val="fr-FR"/>
        </w:rPr>
        <w:t>’</w:t>
      </w:r>
      <w:r w:rsidRPr="00F13EB9">
        <w:rPr>
          <w:lang w:val="fr-FR"/>
        </w:rPr>
        <w:t>application des recommandations liées à ses activités.</w:t>
      </w:r>
    </w:p>
    <w:p w14:paraId="3043C816" w14:textId="65863B8B" w:rsidR="007A7A5F" w:rsidRPr="007A7A5F" w:rsidRDefault="007A7A5F" w:rsidP="007A7A5F">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7A7A5F" w:rsidRPr="007A7A5F" w:rsidSect="007A7A5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08679" w14:textId="77777777" w:rsidR="004D2C77" w:rsidRDefault="004D2C77" w:rsidP="00F95C08">
      <w:pPr>
        <w:spacing w:line="240" w:lineRule="auto"/>
      </w:pPr>
    </w:p>
  </w:endnote>
  <w:endnote w:type="continuationSeparator" w:id="0">
    <w:p w14:paraId="0861AE17" w14:textId="77777777" w:rsidR="004D2C77" w:rsidRPr="00AC3823" w:rsidRDefault="004D2C77" w:rsidP="00AC3823">
      <w:pPr>
        <w:pStyle w:val="Pieddepage"/>
      </w:pPr>
    </w:p>
  </w:endnote>
  <w:endnote w:type="continuationNotice" w:id="1">
    <w:p w14:paraId="5C6A4CA0" w14:textId="77777777" w:rsidR="004D2C77" w:rsidRDefault="004D2C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C369" w14:textId="2F723406" w:rsidR="007A7A5F" w:rsidRPr="007A7A5F" w:rsidRDefault="007A7A5F" w:rsidP="007A7A5F">
    <w:pPr>
      <w:pStyle w:val="Pieddepage"/>
      <w:tabs>
        <w:tab w:val="right" w:pos="9638"/>
      </w:tabs>
    </w:pPr>
    <w:r w:rsidRPr="007A7A5F">
      <w:rPr>
        <w:b/>
        <w:sz w:val="18"/>
      </w:rPr>
      <w:fldChar w:fldCharType="begin"/>
    </w:r>
    <w:r w:rsidRPr="007A7A5F">
      <w:rPr>
        <w:b/>
        <w:sz w:val="18"/>
      </w:rPr>
      <w:instrText xml:space="preserve"> PAGE  \* MERGEFORMAT </w:instrText>
    </w:r>
    <w:r w:rsidRPr="007A7A5F">
      <w:rPr>
        <w:b/>
        <w:sz w:val="18"/>
      </w:rPr>
      <w:fldChar w:fldCharType="separate"/>
    </w:r>
    <w:r w:rsidRPr="007A7A5F">
      <w:rPr>
        <w:b/>
        <w:noProof/>
        <w:sz w:val="18"/>
      </w:rPr>
      <w:t>2</w:t>
    </w:r>
    <w:r w:rsidRPr="007A7A5F">
      <w:rPr>
        <w:b/>
        <w:sz w:val="18"/>
      </w:rPr>
      <w:fldChar w:fldCharType="end"/>
    </w:r>
    <w:r>
      <w:rPr>
        <w:b/>
        <w:sz w:val="18"/>
      </w:rPr>
      <w:tab/>
    </w:r>
    <w:r>
      <w:t>GE.21-18785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ADAA" w14:textId="33BBE8BB" w:rsidR="007A7A5F" w:rsidRPr="007A7A5F" w:rsidRDefault="007A7A5F" w:rsidP="007A7A5F">
    <w:pPr>
      <w:pStyle w:val="Pieddepage"/>
      <w:tabs>
        <w:tab w:val="right" w:pos="9638"/>
      </w:tabs>
      <w:rPr>
        <w:b/>
        <w:sz w:val="18"/>
      </w:rPr>
    </w:pPr>
    <w:r>
      <w:t>GE.21-18785</w:t>
    </w:r>
    <w:r>
      <w:tab/>
    </w:r>
    <w:r w:rsidRPr="007A7A5F">
      <w:rPr>
        <w:b/>
        <w:sz w:val="18"/>
      </w:rPr>
      <w:fldChar w:fldCharType="begin"/>
    </w:r>
    <w:r w:rsidRPr="007A7A5F">
      <w:rPr>
        <w:b/>
        <w:sz w:val="18"/>
      </w:rPr>
      <w:instrText xml:space="preserve"> PAGE  \* MERGEFORMAT </w:instrText>
    </w:r>
    <w:r w:rsidRPr="007A7A5F">
      <w:rPr>
        <w:b/>
        <w:sz w:val="18"/>
      </w:rPr>
      <w:fldChar w:fldCharType="separate"/>
    </w:r>
    <w:r w:rsidRPr="007A7A5F">
      <w:rPr>
        <w:b/>
        <w:noProof/>
        <w:sz w:val="18"/>
      </w:rPr>
      <w:t>3</w:t>
    </w:r>
    <w:r w:rsidRPr="007A7A5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C9009" w14:textId="471EA1C1" w:rsidR="00133EDE" w:rsidRPr="007A7A5F" w:rsidRDefault="007A7A5F" w:rsidP="007A7A5F">
    <w:pPr>
      <w:pStyle w:val="Pieddepage"/>
      <w:spacing w:before="120"/>
      <w:rPr>
        <w:sz w:val="20"/>
      </w:rPr>
    </w:pPr>
    <w:r>
      <w:rPr>
        <w:sz w:val="20"/>
      </w:rPr>
      <w:t>GE.</w:t>
    </w:r>
    <w:r w:rsidR="00133EDE">
      <w:rPr>
        <w:noProof/>
        <w:lang w:eastAsia="fr-CH"/>
      </w:rPr>
      <w:drawing>
        <wp:anchor distT="0" distB="0" distL="114300" distR="114300" simplePos="0" relativeHeight="251659264" behindDoc="0" locked="0" layoutInCell="1" allowOverlap="0" wp14:anchorId="6A7ADF78" wp14:editId="5FC67E71">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21-18785  (F)</w:t>
    </w:r>
    <w:r>
      <w:rPr>
        <w:noProof/>
        <w:sz w:val="20"/>
      </w:rPr>
      <w:drawing>
        <wp:anchor distT="0" distB="0" distL="114300" distR="114300" simplePos="0" relativeHeight="251660288" behindDoc="0" locked="0" layoutInCell="1" allowOverlap="1" wp14:anchorId="601BA35F" wp14:editId="46B61D06">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280222    280222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93B49" w14:textId="77777777" w:rsidR="004D2C77" w:rsidRPr="00AC3823" w:rsidRDefault="004D2C77" w:rsidP="00AC3823">
      <w:pPr>
        <w:pStyle w:val="Pieddepage"/>
        <w:tabs>
          <w:tab w:val="right" w:pos="2155"/>
        </w:tabs>
        <w:spacing w:after="80" w:line="240" w:lineRule="atLeast"/>
        <w:ind w:left="680"/>
        <w:rPr>
          <w:u w:val="single"/>
        </w:rPr>
      </w:pPr>
      <w:r>
        <w:rPr>
          <w:u w:val="single"/>
        </w:rPr>
        <w:tab/>
      </w:r>
    </w:p>
  </w:footnote>
  <w:footnote w:type="continuationSeparator" w:id="0">
    <w:p w14:paraId="35727863" w14:textId="77777777" w:rsidR="004D2C77" w:rsidRPr="00AC3823" w:rsidRDefault="004D2C77" w:rsidP="00AC3823">
      <w:pPr>
        <w:pStyle w:val="Pieddepage"/>
        <w:tabs>
          <w:tab w:val="right" w:pos="2155"/>
        </w:tabs>
        <w:spacing w:after="80" w:line="240" w:lineRule="atLeast"/>
        <w:ind w:left="680"/>
        <w:rPr>
          <w:u w:val="single"/>
        </w:rPr>
      </w:pPr>
      <w:r>
        <w:rPr>
          <w:u w:val="single"/>
        </w:rPr>
        <w:tab/>
      </w:r>
    </w:p>
  </w:footnote>
  <w:footnote w:type="continuationNotice" w:id="1">
    <w:p w14:paraId="11E3190E" w14:textId="77777777" w:rsidR="004D2C77" w:rsidRPr="00AC3823" w:rsidRDefault="004D2C77">
      <w:pPr>
        <w:spacing w:line="240" w:lineRule="auto"/>
        <w:rPr>
          <w:sz w:val="2"/>
          <w:szCs w:val="2"/>
        </w:rPr>
      </w:pPr>
    </w:p>
  </w:footnote>
  <w:footnote w:id="2">
    <w:p w14:paraId="6E25D1F6" w14:textId="77777777" w:rsidR="007A7A5F" w:rsidRPr="00BB1E08" w:rsidRDefault="007A7A5F" w:rsidP="007A7A5F">
      <w:pPr>
        <w:pStyle w:val="Notedebasdepage"/>
        <w:rPr>
          <w:lang w:val="fr-FR"/>
        </w:rPr>
      </w:pPr>
      <w:r>
        <w:tab/>
      </w:r>
      <w:r w:rsidRPr="007A7A5F">
        <w:rPr>
          <w:sz w:val="20"/>
          <w:szCs w:val="22"/>
          <w:lang w:val="fr-FR"/>
        </w:rPr>
        <w:t>*</w:t>
      </w:r>
      <w:r w:rsidRPr="007A7A5F">
        <w:rPr>
          <w:sz w:val="20"/>
          <w:szCs w:val="22"/>
          <w:lang w:val="fr-FR"/>
        </w:rPr>
        <w:tab/>
      </w:r>
      <w:r w:rsidRPr="00BB1E08">
        <w:rPr>
          <w:lang w:val="fr-FR"/>
        </w:rPr>
        <w:t>La version originale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6687" w14:textId="4A366979" w:rsidR="007A7A5F" w:rsidRPr="007A7A5F" w:rsidRDefault="007A7A5F">
    <w:pPr>
      <w:pStyle w:val="En-tte"/>
    </w:pPr>
    <w:fldSimple w:instr=" TITLE  \* MERGEFORMAT ">
      <w:r w:rsidR="00395344">
        <w:t>CED/C/IRQ/FOAI/1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92C6" w14:textId="544576CB" w:rsidR="007A7A5F" w:rsidRPr="007A7A5F" w:rsidRDefault="007A7A5F" w:rsidP="007A7A5F">
    <w:pPr>
      <w:pStyle w:val="En-tte"/>
      <w:jc w:val="right"/>
    </w:pPr>
    <w:fldSimple w:instr=" TITLE  \* MERGEFORMAT ">
      <w:r w:rsidR="00395344">
        <w:t>CED/C/IRQ/FOAI/1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C77"/>
    <w:rsid w:val="00017F94"/>
    <w:rsid w:val="00022D2E"/>
    <w:rsid w:val="00023842"/>
    <w:rsid w:val="000334F9"/>
    <w:rsid w:val="0007796D"/>
    <w:rsid w:val="000B7790"/>
    <w:rsid w:val="00111F2F"/>
    <w:rsid w:val="00133EDE"/>
    <w:rsid w:val="0014365E"/>
    <w:rsid w:val="00176178"/>
    <w:rsid w:val="001A6494"/>
    <w:rsid w:val="001F525A"/>
    <w:rsid w:val="00223272"/>
    <w:rsid w:val="0024779E"/>
    <w:rsid w:val="00392B1D"/>
    <w:rsid w:val="00395344"/>
    <w:rsid w:val="00446FE5"/>
    <w:rsid w:val="00452396"/>
    <w:rsid w:val="004C4D99"/>
    <w:rsid w:val="004D2C77"/>
    <w:rsid w:val="005505B7"/>
    <w:rsid w:val="00573BE5"/>
    <w:rsid w:val="00586ED3"/>
    <w:rsid w:val="00596AA9"/>
    <w:rsid w:val="00674E82"/>
    <w:rsid w:val="0071601D"/>
    <w:rsid w:val="0077586E"/>
    <w:rsid w:val="007A62E6"/>
    <w:rsid w:val="007A7A5F"/>
    <w:rsid w:val="007E042C"/>
    <w:rsid w:val="0080684C"/>
    <w:rsid w:val="00871C75"/>
    <w:rsid w:val="008776DC"/>
    <w:rsid w:val="009507F3"/>
    <w:rsid w:val="009705C8"/>
    <w:rsid w:val="00997F56"/>
    <w:rsid w:val="00A30353"/>
    <w:rsid w:val="00A631AE"/>
    <w:rsid w:val="00AC3823"/>
    <w:rsid w:val="00AE323C"/>
    <w:rsid w:val="00B00181"/>
    <w:rsid w:val="00B765F7"/>
    <w:rsid w:val="00B9212A"/>
    <w:rsid w:val="00BA0CA9"/>
    <w:rsid w:val="00C02897"/>
    <w:rsid w:val="00C915E2"/>
    <w:rsid w:val="00CE2527"/>
    <w:rsid w:val="00CF2BDE"/>
    <w:rsid w:val="00D3439C"/>
    <w:rsid w:val="00DB1831"/>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A1FE1D"/>
  <w15:docId w15:val="{F2445BA7-6879-4D87-B512-1D208C31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022D2E"/>
    <w:pPr>
      <w:tabs>
        <w:tab w:val="left" w:pos="1701"/>
        <w:tab w:val="left" w:pos="2268"/>
        <w:tab w:val="left" w:pos="2835"/>
      </w:tabs>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1</TotalTime>
  <Pages>4</Pages>
  <Words>1765</Words>
  <Characters>9584</Characters>
  <Application>Microsoft Office Word</Application>
  <DocSecurity>0</DocSecurity>
  <Lines>160</Lines>
  <Paragraphs>42</Paragraphs>
  <ScaleCrop>false</ScaleCrop>
  <HeadingPairs>
    <vt:vector size="2" baseType="variant">
      <vt:variant>
        <vt:lpstr>Titre</vt:lpstr>
      </vt:variant>
      <vt:variant>
        <vt:i4>1</vt:i4>
      </vt:variant>
    </vt:vector>
  </HeadingPairs>
  <TitlesOfParts>
    <vt:vector size="1" baseType="lpstr">
      <vt:lpstr>CED/C/IRQ/FOAI/1</vt:lpstr>
    </vt:vector>
  </TitlesOfParts>
  <Company>DCM</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CED/C/IRQ/FOAI/1</dc:title>
  <dc:subject/>
  <dc:creator>Christine CHAUTAGNAT</dc:creator>
  <cp:keywords/>
  <cp:lastModifiedBy>Christine Chautagnat</cp:lastModifiedBy>
  <cp:revision>3</cp:revision>
  <cp:lastPrinted>2022-02-28T09:56:00Z</cp:lastPrinted>
  <dcterms:created xsi:type="dcterms:W3CDTF">2022-02-28T09:56:00Z</dcterms:created>
  <dcterms:modified xsi:type="dcterms:W3CDTF">2022-02-28T09:57:00Z</dcterms:modified>
</cp:coreProperties>
</file>