
<file path=[Content_Types].xml><?xml version="1.0" encoding="utf-8"?>
<Types xmlns="http://schemas.openxmlformats.org/package/2006/content-types">
  <Default Extension="png" ContentType="image/png"/>
  <Default Extension="1&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53"/>
        <w:gridCol w:w="3612"/>
      </w:tblGrid>
      <w:tr w:rsidR="006B3E27" w:rsidRPr="00ED7442" w:rsidTr="00450F29">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75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612" w:type="dxa"/>
            <w:tcBorders>
              <w:bottom w:val="single" w:sz="4" w:space="0" w:color="auto"/>
            </w:tcBorders>
            <w:vAlign w:val="bottom"/>
          </w:tcPr>
          <w:p w:rsidR="006B3E27" w:rsidRPr="003E159A" w:rsidRDefault="00D630D1" w:rsidP="00450F29">
            <w:pPr>
              <w:bidi w:val="0"/>
              <w:spacing w:after="20"/>
              <w:jc w:val="left"/>
              <w:rPr>
                <w:szCs w:val="20"/>
              </w:rPr>
            </w:pPr>
            <w:r w:rsidRPr="00D630D1">
              <w:rPr>
                <w:sz w:val="40"/>
                <w:szCs w:val="20"/>
              </w:rPr>
              <w:t>C</w:t>
            </w:r>
            <w:r w:rsidRPr="00450F29">
              <w:rPr>
                <w:sz w:val="40"/>
                <w:szCs w:val="20"/>
              </w:rPr>
              <w:t>ED</w:t>
            </w:r>
            <w:r>
              <w:rPr>
                <w:szCs w:val="20"/>
              </w:rPr>
              <w:t>/C/IRQ/CO/1/Add.1</w:t>
            </w:r>
          </w:p>
        </w:tc>
      </w:tr>
      <w:tr w:rsidR="006B3E27" w:rsidRPr="00ED7442" w:rsidTr="00450F29">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595F5EDF" wp14:editId="3AC773C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53" w:type="dxa"/>
            <w:tcBorders>
              <w:top w:val="single" w:sz="4" w:space="0" w:color="auto"/>
              <w:bottom w:val="single" w:sz="12" w:space="0" w:color="auto"/>
            </w:tcBorders>
          </w:tcPr>
          <w:p w:rsidR="006B3E27" w:rsidRPr="008930DB" w:rsidRDefault="00450F29" w:rsidP="00450F29">
            <w:pPr>
              <w:spacing w:before="120" w:after="40" w:line="640" w:lineRule="exact"/>
              <w:rPr>
                <w:b/>
                <w:bCs/>
                <w:sz w:val="56"/>
                <w:szCs w:val="56"/>
              </w:rPr>
            </w:pPr>
            <w:r w:rsidRPr="00450F29">
              <w:rPr>
                <w:b/>
                <w:bCs/>
                <w:sz w:val="56"/>
                <w:szCs w:val="56"/>
                <w:rtl/>
              </w:rPr>
              <w:t>الاتفاقية الدوليـة لحمايـة جميع الأشخاص من الاختفاء القسري</w:t>
            </w:r>
          </w:p>
        </w:tc>
        <w:tc>
          <w:tcPr>
            <w:tcW w:w="3612" w:type="dxa"/>
            <w:tcBorders>
              <w:top w:val="single" w:sz="4" w:space="0" w:color="auto"/>
              <w:bottom w:val="single" w:sz="12" w:space="0" w:color="auto"/>
            </w:tcBorders>
          </w:tcPr>
          <w:p w:rsidR="006B3E27" w:rsidRDefault="00450F29" w:rsidP="00450F29">
            <w:pPr>
              <w:bidi w:val="0"/>
              <w:spacing w:before="240"/>
              <w:jc w:val="left"/>
              <w:rPr>
                <w:szCs w:val="20"/>
              </w:rPr>
            </w:pPr>
            <w:r>
              <w:rPr>
                <w:szCs w:val="20"/>
              </w:rPr>
              <w:t>Distr.: General</w:t>
            </w:r>
          </w:p>
          <w:p w:rsidR="00450F29" w:rsidRDefault="00450F29" w:rsidP="00450F29">
            <w:pPr>
              <w:bidi w:val="0"/>
              <w:jc w:val="left"/>
              <w:rPr>
                <w:szCs w:val="20"/>
              </w:rPr>
            </w:pPr>
            <w:r>
              <w:rPr>
                <w:szCs w:val="20"/>
              </w:rPr>
              <w:t>31 May 2017</w:t>
            </w:r>
          </w:p>
          <w:p w:rsidR="00450F29" w:rsidRDefault="00450F29" w:rsidP="00450F29">
            <w:pPr>
              <w:bidi w:val="0"/>
              <w:jc w:val="left"/>
              <w:rPr>
                <w:szCs w:val="20"/>
              </w:rPr>
            </w:pPr>
          </w:p>
          <w:p w:rsidR="00450F29" w:rsidRDefault="00450F29" w:rsidP="00450F29">
            <w:pPr>
              <w:bidi w:val="0"/>
              <w:jc w:val="left"/>
              <w:rPr>
                <w:szCs w:val="20"/>
              </w:rPr>
            </w:pPr>
            <w:r>
              <w:rPr>
                <w:szCs w:val="20"/>
              </w:rPr>
              <w:t>Original: Arabic</w:t>
            </w:r>
          </w:p>
          <w:p w:rsidR="00450F29" w:rsidRPr="003E159A" w:rsidRDefault="00450F29" w:rsidP="00450F29">
            <w:pPr>
              <w:bidi w:val="0"/>
              <w:ind w:right="1627"/>
              <w:jc w:val="left"/>
              <w:rPr>
                <w:szCs w:val="20"/>
              </w:rPr>
            </w:pPr>
            <w:r>
              <w:rPr>
                <w:szCs w:val="20"/>
              </w:rPr>
              <w:t>Arabic, English, French and Spanish only</w:t>
            </w:r>
          </w:p>
        </w:tc>
      </w:tr>
    </w:tbl>
    <w:p w:rsidR="00450F29" w:rsidRPr="00450F29" w:rsidRDefault="00450F29" w:rsidP="00404A94">
      <w:pPr>
        <w:spacing w:before="120" w:after="120" w:line="380" w:lineRule="exact"/>
        <w:jc w:val="left"/>
        <w:rPr>
          <w:b/>
          <w:bCs/>
          <w:sz w:val="36"/>
          <w:szCs w:val="36"/>
          <w:rtl/>
        </w:rPr>
      </w:pPr>
      <w:r w:rsidRPr="00450F29">
        <w:rPr>
          <w:b/>
          <w:bCs/>
          <w:sz w:val="36"/>
          <w:szCs w:val="36"/>
          <w:rtl/>
        </w:rPr>
        <w:t>اللجنة المعنية بحالات الاختفاء القسري</w:t>
      </w:r>
    </w:p>
    <w:p w:rsidR="00450F29" w:rsidRPr="00EE4F4F" w:rsidRDefault="00450F29" w:rsidP="00EE4F4F">
      <w:pPr>
        <w:pStyle w:val="HMGA"/>
        <w:rPr>
          <w:spacing w:val="-2"/>
        </w:rPr>
      </w:pPr>
      <w:r w:rsidRPr="00EE4F4F">
        <w:rPr>
          <w:spacing w:val="-2"/>
          <w:rtl/>
        </w:rPr>
        <w:tab/>
      </w:r>
      <w:r w:rsidRPr="00EE4F4F">
        <w:rPr>
          <w:spacing w:val="-2"/>
          <w:rtl/>
        </w:rPr>
        <w:tab/>
        <w:t>الملاحظات الختامية بشأن التقرير المقدَّم من العراق بموجب الفقرة 1 من المادة 29 من الاتفاقية</w:t>
      </w:r>
      <w:bookmarkStart w:id="0" w:name="_GoBack"/>
      <w:bookmarkEnd w:id="0"/>
    </w:p>
    <w:p w:rsidR="00450F29" w:rsidRPr="00450F29" w:rsidRDefault="00450F29" w:rsidP="00450F29">
      <w:pPr>
        <w:pStyle w:val="H23GA"/>
        <w:rPr>
          <w:rtl/>
        </w:rPr>
      </w:pPr>
      <w:r w:rsidRPr="00450F29">
        <w:rPr>
          <w:rtl/>
        </w:rPr>
        <w:tab/>
      </w:r>
      <w:r w:rsidRPr="00450F29">
        <w:rPr>
          <w:rtl/>
        </w:rPr>
        <w:tab/>
        <w:t>إضافة</w:t>
      </w:r>
    </w:p>
    <w:p w:rsidR="00450F29" w:rsidRPr="00450F29" w:rsidRDefault="00450F29" w:rsidP="00EE4F4F">
      <w:pPr>
        <w:pStyle w:val="HChGA"/>
        <w:rPr>
          <w:rtl/>
        </w:rPr>
      </w:pPr>
      <w:r w:rsidRPr="00450F29">
        <w:rPr>
          <w:rtl/>
        </w:rPr>
        <w:tab/>
      </w:r>
      <w:r w:rsidRPr="00450F29">
        <w:rPr>
          <w:rtl/>
        </w:rPr>
        <w:tab/>
        <w:t>المعلومات الواردة من العراق</w:t>
      </w:r>
      <w:r>
        <w:rPr>
          <w:rtl/>
        </w:rPr>
        <w:t xml:space="preserve"> بشأن متابعة الملاحظات الختامية</w:t>
      </w:r>
      <w:r w:rsidRPr="00450F29">
        <w:rPr>
          <w:rStyle w:val="FootnoteReference"/>
          <w:sz w:val="20"/>
          <w:vertAlign w:val="baseline"/>
          <w:rtl/>
        </w:rPr>
        <w:footnoteReference w:customMarkFollows="1" w:id="1"/>
        <w:t>*</w:t>
      </w:r>
    </w:p>
    <w:p w:rsidR="00B54045" w:rsidRDefault="00450F29" w:rsidP="00450F29">
      <w:pPr>
        <w:pStyle w:val="SingleTxtGA"/>
        <w:jc w:val="right"/>
        <w:rPr>
          <w:rtl/>
        </w:rPr>
      </w:pPr>
      <w:r w:rsidRPr="00450F29">
        <w:rPr>
          <w:rtl/>
        </w:rPr>
        <w:t>[تاريخ الاستلام: 15 شباط/فبراير 2017]</w:t>
      </w:r>
    </w:p>
    <w:p w:rsidR="00450F29" w:rsidRPr="008D1C2B" w:rsidRDefault="00450F29" w:rsidP="00FC699A">
      <w:pPr>
        <w:pStyle w:val="HChGA"/>
        <w:pageBreakBefore/>
        <w:spacing w:before="120"/>
        <w:rPr>
          <w:rtl/>
          <w:lang w:bidi="ar-SY"/>
        </w:rPr>
      </w:pPr>
      <w:r>
        <w:rPr>
          <w:rFonts w:hint="cs"/>
          <w:rtl/>
          <w:lang w:bidi="ar-SY"/>
        </w:rPr>
        <w:lastRenderedPageBreak/>
        <w:tab/>
      </w:r>
      <w:r>
        <w:rPr>
          <w:rFonts w:hint="cs"/>
          <w:rtl/>
          <w:lang w:bidi="ar-SY"/>
        </w:rPr>
        <w:tab/>
      </w:r>
      <w:r w:rsidRPr="008D1C2B">
        <w:rPr>
          <w:rFonts w:hint="cs"/>
          <w:rtl/>
          <w:lang w:bidi="ar-SY"/>
        </w:rPr>
        <w:t>الرد الرسمي على الملاحظات الختامية لتقرير العراق الخاص</w:t>
      </w:r>
      <w:r w:rsidR="00FC699A">
        <w:rPr>
          <w:rFonts w:hint="cs"/>
          <w:rtl/>
          <w:lang w:bidi="ar-SY"/>
        </w:rPr>
        <w:t xml:space="preserve"> </w:t>
      </w:r>
      <w:r w:rsidRPr="008D1C2B">
        <w:rPr>
          <w:rFonts w:hint="cs"/>
          <w:rtl/>
          <w:lang w:bidi="ar-SY"/>
        </w:rPr>
        <w:t>باتفاقية حماية جميع الأشخاص من الاختفاء القسري</w:t>
      </w:r>
    </w:p>
    <w:p w:rsidR="00450F29" w:rsidRPr="008D1C2B" w:rsidRDefault="00450F29" w:rsidP="00450F29">
      <w:pPr>
        <w:pStyle w:val="SingleTxtGA"/>
        <w:rPr>
          <w:rtl/>
          <w:lang w:bidi="ar-SY"/>
        </w:rPr>
      </w:pPr>
      <w:r w:rsidRPr="00817C1D">
        <w:rPr>
          <w:rtl/>
          <w:lang w:bidi="ar-SY"/>
        </w:rPr>
        <w:t>1-</w:t>
      </w:r>
      <w:r>
        <w:rPr>
          <w:rFonts w:hint="cs"/>
          <w:b/>
          <w:bCs/>
          <w:rtl/>
          <w:lang w:bidi="ar-SY"/>
        </w:rPr>
        <w:tab/>
      </w:r>
      <w:r w:rsidRPr="008D1C2B">
        <w:rPr>
          <w:b/>
          <w:bCs/>
          <w:rtl/>
          <w:lang w:bidi="ar-SY"/>
        </w:rPr>
        <w:t>أولا</w:t>
      </w:r>
      <w:r>
        <w:rPr>
          <w:rFonts w:hint="cs"/>
          <w:b/>
          <w:bCs/>
          <w:rtl/>
          <w:lang w:bidi="ar-SY"/>
        </w:rPr>
        <w:t xml:space="preserve">ً، </w:t>
      </w:r>
      <w:r w:rsidRPr="008D1C2B">
        <w:rPr>
          <w:rtl/>
          <w:lang w:bidi="ar-SY"/>
        </w:rPr>
        <w:t>فيما يتعلق بالفقرة رقم (14) من الملاحظات نصت على (اعتماد الدولة الطرف التدابير التشريعية اللازمة كي تضمن في أقرب وقت ما يلي:</w:t>
      </w:r>
    </w:p>
    <w:p w:rsidR="00450F29" w:rsidRPr="008D1C2B" w:rsidRDefault="00450F29" w:rsidP="0055101C">
      <w:pPr>
        <w:tabs>
          <w:tab w:val="left" w:pos="1928"/>
          <w:tab w:val="left" w:pos="2608"/>
          <w:tab w:val="left" w:pos="3289"/>
          <w:tab w:val="left" w:pos="3969"/>
          <w:tab w:val="left" w:pos="4649"/>
          <w:tab w:val="left" w:pos="5330"/>
        </w:tabs>
        <w:spacing w:after="120" w:line="380" w:lineRule="exact"/>
        <w:ind w:left="2612" w:right="1247" w:hanging="686"/>
        <w:rPr>
          <w:rFonts w:ascii="Traditional Arabic" w:hAnsi="Traditional Arabic"/>
          <w:sz w:val="32"/>
          <w:szCs w:val="32"/>
          <w:rtl/>
          <w:lang w:bidi="ar-SY"/>
        </w:rPr>
      </w:pPr>
      <w:r w:rsidRPr="008D1C2B">
        <w:rPr>
          <w:rFonts w:ascii="Traditional Arabic" w:hAnsi="Traditional Arabic"/>
          <w:sz w:val="32"/>
          <w:szCs w:val="32"/>
          <w:rtl/>
          <w:lang w:bidi="ar-SY"/>
        </w:rPr>
        <w:t>1-</w:t>
      </w:r>
      <w:r w:rsidRPr="008D1C2B">
        <w:rPr>
          <w:rFonts w:ascii="Traditional Arabic" w:hAnsi="Traditional Arabic"/>
          <w:sz w:val="32"/>
          <w:szCs w:val="32"/>
          <w:rtl/>
          <w:lang w:bidi="ar-SY"/>
        </w:rPr>
        <w:tab/>
        <w:t>إدراج الاختفاء القسري في قانونها المحلي باعتبارها جريمة مستقلة وفقا للتعريف الوارد في المادة (2) من الاتفاقية وأن تضع لهذه الجريمة العقوبات الملائمة التي تأخذ في الحسبان خطورتها الشديدة</w:t>
      </w:r>
    </w:p>
    <w:p w:rsidR="00450F29" w:rsidRPr="0055101C" w:rsidRDefault="00450F29" w:rsidP="0055101C">
      <w:pPr>
        <w:tabs>
          <w:tab w:val="left" w:pos="1928"/>
          <w:tab w:val="left" w:pos="2608"/>
          <w:tab w:val="left" w:pos="3289"/>
          <w:tab w:val="left" w:pos="3969"/>
          <w:tab w:val="left" w:pos="4649"/>
          <w:tab w:val="left" w:pos="5330"/>
        </w:tabs>
        <w:spacing w:after="120" w:line="380" w:lineRule="exact"/>
        <w:ind w:left="2612" w:right="1247" w:hanging="686"/>
        <w:rPr>
          <w:rFonts w:ascii="Traditional Arabic" w:hAnsi="Traditional Arabic"/>
          <w:spacing w:val="-4"/>
          <w:sz w:val="32"/>
          <w:szCs w:val="32"/>
          <w:rtl/>
          <w:lang w:bidi="ar-SY"/>
        </w:rPr>
      </w:pPr>
      <w:r w:rsidRPr="0055101C">
        <w:rPr>
          <w:rFonts w:ascii="Traditional Arabic" w:hAnsi="Traditional Arabic"/>
          <w:spacing w:val="-4"/>
          <w:sz w:val="32"/>
          <w:szCs w:val="32"/>
          <w:rtl/>
          <w:lang w:bidi="ar-SY"/>
        </w:rPr>
        <w:t>2-</w:t>
      </w:r>
      <w:r w:rsidRPr="0055101C">
        <w:rPr>
          <w:rFonts w:ascii="Traditional Arabic" w:hAnsi="Traditional Arabic"/>
          <w:spacing w:val="-4"/>
          <w:sz w:val="32"/>
          <w:szCs w:val="32"/>
          <w:rtl/>
          <w:lang w:bidi="ar-SY"/>
        </w:rPr>
        <w:tab/>
        <w:t>تجريم الاختفاء القسري باعتباره جريمة ضد الإنسانية وفقا للمعايير المنصوص عليها في</w:t>
      </w:r>
      <w:r w:rsidRPr="0055101C">
        <w:rPr>
          <w:rFonts w:ascii="Traditional Arabic" w:hAnsi="Traditional Arabic" w:hint="cs"/>
          <w:spacing w:val="-4"/>
          <w:sz w:val="32"/>
          <w:szCs w:val="32"/>
          <w:rtl/>
          <w:lang w:bidi="ar-SY"/>
        </w:rPr>
        <w:t xml:space="preserve"> </w:t>
      </w:r>
      <w:r w:rsidRPr="0055101C">
        <w:rPr>
          <w:rFonts w:ascii="Traditional Arabic" w:hAnsi="Traditional Arabic"/>
          <w:spacing w:val="-4"/>
          <w:sz w:val="32"/>
          <w:szCs w:val="32"/>
          <w:rtl/>
          <w:lang w:bidi="ar-SY"/>
        </w:rPr>
        <w:t>المادة (5) من الاتفاقية بغض النظر عن تاريخ ارتكابها.</w:t>
      </w:r>
    </w:p>
    <w:p w:rsidR="00450F29" w:rsidRPr="008D1C2B" w:rsidRDefault="00450F29" w:rsidP="00450F29">
      <w:pPr>
        <w:pStyle w:val="SingleTxtGA"/>
        <w:rPr>
          <w:rtl/>
          <w:lang w:bidi="ar-SY"/>
        </w:rPr>
      </w:pPr>
      <w:r>
        <w:rPr>
          <w:rFonts w:hint="cs"/>
          <w:rtl/>
          <w:lang w:bidi="ar-SY"/>
        </w:rPr>
        <w:t>2-</w:t>
      </w:r>
      <w:r>
        <w:rPr>
          <w:rFonts w:hint="cs"/>
          <w:rtl/>
          <w:lang w:bidi="ar-SY"/>
        </w:rPr>
        <w:tab/>
      </w:r>
      <w:r w:rsidRPr="008D1C2B">
        <w:rPr>
          <w:rtl/>
          <w:lang w:bidi="ar-SY"/>
        </w:rPr>
        <w:t>وفيم</w:t>
      </w:r>
      <w:r>
        <w:rPr>
          <w:rtl/>
          <w:lang w:bidi="ar-SY"/>
        </w:rPr>
        <w:t>ا يلي الإجابة على الفقرة أعلاه:</w:t>
      </w:r>
    </w:p>
    <w:p w:rsidR="00450F29" w:rsidRPr="008D1C2B" w:rsidRDefault="00450F29" w:rsidP="00450F29">
      <w:pPr>
        <w:tabs>
          <w:tab w:val="left" w:pos="1928"/>
          <w:tab w:val="left" w:pos="2608"/>
          <w:tab w:val="left" w:pos="3289"/>
          <w:tab w:val="left" w:pos="3969"/>
          <w:tab w:val="left" w:pos="4649"/>
          <w:tab w:val="left" w:pos="5330"/>
        </w:tabs>
        <w:spacing w:after="120" w:line="380" w:lineRule="exact"/>
        <w:ind w:left="1247" w:right="1247"/>
        <w:rPr>
          <w:rFonts w:ascii="Traditional Arabic" w:hAnsi="Traditional Arabic"/>
          <w:sz w:val="32"/>
          <w:szCs w:val="32"/>
          <w:rtl/>
          <w:lang w:bidi="ar-SY"/>
        </w:rPr>
      </w:pPr>
      <w:r>
        <w:rPr>
          <w:rFonts w:ascii="Traditional Arabic" w:hAnsi="Traditional Arabic" w:hint="cs"/>
          <w:sz w:val="32"/>
          <w:szCs w:val="32"/>
          <w:rtl/>
          <w:lang w:bidi="ar-SY"/>
        </w:rPr>
        <w:t>3-</w:t>
      </w:r>
      <w:r>
        <w:rPr>
          <w:rFonts w:ascii="Traditional Arabic" w:hAnsi="Traditional Arabic" w:hint="cs"/>
          <w:sz w:val="32"/>
          <w:szCs w:val="32"/>
          <w:rtl/>
          <w:lang w:bidi="ar-SY"/>
        </w:rPr>
        <w:tab/>
      </w:r>
      <w:r w:rsidRPr="008D1C2B">
        <w:rPr>
          <w:rFonts w:ascii="Traditional Arabic" w:hAnsi="Traditional Arabic"/>
          <w:sz w:val="32"/>
          <w:szCs w:val="32"/>
          <w:rtl/>
          <w:lang w:bidi="ar-SY"/>
        </w:rPr>
        <w:t>إن قانون العقوبات العراقي الحالي رقم 111 لسنة 1969 المعدل يخلو من نص واضح وصريح يعرف جريمة الاختفاء القسري طبقا للتعريف الوارد في المادة (2) من الاتفاقية المذكورة حيث عرفت الاختفاء القسري بأنه (الاعتقال أو الاحتجاز أو</w:t>
      </w:r>
      <w:r>
        <w:rPr>
          <w:rFonts w:ascii="Traditional Arabic" w:hAnsi="Traditional Arabic" w:hint="cs"/>
          <w:sz w:val="32"/>
          <w:szCs w:val="32"/>
          <w:rtl/>
          <w:lang w:bidi="ar-SY"/>
        </w:rPr>
        <w:t> </w:t>
      </w:r>
      <w:r w:rsidRPr="008D1C2B">
        <w:rPr>
          <w:rFonts w:ascii="Traditional Arabic" w:hAnsi="Traditional Arabic"/>
          <w:sz w:val="32"/>
          <w:szCs w:val="32"/>
          <w:rtl/>
          <w:lang w:bidi="ar-SY"/>
        </w:rPr>
        <w:t xml:space="preserve">الاختطاف أو أي </w:t>
      </w:r>
      <w:r w:rsidRPr="008D1C2B">
        <w:rPr>
          <w:rFonts w:ascii="Traditional Arabic" w:hAnsi="Traditional Arabic"/>
          <w:spacing w:val="-2"/>
          <w:sz w:val="32"/>
          <w:szCs w:val="32"/>
          <w:rtl/>
          <w:lang w:bidi="ar-SY"/>
        </w:rPr>
        <w:t>شكل من أشكال الحرمان من الحرية يتم على أيدي موظفي الدولة أو</w:t>
      </w:r>
      <w:r>
        <w:rPr>
          <w:rFonts w:ascii="Traditional Arabic" w:hAnsi="Traditional Arabic" w:hint="cs"/>
          <w:spacing w:val="-2"/>
          <w:sz w:val="32"/>
          <w:szCs w:val="32"/>
          <w:rtl/>
          <w:lang w:bidi="ar-SY"/>
        </w:rPr>
        <w:t> </w:t>
      </w:r>
      <w:r w:rsidRPr="008D1C2B">
        <w:rPr>
          <w:rFonts w:ascii="Traditional Arabic" w:hAnsi="Traditional Arabic"/>
          <w:spacing w:val="-2"/>
          <w:sz w:val="32"/>
          <w:szCs w:val="32"/>
          <w:rtl/>
          <w:lang w:bidi="ar-SY"/>
        </w:rPr>
        <w:t>أشخاص أو مجموعات</w:t>
      </w:r>
      <w:r w:rsidRPr="008D1C2B">
        <w:rPr>
          <w:rFonts w:ascii="Traditional Arabic" w:hAnsi="Traditional Arabic"/>
          <w:sz w:val="32"/>
          <w:szCs w:val="32"/>
          <w:rtl/>
          <w:lang w:bidi="ar-SY"/>
        </w:rPr>
        <w:t xml:space="preserve"> </w:t>
      </w:r>
      <w:r w:rsidRPr="008D1C2B">
        <w:rPr>
          <w:rFonts w:ascii="Traditional Arabic" w:hAnsi="Traditional Arabic"/>
          <w:spacing w:val="-2"/>
          <w:sz w:val="32"/>
          <w:szCs w:val="32"/>
          <w:rtl/>
          <w:lang w:bidi="ar-SY"/>
        </w:rPr>
        <w:t xml:space="preserve">من الأفراد يتصرفون </w:t>
      </w:r>
      <w:proofErr w:type="spellStart"/>
      <w:r w:rsidRPr="008D1C2B">
        <w:rPr>
          <w:rFonts w:ascii="Traditional Arabic" w:hAnsi="Traditional Arabic"/>
          <w:spacing w:val="-2"/>
          <w:sz w:val="32"/>
          <w:szCs w:val="32"/>
          <w:rtl/>
          <w:lang w:bidi="ar-SY"/>
        </w:rPr>
        <w:t>باذن</w:t>
      </w:r>
      <w:proofErr w:type="spellEnd"/>
      <w:r w:rsidRPr="008D1C2B">
        <w:rPr>
          <w:rFonts w:ascii="Traditional Arabic" w:hAnsi="Traditional Arabic"/>
          <w:spacing w:val="-2"/>
          <w:sz w:val="32"/>
          <w:szCs w:val="32"/>
          <w:rtl/>
          <w:lang w:bidi="ar-SY"/>
        </w:rPr>
        <w:t xml:space="preserve"> أو دعم من الدولة أو بموافقتها ويعقبه رفض الاعتراف بحرمان</w:t>
      </w:r>
      <w:r w:rsidRPr="008D1C2B">
        <w:rPr>
          <w:rFonts w:ascii="Traditional Arabic" w:hAnsi="Traditional Arabic"/>
          <w:sz w:val="32"/>
          <w:szCs w:val="32"/>
          <w:rtl/>
          <w:lang w:bidi="ar-SY"/>
        </w:rPr>
        <w:t xml:space="preserve"> </w:t>
      </w:r>
      <w:r w:rsidRPr="008D1C2B">
        <w:rPr>
          <w:rFonts w:ascii="Traditional Arabic" w:hAnsi="Traditional Arabic"/>
          <w:spacing w:val="-2"/>
          <w:sz w:val="32"/>
          <w:szCs w:val="32"/>
          <w:rtl/>
          <w:lang w:bidi="ar-SY"/>
        </w:rPr>
        <w:t>الشخص من حريته أو إخفاء مصير الشخص المختفي أو مكان وجوده مما يحرمه من حماية</w:t>
      </w:r>
      <w:r w:rsidRPr="008D1C2B">
        <w:rPr>
          <w:rFonts w:ascii="Traditional Arabic" w:hAnsi="Traditional Arabic"/>
          <w:sz w:val="32"/>
          <w:szCs w:val="32"/>
          <w:rtl/>
          <w:lang w:bidi="ar-SY"/>
        </w:rPr>
        <w:t xml:space="preserve"> القانون) لكن هناك أفعال تندرج تحت وصف الاختفاء القسري من (الخطف/</w:t>
      </w:r>
      <w:r w:rsidRPr="008D1C2B">
        <w:rPr>
          <w:rFonts w:ascii="Traditional Arabic" w:hAnsi="Traditional Arabic"/>
          <w:spacing w:val="-4"/>
          <w:sz w:val="32"/>
          <w:szCs w:val="32"/>
          <w:rtl/>
          <w:lang w:bidi="ar-SY"/>
        </w:rPr>
        <w:t>الاحتجاز/الاعتقال من دون أوامر قضائية) المرتكبة من قبل كيانات من غير الدول والمطبق</w:t>
      </w:r>
      <w:r w:rsidRPr="008D1C2B">
        <w:rPr>
          <w:rFonts w:ascii="Traditional Arabic" w:hAnsi="Traditional Arabic"/>
          <w:sz w:val="32"/>
          <w:szCs w:val="32"/>
          <w:rtl/>
          <w:lang w:bidi="ar-SY"/>
        </w:rPr>
        <w:t xml:space="preserve"> على هذه الأفعال لا يختلف كثيرا عن النصوص الواردة في قانون العقوبات العراقي في </w:t>
      </w:r>
      <w:r w:rsidRPr="008D1C2B">
        <w:rPr>
          <w:rFonts w:ascii="Traditional Arabic" w:hAnsi="Traditional Arabic"/>
          <w:spacing w:val="-6"/>
          <w:sz w:val="32"/>
          <w:szCs w:val="32"/>
          <w:rtl/>
          <w:lang w:bidi="ar-SY"/>
        </w:rPr>
        <w:t>المواد (322 و324 و421 و423 و424 و425 و426) كذلك المادة (92) من قانون أصول</w:t>
      </w:r>
      <w:r w:rsidRPr="008D1C2B">
        <w:rPr>
          <w:rFonts w:ascii="Traditional Arabic" w:hAnsi="Traditional Arabic"/>
          <w:sz w:val="32"/>
          <w:szCs w:val="32"/>
          <w:rtl/>
          <w:lang w:bidi="ar-SY"/>
        </w:rPr>
        <w:t xml:space="preserve"> المحاكمات الجزائية رقم 23 لسنة 1971 التي نصت على </w:t>
      </w:r>
      <w:proofErr w:type="spellStart"/>
      <w:r w:rsidRPr="008D1C2B">
        <w:rPr>
          <w:rFonts w:ascii="Traditional Arabic" w:hAnsi="Traditional Arabic"/>
          <w:sz w:val="32"/>
          <w:szCs w:val="32"/>
          <w:rtl/>
          <w:lang w:bidi="ar-SY"/>
        </w:rPr>
        <w:t>ان</w:t>
      </w:r>
      <w:proofErr w:type="spellEnd"/>
      <w:r>
        <w:rPr>
          <w:rFonts w:ascii="Traditional Arabic" w:hAnsi="Traditional Arabic" w:hint="cs"/>
          <w:sz w:val="32"/>
          <w:szCs w:val="32"/>
          <w:rtl/>
          <w:lang w:bidi="ar-SY"/>
        </w:rPr>
        <w:t xml:space="preserve"> </w:t>
      </w:r>
      <w:r w:rsidRPr="008D1C2B">
        <w:rPr>
          <w:rFonts w:ascii="Traditional Arabic" w:hAnsi="Traditional Arabic"/>
          <w:sz w:val="32"/>
          <w:szCs w:val="32"/>
          <w:rtl/>
          <w:lang w:bidi="ar-SY"/>
        </w:rPr>
        <w:t xml:space="preserve">(لا يجوز القبض على أي </w:t>
      </w:r>
      <w:r w:rsidRPr="008D1C2B">
        <w:rPr>
          <w:rFonts w:ascii="Traditional Arabic" w:hAnsi="Traditional Arabic"/>
          <w:spacing w:val="-4"/>
          <w:sz w:val="32"/>
          <w:szCs w:val="32"/>
          <w:rtl/>
          <w:lang w:bidi="ar-SY"/>
        </w:rPr>
        <w:t xml:space="preserve">شخص أو توقيفه </w:t>
      </w:r>
      <w:proofErr w:type="spellStart"/>
      <w:r w:rsidRPr="008D1C2B">
        <w:rPr>
          <w:rFonts w:ascii="Traditional Arabic" w:hAnsi="Traditional Arabic"/>
          <w:spacing w:val="-4"/>
          <w:sz w:val="32"/>
          <w:szCs w:val="32"/>
          <w:rtl/>
          <w:lang w:bidi="ar-SY"/>
        </w:rPr>
        <w:t>الا</w:t>
      </w:r>
      <w:proofErr w:type="spellEnd"/>
      <w:r w:rsidRPr="008D1C2B">
        <w:rPr>
          <w:rFonts w:ascii="Traditional Arabic" w:hAnsi="Traditional Arabic"/>
          <w:spacing w:val="-4"/>
          <w:sz w:val="32"/>
          <w:szCs w:val="32"/>
          <w:rtl/>
          <w:lang w:bidi="ar-SY"/>
        </w:rPr>
        <w:t xml:space="preserve"> بمقتضى امر صادر من قاضي أو محكمة أو في الأحوال التي يجيز فيها القانون ذلك). مع العرض </w:t>
      </w:r>
      <w:proofErr w:type="spellStart"/>
      <w:r w:rsidRPr="008D1C2B">
        <w:rPr>
          <w:rFonts w:ascii="Traditional Arabic" w:hAnsi="Traditional Arabic"/>
          <w:spacing w:val="-4"/>
          <w:sz w:val="32"/>
          <w:szCs w:val="32"/>
          <w:rtl/>
          <w:lang w:bidi="ar-SY"/>
        </w:rPr>
        <w:t>ان</w:t>
      </w:r>
      <w:proofErr w:type="spellEnd"/>
      <w:r w:rsidRPr="008D1C2B">
        <w:rPr>
          <w:rFonts w:ascii="Traditional Arabic" w:hAnsi="Traditional Arabic"/>
          <w:spacing w:val="-4"/>
          <w:sz w:val="32"/>
          <w:szCs w:val="32"/>
          <w:rtl/>
          <w:lang w:bidi="ar-SY"/>
        </w:rPr>
        <w:t xml:space="preserve"> نص المادة أعلاه يتطابق مع نص</w:t>
      </w:r>
      <w:r>
        <w:rPr>
          <w:rFonts w:ascii="Traditional Arabic" w:hAnsi="Traditional Arabic" w:hint="cs"/>
          <w:spacing w:val="-4"/>
          <w:sz w:val="32"/>
          <w:szCs w:val="32"/>
          <w:rtl/>
          <w:lang w:bidi="ar-SY"/>
        </w:rPr>
        <w:t xml:space="preserve"> </w:t>
      </w:r>
      <w:r w:rsidRPr="008D1C2B">
        <w:rPr>
          <w:rFonts w:ascii="Traditional Arabic" w:hAnsi="Traditional Arabic"/>
          <w:spacing w:val="-4"/>
          <w:sz w:val="32"/>
          <w:szCs w:val="32"/>
          <w:rtl/>
          <w:lang w:bidi="ar-SY"/>
        </w:rPr>
        <w:t>المادة</w:t>
      </w:r>
      <w:r>
        <w:rPr>
          <w:rFonts w:ascii="Traditional Arabic" w:hAnsi="Traditional Arabic" w:hint="cs"/>
          <w:spacing w:val="-4"/>
          <w:sz w:val="32"/>
          <w:szCs w:val="32"/>
          <w:rtl/>
          <w:lang w:bidi="ar-SY"/>
        </w:rPr>
        <w:t> </w:t>
      </w:r>
      <w:r w:rsidRPr="008D1C2B">
        <w:rPr>
          <w:rFonts w:ascii="Traditional Arabic" w:hAnsi="Traditional Arabic"/>
          <w:spacing w:val="-4"/>
          <w:sz w:val="32"/>
          <w:szCs w:val="32"/>
          <w:rtl/>
          <w:lang w:bidi="ar-SY"/>
        </w:rPr>
        <w:t xml:space="preserve">(421) من </w:t>
      </w:r>
      <w:r w:rsidRPr="008D1C2B">
        <w:rPr>
          <w:rFonts w:ascii="Traditional Arabic" w:hAnsi="Traditional Arabic"/>
          <w:sz w:val="32"/>
          <w:szCs w:val="32"/>
          <w:rtl/>
          <w:lang w:bidi="ar-SY"/>
        </w:rPr>
        <w:t xml:space="preserve">قانون </w:t>
      </w:r>
      <w:r w:rsidRPr="008D1C2B">
        <w:rPr>
          <w:rFonts w:ascii="Traditional Arabic" w:hAnsi="Traditional Arabic"/>
          <w:spacing w:val="-2"/>
          <w:sz w:val="32"/>
          <w:szCs w:val="32"/>
          <w:rtl/>
          <w:lang w:bidi="ar-SY"/>
        </w:rPr>
        <w:t xml:space="preserve">العقوبات المذكور </w:t>
      </w:r>
      <w:proofErr w:type="spellStart"/>
      <w:r w:rsidRPr="008D1C2B">
        <w:rPr>
          <w:rFonts w:ascii="Traditional Arabic" w:hAnsi="Traditional Arabic"/>
          <w:spacing w:val="-2"/>
          <w:sz w:val="32"/>
          <w:szCs w:val="32"/>
          <w:rtl/>
          <w:lang w:bidi="ar-SY"/>
        </w:rPr>
        <w:t>انفا</w:t>
      </w:r>
      <w:proofErr w:type="spellEnd"/>
      <w:r w:rsidRPr="008D1C2B">
        <w:rPr>
          <w:rFonts w:ascii="Traditional Arabic" w:hAnsi="Traditional Arabic"/>
          <w:spacing w:val="-2"/>
          <w:sz w:val="32"/>
          <w:szCs w:val="32"/>
          <w:rtl/>
          <w:lang w:bidi="ar-SY"/>
        </w:rPr>
        <w:t xml:space="preserve"> حيث نصت على </w:t>
      </w:r>
      <w:proofErr w:type="spellStart"/>
      <w:r w:rsidRPr="008D1C2B">
        <w:rPr>
          <w:rFonts w:ascii="Traditional Arabic" w:hAnsi="Traditional Arabic"/>
          <w:spacing w:val="-2"/>
          <w:sz w:val="32"/>
          <w:szCs w:val="32"/>
          <w:rtl/>
          <w:lang w:bidi="ar-SY"/>
        </w:rPr>
        <w:t>ان</w:t>
      </w:r>
      <w:proofErr w:type="spellEnd"/>
      <w:r w:rsidRPr="008D1C2B">
        <w:rPr>
          <w:rFonts w:ascii="Traditional Arabic" w:hAnsi="Traditional Arabic"/>
          <w:spacing w:val="-2"/>
          <w:sz w:val="32"/>
          <w:szCs w:val="32"/>
          <w:rtl/>
          <w:lang w:bidi="ar-SY"/>
        </w:rPr>
        <w:t xml:space="preserve"> (يعاقب بالحبس من قبض على شخص </w:t>
      </w:r>
      <w:proofErr w:type="spellStart"/>
      <w:r w:rsidRPr="008D1C2B">
        <w:rPr>
          <w:rFonts w:ascii="Traditional Arabic" w:hAnsi="Traditional Arabic"/>
          <w:spacing w:val="-2"/>
          <w:sz w:val="32"/>
          <w:szCs w:val="32"/>
          <w:rtl/>
          <w:lang w:bidi="ar-SY"/>
        </w:rPr>
        <w:t>او</w:t>
      </w:r>
      <w:proofErr w:type="spellEnd"/>
      <w:r w:rsidRPr="008D1C2B">
        <w:rPr>
          <w:rFonts w:ascii="Traditional Arabic" w:hAnsi="Traditional Arabic"/>
          <w:spacing w:val="-2"/>
          <w:sz w:val="32"/>
          <w:szCs w:val="32"/>
          <w:rtl/>
          <w:lang w:bidi="ar-SY"/>
        </w:rPr>
        <w:t xml:space="preserve"> حجزه</w:t>
      </w:r>
      <w:r w:rsidRPr="008D1C2B">
        <w:rPr>
          <w:rFonts w:ascii="Traditional Arabic" w:hAnsi="Traditional Arabic"/>
          <w:sz w:val="32"/>
          <w:szCs w:val="32"/>
          <w:rtl/>
          <w:lang w:bidi="ar-SY"/>
        </w:rPr>
        <w:t xml:space="preserve"> أو حرمه من حريته </w:t>
      </w:r>
      <w:proofErr w:type="spellStart"/>
      <w:r w:rsidRPr="008D1C2B">
        <w:rPr>
          <w:rFonts w:ascii="Traditional Arabic" w:hAnsi="Traditional Arabic"/>
          <w:sz w:val="32"/>
          <w:szCs w:val="32"/>
          <w:rtl/>
          <w:lang w:bidi="ar-SY"/>
        </w:rPr>
        <w:t>باية</w:t>
      </w:r>
      <w:proofErr w:type="spellEnd"/>
      <w:r w:rsidRPr="008D1C2B">
        <w:rPr>
          <w:rFonts w:ascii="Traditional Arabic" w:hAnsi="Traditional Arabic"/>
          <w:sz w:val="32"/>
          <w:szCs w:val="32"/>
          <w:rtl/>
          <w:lang w:bidi="ar-SY"/>
        </w:rPr>
        <w:t xml:space="preserve"> وسيلة كانت بدون امر سلطة مختصة في غير الأحوال التي تصرح فيها القوانين والأنظمة بذلك).</w:t>
      </w:r>
    </w:p>
    <w:p w:rsidR="00450F29" w:rsidRPr="008D1C2B" w:rsidRDefault="00450F29" w:rsidP="00450F29">
      <w:pPr>
        <w:tabs>
          <w:tab w:val="left" w:pos="1928"/>
          <w:tab w:val="left" w:pos="2608"/>
          <w:tab w:val="left" w:pos="3289"/>
          <w:tab w:val="left" w:pos="3969"/>
          <w:tab w:val="left" w:pos="4649"/>
          <w:tab w:val="left" w:pos="5330"/>
        </w:tabs>
        <w:spacing w:after="120" w:line="380" w:lineRule="exact"/>
        <w:ind w:left="1247" w:right="1247"/>
        <w:rPr>
          <w:rFonts w:ascii="Traditional Arabic" w:hAnsi="Traditional Arabic"/>
          <w:sz w:val="32"/>
          <w:szCs w:val="32"/>
          <w:rtl/>
          <w:lang w:bidi="ar-SY"/>
        </w:rPr>
      </w:pPr>
      <w:r>
        <w:rPr>
          <w:rFonts w:ascii="Traditional Arabic" w:hAnsi="Traditional Arabic" w:hint="cs"/>
          <w:sz w:val="32"/>
          <w:szCs w:val="32"/>
          <w:rtl/>
          <w:lang w:bidi="ar-SY"/>
        </w:rPr>
        <w:t>4-</w:t>
      </w:r>
      <w:r>
        <w:rPr>
          <w:rFonts w:ascii="Traditional Arabic" w:hAnsi="Traditional Arabic" w:hint="cs"/>
          <w:sz w:val="32"/>
          <w:szCs w:val="32"/>
          <w:rtl/>
          <w:lang w:bidi="ar-SY"/>
        </w:rPr>
        <w:tab/>
      </w:r>
      <w:r w:rsidRPr="008D1C2B">
        <w:rPr>
          <w:rFonts w:ascii="Traditional Arabic" w:hAnsi="Traditional Arabic"/>
          <w:sz w:val="32"/>
          <w:szCs w:val="32"/>
          <w:rtl/>
          <w:lang w:bidi="ar-SY"/>
        </w:rPr>
        <w:t xml:space="preserve">وبناء على ما تقدم أعلاه فإن هناك مشروع قانون لجريمة الاختفاء القسري غير إن قرار </w:t>
      </w:r>
      <w:proofErr w:type="spellStart"/>
      <w:r w:rsidRPr="008D1C2B">
        <w:rPr>
          <w:rFonts w:ascii="Traditional Arabic" w:hAnsi="Traditional Arabic"/>
          <w:sz w:val="32"/>
          <w:szCs w:val="32"/>
          <w:rtl/>
          <w:lang w:bidi="ar-SY"/>
        </w:rPr>
        <w:t>الغاء</w:t>
      </w:r>
      <w:proofErr w:type="spellEnd"/>
      <w:r w:rsidRPr="008D1C2B">
        <w:rPr>
          <w:rFonts w:ascii="Traditional Arabic" w:hAnsi="Traditional Arabic"/>
          <w:sz w:val="32"/>
          <w:szCs w:val="32"/>
          <w:rtl/>
          <w:lang w:bidi="ar-SY"/>
        </w:rPr>
        <w:t xml:space="preserve"> وزارة حقوق الإنسان قد أدى إلى تأخير الإجراءات الخاصة به وبعد أن تم استلام الملف من قبل وزارة العدل بدأت الإجراءات الخاصة بالمشروع وبالتالي </w:t>
      </w:r>
      <w:proofErr w:type="spellStart"/>
      <w:r w:rsidRPr="008D1C2B">
        <w:rPr>
          <w:rFonts w:ascii="Traditional Arabic" w:hAnsi="Traditional Arabic"/>
          <w:sz w:val="32"/>
          <w:szCs w:val="32"/>
          <w:rtl/>
          <w:lang w:bidi="ar-SY"/>
        </w:rPr>
        <w:t>الى</w:t>
      </w:r>
      <w:proofErr w:type="spellEnd"/>
      <w:r w:rsidRPr="008D1C2B">
        <w:rPr>
          <w:rFonts w:ascii="Traditional Arabic" w:hAnsi="Traditional Arabic"/>
          <w:sz w:val="32"/>
          <w:szCs w:val="32"/>
          <w:rtl/>
          <w:lang w:bidi="ar-SY"/>
        </w:rPr>
        <w:t xml:space="preserve"> إدراجه في القانون المحلي العراقي.</w:t>
      </w:r>
    </w:p>
    <w:p w:rsidR="00450F29" w:rsidRPr="008D1C2B" w:rsidRDefault="00450F29" w:rsidP="00450F29">
      <w:pPr>
        <w:tabs>
          <w:tab w:val="left" w:pos="1928"/>
          <w:tab w:val="left" w:pos="2608"/>
          <w:tab w:val="left" w:pos="3289"/>
          <w:tab w:val="left" w:pos="3969"/>
          <w:tab w:val="left" w:pos="4649"/>
          <w:tab w:val="left" w:pos="5330"/>
        </w:tabs>
        <w:spacing w:after="120" w:line="380" w:lineRule="exact"/>
        <w:ind w:left="1247" w:right="1247"/>
        <w:rPr>
          <w:rFonts w:ascii="Traditional Arabic" w:hAnsi="Traditional Arabic"/>
          <w:sz w:val="32"/>
          <w:szCs w:val="32"/>
          <w:rtl/>
        </w:rPr>
      </w:pPr>
      <w:r w:rsidRPr="00817C1D">
        <w:rPr>
          <w:rFonts w:ascii="Traditional Arabic" w:hAnsi="Traditional Arabic"/>
          <w:sz w:val="32"/>
          <w:szCs w:val="32"/>
          <w:rtl/>
        </w:rPr>
        <w:t>5-</w:t>
      </w:r>
      <w:r w:rsidRPr="00817C1D">
        <w:rPr>
          <w:rFonts w:ascii="Traditional Arabic" w:hAnsi="Traditional Arabic"/>
          <w:sz w:val="32"/>
          <w:szCs w:val="32"/>
          <w:rtl/>
        </w:rPr>
        <w:tab/>
      </w:r>
      <w:r w:rsidRPr="00817C1D">
        <w:rPr>
          <w:rFonts w:ascii="Traditional Arabic" w:hAnsi="Traditional Arabic"/>
          <w:b/>
          <w:bCs/>
          <w:sz w:val="32"/>
          <w:szCs w:val="32"/>
          <w:rtl/>
        </w:rPr>
        <w:t>ثانيا</w:t>
      </w:r>
      <w:r w:rsidRPr="00817C1D">
        <w:rPr>
          <w:rFonts w:ascii="Traditional Arabic" w:hAnsi="Traditional Arabic" w:hint="eastAsia"/>
          <w:b/>
          <w:bCs/>
          <w:sz w:val="32"/>
          <w:szCs w:val="32"/>
          <w:rtl/>
        </w:rPr>
        <w:t>ً،</w:t>
      </w:r>
      <w:r w:rsidRPr="008D1C2B">
        <w:rPr>
          <w:rFonts w:ascii="Traditional Arabic" w:hAnsi="Traditional Arabic"/>
          <w:b/>
          <w:bCs/>
          <w:sz w:val="32"/>
          <w:szCs w:val="32"/>
          <w:rtl/>
        </w:rPr>
        <w:t xml:space="preserve"> </w:t>
      </w:r>
      <w:r w:rsidRPr="008D1C2B">
        <w:rPr>
          <w:rFonts w:ascii="Traditional Arabic" w:hAnsi="Traditional Arabic"/>
          <w:sz w:val="32"/>
          <w:szCs w:val="32"/>
          <w:rtl/>
        </w:rPr>
        <w:t>بالنسبة للفقرة رقم (29) من الملاحظات الختامية لتقرير العراق الخاص بالاتفاقية أعلاه والتي تتعلق (بالاحتجاز والحرمان من الحرية) حيث ورد في الفقرة (12) من المادة (19) من الدستور العراقي نصا مهما لمنع الاحتجاز السري وهو (أ</w:t>
      </w:r>
      <w:r>
        <w:rPr>
          <w:rFonts w:ascii="Traditional Arabic" w:hAnsi="Traditional Arabic" w:hint="cs"/>
          <w:sz w:val="32"/>
          <w:szCs w:val="32"/>
          <w:rtl/>
        </w:rPr>
        <w:t>)</w:t>
      </w:r>
      <w:r w:rsidRPr="008D1C2B">
        <w:rPr>
          <w:rFonts w:ascii="Traditional Arabic" w:hAnsi="Traditional Arabic"/>
          <w:sz w:val="32"/>
          <w:szCs w:val="32"/>
          <w:rtl/>
        </w:rPr>
        <w:t xml:space="preserve"> يحضر الحجز</w:t>
      </w:r>
      <w:r>
        <w:rPr>
          <w:rFonts w:ascii="Traditional Arabic" w:hAnsi="Traditional Arabic" w:hint="cs"/>
          <w:sz w:val="32"/>
          <w:szCs w:val="32"/>
          <w:rtl/>
        </w:rPr>
        <w:t>؛</w:t>
      </w:r>
      <w:r w:rsidRPr="008D1C2B">
        <w:rPr>
          <w:rFonts w:ascii="Traditional Arabic" w:hAnsi="Traditional Arabic"/>
          <w:sz w:val="32"/>
          <w:szCs w:val="32"/>
          <w:rtl/>
        </w:rPr>
        <w:t> </w:t>
      </w:r>
      <w:r>
        <w:rPr>
          <w:rFonts w:ascii="Traditional Arabic" w:hAnsi="Traditional Arabic" w:hint="cs"/>
          <w:sz w:val="32"/>
          <w:szCs w:val="32"/>
          <w:rtl/>
        </w:rPr>
        <w:t>(</w:t>
      </w:r>
      <w:r w:rsidRPr="008D1C2B">
        <w:rPr>
          <w:rFonts w:ascii="Traditional Arabic" w:hAnsi="Traditional Arabic"/>
          <w:sz w:val="32"/>
          <w:szCs w:val="32"/>
          <w:rtl/>
        </w:rPr>
        <w:t>ب</w:t>
      </w:r>
      <w:r>
        <w:rPr>
          <w:rFonts w:ascii="Traditional Arabic" w:hAnsi="Traditional Arabic" w:hint="cs"/>
          <w:sz w:val="32"/>
          <w:szCs w:val="32"/>
          <w:rtl/>
        </w:rPr>
        <w:t>)</w:t>
      </w:r>
      <w:r w:rsidRPr="008D1C2B">
        <w:rPr>
          <w:rFonts w:ascii="Traditional Arabic" w:hAnsi="Traditional Arabic"/>
          <w:sz w:val="32"/>
          <w:szCs w:val="32"/>
          <w:rtl/>
        </w:rPr>
        <w:t xml:space="preserve"> لا يجوز الحبس</w:t>
      </w:r>
      <w:r w:rsidRPr="008D1C2B">
        <w:rPr>
          <w:rFonts w:ascii="Traditional Arabic" w:hAnsi="Traditional Arabic" w:hint="cs"/>
          <w:sz w:val="32"/>
          <w:szCs w:val="32"/>
          <w:rtl/>
        </w:rPr>
        <w:t xml:space="preserve"> </w:t>
      </w:r>
      <w:proofErr w:type="spellStart"/>
      <w:r w:rsidRPr="008D1C2B">
        <w:rPr>
          <w:rFonts w:ascii="Traditional Arabic" w:hAnsi="Traditional Arabic"/>
          <w:sz w:val="32"/>
          <w:szCs w:val="32"/>
          <w:rtl/>
        </w:rPr>
        <w:t>او</w:t>
      </w:r>
      <w:proofErr w:type="spellEnd"/>
      <w:r w:rsidRPr="008D1C2B">
        <w:rPr>
          <w:rFonts w:ascii="Traditional Arabic" w:hAnsi="Traditional Arabic"/>
          <w:sz w:val="32"/>
          <w:szCs w:val="32"/>
          <w:rtl/>
        </w:rPr>
        <w:t xml:space="preserve"> التوقيف في غير الأماكن المخصصة لذلك وفقا لقوانين </w:t>
      </w:r>
      <w:r w:rsidRPr="008D1C2B">
        <w:rPr>
          <w:rFonts w:ascii="Traditional Arabic" w:hAnsi="Traditional Arabic"/>
          <w:sz w:val="32"/>
          <w:szCs w:val="32"/>
          <w:rtl/>
        </w:rPr>
        <w:lastRenderedPageBreak/>
        <w:t>السجون المشمولة بالرعاية الصحية والاجتماعية الخاضعة لسلطات الدولة ونصت الفقرة</w:t>
      </w:r>
      <w:r>
        <w:rPr>
          <w:rFonts w:ascii="Traditional Arabic" w:hAnsi="Traditional Arabic" w:hint="cs"/>
          <w:sz w:val="32"/>
          <w:szCs w:val="32"/>
          <w:rtl/>
        </w:rPr>
        <w:t> </w:t>
      </w:r>
      <w:r w:rsidRPr="008D1C2B">
        <w:rPr>
          <w:rFonts w:ascii="Traditional Arabic" w:hAnsi="Traditional Arabic"/>
          <w:sz w:val="32"/>
          <w:szCs w:val="32"/>
          <w:rtl/>
        </w:rPr>
        <w:t>(13) من ذات المادة على أن (تعرض أوراق التحقيق الابتدائي على القاضي المختص خلال مدة لا تتجاوز أربعة وعشرون ساعة من حين القبض على المتهم ولا يجوز تمديدها إلا مرة واحدة وللمدة ذاتها).</w:t>
      </w:r>
    </w:p>
    <w:p w:rsidR="00450F29" w:rsidRPr="008D1C2B" w:rsidRDefault="00450F29" w:rsidP="00450F29">
      <w:pPr>
        <w:tabs>
          <w:tab w:val="left" w:pos="1928"/>
          <w:tab w:val="left" w:pos="2608"/>
          <w:tab w:val="left" w:pos="3289"/>
          <w:tab w:val="left" w:pos="3969"/>
          <w:tab w:val="left" w:pos="4649"/>
          <w:tab w:val="left" w:pos="5330"/>
        </w:tabs>
        <w:spacing w:after="120" w:line="380" w:lineRule="exact"/>
        <w:ind w:left="1247" w:right="1247"/>
        <w:rPr>
          <w:rFonts w:ascii="Traditional Arabic" w:hAnsi="Traditional Arabic"/>
          <w:sz w:val="32"/>
          <w:szCs w:val="32"/>
          <w:rtl/>
        </w:rPr>
      </w:pPr>
      <w:r>
        <w:rPr>
          <w:rFonts w:ascii="Traditional Arabic" w:hAnsi="Traditional Arabic" w:hint="cs"/>
          <w:sz w:val="32"/>
          <w:szCs w:val="32"/>
          <w:rtl/>
        </w:rPr>
        <w:t>6-</w:t>
      </w:r>
      <w:r>
        <w:rPr>
          <w:rFonts w:ascii="Traditional Arabic" w:hAnsi="Traditional Arabic" w:hint="cs"/>
          <w:sz w:val="32"/>
          <w:szCs w:val="32"/>
          <w:rtl/>
        </w:rPr>
        <w:tab/>
      </w:r>
      <w:r w:rsidRPr="008D1C2B">
        <w:rPr>
          <w:rFonts w:ascii="Traditional Arabic" w:hAnsi="Traditional Arabic"/>
          <w:sz w:val="32"/>
          <w:szCs w:val="32"/>
          <w:rtl/>
        </w:rPr>
        <w:t>إضافة إلى ذلك فقد وردت عده مواد بمذكرة سلطة الائتلاف الموقتة (المنحلة) رقم</w:t>
      </w:r>
      <w:r>
        <w:rPr>
          <w:rFonts w:ascii="Traditional Arabic" w:hAnsi="Traditional Arabic" w:hint="cs"/>
          <w:sz w:val="32"/>
          <w:szCs w:val="32"/>
          <w:rtl/>
        </w:rPr>
        <w:t> </w:t>
      </w:r>
      <w:r w:rsidRPr="008D1C2B">
        <w:rPr>
          <w:rFonts w:ascii="Traditional Arabic" w:hAnsi="Traditional Arabic"/>
          <w:sz w:val="32"/>
          <w:szCs w:val="32"/>
          <w:rtl/>
        </w:rPr>
        <w:t xml:space="preserve">2 لسنة 2003 الخاصة (بإدارة السجون ومرافق الاحتجاز) خاصة بمنع الاحتجاز السري من خلال وضع ضوابط شديدة لتوثيق سجن أي شخص بموجب إجراءات قانونية منها وجود سجل في كل مركز احتجازي مرقم الصفحات تدون فيه البيانات الكاملة عن كل سجين يتم استلامه من قبل المركز وكذلك وضع قواعد مهمة لتنظيم وضع السجناء من كافة النواحي القانونية والصحية والتنظيمية إضافة لوضع مجموعة من الالتزامات على </w:t>
      </w:r>
      <w:proofErr w:type="spellStart"/>
      <w:r w:rsidRPr="008D1C2B">
        <w:rPr>
          <w:rFonts w:ascii="Traditional Arabic" w:hAnsi="Traditional Arabic"/>
          <w:sz w:val="32"/>
          <w:szCs w:val="32"/>
          <w:rtl/>
        </w:rPr>
        <w:t>ادارة</w:t>
      </w:r>
      <w:proofErr w:type="spellEnd"/>
      <w:r w:rsidRPr="008D1C2B">
        <w:rPr>
          <w:rFonts w:ascii="Traditional Arabic" w:hAnsi="Traditional Arabic"/>
          <w:sz w:val="32"/>
          <w:szCs w:val="32"/>
          <w:rtl/>
        </w:rPr>
        <w:t xml:space="preserve"> السجن لحماية المودعين في السجون كما </w:t>
      </w:r>
      <w:proofErr w:type="spellStart"/>
      <w:r w:rsidRPr="008D1C2B">
        <w:rPr>
          <w:rFonts w:ascii="Traditional Arabic" w:hAnsi="Traditional Arabic"/>
          <w:sz w:val="32"/>
          <w:szCs w:val="32"/>
          <w:rtl/>
        </w:rPr>
        <w:t>ان</w:t>
      </w:r>
      <w:proofErr w:type="spellEnd"/>
      <w:r w:rsidRPr="008D1C2B">
        <w:rPr>
          <w:rFonts w:ascii="Traditional Arabic" w:hAnsi="Traditional Arabic"/>
          <w:sz w:val="32"/>
          <w:szCs w:val="32"/>
          <w:rtl/>
        </w:rPr>
        <w:t xml:space="preserve"> قانون الادعاء العام رقم 159 لسنة</w:t>
      </w:r>
      <w:r>
        <w:rPr>
          <w:rFonts w:ascii="Traditional Arabic" w:hAnsi="Traditional Arabic" w:hint="cs"/>
          <w:sz w:val="32"/>
          <w:szCs w:val="32"/>
          <w:rtl/>
        </w:rPr>
        <w:t> </w:t>
      </w:r>
      <w:r w:rsidRPr="008D1C2B">
        <w:rPr>
          <w:rFonts w:ascii="Traditional Arabic" w:hAnsi="Traditional Arabic"/>
          <w:sz w:val="32"/>
          <w:szCs w:val="32"/>
          <w:rtl/>
        </w:rPr>
        <w:t xml:space="preserve">1979 بموجب الفقرة (ثانيا) من المادة (7) منه نصت على (يقوم الادعاء العام بتفتيش المواقف وأقسام دائرة إصلاح الكبار ودائرة إصلاح الأحداث وتقديم التقارير الشهرية عنها </w:t>
      </w:r>
      <w:proofErr w:type="spellStart"/>
      <w:r w:rsidRPr="008D1C2B">
        <w:rPr>
          <w:rFonts w:ascii="Traditional Arabic" w:hAnsi="Traditional Arabic"/>
          <w:sz w:val="32"/>
          <w:szCs w:val="32"/>
          <w:rtl/>
        </w:rPr>
        <w:t>الى</w:t>
      </w:r>
      <w:proofErr w:type="spellEnd"/>
      <w:r w:rsidRPr="008D1C2B">
        <w:rPr>
          <w:rFonts w:ascii="Traditional Arabic" w:hAnsi="Traditional Arabic"/>
          <w:sz w:val="32"/>
          <w:szCs w:val="32"/>
          <w:rtl/>
        </w:rPr>
        <w:t xml:space="preserve"> الجهات المعنية).</w:t>
      </w:r>
    </w:p>
    <w:p w:rsidR="00450F29" w:rsidRPr="008D1C2B" w:rsidRDefault="00450F29" w:rsidP="00450F29">
      <w:pPr>
        <w:tabs>
          <w:tab w:val="left" w:pos="1928"/>
          <w:tab w:val="left" w:pos="2608"/>
          <w:tab w:val="left" w:pos="3289"/>
          <w:tab w:val="left" w:pos="3969"/>
          <w:tab w:val="left" w:pos="4649"/>
          <w:tab w:val="left" w:pos="5330"/>
        </w:tabs>
        <w:spacing w:after="120" w:line="380" w:lineRule="exact"/>
        <w:ind w:left="1247" w:right="1247"/>
        <w:rPr>
          <w:rFonts w:ascii="Traditional Arabic" w:hAnsi="Traditional Arabic"/>
          <w:sz w:val="32"/>
          <w:szCs w:val="32"/>
          <w:rtl/>
        </w:rPr>
      </w:pPr>
      <w:r>
        <w:rPr>
          <w:rFonts w:ascii="Traditional Arabic" w:hAnsi="Traditional Arabic" w:hint="cs"/>
          <w:sz w:val="32"/>
          <w:szCs w:val="32"/>
          <w:rtl/>
        </w:rPr>
        <w:t>7-</w:t>
      </w:r>
      <w:r>
        <w:rPr>
          <w:rFonts w:ascii="Traditional Arabic" w:hAnsi="Traditional Arabic" w:hint="cs"/>
          <w:sz w:val="32"/>
          <w:szCs w:val="32"/>
          <w:rtl/>
        </w:rPr>
        <w:tab/>
      </w:r>
      <w:r w:rsidRPr="008D1C2B">
        <w:rPr>
          <w:rFonts w:ascii="Traditional Arabic" w:hAnsi="Traditional Arabic"/>
          <w:sz w:val="32"/>
          <w:szCs w:val="32"/>
          <w:rtl/>
        </w:rPr>
        <w:t xml:space="preserve">ومما تقدم </w:t>
      </w:r>
      <w:proofErr w:type="spellStart"/>
      <w:r w:rsidRPr="008D1C2B">
        <w:rPr>
          <w:rFonts w:ascii="Traditional Arabic" w:hAnsi="Traditional Arabic"/>
          <w:sz w:val="32"/>
          <w:szCs w:val="32"/>
          <w:rtl/>
        </w:rPr>
        <w:t>اعلاه</w:t>
      </w:r>
      <w:proofErr w:type="spellEnd"/>
      <w:r w:rsidRPr="008D1C2B">
        <w:rPr>
          <w:rFonts w:ascii="Traditional Arabic" w:hAnsi="Traditional Arabic"/>
          <w:sz w:val="32"/>
          <w:szCs w:val="32"/>
          <w:rtl/>
        </w:rPr>
        <w:t xml:space="preserve"> فانه هناك مشروع قانون جديد لدى مجلس النواب خاص بإدارة السجون ليحل محل مذكرة سلطة الائتلاف المذكورة أنفا يتضمن أحكاما ونصوصا خاصة بإدارة السجون</w:t>
      </w:r>
      <w:r>
        <w:rPr>
          <w:rFonts w:ascii="Traditional Arabic" w:hAnsi="Traditional Arabic" w:hint="cs"/>
          <w:sz w:val="32"/>
          <w:szCs w:val="32"/>
          <w:rtl/>
        </w:rPr>
        <w:t xml:space="preserve"> </w:t>
      </w:r>
      <w:r w:rsidRPr="008D1C2B">
        <w:rPr>
          <w:rFonts w:ascii="Traditional Arabic" w:hAnsi="Traditional Arabic"/>
          <w:sz w:val="32"/>
          <w:szCs w:val="32"/>
          <w:rtl/>
        </w:rPr>
        <w:t>ومرافق الاحتجاز.</w:t>
      </w:r>
    </w:p>
    <w:p w:rsidR="00450F29" w:rsidRPr="008D1C2B" w:rsidRDefault="00450F29" w:rsidP="00450F29">
      <w:pPr>
        <w:tabs>
          <w:tab w:val="left" w:pos="1928"/>
          <w:tab w:val="left" w:pos="2608"/>
          <w:tab w:val="left" w:pos="3289"/>
          <w:tab w:val="left" w:pos="3969"/>
          <w:tab w:val="left" w:pos="4649"/>
          <w:tab w:val="left" w:pos="5330"/>
        </w:tabs>
        <w:spacing w:after="120" w:line="380" w:lineRule="exact"/>
        <w:ind w:left="1247" w:right="1247"/>
        <w:rPr>
          <w:rFonts w:ascii="Traditional Arabic" w:hAnsi="Traditional Arabic"/>
          <w:sz w:val="32"/>
          <w:szCs w:val="32"/>
          <w:rtl/>
        </w:rPr>
      </w:pPr>
      <w:r w:rsidRPr="00817C1D">
        <w:rPr>
          <w:rFonts w:ascii="Traditional Arabic" w:hAnsi="Traditional Arabic"/>
          <w:sz w:val="32"/>
          <w:szCs w:val="32"/>
          <w:rtl/>
        </w:rPr>
        <w:t>8-</w:t>
      </w:r>
      <w:r w:rsidRPr="00817C1D">
        <w:rPr>
          <w:rFonts w:ascii="Traditional Arabic" w:hAnsi="Traditional Arabic"/>
          <w:sz w:val="32"/>
          <w:szCs w:val="32"/>
          <w:rtl/>
        </w:rPr>
        <w:tab/>
      </w:r>
      <w:r w:rsidRPr="008D1C2B">
        <w:rPr>
          <w:rFonts w:ascii="Traditional Arabic" w:hAnsi="Traditional Arabic"/>
          <w:b/>
          <w:bCs/>
          <w:sz w:val="32"/>
          <w:szCs w:val="32"/>
          <w:rtl/>
        </w:rPr>
        <w:t>ثالثا</w:t>
      </w:r>
      <w:r>
        <w:rPr>
          <w:rFonts w:ascii="Traditional Arabic" w:hAnsi="Traditional Arabic" w:hint="cs"/>
          <w:b/>
          <w:bCs/>
          <w:sz w:val="32"/>
          <w:szCs w:val="32"/>
          <w:rtl/>
        </w:rPr>
        <w:t>ً،</w:t>
      </w:r>
      <w:r w:rsidRPr="008D1C2B">
        <w:rPr>
          <w:rFonts w:ascii="Traditional Arabic" w:hAnsi="Traditional Arabic"/>
          <w:sz w:val="32"/>
          <w:szCs w:val="32"/>
          <w:rtl/>
        </w:rPr>
        <w:t xml:space="preserve"> فيما يتعلق بالتوصية رقم (34) من الملاحظات الختامية لتقرير العراق الخاص بالاتفاقية </w:t>
      </w:r>
      <w:proofErr w:type="spellStart"/>
      <w:r w:rsidRPr="008D1C2B">
        <w:rPr>
          <w:rFonts w:ascii="Traditional Arabic" w:hAnsi="Traditional Arabic"/>
          <w:sz w:val="32"/>
          <w:szCs w:val="32"/>
          <w:rtl/>
        </w:rPr>
        <w:t>انفا</w:t>
      </w:r>
      <w:proofErr w:type="spellEnd"/>
      <w:r w:rsidRPr="008D1C2B">
        <w:rPr>
          <w:rFonts w:ascii="Traditional Arabic" w:hAnsi="Traditional Arabic"/>
          <w:sz w:val="32"/>
          <w:szCs w:val="32"/>
          <w:rtl/>
        </w:rPr>
        <w:t xml:space="preserve"> التي تتضمن التفتيش عن جميع الأشخاص المختفين قسرا والأشخاص الذين لا يزال مصيرهم مجهولا وتحديد أماكن وجودهم دون تأخير وأن تكفل في حال وفاتهم التعرف على رفاتهم واحترامها وإعادتها وفي هذا السياق ينبغي </w:t>
      </w:r>
      <w:proofErr w:type="spellStart"/>
      <w:r w:rsidRPr="008D1C2B">
        <w:rPr>
          <w:rFonts w:ascii="Traditional Arabic" w:hAnsi="Traditional Arabic"/>
          <w:sz w:val="32"/>
          <w:szCs w:val="32"/>
          <w:rtl/>
        </w:rPr>
        <w:t>ان</w:t>
      </w:r>
      <w:proofErr w:type="spellEnd"/>
      <w:r w:rsidRPr="008D1C2B">
        <w:rPr>
          <w:rFonts w:ascii="Traditional Arabic" w:hAnsi="Traditional Arabic"/>
          <w:sz w:val="32"/>
          <w:szCs w:val="32"/>
          <w:rtl/>
        </w:rPr>
        <w:t xml:space="preserve"> تضمن </w:t>
      </w:r>
      <w:proofErr w:type="spellStart"/>
      <w:r w:rsidRPr="008D1C2B">
        <w:rPr>
          <w:rFonts w:ascii="Traditional Arabic" w:hAnsi="Traditional Arabic"/>
          <w:sz w:val="32"/>
          <w:szCs w:val="32"/>
          <w:rtl/>
        </w:rPr>
        <w:t>ايضا</w:t>
      </w:r>
      <w:proofErr w:type="spellEnd"/>
      <w:r w:rsidRPr="008D1C2B">
        <w:rPr>
          <w:rFonts w:ascii="Traditional Arabic" w:hAnsi="Traditional Arabic"/>
          <w:sz w:val="32"/>
          <w:szCs w:val="32"/>
          <w:rtl/>
        </w:rPr>
        <w:t xml:space="preserve"> التنسيق والتعاون بفعالية بين السلطات المعنية بالتفتيش عن </w:t>
      </w:r>
      <w:proofErr w:type="spellStart"/>
      <w:r w:rsidRPr="008D1C2B">
        <w:rPr>
          <w:rFonts w:ascii="Traditional Arabic" w:hAnsi="Traditional Arabic"/>
          <w:sz w:val="32"/>
          <w:szCs w:val="32"/>
          <w:rtl/>
        </w:rPr>
        <w:t>الاشخاص</w:t>
      </w:r>
      <w:proofErr w:type="spellEnd"/>
      <w:r w:rsidRPr="008D1C2B">
        <w:rPr>
          <w:rFonts w:ascii="Traditional Arabic" w:hAnsi="Traditional Arabic"/>
          <w:sz w:val="32"/>
          <w:szCs w:val="32"/>
          <w:rtl/>
        </w:rPr>
        <w:t xml:space="preserve"> المختفين والكشف عن رفاتهم في حال وفاتهم والتأكد من حصولها على الموارد المالية والتقنية والبشرية اللازمة لتمكينها من </w:t>
      </w:r>
      <w:proofErr w:type="spellStart"/>
      <w:r w:rsidRPr="008D1C2B">
        <w:rPr>
          <w:rFonts w:ascii="Traditional Arabic" w:hAnsi="Traditional Arabic"/>
          <w:sz w:val="32"/>
          <w:szCs w:val="32"/>
          <w:rtl/>
        </w:rPr>
        <w:t>اداء</w:t>
      </w:r>
      <w:proofErr w:type="spellEnd"/>
      <w:r w:rsidRPr="008D1C2B">
        <w:rPr>
          <w:rFonts w:ascii="Traditional Arabic" w:hAnsi="Traditional Arabic"/>
          <w:sz w:val="32"/>
          <w:szCs w:val="32"/>
          <w:rtl/>
        </w:rPr>
        <w:t xml:space="preserve"> عملها بسرعة وفعالية </w:t>
      </w:r>
      <w:proofErr w:type="spellStart"/>
      <w:r w:rsidRPr="008D1C2B">
        <w:rPr>
          <w:rFonts w:ascii="Traditional Arabic" w:hAnsi="Traditional Arabic"/>
          <w:sz w:val="32"/>
          <w:szCs w:val="32"/>
          <w:rtl/>
        </w:rPr>
        <w:t>وبالاضافة</w:t>
      </w:r>
      <w:proofErr w:type="spellEnd"/>
      <w:r w:rsidRPr="008D1C2B">
        <w:rPr>
          <w:rFonts w:ascii="Traditional Arabic" w:hAnsi="Traditional Arabic"/>
          <w:sz w:val="32"/>
          <w:szCs w:val="32"/>
          <w:rtl/>
        </w:rPr>
        <w:t xml:space="preserve"> </w:t>
      </w:r>
      <w:proofErr w:type="spellStart"/>
      <w:r w:rsidRPr="008D1C2B">
        <w:rPr>
          <w:rFonts w:ascii="Traditional Arabic" w:hAnsi="Traditional Arabic"/>
          <w:sz w:val="32"/>
          <w:szCs w:val="32"/>
          <w:rtl/>
        </w:rPr>
        <w:t>الى</w:t>
      </w:r>
      <w:proofErr w:type="spellEnd"/>
      <w:r w:rsidRPr="008D1C2B">
        <w:rPr>
          <w:rFonts w:ascii="Traditional Arabic" w:hAnsi="Traditional Arabic"/>
          <w:sz w:val="32"/>
          <w:szCs w:val="32"/>
          <w:rtl/>
        </w:rPr>
        <w:t xml:space="preserve"> ذلك </w:t>
      </w:r>
      <w:proofErr w:type="spellStart"/>
      <w:r w:rsidRPr="008D1C2B">
        <w:rPr>
          <w:rFonts w:ascii="Traditional Arabic" w:hAnsi="Traditional Arabic"/>
          <w:sz w:val="32"/>
          <w:szCs w:val="32"/>
          <w:rtl/>
        </w:rPr>
        <w:t>ينبغى</w:t>
      </w:r>
      <w:proofErr w:type="spellEnd"/>
      <w:r w:rsidRPr="008D1C2B">
        <w:rPr>
          <w:rFonts w:ascii="Traditional Arabic" w:hAnsi="Traditional Arabic"/>
          <w:sz w:val="32"/>
          <w:szCs w:val="32"/>
          <w:rtl/>
        </w:rPr>
        <w:t xml:space="preserve"> </w:t>
      </w:r>
      <w:proofErr w:type="spellStart"/>
      <w:r w:rsidRPr="008D1C2B">
        <w:rPr>
          <w:rFonts w:ascii="Traditional Arabic" w:hAnsi="Traditional Arabic"/>
          <w:sz w:val="32"/>
          <w:szCs w:val="32"/>
          <w:rtl/>
        </w:rPr>
        <w:t>ان</w:t>
      </w:r>
      <w:proofErr w:type="spellEnd"/>
      <w:r w:rsidRPr="008D1C2B">
        <w:rPr>
          <w:rFonts w:ascii="Traditional Arabic" w:hAnsi="Traditional Arabic"/>
          <w:sz w:val="32"/>
          <w:szCs w:val="32"/>
          <w:rtl/>
        </w:rPr>
        <w:t xml:space="preserve"> تعتمد الدولة الطرف التدابير اللازمة لضمان سرعة بدء سريان مفعول التعديل على قانون حماية المقابر الجماعية (القانون رقم 13 لسنة 2015) فضلا عن تنفيذ الاطار التشريعي المتعلق بالمقابر الجماعية تنفيذا فعالا وتذكر اللجنة انه في ضوء المادة</w:t>
      </w:r>
      <w:r w:rsidRPr="008D1C2B">
        <w:rPr>
          <w:rFonts w:ascii="Traditional Arabic" w:hAnsi="Traditional Arabic" w:hint="cs"/>
          <w:sz w:val="32"/>
          <w:szCs w:val="32"/>
          <w:rtl/>
        </w:rPr>
        <w:t xml:space="preserve"> </w:t>
      </w:r>
      <w:r w:rsidRPr="008D1C2B">
        <w:rPr>
          <w:rFonts w:ascii="Traditional Arabic" w:hAnsi="Traditional Arabic"/>
          <w:sz w:val="32"/>
          <w:szCs w:val="32"/>
          <w:rtl/>
        </w:rPr>
        <w:t xml:space="preserve">رقم 24(6) من الاتفاقية </w:t>
      </w:r>
      <w:proofErr w:type="spellStart"/>
      <w:r w:rsidRPr="008D1C2B">
        <w:rPr>
          <w:rFonts w:ascii="Traditional Arabic" w:hAnsi="Traditional Arabic"/>
          <w:sz w:val="32"/>
          <w:szCs w:val="32"/>
          <w:rtl/>
        </w:rPr>
        <w:t>ينبغى</w:t>
      </w:r>
      <w:proofErr w:type="spellEnd"/>
      <w:r w:rsidRPr="008D1C2B">
        <w:rPr>
          <w:rFonts w:ascii="Traditional Arabic" w:hAnsi="Traditional Arabic"/>
          <w:sz w:val="32"/>
          <w:szCs w:val="32"/>
          <w:rtl/>
        </w:rPr>
        <w:t xml:space="preserve"> </w:t>
      </w:r>
      <w:proofErr w:type="spellStart"/>
      <w:r w:rsidRPr="008D1C2B">
        <w:rPr>
          <w:rFonts w:ascii="Traditional Arabic" w:hAnsi="Traditional Arabic"/>
          <w:sz w:val="32"/>
          <w:szCs w:val="32"/>
          <w:rtl/>
        </w:rPr>
        <w:t>ان</w:t>
      </w:r>
      <w:proofErr w:type="spellEnd"/>
      <w:r w:rsidRPr="008D1C2B">
        <w:rPr>
          <w:rFonts w:ascii="Traditional Arabic" w:hAnsi="Traditional Arabic"/>
          <w:sz w:val="32"/>
          <w:szCs w:val="32"/>
          <w:rtl/>
        </w:rPr>
        <w:t xml:space="preserve"> تضمن الدولة الطرف مواصلة التحقيقات </w:t>
      </w:r>
      <w:proofErr w:type="spellStart"/>
      <w:r w:rsidRPr="008D1C2B">
        <w:rPr>
          <w:rFonts w:ascii="Traditional Arabic" w:hAnsi="Traditional Arabic"/>
          <w:sz w:val="32"/>
          <w:szCs w:val="32"/>
          <w:rtl/>
        </w:rPr>
        <w:t>الى</w:t>
      </w:r>
      <w:proofErr w:type="spellEnd"/>
      <w:r w:rsidRPr="008D1C2B">
        <w:rPr>
          <w:rFonts w:ascii="Traditional Arabic" w:hAnsi="Traditional Arabic"/>
          <w:sz w:val="32"/>
          <w:szCs w:val="32"/>
          <w:rtl/>
        </w:rPr>
        <w:t xml:space="preserve"> حين اتضاح مصير الشخص المختفي).</w:t>
      </w:r>
    </w:p>
    <w:p w:rsidR="00450F29" w:rsidRPr="008D1C2B" w:rsidRDefault="00450F29" w:rsidP="00450F29">
      <w:pPr>
        <w:tabs>
          <w:tab w:val="left" w:pos="1928"/>
          <w:tab w:val="left" w:pos="2608"/>
          <w:tab w:val="left" w:pos="3289"/>
          <w:tab w:val="left" w:pos="3969"/>
          <w:tab w:val="left" w:pos="4649"/>
          <w:tab w:val="left" w:pos="5330"/>
        </w:tabs>
        <w:spacing w:after="120" w:line="380" w:lineRule="exact"/>
        <w:ind w:left="1247" w:right="1247"/>
        <w:rPr>
          <w:rFonts w:ascii="Traditional Arabic" w:hAnsi="Traditional Arabic"/>
          <w:sz w:val="32"/>
          <w:szCs w:val="32"/>
          <w:rtl/>
        </w:rPr>
      </w:pPr>
      <w:r>
        <w:rPr>
          <w:rFonts w:ascii="Traditional Arabic" w:hAnsi="Traditional Arabic" w:hint="cs"/>
          <w:sz w:val="32"/>
          <w:szCs w:val="32"/>
          <w:rtl/>
        </w:rPr>
        <w:t>9-</w:t>
      </w:r>
      <w:r>
        <w:rPr>
          <w:rFonts w:ascii="Traditional Arabic" w:hAnsi="Traditional Arabic" w:hint="cs"/>
          <w:sz w:val="32"/>
          <w:szCs w:val="32"/>
          <w:rtl/>
        </w:rPr>
        <w:tab/>
      </w:r>
      <w:r w:rsidRPr="008D1C2B">
        <w:rPr>
          <w:rFonts w:ascii="Traditional Arabic" w:hAnsi="Traditional Arabic"/>
          <w:sz w:val="32"/>
          <w:szCs w:val="32"/>
          <w:rtl/>
        </w:rPr>
        <w:t>وبخصوص التوصية أعلاه فان مجلس القضاء الأعلى ممثلا برئاسة الادعاء العام يقوم بالتعامل الجاد مع كافة الطلبات المقدمة من ذوي المفقودين الذين لا يعرف مصيرهم حيث يتم استلام هذه الطلبات من قبل (شعبة حقوق الإنسان) التي تم استحداثها في رئاسة الادعاء العام حيث يتم مفاتحة كافة الجهات ذات العلاقة من قبل الشعبة المذكورة للوقوف على مصير المفقودين وإعلام ذويهم بذلك علما انه تم استحداث محكمة تحقيق</w:t>
      </w:r>
      <w:r>
        <w:rPr>
          <w:rFonts w:ascii="Traditional Arabic" w:hAnsi="Traditional Arabic" w:hint="cs"/>
          <w:sz w:val="32"/>
          <w:szCs w:val="32"/>
          <w:rtl/>
        </w:rPr>
        <w:t> </w:t>
      </w:r>
      <w:r w:rsidRPr="008D1C2B">
        <w:rPr>
          <w:rFonts w:ascii="Traditional Arabic" w:hAnsi="Traditional Arabic"/>
          <w:sz w:val="32"/>
          <w:szCs w:val="32"/>
          <w:rtl/>
        </w:rPr>
        <w:t>في مركز كل منطقة استئنافية مختصة بالتحقيق بالشكاوى المحالة عليها من رئاسة الادعاء العام</w:t>
      </w:r>
      <w:r>
        <w:rPr>
          <w:rFonts w:ascii="Traditional Arabic" w:hAnsi="Traditional Arabic" w:hint="cs"/>
          <w:sz w:val="32"/>
          <w:szCs w:val="32"/>
          <w:rtl/>
        </w:rPr>
        <w:t>.</w:t>
      </w:r>
    </w:p>
    <w:p w:rsidR="00450F29" w:rsidRPr="008D1C2B" w:rsidRDefault="00450F29" w:rsidP="00450F29">
      <w:pPr>
        <w:tabs>
          <w:tab w:val="left" w:pos="1928"/>
          <w:tab w:val="left" w:pos="2608"/>
          <w:tab w:val="left" w:pos="3289"/>
          <w:tab w:val="left" w:pos="3969"/>
          <w:tab w:val="left" w:pos="4649"/>
          <w:tab w:val="left" w:pos="5330"/>
        </w:tabs>
        <w:spacing w:after="120" w:line="380" w:lineRule="exact"/>
        <w:ind w:left="1247" w:right="1247"/>
        <w:rPr>
          <w:rFonts w:ascii="Traditional Arabic" w:hAnsi="Traditional Arabic"/>
          <w:sz w:val="32"/>
          <w:szCs w:val="32"/>
          <w:rtl/>
        </w:rPr>
      </w:pPr>
      <w:r>
        <w:rPr>
          <w:rFonts w:ascii="Traditional Arabic" w:hAnsi="Traditional Arabic" w:hint="cs"/>
          <w:sz w:val="32"/>
          <w:szCs w:val="32"/>
          <w:rtl/>
        </w:rPr>
        <w:t>10-</w:t>
      </w:r>
      <w:r>
        <w:rPr>
          <w:rFonts w:ascii="Traditional Arabic" w:hAnsi="Traditional Arabic" w:hint="cs"/>
          <w:sz w:val="32"/>
          <w:szCs w:val="32"/>
          <w:rtl/>
        </w:rPr>
        <w:tab/>
      </w:r>
      <w:r w:rsidRPr="008D1C2B">
        <w:rPr>
          <w:rFonts w:ascii="Traditional Arabic" w:hAnsi="Traditional Arabic"/>
          <w:sz w:val="32"/>
          <w:szCs w:val="32"/>
          <w:rtl/>
        </w:rPr>
        <w:t xml:space="preserve">كما </w:t>
      </w:r>
      <w:proofErr w:type="spellStart"/>
      <w:r w:rsidRPr="008D1C2B">
        <w:rPr>
          <w:rFonts w:ascii="Traditional Arabic" w:hAnsi="Traditional Arabic"/>
          <w:sz w:val="32"/>
          <w:szCs w:val="32"/>
          <w:rtl/>
        </w:rPr>
        <w:t>ان</w:t>
      </w:r>
      <w:proofErr w:type="spellEnd"/>
      <w:r w:rsidRPr="008D1C2B">
        <w:rPr>
          <w:rFonts w:ascii="Traditional Arabic" w:hAnsi="Traditional Arabic"/>
          <w:sz w:val="32"/>
          <w:szCs w:val="32"/>
          <w:rtl/>
        </w:rPr>
        <w:t xml:space="preserve"> مديرية حقوق الإنسان في وزارة الدفاع تقوم باستلام الشكاوى والطلبات من المواطنين من خلال خطوطها الساخنة والتي تخص البحث والتقصي عن مصير المفقودين بالتعاون مع القطاعات العسكرية والتنسيق مع الدوائر الأمنية بإجراءات سريعة دون تأخير لإنهاء معاناة ذوي الضحايا كما وان ملف الأسرى والمفقودين نقل </w:t>
      </w:r>
      <w:proofErr w:type="spellStart"/>
      <w:r w:rsidRPr="008D1C2B">
        <w:rPr>
          <w:rFonts w:ascii="Traditional Arabic" w:hAnsi="Traditional Arabic"/>
          <w:sz w:val="32"/>
          <w:szCs w:val="32"/>
          <w:rtl/>
        </w:rPr>
        <w:t>الى</w:t>
      </w:r>
      <w:proofErr w:type="spellEnd"/>
      <w:r w:rsidRPr="008D1C2B">
        <w:rPr>
          <w:rFonts w:ascii="Traditional Arabic" w:hAnsi="Traditional Arabic"/>
          <w:sz w:val="32"/>
          <w:szCs w:val="32"/>
          <w:rtl/>
        </w:rPr>
        <w:t xml:space="preserve"> وزارة الدفاع بموجب </w:t>
      </w:r>
      <w:proofErr w:type="spellStart"/>
      <w:r w:rsidRPr="008D1C2B">
        <w:rPr>
          <w:rFonts w:ascii="Traditional Arabic" w:hAnsi="Traditional Arabic"/>
          <w:sz w:val="32"/>
          <w:szCs w:val="32"/>
          <w:rtl/>
        </w:rPr>
        <w:t>الامر</w:t>
      </w:r>
      <w:proofErr w:type="spellEnd"/>
      <w:r w:rsidRPr="008D1C2B">
        <w:rPr>
          <w:rFonts w:ascii="Traditional Arabic" w:hAnsi="Traditional Arabic"/>
          <w:sz w:val="32"/>
          <w:szCs w:val="32"/>
          <w:rtl/>
        </w:rPr>
        <w:t xml:space="preserve"> الصادر من </w:t>
      </w:r>
      <w:proofErr w:type="spellStart"/>
      <w:r w:rsidRPr="008D1C2B">
        <w:rPr>
          <w:rFonts w:ascii="Traditional Arabic" w:hAnsi="Traditional Arabic"/>
          <w:sz w:val="32"/>
          <w:szCs w:val="32"/>
          <w:rtl/>
        </w:rPr>
        <w:t>الامانه</w:t>
      </w:r>
      <w:proofErr w:type="spellEnd"/>
      <w:r w:rsidRPr="008D1C2B">
        <w:rPr>
          <w:rFonts w:ascii="Traditional Arabic" w:hAnsi="Traditional Arabic"/>
          <w:sz w:val="32"/>
          <w:szCs w:val="32"/>
          <w:rtl/>
        </w:rPr>
        <w:t xml:space="preserve"> العامة لمجلس الوزراء رقم 40 في 3/1/2016 وكذلك تم نقل ملفات (المقابر الجماعية، توثيق الانتهاكات، ضحايا الإرهاب) بموجب الأمر انف الذكر </w:t>
      </w:r>
      <w:proofErr w:type="spellStart"/>
      <w:r w:rsidRPr="008D1C2B">
        <w:rPr>
          <w:rFonts w:ascii="Traditional Arabic" w:hAnsi="Traditional Arabic"/>
          <w:sz w:val="32"/>
          <w:szCs w:val="32"/>
          <w:rtl/>
        </w:rPr>
        <w:t>الى</w:t>
      </w:r>
      <w:proofErr w:type="spellEnd"/>
      <w:r w:rsidRPr="008D1C2B">
        <w:rPr>
          <w:rFonts w:ascii="Traditional Arabic" w:hAnsi="Traditional Arabic"/>
          <w:sz w:val="32"/>
          <w:szCs w:val="32"/>
          <w:rtl/>
        </w:rPr>
        <w:t xml:space="preserve"> مؤسسة الشهداء حيث </w:t>
      </w:r>
      <w:proofErr w:type="spellStart"/>
      <w:r w:rsidRPr="008D1C2B">
        <w:rPr>
          <w:rFonts w:ascii="Traditional Arabic" w:hAnsi="Traditional Arabic"/>
          <w:sz w:val="32"/>
          <w:szCs w:val="32"/>
          <w:rtl/>
        </w:rPr>
        <w:t>ان</w:t>
      </w:r>
      <w:proofErr w:type="spellEnd"/>
      <w:r w:rsidRPr="008D1C2B">
        <w:rPr>
          <w:rFonts w:ascii="Traditional Arabic" w:hAnsi="Traditional Arabic"/>
          <w:sz w:val="32"/>
          <w:szCs w:val="32"/>
          <w:rtl/>
        </w:rPr>
        <w:t xml:space="preserve"> هناك دائرة شؤون وحماية المقابر الجماعية من ضمن تشكيلات المؤسسة</w:t>
      </w:r>
      <w:r>
        <w:rPr>
          <w:rFonts w:ascii="Traditional Arabic" w:hAnsi="Traditional Arabic" w:hint="cs"/>
          <w:sz w:val="32"/>
          <w:szCs w:val="32"/>
          <w:rtl/>
        </w:rPr>
        <w:t>.</w:t>
      </w:r>
    </w:p>
    <w:p w:rsidR="00450F29" w:rsidRDefault="00450F29" w:rsidP="00450F29">
      <w:pPr>
        <w:tabs>
          <w:tab w:val="left" w:pos="1928"/>
          <w:tab w:val="left" w:pos="2608"/>
          <w:tab w:val="left" w:pos="3289"/>
          <w:tab w:val="left" w:pos="3969"/>
          <w:tab w:val="left" w:pos="4649"/>
          <w:tab w:val="left" w:pos="5330"/>
        </w:tabs>
        <w:spacing w:after="120" w:line="380" w:lineRule="exact"/>
        <w:ind w:left="1247" w:right="1247"/>
        <w:rPr>
          <w:rFonts w:cs="Times New Roman"/>
          <w:sz w:val="18"/>
          <w:szCs w:val="28"/>
          <w:rtl/>
        </w:rPr>
      </w:pPr>
      <w:r>
        <w:rPr>
          <w:rFonts w:ascii="Traditional Arabic" w:hAnsi="Traditional Arabic" w:hint="cs"/>
          <w:sz w:val="32"/>
          <w:szCs w:val="32"/>
          <w:rtl/>
        </w:rPr>
        <w:t>11-</w:t>
      </w:r>
      <w:r>
        <w:rPr>
          <w:rFonts w:ascii="Traditional Arabic" w:hAnsi="Traditional Arabic" w:hint="cs"/>
          <w:sz w:val="32"/>
          <w:szCs w:val="32"/>
          <w:rtl/>
        </w:rPr>
        <w:tab/>
      </w:r>
      <w:r w:rsidRPr="008D1C2B">
        <w:rPr>
          <w:rFonts w:ascii="Traditional Arabic" w:hAnsi="Traditional Arabic"/>
          <w:sz w:val="32"/>
          <w:szCs w:val="32"/>
          <w:rtl/>
        </w:rPr>
        <w:t>كما ونشير إلى التعديل الأول لقانون حماية المقابر الجماعية رقم 13 لسنة</w:t>
      </w:r>
      <w:r>
        <w:rPr>
          <w:rFonts w:ascii="Traditional Arabic" w:hAnsi="Traditional Arabic" w:hint="cs"/>
          <w:sz w:val="32"/>
          <w:szCs w:val="32"/>
          <w:rtl/>
        </w:rPr>
        <w:t> </w:t>
      </w:r>
      <w:r w:rsidRPr="008D1C2B">
        <w:rPr>
          <w:rFonts w:ascii="Traditional Arabic" w:hAnsi="Traditional Arabic"/>
          <w:sz w:val="32"/>
          <w:szCs w:val="32"/>
          <w:rtl/>
        </w:rPr>
        <w:t>2015 حيث نصت المادة (2 فقرة ب) على أن (المقبرة الجماعية الأرض التي تضم رفات أكثر من شهيد تم دفنهم</w:t>
      </w:r>
      <w:r>
        <w:rPr>
          <w:rFonts w:ascii="Traditional Arabic" w:hAnsi="Traditional Arabic" w:hint="cs"/>
          <w:sz w:val="32"/>
          <w:szCs w:val="32"/>
          <w:rtl/>
        </w:rPr>
        <w:t xml:space="preserve"> </w:t>
      </w:r>
      <w:r w:rsidRPr="008D1C2B">
        <w:rPr>
          <w:rFonts w:ascii="Traditional Arabic" w:hAnsi="Traditional Arabic"/>
          <w:sz w:val="32"/>
          <w:szCs w:val="32"/>
          <w:rtl/>
        </w:rPr>
        <w:t>أو إخفائهم على نحو ثابت دون إتباع الأحكام الشرعية والقيم الإنسانية الواجب مراعاتها عند دفن الموتى وبطريقة يكون القصد منها إخفاء معالم جريمة إبادة جماعية يقوم بها فرد أو جماعة</w:t>
      </w:r>
      <w:r>
        <w:rPr>
          <w:rFonts w:ascii="Traditional Arabic" w:hAnsi="Traditional Arabic" w:hint="cs"/>
          <w:sz w:val="32"/>
          <w:szCs w:val="32"/>
          <w:rtl/>
        </w:rPr>
        <w:t xml:space="preserve"> </w:t>
      </w:r>
      <w:r w:rsidRPr="008D1C2B">
        <w:rPr>
          <w:rFonts w:ascii="Traditional Arabic" w:hAnsi="Traditional Arabic"/>
          <w:sz w:val="32"/>
          <w:szCs w:val="32"/>
          <w:rtl/>
        </w:rPr>
        <w:t xml:space="preserve">أو هيئة وتشكل انتهاكا لحقوق الإنسان) وهو نص واضح يبين واقع جريمة الاختفاء القسري ويعمل على القضاء عليها والوصول </w:t>
      </w:r>
      <w:proofErr w:type="spellStart"/>
      <w:r w:rsidRPr="008D1C2B">
        <w:rPr>
          <w:rFonts w:ascii="Traditional Arabic" w:hAnsi="Traditional Arabic"/>
          <w:sz w:val="32"/>
          <w:szCs w:val="32"/>
          <w:rtl/>
        </w:rPr>
        <w:t>الى</w:t>
      </w:r>
      <w:proofErr w:type="spellEnd"/>
      <w:r w:rsidRPr="008D1C2B">
        <w:rPr>
          <w:rFonts w:ascii="Traditional Arabic" w:hAnsi="Traditional Arabic"/>
          <w:sz w:val="32"/>
          <w:szCs w:val="32"/>
          <w:rtl/>
        </w:rPr>
        <w:t xml:space="preserve"> معرفة الضحايا والكشف عن مصيرهم ونصت الفقرة (ثانيا) من ذات المادة أعلاه على </w:t>
      </w:r>
      <w:proofErr w:type="spellStart"/>
      <w:r w:rsidRPr="008D1C2B">
        <w:rPr>
          <w:rFonts w:ascii="Traditional Arabic" w:hAnsi="Traditional Arabic"/>
          <w:sz w:val="32"/>
          <w:szCs w:val="32"/>
          <w:rtl/>
        </w:rPr>
        <w:t>ان</w:t>
      </w:r>
      <w:proofErr w:type="spellEnd"/>
      <w:r w:rsidRPr="008D1C2B">
        <w:rPr>
          <w:rFonts w:ascii="Traditional Arabic" w:hAnsi="Traditional Arabic"/>
          <w:sz w:val="32"/>
          <w:szCs w:val="32"/>
          <w:rtl/>
        </w:rPr>
        <w:t xml:space="preserve"> (تسري أحكام هذا القانون على جرائم المقابر الجماعية المرتكبة في ظل النظام البعثي الدكتاتوري البائد والجرائم التي ارتكبتها العصابات الإرهابية والبعثية قبل وبعد عام 2003) حيث شمل القانون ضحايا الجرائم المرتكبة من قبل العصابات الإرهابية أيضا بقانون المقابر الجماعية.</w:t>
      </w:r>
      <w:r w:rsidRPr="008D1C2B">
        <w:rPr>
          <w:rFonts w:cs="Times New Roman" w:hint="cs"/>
          <w:sz w:val="18"/>
          <w:szCs w:val="28"/>
          <w:rtl/>
        </w:rPr>
        <w:t xml:space="preserve"> </w:t>
      </w:r>
    </w:p>
    <w:p w:rsidR="00404A94" w:rsidRPr="00404A94" w:rsidRDefault="00404A94" w:rsidP="00404A94">
      <w:pPr>
        <w:spacing w:before="120"/>
        <w:jc w:val="center"/>
        <w:rPr>
          <w:rFonts w:hint="cs"/>
          <w:u w:val="single"/>
          <w:rtl/>
        </w:rPr>
      </w:pPr>
      <w:r>
        <w:rPr>
          <w:u w:val="single"/>
          <w:rtl/>
        </w:rPr>
        <w:tab/>
      </w:r>
      <w:r>
        <w:rPr>
          <w:u w:val="single"/>
          <w:rtl/>
        </w:rPr>
        <w:tab/>
      </w:r>
      <w:r>
        <w:rPr>
          <w:u w:val="single"/>
          <w:rtl/>
        </w:rPr>
        <w:tab/>
      </w:r>
    </w:p>
    <w:sectPr w:rsidR="00404A94" w:rsidRPr="00404A94" w:rsidSect="00D630D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59" w:rsidRPr="002901D9" w:rsidRDefault="00396E59" w:rsidP="002901D9">
      <w:pPr>
        <w:spacing w:after="60" w:line="240" w:lineRule="auto"/>
        <w:rPr>
          <w:i/>
          <w:iCs/>
        </w:rPr>
      </w:pPr>
      <w:r>
        <w:rPr>
          <w:rFonts w:hint="cs"/>
          <w:i/>
          <w:iCs/>
          <w:rtl/>
        </w:rPr>
        <w:t>الحواشي</w:t>
      </w:r>
    </w:p>
  </w:endnote>
  <w:endnote w:type="continuationSeparator" w:id="0">
    <w:p w:rsidR="00396E59" w:rsidRDefault="00396E5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D1" w:rsidRPr="00450F29" w:rsidRDefault="00450F29" w:rsidP="00450F29">
    <w:pPr>
      <w:pStyle w:val="Footer"/>
      <w:tabs>
        <w:tab w:val="right" w:pos="9598"/>
      </w:tabs>
      <w:rPr>
        <w:sz w:val="17"/>
      </w:rPr>
    </w:pPr>
    <w:r>
      <w:rPr>
        <w:sz w:val="17"/>
      </w:rPr>
      <w:t>GE.17-08746</w:t>
    </w:r>
    <w:r>
      <w:rPr>
        <w:sz w:val="17"/>
      </w:rPr>
      <w:tab/>
    </w:r>
    <w:r w:rsidRPr="00450F29">
      <w:rPr>
        <w:b/>
        <w:sz w:val="18"/>
      </w:rPr>
      <w:fldChar w:fldCharType="begin"/>
    </w:r>
    <w:r w:rsidRPr="00450F29">
      <w:rPr>
        <w:b/>
        <w:sz w:val="18"/>
      </w:rPr>
      <w:instrText xml:space="preserve"> PAGE  \* MERGEFORMAT </w:instrText>
    </w:r>
    <w:r w:rsidRPr="00450F29">
      <w:rPr>
        <w:b/>
        <w:sz w:val="18"/>
      </w:rPr>
      <w:fldChar w:fldCharType="separate"/>
    </w:r>
    <w:r w:rsidR="00CC5C88">
      <w:rPr>
        <w:b/>
        <w:noProof/>
        <w:sz w:val="18"/>
      </w:rPr>
      <w:t>2</w:t>
    </w:r>
    <w:r w:rsidRPr="00450F2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450F29" w:rsidRDefault="00450F29" w:rsidP="006959B0">
    <w:pPr>
      <w:pStyle w:val="Footer"/>
      <w:tabs>
        <w:tab w:val="right" w:pos="9599"/>
      </w:tabs>
      <w:jc w:val="left"/>
      <w:rPr>
        <w:b/>
        <w:sz w:val="18"/>
        <w:lang w:val="en-US"/>
      </w:rPr>
    </w:pPr>
    <w:r w:rsidRPr="00450F29">
      <w:rPr>
        <w:b/>
        <w:sz w:val="18"/>
        <w:lang w:val="en-US"/>
      </w:rPr>
      <w:fldChar w:fldCharType="begin"/>
    </w:r>
    <w:r w:rsidRPr="00450F29">
      <w:rPr>
        <w:b/>
        <w:sz w:val="18"/>
        <w:lang w:val="en-US"/>
      </w:rPr>
      <w:instrText xml:space="preserve"> PAGE  \* MERGEFORMAT </w:instrText>
    </w:r>
    <w:r w:rsidRPr="00450F29">
      <w:rPr>
        <w:b/>
        <w:sz w:val="18"/>
        <w:lang w:val="en-US"/>
      </w:rPr>
      <w:fldChar w:fldCharType="separate"/>
    </w:r>
    <w:r w:rsidR="00CC5C88">
      <w:rPr>
        <w:b/>
        <w:noProof/>
        <w:sz w:val="18"/>
        <w:lang w:val="en-US"/>
      </w:rPr>
      <w:t>3</w:t>
    </w:r>
    <w:r w:rsidRPr="00450F29">
      <w:rPr>
        <w:b/>
        <w:sz w:val="18"/>
        <w:lang w:val="en-US"/>
      </w:rPr>
      <w:fldChar w:fldCharType="end"/>
    </w:r>
    <w:r>
      <w:rPr>
        <w:b/>
        <w:sz w:val="18"/>
        <w:lang w:val="en-US"/>
      </w:rPr>
      <w:tab/>
    </w:r>
    <w:r>
      <w:rPr>
        <w:sz w:val="17"/>
        <w:lang w:val="en-US"/>
      </w:rPr>
      <w:t>GE.17-08746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D630D1" w:rsidP="00F6741C">
    <w:pPr>
      <w:pStyle w:val="Footer"/>
      <w:spacing w:before="360"/>
      <w:jc w:val="right"/>
      <w:rPr>
        <w:sz w:val="20"/>
        <w:szCs w:val="20"/>
      </w:rPr>
    </w:pPr>
    <w:r>
      <w:rPr>
        <w:sz w:val="20"/>
        <w:szCs w:val="20"/>
      </w:rPr>
      <w:t>GE.17-08746</w:t>
    </w:r>
    <w:r w:rsidR="00FD4BC9">
      <w:rPr>
        <w:noProof/>
        <w:lang w:val="en-US"/>
      </w:rPr>
      <w:drawing>
        <wp:anchor distT="0" distB="0" distL="114300" distR="114300" simplePos="0" relativeHeight="251659264" behindDoc="1" locked="1" layoutInCell="0" allowOverlap="1" wp14:anchorId="0302B6CD" wp14:editId="1A2B8DF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D630D1" w:rsidRPr="00D630D1" w:rsidRDefault="00D630D1" w:rsidP="00D630D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13F339F9" wp14:editId="7503B0C3">
          <wp:simplePos x="0" y="0"/>
          <wp:positionH relativeFrom="page">
            <wp:posOffset>719455</wp:posOffset>
          </wp:positionH>
          <wp:positionV relativeFrom="page">
            <wp:posOffset>9611995</wp:posOffset>
          </wp:positionV>
          <wp:extent cx="643466" cy="643466"/>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43466" cy="64346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59" w:rsidRPr="0054762C" w:rsidRDefault="00396E59" w:rsidP="000E524A">
      <w:pPr>
        <w:pStyle w:val="Footer"/>
        <w:bidi/>
        <w:spacing w:after="80" w:line="200" w:lineRule="exact"/>
        <w:ind w:left="680"/>
      </w:pPr>
      <w:r>
        <w:rPr>
          <w:rtl/>
        </w:rPr>
        <w:t>__________</w:t>
      </w:r>
    </w:p>
  </w:footnote>
  <w:footnote w:type="continuationSeparator" w:id="0">
    <w:p w:rsidR="00396E59" w:rsidRDefault="00396E59" w:rsidP="00656392">
      <w:pPr>
        <w:spacing w:line="240" w:lineRule="auto"/>
      </w:pPr>
      <w:r>
        <w:continuationSeparator/>
      </w:r>
    </w:p>
  </w:footnote>
  <w:footnote w:id="1">
    <w:p w:rsidR="00450F29" w:rsidRPr="00450F29" w:rsidRDefault="00450F29" w:rsidP="00450F29">
      <w:pPr>
        <w:pStyle w:val="FootnoteText1"/>
      </w:pPr>
      <w:r>
        <w:rPr>
          <w:rtl/>
        </w:rPr>
        <w:t>*</w:t>
      </w:r>
      <w:r>
        <w:rPr>
          <w:rtl/>
        </w:rPr>
        <w:tab/>
      </w:r>
      <w:r w:rsidRPr="00450F29">
        <w:rPr>
          <w:rtl/>
        </w:rPr>
        <w:t>تصدر هذه الوثيقة من دون تحرير رسمي.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D1" w:rsidRPr="00450F29" w:rsidRDefault="00450F29" w:rsidP="00450F29">
    <w:pPr>
      <w:pStyle w:val="Header"/>
      <w:jc w:val="right"/>
    </w:pPr>
    <w:r w:rsidRPr="00450F29">
      <w:t>CED/C/IRQ/CO/1/Add.1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D1" w:rsidRPr="00450F29" w:rsidRDefault="00450F29" w:rsidP="00450F29">
    <w:pPr>
      <w:pStyle w:val="Header"/>
      <w:jc w:val="left"/>
    </w:pPr>
    <w:r w:rsidRPr="00450F29">
      <w:t>CED/C/IRQ/CO/1/Add.1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96E59"/>
    <w:rsid w:val="000076D5"/>
    <w:rsid w:val="00043663"/>
    <w:rsid w:val="000505CF"/>
    <w:rsid w:val="00051ED7"/>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2A2EA9"/>
    <w:rsid w:val="00325CC1"/>
    <w:rsid w:val="003260FF"/>
    <w:rsid w:val="00343D95"/>
    <w:rsid w:val="00374341"/>
    <w:rsid w:val="00396E59"/>
    <w:rsid w:val="003D1062"/>
    <w:rsid w:val="003E159A"/>
    <w:rsid w:val="00404A94"/>
    <w:rsid w:val="004205C7"/>
    <w:rsid w:val="00420D7B"/>
    <w:rsid w:val="00450B21"/>
    <w:rsid w:val="00450F29"/>
    <w:rsid w:val="00453B63"/>
    <w:rsid w:val="00455780"/>
    <w:rsid w:val="004B0A1C"/>
    <w:rsid w:val="004D298E"/>
    <w:rsid w:val="004E32F4"/>
    <w:rsid w:val="00517BC9"/>
    <w:rsid w:val="005212F8"/>
    <w:rsid w:val="00527E4C"/>
    <w:rsid w:val="0054472E"/>
    <w:rsid w:val="0054762C"/>
    <w:rsid w:val="0055101C"/>
    <w:rsid w:val="005662A9"/>
    <w:rsid w:val="005817D9"/>
    <w:rsid w:val="005827D4"/>
    <w:rsid w:val="00584AFB"/>
    <w:rsid w:val="0059622A"/>
    <w:rsid w:val="005C5878"/>
    <w:rsid w:val="005C7CEA"/>
    <w:rsid w:val="005D3C0B"/>
    <w:rsid w:val="005E5217"/>
    <w:rsid w:val="005F0FA4"/>
    <w:rsid w:val="005F30EE"/>
    <w:rsid w:val="005F5676"/>
    <w:rsid w:val="0060473A"/>
    <w:rsid w:val="00606EDF"/>
    <w:rsid w:val="00656392"/>
    <w:rsid w:val="0068781D"/>
    <w:rsid w:val="006959B0"/>
    <w:rsid w:val="006B3E27"/>
    <w:rsid w:val="006B6507"/>
    <w:rsid w:val="006C104C"/>
    <w:rsid w:val="00733704"/>
    <w:rsid w:val="00740188"/>
    <w:rsid w:val="0078071A"/>
    <w:rsid w:val="00786BED"/>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67B16"/>
    <w:rsid w:val="00B76DB1"/>
    <w:rsid w:val="00BA5E8B"/>
    <w:rsid w:val="00C022F5"/>
    <w:rsid w:val="00C438D7"/>
    <w:rsid w:val="00C53FE8"/>
    <w:rsid w:val="00C81B50"/>
    <w:rsid w:val="00CA655B"/>
    <w:rsid w:val="00CB3C3C"/>
    <w:rsid w:val="00CC5C88"/>
    <w:rsid w:val="00CD1801"/>
    <w:rsid w:val="00D10EF1"/>
    <w:rsid w:val="00D42810"/>
    <w:rsid w:val="00D630D1"/>
    <w:rsid w:val="00D914A7"/>
    <w:rsid w:val="00DD13C3"/>
    <w:rsid w:val="00DD596E"/>
    <w:rsid w:val="00DD621E"/>
    <w:rsid w:val="00DF0575"/>
    <w:rsid w:val="00E70E04"/>
    <w:rsid w:val="00EC05A7"/>
    <w:rsid w:val="00EC4B6B"/>
    <w:rsid w:val="00ED7442"/>
    <w:rsid w:val="00EE0B18"/>
    <w:rsid w:val="00EE4F4F"/>
    <w:rsid w:val="00EF1EE5"/>
    <w:rsid w:val="00F6741C"/>
    <w:rsid w:val="00F763B4"/>
    <w:rsid w:val="00F900C3"/>
    <w:rsid w:val="00FC699A"/>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8D5A-E555-4D2E-9089-1CBC851F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1038</Words>
  <Characters>5629</Characters>
  <Application>Microsoft Office Word</Application>
  <DocSecurity>0</DocSecurity>
  <Lines>102</Lines>
  <Paragraphs>37</Paragraphs>
  <ScaleCrop>false</ScaleCrop>
  <HeadingPairs>
    <vt:vector size="2" baseType="variant">
      <vt:variant>
        <vt:lpstr>Title</vt:lpstr>
      </vt:variant>
      <vt:variant>
        <vt:i4>1</vt:i4>
      </vt:variant>
    </vt:vector>
  </HeadingPairs>
  <TitlesOfParts>
    <vt:vector size="1" baseType="lpstr">
      <vt:lpstr>CED/C/IRQ/CO/1/Add.1</vt:lpstr>
    </vt:vector>
  </TitlesOfParts>
  <Company>DCM</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CED/C/IRQ/CO/1/Add.1</dc:title>
  <dc:subject>GE.1708746A</dc:subject>
  <dc:creator>bah/AAL</dc:creator>
  <cp:keywords>ODS No.1714827</cp:keywords>
  <dc:description>Distr.: General
31 May 2017
Original: Arabic
Arabic, English, French and Spanish only</dc:description>
  <cp:lastModifiedBy>Tpsara</cp:lastModifiedBy>
  <cp:revision>2</cp:revision>
  <cp:lastPrinted>2017-05-31T15:25:00Z</cp:lastPrinted>
  <dcterms:created xsi:type="dcterms:W3CDTF">2017-05-31T16:13:00Z</dcterms:created>
  <dcterms:modified xsi:type="dcterms:W3CDTF">2017-05-31T16:13:00Z</dcterms:modified>
  <cp:category>Final</cp:category>
</cp:coreProperties>
</file>