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544"/>
        <w:gridCol w:w="1984"/>
        <w:gridCol w:w="2835"/>
      </w:tblGrid>
      <w:tr w:rsidR="00CA1E20" w:rsidTr="00FE6E78">
        <w:trPr>
          <w:cantSplit/>
          <w:trHeight w:hRule="exact" w:val="85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CA1E20" w:rsidRPr="00CA1E20" w:rsidRDefault="00CA1E20" w:rsidP="005A4D3B">
            <w:pPr>
              <w:suppressAutoHyphens w:val="0"/>
              <w:spacing w:after="80" w:line="300" w:lineRule="exact"/>
              <w:rPr>
                <w:b/>
                <w:sz w:val="24"/>
                <w:szCs w:val="24"/>
                <w:lang w:val="ru-RU"/>
              </w:rPr>
            </w:pPr>
            <w:r w:rsidRPr="005A4D3B">
              <w:rPr>
                <w:spacing w:val="4"/>
                <w:w w:val="103"/>
                <w:kern w:val="14"/>
                <w:sz w:val="28"/>
                <w:lang w:val="ru-RU"/>
              </w:rPr>
              <w:t>Организация Объединенных Наций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CA1E20" w:rsidRPr="00DE0C6E" w:rsidRDefault="00CA1E20" w:rsidP="00770F76">
            <w:pPr>
              <w:jc w:val="right"/>
              <w:rPr>
                <w:lang w:val="en-US"/>
              </w:rPr>
            </w:pPr>
            <w:r w:rsidRPr="005A4D3B">
              <w:rPr>
                <w:spacing w:val="4"/>
                <w:w w:val="103"/>
                <w:kern w:val="14"/>
                <w:sz w:val="40"/>
                <w:szCs w:val="40"/>
                <w:lang w:val="ru-RU"/>
              </w:rPr>
              <w:t>CCPR</w:t>
            </w:r>
            <w:r w:rsidR="00DE0C6E" w:rsidRPr="0040624E">
              <w:rPr>
                <w:spacing w:val="4"/>
                <w:w w:val="103"/>
                <w:kern w:val="14"/>
                <w:lang w:val="ru-RU"/>
              </w:rPr>
              <w:t>/C/111/D/1986/2010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A5ACE" w:rsidP="00B6553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A1E20" w:rsidRPr="00CA1E20" w:rsidRDefault="005A4D3B" w:rsidP="005A4D3B">
            <w:pPr>
              <w:suppressAutoHyphens w:val="0"/>
              <w:snapToGrid w:val="0"/>
              <w:spacing w:before="120" w:line="380" w:lineRule="exact"/>
              <w:rPr>
                <w:sz w:val="34"/>
                <w:lang w:val="ru-RU"/>
              </w:rPr>
            </w:pPr>
            <w:r>
              <w:rPr>
                <w:b/>
                <w:spacing w:val="4"/>
                <w:w w:val="103"/>
                <w:kern w:val="14"/>
                <w:sz w:val="34"/>
                <w:szCs w:val="40"/>
                <w:lang w:val="ru-RU"/>
              </w:rPr>
              <w:t>Международный пакт</w:t>
            </w:r>
            <w:r w:rsidRPr="005A4D3B">
              <w:rPr>
                <w:b/>
                <w:spacing w:val="4"/>
                <w:w w:val="103"/>
                <w:kern w:val="14"/>
                <w:sz w:val="34"/>
                <w:szCs w:val="40"/>
                <w:lang w:val="ru-RU"/>
              </w:rPr>
              <w:br/>
            </w:r>
            <w:r w:rsidR="00CA1E20" w:rsidRPr="005A4D3B">
              <w:rPr>
                <w:b/>
                <w:spacing w:val="4"/>
                <w:w w:val="103"/>
                <w:kern w:val="14"/>
                <w:sz w:val="34"/>
                <w:szCs w:val="40"/>
                <w:lang w:val="ru-RU"/>
              </w:rPr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977176" w:rsidP="00977176">
            <w:pPr>
              <w:spacing w:before="240" w:line="240" w:lineRule="exact"/>
            </w:pPr>
            <w:r>
              <w:t xml:space="preserve">Distr.: </w:t>
            </w:r>
            <w:r w:rsidR="00770F76">
              <w:t>General</w:t>
            </w:r>
          </w:p>
          <w:p w:rsidR="00977176" w:rsidRDefault="00E04B5F" w:rsidP="00977176">
            <w:pPr>
              <w:spacing w:line="240" w:lineRule="exact"/>
            </w:pPr>
            <w:r>
              <w:t>2</w:t>
            </w:r>
            <w:r w:rsidR="009A10AC">
              <w:t>7</w:t>
            </w:r>
            <w:r w:rsidR="00975BD8">
              <w:t xml:space="preserve"> August</w:t>
            </w:r>
            <w:r w:rsidR="00977176">
              <w:t xml:space="preserve"> 2014</w:t>
            </w:r>
          </w:p>
          <w:p w:rsidR="00977176" w:rsidRPr="005A4D3B" w:rsidRDefault="005A4D3B" w:rsidP="00977176">
            <w:pPr>
              <w:spacing w:line="240" w:lineRule="exact"/>
              <w:rPr>
                <w:lang w:val="en-US"/>
              </w:rPr>
            </w:pPr>
            <w:r>
              <w:rPr>
                <w:spacing w:val="4"/>
                <w:w w:val="103"/>
                <w:kern w:val="14"/>
                <w:lang w:val="en-US"/>
              </w:rPr>
              <w:t>Russian</w:t>
            </w:r>
          </w:p>
          <w:p w:rsidR="00977176" w:rsidRDefault="00977176" w:rsidP="00977176">
            <w:pPr>
              <w:spacing w:line="240" w:lineRule="exact"/>
            </w:pPr>
            <w:r>
              <w:t>Original: English</w:t>
            </w:r>
          </w:p>
        </w:tc>
      </w:tr>
    </w:tbl>
    <w:p w:rsidR="00D21FF5" w:rsidRPr="00CA1E20" w:rsidRDefault="00CA1E20" w:rsidP="005A4D3B">
      <w:pPr>
        <w:suppressAutoHyphens w:val="0"/>
        <w:spacing w:before="120"/>
        <w:rPr>
          <w:b/>
          <w:sz w:val="24"/>
          <w:szCs w:val="24"/>
          <w:lang w:val="ru-RU"/>
        </w:rPr>
      </w:pPr>
      <w:r w:rsidRPr="005A4D3B">
        <w:rPr>
          <w:b/>
          <w:spacing w:val="4"/>
          <w:w w:val="103"/>
          <w:kern w:val="14"/>
          <w:sz w:val="24"/>
          <w:szCs w:val="24"/>
          <w:lang w:val="ru-RU"/>
        </w:rPr>
        <w:t>Комитет по правам человека</w:t>
      </w:r>
    </w:p>
    <w:p w:rsidR="00D21FF5" w:rsidRPr="005A4D3B" w:rsidRDefault="00CA1E20" w:rsidP="005A4D3B">
      <w:pPr>
        <w:pStyle w:val="HChGR"/>
      </w:pPr>
      <w:r>
        <w:tab/>
      </w:r>
      <w:r>
        <w:tab/>
        <w:t>Сообщение</w:t>
      </w:r>
      <w:r w:rsidRPr="005A4D3B">
        <w:t xml:space="preserve"> №</w:t>
      </w:r>
      <w:r w:rsidR="00D21FF5" w:rsidRPr="005A4D3B">
        <w:t xml:space="preserve"> 1986/2010</w:t>
      </w:r>
    </w:p>
    <w:p w:rsidR="00CA1E20" w:rsidRPr="00FE6E78" w:rsidRDefault="00D21FF5" w:rsidP="005A4D3B">
      <w:pPr>
        <w:pStyle w:val="H1GR"/>
      </w:pPr>
      <w:r w:rsidRPr="00D21FF5">
        <w:tab/>
      </w:r>
      <w:r w:rsidRPr="005A4D3B">
        <w:rPr>
          <w:szCs w:val="24"/>
        </w:rPr>
        <w:tab/>
      </w:r>
      <w:r w:rsidR="00CA1E20" w:rsidRPr="005A4D3B">
        <w:rPr>
          <w:szCs w:val="24"/>
        </w:rPr>
        <w:t>Соображения, принятые Комитетом на его 111-й сесси</w:t>
      </w:r>
      <w:r w:rsidR="001D2F15">
        <w:rPr>
          <w:szCs w:val="24"/>
        </w:rPr>
        <w:t>и</w:t>
      </w:r>
      <w:r w:rsidR="001D2F15">
        <w:rPr>
          <w:szCs w:val="24"/>
        </w:rPr>
        <w:br/>
      </w:r>
      <w:r w:rsidR="00CA1E20" w:rsidRPr="005A4D3B">
        <w:rPr>
          <w:szCs w:val="24"/>
        </w:rPr>
        <w:t>(7−25 июля 2014</w:t>
      </w:r>
      <w:r w:rsidR="00960C6F" w:rsidRPr="00960C6F">
        <w:rPr>
          <w:szCs w:val="24"/>
        </w:rPr>
        <w:t xml:space="preserve"> года</w:t>
      </w:r>
      <w:r w:rsidR="00CA1E20" w:rsidRPr="005A4D3B">
        <w:rPr>
          <w:szCs w:val="24"/>
        </w:rPr>
        <w:t>)</w:t>
      </w:r>
    </w:p>
    <w:tbl>
      <w:tblPr>
        <w:tblW w:w="6804" w:type="dxa"/>
        <w:tblInd w:w="1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CA1E20" w:rsidRPr="00B8676E" w:rsidTr="005A4D3B">
        <w:tc>
          <w:tcPr>
            <w:tcW w:w="2933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Представлено:</w:t>
            </w:r>
          </w:p>
        </w:tc>
        <w:tc>
          <w:tcPr>
            <w:tcW w:w="3871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 w:rsidRPr="005A4D3B">
              <w:rPr>
                <w:spacing w:val="4"/>
                <w:w w:val="103"/>
                <w:kern w:val="14"/>
                <w:lang w:val="ru-RU"/>
              </w:rPr>
              <w:t>Павлом Козловым (представлен адвокатом Романом Кисляком)</w:t>
            </w:r>
          </w:p>
        </w:tc>
      </w:tr>
      <w:tr w:rsidR="00CA1E20" w:rsidRPr="00B8676E" w:rsidTr="005A4D3B">
        <w:tc>
          <w:tcPr>
            <w:tcW w:w="2933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CA1E20" w:rsidRPr="005A4D3B" w:rsidRDefault="001D2F15" w:rsidP="005A4D3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А</w:t>
            </w:r>
            <w:r w:rsidR="00CA1E20" w:rsidRPr="005A4D3B">
              <w:rPr>
                <w:spacing w:val="4"/>
                <w:w w:val="103"/>
                <w:kern w:val="14"/>
                <w:lang w:val="ru-RU"/>
              </w:rPr>
              <w:t>втор</w:t>
            </w:r>
          </w:p>
        </w:tc>
      </w:tr>
      <w:tr w:rsidR="00CA1E20" w:rsidRPr="00B8676E" w:rsidTr="005A4D3B">
        <w:tc>
          <w:tcPr>
            <w:tcW w:w="2933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 w:rsidRPr="005A4D3B">
              <w:rPr>
                <w:spacing w:val="4"/>
                <w:w w:val="103"/>
                <w:kern w:val="14"/>
                <w:lang w:val="ru-RU"/>
              </w:rPr>
              <w:t>Беларусь</w:t>
            </w:r>
          </w:p>
        </w:tc>
      </w:tr>
      <w:tr w:rsidR="00CA1E20" w:rsidRPr="00B8676E" w:rsidTr="005A4D3B">
        <w:tc>
          <w:tcPr>
            <w:tcW w:w="2933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Дата представления сообщения:</w:t>
            </w:r>
          </w:p>
        </w:tc>
        <w:tc>
          <w:tcPr>
            <w:tcW w:w="3871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 w:rsidRPr="005A4D3B">
              <w:rPr>
                <w:spacing w:val="4"/>
                <w:w w:val="103"/>
                <w:kern w:val="14"/>
                <w:lang w:val="ru-RU"/>
              </w:rPr>
              <w:t>26 июня 2008 года (первоначальное представление)</w:t>
            </w:r>
          </w:p>
        </w:tc>
      </w:tr>
      <w:tr w:rsidR="00CA1E20" w:rsidRPr="00B8676E" w:rsidTr="005A4D3B">
        <w:tc>
          <w:tcPr>
            <w:tcW w:w="2933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Ссылки на документы:</w:t>
            </w:r>
          </w:p>
        </w:tc>
        <w:tc>
          <w:tcPr>
            <w:tcW w:w="3871" w:type="dxa"/>
            <w:shd w:val="clear" w:color="auto" w:fill="auto"/>
          </w:tcPr>
          <w:p w:rsidR="00CA1E20" w:rsidRPr="005A4D3B" w:rsidRDefault="001D2F15" w:rsidP="005A4D3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Р</w:t>
            </w:r>
            <w:r w:rsidR="00CA1E20" w:rsidRPr="005A4D3B">
              <w:rPr>
                <w:spacing w:val="4"/>
                <w:w w:val="103"/>
                <w:kern w:val="14"/>
                <w:lang w:val="ru-RU"/>
              </w:rPr>
              <w:t xml:space="preserve">ешение Специального докладчика согласно правилу 97, препровожденное государству-участнику 27 сентября </w:t>
            </w:r>
            <w:r w:rsidR="00EE3AC4">
              <w:rPr>
                <w:spacing w:val="4"/>
                <w:w w:val="103"/>
                <w:kern w:val="14"/>
                <w:lang w:val="ru-RU"/>
              </w:rPr>
              <w:br/>
            </w:r>
            <w:r w:rsidR="00CA1E20" w:rsidRPr="005A4D3B">
              <w:rPr>
                <w:spacing w:val="4"/>
                <w:w w:val="103"/>
                <w:kern w:val="14"/>
                <w:lang w:val="ru-RU"/>
              </w:rPr>
              <w:t>2010</w:t>
            </w:r>
            <w:r w:rsidR="00960C6F">
              <w:rPr>
                <w:spacing w:val="4"/>
                <w:w w:val="103"/>
                <w:kern w:val="14"/>
                <w:lang w:val="ru-RU"/>
              </w:rPr>
              <w:t xml:space="preserve"> </w:t>
            </w:r>
            <w:r w:rsidR="00CA1E20" w:rsidRPr="005A4D3B">
              <w:rPr>
                <w:spacing w:val="4"/>
                <w:w w:val="103"/>
                <w:kern w:val="14"/>
                <w:lang w:val="ru-RU"/>
              </w:rPr>
              <w:t>года (не выпускалось в форме документа)</w:t>
            </w:r>
          </w:p>
        </w:tc>
      </w:tr>
      <w:tr w:rsidR="00CA1E20" w:rsidRPr="00EE3AC4" w:rsidTr="005A4D3B">
        <w:tc>
          <w:tcPr>
            <w:tcW w:w="2933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Дата принятия Соображений:</w:t>
            </w:r>
          </w:p>
        </w:tc>
        <w:tc>
          <w:tcPr>
            <w:tcW w:w="3871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 w:rsidRPr="005A4D3B">
              <w:rPr>
                <w:spacing w:val="4"/>
                <w:w w:val="103"/>
                <w:kern w:val="14"/>
                <w:lang w:val="ru-RU"/>
              </w:rPr>
              <w:t>24 июля 2014 года</w:t>
            </w:r>
          </w:p>
        </w:tc>
      </w:tr>
      <w:tr w:rsidR="00CA1E20" w:rsidRPr="00B8676E" w:rsidTr="005A4D3B">
        <w:tc>
          <w:tcPr>
            <w:tcW w:w="2933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:rsidR="00CA1E20" w:rsidRPr="005A4D3B" w:rsidRDefault="001D2F15" w:rsidP="005A4D3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 xml:space="preserve">Право на сообщение информации; </w:t>
            </w:r>
            <w:r w:rsidR="00CA1E20" w:rsidRPr="005A4D3B">
              <w:rPr>
                <w:spacing w:val="4"/>
                <w:w w:val="103"/>
                <w:kern w:val="14"/>
                <w:lang w:val="ru-RU"/>
              </w:rPr>
              <w:t>справедливое судебное разбирательство</w:t>
            </w:r>
          </w:p>
        </w:tc>
      </w:tr>
      <w:tr w:rsidR="00CA1E20" w:rsidRPr="00B8676E" w:rsidTr="005A4D3B">
        <w:tc>
          <w:tcPr>
            <w:tcW w:w="2933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 xml:space="preserve">Вопросы существа: </w:t>
            </w:r>
          </w:p>
        </w:tc>
        <w:tc>
          <w:tcPr>
            <w:tcW w:w="3871" w:type="dxa"/>
            <w:shd w:val="clear" w:color="auto" w:fill="auto"/>
          </w:tcPr>
          <w:p w:rsidR="00CA1E20" w:rsidRPr="005A4D3B" w:rsidRDefault="001D2F15" w:rsidP="005A4D3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П</w:t>
            </w:r>
            <w:r w:rsidR="00CA1E20" w:rsidRPr="005A4D3B">
              <w:rPr>
                <w:spacing w:val="4"/>
                <w:w w:val="103"/>
                <w:kern w:val="14"/>
                <w:lang w:val="ru-RU"/>
              </w:rPr>
              <w:t>раво на свободу выражения мнений; право на независимое и беспристрастное судебное разбирательство</w:t>
            </w:r>
          </w:p>
        </w:tc>
      </w:tr>
      <w:tr w:rsidR="00CA1E20" w:rsidRPr="00B8676E" w:rsidTr="005A4D3B">
        <w:tc>
          <w:tcPr>
            <w:tcW w:w="2933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Процедурные вопросы:</w:t>
            </w:r>
          </w:p>
        </w:tc>
        <w:tc>
          <w:tcPr>
            <w:tcW w:w="3871" w:type="dxa"/>
            <w:shd w:val="clear" w:color="auto" w:fill="auto"/>
          </w:tcPr>
          <w:p w:rsidR="00CA1E20" w:rsidRPr="005A4D3B" w:rsidRDefault="001D2F15" w:rsidP="005A4D3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И</w:t>
            </w:r>
            <w:r w:rsidR="00CA1E20" w:rsidRPr="005A4D3B">
              <w:rPr>
                <w:spacing w:val="4"/>
                <w:w w:val="103"/>
                <w:kern w:val="14"/>
                <w:lang w:val="ru-RU"/>
              </w:rPr>
              <w:t>счерпание внутренних средств правовой защиты</w:t>
            </w:r>
          </w:p>
        </w:tc>
      </w:tr>
      <w:tr w:rsidR="00CA1E20" w:rsidRPr="00B8676E" w:rsidTr="005A4D3B">
        <w:tc>
          <w:tcPr>
            <w:tcW w:w="2933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Статьи Пакта:</w:t>
            </w:r>
          </w:p>
        </w:tc>
        <w:tc>
          <w:tcPr>
            <w:tcW w:w="3871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 w:rsidRPr="005A4D3B">
              <w:rPr>
                <w:spacing w:val="4"/>
                <w:w w:val="103"/>
                <w:kern w:val="14"/>
                <w:lang w:val="ru-RU"/>
              </w:rPr>
              <w:t>14; 19</w:t>
            </w:r>
          </w:p>
        </w:tc>
      </w:tr>
      <w:tr w:rsidR="00CA1E20" w:rsidRPr="00B8676E" w:rsidTr="005A4D3B">
        <w:tc>
          <w:tcPr>
            <w:tcW w:w="2933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Статьи Факультативного протокола:</w:t>
            </w:r>
          </w:p>
        </w:tc>
        <w:tc>
          <w:tcPr>
            <w:tcW w:w="3871" w:type="dxa"/>
            <w:shd w:val="clear" w:color="auto" w:fill="auto"/>
          </w:tcPr>
          <w:p w:rsidR="00CA1E20" w:rsidRPr="005A4D3B" w:rsidRDefault="00CA1E20" w:rsidP="005A4D3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 w:rsidRPr="005A4D3B">
              <w:rPr>
                <w:spacing w:val="4"/>
                <w:w w:val="103"/>
                <w:kern w:val="14"/>
                <w:lang w:val="ru-RU"/>
              </w:rPr>
              <w:t>2; 5 пункт 2 b)</w:t>
            </w:r>
          </w:p>
        </w:tc>
      </w:tr>
    </w:tbl>
    <w:p w:rsidR="00D21FF5" w:rsidRPr="00BB3845" w:rsidRDefault="00CA1E20" w:rsidP="00BB3845">
      <w:pPr>
        <w:pStyle w:val="HChGR"/>
      </w:pPr>
      <w:r w:rsidRPr="00BB3845">
        <w:t>Приложение</w:t>
      </w:r>
    </w:p>
    <w:p w:rsidR="00D21FF5" w:rsidRPr="00BB3845" w:rsidRDefault="00D21FF5" w:rsidP="00BB3845">
      <w:pPr>
        <w:pStyle w:val="HChGR"/>
      </w:pPr>
      <w:r w:rsidRPr="00BB3845">
        <w:tab/>
      </w:r>
      <w:r w:rsidRPr="00BB3845">
        <w:tab/>
      </w:r>
      <w:r w:rsidR="00CA1E20" w:rsidRPr="00BB3845">
        <w:t xml:space="preserve">Соображения </w:t>
      </w:r>
      <w:r w:rsidR="00053B83" w:rsidRPr="00BB3845">
        <w:t xml:space="preserve">Комитета </w:t>
      </w:r>
      <w:r w:rsidR="00CA1E20" w:rsidRPr="00BB3845">
        <w:t>по</w:t>
      </w:r>
      <w:r w:rsidR="001D2F15" w:rsidRPr="00BB3845">
        <w:t xml:space="preserve"> правам человека </w:t>
      </w:r>
      <w:r w:rsidR="00BB3845">
        <w:br/>
      </w:r>
      <w:r w:rsidR="001D2F15" w:rsidRPr="00BB3845">
        <w:t>в соответствии</w:t>
      </w:r>
      <w:r w:rsidR="00BB3845">
        <w:t xml:space="preserve"> </w:t>
      </w:r>
      <w:r w:rsidR="00CA1E20" w:rsidRPr="00BB3845">
        <w:t>с пунктом 4 ста</w:t>
      </w:r>
      <w:r w:rsidR="001D2F15" w:rsidRPr="00BB3845">
        <w:t>тьи 5 Факультативного протокола</w:t>
      </w:r>
      <w:r w:rsidR="00BB3845">
        <w:t xml:space="preserve"> </w:t>
      </w:r>
      <w:r w:rsidR="00CA1E20" w:rsidRPr="00BB3845">
        <w:t xml:space="preserve">к Международному пакту о гражданских </w:t>
      </w:r>
      <w:r w:rsidR="00BB3845">
        <w:br/>
      </w:r>
      <w:r w:rsidR="00CA1E20" w:rsidRPr="00BB3845">
        <w:t>и политических правах (111-я сессия)</w:t>
      </w:r>
    </w:p>
    <w:p w:rsidR="00D21FF5" w:rsidRPr="00BB3845" w:rsidRDefault="00CA1E20" w:rsidP="00BB3845">
      <w:pPr>
        <w:pStyle w:val="SingleTxtGR"/>
      </w:pPr>
      <w:r w:rsidRPr="00BB3845">
        <w:t>относительно</w:t>
      </w:r>
    </w:p>
    <w:p w:rsidR="00D21FF5" w:rsidRPr="00BB3845" w:rsidRDefault="00CA1E20" w:rsidP="00BB3845">
      <w:pPr>
        <w:pStyle w:val="H1GR"/>
      </w:pPr>
      <w:r w:rsidRPr="00BB3845">
        <w:tab/>
      </w:r>
      <w:r w:rsidRPr="00BB3845">
        <w:tab/>
        <w:t xml:space="preserve">Сообщения № </w:t>
      </w:r>
      <w:r w:rsidR="00D21FF5" w:rsidRPr="00BB3845">
        <w:t>1986/2010</w:t>
      </w:r>
      <w:r w:rsidR="00564918" w:rsidRPr="00BB3845">
        <w:rPr>
          <w:rStyle w:val="FootnoteReference"/>
          <w:b w:val="0"/>
          <w:spacing w:val="5"/>
          <w:w w:val="104"/>
          <w:sz w:val="20"/>
          <w:vertAlign w:val="baseline"/>
          <w:lang w:val="en-GB"/>
        </w:rPr>
        <w:footnoteReference w:customMarkFollows="1" w:id="2"/>
        <w:t>*</w:t>
      </w:r>
    </w:p>
    <w:tbl>
      <w:tblPr>
        <w:tblW w:w="6804" w:type="dxa"/>
        <w:tblInd w:w="1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1D2F15" w:rsidRPr="00DC588D" w:rsidTr="001D2F15">
        <w:tc>
          <w:tcPr>
            <w:tcW w:w="2933" w:type="dxa"/>
            <w:shd w:val="clear" w:color="auto" w:fill="auto"/>
          </w:tcPr>
          <w:p w:rsidR="001D2F15" w:rsidRPr="00DC588D" w:rsidRDefault="001D2F15" w:rsidP="00B70413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DC588D">
              <w:rPr>
                <w:i/>
                <w:spacing w:val="4"/>
                <w:w w:val="103"/>
                <w:kern w:val="14"/>
                <w:lang w:val="ru-RU"/>
              </w:rPr>
              <w:t>Представлено:</w:t>
            </w:r>
          </w:p>
        </w:tc>
        <w:tc>
          <w:tcPr>
            <w:tcW w:w="3871" w:type="dxa"/>
            <w:shd w:val="clear" w:color="auto" w:fill="auto"/>
          </w:tcPr>
          <w:p w:rsidR="001D2F15" w:rsidRPr="001D2F15" w:rsidRDefault="001D2F15" w:rsidP="00B70413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1D2F15">
              <w:rPr>
                <w:spacing w:val="4"/>
                <w:w w:val="103"/>
                <w:kern w:val="14"/>
                <w:lang w:val="ru-RU"/>
              </w:rPr>
              <w:t>Павлом Козловым (представлен адвокатом Романом Кисляком)</w:t>
            </w:r>
          </w:p>
        </w:tc>
      </w:tr>
      <w:tr w:rsidR="001D2F15" w:rsidRPr="00DC588D" w:rsidTr="001D2F15">
        <w:tc>
          <w:tcPr>
            <w:tcW w:w="2933" w:type="dxa"/>
            <w:shd w:val="clear" w:color="auto" w:fill="auto"/>
          </w:tcPr>
          <w:p w:rsidR="001D2F15" w:rsidRPr="00DC588D" w:rsidRDefault="001D2F15" w:rsidP="00B70413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DC588D">
              <w:rPr>
                <w:i/>
                <w:spacing w:val="4"/>
                <w:w w:val="103"/>
                <w:kern w:val="14"/>
                <w:lang w:val="ru-RU"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1D2F15" w:rsidRPr="00DC588D" w:rsidRDefault="001D2F15" w:rsidP="00B70413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 w:rsidRPr="00DC588D">
              <w:rPr>
                <w:spacing w:val="4"/>
                <w:w w:val="103"/>
                <w:kern w:val="14"/>
                <w:lang w:val="ru-RU"/>
              </w:rPr>
              <w:t>Автор</w:t>
            </w:r>
          </w:p>
        </w:tc>
      </w:tr>
      <w:tr w:rsidR="001D2F15" w:rsidRPr="00DC588D" w:rsidTr="001D2F15">
        <w:tc>
          <w:tcPr>
            <w:tcW w:w="2933" w:type="dxa"/>
            <w:shd w:val="clear" w:color="auto" w:fill="auto"/>
          </w:tcPr>
          <w:p w:rsidR="001D2F15" w:rsidRPr="00DC588D" w:rsidRDefault="001D2F15" w:rsidP="00B70413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DC588D">
              <w:rPr>
                <w:i/>
                <w:spacing w:val="4"/>
                <w:w w:val="103"/>
                <w:kern w:val="14"/>
                <w:lang w:val="ru-RU"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1D2F15" w:rsidRPr="00DC588D" w:rsidRDefault="001D2F15" w:rsidP="00B70413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Беларусь</w:t>
            </w:r>
          </w:p>
        </w:tc>
      </w:tr>
      <w:tr w:rsidR="001D2F15" w:rsidRPr="00DC588D" w:rsidTr="001D2F15">
        <w:tc>
          <w:tcPr>
            <w:tcW w:w="2933" w:type="dxa"/>
            <w:shd w:val="clear" w:color="auto" w:fill="auto"/>
          </w:tcPr>
          <w:p w:rsidR="001D2F15" w:rsidRPr="00DC588D" w:rsidRDefault="001D2F15" w:rsidP="00B70413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>
              <w:rPr>
                <w:i/>
                <w:spacing w:val="4"/>
                <w:w w:val="103"/>
                <w:kern w:val="14"/>
                <w:lang w:val="ru-RU"/>
              </w:rPr>
              <w:t>Дата представления сообщения</w:t>
            </w:r>
            <w:r w:rsidRPr="00DC588D">
              <w:rPr>
                <w:i/>
                <w:spacing w:val="4"/>
                <w:w w:val="103"/>
                <w:kern w:val="14"/>
                <w:lang w:val="ru-RU"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1D2F15" w:rsidRPr="00DC588D" w:rsidRDefault="001D2F15" w:rsidP="00B70413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26 июня 2008</w:t>
            </w:r>
            <w:r w:rsidRPr="00DC588D">
              <w:rPr>
                <w:spacing w:val="4"/>
                <w:w w:val="103"/>
                <w:kern w:val="14"/>
                <w:lang w:val="ru-RU"/>
              </w:rPr>
              <w:t xml:space="preserve"> года (первоначальное представление)</w:t>
            </w:r>
          </w:p>
        </w:tc>
      </w:tr>
    </w:tbl>
    <w:p w:rsidR="00CA1E20" w:rsidRPr="00754EC9" w:rsidRDefault="00CA1E20" w:rsidP="00754EC9">
      <w:pPr>
        <w:pStyle w:val="SingleTxtGR"/>
        <w:spacing w:before="120"/>
      </w:pPr>
      <w:r w:rsidRPr="00B8676E">
        <w:rPr>
          <w:sz w:val="24"/>
        </w:rPr>
        <w:tab/>
      </w:r>
      <w:r w:rsidRPr="00754EC9">
        <w:rPr>
          <w:i/>
        </w:rPr>
        <w:t>Комитет по правам человека</w:t>
      </w:r>
      <w:r w:rsidRPr="00754EC9">
        <w:t xml:space="preserve">, учрежденный в соответствии со статьей 28 Международного пакта о гражданских и политических правах, </w:t>
      </w:r>
    </w:p>
    <w:p w:rsidR="00CA1E20" w:rsidRPr="00754EC9" w:rsidRDefault="00CA1E20" w:rsidP="00754EC9">
      <w:pPr>
        <w:pStyle w:val="SingleTxtGR"/>
      </w:pPr>
      <w:r w:rsidRPr="00754EC9">
        <w:tab/>
      </w:r>
      <w:r w:rsidRPr="00754EC9">
        <w:rPr>
          <w:i/>
        </w:rPr>
        <w:t>на своем заседании</w:t>
      </w:r>
      <w:r w:rsidRPr="00754EC9">
        <w:t xml:space="preserve"> 24 июля 2014 года,</w:t>
      </w:r>
    </w:p>
    <w:p w:rsidR="00CA1E20" w:rsidRPr="00754EC9" w:rsidRDefault="00CA1E20" w:rsidP="00754EC9">
      <w:pPr>
        <w:pStyle w:val="SingleTxtGR"/>
      </w:pPr>
      <w:r w:rsidRPr="00754EC9">
        <w:tab/>
      </w:r>
      <w:r w:rsidRPr="00754EC9">
        <w:rPr>
          <w:i/>
        </w:rPr>
        <w:t>завершив рассмотрение</w:t>
      </w:r>
      <w:r w:rsidRPr="00754EC9">
        <w:t xml:space="preserve"> сообщения № 1986/2010, представленного Ком</w:t>
      </w:r>
      <w:r w:rsidRPr="00754EC9">
        <w:t>и</w:t>
      </w:r>
      <w:r w:rsidRPr="00754EC9">
        <w:t>тету по правам человека Павлом Козловым в соответствии с Факультативным протоколом к Международному пакту о гражданских и политических правах,</w:t>
      </w:r>
    </w:p>
    <w:p w:rsidR="00CA1E20" w:rsidRPr="00754EC9" w:rsidRDefault="00CA1E20" w:rsidP="00754EC9">
      <w:pPr>
        <w:pStyle w:val="SingleTxtGR"/>
      </w:pPr>
      <w:r w:rsidRPr="00754EC9">
        <w:tab/>
      </w:r>
      <w:r w:rsidRPr="00754EC9">
        <w:rPr>
          <w:i/>
        </w:rPr>
        <w:t>приняв во внимание</w:t>
      </w:r>
      <w:r w:rsidRPr="00754EC9">
        <w:t xml:space="preserve"> всю письменную информацию, представленную ему автором сообщения и государством-участником,</w:t>
      </w:r>
    </w:p>
    <w:p w:rsidR="00CA1E20" w:rsidRPr="00754EC9" w:rsidRDefault="00CA1E20" w:rsidP="00754EC9">
      <w:pPr>
        <w:pStyle w:val="SingleTxtGR"/>
      </w:pPr>
      <w:r w:rsidRPr="00754EC9">
        <w:tab/>
      </w:r>
      <w:r w:rsidR="00754EC9" w:rsidRPr="00754EC9">
        <w:rPr>
          <w:i/>
        </w:rPr>
        <w:t>п</w:t>
      </w:r>
      <w:r w:rsidR="00022606" w:rsidRPr="00754EC9">
        <w:rPr>
          <w:i/>
        </w:rPr>
        <w:t xml:space="preserve">ринимает </w:t>
      </w:r>
      <w:r w:rsidR="00022606" w:rsidRPr="00754EC9">
        <w:t>следующие:</w:t>
      </w:r>
    </w:p>
    <w:p w:rsidR="00022606" w:rsidRPr="00344715" w:rsidRDefault="00754EC9" w:rsidP="00344715">
      <w:pPr>
        <w:pStyle w:val="H1GR"/>
      </w:pPr>
      <w:r w:rsidRPr="00344715">
        <w:tab/>
      </w:r>
      <w:r w:rsidRPr="00344715">
        <w:tab/>
        <w:t>Соображения согласно пункту</w:t>
      </w:r>
      <w:r w:rsidR="00022606" w:rsidRPr="00344715">
        <w:t xml:space="preserve"> 4 статьи 5 Факультативного протокола</w:t>
      </w:r>
    </w:p>
    <w:p w:rsidR="00022606" w:rsidRPr="00754EC9" w:rsidRDefault="00D40DC6" w:rsidP="00754EC9">
      <w:pPr>
        <w:pStyle w:val="SingleTxtGR"/>
      </w:pPr>
      <w:r w:rsidRPr="00754EC9">
        <w:t>1.</w:t>
      </w:r>
      <w:r w:rsidRPr="00754EC9">
        <w:tab/>
        <w:t>Автором является Павел Козлов, гражданин Беларуси 1936 года рожд</w:t>
      </w:r>
      <w:r w:rsidRPr="00754EC9">
        <w:t>е</w:t>
      </w:r>
      <w:r w:rsidRPr="00754EC9">
        <w:t>ния. Он утверждает, что является жертвой нарушений Беларусью его прав по статьям 14 и 19 Международного пакта о гражданских и политических правах. Факультативный протокол вступил в силу для государства-участника 30 декабря 1992 года.</w:t>
      </w:r>
    </w:p>
    <w:p w:rsidR="00D21FF5" w:rsidRPr="00BC7AEA" w:rsidRDefault="00D21FF5" w:rsidP="004311E3">
      <w:pPr>
        <w:pStyle w:val="H23GR"/>
      </w:pPr>
      <w:r w:rsidRPr="00BC7AEA">
        <w:tab/>
      </w:r>
      <w:r w:rsidRPr="00BC7AEA">
        <w:tab/>
      </w:r>
      <w:r w:rsidR="00D40DC6" w:rsidRPr="00BC7AEA">
        <w:t>Факты в изложении автора</w:t>
      </w:r>
    </w:p>
    <w:p w:rsidR="00D40DC6" w:rsidRPr="00754EC9" w:rsidRDefault="00D40DC6" w:rsidP="00754EC9">
      <w:pPr>
        <w:pStyle w:val="SingleTxtGR"/>
      </w:pPr>
      <w:r w:rsidRPr="00754EC9">
        <w:t>2.1</w:t>
      </w:r>
      <w:r w:rsidRPr="00754EC9">
        <w:tab/>
        <w:t>Автор является вышедшим на пенсию судебным экспертом по автомоб</w:t>
      </w:r>
      <w:r w:rsidRPr="00754EC9">
        <w:t>и</w:t>
      </w:r>
      <w:r w:rsidRPr="00754EC9">
        <w:t xml:space="preserve">лям и другим транспортным средствам. В 2004 и 2005 годах он </w:t>
      </w:r>
      <w:r w:rsidR="00E46C68" w:rsidRPr="00754EC9">
        <w:t>направлял</w:t>
      </w:r>
      <w:r w:rsidRPr="00754EC9">
        <w:t xml:space="preserve"> письма в различные государственные ведомства Беларуси</w:t>
      </w:r>
      <w:r w:rsidR="00E46C68" w:rsidRPr="00754EC9">
        <w:t xml:space="preserve"> с критикой в адрес</w:t>
      </w:r>
      <w:r w:rsidRPr="00754EC9">
        <w:t xml:space="preserve"> должностны</w:t>
      </w:r>
      <w:r w:rsidR="00E46C68" w:rsidRPr="00754EC9">
        <w:t>х</w:t>
      </w:r>
      <w:r w:rsidRPr="00754EC9">
        <w:t xml:space="preserve"> лиц государственного закрытого акционерного страхового общ</w:t>
      </w:r>
      <w:r w:rsidRPr="00754EC9">
        <w:t>е</w:t>
      </w:r>
      <w:r w:rsidR="00960C6F">
        <w:t xml:space="preserve">ства </w:t>
      </w:r>
      <w:r w:rsidR="0011166A">
        <w:t>"</w:t>
      </w:r>
      <w:r w:rsidR="00960C6F">
        <w:t>Промтрансинвест</w:t>
      </w:r>
      <w:r w:rsidR="0011166A">
        <w:t>"</w:t>
      </w:r>
      <w:r w:rsidRPr="00754EC9">
        <w:t xml:space="preserve"> (</w:t>
      </w:r>
      <w:r w:rsidR="00960C6F">
        <w:t xml:space="preserve">далее </w:t>
      </w:r>
      <w:r w:rsidR="0011166A">
        <w:t>"</w:t>
      </w:r>
      <w:r w:rsidR="00B912F2" w:rsidRPr="00754EC9">
        <w:t>Промтран</w:t>
      </w:r>
      <w:r w:rsidR="00BF2465" w:rsidRPr="00754EC9">
        <w:t>с</w:t>
      </w:r>
      <w:r w:rsidR="00960C6F">
        <w:t>инвест</w:t>
      </w:r>
      <w:r w:rsidR="0011166A">
        <w:t>"</w:t>
      </w:r>
      <w:r w:rsidR="00B912F2" w:rsidRPr="00754EC9">
        <w:t>) за</w:t>
      </w:r>
      <w:r w:rsidR="002C712C" w:rsidRPr="00754EC9">
        <w:t xml:space="preserve"> предполагаемое</w:t>
      </w:r>
      <w:r w:rsidR="00B912F2" w:rsidRPr="00754EC9">
        <w:t xml:space="preserve"> отсу</w:t>
      </w:r>
      <w:r w:rsidR="00B912F2" w:rsidRPr="00754EC9">
        <w:t>т</w:t>
      </w:r>
      <w:r w:rsidR="00B912F2" w:rsidRPr="00754EC9">
        <w:t xml:space="preserve">ствие ответственности и контроля, </w:t>
      </w:r>
      <w:r w:rsidR="001136DA" w:rsidRPr="00754EC9">
        <w:t>нецелевое</w:t>
      </w:r>
      <w:r w:rsidR="00B912F2" w:rsidRPr="00754EC9">
        <w:t xml:space="preserve"> расходование страховых выплат член</w:t>
      </w:r>
      <w:r w:rsidR="001136DA" w:rsidRPr="00754EC9">
        <w:t>ов</w:t>
      </w:r>
      <w:r w:rsidR="00B912F2" w:rsidRPr="00754EC9">
        <w:t xml:space="preserve"> этого общества, возможную коррупцию и ущемление прав лиц, </w:t>
      </w:r>
      <w:r w:rsidR="00585F3D" w:rsidRPr="00754EC9">
        <w:t>попа</w:t>
      </w:r>
      <w:r w:rsidR="00585F3D" w:rsidRPr="00754EC9">
        <w:t>в</w:t>
      </w:r>
      <w:r w:rsidR="00585F3D" w:rsidRPr="00754EC9">
        <w:t>ших в</w:t>
      </w:r>
      <w:r w:rsidR="00960C6F">
        <w:t xml:space="preserve"> </w:t>
      </w:r>
      <w:r w:rsidR="00B912F2" w:rsidRPr="00754EC9">
        <w:t>дорожн</w:t>
      </w:r>
      <w:r w:rsidR="002C712C" w:rsidRPr="00754EC9">
        <w:t>о-транспортны</w:t>
      </w:r>
      <w:r w:rsidR="00585F3D" w:rsidRPr="00754EC9">
        <w:t>е</w:t>
      </w:r>
      <w:r w:rsidR="00B912F2" w:rsidRPr="00754EC9">
        <w:t xml:space="preserve"> происшестви</w:t>
      </w:r>
      <w:r w:rsidR="00585F3D" w:rsidRPr="00754EC9">
        <w:t>я</w:t>
      </w:r>
      <w:r w:rsidR="00B912F2" w:rsidRPr="00754EC9">
        <w:t>.</w:t>
      </w:r>
    </w:p>
    <w:p w:rsidR="00B912F2" w:rsidRPr="00754EC9" w:rsidRDefault="00B912F2" w:rsidP="00754EC9">
      <w:pPr>
        <w:pStyle w:val="SingleTxtGR"/>
      </w:pPr>
      <w:r w:rsidRPr="00754EC9">
        <w:t>2.2</w:t>
      </w:r>
      <w:r w:rsidRPr="00754EC9">
        <w:tab/>
        <w:t>Автор утверждает, что в одном из своих писем от 18 января 2005 года, к</w:t>
      </w:r>
      <w:r w:rsidRPr="00754EC9">
        <w:t>о</w:t>
      </w:r>
      <w:r w:rsidRPr="00754EC9">
        <w:t xml:space="preserve">торое он направил Министру финансов Беларуси, он критически высказался </w:t>
      </w:r>
      <w:r w:rsidR="005F319F" w:rsidRPr="00754EC9">
        <w:t>по поводу</w:t>
      </w:r>
      <w:r w:rsidR="00960C6F">
        <w:t xml:space="preserve"> заместителя директора </w:t>
      </w:r>
      <w:r w:rsidR="0011166A">
        <w:t>"</w:t>
      </w:r>
      <w:r w:rsidR="00960C6F">
        <w:t>Промтрансинвеста</w:t>
      </w:r>
      <w:r w:rsidR="0011166A">
        <w:t>"</w:t>
      </w:r>
      <w:r w:rsidRPr="00754EC9">
        <w:t xml:space="preserve"> г-ж</w:t>
      </w:r>
      <w:r w:rsidR="0011166A">
        <w:t>и Т., указав при этом, что она "</w:t>
      </w:r>
      <w:r w:rsidR="005F319F" w:rsidRPr="00754EC9">
        <w:t xml:space="preserve">пустоголовая, </w:t>
      </w:r>
      <w:r w:rsidRPr="00754EC9">
        <w:t>не способна к предпринимательской деятельности и в целом находится на уровне учащегося восьмого класса со знаниями страхового аген</w:t>
      </w:r>
      <w:r w:rsidR="0011166A">
        <w:t>та"</w:t>
      </w:r>
      <w:r w:rsidRPr="00754EC9">
        <w:t>. 11</w:t>
      </w:r>
      <w:r w:rsidR="00960C6F">
        <w:t xml:space="preserve"> </w:t>
      </w:r>
      <w:r w:rsidRPr="00754EC9">
        <w:t xml:space="preserve">марта 2005 года </w:t>
      </w:r>
      <w:r w:rsidR="006201F4" w:rsidRPr="00754EC9">
        <w:t xml:space="preserve">за </w:t>
      </w:r>
      <w:r w:rsidRPr="00754EC9">
        <w:t>вышеупомянуты</w:t>
      </w:r>
      <w:r w:rsidR="006201F4" w:rsidRPr="00754EC9">
        <w:t>е</w:t>
      </w:r>
      <w:r w:rsidRPr="00754EC9">
        <w:t xml:space="preserve"> выражени</w:t>
      </w:r>
      <w:r w:rsidR="006201F4" w:rsidRPr="00754EC9">
        <w:t>я</w:t>
      </w:r>
      <w:r w:rsidRPr="00754EC9">
        <w:t xml:space="preserve"> Ленинский окру</w:t>
      </w:r>
      <w:r w:rsidRPr="00754EC9">
        <w:t>ж</w:t>
      </w:r>
      <w:r w:rsidRPr="00754EC9">
        <w:t xml:space="preserve">ной суд Бреста </w:t>
      </w:r>
      <w:r w:rsidR="006201F4" w:rsidRPr="00754EC9">
        <w:t>признал его виновным</w:t>
      </w:r>
      <w:r w:rsidRPr="00754EC9">
        <w:t xml:space="preserve"> в </w:t>
      </w:r>
      <w:r w:rsidR="006201F4" w:rsidRPr="00754EC9">
        <w:t>к</w:t>
      </w:r>
      <w:r w:rsidRPr="00754EC9">
        <w:t>левете, которая является администр</w:t>
      </w:r>
      <w:r w:rsidRPr="00754EC9">
        <w:t>а</w:t>
      </w:r>
      <w:r w:rsidRPr="00754EC9">
        <w:t xml:space="preserve">тивным нарушением </w:t>
      </w:r>
      <w:r w:rsidR="006201F4" w:rsidRPr="00754EC9">
        <w:t>по</w:t>
      </w:r>
      <w:r w:rsidRPr="00754EC9">
        <w:t xml:space="preserve"> </w:t>
      </w:r>
      <w:r w:rsidR="00CA64AC" w:rsidRPr="00754EC9">
        <w:t xml:space="preserve">статье </w:t>
      </w:r>
      <w:r w:rsidRPr="00754EC9">
        <w:t xml:space="preserve">156.2 </w:t>
      </w:r>
      <w:r w:rsidR="006201F4" w:rsidRPr="00754EC9">
        <w:t>Кодекса а</w:t>
      </w:r>
      <w:r w:rsidRPr="00754EC9">
        <w:t>дминистративн</w:t>
      </w:r>
      <w:r w:rsidR="006201F4" w:rsidRPr="00754EC9">
        <w:t>ых нарушений</w:t>
      </w:r>
      <w:r w:rsidRPr="00754EC9">
        <w:t xml:space="preserve">, и приговорил его к </w:t>
      </w:r>
      <w:r w:rsidR="006201F4" w:rsidRPr="00754EC9">
        <w:t xml:space="preserve">выплате </w:t>
      </w:r>
      <w:r w:rsidRPr="00754EC9">
        <w:t>административно</w:t>
      </w:r>
      <w:r w:rsidR="006201F4" w:rsidRPr="00754EC9">
        <w:t>го</w:t>
      </w:r>
      <w:r w:rsidRPr="00754EC9">
        <w:t xml:space="preserve"> штраф</w:t>
      </w:r>
      <w:r w:rsidR="006201F4" w:rsidRPr="00754EC9">
        <w:t>а</w:t>
      </w:r>
      <w:r w:rsidRPr="00754EC9">
        <w:t xml:space="preserve"> в размере 24</w:t>
      </w:r>
      <w:r w:rsidR="00960C6F">
        <w:t xml:space="preserve"> </w:t>
      </w:r>
      <w:r w:rsidRPr="00754EC9">
        <w:t>000 рублей (</w:t>
      </w:r>
      <w:r w:rsidR="006201F4" w:rsidRPr="00754EC9">
        <w:t>эквивалентных примерно</w:t>
      </w:r>
      <w:r w:rsidR="00294B7A">
        <w:t xml:space="preserve"> 12 долл.</w:t>
      </w:r>
      <w:r w:rsidRPr="00754EC9">
        <w:t xml:space="preserve"> США на время </w:t>
      </w:r>
      <w:r w:rsidR="006201F4" w:rsidRPr="00754EC9">
        <w:t>написания</w:t>
      </w:r>
      <w:r w:rsidRPr="00754EC9">
        <w:t xml:space="preserve"> письма).</w:t>
      </w:r>
    </w:p>
    <w:p w:rsidR="00B912F2" w:rsidRPr="00754EC9" w:rsidRDefault="005207E4" w:rsidP="00754EC9">
      <w:pPr>
        <w:pStyle w:val="SingleTxtGR"/>
      </w:pPr>
      <w:r w:rsidRPr="00754EC9">
        <w:t>2.3</w:t>
      </w:r>
      <w:r w:rsidRPr="00754EC9">
        <w:tab/>
        <w:t xml:space="preserve">В своем решении </w:t>
      </w:r>
      <w:r w:rsidR="00B1310E" w:rsidRPr="00754EC9">
        <w:t>о</w:t>
      </w:r>
      <w:r w:rsidR="00B912F2" w:rsidRPr="00754EC9">
        <w:t>кружной суд отметил, что утверждение автора о том, что г-жа</w:t>
      </w:r>
      <w:r w:rsidR="00960C6F">
        <w:t xml:space="preserve"> </w:t>
      </w:r>
      <w:r w:rsidR="00B912F2" w:rsidRPr="00754EC9">
        <w:t>Т. по своему развитию соответствует общему уровню ученика восьм</w:t>
      </w:r>
      <w:r w:rsidR="00B912F2" w:rsidRPr="00754EC9">
        <w:t>о</w:t>
      </w:r>
      <w:r w:rsidR="00B912F2" w:rsidRPr="00754EC9">
        <w:t xml:space="preserve">го класса со знаниями страхового агента, не соответствует </w:t>
      </w:r>
      <w:r w:rsidR="00A83665" w:rsidRPr="00754EC9">
        <w:t>действительности</w:t>
      </w:r>
      <w:r w:rsidR="00B912F2" w:rsidRPr="00754EC9">
        <w:t xml:space="preserve"> и</w:t>
      </w:r>
      <w:r w:rsidR="00101D5F" w:rsidRPr="00754EC9">
        <w:t xml:space="preserve"> </w:t>
      </w:r>
      <w:r w:rsidR="00B912F2" w:rsidRPr="00754EC9">
        <w:t>является оскорбительным</w:t>
      </w:r>
      <w:r w:rsidR="00101D5F" w:rsidRPr="00754EC9">
        <w:t>; выражение</w:t>
      </w:r>
      <w:r w:rsidR="00B912F2" w:rsidRPr="00754EC9">
        <w:t xml:space="preserve"> </w:t>
      </w:r>
      <w:r w:rsidR="0011166A">
        <w:t>"</w:t>
      </w:r>
      <w:r w:rsidR="00CA64AC" w:rsidRPr="00754EC9">
        <w:t>пусто</w:t>
      </w:r>
      <w:r w:rsidR="00FE6E78" w:rsidRPr="00754EC9">
        <w:t>г</w:t>
      </w:r>
      <w:r w:rsidR="00CA64AC" w:rsidRPr="00754EC9">
        <w:t>оловая</w:t>
      </w:r>
      <w:r w:rsidR="0011166A">
        <w:t>"</w:t>
      </w:r>
      <w:r w:rsidR="00D71498" w:rsidRPr="00754EC9">
        <w:t xml:space="preserve"> унизительн</w:t>
      </w:r>
      <w:r w:rsidR="00101D5F" w:rsidRPr="00754EC9">
        <w:t>о</w:t>
      </w:r>
      <w:r w:rsidR="00D71498" w:rsidRPr="00754EC9">
        <w:t>. Суд осн</w:t>
      </w:r>
      <w:r w:rsidR="00D71498" w:rsidRPr="00754EC9">
        <w:t>о</w:t>
      </w:r>
      <w:r w:rsidR="00D71498" w:rsidRPr="00754EC9">
        <w:t xml:space="preserve">вывал свои выводы на </w:t>
      </w:r>
      <w:r w:rsidR="00BF2465" w:rsidRPr="00754EC9">
        <w:t>представленном ею</w:t>
      </w:r>
      <w:r w:rsidR="00D71498" w:rsidRPr="00754EC9">
        <w:t xml:space="preserve"> письме </w:t>
      </w:r>
      <w:r w:rsidR="00101D5F" w:rsidRPr="00754EC9">
        <w:t>от</w:t>
      </w:r>
      <w:r w:rsidR="00D71498" w:rsidRPr="00754EC9">
        <w:t xml:space="preserve"> работодателя, в котором перечислялись ее профессиональные качества и указывался тот факт, что она </w:t>
      </w:r>
      <w:r w:rsidR="00917DBC" w:rsidRPr="00754EC9">
        <w:t>о</w:t>
      </w:r>
      <w:r w:rsidR="00D71498" w:rsidRPr="00754EC9">
        <w:t xml:space="preserve">кончила </w:t>
      </w:r>
      <w:r w:rsidR="00A83665" w:rsidRPr="00754EC9">
        <w:t>у</w:t>
      </w:r>
      <w:r w:rsidR="00D71498" w:rsidRPr="00754EC9">
        <w:t xml:space="preserve">ниверситет. </w:t>
      </w:r>
    </w:p>
    <w:p w:rsidR="005207E4" w:rsidRPr="00754EC9" w:rsidRDefault="005207E4" w:rsidP="00754EC9">
      <w:pPr>
        <w:pStyle w:val="SingleTxtGR"/>
      </w:pPr>
      <w:r w:rsidRPr="00754EC9">
        <w:t>2.4</w:t>
      </w:r>
      <w:r w:rsidRPr="00754EC9">
        <w:tab/>
        <w:t xml:space="preserve">12 октября 2006 года автор опротестовал решение </w:t>
      </w:r>
      <w:r w:rsidR="00D2433C" w:rsidRPr="00754EC9">
        <w:t>о</w:t>
      </w:r>
      <w:r w:rsidRPr="00754EC9">
        <w:t>кружного суда, обр</w:t>
      </w:r>
      <w:r w:rsidRPr="00754EC9">
        <w:t>а</w:t>
      </w:r>
      <w:r w:rsidRPr="004206DB">
        <w:rPr>
          <w:spacing w:val="0"/>
        </w:rPr>
        <w:t xml:space="preserve">тившись </w:t>
      </w:r>
      <w:r w:rsidR="00D2433C" w:rsidRPr="004206DB">
        <w:rPr>
          <w:spacing w:val="0"/>
        </w:rPr>
        <w:t xml:space="preserve">с ходатайством </w:t>
      </w:r>
      <w:r w:rsidRPr="004206DB">
        <w:rPr>
          <w:spacing w:val="0"/>
        </w:rPr>
        <w:t xml:space="preserve">к </w:t>
      </w:r>
      <w:r w:rsidR="00276197" w:rsidRPr="004206DB">
        <w:rPr>
          <w:spacing w:val="0"/>
        </w:rPr>
        <w:t>П</w:t>
      </w:r>
      <w:r w:rsidRPr="004206DB">
        <w:rPr>
          <w:spacing w:val="0"/>
        </w:rPr>
        <w:t>редседателю Брестского районного суда. В позднее п</w:t>
      </w:r>
      <w:r w:rsidRPr="004206DB">
        <w:rPr>
          <w:spacing w:val="0"/>
        </w:rPr>
        <w:t>о</w:t>
      </w:r>
      <w:r w:rsidRPr="004206DB">
        <w:rPr>
          <w:spacing w:val="0"/>
        </w:rPr>
        <w:t>да</w:t>
      </w:r>
      <w:r w:rsidR="00552809" w:rsidRPr="004206DB">
        <w:rPr>
          <w:spacing w:val="0"/>
        </w:rPr>
        <w:t>н</w:t>
      </w:r>
      <w:r w:rsidRPr="004206DB">
        <w:rPr>
          <w:spacing w:val="0"/>
        </w:rPr>
        <w:t>ных дополнительных материалах к своему ходатайст</w:t>
      </w:r>
      <w:r w:rsidR="004206DB" w:rsidRPr="004206DB">
        <w:rPr>
          <w:spacing w:val="0"/>
        </w:rPr>
        <w:t>ву от 20 октября 2006</w:t>
      </w:r>
      <w:r w:rsidR="00960C6F" w:rsidRPr="00960C6F">
        <w:rPr>
          <w:spacing w:val="0"/>
        </w:rPr>
        <w:t xml:space="preserve"> </w:t>
      </w:r>
      <w:r w:rsidRPr="004206DB">
        <w:rPr>
          <w:spacing w:val="0"/>
        </w:rPr>
        <w:t>года</w:t>
      </w:r>
      <w:r w:rsidRPr="00754EC9">
        <w:t xml:space="preserve"> автор </w:t>
      </w:r>
      <w:r w:rsidR="00BF2465" w:rsidRPr="00754EC9">
        <w:t>четко указал, что решение</w:t>
      </w:r>
      <w:r w:rsidR="00552809" w:rsidRPr="00754EC9">
        <w:t xml:space="preserve"> суда первой инстанции нарушает его права по статье 19 Пакта. 30 октября 2006 года </w:t>
      </w:r>
      <w:r w:rsidR="00276197" w:rsidRPr="00754EC9">
        <w:t>р</w:t>
      </w:r>
      <w:r w:rsidR="00DB6DC4" w:rsidRPr="00754EC9">
        <w:t>айонный суд отклонил его апелляцию, согласившись с выводами окр</w:t>
      </w:r>
      <w:r w:rsidR="00BF2465" w:rsidRPr="00754EC9">
        <w:t>ужного суда о том, что выражения</w:t>
      </w:r>
      <w:r w:rsidR="00DB6DC4" w:rsidRPr="00754EC9">
        <w:t>, которые и</w:t>
      </w:r>
      <w:r w:rsidR="00DB6DC4" w:rsidRPr="00754EC9">
        <w:t>с</w:t>
      </w:r>
      <w:r w:rsidR="00DB6DC4" w:rsidRPr="00754EC9">
        <w:t xml:space="preserve">пользовал автор в своем письме, по существу являются действительно </w:t>
      </w:r>
      <w:r w:rsidR="00D2433C" w:rsidRPr="00754EC9">
        <w:t>ун</w:t>
      </w:r>
      <w:r w:rsidR="00120492" w:rsidRPr="00754EC9">
        <w:t>и</w:t>
      </w:r>
      <w:r w:rsidR="00D2433C" w:rsidRPr="00754EC9">
        <w:t>з</w:t>
      </w:r>
      <w:r w:rsidR="00D2433C" w:rsidRPr="00754EC9">
        <w:t>и</w:t>
      </w:r>
      <w:r w:rsidR="00D2433C" w:rsidRPr="00754EC9">
        <w:t>тельными</w:t>
      </w:r>
      <w:r w:rsidR="00DB6DC4" w:rsidRPr="00754EC9">
        <w:t xml:space="preserve"> и оскорбительными по отношению к г-же Т. 8 ноября 2006 года автор подал ходатайство </w:t>
      </w:r>
      <w:r w:rsidR="00120492" w:rsidRPr="00754EC9">
        <w:t>П</w:t>
      </w:r>
      <w:r w:rsidR="00DB6DC4" w:rsidRPr="00754EC9">
        <w:t>редседателю Верховного суда Беларуси о пересмотре р</w:t>
      </w:r>
      <w:r w:rsidR="00DB6DC4" w:rsidRPr="00754EC9">
        <w:t>е</w:t>
      </w:r>
      <w:r w:rsidR="00DB6DC4" w:rsidRPr="00754EC9">
        <w:t>шения окружного суда.</w:t>
      </w:r>
      <w:r w:rsidR="004D7D27" w:rsidRPr="00754EC9">
        <w:t xml:space="preserve"> 26 января 2006 года заместитель </w:t>
      </w:r>
      <w:r w:rsidR="00CA64AC" w:rsidRPr="00754EC9">
        <w:t>П</w:t>
      </w:r>
      <w:r w:rsidR="004D7D27" w:rsidRPr="00754EC9">
        <w:t>редседателя Верхо</w:t>
      </w:r>
      <w:r w:rsidR="004D7D27" w:rsidRPr="00754EC9">
        <w:t>в</w:t>
      </w:r>
      <w:r w:rsidR="004D7D27" w:rsidRPr="00754EC9">
        <w:t xml:space="preserve">ного суда отклонил его ходатайство, указав при этом, что автор </w:t>
      </w:r>
      <w:r w:rsidR="0011166A">
        <w:t>"</w:t>
      </w:r>
      <w:r w:rsidR="004D7D27" w:rsidRPr="00754EC9">
        <w:t>распростран</w:t>
      </w:r>
      <w:r w:rsidR="004D7D27" w:rsidRPr="00754EC9">
        <w:t>я</w:t>
      </w:r>
      <w:r w:rsidR="004D7D27" w:rsidRPr="00754EC9">
        <w:t>ет ложные сведения, которые наносят ущерб чести и достоинству г-жи Т.</w:t>
      </w:r>
      <w:r w:rsidR="0011166A">
        <w:t>"</w:t>
      </w:r>
      <w:r w:rsidR="004D7D27" w:rsidRPr="00754EC9">
        <w:t>.</w:t>
      </w:r>
    </w:p>
    <w:p w:rsidR="004D7D27" w:rsidRPr="00754EC9" w:rsidRDefault="004D7D27" w:rsidP="00754EC9">
      <w:pPr>
        <w:pStyle w:val="SingleTxtGR"/>
      </w:pPr>
      <w:r w:rsidRPr="00754EC9">
        <w:t>2.5</w:t>
      </w:r>
      <w:r w:rsidRPr="00754EC9">
        <w:tab/>
        <w:t>Автор считает, что он исчерпал все имеющиеся и эффективные внутре</w:t>
      </w:r>
      <w:r w:rsidRPr="00754EC9">
        <w:t>н</w:t>
      </w:r>
      <w:r w:rsidRPr="00754EC9">
        <w:t>ние средства правовой защиты по отношению своей жалобы в соответствии со статьей 19 Пакта и что у него не имеется средств правовой защиты по отнош</w:t>
      </w:r>
      <w:r w:rsidRPr="00754EC9">
        <w:t>е</w:t>
      </w:r>
      <w:r w:rsidRPr="00754EC9">
        <w:t xml:space="preserve">нию к его жалобе </w:t>
      </w:r>
      <w:r w:rsidR="00120492" w:rsidRPr="00754EC9">
        <w:t>по</w:t>
      </w:r>
      <w:r w:rsidRPr="00754EC9">
        <w:t xml:space="preserve"> статье 14 Пакта (см. пункт 3.2 ниже).</w:t>
      </w:r>
    </w:p>
    <w:p w:rsidR="00D21FF5" w:rsidRPr="00BC7AEA" w:rsidRDefault="00D21FF5" w:rsidP="00294B7A">
      <w:pPr>
        <w:pStyle w:val="H23GR"/>
      </w:pPr>
      <w:r w:rsidRPr="00B8676E">
        <w:tab/>
      </w:r>
      <w:r w:rsidRPr="00BC7AEA">
        <w:tab/>
      </w:r>
      <w:r w:rsidR="004D7D27" w:rsidRPr="00BC7AEA">
        <w:t>Жалоба</w:t>
      </w:r>
    </w:p>
    <w:p w:rsidR="004D7D27" w:rsidRPr="00754EC9" w:rsidRDefault="00BF2465" w:rsidP="00754EC9">
      <w:pPr>
        <w:pStyle w:val="SingleTxtGR"/>
      </w:pPr>
      <w:r w:rsidRPr="00754EC9">
        <w:t>3.1</w:t>
      </w:r>
      <w:r w:rsidRPr="00754EC9">
        <w:tab/>
        <w:t>Автор считает, что выражения, которы</w:t>
      </w:r>
      <w:r w:rsidR="004D7D27" w:rsidRPr="00754EC9">
        <w:t>е он использовал в своем письме и которые суды сочли клеветой</w:t>
      </w:r>
      <w:r w:rsidR="004206DB">
        <w:t>,</w:t>
      </w:r>
      <w:r w:rsidR="00B74FB3" w:rsidRPr="00754EC9">
        <w:t xml:space="preserve"> просто отражали </w:t>
      </w:r>
      <w:r w:rsidR="004D7D27" w:rsidRPr="00754EC9">
        <w:t>его мнени</w:t>
      </w:r>
      <w:r w:rsidR="00B74FB3" w:rsidRPr="00754EC9">
        <w:t>е</w:t>
      </w:r>
      <w:r w:rsidR="004D7D27" w:rsidRPr="00754EC9">
        <w:t>, взгляд</w:t>
      </w:r>
      <w:r w:rsidR="00B74FB3" w:rsidRPr="00754EC9">
        <w:t>ы</w:t>
      </w:r>
      <w:r w:rsidR="004D7D27" w:rsidRPr="00754EC9">
        <w:t xml:space="preserve"> и крити</w:t>
      </w:r>
      <w:r w:rsidR="00B74FB3" w:rsidRPr="00754EC9">
        <w:t xml:space="preserve">ку в адрес </w:t>
      </w:r>
      <w:r w:rsidR="004D7D27" w:rsidRPr="00754EC9">
        <w:t>одно</w:t>
      </w:r>
      <w:r w:rsidR="00CA64AC" w:rsidRPr="00754EC9">
        <w:t>го</w:t>
      </w:r>
      <w:r w:rsidR="004D7D27" w:rsidRPr="00754EC9">
        <w:t xml:space="preserve"> из должностных лиц государственного учреждения. Суды не </w:t>
      </w:r>
      <w:r w:rsidR="00B74FB3" w:rsidRPr="00754EC9">
        <w:t>с</w:t>
      </w:r>
      <w:r w:rsidR="004D7D27" w:rsidRPr="00754EC9">
        <w:t>могли о</w:t>
      </w:r>
      <w:r w:rsidR="00B74FB3" w:rsidRPr="00754EC9">
        <w:t>босновать</w:t>
      </w:r>
      <w:r w:rsidR="004D7D27" w:rsidRPr="00754EC9">
        <w:t xml:space="preserve"> ограничений его права на свободу выражения мнений и, т</w:t>
      </w:r>
      <w:r w:rsidR="004D7D27" w:rsidRPr="00754EC9">
        <w:t>а</w:t>
      </w:r>
      <w:r w:rsidR="004D7D27" w:rsidRPr="00754EC9">
        <w:t>ким образом, наложенный на него штраф представляет собой нарушение его прав по статье 19 Пакта.</w:t>
      </w:r>
    </w:p>
    <w:p w:rsidR="004D7D27" w:rsidRPr="00754EC9" w:rsidRDefault="004D7D27" w:rsidP="00754EC9">
      <w:pPr>
        <w:pStyle w:val="SingleTxtGR"/>
      </w:pPr>
      <w:r w:rsidRPr="00754EC9">
        <w:t>3.2</w:t>
      </w:r>
      <w:r w:rsidRPr="00754EC9">
        <w:tab/>
        <w:t xml:space="preserve">Автор также </w:t>
      </w:r>
      <w:r w:rsidR="00365A48" w:rsidRPr="00754EC9">
        <w:t>считает</w:t>
      </w:r>
      <w:r w:rsidRPr="00754EC9">
        <w:t>, что ему было отказано в правосудии, поскольку с самого начала разбирательства суды проявляли пр</w:t>
      </w:r>
      <w:r w:rsidR="00365A48" w:rsidRPr="00754EC9">
        <w:t>ед</w:t>
      </w:r>
      <w:r w:rsidR="00EC24E5" w:rsidRPr="00754EC9">
        <w:t>взятое</w:t>
      </w:r>
      <w:r w:rsidR="00365A48" w:rsidRPr="00754EC9">
        <w:t xml:space="preserve"> отношение</w:t>
      </w:r>
      <w:r w:rsidRPr="00754EC9">
        <w:t xml:space="preserve"> и зан</w:t>
      </w:r>
      <w:r w:rsidRPr="00754EC9">
        <w:t>и</w:t>
      </w:r>
      <w:r w:rsidRPr="00754EC9">
        <w:t>мали сторону властей,</w:t>
      </w:r>
      <w:r w:rsidR="00365A48" w:rsidRPr="00754EC9">
        <w:t xml:space="preserve"> а также не смогли</w:t>
      </w:r>
      <w:r w:rsidRPr="00754EC9">
        <w:t xml:space="preserve"> беспристрастно</w:t>
      </w:r>
      <w:r w:rsidR="00365A48" w:rsidRPr="00754EC9">
        <w:t xml:space="preserve"> оценить</w:t>
      </w:r>
      <w:r w:rsidRPr="00754EC9">
        <w:t xml:space="preserve"> факт</w:t>
      </w:r>
      <w:r w:rsidR="00365A48" w:rsidRPr="00754EC9">
        <w:t>ы</w:t>
      </w:r>
      <w:r w:rsidRPr="00754EC9">
        <w:t xml:space="preserve"> по его делу. Он утверждает, </w:t>
      </w:r>
      <w:r w:rsidR="004206DB">
        <w:t>что суды</w:t>
      </w:r>
      <w:r w:rsidR="00F12C69" w:rsidRPr="00754EC9">
        <w:t xml:space="preserve"> de facto</w:t>
      </w:r>
      <w:r w:rsidR="006E4E94" w:rsidRPr="00754EC9">
        <w:t xml:space="preserve"> подчинены исполнительной ветви вл</w:t>
      </w:r>
      <w:r w:rsidR="006E4E94" w:rsidRPr="00754EC9">
        <w:t>а</w:t>
      </w:r>
      <w:r w:rsidR="006E4E94" w:rsidRPr="00754EC9">
        <w:t>сти. Автор заявляет, что некоторые государственные чиновники из Министерс</w:t>
      </w:r>
      <w:r w:rsidR="006E4E94" w:rsidRPr="00754EC9">
        <w:t>т</w:t>
      </w:r>
      <w:r w:rsidR="006E4E94" w:rsidRPr="00754EC9">
        <w:t xml:space="preserve">ва финансов и Министерства внутренних дел присутствовали </w:t>
      </w:r>
      <w:r w:rsidR="00D6619F" w:rsidRPr="00754EC9">
        <w:t>на судебных зас</w:t>
      </w:r>
      <w:r w:rsidR="00D6619F" w:rsidRPr="00754EC9">
        <w:t>е</w:t>
      </w:r>
      <w:r w:rsidR="00D6619F" w:rsidRPr="00754EC9">
        <w:t>даниях</w:t>
      </w:r>
      <w:r w:rsidR="006E4E94" w:rsidRPr="00754EC9">
        <w:t xml:space="preserve">, и суды открыто </w:t>
      </w:r>
      <w:r w:rsidR="00D6619F" w:rsidRPr="00754EC9">
        <w:t>встали на</w:t>
      </w:r>
      <w:r w:rsidR="006E4E94" w:rsidRPr="00754EC9">
        <w:t xml:space="preserve"> сторону властей и выступили против него. Соответственно он считает, что его права по статье 14 Пакта были нарушены.</w:t>
      </w:r>
    </w:p>
    <w:p w:rsidR="00D21FF5" w:rsidRPr="00B8676E" w:rsidRDefault="00965CF6" w:rsidP="00294B7A">
      <w:pPr>
        <w:pStyle w:val="H23GR"/>
        <w:rPr>
          <w:sz w:val="24"/>
        </w:rPr>
      </w:pPr>
      <w:r w:rsidRPr="00B8676E">
        <w:rPr>
          <w:sz w:val="24"/>
        </w:rPr>
        <w:tab/>
      </w:r>
      <w:r w:rsidRPr="00BC7AEA">
        <w:tab/>
      </w:r>
      <w:r w:rsidR="00245EE7" w:rsidRPr="00BC7AEA">
        <w:t>Замечания государства-участника по приемлемости</w:t>
      </w:r>
    </w:p>
    <w:p w:rsidR="00245EE7" w:rsidRPr="00754EC9" w:rsidRDefault="00245EE7" w:rsidP="00754EC9">
      <w:pPr>
        <w:pStyle w:val="SingleTxtGR"/>
      </w:pPr>
      <w:r w:rsidRPr="00754EC9">
        <w:t>4.1</w:t>
      </w:r>
      <w:r w:rsidRPr="00754EC9">
        <w:tab/>
        <w:t>26 октября 2010 года государство-участник оспорило приемлемость с</w:t>
      </w:r>
      <w:r w:rsidRPr="00754EC9">
        <w:t>о</w:t>
      </w:r>
      <w:r w:rsidRPr="00754EC9">
        <w:t>общения, утверждая, что сообщение было доставлено в Комитет третьей стор</w:t>
      </w:r>
      <w:r w:rsidRPr="00754EC9">
        <w:t>о</w:t>
      </w:r>
      <w:r w:rsidRPr="00754EC9">
        <w:t>ной, а не самим автором, как это</w:t>
      </w:r>
      <w:r w:rsidR="00D6619F" w:rsidRPr="00754EC9">
        <w:t>го</w:t>
      </w:r>
      <w:r w:rsidRPr="00754EC9">
        <w:t xml:space="preserve"> требует статья 1 Факультативного протокола к Пакту. Государство-участник далее просил</w:t>
      </w:r>
      <w:r w:rsidR="00D6619F" w:rsidRPr="00754EC9">
        <w:t>о</w:t>
      </w:r>
      <w:r w:rsidRPr="00754EC9">
        <w:t xml:space="preserve"> Комитет </w:t>
      </w:r>
      <w:r w:rsidR="0011166A">
        <w:t>"</w:t>
      </w:r>
      <w:r w:rsidRPr="00754EC9">
        <w:t>разъяснить взаимоо</w:t>
      </w:r>
      <w:r w:rsidRPr="00754EC9">
        <w:t>т</w:t>
      </w:r>
      <w:r w:rsidRPr="00754EC9">
        <w:t>ношения</w:t>
      </w:r>
      <w:r w:rsidR="0011166A">
        <w:t>"</w:t>
      </w:r>
      <w:r w:rsidRPr="00754EC9">
        <w:t xml:space="preserve"> между </w:t>
      </w:r>
      <w:r w:rsidR="00EC24E5" w:rsidRPr="00754EC9">
        <w:t xml:space="preserve">автором и его </w:t>
      </w:r>
      <w:r w:rsidRPr="00754EC9">
        <w:t>адвокатом.</w:t>
      </w:r>
    </w:p>
    <w:p w:rsidR="00915BD1" w:rsidRPr="00754EC9" w:rsidRDefault="00B25205" w:rsidP="00754EC9">
      <w:pPr>
        <w:pStyle w:val="SingleTxtGR"/>
      </w:pPr>
      <w:r w:rsidRPr="00754EC9">
        <w:t>4.2</w:t>
      </w:r>
      <w:r w:rsidRPr="00754EC9">
        <w:tab/>
        <w:t xml:space="preserve">6 января 2011 года государство-участник заявило </w:t>
      </w:r>
      <w:r w:rsidR="00EC24E5" w:rsidRPr="00754EC9">
        <w:t>по поводу</w:t>
      </w:r>
      <w:r w:rsidRPr="00754EC9">
        <w:t xml:space="preserve"> настоящих сообщений и ряда других сообщений, находящихся на рассмотрении Комитета, что автор не исчерпал всех имеющихся </w:t>
      </w:r>
      <w:r w:rsidR="006C649E" w:rsidRPr="00754EC9">
        <w:t xml:space="preserve">внутренних </w:t>
      </w:r>
      <w:r w:rsidRPr="00754EC9">
        <w:t>средств правовой защиты</w:t>
      </w:r>
      <w:r w:rsidR="006C649E" w:rsidRPr="00754EC9">
        <w:t xml:space="preserve"> в</w:t>
      </w:r>
      <w:r w:rsidRPr="00754EC9">
        <w:t xml:space="preserve"> Беларуси, включая</w:t>
      </w:r>
      <w:r w:rsidR="00960C6F">
        <w:t xml:space="preserve"> </w:t>
      </w:r>
      <w:r w:rsidR="00EC24E5" w:rsidRPr="00754EC9">
        <w:t xml:space="preserve">возможность </w:t>
      </w:r>
      <w:r w:rsidR="0011166A">
        <w:t>"</w:t>
      </w:r>
      <w:r w:rsidRPr="00754EC9">
        <w:t>о</w:t>
      </w:r>
      <w:r w:rsidR="006C649E" w:rsidRPr="00754EC9">
        <w:t>бра</w:t>
      </w:r>
      <w:r w:rsidR="00EC24E5" w:rsidRPr="00754EC9">
        <w:t>щения</w:t>
      </w:r>
      <w:r w:rsidR="006C649E" w:rsidRPr="00754EC9">
        <w:t xml:space="preserve"> в П</w:t>
      </w:r>
      <w:r w:rsidRPr="00754EC9">
        <w:t>рокуратур</w:t>
      </w:r>
      <w:r w:rsidR="006C649E" w:rsidRPr="00754EC9">
        <w:t>у</w:t>
      </w:r>
      <w:r w:rsidRPr="00754EC9">
        <w:t xml:space="preserve"> с просьбой о пер</w:t>
      </w:r>
      <w:r w:rsidRPr="00754EC9">
        <w:t>е</w:t>
      </w:r>
      <w:r w:rsidRPr="00754EC9">
        <w:t xml:space="preserve">смотре </w:t>
      </w:r>
      <w:r w:rsidR="006C649E" w:rsidRPr="00754EC9">
        <w:t xml:space="preserve">вступившего в силу </w:t>
      </w:r>
      <w:r w:rsidRPr="00754EC9">
        <w:t>решения</w:t>
      </w:r>
      <w:r w:rsidR="006C649E" w:rsidRPr="00754EC9">
        <w:t xml:space="preserve"> </w:t>
      </w:r>
      <w:r w:rsidRPr="00754EC9">
        <w:t>в порядке надзора</w:t>
      </w:r>
      <w:r w:rsidR="0011166A">
        <w:t>"</w:t>
      </w:r>
      <w:r w:rsidRPr="00754EC9">
        <w:t xml:space="preserve">. </w:t>
      </w:r>
      <w:r w:rsidR="00915BD1" w:rsidRPr="00754EC9">
        <w:t>Оно также утвержд</w:t>
      </w:r>
      <w:r w:rsidR="00915BD1" w:rsidRPr="00754EC9">
        <w:t>а</w:t>
      </w:r>
      <w:r w:rsidR="00915BD1" w:rsidRPr="00754EC9">
        <w:t>ет, что как сторона в Факультативном протоколе оно не давал</w:t>
      </w:r>
      <w:r w:rsidR="008624E7" w:rsidRPr="00754EC9">
        <w:t>о</w:t>
      </w:r>
      <w:r w:rsidR="00915BD1" w:rsidRPr="00754EC9">
        <w:t xml:space="preserve"> своего согласия на продление мандата Комитета; что, по его мнению, вышеупомянутые соо</w:t>
      </w:r>
      <w:r w:rsidR="00915BD1" w:rsidRPr="00754EC9">
        <w:t>б</w:t>
      </w:r>
      <w:r w:rsidR="00915BD1" w:rsidRPr="00754EC9">
        <w:t>щения были зарегистрированы с нарушением положени</w:t>
      </w:r>
      <w:r w:rsidR="008624E7" w:rsidRPr="00754EC9">
        <w:t>й</w:t>
      </w:r>
      <w:r w:rsidR="00915BD1" w:rsidRPr="00754EC9">
        <w:t xml:space="preserve"> Факультативного пр</w:t>
      </w:r>
      <w:r w:rsidR="00915BD1" w:rsidRPr="00754EC9">
        <w:t>о</w:t>
      </w:r>
      <w:r w:rsidR="00915BD1" w:rsidRPr="00754EC9">
        <w:t>токола; и что отсутствуют правовые основания для их рассмотрения государс</w:t>
      </w:r>
      <w:r w:rsidR="00915BD1" w:rsidRPr="00754EC9">
        <w:t>т</w:t>
      </w:r>
      <w:r w:rsidR="00915BD1" w:rsidRPr="00754EC9">
        <w:t>вом-участником;</w:t>
      </w:r>
      <w:r w:rsidR="00960C6F">
        <w:t xml:space="preserve"> </w:t>
      </w:r>
      <w:r w:rsidR="008624E7" w:rsidRPr="00754EC9">
        <w:t>а также</w:t>
      </w:r>
      <w:r w:rsidR="00960C6F">
        <w:t xml:space="preserve"> </w:t>
      </w:r>
      <w:r w:rsidR="00EC24E5" w:rsidRPr="00754EC9">
        <w:t xml:space="preserve">что </w:t>
      </w:r>
      <w:r w:rsidR="0011166A">
        <w:t>"</w:t>
      </w:r>
      <w:r w:rsidR="00915BD1" w:rsidRPr="00754EC9">
        <w:t>любые ссылки в этой связи на установивш</w:t>
      </w:r>
      <w:r w:rsidR="00BF2465" w:rsidRPr="00754EC9">
        <w:t>уюся пра</w:t>
      </w:r>
      <w:r w:rsidR="00BF2465" w:rsidRPr="00754EC9">
        <w:t>к</w:t>
      </w:r>
      <w:r w:rsidR="00BF2465" w:rsidRPr="00754EC9">
        <w:t xml:space="preserve">тику Комитета </w:t>
      </w:r>
      <w:r w:rsidR="009D6D44" w:rsidRPr="00754EC9">
        <w:t>неправомерны</w:t>
      </w:r>
      <w:r w:rsidR="0011166A">
        <w:t>"</w:t>
      </w:r>
      <w:r w:rsidR="00915BD1" w:rsidRPr="00754EC9">
        <w:t>.</w:t>
      </w:r>
    </w:p>
    <w:p w:rsidR="00915BD1" w:rsidRPr="00754EC9" w:rsidRDefault="00915BD1" w:rsidP="00754EC9">
      <w:pPr>
        <w:pStyle w:val="SingleTxtGR"/>
      </w:pPr>
      <w:r w:rsidRPr="00754EC9">
        <w:t>4.3</w:t>
      </w:r>
      <w:r w:rsidRPr="00754EC9">
        <w:tab/>
        <w:t>5 октября 2011 года государство-участник оспорило приемлемость соо</w:t>
      </w:r>
      <w:r w:rsidRPr="00754EC9">
        <w:t>б</w:t>
      </w:r>
      <w:r w:rsidRPr="00754EC9">
        <w:t xml:space="preserve">щения, заявив при этом, что автор не исчерпал всех имеющихся внутренних средств правовой защиты, поскольку он не обратился </w:t>
      </w:r>
      <w:r w:rsidR="0063323D" w:rsidRPr="00754EC9">
        <w:t xml:space="preserve">к </w:t>
      </w:r>
      <w:r w:rsidRPr="00754EC9">
        <w:t>прокур</w:t>
      </w:r>
      <w:r w:rsidR="0063323D" w:rsidRPr="00754EC9">
        <w:t xml:space="preserve">ору </w:t>
      </w:r>
      <w:r w:rsidRPr="00754EC9">
        <w:t xml:space="preserve">с </w:t>
      </w:r>
      <w:r w:rsidR="0063323D" w:rsidRPr="00754EC9">
        <w:t>ходатайс</w:t>
      </w:r>
      <w:r w:rsidR="0063323D" w:rsidRPr="00754EC9">
        <w:t>т</w:t>
      </w:r>
      <w:r w:rsidR="0063323D" w:rsidRPr="00754EC9">
        <w:t>вом</w:t>
      </w:r>
      <w:r w:rsidRPr="00754EC9">
        <w:t xml:space="preserve"> о возбуждении надзорного производства в отношении</w:t>
      </w:r>
      <w:r w:rsidR="0063323D" w:rsidRPr="00754EC9">
        <w:t xml:space="preserve"> вступивших в силу</w:t>
      </w:r>
      <w:r w:rsidR="00960C6F">
        <w:t xml:space="preserve"> </w:t>
      </w:r>
      <w:r w:rsidRPr="00754EC9">
        <w:t>решений.</w:t>
      </w:r>
    </w:p>
    <w:p w:rsidR="00B61274" w:rsidRPr="00754EC9" w:rsidRDefault="00915BD1" w:rsidP="00754EC9">
      <w:pPr>
        <w:pStyle w:val="SingleTxtGR"/>
      </w:pPr>
      <w:r w:rsidRPr="00754EC9">
        <w:t>4.4</w:t>
      </w:r>
      <w:r w:rsidRPr="00754EC9">
        <w:tab/>
        <w:t xml:space="preserve">25 января 2012 года государство-участник указало </w:t>
      </w:r>
      <w:r w:rsidR="006015A7" w:rsidRPr="00754EC9">
        <w:t>по поводу</w:t>
      </w:r>
      <w:r w:rsidRPr="00754EC9">
        <w:t xml:space="preserve"> настоящего сообщения, а также примерно шестидесяти других сообщений, что</w:t>
      </w:r>
      <w:r w:rsidR="00491930" w:rsidRPr="00754EC9">
        <w:t>,</w:t>
      </w:r>
      <w:r w:rsidRPr="00754EC9">
        <w:t xml:space="preserve"> присоед</w:t>
      </w:r>
      <w:r w:rsidRPr="00754EC9">
        <w:t>и</w:t>
      </w:r>
      <w:r w:rsidRPr="00754EC9">
        <w:t xml:space="preserve">нившись к Факультативному протоколу, оно признало компетенцию Комитета в соответствии со статьей 1, однако это признание компетенции было сделано в сочетании с положениями Факультативного протокола, включая положения, в которых устанавливались критерии в отношении заявителей и приемлемости их сообщений, в частности, со статьями 2 и 5. </w:t>
      </w:r>
      <w:r w:rsidR="00B61274" w:rsidRPr="00754EC9">
        <w:t>Государство-участник считает, что согласно Факультативному протоколу государства-участники не обязаны пр</w:t>
      </w:r>
      <w:r w:rsidR="00B61274" w:rsidRPr="00754EC9">
        <w:t>и</w:t>
      </w:r>
      <w:r w:rsidR="00B61274" w:rsidRPr="00754EC9">
        <w:t>знавать правила процедуры Комитета и его толкование положений Факульт</w:t>
      </w:r>
      <w:r w:rsidR="00B61274" w:rsidRPr="00754EC9">
        <w:t>а</w:t>
      </w:r>
      <w:r w:rsidR="00B61274" w:rsidRPr="00754EC9">
        <w:t>т</w:t>
      </w:r>
      <w:r w:rsidR="00491930" w:rsidRPr="00754EC9">
        <w:t>ивного протокола, которо</w:t>
      </w:r>
      <w:r w:rsidR="00B61274" w:rsidRPr="00754EC9">
        <w:t xml:space="preserve">е </w:t>
      </w:r>
      <w:r w:rsidR="0011166A">
        <w:t>"</w:t>
      </w:r>
      <w:r w:rsidR="00B61274" w:rsidRPr="00754EC9">
        <w:t>может быть эффективным лишь в том случае, если оно производится с учетом Венской конвенции о праве международных догов</w:t>
      </w:r>
      <w:r w:rsidR="00B61274" w:rsidRPr="00754EC9">
        <w:t>о</w:t>
      </w:r>
      <w:r w:rsidR="00B61274" w:rsidRPr="00754EC9">
        <w:t>ров</w:t>
      </w:r>
      <w:r w:rsidR="0011166A">
        <w:t>"</w:t>
      </w:r>
      <w:r w:rsidR="00B61274" w:rsidRPr="00754EC9">
        <w:t xml:space="preserve">. Оно утверждает, что </w:t>
      </w:r>
      <w:r w:rsidR="0011166A">
        <w:t>"</w:t>
      </w:r>
      <w:r w:rsidR="00B61274" w:rsidRPr="00754EC9">
        <w:t>в отношении процедуры подачи жалоб государства-участники в первую очередь должны руководствоваться положениями Факул</w:t>
      </w:r>
      <w:r w:rsidR="00B61274" w:rsidRPr="00754EC9">
        <w:t>ь</w:t>
      </w:r>
      <w:r w:rsidR="00B61274" w:rsidRPr="00754EC9">
        <w:t>тативного протокола</w:t>
      </w:r>
      <w:r w:rsidR="0011166A">
        <w:t>"</w:t>
      </w:r>
      <w:r w:rsidR="00B61274" w:rsidRPr="00754EC9">
        <w:t xml:space="preserve"> и что </w:t>
      </w:r>
      <w:r w:rsidR="0011166A">
        <w:t>"</w:t>
      </w:r>
      <w:r w:rsidR="00B61274" w:rsidRPr="00754EC9">
        <w:t>ссылки на установившуюся практику Комитета, методы работы, прецедентное право не являются предметом Факультативного протокола</w:t>
      </w:r>
      <w:r w:rsidR="0011166A">
        <w:t>"</w:t>
      </w:r>
      <w:r w:rsidR="00B61274" w:rsidRPr="00754EC9">
        <w:t>.</w:t>
      </w:r>
      <w:r w:rsidR="00FE6E78" w:rsidRPr="00754EC9">
        <w:t xml:space="preserve"> </w:t>
      </w:r>
      <w:r w:rsidR="00B61274" w:rsidRPr="00754EC9">
        <w:t xml:space="preserve">Оно также утверждает, что </w:t>
      </w:r>
      <w:r w:rsidR="0011166A">
        <w:t>"</w:t>
      </w:r>
      <w:r w:rsidR="00B61274" w:rsidRPr="00754EC9">
        <w:t>любое сообщение, зарегистрированное в нарушение положений Факультативного протокола к Пакту о гражданских и политических правах, будет</w:t>
      </w:r>
      <w:r w:rsidR="006015A7" w:rsidRPr="00754EC9">
        <w:t xml:space="preserve"> сочтено </w:t>
      </w:r>
      <w:r w:rsidR="00B61274" w:rsidRPr="00754EC9">
        <w:t>государством-участником как несовмест</w:t>
      </w:r>
      <w:r w:rsidR="00B61274" w:rsidRPr="00754EC9">
        <w:t>и</w:t>
      </w:r>
      <w:r w:rsidR="00B61274" w:rsidRPr="00754EC9">
        <w:t xml:space="preserve">мое с Протоколом и будет </w:t>
      </w:r>
      <w:r w:rsidR="00E90908" w:rsidRPr="00754EC9">
        <w:t>отклонено без комментариев в отношении приемл</w:t>
      </w:r>
      <w:r w:rsidR="00E90908" w:rsidRPr="00754EC9">
        <w:t>е</w:t>
      </w:r>
      <w:r w:rsidR="00E90908" w:rsidRPr="00754EC9">
        <w:t>мости или существа дела</w:t>
      </w:r>
      <w:r w:rsidR="0011166A">
        <w:t>"</w:t>
      </w:r>
      <w:r w:rsidR="00E90908" w:rsidRPr="00754EC9">
        <w:t xml:space="preserve">. Государство-участник также заявило, что </w:t>
      </w:r>
      <w:r w:rsidR="006C039D" w:rsidRPr="00754EC9">
        <w:t>принима</w:t>
      </w:r>
      <w:r w:rsidR="006C039D" w:rsidRPr="00754EC9">
        <w:t>е</w:t>
      </w:r>
      <w:r w:rsidR="006C039D" w:rsidRPr="00754EC9">
        <w:t>мые Комитетом решения по отклоненным сообщениям будут рассматриваться его органами</w:t>
      </w:r>
      <w:r w:rsidR="009967F6" w:rsidRPr="00754EC9">
        <w:t xml:space="preserve"> власти</w:t>
      </w:r>
      <w:r w:rsidR="006C039D" w:rsidRPr="00754EC9">
        <w:t xml:space="preserve"> как </w:t>
      </w:r>
      <w:r w:rsidR="0011166A">
        <w:t>"</w:t>
      </w:r>
      <w:r w:rsidR="006C039D" w:rsidRPr="00754EC9">
        <w:t>недействительные</w:t>
      </w:r>
      <w:r w:rsidR="0011166A">
        <w:t>"</w:t>
      </w:r>
      <w:r w:rsidR="006C039D" w:rsidRPr="00754EC9">
        <w:t>.</w:t>
      </w:r>
    </w:p>
    <w:p w:rsidR="006C039D" w:rsidRPr="00BC7AEA" w:rsidRDefault="006C039D" w:rsidP="00A3169E">
      <w:pPr>
        <w:pStyle w:val="H23GR"/>
      </w:pPr>
      <w:r w:rsidRPr="00B8676E">
        <w:tab/>
      </w:r>
      <w:r w:rsidRPr="00BC7AEA">
        <w:tab/>
        <w:t>Вопросы и их рассмотрение в Комитете</w:t>
      </w:r>
    </w:p>
    <w:p w:rsidR="00D21FF5" w:rsidRPr="00A3169E" w:rsidRDefault="00D21FF5" w:rsidP="00A3169E">
      <w:pPr>
        <w:pStyle w:val="H4GR"/>
      </w:pPr>
      <w:r w:rsidRPr="00A3169E">
        <w:tab/>
      </w:r>
      <w:r w:rsidRPr="00A3169E">
        <w:tab/>
      </w:r>
      <w:r w:rsidR="006C039D" w:rsidRPr="00A3169E">
        <w:t>Отсутствие сотрудничества со стороны государства-участника</w:t>
      </w:r>
    </w:p>
    <w:p w:rsidR="006C039D" w:rsidRPr="00754EC9" w:rsidRDefault="006C039D" w:rsidP="00754EC9">
      <w:pPr>
        <w:pStyle w:val="SingleTxtGR"/>
      </w:pPr>
      <w:r w:rsidRPr="00754EC9">
        <w:t>5.1</w:t>
      </w:r>
      <w:r w:rsidRPr="00754EC9">
        <w:tab/>
        <w:t>Комитет принимает к сведению утверждени</w:t>
      </w:r>
      <w:r w:rsidR="00071FFC" w:rsidRPr="00754EC9">
        <w:t>я</w:t>
      </w:r>
      <w:r w:rsidRPr="00754EC9">
        <w:t xml:space="preserve"> государства-участника об отсутствии правовых оснований для рассмотрения сообщения автора, поскол</w:t>
      </w:r>
      <w:r w:rsidRPr="00754EC9">
        <w:t>ь</w:t>
      </w:r>
      <w:r w:rsidRPr="00754EC9">
        <w:t xml:space="preserve">ку оно зарегистрировано в нарушение положений Факультативного протокола; что оно не </w:t>
      </w:r>
      <w:r w:rsidR="00520D0C" w:rsidRPr="00754EC9">
        <w:t xml:space="preserve">обязано признавать </w:t>
      </w:r>
      <w:r w:rsidRPr="00754EC9">
        <w:t>правил</w:t>
      </w:r>
      <w:r w:rsidR="00520D0C" w:rsidRPr="00754EC9">
        <w:t>а процедуры Комитета и толкование</w:t>
      </w:r>
      <w:r w:rsidRPr="00754EC9">
        <w:t xml:space="preserve"> К</w:t>
      </w:r>
      <w:r w:rsidRPr="00754EC9">
        <w:t>о</w:t>
      </w:r>
      <w:r w:rsidRPr="00754EC9">
        <w:t xml:space="preserve">митетом положений </w:t>
      </w:r>
      <w:r w:rsidR="00520D0C" w:rsidRPr="00754EC9">
        <w:t>Факультативного протокола; и что в случае принятия К</w:t>
      </w:r>
      <w:r w:rsidR="00520D0C" w:rsidRPr="00754EC9">
        <w:t>о</w:t>
      </w:r>
      <w:r w:rsidR="00520D0C" w:rsidRPr="00754EC9">
        <w:t>митетом решени</w:t>
      </w:r>
      <w:r w:rsidR="00071FFC" w:rsidRPr="00754EC9">
        <w:t>я</w:t>
      </w:r>
      <w:r w:rsidR="00520D0C" w:rsidRPr="00754EC9">
        <w:t xml:space="preserve"> по данному делу, оно будет проигнорировано </w:t>
      </w:r>
      <w:r w:rsidR="00071FFC" w:rsidRPr="00754EC9">
        <w:t>властями гос</w:t>
      </w:r>
      <w:r w:rsidR="00071FFC" w:rsidRPr="00754EC9">
        <w:t>у</w:t>
      </w:r>
      <w:r w:rsidR="00071FFC" w:rsidRPr="00754EC9">
        <w:t xml:space="preserve">дарства-участника </w:t>
      </w:r>
      <w:r w:rsidR="0011166A">
        <w:t>"</w:t>
      </w:r>
      <w:r w:rsidR="00520D0C" w:rsidRPr="00754EC9">
        <w:t>как недействительное</w:t>
      </w:r>
      <w:r w:rsidR="0011166A">
        <w:t>"</w:t>
      </w:r>
      <w:r w:rsidR="00520D0C" w:rsidRPr="00754EC9">
        <w:t>.</w:t>
      </w:r>
    </w:p>
    <w:p w:rsidR="00D21FF5" w:rsidRPr="00754EC9" w:rsidRDefault="00520D0C" w:rsidP="00754EC9">
      <w:pPr>
        <w:pStyle w:val="SingleTxtGR"/>
      </w:pPr>
      <w:r w:rsidRPr="00754EC9">
        <w:t>5.2</w:t>
      </w:r>
      <w:r w:rsidRPr="00754EC9">
        <w:tab/>
        <w:t>Комитет напоминает, что согласно пункту 2 статьи 39 Пакта он вправе устанавливать свои собственные правила процедуры, которые государства-участники согласились признавать. Он также отмечает, что, присоединившись к Факультативному протоколу, государство-участник Пакта признает компете</w:t>
      </w:r>
      <w:r w:rsidRPr="00754EC9">
        <w:t>н</w:t>
      </w:r>
      <w:r w:rsidRPr="00754EC9">
        <w:t xml:space="preserve">цию Комитета принимать и рассматривать сообщения </w:t>
      </w:r>
      <w:r w:rsidR="00787B3B" w:rsidRPr="00754EC9">
        <w:t xml:space="preserve">отдельных </w:t>
      </w:r>
      <w:r w:rsidRPr="00754EC9">
        <w:t>лиц, утве</w:t>
      </w:r>
      <w:r w:rsidRPr="00754EC9">
        <w:t>р</w:t>
      </w:r>
      <w:r w:rsidRPr="00754EC9">
        <w:t xml:space="preserve">ждающих, что </w:t>
      </w:r>
      <w:r w:rsidR="00037143" w:rsidRPr="00754EC9">
        <w:t>являются</w:t>
      </w:r>
      <w:r w:rsidR="00960C6F">
        <w:t xml:space="preserve"> </w:t>
      </w:r>
      <w:r w:rsidRPr="00754EC9">
        <w:t xml:space="preserve">жертвами нарушений </w:t>
      </w:r>
      <w:r w:rsidR="00037143" w:rsidRPr="00754EC9">
        <w:t>какого-либо из прав</w:t>
      </w:r>
      <w:r w:rsidRPr="00754EC9">
        <w:t xml:space="preserve">, </w:t>
      </w:r>
      <w:r w:rsidR="00037143" w:rsidRPr="00754EC9">
        <w:t>изложе</w:t>
      </w:r>
      <w:r w:rsidR="00037143" w:rsidRPr="00754EC9">
        <w:t>н</w:t>
      </w:r>
      <w:r w:rsidR="00037143" w:rsidRPr="00754EC9">
        <w:t xml:space="preserve">ных </w:t>
      </w:r>
      <w:r w:rsidRPr="00754EC9">
        <w:t>в Пакте (преамбула и статья 2).</w:t>
      </w:r>
      <w:r w:rsidR="00FE6E78" w:rsidRPr="00754EC9">
        <w:t xml:space="preserve"> </w:t>
      </w:r>
      <w:r w:rsidRPr="00754EC9">
        <w:t>В силу своего присоединения к Факультативн</w:t>
      </w:r>
      <w:r w:rsidRPr="00754EC9">
        <w:t>о</w:t>
      </w:r>
      <w:r w:rsidRPr="00754EC9">
        <w:t xml:space="preserve">му протоколу государство-участник обязуется добросовестно сотрудничать с Комитетом с тем, чтобы </w:t>
      </w:r>
      <w:r w:rsidR="003E325F" w:rsidRPr="00754EC9">
        <w:t xml:space="preserve">он мог </w:t>
      </w:r>
      <w:r w:rsidRPr="00754EC9">
        <w:t>рассматривать такие сообщения и после ра</w:t>
      </w:r>
      <w:r w:rsidRPr="00754EC9">
        <w:t>с</w:t>
      </w:r>
      <w:r w:rsidRPr="00754EC9">
        <w:t xml:space="preserve">смотрения </w:t>
      </w:r>
      <w:r w:rsidR="003E325F" w:rsidRPr="00754EC9">
        <w:t xml:space="preserve">сообщить </w:t>
      </w:r>
      <w:r w:rsidR="006251DD" w:rsidRPr="00754EC9">
        <w:t>свои соображения государству-участнику и лицу (пункты 1 и 4 статьи 5). С этими обязательствами</w:t>
      </w:r>
      <w:r w:rsidR="00960C6F">
        <w:t xml:space="preserve"> </w:t>
      </w:r>
      <w:r w:rsidR="006251DD" w:rsidRPr="00754EC9">
        <w:t>несовместимы любые действия гос</w:t>
      </w:r>
      <w:r w:rsidR="006251DD" w:rsidRPr="00754EC9">
        <w:t>у</w:t>
      </w:r>
      <w:r w:rsidR="006251DD" w:rsidRPr="00754EC9">
        <w:t>дарства-участника, которые будут мешать</w:t>
      </w:r>
      <w:r w:rsidR="003E325F" w:rsidRPr="00754EC9">
        <w:t xml:space="preserve"> или препятствовать</w:t>
      </w:r>
      <w:r w:rsidR="006251DD" w:rsidRPr="00754EC9">
        <w:t xml:space="preserve"> Комитет</w:t>
      </w:r>
      <w:r w:rsidR="0030106D" w:rsidRPr="00754EC9">
        <w:t>у</w:t>
      </w:r>
      <w:r w:rsidR="006251DD" w:rsidRPr="00754EC9">
        <w:t xml:space="preserve"> </w:t>
      </w:r>
      <w:r w:rsidR="003E325F" w:rsidRPr="00754EC9">
        <w:t>в ра</w:t>
      </w:r>
      <w:r w:rsidR="003E325F" w:rsidRPr="00754EC9">
        <w:t>с</w:t>
      </w:r>
      <w:r w:rsidR="003E325F" w:rsidRPr="00754EC9">
        <w:t xml:space="preserve">смотрении </w:t>
      </w:r>
      <w:r w:rsidR="006251DD" w:rsidRPr="00754EC9">
        <w:t>и изучени</w:t>
      </w:r>
      <w:r w:rsidR="003E325F" w:rsidRPr="00754EC9">
        <w:t>и</w:t>
      </w:r>
      <w:r w:rsidR="006251DD" w:rsidRPr="00754EC9">
        <w:t xml:space="preserve"> </w:t>
      </w:r>
      <w:r w:rsidR="003E325F" w:rsidRPr="00754EC9">
        <w:t>с</w:t>
      </w:r>
      <w:r w:rsidR="006251DD" w:rsidRPr="00754EC9">
        <w:t>о</w:t>
      </w:r>
      <w:r w:rsidR="00B21B69" w:rsidRPr="00754EC9">
        <w:t>о</w:t>
      </w:r>
      <w:r w:rsidR="006251DD" w:rsidRPr="00754EC9">
        <w:t xml:space="preserve">бщения, а также </w:t>
      </w:r>
      <w:r w:rsidR="003E325F" w:rsidRPr="00754EC9">
        <w:t xml:space="preserve">изложению </w:t>
      </w:r>
      <w:r w:rsidR="006251DD" w:rsidRPr="00754EC9">
        <w:t>им своих соображ</w:t>
      </w:r>
      <w:r w:rsidR="006251DD" w:rsidRPr="00754EC9">
        <w:t>е</w:t>
      </w:r>
      <w:r w:rsidR="006251DD" w:rsidRPr="00754EC9">
        <w:t>ний</w:t>
      </w:r>
      <w:r w:rsidR="00D21FF5" w:rsidRPr="00FF5163">
        <w:rPr>
          <w:rStyle w:val="FootnoteReference"/>
        </w:rPr>
        <w:footnoteReference w:id="3"/>
      </w:r>
      <w:r w:rsidR="00A3169E">
        <w:t>.</w:t>
      </w:r>
      <w:r w:rsidR="00960C6F">
        <w:t xml:space="preserve"> </w:t>
      </w:r>
      <w:r w:rsidR="006251DD" w:rsidRPr="00754EC9">
        <w:t>Комитет</w:t>
      </w:r>
      <w:r w:rsidR="003E325F" w:rsidRPr="00754EC9">
        <w:t xml:space="preserve"> вправе</w:t>
      </w:r>
      <w:r w:rsidR="006251DD" w:rsidRPr="00754EC9">
        <w:t xml:space="preserve"> решат</w:t>
      </w:r>
      <w:r w:rsidR="003E325F" w:rsidRPr="00754EC9">
        <w:t>ь</w:t>
      </w:r>
      <w:r w:rsidR="006251DD" w:rsidRPr="00754EC9">
        <w:t>, следует ли регистрировать сообщение. Комитет отм</w:t>
      </w:r>
      <w:r w:rsidR="006251DD" w:rsidRPr="00754EC9">
        <w:t>е</w:t>
      </w:r>
      <w:r w:rsidR="006251DD" w:rsidRPr="00754EC9">
        <w:t>чает, что</w:t>
      </w:r>
      <w:r w:rsidR="00491930" w:rsidRPr="00754EC9">
        <w:t>,</w:t>
      </w:r>
      <w:r w:rsidR="006251DD" w:rsidRPr="00754EC9">
        <w:t xml:space="preserve"> не</w:t>
      </w:r>
      <w:r w:rsidR="00491930" w:rsidRPr="00754EC9">
        <w:t xml:space="preserve"> признавая компетенцию Комитета</w:t>
      </w:r>
      <w:r w:rsidR="006251DD" w:rsidRPr="00754EC9">
        <w:t xml:space="preserve"> </w:t>
      </w:r>
      <w:r w:rsidR="003E325F" w:rsidRPr="00754EC9">
        <w:t xml:space="preserve">выносить решение о </w:t>
      </w:r>
      <w:r w:rsidR="006251DD" w:rsidRPr="00754EC9">
        <w:t>регистр</w:t>
      </w:r>
      <w:r w:rsidR="003E325F" w:rsidRPr="00754EC9">
        <w:t>а</w:t>
      </w:r>
      <w:r w:rsidR="003E325F" w:rsidRPr="00754EC9">
        <w:t>ции</w:t>
      </w:r>
      <w:r w:rsidR="006251DD" w:rsidRPr="00754EC9">
        <w:t xml:space="preserve"> сообщени</w:t>
      </w:r>
      <w:r w:rsidR="003E325F" w:rsidRPr="00754EC9">
        <w:t>я</w:t>
      </w:r>
      <w:r w:rsidR="006251DD" w:rsidRPr="00754EC9">
        <w:t xml:space="preserve"> и заранее заявляя, что оно не будет признавать решение Ком</w:t>
      </w:r>
      <w:r w:rsidR="006251DD" w:rsidRPr="00754EC9">
        <w:t>и</w:t>
      </w:r>
      <w:r w:rsidR="006251DD" w:rsidRPr="00754EC9">
        <w:t xml:space="preserve">тета </w:t>
      </w:r>
      <w:r w:rsidR="00670CA3" w:rsidRPr="00754EC9">
        <w:t>п</w:t>
      </w:r>
      <w:r w:rsidR="006251DD" w:rsidRPr="00754EC9">
        <w:t>о приемлемости и существу этого сообщения, государство-участник н</w:t>
      </w:r>
      <w:r w:rsidR="006251DD" w:rsidRPr="00754EC9">
        <w:t>а</w:t>
      </w:r>
      <w:r w:rsidR="006251DD" w:rsidRPr="00754EC9">
        <w:t>рушает свои обязательства по статье 1 Факультативного протокола к Пакту</w:t>
      </w:r>
      <w:r w:rsidR="00D21FF5" w:rsidRPr="00FF5163">
        <w:rPr>
          <w:rStyle w:val="FootnoteReference"/>
        </w:rPr>
        <w:footnoteReference w:id="4"/>
      </w:r>
      <w:r w:rsidR="00A3169E">
        <w:t>.</w:t>
      </w:r>
      <w:r w:rsidR="00D21FF5" w:rsidRPr="00754EC9">
        <w:t xml:space="preserve"> </w:t>
      </w:r>
    </w:p>
    <w:p w:rsidR="00D21FF5" w:rsidRPr="00A3169E" w:rsidRDefault="00D21FF5" w:rsidP="00E70EB8">
      <w:pPr>
        <w:pStyle w:val="H4GR"/>
      </w:pPr>
      <w:r w:rsidRPr="00A3169E">
        <w:tab/>
      </w:r>
      <w:r w:rsidRPr="00A3169E">
        <w:tab/>
      </w:r>
      <w:r w:rsidR="00D11882" w:rsidRPr="00A3169E">
        <w:t>Рассмотрение вопроса о приемлемости</w:t>
      </w:r>
    </w:p>
    <w:p w:rsidR="00D11882" w:rsidRPr="00754EC9" w:rsidRDefault="00D11882" w:rsidP="00754EC9">
      <w:pPr>
        <w:pStyle w:val="SingleTxtGR"/>
      </w:pPr>
      <w:r w:rsidRPr="00754EC9">
        <w:t>6.1</w:t>
      </w:r>
      <w:r w:rsidRPr="00754EC9">
        <w:tab/>
        <w:t>Прежде чем приступить к рассмотрению любой ж</w:t>
      </w:r>
      <w:r w:rsidR="00491930" w:rsidRPr="00754EC9">
        <w:t>алобы, содержащейся в сообщени</w:t>
      </w:r>
      <w:r w:rsidR="003E325F" w:rsidRPr="00754EC9">
        <w:t>и,</w:t>
      </w:r>
      <w:r w:rsidRPr="00754EC9">
        <w:t xml:space="preserve"> Комитет по правам человека в соответствии с правилом 93 своих правил процедуры должен принять решение, является ли </w:t>
      </w:r>
      <w:r w:rsidR="003954F3" w:rsidRPr="00754EC9">
        <w:t xml:space="preserve">она </w:t>
      </w:r>
      <w:r w:rsidRPr="00754EC9">
        <w:t>приемлем</w:t>
      </w:r>
      <w:r w:rsidR="003954F3" w:rsidRPr="00754EC9">
        <w:t>ой</w:t>
      </w:r>
      <w:r w:rsidRPr="00754EC9">
        <w:t xml:space="preserve"> с</w:t>
      </w:r>
      <w:r w:rsidRPr="00754EC9">
        <w:t>о</w:t>
      </w:r>
      <w:r w:rsidRPr="00754EC9">
        <w:t>гласно Факультативному протоколу</w:t>
      </w:r>
      <w:r w:rsidR="00960C6F">
        <w:t xml:space="preserve"> </w:t>
      </w:r>
      <w:r w:rsidR="003E325F" w:rsidRPr="00754EC9">
        <w:t xml:space="preserve">к </w:t>
      </w:r>
      <w:r w:rsidRPr="00754EC9">
        <w:t>Пакт</w:t>
      </w:r>
      <w:r w:rsidR="003E325F" w:rsidRPr="00754EC9">
        <w:t>у.</w:t>
      </w:r>
    </w:p>
    <w:p w:rsidR="00D11882" w:rsidRPr="00754EC9" w:rsidRDefault="00D11882" w:rsidP="00754EC9">
      <w:pPr>
        <w:pStyle w:val="SingleTxtGR"/>
      </w:pPr>
      <w:r w:rsidRPr="00754EC9">
        <w:t>6.2</w:t>
      </w:r>
      <w:r w:rsidRPr="00754EC9">
        <w:tab/>
        <w:t>В соответствии с пунктом 2 а) статьи 5 Факультативного протокола Ком</w:t>
      </w:r>
      <w:r w:rsidRPr="00754EC9">
        <w:t>и</w:t>
      </w:r>
      <w:r w:rsidRPr="00754EC9">
        <w:t xml:space="preserve">тет удостоверился, что этот же вопрос не рассматривается </w:t>
      </w:r>
      <w:r w:rsidR="003E325F" w:rsidRPr="00754EC9">
        <w:t>в соответствии с др</w:t>
      </w:r>
      <w:r w:rsidR="003E325F" w:rsidRPr="00754EC9">
        <w:t>у</w:t>
      </w:r>
      <w:r w:rsidR="003E325F" w:rsidRPr="00754EC9">
        <w:t>гой</w:t>
      </w:r>
      <w:r w:rsidRPr="00754EC9">
        <w:t xml:space="preserve"> процедур</w:t>
      </w:r>
      <w:r w:rsidR="003E325F" w:rsidRPr="00754EC9">
        <w:t>ой</w:t>
      </w:r>
      <w:r w:rsidRPr="00754EC9">
        <w:t xml:space="preserve"> международного разбирательства или урегулирования. </w:t>
      </w:r>
    </w:p>
    <w:p w:rsidR="00D11882" w:rsidRPr="00754EC9" w:rsidRDefault="00D11882" w:rsidP="00754EC9">
      <w:pPr>
        <w:pStyle w:val="SingleTxtGR"/>
      </w:pPr>
      <w:r w:rsidRPr="00754EC9">
        <w:t>6.3</w:t>
      </w:r>
      <w:r w:rsidRPr="00754EC9">
        <w:tab/>
        <w:t xml:space="preserve">Комитет </w:t>
      </w:r>
      <w:r w:rsidR="007602D2" w:rsidRPr="00754EC9">
        <w:t xml:space="preserve">также </w:t>
      </w:r>
      <w:r w:rsidRPr="00754EC9">
        <w:t>отмечает, что государство-участник оспорило приемл</w:t>
      </w:r>
      <w:r w:rsidRPr="00754EC9">
        <w:t>е</w:t>
      </w:r>
      <w:r w:rsidRPr="00754EC9">
        <w:t>мость сообщения</w:t>
      </w:r>
      <w:r w:rsidR="0057201F" w:rsidRPr="00754EC9">
        <w:t xml:space="preserve"> </w:t>
      </w:r>
      <w:r w:rsidR="007A7DE7" w:rsidRPr="00754EC9">
        <w:t xml:space="preserve">в силу </w:t>
      </w:r>
      <w:r w:rsidR="0057201F" w:rsidRPr="00754EC9">
        <w:t>неисчерпания внутренних средств правовой защиты</w:t>
      </w:r>
      <w:r w:rsidR="007A7DE7" w:rsidRPr="00754EC9">
        <w:t xml:space="preserve"> в соответствии с </w:t>
      </w:r>
      <w:r w:rsidR="0057201F" w:rsidRPr="00754EC9">
        <w:t>пункт</w:t>
      </w:r>
      <w:r w:rsidR="007A7DE7" w:rsidRPr="00754EC9">
        <w:t>ом</w:t>
      </w:r>
      <w:r w:rsidR="0057201F" w:rsidRPr="00754EC9">
        <w:t xml:space="preserve"> 2 b) статьи 5 Факультативного протокола на том осн</w:t>
      </w:r>
      <w:r w:rsidR="0057201F" w:rsidRPr="00754EC9">
        <w:t>о</w:t>
      </w:r>
      <w:r w:rsidR="0057201F" w:rsidRPr="00754EC9">
        <w:t>вании, что автор не обратился в Генеральную прок</w:t>
      </w:r>
      <w:r w:rsidR="00D65130" w:rsidRPr="00754EC9">
        <w:t xml:space="preserve">уратуру </w:t>
      </w:r>
      <w:r w:rsidR="007A7DE7" w:rsidRPr="00754EC9">
        <w:t xml:space="preserve">с ходатайством </w:t>
      </w:r>
      <w:r w:rsidR="00D65130" w:rsidRPr="00754EC9">
        <w:t xml:space="preserve">о </w:t>
      </w:r>
      <w:r w:rsidR="007A7DE7" w:rsidRPr="00754EC9">
        <w:t>рассмо</w:t>
      </w:r>
      <w:r w:rsidR="0004762F">
        <w:t>трении его дела</w:t>
      </w:r>
      <w:r w:rsidR="007A7DE7" w:rsidRPr="00754EC9">
        <w:t xml:space="preserve"> в порядке</w:t>
      </w:r>
      <w:r w:rsidR="00D65130" w:rsidRPr="00754EC9">
        <w:t xml:space="preserve"> надзор</w:t>
      </w:r>
      <w:r w:rsidR="00DE542D" w:rsidRPr="00754EC9">
        <w:t>а</w:t>
      </w:r>
      <w:r w:rsidR="00D65130" w:rsidRPr="00754EC9">
        <w:t>. Комитет ссылается на свою прав</w:t>
      </w:r>
      <w:r w:rsidR="00D65130" w:rsidRPr="00754EC9">
        <w:t>о</w:t>
      </w:r>
      <w:r w:rsidR="00D65130" w:rsidRPr="00754EC9">
        <w:t xml:space="preserve">вую практику, согласно которой </w:t>
      </w:r>
      <w:r w:rsidR="00605BC9" w:rsidRPr="00754EC9">
        <w:t>обращение в прокуратуру с ходатайством о возбу</w:t>
      </w:r>
      <w:r w:rsidR="00605BC9" w:rsidRPr="00754EC9">
        <w:t>ж</w:t>
      </w:r>
      <w:r w:rsidR="00605BC9" w:rsidRPr="00754EC9">
        <w:t>дении надзорного производства, позвол</w:t>
      </w:r>
      <w:r w:rsidR="00E07B88" w:rsidRPr="00754EC9">
        <w:t>яющего</w:t>
      </w:r>
      <w:r w:rsidR="00605BC9" w:rsidRPr="00754EC9">
        <w:t xml:space="preserve"> пересмотреть вступившие в с</w:t>
      </w:r>
      <w:r w:rsidR="00605BC9" w:rsidRPr="00754EC9">
        <w:t>и</w:t>
      </w:r>
      <w:r w:rsidR="00605BC9" w:rsidRPr="00754EC9">
        <w:t>лу судебные решения, не является средством правовой защиты, которое подл</w:t>
      </w:r>
      <w:r w:rsidR="00605BC9" w:rsidRPr="00754EC9">
        <w:t>е</w:t>
      </w:r>
      <w:r w:rsidR="00605BC9" w:rsidRPr="00754EC9">
        <w:t>жит исчерпанию для целей пункта 2 b) стат</w:t>
      </w:r>
      <w:r w:rsidR="00F6324C" w:rsidRPr="00754EC9">
        <w:t>ьи 5 Факультативного протокола</w:t>
      </w:r>
      <w:r w:rsidR="00F6324C" w:rsidRPr="00FF5163">
        <w:rPr>
          <w:rStyle w:val="FootnoteReference"/>
        </w:rPr>
        <w:footnoteReference w:id="5"/>
      </w:r>
      <w:r w:rsidR="00E70EB8">
        <w:t>.</w:t>
      </w:r>
      <w:r w:rsidR="00F6324C" w:rsidRPr="00754EC9">
        <w:t xml:space="preserve"> Соответственно</w:t>
      </w:r>
      <w:r w:rsidR="00E70EB8">
        <w:t>,</w:t>
      </w:r>
      <w:r w:rsidR="00F6324C" w:rsidRPr="00754EC9">
        <w:t xml:space="preserve"> Комитет считает, что согласно пункту 2 b) статьи 5 Факульт</w:t>
      </w:r>
      <w:r w:rsidR="00F6324C" w:rsidRPr="00754EC9">
        <w:t>а</w:t>
      </w:r>
      <w:r w:rsidR="00F6324C" w:rsidRPr="00754EC9">
        <w:t xml:space="preserve">тивного протокола ничто не </w:t>
      </w:r>
      <w:r w:rsidR="00E07B88" w:rsidRPr="00754EC9">
        <w:t xml:space="preserve">препятствует </w:t>
      </w:r>
      <w:r w:rsidR="00F6324C" w:rsidRPr="00754EC9">
        <w:t>ему рассмотреть настоящее сообщ</w:t>
      </w:r>
      <w:r w:rsidR="00F6324C" w:rsidRPr="00754EC9">
        <w:t>е</w:t>
      </w:r>
      <w:r w:rsidR="00F6324C" w:rsidRPr="00754EC9">
        <w:t>ние.</w:t>
      </w:r>
    </w:p>
    <w:p w:rsidR="007521F0" w:rsidRPr="00754EC9" w:rsidRDefault="007521F0" w:rsidP="00754EC9">
      <w:pPr>
        <w:pStyle w:val="SingleTxtGR"/>
      </w:pPr>
      <w:r w:rsidRPr="00754EC9">
        <w:t>6.4</w:t>
      </w:r>
      <w:r w:rsidRPr="00754EC9">
        <w:tab/>
        <w:t xml:space="preserve">Комитет принимает к сведению </w:t>
      </w:r>
      <w:r w:rsidR="00E07B88" w:rsidRPr="00754EC9">
        <w:t xml:space="preserve">жалобу </w:t>
      </w:r>
      <w:r w:rsidRPr="00754EC9">
        <w:t xml:space="preserve">автора </w:t>
      </w:r>
      <w:r w:rsidR="00E07B88" w:rsidRPr="00754EC9">
        <w:t xml:space="preserve">на </w:t>
      </w:r>
      <w:r w:rsidRPr="00754EC9">
        <w:t>нарушени</w:t>
      </w:r>
      <w:r w:rsidR="00E07B88" w:rsidRPr="00754EC9">
        <w:t>е</w:t>
      </w:r>
      <w:r w:rsidRPr="00754EC9">
        <w:t xml:space="preserve"> его прав по статье 14 Пакта, поскольку суды государства-участника не являются независ</w:t>
      </w:r>
      <w:r w:rsidRPr="00754EC9">
        <w:t>и</w:t>
      </w:r>
      <w:r w:rsidRPr="00754EC9">
        <w:t xml:space="preserve">мыми, </w:t>
      </w:r>
      <w:r w:rsidR="00E07B88" w:rsidRPr="00754EC9">
        <w:t xml:space="preserve">были предвзяты </w:t>
      </w:r>
      <w:r w:rsidRPr="00754EC9">
        <w:t xml:space="preserve">и не </w:t>
      </w:r>
      <w:r w:rsidR="00E07B88" w:rsidRPr="00754EC9">
        <w:t xml:space="preserve">произвели беспристрастной </w:t>
      </w:r>
      <w:r w:rsidRPr="00754EC9">
        <w:t>оценки дел</w:t>
      </w:r>
      <w:r w:rsidR="00822AE5" w:rsidRPr="00754EC9">
        <w:t>а</w:t>
      </w:r>
      <w:r w:rsidRPr="00754EC9">
        <w:t xml:space="preserve"> в резул</w:t>
      </w:r>
      <w:r w:rsidRPr="00754EC9">
        <w:t>ь</w:t>
      </w:r>
      <w:r w:rsidRPr="00754EC9">
        <w:t xml:space="preserve">тате присутствия </w:t>
      </w:r>
      <w:r w:rsidR="00CD5162" w:rsidRPr="00754EC9">
        <w:t xml:space="preserve">на судебных заседаниях </w:t>
      </w:r>
      <w:r w:rsidRPr="00754EC9">
        <w:t>нескольких государственных должн</w:t>
      </w:r>
      <w:r w:rsidRPr="00754EC9">
        <w:t>о</w:t>
      </w:r>
      <w:r w:rsidRPr="00754EC9">
        <w:t>стных</w:t>
      </w:r>
      <w:r w:rsidR="00A86E08" w:rsidRPr="00754EC9">
        <w:t xml:space="preserve"> лиц</w:t>
      </w:r>
      <w:r w:rsidRPr="00754EC9">
        <w:t>. Однако при отсутствии дальнейших пояснений или доказательств в поддержку этой жалобы Комитет считает е</w:t>
      </w:r>
      <w:r w:rsidR="00E07B88" w:rsidRPr="00754EC9">
        <w:t>е</w:t>
      </w:r>
      <w:r w:rsidRPr="00754EC9">
        <w:t xml:space="preserve"> недостаточно обоснованной для целей приемлемости и объявляет его неприемлемой согласно статье 2 Факул</w:t>
      </w:r>
      <w:r w:rsidRPr="00754EC9">
        <w:t>ь</w:t>
      </w:r>
      <w:r w:rsidRPr="00754EC9">
        <w:t>тативного протокола.</w:t>
      </w:r>
    </w:p>
    <w:p w:rsidR="007521F0" w:rsidRPr="00754EC9" w:rsidRDefault="007521F0" w:rsidP="00754EC9">
      <w:pPr>
        <w:pStyle w:val="SingleTxtGR"/>
      </w:pPr>
      <w:r w:rsidRPr="00754EC9">
        <w:t>6.5</w:t>
      </w:r>
      <w:r w:rsidRPr="00754EC9">
        <w:tab/>
        <w:t>Комитет полагает, что автор достаточно обосновал свою жалобу</w:t>
      </w:r>
      <w:r w:rsidR="0004762F">
        <w:t xml:space="preserve"> по ст</w:t>
      </w:r>
      <w:r w:rsidR="0004762F">
        <w:t>а</w:t>
      </w:r>
      <w:r w:rsidR="0004762F">
        <w:t>тье</w:t>
      </w:r>
      <w:r w:rsidR="00960C6F">
        <w:t xml:space="preserve"> </w:t>
      </w:r>
      <w:r w:rsidR="0004762F">
        <w:t>19 Пакта для целей пр</w:t>
      </w:r>
      <w:r w:rsidRPr="00754EC9">
        <w:t>изнания е</w:t>
      </w:r>
      <w:r w:rsidR="00CD5162" w:rsidRPr="00754EC9">
        <w:t>е</w:t>
      </w:r>
      <w:r w:rsidRPr="00754EC9">
        <w:t xml:space="preserve"> приемлемости и объявляет ее приемлемой и приступает к ее рассмотрению по существу.</w:t>
      </w:r>
    </w:p>
    <w:p w:rsidR="00D21FF5" w:rsidRPr="00E70EB8" w:rsidRDefault="00D21FF5" w:rsidP="00E70EB8">
      <w:pPr>
        <w:pStyle w:val="H4GR"/>
      </w:pPr>
      <w:r w:rsidRPr="00E70EB8">
        <w:tab/>
      </w:r>
      <w:r w:rsidRPr="00E70EB8">
        <w:tab/>
      </w:r>
      <w:r w:rsidR="00C7621E" w:rsidRPr="00E70EB8">
        <w:t>Рассмотрение дела по существу</w:t>
      </w:r>
    </w:p>
    <w:p w:rsidR="00C7621E" w:rsidRPr="00754EC9" w:rsidRDefault="00C7621E" w:rsidP="00754EC9">
      <w:pPr>
        <w:pStyle w:val="SingleTxtGR"/>
      </w:pPr>
      <w:r w:rsidRPr="00754EC9">
        <w:t>7.1</w:t>
      </w:r>
      <w:r w:rsidRPr="00754EC9">
        <w:tab/>
        <w:t>Комитет по правам человека рассмотрел настоящее сообщение в свете всей представленной ему сторонам</w:t>
      </w:r>
      <w:r w:rsidR="0004762F">
        <w:t>и информации, как этого требует</w:t>
      </w:r>
      <w:r w:rsidR="0004762F">
        <w:br/>
      </w:r>
      <w:r w:rsidRPr="00754EC9">
        <w:t>пункт 1 ст</w:t>
      </w:r>
      <w:r w:rsidRPr="00754EC9">
        <w:t>а</w:t>
      </w:r>
      <w:r w:rsidRPr="00754EC9">
        <w:t xml:space="preserve">тьи 5 Факультативного протокола. </w:t>
      </w:r>
    </w:p>
    <w:p w:rsidR="00C7621E" w:rsidRPr="00754EC9" w:rsidRDefault="00C7621E" w:rsidP="00754EC9">
      <w:pPr>
        <w:pStyle w:val="SingleTxtGR"/>
      </w:pPr>
      <w:r w:rsidRPr="00754EC9">
        <w:t>7.2</w:t>
      </w:r>
      <w:r w:rsidRPr="00754EC9">
        <w:tab/>
      </w:r>
      <w:r w:rsidR="00FB1A15" w:rsidRPr="00754EC9">
        <w:t>Рассматриваемый Коми</w:t>
      </w:r>
      <w:r w:rsidR="009328D0" w:rsidRPr="00754EC9">
        <w:t>тетом вопрос состоит в том, является ли наруш</w:t>
      </w:r>
      <w:r w:rsidR="009328D0" w:rsidRPr="00754EC9">
        <w:t>е</w:t>
      </w:r>
      <w:r w:rsidR="009328D0" w:rsidRPr="00754EC9">
        <w:t>нием прав автора на свободу выражения мнений, защищаем</w:t>
      </w:r>
      <w:r w:rsidR="00CD5162" w:rsidRPr="00754EC9">
        <w:t>ую</w:t>
      </w:r>
      <w:r w:rsidR="009328D0" w:rsidRPr="00754EC9">
        <w:t xml:space="preserve"> статьей 19 Па</w:t>
      </w:r>
      <w:r w:rsidR="009328D0" w:rsidRPr="00754EC9">
        <w:t>к</w:t>
      </w:r>
      <w:r w:rsidR="009328D0" w:rsidRPr="00754EC9">
        <w:t xml:space="preserve">та, административный штраф, наложенный на него 11 марта 2005 года за его письмо Министру финансов Беларуси от 18 </w:t>
      </w:r>
      <w:r w:rsidR="0004762F">
        <w:t>января 2005 года, в котором он,</w:t>
      </w:r>
      <w:r w:rsidR="0004762F">
        <w:br/>
      </w:r>
      <w:r w:rsidR="009328D0" w:rsidRPr="00754EC9">
        <w:t xml:space="preserve">в частности, выразил свои мнения в отношении г-жи Т. </w:t>
      </w:r>
    </w:p>
    <w:p w:rsidR="00D21FF5" w:rsidRPr="00754EC9" w:rsidRDefault="009328D0" w:rsidP="00754EC9">
      <w:pPr>
        <w:pStyle w:val="SingleTxtGR"/>
      </w:pPr>
      <w:r w:rsidRPr="00754EC9">
        <w:t>7.3</w:t>
      </w:r>
      <w:r w:rsidRPr="00754EC9">
        <w:tab/>
        <w:t xml:space="preserve">Пункт 2 статьи 19 </w:t>
      </w:r>
      <w:r w:rsidR="00752C1B" w:rsidRPr="00754EC9">
        <w:t xml:space="preserve">Пакта требует от государств-участников гарантировать право на свободу выражения мнений. </w:t>
      </w:r>
      <w:r w:rsidR="007265C3" w:rsidRPr="00754EC9">
        <w:t>Комитет напоминает, что право на своб</w:t>
      </w:r>
      <w:r w:rsidR="007265C3" w:rsidRPr="00754EC9">
        <w:t>о</w:t>
      </w:r>
      <w:r w:rsidR="007265C3" w:rsidRPr="00754EC9">
        <w:t xml:space="preserve">ду выражения мнений имеет </w:t>
      </w:r>
      <w:r w:rsidR="00BF5E1F" w:rsidRPr="00754EC9">
        <w:t xml:space="preserve">первостепенное </w:t>
      </w:r>
      <w:r w:rsidR="007265C3" w:rsidRPr="00754EC9">
        <w:t>значение в любом демократич</w:t>
      </w:r>
      <w:r w:rsidR="007265C3" w:rsidRPr="00754EC9">
        <w:t>е</w:t>
      </w:r>
      <w:r w:rsidR="00531881">
        <w:t>ском обществе</w:t>
      </w:r>
      <w:r w:rsidR="007265C3" w:rsidRPr="00754EC9">
        <w:t xml:space="preserve"> и </w:t>
      </w:r>
      <w:r w:rsidR="00BF5E1F" w:rsidRPr="00754EC9">
        <w:t xml:space="preserve">что </w:t>
      </w:r>
      <w:r w:rsidR="007265C3" w:rsidRPr="00754EC9">
        <w:t>любые ограничения на осуществление этого права дол</w:t>
      </w:r>
      <w:r w:rsidR="007265C3" w:rsidRPr="00754EC9">
        <w:t>ж</w:t>
      </w:r>
      <w:r w:rsidR="007265C3" w:rsidRPr="00754EC9">
        <w:t xml:space="preserve">ны </w:t>
      </w:r>
      <w:r w:rsidR="00BF5E1F" w:rsidRPr="00754EC9">
        <w:t xml:space="preserve">проходить строгую проверку на предмет их </w:t>
      </w:r>
      <w:r w:rsidR="007265C3" w:rsidRPr="00754EC9">
        <w:t>обоснов</w:t>
      </w:r>
      <w:r w:rsidR="00BF5E1F" w:rsidRPr="00754EC9">
        <w:t>анности</w:t>
      </w:r>
      <w:r w:rsidR="00D21FF5" w:rsidRPr="00FF5163">
        <w:rPr>
          <w:rStyle w:val="FootnoteReference"/>
        </w:rPr>
        <w:footnoteReference w:id="6"/>
      </w:r>
      <w:r w:rsidR="00E70EB8">
        <w:t>.</w:t>
      </w:r>
      <w:r w:rsidR="00D21FF5" w:rsidRPr="00754EC9">
        <w:t xml:space="preserve"> </w:t>
      </w:r>
      <w:r w:rsidR="007265C3" w:rsidRPr="00754EC9">
        <w:t>Комитет в этой связи</w:t>
      </w:r>
      <w:r w:rsidR="00BF5E1F" w:rsidRPr="00754EC9">
        <w:t xml:space="preserve"> напоминает</w:t>
      </w:r>
      <w:r w:rsidR="007265C3" w:rsidRPr="00754EC9">
        <w:t xml:space="preserve">, что </w:t>
      </w:r>
      <w:r w:rsidR="00BF5E1F" w:rsidRPr="00754EC9">
        <w:t xml:space="preserve">ограничения права на свободу выражения мнений могут устанавливаться </w:t>
      </w:r>
      <w:r w:rsidR="007265C3" w:rsidRPr="00754EC9">
        <w:t xml:space="preserve">только с учетом особых условий, </w:t>
      </w:r>
      <w:r w:rsidR="00BF5E1F" w:rsidRPr="00754EC9">
        <w:t xml:space="preserve">оговоренных </w:t>
      </w:r>
      <w:r w:rsidR="007265C3" w:rsidRPr="00754EC9">
        <w:t>в пункте 3 ст</w:t>
      </w:r>
      <w:r w:rsidR="007265C3" w:rsidRPr="00754EC9">
        <w:t>а</w:t>
      </w:r>
      <w:r w:rsidR="007265C3" w:rsidRPr="00754EC9">
        <w:t xml:space="preserve">тьи 19 Пакта, в частности, </w:t>
      </w:r>
      <w:r w:rsidR="00BF5E1F" w:rsidRPr="00754EC9">
        <w:t>они</w:t>
      </w:r>
      <w:r w:rsidR="00960C6F">
        <w:t xml:space="preserve"> </w:t>
      </w:r>
      <w:r w:rsidR="007265C3" w:rsidRPr="00754EC9">
        <w:t xml:space="preserve">должны устанавливаться по закону; они могут </w:t>
      </w:r>
      <w:r w:rsidR="00BF5E1F" w:rsidRPr="00754EC9">
        <w:t>вводиться лишь</w:t>
      </w:r>
      <w:r w:rsidR="007265C3" w:rsidRPr="00754EC9">
        <w:t xml:space="preserve"> на одном из оснований, изложенных в подпунктах а) и b) пун</w:t>
      </w:r>
      <w:r w:rsidR="007265C3" w:rsidRPr="00754EC9">
        <w:t>к</w:t>
      </w:r>
      <w:r w:rsidR="007265C3" w:rsidRPr="00754EC9">
        <w:t xml:space="preserve">та 3; и что они должны </w:t>
      </w:r>
      <w:r w:rsidR="00BF5E1F" w:rsidRPr="00754EC9">
        <w:t xml:space="preserve">строго </w:t>
      </w:r>
      <w:r w:rsidR="007265C3" w:rsidRPr="00754EC9">
        <w:t>соответствовать принципам необходимости и с</w:t>
      </w:r>
      <w:r w:rsidR="007265C3" w:rsidRPr="00754EC9">
        <w:t>о</w:t>
      </w:r>
      <w:r w:rsidR="007265C3" w:rsidRPr="00754EC9">
        <w:t>размерности</w:t>
      </w:r>
      <w:r w:rsidR="00D21FF5" w:rsidRPr="00FF5163">
        <w:rPr>
          <w:rStyle w:val="FootnoteReference"/>
        </w:rPr>
        <w:footnoteReference w:id="7"/>
      </w:r>
      <w:r w:rsidR="00E70EB8">
        <w:t>.</w:t>
      </w:r>
      <w:r w:rsidR="00D21FF5" w:rsidRPr="00754EC9">
        <w:t xml:space="preserve"> </w:t>
      </w:r>
    </w:p>
    <w:p w:rsidR="00D21FF5" w:rsidRPr="00754EC9" w:rsidRDefault="00531881" w:rsidP="00754EC9">
      <w:pPr>
        <w:pStyle w:val="SingleTxtGR"/>
      </w:pPr>
      <w:r>
        <w:t>7.4</w:t>
      </w:r>
      <w:r>
        <w:tab/>
      </w:r>
      <w:r w:rsidR="006054D9" w:rsidRPr="00754EC9">
        <w:t>Комитет</w:t>
      </w:r>
      <w:r w:rsidR="00960C6F">
        <w:t xml:space="preserve"> </w:t>
      </w:r>
      <w:r w:rsidR="006054D9" w:rsidRPr="00754EC9">
        <w:t xml:space="preserve">отмечает, что государство-участник не представило </w:t>
      </w:r>
      <w:r w:rsidR="00B20686" w:rsidRPr="00754EC9">
        <w:t>замечаний</w:t>
      </w:r>
      <w:r w:rsidR="006054D9" w:rsidRPr="00754EC9">
        <w:t xml:space="preserve"> по существу настоящего сообщения и по этой причине </w:t>
      </w:r>
      <w:r w:rsidR="0067253A" w:rsidRPr="00754EC9">
        <w:t xml:space="preserve">не </w:t>
      </w:r>
      <w:r w:rsidR="00B20686" w:rsidRPr="00754EC9">
        <w:t>проявило намерения объяснить</w:t>
      </w:r>
      <w:r w:rsidR="0067253A" w:rsidRPr="00754EC9">
        <w:t>, какие из этих целей являются применимыми и</w:t>
      </w:r>
      <w:r w:rsidR="00960C6F">
        <w:t xml:space="preserve"> </w:t>
      </w:r>
      <w:r w:rsidR="00B20686" w:rsidRPr="00754EC9">
        <w:t xml:space="preserve">тем </w:t>
      </w:r>
      <w:r w:rsidR="0067253A" w:rsidRPr="00754EC9">
        <w:t>более</w:t>
      </w:r>
      <w:r w:rsidR="00B20686" w:rsidRPr="00754EC9">
        <w:t xml:space="preserve"> обосн</w:t>
      </w:r>
      <w:r w:rsidR="00B20686" w:rsidRPr="00754EC9">
        <w:t>о</w:t>
      </w:r>
      <w:r w:rsidR="00B20686" w:rsidRPr="00754EC9">
        <w:t xml:space="preserve">вать </w:t>
      </w:r>
      <w:r w:rsidR="0067253A" w:rsidRPr="00754EC9">
        <w:t>их необходимость по данному делу. Однако следует отметить, что окру</w:t>
      </w:r>
      <w:r w:rsidR="0067253A" w:rsidRPr="00754EC9">
        <w:t>ж</w:t>
      </w:r>
      <w:r w:rsidR="0067253A" w:rsidRPr="00754EC9">
        <w:t>ной суд государства-участника признал заявлени</w:t>
      </w:r>
      <w:r w:rsidR="00557DCC" w:rsidRPr="00754EC9">
        <w:t>я</w:t>
      </w:r>
      <w:r w:rsidR="0067253A" w:rsidRPr="00754EC9">
        <w:t xml:space="preserve"> автора </w:t>
      </w:r>
      <w:r w:rsidR="00557DCC" w:rsidRPr="00754EC9">
        <w:t xml:space="preserve">унизительными </w:t>
      </w:r>
      <w:r w:rsidR="0067253A" w:rsidRPr="00754EC9">
        <w:t>и оскорб</w:t>
      </w:r>
      <w:r w:rsidR="0067253A" w:rsidRPr="00754EC9">
        <w:t>и</w:t>
      </w:r>
      <w:r w:rsidR="0067253A" w:rsidRPr="00754EC9">
        <w:t xml:space="preserve">тельными. </w:t>
      </w:r>
      <w:r w:rsidR="00FC29DA">
        <w:t>Пунктом 3 </w:t>
      </w:r>
      <w:r w:rsidR="00946075" w:rsidRPr="00754EC9">
        <w:t>а) статьи 19 разрешается вводить ограничения, которые предусмотрены законом и необходимы для уважения прав и репутации других</w:t>
      </w:r>
      <w:r w:rsidR="00D93166" w:rsidRPr="00754EC9">
        <w:t xml:space="preserve"> лиц</w:t>
      </w:r>
      <w:r w:rsidR="00946075" w:rsidRPr="00754EC9">
        <w:t xml:space="preserve">. Вместе с тем Комитет </w:t>
      </w:r>
      <w:r w:rsidR="001212D5" w:rsidRPr="00754EC9">
        <w:t xml:space="preserve">неизменно </w:t>
      </w:r>
      <w:r w:rsidR="009C2287" w:rsidRPr="00754EC9">
        <w:t>признавал</w:t>
      </w:r>
      <w:r w:rsidR="001212D5" w:rsidRPr="00754EC9">
        <w:t xml:space="preserve">, что государство-участник должно продемонстрировать на конкретной и индивидуальной основе, почему были необходимы </w:t>
      </w:r>
      <w:r w:rsidR="0014289A" w:rsidRPr="00754EC9">
        <w:t>о</w:t>
      </w:r>
      <w:r w:rsidR="009C2287" w:rsidRPr="00754EC9">
        <w:t>собые</w:t>
      </w:r>
      <w:r w:rsidR="001212D5" w:rsidRPr="00754EC9">
        <w:t xml:space="preserve"> действия и являются ли они соразмерными</w:t>
      </w:r>
      <w:r w:rsidR="00D21FF5" w:rsidRPr="00FF5163">
        <w:rPr>
          <w:rStyle w:val="FootnoteReference"/>
        </w:rPr>
        <w:footnoteReference w:id="8"/>
      </w:r>
      <w:r w:rsidR="00E70EB8">
        <w:t>.</w:t>
      </w:r>
      <w:r w:rsidR="00D21FF5" w:rsidRPr="00754EC9">
        <w:t xml:space="preserve"> </w:t>
      </w:r>
      <w:r w:rsidR="001212D5" w:rsidRPr="00754EC9">
        <w:t>Комитет также ссылается на свое замечание общего порядка № 34 (2011 год) о свободе мнений и их выражени</w:t>
      </w:r>
      <w:r w:rsidR="00491930" w:rsidRPr="00754EC9">
        <w:t>я, согласно которому законы о диф</w:t>
      </w:r>
      <w:r w:rsidR="001212D5" w:rsidRPr="00754EC9">
        <w:t>фамации должны с</w:t>
      </w:r>
      <w:r w:rsidR="001212D5" w:rsidRPr="00754EC9">
        <w:t>о</w:t>
      </w:r>
      <w:r w:rsidR="001212D5" w:rsidRPr="00754EC9">
        <w:t xml:space="preserve">ставляться </w:t>
      </w:r>
      <w:r w:rsidR="00254DFD" w:rsidRPr="00754EC9">
        <w:t xml:space="preserve">с </w:t>
      </w:r>
      <w:r w:rsidR="001212D5" w:rsidRPr="00754EC9">
        <w:t>осмотрительно</w:t>
      </w:r>
      <w:r w:rsidR="00254DFD" w:rsidRPr="00754EC9">
        <w:t>стью</w:t>
      </w:r>
      <w:r w:rsidR="001212D5" w:rsidRPr="00754EC9">
        <w:t xml:space="preserve"> для обеспечения их соответствия пункту 3, а также того, чтобы они не использовались на практике для огранич</w:t>
      </w:r>
      <w:r w:rsidR="001212D5" w:rsidRPr="00754EC9">
        <w:t>е</w:t>
      </w:r>
      <w:r w:rsidR="001212D5" w:rsidRPr="00754EC9">
        <w:t>ния свободы выражения мнений</w:t>
      </w:r>
      <w:r w:rsidR="00D21FF5" w:rsidRPr="00FF5163">
        <w:rPr>
          <w:rStyle w:val="FootnoteReference"/>
        </w:rPr>
        <w:footnoteReference w:id="9"/>
      </w:r>
      <w:r w:rsidR="00E70EB8">
        <w:t>.</w:t>
      </w:r>
      <w:r w:rsidR="00D21FF5" w:rsidRPr="00FF5163">
        <w:rPr>
          <w:rStyle w:val="FootnoteReference"/>
        </w:rPr>
        <w:t xml:space="preserve"> </w:t>
      </w:r>
    </w:p>
    <w:p w:rsidR="00D21FF5" w:rsidRPr="00754EC9" w:rsidRDefault="00FE6E78" w:rsidP="00754EC9">
      <w:pPr>
        <w:pStyle w:val="SingleTxtGR"/>
      </w:pPr>
      <w:r w:rsidRPr="00754EC9">
        <w:t>7.5</w:t>
      </w:r>
      <w:r w:rsidRPr="00754EC9">
        <w:tab/>
      </w:r>
      <w:r w:rsidR="000915A6" w:rsidRPr="00754EC9">
        <w:t>Комитет отмечает, что автор был оштрафован за написание письма М</w:t>
      </w:r>
      <w:r w:rsidR="000915A6" w:rsidRPr="00754EC9">
        <w:t>и</w:t>
      </w:r>
      <w:r w:rsidR="000915A6" w:rsidRPr="00754EC9">
        <w:t xml:space="preserve">нистру финансов, в котором он назвал г-жу Т. </w:t>
      </w:r>
      <w:r w:rsidR="0011166A">
        <w:t>"</w:t>
      </w:r>
      <w:r w:rsidR="00341C89" w:rsidRPr="00754EC9">
        <w:t>пустоголовой</w:t>
      </w:r>
      <w:r w:rsidR="000915A6" w:rsidRPr="00754EC9">
        <w:t xml:space="preserve">, не </w:t>
      </w:r>
      <w:r w:rsidR="00077A8C" w:rsidRPr="00754EC9">
        <w:t>способной</w:t>
      </w:r>
      <w:r w:rsidR="000915A6" w:rsidRPr="00754EC9">
        <w:t xml:space="preserve"> к предпринимательской деятельности и в целом развитой на общем уровне уч</w:t>
      </w:r>
      <w:r w:rsidR="000915A6" w:rsidRPr="00754EC9">
        <w:t>е</w:t>
      </w:r>
      <w:r w:rsidR="000915A6" w:rsidRPr="00754EC9">
        <w:t>ника восьмого класса со знаниями страхового агента</w:t>
      </w:r>
      <w:r w:rsidR="0011166A">
        <w:t>"</w:t>
      </w:r>
      <w:r w:rsidR="000915A6" w:rsidRPr="00754EC9">
        <w:t>. В целях определения т</w:t>
      </w:r>
      <w:r w:rsidR="000915A6" w:rsidRPr="00754EC9">
        <w:t>о</w:t>
      </w:r>
      <w:r w:rsidR="000915A6" w:rsidRPr="00754EC9">
        <w:t>го</w:t>
      </w:r>
      <w:r w:rsidR="00341C89" w:rsidRPr="00754EC9">
        <w:t>,</w:t>
      </w:r>
      <w:r w:rsidR="00960C6F">
        <w:t xml:space="preserve"> </w:t>
      </w:r>
      <w:r w:rsidR="000915A6" w:rsidRPr="00754EC9">
        <w:t>являлось ли наложение штрафа за использование таких выражений обосн</w:t>
      </w:r>
      <w:r w:rsidR="000915A6" w:rsidRPr="00754EC9">
        <w:t>о</w:t>
      </w:r>
      <w:r w:rsidR="000915A6" w:rsidRPr="00754EC9">
        <w:t>ванным ограничением для цели защиты прав и репутации г-жи Т. Комитет пр</w:t>
      </w:r>
      <w:r w:rsidR="000915A6" w:rsidRPr="00754EC9">
        <w:t>и</w:t>
      </w:r>
      <w:r w:rsidR="000915A6" w:rsidRPr="00754EC9">
        <w:t xml:space="preserve">нимает во внимание форму и содержание данного выражения, а также </w:t>
      </w:r>
      <w:r w:rsidR="00341C89" w:rsidRPr="00754EC9">
        <w:t>средства</w:t>
      </w:r>
      <w:r w:rsidR="000915A6" w:rsidRPr="00754EC9">
        <w:t xml:space="preserve"> его распространения</w:t>
      </w:r>
      <w:r w:rsidR="000915A6" w:rsidRPr="00EE302D">
        <w:rPr>
          <w:rStyle w:val="FootnoteReference"/>
        </w:rPr>
        <w:footnoteReference w:id="10"/>
      </w:r>
      <w:r w:rsidR="000915A6" w:rsidRPr="00754EC9">
        <w:t xml:space="preserve"> и напоминает, что </w:t>
      </w:r>
      <w:r w:rsidR="001D619D" w:rsidRPr="00754EC9">
        <w:t>публичные интересы в случае критич</w:t>
      </w:r>
      <w:r w:rsidR="001D619D" w:rsidRPr="00754EC9">
        <w:t>е</w:t>
      </w:r>
      <w:r w:rsidR="001D619D" w:rsidRPr="00754EC9">
        <w:t>ских высказываний являются тем фактором, который следует учитывать при рассмотрении утверждений о диффамации</w:t>
      </w:r>
      <w:r w:rsidR="00D21FF5" w:rsidRPr="00EE302D">
        <w:rPr>
          <w:rStyle w:val="FootnoteReference"/>
        </w:rPr>
        <w:footnoteReference w:id="11"/>
      </w:r>
      <w:r w:rsidR="00FC29DA">
        <w:t>.</w:t>
      </w:r>
      <w:r w:rsidR="00D21FF5" w:rsidRPr="00754EC9">
        <w:t xml:space="preserve"> </w:t>
      </w:r>
      <w:r w:rsidR="001D619D" w:rsidRPr="00754EC9">
        <w:t xml:space="preserve">Комитет напоминает в этой связи, что </w:t>
      </w:r>
      <w:r w:rsidR="00341C89" w:rsidRPr="00754EC9">
        <w:t xml:space="preserve">использованные автором </w:t>
      </w:r>
      <w:r w:rsidR="001D619D" w:rsidRPr="00754EC9">
        <w:t>выражения</w:t>
      </w:r>
      <w:r w:rsidR="00341C89" w:rsidRPr="00754EC9">
        <w:t xml:space="preserve"> </w:t>
      </w:r>
      <w:r w:rsidR="001D619D" w:rsidRPr="00754EC9">
        <w:t xml:space="preserve">являлись частью </w:t>
      </w:r>
      <w:r w:rsidR="005E0B76" w:rsidRPr="00754EC9">
        <w:t>письма, в котором внимание Министра финансов обращалось на предположительно безответс</w:t>
      </w:r>
      <w:r w:rsidR="005E0B76" w:rsidRPr="00754EC9">
        <w:t>т</w:t>
      </w:r>
      <w:r w:rsidR="005E0B76" w:rsidRPr="00754EC9">
        <w:t>венное руководство государственной страховой компании</w:t>
      </w:r>
      <w:r w:rsidR="00341C89" w:rsidRPr="00754EC9">
        <w:t>,</w:t>
      </w:r>
      <w:r w:rsidR="005E0B76" w:rsidRPr="00754EC9">
        <w:t xml:space="preserve"> и имели своей целью привлечь внимание государственного должностного лица к </w:t>
      </w:r>
      <w:r w:rsidR="0011166A">
        <w:t>"</w:t>
      </w:r>
      <w:r w:rsidR="00341C89" w:rsidRPr="00754EC9">
        <w:t>не</w:t>
      </w:r>
      <w:r w:rsidR="005A2B90" w:rsidRPr="00754EC9">
        <w:t>целевому</w:t>
      </w:r>
      <w:r w:rsidR="0011166A">
        <w:t>"</w:t>
      </w:r>
      <w:r w:rsidR="005E0B76" w:rsidRPr="00754EC9">
        <w:t xml:space="preserve"> </w:t>
      </w:r>
      <w:r w:rsidR="00341C89" w:rsidRPr="00754EC9">
        <w:t>ра</w:t>
      </w:r>
      <w:r w:rsidR="00341C89" w:rsidRPr="00754EC9">
        <w:t>с</w:t>
      </w:r>
      <w:r w:rsidR="00341C89" w:rsidRPr="00754EC9">
        <w:t>ходованию</w:t>
      </w:r>
      <w:r w:rsidR="00B8676E" w:rsidRPr="00754EC9">
        <w:t xml:space="preserve"> выплат клиентов агент</w:t>
      </w:r>
      <w:r w:rsidR="00341C89" w:rsidRPr="00754EC9">
        <w:t>ами страхового общества</w:t>
      </w:r>
      <w:r w:rsidR="005E0B76" w:rsidRPr="00754EC9">
        <w:t xml:space="preserve"> и </w:t>
      </w:r>
      <w:r w:rsidR="00341C89" w:rsidRPr="00754EC9">
        <w:t xml:space="preserve">к ущемлению </w:t>
      </w:r>
      <w:r w:rsidR="005E0B76" w:rsidRPr="00754EC9">
        <w:t xml:space="preserve">прав лиц, </w:t>
      </w:r>
      <w:r w:rsidR="00341C89" w:rsidRPr="00754EC9">
        <w:t>попавших в</w:t>
      </w:r>
      <w:r w:rsidR="005E0B76" w:rsidRPr="00754EC9">
        <w:t xml:space="preserve"> дорожно-транспортны</w:t>
      </w:r>
      <w:r w:rsidR="006C676A" w:rsidRPr="00754EC9">
        <w:t>е</w:t>
      </w:r>
      <w:r w:rsidR="005E0B76" w:rsidRPr="00754EC9">
        <w:t xml:space="preserve"> происшестви</w:t>
      </w:r>
      <w:r w:rsidR="006C676A" w:rsidRPr="00754EC9">
        <w:t>я</w:t>
      </w:r>
      <w:r w:rsidR="005E0B76" w:rsidRPr="00754EC9">
        <w:t>.</w:t>
      </w:r>
      <w:r w:rsidR="008439A4" w:rsidRPr="00754EC9">
        <w:t xml:space="preserve"> В своем письме автор высказывал критические замечания не только в </w:t>
      </w:r>
      <w:r w:rsidR="006C676A" w:rsidRPr="00754EC9">
        <w:t>адрес</w:t>
      </w:r>
      <w:r w:rsidR="008439A4" w:rsidRPr="00754EC9">
        <w:t xml:space="preserve"> г-жи Т., но и в о</w:t>
      </w:r>
      <w:r w:rsidR="008439A4" w:rsidRPr="00754EC9">
        <w:t>т</w:t>
      </w:r>
      <w:r w:rsidR="008439A4" w:rsidRPr="00754EC9">
        <w:t>ношении ряда других лиц. В этой связи те выражения, которые использовал а</w:t>
      </w:r>
      <w:r w:rsidR="008439A4" w:rsidRPr="00754EC9">
        <w:t>в</w:t>
      </w:r>
      <w:r w:rsidR="008439A4" w:rsidRPr="00754EC9">
        <w:t xml:space="preserve">тор и которые, хоть и являлись </w:t>
      </w:r>
      <w:r w:rsidR="006C676A" w:rsidRPr="00754EC9">
        <w:t>обидными</w:t>
      </w:r>
      <w:r w:rsidR="008439A4" w:rsidRPr="00754EC9">
        <w:t xml:space="preserve"> и оскорбительными, следует рассма</w:t>
      </w:r>
      <w:r w:rsidR="008439A4" w:rsidRPr="00754EC9">
        <w:t>т</w:t>
      </w:r>
      <w:r w:rsidR="008439A4" w:rsidRPr="00754EC9">
        <w:t>ривать как элемент контекста, в котором критика компании, заместителем д</w:t>
      </w:r>
      <w:r w:rsidR="008439A4" w:rsidRPr="00754EC9">
        <w:t>и</w:t>
      </w:r>
      <w:r w:rsidR="008439A4" w:rsidRPr="00754EC9">
        <w:t xml:space="preserve">ректора которой </w:t>
      </w:r>
      <w:r w:rsidR="008C6F62" w:rsidRPr="00754EC9">
        <w:t xml:space="preserve">являлась </w:t>
      </w:r>
      <w:r w:rsidR="008439A4" w:rsidRPr="00754EC9">
        <w:t xml:space="preserve">г-жа Т., </w:t>
      </w:r>
      <w:r w:rsidR="006C676A" w:rsidRPr="00754EC9">
        <w:t>была</w:t>
      </w:r>
      <w:r w:rsidR="00960C6F">
        <w:t xml:space="preserve"> </w:t>
      </w:r>
      <w:r w:rsidR="008439A4" w:rsidRPr="00754EC9">
        <w:t>основн</w:t>
      </w:r>
      <w:r w:rsidR="006C676A" w:rsidRPr="00754EC9">
        <w:t>ой целью</w:t>
      </w:r>
      <w:r w:rsidR="00470472" w:rsidRPr="00754EC9">
        <w:t>. П</w:t>
      </w:r>
      <w:r w:rsidR="008439A4" w:rsidRPr="00754EC9">
        <w:t>оскольку компания принадлежит государству-участнику, критика предполагаемой безответственн</w:t>
      </w:r>
      <w:r w:rsidR="008439A4" w:rsidRPr="00754EC9">
        <w:t>о</w:t>
      </w:r>
      <w:r w:rsidR="008439A4" w:rsidRPr="00754EC9">
        <w:t xml:space="preserve">сти и </w:t>
      </w:r>
      <w:r w:rsidR="00470472" w:rsidRPr="00754EC9">
        <w:t>отсутствия</w:t>
      </w:r>
      <w:r w:rsidR="008439A4" w:rsidRPr="00754EC9">
        <w:t xml:space="preserve"> </w:t>
      </w:r>
      <w:r w:rsidR="00C15C43" w:rsidRPr="00754EC9">
        <w:t xml:space="preserve">контроля </w:t>
      </w:r>
      <w:r w:rsidR="008439A4" w:rsidRPr="00754EC9">
        <w:t>за компанией является вопросом, представля</w:t>
      </w:r>
      <w:r w:rsidR="00470472" w:rsidRPr="00754EC9">
        <w:t>ющим</w:t>
      </w:r>
      <w:r w:rsidR="008439A4" w:rsidRPr="00754EC9">
        <w:t xml:space="preserve"> </w:t>
      </w:r>
      <w:r w:rsidR="00470472" w:rsidRPr="00754EC9">
        <w:t>публичный</w:t>
      </w:r>
      <w:r w:rsidR="00960C6F">
        <w:t xml:space="preserve"> </w:t>
      </w:r>
      <w:r w:rsidR="008439A4" w:rsidRPr="00754EC9">
        <w:t>интерес.</w:t>
      </w:r>
      <w:r w:rsidRPr="00754EC9">
        <w:t xml:space="preserve"> </w:t>
      </w:r>
      <w:r w:rsidR="008439A4" w:rsidRPr="00754EC9">
        <w:t>Комитет также отмечает, что автор направил свое письмо</w:t>
      </w:r>
      <w:r w:rsidR="00960C6F">
        <w:t xml:space="preserve"> </w:t>
      </w:r>
      <w:r w:rsidR="00470472" w:rsidRPr="00754EC9">
        <w:t xml:space="preserve">только </w:t>
      </w:r>
      <w:r w:rsidR="008439A4" w:rsidRPr="00754EC9">
        <w:t>Министру финансов</w:t>
      </w:r>
      <w:r w:rsidR="0087095B" w:rsidRPr="00754EC9">
        <w:t>, не обнародовав его в средствах массовой информ</w:t>
      </w:r>
      <w:r w:rsidR="0087095B" w:rsidRPr="00754EC9">
        <w:t>а</w:t>
      </w:r>
      <w:r w:rsidR="0087095B" w:rsidRPr="00754EC9">
        <w:t>ции или каким</w:t>
      </w:r>
      <w:r w:rsidR="00470472" w:rsidRPr="00754EC9">
        <w:t>-</w:t>
      </w:r>
      <w:r w:rsidR="0087095B" w:rsidRPr="00754EC9">
        <w:t>либо иным образом</w:t>
      </w:r>
      <w:r w:rsidR="00531881">
        <w:t>,</w:t>
      </w:r>
      <w:r w:rsidR="0087095B" w:rsidRPr="00754EC9">
        <w:t xml:space="preserve"> и поэтому любой вред репутации г-жи Т. носит </w:t>
      </w:r>
      <w:r w:rsidR="006E6F82" w:rsidRPr="00754EC9">
        <w:t>всего лишь</w:t>
      </w:r>
      <w:r w:rsidR="00960C6F">
        <w:t xml:space="preserve"> </w:t>
      </w:r>
      <w:r w:rsidR="0087095B" w:rsidRPr="00754EC9">
        <w:t>ограниченный характер. Комитет далее отмечает, что гос</w:t>
      </w:r>
      <w:r w:rsidR="0087095B" w:rsidRPr="00754EC9">
        <w:t>у</w:t>
      </w:r>
      <w:r w:rsidR="0087095B" w:rsidRPr="00754EC9">
        <w:t>дарство-участник никак не обосновало тот факт, что в этих обстоятельствах н</w:t>
      </w:r>
      <w:r w:rsidR="0087095B" w:rsidRPr="00754EC9">
        <w:t>а</w:t>
      </w:r>
      <w:r w:rsidR="0087095B" w:rsidRPr="00754EC9">
        <w:t xml:space="preserve">ложение штрафа на автора по обвинению </w:t>
      </w:r>
      <w:r w:rsidR="00531881">
        <w:t>в клевете являлось необходимым.</w:t>
      </w:r>
      <w:r w:rsidR="00531881">
        <w:br/>
      </w:r>
      <w:r w:rsidR="0087095B" w:rsidRPr="00754EC9">
        <w:t>При этом государство-участник не пояснило, почему не было никаких</w:t>
      </w:r>
      <w:r w:rsidR="00147BC3" w:rsidRPr="00754EC9">
        <w:t xml:space="preserve"> иных</w:t>
      </w:r>
      <w:r w:rsidR="0087095B" w:rsidRPr="00754EC9">
        <w:t xml:space="preserve"> средств для того, чтобы ответить на критику а</w:t>
      </w:r>
      <w:r w:rsidR="00531881">
        <w:t>втора и защитить репутацию</w:t>
      </w:r>
      <w:r w:rsidR="00531881">
        <w:br/>
        <w:t xml:space="preserve">г-жи </w:t>
      </w:r>
      <w:r w:rsidR="0087095B" w:rsidRPr="00754EC9">
        <w:t xml:space="preserve">Т. Комитет напоминает в этой связи, что для обоснования необходимости любого ограничения права на свободу выражения мнений, </w:t>
      </w:r>
      <w:r w:rsidR="004C7C80" w:rsidRPr="00754EC9">
        <w:t xml:space="preserve">которое имеет своей целью защиту репутации других лиц, </w:t>
      </w:r>
      <w:r w:rsidR="0009237E" w:rsidRPr="00754EC9">
        <w:t xml:space="preserve">оно </w:t>
      </w:r>
      <w:r w:rsidR="004C7C80" w:rsidRPr="00754EC9">
        <w:t>должно быть уместным для достиж</w:t>
      </w:r>
      <w:r w:rsidR="00B8676E" w:rsidRPr="00754EC9">
        <w:t>е</w:t>
      </w:r>
      <w:r w:rsidR="00B8676E" w:rsidRPr="00754EC9">
        <w:t>ния своей защитной цели; должны</w:t>
      </w:r>
      <w:r w:rsidR="004C7C80" w:rsidRPr="00754EC9">
        <w:t xml:space="preserve"> иметься другие </w:t>
      </w:r>
      <w:r w:rsidR="0009237E" w:rsidRPr="00754EC9">
        <w:t>наи</w:t>
      </w:r>
      <w:r w:rsidR="004C7C80" w:rsidRPr="00754EC9">
        <w:t xml:space="preserve">менее ограничительные инструменты среди тех, которые </w:t>
      </w:r>
      <w:r w:rsidR="008B47D0" w:rsidRPr="00754EC9">
        <w:t xml:space="preserve">могут выполнить </w:t>
      </w:r>
      <w:r w:rsidR="004C7C80" w:rsidRPr="00754EC9">
        <w:t>защитн</w:t>
      </w:r>
      <w:r w:rsidR="008B47D0" w:rsidRPr="00754EC9">
        <w:t>ую функцию</w:t>
      </w:r>
      <w:r w:rsidR="004C7C80" w:rsidRPr="00754EC9">
        <w:t xml:space="preserve"> и они должны быть соразмерны тому интересу, который подлежит защите</w:t>
      </w:r>
      <w:r w:rsidR="00D21FF5" w:rsidRPr="00EE302D">
        <w:rPr>
          <w:rStyle w:val="FootnoteReference"/>
        </w:rPr>
        <w:footnoteReference w:id="12"/>
      </w:r>
      <w:r w:rsidR="00FC29DA">
        <w:t>.</w:t>
      </w:r>
      <w:r w:rsidR="00D21FF5" w:rsidRPr="00754EC9">
        <w:t xml:space="preserve"> </w:t>
      </w:r>
      <w:r w:rsidR="0048297F" w:rsidRPr="00754EC9">
        <w:t>Прин</w:t>
      </w:r>
      <w:r w:rsidR="0048297F" w:rsidRPr="00754EC9">
        <w:t>и</w:t>
      </w:r>
      <w:r w:rsidR="0048297F" w:rsidRPr="00754EC9">
        <w:t>мая во внимание характер меры наказания</w:t>
      </w:r>
      <w:r w:rsidR="001B1BEF" w:rsidRPr="00754EC9">
        <w:t xml:space="preserve"> </w:t>
      </w:r>
      <w:r w:rsidR="0048297F" w:rsidRPr="00754EC9">
        <w:t>автор</w:t>
      </w:r>
      <w:r w:rsidR="001B1BEF" w:rsidRPr="00754EC9">
        <w:t>а</w:t>
      </w:r>
      <w:r w:rsidR="0048297F" w:rsidRPr="00754EC9">
        <w:t xml:space="preserve"> в данном деле и учитывая п</w:t>
      </w:r>
      <w:r w:rsidR="0048297F" w:rsidRPr="00754EC9">
        <w:t>о</w:t>
      </w:r>
      <w:r w:rsidR="0048297F" w:rsidRPr="00754EC9">
        <w:t xml:space="preserve">следствия и контекст высказываний, которые были сочтены </w:t>
      </w:r>
      <w:r w:rsidR="001B1BEF" w:rsidRPr="00754EC9">
        <w:t>оскорбительными</w:t>
      </w:r>
      <w:r w:rsidR="0048297F" w:rsidRPr="00754EC9">
        <w:t xml:space="preserve">, равно как и </w:t>
      </w:r>
      <w:r w:rsidR="001B1BEF" w:rsidRPr="00754EC9">
        <w:t xml:space="preserve">публичный </w:t>
      </w:r>
      <w:r w:rsidR="0048297F" w:rsidRPr="00754EC9">
        <w:t xml:space="preserve">интерес затронутых автором вопросов, </w:t>
      </w:r>
      <w:r w:rsidR="001B1BEF" w:rsidRPr="00754EC9">
        <w:t>не было прод</w:t>
      </w:r>
      <w:r w:rsidR="001B1BEF" w:rsidRPr="00754EC9">
        <w:t>е</w:t>
      </w:r>
      <w:r w:rsidR="001B1BEF" w:rsidRPr="00754EC9">
        <w:t xml:space="preserve">монстрировано, что </w:t>
      </w:r>
      <w:r w:rsidR="0048297F" w:rsidRPr="00754EC9">
        <w:t>ограничение его права на свободу выражения мнени</w:t>
      </w:r>
      <w:r w:rsidR="002A49DD" w:rsidRPr="00754EC9">
        <w:t>й</w:t>
      </w:r>
      <w:r w:rsidR="0048297F" w:rsidRPr="00754EC9">
        <w:t xml:space="preserve"> явл</w:t>
      </w:r>
      <w:r w:rsidR="0048297F" w:rsidRPr="00754EC9">
        <w:t>я</w:t>
      </w:r>
      <w:r w:rsidR="0048297F" w:rsidRPr="00754EC9">
        <w:t>ется соразмерной мерой для защиты чести и репутации других лиц</w:t>
      </w:r>
      <w:r w:rsidR="00FC29DA">
        <w:rPr>
          <w:rStyle w:val="FootnoteReference"/>
        </w:rPr>
        <w:footnoteReference w:id="13"/>
      </w:r>
      <w:r w:rsidR="00FC29DA">
        <w:t>.</w:t>
      </w:r>
    </w:p>
    <w:p w:rsidR="0048297F" w:rsidRPr="00754EC9" w:rsidRDefault="0048297F" w:rsidP="00754EC9">
      <w:pPr>
        <w:pStyle w:val="SingleTxtGR"/>
      </w:pPr>
      <w:r w:rsidRPr="00754EC9">
        <w:t>7.7</w:t>
      </w:r>
      <w:r w:rsidRPr="00754EC9">
        <w:tab/>
        <w:t>В данных обстоятельствах и при отсутствии любой информации по этому вопросу со стороны государства-участника, которая бы оправдывала огранич</w:t>
      </w:r>
      <w:r w:rsidRPr="00754EC9">
        <w:t>е</w:t>
      </w:r>
      <w:r w:rsidRPr="00754EC9">
        <w:t>ние для целей пункта 3 статьи 19, Комитет счит</w:t>
      </w:r>
      <w:r w:rsidR="00FC29DA">
        <w:t>ает, что право автора по пун</w:t>
      </w:r>
      <w:r w:rsidR="00FC29DA">
        <w:t>к</w:t>
      </w:r>
      <w:r w:rsidR="00FC29DA">
        <w:t>ту </w:t>
      </w:r>
      <w:r w:rsidRPr="00754EC9">
        <w:t>2 статьи 19 Пакта было нарушено.</w:t>
      </w:r>
    </w:p>
    <w:p w:rsidR="0048297F" w:rsidRPr="00754EC9" w:rsidRDefault="0048297F" w:rsidP="00754EC9">
      <w:pPr>
        <w:pStyle w:val="SingleTxtGR"/>
      </w:pPr>
      <w:r w:rsidRPr="00754EC9">
        <w:t>8</w:t>
      </w:r>
      <w:r w:rsidRPr="00531881">
        <w:rPr>
          <w:spacing w:val="2"/>
        </w:rPr>
        <w:t>.</w:t>
      </w:r>
      <w:r w:rsidRPr="00531881">
        <w:rPr>
          <w:spacing w:val="2"/>
        </w:rPr>
        <w:tab/>
        <w:t>Комитет по правам человека, действуя в соответствии с пунктом 4 статьи 5</w:t>
      </w:r>
      <w:r w:rsidRPr="00754EC9">
        <w:t xml:space="preserve"> Факультативного протокола к Международному пакту о гражданских и полит</w:t>
      </w:r>
      <w:r w:rsidRPr="00754EC9">
        <w:t>и</w:t>
      </w:r>
      <w:r w:rsidRPr="00754EC9">
        <w:t xml:space="preserve">ческих правах, принимает решение, что </w:t>
      </w:r>
      <w:r w:rsidR="00531881">
        <w:t>представленная ему информация</w:t>
      </w:r>
      <w:r w:rsidR="00FC29DA">
        <w:t xml:space="preserve"> </w:t>
      </w:r>
      <w:r w:rsidR="00481EF1" w:rsidRPr="00754EC9">
        <w:t>св</w:t>
      </w:r>
      <w:r w:rsidR="00481EF1" w:rsidRPr="00754EC9">
        <w:t>и</w:t>
      </w:r>
      <w:r w:rsidR="00481EF1" w:rsidRPr="00754EC9">
        <w:t xml:space="preserve">детельствует о нарушении государством-участником прав автора </w:t>
      </w:r>
      <w:r w:rsidR="001B1BEF" w:rsidRPr="00754EC9">
        <w:t xml:space="preserve">по </w:t>
      </w:r>
      <w:r w:rsidR="00481EF1" w:rsidRPr="00754EC9">
        <w:t>пу</w:t>
      </w:r>
      <w:r w:rsidR="00531881">
        <w:t>нкту</w:t>
      </w:r>
      <w:r w:rsidR="00960C6F" w:rsidRPr="00960C6F">
        <w:t xml:space="preserve"> </w:t>
      </w:r>
      <w:r w:rsidR="00481EF1" w:rsidRPr="00754EC9">
        <w:t xml:space="preserve">2 статьи 19 Пакта. </w:t>
      </w:r>
    </w:p>
    <w:p w:rsidR="00794B23" w:rsidRPr="00754EC9" w:rsidRDefault="00481EF1" w:rsidP="00754EC9">
      <w:pPr>
        <w:pStyle w:val="SingleTxtGR"/>
      </w:pPr>
      <w:r w:rsidRPr="00754EC9">
        <w:t>9.</w:t>
      </w:r>
      <w:r w:rsidRPr="00754EC9">
        <w:tab/>
        <w:t>В соответствии с пунктом 3 а) статьи 2 Пакта государство-участник об</w:t>
      </w:r>
      <w:r w:rsidRPr="00754EC9">
        <w:t>я</w:t>
      </w:r>
      <w:r w:rsidRPr="00754EC9">
        <w:t xml:space="preserve">зано </w:t>
      </w:r>
      <w:r w:rsidR="00794B23" w:rsidRPr="00754EC9">
        <w:t>обеспечить автору эффективные средства правовой защиты, включая во</w:t>
      </w:r>
      <w:r w:rsidR="00794B23" w:rsidRPr="00754EC9">
        <w:t>з</w:t>
      </w:r>
      <w:r w:rsidR="00794B23" w:rsidRPr="00754EC9">
        <w:t xml:space="preserve">мещение штрафа в существующих размерах и </w:t>
      </w:r>
      <w:r w:rsidR="00362A95" w:rsidRPr="00754EC9">
        <w:t xml:space="preserve">его </w:t>
      </w:r>
      <w:r w:rsidR="00794B23" w:rsidRPr="00754EC9">
        <w:t>любых судебных расходов наряду с</w:t>
      </w:r>
      <w:r w:rsidR="00362A95" w:rsidRPr="00754EC9">
        <w:t xml:space="preserve"> выплатой ему</w:t>
      </w:r>
      <w:r w:rsidR="00794B23" w:rsidRPr="00754EC9">
        <w:t xml:space="preserve"> компенсаци</w:t>
      </w:r>
      <w:r w:rsidR="00362A95" w:rsidRPr="00754EC9">
        <w:t>и</w:t>
      </w:r>
      <w:r w:rsidR="00794B23" w:rsidRPr="00754EC9">
        <w:t>. Государство-участник</w:t>
      </w:r>
      <w:r w:rsidR="00960C6F">
        <w:t xml:space="preserve"> </w:t>
      </w:r>
      <w:r w:rsidR="009B21D4" w:rsidRPr="00754EC9">
        <w:t xml:space="preserve">должно </w:t>
      </w:r>
      <w:r w:rsidR="00794B23" w:rsidRPr="00754EC9">
        <w:t>также пр</w:t>
      </w:r>
      <w:r w:rsidR="00794B23" w:rsidRPr="00754EC9">
        <w:t>и</w:t>
      </w:r>
      <w:r w:rsidR="00794B23" w:rsidRPr="00754EC9">
        <w:t>нять меры для предотвращения аналогичных нарушений в будущем.</w:t>
      </w:r>
    </w:p>
    <w:p w:rsidR="00794B23" w:rsidRPr="00754EC9" w:rsidRDefault="00794B23" w:rsidP="00754EC9">
      <w:pPr>
        <w:pStyle w:val="SingleTxtGR"/>
      </w:pPr>
      <w:r w:rsidRPr="00754EC9">
        <w:t>10.</w:t>
      </w:r>
      <w:r w:rsidRPr="00754EC9">
        <w:tab/>
        <w:t>Принимая во внимание, что</w:t>
      </w:r>
      <w:r w:rsidR="00910BB2" w:rsidRPr="00754EC9">
        <w:t xml:space="preserve"> в силу </w:t>
      </w:r>
      <w:r w:rsidRPr="00754EC9">
        <w:t>присоедин</w:t>
      </w:r>
      <w:r w:rsidR="00910BB2" w:rsidRPr="00754EC9">
        <w:t xml:space="preserve">ения </w:t>
      </w:r>
      <w:r w:rsidRPr="00754EC9">
        <w:t>к Факультативному протоколу, государство-участник признало компетенцию Комитета определять имело ли место нарушение</w:t>
      </w:r>
      <w:r w:rsidR="00910BB2" w:rsidRPr="00754EC9">
        <w:t xml:space="preserve"> Пакта</w:t>
      </w:r>
      <w:r w:rsidRPr="00754EC9">
        <w:t xml:space="preserve"> или нет и</w:t>
      </w:r>
      <w:r w:rsidR="00531881">
        <w:t>,</w:t>
      </w:r>
      <w:r w:rsidRPr="00754EC9">
        <w:t xml:space="preserve"> что в соответствии со статьей 2 Пакта государство-участ</w:t>
      </w:r>
      <w:r w:rsidR="00B8676E" w:rsidRPr="00754EC9">
        <w:t>ник обязалось обеспечивать всем</w:t>
      </w:r>
      <w:r w:rsidRPr="00754EC9">
        <w:t xml:space="preserve"> находящимся на его тер</w:t>
      </w:r>
      <w:r w:rsidR="00B8676E" w:rsidRPr="00754EC9">
        <w:t>ритории или под его юрисдикцией лицам</w:t>
      </w:r>
      <w:r w:rsidRPr="00754EC9">
        <w:t xml:space="preserve"> права, п</w:t>
      </w:r>
      <w:r w:rsidR="00413C7B" w:rsidRPr="00754EC9">
        <w:t>ризнаваемые Пактом</w:t>
      </w:r>
      <w:r w:rsidR="00B8676E" w:rsidRPr="00754EC9">
        <w:t>,</w:t>
      </w:r>
      <w:r w:rsidR="00413C7B" w:rsidRPr="00754EC9">
        <w:t xml:space="preserve"> и эффективные и </w:t>
      </w:r>
      <w:r w:rsidR="00910BB2" w:rsidRPr="00754EC9">
        <w:t xml:space="preserve">имеющие исковую силу </w:t>
      </w:r>
      <w:r w:rsidR="00413C7B" w:rsidRPr="00754EC9">
        <w:t>средства правовой защиты</w:t>
      </w:r>
      <w:r w:rsidR="00910BB2" w:rsidRPr="00754EC9">
        <w:t xml:space="preserve"> в</w:t>
      </w:r>
      <w:r w:rsidR="00413C7B" w:rsidRPr="00754EC9">
        <w:t xml:space="preserve"> случае у</w:t>
      </w:r>
      <w:r w:rsidR="00413C7B" w:rsidRPr="00754EC9">
        <w:t>с</w:t>
      </w:r>
      <w:r w:rsidR="00413C7B" w:rsidRPr="00754EC9">
        <w:t>тановления факта нарушения</w:t>
      </w:r>
      <w:r w:rsidR="00910BB2" w:rsidRPr="00754EC9">
        <w:t>,</w:t>
      </w:r>
      <w:r w:rsidR="00413C7B" w:rsidRPr="00754EC9">
        <w:t xml:space="preserve"> Комитет хотел бы получить </w:t>
      </w:r>
      <w:r w:rsidR="00531881">
        <w:t xml:space="preserve">от </w:t>
      </w:r>
      <w:r w:rsidR="00413C7B" w:rsidRPr="00754EC9">
        <w:t>государства-участника в течение 180 дней информацию о принятых мерах для выполнения соображений Комитета. Государству-участнику также предлагается опублик</w:t>
      </w:r>
      <w:r w:rsidR="00413C7B" w:rsidRPr="00754EC9">
        <w:t>о</w:t>
      </w:r>
      <w:r w:rsidR="00413C7B" w:rsidRPr="00754EC9">
        <w:t>вать настоящие соображения и широко распространить их на белорусском и русском языках в государстве-участнике.</w:t>
      </w:r>
    </w:p>
    <w:p w:rsidR="00413C7B" w:rsidRPr="00B8676E" w:rsidRDefault="001B2279" w:rsidP="00BC7AEA">
      <w:pPr>
        <w:pStyle w:val="HChGR"/>
        <w:rPr>
          <w:sz w:val="24"/>
        </w:rPr>
      </w:pPr>
      <w:r w:rsidRPr="00B8676E">
        <w:rPr>
          <w:sz w:val="24"/>
        </w:rPr>
        <w:br w:type="page"/>
      </w:r>
      <w:r w:rsidR="00413C7B" w:rsidRPr="00BC7AEA">
        <w:t>Добавление</w:t>
      </w:r>
    </w:p>
    <w:p w:rsidR="001B2279" w:rsidRPr="00BC7AEA" w:rsidRDefault="00413C7B" w:rsidP="00BC7AEA">
      <w:pPr>
        <w:pStyle w:val="H1GR"/>
      </w:pPr>
      <w:r w:rsidRPr="00B8676E">
        <w:tab/>
      </w:r>
      <w:r w:rsidRPr="00B8676E">
        <w:tab/>
      </w:r>
      <w:r w:rsidRPr="00BC7AEA">
        <w:t>Совместное (несогласное) мнение членов Комитета Деерулалла Сеетулсингха и Вальтера Келина</w:t>
      </w:r>
    </w:p>
    <w:p w:rsidR="00BC7AEA" w:rsidRPr="00B12350" w:rsidRDefault="002B5636" w:rsidP="00BC7AEA">
      <w:pPr>
        <w:pStyle w:val="SingleTxtGR"/>
      </w:pPr>
      <w:r>
        <w:tab/>
      </w:r>
      <w:r w:rsidR="00C721EB" w:rsidRPr="00754EC9">
        <w:t xml:space="preserve">Соглашаясь с </w:t>
      </w:r>
      <w:r w:rsidR="00910BB2" w:rsidRPr="00754EC9">
        <w:t xml:space="preserve">выводом </w:t>
      </w:r>
      <w:r w:rsidR="00C721EB" w:rsidRPr="00754EC9">
        <w:t xml:space="preserve">о нарушении статьи 19 Пакта по данному делу, мы считаем, что Комитет не должен </w:t>
      </w:r>
      <w:r w:rsidR="00217384" w:rsidRPr="00754EC9">
        <w:t xml:space="preserve">был </w:t>
      </w:r>
      <w:r w:rsidR="00C721EB" w:rsidRPr="00754EC9">
        <w:t>в пункте 7.</w:t>
      </w:r>
      <w:r w:rsidR="00BE1981">
        <w:t>5 и в первом предложении пункта</w:t>
      </w:r>
      <w:r w:rsidR="00960C6F">
        <w:t xml:space="preserve"> </w:t>
      </w:r>
      <w:r w:rsidR="00C721EB" w:rsidRPr="00754EC9">
        <w:t>7.6 настоящих Соображений пытаться оправдать выбор выражений а</w:t>
      </w:r>
      <w:r w:rsidR="00C721EB" w:rsidRPr="00754EC9">
        <w:t>в</w:t>
      </w:r>
      <w:r w:rsidR="00C721EB" w:rsidRPr="00754EC9">
        <w:t>тором для высказывани</w:t>
      </w:r>
      <w:r w:rsidR="004F180E" w:rsidRPr="00754EC9">
        <w:t>я</w:t>
      </w:r>
      <w:r w:rsidR="00C721EB" w:rsidRPr="00754EC9">
        <w:t xml:space="preserve"> критических замечаний. </w:t>
      </w:r>
      <w:r w:rsidR="00C51A26" w:rsidRPr="00754EC9">
        <w:t>Доводы о том, что автор кр</w:t>
      </w:r>
      <w:r w:rsidR="00C51A26" w:rsidRPr="00754EC9">
        <w:t>и</w:t>
      </w:r>
      <w:r w:rsidR="00C51A26" w:rsidRPr="00754EC9">
        <w:t>тиковал несколько лиц, а не только г-жу Т. и что использование того, что</w:t>
      </w:r>
      <w:r w:rsidR="00BE1981">
        <w:t>,</w:t>
      </w:r>
      <w:r w:rsidR="00C51A26" w:rsidRPr="00754EC9">
        <w:t xml:space="preserve"> по мнению Комитета</w:t>
      </w:r>
      <w:r w:rsidR="00BE1981">
        <w:t>,</w:t>
      </w:r>
      <w:r w:rsidR="00912F52" w:rsidRPr="00754EC9">
        <w:t xml:space="preserve"> </w:t>
      </w:r>
      <w:r w:rsidR="00C51A26" w:rsidRPr="00754EC9">
        <w:t xml:space="preserve">является </w:t>
      </w:r>
      <w:r w:rsidR="0011166A">
        <w:t>"</w:t>
      </w:r>
      <w:r w:rsidR="00912F52" w:rsidRPr="00754EC9">
        <w:t>унизительными</w:t>
      </w:r>
      <w:r w:rsidR="00C51A26" w:rsidRPr="00754EC9">
        <w:t xml:space="preserve"> и оскорбительными</w:t>
      </w:r>
      <w:r w:rsidR="0011166A">
        <w:t>"</w:t>
      </w:r>
      <w:r w:rsidR="00C51A26" w:rsidRPr="00754EC9">
        <w:t xml:space="preserve"> выражени</w:t>
      </w:r>
      <w:r w:rsidR="00C51A26" w:rsidRPr="00754EC9">
        <w:t>я</w:t>
      </w:r>
      <w:r w:rsidR="00C51A26" w:rsidRPr="00754EC9">
        <w:t xml:space="preserve">ми по отношению к вышестоящим должностным лицам неизбежно </w:t>
      </w:r>
      <w:r w:rsidR="00912F52" w:rsidRPr="00754EC9">
        <w:t>причиняет меньший</w:t>
      </w:r>
      <w:r w:rsidR="00960C6F">
        <w:t xml:space="preserve"> </w:t>
      </w:r>
      <w:r w:rsidR="00C51A26" w:rsidRPr="00754EC9">
        <w:t>вред, нежели использование таких формулировок частным лицом в средствах массовой информации, не явля</w:t>
      </w:r>
      <w:r w:rsidR="00912F52" w:rsidRPr="00754EC9">
        <w:t>ю</w:t>
      </w:r>
      <w:r w:rsidR="00C51A26" w:rsidRPr="00754EC9">
        <w:t>тся полностью убедительным</w:t>
      </w:r>
      <w:r w:rsidR="00785863" w:rsidRPr="00754EC9">
        <w:t>и</w:t>
      </w:r>
      <w:r w:rsidR="00C51A26" w:rsidRPr="00754EC9">
        <w:t>. Вм</w:t>
      </w:r>
      <w:r w:rsidR="00C51A26" w:rsidRPr="00754EC9">
        <w:t>е</w:t>
      </w:r>
      <w:r w:rsidR="00C51A26" w:rsidRPr="00754EC9">
        <w:t>сто этого Комитет должен был ограничиться указанием на тот факт, что гос</w:t>
      </w:r>
      <w:r w:rsidR="00C51A26" w:rsidRPr="00754EC9">
        <w:t>у</w:t>
      </w:r>
      <w:r w:rsidR="00C51A26" w:rsidRPr="00754EC9">
        <w:t>дарство-участник не представило какой-либо аргументации в оправдание нео</w:t>
      </w:r>
      <w:r w:rsidR="00C51A26" w:rsidRPr="00754EC9">
        <w:t>б</w:t>
      </w:r>
      <w:r w:rsidR="00C51A26" w:rsidRPr="00754EC9">
        <w:t xml:space="preserve">ходимости наложения на автора административного </w:t>
      </w:r>
      <w:r w:rsidR="00785863" w:rsidRPr="00754EC9">
        <w:t>штрафа</w:t>
      </w:r>
      <w:r w:rsidR="00BE1981">
        <w:t xml:space="preserve"> в соответствии с пунктом</w:t>
      </w:r>
      <w:r w:rsidR="00960C6F">
        <w:t xml:space="preserve"> </w:t>
      </w:r>
      <w:r w:rsidR="00C51A26" w:rsidRPr="00754EC9">
        <w:t>3 статьи 19 Пакта.</w:t>
      </w:r>
      <w:r w:rsidR="00BC7AEA" w:rsidRPr="00BC7AEA">
        <w:t xml:space="preserve"> </w:t>
      </w:r>
    </w:p>
    <w:p w:rsidR="00BC7AEA" w:rsidRPr="00BC7AEA" w:rsidRDefault="00BC7AEA" w:rsidP="00BC7AEA">
      <w:pPr>
        <w:spacing w:before="240" w:after="720"/>
        <w:jc w:val="center"/>
        <w:rPr>
          <w:color w:val="000000"/>
          <w:u w:val="single"/>
          <w:lang w:val="ru-RU"/>
        </w:rPr>
      </w:pPr>
      <w:r w:rsidRPr="00BC7AEA">
        <w:rPr>
          <w:color w:val="000000"/>
          <w:u w:val="single"/>
          <w:lang w:val="ru-RU"/>
        </w:rPr>
        <w:tab/>
      </w:r>
      <w:r w:rsidRPr="00BC7AEA">
        <w:rPr>
          <w:color w:val="000000"/>
          <w:u w:val="single"/>
          <w:lang w:val="ru-RU"/>
        </w:rPr>
        <w:tab/>
      </w:r>
      <w:r w:rsidRPr="00BC7AEA">
        <w:rPr>
          <w:color w:val="000000"/>
          <w:u w:val="single"/>
          <w:lang w:val="ru-RU"/>
        </w:rPr>
        <w:tab/>
      </w:r>
    </w:p>
    <w:sectPr w:rsidR="00BC7AEA" w:rsidRPr="00BC7AEA" w:rsidSect="006E603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64" w:rsidRDefault="00C56B64"/>
  </w:endnote>
  <w:endnote w:type="continuationSeparator" w:id="0">
    <w:p w:rsidR="00C56B64" w:rsidRDefault="00C56B64"/>
  </w:endnote>
  <w:endnote w:type="continuationNotice" w:id="1">
    <w:p w:rsidR="00C56B64" w:rsidRDefault="00C56B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64" w:rsidRPr="006E603A" w:rsidRDefault="00C56B64" w:rsidP="006E603A">
    <w:pPr>
      <w:pStyle w:val="Footer"/>
      <w:tabs>
        <w:tab w:val="right" w:pos="9638"/>
      </w:tabs>
    </w:pPr>
    <w:r w:rsidRPr="006E603A">
      <w:rPr>
        <w:b/>
        <w:sz w:val="18"/>
      </w:rPr>
      <w:fldChar w:fldCharType="begin"/>
    </w:r>
    <w:r w:rsidRPr="006E603A">
      <w:rPr>
        <w:b/>
        <w:sz w:val="18"/>
      </w:rPr>
      <w:instrText xml:space="preserve"> PAGE  \* MERGEFORMAT </w:instrText>
    </w:r>
    <w:r w:rsidRPr="006E603A">
      <w:rPr>
        <w:b/>
        <w:sz w:val="18"/>
      </w:rPr>
      <w:fldChar w:fldCharType="separate"/>
    </w:r>
    <w:r>
      <w:rPr>
        <w:b/>
        <w:noProof/>
        <w:sz w:val="18"/>
      </w:rPr>
      <w:t>8</w:t>
    </w:r>
    <w:r w:rsidRPr="006E603A">
      <w:rPr>
        <w:b/>
        <w:sz w:val="18"/>
      </w:rPr>
      <w:fldChar w:fldCharType="end"/>
    </w:r>
    <w:r w:rsidRPr="00482BC3">
      <w:rPr>
        <w:lang w:val="en-US"/>
      </w:rPr>
      <w:t xml:space="preserve"> </w:t>
    </w:r>
    <w:r>
      <w:rPr>
        <w:lang w:val="en-US"/>
      </w:rPr>
      <w:tab/>
      <w:t>GE.14-14860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64" w:rsidRPr="006E603A" w:rsidRDefault="00C56B64" w:rsidP="006E603A">
    <w:pPr>
      <w:pStyle w:val="Footer"/>
      <w:tabs>
        <w:tab w:val="right" w:pos="9638"/>
      </w:tabs>
      <w:rPr>
        <w:b/>
        <w:sz w:val="18"/>
      </w:rPr>
    </w:pPr>
    <w:r>
      <w:rPr>
        <w:lang w:val="en-US"/>
      </w:rPr>
      <w:t>GE.14-14860</w:t>
    </w:r>
    <w:r>
      <w:rPr>
        <w:sz w:val="20"/>
      </w:rPr>
      <w:tab/>
    </w:r>
    <w:r w:rsidRPr="006E603A">
      <w:rPr>
        <w:b/>
        <w:sz w:val="18"/>
      </w:rPr>
      <w:fldChar w:fldCharType="begin"/>
    </w:r>
    <w:r w:rsidRPr="006E603A">
      <w:rPr>
        <w:b/>
        <w:sz w:val="18"/>
      </w:rPr>
      <w:instrText xml:space="preserve"> PAGE  \* MERGEFORMAT </w:instrText>
    </w:r>
    <w:r w:rsidRPr="006E603A">
      <w:rPr>
        <w:b/>
        <w:sz w:val="18"/>
      </w:rPr>
      <w:fldChar w:fldCharType="separate"/>
    </w:r>
    <w:r>
      <w:rPr>
        <w:b/>
        <w:noProof/>
        <w:sz w:val="18"/>
      </w:rPr>
      <w:t>9</w:t>
    </w:r>
    <w:r w:rsidRPr="006E603A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62"/>
      <w:gridCol w:w="4535"/>
      <w:gridCol w:w="1199"/>
    </w:tblGrid>
    <w:tr w:rsidR="00C56B64" w:rsidRPr="004765CA" w:rsidTr="00B70413">
      <w:trPr>
        <w:trHeight w:val="567"/>
      </w:trPr>
      <w:tc>
        <w:tcPr>
          <w:tcW w:w="3969" w:type="dxa"/>
          <w:vAlign w:val="bottom"/>
        </w:tcPr>
        <w:p w:rsidR="00C56B64" w:rsidRPr="00960C6F" w:rsidRDefault="00C56B64" w:rsidP="00B70413">
          <w:pPr>
            <w:pStyle w:val="Footer"/>
            <w:rPr>
              <w:sz w:val="20"/>
              <w:lang w:val="ru-RU"/>
            </w:rPr>
          </w:pPr>
          <w:r>
            <w:rPr>
              <w:sz w:val="20"/>
              <w:lang w:val="en-US"/>
            </w:rPr>
            <w:t>GE.14-14860  (R)</w:t>
          </w:r>
          <w:r>
            <w:rPr>
              <w:sz w:val="20"/>
              <w:lang w:val="ru-RU"/>
            </w:rPr>
            <w:t xml:space="preserve">  081014  081014</w:t>
          </w:r>
        </w:p>
      </w:tc>
      <w:tc>
        <w:tcPr>
          <w:tcW w:w="4536" w:type="dxa"/>
          <w:vMerge w:val="restart"/>
          <w:vAlign w:val="bottom"/>
        </w:tcPr>
        <w:p w:rsidR="00C56B64" w:rsidRDefault="00C56B64" w:rsidP="00B70413">
          <w:pPr>
            <w:pStyle w:val="Footer"/>
            <w:jc w:val="right"/>
            <w:rPr>
              <w:b/>
            </w:rPr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  <w:p w:rsidR="00C56B64" w:rsidRPr="004765CA" w:rsidRDefault="00C56B64" w:rsidP="00B70413">
          <w:pPr>
            <w:pStyle w:val="Footer"/>
            <w:jc w:val="right"/>
          </w:pPr>
        </w:p>
      </w:tc>
      <w:tc>
        <w:tcPr>
          <w:tcW w:w="1191" w:type="dxa"/>
          <w:vMerge w:val="restart"/>
          <w:noWrap/>
          <w:tcMar>
            <w:right w:w="57" w:type="dxa"/>
          </w:tcMar>
          <w:vAlign w:val="bottom"/>
        </w:tcPr>
        <w:p w:rsidR="00C56B64" w:rsidRPr="004765CA" w:rsidRDefault="00C56B64" w:rsidP="00B70413">
          <w:pPr>
            <w:pStyle w:val="Footer"/>
            <w:jc w:val="right"/>
          </w:pPr>
          <w:r>
            <w:pict>
              <v:shape id="_x0000_i1027" type="#_x0000_t75" style="width:50.25pt;height:50.25pt">
                <v:imagedata r:id="rId2" o:title="2010&amp;Size=2&amp;Lang=R"/>
              </v:shape>
            </w:pict>
          </w:r>
        </w:p>
      </w:tc>
    </w:tr>
    <w:tr w:rsidR="00C56B64" w:rsidRPr="000B4D3B" w:rsidTr="00B70413">
      <w:trPr>
        <w:trHeight w:hRule="exact" w:val="567"/>
      </w:trPr>
      <w:tc>
        <w:tcPr>
          <w:tcW w:w="3969" w:type="dxa"/>
          <w:vAlign w:val="bottom"/>
        </w:tcPr>
        <w:p w:rsidR="00C56B64" w:rsidRPr="005F205B" w:rsidRDefault="00C56B64" w:rsidP="00B70413">
          <w:pPr>
            <w:pStyle w:val="Footer"/>
            <w:rPr>
              <w:rFonts w:ascii="C39T30Lfz" w:hAnsi="C39T30Lfz"/>
              <w:sz w:val="56"/>
              <w:szCs w:val="56"/>
            </w:rPr>
          </w:pPr>
          <w:r w:rsidRPr="005F205B">
            <w:rPr>
              <w:rFonts w:ascii="C39T30Lfz" w:hAnsi="C39T30Lfz"/>
              <w:sz w:val="56"/>
              <w:szCs w:val="56"/>
            </w:rPr>
            <w:t></w:t>
          </w:r>
          <w:r>
            <w:rPr>
              <w:rFonts w:ascii="C39T30Lfz" w:hAnsi="C39T30Lfz"/>
              <w:sz w:val="56"/>
              <w:szCs w:val="56"/>
            </w:rPr>
            <w:t></w:t>
          </w:r>
          <w:r>
            <w:rPr>
              <w:rFonts w:ascii="C39T30Lfz" w:hAnsi="C39T30Lfz"/>
              <w:sz w:val="56"/>
              <w:szCs w:val="56"/>
            </w:rPr>
            <w:t></w:t>
          </w:r>
          <w:r>
            <w:rPr>
              <w:rFonts w:ascii="C39T30Lfz" w:hAnsi="C39T30Lfz"/>
              <w:sz w:val="56"/>
              <w:szCs w:val="56"/>
            </w:rPr>
            <w:t></w:t>
          </w:r>
          <w:r>
            <w:rPr>
              <w:rFonts w:ascii="C39T30Lfz" w:hAnsi="C39T30Lfz"/>
              <w:sz w:val="56"/>
              <w:szCs w:val="56"/>
            </w:rPr>
            <w:t></w:t>
          </w:r>
          <w:r>
            <w:rPr>
              <w:rFonts w:ascii="C39T30Lfz" w:hAnsi="C39T30Lfz"/>
              <w:sz w:val="56"/>
              <w:szCs w:val="56"/>
            </w:rPr>
            <w:t></w:t>
          </w:r>
          <w:r>
            <w:rPr>
              <w:rFonts w:ascii="C39T30Lfz" w:hAnsi="C39T30Lfz"/>
              <w:sz w:val="56"/>
              <w:szCs w:val="56"/>
            </w:rPr>
            <w:t></w:t>
          </w:r>
          <w:r>
            <w:rPr>
              <w:rFonts w:ascii="C39T30Lfz" w:hAnsi="C39T30Lfz"/>
              <w:sz w:val="56"/>
              <w:szCs w:val="56"/>
            </w:rPr>
            <w:t></w:t>
          </w:r>
          <w:r w:rsidRPr="005F205B">
            <w:rPr>
              <w:rFonts w:ascii="C39T30Lfz" w:hAnsi="C39T30Lfz"/>
              <w:sz w:val="56"/>
              <w:szCs w:val="56"/>
            </w:rPr>
            <w:t></w:t>
          </w:r>
        </w:p>
      </w:tc>
      <w:tc>
        <w:tcPr>
          <w:tcW w:w="4536" w:type="dxa"/>
          <w:vMerge/>
          <w:vAlign w:val="bottom"/>
        </w:tcPr>
        <w:p w:rsidR="00C56B64" w:rsidRPr="000B4D3B" w:rsidRDefault="00C56B64" w:rsidP="00B70413">
          <w:pPr>
            <w:pStyle w:val="Footer"/>
            <w:rPr>
              <w:rFonts w:ascii="C39T30Lfz" w:hAnsi="C39T30Lfz"/>
              <w:sz w:val="56"/>
              <w:szCs w:val="56"/>
            </w:rPr>
          </w:pPr>
        </w:p>
      </w:tc>
      <w:tc>
        <w:tcPr>
          <w:tcW w:w="1191" w:type="dxa"/>
          <w:vMerge/>
          <w:noWrap/>
          <w:tcMar>
            <w:right w:w="57" w:type="dxa"/>
          </w:tcMar>
          <w:vAlign w:val="bottom"/>
        </w:tcPr>
        <w:p w:rsidR="00C56B64" w:rsidRPr="000B4D3B" w:rsidRDefault="00C56B64" w:rsidP="00B70413">
          <w:pPr>
            <w:pStyle w:val="Footer"/>
            <w:jc w:val="right"/>
            <w:rPr>
              <w:rFonts w:ascii="C39T30Lfz" w:hAnsi="C39T30Lfz"/>
              <w:sz w:val="56"/>
              <w:szCs w:val="56"/>
            </w:rPr>
          </w:pPr>
        </w:p>
      </w:tc>
    </w:tr>
  </w:tbl>
  <w:p w:rsidR="00C56B64" w:rsidRDefault="00C56B64">
    <w:pPr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64" w:rsidRPr="000B175B" w:rsidRDefault="00C56B6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6B64" w:rsidRPr="00FC68B7" w:rsidRDefault="00C56B6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56B64" w:rsidRDefault="00C56B64"/>
  </w:footnote>
  <w:footnote w:id="2">
    <w:p w:rsidR="00C56B64" w:rsidRPr="001B48C2" w:rsidRDefault="00C56B64" w:rsidP="000C202C">
      <w:pPr>
        <w:pStyle w:val="FootnoteText"/>
        <w:rPr>
          <w:spacing w:val="5"/>
          <w:w w:val="104"/>
          <w:kern w:val="14"/>
          <w:lang w:val="ru-RU" w:eastAsia="ru-RU"/>
        </w:rPr>
      </w:pPr>
      <w:r w:rsidRPr="007A1299">
        <w:rPr>
          <w:rStyle w:val="FootnoteReference"/>
          <w:b/>
          <w:spacing w:val="4"/>
          <w:w w:val="103"/>
          <w:kern w:val="14"/>
          <w:sz w:val="20"/>
          <w:vertAlign w:val="baseline"/>
          <w:lang w:eastAsia="ru-RU"/>
        </w:rPr>
        <w:tab/>
      </w:r>
      <w:r w:rsidRPr="00BB3845">
        <w:rPr>
          <w:rStyle w:val="FootnoteReference"/>
          <w:spacing w:val="5"/>
          <w:w w:val="104"/>
          <w:kern w:val="14"/>
          <w:sz w:val="20"/>
          <w:vertAlign w:val="baseline"/>
          <w:lang w:eastAsia="ru-RU"/>
        </w:rPr>
        <w:t>*</w:t>
      </w:r>
      <w:r w:rsidRPr="006F0697">
        <w:rPr>
          <w:lang w:val="en-US"/>
        </w:rPr>
        <w:tab/>
      </w:r>
      <w:r w:rsidRPr="001B48C2">
        <w:rPr>
          <w:spacing w:val="5"/>
          <w:w w:val="104"/>
          <w:kern w:val="14"/>
          <w:lang w:val="ru-RU" w:eastAsia="ru-RU"/>
        </w:rPr>
        <w:t>В рассмотрении настоящего сообщения принимали участие следующие члены Комитета: Ядх Бен Ашур, Лазхари Бузид, Корнелис Флинтерман, Юдзи Ивасава, Вальтер Келин, Зонке Занеле Майодина, Джеральд Л. Нойман, сэр Найджел Родли, Виктор Мануэль Родригес-Ресия, Фабиан Омар Сальвиоли, Деерулалл Сеетулсингх, Аня Зайберт-Фор, Юваль Шани, Константин Вардзелашвили, Марго Ватервал и Андрей Пол Златеску.</w:t>
      </w:r>
    </w:p>
    <w:p w:rsidR="00C56B64" w:rsidRPr="001B48C2" w:rsidRDefault="00C56B64" w:rsidP="000C202C">
      <w:pPr>
        <w:pStyle w:val="FootnoteText"/>
        <w:rPr>
          <w:spacing w:val="5"/>
          <w:w w:val="104"/>
          <w:kern w:val="14"/>
          <w:lang w:val="ru-RU" w:eastAsia="ru-RU"/>
        </w:rPr>
      </w:pPr>
      <w:r w:rsidRPr="001B48C2">
        <w:rPr>
          <w:spacing w:val="5"/>
          <w:w w:val="104"/>
          <w:kern w:val="14"/>
          <w:lang w:val="ru-RU" w:eastAsia="ru-RU"/>
        </w:rPr>
        <w:tab/>
      </w:r>
      <w:r w:rsidRPr="001B48C2">
        <w:rPr>
          <w:spacing w:val="5"/>
          <w:w w:val="104"/>
          <w:kern w:val="14"/>
          <w:lang w:val="ru-RU" w:eastAsia="ru-RU"/>
        </w:rPr>
        <w:tab/>
        <w:t>Текст совместного мнения членов Комитета Деерулалла Сеетулсингха и Вальтера Келина (несогласное мнение) прилаг</w:t>
      </w:r>
      <w:r>
        <w:rPr>
          <w:spacing w:val="5"/>
          <w:w w:val="104"/>
          <w:kern w:val="14"/>
          <w:lang w:val="ru-RU" w:eastAsia="ru-RU"/>
        </w:rPr>
        <w:t>ается к настоящим Соображениям.</w:t>
      </w:r>
    </w:p>
  </w:footnote>
  <w:footnote w:id="3">
    <w:p w:rsidR="00C56B64" w:rsidRPr="000C202C" w:rsidRDefault="00C56B64" w:rsidP="000C202C">
      <w:pPr>
        <w:pStyle w:val="FootnoteText"/>
        <w:rPr>
          <w:spacing w:val="5"/>
          <w:w w:val="104"/>
          <w:kern w:val="14"/>
          <w:lang w:val="ru-RU" w:eastAsia="ru-RU"/>
        </w:rPr>
      </w:pPr>
      <w:r w:rsidRPr="00D40DC6">
        <w:rPr>
          <w:lang w:val="ru-RU"/>
        </w:rPr>
        <w:tab/>
      </w:r>
      <w:r w:rsidRPr="007A1299">
        <w:rPr>
          <w:rStyle w:val="FootnoteReference"/>
          <w:lang w:eastAsia="ru-RU"/>
        </w:rPr>
        <w:footnoteRef/>
      </w:r>
      <w:r w:rsidRPr="006F0697">
        <w:rPr>
          <w:lang w:val="en-US"/>
        </w:rPr>
        <w:tab/>
      </w:r>
      <w:r w:rsidRPr="000C202C">
        <w:rPr>
          <w:spacing w:val="5"/>
          <w:w w:val="104"/>
          <w:kern w:val="14"/>
          <w:lang w:val="ru-RU" w:eastAsia="ru-RU"/>
        </w:rPr>
        <w:t xml:space="preserve">См., в частности, сообщение № 869/1999, </w:t>
      </w:r>
      <w:r w:rsidRPr="007A1299">
        <w:rPr>
          <w:i/>
          <w:spacing w:val="5"/>
          <w:w w:val="104"/>
          <w:kern w:val="14"/>
          <w:lang w:val="ru-RU" w:eastAsia="ru-RU"/>
        </w:rPr>
        <w:t>Пиандионг и др. против Филиппин</w:t>
      </w:r>
      <w:r w:rsidRPr="000C202C">
        <w:rPr>
          <w:spacing w:val="5"/>
          <w:w w:val="104"/>
          <w:kern w:val="14"/>
          <w:lang w:val="ru-RU" w:eastAsia="ru-RU"/>
        </w:rPr>
        <w:t>, Соображения от 19 октября 2000 года, пункт 5.1.</w:t>
      </w:r>
    </w:p>
  </w:footnote>
  <w:footnote w:id="4">
    <w:p w:rsidR="00C56B64" w:rsidRPr="000C202C" w:rsidRDefault="00C56B64" w:rsidP="000C202C">
      <w:pPr>
        <w:pStyle w:val="FootnoteText"/>
        <w:rPr>
          <w:spacing w:val="5"/>
          <w:w w:val="104"/>
          <w:kern w:val="14"/>
          <w:lang w:val="ru-RU" w:eastAsia="ru-RU"/>
        </w:rPr>
      </w:pPr>
      <w:r w:rsidRPr="000C202C">
        <w:rPr>
          <w:spacing w:val="5"/>
          <w:w w:val="104"/>
          <w:kern w:val="14"/>
          <w:lang w:val="ru-RU" w:eastAsia="ru-RU"/>
        </w:rPr>
        <w:tab/>
      </w:r>
      <w:r w:rsidRPr="007A1299">
        <w:rPr>
          <w:rStyle w:val="FootnoteReference"/>
          <w:lang w:eastAsia="ru-RU"/>
        </w:rPr>
        <w:footnoteRef/>
      </w:r>
      <w:r w:rsidRPr="000C202C">
        <w:rPr>
          <w:spacing w:val="5"/>
          <w:w w:val="104"/>
          <w:kern w:val="14"/>
          <w:lang w:val="ru-RU" w:eastAsia="ru-RU"/>
        </w:rPr>
        <w:tab/>
        <w:t xml:space="preserve">См., например, сообщения № 1226/2003, </w:t>
      </w:r>
      <w:r w:rsidRPr="007A1299">
        <w:rPr>
          <w:i/>
          <w:spacing w:val="5"/>
          <w:w w:val="104"/>
          <w:kern w:val="14"/>
          <w:lang w:val="ru-RU" w:eastAsia="ru-RU"/>
        </w:rPr>
        <w:t>Корнеенко против Беларуси</w:t>
      </w:r>
      <w:r w:rsidRPr="000C202C">
        <w:rPr>
          <w:spacing w:val="5"/>
          <w:w w:val="104"/>
          <w:kern w:val="14"/>
          <w:lang w:val="ru-RU" w:eastAsia="ru-RU"/>
        </w:rPr>
        <w:t xml:space="preserve">, Соображения </w:t>
      </w:r>
      <w:r>
        <w:rPr>
          <w:spacing w:val="5"/>
          <w:w w:val="104"/>
          <w:kern w:val="14"/>
          <w:lang w:val="ru-RU" w:eastAsia="ru-RU"/>
        </w:rPr>
        <w:br/>
      </w:r>
      <w:r w:rsidRPr="000C202C">
        <w:rPr>
          <w:spacing w:val="5"/>
          <w:w w:val="104"/>
          <w:kern w:val="14"/>
          <w:lang w:val="ru-RU" w:eastAsia="ru-RU"/>
        </w:rPr>
        <w:t xml:space="preserve">от 20 июля 2012 года, пункт 8.2; и № 1948/2010, </w:t>
      </w:r>
      <w:r w:rsidRPr="007A1299">
        <w:rPr>
          <w:i/>
          <w:spacing w:val="5"/>
          <w:w w:val="104"/>
          <w:kern w:val="14"/>
          <w:lang w:val="ru-RU" w:eastAsia="ru-RU"/>
        </w:rPr>
        <w:t>Турченяк и др. против Беларуси</w:t>
      </w:r>
      <w:r w:rsidRPr="000C202C">
        <w:rPr>
          <w:spacing w:val="5"/>
          <w:w w:val="104"/>
          <w:kern w:val="14"/>
          <w:lang w:val="ru-RU" w:eastAsia="ru-RU"/>
        </w:rPr>
        <w:t>, Соображения от 24 июля 2013 года, пункт 5.2.</w:t>
      </w:r>
    </w:p>
  </w:footnote>
  <w:footnote w:id="5">
    <w:p w:rsidR="00C56B64" w:rsidRPr="000C202C" w:rsidRDefault="00C56B64" w:rsidP="000C202C">
      <w:pPr>
        <w:pStyle w:val="FootnoteText"/>
        <w:rPr>
          <w:spacing w:val="5"/>
          <w:w w:val="104"/>
          <w:kern w:val="14"/>
          <w:lang w:val="ru-RU" w:eastAsia="ru-RU"/>
        </w:rPr>
      </w:pPr>
      <w:r w:rsidRPr="000C202C">
        <w:rPr>
          <w:spacing w:val="5"/>
          <w:w w:val="104"/>
          <w:kern w:val="14"/>
          <w:lang w:val="ru-RU" w:eastAsia="ru-RU"/>
        </w:rPr>
        <w:tab/>
      </w:r>
      <w:r w:rsidRPr="007A1299">
        <w:rPr>
          <w:rStyle w:val="FootnoteReference"/>
          <w:lang w:eastAsia="ru-RU"/>
        </w:rPr>
        <w:footnoteRef/>
      </w:r>
      <w:r w:rsidRPr="000C202C">
        <w:rPr>
          <w:spacing w:val="5"/>
          <w:w w:val="104"/>
          <w:kern w:val="14"/>
          <w:lang w:val="ru-RU" w:eastAsia="ru-RU"/>
        </w:rPr>
        <w:t xml:space="preserve"> </w:t>
      </w:r>
      <w:r w:rsidRPr="000C202C">
        <w:rPr>
          <w:spacing w:val="5"/>
          <w:w w:val="104"/>
          <w:kern w:val="14"/>
          <w:lang w:val="ru-RU" w:eastAsia="ru-RU"/>
        </w:rPr>
        <w:tab/>
        <w:t xml:space="preserve">Сообщение № 1873/2009, </w:t>
      </w:r>
      <w:r w:rsidRPr="007A1299">
        <w:rPr>
          <w:i/>
          <w:spacing w:val="5"/>
          <w:w w:val="104"/>
          <w:kern w:val="14"/>
          <w:lang w:val="ru-RU" w:eastAsia="ru-RU"/>
        </w:rPr>
        <w:t>Алексеев против Российской Федерации</w:t>
      </w:r>
      <w:r>
        <w:rPr>
          <w:spacing w:val="5"/>
          <w:w w:val="104"/>
          <w:kern w:val="14"/>
          <w:lang w:val="ru-RU" w:eastAsia="ru-RU"/>
        </w:rPr>
        <w:t xml:space="preserve">, Соображения </w:t>
      </w:r>
      <w:r>
        <w:rPr>
          <w:spacing w:val="5"/>
          <w:w w:val="104"/>
          <w:kern w:val="14"/>
          <w:lang w:val="ru-RU" w:eastAsia="ru-RU"/>
        </w:rPr>
        <w:br/>
      </w:r>
      <w:r w:rsidRPr="000C202C">
        <w:rPr>
          <w:spacing w:val="5"/>
          <w:w w:val="104"/>
          <w:kern w:val="14"/>
          <w:lang w:val="ru-RU" w:eastAsia="ru-RU"/>
        </w:rPr>
        <w:t>от 25 октября 2013 года, пункт 8.4</w:t>
      </w:r>
    </w:p>
  </w:footnote>
  <w:footnote w:id="6">
    <w:p w:rsidR="00C56B64" w:rsidRPr="000C202C" w:rsidRDefault="00C56B64" w:rsidP="000C202C">
      <w:pPr>
        <w:pStyle w:val="FootnoteText"/>
        <w:rPr>
          <w:spacing w:val="5"/>
          <w:w w:val="104"/>
          <w:kern w:val="14"/>
          <w:lang w:val="ru-RU" w:eastAsia="ru-RU"/>
        </w:rPr>
      </w:pPr>
      <w:r w:rsidRPr="000C202C">
        <w:rPr>
          <w:spacing w:val="5"/>
          <w:w w:val="104"/>
          <w:kern w:val="14"/>
          <w:lang w:val="ru-RU" w:eastAsia="ru-RU"/>
        </w:rPr>
        <w:tab/>
      </w:r>
      <w:r w:rsidRPr="007A1299">
        <w:rPr>
          <w:rStyle w:val="FootnoteReference"/>
          <w:lang w:eastAsia="ru-RU"/>
        </w:rPr>
        <w:footnoteRef/>
      </w:r>
      <w:r w:rsidRPr="000C202C">
        <w:rPr>
          <w:spacing w:val="5"/>
          <w:w w:val="104"/>
          <w:kern w:val="14"/>
          <w:lang w:val="ru-RU" w:eastAsia="ru-RU"/>
        </w:rPr>
        <w:t xml:space="preserve"> </w:t>
      </w:r>
      <w:r w:rsidRPr="000C202C">
        <w:rPr>
          <w:spacing w:val="5"/>
          <w:w w:val="104"/>
          <w:kern w:val="14"/>
          <w:lang w:val="ru-RU" w:eastAsia="ru-RU"/>
        </w:rPr>
        <w:tab/>
      </w:r>
      <w:r w:rsidRPr="007A1299">
        <w:rPr>
          <w:spacing w:val="5"/>
          <w:w w:val="104"/>
          <w:kern w:val="14"/>
          <w:lang w:val="ru-RU" w:eastAsia="ru-RU"/>
        </w:rPr>
        <w:t xml:space="preserve">См. сообщение № 1022/2001, </w:t>
      </w:r>
      <w:r w:rsidRPr="007A1299">
        <w:rPr>
          <w:i/>
          <w:spacing w:val="5"/>
          <w:w w:val="104"/>
          <w:kern w:val="14"/>
          <w:lang w:val="ru-RU" w:eastAsia="ru-RU"/>
        </w:rPr>
        <w:t>Величкин против Беларуси</w:t>
      </w:r>
      <w:r w:rsidRPr="007A1299">
        <w:rPr>
          <w:spacing w:val="5"/>
          <w:w w:val="104"/>
          <w:kern w:val="14"/>
          <w:lang w:val="ru-RU" w:eastAsia="ru-RU"/>
        </w:rPr>
        <w:t>,</w:t>
      </w:r>
      <w:r>
        <w:rPr>
          <w:spacing w:val="5"/>
          <w:w w:val="104"/>
          <w:kern w:val="14"/>
          <w:lang w:val="ru-RU" w:eastAsia="ru-RU"/>
        </w:rPr>
        <w:t xml:space="preserve"> Соображения </w:t>
      </w:r>
      <w:r>
        <w:rPr>
          <w:spacing w:val="5"/>
          <w:w w:val="104"/>
          <w:kern w:val="14"/>
          <w:lang w:val="ru-RU" w:eastAsia="ru-RU"/>
        </w:rPr>
        <w:br/>
        <w:t xml:space="preserve">от </w:t>
      </w:r>
      <w:r w:rsidRPr="007A1299">
        <w:rPr>
          <w:spacing w:val="5"/>
          <w:w w:val="104"/>
          <w:kern w:val="14"/>
          <w:lang w:val="ru-RU" w:eastAsia="ru-RU"/>
        </w:rPr>
        <w:t>20</w:t>
      </w:r>
      <w:r>
        <w:rPr>
          <w:spacing w:val="5"/>
          <w:w w:val="104"/>
          <w:kern w:val="14"/>
          <w:lang w:val="ru-RU" w:eastAsia="ru-RU"/>
        </w:rPr>
        <w:t xml:space="preserve"> </w:t>
      </w:r>
      <w:r w:rsidRPr="007A1299">
        <w:rPr>
          <w:spacing w:val="5"/>
          <w:w w:val="104"/>
          <w:kern w:val="14"/>
          <w:lang w:val="ru-RU" w:eastAsia="ru-RU"/>
        </w:rPr>
        <w:t>октября</w:t>
      </w:r>
      <w:r>
        <w:rPr>
          <w:spacing w:val="5"/>
          <w:w w:val="104"/>
          <w:kern w:val="14"/>
          <w:lang w:val="ru-RU" w:eastAsia="ru-RU"/>
        </w:rPr>
        <w:t xml:space="preserve"> </w:t>
      </w:r>
      <w:r w:rsidRPr="007A1299">
        <w:rPr>
          <w:spacing w:val="5"/>
          <w:w w:val="104"/>
          <w:kern w:val="14"/>
          <w:lang w:val="ru-RU" w:eastAsia="ru-RU"/>
        </w:rPr>
        <w:t>2005</w:t>
      </w:r>
      <w:r>
        <w:rPr>
          <w:spacing w:val="5"/>
          <w:w w:val="104"/>
          <w:kern w:val="14"/>
          <w:lang w:val="ru-RU" w:eastAsia="ru-RU"/>
        </w:rPr>
        <w:t xml:space="preserve"> </w:t>
      </w:r>
      <w:r w:rsidRPr="007A1299">
        <w:rPr>
          <w:spacing w:val="5"/>
          <w:w w:val="104"/>
          <w:kern w:val="14"/>
          <w:lang w:val="ru-RU" w:eastAsia="ru-RU"/>
        </w:rPr>
        <w:t>года,</w:t>
      </w:r>
      <w:r w:rsidRPr="000C202C">
        <w:rPr>
          <w:spacing w:val="5"/>
          <w:w w:val="104"/>
          <w:kern w:val="14"/>
          <w:lang w:val="ru-RU" w:eastAsia="ru-RU"/>
        </w:rPr>
        <w:t xml:space="preserve"> пункт 7.3.</w:t>
      </w:r>
    </w:p>
  </w:footnote>
  <w:footnote w:id="7">
    <w:p w:rsidR="00C56B64" w:rsidRPr="000C202C" w:rsidRDefault="00C56B64" w:rsidP="000C202C">
      <w:pPr>
        <w:pStyle w:val="FootnoteText"/>
        <w:rPr>
          <w:spacing w:val="5"/>
          <w:w w:val="104"/>
          <w:kern w:val="14"/>
          <w:lang w:val="ru-RU" w:eastAsia="ru-RU"/>
        </w:rPr>
      </w:pPr>
      <w:r w:rsidRPr="000C202C">
        <w:rPr>
          <w:spacing w:val="5"/>
          <w:w w:val="104"/>
          <w:kern w:val="14"/>
          <w:lang w:val="ru-RU" w:eastAsia="ru-RU"/>
        </w:rPr>
        <w:tab/>
      </w:r>
      <w:r w:rsidRPr="007A1299">
        <w:rPr>
          <w:rStyle w:val="FootnoteReference"/>
          <w:lang w:eastAsia="ru-RU"/>
        </w:rPr>
        <w:footnoteRef/>
      </w:r>
      <w:r w:rsidRPr="000C202C">
        <w:rPr>
          <w:spacing w:val="5"/>
          <w:w w:val="104"/>
          <w:kern w:val="14"/>
          <w:lang w:val="ru-RU" w:eastAsia="ru-RU"/>
        </w:rPr>
        <w:t xml:space="preserve"> </w:t>
      </w:r>
      <w:r w:rsidRPr="000C202C">
        <w:rPr>
          <w:spacing w:val="5"/>
          <w:w w:val="104"/>
          <w:kern w:val="14"/>
          <w:lang w:val="ru-RU" w:eastAsia="ru-RU"/>
        </w:rPr>
        <w:tab/>
        <w:t xml:space="preserve">См. сообщение № 1815/2008, </w:t>
      </w:r>
      <w:r w:rsidRPr="007A1299">
        <w:rPr>
          <w:i/>
          <w:spacing w:val="5"/>
          <w:w w:val="104"/>
          <w:kern w:val="14"/>
          <w:lang w:val="ru-RU" w:eastAsia="ru-RU"/>
        </w:rPr>
        <w:t>Адонис против Филиппин</w:t>
      </w:r>
      <w:r>
        <w:rPr>
          <w:spacing w:val="5"/>
          <w:w w:val="104"/>
          <w:kern w:val="14"/>
          <w:lang w:val="ru-RU" w:eastAsia="ru-RU"/>
        </w:rPr>
        <w:t xml:space="preserve">, Соображения </w:t>
      </w:r>
      <w:r>
        <w:rPr>
          <w:spacing w:val="5"/>
          <w:w w:val="104"/>
          <w:kern w:val="14"/>
          <w:lang w:val="ru-RU" w:eastAsia="ru-RU"/>
        </w:rPr>
        <w:br/>
        <w:t xml:space="preserve">от </w:t>
      </w:r>
      <w:r w:rsidRPr="000C202C">
        <w:rPr>
          <w:spacing w:val="5"/>
          <w:w w:val="104"/>
          <w:kern w:val="14"/>
          <w:lang w:val="ru-RU" w:eastAsia="ru-RU"/>
        </w:rPr>
        <w:t>26 октября 2011 года, пункт 7.8.</w:t>
      </w:r>
    </w:p>
  </w:footnote>
  <w:footnote w:id="8">
    <w:p w:rsidR="00C56B64" w:rsidRPr="000C202C" w:rsidRDefault="00C56B64" w:rsidP="000C202C">
      <w:pPr>
        <w:pStyle w:val="FootnoteText"/>
        <w:rPr>
          <w:spacing w:val="5"/>
          <w:w w:val="104"/>
          <w:kern w:val="14"/>
          <w:lang w:val="ru-RU" w:eastAsia="ru-RU"/>
        </w:rPr>
      </w:pPr>
      <w:r w:rsidRPr="000C202C">
        <w:rPr>
          <w:b/>
          <w:bCs/>
          <w:spacing w:val="5"/>
          <w:w w:val="104"/>
          <w:kern w:val="14"/>
          <w:lang w:eastAsia="ru-RU"/>
        </w:rPr>
        <w:tab/>
      </w:r>
      <w:r w:rsidRPr="007A1299">
        <w:rPr>
          <w:rStyle w:val="FootnoteReference"/>
          <w:lang w:eastAsia="ru-RU"/>
        </w:rPr>
        <w:footnoteRef/>
      </w:r>
      <w:r w:rsidRPr="000C202C">
        <w:rPr>
          <w:b/>
          <w:bCs/>
          <w:spacing w:val="5"/>
          <w:w w:val="104"/>
          <w:kern w:val="14"/>
          <w:lang w:val="ru-RU" w:eastAsia="ru-RU"/>
        </w:rPr>
        <w:t xml:space="preserve"> </w:t>
      </w:r>
      <w:r w:rsidRPr="000C202C">
        <w:rPr>
          <w:b/>
          <w:bCs/>
          <w:spacing w:val="5"/>
          <w:w w:val="104"/>
          <w:kern w:val="14"/>
          <w:lang w:val="ru-RU" w:eastAsia="ru-RU"/>
        </w:rPr>
        <w:tab/>
      </w:r>
      <w:r w:rsidRPr="000C202C">
        <w:rPr>
          <w:spacing w:val="5"/>
          <w:w w:val="104"/>
          <w:kern w:val="14"/>
          <w:lang w:val="ru-RU" w:eastAsia="ru-RU"/>
        </w:rPr>
        <w:t xml:space="preserve">См. сообщение № 926/2000, </w:t>
      </w:r>
      <w:r w:rsidRPr="007A1299">
        <w:rPr>
          <w:i/>
          <w:spacing w:val="5"/>
          <w:w w:val="104"/>
          <w:kern w:val="14"/>
          <w:lang w:val="ru-RU" w:eastAsia="ru-RU"/>
        </w:rPr>
        <w:t>Шин против Корейской Республики</w:t>
      </w:r>
      <w:r>
        <w:rPr>
          <w:spacing w:val="5"/>
          <w:w w:val="104"/>
          <w:kern w:val="14"/>
          <w:lang w:val="ru-RU" w:eastAsia="ru-RU"/>
        </w:rPr>
        <w:t>, Соображения</w:t>
      </w:r>
      <w:r>
        <w:rPr>
          <w:spacing w:val="5"/>
          <w:w w:val="104"/>
          <w:kern w:val="14"/>
          <w:lang w:val="ru-RU" w:eastAsia="ru-RU"/>
        </w:rPr>
        <w:br/>
      </w:r>
      <w:r w:rsidRPr="000C202C">
        <w:rPr>
          <w:spacing w:val="5"/>
          <w:w w:val="104"/>
          <w:kern w:val="14"/>
          <w:lang w:val="ru-RU" w:eastAsia="ru-RU"/>
        </w:rPr>
        <w:t>от 16 марта 2004 года, пункт 7.3; замечание общего порядка № 34 (2011) о свободах мнений и их выражения, пункт 35.</w:t>
      </w:r>
    </w:p>
  </w:footnote>
  <w:footnote w:id="9">
    <w:p w:rsidR="00C56B64" w:rsidRPr="000C202C" w:rsidRDefault="00C56B64" w:rsidP="000C202C">
      <w:pPr>
        <w:pStyle w:val="FootnoteText"/>
        <w:rPr>
          <w:spacing w:val="5"/>
          <w:w w:val="104"/>
          <w:kern w:val="14"/>
          <w:lang w:val="ru-RU" w:eastAsia="ru-RU"/>
        </w:rPr>
      </w:pPr>
      <w:r w:rsidRPr="000C202C">
        <w:rPr>
          <w:spacing w:val="5"/>
          <w:w w:val="104"/>
          <w:kern w:val="14"/>
          <w:lang w:val="ru-RU" w:eastAsia="ru-RU"/>
        </w:rPr>
        <w:tab/>
      </w:r>
      <w:r w:rsidRPr="007A1299">
        <w:rPr>
          <w:rStyle w:val="FootnoteReference"/>
          <w:lang w:eastAsia="ru-RU"/>
        </w:rPr>
        <w:footnoteRef/>
      </w:r>
      <w:r w:rsidRPr="000C202C">
        <w:rPr>
          <w:spacing w:val="5"/>
          <w:w w:val="104"/>
          <w:kern w:val="14"/>
          <w:lang w:val="ru-RU" w:eastAsia="ru-RU"/>
        </w:rPr>
        <w:t xml:space="preserve"> </w:t>
      </w:r>
      <w:r w:rsidRPr="000C202C">
        <w:rPr>
          <w:spacing w:val="5"/>
          <w:w w:val="104"/>
          <w:kern w:val="14"/>
          <w:lang w:val="ru-RU" w:eastAsia="ru-RU"/>
        </w:rPr>
        <w:tab/>
        <w:t>См. замечание общего порядка № 34 (см. сноску 6 выше), пункт 47.</w:t>
      </w:r>
    </w:p>
  </w:footnote>
  <w:footnote w:id="10">
    <w:p w:rsidR="00C56B64" w:rsidRPr="000C202C" w:rsidRDefault="00C56B64" w:rsidP="000915A6">
      <w:pPr>
        <w:pStyle w:val="FootnoteText"/>
        <w:rPr>
          <w:spacing w:val="5"/>
          <w:w w:val="104"/>
          <w:kern w:val="14"/>
          <w:lang w:val="ru-RU" w:eastAsia="ru-RU"/>
        </w:rPr>
      </w:pPr>
      <w:r w:rsidRPr="005E0B76">
        <w:rPr>
          <w:lang w:val="ru-RU"/>
        </w:rPr>
        <w:tab/>
      </w:r>
      <w:r w:rsidRPr="006F0697">
        <w:rPr>
          <w:rStyle w:val="FootnoteReference"/>
          <w:lang w:val="en-US"/>
        </w:rPr>
        <w:footnoteRef/>
      </w:r>
      <w:r w:rsidRPr="00FE6E78">
        <w:rPr>
          <w:lang w:val="ru-RU"/>
        </w:rPr>
        <w:t xml:space="preserve"> </w:t>
      </w:r>
      <w:r w:rsidRPr="00FE6E78">
        <w:rPr>
          <w:lang w:val="ru-RU"/>
        </w:rPr>
        <w:tab/>
      </w:r>
      <w:r w:rsidRPr="000C202C">
        <w:rPr>
          <w:spacing w:val="5"/>
          <w:w w:val="104"/>
          <w:kern w:val="14"/>
          <w:lang w:val="ru-RU" w:eastAsia="ru-RU"/>
        </w:rPr>
        <w:t>Там же, пункт 34.</w:t>
      </w:r>
    </w:p>
  </w:footnote>
  <w:footnote w:id="11">
    <w:p w:rsidR="00C56B64" w:rsidRPr="007A1299" w:rsidRDefault="00C56B64" w:rsidP="006E603A">
      <w:pPr>
        <w:pStyle w:val="FootnoteText"/>
        <w:rPr>
          <w:spacing w:val="5"/>
          <w:w w:val="104"/>
          <w:kern w:val="14"/>
          <w:lang w:val="ru-RU" w:eastAsia="ru-RU"/>
        </w:rPr>
      </w:pPr>
      <w:r w:rsidRPr="00FE6E78">
        <w:rPr>
          <w:lang w:val="ru-RU"/>
        </w:rPr>
        <w:tab/>
      </w:r>
      <w:r w:rsidRPr="006F0697">
        <w:rPr>
          <w:rStyle w:val="FootnoteReference"/>
          <w:lang w:val="en-US"/>
        </w:rPr>
        <w:footnoteRef/>
      </w:r>
      <w:r w:rsidRPr="00FE6E78">
        <w:rPr>
          <w:lang w:val="ru-RU"/>
        </w:rPr>
        <w:t xml:space="preserve"> </w:t>
      </w:r>
      <w:r w:rsidRPr="00FE6E78">
        <w:rPr>
          <w:lang w:val="ru-RU"/>
        </w:rPr>
        <w:tab/>
      </w:r>
      <w:r w:rsidRPr="007A1299">
        <w:rPr>
          <w:spacing w:val="5"/>
          <w:w w:val="104"/>
          <w:kern w:val="14"/>
          <w:lang w:val="ru-RU" w:eastAsia="ru-RU"/>
        </w:rPr>
        <w:t>Там же, пункт 47.</w:t>
      </w:r>
    </w:p>
  </w:footnote>
  <w:footnote w:id="12">
    <w:p w:rsidR="00C56B64" w:rsidRPr="007A1299" w:rsidRDefault="00C56B64" w:rsidP="006E603A">
      <w:pPr>
        <w:pStyle w:val="FootnoteText"/>
        <w:rPr>
          <w:spacing w:val="5"/>
          <w:w w:val="104"/>
          <w:kern w:val="14"/>
          <w:lang w:val="ru-RU" w:eastAsia="ru-RU"/>
        </w:rPr>
      </w:pPr>
      <w:r w:rsidRPr="0048297F">
        <w:rPr>
          <w:lang w:val="ru-RU"/>
        </w:rPr>
        <w:tab/>
      </w:r>
      <w:r w:rsidRPr="007A1299">
        <w:rPr>
          <w:rStyle w:val="FootnoteReference"/>
          <w:spacing w:val="5"/>
          <w:w w:val="104"/>
          <w:kern w:val="14"/>
          <w:lang w:eastAsia="ru-RU"/>
        </w:rPr>
        <w:footnoteRef/>
      </w:r>
      <w:r w:rsidRPr="0048297F">
        <w:rPr>
          <w:lang w:val="ru-RU"/>
        </w:rPr>
        <w:t xml:space="preserve"> </w:t>
      </w:r>
      <w:r w:rsidRPr="0048297F">
        <w:rPr>
          <w:lang w:val="ru-RU"/>
        </w:rPr>
        <w:tab/>
      </w:r>
      <w:r w:rsidRPr="007A1299">
        <w:rPr>
          <w:spacing w:val="5"/>
          <w:w w:val="104"/>
          <w:kern w:val="14"/>
          <w:lang w:val="ru-RU" w:eastAsia="ru-RU"/>
        </w:rPr>
        <w:t>Там же, пункт 34.</w:t>
      </w:r>
    </w:p>
  </w:footnote>
  <w:footnote w:id="13">
    <w:p w:rsidR="00C56B64" w:rsidRPr="00EB60C3" w:rsidRDefault="00C56B64">
      <w:pPr>
        <w:pStyle w:val="FootnoteText"/>
        <w:rPr>
          <w:spacing w:val="5"/>
          <w:w w:val="104"/>
          <w:kern w:val="14"/>
          <w:lang w:val="ru-RU" w:eastAsia="ru-RU"/>
        </w:rPr>
      </w:pPr>
      <w:r>
        <w:tab/>
      </w:r>
      <w:r>
        <w:rPr>
          <w:rStyle w:val="FootnoteReference"/>
        </w:rPr>
        <w:footnoteRef/>
      </w:r>
      <w:r>
        <w:tab/>
      </w:r>
      <w:r w:rsidRPr="00EB60C3">
        <w:rPr>
          <w:spacing w:val="5"/>
          <w:w w:val="104"/>
          <w:kern w:val="14"/>
          <w:lang w:val="ru-RU" w:eastAsia="ru-RU"/>
        </w:rPr>
        <w:t>Там же, пункт 47.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64" w:rsidRPr="006E603A" w:rsidRDefault="00C56B64" w:rsidP="006E603A">
    <w:pPr>
      <w:pStyle w:val="Header"/>
    </w:pPr>
    <w:r>
      <w:t>CCPR/C/111/D/1986/2010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64" w:rsidRPr="006E603A" w:rsidRDefault="00C56B64" w:rsidP="006E603A">
    <w:pPr>
      <w:pStyle w:val="Header"/>
      <w:jc w:val="right"/>
    </w:pPr>
    <w:r>
      <w:t>CCPR/C/111/D/1986/2010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B37168"/>
    <w:multiLevelType w:val="hybridMultilevel"/>
    <w:tmpl w:val="62E68012"/>
    <w:lvl w:ilvl="0" w:tplc="8A3224DC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001"/>
  <w:doNotTrackMoves/>
  <w:defaultTabStop w:val="567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2C1"/>
    <w:rsid w:val="00002C52"/>
    <w:rsid w:val="00003199"/>
    <w:rsid w:val="00022606"/>
    <w:rsid w:val="00024935"/>
    <w:rsid w:val="000272B3"/>
    <w:rsid w:val="00034D70"/>
    <w:rsid w:val="00037143"/>
    <w:rsid w:val="0004762F"/>
    <w:rsid w:val="00050F6B"/>
    <w:rsid w:val="00053B83"/>
    <w:rsid w:val="00054CD9"/>
    <w:rsid w:val="00057E97"/>
    <w:rsid w:val="00060C3A"/>
    <w:rsid w:val="00071FFC"/>
    <w:rsid w:val="00072C8C"/>
    <w:rsid w:val="000733B5"/>
    <w:rsid w:val="0007780A"/>
    <w:rsid w:val="00077A8C"/>
    <w:rsid w:val="00081815"/>
    <w:rsid w:val="000915A6"/>
    <w:rsid w:val="0009231E"/>
    <w:rsid w:val="0009237E"/>
    <w:rsid w:val="000931C0"/>
    <w:rsid w:val="000A2479"/>
    <w:rsid w:val="000B175B"/>
    <w:rsid w:val="000B3A0F"/>
    <w:rsid w:val="000B4EF7"/>
    <w:rsid w:val="000C202C"/>
    <w:rsid w:val="000C2C03"/>
    <w:rsid w:val="000C2D2E"/>
    <w:rsid w:val="000D215E"/>
    <w:rsid w:val="000D5269"/>
    <w:rsid w:val="000D6F0A"/>
    <w:rsid w:val="000E0415"/>
    <w:rsid w:val="00101D5F"/>
    <w:rsid w:val="00107D41"/>
    <w:rsid w:val="001103AA"/>
    <w:rsid w:val="0011166A"/>
    <w:rsid w:val="001136DA"/>
    <w:rsid w:val="00120492"/>
    <w:rsid w:val="001212D5"/>
    <w:rsid w:val="00122661"/>
    <w:rsid w:val="0013256E"/>
    <w:rsid w:val="0014289A"/>
    <w:rsid w:val="00147BC3"/>
    <w:rsid w:val="0015538C"/>
    <w:rsid w:val="00165F3A"/>
    <w:rsid w:val="00166B89"/>
    <w:rsid w:val="00171B81"/>
    <w:rsid w:val="00183968"/>
    <w:rsid w:val="00187D63"/>
    <w:rsid w:val="001A08F4"/>
    <w:rsid w:val="001A6686"/>
    <w:rsid w:val="001B113C"/>
    <w:rsid w:val="001B1BEF"/>
    <w:rsid w:val="001B2279"/>
    <w:rsid w:val="001B48C2"/>
    <w:rsid w:val="001B4B04"/>
    <w:rsid w:val="001C5B4C"/>
    <w:rsid w:val="001C6663"/>
    <w:rsid w:val="001C7895"/>
    <w:rsid w:val="001C7C08"/>
    <w:rsid w:val="001D0C8C"/>
    <w:rsid w:val="001D26DF"/>
    <w:rsid w:val="001D2F15"/>
    <w:rsid w:val="001D3A03"/>
    <w:rsid w:val="001D619D"/>
    <w:rsid w:val="001E3262"/>
    <w:rsid w:val="001E3343"/>
    <w:rsid w:val="00202DA8"/>
    <w:rsid w:val="0021047D"/>
    <w:rsid w:val="0021140C"/>
    <w:rsid w:val="00211E0B"/>
    <w:rsid w:val="00214812"/>
    <w:rsid w:val="00217384"/>
    <w:rsid w:val="0023210C"/>
    <w:rsid w:val="00245EE7"/>
    <w:rsid w:val="00254DFD"/>
    <w:rsid w:val="00257B84"/>
    <w:rsid w:val="00267F5F"/>
    <w:rsid w:val="00276197"/>
    <w:rsid w:val="00286B4D"/>
    <w:rsid w:val="0029454E"/>
    <w:rsid w:val="00294B7A"/>
    <w:rsid w:val="002A49DD"/>
    <w:rsid w:val="002B5636"/>
    <w:rsid w:val="002B761A"/>
    <w:rsid w:val="002C712C"/>
    <w:rsid w:val="002D1297"/>
    <w:rsid w:val="002D16F5"/>
    <w:rsid w:val="002D3E50"/>
    <w:rsid w:val="002F175C"/>
    <w:rsid w:val="002F7D4C"/>
    <w:rsid w:val="0030106D"/>
    <w:rsid w:val="0030247E"/>
    <w:rsid w:val="00310C29"/>
    <w:rsid w:val="003229D8"/>
    <w:rsid w:val="00324F05"/>
    <w:rsid w:val="00341C89"/>
    <w:rsid w:val="00344715"/>
    <w:rsid w:val="00352709"/>
    <w:rsid w:val="00362A95"/>
    <w:rsid w:val="00365A48"/>
    <w:rsid w:val="00367567"/>
    <w:rsid w:val="00371178"/>
    <w:rsid w:val="0038336C"/>
    <w:rsid w:val="003954F3"/>
    <w:rsid w:val="003A6810"/>
    <w:rsid w:val="003B5A65"/>
    <w:rsid w:val="003C0D32"/>
    <w:rsid w:val="003C2CC4"/>
    <w:rsid w:val="003D0C56"/>
    <w:rsid w:val="003D4B23"/>
    <w:rsid w:val="003D56DC"/>
    <w:rsid w:val="003E325F"/>
    <w:rsid w:val="003E4445"/>
    <w:rsid w:val="003E6616"/>
    <w:rsid w:val="003F53A7"/>
    <w:rsid w:val="004059C0"/>
    <w:rsid w:val="0040624E"/>
    <w:rsid w:val="00410C89"/>
    <w:rsid w:val="00413C7B"/>
    <w:rsid w:val="004206DB"/>
    <w:rsid w:val="00426B9B"/>
    <w:rsid w:val="004311E3"/>
    <w:rsid w:val="004325CB"/>
    <w:rsid w:val="00436B33"/>
    <w:rsid w:val="00441C2A"/>
    <w:rsid w:val="00442A83"/>
    <w:rsid w:val="0045495B"/>
    <w:rsid w:val="00456FDF"/>
    <w:rsid w:val="00470472"/>
    <w:rsid w:val="00472B24"/>
    <w:rsid w:val="00481EF1"/>
    <w:rsid w:val="0048297F"/>
    <w:rsid w:val="00482BC3"/>
    <w:rsid w:val="00487488"/>
    <w:rsid w:val="00491930"/>
    <w:rsid w:val="004A21B5"/>
    <w:rsid w:val="004C7C80"/>
    <w:rsid w:val="004D1A41"/>
    <w:rsid w:val="004D7D27"/>
    <w:rsid w:val="004F180E"/>
    <w:rsid w:val="00513AF3"/>
    <w:rsid w:val="005207E4"/>
    <w:rsid w:val="00520D0C"/>
    <w:rsid w:val="0052136D"/>
    <w:rsid w:val="0052775E"/>
    <w:rsid w:val="00531881"/>
    <w:rsid w:val="005420F2"/>
    <w:rsid w:val="00544010"/>
    <w:rsid w:val="00552809"/>
    <w:rsid w:val="00557DCC"/>
    <w:rsid w:val="005628B6"/>
    <w:rsid w:val="00564918"/>
    <w:rsid w:val="00565BC0"/>
    <w:rsid w:val="0057201F"/>
    <w:rsid w:val="005848B3"/>
    <w:rsid w:val="00585F3D"/>
    <w:rsid w:val="00590A03"/>
    <w:rsid w:val="00590F87"/>
    <w:rsid w:val="00592C4A"/>
    <w:rsid w:val="00592EC1"/>
    <w:rsid w:val="005934EC"/>
    <w:rsid w:val="005A2B90"/>
    <w:rsid w:val="005A4D3B"/>
    <w:rsid w:val="005B3DB3"/>
    <w:rsid w:val="005B605D"/>
    <w:rsid w:val="005C6CB1"/>
    <w:rsid w:val="005D4B36"/>
    <w:rsid w:val="005E07CF"/>
    <w:rsid w:val="005E0B76"/>
    <w:rsid w:val="005E60F6"/>
    <w:rsid w:val="005F319F"/>
    <w:rsid w:val="005F594F"/>
    <w:rsid w:val="005F7717"/>
    <w:rsid w:val="005F7B75"/>
    <w:rsid w:val="006001EE"/>
    <w:rsid w:val="006015A7"/>
    <w:rsid w:val="00605042"/>
    <w:rsid w:val="006054D9"/>
    <w:rsid w:val="00605BC9"/>
    <w:rsid w:val="00611FC4"/>
    <w:rsid w:val="006176FB"/>
    <w:rsid w:val="006201F4"/>
    <w:rsid w:val="00623094"/>
    <w:rsid w:val="006251DD"/>
    <w:rsid w:val="00627D5C"/>
    <w:rsid w:val="0063323D"/>
    <w:rsid w:val="00640B26"/>
    <w:rsid w:val="00641667"/>
    <w:rsid w:val="00652D0A"/>
    <w:rsid w:val="00657A6D"/>
    <w:rsid w:val="00662BB6"/>
    <w:rsid w:val="006655A6"/>
    <w:rsid w:val="00670CA3"/>
    <w:rsid w:val="0067253A"/>
    <w:rsid w:val="006804C6"/>
    <w:rsid w:val="006831C9"/>
    <w:rsid w:val="00684C21"/>
    <w:rsid w:val="006A598E"/>
    <w:rsid w:val="006C039D"/>
    <w:rsid w:val="006C649E"/>
    <w:rsid w:val="006C676A"/>
    <w:rsid w:val="006D37AF"/>
    <w:rsid w:val="006D51D0"/>
    <w:rsid w:val="006E4E94"/>
    <w:rsid w:val="006E564B"/>
    <w:rsid w:val="006E603A"/>
    <w:rsid w:val="006E6F82"/>
    <w:rsid w:val="006E7191"/>
    <w:rsid w:val="006F0697"/>
    <w:rsid w:val="006F57F5"/>
    <w:rsid w:val="00703577"/>
    <w:rsid w:val="00703A88"/>
    <w:rsid w:val="00707F62"/>
    <w:rsid w:val="0072632A"/>
    <w:rsid w:val="007265C3"/>
    <w:rsid w:val="007327D5"/>
    <w:rsid w:val="00745AF5"/>
    <w:rsid w:val="007521F0"/>
    <w:rsid w:val="00752C1B"/>
    <w:rsid w:val="0075365F"/>
    <w:rsid w:val="00754EC9"/>
    <w:rsid w:val="007602D2"/>
    <w:rsid w:val="007629C8"/>
    <w:rsid w:val="00770F76"/>
    <w:rsid w:val="00785863"/>
    <w:rsid w:val="00786D3A"/>
    <w:rsid w:val="00787B3B"/>
    <w:rsid w:val="00794773"/>
    <w:rsid w:val="00794B23"/>
    <w:rsid w:val="007A1299"/>
    <w:rsid w:val="007A7161"/>
    <w:rsid w:val="007A7DE7"/>
    <w:rsid w:val="007B6BA5"/>
    <w:rsid w:val="007B7592"/>
    <w:rsid w:val="007C3390"/>
    <w:rsid w:val="007C4F4B"/>
    <w:rsid w:val="007C784F"/>
    <w:rsid w:val="007D76A6"/>
    <w:rsid w:val="007E0B2D"/>
    <w:rsid w:val="007F05F3"/>
    <w:rsid w:val="007F6611"/>
    <w:rsid w:val="008105B8"/>
    <w:rsid w:val="00822AE5"/>
    <w:rsid w:val="008242D7"/>
    <w:rsid w:val="00824DB0"/>
    <w:rsid w:val="008257B1"/>
    <w:rsid w:val="00842C2E"/>
    <w:rsid w:val="00843767"/>
    <w:rsid w:val="008439A4"/>
    <w:rsid w:val="008624E7"/>
    <w:rsid w:val="008679D9"/>
    <w:rsid w:val="0087095B"/>
    <w:rsid w:val="008979B1"/>
    <w:rsid w:val="008A1DB2"/>
    <w:rsid w:val="008A6B25"/>
    <w:rsid w:val="008A6C4F"/>
    <w:rsid w:val="008B1D4A"/>
    <w:rsid w:val="008B2335"/>
    <w:rsid w:val="008B47D0"/>
    <w:rsid w:val="008C6F62"/>
    <w:rsid w:val="008C7A98"/>
    <w:rsid w:val="008D5524"/>
    <w:rsid w:val="008E0678"/>
    <w:rsid w:val="00905F83"/>
    <w:rsid w:val="00910BB2"/>
    <w:rsid w:val="00910F40"/>
    <w:rsid w:val="00912808"/>
    <w:rsid w:val="00912C08"/>
    <w:rsid w:val="00912F52"/>
    <w:rsid w:val="00915BD1"/>
    <w:rsid w:val="00917DBC"/>
    <w:rsid w:val="009223CA"/>
    <w:rsid w:val="009328D0"/>
    <w:rsid w:val="00940F93"/>
    <w:rsid w:val="00941237"/>
    <w:rsid w:val="00941369"/>
    <w:rsid w:val="00946075"/>
    <w:rsid w:val="0095347F"/>
    <w:rsid w:val="009570A9"/>
    <w:rsid w:val="00960C6F"/>
    <w:rsid w:val="009628BE"/>
    <w:rsid w:val="00965CF6"/>
    <w:rsid w:val="0096637D"/>
    <w:rsid w:val="00975BD8"/>
    <w:rsid w:val="009760F3"/>
    <w:rsid w:val="00977176"/>
    <w:rsid w:val="009909F5"/>
    <w:rsid w:val="009967F6"/>
    <w:rsid w:val="009A0E8D"/>
    <w:rsid w:val="009A10AC"/>
    <w:rsid w:val="009B21D4"/>
    <w:rsid w:val="009B26E7"/>
    <w:rsid w:val="009B5E39"/>
    <w:rsid w:val="009B7073"/>
    <w:rsid w:val="009C2287"/>
    <w:rsid w:val="009C50AD"/>
    <w:rsid w:val="009C64A4"/>
    <w:rsid w:val="009D6D44"/>
    <w:rsid w:val="00A00A3F"/>
    <w:rsid w:val="00A01489"/>
    <w:rsid w:val="00A0652D"/>
    <w:rsid w:val="00A310B9"/>
    <w:rsid w:val="00A3169E"/>
    <w:rsid w:val="00A338F1"/>
    <w:rsid w:val="00A33911"/>
    <w:rsid w:val="00A34E56"/>
    <w:rsid w:val="00A357DA"/>
    <w:rsid w:val="00A41D44"/>
    <w:rsid w:val="00A44615"/>
    <w:rsid w:val="00A44A75"/>
    <w:rsid w:val="00A541C7"/>
    <w:rsid w:val="00A60BB6"/>
    <w:rsid w:val="00A7186C"/>
    <w:rsid w:val="00A72F22"/>
    <w:rsid w:val="00A7360F"/>
    <w:rsid w:val="00A748A6"/>
    <w:rsid w:val="00A769F4"/>
    <w:rsid w:val="00A776B4"/>
    <w:rsid w:val="00A83665"/>
    <w:rsid w:val="00A86E08"/>
    <w:rsid w:val="00A94361"/>
    <w:rsid w:val="00AA293C"/>
    <w:rsid w:val="00AC12AA"/>
    <w:rsid w:val="00B00287"/>
    <w:rsid w:val="00B1310E"/>
    <w:rsid w:val="00B13E9B"/>
    <w:rsid w:val="00B20686"/>
    <w:rsid w:val="00B21B69"/>
    <w:rsid w:val="00B25205"/>
    <w:rsid w:val="00B30179"/>
    <w:rsid w:val="00B339A7"/>
    <w:rsid w:val="00B4155F"/>
    <w:rsid w:val="00B43319"/>
    <w:rsid w:val="00B51922"/>
    <w:rsid w:val="00B56E4A"/>
    <w:rsid w:val="00B56E9C"/>
    <w:rsid w:val="00B56F5C"/>
    <w:rsid w:val="00B61274"/>
    <w:rsid w:val="00B64B1F"/>
    <w:rsid w:val="00B6553F"/>
    <w:rsid w:val="00B66E5E"/>
    <w:rsid w:val="00B70413"/>
    <w:rsid w:val="00B74FB3"/>
    <w:rsid w:val="00B77D05"/>
    <w:rsid w:val="00B81206"/>
    <w:rsid w:val="00B81E12"/>
    <w:rsid w:val="00B8676E"/>
    <w:rsid w:val="00B9067B"/>
    <w:rsid w:val="00B912F2"/>
    <w:rsid w:val="00BA4E74"/>
    <w:rsid w:val="00BA5ACE"/>
    <w:rsid w:val="00BB22B8"/>
    <w:rsid w:val="00BB3845"/>
    <w:rsid w:val="00BC2C23"/>
    <w:rsid w:val="00BC74E9"/>
    <w:rsid w:val="00BC7AEA"/>
    <w:rsid w:val="00BD5F01"/>
    <w:rsid w:val="00BE1981"/>
    <w:rsid w:val="00BF2465"/>
    <w:rsid w:val="00BF5E1F"/>
    <w:rsid w:val="00BF68A8"/>
    <w:rsid w:val="00C11A03"/>
    <w:rsid w:val="00C15C43"/>
    <w:rsid w:val="00C3622A"/>
    <w:rsid w:val="00C45C5A"/>
    <w:rsid w:val="00C463DD"/>
    <w:rsid w:val="00C4724C"/>
    <w:rsid w:val="00C51A26"/>
    <w:rsid w:val="00C56B64"/>
    <w:rsid w:val="00C61AE8"/>
    <w:rsid w:val="00C629A0"/>
    <w:rsid w:val="00C662B6"/>
    <w:rsid w:val="00C721EB"/>
    <w:rsid w:val="00C745C3"/>
    <w:rsid w:val="00C7621E"/>
    <w:rsid w:val="00CA1E20"/>
    <w:rsid w:val="00CA64AC"/>
    <w:rsid w:val="00CD5162"/>
    <w:rsid w:val="00CD6EF9"/>
    <w:rsid w:val="00CD7733"/>
    <w:rsid w:val="00CE4A8F"/>
    <w:rsid w:val="00CE54CD"/>
    <w:rsid w:val="00D11882"/>
    <w:rsid w:val="00D14BCC"/>
    <w:rsid w:val="00D2031B"/>
    <w:rsid w:val="00D21FF5"/>
    <w:rsid w:val="00D2433C"/>
    <w:rsid w:val="00D25FE2"/>
    <w:rsid w:val="00D27BF6"/>
    <w:rsid w:val="00D356EC"/>
    <w:rsid w:val="00D40DC6"/>
    <w:rsid w:val="00D43252"/>
    <w:rsid w:val="00D47EEA"/>
    <w:rsid w:val="00D65130"/>
    <w:rsid w:val="00D6619F"/>
    <w:rsid w:val="00D663DB"/>
    <w:rsid w:val="00D71498"/>
    <w:rsid w:val="00D91257"/>
    <w:rsid w:val="00D93166"/>
    <w:rsid w:val="00D95303"/>
    <w:rsid w:val="00D978C6"/>
    <w:rsid w:val="00DA3111"/>
    <w:rsid w:val="00DA3C1C"/>
    <w:rsid w:val="00DB0C79"/>
    <w:rsid w:val="00DB583D"/>
    <w:rsid w:val="00DB6DC4"/>
    <w:rsid w:val="00DC4F40"/>
    <w:rsid w:val="00DE0C6E"/>
    <w:rsid w:val="00DE542D"/>
    <w:rsid w:val="00DF1784"/>
    <w:rsid w:val="00E03C7E"/>
    <w:rsid w:val="00E04B5F"/>
    <w:rsid w:val="00E07B88"/>
    <w:rsid w:val="00E10E5E"/>
    <w:rsid w:val="00E27346"/>
    <w:rsid w:val="00E46C68"/>
    <w:rsid w:val="00E51727"/>
    <w:rsid w:val="00E70EB8"/>
    <w:rsid w:val="00E71BC8"/>
    <w:rsid w:val="00E7260F"/>
    <w:rsid w:val="00E76230"/>
    <w:rsid w:val="00E779FC"/>
    <w:rsid w:val="00E81B7C"/>
    <w:rsid w:val="00E90908"/>
    <w:rsid w:val="00E96630"/>
    <w:rsid w:val="00EA5FF3"/>
    <w:rsid w:val="00EA66DB"/>
    <w:rsid w:val="00EB2581"/>
    <w:rsid w:val="00EB509E"/>
    <w:rsid w:val="00EB60C3"/>
    <w:rsid w:val="00EB7103"/>
    <w:rsid w:val="00EC24E5"/>
    <w:rsid w:val="00ED7A2A"/>
    <w:rsid w:val="00EE302D"/>
    <w:rsid w:val="00EE3AC4"/>
    <w:rsid w:val="00EF1D7F"/>
    <w:rsid w:val="00F0180E"/>
    <w:rsid w:val="00F12C69"/>
    <w:rsid w:val="00F140A3"/>
    <w:rsid w:val="00F20C3D"/>
    <w:rsid w:val="00F2585E"/>
    <w:rsid w:val="00F40DC1"/>
    <w:rsid w:val="00F41E6D"/>
    <w:rsid w:val="00F438F3"/>
    <w:rsid w:val="00F43E9E"/>
    <w:rsid w:val="00F52C75"/>
    <w:rsid w:val="00F6324C"/>
    <w:rsid w:val="00F778E3"/>
    <w:rsid w:val="00F848E4"/>
    <w:rsid w:val="00F84BF5"/>
    <w:rsid w:val="00F9057C"/>
    <w:rsid w:val="00F906D7"/>
    <w:rsid w:val="00F93781"/>
    <w:rsid w:val="00FA62C1"/>
    <w:rsid w:val="00FB1A15"/>
    <w:rsid w:val="00FB613B"/>
    <w:rsid w:val="00FC1D29"/>
    <w:rsid w:val="00FC29DA"/>
    <w:rsid w:val="00FC68B7"/>
    <w:rsid w:val="00FE106A"/>
    <w:rsid w:val="00FE6E78"/>
    <w:rsid w:val="00FF5163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,Footnote Text Char Char Char Char Char,Footnote Text Char Char Char Char,Footnote reference,FA Fu,Footnote Text Char Char Char,Footnote Reference1,5_GR"/>
    <w:basedOn w:val="Normal"/>
    <w:link w:val="FootnoteTextChar"/>
    <w:rsid w:val="000272B3"/>
    <w:pPr>
      <w:tabs>
        <w:tab w:val="right" w:pos="1021"/>
      </w:tabs>
      <w:spacing w:line="220" w:lineRule="exact"/>
      <w:ind w:left="1134" w:right="1134" w:hanging="1134"/>
    </w:pPr>
    <w:rPr>
      <w:sz w:val="18"/>
      <w:lang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number,ftref,4_GR"/>
    <w:rsid w:val="000272B3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,3_GR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Strong">
    <w:name w:val="Strong"/>
    <w:qFormat/>
    <w:rsid w:val="00D21FF5"/>
    <w:rPr>
      <w:b/>
      <w:bCs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Footnote Reference1 Char,5_GR Char"/>
    <w:link w:val="FootnoteText"/>
    <w:locked/>
    <w:rsid w:val="00171B81"/>
    <w:rPr>
      <w:sz w:val="18"/>
      <w:lang w:eastAsia="en-US"/>
    </w:rPr>
  </w:style>
  <w:style w:type="paragraph" w:styleId="BalloonText">
    <w:name w:val="Balloon Text"/>
    <w:basedOn w:val="Normal"/>
    <w:link w:val="BalloonTextChar"/>
    <w:rsid w:val="009C64A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64A4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1B2279"/>
    <w:rPr>
      <w:lang w:eastAsia="en-US"/>
    </w:rPr>
  </w:style>
  <w:style w:type="character" w:styleId="CommentReference">
    <w:name w:val="annotation reference"/>
    <w:semiHidden/>
    <w:rsid w:val="00F848E4"/>
    <w:rPr>
      <w:sz w:val="16"/>
      <w:szCs w:val="16"/>
    </w:rPr>
  </w:style>
  <w:style w:type="paragraph" w:styleId="CommentText">
    <w:name w:val="annotation text"/>
    <w:basedOn w:val="Normal"/>
    <w:semiHidden/>
    <w:rsid w:val="00F848E4"/>
  </w:style>
  <w:style w:type="paragraph" w:styleId="CommentSubject">
    <w:name w:val="annotation subject"/>
    <w:basedOn w:val="CommentText"/>
    <w:next w:val="CommentText"/>
    <w:semiHidden/>
    <w:rsid w:val="00F848E4"/>
    <w:rPr>
      <w:b/>
      <w:bCs/>
    </w:rPr>
  </w:style>
  <w:style w:type="paragraph" w:customStyle="1" w:styleId="HChGR">
    <w:name w:val="_ H _Ch_GR"/>
    <w:basedOn w:val="Normal"/>
    <w:next w:val="Normal"/>
    <w:rsid w:val="005A4D3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H1GR">
    <w:name w:val="_ H_1_GR"/>
    <w:basedOn w:val="Normal"/>
    <w:next w:val="Normal"/>
    <w:rsid w:val="005A4D3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SingleTxtGR">
    <w:name w:val="_ Single Txt_GR"/>
    <w:basedOn w:val="Normal"/>
    <w:rsid w:val="001D2F15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H4GR">
    <w:name w:val="_ H_4_GR"/>
    <w:basedOn w:val="Normal"/>
    <w:next w:val="Normal"/>
    <w:rsid w:val="005E60F6"/>
    <w:pPr>
      <w:keepNext/>
      <w:keepLines/>
      <w:tabs>
        <w:tab w:val="right" w:pos="851"/>
      </w:tabs>
      <w:spacing w:before="40" w:after="120" w:line="240" w:lineRule="auto"/>
      <w:outlineLvl w:val="3"/>
    </w:pPr>
    <w:rPr>
      <w:i/>
      <w:spacing w:val="3"/>
      <w:w w:val="103"/>
      <w:kern w:val="14"/>
      <w:lang w:val="ru-RU" w:eastAsia="ru-RU"/>
    </w:rPr>
  </w:style>
  <w:style w:type="paragraph" w:customStyle="1" w:styleId="Bullet1GR">
    <w:name w:val="_Bullet 1_GR"/>
    <w:basedOn w:val="Normal"/>
    <w:rsid w:val="009628BE"/>
    <w:pPr>
      <w:numPr>
        <w:numId w:val="4"/>
      </w:numPr>
      <w:suppressAutoHyphens w:val="0"/>
      <w:spacing w:after="120"/>
      <w:ind w:right="1134"/>
      <w:jc w:val="both"/>
    </w:pPr>
    <w:rPr>
      <w:spacing w:val="4"/>
      <w:w w:val="103"/>
      <w:kern w:val="14"/>
      <w:lang w:val="ru-RU" w:eastAsia="ru-RU"/>
    </w:rPr>
  </w:style>
  <w:style w:type="paragraph" w:customStyle="1" w:styleId="H23GR">
    <w:name w:val="_ H_2/3_GR"/>
    <w:basedOn w:val="Normal"/>
    <w:next w:val="Normal"/>
    <w:rsid w:val="004311E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CPR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CCPR_E.dotm</Template>
  <TotalTime>0</TotalTime>
  <Pages>9</Pages>
  <Words>3175</Words>
  <Characters>18099</Characters>
  <Application>Microsoft Office Outlook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1414860</vt:lpstr>
    </vt:vector>
  </TitlesOfParts>
  <Manager>Contr.</Manager>
  <Company>CSD</Company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1414860</dc:title>
  <dc:subject>CCPR/C/111/D/1986/2010</dc:subject>
  <dc:creator>Степанова</dc:creator>
  <cp:keywords/>
  <cp:lastModifiedBy>Степанова Нина</cp:lastModifiedBy>
  <cp:revision>2</cp:revision>
  <cp:lastPrinted>2014-08-27T14:41:00Z</cp:lastPrinted>
  <dcterms:created xsi:type="dcterms:W3CDTF">2014-10-08T10:29:00Z</dcterms:created>
  <dcterms:modified xsi:type="dcterms:W3CDTF">2014-10-08T10:29:00Z</dcterms:modified>
</cp:coreProperties>
</file>