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ED7442" w:rsidRDefault="006B3E27" w:rsidP="00E70E04">
            <w:pPr>
              <w:jc w:val="center"/>
              <w:rPr>
                <w:rFonts w:hint="cs"/>
                <w:sz w:val="56"/>
                <w:szCs w:val="56"/>
              </w:rPr>
            </w:pPr>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402FC9" w:rsidP="00402FC9">
            <w:pPr>
              <w:bidi w:val="0"/>
              <w:spacing w:after="20"/>
              <w:jc w:val="left"/>
              <w:rPr>
                <w:szCs w:val="20"/>
              </w:rPr>
            </w:pPr>
            <w:r w:rsidRPr="00402FC9">
              <w:rPr>
                <w:sz w:val="40"/>
                <w:szCs w:val="20"/>
              </w:rPr>
              <w:t>CCPR</w:t>
            </w:r>
            <w:r>
              <w:rPr>
                <w:szCs w:val="20"/>
              </w:rPr>
              <w:t>/C/113/D/1971/2010</w:t>
            </w:r>
          </w:p>
        </w:tc>
      </w:tr>
      <w:tr w:rsidR="006B3E27" w:rsidRPr="00ED7442" w:rsidTr="004A5607">
        <w:trPr>
          <w:trHeight w:hRule="exact" w:val="2696"/>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4500FBC7" wp14:editId="51C7DD74">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402FC9" w:rsidP="00402FC9">
            <w:pPr>
              <w:bidi w:val="0"/>
              <w:spacing w:before="240"/>
              <w:jc w:val="left"/>
              <w:rPr>
                <w:szCs w:val="20"/>
              </w:rPr>
            </w:pPr>
            <w:r>
              <w:rPr>
                <w:szCs w:val="20"/>
              </w:rPr>
              <w:t>Distr.: General</w:t>
            </w:r>
          </w:p>
          <w:p w:rsidR="00402FC9" w:rsidRDefault="00402FC9" w:rsidP="00402FC9">
            <w:pPr>
              <w:bidi w:val="0"/>
              <w:jc w:val="left"/>
              <w:rPr>
                <w:szCs w:val="20"/>
              </w:rPr>
            </w:pPr>
            <w:r>
              <w:rPr>
                <w:szCs w:val="20"/>
              </w:rPr>
              <w:t>6 May 2015</w:t>
            </w:r>
          </w:p>
          <w:p w:rsidR="00402FC9" w:rsidRDefault="00402FC9" w:rsidP="00402FC9">
            <w:pPr>
              <w:bidi w:val="0"/>
              <w:jc w:val="left"/>
              <w:rPr>
                <w:szCs w:val="20"/>
              </w:rPr>
            </w:pPr>
            <w:r>
              <w:rPr>
                <w:szCs w:val="20"/>
              </w:rPr>
              <w:t>Arabic</w:t>
            </w:r>
          </w:p>
          <w:p w:rsidR="00402FC9" w:rsidRPr="00CB6622" w:rsidRDefault="00402FC9" w:rsidP="00402FC9">
            <w:pPr>
              <w:bidi w:val="0"/>
              <w:jc w:val="left"/>
              <w:rPr>
                <w:szCs w:val="20"/>
              </w:rPr>
            </w:pPr>
            <w:r>
              <w:rPr>
                <w:szCs w:val="20"/>
              </w:rPr>
              <w:t>Original: French</w:t>
            </w:r>
          </w:p>
        </w:tc>
      </w:tr>
    </w:tbl>
    <w:p w:rsidR="00402FC9" w:rsidRPr="00402FC9" w:rsidRDefault="00402FC9" w:rsidP="00402FC9">
      <w:pPr>
        <w:pStyle w:val="SingleTxtGA"/>
        <w:spacing w:before="120"/>
        <w:ind w:left="0"/>
        <w:rPr>
          <w:b/>
          <w:bCs/>
          <w:sz w:val="36"/>
          <w:szCs w:val="36"/>
          <w:rtl/>
        </w:rPr>
      </w:pPr>
      <w:r w:rsidRPr="00402FC9">
        <w:rPr>
          <w:rFonts w:hint="cs"/>
          <w:b/>
          <w:bCs/>
          <w:sz w:val="36"/>
          <w:szCs w:val="36"/>
          <w:rtl/>
        </w:rPr>
        <w:t xml:space="preserve">اللجنة المعنية بحقوق الإنسان </w:t>
      </w:r>
    </w:p>
    <w:p w:rsidR="00402FC9" w:rsidRPr="00F17892" w:rsidRDefault="00402FC9" w:rsidP="0050746E">
      <w:pPr>
        <w:pStyle w:val="HChGA"/>
        <w:spacing w:before="300" w:after="200"/>
        <w:rPr>
          <w:rtl/>
        </w:rPr>
      </w:pPr>
      <w:r>
        <w:rPr>
          <w:rtl/>
        </w:rPr>
        <w:tab/>
      </w:r>
      <w:r>
        <w:rPr>
          <w:rFonts w:hint="cs"/>
          <w:rtl/>
        </w:rPr>
        <w:tab/>
      </w:r>
      <w:r w:rsidRPr="00F17892">
        <w:rPr>
          <w:rFonts w:hint="cs"/>
          <w:rtl/>
        </w:rPr>
        <w:t>البلاغ رقم 1971/2010</w:t>
      </w:r>
    </w:p>
    <w:p w:rsidR="00402FC9" w:rsidRPr="00F17892" w:rsidRDefault="00402FC9" w:rsidP="00402FC9">
      <w:pPr>
        <w:pStyle w:val="H1GA"/>
        <w:spacing w:after="0"/>
        <w:rPr>
          <w:rtl/>
        </w:rPr>
      </w:pPr>
      <w:r>
        <w:rPr>
          <w:rtl/>
        </w:rPr>
        <w:tab/>
      </w:r>
      <w:r>
        <w:rPr>
          <w:rFonts w:hint="cs"/>
          <w:rtl/>
        </w:rPr>
        <w:tab/>
      </w:r>
      <w:r w:rsidRPr="00F17892">
        <w:rPr>
          <w:rFonts w:hint="cs"/>
          <w:rtl/>
        </w:rPr>
        <w:t xml:space="preserve">قرار اعتمدته اللجنة في دورتها الثالثة عشرة بعد المائة </w:t>
      </w:r>
    </w:p>
    <w:p w:rsidR="00402FC9" w:rsidRPr="00F17892" w:rsidRDefault="00402FC9" w:rsidP="00402FC9">
      <w:pPr>
        <w:pStyle w:val="H1GA"/>
        <w:spacing w:before="0"/>
        <w:rPr>
          <w:rtl/>
        </w:rPr>
      </w:pPr>
      <w:r>
        <w:rPr>
          <w:rtl/>
        </w:rPr>
        <w:tab/>
      </w:r>
      <w:r>
        <w:rPr>
          <w:rFonts w:hint="cs"/>
          <w:rtl/>
        </w:rPr>
        <w:tab/>
      </w:r>
      <w:r w:rsidRPr="00F17892">
        <w:rPr>
          <w:rFonts w:hint="cs"/>
          <w:rtl/>
        </w:rPr>
        <w:t>(16 آذار/مارس - 2 نيسان/أبريل 2015)</w:t>
      </w:r>
    </w:p>
    <w:p w:rsidR="00402FC9" w:rsidRDefault="00402FC9" w:rsidP="00237D4F">
      <w:pPr>
        <w:pStyle w:val="SingleTxtGA"/>
        <w:tabs>
          <w:tab w:val="clear" w:pos="1928"/>
          <w:tab w:val="clear" w:pos="5330"/>
        </w:tabs>
        <w:spacing w:line="360" w:lineRule="exact"/>
        <w:ind w:left="4678" w:hanging="2750"/>
        <w:rPr>
          <w:rtl/>
        </w:rPr>
      </w:pPr>
      <w:r w:rsidRPr="00402FC9">
        <w:rPr>
          <w:rFonts w:hint="cs"/>
          <w:i/>
          <w:iCs/>
          <w:rtl/>
        </w:rPr>
        <w:t>بلاغ مقدم من:</w:t>
      </w:r>
      <w:r>
        <w:rPr>
          <w:rtl/>
        </w:rPr>
        <w:tab/>
      </w:r>
      <w:r>
        <w:rPr>
          <w:rFonts w:hint="cs"/>
          <w:rtl/>
        </w:rPr>
        <w:tab/>
      </w:r>
      <w:r>
        <w:rPr>
          <w:rFonts w:hint="cs"/>
          <w:rtl/>
        </w:rPr>
        <w:tab/>
        <w:t>ن. د. م.</w:t>
      </w:r>
    </w:p>
    <w:p w:rsidR="00402FC9" w:rsidRDefault="00402FC9" w:rsidP="00237D4F">
      <w:pPr>
        <w:pStyle w:val="SingleTxtGA"/>
        <w:tabs>
          <w:tab w:val="clear" w:pos="1928"/>
          <w:tab w:val="clear" w:pos="5330"/>
        </w:tabs>
        <w:spacing w:line="360" w:lineRule="exact"/>
        <w:ind w:left="4678" w:hanging="2750"/>
        <w:rPr>
          <w:rtl/>
        </w:rPr>
      </w:pPr>
      <w:r w:rsidRPr="00402FC9">
        <w:rPr>
          <w:rFonts w:hint="cs"/>
          <w:i/>
          <w:iCs/>
          <w:rtl/>
        </w:rPr>
        <w:t>الشخص الذي يدعى أنه ضحية:</w:t>
      </w:r>
      <w:r w:rsidR="00996B47">
        <w:rPr>
          <w:rFonts w:hint="cs"/>
          <w:rtl/>
        </w:rPr>
        <w:tab/>
      </w:r>
      <w:r>
        <w:rPr>
          <w:rFonts w:hint="cs"/>
          <w:rtl/>
        </w:rPr>
        <w:t>صاحب البلاغ</w:t>
      </w:r>
    </w:p>
    <w:p w:rsidR="00402FC9" w:rsidRDefault="00402FC9" w:rsidP="00237D4F">
      <w:pPr>
        <w:pStyle w:val="SingleTxtGA"/>
        <w:tabs>
          <w:tab w:val="clear" w:pos="1928"/>
          <w:tab w:val="clear" w:pos="5330"/>
        </w:tabs>
        <w:spacing w:line="360" w:lineRule="exact"/>
        <w:ind w:left="4678" w:hanging="2750"/>
        <w:rPr>
          <w:rtl/>
        </w:rPr>
      </w:pPr>
      <w:r w:rsidRPr="00402FC9">
        <w:rPr>
          <w:rFonts w:hint="cs"/>
          <w:i/>
          <w:iCs/>
          <w:rtl/>
        </w:rPr>
        <w:t>الدولة الطرف:</w:t>
      </w:r>
      <w:r>
        <w:rPr>
          <w:rFonts w:hint="cs"/>
          <w:rtl/>
        </w:rPr>
        <w:tab/>
      </w:r>
      <w:r>
        <w:rPr>
          <w:rFonts w:hint="cs"/>
          <w:rtl/>
        </w:rPr>
        <w:tab/>
      </w:r>
      <w:r>
        <w:rPr>
          <w:rFonts w:hint="cs"/>
          <w:rtl/>
        </w:rPr>
        <w:tab/>
        <w:t>جمهورية الكونغو الديمقراطية</w:t>
      </w:r>
    </w:p>
    <w:p w:rsidR="00402FC9" w:rsidRDefault="00402FC9" w:rsidP="0050746E">
      <w:pPr>
        <w:pStyle w:val="SingleTxtGA"/>
        <w:tabs>
          <w:tab w:val="clear" w:pos="1928"/>
          <w:tab w:val="clear" w:pos="5330"/>
        </w:tabs>
        <w:spacing w:line="340" w:lineRule="exact"/>
        <w:ind w:left="4678" w:hanging="2750"/>
        <w:rPr>
          <w:rtl/>
        </w:rPr>
      </w:pPr>
      <w:r w:rsidRPr="00402FC9">
        <w:rPr>
          <w:rFonts w:hint="cs"/>
          <w:i/>
          <w:iCs/>
          <w:rtl/>
        </w:rPr>
        <w:t>تاريخ تقديم البلاغ:</w:t>
      </w:r>
      <w:r w:rsidR="00996B47">
        <w:rPr>
          <w:rFonts w:hint="cs"/>
          <w:rtl/>
        </w:rPr>
        <w:tab/>
      </w:r>
      <w:r w:rsidR="00996B47">
        <w:rPr>
          <w:rFonts w:hint="cs"/>
          <w:rtl/>
        </w:rPr>
        <w:tab/>
      </w:r>
      <w:r>
        <w:rPr>
          <w:rFonts w:hint="cs"/>
          <w:rtl/>
        </w:rPr>
        <w:t>31 تشرين الأول/أكتوبر 2008 (تاريخ تقديم الرسالة الأولى)</w:t>
      </w:r>
    </w:p>
    <w:p w:rsidR="00402FC9" w:rsidRDefault="00402FC9" w:rsidP="0050746E">
      <w:pPr>
        <w:pStyle w:val="SingleTxtGA"/>
        <w:tabs>
          <w:tab w:val="clear" w:pos="1928"/>
          <w:tab w:val="clear" w:pos="5330"/>
        </w:tabs>
        <w:spacing w:line="340" w:lineRule="exact"/>
        <w:ind w:left="4678" w:hanging="2750"/>
        <w:rPr>
          <w:rtl/>
        </w:rPr>
      </w:pPr>
      <w:r w:rsidRPr="00402FC9">
        <w:rPr>
          <w:rFonts w:hint="cs"/>
          <w:i/>
          <w:iCs/>
          <w:rtl/>
        </w:rPr>
        <w:t>الوثائق المرجعية:</w:t>
      </w:r>
      <w:r>
        <w:rPr>
          <w:rFonts w:hint="cs"/>
          <w:rtl/>
        </w:rPr>
        <w:tab/>
      </w:r>
      <w:r>
        <w:rPr>
          <w:rFonts w:hint="cs"/>
          <w:rtl/>
        </w:rPr>
        <w:tab/>
      </w:r>
      <w:r>
        <w:rPr>
          <w:rFonts w:hint="cs"/>
          <w:rtl/>
        </w:rPr>
        <w:tab/>
        <w:t>قرار المقرر الخاص بموجب المادة 97 من النظام الداخلي المحال إلى الدولة الطرف في 12 آب/</w:t>
      </w:r>
      <w:r w:rsidR="00002807">
        <w:rPr>
          <w:rFonts w:hint="cs"/>
          <w:rtl/>
        </w:rPr>
        <w:t xml:space="preserve"> </w:t>
      </w:r>
      <w:r>
        <w:rPr>
          <w:rFonts w:hint="cs"/>
          <w:rtl/>
        </w:rPr>
        <w:t>أغسطس 2010 (لم يصدر في شكل وثيقة)</w:t>
      </w:r>
    </w:p>
    <w:p w:rsidR="00402FC9" w:rsidRDefault="00402FC9" w:rsidP="00237D4F">
      <w:pPr>
        <w:pStyle w:val="SingleTxtGA"/>
        <w:tabs>
          <w:tab w:val="clear" w:pos="1928"/>
          <w:tab w:val="clear" w:pos="5330"/>
        </w:tabs>
        <w:spacing w:line="360" w:lineRule="exact"/>
        <w:ind w:left="4678" w:hanging="2750"/>
        <w:rPr>
          <w:rtl/>
        </w:rPr>
      </w:pPr>
      <w:r w:rsidRPr="00402FC9">
        <w:rPr>
          <w:rFonts w:hint="cs"/>
          <w:i/>
          <w:iCs/>
          <w:rtl/>
        </w:rPr>
        <w:t>تاريخ القرار:</w:t>
      </w:r>
      <w:r w:rsidR="00996B47">
        <w:rPr>
          <w:rFonts w:hint="cs"/>
          <w:rtl/>
        </w:rPr>
        <w:tab/>
      </w:r>
      <w:r w:rsidR="00996B47">
        <w:rPr>
          <w:rFonts w:hint="cs"/>
          <w:rtl/>
        </w:rPr>
        <w:tab/>
      </w:r>
      <w:r>
        <w:rPr>
          <w:rFonts w:hint="cs"/>
          <w:rtl/>
        </w:rPr>
        <w:tab/>
        <w:t>30 آذار/مارس 2015</w:t>
      </w:r>
    </w:p>
    <w:p w:rsidR="00402FC9" w:rsidRDefault="00402FC9" w:rsidP="00237D4F">
      <w:pPr>
        <w:pStyle w:val="SingleTxtGA"/>
        <w:tabs>
          <w:tab w:val="clear" w:pos="1928"/>
          <w:tab w:val="clear" w:pos="5330"/>
        </w:tabs>
        <w:spacing w:line="360" w:lineRule="exact"/>
        <w:ind w:left="4678" w:hanging="2750"/>
        <w:rPr>
          <w:rtl/>
        </w:rPr>
      </w:pPr>
      <w:r w:rsidRPr="00237D4F">
        <w:rPr>
          <w:rFonts w:hint="cs"/>
          <w:i/>
          <w:iCs/>
          <w:rtl/>
        </w:rPr>
        <w:t>الموضوع</w:t>
      </w:r>
      <w:r w:rsidR="00237D4F" w:rsidRPr="00237D4F">
        <w:rPr>
          <w:rFonts w:hint="cs"/>
          <w:i/>
          <w:iCs/>
          <w:rtl/>
        </w:rPr>
        <w:t>:</w:t>
      </w:r>
      <w:r w:rsidRPr="00237D4F">
        <w:rPr>
          <w:i/>
          <w:iCs/>
          <w:rtl/>
        </w:rPr>
        <w:tab/>
      </w:r>
      <w:r>
        <w:rPr>
          <w:rFonts w:hint="cs"/>
          <w:rtl/>
        </w:rPr>
        <w:tab/>
      </w:r>
      <w:r>
        <w:rPr>
          <w:rFonts w:hint="cs"/>
          <w:rtl/>
        </w:rPr>
        <w:tab/>
      </w:r>
      <w:r>
        <w:rPr>
          <w:rtl/>
        </w:rPr>
        <w:tab/>
      </w:r>
      <w:r>
        <w:rPr>
          <w:rFonts w:hint="cs"/>
          <w:rtl/>
        </w:rPr>
        <w:t>إحالة قاضٍ على التقاعد تلقائياً</w:t>
      </w:r>
    </w:p>
    <w:p w:rsidR="00402FC9" w:rsidRDefault="00402FC9" w:rsidP="0050746E">
      <w:pPr>
        <w:pStyle w:val="SingleTxtGA"/>
        <w:tabs>
          <w:tab w:val="clear" w:pos="1928"/>
          <w:tab w:val="clear" w:pos="5330"/>
        </w:tabs>
        <w:spacing w:line="340" w:lineRule="exact"/>
        <w:ind w:left="4678" w:hanging="2750"/>
        <w:rPr>
          <w:rtl/>
          <w:lang w:bidi="ar-SY"/>
        </w:rPr>
      </w:pPr>
      <w:r w:rsidRPr="00402FC9">
        <w:rPr>
          <w:rFonts w:hint="cs"/>
          <w:i/>
          <w:iCs/>
          <w:rtl/>
        </w:rPr>
        <w:t>المسألة (المسائل) الإجرائية:</w:t>
      </w:r>
      <w:r>
        <w:rPr>
          <w:rFonts w:hint="cs"/>
          <w:rtl/>
        </w:rPr>
        <w:tab/>
      </w:r>
      <w:r>
        <w:rPr>
          <w:rFonts w:hint="cs"/>
          <w:rtl/>
        </w:rPr>
        <w:tab/>
        <w:t>عدم دعم الادعاءات بأدلة؛ الاختصاص الموضوعي</w:t>
      </w:r>
    </w:p>
    <w:p w:rsidR="00402FC9" w:rsidRDefault="00402FC9" w:rsidP="0050746E">
      <w:pPr>
        <w:pStyle w:val="SingleTxtGA"/>
        <w:tabs>
          <w:tab w:val="clear" w:pos="1928"/>
          <w:tab w:val="clear" w:pos="5330"/>
        </w:tabs>
        <w:spacing w:line="340" w:lineRule="exact"/>
        <w:ind w:left="4678" w:hanging="2750"/>
        <w:rPr>
          <w:rtl/>
        </w:rPr>
      </w:pPr>
      <w:r w:rsidRPr="00402FC9">
        <w:rPr>
          <w:rFonts w:hint="cs"/>
          <w:i/>
          <w:iCs/>
          <w:rtl/>
        </w:rPr>
        <w:t>المسألة (المسائل) الموضوعية</w:t>
      </w:r>
      <w:r>
        <w:rPr>
          <w:rFonts w:hint="cs"/>
          <w:rtl/>
        </w:rPr>
        <w:tab/>
      </w:r>
      <w:r>
        <w:rPr>
          <w:rFonts w:hint="cs"/>
          <w:rtl/>
        </w:rPr>
        <w:tab/>
        <w:t>الحق في سبيل انتصاف فعال؛ الحق</w:t>
      </w:r>
      <w:r w:rsidR="00386078">
        <w:rPr>
          <w:rFonts w:hint="cs"/>
          <w:rtl/>
        </w:rPr>
        <w:t xml:space="preserve"> </w:t>
      </w:r>
      <w:r>
        <w:rPr>
          <w:rFonts w:hint="cs"/>
          <w:rtl/>
        </w:rPr>
        <w:t>في تقلد الوظيفة العمومية على قدم المساواة مع الآخرين؛ منع التمييز</w:t>
      </w:r>
    </w:p>
    <w:p w:rsidR="00402FC9" w:rsidRDefault="00402FC9" w:rsidP="0050746E">
      <w:pPr>
        <w:pStyle w:val="SingleTxtGA"/>
        <w:tabs>
          <w:tab w:val="clear" w:pos="1928"/>
          <w:tab w:val="clear" w:pos="5330"/>
        </w:tabs>
        <w:spacing w:line="340" w:lineRule="exact"/>
        <w:ind w:left="4678" w:hanging="2750"/>
        <w:rPr>
          <w:rtl/>
        </w:rPr>
      </w:pPr>
      <w:r w:rsidRPr="00402FC9">
        <w:rPr>
          <w:rFonts w:hint="cs"/>
          <w:i/>
          <w:iCs/>
          <w:rtl/>
        </w:rPr>
        <w:t>مواد العهد:</w:t>
      </w:r>
      <w:r>
        <w:rPr>
          <w:rFonts w:hint="cs"/>
          <w:rtl/>
        </w:rPr>
        <w:tab/>
      </w:r>
      <w:r>
        <w:rPr>
          <w:rFonts w:hint="cs"/>
          <w:rtl/>
        </w:rPr>
        <w:tab/>
      </w:r>
      <w:r>
        <w:rPr>
          <w:rFonts w:hint="cs"/>
          <w:rtl/>
        </w:rPr>
        <w:tab/>
      </w:r>
      <w:bookmarkStart w:id="0" w:name="_GoBack"/>
      <w:r>
        <w:rPr>
          <w:rFonts w:hint="cs"/>
          <w:rtl/>
        </w:rPr>
        <w:t>2 و3 و4 (الفقرة 3)، و5 و6 (الفقرة 1)، و10</w:t>
      </w:r>
      <w:bookmarkEnd w:id="0"/>
      <w:r>
        <w:rPr>
          <w:rFonts w:hint="cs"/>
          <w:rtl/>
        </w:rPr>
        <w:t>، و14، و25 (الفقرة ج)، و26</w:t>
      </w:r>
    </w:p>
    <w:p w:rsidR="00402FC9" w:rsidRDefault="00402FC9" w:rsidP="00996B47">
      <w:pPr>
        <w:pStyle w:val="SingleTxtGA"/>
        <w:tabs>
          <w:tab w:val="clear" w:pos="1928"/>
          <w:tab w:val="clear" w:pos="5330"/>
        </w:tabs>
        <w:ind w:left="4677" w:hanging="2749"/>
        <w:rPr>
          <w:rtl/>
        </w:rPr>
      </w:pPr>
      <w:r w:rsidRPr="00402FC9">
        <w:rPr>
          <w:rFonts w:hint="cs"/>
          <w:i/>
          <w:iCs/>
          <w:rtl/>
        </w:rPr>
        <w:t>مواد البروتوكول الاختياري:</w:t>
      </w:r>
      <w:r>
        <w:rPr>
          <w:rFonts w:hint="cs"/>
          <w:rtl/>
        </w:rPr>
        <w:tab/>
      </w:r>
      <w:r>
        <w:rPr>
          <w:rFonts w:hint="cs"/>
          <w:rtl/>
        </w:rPr>
        <w:tab/>
        <w:t>5 الفقرة 2(ب)</w:t>
      </w:r>
    </w:p>
    <w:p w:rsidR="00402FC9" w:rsidRPr="00F17892" w:rsidRDefault="00402FC9" w:rsidP="00752E91">
      <w:pPr>
        <w:pStyle w:val="HChGA"/>
        <w:spacing w:before="120" w:line="400" w:lineRule="exact"/>
        <w:rPr>
          <w:rtl/>
        </w:rPr>
      </w:pPr>
      <w:r w:rsidRPr="00F17892">
        <w:rPr>
          <w:rFonts w:hint="cs"/>
          <w:rtl/>
        </w:rPr>
        <w:lastRenderedPageBreak/>
        <w:t>ال</w:t>
      </w:r>
      <w:r w:rsidR="00237D4F">
        <w:rPr>
          <w:rFonts w:hint="cs"/>
          <w:rtl/>
        </w:rPr>
        <w:t>مرفق</w:t>
      </w:r>
    </w:p>
    <w:p w:rsidR="00402FC9" w:rsidRPr="00F17892" w:rsidRDefault="00237D4F" w:rsidP="00752E91">
      <w:pPr>
        <w:pStyle w:val="HChGA"/>
        <w:spacing w:before="320" w:after="200" w:line="420" w:lineRule="exact"/>
        <w:rPr>
          <w:rtl/>
        </w:rPr>
      </w:pPr>
      <w:r>
        <w:rPr>
          <w:rtl/>
        </w:rPr>
        <w:tab/>
      </w:r>
      <w:r>
        <w:rPr>
          <w:rFonts w:hint="cs"/>
          <w:rtl/>
        </w:rPr>
        <w:tab/>
      </w:r>
      <w:r w:rsidR="00402FC9" w:rsidRPr="00F17892">
        <w:rPr>
          <w:rFonts w:hint="cs"/>
          <w:rtl/>
        </w:rPr>
        <w:t>القرار الذي اعتمدته اللجنة المعنية بحقوق الإنسان بموجب البروتوكول الاختياري الملحق بالعهد الدولي الخاص بالحقوق المدنية والسياسية (</w:t>
      </w:r>
      <w:r w:rsidR="00402FC9" w:rsidRPr="008A4062">
        <w:rPr>
          <w:rFonts w:hint="cs"/>
          <w:b w:val="0"/>
          <w:bCs w:val="0"/>
          <w:rtl/>
        </w:rPr>
        <w:t>الدورة 113</w:t>
      </w:r>
      <w:r w:rsidR="00402FC9" w:rsidRPr="008A4062">
        <w:rPr>
          <w:rFonts w:hint="cs"/>
          <w:rtl/>
        </w:rPr>
        <w:t>)</w:t>
      </w:r>
    </w:p>
    <w:p w:rsidR="00402FC9" w:rsidRDefault="00402FC9" w:rsidP="00752E91">
      <w:pPr>
        <w:pStyle w:val="SingleTxtGA"/>
        <w:spacing w:line="360" w:lineRule="exact"/>
        <w:rPr>
          <w:rtl/>
        </w:rPr>
      </w:pPr>
      <w:r>
        <w:rPr>
          <w:rFonts w:hint="cs"/>
          <w:rtl/>
        </w:rPr>
        <w:t>بشأن</w:t>
      </w:r>
    </w:p>
    <w:p w:rsidR="00402FC9" w:rsidRPr="00F17892" w:rsidRDefault="00237D4F" w:rsidP="00752E91">
      <w:pPr>
        <w:pStyle w:val="H1GA"/>
        <w:spacing w:before="200"/>
        <w:rPr>
          <w:rtl/>
        </w:rPr>
      </w:pPr>
      <w:r>
        <w:rPr>
          <w:rtl/>
        </w:rPr>
        <w:tab/>
      </w:r>
      <w:r>
        <w:rPr>
          <w:rFonts w:hint="cs"/>
          <w:rtl/>
        </w:rPr>
        <w:tab/>
      </w:r>
      <w:r w:rsidR="00402FC9" w:rsidRPr="00F17892">
        <w:rPr>
          <w:rFonts w:hint="cs"/>
          <w:rtl/>
        </w:rPr>
        <w:t>البلاغ رقم 1971/2010</w:t>
      </w:r>
      <w:r w:rsidR="00402FC9" w:rsidRPr="00F17892">
        <w:rPr>
          <w:rStyle w:val="FootnoteReference"/>
          <w:b/>
          <w:bCs w:val="0"/>
          <w:sz w:val="20"/>
          <w:vertAlign w:val="baseline"/>
          <w:rtl/>
        </w:rPr>
        <w:footnoteReference w:customMarkFollows="1" w:id="1"/>
        <w:t>*</w:t>
      </w:r>
    </w:p>
    <w:p w:rsidR="00402FC9" w:rsidRDefault="00402FC9" w:rsidP="00752E91">
      <w:pPr>
        <w:pStyle w:val="SingleTxtGA"/>
        <w:tabs>
          <w:tab w:val="clear" w:pos="1928"/>
          <w:tab w:val="clear" w:pos="5330"/>
        </w:tabs>
        <w:spacing w:line="360" w:lineRule="exact"/>
        <w:ind w:left="4678" w:hanging="2750"/>
        <w:rPr>
          <w:rtl/>
        </w:rPr>
      </w:pPr>
      <w:r w:rsidRPr="00642569">
        <w:rPr>
          <w:rFonts w:hint="cs"/>
          <w:i/>
          <w:iCs/>
          <w:rtl/>
        </w:rPr>
        <w:t>بلاغ مقدم من:</w:t>
      </w:r>
      <w:r>
        <w:rPr>
          <w:rtl/>
        </w:rPr>
        <w:tab/>
      </w:r>
      <w:r>
        <w:rPr>
          <w:rFonts w:hint="cs"/>
          <w:rtl/>
        </w:rPr>
        <w:tab/>
      </w:r>
      <w:r>
        <w:rPr>
          <w:rFonts w:hint="cs"/>
          <w:rtl/>
        </w:rPr>
        <w:tab/>
        <w:t>ن. د. م.</w:t>
      </w:r>
    </w:p>
    <w:p w:rsidR="00402FC9" w:rsidRDefault="00402FC9" w:rsidP="00752E91">
      <w:pPr>
        <w:pStyle w:val="SingleTxtGA"/>
        <w:tabs>
          <w:tab w:val="clear" w:pos="1928"/>
          <w:tab w:val="clear" w:pos="5330"/>
        </w:tabs>
        <w:spacing w:line="360" w:lineRule="exact"/>
        <w:ind w:left="4678" w:hanging="2750"/>
        <w:rPr>
          <w:rtl/>
        </w:rPr>
      </w:pPr>
      <w:r w:rsidRPr="00642569">
        <w:rPr>
          <w:rFonts w:hint="cs"/>
          <w:i/>
          <w:iCs/>
          <w:rtl/>
        </w:rPr>
        <w:t>الشخص الذي يدعى أنه ضحية:</w:t>
      </w:r>
      <w:r>
        <w:rPr>
          <w:rFonts w:hint="cs"/>
          <w:rtl/>
        </w:rPr>
        <w:tab/>
        <w:t>صاحب البلاغ</w:t>
      </w:r>
    </w:p>
    <w:p w:rsidR="00402FC9" w:rsidRDefault="00402FC9" w:rsidP="00752E91">
      <w:pPr>
        <w:pStyle w:val="SingleTxtGA"/>
        <w:tabs>
          <w:tab w:val="clear" w:pos="1928"/>
          <w:tab w:val="clear" w:pos="5330"/>
        </w:tabs>
        <w:spacing w:line="360" w:lineRule="exact"/>
        <w:ind w:left="4678" w:hanging="2750"/>
        <w:rPr>
          <w:rtl/>
          <w:lang w:bidi="ar-SY"/>
        </w:rPr>
      </w:pPr>
      <w:r w:rsidRPr="00642569">
        <w:rPr>
          <w:rFonts w:hint="cs"/>
          <w:i/>
          <w:iCs/>
          <w:rtl/>
          <w:lang w:bidi="ar-SY"/>
        </w:rPr>
        <w:t>الدولة الطرف:</w:t>
      </w:r>
      <w:r>
        <w:rPr>
          <w:rFonts w:hint="cs"/>
          <w:rtl/>
          <w:lang w:bidi="ar-SY"/>
        </w:rPr>
        <w:tab/>
      </w:r>
      <w:r>
        <w:rPr>
          <w:rFonts w:hint="cs"/>
          <w:rtl/>
          <w:lang w:bidi="ar-SY"/>
        </w:rPr>
        <w:tab/>
      </w:r>
      <w:r>
        <w:rPr>
          <w:rFonts w:hint="cs"/>
          <w:rtl/>
          <w:lang w:bidi="ar-SY"/>
        </w:rPr>
        <w:tab/>
        <w:t>جمهورية الكونغو الديمقراطية</w:t>
      </w:r>
    </w:p>
    <w:p w:rsidR="00402FC9" w:rsidRDefault="00402FC9" w:rsidP="00752E91">
      <w:pPr>
        <w:pStyle w:val="SingleTxtGA"/>
        <w:tabs>
          <w:tab w:val="clear" w:pos="1928"/>
          <w:tab w:val="clear" w:pos="5330"/>
        </w:tabs>
        <w:spacing w:line="360" w:lineRule="exact"/>
        <w:ind w:left="4678" w:hanging="2750"/>
        <w:rPr>
          <w:rtl/>
        </w:rPr>
      </w:pPr>
      <w:r w:rsidRPr="00642569">
        <w:rPr>
          <w:rFonts w:hint="cs"/>
          <w:i/>
          <w:iCs/>
          <w:rtl/>
        </w:rPr>
        <w:t>تاريخ تقديم البلاغ:</w:t>
      </w:r>
      <w:r>
        <w:rPr>
          <w:rFonts w:hint="cs"/>
          <w:rtl/>
        </w:rPr>
        <w:tab/>
      </w:r>
      <w:r>
        <w:rPr>
          <w:rFonts w:hint="cs"/>
          <w:rtl/>
        </w:rPr>
        <w:tab/>
        <w:t>31 تشرين الأول/أكتوبر 2008 (تاريخ تقديم الرسالة الأولى</w:t>
      </w:r>
      <w:r w:rsidR="00924823">
        <w:rPr>
          <w:rFonts w:hint="cs"/>
          <w:rtl/>
        </w:rPr>
        <w:t>)</w:t>
      </w:r>
    </w:p>
    <w:p w:rsidR="00402FC9" w:rsidRDefault="00642569" w:rsidP="00752E91">
      <w:pPr>
        <w:pStyle w:val="SingleTxtGA"/>
        <w:spacing w:line="360" w:lineRule="exact"/>
        <w:rPr>
          <w:rtl/>
        </w:rPr>
      </w:pPr>
      <w:r>
        <w:rPr>
          <w:rtl/>
        </w:rPr>
        <w:tab/>
      </w:r>
      <w:r w:rsidR="00402FC9" w:rsidRPr="00642569">
        <w:rPr>
          <w:rFonts w:hint="cs"/>
          <w:i/>
          <w:iCs/>
          <w:rtl/>
        </w:rPr>
        <w:t>إن اللجنة المعنية بحقوق الإنسان</w:t>
      </w:r>
      <w:r w:rsidR="00402FC9">
        <w:rPr>
          <w:rFonts w:hint="cs"/>
          <w:rtl/>
        </w:rPr>
        <w:t xml:space="preserve">، المنشأة بموجب المادة 28 من العهد الدولي الخاص بالحقوق المدنية والسياسية، </w:t>
      </w:r>
    </w:p>
    <w:p w:rsidR="00402FC9" w:rsidRDefault="00642569" w:rsidP="00752E91">
      <w:pPr>
        <w:pStyle w:val="SingleTxtGA"/>
        <w:spacing w:line="360" w:lineRule="exact"/>
        <w:rPr>
          <w:rtl/>
        </w:rPr>
      </w:pPr>
      <w:r>
        <w:rPr>
          <w:rtl/>
        </w:rPr>
        <w:tab/>
      </w:r>
      <w:r w:rsidR="00402FC9" w:rsidRPr="00642569">
        <w:rPr>
          <w:rFonts w:hint="cs"/>
          <w:i/>
          <w:iCs/>
          <w:rtl/>
        </w:rPr>
        <w:t>وقد اجتمعت</w:t>
      </w:r>
      <w:r w:rsidR="00402FC9">
        <w:rPr>
          <w:rFonts w:hint="cs"/>
          <w:rtl/>
        </w:rPr>
        <w:t xml:space="preserve"> في 30 آذار/مارس 2015، </w:t>
      </w:r>
    </w:p>
    <w:p w:rsidR="00402FC9" w:rsidRDefault="00642569" w:rsidP="00752E91">
      <w:pPr>
        <w:pStyle w:val="SingleTxtGA"/>
        <w:spacing w:line="360" w:lineRule="exact"/>
        <w:rPr>
          <w:rtl/>
        </w:rPr>
      </w:pPr>
      <w:r>
        <w:rPr>
          <w:rtl/>
        </w:rPr>
        <w:tab/>
      </w:r>
      <w:r w:rsidR="00402FC9" w:rsidRPr="00642569">
        <w:rPr>
          <w:rFonts w:hint="cs"/>
          <w:i/>
          <w:iCs/>
          <w:rtl/>
        </w:rPr>
        <w:t>وقد فرغت</w:t>
      </w:r>
      <w:r w:rsidR="00402FC9">
        <w:rPr>
          <w:rFonts w:hint="cs"/>
          <w:rtl/>
        </w:rPr>
        <w:t xml:space="preserve"> من النظر في البلاغ رقم 1971/2010، المقدم إليها من ن. د. م. بموجب البروتوكول الاختياري الملحق بالعهد الدولي الخاص بالحقوق المدنية والسياسية،</w:t>
      </w:r>
    </w:p>
    <w:p w:rsidR="00402FC9" w:rsidRPr="00752E91" w:rsidRDefault="00642569" w:rsidP="00752E91">
      <w:pPr>
        <w:pStyle w:val="SingleTxtGA"/>
        <w:spacing w:line="360" w:lineRule="exact"/>
        <w:rPr>
          <w:rtl/>
        </w:rPr>
      </w:pPr>
      <w:r w:rsidRPr="00752E91">
        <w:rPr>
          <w:rtl/>
        </w:rPr>
        <w:tab/>
      </w:r>
      <w:r w:rsidR="00402FC9" w:rsidRPr="00752E91">
        <w:rPr>
          <w:rFonts w:hint="cs"/>
          <w:i/>
          <w:iCs/>
          <w:rtl/>
        </w:rPr>
        <w:t>وقد وضعت في اعتبارها</w:t>
      </w:r>
      <w:r w:rsidR="00402FC9" w:rsidRPr="00752E91">
        <w:rPr>
          <w:rFonts w:hint="cs"/>
          <w:rtl/>
        </w:rPr>
        <w:t xml:space="preserve"> جميع المعلومات الخطي</w:t>
      </w:r>
      <w:r w:rsidR="001F0645" w:rsidRPr="00752E91">
        <w:rPr>
          <w:rFonts w:hint="cs"/>
          <w:rtl/>
        </w:rPr>
        <w:t>ة التي أتاحها لها صاحب البلاغ و</w:t>
      </w:r>
      <w:r w:rsidR="00402FC9" w:rsidRPr="00752E91">
        <w:rPr>
          <w:rFonts w:hint="cs"/>
          <w:rtl/>
        </w:rPr>
        <w:t xml:space="preserve">الدولة الطرف، </w:t>
      </w:r>
    </w:p>
    <w:p w:rsidR="00402FC9" w:rsidRDefault="001F0645" w:rsidP="00752E91">
      <w:pPr>
        <w:pStyle w:val="SingleTxtGA"/>
        <w:spacing w:after="60" w:line="360" w:lineRule="exact"/>
        <w:rPr>
          <w:rtl/>
        </w:rPr>
      </w:pPr>
      <w:r>
        <w:rPr>
          <w:i/>
          <w:iCs/>
          <w:rtl/>
        </w:rPr>
        <w:tab/>
      </w:r>
      <w:r w:rsidR="00402FC9" w:rsidRPr="001F0645">
        <w:rPr>
          <w:rFonts w:hint="cs"/>
          <w:i/>
          <w:iCs/>
          <w:rtl/>
        </w:rPr>
        <w:t>تعتمد</w:t>
      </w:r>
      <w:r w:rsidR="00402FC9">
        <w:rPr>
          <w:rFonts w:hint="cs"/>
          <w:rtl/>
        </w:rPr>
        <w:t xml:space="preserve"> ما يلي:</w:t>
      </w:r>
    </w:p>
    <w:p w:rsidR="00402FC9" w:rsidRPr="00F17892" w:rsidRDefault="001F0645" w:rsidP="00771C3D">
      <w:pPr>
        <w:pStyle w:val="H1GA"/>
        <w:spacing w:before="200" w:after="200" w:line="380" w:lineRule="exact"/>
        <w:rPr>
          <w:rtl/>
        </w:rPr>
      </w:pPr>
      <w:r>
        <w:rPr>
          <w:rtl/>
        </w:rPr>
        <w:tab/>
      </w:r>
      <w:r>
        <w:rPr>
          <w:rFonts w:hint="cs"/>
          <w:rtl/>
        </w:rPr>
        <w:tab/>
      </w:r>
      <w:r w:rsidR="00402FC9" w:rsidRPr="00F17892">
        <w:rPr>
          <w:rFonts w:hint="cs"/>
          <w:rtl/>
        </w:rPr>
        <w:t>القرار المتعلق بالمقبولية</w:t>
      </w:r>
    </w:p>
    <w:p w:rsidR="00402FC9" w:rsidRDefault="00402FC9" w:rsidP="00B445FC">
      <w:pPr>
        <w:pStyle w:val="SingleTxtGA"/>
        <w:spacing w:line="360" w:lineRule="exact"/>
        <w:rPr>
          <w:rtl/>
        </w:rPr>
      </w:pPr>
      <w:r w:rsidRPr="00A573FB">
        <w:rPr>
          <w:rFonts w:hint="cs"/>
          <w:spacing w:val="-2"/>
          <w:rtl/>
        </w:rPr>
        <w:t>1-</w:t>
      </w:r>
      <w:r w:rsidRPr="00A573FB">
        <w:rPr>
          <w:rFonts w:hint="cs"/>
          <w:spacing w:val="-2"/>
          <w:rtl/>
        </w:rPr>
        <w:tab/>
        <w:t xml:space="preserve">صاحب البلاغ، المؤرخ 31 تشرين الأول/أكتوبر 2008، والمستكمل بورقات المعلومات </w:t>
      </w:r>
      <w:r w:rsidRPr="00A573FB">
        <w:rPr>
          <w:rFonts w:hint="cs"/>
          <w:rtl/>
        </w:rPr>
        <w:t>المؤرخة 8 كانون الأول/ديسمبر 2008 و23 آذار/مار</w:t>
      </w:r>
      <w:r w:rsidR="00D84B80" w:rsidRPr="00A573FB">
        <w:rPr>
          <w:rFonts w:hint="cs"/>
          <w:rtl/>
        </w:rPr>
        <w:t>س و16 أيلول/سبتمبر</w:t>
      </w:r>
      <w:r w:rsidR="00D84B80" w:rsidRPr="00A573FB">
        <w:rPr>
          <w:rFonts w:hint="eastAsia"/>
          <w:rtl/>
        </w:rPr>
        <w:t> </w:t>
      </w:r>
      <w:r w:rsidRPr="00A573FB">
        <w:rPr>
          <w:rFonts w:hint="cs"/>
          <w:rtl/>
        </w:rPr>
        <w:t>2009، مواطن</w:t>
      </w:r>
      <w:r w:rsidRPr="00A573FB">
        <w:rPr>
          <w:rFonts w:hint="cs"/>
          <w:spacing w:val="-2"/>
          <w:rtl/>
        </w:rPr>
        <w:t xml:space="preserve"> من جمهورية الكونغو الديمقراطية يدعى ن. د. م.، كان محامياً عاماً</w:t>
      </w:r>
      <w:r>
        <w:rPr>
          <w:rFonts w:hint="cs"/>
          <w:rtl/>
        </w:rPr>
        <w:t xml:space="preserve"> للجمهورية. وحيث</w:t>
      </w:r>
      <w:r w:rsidR="00771C3D">
        <w:rPr>
          <w:rFonts w:hint="cs"/>
          <w:rtl/>
        </w:rPr>
        <w:t xml:space="preserve"> إ</w:t>
      </w:r>
      <w:r w:rsidR="00A573FB">
        <w:rPr>
          <w:rFonts w:hint="cs"/>
          <w:rtl/>
        </w:rPr>
        <w:t xml:space="preserve">نه </w:t>
      </w:r>
      <w:r w:rsidR="00A573FB">
        <w:rPr>
          <w:rFonts w:hint="cs"/>
          <w:rtl/>
        </w:rPr>
        <w:lastRenderedPageBreak/>
        <w:t>أُحيل</w:t>
      </w:r>
      <w:r w:rsidR="00A573FB">
        <w:rPr>
          <w:rFonts w:hint="eastAsia"/>
          <w:rtl/>
        </w:rPr>
        <w:t> </w:t>
      </w:r>
      <w:r>
        <w:rPr>
          <w:rFonts w:hint="cs"/>
          <w:rtl/>
        </w:rPr>
        <w:t xml:space="preserve">على التقاعد، فهو يعتبر نفسه ضحية انتهاك المواد 2، و3، و4 </w:t>
      </w:r>
      <w:r w:rsidR="00B445FC">
        <w:rPr>
          <w:rFonts w:hint="cs"/>
          <w:rtl/>
        </w:rPr>
        <w:t>الفقرة 3</w:t>
      </w:r>
      <w:r>
        <w:rPr>
          <w:rFonts w:hint="cs"/>
          <w:rtl/>
        </w:rPr>
        <w:t xml:space="preserve"> و5، و6 </w:t>
      </w:r>
      <w:r w:rsidR="00A573FB">
        <w:rPr>
          <w:rFonts w:hint="cs"/>
          <w:rtl/>
        </w:rPr>
        <w:t>الفقرة</w:t>
      </w:r>
      <w:r w:rsidR="00A573FB">
        <w:rPr>
          <w:rFonts w:hint="eastAsia"/>
          <w:rtl/>
        </w:rPr>
        <w:t> </w:t>
      </w:r>
      <w:r w:rsidR="00B445FC">
        <w:rPr>
          <w:rFonts w:hint="cs"/>
          <w:rtl/>
        </w:rPr>
        <w:t>1</w:t>
      </w:r>
      <w:r>
        <w:rPr>
          <w:rFonts w:hint="cs"/>
          <w:rtl/>
        </w:rPr>
        <w:t xml:space="preserve">، و10، و14، و25 الفقرة </w:t>
      </w:r>
      <w:r w:rsidR="00B445FC">
        <w:rPr>
          <w:rFonts w:hint="cs"/>
          <w:rtl/>
        </w:rPr>
        <w:t>(</w:t>
      </w:r>
      <w:r>
        <w:rPr>
          <w:rFonts w:hint="cs"/>
          <w:rtl/>
        </w:rPr>
        <w:t>ج)، و26 من العهد الدولي الخاص بالحقوق المدنية والسياسية من جانب جمهورية الكونغو الديمقراطية التي انضمت إلى هذا الصك في 1 تشرين الثاني/نوفمبر 1976. ولا يمثل صاحب البلاغ محام.</w:t>
      </w:r>
    </w:p>
    <w:p w:rsidR="00402FC9" w:rsidRPr="008B3B54" w:rsidRDefault="00D84B80" w:rsidP="00D84B80">
      <w:pPr>
        <w:pStyle w:val="H23GA"/>
        <w:rPr>
          <w:rtl/>
        </w:rPr>
      </w:pPr>
      <w:r>
        <w:rPr>
          <w:rtl/>
        </w:rPr>
        <w:tab/>
      </w:r>
      <w:r>
        <w:rPr>
          <w:rFonts w:hint="cs"/>
          <w:rtl/>
        </w:rPr>
        <w:tab/>
      </w:r>
      <w:r w:rsidR="00402FC9" w:rsidRPr="008B3B54">
        <w:rPr>
          <w:rFonts w:hint="cs"/>
          <w:rtl/>
        </w:rPr>
        <w:t>الوقائع كما عرضها صاحب البلاغ</w:t>
      </w:r>
    </w:p>
    <w:p w:rsidR="00402FC9" w:rsidRDefault="00402FC9" w:rsidP="00752E91">
      <w:pPr>
        <w:pStyle w:val="SingleTxtGA"/>
        <w:spacing w:line="360" w:lineRule="exact"/>
        <w:rPr>
          <w:rtl/>
        </w:rPr>
      </w:pPr>
      <w:r>
        <w:rPr>
          <w:rFonts w:hint="cs"/>
          <w:rtl/>
        </w:rPr>
        <w:t>2-1</w:t>
      </w:r>
      <w:r>
        <w:rPr>
          <w:rFonts w:hint="cs"/>
          <w:rtl/>
        </w:rPr>
        <w:tab/>
        <w:t>بموجب المراسيم الرئاسية رقم 08/10، ورقم 08/11 ورقم 08/12 المؤرخة 9 شباط/</w:t>
      </w:r>
      <w:r w:rsidR="00A573FB">
        <w:rPr>
          <w:rFonts w:hint="cs"/>
          <w:rtl/>
        </w:rPr>
        <w:t xml:space="preserve"> </w:t>
      </w:r>
      <w:r>
        <w:rPr>
          <w:rFonts w:hint="cs"/>
          <w:rtl/>
        </w:rPr>
        <w:t xml:space="preserve">فبراير 2008، أُحيل 115 قاضياً من محكمة العدل العليا ومحكمة الاستئناف والنيابة العامة </w:t>
      </w:r>
      <w:r w:rsidRPr="00C8638E">
        <w:rPr>
          <w:rFonts w:hint="cs"/>
          <w:spacing w:val="-2"/>
          <w:rtl/>
        </w:rPr>
        <w:t>لدى المحكمة العليا والنيابة العامة لدى محكمة الاستئناف،</w:t>
      </w:r>
      <w:r w:rsidR="00386078">
        <w:rPr>
          <w:rFonts w:hint="cs"/>
          <w:spacing w:val="-2"/>
          <w:rtl/>
        </w:rPr>
        <w:t xml:space="preserve"> </w:t>
      </w:r>
      <w:r w:rsidRPr="00C8638E">
        <w:rPr>
          <w:rFonts w:hint="cs"/>
          <w:spacing w:val="-2"/>
          <w:rtl/>
        </w:rPr>
        <w:t>ومنهم صاحب البلاغ، على التقاعد. وهذا القرار مبرر، بحسب نص هذه المراسيم، لأن جميع القضاة المعنيين "بلغوا الخامسة والستين من العمر أو عملوا لمدة 35 عاماً بشكل متواصل". وبما أن "الظروف الاستثنائية لا تسمح (لم تكن تسمح) باجتماع المجلس الأعلى للقضاء غير المشكل بعد"، وبالنظر إلى ظروف</w:t>
      </w:r>
      <w:r>
        <w:rPr>
          <w:rFonts w:hint="cs"/>
          <w:rtl/>
        </w:rPr>
        <w:t xml:space="preserve"> "الضرورة والطوارئ"، أمر مجلس الوزراء، "بناءً على اقتراح قدمه وزير العدل وحقوق الإنسان"، بإحالتهم على التقاعد. وفي اليوم نفسه، صدرت أوامر رئاسية بتعيين قضاة وترقية آخرين، بما في ذلك في وظائف كان بعض القضاة الذين أحيلوا على التقاعد يشغلونها حتى ذلك التاريخ.</w:t>
      </w:r>
    </w:p>
    <w:p w:rsidR="00402FC9" w:rsidRDefault="00402FC9" w:rsidP="00752E91">
      <w:pPr>
        <w:pStyle w:val="SingleTxtGA"/>
        <w:spacing w:line="360" w:lineRule="exact"/>
        <w:rPr>
          <w:rtl/>
        </w:rPr>
      </w:pPr>
      <w:r>
        <w:rPr>
          <w:rFonts w:hint="cs"/>
          <w:rtl/>
        </w:rPr>
        <w:t>2-2</w:t>
      </w:r>
      <w:r>
        <w:rPr>
          <w:rFonts w:hint="cs"/>
          <w:rtl/>
        </w:rPr>
        <w:tab/>
        <w:t>ويطعن صاحب البلاغ في شرعية الأمر 08/011 المتعلق به. ويؤكد أنه لم يُبلَّغ بهذا الأمر شخصياً وأنه علم بأمر إحالته على التقاعد من وسائل الإعلام. ويضيف بأن النظام الأساسي الذي كان معمولاً به في ذلك الحين</w:t>
      </w:r>
      <w:r>
        <w:rPr>
          <w:vertAlign w:val="superscript"/>
          <w:rtl/>
        </w:rPr>
        <w:t>(</w:t>
      </w:r>
      <w:r>
        <w:rPr>
          <w:rStyle w:val="FootnoteReference"/>
          <w:rtl/>
        </w:rPr>
        <w:footnoteReference w:id="2"/>
      </w:r>
      <w:r>
        <w:rPr>
          <w:vertAlign w:val="superscript"/>
          <w:rtl/>
        </w:rPr>
        <w:t>)</w:t>
      </w:r>
      <w:r>
        <w:rPr>
          <w:rFonts w:hint="cs"/>
          <w:rtl/>
        </w:rPr>
        <w:t xml:space="preserve"> ينص على تقاعد القضاة في سن الخامسة والستين باستثناء قضاة محكمة العدل العليا والنيابة العامة لدى هذه المحكمة، الذين يتقاعدون إما في سن السبعين أو عندما يتمون 35 سنة من الخدمة المتواصلة. ويؤكد صاحب البلاغ أنه، </w:t>
      </w:r>
      <w:r w:rsidR="00C8638E">
        <w:rPr>
          <w:rFonts w:hint="cs"/>
          <w:rtl/>
        </w:rPr>
        <w:t>بحكم ولادته</w:t>
      </w:r>
      <w:r>
        <w:rPr>
          <w:rFonts w:hint="cs"/>
          <w:rtl/>
        </w:rPr>
        <w:t xml:space="preserve"> في 11 آذار/مارس 1944، لم يكن قد بلغ الخامسة والستين عندما </w:t>
      </w:r>
      <w:r w:rsidR="00DC7480">
        <w:rPr>
          <w:rFonts w:hint="cs"/>
          <w:rtl/>
        </w:rPr>
        <w:t>أحيل على</w:t>
      </w:r>
      <w:r w:rsidR="00DC7480">
        <w:rPr>
          <w:rFonts w:hint="eastAsia"/>
          <w:rtl/>
        </w:rPr>
        <w:t> </w:t>
      </w:r>
      <w:r>
        <w:rPr>
          <w:rFonts w:hint="cs"/>
          <w:rtl/>
        </w:rPr>
        <w:t>التقاعد. وبما أنه عُين في 19 تشرين الثاني/نوفمبر 1970 وعُزل في 6 تشرين الثاني/</w:t>
      </w:r>
      <w:r w:rsidR="00DC7480">
        <w:rPr>
          <w:rFonts w:hint="cs"/>
          <w:rtl/>
        </w:rPr>
        <w:t xml:space="preserve"> نوفمبر</w:t>
      </w:r>
      <w:r w:rsidR="00DC7480">
        <w:rPr>
          <w:rFonts w:hint="eastAsia"/>
          <w:rtl/>
        </w:rPr>
        <w:t> </w:t>
      </w:r>
      <w:r>
        <w:rPr>
          <w:rFonts w:hint="cs"/>
          <w:rtl/>
        </w:rPr>
        <w:t>1998 ثم أُعيد تعيينه في 12 شباط/فبراير 2004،</w:t>
      </w:r>
      <w:r w:rsidR="00386078">
        <w:rPr>
          <w:rFonts w:hint="cs"/>
          <w:rtl/>
        </w:rPr>
        <w:t xml:space="preserve"> </w:t>
      </w:r>
      <w:r>
        <w:rPr>
          <w:rFonts w:hint="cs"/>
          <w:rtl/>
        </w:rPr>
        <w:t xml:space="preserve">تبعا للرأي الصادر عن لجنة حقوق </w:t>
      </w:r>
      <w:r w:rsidRPr="00DC7480">
        <w:rPr>
          <w:rFonts w:hint="cs"/>
          <w:spacing w:val="-4"/>
          <w:rtl/>
        </w:rPr>
        <w:t>الإنسان التي رأت أن العزل الجماعي ل‍ 315 قاضياً كان مخالفاً للعهد</w:t>
      </w:r>
      <w:r w:rsidRPr="00DC7480">
        <w:rPr>
          <w:spacing w:val="-4"/>
          <w:vertAlign w:val="superscript"/>
          <w:rtl/>
        </w:rPr>
        <w:t>(</w:t>
      </w:r>
      <w:r w:rsidRPr="00DC7480">
        <w:rPr>
          <w:rStyle w:val="FootnoteReference"/>
          <w:spacing w:val="-4"/>
          <w:rtl/>
        </w:rPr>
        <w:footnoteReference w:id="3"/>
      </w:r>
      <w:r w:rsidRPr="00DC7480">
        <w:rPr>
          <w:spacing w:val="-4"/>
          <w:vertAlign w:val="superscript"/>
          <w:rtl/>
        </w:rPr>
        <w:t>)</w:t>
      </w:r>
      <w:r w:rsidRPr="00DC7480">
        <w:rPr>
          <w:rFonts w:hint="cs"/>
          <w:spacing w:val="-4"/>
          <w:rtl/>
        </w:rPr>
        <w:t>، يستنتج أنه لم يُكمل</w:t>
      </w:r>
      <w:r>
        <w:rPr>
          <w:rFonts w:hint="cs"/>
          <w:rtl/>
        </w:rPr>
        <w:t xml:space="preserve"> 35 عاماً من الخدمة المتواصلة في وظيفته كقاض.</w:t>
      </w:r>
    </w:p>
    <w:p w:rsidR="00402FC9" w:rsidRDefault="00402FC9" w:rsidP="00D84B80">
      <w:pPr>
        <w:pStyle w:val="SingleTxtGA"/>
        <w:rPr>
          <w:rtl/>
        </w:rPr>
      </w:pPr>
      <w:r>
        <w:rPr>
          <w:rFonts w:hint="cs"/>
          <w:rtl/>
        </w:rPr>
        <w:lastRenderedPageBreak/>
        <w:t>2-3</w:t>
      </w:r>
      <w:r>
        <w:rPr>
          <w:rFonts w:hint="cs"/>
          <w:rtl/>
        </w:rPr>
        <w:tab/>
        <w:t xml:space="preserve">ويدعي صاحب البلاغ أن رئيس الجمهورية اعتمد الأمر بناء على اقتراح قدمه وزير العدل وحقوق الإنسان الذي زعم أن اقتراحه جاء بسبب ظروف الضرورة والطوارئ، في حين </w:t>
      </w:r>
      <w:r w:rsidR="00EF52A0">
        <w:rPr>
          <w:rFonts w:hint="cs"/>
          <w:rtl/>
        </w:rPr>
        <w:t>أن</w:t>
      </w:r>
      <w:r>
        <w:rPr>
          <w:rFonts w:hint="cs"/>
          <w:rtl/>
        </w:rPr>
        <w:t xml:space="preserve"> المجلس الأعلى للقضاء هو وحده صاحب الصلاحية في</w:t>
      </w:r>
      <w:r w:rsidR="00386078">
        <w:rPr>
          <w:rFonts w:hint="cs"/>
          <w:rtl/>
        </w:rPr>
        <w:t xml:space="preserve"> </w:t>
      </w:r>
      <w:r>
        <w:rPr>
          <w:rFonts w:hint="cs"/>
          <w:rtl/>
        </w:rPr>
        <w:t>اقتراح مثل هذا الإجراء. ويلاحظ عدم وجود أي قانون يتيح لوزير العدل تولي إدارة وظائف القضاة، حتى في حالة وجود ما يمنع اجتماع المجلس الأعلى للقضاء. ويُذّكر من ناحية أخرى بأن جميع أعضاء المجلس الأعلى للقضاء كانوا في حلقة عمل تدريبية في كينشاسا في تاريخ اعتماد المراسيم الرئاسية. ويرى صاحب البلاغ أن إحالته على التقاعد تلقائيا ِجاء نتيجة تدخل غير</w:t>
      </w:r>
      <w:r w:rsidR="00386078">
        <w:rPr>
          <w:rFonts w:hint="cs"/>
          <w:rtl/>
        </w:rPr>
        <w:t xml:space="preserve"> </w:t>
      </w:r>
      <w:r>
        <w:rPr>
          <w:rFonts w:hint="cs"/>
          <w:rtl/>
        </w:rPr>
        <w:t>قانوني وغير مشروع للسلطة التنفيذية في عمل السلطة القضائية، وفي ذلك انتهاك لمبدأ فصل السلطات المكرس في دستور الدولة الطرف.</w:t>
      </w:r>
    </w:p>
    <w:p w:rsidR="00402FC9" w:rsidRDefault="00402FC9" w:rsidP="00BD7CD1">
      <w:pPr>
        <w:pStyle w:val="SingleTxtGA"/>
        <w:rPr>
          <w:rtl/>
        </w:rPr>
      </w:pPr>
      <w:r>
        <w:rPr>
          <w:rFonts w:hint="cs"/>
          <w:rtl/>
        </w:rPr>
        <w:t>2-4</w:t>
      </w:r>
      <w:r>
        <w:rPr>
          <w:rFonts w:hint="cs"/>
          <w:rtl/>
        </w:rPr>
        <w:tab/>
        <w:t>ولكي يعرب صاحب البلاغ عن اعتراضه على</w:t>
      </w:r>
      <w:r w:rsidR="00386078">
        <w:rPr>
          <w:rFonts w:hint="cs"/>
          <w:rtl/>
        </w:rPr>
        <w:t xml:space="preserve"> </w:t>
      </w:r>
      <w:r>
        <w:rPr>
          <w:rFonts w:hint="cs"/>
          <w:rtl/>
        </w:rPr>
        <w:t xml:space="preserve">قرار إقالته، قدم </w:t>
      </w:r>
      <w:r w:rsidR="00EF52A0">
        <w:rPr>
          <w:rFonts w:hint="cs"/>
          <w:rtl/>
        </w:rPr>
        <w:t>في 17 شباط/ فبراير</w:t>
      </w:r>
      <w:r w:rsidR="00EF52A0">
        <w:rPr>
          <w:rFonts w:hint="eastAsia"/>
          <w:rtl/>
        </w:rPr>
        <w:t> </w:t>
      </w:r>
      <w:r>
        <w:rPr>
          <w:rFonts w:hint="cs"/>
          <w:rtl/>
        </w:rPr>
        <w:t>2008 تظلماً استعطافياً</w:t>
      </w:r>
      <w:r w:rsidR="00386078">
        <w:rPr>
          <w:rFonts w:hint="cs"/>
          <w:rtl/>
        </w:rPr>
        <w:t xml:space="preserve"> </w:t>
      </w:r>
      <w:r>
        <w:rPr>
          <w:rFonts w:hint="cs"/>
          <w:rtl/>
        </w:rPr>
        <w:t xml:space="preserve">إلى رئيس الجمهورية. وحيث </w:t>
      </w:r>
      <w:r w:rsidR="00BD7CD1">
        <w:rPr>
          <w:rFonts w:hint="cs"/>
          <w:rtl/>
        </w:rPr>
        <w:t>إ</w:t>
      </w:r>
      <w:r>
        <w:rPr>
          <w:rFonts w:hint="cs"/>
          <w:rtl/>
        </w:rPr>
        <w:t>نه لم يتلق</w:t>
      </w:r>
      <w:r w:rsidR="00386078">
        <w:rPr>
          <w:rFonts w:hint="cs"/>
          <w:rtl/>
        </w:rPr>
        <w:t xml:space="preserve"> </w:t>
      </w:r>
      <w:r>
        <w:rPr>
          <w:rFonts w:hint="cs"/>
          <w:rtl/>
        </w:rPr>
        <w:t xml:space="preserve">أي رد، قدم طلباً آخر في 10 آذار/مارس 2008 إلى الأمين الدائم </w:t>
      </w:r>
      <w:r w:rsidR="00EF52A0">
        <w:rPr>
          <w:rFonts w:hint="cs"/>
          <w:rtl/>
        </w:rPr>
        <w:t>للمجلس الأعلى للقضاء وهو طلب لم</w:t>
      </w:r>
      <w:r w:rsidR="00EF52A0">
        <w:rPr>
          <w:rFonts w:hint="eastAsia"/>
          <w:rtl/>
        </w:rPr>
        <w:t> </w:t>
      </w:r>
      <w:r>
        <w:rPr>
          <w:rFonts w:hint="cs"/>
          <w:rtl/>
        </w:rPr>
        <w:t>يصله أي رد عليه أيضا</w:t>
      </w:r>
      <w:r w:rsidR="00EF52A0">
        <w:rPr>
          <w:rFonts w:hint="cs"/>
          <w:rtl/>
        </w:rPr>
        <w:t>ً</w:t>
      </w:r>
      <w:r>
        <w:rPr>
          <w:rFonts w:hint="cs"/>
          <w:rtl/>
        </w:rPr>
        <w:t>. وعلى إثر دخول القانون الأساسي رقم 08/013 المؤرخ 5 آب/</w:t>
      </w:r>
      <w:r w:rsidR="00EF52A0">
        <w:rPr>
          <w:rFonts w:hint="cs"/>
          <w:rtl/>
        </w:rPr>
        <w:t xml:space="preserve"> أغسطس</w:t>
      </w:r>
      <w:r w:rsidR="00EF52A0">
        <w:rPr>
          <w:rFonts w:hint="eastAsia"/>
          <w:rtl/>
        </w:rPr>
        <w:t> </w:t>
      </w:r>
      <w:r>
        <w:rPr>
          <w:rFonts w:hint="cs"/>
          <w:rtl/>
        </w:rPr>
        <w:t>2008 المتعلق بتنظيم وسير عمل المجلس الأعلى للقضاء، حيز النفاذ، قدم صاحب البلاغ طلباً ثانياً في 10 كانون الأول/ديسمبر 2008 لدى الأمين الدائم نفسه. ولم يتلق أي رد على هذا الطلب أيضاً. وفي 11 تموز/يوليه 2008، قدم صا</w:t>
      </w:r>
      <w:r w:rsidR="00EF52A0">
        <w:rPr>
          <w:rFonts w:hint="cs"/>
          <w:rtl/>
        </w:rPr>
        <w:t>حب البلاغ دعوى إلغاء القرار رقم</w:t>
      </w:r>
      <w:r w:rsidR="00EF52A0">
        <w:rPr>
          <w:rFonts w:hint="eastAsia"/>
          <w:rtl/>
        </w:rPr>
        <w:t> </w:t>
      </w:r>
      <w:r>
        <w:rPr>
          <w:rFonts w:hint="cs"/>
          <w:rtl/>
        </w:rPr>
        <w:t>08/011 أمام المجلس الأعلى للقضاء.</w:t>
      </w:r>
    </w:p>
    <w:p w:rsidR="00402FC9" w:rsidRPr="00F17892" w:rsidRDefault="00402FC9" w:rsidP="00752E91">
      <w:pPr>
        <w:pStyle w:val="SingleTxtGA"/>
        <w:rPr>
          <w:rtl/>
        </w:rPr>
      </w:pPr>
      <w:r w:rsidRPr="00F17892">
        <w:rPr>
          <w:rFonts w:hint="cs"/>
          <w:rtl/>
        </w:rPr>
        <w:t>2-5</w:t>
      </w:r>
      <w:r w:rsidRPr="00F17892">
        <w:rPr>
          <w:rFonts w:hint="cs"/>
          <w:rtl/>
        </w:rPr>
        <w:tab/>
        <w:t>وفي غضون ذلك، وبتاريخ 11 شباط/فبراير</w:t>
      </w:r>
      <w:r>
        <w:rPr>
          <w:rFonts w:hint="cs"/>
          <w:rtl/>
        </w:rPr>
        <w:t xml:space="preserve"> 2008</w:t>
      </w:r>
      <w:r w:rsidRPr="00F17892">
        <w:rPr>
          <w:rFonts w:hint="cs"/>
          <w:rtl/>
        </w:rPr>
        <w:t xml:space="preserve">، تقدم صاحب البلاغ وقضاة آخرون أحيلوا أيضاً على التقاعد بموجب المراسيم الرئاسية تظلماً استعطافياً </w:t>
      </w:r>
      <w:r>
        <w:rPr>
          <w:rFonts w:hint="cs"/>
          <w:rtl/>
        </w:rPr>
        <w:t>جماعيا</w:t>
      </w:r>
      <w:r w:rsidR="00752E91">
        <w:rPr>
          <w:rFonts w:hint="cs"/>
          <w:rtl/>
        </w:rPr>
        <w:t>ً</w:t>
      </w:r>
      <w:r>
        <w:rPr>
          <w:rFonts w:hint="cs"/>
          <w:rtl/>
        </w:rPr>
        <w:t xml:space="preserve"> موجها إلى</w:t>
      </w:r>
      <w:r w:rsidR="008045ED">
        <w:rPr>
          <w:rFonts w:hint="cs"/>
          <w:rtl/>
        </w:rPr>
        <w:t xml:space="preserve"> رئيس الجمهورية. </w:t>
      </w:r>
      <w:r w:rsidRPr="00F17892">
        <w:rPr>
          <w:rFonts w:hint="cs"/>
          <w:rtl/>
        </w:rPr>
        <w:t>وفي 18 شباط/فبراير 2008،</w:t>
      </w:r>
      <w:r w:rsidR="00386078">
        <w:rPr>
          <w:rFonts w:hint="cs"/>
          <w:rtl/>
        </w:rPr>
        <w:t xml:space="preserve"> </w:t>
      </w:r>
      <w:r>
        <w:rPr>
          <w:rFonts w:hint="cs"/>
          <w:rtl/>
        </w:rPr>
        <w:t>وجّهت</w:t>
      </w:r>
      <w:r w:rsidRPr="00F17892">
        <w:rPr>
          <w:rFonts w:hint="cs"/>
          <w:rtl/>
        </w:rPr>
        <w:t xml:space="preserve"> المجموعة أيضاً </w:t>
      </w:r>
      <w:r>
        <w:rPr>
          <w:rFonts w:hint="cs"/>
          <w:rtl/>
        </w:rPr>
        <w:t>التماساً</w:t>
      </w:r>
      <w:r w:rsidRPr="00F17892">
        <w:rPr>
          <w:rFonts w:hint="cs"/>
          <w:rtl/>
        </w:rPr>
        <w:t xml:space="preserve"> إلى محكمة العدل العليا </w:t>
      </w:r>
      <w:r>
        <w:rPr>
          <w:rFonts w:hint="cs"/>
          <w:rtl/>
        </w:rPr>
        <w:t>لكي</w:t>
      </w:r>
      <w:r w:rsidRPr="00F17892">
        <w:rPr>
          <w:rFonts w:hint="cs"/>
          <w:rtl/>
        </w:rPr>
        <w:t xml:space="preserve"> تعلن عدم دستورية الأوامر الصادرة. وفي 19 ح</w:t>
      </w:r>
      <w:r w:rsidR="00C8638E">
        <w:rPr>
          <w:rFonts w:hint="cs"/>
          <w:rtl/>
        </w:rPr>
        <w:t>زيران/يونيه 2009، بعثت المجموعة</w:t>
      </w:r>
      <w:r>
        <w:rPr>
          <w:rFonts w:hint="cs"/>
          <w:rtl/>
        </w:rPr>
        <w:t xml:space="preserve"> </w:t>
      </w:r>
      <w:r w:rsidRPr="00F17892">
        <w:rPr>
          <w:rFonts w:hint="cs"/>
          <w:rtl/>
        </w:rPr>
        <w:t>رسالة متابعة إلى الرئيس الأول لمحكمة العدل العليا الذي يتولى منصب رئيس المجلس الأعلى للقضاء. ووفقاً للمعلومات التي قدمها صاحب</w:t>
      </w:r>
      <w:r w:rsidR="00C8638E">
        <w:rPr>
          <w:rFonts w:hint="cs"/>
          <w:rtl/>
        </w:rPr>
        <w:t xml:space="preserve"> البلاغ لم</w:t>
      </w:r>
      <w:r>
        <w:rPr>
          <w:rFonts w:hint="cs"/>
          <w:rtl/>
        </w:rPr>
        <w:t xml:space="preserve"> تسفر</w:t>
      </w:r>
      <w:r w:rsidRPr="00F17892">
        <w:rPr>
          <w:rFonts w:hint="cs"/>
          <w:rtl/>
        </w:rPr>
        <w:t xml:space="preserve"> هذه</w:t>
      </w:r>
      <w:r w:rsidR="00386078">
        <w:rPr>
          <w:rFonts w:hint="cs"/>
          <w:rtl/>
        </w:rPr>
        <w:t xml:space="preserve"> </w:t>
      </w:r>
      <w:r>
        <w:rPr>
          <w:rFonts w:hint="cs"/>
          <w:rtl/>
        </w:rPr>
        <w:t>الطلبات جميعا</w:t>
      </w:r>
      <w:r w:rsidR="00C8638E">
        <w:rPr>
          <w:rFonts w:hint="cs"/>
          <w:rtl/>
        </w:rPr>
        <w:t>ً</w:t>
      </w:r>
      <w:r>
        <w:rPr>
          <w:rFonts w:hint="cs"/>
          <w:rtl/>
        </w:rPr>
        <w:t xml:space="preserve"> عن</w:t>
      </w:r>
      <w:r w:rsidRPr="00F17892">
        <w:rPr>
          <w:rFonts w:hint="cs"/>
          <w:rtl/>
        </w:rPr>
        <w:t xml:space="preserve"> أي نتيجة.</w:t>
      </w:r>
    </w:p>
    <w:p w:rsidR="00402FC9" w:rsidRPr="00F17892" w:rsidRDefault="00D84B80" w:rsidP="00752E91">
      <w:pPr>
        <w:pStyle w:val="H23GA"/>
        <w:rPr>
          <w:rtl/>
        </w:rPr>
      </w:pPr>
      <w:r>
        <w:rPr>
          <w:rtl/>
        </w:rPr>
        <w:tab/>
      </w:r>
      <w:r>
        <w:rPr>
          <w:rFonts w:hint="cs"/>
          <w:rtl/>
        </w:rPr>
        <w:tab/>
      </w:r>
      <w:r w:rsidR="00402FC9" w:rsidRPr="00F17892">
        <w:rPr>
          <w:rFonts w:hint="cs"/>
          <w:rtl/>
        </w:rPr>
        <w:t>الشكوى</w:t>
      </w:r>
    </w:p>
    <w:p w:rsidR="00402FC9" w:rsidRDefault="00402FC9" w:rsidP="00752E91">
      <w:pPr>
        <w:pStyle w:val="SingleTxtGA"/>
        <w:rPr>
          <w:rtl/>
        </w:rPr>
      </w:pPr>
      <w:r>
        <w:rPr>
          <w:rFonts w:hint="cs"/>
          <w:rtl/>
        </w:rPr>
        <w:t>3-1</w:t>
      </w:r>
      <w:r>
        <w:rPr>
          <w:rFonts w:hint="cs"/>
          <w:rtl/>
        </w:rPr>
        <w:tab/>
        <w:t>يدعي صاحب البلاغ أن الأوامر ذات الصلة غير</w:t>
      </w:r>
      <w:r w:rsidR="00386078">
        <w:rPr>
          <w:rFonts w:hint="cs"/>
          <w:rtl/>
        </w:rPr>
        <w:t xml:space="preserve"> </w:t>
      </w:r>
      <w:r>
        <w:rPr>
          <w:rFonts w:hint="cs"/>
          <w:rtl/>
        </w:rPr>
        <w:t>قانونية وتكتسي طابعاً تمييزياً وتعسفياً. ولا يستوفي أي من القضاة الذين أحيلوا على التقا</w:t>
      </w:r>
      <w:r w:rsidR="00752E91">
        <w:rPr>
          <w:rFonts w:hint="cs"/>
          <w:rtl/>
        </w:rPr>
        <w:t>عد الشروط المطلوبة بموجب المادة</w:t>
      </w:r>
      <w:r w:rsidR="00752E91">
        <w:rPr>
          <w:rFonts w:hint="eastAsia"/>
          <w:rtl/>
        </w:rPr>
        <w:t> </w:t>
      </w:r>
      <w:r>
        <w:rPr>
          <w:rFonts w:hint="cs"/>
          <w:rtl/>
        </w:rPr>
        <w:t>70 من القانون الأساسي رقم 06/020 ال</w:t>
      </w:r>
      <w:r w:rsidR="00752E91">
        <w:rPr>
          <w:rFonts w:hint="cs"/>
          <w:rtl/>
        </w:rPr>
        <w:t>مؤرخ 10 تشرين الأول/أكتوبر 2006</w:t>
      </w:r>
      <w:r>
        <w:rPr>
          <w:rFonts w:hint="cs"/>
          <w:rtl/>
        </w:rPr>
        <w:t xml:space="preserve"> المتعلق </w:t>
      </w:r>
      <w:r w:rsidRPr="00191260">
        <w:rPr>
          <w:rFonts w:hint="cs"/>
          <w:spacing w:val="-2"/>
          <w:rtl/>
        </w:rPr>
        <w:t>بالنظام الأساسي للقضاة (أن يكون القاضي قد تجاوز الخامسة والستين من العمر أو أمضى</w:t>
      </w:r>
      <w:r>
        <w:rPr>
          <w:rFonts w:hint="cs"/>
          <w:rtl/>
        </w:rPr>
        <w:t xml:space="preserve"> 35 سنة متواصلة في الخدمة)، بينما بقي بعض القضاة الذي تنطبق عليهم هذه الشروط في مهامهم، بل إنهم رقوا في بعض الأحيان. ووفقاً لصاحب البلاغ فإن إحالة هؤلاء القضاة على ال</w:t>
      </w:r>
      <w:r w:rsidR="00191260">
        <w:rPr>
          <w:rFonts w:hint="cs"/>
          <w:rtl/>
        </w:rPr>
        <w:t>تقاعد، وهو الإجراء الذي لا يوجد</w:t>
      </w:r>
      <w:r>
        <w:rPr>
          <w:rFonts w:hint="cs"/>
          <w:rtl/>
        </w:rPr>
        <w:t xml:space="preserve"> أي ظرف طارئ لتبريره، إجراء يتنافى، على ما يبدو،</w:t>
      </w:r>
      <w:r w:rsidR="00191260">
        <w:rPr>
          <w:rFonts w:hint="cs"/>
          <w:rtl/>
        </w:rPr>
        <w:t xml:space="preserve"> </w:t>
      </w:r>
      <w:r w:rsidR="00191260">
        <w:rPr>
          <w:rFonts w:hint="cs"/>
          <w:rtl/>
        </w:rPr>
        <w:lastRenderedPageBreak/>
        <w:t>مع</w:t>
      </w:r>
      <w:r w:rsidR="00191260">
        <w:rPr>
          <w:rFonts w:hint="eastAsia"/>
          <w:rtl/>
        </w:rPr>
        <w:t> </w:t>
      </w:r>
      <w:r>
        <w:rPr>
          <w:rFonts w:hint="cs"/>
          <w:rtl/>
        </w:rPr>
        <w:t>الإقرار بوجود نقص في عدد القضاة في جمهورية الكونغو الديمقراطية، ولا يمكن تفسيره إلا بسعي الحكومة</w:t>
      </w:r>
      <w:r w:rsidR="00191260">
        <w:rPr>
          <w:rFonts w:hint="cs"/>
          <w:rtl/>
        </w:rPr>
        <w:t xml:space="preserve"> إلى إبعاد القضاة الذين تعتبرهم</w:t>
      </w:r>
      <w:r>
        <w:rPr>
          <w:rFonts w:hint="cs"/>
          <w:rtl/>
        </w:rPr>
        <w:t xml:space="preserve"> مصدر إزعاج. ويؤكد صاحب البلاغ أن إقالته لترقية أشخاص مقربين من السلطة يمثل انتهاكاً من جانب الدولة الطرف للمادتين 25 و26 مقروءتين بالاقتران مع المادة 2 من العهد. </w:t>
      </w:r>
    </w:p>
    <w:p w:rsidR="00402FC9" w:rsidRDefault="00402FC9" w:rsidP="00191260">
      <w:pPr>
        <w:pStyle w:val="SingleTxtGA"/>
        <w:rPr>
          <w:rtl/>
        </w:rPr>
      </w:pPr>
      <w:r>
        <w:rPr>
          <w:rFonts w:hint="cs"/>
          <w:rtl/>
        </w:rPr>
        <w:t>3-2</w:t>
      </w:r>
      <w:r>
        <w:rPr>
          <w:rFonts w:hint="cs"/>
          <w:rtl/>
        </w:rPr>
        <w:tab/>
        <w:t>ومن ناحية أخرى، يؤكد صاحب البلاغ أن الأوامر اعتُمدت انتهاكاً للإجراءات المنصوص عليها في الدستور وفي النظام القانوني للقضاة في الدولة الطرف الذي يحكم مسألة إحالة القضاة على التقاعد أو فصلهم. ووفقاً للمواد 82 و149 و152 من الدستور، بوسع رئيس الجمهورية أن يعين القضاة وأعضاء النيابة العامة ويعفيهم من مهامهم ويعزلهم إذا اقتضى الأمر</w:t>
      </w:r>
      <w:r>
        <w:rPr>
          <w:rtl/>
        </w:rPr>
        <w:t xml:space="preserve"> بإصدار</w:t>
      </w:r>
      <w:r>
        <w:rPr>
          <w:rFonts w:hint="cs"/>
          <w:rtl/>
        </w:rPr>
        <w:t xml:space="preserve"> أمر في ذلك، بناء على اقتراح من المجلس الأعلى للقضاء وليس من وزير العدل. ويطلب صاحب البلاغ إلى اللجنة أن تعلن عدم دستورية وعدم قانونية هذه الأوامر الرئاسية.</w:t>
      </w:r>
    </w:p>
    <w:p w:rsidR="00402FC9" w:rsidRDefault="00402FC9" w:rsidP="00191260">
      <w:pPr>
        <w:pStyle w:val="SingleTxtGA"/>
        <w:rPr>
          <w:rtl/>
        </w:rPr>
      </w:pPr>
      <w:r>
        <w:rPr>
          <w:rFonts w:hint="cs"/>
          <w:rtl/>
        </w:rPr>
        <w:t>3-3</w:t>
      </w:r>
      <w:r>
        <w:rPr>
          <w:rFonts w:hint="cs"/>
          <w:rtl/>
        </w:rPr>
        <w:tab/>
        <w:t>ويؤكد صاحب البلاغ أن إحالته على التقاعد مكرهاً كانت انتهاكاً للمادة 3 من العهد، لأن الدولة الطرف لم تمكّنه من التمتع</w:t>
      </w:r>
      <w:r w:rsidR="00191260">
        <w:rPr>
          <w:rFonts w:hint="cs"/>
          <w:rtl/>
        </w:rPr>
        <w:t xml:space="preserve"> بجميع الحقوق المدنية والسياسية</w:t>
      </w:r>
      <w:r>
        <w:rPr>
          <w:rFonts w:hint="cs"/>
          <w:rtl/>
        </w:rPr>
        <w:t xml:space="preserve"> المنصوص عليها في العهد على قدم المساواة مع غيره من المواطنين. ويؤكد أنه استُبدل بقضاة شباب يرى أنهم </w:t>
      </w:r>
      <w:r w:rsidR="00191260">
        <w:rPr>
          <w:rFonts w:hint="cs"/>
          <w:rtl/>
        </w:rPr>
        <w:t>وصلوا</w:t>
      </w:r>
      <w:r>
        <w:rPr>
          <w:rFonts w:hint="cs"/>
          <w:rtl/>
        </w:rPr>
        <w:t xml:space="preserve"> إلى رتبة المحامي العام للجمهورية مبكراً ودون أن يستحقوا هذا المنصب. وأضاف قائلا</w:t>
      </w:r>
      <w:r w:rsidR="00191260">
        <w:rPr>
          <w:rFonts w:hint="cs"/>
          <w:rtl/>
        </w:rPr>
        <w:t>ً</w:t>
      </w:r>
      <w:r>
        <w:rPr>
          <w:rFonts w:hint="cs"/>
          <w:rtl/>
        </w:rPr>
        <w:t xml:space="preserve"> إنه حُرم من إمكانية الحصول على الألقاب الشرفية التي يحصل عليها قضاة محكمة العدل العليا وأعضاء النيابة العامة لدى هذه المحكمة ومن المزايا المرتبطة بهذه الألقاب.</w:t>
      </w:r>
    </w:p>
    <w:p w:rsidR="00402FC9" w:rsidRPr="00340EF1" w:rsidRDefault="00402FC9" w:rsidP="00110C31">
      <w:pPr>
        <w:pStyle w:val="SingleTxtGA"/>
        <w:spacing w:line="360" w:lineRule="exact"/>
        <w:rPr>
          <w:rtl/>
        </w:rPr>
      </w:pPr>
      <w:r w:rsidRPr="00340EF1">
        <w:rPr>
          <w:rFonts w:hint="cs"/>
          <w:rtl/>
        </w:rPr>
        <w:t>3-4</w:t>
      </w:r>
      <w:r w:rsidRPr="00340EF1">
        <w:rPr>
          <w:rFonts w:hint="cs"/>
          <w:rtl/>
        </w:rPr>
        <w:tab/>
        <w:t>ويؤكد صاحب البلاغ أن الدولة الطرف تدعي تبر</w:t>
      </w:r>
      <w:r>
        <w:rPr>
          <w:rFonts w:hint="cs"/>
          <w:rtl/>
        </w:rPr>
        <w:t>ي</w:t>
      </w:r>
      <w:r w:rsidRPr="00340EF1">
        <w:rPr>
          <w:rFonts w:hint="cs"/>
          <w:rtl/>
        </w:rPr>
        <w:t xml:space="preserve">ر الأمر رقم 08/11 المؤرخ 9 شباط/فبراير 2008 </w:t>
      </w:r>
      <w:r>
        <w:rPr>
          <w:rFonts w:hint="cs"/>
          <w:rtl/>
        </w:rPr>
        <w:t>ب</w:t>
      </w:r>
      <w:r w:rsidRPr="00340EF1">
        <w:rPr>
          <w:rFonts w:hint="cs"/>
          <w:rtl/>
        </w:rPr>
        <w:t>ظروف</w:t>
      </w:r>
      <w:r w:rsidR="00386078">
        <w:rPr>
          <w:rFonts w:hint="cs"/>
          <w:rtl/>
        </w:rPr>
        <w:t xml:space="preserve"> </w:t>
      </w:r>
      <w:r w:rsidRPr="00340EF1">
        <w:rPr>
          <w:rFonts w:hint="cs"/>
          <w:rtl/>
        </w:rPr>
        <w:t xml:space="preserve">استثنائية </w:t>
      </w:r>
      <w:r w:rsidR="006939F4">
        <w:rPr>
          <w:rFonts w:hint="cs"/>
          <w:rtl/>
        </w:rPr>
        <w:t>طارئة</w:t>
      </w:r>
      <w:r w:rsidRPr="00340EF1">
        <w:rPr>
          <w:rFonts w:hint="cs"/>
          <w:rtl/>
        </w:rPr>
        <w:t xml:space="preserve"> لم تحددها </w:t>
      </w:r>
      <w:r>
        <w:rPr>
          <w:rFonts w:hint="cs"/>
          <w:rtl/>
        </w:rPr>
        <w:t xml:space="preserve">سلطات الدولة الطرف </w:t>
      </w:r>
      <w:r w:rsidRPr="00340EF1">
        <w:rPr>
          <w:rFonts w:hint="cs"/>
          <w:rtl/>
        </w:rPr>
        <w:t xml:space="preserve">أبداً ولم تُبلِّغ بها، </w:t>
      </w:r>
      <w:r>
        <w:rPr>
          <w:rFonts w:hint="cs"/>
          <w:rtl/>
        </w:rPr>
        <w:t>و</w:t>
      </w:r>
      <w:r w:rsidRPr="00340EF1">
        <w:rPr>
          <w:rFonts w:hint="cs"/>
          <w:rtl/>
        </w:rPr>
        <w:t>في</w:t>
      </w:r>
      <w:r>
        <w:rPr>
          <w:rFonts w:hint="cs"/>
          <w:rtl/>
        </w:rPr>
        <w:t xml:space="preserve"> ذلك</w:t>
      </w:r>
      <w:r w:rsidRPr="00340EF1">
        <w:rPr>
          <w:rFonts w:hint="cs"/>
          <w:rtl/>
        </w:rPr>
        <w:t xml:space="preserve"> انتهاك لمقتضيات الفقرة 3 من المادة 4 من العهد، </w:t>
      </w:r>
      <w:r>
        <w:rPr>
          <w:rFonts w:hint="cs"/>
          <w:rtl/>
        </w:rPr>
        <w:t>ويرى صاحب البلاغ أن ذلك يمثل انتهاكا للمادة 5 من العهد.</w:t>
      </w:r>
    </w:p>
    <w:p w:rsidR="00402FC9" w:rsidRDefault="00402FC9" w:rsidP="00D84B80">
      <w:pPr>
        <w:pStyle w:val="SingleTxtGA"/>
        <w:rPr>
          <w:rtl/>
        </w:rPr>
      </w:pPr>
      <w:r>
        <w:rPr>
          <w:rFonts w:hint="cs"/>
          <w:rtl/>
        </w:rPr>
        <w:t>3-5</w:t>
      </w:r>
      <w:r>
        <w:rPr>
          <w:rFonts w:hint="cs"/>
          <w:rtl/>
        </w:rPr>
        <w:tab/>
        <w:t xml:space="preserve"> وفضلا</w:t>
      </w:r>
      <w:r w:rsidR="00BD7CD1">
        <w:rPr>
          <w:rFonts w:hint="cs"/>
          <w:rtl/>
        </w:rPr>
        <w:t>ً</w:t>
      </w:r>
      <w:r>
        <w:rPr>
          <w:rFonts w:hint="cs"/>
          <w:rtl/>
        </w:rPr>
        <w:t xml:space="preserve"> عن ذلك، يؤكد صاحب البلاغ أن إحالته على التقاعد مكرهاً، الأمر الذي حرمه من جزء كبير من مداخيله في وقت يعاني منه البلد من أزمة، يشكل انتهاكاً للمادتين 6 و10 من العهد</w:t>
      </w:r>
      <w:r>
        <w:rPr>
          <w:vertAlign w:val="superscript"/>
          <w:rtl/>
        </w:rPr>
        <w:t>(</w:t>
      </w:r>
      <w:r>
        <w:rPr>
          <w:rStyle w:val="FootnoteReference"/>
          <w:rtl/>
        </w:rPr>
        <w:footnoteReference w:id="4"/>
      </w:r>
      <w:r>
        <w:rPr>
          <w:vertAlign w:val="superscript"/>
          <w:rtl/>
        </w:rPr>
        <w:t>)</w:t>
      </w:r>
      <w:r>
        <w:rPr>
          <w:rFonts w:hint="cs"/>
          <w:rtl/>
        </w:rPr>
        <w:t>.</w:t>
      </w:r>
    </w:p>
    <w:p w:rsidR="00402FC9" w:rsidRDefault="00402FC9" w:rsidP="006939F4">
      <w:pPr>
        <w:pStyle w:val="H23GA"/>
        <w:rPr>
          <w:rtl/>
        </w:rPr>
      </w:pPr>
      <w:r>
        <w:rPr>
          <w:rFonts w:hint="cs"/>
          <w:rtl/>
        </w:rPr>
        <w:tab/>
      </w:r>
      <w:r>
        <w:rPr>
          <w:rFonts w:hint="cs"/>
          <w:rtl/>
        </w:rPr>
        <w:tab/>
        <w:t>عدم تعاون الدولة الطرف</w:t>
      </w:r>
    </w:p>
    <w:p w:rsidR="00402FC9" w:rsidRPr="00F17892" w:rsidRDefault="00402FC9" w:rsidP="00110C31">
      <w:pPr>
        <w:pStyle w:val="SingleTxtGA"/>
        <w:spacing w:line="360" w:lineRule="exact"/>
        <w:rPr>
          <w:rtl/>
        </w:rPr>
      </w:pPr>
      <w:r w:rsidRPr="00F17892">
        <w:rPr>
          <w:rFonts w:hint="cs"/>
          <w:rtl/>
        </w:rPr>
        <w:t>4-1</w:t>
      </w:r>
      <w:r w:rsidRPr="00F17892">
        <w:rPr>
          <w:rFonts w:hint="cs"/>
          <w:rtl/>
        </w:rPr>
        <w:tab/>
        <w:t>لم تتلق اللجنة أي رد من الدولة الطرف رغم الطلبات والنداءات التي وجهتها إليها</w:t>
      </w:r>
      <w:r w:rsidR="006939F4">
        <w:rPr>
          <w:rFonts w:hint="cs"/>
          <w:rtl/>
        </w:rPr>
        <w:t xml:space="preserve"> في</w:t>
      </w:r>
      <w:r w:rsidR="006939F4">
        <w:rPr>
          <w:rFonts w:hint="eastAsia"/>
          <w:rtl/>
        </w:rPr>
        <w:t> </w:t>
      </w:r>
      <w:r w:rsidRPr="00F17892">
        <w:rPr>
          <w:rFonts w:hint="cs"/>
          <w:rtl/>
        </w:rPr>
        <w:t xml:space="preserve">28 حزيران/يونيه 2011، و2 تشرين الثاني/نوفمبر 2011، و19 نيسان/أبريل 2012، كي تردّ على مزاعم صاحب البلاغ. </w:t>
      </w:r>
    </w:p>
    <w:p w:rsidR="00402FC9" w:rsidRDefault="00402FC9" w:rsidP="00D84B80">
      <w:pPr>
        <w:pStyle w:val="SingleTxtGA"/>
        <w:rPr>
          <w:rtl/>
        </w:rPr>
      </w:pPr>
      <w:r>
        <w:rPr>
          <w:rFonts w:hint="cs"/>
          <w:rtl/>
        </w:rPr>
        <w:t>4-2</w:t>
      </w:r>
      <w:r>
        <w:rPr>
          <w:rFonts w:hint="cs"/>
          <w:rtl/>
        </w:rPr>
        <w:tab/>
        <w:t xml:space="preserve">وتذكِّر اللجنة بأن الدولة الطرف مُلزمة بمقتضى الفقرة 2 من المادة 4 من البروتوكول الاختياري بأن تتعاون مع اللجنة وتقدم لها بحسن نية وفي المهل المحددة، جميع المعلومات التي </w:t>
      </w:r>
      <w:r>
        <w:rPr>
          <w:rFonts w:hint="cs"/>
          <w:rtl/>
        </w:rPr>
        <w:lastRenderedPageBreak/>
        <w:t>بحوزتها كي تتيح للجنة دراسة البلاغ مع مراعاة جميع النقاط المثارة وحجج الطرفين. وتعرب اللجنة عن أسفها لأن الدولة الطرف خالفت هذا الالتزام المنصوص عليه في البروتوكول الاختياري الملزم للدولة الطرف.</w:t>
      </w:r>
    </w:p>
    <w:p w:rsidR="00402FC9" w:rsidRDefault="00402FC9" w:rsidP="00D84B80">
      <w:pPr>
        <w:pStyle w:val="H23GA"/>
        <w:rPr>
          <w:rtl/>
        </w:rPr>
      </w:pPr>
      <w:r>
        <w:rPr>
          <w:rFonts w:hint="cs"/>
          <w:rtl/>
        </w:rPr>
        <w:tab/>
      </w:r>
      <w:r>
        <w:rPr>
          <w:rFonts w:hint="cs"/>
          <w:rtl/>
        </w:rPr>
        <w:tab/>
        <w:t>مداولات اللجنة</w:t>
      </w:r>
    </w:p>
    <w:p w:rsidR="00402FC9" w:rsidRDefault="00402FC9" w:rsidP="00D84B80">
      <w:pPr>
        <w:pStyle w:val="H4GA"/>
        <w:rPr>
          <w:rtl/>
        </w:rPr>
      </w:pPr>
      <w:r>
        <w:rPr>
          <w:rFonts w:hint="cs"/>
          <w:rtl/>
        </w:rPr>
        <w:tab/>
      </w:r>
      <w:r>
        <w:rPr>
          <w:rFonts w:hint="cs"/>
          <w:rtl/>
        </w:rPr>
        <w:tab/>
        <w:t>النظر في المقبولية</w:t>
      </w:r>
    </w:p>
    <w:p w:rsidR="00402FC9" w:rsidRDefault="00402FC9" w:rsidP="00D84B80">
      <w:pPr>
        <w:pStyle w:val="SingleTxtGA"/>
        <w:rPr>
          <w:rtl/>
        </w:rPr>
      </w:pPr>
      <w:r>
        <w:rPr>
          <w:rFonts w:hint="cs"/>
          <w:rtl/>
        </w:rPr>
        <w:t>5-1</w:t>
      </w:r>
      <w:r>
        <w:rPr>
          <w:rFonts w:hint="cs"/>
          <w:rtl/>
        </w:rPr>
        <w:tab/>
        <w:t xml:space="preserve">قبل النظر في أي ادعاء يرد في بلاغ ما، يجب على اللجنة المعنية بحقوق الإنسان، بموجب المادة 93 من نظامها الداخلي، أن تقرر ما إذا كان البلاغ مقبولاً أم لا بموجب البروتوكول الاختياري الملحق بالعهد. </w:t>
      </w:r>
    </w:p>
    <w:p w:rsidR="00402FC9" w:rsidRPr="00F17892" w:rsidRDefault="00402FC9" w:rsidP="00D84B80">
      <w:pPr>
        <w:pStyle w:val="SingleTxtGA"/>
        <w:rPr>
          <w:rtl/>
        </w:rPr>
      </w:pPr>
      <w:r w:rsidRPr="00F17892">
        <w:rPr>
          <w:rFonts w:hint="cs"/>
          <w:rtl/>
        </w:rPr>
        <w:t>5-2</w:t>
      </w:r>
      <w:r w:rsidRPr="00F17892">
        <w:rPr>
          <w:rFonts w:hint="cs"/>
          <w:rtl/>
        </w:rPr>
        <w:tab/>
        <w:t xml:space="preserve">وقد تيقّنت اللجنة، وفق ما </w:t>
      </w:r>
      <w:r>
        <w:rPr>
          <w:rFonts w:hint="cs"/>
          <w:rtl/>
        </w:rPr>
        <w:t xml:space="preserve">تقضيه </w:t>
      </w:r>
      <w:r w:rsidRPr="00F17892">
        <w:rPr>
          <w:rFonts w:hint="cs"/>
          <w:rtl/>
        </w:rPr>
        <w:t>الفقرة 2(أ) من المادة 5 من البروتوكول الاختياري، من أن المسألة نفسها ليست قيد البحث في إطار أي إجراء آخر من إجراءات التحقيق الدولي أو التسوية الدولية.</w:t>
      </w:r>
    </w:p>
    <w:p w:rsidR="00402FC9" w:rsidRDefault="00402FC9" w:rsidP="00D84B80">
      <w:pPr>
        <w:pStyle w:val="SingleTxtGA"/>
        <w:rPr>
          <w:rtl/>
        </w:rPr>
      </w:pPr>
      <w:r>
        <w:rPr>
          <w:rFonts w:hint="cs"/>
          <w:rtl/>
        </w:rPr>
        <w:t>5-3</w:t>
      </w:r>
      <w:r>
        <w:rPr>
          <w:rFonts w:hint="cs"/>
          <w:rtl/>
        </w:rPr>
        <w:tab/>
        <w:t xml:space="preserve">وتلاحظ اللجنة أن صاحب البلاغ طعن عدة مرات في قرار إحالته على التقاعد أمام السلطات المختصة، لكن الدولة الطرف لم ترد على </w:t>
      </w:r>
      <w:r w:rsidR="00110C31">
        <w:rPr>
          <w:rFonts w:hint="cs"/>
          <w:rtl/>
        </w:rPr>
        <w:t>أي من</w:t>
      </w:r>
      <w:r>
        <w:rPr>
          <w:rFonts w:hint="cs"/>
          <w:rtl/>
        </w:rPr>
        <w:t xml:space="preserve"> الطلبات التي قدمها صاحب البلاغ. وبناءً عليه، تخلص اللجنة إلى أن الفقرة 2(ب) من الما</w:t>
      </w:r>
      <w:r w:rsidR="00110C31">
        <w:rPr>
          <w:rFonts w:hint="cs"/>
          <w:rtl/>
        </w:rPr>
        <w:t>دة 5 من البروتوكول الاختياري لا</w:t>
      </w:r>
      <w:r w:rsidR="00110C31">
        <w:rPr>
          <w:rFonts w:hint="eastAsia"/>
          <w:rtl/>
        </w:rPr>
        <w:t> </w:t>
      </w:r>
      <w:r>
        <w:rPr>
          <w:rFonts w:hint="cs"/>
          <w:rtl/>
        </w:rPr>
        <w:t>تشكل عقبة أمام مقبولية البلاغ.</w:t>
      </w:r>
    </w:p>
    <w:p w:rsidR="00402FC9" w:rsidRDefault="00402FC9" w:rsidP="00D84B80">
      <w:pPr>
        <w:pStyle w:val="SingleTxtGA"/>
        <w:rPr>
          <w:rtl/>
        </w:rPr>
      </w:pPr>
      <w:r>
        <w:rPr>
          <w:rFonts w:hint="cs"/>
          <w:rtl/>
        </w:rPr>
        <w:t>5-4</w:t>
      </w:r>
      <w:r>
        <w:rPr>
          <w:rFonts w:hint="cs"/>
          <w:rtl/>
        </w:rPr>
        <w:tab/>
        <w:t>لكن اللجنة تعتبر أن شكوى صاحب البلاغ التي تزعم أن الوقائع كما عرضها تشكل انتهاكاً للمواد 3 و4 و5 و6 و10 و14 من العهد لم تكن موثّقة بأدلة كافية لأغراض المقبولية. لذلك، فإن هذا الجزء من البلاغ غير مقبول بموجب المادة 2 من البروتوكول الاختياري.</w:t>
      </w:r>
    </w:p>
    <w:p w:rsidR="00402FC9" w:rsidRDefault="00402FC9" w:rsidP="00D84B80">
      <w:pPr>
        <w:pStyle w:val="SingleTxtGA"/>
        <w:rPr>
          <w:rtl/>
        </w:rPr>
      </w:pPr>
      <w:r>
        <w:rPr>
          <w:rFonts w:hint="cs"/>
          <w:rtl/>
        </w:rPr>
        <w:t>5-5</w:t>
      </w:r>
      <w:r>
        <w:rPr>
          <w:rFonts w:hint="cs"/>
          <w:rtl/>
        </w:rPr>
        <w:tab/>
        <w:t>ومن ناحية أخرى، تذكِّر الل</w:t>
      </w:r>
      <w:r w:rsidR="00110C31">
        <w:rPr>
          <w:rFonts w:hint="cs"/>
          <w:rtl/>
        </w:rPr>
        <w:t>جنة بأنها غير مختصة بمراقبة مدى</w:t>
      </w:r>
      <w:r>
        <w:rPr>
          <w:rFonts w:hint="cs"/>
          <w:rtl/>
        </w:rPr>
        <w:t xml:space="preserve"> موافقة</w:t>
      </w:r>
      <w:r w:rsidR="00110C31">
        <w:rPr>
          <w:rFonts w:hint="cs"/>
          <w:rtl/>
        </w:rPr>
        <w:t xml:space="preserve"> تشريع وطني ما</w:t>
      </w:r>
      <w:r w:rsidR="00110C31">
        <w:rPr>
          <w:rFonts w:hint="eastAsia"/>
          <w:rtl/>
        </w:rPr>
        <w:t> </w:t>
      </w:r>
      <w:r>
        <w:rPr>
          <w:rFonts w:hint="cs"/>
          <w:rtl/>
        </w:rPr>
        <w:t>للمقتضيات التشريعية أو الدستورية للقانون الداخلي للدولة الطرف. وفي الحالة قيد البحث،</w:t>
      </w:r>
      <w:r w:rsidR="00D300C3">
        <w:rPr>
          <w:rFonts w:hint="cs"/>
          <w:rtl/>
        </w:rPr>
        <w:t xml:space="preserve"> لا</w:t>
      </w:r>
      <w:r w:rsidR="00D300C3">
        <w:rPr>
          <w:rFonts w:hint="eastAsia"/>
          <w:rtl/>
        </w:rPr>
        <w:t> </w:t>
      </w:r>
      <w:r>
        <w:rPr>
          <w:rFonts w:hint="cs"/>
          <w:rtl/>
        </w:rPr>
        <w:t>تتمتع ال</w:t>
      </w:r>
      <w:r w:rsidR="00D300C3">
        <w:rPr>
          <w:rFonts w:hint="cs"/>
          <w:rtl/>
        </w:rPr>
        <w:t>لجنة بالاختصاص الموضوعي لمراقبة</w:t>
      </w:r>
      <w:r>
        <w:rPr>
          <w:rFonts w:hint="cs"/>
          <w:rtl/>
        </w:rPr>
        <w:t xml:space="preserve"> مدى موافقة الأمر الرئاسي بإحالة صاحب البلاغ على التقاعد لأحكام القانون الداخلي الكونغولي.</w:t>
      </w:r>
    </w:p>
    <w:p w:rsidR="00402FC9" w:rsidRDefault="00402FC9" w:rsidP="00D84B80">
      <w:pPr>
        <w:pStyle w:val="SingleTxtGA"/>
        <w:rPr>
          <w:rtl/>
        </w:rPr>
      </w:pPr>
      <w:r>
        <w:rPr>
          <w:rFonts w:hint="cs"/>
          <w:rtl/>
        </w:rPr>
        <w:t>5-6</w:t>
      </w:r>
      <w:r>
        <w:rPr>
          <w:rFonts w:hint="cs"/>
          <w:rtl/>
        </w:rPr>
        <w:tab/>
        <w:t>وفيما يتعلق بمزاعم انتهاك المادتين 25(ج) و26، مقروءتين بالاقتران مع المادة 2 من العهد، تلاحظ ا</w:t>
      </w:r>
      <w:r w:rsidR="00D300C3">
        <w:rPr>
          <w:rFonts w:hint="cs"/>
          <w:rtl/>
        </w:rPr>
        <w:t>للجنة أن المادة 25(ج) تمنح الحق</w:t>
      </w:r>
      <w:r>
        <w:rPr>
          <w:rFonts w:hint="cs"/>
          <w:rtl/>
        </w:rPr>
        <w:t xml:space="preserve"> في تقلّد الوظائف العامة في الظروف العامة ل</w:t>
      </w:r>
      <w:r w:rsidR="00C121BE">
        <w:rPr>
          <w:rFonts w:hint="cs"/>
          <w:rtl/>
        </w:rPr>
        <w:t>لمساواة</w:t>
      </w:r>
      <w:r>
        <w:rPr>
          <w:rFonts w:hint="cs"/>
          <w:rtl/>
        </w:rPr>
        <w:t>، وهو أمر ينطبق، من باب أولى، على الأشخاص الموجودين أصلاً في هذه المناصب</w:t>
      </w:r>
      <w:r>
        <w:rPr>
          <w:vertAlign w:val="superscript"/>
          <w:rtl/>
        </w:rPr>
        <w:t>(</w:t>
      </w:r>
      <w:r>
        <w:rPr>
          <w:rStyle w:val="FootnoteReference"/>
          <w:rtl/>
        </w:rPr>
        <w:footnoteReference w:id="5"/>
      </w:r>
      <w:r>
        <w:rPr>
          <w:vertAlign w:val="superscript"/>
          <w:rtl/>
        </w:rPr>
        <w:t>)</w:t>
      </w:r>
      <w:r>
        <w:rPr>
          <w:rFonts w:hint="cs"/>
          <w:rtl/>
        </w:rPr>
        <w:t xml:space="preserve">، مما يعني مبدئياً أن الشكوى تندرج في إطار هذا الحكم. وتخلص مع ذلك إلى أن صاحب البلاغ لم يقدم أي تفاصيل عن الأدلة التي يستند إليها ليؤكد أن إحالته على التقاعد </w:t>
      </w:r>
      <w:r>
        <w:rPr>
          <w:rFonts w:hint="cs"/>
          <w:rtl/>
        </w:rPr>
        <w:lastRenderedPageBreak/>
        <w:t>تلقائيا</w:t>
      </w:r>
      <w:r w:rsidR="00296697">
        <w:rPr>
          <w:rFonts w:hint="cs"/>
          <w:rtl/>
        </w:rPr>
        <w:t>ً</w:t>
      </w:r>
      <w:r>
        <w:rPr>
          <w:rFonts w:hint="cs"/>
          <w:rtl/>
        </w:rPr>
        <w:t xml:space="preserve"> لا يمكن تفسيرها إلا بسعي الحكومة إلى إزاحة القضاة الذين ترى أنهم يشكلون مصدر إزعاج وترقية أشخاص مقربين من السلطة</w:t>
      </w:r>
      <w:r>
        <w:rPr>
          <w:vertAlign w:val="superscript"/>
          <w:rtl/>
        </w:rPr>
        <w:t>(</w:t>
      </w:r>
      <w:r>
        <w:rPr>
          <w:rStyle w:val="FootnoteReference"/>
          <w:rtl/>
        </w:rPr>
        <w:footnoteReference w:id="6"/>
      </w:r>
      <w:r>
        <w:rPr>
          <w:vertAlign w:val="superscript"/>
          <w:rtl/>
        </w:rPr>
        <w:t>)</w:t>
      </w:r>
      <w:r w:rsidR="00C121BE">
        <w:rPr>
          <w:rFonts w:hint="cs"/>
          <w:rtl/>
        </w:rPr>
        <w:t>. وبالمثل،</w:t>
      </w:r>
      <w:r>
        <w:rPr>
          <w:rFonts w:hint="cs"/>
          <w:rtl/>
        </w:rPr>
        <w:t xml:space="preserve"> تلاحظ اللجنة</w:t>
      </w:r>
      <w:r w:rsidR="00386078">
        <w:rPr>
          <w:rFonts w:hint="cs"/>
          <w:rtl/>
        </w:rPr>
        <w:t xml:space="preserve"> </w:t>
      </w:r>
      <w:r>
        <w:rPr>
          <w:rFonts w:hint="cs"/>
          <w:rtl/>
        </w:rPr>
        <w:t>عدم وجود أية معلومات عن أي سبب يبين تعرّض صاحب البلاغ للتمييز في إحالته على التقاعد تلقائياً</w:t>
      </w:r>
      <w:r>
        <w:rPr>
          <w:vertAlign w:val="superscript"/>
          <w:rtl/>
        </w:rPr>
        <w:t>(</w:t>
      </w:r>
      <w:r>
        <w:rPr>
          <w:rStyle w:val="FootnoteReference"/>
          <w:rtl/>
        </w:rPr>
        <w:footnoteReference w:id="7"/>
      </w:r>
      <w:r>
        <w:rPr>
          <w:vertAlign w:val="superscript"/>
          <w:rtl/>
        </w:rPr>
        <w:t>)</w:t>
      </w:r>
      <w:r>
        <w:rPr>
          <w:rFonts w:hint="cs"/>
          <w:rtl/>
        </w:rPr>
        <w:t>. وترى اللجنة أن صاحب البلاغ لم يقدم، لأغراض المقبولية، الأدلة الكافية لإثبات هذا الادعاء. وتخلص إلى أن الادعاءات التي ساقها صاحب البلاغ بموجب المادتين 25(ج) و26 من العهد غير مقبولة بالنظر إلى المادة 2 من البروتوكول الاختياري.</w:t>
      </w:r>
    </w:p>
    <w:p w:rsidR="00402FC9" w:rsidRPr="000B44B6" w:rsidRDefault="00402FC9" w:rsidP="00D84B80">
      <w:pPr>
        <w:pStyle w:val="SingleTxtGA"/>
        <w:rPr>
          <w:spacing w:val="-2"/>
          <w:rtl/>
        </w:rPr>
      </w:pPr>
      <w:r w:rsidRPr="00955D83">
        <w:rPr>
          <w:rFonts w:hint="cs"/>
          <w:rtl/>
        </w:rPr>
        <w:t>5-7</w:t>
      </w:r>
      <w:r w:rsidRPr="00955D83">
        <w:rPr>
          <w:rFonts w:hint="cs"/>
          <w:rtl/>
        </w:rPr>
        <w:tab/>
        <w:t>وتذكِّر اللجنة، علاوة على ذلك، باجتهاداتها القانونية التي تقول فيها إن المادة 2 من العهد لا يمكن الاحتجاج بها إلا مقترنة بادعاءات تتعلق بانتهاك حق جوهري آخر يكفله العهد</w:t>
      </w:r>
      <w:r w:rsidRPr="00955D83">
        <w:rPr>
          <w:vertAlign w:val="superscript"/>
          <w:rtl/>
        </w:rPr>
        <w:t>(</w:t>
      </w:r>
      <w:r w:rsidRPr="00955D83">
        <w:rPr>
          <w:rStyle w:val="FootnoteReference"/>
          <w:rtl/>
        </w:rPr>
        <w:footnoteReference w:id="8"/>
      </w:r>
      <w:r w:rsidRPr="00955D83">
        <w:rPr>
          <w:vertAlign w:val="superscript"/>
          <w:rtl/>
        </w:rPr>
        <w:t>)</w:t>
      </w:r>
      <w:r w:rsidRPr="00955D83">
        <w:rPr>
          <w:rFonts w:hint="cs"/>
          <w:rtl/>
        </w:rPr>
        <w:t>. وتذكِّر اللجنة أيضاً بأن هذه المادة تنص فقط على توفير الحماية لمن يد</w:t>
      </w:r>
      <w:r>
        <w:rPr>
          <w:rFonts w:hint="cs"/>
          <w:rtl/>
        </w:rPr>
        <w:t>ّ</w:t>
      </w:r>
      <w:r w:rsidRPr="00955D83">
        <w:rPr>
          <w:rFonts w:hint="cs"/>
          <w:rtl/>
        </w:rPr>
        <w:t>عون أنهم ضحايا إذا كانت ادعاءاتهم قائمة على أساس سليم يمكن الاحتجاج به بموجب العهد</w:t>
      </w:r>
      <w:r w:rsidRPr="00955D83">
        <w:rPr>
          <w:vertAlign w:val="superscript"/>
          <w:rtl/>
        </w:rPr>
        <w:t>(</w:t>
      </w:r>
      <w:r w:rsidRPr="00955D83">
        <w:rPr>
          <w:rStyle w:val="FootnoteReference"/>
          <w:rtl/>
        </w:rPr>
        <w:footnoteReference w:id="9"/>
      </w:r>
      <w:r w:rsidRPr="00955D83">
        <w:rPr>
          <w:vertAlign w:val="superscript"/>
          <w:rtl/>
        </w:rPr>
        <w:t>)</w:t>
      </w:r>
      <w:r w:rsidRPr="00955D83">
        <w:rPr>
          <w:rFonts w:hint="cs"/>
          <w:rtl/>
        </w:rPr>
        <w:t xml:space="preserve">. وبما أن صاحب هذا البلاغ لم يثبت، لأغراض المقبولية، ادعاءاته بموجب المادتين 25(ج) و26، </w:t>
      </w:r>
      <w:r w:rsidRPr="000B44B6">
        <w:rPr>
          <w:rFonts w:hint="cs"/>
          <w:spacing w:val="-2"/>
          <w:rtl/>
        </w:rPr>
        <w:t>فإن ادعاء انتهاك المادة 2 من العهد غير مقبول أيضاً بموجب المادة 2 من البروتوكول الاختياري.</w:t>
      </w:r>
    </w:p>
    <w:p w:rsidR="00402FC9" w:rsidRDefault="00402FC9" w:rsidP="000B44B6">
      <w:pPr>
        <w:pStyle w:val="SingleTxtGA"/>
        <w:rPr>
          <w:rtl/>
        </w:rPr>
      </w:pPr>
      <w:r>
        <w:rPr>
          <w:rFonts w:hint="cs"/>
          <w:rtl/>
        </w:rPr>
        <w:t>6-</w:t>
      </w:r>
      <w:r>
        <w:rPr>
          <w:rFonts w:hint="cs"/>
          <w:rtl/>
        </w:rPr>
        <w:tab/>
        <w:t>وبناءً عليه، تقرر اللجنة المعنية بحقوق الإنسان ما يلي:</w:t>
      </w:r>
    </w:p>
    <w:p w:rsidR="00402FC9" w:rsidRDefault="00402FC9" w:rsidP="00D84B80">
      <w:pPr>
        <w:pStyle w:val="SingleTxtGA"/>
        <w:rPr>
          <w:rtl/>
        </w:rPr>
      </w:pPr>
      <w:r>
        <w:rPr>
          <w:rFonts w:hint="cs"/>
          <w:rtl/>
        </w:rPr>
        <w:tab/>
        <w:t>(أ)</w:t>
      </w:r>
      <w:r>
        <w:rPr>
          <w:rFonts w:hint="cs"/>
          <w:rtl/>
        </w:rPr>
        <w:tab/>
        <w:t>أن البلاغ غير مقبول بموجب المادة 2 من البروتوكول الاختياري؛</w:t>
      </w:r>
    </w:p>
    <w:p w:rsidR="00402FC9" w:rsidRDefault="00402FC9" w:rsidP="00D84B80">
      <w:pPr>
        <w:pStyle w:val="SingleTxtGA"/>
        <w:rPr>
          <w:rtl/>
        </w:rPr>
      </w:pPr>
      <w:r>
        <w:rPr>
          <w:rFonts w:hint="cs"/>
          <w:rtl/>
        </w:rPr>
        <w:tab/>
        <w:t>(ب)</w:t>
      </w:r>
      <w:r>
        <w:rPr>
          <w:rFonts w:hint="cs"/>
          <w:rtl/>
        </w:rPr>
        <w:tab/>
        <w:t>أن يبلَّغ هذا القرار إلى الدولة الطرف وصاحب البلاغ.</w:t>
      </w:r>
    </w:p>
    <w:p w:rsidR="00402FC9" w:rsidRPr="00402FC9" w:rsidRDefault="00402FC9" w:rsidP="00402FC9">
      <w:pPr>
        <w:spacing w:before="120"/>
        <w:jc w:val="center"/>
        <w:rPr>
          <w:u w:val="single"/>
          <w:rtl/>
          <w:lang w:bidi="ar-SY"/>
        </w:rPr>
      </w:pPr>
      <w:r>
        <w:rPr>
          <w:u w:val="single"/>
          <w:rtl/>
          <w:lang w:bidi="ar-SY"/>
        </w:rPr>
        <w:tab/>
      </w:r>
      <w:r>
        <w:rPr>
          <w:u w:val="single"/>
          <w:rtl/>
          <w:lang w:bidi="ar-SY"/>
        </w:rPr>
        <w:tab/>
      </w:r>
      <w:r>
        <w:rPr>
          <w:u w:val="single"/>
          <w:rtl/>
          <w:lang w:bidi="ar-SY"/>
        </w:rPr>
        <w:tab/>
      </w:r>
    </w:p>
    <w:sectPr w:rsidR="00402FC9" w:rsidRPr="00402FC9" w:rsidSect="00420D7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B7A" w:rsidRPr="002901D9" w:rsidRDefault="00F97B7A" w:rsidP="002901D9">
      <w:pPr>
        <w:spacing w:after="60" w:line="240" w:lineRule="auto"/>
        <w:rPr>
          <w:i/>
          <w:iCs/>
        </w:rPr>
      </w:pPr>
      <w:r>
        <w:rPr>
          <w:rFonts w:hint="cs"/>
          <w:i/>
          <w:iCs/>
          <w:rtl/>
        </w:rPr>
        <w:t>الحواشي</w:t>
      </w:r>
    </w:p>
  </w:endnote>
  <w:endnote w:type="continuationSeparator" w:id="0">
    <w:p w:rsidR="00F97B7A" w:rsidRDefault="00F97B7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C9" w:rsidRPr="00402FC9" w:rsidRDefault="00402FC9" w:rsidP="00642569">
    <w:pPr>
      <w:pStyle w:val="Footer"/>
      <w:tabs>
        <w:tab w:val="right" w:pos="9598"/>
      </w:tabs>
    </w:pPr>
    <w:r>
      <w:t>GE.15-07128</w:t>
    </w:r>
    <w:r>
      <w:tab/>
    </w:r>
    <w:r w:rsidRPr="00402FC9">
      <w:rPr>
        <w:b/>
        <w:sz w:val="18"/>
      </w:rPr>
      <w:fldChar w:fldCharType="begin"/>
    </w:r>
    <w:r w:rsidRPr="00402FC9">
      <w:rPr>
        <w:b/>
        <w:sz w:val="18"/>
      </w:rPr>
      <w:instrText xml:space="preserve"> PAGE  \* MERGEFORMAT </w:instrText>
    </w:r>
    <w:r w:rsidRPr="00402FC9">
      <w:rPr>
        <w:b/>
        <w:sz w:val="18"/>
      </w:rPr>
      <w:fldChar w:fldCharType="separate"/>
    </w:r>
    <w:r w:rsidR="0050746E">
      <w:rPr>
        <w:b/>
        <w:noProof/>
        <w:sz w:val="18"/>
      </w:rPr>
      <w:t>2</w:t>
    </w:r>
    <w:r w:rsidRPr="00402F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402FC9" w:rsidRDefault="00402FC9" w:rsidP="006959B0">
    <w:pPr>
      <w:pStyle w:val="Footer"/>
      <w:tabs>
        <w:tab w:val="right" w:pos="9599"/>
      </w:tabs>
      <w:jc w:val="left"/>
      <w:rPr>
        <w:b/>
        <w:sz w:val="18"/>
        <w:lang w:val="en-US"/>
      </w:rPr>
    </w:pPr>
    <w:r w:rsidRPr="00402FC9">
      <w:rPr>
        <w:b/>
        <w:sz w:val="18"/>
        <w:lang w:val="en-US"/>
      </w:rPr>
      <w:fldChar w:fldCharType="begin"/>
    </w:r>
    <w:r w:rsidRPr="00402FC9">
      <w:rPr>
        <w:b/>
        <w:sz w:val="18"/>
        <w:lang w:val="en-US"/>
      </w:rPr>
      <w:instrText xml:space="preserve"> PAGE  \* MERGEFORMAT </w:instrText>
    </w:r>
    <w:r w:rsidRPr="00402FC9">
      <w:rPr>
        <w:b/>
        <w:sz w:val="18"/>
        <w:lang w:val="en-US"/>
      </w:rPr>
      <w:fldChar w:fldCharType="separate"/>
    </w:r>
    <w:r w:rsidR="0050746E">
      <w:rPr>
        <w:b/>
        <w:noProof/>
        <w:sz w:val="18"/>
        <w:lang w:val="en-US"/>
      </w:rPr>
      <w:t>7</w:t>
    </w:r>
    <w:r w:rsidRPr="00402FC9">
      <w:rPr>
        <w:b/>
        <w:sz w:val="18"/>
        <w:lang w:val="en-US"/>
      </w:rPr>
      <w:fldChar w:fldCharType="end"/>
    </w:r>
    <w:r>
      <w:rPr>
        <w:b/>
        <w:sz w:val="18"/>
        <w:lang w:val="en-US"/>
      </w:rPr>
      <w:tab/>
    </w:r>
    <w:r>
      <w:rPr>
        <w:lang w:val="en-US"/>
      </w:rPr>
      <w:t>GE.15-07128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237D4F" w:rsidP="00402FC9">
    <w:pPr>
      <w:pStyle w:val="Footer"/>
      <w:jc w:val="right"/>
    </w:pPr>
    <w:r>
      <w:rPr>
        <w:sz w:val="20"/>
      </w:rPr>
      <w:t xml:space="preserve">230615    230615 </w:t>
    </w:r>
    <w:r w:rsidR="00402FC9">
      <w:rPr>
        <w:sz w:val="20"/>
      </w:rPr>
      <w:t xml:space="preserve">   GE.15-07128</w:t>
    </w:r>
    <w:r>
      <w:rPr>
        <w:sz w:val="20"/>
      </w:rPr>
      <w:t xml:space="preserve"> (</w:t>
    </w:r>
    <w:r w:rsidR="00402FC9">
      <w:rPr>
        <w:sz w:val="20"/>
      </w:rPr>
      <w:t>A</w:t>
    </w:r>
    <w:r w:rsidR="00D914A7">
      <w:rPr>
        <w:noProof/>
        <w:lang w:val="en-US"/>
      </w:rPr>
      <w:drawing>
        <wp:anchor distT="0" distB="0" distL="114300" distR="114300" simplePos="0" relativeHeight="251658240" behindDoc="1" locked="1" layoutInCell="0" allowOverlap="1" wp14:anchorId="5DD62B18" wp14:editId="7C401381">
          <wp:simplePos x="0" y="0"/>
          <wp:positionH relativeFrom="margin">
            <wp:posOffset>706755</wp:posOffset>
          </wp:positionH>
          <wp:positionV relativeFrom="margin">
            <wp:posOffset>8260715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w:t>
    </w:r>
    <w:r w:rsidR="0050746E">
      <w:br/>
    </w:r>
    <w:r w:rsidR="0050746E" w:rsidRPr="0050746E">
      <w:rPr>
        <w:rFonts w:ascii="C39T30Lfz" w:hAnsi="C39T30Lfz"/>
        <w:sz w:val="56"/>
      </w:rPr>
      <w:t></w:t>
    </w:r>
    <w:r w:rsidR="0050746E" w:rsidRPr="0050746E">
      <w:rPr>
        <w:rFonts w:ascii="C39T30Lfz" w:hAnsi="C39T30Lfz"/>
        <w:sz w:val="56"/>
      </w:rPr>
      <w:t></w:t>
    </w:r>
    <w:r w:rsidR="0050746E" w:rsidRPr="0050746E">
      <w:rPr>
        <w:rFonts w:ascii="C39T30Lfz" w:hAnsi="C39T30Lfz"/>
        <w:sz w:val="56"/>
      </w:rPr>
      <w:t></w:t>
    </w:r>
    <w:r w:rsidR="0050746E" w:rsidRPr="0050746E">
      <w:rPr>
        <w:rFonts w:ascii="C39T30Lfz" w:hAnsi="C39T30Lfz"/>
        <w:sz w:val="56"/>
      </w:rPr>
      <w:t></w:t>
    </w:r>
    <w:r w:rsidR="0050746E" w:rsidRPr="0050746E">
      <w:rPr>
        <w:rFonts w:ascii="C39T30Lfz" w:hAnsi="C39T30Lfz"/>
        <w:sz w:val="56"/>
      </w:rPr>
      <w:t></w:t>
    </w:r>
    <w:r w:rsidR="0050746E" w:rsidRPr="0050746E">
      <w:rPr>
        <w:rFonts w:ascii="C39T30Lfz" w:hAnsi="C39T30Lfz"/>
        <w:sz w:val="56"/>
      </w:rPr>
      <w:t></w:t>
    </w:r>
    <w:r w:rsidR="0050746E" w:rsidRPr="0050746E">
      <w:rPr>
        <w:rFonts w:ascii="C39T30Lfz" w:hAnsi="C39T30Lfz"/>
        <w:sz w:val="56"/>
      </w:rPr>
      <w:t></w:t>
    </w:r>
    <w:r w:rsidR="0050746E" w:rsidRPr="0050746E">
      <w:rPr>
        <w:rFonts w:ascii="C39T30Lfz" w:hAnsi="C39T30Lfz"/>
        <w:sz w:val="56"/>
      </w:rPr>
      <w:t></w:t>
    </w:r>
    <w:r w:rsidR="0050746E" w:rsidRPr="0050746E">
      <w:rPr>
        <w:rFonts w:ascii="C39T30Lfz" w:hAnsi="C39T30Lfz"/>
        <w:sz w:val="56"/>
      </w:rPr>
      <w:t></w:t>
    </w:r>
    <w:r w:rsidR="0050746E">
      <w:rPr>
        <w:rFonts w:ascii="C39T30Lfz" w:hAnsi="C39T30Lfz"/>
        <w:sz w:val="56"/>
      </w:rPr>
      <w:tab/>
    </w:r>
    <w:r w:rsidR="0050746E">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113/D/1971/2010&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3/D/1971/2010&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B7A" w:rsidRDefault="00F97B7A" w:rsidP="000437B8">
      <w:pPr>
        <w:pStyle w:val="Footer"/>
        <w:bidi/>
        <w:spacing w:after="80" w:line="200" w:lineRule="exact"/>
        <w:ind w:left="680"/>
      </w:pPr>
      <w:r>
        <w:rPr>
          <w:rtl/>
        </w:rPr>
        <w:t>__________</w:t>
      </w:r>
    </w:p>
  </w:footnote>
  <w:footnote w:type="continuationSeparator" w:id="0">
    <w:p w:rsidR="00F97B7A" w:rsidRDefault="00F97B7A" w:rsidP="00656392">
      <w:pPr>
        <w:spacing w:line="240" w:lineRule="auto"/>
      </w:pPr>
      <w:r>
        <w:continuationSeparator/>
      </w:r>
    </w:p>
  </w:footnote>
  <w:footnote w:id="1">
    <w:p w:rsidR="00402FC9" w:rsidRPr="00EB5C9F" w:rsidRDefault="00402FC9" w:rsidP="00752E91">
      <w:pPr>
        <w:pStyle w:val="FootnoteText1"/>
        <w:ind w:hanging="397"/>
        <w:rPr>
          <w:rtl/>
        </w:rPr>
      </w:pPr>
      <w:r>
        <w:rPr>
          <w:rtl/>
        </w:rPr>
        <w:t>*</w:t>
      </w:r>
      <w:r>
        <w:rPr>
          <w:rtl/>
        </w:rPr>
        <w:tab/>
      </w:r>
      <w:r>
        <w:rPr>
          <w:rFonts w:hint="cs"/>
          <w:rtl/>
        </w:rPr>
        <w:t xml:space="preserve">شارك في دراسة هذا البلاغ أعضاء اللجنة التالية أسماؤهم: السيد عياض بن عاشور، والسيدة سارة كليفلاند، والسيد </w:t>
      </w:r>
      <w:proofErr w:type="spellStart"/>
      <w:r>
        <w:rPr>
          <w:rFonts w:hint="cs"/>
          <w:rtl/>
        </w:rPr>
        <w:t>أوليفييه</w:t>
      </w:r>
      <w:proofErr w:type="spellEnd"/>
      <w:r>
        <w:rPr>
          <w:rFonts w:hint="cs"/>
          <w:rtl/>
        </w:rPr>
        <w:t xml:space="preserve"> دو </w:t>
      </w:r>
      <w:proofErr w:type="spellStart"/>
      <w:r>
        <w:rPr>
          <w:rFonts w:hint="cs"/>
          <w:rtl/>
        </w:rPr>
        <w:t>فروفيل</w:t>
      </w:r>
      <w:proofErr w:type="spellEnd"/>
      <w:r>
        <w:rPr>
          <w:rFonts w:hint="cs"/>
          <w:rtl/>
        </w:rPr>
        <w:t xml:space="preserve">، والسيد يوجي </w:t>
      </w:r>
      <w:proofErr w:type="spellStart"/>
      <w:r>
        <w:rPr>
          <w:rFonts w:hint="cs"/>
          <w:rtl/>
        </w:rPr>
        <w:t>إواساوا</w:t>
      </w:r>
      <w:proofErr w:type="spellEnd"/>
      <w:r>
        <w:rPr>
          <w:rFonts w:hint="cs"/>
          <w:rtl/>
        </w:rPr>
        <w:t xml:space="preserve">، والسيدة إيفانا </w:t>
      </w:r>
      <w:proofErr w:type="spellStart"/>
      <w:r>
        <w:rPr>
          <w:rFonts w:hint="cs"/>
          <w:rtl/>
        </w:rPr>
        <w:t>يليتش</w:t>
      </w:r>
      <w:proofErr w:type="spellEnd"/>
      <w:r>
        <w:rPr>
          <w:rFonts w:hint="cs"/>
          <w:rtl/>
        </w:rPr>
        <w:t xml:space="preserve">، والسيد </w:t>
      </w:r>
      <w:proofErr w:type="spellStart"/>
      <w:r>
        <w:rPr>
          <w:rFonts w:hint="cs"/>
          <w:rtl/>
        </w:rPr>
        <w:t>دونكان</w:t>
      </w:r>
      <w:proofErr w:type="spellEnd"/>
      <w:r>
        <w:rPr>
          <w:rFonts w:hint="cs"/>
          <w:rtl/>
        </w:rPr>
        <w:t xml:space="preserve"> </w:t>
      </w:r>
      <w:proofErr w:type="spellStart"/>
      <w:r>
        <w:rPr>
          <w:rFonts w:hint="cs"/>
          <w:rtl/>
        </w:rPr>
        <w:t>موهوموزا</w:t>
      </w:r>
      <w:proofErr w:type="spellEnd"/>
      <w:r>
        <w:rPr>
          <w:rFonts w:hint="cs"/>
          <w:rtl/>
        </w:rPr>
        <w:t xml:space="preserve"> </w:t>
      </w:r>
      <w:proofErr w:type="spellStart"/>
      <w:r>
        <w:rPr>
          <w:rFonts w:hint="cs"/>
          <w:rtl/>
        </w:rPr>
        <w:t>لاكي</w:t>
      </w:r>
      <w:proofErr w:type="spellEnd"/>
      <w:r>
        <w:rPr>
          <w:rFonts w:hint="cs"/>
          <w:rtl/>
        </w:rPr>
        <w:t xml:space="preserve">، </w:t>
      </w:r>
      <w:r w:rsidRPr="00924823">
        <w:rPr>
          <w:rFonts w:hint="cs"/>
          <w:spacing w:val="-2"/>
          <w:rtl/>
        </w:rPr>
        <w:t xml:space="preserve">والسيد فوتيني </w:t>
      </w:r>
      <w:proofErr w:type="spellStart"/>
      <w:r w:rsidRPr="00924823">
        <w:rPr>
          <w:rFonts w:hint="cs"/>
          <w:spacing w:val="-2"/>
          <w:rtl/>
        </w:rPr>
        <w:t>بازارتزيس</w:t>
      </w:r>
      <w:proofErr w:type="spellEnd"/>
      <w:r w:rsidRPr="00924823">
        <w:rPr>
          <w:rFonts w:hint="cs"/>
          <w:spacing w:val="-2"/>
          <w:rtl/>
        </w:rPr>
        <w:t xml:space="preserve">، والسيد </w:t>
      </w:r>
      <w:proofErr w:type="spellStart"/>
      <w:r w:rsidRPr="00924823">
        <w:rPr>
          <w:rFonts w:hint="cs"/>
          <w:spacing w:val="-2"/>
          <w:rtl/>
        </w:rPr>
        <w:t>ماورو</w:t>
      </w:r>
      <w:proofErr w:type="spellEnd"/>
      <w:r w:rsidRPr="00924823">
        <w:rPr>
          <w:rFonts w:hint="cs"/>
          <w:spacing w:val="-2"/>
          <w:rtl/>
        </w:rPr>
        <w:t xml:space="preserve"> بوليتي، والسير ناجيل </w:t>
      </w:r>
      <w:proofErr w:type="spellStart"/>
      <w:r w:rsidRPr="00924823">
        <w:rPr>
          <w:rFonts w:hint="cs"/>
          <w:spacing w:val="-2"/>
          <w:rtl/>
        </w:rPr>
        <w:t>رودلي</w:t>
      </w:r>
      <w:proofErr w:type="spellEnd"/>
      <w:r w:rsidRPr="00924823">
        <w:rPr>
          <w:rFonts w:hint="cs"/>
          <w:spacing w:val="-2"/>
          <w:rtl/>
        </w:rPr>
        <w:t xml:space="preserve">، والسيد فيكتور مانويل </w:t>
      </w:r>
      <w:proofErr w:type="spellStart"/>
      <w:r w:rsidRPr="00924823">
        <w:rPr>
          <w:rFonts w:hint="cs"/>
          <w:spacing w:val="-2"/>
          <w:rtl/>
        </w:rPr>
        <w:t>ورديغي</w:t>
      </w:r>
      <w:r w:rsidR="00924823" w:rsidRPr="00924823">
        <w:rPr>
          <w:rFonts w:hint="cs"/>
          <w:spacing w:val="-2"/>
          <w:rtl/>
        </w:rPr>
        <w:t>س</w:t>
      </w:r>
      <w:proofErr w:type="spellEnd"/>
      <w:r w:rsidR="00924823" w:rsidRPr="00924823">
        <w:rPr>
          <w:rFonts w:hint="cs"/>
          <w:spacing w:val="-2"/>
          <w:rtl/>
        </w:rPr>
        <w:t xml:space="preserve"> - </w:t>
      </w:r>
      <w:proofErr w:type="spellStart"/>
      <w:r w:rsidR="00924823" w:rsidRPr="00924823">
        <w:rPr>
          <w:rFonts w:hint="cs"/>
          <w:spacing w:val="-2"/>
          <w:rtl/>
        </w:rPr>
        <w:t>ريس</w:t>
      </w:r>
      <w:r w:rsidRPr="00924823">
        <w:rPr>
          <w:rFonts w:hint="cs"/>
          <w:spacing w:val="-2"/>
          <w:rtl/>
        </w:rPr>
        <w:t>يا</w:t>
      </w:r>
      <w:proofErr w:type="spellEnd"/>
      <w:r w:rsidRPr="00924823">
        <w:rPr>
          <w:rFonts w:hint="cs"/>
          <w:spacing w:val="-2"/>
          <w:rtl/>
        </w:rPr>
        <w:t>،</w:t>
      </w:r>
      <w:r>
        <w:rPr>
          <w:rFonts w:hint="cs"/>
          <w:rtl/>
        </w:rPr>
        <w:t xml:space="preserve"> والسيد فابيان عمر </w:t>
      </w:r>
      <w:proofErr w:type="spellStart"/>
      <w:r>
        <w:rPr>
          <w:rFonts w:hint="cs"/>
          <w:rtl/>
        </w:rPr>
        <w:t>سالفيول</w:t>
      </w:r>
      <w:r>
        <w:rPr>
          <w:rFonts w:hint="eastAsia"/>
          <w:rtl/>
        </w:rPr>
        <w:t>ي</w:t>
      </w:r>
      <w:proofErr w:type="spellEnd"/>
      <w:r>
        <w:rPr>
          <w:rFonts w:hint="cs"/>
          <w:rtl/>
        </w:rPr>
        <w:t xml:space="preserve">، والسيد </w:t>
      </w:r>
      <w:proofErr w:type="spellStart"/>
      <w:r>
        <w:rPr>
          <w:rFonts w:hint="cs"/>
          <w:rtl/>
        </w:rPr>
        <w:t>ديروجلا</w:t>
      </w:r>
      <w:r>
        <w:rPr>
          <w:rFonts w:hint="eastAsia"/>
          <w:rtl/>
        </w:rPr>
        <w:t>ل</w:t>
      </w:r>
      <w:proofErr w:type="spellEnd"/>
      <w:r>
        <w:rPr>
          <w:rFonts w:hint="cs"/>
          <w:rtl/>
        </w:rPr>
        <w:t xml:space="preserve"> </w:t>
      </w:r>
      <w:proofErr w:type="spellStart"/>
      <w:r>
        <w:rPr>
          <w:rFonts w:hint="cs"/>
          <w:rtl/>
        </w:rPr>
        <w:t>سيتولسينغ</w:t>
      </w:r>
      <w:proofErr w:type="spellEnd"/>
      <w:r>
        <w:rPr>
          <w:rFonts w:hint="cs"/>
          <w:rtl/>
        </w:rPr>
        <w:t>، والسيدة آن</w:t>
      </w:r>
      <w:r w:rsidR="00924823">
        <w:rPr>
          <w:rFonts w:hint="cs"/>
          <w:rtl/>
        </w:rPr>
        <w:t xml:space="preserve">يا </w:t>
      </w:r>
      <w:proofErr w:type="spellStart"/>
      <w:r w:rsidR="00924823">
        <w:rPr>
          <w:rFonts w:hint="cs"/>
          <w:rtl/>
        </w:rPr>
        <w:t>سيبرت</w:t>
      </w:r>
      <w:proofErr w:type="spellEnd"/>
      <w:r w:rsidR="00924823">
        <w:rPr>
          <w:rFonts w:hint="cs"/>
          <w:rtl/>
        </w:rPr>
        <w:t xml:space="preserve"> - فوهر، والسيد يوفال </w:t>
      </w:r>
      <w:proofErr w:type="spellStart"/>
      <w:r w:rsidR="00924823">
        <w:rPr>
          <w:rFonts w:hint="cs"/>
          <w:rtl/>
        </w:rPr>
        <w:t>شا</w:t>
      </w:r>
      <w:r>
        <w:rPr>
          <w:rFonts w:hint="cs"/>
          <w:rtl/>
        </w:rPr>
        <w:t>ني</w:t>
      </w:r>
      <w:proofErr w:type="spellEnd"/>
      <w:r>
        <w:rPr>
          <w:rFonts w:hint="cs"/>
          <w:rtl/>
        </w:rPr>
        <w:t>، والسيد</w:t>
      </w:r>
      <w:r w:rsidR="00386078">
        <w:rPr>
          <w:rFonts w:hint="cs"/>
          <w:rtl/>
        </w:rPr>
        <w:t xml:space="preserve"> </w:t>
      </w:r>
      <w:proofErr w:type="spellStart"/>
      <w:r w:rsidR="00924823">
        <w:rPr>
          <w:rFonts w:hint="cs"/>
          <w:rtl/>
        </w:rPr>
        <w:t>كونست</w:t>
      </w:r>
      <w:r>
        <w:rPr>
          <w:rFonts w:hint="cs"/>
          <w:rtl/>
        </w:rPr>
        <w:t>نتين</w:t>
      </w:r>
      <w:proofErr w:type="spellEnd"/>
      <w:r>
        <w:rPr>
          <w:rFonts w:hint="cs"/>
          <w:rtl/>
        </w:rPr>
        <w:t xml:space="preserve"> </w:t>
      </w:r>
      <w:proofErr w:type="spellStart"/>
      <w:r>
        <w:rPr>
          <w:rFonts w:hint="cs"/>
          <w:rtl/>
        </w:rPr>
        <w:t>فاردزيلاشفيلي</w:t>
      </w:r>
      <w:proofErr w:type="spellEnd"/>
      <w:r>
        <w:rPr>
          <w:rFonts w:hint="cs"/>
          <w:rtl/>
        </w:rPr>
        <w:t xml:space="preserve">، والسيدة مارغو </w:t>
      </w:r>
      <w:proofErr w:type="spellStart"/>
      <w:r>
        <w:rPr>
          <w:rFonts w:hint="cs"/>
          <w:rtl/>
        </w:rPr>
        <w:t>واترفال</w:t>
      </w:r>
      <w:proofErr w:type="spellEnd"/>
      <w:r>
        <w:rPr>
          <w:rFonts w:hint="cs"/>
          <w:rtl/>
        </w:rPr>
        <w:t>.</w:t>
      </w:r>
    </w:p>
  </w:footnote>
  <w:footnote w:id="2">
    <w:p w:rsidR="00402FC9" w:rsidRPr="000255AD" w:rsidRDefault="00402FC9" w:rsidP="001F0645">
      <w:pPr>
        <w:pStyle w:val="FootnoteText1"/>
      </w:pPr>
      <w:r w:rsidRPr="000255AD">
        <w:rPr>
          <w:rtl/>
        </w:rPr>
        <w:t>(</w:t>
      </w:r>
      <w:r w:rsidRPr="000255AD">
        <w:rPr>
          <w:rStyle w:val="FootnoteReference"/>
          <w:vertAlign w:val="baseline"/>
        </w:rPr>
        <w:footnoteRef/>
      </w:r>
      <w:r>
        <w:rPr>
          <w:sz w:val="26"/>
          <w:rtl/>
        </w:rPr>
        <w:t>)</w:t>
      </w:r>
      <w:r>
        <w:rPr>
          <w:sz w:val="26"/>
          <w:rtl/>
        </w:rPr>
        <w:tab/>
      </w:r>
      <w:r>
        <w:rPr>
          <w:rFonts w:hint="cs"/>
          <w:rtl/>
        </w:rPr>
        <w:t>القانون الأساسي رقم 06/020 المؤرخ 10 تشرين الأول/أكتوبر 2006،</w:t>
      </w:r>
      <w:r w:rsidR="00386078">
        <w:rPr>
          <w:rFonts w:hint="cs"/>
          <w:rtl/>
        </w:rPr>
        <w:t xml:space="preserve"> </w:t>
      </w:r>
      <w:r>
        <w:rPr>
          <w:rFonts w:hint="cs"/>
          <w:rtl/>
        </w:rPr>
        <w:t>المتعلق بالنظام الأساسي للقضاة، المادة 70.</w:t>
      </w:r>
    </w:p>
  </w:footnote>
  <w:footnote w:id="3">
    <w:p w:rsidR="00402FC9" w:rsidRPr="000255AD" w:rsidRDefault="00402FC9" w:rsidP="001F0645">
      <w:pPr>
        <w:pStyle w:val="FootnoteText1"/>
      </w:pPr>
      <w:r w:rsidRPr="000255AD">
        <w:rPr>
          <w:rtl/>
        </w:rPr>
        <w:t>(</w:t>
      </w:r>
      <w:r w:rsidRPr="000255AD">
        <w:rPr>
          <w:rStyle w:val="FootnoteReference"/>
          <w:vertAlign w:val="baseline"/>
        </w:rPr>
        <w:footnoteRef/>
      </w:r>
      <w:r>
        <w:rPr>
          <w:sz w:val="26"/>
          <w:rtl/>
        </w:rPr>
        <w:t>)</w:t>
      </w:r>
      <w:r>
        <w:rPr>
          <w:sz w:val="26"/>
          <w:rtl/>
        </w:rPr>
        <w:tab/>
      </w:r>
      <w:r>
        <w:rPr>
          <w:rFonts w:hint="cs"/>
          <w:sz w:val="26"/>
          <w:rtl/>
        </w:rPr>
        <w:t xml:space="preserve">البلاغ رقم 933/2000، </w:t>
      </w:r>
      <w:r w:rsidRPr="00B445FC">
        <w:rPr>
          <w:rFonts w:hint="cs"/>
          <w:i/>
          <w:iCs/>
          <w:rtl/>
        </w:rPr>
        <w:t xml:space="preserve">أدريان </w:t>
      </w:r>
      <w:proofErr w:type="spellStart"/>
      <w:r w:rsidRPr="00B445FC">
        <w:rPr>
          <w:rFonts w:hint="cs"/>
          <w:i/>
          <w:iCs/>
          <w:rtl/>
        </w:rPr>
        <w:t>مونديو</w:t>
      </w:r>
      <w:proofErr w:type="spellEnd"/>
      <w:r w:rsidRPr="00B445FC">
        <w:rPr>
          <w:rFonts w:hint="cs"/>
          <w:i/>
          <w:iCs/>
          <w:rtl/>
        </w:rPr>
        <w:t xml:space="preserve"> </w:t>
      </w:r>
      <w:proofErr w:type="spellStart"/>
      <w:r w:rsidRPr="00B445FC">
        <w:rPr>
          <w:rFonts w:hint="cs"/>
          <w:i/>
          <w:iCs/>
          <w:rtl/>
        </w:rPr>
        <w:t>بوسيو</w:t>
      </w:r>
      <w:proofErr w:type="spellEnd"/>
      <w:r w:rsidRPr="00B445FC">
        <w:rPr>
          <w:rFonts w:hint="cs"/>
          <w:i/>
          <w:iCs/>
          <w:rtl/>
        </w:rPr>
        <w:t xml:space="preserve">، وتوماس </w:t>
      </w:r>
      <w:proofErr w:type="spellStart"/>
      <w:r w:rsidRPr="00B445FC">
        <w:rPr>
          <w:rFonts w:hint="cs"/>
          <w:i/>
          <w:iCs/>
          <w:rtl/>
        </w:rPr>
        <w:t>أوستودي</w:t>
      </w:r>
      <w:proofErr w:type="spellEnd"/>
      <w:r w:rsidRPr="00B445FC">
        <w:rPr>
          <w:rFonts w:hint="cs"/>
          <w:i/>
          <w:iCs/>
          <w:rtl/>
        </w:rPr>
        <w:t xml:space="preserve"> </w:t>
      </w:r>
      <w:proofErr w:type="spellStart"/>
      <w:r w:rsidRPr="00B445FC">
        <w:rPr>
          <w:rFonts w:hint="cs"/>
          <w:i/>
          <w:iCs/>
          <w:rtl/>
        </w:rPr>
        <w:t>وونجودي</w:t>
      </w:r>
      <w:proofErr w:type="spellEnd"/>
      <w:r w:rsidRPr="00B445FC">
        <w:rPr>
          <w:rFonts w:hint="cs"/>
          <w:i/>
          <w:iCs/>
          <w:rtl/>
        </w:rPr>
        <w:t xml:space="preserve">، </w:t>
      </w:r>
      <w:proofErr w:type="spellStart"/>
      <w:r w:rsidRPr="00B445FC">
        <w:rPr>
          <w:rFonts w:hint="cs"/>
          <w:i/>
          <w:iCs/>
          <w:rtl/>
        </w:rPr>
        <w:t>ورينيه</w:t>
      </w:r>
      <w:proofErr w:type="spellEnd"/>
      <w:r w:rsidRPr="00B445FC">
        <w:rPr>
          <w:rFonts w:hint="cs"/>
          <w:i/>
          <w:iCs/>
          <w:rtl/>
        </w:rPr>
        <w:t xml:space="preserve"> سيبو </w:t>
      </w:r>
      <w:proofErr w:type="spellStart"/>
      <w:r w:rsidRPr="00B445FC">
        <w:rPr>
          <w:rFonts w:hint="cs"/>
          <w:i/>
          <w:iCs/>
          <w:rtl/>
        </w:rPr>
        <w:t>ماتوبوكوا</w:t>
      </w:r>
      <w:proofErr w:type="spellEnd"/>
      <w:r w:rsidRPr="00B445FC">
        <w:rPr>
          <w:rFonts w:hint="cs"/>
          <w:i/>
          <w:iCs/>
          <w:rtl/>
        </w:rPr>
        <w:t xml:space="preserve"> وآخرون ضد جمهورية الكونغو الديمقراطية،</w:t>
      </w:r>
      <w:r>
        <w:rPr>
          <w:rFonts w:hint="cs"/>
          <w:rtl/>
        </w:rPr>
        <w:t xml:space="preserve"> الآراء المعتمدة في 31 تموز/يوليه 2003، التي رأت فيها اللجنة أن الدولة الطرف انتهكت الفقرة 1 من المادة 14، مقروءة بالاقتران مع الفقرة ج من المادة 25، بعزلها 315 قاضياً بموجب المرسوم الرئاسي رقم 144 المؤرخ 6 تشرين الثاني/نوفمبر 1998. ويشير المرسوم إلى أن القضاة المعزولين البالغ عددهم 315 قاضياً "ذوي أخلاق مريبة، أو فاسدين، أو تركوا وظائفهم، أو يثبت (ثبت) عدم كفاءتهم بوضوح، وهو سلوك يتعارض مع واجبات مهنتهم، ومع شرف وكرامة وظائفهم". ولاحظت اللجنة أن الإجراءات والضمانات المنصوص عليها فيما يتعلق بالعقوبة التأديبية، كعزل القضاة، لم تحترم ولا تحترم مبدأ الإنصاف والمحاكمة الحضورية. وبالتالي، خلصت إلى أن لأصحاب البلاغ الحق في العودة إلى وظائفهم والحصول على تعويض.</w:t>
      </w:r>
    </w:p>
  </w:footnote>
  <w:footnote w:id="4">
    <w:p w:rsidR="00402FC9" w:rsidRPr="00C82983" w:rsidRDefault="00402FC9" w:rsidP="001F0645">
      <w:pPr>
        <w:pStyle w:val="FootnoteText1"/>
      </w:pPr>
      <w:r w:rsidRPr="00C82983">
        <w:rPr>
          <w:rtl/>
        </w:rPr>
        <w:t>(</w:t>
      </w:r>
      <w:r w:rsidRPr="00C82983">
        <w:rPr>
          <w:rStyle w:val="FootnoteReference"/>
          <w:vertAlign w:val="baseline"/>
        </w:rPr>
        <w:footnoteRef/>
      </w:r>
      <w:r>
        <w:rPr>
          <w:sz w:val="26"/>
          <w:rtl/>
        </w:rPr>
        <w:t>)</w:t>
      </w:r>
      <w:r>
        <w:rPr>
          <w:sz w:val="26"/>
          <w:rtl/>
        </w:rPr>
        <w:tab/>
      </w:r>
      <w:r>
        <w:rPr>
          <w:rFonts w:hint="cs"/>
          <w:rtl/>
        </w:rPr>
        <w:t>يشير صاحب البلاغ فقط إلى أن الدولة الطرف، بإحالته على التقاعد، تكون قد "قضت</w:t>
      </w:r>
      <w:r w:rsidR="00236A22">
        <w:rPr>
          <w:rFonts w:hint="cs"/>
          <w:rtl/>
        </w:rPr>
        <w:t xml:space="preserve"> على حياته" ولم</w:t>
      </w:r>
      <w:r w:rsidR="00236A22">
        <w:rPr>
          <w:rFonts w:hint="eastAsia"/>
          <w:rtl/>
        </w:rPr>
        <w:t> </w:t>
      </w:r>
      <w:r w:rsidR="00110C31">
        <w:rPr>
          <w:rFonts w:hint="cs"/>
          <w:rtl/>
        </w:rPr>
        <w:t>تحترم الكرامة</w:t>
      </w:r>
      <w:r>
        <w:rPr>
          <w:rFonts w:hint="cs"/>
          <w:rtl/>
        </w:rPr>
        <w:t xml:space="preserve"> الإنسانية التي يتمتع بها كل فرد.</w:t>
      </w:r>
    </w:p>
  </w:footnote>
  <w:footnote w:id="5">
    <w:p w:rsidR="00402FC9" w:rsidRPr="00C82983" w:rsidRDefault="00402FC9" w:rsidP="001F0645">
      <w:pPr>
        <w:pStyle w:val="FootnoteText1"/>
        <w:rPr>
          <w:rtl/>
        </w:rPr>
      </w:pPr>
      <w:r w:rsidRPr="00C82983">
        <w:rPr>
          <w:rtl/>
        </w:rPr>
        <w:t>(</w:t>
      </w:r>
      <w:r w:rsidRPr="00C82983">
        <w:rPr>
          <w:rStyle w:val="FootnoteReference"/>
          <w:vertAlign w:val="baseline"/>
        </w:rPr>
        <w:footnoteRef/>
      </w:r>
      <w:r>
        <w:rPr>
          <w:sz w:val="26"/>
          <w:rtl/>
        </w:rPr>
        <w:t>)</w:t>
      </w:r>
      <w:r>
        <w:rPr>
          <w:sz w:val="26"/>
          <w:rtl/>
        </w:rPr>
        <w:tab/>
      </w:r>
      <w:r>
        <w:rPr>
          <w:rFonts w:hint="cs"/>
          <w:rtl/>
        </w:rPr>
        <w:t>انظر البلاغات</w:t>
      </w:r>
      <w:r w:rsidR="00D300C3">
        <w:rPr>
          <w:rFonts w:hint="cs"/>
          <w:rtl/>
        </w:rPr>
        <w:t xml:space="preserve"> 422/1990، و423/1990 و424/1990</w:t>
      </w:r>
      <w:r w:rsidR="00D300C3">
        <w:rPr>
          <w:rFonts w:hint="cs"/>
          <w:i/>
          <w:iCs/>
          <w:rtl/>
        </w:rPr>
        <w:t xml:space="preserve">، </w:t>
      </w:r>
      <w:proofErr w:type="spellStart"/>
      <w:r w:rsidRPr="00E27735">
        <w:rPr>
          <w:rFonts w:hint="cs"/>
          <w:i/>
          <w:iCs/>
          <w:rtl/>
        </w:rPr>
        <w:t>أدوايوم</w:t>
      </w:r>
      <w:proofErr w:type="spellEnd"/>
      <w:r w:rsidRPr="00E27735">
        <w:rPr>
          <w:rFonts w:hint="cs"/>
          <w:i/>
          <w:iCs/>
          <w:rtl/>
        </w:rPr>
        <w:t xml:space="preserve"> </w:t>
      </w:r>
      <w:proofErr w:type="spellStart"/>
      <w:r>
        <w:rPr>
          <w:rFonts w:hint="cs"/>
          <w:i/>
          <w:iCs/>
          <w:rtl/>
        </w:rPr>
        <w:t>و</w:t>
      </w:r>
      <w:r w:rsidRPr="00E27735">
        <w:rPr>
          <w:rFonts w:hint="cs"/>
          <w:i/>
          <w:iCs/>
          <w:rtl/>
        </w:rPr>
        <w:t>دياسو</w:t>
      </w:r>
      <w:proofErr w:type="spellEnd"/>
      <w:r w:rsidRPr="00E27735">
        <w:rPr>
          <w:rFonts w:hint="cs"/>
          <w:i/>
          <w:iCs/>
          <w:rtl/>
        </w:rPr>
        <w:t xml:space="preserve"> </w:t>
      </w:r>
      <w:proofErr w:type="spellStart"/>
      <w:r>
        <w:rPr>
          <w:rFonts w:hint="cs"/>
          <w:i/>
          <w:iCs/>
          <w:rtl/>
        </w:rPr>
        <w:t>و</w:t>
      </w:r>
      <w:r w:rsidRPr="00E27735">
        <w:rPr>
          <w:rFonts w:hint="cs"/>
          <w:i/>
          <w:iCs/>
          <w:rtl/>
        </w:rPr>
        <w:t>دوبو</w:t>
      </w:r>
      <w:proofErr w:type="spellEnd"/>
      <w:r w:rsidRPr="00E27735">
        <w:rPr>
          <w:rFonts w:hint="cs"/>
          <w:i/>
          <w:iCs/>
          <w:rtl/>
        </w:rPr>
        <w:t xml:space="preserve"> ضد توغو</w:t>
      </w:r>
      <w:r>
        <w:rPr>
          <w:rFonts w:hint="cs"/>
          <w:rtl/>
        </w:rPr>
        <w:t>، الآراء المعتمدة في 12 تموز/يوليه 1996، الفقرة 7-5.</w:t>
      </w:r>
    </w:p>
  </w:footnote>
  <w:footnote w:id="6">
    <w:p w:rsidR="00402FC9" w:rsidRPr="00C82983" w:rsidRDefault="00402FC9" w:rsidP="001F0645">
      <w:pPr>
        <w:pStyle w:val="FootnoteText1"/>
        <w:rPr>
          <w:rtl/>
        </w:rPr>
      </w:pPr>
      <w:r w:rsidRPr="00C82983">
        <w:rPr>
          <w:rtl/>
        </w:rPr>
        <w:t>(</w:t>
      </w:r>
      <w:r w:rsidRPr="00C82983">
        <w:rPr>
          <w:rStyle w:val="FootnoteReference"/>
          <w:vertAlign w:val="baseline"/>
        </w:rPr>
        <w:footnoteRef/>
      </w:r>
      <w:r>
        <w:rPr>
          <w:sz w:val="26"/>
          <w:rtl/>
        </w:rPr>
        <w:t>)</w:t>
      </w:r>
      <w:r>
        <w:rPr>
          <w:sz w:val="26"/>
          <w:rtl/>
        </w:rPr>
        <w:tab/>
      </w:r>
      <w:r>
        <w:rPr>
          <w:rFonts w:hint="cs"/>
          <w:rtl/>
        </w:rPr>
        <w:t>انظر البلاغ 972/2001،</w:t>
      </w:r>
      <w:r w:rsidR="00386078">
        <w:rPr>
          <w:rFonts w:hint="cs"/>
          <w:rtl/>
        </w:rPr>
        <w:t xml:space="preserve"> </w:t>
      </w:r>
      <w:proofErr w:type="spellStart"/>
      <w:r w:rsidRPr="00E27735">
        <w:rPr>
          <w:rFonts w:hint="cs"/>
          <w:i/>
          <w:iCs/>
          <w:rtl/>
        </w:rPr>
        <w:t>كازانتزيس</w:t>
      </w:r>
      <w:proofErr w:type="spellEnd"/>
      <w:r w:rsidRPr="00E27735">
        <w:rPr>
          <w:rFonts w:hint="cs"/>
          <w:i/>
          <w:iCs/>
          <w:rtl/>
        </w:rPr>
        <w:t xml:space="preserve"> ضد قبرص</w:t>
      </w:r>
      <w:r>
        <w:rPr>
          <w:rFonts w:hint="cs"/>
          <w:rtl/>
        </w:rPr>
        <w:t>، قرار عدم المقبولية المعتمد في 7 آب/أغسطس 2003، الفقرة 6-4.</w:t>
      </w:r>
    </w:p>
  </w:footnote>
  <w:footnote w:id="7">
    <w:p w:rsidR="00402FC9" w:rsidRPr="00C82983" w:rsidRDefault="00402FC9" w:rsidP="001F0645">
      <w:pPr>
        <w:pStyle w:val="FootnoteText1"/>
        <w:rPr>
          <w:rtl/>
        </w:rPr>
      </w:pPr>
      <w:r w:rsidRPr="00C82983">
        <w:rPr>
          <w:rtl/>
        </w:rPr>
        <w:t>(</w:t>
      </w:r>
      <w:r w:rsidRPr="00C82983">
        <w:rPr>
          <w:rStyle w:val="FootnoteReference"/>
          <w:vertAlign w:val="baseline"/>
        </w:rPr>
        <w:footnoteRef/>
      </w:r>
      <w:r>
        <w:rPr>
          <w:sz w:val="26"/>
          <w:rtl/>
        </w:rPr>
        <w:t>)</w:t>
      </w:r>
      <w:r>
        <w:rPr>
          <w:sz w:val="26"/>
          <w:rtl/>
        </w:rPr>
        <w:tab/>
      </w:r>
      <w:r>
        <w:rPr>
          <w:rFonts w:hint="cs"/>
          <w:rtl/>
        </w:rPr>
        <w:t xml:space="preserve">انظر البلاغ رقم 1182/2003، </w:t>
      </w:r>
      <w:proofErr w:type="spellStart"/>
      <w:r w:rsidRPr="00E27735">
        <w:rPr>
          <w:rFonts w:hint="cs"/>
          <w:i/>
          <w:iCs/>
          <w:rtl/>
        </w:rPr>
        <w:t>ك</w:t>
      </w:r>
      <w:r>
        <w:rPr>
          <w:rFonts w:hint="cs"/>
          <w:i/>
          <w:iCs/>
          <w:rtl/>
        </w:rPr>
        <w:t>اراتسيس</w:t>
      </w:r>
      <w:proofErr w:type="spellEnd"/>
      <w:r w:rsidRPr="00E27735">
        <w:rPr>
          <w:rFonts w:hint="cs"/>
          <w:i/>
          <w:iCs/>
          <w:rtl/>
        </w:rPr>
        <w:t xml:space="preserve"> ضد قبرص</w:t>
      </w:r>
      <w:r>
        <w:rPr>
          <w:rFonts w:hint="cs"/>
          <w:rtl/>
        </w:rPr>
        <w:t>، قرار عدم المقبولية المعتمد في 25 تموز/</w:t>
      </w:r>
      <w:r w:rsidR="000B44B6">
        <w:rPr>
          <w:rFonts w:hint="cs"/>
          <w:rtl/>
        </w:rPr>
        <w:t xml:space="preserve"> يوليه</w:t>
      </w:r>
      <w:r w:rsidR="000B44B6">
        <w:rPr>
          <w:rFonts w:hint="eastAsia"/>
          <w:rtl/>
        </w:rPr>
        <w:t> </w:t>
      </w:r>
      <w:r>
        <w:rPr>
          <w:rFonts w:hint="cs"/>
          <w:rtl/>
        </w:rPr>
        <w:t>2005، الفقرة 6-2.</w:t>
      </w:r>
    </w:p>
  </w:footnote>
  <w:footnote w:id="8">
    <w:p w:rsidR="00402FC9" w:rsidRPr="00C82983" w:rsidRDefault="00402FC9" w:rsidP="001F0645">
      <w:pPr>
        <w:pStyle w:val="FootnoteText1"/>
        <w:rPr>
          <w:rtl/>
        </w:rPr>
      </w:pPr>
      <w:r w:rsidRPr="00C82983">
        <w:rPr>
          <w:rtl/>
        </w:rPr>
        <w:t>(</w:t>
      </w:r>
      <w:r w:rsidRPr="00C82983">
        <w:rPr>
          <w:rStyle w:val="FootnoteReference"/>
          <w:vertAlign w:val="baseline"/>
        </w:rPr>
        <w:footnoteRef/>
      </w:r>
      <w:r>
        <w:rPr>
          <w:sz w:val="26"/>
          <w:rtl/>
        </w:rPr>
        <w:t>)</w:t>
      </w:r>
      <w:r>
        <w:rPr>
          <w:sz w:val="26"/>
          <w:rtl/>
        </w:rPr>
        <w:tab/>
      </w:r>
      <w:r>
        <w:rPr>
          <w:rFonts w:hint="cs"/>
          <w:rtl/>
        </w:rPr>
        <w:t xml:space="preserve">انظر البلاغ رقم 1062/2002، </w:t>
      </w:r>
      <w:r w:rsidRPr="00E17450">
        <w:rPr>
          <w:rFonts w:hint="cs"/>
          <w:i/>
          <w:iCs/>
          <w:rtl/>
        </w:rPr>
        <w:t>سميديك ضد الجمهورية التشيكية</w:t>
      </w:r>
      <w:r>
        <w:rPr>
          <w:rFonts w:hint="cs"/>
          <w:rtl/>
        </w:rPr>
        <w:t>، قرار عدم المقبولية المعتمد في 25 تموز/</w:t>
      </w:r>
      <w:r w:rsidR="000B44B6">
        <w:rPr>
          <w:rFonts w:hint="cs"/>
          <w:rtl/>
        </w:rPr>
        <w:t xml:space="preserve"> </w:t>
      </w:r>
      <w:r>
        <w:rPr>
          <w:rFonts w:hint="cs"/>
          <w:rtl/>
        </w:rPr>
        <w:t>يوليه 2006، الفقرة 11-6.</w:t>
      </w:r>
    </w:p>
  </w:footnote>
  <w:footnote w:id="9">
    <w:p w:rsidR="00402FC9" w:rsidRPr="00C82983" w:rsidRDefault="00402FC9" w:rsidP="001F0645">
      <w:pPr>
        <w:pStyle w:val="FootnoteText1"/>
        <w:rPr>
          <w:rtl/>
        </w:rPr>
      </w:pPr>
      <w:r w:rsidRPr="00C82983">
        <w:rPr>
          <w:rtl/>
        </w:rPr>
        <w:t>(</w:t>
      </w:r>
      <w:r w:rsidRPr="00C82983">
        <w:rPr>
          <w:rStyle w:val="FootnoteReference"/>
          <w:vertAlign w:val="baseline"/>
        </w:rPr>
        <w:footnoteRef/>
      </w:r>
      <w:r>
        <w:rPr>
          <w:sz w:val="26"/>
          <w:rtl/>
        </w:rPr>
        <w:t>)</w:t>
      </w:r>
      <w:r>
        <w:rPr>
          <w:sz w:val="26"/>
          <w:rtl/>
        </w:rPr>
        <w:tab/>
      </w:r>
      <w:r>
        <w:rPr>
          <w:rFonts w:hint="cs"/>
          <w:rtl/>
        </w:rPr>
        <w:t>المرجع نفسه.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C9" w:rsidRPr="00402FC9" w:rsidRDefault="00402FC9" w:rsidP="00402FC9">
    <w:pPr>
      <w:pStyle w:val="Header"/>
      <w:jc w:val="right"/>
    </w:pPr>
    <w:r w:rsidRPr="00402FC9">
      <w:t>CCPR/C/113/D/1971/2010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C9" w:rsidRPr="00402FC9" w:rsidRDefault="00402FC9" w:rsidP="00402FC9">
    <w:pPr>
      <w:pStyle w:val="Header"/>
      <w:jc w:val="left"/>
    </w:pPr>
    <w:r w:rsidRPr="00402FC9">
      <w:t>CCPR/C/113/D/1971/2010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97B7A"/>
    <w:rsid w:val="00002807"/>
    <w:rsid w:val="00006911"/>
    <w:rsid w:val="000076D5"/>
    <w:rsid w:val="00030853"/>
    <w:rsid w:val="00043663"/>
    <w:rsid w:val="000437B8"/>
    <w:rsid w:val="00045166"/>
    <w:rsid w:val="000505CF"/>
    <w:rsid w:val="000B44B6"/>
    <w:rsid w:val="000D701C"/>
    <w:rsid w:val="000E2A71"/>
    <w:rsid w:val="00110C31"/>
    <w:rsid w:val="00160263"/>
    <w:rsid w:val="00181F96"/>
    <w:rsid w:val="00191260"/>
    <w:rsid w:val="001A1371"/>
    <w:rsid w:val="001B346A"/>
    <w:rsid w:val="001E1CAD"/>
    <w:rsid w:val="001E290D"/>
    <w:rsid w:val="001F0645"/>
    <w:rsid w:val="002144FA"/>
    <w:rsid w:val="0023469A"/>
    <w:rsid w:val="00236A22"/>
    <w:rsid w:val="00237D4F"/>
    <w:rsid w:val="00243C8A"/>
    <w:rsid w:val="00267A0E"/>
    <w:rsid w:val="0028239D"/>
    <w:rsid w:val="002901D9"/>
    <w:rsid w:val="00296697"/>
    <w:rsid w:val="002976C2"/>
    <w:rsid w:val="003260FF"/>
    <w:rsid w:val="00343D95"/>
    <w:rsid w:val="00374341"/>
    <w:rsid w:val="00386078"/>
    <w:rsid w:val="00394BF7"/>
    <w:rsid w:val="003D1062"/>
    <w:rsid w:val="003D36FE"/>
    <w:rsid w:val="00402FC9"/>
    <w:rsid w:val="00420D7B"/>
    <w:rsid w:val="00450B21"/>
    <w:rsid w:val="00453B63"/>
    <w:rsid w:val="00455780"/>
    <w:rsid w:val="004A5607"/>
    <w:rsid w:val="004B0A1C"/>
    <w:rsid w:val="004D298E"/>
    <w:rsid w:val="0050746E"/>
    <w:rsid w:val="00517BC9"/>
    <w:rsid w:val="0054472E"/>
    <w:rsid w:val="005662A9"/>
    <w:rsid w:val="005827D4"/>
    <w:rsid w:val="0059622A"/>
    <w:rsid w:val="005C5878"/>
    <w:rsid w:val="005C7CEA"/>
    <w:rsid w:val="005D3C0B"/>
    <w:rsid w:val="005E5217"/>
    <w:rsid w:val="005F0FA4"/>
    <w:rsid w:val="005F30EE"/>
    <w:rsid w:val="0060473A"/>
    <w:rsid w:val="00642569"/>
    <w:rsid w:val="00656392"/>
    <w:rsid w:val="0068781D"/>
    <w:rsid w:val="006939F4"/>
    <w:rsid w:val="006959B0"/>
    <w:rsid w:val="006B3E27"/>
    <w:rsid w:val="006B6507"/>
    <w:rsid w:val="006C104C"/>
    <w:rsid w:val="00733704"/>
    <w:rsid w:val="00752E91"/>
    <w:rsid w:val="00771C3D"/>
    <w:rsid w:val="0078071A"/>
    <w:rsid w:val="00787E1E"/>
    <w:rsid w:val="008045ED"/>
    <w:rsid w:val="00852A9A"/>
    <w:rsid w:val="008A4062"/>
    <w:rsid w:val="008F49E1"/>
    <w:rsid w:val="0090370F"/>
    <w:rsid w:val="009242B9"/>
    <w:rsid w:val="00924823"/>
    <w:rsid w:val="009269D2"/>
    <w:rsid w:val="00942135"/>
    <w:rsid w:val="009521B0"/>
    <w:rsid w:val="00996B47"/>
    <w:rsid w:val="009A7E9F"/>
    <w:rsid w:val="009E5018"/>
    <w:rsid w:val="00A12B37"/>
    <w:rsid w:val="00A16872"/>
    <w:rsid w:val="00A573FB"/>
    <w:rsid w:val="00AB6758"/>
    <w:rsid w:val="00B13763"/>
    <w:rsid w:val="00B445FC"/>
    <w:rsid w:val="00B477A4"/>
    <w:rsid w:val="00B54045"/>
    <w:rsid w:val="00BD7CD1"/>
    <w:rsid w:val="00C121BE"/>
    <w:rsid w:val="00C438D7"/>
    <w:rsid w:val="00C81B50"/>
    <w:rsid w:val="00C8638E"/>
    <w:rsid w:val="00CB6622"/>
    <w:rsid w:val="00CD1801"/>
    <w:rsid w:val="00D10EF1"/>
    <w:rsid w:val="00D300C3"/>
    <w:rsid w:val="00D42810"/>
    <w:rsid w:val="00D84B80"/>
    <w:rsid w:val="00D914A7"/>
    <w:rsid w:val="00DC7480"/>
    <w:rsid w:val="00DD13C3"/>
    <w:rsid w:val="00DD596E"/>
    <w:rsid w:val="00DD621E"/>
    <w:rsid w:val="00DF0575"/>
    <w:rsid w:val="00E70E04"/>
    <w:rsid w:val="00EC05A7"/>
    <w:rsid w:val="00EC4B6B"/>
    <w:rsid w:val="00ED7442"/>
    <w:rsid w:val="00EF1EE5"/>
    <w:rsid w:val="00EF52A0"/>
    <w:rsid w:val="00F763B4"/>
    <w:rsid w:val="00F900C3"/>
    <w:rsid w:val="00F97B7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57C7-BBB6-4CED-BC2F-8FDD62FB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dc:creator>
  <cp:keywords/>
  <dc:description>SEDDIKI/Bazzoune</dc:description>
  <cp:lastModifiedBy>El-Maseri M.</cp:lastModifiedBy>
  <cp:revision>2</cp:revision>
  <cp:lastPrinted>2015-06-23T10:01:00Z</cp:lastPrinted>
  <dcterms:created xsi:type="dcterms:W3CDTF">2015-06-23T12:15:00Z</dcterms:created>
  <dcterms:modified xsi:type="dcterms:W3CDTF">2015-06-23T12:15:00Z</dcterms:modified>
</cp:coreProperties>
</file>