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A0EF0" w:rsidRPr="00233D47" w:rsidTr="00233846">
        <w:trPr>
          <w:trHeight w:hRule="exact" w:val="851"/>
        </w:trPr>
        <w:tc>
          <w:tcPr>
            <w:tcW w:w="1276" w:type="dxa"/>
            <w:tcBorders>
              <w:bottom w:val="single" w:sz="4" w:space="0" w:color="auto"/>
            </w:tcBorders>
          </w:tcPr>
          <w:p w:rsidR="005A0EF0" w:rsidRPr="00233D47" w:rsidRDefault="005A0EF0" w:rsidP="00233846"/>
        </w:tc>
        <w:tc>
          <w:tcPr>
            <w:tcW w:w="2268" w:type="dxa"/>
            <w:tcBorders>
              <w:bottom w:val="single" w:sz="4" w:space="0" w:color="auto"/>
            </w:tcBorders>
            <w:vAlign w:val="bottom"/>
          </w:tcPr>
          <w:p w:rsidR="005A0EF0" w:rsidRPr="00233D47" w:rsidRDefault="005A0EF0" w:rsidP="00233846">
            <w:pPr>
              <w:spacing w:after="80" w:line="300" w:lineRule="exact"/>
              <w:rPr>
                <w:sz w:val="28"/>
              </w:rPr>
            </w:pPr>
            <w:r w:rsidRPr="00233D47">
              <w:rPr>
                <w:sz w:val="28"/>
              </w:rPr>
              <w:t>Nations Unies</w:t>
            </w:r>
          </w:p>
        </w:tc>
        <w:tc>
          <w:tcPr>
            <w:tcW w:w="6095" w:type="dxa"/>
            <w:gridSpan w:val="2"/>
            <w:tcBorders>
              <w:bottom w:val="single" w:sz="4" w:space="0" w:color="auto"/>
            </w:tcBorders>
            <w:vAlign w:val="bottom"/>
          </w:tcPr>
          <w:p w:rsidR="005A0EF0" w:rsidRPr="00233D47" w:rsidRDefault="00E33853" w:rsidP="00E33853">
            <w:pPr>
              <w:jc w:val="right"/>
            </w:pPr>
            <w:r w:rsidRPr="00E33853">
              <w:rPr>
                <w:sz w:val="40"/>
              </w:rPr>
              <w:t>CCPR</w:t>
            </w:r>
            <w:r>
              <w:t>/C/112/D/2085/2011</w:t>
            </w:r>
          </w:p>
        </w:tc>
      </w:tr>
      <w:tr w:rsidR="005A0EF0" w:rsidRPr="00233D47" w:rsidTr="00233846">
        <w:trPr>
          <w:trHeight w:hRule="exact" w:val="2835"/>
        </w:trPr>
        <w:tc>
          <w:tcPr>
            <w:tcW w:w="1276" w:type="dxa"/>
            <w:tcBorders>
              <w:top w:val="single" w:sz="4" w:space="0" w:color="auto"/>
              <w:bottom w:val="single" w:sz="12" w:space="0" w:color="auto"/>
            </w:tcBorders>
          </w:tcPr>
          <w:p w:rsidR="005A0EF0" w:rsidRPr="00233D47" w:rsidRDefault="005A0EF0" w:rsidP="00233846">
            <w:pPr>
              <w:spacing w:before="120"/>
              <w:jc w:val="center"/>
            </w:pPr>
            <w:r w:rsidRPr="00233D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A0EF0" w:rsidRPr="00233D47" w:rsidRDefault="005A0EF0" w:rsidP="00233846">
            <w:pPr>
              <w:spacing w:before="120" w:line="380" w:lineRule="exact"/>
              <w:rPr>
                <w:b/>
                <w:sz w:val="34"/>
                <w:szCs w:val="34"/>
              </w:rPr>
            </w:pPr>
            <w:r w:rsidRPr="00233D47">
              <w:rPr>
                <w:b/>
                <w:sz w:val="34"/>
                <w:szCs w:val="34"/>
              </w:rPr>
              <w:t>Pacte international relatif</w:t>
            </w:r>
            <w:r w:rsidRPr="00233D47">
              <w:rPr>
                <w:b/>
                <w:sz w:val="34"/>
                <w:szCs w:val="34"/>
              </w:rPr>
              <w:br/>
              <w:t>aux droits civils et politiques</w:t>
            </w:r>
          </w:p>
        </w:tc>
        <w:tc>
          <w:tcPr>
            <w:tcW w:w="2835" w:type="dxa"/>
            <w:tcBorders>
              <w:top w:val="single" w:sz="4" w:space="0" w:color="auto"/>
              <w:bottom w:val="single" w:sz="12" w:space="0" w:color="auto"/>
            </w:tcBorders>
          </w:tcPr>
          <w:p w:rsidR="00E33853" w:rsidRDefault="005A0EF0" w:rsidP="00233846">
            <w:pPr>
              <w:spacing w:before="240"/>
            </w:pPr>
            <w:r w:rsidRPr="00233D47">
              <w:t xml:space="preserve">Distr. </w:t>
            </w:r>
            <w:r>
              <w:t>générale</w:t>
            </w:r>
          </w:p>
          <w:p w:rsidR="00E33853" w:rsidRDefault="00E33853" w:rsidP="00E33853">
            <w:pPr>
              <w:spacing w:line="240" w:lineRule="exact"/>
            </w:pPr>
            <w:r>
              <w:t>14 novembre 2014</w:t>
            </w:r>
          </w:p>
          <w:p w:rsidR="00E33853" w:rsidRDefault="00E33853" w:rsidP="00E33853">
            <w:pPr>
              <w:spacing w:line="240" w:lineRule="exact"/>
            </w:pPr>
            <w:r>
              <w:t>Français</w:t>
            </w:r>
          </w:p>
          <w:p w:rsidR="005A0EF0" w:rsidRPr="00233D47" w:rsidRDefault="00E33853" w:rsidP="00E33853">
            <w:pPr>
              <w:spacing w:line="240" w:lineRule="exact"/>
            </w:pPr>
            <w:r>
              <w:t>Original: espagnol</w:t>
            </w:r>
          </w:p>
        </w:tc>
      </w:tr>
    </w:tbl>
    <w:p w:rsidR="00642728" w:rsidRPr="005B01E9" w:rsidRDefault="00642728" w:rsidP="00FD511F">
      <w:pPr>
        <w:spacing w:before="120" w:line="240" w:lineRule="exact"/>
        <w:rPr>
          <w:b/>
          <w:sz w:val="24"/>
          <w:szCs w:val="24"/>
        </w:rPr>
      </w:pPr>
      <w:r w:rsidRPr="005B01E9">
        <w:rPr>
          <w:b/>
          <w:sz w:val="24"/>
          <w:szCs w:val="24"/>
        </w:rPr>
        <w:t>C</w:t>
      </w:r>
      <w:r w:rsidR="00FD511F" w:rsidRPr="005B01E9">
        <w:rPr>
          <w:b/>
          <w:sz w:val="24"/>
          <w:szCs w:val="24"/>
        </w:rPr>
        <w:t>omité des droits de l</w:t>
      </w:r>
      <w:r w:rsidR="0007594A">
        <w:rPr>
          <w:b/>
          <w:sz w:val="24"/>
          <w:szCs w:val="24"/>
        </w:rPr>
        <w:t>’</w:t>
      </w:r>
      <w:r w:rsidR="00FD511F" w:rsidRPr="005B01E9">
        <w:rPr>
          <w:b/>
          <w:sz w:val="24"/>
          <w:szCs w:val="24"/>
        </w:rPr>
        <w:t>homme</w:t>
      </w:r>
    </w:p>
    <w:p w:rsidR="00BA1175" w:rsidRPr="005B01E9" w:rsidRDefault="00BA1175" w:rsidP="00BA1175">
      <w:pPr>
        <w:pStyle w:val="HChG"/>
      </w:pPr>
      <w:r w:rsidRPr="005B01E9">
        <w:tab/>
      </w:r>
      <w:r w:rsidRPr="005B01E9">
        <w:tab/>
        <w:t>Communication n</w:t>
      </w:r>
      <w:r w:rsidRPr="005B01E9">
        <w:rPr>
          <w:vertAlign w:val="superscript"/>
        </w:rPr>
        <w:t>o</w:t>
      </w:r>
      <w:r w:rsidRPr="005B01E9">
        <w:t> </w:t>
      </w:r>
      <w:r w:rsidR="00E33853">
        <w:t>2085/2011</w:t>
      </w:r>
    </w:p>
    <w:p w:rsidR="00642728" w:rsidRPr="005B01E9" w:rsidRDefault="00FD511F" w:rsidP="00BA1175">
      <w:pPr>
        <w:pStyle w:val="H1G"/>
      </w:pPr>
      <w:r w:rsidRPr="005B01E9">
        <w:tab/>
      </w:r>
      <w:r w:rsidRPr="005B01E9">
        <w:tab/>
      </w:r>
      <w:r w:rsidR="0092636E" w:rsidRPr="005B01E9">
        <w:rPr>
          <w:szCs w:val="24"/>
        </w:rPr>
        <w:t xml:space="preserve">Constatations adoptées par le Comité à sa </w:t>
      </w:r>
      <w:r w:rsidR="00E33853">
        <w:rPr>
          <w:szCs w:val="24"/>
        </w:rPr>
        <w:t>112</w:t>
      </w:r>
      <w:r w:rsidR="00E33853" w:rsidRPr="00E33853">
        <w:rPr>
          <w:szCs w:val="24"/>
          <w:vertAlign w:val="superscript"/>
        </w:rPr>
        <w:t>e</w:t>
      </w:r>
      <w:r w:rsidR="00E33853" w:rsidRPr="00E33853">
        <w:rPr>
          <w:szCs w:val="24"/>
        </w:rPr>
        <w:t> </w:t>
      </w:r>
      <w:r w:rsidR="0092636E" w:rsidRPr="005B01E9">
        <w:rPr>
          <w:szCs w:val="24"/>
        </w:rPr>
        <w:t>session</w:t>
      </w:r>
      <w:r w:rsidR="0092636E" w:rsidRPr="005B01E9">
        <w:rPr>
          <w:szCs w:val="24"/>
        </w:rPr>
        <w:br/>
      </w:r>
      <w:r w:rsidR="00BA1175" w:rsidRPr="005B01E9">
        <w:rPr>
          <w:szCs w:val="24"/>
        </w:rPr>
        <w:t>(</w:t>
      </w:r>
      <w:r w:rsidR="00E33853">
        <w:rPr>
          <w:szCs w:val="24"/>
        </w:rPr>
        <w:t>7-31 octobre 2014</w:t>
      </w:r>
      <w:r w:rsidR="00BA1175" w:rsidRPr="005B01E9">
        <w:rPr>
          <w:szCs w:val="24"/>
        </w:rPr>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92636E" w:rsidRPr="005B01E9" w:rsidTr="00FB7502">
        <w:tc>
          <w:tcPr>
            <w:tcW w:w="2835" w:type="dxa"/>
          </w:tcPr>
          <w:p w:rsidR="0092636E" w:rsidRPr="005B01E9" w:rsidRDefault="0092636E" w:rsidP="003B6A72">
            <w:pPr>
              <w:rPr>
                <w:i/>
              </w:rPr>
            </w:pPr>
            <w:r w:rsidRPr="005B01E9">
              <w:rPr>
                <w:i/>
              </w:rPr>
              <w:t>Communication présentée par</w:t>
            </w:r>
            <w:r w:rsidR="003B6A72" w:rsidRPr="005B01E9">
              <w:t>:</w:t>
            </w:r>
          </w:p>
        </w:tc>
        <w:tc>
          <w:tcPr>
            <w:tcW w:w="3969" w:type="dxa"/>
          </w:tcPr>
          <w:p w:rsidR="0092636E" w:rsidRPr="005B01E9" w:rsidRDefault="00E33853" w:rsidP="00D61D26">
            <w:pPr>
              <w:spacing w:after="120"/>
            </w:pPr>
            <w:r>
              <w:t>Emilio E</w:t>
            </w:r>
            <w:r w:rsidRPr="00E33853">
              <w:t>nrique García Bolívar</w:t>
            </w:r>
            <w:r>
              <w:t xml:space="preserve"> (représenté par ses avocats Luis Rondón et Omar García Valentiner</w:t>
            </w:r>
            <w:r w:rsidR="00924591">
              <w:t>)</w:t>
            </w:r>
          </w:p>
        </w:tc>
      </w:tr>
      <w:tr w:rsidR="0092636E" w:rsidRPr="005B01E9" w:rsidTr="00FB7502">
        <w:tc>
          <w:tcPr>
            <w:tcW w:w="2835" w:type="dxa"/>
          </w:tcPr>
          <w:p w:rsidR="0092636E" w:rsidRPr="005B01E9" w:rsidRDefault="0092636E" w:rsidP="003B6A72">
            <w:pPr>
              <w:rPr>
                <w:i/>
              </w:rPr>
            </w:pPr>
            <w:r w:rsidRPr="005B01E9">
              <w:rPr>
                <w:i/>
              </w:rPr>
              <w:t>Au nom de</w:t>
            </w:r>
            <w:r w:rsidR="003B6A72" w:rsidRPr="005B01E9">
              <w:t>:</w:t>
            </w:r>
          </w:p>
        </w:tc>
        <w:tc>
          <w:tcPr>
            <w:tcW w:w="3969" w:type="dxa"/>
          </w:tcPr>
          <w:p w:rsidR="0092636E" w:rsidRPr="005B01E9" w:rsidRDefault="00E33853" w:rsidP="008433B5">
            <w:pPr>
              <w:spacing w:after="120"/>
            </w:pPr>
            <w:r>
              <w:t>L</w:t>
            </w:r>
            <w:r w:rsidR="0007594A">
              <w:t>’</w:t>
            </w:r>
            <w:r>
              <w:t>auteur</w:t>
            </w:r>
          </w:p>
        </w:tc>
      </w:tr>
      <w:tr w:rsidR="0092636E" w:rsidRPr="005B01E9" w:rsidTr="00FB7502">
        <w:tc>
          <w:tcPr>
            <w:tcW w:w="2835" w:type="dxa"/>
          </w:tcPr>
          <w:p w:rsidR="0092636E" w:rsidRPr="005B01E9" w:rsidRDefault="0092636E" w:rsidP="003B6A72">
            <w:pPr>
              <w:rPr>
                <w:i/>
              </w:rPr>
            </w:pPr>
            <w:r w:rsidRPr="005B01E9">
              <w:rPr>
                <w:i/>
              </w:rPr>
              <w:t>État partie</w:t>
            </w:r>
            <w:r w:rsidR="003B6A72" w:rsidRPr="005B01E9">
              <w:t>:</w:t>
            </w:r>
          </w:p>
        </w:tc>
        <w:tc>
          <w:tcPr>
            <w:tcW w:w="3969" w:type="dxa"/>
          </w:tcPr>
          <w:p w:rsidR="0092636E" w:rsidRPr="005B01E9" w:rsidRDefault="00E33853" w:rsidP="003B6A72">
            <w:pPr>
              <w:spacing w:after="120"/>
            </w:pPr>
            <w:r>
              <w:t>République bolivarienne du Venezuela</w:t>
            </w:r>
          </w:p>
        </w:tc>
      </w:tr>
      <w:tr w:rsidR="0092636E" w:rsidRPr="005B01E9" w:rsidTr="00FB7502">
        <w:tc>
          <w:tcPr>
            <w:tcW w:w="2835" w:type="dxa"/>
          </w:tcPr>
          <w:p w:rsidR="0092636E" w:rsidRPr="005B01E9" w:rsidRDefault="0092636E" w:rsidP="003B6A72">
            <w:pPr>
              <w:rPr>
                <w:i/>
              </w:rPr>
            </w:pPr>
            <w:r w:rsidRPr="005B01E9">
              <w:rPr>
                <w:i/>
              </w:rPr>
              <w:t>Date de la communication</w:t>
            </w:r>
            <w:r w:rsidR="003B6A72" w:rsidRPr="005B01E9">
              <w:t>:</w:t>
            </w:r>
          </w:p>
        </w:tc>
        <w:tc>
          <w:tcPr>
            <w:tcW w:w="3969" w:type="dxa"/>
          </w:tcPr>
          <w:p w:rsidR="0092636E" w:rsidRPr="005B01E9" w:rsidRDefault="00E33853" w:rsidP="003B6A72">
            <w:pPr>
              <w:spacing w:after="120"/>
            </w:pPr>
            <w:r>
              <w:t>18 mars 2011</w:t>
            </w:r>
            <w:r w:rsidR="005B01E9" w:rsidRPr="005B01E9">
              <w:t xml:space="preserve"> </w:t>
            </w:r>
            <w:r w:rsidR="0092636E" w:rsidRPr="005B01E9">
              <w:t>(date de la lettre initiale)</w:t>
            </w:r>
          </w:p>
        </w:tc>
      </w:tr>
      <w:tr w:rsidR="0092636E" w:rsidRPr="005B01E9" w:rsidTr="00FB7502">
        <w:tc>
          <w:tcPr>
            <w:tcW w:w="2835" w:type="dxa"/>
          </w:tcPr>
          <w:p w:rsidR="0092636E" w:rsidRPr="005B01E9" w:rsidRDefault="0092636E" w:rsidP="003B6A72">
            <w:pPr>
              <w:rPr>
                <w:i/>
              </w:rPr>
            </w:pPr>
            <w:r w:rsidRPr="005B01E9">
              <w:rPr>
                <w:i/>
              </w:rPr>
              <w:t>Références</w:t>
            </w:r>
            <w:r w:rsidR="003B6A72" w:rsidRPr="005B01E9">
              <w:t>:</w:t>
            </w:r>
          </w:p>
        </w:tc>
        <w:tc>
          <w:tcPr>
            <w:tcW w:w="3969" w:type="dxa"/>
          </w:tcPr>
          <w:p w:rsidR="0092636E" w:rsidRPr="005B01E9" w:rsidRDefault="0092636E" w:rsidP="003B6A72">
            <w:pPr>
              <w:spacing w:after="120"/>
            </w:pPr>
            <w:r w:rsidRPr="005B01E9">
              <w:t>Décision prise par le Rapporteur spécial en</w:t>
            </w:r>
            <w:r w:rsidR="00497C34" w:rsidRPr="005B01E9">
              <w:t> </w:t>
            </w:r>
            <w:r w:rsidR="00E33853">
              <w:t>application de</w:t>
            </w:r>
            <w:r w:rsidRPr="005B01E9">
              <w:t xml:space="preserve"> </w:t>
            </w:r>
            <w:r w:rsidR="00E33853">
              <w:t>l</w:t>
            </w:r>
            <w:r w:rsidR="0007594A">
              <w:t>’</w:t>
            </w:r>
            <w:r w:rsidR="00E33853">
              <w:t>article</w:t>
            </w:r>
            <w:r w:rsidRPr="005B01E9">
              <w:t xml:space="preserve"> 97 du </w:t>
            </w:r>
            <w:r w:rsidR="00497C34" w:rsidRPr="005B01E9">
              <w:t>r</w:t>
            </w:r>
            <w:r w:rsidRPr="005B01E9">
              <w:t>èglement intérieur, communiquée à l</w:t>
            </w:r>
            <w:r w:rsidR="0007594A">
              <w:t>’</w:t>
            </w:r>
            <w:r w:rsidR="00E33853">
              <w:t>État partie</w:t>
            </w:r>
            <w:r w:rsidR="00E33853">
              <w:br/>
            </w:r>
            <w:r w:rsidRPr="005B01E9">
              <w:t xml:space="preserve">le </w:t>
            </w:r>
            <w:r w:rsidR="00E33853">
              <w:t>14 mars 2012</w:t>
            </w:r>
          </w:p>
        </w:tc>
      </w:tr>
      <w:tr w:rsidR="0092636E" w:rsidRPr="005B01E9" w:rsidTr="00FB7502">
        <w:tc>
          <w:tcPr>
            <w:tcW w:w="2835" w:type="dxa"/>
          </w:tcPr>
          <w:p w:rsidR="0092636E" w:rsidRPr="005B01E9" w:rsidRDefault="0092636E" w:rsidP="003B6A72">
            <w:pPr>
              <w:rPr>
                <w:i/>
              </w:rPr>
            </w:pPr>
            <w:r w:rsidRPr="005B01E9">
              <w:rPr>
                <w:i/>
              </w:rPr>
              <w:t>Date des constatations</w:t>
            </w:r>
            <w:r w:rsidR="00497C34" w:rsidRPr="005B01E9">
              <w:t>:</w:t>
            </w:r>
          </w:p>
        </w:tc>
        <w:tc>
          <w:tcPr>
            <w:tcW w:w="3969" w:type="dxa"/>
            <w:vAlign w:val="bottom"/>
          </w:tcPr>
          <w:p w:rsidR="0092636E" w:rsidRPr="005B01E9" w:rsidRDefault="00E33853" w:rsidP="003B6A72">
            <w:pPr>
              <w:spacing w:after="120"/>
            </w:pPr>
            <w:r>
              <w:t>16 octobre 2014</w:t>
            </w:r>
          </w:p>
        </w:tc>
      </w:tr>
      <w:tr w:rsidR="0092636E" w:rsidRPr="005B01E9" w:rsidTr="00FB7502">
        <w:tc>
          <w:tcPr>
            <w:tcW w:w="2835" w:type="dxa"/>
          </w:tcPr>
          <w:p w:rsidR="0092636E" w:rsidRPr="005B01E9" w:rsidRDefault="0092636E" w:rsidP="003B6A72">
            <w:pPr>
              <w:rPr>
                <w:i/>
              </w:rPr>
            </w:pPr>
            <w:r w:rsidRPr="005B01E9">
              <w:rPr>
                <w:i/>
              </w:rPr>
              <w:t>Objet</w:t>
            </w:r>
            <w:r w:rsidR="003B6A72" w:rsidRPr="005B01E9">
              <w:t>:</w:t>
            </w:r>
          </w:p>
        </w:tc>
        <w:tc>
          <w:tcPr>
            <w:tcW w:w="3969" w:type="dxa"/>
          </w:tcPr>
          <w:p w:rsidR="0092636E" w:rsidRPr="005B01E9" w:rsidRDefault="00E33853" w:rsidP="003B6A72">
            <w:pPr>
              <w:spacing w:after="120"/>
            </w:pPr>
            <w:r w:rsidRPr="00E33853">
              <w:t>Conduite du procès dans une affaire relevant</w:t>
            </w:r>
            <w:r w:rsidRPr="00E33853">
              <w:br/>
              <w:t>du droit du travail</w:t>
            </w:r>
          </w:p>
        </w:tc>
      </w:tr>
      <w:tr w:rsidR="005F3366" w:rsidRPr="005B01E9" w:rsidTr="00D874CD">
        <w:tc>
          <w:tcPr>
            <w:tcW w:w="2835" w:type="dxa"/>
          </w:tcPr>
          <w:p w:rsidR="005F3366" w:rsidRPr="005B01E9" w:rsidRDefault="005F3366" w:rsidP="00D874CD">
            <w:pPr>
              <w:rPr>
                <w:i/>
              </w:rPr>
            </w:pPr>
            <w:r w:rsidRPr="005B01E9">
              <w:rPr>
                <w:i/>
              </w:rPr>
              <w:t>Question(s) de fond</w:t>
            </w:r>
            <w:r w:rsidRPr="005B01E9">
              <w:t>:</w:t>
            </w:r>
          </w:p>
        </w:tc>
        <w:tc>
          <w:tcPr>
            <w:tcW w:w="3969" w:type="dxa"/>
            <w:vAlign w:val="bottom"/>
          </w:tcPr>
          <w:p w:rsidR="005F3366" w:rsidRPr="005B01E9" w:rsidRDefault="00E33853" w:rsidP="00D874CD">
            <w:pPr>
              <w:spacing w:after="120"/>
            </w:pPr>
            <w:r>
              <w:t>Droit à ce que sa cause soit entendue dans une procédure publique et équitable, dans des délais raisonnables</w:t>
            </w:r>
          </w:p>
        </w:tc>
      </w:tr>
      <w:tr w:rsidR="0092636E" w:rsidRPr="005B01E9" w:rsidTr="00FB7502">
        <w:tc>
          <w:tcPr>
            <w:tcW w:w="2835" w:type="dxa"/>
          </w:tcPr>
          <w:p w:rsidR="0092636E" w:rsidRPr="005B01E9" w:rsidRDefault="0092636E" w:rsidP="003B6A72">
            <w:pPr>
              <w:rPr>
                <w:i/>
              </w:rPr>
            </w:pPr>
            <w:r w:rsidRPr="005B01E9">
              <w:rPr>
                <w:i/>
              </w:rPr>
              <w:t>Question</w:t>
            </w:r>
            <w:r w:rsidR="004E6FFF" w:rsidRPr="005B01E9">
              <w:rPr>
                <w:i/>
              </w:rPr>
              <w:t>(</w:t>
            </w:r>
            <w:r w:rsidRPr="005B01E9">
              <w:rPr>
                <w:i/>
              </w:rPr>
              <w:t>s</w:t>
            </w:r>
            <w:r w:rsidR="004E6FFF" w:rsidRPr="005B01E9">
              <w:rPr>
                <w:i/>
              </w:rPr>
              <w:t>)</w:t>
            </w:r>
            <w:r w:rsidRPr="005B01E9">
              <w:rPr>
                <w:i/>
              </w:rPr>
              <w:t xml:space="preserve"> de procédure</w:t>
            </w:r>
            <w:r w:rsidR="003B6A72" w:rsidRPr="005B01E9">
              <w:t>:</w:t>
            </w:r>
          </w:p>
        </w:tc>
        <w:tc>
          <w:tcPr>
            <w:tcW w:w="3969" w:type="dxa"/>
          </w:tcPr>
          <w:p w:rsidR="0092636E" w:rsidRPr="005B01E9" w:rsidRDefault="00E33853" w:rsidP="003B6A72">
            <w:pPr>
              <w:spacing w:after="120"/>
            </w:pPr>
            <w:r>
              <w:t xml:space="preserve">Épuisement des recours internes, fondement de la plainte, irrecevabilité </w:t>
            </w:r>
            <w:r w:rsidRPr="005867C2">
              <w:rPr>
                <w:i/>
              </w:rPr>
              <w:t>ratione materiae</w:t>
            </w:r>
            <w:r>
              <w:t>, incompatibilité avec les dispositions du Pacte</w:t>
            </w:r>
          </w:p>
        </w:tc>
      </w:tr>
      <w:tr w:rsidR="008433B5" w:rsidRPr="005B01E9" w:rsidTr="0023102D">
        <w:tc>
          <w:tcPr>
            <w:tcW w:w="2835" w:type="dxa"/>
          </w:tcPr>
          <w:p w:rsidR="008433B5" w:rsidRPr="005B01E9" w:rsidRDefault="008433B5" w:rsidP="003B6A72">
            <w:pPr>
              <w:rPr>
                <w:i/>
              </w:rPr>
            </w:pPr>
            <w:r w:rsidRPr="005B01E9">
              <w:rPr>
                <w:i/>
              </w:rPr>
              <w:t>Article(s) du Pacte</w:t>
            </w:r>
            <w:r w:rsidR="003B6A72" w:rsidRPr="005B01E9">
              <w:t>:</w:t>
            </w:r>
          </w:p>
        </w:tc>
        <w:tc>
          <w:tcPr>
            <w:tcW w:w="3969" w:type="dxa"/>
            <w:vAlign w:val="bottom"/>
          </w:tcPr>
          <w:p w:rsidR="008433B5" w:rsidRPr="005B01E9" w:rsidRDefault="00E33853" w:rsidP="008433B5">
            <w:pPr>
              <w:spacing w:after="120"/>
            </w:pPr>
            <w:r>
              <w:t>2 (par. 3), 14 (par. 1 et 3), 15 et 26</w:t>
            </w:r>
          </w:p>
        </w:tc>
      </w:tr>
      <w:tr w:rsidR="008433B5" w:rsidRPr="005B01E9" w:rsidTr="0023102D">
        <w:tc>
          <w:tcPr>
            <w:tcW w:w="2835" w:type="dxa"/>
          </w:tcPr>
          <w:p w:rsidR="008433B5" w:rsidRPr="005B01E9" w:rsidRDefault="008433B5" w:rsidP="003B6A72">
            <w:pPr>
              <w:rPr>
                <w:i/>
              </w:rPr>
            </w:pPr>
            <w:r w:rsidRPr="005B01E9">
              <w:rPr>
                <w:i/>
              </w:rPr>
              <w:t>Article(s) du Protocole facultatif</w:t>
            </w:r>
            <w:r w:rsidR="003B6A72" w:rsidRPr="005B01E9">
              <w:t>:</w:t>
            </w:r>
          </w:p>
        </w:tc>
        <w:tc>
          <w:tcPr>
            <w:tcW w:w="3969" w:type="dxa"/>
            <w:vAlign w:val="bottom"/>
          </w:tcPr>
          <w:p w:rsidR="008433B5" w:rsidRPr="005B01E9" w:rsidRDefault="00E33853" w:rsidP="008433B5">
            <w:pPr>
              <w:spacing w:after="120"/>
            </w:pPr>
            <w:r w:rsidRPr="00B078E7">
              <w:t>5</w:t>
            </w:r>
            <w:r>
              <w:t xml:space="preserve"> (</w:t>
            </w:r>
            <w:r w:rsidRPr="00B078E7">
              <w:t>par. 2 a) et b)</w:t>
            </w:r>
            <w:r>
              <w:t>)</w:t>
            </w:r>
          </w:p>
        </w:tc>
      </w:tr>
    </w:tbl>
    <w:p w:rsidR="00642728" w:rsidRPr="005B01E9" w:rsidRDefault="007B0586" w:rsidP="007B0586">
      <w:pPr>
        <w:pStyle w:val="HChG"/>
      </w:pPr>
      <w:r w:rsidRPr="005B01E9">
        <w:br w:type="page"/>
      </w:r>
      <w:r w:rsidR="00642728" w:rsidRPr="005B01E9">
        <w:t>A</w:t>
      </w:r>
      <w:r w:rsidR="00B57784" w:rsidRPr="005B01E9">
        <w:t>nnexe</w:t>
      </w:r>
    </w:p>
    <w:p w:rsidR="00642728" w:rsidRPr="005B01E9" w:rsidRDefault="00B57784" w:rsidP="008433B5">
      <w:pPr>
        <w:pStyle w:val="HChG"/>
      </w:pPr>
      <w:r w:rsidRPr="005B01E9">
        <w:tab/>
      </w:r>
      <w:r w:rsidRPr="005B01E9">
        <w:tab/>
      </w:r>
      <w:r w:rsidR="008433B5" w:rsidRPr="005B01E9">
        <w:t>Constatations du Comité des droits de l</w:t>
      </w:r>
      <w:r w:rsidR="0007594A">
        <w:t>’</w:t>
      </w:r>
      <w:r w:rsidR="008433B5" w:rsidRPr="005B01E9">
        <w:t>homme au titre</w:t>
      </w:r>
      <w:r w:rsidR="008433B5" w:rsidRPr="005B01E9">
        <w:br/>
        <w:t>du paragraphe 4 de l</w:t>
      </w:r>
      <w:r w:rsidR="0007594A">
        <w:t>’</w:t>
      </w:r>
      <w:r w:rsidR="008433B5" w:rsidRPr="005B01E9">
        <w:t>article 5 du Protocole facultatif</w:t>
      </w:r>
      <w:r w:rsidR="008433B5" w:rsidRPr="005B01E9">
        <w:br/>
        <w:t>se rapportant au Pacte international relatif aux droits</w:t>
      </w:r>
      <w:r w:rsidR="008433B5" w:rsidRPr="005B01E9">
        <w:br/>
        <w:t>civils et politiques (</w:t>
      </w:r>
      <w:r w:rsidR="00166CEF">
        <w:t>112</w:t>
      </w:r>
      <w:r w:rsidR="00166CEF" w:rsidRPr="00166CEF">
        <w:rPr>
          <w:vertAlign w:val="superscript"/>
        </w:rPr>
        <w:t>e</w:t>
      </w:r>
      <w:r w:rsidR="00166CEF">
        <w:t> </w:t>
      </w:r>
      <w:r w:rsidR="008433B5" w:rsidRPr="005B01E9">
        <w:t>session)</w:t>
      </w:r>
    </w:p>
    <w:p w:rsidR="00642728" w:rsidRPr="005B01E9" w:rsidRDefault="00642728" w:rsidP="00BA405E">
      <w:pPr>
        <w:pStyle w:val="SingleTxtG"/>
      </w:pPr>
      <w:r w:rsidRPr="005B01E9">
        <w:t>concernant la</w:t>
      </w:r>
    </w:p>
    <w:p w:rsidR="00642728" w:rsidRPr="005B01E9" w:rsidRDefault="00B57784" w:rsidP="00757D82">
      <w:pPr>
        <w:pStyle w:val="H1G"/>
      </w:pPr>
      <w:r w:rsidRPr="005B01E9">
        <w:tab/>
      </w:r>
      <w:r w:rsidRPr="005B01E9">
        <w:tab/>
      </w:r>
      <w:r w:rsidR="00642728" w:rsidRPr="005B01E9">
        <w:t xml:space="preserve">Communication </w:t>
      </w:r>
      <w:r w:rsidR="00642728" w:rsidRPr="005B01E9">
        <w:rPr>
          <w:rFonts w:eastAsia="MS Mincho"/>
        </w:rPr>
        <w:t>n</w:t>
      </w:r>
      <w:r w:rsidR="00642728" w:rsidRPr="005B01E9">
        <w:rPr>
          <w:rFonts w:eastAsia="MS Mincho"/>
          <w:vertAlign w:val="superscript"/>
        </w:rPr>
        <w:t>o</w:t>
      </w:r>
      <w:r w:rsidR="00166CEF">
        <w:t> 2085/2011</w:t>
      </w:r>
      <w:r w:rsidR="008433B5" w:rsidRPr="00166CEF">
        <w:rPr>
          <w:rStyle w:val="FootnoteReference"/>
          <w:rFonts w:eastAsia="MS Mincho"/>
          <w:b w:val="0"/>
          <w:bCs/>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8433B5" w:rsidRPr="005B01E9" w:rsidTr="008433B5">
        <w:tc>
          <w:tcPr>
            <w:tcW w:w="2410" w:type="dxa"/>
          </w:tcPr>
          <w:p w:rsidR="008433B5" w:rsidRPr="005B01E9" w:rsidRDefault="008433B5" w:rsidP="005D29C8">
            <w:pPr>
              <w:spacing w:after="120"/>
              <w:rPr>
                <w:i/>
              </w:rPr>
            </w:pPr>
            <w:r w:rsidRPr="005B01E9">
              <w:rPr>
                <w:i/>
              </w:rPr>
              <w:t>Présentée par</w:t>
            </w:r>
            <w:r w:rsidRPr="005B01E9">
              <w:t>:</w:t>
            </w:r>
          </w:p>
        </w:tc>
        <w:tc>
          <w:tcPr>
            <w:tcW w:w="4394" w:type="dxa"/>
          </w:tcPr>
          <w:p w:rsidR="008433B5" w:rsidRPr="005B01E9" w:rsidRDefault="00166CEF" w:rsidP="008433B5">
            <w:pPr>
              <w:spacing w:after="120"/>
            </w:pPr>
            <w:r>
              <w:t>Emilio E</w:t>
            </w:r>
            <w:r w:rsidRPr="00F95801">
              <w:t>nrique García Bolívar (</w:t>
            </w:r>
            <w:r>
              <w:t xml:space="preserve">représenté par ses avocats, </w:t>
            </w:r>
            <w:r w:rsidRPr="00F95801">
              <w:t>Luis Rondón et Omar García Valentiner)</w:t>
            </w:r>
          </w:p>
        </w:tc>
      </w:tr>
      <w:tr w:rsidR="008433B5" w:rsidRPr="005B01E9" w:rsidTr="008433B5">
        <w:tc>
          <w:tcPr>
            <w:tcW w:w="2410" w:type="dxa"/>
          </w:tcPr>
          <w:p w:rsidR="008433B5" w:rsidRPr="005B01E9" w:rsidRDefault="008433B5" w:rsidP="005D29C8">
            <w:pPr>
              <w:spacing w:after="120"/>
              <w:rPr>
                <w:i/>
              </w:rPr>
            </w:pPr>
            <w:r w:rsidRPr="005B01E9">
              <w:rPr>
                <w:i/>
              </w:rPr>
              <w:t>Au nom de</w:t>
            </w:r>
            <w:r w:rsidRPr="005B01E9">
              <w:t>:</w:t>
            </w:r>
          </w:p>
        </w:tc>
        <w:tc>
          <w:tcPr>
            <w:tcW w:w="4394" w:type="dxa"/>
          </w:tcPr>
          <w:p w:rsidR="008433B5" w:rsidRPr="005B01E9" w:rsidRDefault="00732A91" w:rsidP="008433B5">
            <w:pPr>
              <w:spacing w:after="120"/>
            </w:pPr>
            <w:r>
              <w:t>L</w:t>
            </w:r>
            <w:r w:rsidR="0007594A">
              <w:t>’</w:t>
            </w:r>
            <w:r>
              <w:t>auteur</w:t>
            </w:r>
          </w:p>
        </w:tc>
      </w:tr>
      <w:tr w:rsidR="008433B5" w:rsidRPr="005B01E9" w:rsidTr="008433B5">
        <w:tc>
          <w:tcPr>
            <w:tcW w:w="2410" w:type="dxa"/>
          </w:tcPr>
          <w:p w:rsidR="008433B5" w:rsidRPr="005B01E9" w:rsidRDefault="008433B5" w:rsidP="005D29C8">
            <w:pPr>
              <w:spacing w:after="120"/>
              <w:rPr>
                <w:i/>
              </w:rPr>
            </w:pPr>
            <w:r w:rsidRPr="005B01E9">
              <w:rPr>
                <w:i/>
              </w:rPr>
              <w:t>État partie</w:t>
            </w:r>
            <w:r w:rsidRPr="005B01E9">
              <w:t>:</w:t>
            </w:r>
          </w:p>
        </w:tc>
        <w:tc>
          <w:tcPr>
            <w:tcW w:w="4394" w:type="dxa"/>
          </w:tcPr>
          <w:p w:rsidR="008433B5" w:rsidRPr="005B01E9" w:rsidRDefault="00732A91" w:rsidP="008433B5">
            <w:pPr>
              <w:spacing w:after="120"/>
            </w:pPr>
            <w:r>
              <w:t>République bolivarienne du Venezuela</w:t>
            </w:r>
          </w:p>
        </w:tc>
      </w:tr>
      <w:tr w:rsidR="008433B5" w:rsidRPr="005B01E9" w:rsidTr="008433B5">
        <w:tc>
          <w:tcPr>
            <w:tcW w:w="2410" w:type="dxa"/>
          </w:tcPr>
          <w:p w:rsidR="008433B5" w:rsidRPr="005B01E9" w:rsidRDefault="008433B5" w:rsidP="00CB6C7A">
            <w:pPr>
              <w:spacing w:after="240"/>
              <w:rPr>
                <w:i/>
              </w:rPr>
            </w:pPr>
            <w:r w:rsidRPr="005B01E9">
              <w:rPr>
                <w:i/>
              </w:rPr>
              <w:t>Date de la communication</w:t>
            </w:r>
            <w:r w:rsidRPr="005B01E9">
              <w:t>:</w:t>
            </w:r>
          </w:p>
        </w:tc>
        <w:tc>
          <w:tcPr>
            <w:tcW w:w="4394" w:type="dxa"/>
          </w:tcPr>
          <w:p w:rsidR="008433B5" w:rsidRPr="005B01E9" w:rsidRDefault="00732A91" w:rsidP="008433B5">
            <w:pPr>
              <w:spacing w:after="120"/>
            </w:pPr>
            <w:r>
              <w:t>18 mars 2011</w:t>
            </w:r>
            <w:r w:rsidR="005B01E9" w:rsidRPr="005B01E9">
              <w:t xml:space="preserve"> </w:t>
            </w:r>
            <w:r w:rsidR="008433B5" w:rsidRPr="005B01E9">
              <w:t>(date de la lettre initiale)</w:t>
            </w:r>
          </w:p>
        </w:tc>
      </w:tr>
    </w:tbl>
    <w:p w:rsidR="008433B5" w:rsidRPr="005B01E9" w:rsidRDefault="008433B5" w:rsidP="008433B5">
      <w:pPr>
        <w:pStyle w:val="SingleTxtG"/>
        <w:ind w:firstLine="567"/>
      </w:pPr>
      <w:r w:rsidRPr="005B01E9">
        <w:rPr>
          <w:i/>
          <w:iCs/>
        </w:rPr>
        <w:t>Le Comité des droits de l</w:t>
      </w:r>
      <w:r w:rsidR="0007594A">
        <w:rPr>
          <w:i/>
          <w:iCs/>
        </w:rPr>
        <w:t>’</w:t>
      </w:r>
      <w:r w:rsidRPr="005B01E9">
        <w:rPr>
          <w:i/>
          <w:iCs/>
        </w:rPr>
        <w:t>homme</w:t>
      </w:r>
      <w:r w:rsidRPr="005B01E9">
        <w:t>, institué en vertu de l</w:t>
      </w:r>
      <w:r w:rsidR="0007594A">
        <w:t>’</w:t>
      </w:r>
      <w:r w:rsidRPr="005B01E9">
        <w:t>article 28 du Pacte international relatif aux droits civils et politiques,</w:t>
      </w:r>
    </w:p>
    <w:p w:rsidR="008433B5" w:rsidRPr="005B01E9" w:rsidRDefault="008433B5" w:rsidP="008433B5">
      <w:pPr>
        <w:pStyle w:val="SingleTxtG"/>
        <w:ind w:firstLine="567"/>
      </w:pPr>
      <w:r w:rsidRPr="005B01E9">
        <w:rPr>
          <w:i/>
          <w:iCs/>
        </w:rPr>
        <w:t xml:space="preserve">Réuni le </w:t>
      </w:r>
      <w:r w:rsidR="00732A91">
        <w:t>16 octobre 2014</w:t>
      </w:r>
      <w:r w:rsidRPr="005B01E9">
        <w:t>,</w:t>
      </w:r>
    </w:p>
    <w:p w:rsidR="008433B5" w:rsidRPr="005B01E9" w:rsidRDefault="008433B5" w:rsidP="008433B5">
      <w:pPr>
        <w:pStyle w:val="SingleTxtG"/>
        <w:ind w:firstLine="567"/>
      </w:pPr>
      <w:r w:rsidRPr="005B01E9">
        <w:rPr>
          <w:i/>
          <w:iCs/>
        </w:rPr>
        <w:t>Ayant achevé</w:t>
      </w:r>
      <w:r w:rsidRPr="005B01E9">
        <w:t xml:space="preserve"> l</w:t>
      </w:r>
      <w:r w:rsidR="0007594A">
        <w:t>’</w:t>
      </w:r>
      <w:r w:rsidR="00924591">
        <w:t xml:space="preserve">examen de la communication </w:t>
      </w:r>
      <w:r w:rsidR="00924591" w:rsidRPr="00C14D2A">
        <w:t>n</w:t>
      </w:r>
      <w:r w:rsidR="00924591" w:rsidRPr="00C14D2A">
        <w:rPr>
          <w:vertAlign w:val="superscript"/>
        </w:rPr>
        <w:t>o</w:t>
      </w:r>
      <w:r w:rsidR="00924591">
        <w:t> </w:t>
      </w:r>
      <w:r w:rsidR="00732A91">
        <w:t>2085/2011</w:t>
      </w:r>
      <w:r w:rsidR="005B01E9" w:rsidRPr="005B01E9">
        <w:rPr>
          <w:b/>
        </w:rPr>
        <w:t xml:space="preserve"> </w:t>
      </w:r>
      <w:r w:rsidRPr="005B01E9">
        <w:t xml:space="preserve">présentée </w:t>
      </w:r>
      <w:r w:rsidR="00732A91">
        <w:t>au Comité des droits de l</w:t>
      </w:r>
      <w:r w:rsidR="0007594A">
        <w:t>’</w:t>
      </w:r>
      <w:r w:rsidR="00732A91">
        <w:t>homme par Emilio Enrique García Bolívar</w:t>
      </w:r>
      <w:r w:rsidR="005B01E9" w:rsidRPr="005B01E9">
        <w:t xml:space="preserve"> </w:t>
      </w:r>
      <w:r w:rsidRPr="005B01E9">
        <w:t>en vertu du Protocole facultatif se rapportant au Pacte international relatif aux droits civils et politiques,</w:t>
      </w:r>
    </w:p>
    <w:p w:rsidR="008433B5" w:rsidRPr="005B01E9" w:rsidRDefault="008433B5" w:rsidP="008433B5">
      <w:pPr>
        <w:pStyle w:val="SingleTxtG"/>
        <w:ind w:firstLine="567"/>
      </w:pPr>
      <w:r w:rsidRPr="005B01E9">
        <w:rPr>
          <w:i/>
          <w:iCs/>
        </w:rPr>
        <w:t>Ayant tenu compte</w:t>
      </w:r>
      <w:r w:rsidRPr="005B01E9">
        <w:t xml:space="preserve"> de toutes les informations écrites qui lui ont été communiquées par </w:t>
      </w:r>
      <w:r w:rsidR="00732A91">
        <w:t>l</w:t>
      </w:r>
      <w:r w:rsidR="0007594A">
        <w:t>’</w:t>
      </w:r>
      <w:r w:rsidR="00732A91">
        <w:t>auteur</w:t>
      </w:r>
      <w:r w:rsidR="005B01E9" w:rsidRPr="005B01E9">
        <w:rPr>
          <w:b/>
        </w:rPr>
        <w:t xml:space="preserve"> </w:t>
      </w:r>
      <w:r w:rsidRPr="005B01E9">
        <w:t>de la communication et l</w:t>
      </w:r>
      <w:r w:rsidR="0007594A">
        <w:t>’</w:t>
      </w:r>
      <w:r w:rsidRPr="005B01E9">
        <w:t>État partie,</w:t>
      </w:r>
    </w:p>
    <w:p w:rsidR="00E24896" w:rsidRPr="005B01E9" w:rsidRDefault="008433B5" w:rsidP="008433B5">
      <w:pPr>
        <w:pStyle w:val="SingleTxtG"/>
        <w:ind w:firstLine="567"/>
      </w:pPr>
      <w:r w:rsidRPr="005B01E9">
        <w:rPr>
          <w:i/>
          <w:iCs/>
        </w:rPr>
        <w:t>Adopte</w:t>
      </w:r>
      <w:r w:rsidRPr="005B01E9">
        <w:t xml:space="preserve"> ce qui suit:</w:t>
      </w:r>
    </w:p>
    <w:p w:rsidR="00732A91" w:rsidRPr="00BF6F4D" w:rsidRDefault="00732A91" w:rsidP="00732A91">
      <w:pPr>
        <w:pStyle w:val="H1G"/>
      </w:pPr>
      <w:r w:rsidRPr="00BF6F4D">
        <w:tab/>
      </w:r>
      <w:r w:rsidRPr="00BF6F4D">
        <w:tab/>
      </w:r>
      <w:r w:rsidRPr="00F95801">
        <w:t>Constatations au titre du paragraphe 4 de l</w:t>
      </w:r>
      <w:r w:rsidR="0007594A">
        <w:t>’</w:t>
      </w:r>
      <w:r w:rsidRPr="00F95801">
        <w:t>article 5</w:t>
      </w:r>
      <w:r w:rsidRPr="00F95801">
        <w:br/>
        <w:t>du Protocole facultatif</w:t>
      </w:r>
    </w:p>
    <w:p w:rsidR="00732A91" w:rsidRPr="001303D4" w:rsidRDefault="00732A91" w:rsidP="00732A91">
      <w:pPr>
        <w:pStyle w:val="SingleTxtG"/>
      </w:pPr>
      <w:r>
        <w:t>1.</w:t>
      </w:r>
      <w:r>
        <w:tab/>
        <w:t>L</w:t>
      </w:r>
      <w:r w:rsidR="0007594A">
        <w:t>’</w:t>
      </w:r>
      <w:r>
        <w:t xml:space="preserve">auteur de la communication est Emilio Enrique García Bolívar, de nationalité vénézuélienne, né le 21 juillet 1975. Il se déclare victime de violations par la </w:t>
      </w:r>
      <w:r w:rsidRPr="00074080">
        <w:t xml:space="preserve">République bolivarienne du </w:t>
      </w:r>
      <w:r w:rsidRPr="00074080">
        <w:rPr>
          <w:rFonts w:eastAsia="MS Mincho"/>
        </w:rPr>
        <w:t>Venezuela</w:t>
      </w:r>
      <w:r>
        <w:rPr>
          <w:rFonts w:eastAsia="MS Mincho"/>
        </w:rPr>
        <w:t xml:space="preserve"> des droits </w:t>
      </w:r>
      <w:r w:rsidR="00076BD0">
        <w:rPr>
          <w:rFonts w:eastAsia="MS Mincho"/>
        </w:rPr>
        <w:t>qu</w:t>
      </w:r>
      <w:r w:rsidR="0007594A">
        <w:rPr>
          <w:rFonts w:eastAsia="MS Mincho"/>
        </w:rPr>
        <w:t>’</w:t>
      </w:r>
      <w:r w:rsidR="00076BD0">
        <w:rPr>
          <w:rFonts w:eastAsia="MS Mincho"/>
        </w:rPr>
        <w:t xml:space="preserve">il tient </w:t>
      </w:r>
      <w:r w:rsidR="00526AAA">
        <w:rPr>
          <w:rFonts w:eastAsia="MS Mincho"/>
        </w:rPr>
        <w:t>des</w:t>
      </w:r>
      <w:r w:rsidR="00076BD0">
        <w:rPr>
          <w:rFonts w:eastAsia="MS Mincho"/>
        </w:rPr>
        <w:t xml:space="preserve"> </w:t>
      </w:r>
      <w:r>
        <w:rPr>
          <w:rFonts w:eastAsia="MS Mincho"/>
        </w:rPr>
        <w:t>articles 2 (par. 3), 14 (par. 1</w:t>
      </w:r>
      <w:r w:rsidR="00367680">
        <w:rPr>
          <w:rFonts w:eastAsia="MS Mincho"/>
        </w:rPr>
        <w:t xml:space="preserve"> et 3), 15 et </w:t>
      </w:r>
      <w:r>
        <w:rPr>
          <w:rFonts w:eastAsia="MS Mincho"/>
        </w:rPr>
        <w:t>26 du Pacte.</w:t>
      </w:r>
    </w:p>
    <w:p w:rsidR="00732A91" w:rsidRDefault="00732A91" w:rsidP="00732A91">
      <w:pPr>
        <w:pStyle w:val="H23G"/>
      </w:pPr>
      <w:r>
        <w:tab/>
      </w:r>
      <w:r>
        <w:tab/>
        <w:t>Rappel des faits présentés par l</w:t>
      </w:r>
      <w:r w:rsidR="0007594A">
        <w:t>’</w:t>
      </w:r>
      <w:r>
        <w:t>auteur</w:t>
      </w:r>
    </w:p>
    <w:p w:rsidR="00732A91" w:rsidRDefault="00732A91" w:rsidP="00B13A3D">
      <w:pPr>
        <w:pStyle w:val="SingleTxtG"/>
        <w:keepLines/>
      </w:pPr>
      <w:r>
        <w:t>2.1</w:t>
      </w:r>
      <w:r>
        <w:tab/>
        <w:t>Le 21 juillet 1997, l</w:t>
      </w:r>
      <w:r w:rsidR="0007594A">
        <w:t>’</w:t>
      </w:r>
      <w:r>
        <w:t>auteur a commencé à travailler dans un cabinet d</w:t>
      </w:r>
      <w:r w:rsidR="0007594A">
        <w:t>’</w:t>
      </w:r>
      <w:r>
        <w:t>avocat (ci</w:t>
      </w:r>
      <w:r>
        <w:noBreakHyphen/>
        <w:t>après «la société»). La société comptait parmi ses membres la fille d</w:t>
      </w:r>
      <w:r w:rsidR="0007594A">
        <w:t>’</w:t>
      </w:r>
      <w:r>
        <w:t xml:space="preserve">un haut fonctionnaire de </w:t>
      </w:r>
      <w:r w:rsidR="00076BD0">
        <w:t>la République bolivarienne du Venezuela</w:t>
      </w:r>
      <w:r>
        <w:rPr>
          <w:rStyle w:val="FootnoteReference"/>
        </w:rPr>
        <w:footnoteReference w:id="3"/>
      </w:r>
      <w:r>
        <w:t>. L</w:t>
      </w:r>
      <w:r w:rsidR="0007594A">
        <w:t>’</w:t>
      </w:r>
      <w:r>
        <w:t>auteur a présenté sa démission le 27 septembre 2000 et son contrat de travail a pris fin le 27 octobre.</w:t>
      </w:r>
    </w:p>
    <w:p w:rsidR="00732A91" w:rsidRDefault="00732A91" w:rsidP="00732A91">
      <w:pPr>
        <w:pStyle w:val="SingleTxtG"/>
        <w:keepLines/>
      </w:pPr>
      <w:r>
        <w:t>2.2</w:t>
      </w:r>
      <w:r>
        <w:tab/>
        <w:t>Le 13 novembre 2000, la société ne lui ayant pas versé les indemnités qui lui étaient dues, l</w:t>
      </w:r>
      <w:r w:rsidR="0007594A">
        <w:t>’</w:t>
      </w:r>
      <w:r>
        <w:t xml:space="preserve">auteur a </w:t>
      </w:r>
      <w:r w:rsidR="00076BD0">
        <w:t>déposé</w:t>
      </w:r>
      <w:r>
        <w:t xml:space="preserve"> une demande de versement d</w:t>
      </w:r>
      <w:r w:rsidR="0007594A">
        <w:t>’</w:t>
      </w:r>
      <w:r>
        <w:t>indemnités, dommages</w:t>
      </w:r>
      <w:r>
        <w:noBreakHyphen/>
        <w:t>intérêts et réparation du préjudice moral, pour un montant total de 97 601 125 b</w:t>
      </w:r>
      <w:r w:rsidR="00526AAA">
        <w:t>oli</w:t>
      </w:r>
      <w:r w:rsidRPr="007E568F">
        <w:t>vars</w:t>
      </w:r>
      <w:r>
        <w:rPr>
          <w:rStyle w:val="FootnoteReference"/>
        </w:rPr>
        <w:footnoteReference w:id="4"/>
      </w:r>
      <w:r>
        <w:t xml:space="preserve">. Le 21 novembre 2000, le huitième tribunal </w:t>
      </w:r>
      <w:r w:rsidR="00076BD0">
        <w:t>prud</w:t>
      </w:r>
      <w:r w:rsidR="0007594A">
        <w:t>’</w:t>
      </w:r>
      <w:r w:rsidR="00076BD0">
        <w:t xml:space="preserve">homal </w:t>
      </w:r>
      <w:r>
        <w:t xml:space="preserve">de première instance de la circonscription judiciaire de la zone métropolitaine de Caracas a </w:t>
      </w:r>
      <w:r w:rsidR="00076BD0">
        <w:t xml:space="preserve">accueilli </w:t>
      </w:r>
      <w:r>
        <w:t>la demande et ordonné la comparution de la partie défenderesse pour que celle</w:t>
      </w:r>
      <w:r>
        <w:noBreakHyphen/>
        <w:t>ci présente sa défense.</w:t>
      </w:r>
    </w:p>
    <w:p w:rsidR="00732A91" w:rsidRDefault="00732A91" w:rsidP="00732A91">
      <w:pPr>
        <w:pStyle w:val="SingleTxtG"/>
      </w:pPr>
      <w:r>
        <w:t>2.3</w:t>
      </w:r>
      <w:r>
        <w:tab/>
        <w:t>Le 20 novembre 2000, l</w:t>
      </w:r>
      <w:r w:rsidR="0007594A">
        <w:t>’</w:t>
      </w:r>
      <w:r>
        <w:t xml:space="preserve">Assemblée nationale a désigné trois juges appelés à siéger à la chambre </w:t>
      </w:r>
      <w:r w:rsidR="00076BD0">
        <w:t xml:space="preserve">sociale du Tribunal suprême, </w:t>
      </w:r>
      <w:r>
        <w:t xml:space="preserve">parmi lesquels </w:t>
      </w:r>
      <w:r w:rsidR="00076BD0">
        <w:t xml:space="preserve">se trouvait le </w:t>
      </w:r>
      <w:r>
        <w:t xml:space="preserve">père de </w:t>
      </w:r>
      <w:r w:rsidR="00076BD0">
        <w:t>l</w:t>
      </w:r>
      <w:r w:rsidR="0007594A">
        <w:t>’</w:t>
      </w:r>
      <w:r>
        <w:t xml:space="preserve">avocate </w:t>
      </w:r>
      <w:r w:rsidR="00076BD0">
        <w:t xml:space="preserve">qui allait représenter plus tard </w:t>
      </w:r>
      <w:r>
        <w:t>la société défenderesse.</w:t>
      </w:r>
    </w:p>
    <w:p w:rsidR="00732A91" w:rsidRDefault="00732A91" w:rsidP="00732A91">
      <w:pPr>
        <w:pStyle w:val="SingleTxtG"/>
      </w:pPr>
      <w:r>
        <w:t>2.4</w:t>
      </w:r>
      <w:r>
        <w:tab/>
        <w:t>Le 22 novembre 2000, la société a mandaté pour la représenter une avocate qui se trouvait être la fille du vice</w:t>
      </w:r>
      <w:r>
        <w:noBreakHyphen/>
        <w:t>président de la chambre sociale du Tribunal suprême</w:t>
      </w:r>
      <w:r>
        <w:rPr>
          <w:rStyle w:val="FootnoteReference"/>
        </w:rPr>
        <w:footnoteReference w:id="5"/>
      </w:r>
      <w:r>
        <w:t>.</w:t>
      </w:r>
    </w:p>
    <w:p w:rsidR="00732A91" w:rsidRDefault="00732A91" w:rsidP="00732A91">
      <w:pPr>
        <w:pStyle w:val="SingleTxtG"/>
      </w:pPr>
      <w:r>
        <w:t>2.5</w:t>
      </w:r>
      <w:r>
        <w:tab/>
        <w:t xml:space="preserve">Le 12 décembre 2000, le tribunal </w:t>
      </w:r>
      <w:r w:rsidR="00076BD0">
        <w:t>prud</w:t>
      </w:r>
      <w:r w:rsidR="0007594A">
        <w:t>’</w:t>
      </w:r>
      <w:r w:rsidR="00076BD0">
        <w:t xml:space="preserve">homal </w:t>
      </w:r>
      <w:r>
        <w:t>de première instance a déclaré irrecevable une partie des preuve</w:t>
      </w:r>
      <w:r w:rsidR="00076BD0">
        <w:t>s</w:t>
      </w:r>
      <w:r>
        <w:t xml:space="preserve"> présenté</w:t>
      </w:r>
      <w:r w:rsidR="00076BD0">
        <w:t>e</w:t>
      </w:r>
      <w:r>
        <w:t>s par l</w:t>
      </w:r>
      <w:r w:rsidR="0007594A">
        <w:t>’</w:t>
      </w:r>
      <w:r>
        <w:t>auteur. Le 14 décembre, l</w:t>
      </w:r>
      <w:r w:rsidR="0007594A">
        <w:t>’</w:t>
      </w:r>
      <w:r>
        <w:t>auteur a fait appel de cette décision.</w:t>
      </w:r>
    </w:p>
    <w:p w:rsidR="00732A91" w:rsidRDefault="00732A91" w:rsidP="00732A91">
      <w:pPr>
        <w:pStyle w:val="SingleTxtG"/>
      </w:pPr>
      <w:r>
        <w:t>2.6</w:t>
      </w:r>
      <w:r>
        <w:tab/>
        <w:t xml:space="preserve">En janvier, février et mars 2001, le neuvième tribunal </w:t>
      </w:r>
      <w:r w:rsidR="00076BD0">
        <w:t>prud</w:t>
      </w:r>
      <w:r w:rsidR="0007594A">
        <w:t>’</w:t>
      </w:r>
      <w:r w:rsidR="00076BD0">
        <w:t xml:space="preserve">homal </w:t>
      </w:r>
      <w:r>
        <w:t>de première instance a repoussé à trois reprises l</w:t>
      </w:r>
      <w:r w:rsidR="0007594A">
        <w:t>’</w:t>
      </w:r>
      <w:r>
        <w:t>audition des conclusions au motif que toutes les mesures d</w:t>
      </w:r>
      <w:r w:rsidR="0007594A">
        <w:t>’</w:t>
      </w:r>
      <w:r>
        <w:t>instruction n</w:t>
      </w:r>
      <w:r w:rsidR="0007594A">
        <w:t>’</w:t>
      </w:r>
      <w:r>
        <w:t>avaient pas été exécutées. Entre janvier et février 2001, l</w:t>
      </w:r>
      <w:r w:rsidR="0007594A">
        <w:t>’</w:t>
      </w:r>
      <w:r>
        <w:t xml:space="preserve">auteur a récusé à deux reprises le juge du huitième tribunal </w:t>
      </w:r>
      <w:r w:rsidR="00076BD0">
        <w:t>prud</w:t>
      </w:r>
      <w:r w:rsidR="0007594A">
        <w:t>’</w:t>
      </w:r>
      <w:r w:rsidR="00076BD0">
        <w:t xml:space="preserve">homal </w:t>
      </w:r>
      <w:r>
        <w:t>de premi</w:t>
      </w:r>
      <w:r w:rsidR="00076BD0">
        <w:t>ère instance pour les motifs ci-</w:t>
      </w:r>
      <w:r>
        <w:t xml:space="preserve">après: violation </w:t>
      </w:r>
      <w:r w:rsidR="00076BD0">
        <w:t>des règles d</w:t>
      </w:r>
      <w:r w:rsidR="0007594A">
        <w:t>’</w:t>
      </w:r>
      <w:r w:rsidR="00076BD0">
        <w:t xml:space="preserve">une </w:t>
      </w:r>
      <w:r>
        <w:t xml:space="preserve">procédure </w:t>
      </w:r>
      <w:r w:rsidR="00076BD0">
        <w:t xml:space="preserve">équitable </w:t>
      </w:r>
      <w:r>
        <w:t>et du droit à la défense, erreurs et omissions injustifiées et violations importantes des règles de procédure.</w:t>
      </w:r>
    </w:p>
    <w:p w:rsidR="00732A91" w:rsidRDefault="00732A91" w:rsidP="00732A91">
      <w:pPr>
        <w:pStyle w:val="SingleTxtG"/>
      </w:pPr>
      <w:r>
        <w:t>2.7</w:t>
      </w:r>
      <w:r>
        <w:tab/>
        <w:t>En avril 2001, l</w:t>
      </w:r>
      <w:r w:rsidR="0007594A">
        <w:t>’</w:t>
      </w:r>
      <w:r>
        <w:t>auteur a signalé à deux reprises au tribunal que la présentation des conclusions avait été différée et qu</w:t>
      </w:r>
      <w:r w:rsidR="0007594A">
        <w:t>’</w:t>
      </w:r>
      <w:r w:rsidR="00804237">
        <w:t>il n</w:t>
      </w:r>
      <w:r w:rsidR="0007594A">
        <w:t>’</w:t>
      </w:r>
      <w:r w:rsidR="00804237">
        <w:t>avait toujours pas été statué sur l</w:t>
      </w:r>
      <w:r w:rsidR="0007594A">
        <w:t>’</w:t>
      </w:r>
      <w:r w:rsidR="00804237">
        <w:t>appel formé en décembre 2000</w:t>
      </w:r>
      <w:r>
        <w:t>. Le 16 mai 2001, l</w:t>
      </w:r>
      <w:r w:rsidR="0007594A">
        <w:t>’</w:t>
      </w:r>
      <w:r>
        <w:t>avocate de la société défenderesse a présenté ses conclusions. Le jour même, l</w:t>
      </w:r>
      <w:r w:rsidR="0007594A">
        <w:t>’</w:t>
      </w:r>
      <w:r>
        <w:t>auteur s</w:t>
      </w:r>
      <w:r w:rsidR="0007594A">
        <w:t>’</w:t>
      </w:r>
      <w:r>
        <w:t>est opposé à cet acte de procédure, invoquant une violation de son droit à la défense puisqu</w:t>
      </w:r>
      <w:r w:rsidR="0007594A">
        <w:t>’</w:t>
      </w:r>
      <w:r>
        <w:t>il avait formé un recours sur lequel le tribunal ne s</w:t>
      </w:r>
      <w:r w:rsidR="0007594A">
        <w:t>’</w:t>
      </w:r>
      <w:r>
        <w:t>était pas encore prononcé. Le 1</w:t>
      </w:r>
      <w:r w:rsidRPr="00C1454B">
        <w:rPr>
          <w:vertAlign w:val="superscript"/>
        </w:rPr>
        <w:t>er</w:t>
      </w:r>
      <w:r>
        <w:t xml:space="preserve"> juin, le cinquième tribunal </w:t>
      </w:r>
      <w:r w:rsidR="00804237">
        <w:t>prud</w:t>
      </w:r>
      <w:r w:rsidR="0007594A">
        <w:t>’</w:t>
      </w:r>
      <w:r w:rsidR="00804237">
        <w:t xml:space="preserve">homal </w:t>
      </w:r>
      <w:r>
        <w:t xml:space="preserve">a fixé la date </w:t>
      </w:r>
      <w:r w:rsidR="00804237">
        <w:t xml:space="preserve">à laquelle </w:t>
      </w:r>
      <w:r>
        <w:t>la décision</w:t>
      </w:r>
      <w:r w:rsidR="00804237">
        <w:t xml:space="preserve"> devait être rendue</w:t>
      </w:r>
      <w:r>
        <w:t>. Or le 8 juin 2001, l</w:t>
      </w:r>
      <w:r w:rsidR="0007594A">
        <w:t>’</w:t>
      </w:r>
      <w:r>
        <w:t>auteur a présenté une déclaration écrite dénonçant un déni de justice et la violation de son droit à la défense au motif qu</w:t>
      </w:r>
      <w:r w:rsidR="0007594A">
        <w:t>’</w:t>
      </w:r>
      <w:r>
        <w:t>aucune décision n</w:t>
      </w:r>
      <w:r w:rsidR="0007594A">
        <w:t>’</w:t>
      </w:r>
      <w:r>
        <w:t xml:space="preserve">avait encore été rendue </w:t>
      </w:r>
      <w:r w:rsidR="00804237">
        <w:t>sur l</w:t>
      </w:r>
      <w:r w:rsidR="0007594A">
        <w:t>’</w:t>
      </w:r>
      <w:r>
        <w:t xml:space="preserve">appel </w:t>
      </w:r>
      <w:r w:rsidR="00804237">
        <w:t xml:space="preserve">formé en </w:t>
      </w:r>
      <w:r>
        <w:t>décembre 2000.</w:t>
      </w:r>
    </w:p>
    <w:p w:rsidR="00732A91" w:rsidRDefault="00732A91" w:rsidP="00732A91">
      <w:pPr>
        <w:pStyle w:val="SingleTxtG"/>
      </w:pPr>
      <w:r>
        <w:t>2.8</w:t>
      </w:r>
      <w:r>
        <w:tab/>
        <w:t>Le 17 janvier 2002, le juge du huitième tribunal de première instance s</w:t>
      </w:r>
      <w:r w:rsidR="0007594A">
        <w:t>’</w:t>
      </w:r>
      <w:r>
        <w:t>est dessaisi du dossier pour cause d</w:t>
      </w:r>
      <w:r w:rsidR="0007594A">
        <w:t>’</w:t>
      </w:r>
      <w:r>
        <w:t>inimitié avec l</w:t>
      </w:r>
      <w:r w:rsidR="0007594A">
        <w:t>’</w:t>
      </w:r>
      <w:r>
        <w:t>auteur, en vertu du paragraphe 18 de l</w:t>
      </w:r>
      <w:r w:rsidR="0007594A">
        <w:t>’</w:t>
      </w:r>
      <w:r>
        <w:t>article 82 du Code de procédure civile</w:t>
      </w:r>
      <w:r>
        <w:rPr>
          <w:rStyle w:val="FootnoteReference"/>
        </w:rPr>
        <w:footnoteReference w:id="6"/>
      </w:r>
      <w:r>
        <w:t>. Le 20 février 2002, le juge du quatrième tribunal s</w:t>
      </w:r>
      <w:r w:rsidR="0007594A">
        <w:t>’</w:t>
      </w:r>
      <w:r>
        <w:t>est saisi de l</w:t>
      </w:r>
      <w:r w:rsidR="0007594A">
        <w:t>’</w:t>
      </w:r>
      <w:r>
        <w:t>affaire et a fixé un délai de soixante jours pour le prononcé du jugement. Le 21 mai 2002, ce délai a été prorogé de trente jours par la juge du quatrième tribunal.</w:t>
      </w:r>
    </w:p>
    <w:p w:rsidR="00732A91" w:rsidRDefault="00732A91" w:rsidP="00732A91">
      <w:pPr>
        <w:pStyle w:val="SingleTxtG"/>
      </w:pPr>
      <w:r>
        <w:t>2.9</w:t>
      </w:r>
      <w:r>
        <w:tab/>
        <w:t>Le 10 juin 2003, le Président de la République bolivarienne du Venezuela a nommé à la tête d</w:t>
      </w:r>
      <w:r w:rsidR="0007594A">
        <w:t>’</w:t>
      </w:r>
      <w:r>
        <w:t>un organisme d</w:t>
      </w:r>
      <w:r w:rsidR="0007594A">
        <w:t>’</w:t>
      </w:r>
      <w:r>
        <w:t>État le père d</w:t>
      </w:r>
      <w:r w:rsidR="0007594A">
        <w:t>’</w:t>
      </w:r>
      <w:r>
        <w:t>une personne haut placée dans la société défenderesse</w:t>
      </w:r>
      <w:r>
        <w:rPr>
          <w:rStyle w:val="FootnoteReference"/>
        </w:rPr>
        <w:footnoteReference w:id="7"/>
      </w:r>
      <w:r>
        <w:t>.</w:t>
      </w:r>
    </w:p>
    <w:p w:rsidR="00732A91" w:rsidRDefault="00732A91" w:rsidP="00732A91">
      <w:pPr>
        <w:pStyle w:val="SingleTxtG"/>
      </w:pPr>
      <w:r>
        <w:t>2.10</w:t>
      </w:r>
      <w:r>
        <w:tab/>
        <w:t xml:space="preserve">Le 13 août 2003, une nouvelle loi </w:t>
      </w:r>
      <w:r w:rsidR="00804237">
        <w:t xml:space="preserve">relative à </w:t>
      </w:r>
      <w:r>
        <w:t xml:space="preserve">la procédure </w:t>
      </w:r>
      <w:r w:rsidR="00804237">
        <w:t>prud</w:t>
      </w:r>
      <w:r w:rsidR="0007594A">
        <w:t>’</w:t>
      </w:r>
      <w:r w:rsidR="00804237">
        <w:t xml:space="preserve">homale visant </w:t>
      </w:r>
      <w:r>
        <w:t>à restructurer le régime judiciaire est entrée en vigueur</w:t>
      </w:r>
      <w:r w:rsidR="00804237">
        <w:t>;</w:t>
      </w:r>
      <w:r>
        <w:t xml:space="preserve"> </w:t>
      </w:r>
      <w:r w:rsidR="00804237">
        <w:t xml:space="preserve">elle </w:t>
      </w:r>
      <w:r>
        <w:t>instituait une procédure transitoire. C</w:t>
      </w:r>
      <w:r w:rsidR="0007594A">
        <w:t>’</w:t>
      </w:r>
      <w:r>
        <w:t>est ainsi que le 15 mars 2004 le juge du troisième tribunal de première instance chargé des questions au régime de procédure transitoire s</w:t>
      </w:r>
      <w:r w:rsidR="0007594A">
        <w:t>’</w:t>
      </w:r>
      <w:r>
        <w:t>est saisi de l</w:t>
      </w:r>
      <w:r w:rsidR="0007594A">
        <w:t>’</w:t>
      </w:r>
      <w:r>
        <w:t>affaire. En vertu du paragraphe 4 de l</w:t>
      </w:r>
      <w:r w:rsidR="0007594A">
        <w:t>’</w:t>
      </w:r>
      <w:r>
        <w:t xml:space="preserve">article 197 de la loi </w:t>
      </w:r>
      <w:r w:rsidR="00804237">
        <w:t xml:space="preserve">relative à </w:t>
      </w:r>
      <w:r>
        <w:t xml:space="preserve">la procédure </w:t>
      </w:r>
      <w:r w:rsidR="00804237">
        <w:t>prud</w:t>
      </w:r>
      <w:r w:rsidR="0007594A">
        <w:t>’</w:t>
      </w:r>
      <w:r w:rsidR="00804237">
        <w:t>homale</w:t>
      </w:r>
      <w:r>
        <w:t>, consacré au régime transitoire</w:t>
      </w:r>
      <w:r>
        <w:rPr>
          <w:rStyle w:val="FootnoteReference"/>
        </w:rPr>
        <w:footnoteReference w:id="8"/>
      </w:r>
      <w:r>
        <w:t>, le tribunal disposait de trente jours pour statuer sur le fond.</w:t>
      </w:r>
    </w:p>
    <w:p w:rsidR="00732A91" w:rsidRDefault="00732A91" w:rsidP="00732A91">
      <w:pPr>
        <w:pStyle w:val="SingleTxtG"/>
      </w:pPr>
      <w:r>
        <w:t>2.11</w:t>
      </w:r>
      <w:r>
        <w:tab/>
        <w:t>Le 16 juin 2004, l</w:t>
      </w:r>
      <w:r w:rsidR="0007594A">
        <w:t>’</w:t>
      </w:r>
      <w:r>
        <w:t xml:space="preserve">auteur a demandé à la chambre sociale du Tribunal suprême de </w:t>
      </w:r>
      <w:r w:rsidR="00804237">
        <w:t>se saisir de l</w:t>
      </w:r>
      <w:r w:rsidR="0007594A">
        <w:t>’</w:t>
      </w:r>
      <w:r w:rsidR="00804237">
        <w:t xml:space="preserve">affaire pour ce qui est du </w:t>
      </w:r>
      <w:r>
        <w:t>versement d</w:t>
      </w:r>
      <w:r w:rsidR="00804237">
        <w:t xml:space="preserve">es </w:t>
      </w:r>
      <w:r>
        <w:t xml:space="preserve">indemnités, </w:t>
      </w:r>
      <w:r w:rsidR="00804237">
        <w:t>d</w:t>
      </w:r>
      <w:r>
        <w:t>es dommages</w:t>
      </w:r>
      <w:r>
        <w:noBreakHyphen/>
        <w:t xml:space="preserve">intérêts et </w:t>
      </w:r>
      <w:r w:rsidR="00804237">
        <w:t xml:space="preserve">de </w:t>
      </w:r>
      <w:r>
        <w:t>la réparation du préjudice moral. L</w:t>
      </w:r>
      <w:r w:rsidR="0007594A">
        <w:t>’</w:t>
      </w:r>
      <w:r>
        <w:t xml:space="preserve">auteur </w:t>
      </w:r>
      <w:r w:rsidR="00804237">
        <w:t xml:space="preserve">faisait valoir </w:t>
      </w:r>
      <w:r>
        <w:t>qu</w:t>
      </w:r>
      <w:r w:rsidR="0007594A">
        <w:t>’</w:t>
      </w:r>
      <w:r>
        <w:t>il y avait eu vice de procédure en première instance et que l</w:t>
      </w:r>
      <w:r w:rsidR="0007594A">
        <w:t>’</w:t>
      </w:r>
      <w:r>
        <w:t>équité de la procédure n</w:t>
      </w:r>
      <w:r w:rsidR="0007594A">
        <w:t>’</w:t>
      </w:r>
      <w:r>
        <w:t xml:space="preserve">avait pas été garantie, </w:t>
      </w:r>
      <w:r w:rsidR="00804237">
        <w:t xml:space="preserve">ce qui </w:t>
      </w:r>
      <w:r>
        <w:t>porta</w:t>
      </w:r>
      <w:r w:rsidR="00804237">
        <w:t>i</w:t>
      </w:r>
      <w:r>
        <w:t xml:space="preserve">t atteinte au droit à un recours judiciaire effectif. Selon lui, </w:t>
      </w:r>
      <w:r w:rsidR="00804237">
        <w:t xml:space="preserve">le </w:t>
      </w:r>
      <w:r>
        <w:t xml:space="preserve">droit de pétition, </w:t>
      </w:r>
      <w:r w:rsidR="00804237">
        <w:t xml:space="preserve">le </w:t>
      </w:r>
      <w:r>
        <w:t xml:space="preserve">droit à une procédure régulière et </w:t>
      </w:r>
      <w:r w:rsidR="00804237">
        <w:t xml:space="preserve">le </w:t>
      </w:r>
      <w:r>
        <w:t>droit d</w:t>
      </w:r>
      <w:r w:rsidR="0007594A">
        <w:t>’</w:t>
      </w:r>
      <w:r>
        <w:t>exiger le versement immédiat des indemnités qui lui étaient dues, consacrés aux articles 49, 51 et 92 de la Constitution de la République bolivarienne du Venezuela, avaient été violés</w:t>
      </w:r>
      <w:r>
        <w:rPr>
          <w:rStyle w:val="FootnoteReference"/>
        </w:rPr>
        <w:footnoteReference w:id="9"/>
      </w:r>
      <w:r>
        <w:t>.</w:t>
      </w:r>
    </w:p>
    <w:p w:rsidR="00732A91" w:rsidRDefault="00732A91" w:rsidP="00732A91">
      <w:pPr>
        <w:pStyle w:val="SingleTxtG"/>
      </w:pPr>
      <w:r>
        <w:t>2.12</w:t>
      </w:r>
      <w:r>
        <w:tab/>
        <w:t xml:space="preserve">Le 22 juin 2004, le troisième tribunal de première instance a </w:t>
      </w:r>
      <w:r w:rsidR="00E87DDE">
        <w:t>relevé</w:t>
      </w:r>
      <w:r>
        <w:t xml:space="preserve"> que les juridictions antérieures ne s</w:t>
      </w:r>
      <w:r w:rsidR="0007594A">
        <w:t>’</w:t>
      </w:r>
      <w:r>
        <w:t xml:space="preserve">étaient pas prononcées </w:t>
      </w:r>
      <w:r w:rsidR="00E87DDE">
        <w:t xml:space="preserve">sur </w:t>
      </w:r>
      <w:r>
        <w:t>l</w:t>
      </w:r>
      <w:r w:rsidR="0007594A">
        <w:t>’</w:t>
      </w:r>
      <w:r>
        <w:t>appel formé par l</w:t>
      </w:r>
      <w:r w:rsidR="0007594A">
        <w:t>’</w:t>
      </w:r>
      <w:r>
        <w:t xml:space="preserve">auteur </w:t>
      </w:r>
      <w:r w:rsidR="00E87DDE">
        <w:t xml:space="preserve">de </w:t>
      </w:r>
      <w:r>
        <w:t>la décision relative à la recevabilité des preuves du 12 décembre 2000. Il a néanmoins déclaré partiellement recevable la demande relative au versement des indemnités qui lui étaient dues et condamné la société à verser à l</w:t>
      </w:r>
      <w:r w:rsidR="0007594A">
        <w:t>’</w:t>
      </w:r>
      <w:r>
        <w:t>auteur la somme de 4 071 852,50 bolivars</w:t>
      </w:r>
      <w:r>
        <w:rPr>
          <w:rStyle w:val="FootnoteReference"/>
        </w:rPr>
        <w:footnoteReference w:id="10"/>
      </w:r>
      <w:r>
        <w:t>. L</w:t>
      </w:r>
      <w:r w:rsidR="0007594A">
        <w:t>’</w:t>
      </w:r>
      <w:r>
        <w:t>auteur a fait appel de cette décision le 28 juin 2004.</w:t>
      </w:r>
    </w:p>
    <w:p w:rsidR="00732A91" w:rsidRDefault="00732A91" w:rsidP="00732A91">
      <w:pPr>
        <w:pStyle w:val="SingleTxtG"/>
      </w:pPr>
      <w:r>
        <w:t>2.13</w:t>
      </w:r>
      <w:r>
        <w:tab/>
        <w:t>Le 29 juin 2004, le Président de la chambre sociale du Tribunal suprême, ainsi qu</w:t>
      </w:r>
      <w:r w:rsidR="0007594A">
        <w:t>’</w:t>
      </w:r>
      <w:r>
        <w:t xml:space="preserve">un autre magistrat, </w:t>
      </w:r>
      <w:r w:rsidR="00E87DDE">
        <w:t xml:space="preserve">le </w:t>
      </w:r>
      <w:r>
        <w:t>père de l</w:t>
      </w:r>
      <w:r w:rsidR="0007594A">
        <w:t>’</w:t>
      </w:r>
      <w:r>
        <w:t>avocate qui avait représenté la société jusqu</w:t>
      </w:r>
      <w:r w:rsidR="0007594A">
        <w:t>’</w:t>
      </w:r>
      <w:r>
        <w:t>au 14 juillet 2004, se sont dessaisis du dossier en vertu du paragraphe 12 de l</w:t>
      </w:r>
      <w:r w:rsidR="0007594A">
        <w:t>’</w:t>
      </w:r>
      <w:r>
        <w:t>article 82 du Code de procédure civile</w:t>
      </w:r>
      <w:r w:rsidR="00E87DDE">
        <w:t>,</w:t>
      </w:r>
      <w:r>
        <w:t xml:space="preserve"> qui autorise des fonctionnaires de l</w:t>
      </w:r>
      <w:r w:rsidR="0007594A">
        <w:t>’</w:t>
      </w:r>
      <w:r>
        <w:t xml:space="preserve">ordre judiciaire à se </w:t>
      </w:r>
      <w:r w:rsidR="00E87DDE">
        <w:t xml:space="preserve">déporter </w:t>
      </w:r>
      <w:r>
        <w:t>«en cas de communauté d</w:t>
      </w:r>
      <w:r w:rsidR="0007594A">
        <w:t>’</w:t>
      </w:r>
      <w:r>
        <w:t>intérêts ou d</w:t>
      </w:r>
      <w:r w:rsidR="0007594A">
        <w:t>’</w:t>
      </w:r>
      <w:r>
        <w:t xml:space="preserve">amitié intime avec une des parties». Le Tribunal suprême a </w:t>
      </w:r>
      <w:r w:rsidR="00E87DDE">
        <w:t xml:space="preserve">accepté </w:t>
      </w:r>
      <w:r>
        <w:t>le dessaisissement des magistrats</w:t>
      </w:r>
      <w:r w:rsidR="00E87DDE">
        <w:t>,</w:t>
      </w:r>
      <w:r>
        <w:t xml:space="preserve"> </w:t>
      </w:r>
      <w:r w:rsidR="00E87DDE">
        <w:t xml:space="preserve">en date des </w:t>
      </w:r>
      <w:r>
        <w:t>12 et 14 juillet 2004, respectivement, et il a désigné des suppléants. Conformément à l</w:t>
      </w:r>
      <w:r w:rsidR="0007594A">
        <w:t>’</w:t>
      </w:r>
      <w:r>
        <w:t xml:space="preserve">article 8 de la loi </w:t>
      </w:r>
      <w:r w:rsidR="00E87DDE">
        <w:t xml:space="preserve">portant organisation </w:t>
      </w:r>
      <w:r>
        <w:t>du Tribunal suprême, la désignation de deux magistrats appelés à siéger à la chambre a été publiée au Journal officiel du 14</w:t>
      </w:r>
      <w:r w:rsidR="00E87DDE">
        <w:t xml:space="preserve"> décembre 2004. Les magistrats </w:t>
      </w:r>
      <w:r>
        <w:t xml:space="preserve">ont </w:t>
      </w:r>
      <w:r w:rsidR="00E87DDE">
        <w:t xml:space="preserve">pris leurs </w:t>
      </w:r>
      <w:r>
        <w:t>fonctions le 17 janvier 2005.</w:t>
      </w:r>
    </w:p>
    <w:p w:rsidR="00732A91" w:rsidRDefault="00732A91" w:rsidP="00732A91">
      <w:pPr>
        <w:pStyle w:val="SingleTxtG"/>
        <w:keepLines/>
      </w:pPr>
      <w:r>
        <w:t>2.14</w:t>
      </w:r>
      <w:r>
        <w:tab/>
      </w:r>
      <w:r w:rsidR="00E87DDE">
        <w:t xml:space="preserve">Une </w:t>
      </w:r>
      <w:r>
        <w:t xml:space="preserve">chambre sociale </w:t>
      </w:r>
      <w:r w:rsidR="00E87DDE">
        <w:t>temporaire</w:t>
      </w:r>
      <w:r>
        <w:rPr>
          <w:rStyle w:val="FootnoteReference"/>
        </w:rPr>
        <w:footnoteReference w:id="11"/>
      </w:r>
      <w:r>
        <w:t xml:space="preserve"> a été constituée le 1</w:t>
      </w:r>
      <w:r w:rsidRPr="000C495D">
        <w:rPr>
          <w:vertAlign w:val="superscript"/>
        </w:rPr>
        <w:t>er</w:t>
      </w:r>
      <w:r>
        <w:t> juillet 2005. Le 10 novembre 2005, elle s</w:t>
      </w:r>
      <w:r w:rsidR="0007594A">
        <w:t>’</w:t>
      </w:r>
      <w:r>
        <w:t xml:space="preserve">est prononcée sur </w:t>
      </w:r>
      <w:r w:rsidR="00E87DDE">
        <w:t xml:space="preserve">le </w:t>
      </w:r>
      <w:r>
        <w:t>recours en évocation de l</w:t>
      </w:r>
      <w:r w:rsidR="0007594A">
        <w:t>’</w:t>
      </w:r>
      <w:r>
        <w:t>auteur. Elle a considéré que les conditions étaient réunies pour que la justice établisse s</w:t>
      </w:r>
      <w:r w:rsidR="0007594A">
        <w:t>’</w:t>
      </w:r>
      <w:r>
        <w:t>il y avait eu une éventuelle irrégularité de la procédure de nature à porter atteinte au droit de l</w:t>
      </w:r>
      <w:r w:rsidR="0007594A">
        <w:t>’</w:t>
      </w:r>
      <w:r>
        <w:t>auteur à un recours juridictionnel effectif. Si tel était le cas, si la chambre le jugeait pertinent, le tribunal statuerait sur la demande concernant le versement de prestations sociales, de dommages</w:t>
      </w:r>
      <w:r>
        <w:noBreakHyphen/>
        <w:t>intérêts et de réparation du préjudice moral de l</w:t>
      </w:r>
      <w:r w:rsidR="0007594A">
        <w:t>’</w:t>
      </w:r>
      <w:r>
        <w:t>auteur.</w:t>
      </w:r>
    </w:p>
    <w:p w:rsidR="00732A91" w:rsidRDefault="00732A91" w:rsidP="00732A91">
      <w:pPr>
        <w:pStyle w:val="SingleTxtG"/>
      </w:pPr>
      <w:r>
        <w:t>2.15</w:t>
      </w:r>
      <w:r>
        <w:tab/>
        <w:t xml:space="preserve">Le 15 mai 2007, la chambre sociale </w:t>
      </w:r>
      <w:r w:rsidR="00E87DDE">
        <w:t xml:space="preserve">temporaire </w:t>
      </w:r>
      <w:r>
        <w:t>du Tribunal suprême s</w:t>
      </w:r>
      <w:r w:rsidR="0007594A">
        <w:t>’</w:t>
      </w:r>
      <w:r>
        <w:t xml:space="preserve">est saisie du dossier. Elle a </w:t>
      </w:r>
      <w:r w:rsidR="00E87DDE">
        <w:t xml:space="preserve">estimé que des </w:t>
      </w:r>
      <w:r>
        <w:t>irrégularité</w:t>
      </w:r>
      <w:r w:rsidR="00E87DDE">
        <w:t>s</w:t>
      </w:r>
      <w:r>
        <w:t xml:space="preserve"> de procédure avai</w:t>
      </w:r>
      <w:r w:rsidR="00E87DDE">
        <w:t>en</w:t>
      </w:r>
      <w:r>
        <w:t xml:space="preserve">t </w:t>
      </w:r>
      <w:r w:rsidR="00E87DDE">
        <w:t>retardé</w:t>
      </w:r>
      <w:r>
        <w:t xml:space="preserve"> la décision quant au fond et justif</w:t>
      </w:r>
      <w:r w:rsidR="00E87DDE">
        <w:t>iaien</w:t>
      </w:r>
      <w:r>
        <w:t>t le recours en évocation devant le Tribunal suprême</w:t>
      </w:r>
      <w:r w:rsidR="00E87DDE">
        <w:t>,</w:t>
      </w:r>
      <w:r>
        <w:t xml:space="preserve"> qui déterminerait les actes de procédure requis pour mettre fin au préjudice. En vertu de l</w:t>
      </w:r>
      <w:r w:rsidR="0007594A">
        <w:t>’</w:t>
      </w:r>
      <w:r>
        <w:t xml:space="preserve">article 163 de la loi </w:t>
      </w:r>
      <w:r w:rsidR="00E87DDE">
        <w:t xml:space="preserve">relative à </w:t>
      </w:r>
      <w:r>
        <w:t xml:space="preserve">la procédure </w:t>
      </w:r>
      <w:r w:rsidR="00E87DDE">
        <w:t>prud</w:t>
      </w:r>
      <w:r w:rsidR="0007594A">
        <w:t>’</w:t>
      </w:r>
      <w:r w:rsidR="00E87DDE">
        <w:t>homale</w:t>
      </w:r>
      <w:r>
        <w:rPr>
          <w:rStyle w:val="FootnoteReference"/>
        </w:rPr>
        <w:footnoteReference w:id="12"/>
      </w:r>
      <w:r>
        <w:t xml:space="preserve">, la chambre </w:t>
      </w:r>
      <w:r w:rsidR="00E87DDE">
        <w:t xml:space="preserve">sociale </w:t>
      </w:r>
      <w:r>
        <w:t>du Tribunal suprême aurait dû fixer la date de l</w:t>
      </w:r>
      <w:r w:rsidR="0007594A">
        <w:t>’</w:t>
      </w:r>
      <w:r>
        <w:t>audience dans un délai qui ne pouvait pas excéder vingt jours à compter de la date à laquelle elle avait décidé de se saisir de l</w:t>
      </w:r>
      <w:r w:rsidR="0007594A">
        <w:t>’</w:t>
      </w:r>
      <w:r>
        <w:t>affaire. Or, aucune date n</w:t>
      </w:r>
      <w:r w:rsidR="0007594A">
        <w:t>’</w:t>
      </w:r>
      <w:r>
        <w:t>avait été fixée.</w:t>
      </w:r>
    </w:p>
    <w:p w:rsidR="00732A91" w:rsidRDefault="00732A91" w:rsidP="00732A91">
      <w:pPr>
        <w:pStyle w:val="SingleTxtG"/>
      </w:pPr>
      <w:r>
        <w:t>2.16</w:t>
      </w:r>
      <w:r>
        <w:tab/>
        <w:t>Le 17 octobre 2007, la société a formé un recou</w:t>
      </w:r>
      <w:r w:rsidR="004B2AA3">
        <w:t xml:space="preserve">rs contre la décision de faire </w:t>
      </w:r>
      <w:r>
        <w:t xml:space="preserve">droit </w:t>
      </w:r>
      <w:r w:rsidR="004B2AA3">
        <w:t xml:space="preserve">à la demande </w:t>
      </w:r>
      <w:r>
        <w:t>d</w:t>
      </w:r>
      <w:r w:rsidR="0007594A">
        <w:t>’</w:t>
      </w:r>
      <w:r>
        <w:t xml:space="preserve">évocation, arguant que celle-ci faisait échec à la règle </w:t>
      </w:r>
      <w:r w:rsidR="004B2AA3">
        <w:t xml:space="preserve">du </w:t>
      </w:r>
      <w:r>
        <w:t xml:space="preserve">double </w:t>
      </w:r>
      <w:r w:rsidR="004B2AA3">
        <w:t xml:space="preserve">degré de </w:t>
      </w:r>
      <w:r>
        <w:t xml:space="preserve">juridiction. Le 13 août 2008, la chambre constitutionnelle a déclaré le recours irrecevable au motif que la décision </w:t>
      </w:r>
      <w:r w:rsidR="004B2AA3">
        <w:t>d</w:t>
      </w:r>
      <w:r w:rsidR="0007594A">
        <w:t>’</w:t>
      </w:r>
      <w:r w:rsidR="004B2AA3">
        <w:t xml:space="preserve">accueillir la demande </w:t>
      </w:r>
      <w:r>
        <w:t>d</w:t>
      </w:r>
      <w:r w:rsidR="0007594A">
        <w:t>’</w:t>
      </w:r>
      <w:r>
        <w:t>évocation était conforme aux principes inscrits dans la Constitution.</w:t>
      </w:r>
    </w:p>
    <w:p w:rsidR="00732A91" w:rsidRDefault="00732A91" w:rsidP="00732A91">
      <w:pPr>
        <w:pStyle w:val="SingleTxtG"/>
      </w:pPr>
      <w:r w:rsidRPr="00944556">
        <w:t>2.17</w:t>
      </w:r>
      <w:r w:rsidRPr="00944556">
        <w:tab/>
        <w:t xml:space="preserve">Entre le 19 octobre 2007 et le 17 mars 2009, trois magistrats </w:t>
      </w:r>
      <w:r>
        <w:t xml:space="preserve">et une </w:t>
      </w:r>
      <w:r w:rsidR="004B2AA3">
        <w:t xml:space="preserve">assesseur </w:t>
      </w:r>
      <w:r>
        <w:t>se sont successivement dessaisis du dossier</w:t>
      </w:r>
      <w:r>
        <w:rPr>
          <w:rStyle w:val="FootnoteReference"/>
        </w:rPr>
        <w:footnoteReference w:id="13"/>
      </w:r>
      <w:r>
        <w:t xml:space="preserve">. Ils ont été remplacés par un suppléant et trois </w:t>
      </w:r>
      <w:r w:rsidR="004B2AA3">
        <w:t>assesseurs</w:t>
      </w:r>
      <w:r>
        <w:t xml:space="preserve">. Or, le 29 juillet 2010, la nouvelle loi </w:t>
      </w:r>
      <w:r w:rsidR="004B2AA3">
        <w:t xml:space="preserve">portant organisation </w:t>
      </w:r>
      <w:r>
        <w:t>du Tribunal suprême est entrée en vigueur</w:t>
      </w:r>
      <w:r w:rsidR="004B2AA3">
        <w:t>,</w:t>
      </w:r>
      <w:r>
        <w:t xml:space="preserve"> </w:t>
      </w:r>
      <w:r w:rsidR="004B2AA3">
        <w:t xml:space="preserve">et elle </w:t>
      </w:r>
      <w:r>
        <w:t xml:space="preserve">ne prévoit pas </w:t>
      </w:r>
      <w:r w:rsidR="004B2AA3">
        <w:t>les assesseurs</w:t>
      </w:r>
      <w:r>
        <w:t>. En conséquence, seuls les magistrats suppléants désignés par l</w:t>
      </w:r>
      <w:r w:rsidR="0007594A">
        <w:t>’</w:t>
      </w:r>
      <w:r>
        <w:t xml:space="preserve">Assemblée nationale pouvaient </w:t>
      </w:r>
      <w:r w:rsidR="004B2AA3">
        <w:t xml:space="preserve">constituer </w:t>
      </w:r>
      <w:r>
        <w:t>une chambre. L</w:t>
      </w:r>
      <w:r w:rsidR="0007594A">
        <w:t>’</w:t>
      </w:r>
      <w:r>
        <w:t xml:space="preserve">Assemblée nationale a désigné les magistrats suppléants de la chambre </w:t>
      </w:r>
      <w:r w:rsidR="004B2AA3">
        <w:t xml:space="preserve">sociale du Tribunal suprême le </w:t>
      </w:r>
      <w:r>
        <w:t>7 décembre 2010.</w:t>
      </w:r>
    </w:p>
    <w:p w:rsidR="00732A91" w:rsidRDefault="00732A91" w:rsidP="00732A91">
      <w:pPr>
        <w:pStyle w:val="SingleTxtG"/>
      </w:pPr>
      <w:r w:rsidRPr="00944556">
        <w:t>2.18</w:t>
      </w:r>
      <w:r w:rsidRPr="00944556">
        <w:tab/>
      </w:r>
      <w:r>
        <w:t>Le 17 janvier</w:t>
      </w:r>
      <w:r w:rsidRPr="00944556">
        <w:t xml:space="preserve"> 2011, </w:t>
      </w:r>
      <w:r>
        <w:t xml:space="preserve">en application de la loi </w:t>
      </w:r>
      <w:r w:rsidR="004B2AA3">
        <w:t xml:space="preserve">de 2010 portant organisation </w:t>
      </w:r>
      <w:r>
        <w:t>du Tribunal suprême</w:t>
      </w:r>
      <w:r w:rsidR="004B2AA3">
        <w:t>,</w:t>
      </w:r>
      <w:r>
        <w:t xml:space="preserve"> la chambre sociale du Tribunal suprême a transmis le dossier à la chambre plénière pour qu</w:t>
      </w:r>
      <w:r w:rsidR="0007594A">
        <w:t>’</w:t>
      </w:r>
      <w:r w:rsidR="008B660C">
        <w:t>elle procède à la convocation d</w:t>
      </w:r>
      <w:r>
        <w:t xml:space="preserve">es magistrats appelés à siéger à la chambre </w:t>
      </w:r>
      <w:r w:rsidR="004B2AA3">
        <w:t>temporaire</w:t>
      </w:r>
      <w:r>
        <w:t>, suite à la déclaration d</w:t>
      </w:r>
      <w:r w:rsidR="0007594A">
        <w:t>’</w:t>
      </w:r>
      <w:r>
        <w:t xml:space="preserve">incompétence de tous les magistrats de la chambre sociale. La décision a été prise par le Président de la chambre </w:t>
      </w:r>
      <w:r w:rsidR="004B2AA3">
        <w:t>sociale</w:t>
      </w:r>
      <w:r>
        <w:t>, lequel s</w:t>
      </w:r>
      <w:r w:rsidR="0007594A">
        <w:t>’</w:t>
      </w:r>
      <w:r>
        <w:t xml:space="preserve">était </w:t>
      </w:r>
      <w:r w:rsidR="004B2AA3">
        <w:t xml:space="preserve">déporté </w:t>
      </w:r>
      <w:r>
        <w:t>en juin 2004</w:t>
      </w:r>
      <w:r>
        <w:rPr>
          <w:rStyle w:val="FootnoteReference"/>
        </w:rPr>
        <w:footnoteReference w:id="14"/>
      </w:r>
      <w:r>
        <w:t>.</w:t>
      </w:r>
    </w:p>
    <w:p w:rsidR="00732A91" w:rsidRPr="002A2B01" w:rsidRDefault="00732A91" w:rsidP="00732A91">
      <w:pPr>
        <w:pStyle w:val="SingleTxtG"/>
      </w:pPr>
      <w:r w:rsidRPr="00944556">
        <w:t>2.19</w:t>
      </w:r>
      <w:r w:rsidRPr="00944556">
        <w:tab/>
      </w:r>
      <w:r w:rsidR="004B2AA3">
        <w:t>Comme l</w:t>
      </w:r>
      <w:r>
        <w:t>a chambre sociale du Tribunal suprême n</w:t>
      </w:r>
      <w:r w:rsidR="0007594A">
        <w:t>’</w:t>
      </w:r>
      <w:r w:rsidR="004B2AA3">
        <w:t>avai</w:t>
      </w:r>
      <w:r>
        <w:t>t pas statué sur sa demande contre la société, l</w:t>
      </w:r>
      <w:r w:rsidR="0007594A">
        <w:t>’</w:t>
      </w:r>
      <w:r w:rsidR="008B660C">
        <w:t>auteur a formé u</w:t>
      </w:r>
      <w:r>
        <w:t xml:space="preserve">n recours </w:t>
      </w:r>
      <w:r w:rsidRPr="004B2AA3">
        <w:t>en</w:t>
      </w:r>
      <w:r>
        <w:rPr>
          <w:i/>
        </w:rPr>
        <w:t> amparo</w:t>
      </w:r>
      <w:r w:rsidR="004B2AA3">
        <w:t>, le 21 janvier 2011.</w:t>
      </w:r>
      <w:r>
        <w:t xml:space="preserve"> Le recours a été </w:t>
      </w:r>
      <w:r w:rsidR="004B2AA3">
        <w:t xml:space="preserve">rejeté </w:t>
      </w:r>
      <w:r>
        <w:t>le 26 juillet 2011, au motif que le paragraphe 6 de l</w:t>
      </w:r>
      <w:r w:rsidR="0007594A">
        <w:t>’</w:t>
      </w:r>
      <w:r>
        <w:t xml:space="preserve">article 6 de la loi </w:t>
      </w:r>
      <w:r w:rsidR="004B2AA3">
        <w:t>d</w:t>
      </w:r>
      <w:r w:rsidR="0007594A">
        <w:t>’</w:t>
      </w:r>
      <w:r w:rsidRPr="003A0AAE">
        <w:rPr>
          <w:i/>
        </w:rPr>
        <w:t xml:space="preserve">amparo </w:t>
      </w:r>
      <w:r w:rsidRPr="003A0AAE">
        <w:t>sur les</w:t>
      </w:r>
      <w:r>
        <w:t xml:space="preserve"> garanties et</w:t>
      </w:r>
      <w:r w:rsidRPr="003A0AAE">
        <w:t xml:space="preserve"> droits</w:t>
      </w:r>
      <w:r>
        <w:t xml:space="preserve"> constitutionnels </w:t>
      </w:r>
      <w:r w:rsidR="004B2AA3">
        <w:t xml:space="preserve">dispose </w:t>
      </w:r>
      <w:r>
        <w:t xml:space="preserve">que </w:t>
      </w:r>
      <w:r w:rsidR="004B2AA3">
        <w:t xml:space="preserve">le </w:t>
      </w:r>
      <w:r>
        <w:t xml:space="preserve">recours </w:t>
      </w:r>
      <w:r w:rsidRPr="004B2AA3">
        <w:t>en</w:t>
      </w:r>
      <w:r>
        <w:rPr>
          <w:i/>
        </w:rPr>
        <w:t> amparo</w:t>
      </w:r>
      <w:r>
        <w:t xml:space="preserve"> ne peut </w:t>
      </w:r>
      <w:r w:rsidR="004B2AA3">
        <w:t xml:space="preserve">pas </w:t>
      </w:r>
      <w:r>
        <w:t xml:space="preserve">être formé contre les décisions </w:t>
      </w:r>
      <w:r w:rsidR="004B2AA3">
        <w:t xml:space="preserve">du Tribunal </w:t>
      </w:r>
      <w:r>
        <w:t xml:space="preserve">suprême. En outre, conformément à </w:t>
      </w:r>
      <w:r w:rsidR="004B2AA3">
        <w:t xml:space="preserve">sa </w:t>
      </w:r>
      <w:r>
        <w:t>décision dans une affaire antérieure, la chambre a rappelé qu</w:t>
      </w:r>
      <w:r w:rsidR="004B2AA3">
        <w:t>e cette disposition devait être comprise et interprétée</w:t>
      </w:r>
      <w:r>
        <w:t xml:space="preserve"> </w:t>
      </w:r>
      <w:r w:rsidR="004B2AA3">
        <w:t xml:space="preserve">comme signifiant </w:t>
      </w:r>
      <w:r>
        <w:t xml:space="preserve">«par analogie, que </w:t>
      </w:r>
      <w:r w:rsidR="004B2AA3">
        <w:t xml:space="preserve">le </w:t>
      </w:r>
      <w:r>
        <w:t xml:space="preserve">recours ne pouvait être formé ni </w:t>
      </w:r>
      <w:r w:rsidR="004B2AA3">
        <w:t xml:space="preserve">accueilli pour des </w:t>
      </w:r>
      <w:r>
        <w:t>omission</w:t>
      </w:r>
      <w:r w:rsidR="004B2AA3">
        <w:t>s</w:t>
      </w:r>
      <w:r>
        <w:t xml:space="preserve"> ou </w:t>
      </w:r>
      <w:r w:rsidR="004B2AA3">
        <w:t xml:space="preserve">un </w:t>
      </w:r>
      <w:r>
        <w:t xml:space="preserve">défaut de décision du Tribunal suprême». La chambre constitutionnelle ajoutait que la seule possibilité de contrôle de </w:t>
      </w:r>
      <w:r w:rsidR="004B2AA3">
        <w:t xml:space="preserve">la </w:t>
      </w:r>
      <w:r>
        <w:t>constitutionnalité des décisions du Tribu</w:t>
      </w:r>
      <w:r w:rsidR="004B2AA3">
        <w:t xml:space="preserve">nal suprême était le recours en </w:t>
      </w:r>
      <w:r>
        <w:t xml:space="preserve">révision. </w:t>
      </w:r>
      <w:r w:rsidR="004B2AA3">
        <w:t>Le 27 juillet 2007, l</w:t>
      </w:r>
      <w:r w:rsidR="0007594A">
        <w:t>’</w:t>
      </w:r>
      <w:r>
        <w:t>auteur a demandé par écrit à la Présidente de la chambre constitutionnelle du Tribunal suprême et aux autres magistrats qui la composaient de préciser et de développer la décision qui avait été rendue. Selon lui, l</w:t>
      </w:r>
      <w:r w:rsidR="0007594A">
        <w:t>’</w:t>
      </w:r>
      <w:r>
        <w:t>article 6 de la loi organique d</w:t>
      </w:r>
      <w:r w:rsidR="0007594A">
        <w:t>’</w:t>
      </w:r>
      <w:r>
        <w:rPr>
          <w:i/>
        </w:rPr>
        <w:t>amparo</w:t>
      </w:r>
      <w:r>
        <w:t xml:space="preserve"> n</w:t>
      </w:r>
      <w:r w:rsidR="0007594A">
        <w:t>’</w:t>
      </w:r>
      <w:r>
        <w:t>était pas d</w:t>
      </w:r>
      <w:r w:rsidR="0007594A">
        <w:t>’</w:t>
      </w:r>
      <w:r>
        <w:t xml:space="preserve">application puisque le recours </w:t>
      </w:r>
      <w:r w:rsidRPr="004B2AA3">
        <w:t>en</w:t>
      </w:r>
      <w:r>
        <w:rPr>
          <w:i/>
        </w:rPr>
        <w:t> amparo</w:t>
      </w:r>
      <w:r>
        <w:t xml:space="preserve"> ne concernait pas une décision du Tribunal suprême mais </w:t>
      </w:r>
      <w:r w:rsidR="00314B6E">
        <w:t>l</w:t>
      </w:r>
      <w:r w:rsidR="0007594A">
        <w:t>’</w:t>
      </w:r>
      <w:r w:rsidR="00314B6E">
        <w:t>absence de décision, la</w:t>
      </w:r>
      <w:r>
        <w:t>quel</w:t>
      </w:r>
      <w:r w:rsidR="00314B6E">
        <w:t>le</w:t>
      </w:r>
      <w:r>
        <w:t xml:space="preserve"> pouvait constituer une violation </w:t>
      </w:r>
      <w:r w:rsidR="00314B6E">
        <w:t>des règles d</w:t>
      </w:r>
      <w:r w:rsidR="0007594A">
        <w:t>’</w:t>
      </w:r>
      <w:r w:rsidR="00314B6E">
        <w:t xml:space="preserve">une </w:t>
      </w:r>
      <w:r>
        <w:t>procédure</w:t>
      </w:r>
      <w:r w:rsidR="00314B6E">
        <w:t xml:space="preserve"> équitable</w:t>
      </w:r>
      <w:r>
        <w:t>.</w:t>
      </w:r>
    </w:p>
    <w:p w:rsidR="00732A91" w:rsidRPr="00944556" w:rsidRDefault="00732A91" w:rsidP="00732A91">
      <w:pPr>
        <w:pStyle w:val="H23G"/>
        <w:rPr>
          <w:b w:val="0"/>
        </w:rPr>
      </w:pPr>
      <w:r w:rsidRPr="00944556">
        <w:tab/>
      </w:r>
      <w:r w:rsidRPr="00944556">
        <w:tab/>
      </w:r>
      <w:r>
        <w:t>Teneur de la plainte</w:t>
      </w:r>
    </w:p>
    <w:p w:rsidR="00732A91" w:rsidRDefault="00732A91" w:rsidP="00732A91">
      <w:pPr>
        <w:pStyle w:val="SingleTxtG"/>
      </w:pPr>
      <w:r w:rsidRPr="00944556">
        <w:t>3.1</w:t>
      </w:r>
      <w:r w:rsidRPr="00944556">
        <w:tab/>
      </w:r>
      <w:r>
        <w:t>L</w:t>
      </w:r>
      <w:r w:rsidR="0007594A">
        <w:t>’</w:t>
      </w:r>
      <w:r>
        <w:t xml:space="preserve">auteur affirme que </w:t>
      </w:r>
      <w:r w:rsidR="00314B6E">
        <w:t xml:space="preserve">le </w:t>
      </w:r>
      <w:r>
        <w:t xml:space="preserve">droit à ce que sa cause soit entendue équitablement et publiquement, et dans des délais raisonnables, </w:t>
      </w:r>
      <w:r w:rsidR="00314B6E">
        <w:t xml:space="preserve">garanti </w:t>
      </w:r>
      <w:r>
        <w:t>aux paragraphes 1 et 3 de l</w:t>
      </w:r>
      <w:r w:rsidR="0007594A">
        <w:t>’</w:t>
      </w:r>
      <w:r>
        <w:t>article 14 du Pacte a été violé. Il se dit victime d</w:t>
      </w:r>
      <w:r w:rsidR="0007594A">
        <w:t>’</w:t>
      </w:r>
      <w:r>
        <w:t xml:space="preserve">un déni de justice de la part de la chambre sociale du Tribunal suprême, </w:t>
      </w:r>
      <w:r w:rsidR="00314B6E">
        <w:t>qui n</w:t>
      </w:r>
      <w:r w:rsidR="0007594A">
        <w:t>’</w:t>
      </w:r>
      <w:r w:rsidR="00314B6E">
        <w:t xml:space="preserve">a pas statué sur </w:t>
      </w:r>
      <w:r>
        <w:t xml:space="preserve">une </w:t>
      </w:r>
      <w:r w:rsidR="00314B6E">
        <w:t xml:space="preserve">affaire </w:t>
      </w:r>
      <w:r>
        <w:t xml:space="preserve">relevant du droit du travail </w:t>
      </w:r>
      <w:r w:rsidR="00314B6E">
        <w:t>dont elle s</w:t>
      </w:r>
      <w:r w:rsidR="0007594A">
        <w:t>’</w:t>
      </w:r>
      <w:r w:rsidR="00314B6E">
        <w:t xml:space="preserve">était saisie </w:t>
      </w:r>
      <w:r>
        <w:t>en mai 2007, ainsi que de la part de la chambre constitutionnelle qui n</w:t>
      </w:r>
      <w:r w:rsidR="0007594A">
        <w:t>’</w:t>
      </w:r>
      <w:r>
        <w:t xml:space="preserve">a pas statué sur </w:t>
      </w:r>
      <w:r w:rsidR="00314B6E">
        <w:t xml:space="preserve">le </w:t>
      </w:r>
      <w:r>
        <w:t xml:space="preserve">recours </w:t>
      </w:r>
      <w:r w:rsidRPr="00314B6E">
        <w:t>en</w:t>
      </w:r>
      <w:r>
        <w:rPr>
          <w:i/>
        </w:rPr>
        <w:t> amparo</w:t>
      </w:r>
      <w:r>
        <w:t xml:space="preserve"> </w:t>
      </w:r>
      <w:r w:rsidR="00314B6E">
        <w:t>qu</w:t>
      </w:r>
      <w:r w:rsidR="0007594A">
        <w:t>’</w:t>
      </w:r>
      <w:r w:rsidR="00314B6E">
        <w:t xml:space="preserve">il avait formé </w:t>
      </w:r>
      <w:r>
        <w:t>contre le défaut de décision. L</w:t>
      </w:r>
      <w:r w:rsidR="0007594A">
        <w:t>’</w:t>
      </w:r>
      <w:r>
        <w:t xml:space="preserve">auteur </w:t>
      </w:r>
      <w:r w:rsidR="00314B6E">
        <w:t xml:space="preserve">affirme </w:t>
      </w:r>
      <w:r>
        <w:t xml:space="preserve">que le retard excessif </w:t>
      </w:r>
      <w:r w:rsidR="00314B6E">
        <w:t xml:space="preserve">dans </w:t>
      </w:r>
      <w:r>
        <w:t>la procédu</w:t>
      </w:r>
      <w:r w:rsidR="00314B6E">
        <w:t>re est d</w:t>
      </w:r>
      <w:r w:rsidR="0007594A">
        <w:t>’</w:t>
      </w:r>
      <w:r w:rsidR="00314B6E">
        <w:t>autant plus grave que</w:t>
      </w:r>
      <w:r>
        <w:t xml:space="preserve"> </w:t>
      </w:r>
      <w:r w:rsidR="00314B6E">
        <w:t>l</w:t>
      </w:r>
      <w:r w:rsidR="0007594A">
        <w:t>’</w:t>
      </w:r>
      <w:r>
        <w:t xml:space="preserve">affaire </w:t>
      </w:r>
      <w:r w:rsidR="00314B6E">
        <w:t>n</w:t>
      </w:r>
      <w:r w:rsidR="0007594A">
        <w:t>’</w:t>
      </w:r>
      <w:r w:rsidR="00314B6E">
        <w:t xml:space="preserve">est </w:t>
      </w:r>
      <w:r>
        <w:t xml:space="preserve">pas </w:t>
      </w:r>
      <w:r w:rsidR="00314B6E">
        <w:t>d</w:t>
      </w:r>
      <w:r w:rsidR="0007594A">
        <w:t>’</w:t>
      </w:r>
      <w:r w:rsidR="00314B6E">
        <w:t>une importance ou d</w:t>
      </w:r>
      <w:r w:rsidR="0007594A">
        <w:t>’</w:t>
      </w:r>
      <w:r w:rsidR="00314B6E">
        <w:t>une complexité particulière</w:t>
      </w:r>
      <w:r>
        <w:t xml:space="preserve">. Il </w:t>
      </w:r>
      <w:r w:rsidR="00314B6E">
        <w:t xml:space="preserve">affirme </w:t>
      </w:r>
      <w:r>
        <w:t>également que le renvoi du dossier à la chambre plénière du Tribunal suprême constitue une violation de l</w:t>
      </w:r>
      <w:r w:rsidR="0007594A">
        <w:t>’</w:t>
      </w:r>
      <w:r>
        <w:t>article 14, puisqu</w:t>
      </w:r>
      <w:r w:rsidR="0007594A">
        <w:t>’</w:t>
      </w:r>
      <w:r>
        <w:t xml:space="preserve">il existait une chambre composée de </w:t>
      </w:r>
      <w:r w:rsidR="00314B6E">
        <w:t>juges assesseurs</w:t>
      </w:r>
      <w:r>
        <w:t xml:space="preserve"> chargée de statuer en l</w:t>
      </w:r>
      <w:r w:rsidR="0007594A">
        <w:t>’</w:t>
      </w:r>
      <w:r>
        <w:t>espèce.</w:t>
      </w:r>
    </w:p>
    <w:p w:rsidR="00732A91" w:rsidRDefault="00732A91" w:rsidP="00732A91">
      <w:pPr>
        <w:pStyle w:val="SingleTxtG"/>
      </w:pPr>
      <w:r>
        <w:t>3.2</w:t>
      </w:r>
      <w:r>
        <w:tab/>
        <w:t>L</w:t>
      </w:r>
      <w:r w:rsidR="0007594A">
        <w:t>’</w:t>
      </w:r>
      <w:r>
        <w:t xml:space="preserve">auteur affirme que le retard </w:t>
      </w:r>
      <w:r w:rsidR="00314B6E">
        <w:t xml:space="preserve">dans </w:t>
      </w:r>
      <w:r>
        <w:t xml:space="preserve">la procédure est dû au </w:t>
      </w:r>
      <w:r w:rsidR="00314B6E">
        <w:t xml:space="preserve">manque </w:t>
      </w:r>
      <w:r>
        <w:t>d</w:t>
      </w:r>
      <w:r w:rsidR="0007594A">
        <w:t>’</w:t>
      </w:r>
      <w:r>
        <w:t>indépendance du pouvoir judiciaire, à l</w:t>
      </w:r>
      <w:r w:rsidR="0007594A">
        <w:t>’</w:t>
      </w:r>
      <w:r>
        <w:t>influence de</w:t>
      </w:r>
      <w:r w:rsidR="00314B6E">
        <w:t>s</w:t>
      </w:r>
      <w:r>
        <w:t xml:space="preserve"> magistrats de la chambre sociale </w:t>
      </w:r>
      <w:r w:rsidR="00314B6E">
        <w:t xml:space="preserve">récusés </w:t>
      </w:r>
      <w:r>
        <w:t>dont des proches représentent la société défenderesse, et à l</w:t>
      </w:r>
      <w:r w:rsidR="0007594A">
        <w:t>’</w:t>
      </w:r>
      <w:r>
        <w:t xml:space="preserve">influence </w:t>
      </w:r>
      <w:r w:rsidR="00314B6E">
        <w:t>d</w:t>
      </w:r>
      <w:r w:rsidR="0007594A">
        <w:t>’</w:t>
      </w:r>
      <w:r w:rsidR="00314B6E">
        <w:t xml:space="preserve">agents </w:t>
      </w:r>
      <w:r>
        <w:t>de la fonction publique ayant des liens avec la société défenderesse. Il affirme que la société est dirigée par la fille d</w:t>
      </w:r>
      <w:r w:rsidR="0007594A">
        <w:t>’</w:t>
      </w:r>
      <w:r>
        <w:t xml:space="preserve">un haut fonctionnaire du Gouvernement et que </w:t>
      </w:r>
      <w:r w:rsidR="00314B6E">
        <w:t>le cabinet est représenté</w:t>
      </w:r>
      <w:r>
        <w:t xml:space="preserve"> dans cette affaire par la fille d</w:t>
      </w:r>
      <w:r w:rsidR="0007594A">
        <w:t>’</w:t>
      </w:r>
      <w:r>
        <w:t>un magistrat du Tribunal suprême. Il considère qu</w:t>
      </w:r>
      <w:r w:rsidR="0007594A">
        <w:t>’</w:t>
      </w:r>
      <w:r>
        <w:t>il est impossible d</w:t>
      </w:r>
      <w:r w:rsidR="0007594A">
        <w:t>’</w:t>
      </w:r>
      <w:r>
        <w:t>être entendu par la justice dans l</w:t>
      </w:r>
      <w:r w:rsidR="0007594A">
        <w:t>’</w:t>
      </w:r>
      <w:r>
        <w:t>État partie quand l</w:t>
      </w:r>
      <w:r w:rsidR="0007594A">
        <w:t>’</w:t>
      </w:r>
      <w:r>
        <w:t xml:space="preserve">affaire </w:t>
      </w:r>
      <w:r w:rsidR="00314B6E">
        <w:t xml:space="preserve">touche aux </w:t>
      </w:r>
      <w:r>
        <w:t xml:space="preserve">intérêts de personnes qui ont un lien avec le </w:t>
      </w:r>
      <w:r w:rsidR="00950DD3">
        <w:t>G</w:t>
      </w:r>
      <w:r>
        <w:t xml:space="preserve">ouvernement. Il </w:t>
      </w:r>
      <w:r w:rsidR="00314B6E">
        <w:t xml:space="preserve">affirme </w:t>
      </w:r>
      <w:r>
        <w:t>que les faits de la cause font apparaître une violation par l</w:t>
      </w:r>
      <w:r w:rsidR="0007594A">
        <w:t>’</w:t>
      </w:r>
      <w:r>
        <w:t xml:space="preserve">État partie des principes </w:t>
      </w:r>
      <w:r w:rsidR="00314B6E">
        <w:t xml:space="preserve">exposés </w:t>
      </w:r>
      <w:r>
        <w:t>par le Rapporteur spécial sur l</w:t>
      </w:r>
      <w:r w:rsidR="0007594A">
        <w:t>’</w:t>
      </w:r>
      <w:r>
        <w:t>indépendance des juges et des avocats</w:t>
      </w:r>
      <w:r>
        <w:rPr>
          <w:rStyle w:val="FootnoteReference"/>
        </w:rPr>
        <w:footnoteReference w:id="15"/>
      </w:r>
      <w:r>
        <w:t>.</w:t>
      </w:r>
    </w:p>
    <w:p w:rsidR="00732A91" w:rsidRDefault="00732A91" w:rsidP="00732A91">
      <w:pPr>
        <w:pStyle w:val="SingleTxtG"/>
      </w:pPr>
      <w:r w:rsidRPr="00944556">
        <w:t>3.</w:t>
      </w:r>
      <w:r>
        <w:t>3</w:t>
      </w:r>
      <w:r w:rsidRPr="00944556">
        <w:tab/>
      </w:r>
      <w:r>
        <w:t>L</w:t>
      </w:r>
      <w:r w:rsidR="0007594A">
        <w:t>’</w:t>
      </w:r>
      <w:r>
        <w:t xml:space="preserve">auteur </w:t>
      </w:r>
      <w:r w:rsidR="00314B6E">
        <w:t xml:space="preserve">ajoute </w:t>
      </w:r>
      <w:r>
        <w:t>que le principe de non-rétroactivité de la loi</w:t>
      </w:r>
      <w:r w:rsidR="00314B6E">
        <w:t>,</w:t>
      </w:r>
      <w:r>
        <w:t xml:space="preserve"> consacré à l</w:t>
      </w:r>
      <w:r w:rsidR="0007594A">
        <w:t>’</w:t>
      </w:r>
      <w:r>
        <w:t>article 15 du Pacte</w:t>
      </w:r>
      <w:r w:rsidR="00314B6E">
        <w:t>,</w:t>
      </w:r>
      <w:r>
        <w:t xml:space="preserve"> a été violé puisque la loi </w:t>
      </w:r>
      <w:r w:rsidR="00314B6E">
        <w:t xml:space="preserve">portant organisation du </w:t>
      </w:r>
      <w:r>
        <w:t xml:space="preserve">Tribunal suprême a été appliquée </w:t>
      </w:r>
      <w:r w:rsidR="00314B6E">
        <w:t xml:space="preserve">dans son affaire, </w:t>
      </w:r>
      <w:r>
        <w:t>avec effet rétroactif. Il considère que la suppression de</w:t>
      </w:r>
      <w:r w:rsidR="00314B6E">
        <w:t>s</w:t>
      </w:r>
      <w:r>
        <w:t xml:space="preserve"> </w:t>
      </w:r>
      <w:r w:rsidR="00314B6E">
        <w:t>assesseurs dans cette nouvelle loi</w:t>
      </w:r>
      <w:r>
        <w:t xml:space="preserve"> a empêché </w:t>
      </w:r>
      <w:r w:rsidR="00314B6E">
        <w:t>qu</w:t>
      </w:r>
      <w:r w:rsidR="0007594A">
        <w:t>’</w:t>
      </w:r>
      <w:r>
        <w:t xml:space="preserve">une décision </w:t>
      </w:r>
      <w:r w:rsidR="00314B6E">
        <w:t xml:space="preserve">soit rendue </w:t>
      </w:r>
      <w:r>
        <w:t>en l</w:t>
      </w:r>
      <w:r w:rsidR="0007594A">
        <w:t>’</w:t>
      </w:r>
      <w:r>
        <w:t>espèce et n</w:t>
      </w:r>
      <w:r w:rsidR="0007594A">
        <w:t>’</w:t>
      </w:r>
      <w:r>
        <w:t>a fait que retarder encore la procédure.</w:t>
      </w:r>
    </w:p>
    <w:p w:rsidR="00732A91" w:rsidRDefault="00732A91" w:rsidP="00732A91">
      <w:pPr>
        <w:pStyle w:val="SingleTxtG"/>
      </w:pPr>
      <w:r w:rsidRPr="00944556">
        <w:t>3.4</w:t>
      </w:r>
      <w:r w:rsidRPr="00944556">
        <w:tab/>
      </w:r>
      <w:r>
        <w:t>L</w:t>
      </w:r>
      <w:r w:rsidR="0007594A">
        <w:t>’</w:t>
      </w:r>
      <w:r>
        <w:t xml:space="preserve">auteur estime en outre </w:t>
      </w:r>
      <w:r w:rsidR="00314B6E">
        <w:t>que, en violation de l</w:t>
      </w:r>
      <w:r w:rsidR="0007594A">
        <w:t>’</w:t>
      </w:r>
      <w:r w:rsidR="00314B6E">
        <w:t>article 26 du Pacte, il a fait l</w:t>
      </w:r>
      <w:r w:rsidR="0007594A">
        <w:t>’</w:t>
      </w:r>
      <w:r w:rsidR="00314B6E">
        <w:t>objet d</w:t>
      </w:r>
      <w:r w:rsidR="0007594A">
        <w:t>’</w:t>
      </w:r>
      <w:r w:rsidR="00314B6E">
        <w:t xml:space="preserve">une </w:t>
      </w:r>
      <w:r>
        <w:t>discrimination par rapport à d</w:t>
      </w:r>
      <w:r w:rsidR="0007594A">
        <w:t>’</w:t>
      </w:r>
      <w:r>
        <w:t>autres justiciables qui ont été entendus équitablement e</w:t>
      </w:r>
      <w:r w:rsidR="00314B6E">
        <w:t>t dans des délais raisonnables</w:t>
      </w:r>
      <w:r>
        <w:t xml:space="preserve">. Il </w:t>
      </w:r>
      <w:r w:rsidR="00314B6E">
        <w:t xml:space="preserve">fait valoir </w:t>
      </w:r>
      <w:r w:rsidRPr="00042AB4">
        <w:t>qu</w:t>
      </w:r>
      <w:r w:rsidR="0007594A">
        <w:t>’</w:t>
      </w:r>
      <w:r w:rsidRPr="00042AB4">
        <w:t>après l</w:t>
      </w:r>
      <w:r w:rsidR="0007594A">
        <w:t>’</w:t>
      </w:r>
      <w:r w:rsidRPr="00042AB4">
        <w:t xml:space="preserve">entrée en vigueur de la </w:t>
      </w:r>
      <w:r>
        <w:t>l</w:t>
      </w:r>
      <w:r w:rsidRPr="00042AB4">
        <w:t xml:space="preserve">oi </w:t>
      </w:r>
      <w:r w:rsidR="00314B6E">
        <w:t>de 2010 portant organisation du Tribunal suprême</w:t>
      </w:r>
      <w:r w:rsidRPr="00042AB4">
        <w:t xml:space="preserve">, la </w:t>
      </w:r>
      <w:r>
        <w:t>c</w:t>
      </w:r>
      <w:r w:rsidRPr="00042AB4">
        <w:t>hambre</w:t>
      </w:r>
      <w:r>
        <w:t xml:space="preserve"> sociale du Tribunal suprême a statué dans diverses affair</w:t>
      </w:r>
      <w:r w:rsidR="00314B6E">
        <w:t>es analogues à la sienne, et qu</w:t>
      </w:r>
      <w:r>
        <w:t xml:space="preserve">e </w:t>
      </w:r>
      <w:r w:rsidR="00314B6E">
        <w:t>des assesseurs y siégeaient</w:t>
      </w:r>
      <w:r>
        <w:t>. En revanche, dans son cas la procédure a été paralysée et l</w:t>
      </w:r>
      <w:r w:rsidR="0007594A">
        <w:t>’</w:t>
      </w:r>
      <w:r>
        <w:t>affaire a été renvoyée à la chambre plénière du Tribunal suprême qui n</w:t>
      </w:r>
      <w:r w:rsidR="0007594A">
        <w:t>’</w:t>
      </w:r>
      <w:r>
        <w:t xml:space="preserve">a pas compétence pour </w:t>
      </w:r>
      <w:r w:rsidR="00314B6E">
        <w:t xml:space="preserve">connaître de </w:t>
      </w:r>
      <w:r>
        <w:t>ce genre d</w:t>
      </w:r>
      <w:r w:rsidR="0007594A">
        <w:t>’</w:t>
      </w:r>
      <w:r>
        <w:t xml:space="preserve">affaires. À propos de la longueur de la procédure concernant son recours </w:t>
      </w:r>
      <w:r w:rsidRPr="00314B6E">
        <w:t>en</w:t>
      </w:r>
      <w:r>
        <w:rPr>
          <w:i/>
        </w:rPr>
        <w:t> amparo</w:t>
      </w:r>
      <w:r>
        <w:t>, l</w:t>
      </w:r>
      <w:r w:rsidR="0007594A">
        <w:t>’</w:t>
      </w:r>
      <w:r>
        <w:t xml:space="preserve">auteur </w:t>
      </w:r>
      <w:r w:rsidR="00314B6E">
        <w:t xml:space="preserve">affirme </w:t>
      </w:r>
      <w:r>
        <w:t xml:space="preserve">que le Tribunal suprême a </w:t>
      </w:r>
      <w:r w:rsidR="00314B6E">
        <w:t>accueilli</w:t>
      </w:r>
      <w:r>
        <w:t xml:space="preserve"> des recours </w:t>
      </w:r>
      <w:r w:rsidRPr="00314B6E">
        <w:t>en</w:t>
      </w:r>
      <w:r>
        <w:rPr>
          <w:i/>
        </w:rPr>
        <w:t xml:space="preserve"> amparo</w:t>
      </w:r>
      <w:r>
        <w:t xml:space="preserve"> </w:t>
      </w:r>
      <w:r w:rsidR="00314B6E">
        <w:t xml:space="preserve">pour </w:t>
      </w:r>
      <w:r>
        <w:t>des affaires présentées à des dates postérieures à sa demande.</w:t>
      </w:r>
    </w:p>
    <w:p w:rsidR="00732A91" w:rsidRDefault="00732A91" w:rsidP="00732A91">
      <w:pPr>
        <w:pStyle w:val="SingleTxtG"/>
      </w:pPr>
      <w:r>
        <w:t>3.5</w:t>
      </w:r>
      <w:r>
        <w:tab/>
        <w:t>L</w:t>
      </w:r>
      <w:r w:rsidR="0007594A">
        <w:t>’</w:t>
      </w:r>
      <w:r>
        <w:t>auteur affirme que l</w:t>
      </w:r>
      <w:r w:rsidR="0007594A">
        <w:t>’</w:t>
      </w:r>
      <w:r>
        <w:t>ensemble de</w:t>
      </w:r>
      <w:r w:rsidR="00314B6E">
        <w:t>s</w:t>
      </w:r>
      <w:r>
        <w:t xml:space="preserve"> violations dont il dit avoir été victime ont abouti à une violation </w:t>
      </w:r>
      <w:r w:rsidR="00314B6E">
        <w:t>du</w:t>
      </w:r>
      <w:r>
        <w:t xml:space="preserve"> droit à la sécurité sociale, puisque l</w:t>
      </w:r>
      <w:r w:rsidR="0007594A">
        <w:t>’</w:t>
      </w:r>
      <w:r>
        <w:t xml:space="preserve">État partie ne lui a pas permis </w:t>
      </w:r>
      <w:r w:rsidR="00314B6E">
        <w:t>d</w:t>
      </w:r>
      <w:r w:rsidR="0007594A">
        <w:t>’</w:t>
      </w:r>
      <w:r w:rsidR="00314B6E">
        <w:t xml:space="preserve">obtenir les </w:t>
      </w:r>
      <w:r>
        <w:t xml:space="preserve">indemnités que son </w:t>
      </w:r>
      <w:r w:rsidR="00314B6E">
        <w:t xml:space="preserve">ancien </w:t>
      </w:r>
      <w:r>
        <w:t>employeur lui devait.</w:t>
      </w:r>
    </w:p>
    <w:p w:rsidR="00732A91" w:rsidRDefault="00732A91" w:rsidP="00732A91">
      <w:pPr>
        <w:pStyle w:val="SingleTxtG"/>
      </w:pPr>
      <w:r>
        <w:t>3.6</w:t>
      </w:r>
      <w:r>
        <w:tab/>
        <w:t>L</w:t>
      </w:r>
      <w:r w:rsidR="0007594A">
        <w:t>’</w:t>
      </w:r>
      <w:r>
        <w:t>auteur af</w:t>
      </w:r>
      <w:r w:rsidR="00314B6E">
        <w:t xml:space="preserve">firme également que le </w:t>
      </w:r>
      <w:r>
        <w:t>droit à un recours utile, visé au paragraphe 3 de l</w:t>
      </w:r>
      <w:r w:rsidR="0007594A">
        <w:t>’</w:t>
      </w:r>
      <w:r>
        <w:t xml:space="preserve">article 2 du Pacte, </w:t>
      </w:r>
      <w:r w:rsidR="00314B6E">
        <w:t xml:space="preserve">a été violé </w:t>
      </w:r>
      <w:r>
        <w:t>et demande au Comité d</w:t>
      </w:r>
      <w:r w:rsidR="0007594A">
        <w:t>’</w:t>
      </w:r>
      <w:r>
        <w:t>inviter l</w:t>
      </w:r>
      <w:r w:rsidR="0007594A">
        <w:t>’</w:t>
      </w:r>
      <w:r>
        <w:t xml:space="preserve">État partie à faire en sorte que la chambre sociale </w:t>
      </w:r>
      <w:r w:rsidR="00314B6E">
        <w:t xml:space="preserve">rende </w:t>
      </w:r>
      <w:r>
        <w:t xml:space="preserve">une décision </w:t>
      </w:r>
      <w:r w:rsidR="00314B6E">
        <w:t xml:space="preserve">sur le </w:t>
      </w:r>
      <w:r>
        <w:t xml:space="preserve">fond de </w:t>
      </w:r>
      <w:r w:rsidR="00314B6E">
        <w:t>l</w:t>
      </w:r>
      <w:r w:rsidR="0007594A">
        <w:t>’</w:t>
      </w:r>
      <w:r>
        <w:t xml:space="preserve">affaire conformément à la décision du 15 mai 2007. Au cas où la chambre ne rendrait pas de décision </w:t>
      </w:r>
      <w:r w:rsidR="00314B6E">
        <w:t>sur le fond, l</w:t>
      </w:r>
      <w:r w:rsidR="0007594A">
        <w:t>’</w:t>
      </w:r>
      <w:r w:rsidR="00314B6E">
        <w:t>auteur demande qu</w:t>
      </w:r>
      <w:r w:rsidR="0007594A">
        <w:t>’</w:t>
      </w:r>
      <w:r>
        <w:t xml:space="preserve">une indemnisation raisonnable </w:t>
      </w:r>
      <w:r w:rsidR="00314B6E">
        <w:t xml:space="preserve">lui soit accordée </w:t>
      </w:r>
      <w:r>
        <w:t>en compensation des préjudices subis suite au déni de justice.</w:t>
      </w:r>
    </w:p>
    <w:p w:rsidR="00732A91" w:rsidRDefault="00732A91" w:rsidP="00732A91">
      <w:pPr>
        <w:pStyle w:val="SingleTxtG"/>
      </w:pPr>
      <w:r>
        <w:t>3.7</w:t>
      </w:r>
      <w:r>
        <w:tab/>
        <w:t>Pour ce qui est de l</w:t>
      </w:r>
      <w:r w:rsidR="0007594A">
        <w:t>’</w:t>
      </w:r>
      <w:r>
        <w:t>épuisement des recours internes, l</w:t>
      </w:r>
      <w:r w:rsidR="0007594A">
        <w:t>’</w:t>
      </w:r>
      <w:r>
        <w:t xml:space="preserve">auteur </w:t>
      </w:r>
      <w:r w:rsidR="00314B6E">
        <w:t xml:space="preserve">affirme </w:t>
      </w:r>
      <w:r>
        <w:t>qu</w:t>
      </w:r>
      <w:r w:rsidR="0007594A">
        <w:t>’</w:t>
      </w:r>
      <w:r>
        <w:t>il n</w:t>
      </w:r>
      <w:r w:rsidR="0007594A">
        <w:t>’</w:t>
      </w:r>
      <w:r>
        <w:t xml:space="preserve">existe ni recours juridictionnel ni tribunal ordinaire supérieur </w:t>
      </w:r>
      <w:r w:rsidR="00314B6E">
        <w:t>qu</w:t>
      </w:r>
      <w:r w:rsidR="0007594A">
        <w:t>’</w:t>
      </w:r>
      <w:r w:rsidR="00314B6E">
        <w:t xml:space="preserve">il pourrait </w:t>
      </w:r>
      <w:r>
        <w:t>saisir pour obtenir que l</w:t>
      </w:r>
      <w:r w:rsidR="0007594A">
        <w:t>’</w:t>
      </w:r>
      <w:r>
        <w:t>État partie s</w:t>
      </w:r>
      <w:r w:rsidR="0007594A">
        <w:t>’</w:t>
      </w:r>
      <w:r>
        <w:t>acquitte de ses responsabilités en matière d</w:t>
      </w:r>
      <w:r w:rsidR="0007594A">
        <w:t>’</w:t>
      </w:r>
      <w:r>
        <w:t>a</w:t>
      </w:r>
      <w:r w:rsidR="00314B6E">
        <w:t xml:space="preserve">dministration de la justice. En </w:t>
      </w:r>
      <w:r>
        <w:t xml:space="preserve">outre, la loi </w:t>
      </w:r>
      <w:r w:rsidR="00314B6E">
        <w:t xml:space="preserve">relative à </w:t>
      </w:r>
      <w:r>
        <w:t xml:space="preserve">la procédure </w:t>
      </w:r>
      <w:r w:rsidR="00314B6E">
        <w:t>prud</w:t>
      </w:r>
      <w:r w:rsidR="0007594A">
        <w:t>’</w:t>
      </w:r>
      <w:r w:rsidR="00314B6E">
        <w:t xml:space="preserve">homale </w:t>
      </w:r>
      <w:r>
        <w:t>n</w:t>
      </w:r>
      <w:r w:rsidR="0007594A">
        <w:t>’</w:t>
      </w:r>
      <w:r>
        <w:t>établit pas de procédure ordinaire pour les cas où la chambre sociale s</w:t>
      </w:r>
      <w:r w:rsidR="0007594A">
        <w:t>’</w:t>
      </w:r>
      <w:r>
        <w:t>abstient de statuer sur une affaire dont elle s</w:t>
      </w:r>
      <w:r w:rsidR="0007594A">
        <w:t>’</w:t>
      </w:r>
      <w:r>
        <w:t>est saisie.</w:t>
      </w:r>
    </w:p>
    <w:p w:rsidR="00732A91" w:rsidRDefault="00732A91" w:rsidP="00732A91">
      <w:pPr>
        <w:pStyle w:val="H23G"/>
      </w:pPr>
      <w:r>
        <w:tab/>
      </w:r>
      <w:r>
        <w:tab/>
        <w:t>Observations de l</w:t>
      </w:r>
      <w:r w:rsidR="0007594A">
        <w:t>’</w:t>
      </w:r>
      <w:r>
        <w:t>État partie sur la recevabilité et sur le fond</w:t>
      </w:r>
    </w:p>
    <w:p w:rsidR="00732A91" w:rsidRDefault="00732A91" w:rsidP="00732A91">
      <w:pPr>
        <w:pStyle w:val="SingleTxtG"/>
      </w:pPr>
      <w:r>
        <w:t>4.1</w:t>
      </w:r>
      <w:r>
        <w:tab/>
      </w:r>
      <w:r w:rsidR="00EC365B">
        <w:t xml:space="preserve">En date du </w:t>
      </w:r>
      <w:r>
        <w:t>21 août 2012, l</w:t>
      </w:r>
      <w:r w:rsidR="0007594A">
        <w:t>’</w:t>
      </w:r>
      <w:r>
        <w:t xml:space="preserve">État partie a </w:t>
      </w:r>
      <w:r w:rsidR="00EC365B">
        <w:t xml:space="preserve">fait parvenir </w:t>
      </w:r>
      <w:r>
        <w:t xml:space="preserve">ses observations sur la recevabilité et le fond de la communication. Il </w:t>
      </w:r>
      <w:r w:rsidR="00EC365B">
        <w:t>précise</w:t>
      </w:r>
      <w:r>
        <w:t xml:space="preserve"> que la </w:t>
      </w:r>
      <w:r w:rsidR="00EC365B">
        <w:t xml:space="preserve">demande </w:t>
      </w:r>
      <w:r>
        <w:t>relative au versement d</w:t>
      </w:r>
      <w:r w:rsidR="0007594A">
        <w:t>’</w:t>
      </w:r>
      <w:r>
        <w:t>indemnités et à des dommages-int</w:t>
      </w:r>
      <w:r w:rsidR="00EC365B">
        <w:t>érêts n</w:t>
      </w:r>
      <w:r w:rsidR="0007594A">
        <w:t>’</w:t>
      </w:r>
      <w:r w:rsidR="00EC365B">
        <w:t>en étai</w:t>
      </w:r>
      <w:r>
        <w:t>t pas encore au stade du jugement définitif et qu</w:t>
      </w:r>
      <w:r w:rsidR="0007594A">
        <w:t>’</w:t>
      </w:r>
      <w:r>
        <w:t xml:space="preserve">il restait à fixer </w:t>
      </w:r>
      <w:r w:rsidR="00EC365B">
        <w:t xml:space="preserve">une nouvelle </w:t>
      </w:r>
      <w:r>
        <w:t xml:space="preserve">date </w:t>
      </w:r>
      <w:r w:rsidR="00EC365B">
        <w:t xml:space="preserve">pour </w:t>
      </w:r>
      <w:r>
        <w:t>l</w:t>
      </w:r>
      <w:r w:rsidR="0007594A">
        <w:t>’</w:t>
      </w:r>
      <w:r>
        <w:t xml:space="preserve">audience, conformément à la décision </w:t>
      </w:r>
      <w:r w:rsidR="00EC365B">
        <w:t xml:space="preserve">du 15 mai 2007 </w:t>
      </w:r>
      <w:r>
        <w:t xml:space="preserve">de la chambre </w:t>
      </w:r>
      <w:r w:rsidR="00EC365B">
        <w:t>sociale du Tribunal suprême</w:t>
      </w:r>
      <w:r>
        <w:t>. L</w:t>
      </w:r>
      <w:r w:rsidR="0007594A">
        <w:t>’</w:t>
      </w:r>
      <w:r>
        <w:t xml:space="preserve">État </w:t>
      </w:r>
      <w:r w:rsidR="00EC365B">
        <w:t>partie ajoute</w:t>
      </w:r>
      <w:r>
        <w:t xml:space="preserve"> que quand l</w:t>
      </w:r>
      <w:r w:rsidR="0007594A">
        <w:t>’</w:t>
      </w:r>
      <w:r>
        <w:t xml:space="preserve">auteur a donné sa démission, </w:t>
      </w:r>
      <w:r w:rsidR="00EC365B">
        <w:t>il existait une loi du travail</w:t>
      </w:r>
      <w:r>
        <w:t xml:space="preserve"> qui a été ensuite abrogée, ce qui a entraîné de multiples incidents de procédure. L</w:t>
      </w:r>
      <w:r w:rsidR="0007594A">
        <w:t>’</w:t>
      </w:r>
      <w:r>
        <w:t>État partie estime que les délais et retards dus à cette réforme de la législation ne sauraient être imputés à l</w:t>
      </w:r>
      <w:r w:rsidR="0007594A">
        <w:t>’</w:t>
      </w:r>
      <w:r w:rsidR="00EC365B">
        <w:t>appareil judiciaire</w:t>
      </w:r>
      <w:r>
        <w:t>.</w:t>
      </w:r>
    </w:p>
    <w:p w:rsidR="00732A91" w:rsidRDefault="00732A91" w:rsidP="00732A91">
      <w:pPr>
        <w:pStyle w:val="SingleTxtG"/>
      </w:pPr>
      <w:r>
        <w:t>4.2</w:t>
      </w:r>
      <w:r>
        <w:tab/>
        <w:t>L</w:t>
      </w:r>
      <w:r w:rsidR="0007594A">
        <w:t>’</w:t>
      </w:r>
      <w:r>
        <w:t xml:space="preserve">État partie </w:t>
      </w:r>
      <w:r w:rsidR="00EC365B">
        <w:t xml:space="preserve">souligne </w:t>
      </w:r>
      <w:r>
        <w:t>que l</w:t>
      </w:r>
      <w:r w:rsidR="0007594A">
        <w:t>’</w:t>
      </w:r>
      <w:r>
        <w:t>auteur n</w:t>
      </w:r>
      <w:r w:rsidR="0007594A">
        <w:t>’</w:t>
      </w:r>
      <w:r>
        <w:t>a pas saisi la Commission interaméricaine des droits de l</w:t>
      </w:r>
      <w:r w:rsidR="0007594A">
        <w:t>’</w:t>
      </w:r>
      <w:r>
        <w:t>homme</w:t>
      </w:r>
      <w:r w:rsidR="00EC365B">
        <w:t>,</w:t>
      </w:r>
      <w:r>
        <w:t xml:space="preserve"> </w:t>
      </w:r>
      <w:r w:rsidR="00EC365B">
        <w:t>qui est l</w:t>
      </w:r>
      <w:r w:rsidR="0007594A">
        <w:t>’</w:t>
      </w:r>
      <w:r w:rsidR="00EC365B">
        <w:t>organe régional</w:t>
      </w:r>
      <w:r>
        <w:t xml:space="preserve"> ayant compétence pour connaître de ses prétentions. Il rappelle en outre que la protection des instruments internationaux des droits de l</w:t>
      </w:r>
      <w:r w:rsidR="0007594A">
        <w:t>’</w:t>
      </w:r>
      <w:r>
        <w:t>homme est complémentaire de celle qu</w:t>
      </w:r>
      <w:r w:rsidR="0007594A">
        <w:t>’</w:t>
      </w:r>
      <w:r>
        <w:t>offre le droit interne des États.</w:t>
      </w:r>
    </w:p>
    <w:p w:rsidR="00732A91" w:rsidRDefault="00732A91" w:rsidP="00732A91">
      <w:pPr>
        <w:pStyle w:val="H23G"/>
      </w:pPr>
      <w:r>
        <w:tab/>
      </w:r>
      <w:r>
        <w:tab/>
        <w:t>Commentaires de l</w:t>
      </w:r>
      <w:r w:rsidR="0007594A">
        <w:t>’</w:t>
      </w:r>
      <w:r>
        <w:t>auteur sur les observations de l</w:t>
      </w:r>
      <w:r w:rsidR="0007594A">
        <w:t>’</w:t>
      </w:r>
      <w:r>
        <w:t>État partie</w:t>
      </w:r>
    </w:p>
    <w:p w:rsidR="00732A91" w:rsidRDefault="00732A91" w:rsidP="00732A91">
      <w:pPr>
        <w:pStyle w:val="SingleTxtG"/>
      </w:pPr>
      <w:r>
        <w:t>5.1</w:t>
      </w:r>
      <w:r>
        <w:tab/>
        <w:t>Le 6 février 2013, l</w:t>
      </w:r>
      <w:r w:rsidR="0007594A">
        <w:t>’</w:t>
      </w:r>
      <w:r>
        <w:t xml:space="preserve">auteur a envoyé une copie de la décision du Tribunal suprême du 22 janvier 2013. Le Tribunal rappelle que la chambre sociale </w:t>
      </w:r>
      <w:r w:rsidR="00950DD3">
        <w:t xml:space="preserve">temporaire </w:t>
      </w:r>
      <w:r>
        <w:t xml:space="preserve">a été constituée le 14 janvier 2013 et </w:t>
      </w:r>
      <w:r w:rsidR="00EC365B">
        <w:t>a décidé</w:t>
      </w:r>
      <w:r>
        <w:t xml:space="preserve"> de suspendre l</w:t>
      </w:r>
      <w:r w:rsidR="0007594A">
        <w:t>’</w:t>
      </w:r>
      <w:r>
        <w:t>audience en appel qui avait été prévue à l</w:t>
      </w:r>
      <w:r w:rsidR="0007594A">
        <w:t>’</w:t>
      </w:r>
      <w:r>
        <w:t>origine pour le 30 janvier et de la différer de trente jours.</w:t>
      </w:r>
    </w:p>
    <w:p w:rsidR="00732A91" w:rsidRDefault="00732A91" w:rsidP="00732A91">
      <w:pPr>
        <w:pStyle w:val="SingleTxtG"/>
      </w:pPr>
      <w:r>
        <w:t>5.2</w:t>
      </w:r>
      <w:r>
        <w:tab/>
        <w:t>Le 18 février 2014, l</w:t>
      </w:r>
      <w:r w:rsidR="0007594A">
        <w:t>’</w:t>
      </w:r>
      <w:r>
        <w:t xml:space="preserve">auteur a fait savoir que </w:t>
      </w:r>
      <w:r w:rsidR="009C3C3A">
        <w:t>l</w:t>
      </w:r>
      <w:r w:rsidR="0007594A">
        <w:t>’</w:t>
      </w:r>
      <w:r>
        <w:t xml:space="preserve">appel </w:t>
      </w:r>
      <w:r w:rsidR="009C3C3A">
        <w:t>qu</w:t>
      </w:r>
      <w:r w:rsidR="0007594A">
        <w:t>’</w:t>
      </w:r>
      <w:r w:rsidR="009C3C3A">
        <w:t xml:space="preserve">il avait </w:t>
      </w:r>
      <w:r>
        <w:t xml:space="preserve">formé le 14 décembre 2000 </w:t>
      </w:r>
      <w:r w:rsidR="009C3C3A">
        <w:t xml:space="preserve">avait été examiné </w:t>
      </w:r>
      <w:r>
        <w:t>le 27 mai 2013. Le Président de la chambre a</w:t>
      </w:r>
      <w:r w:rsidR="009C3C3A">
        <w:t>vait</w:t>
      </w:r>
      <w:r>
        <w:t xml:space="preserve"> proposé une procédure de conciliation que les deux parties </w:t>
      </w:r>
      <w:r w:rsidR="009C3C3A">
        <w:t xml:space="preserve">avaient </w:t>
      </w:r>
      <w:r>
        <w:t xml:space="preserve">acceptée. </w:t>
      </w:r>
      <w:r w:rsidR="009C3C3A">
        <w:t xml:space="preserve">À </w:t>
      </w:r>
      <w:r>
        <w:t>l</w:t>
      </w:r>
      <w:r w:rsidR="0007594A">
        <w:t>’</w:t>
      </w:r>
      <w:r>
        <w:t xml:space="preserve">expiration du délai </w:t>
      </w:r>
      <w:r w:rsidR="009C3C3A">
        <w:t xml:space="preserve">fixé pour parvenir à une </w:t>
      </w:r>
      <w:r>
        <w:t>conciliation, le 17 juin 2013, un jugement oral a</w:t>
      </w:r>
      <w:r w:rsidR="009C3C3A">
        <w:t>vait</w:t>
      </w:r>
      <w:r>
        <w:t xml:space="preserve"> été rendu. Le Tribunal suprême a</w:t>
      </w:r>
      <w:r w:rsidR="009C3C3A">
        <w:t>vait</w:t>
      </w:r>
      <w:r>
        <w:t xml:space="preserve"> estimé qu</w:t>
      </w:r>
      <w:r w:rsidR="0007594A">
        <w:t>’</w:t>
      </w:r>
      <w:r>
        <w:t xml:space="preserve">en </w:t>
      </w:r>
      <w:r w:rsidR="009C3C3A">
        <w:t xml:space="preserve">ne statuant pas la juridiction inférieure avait violé le </w:t>
      </w:r>
      <w:r>
        <w:t>droit à la défense de l</w:t>
      </w:r>
      <w:r w:rsidR="0007594A">
        <w:t>’</w:t>
      </w:r>
      <w:r>
        <w:t xml:space="preserve">auteur et le principe de la régularité de la procédure. Il </w:t>
      </w:r>
      <w:r w:rsidR="009C3C3A">
        <w:t xml:space="preserve">avait donc </w:t>
      </w:r>
      <w:r>
        <w:t xml:space="preserve">déclaré nuls tous les actes de procédure intervenus après le </w:t>
      </w:r>
      <w:r w:rsidR="009C3C3A">
        <w:t>dépôt de l</w:t>
      </w:r>
      <w:r w:rsidR="0007594A">
        <w:t>’</w:t>
      </w:r>
      <w:r>
        <w:t>appel formé en décembre 2000 et décidé de renvoyer l</w:t>
      </w:r>
      <w:r w:rsidR="0007594A">
        <w:t>’</w:t>
      </w:r>
      <w:r>
        <w:t xml:space="preserve">affaire </w:t>
      </w:r>
      <w:r w:rsidR="009C3C3A">
        <w:t xml:space="preserve">à </w:t>
      </w:r>
      <w:r>
        <w:t xml:space="preserve">la chambre </w:t>
      </w:r>
      <w:r w:rsidR="009C3C3A">
        <w:t>sociale pour qu</w:t>
      </w:r>
      <w:r w:rsidR="0007594A">
        <w:t>’</w:t>
      </w:r>
      <w:r w:rsidR="009C3C3A">
        <w:t>el</w:t>
      </w:r>
      <w:r>
        <w:t>l</w:t>
      </w:r>
      <w:r w:rsidR="009C3C3A">
        <w:t>e</w:t>
      </w:r>
      <w:r>
        <w:t xml:space="preserve"> se prononce sur la recevab</w:t>
      </w:r>
      <w:r w:rsidR="009C3C3A">
        <w:t>ilité du recours</w:t>
      </w:r>
      <w:r>
        <w:t>.</w:t>
      </w:r>
    </w:p>
    <w:p w:rsidR="00732A91" w:rsidRDefault="00732A91" w:rsidP="00732A91">
      <w:pPr>
        <w:pStyle w:val="SingleTxtG"/>
      </w:pPr>
      <w:r>
        <w:t>5.3</w:t>
      </w:r>
      <w:r>
        <w:tab/>
        <w:t>Le 19 septembre 2014, l</w:t>
      </w:r>
      <w:r w:rsidR="0007594A">
        <w:t>’</w:t>
      </w:r>
      <w:r>
        <w:t xml:space="preserve">auteur a envoyé une copie de la décision </w:t>
      </w:r>
      <w:r w:rsidR="009C3C3A">
        <w:t xml:space="preserve">rendue par </w:t>
      </w:r>
      <w:r>
        <w:t xml:space="preserve">la chambre constitutionnelle </w:t>
      </w:r>
      <w:r w:rsidR="009C3C3A">
        <w:t>le 10 </w:t>
      </w:r>
      <w:r>
        <w:t xml:space="preserve">juillet 2013 </w:t>
      </w:r>
      <w:r w:rsidR="009C3C3A">
        <w:t xml:space="preserve">déclarant </w:t>
      </w:r>
      <w:r>
        <w:t xml:space="preserve">irrecevable la demande </w:t>
      </w:r>
      <w:r w:rsidR="009C3C3A">
        <w:t xml:space="preserve">de précision </w:t>
      </w:r>
      <w:r>
        <w:t>présentée par l</w:t>
      </w:r>
      <w:r w:rsidR="0007594A">
        <w:t>’</w:t>
      </w:r>
      <w:r>
        <w:t>a</w:t>
      </w:r>
      <w:r w:rsidR="009C3C3A">
        <w:t>uteur le 27 </w:t>
      </w:r>
      <w:r>
        <w:t xml:space="preserve">juillet 2007 au sujet du </w:t>
      </w:r>
      <w:r w:rsidR="009C3C3A">
        <w:t xml:space="preserve">rejet de son </w:t>
      </w:r>
      <w:r>
        <w:t xml:space="preserve">recours </w:t>
      </w:r>
      <w:r w:rsidRPr="009C3C3A">
        <w:t>en</w:t>
      </w:r>
      <w:r w:rsidRPr="004F63B9">
        <w:rPr>
          <w:i/>
        </w:rPr>
        <w:t xml:space="preserve"> amparo</w:t>
      </w:r>
      <w:r>
        <w:t>.</w:t>
      </w:r>
    </w:p>
    <w:p w:rsidR="00732A91" w:rsidRDefault="00732A91" w:rsidP="00732A91">
      <w:pPr>
        <w:pStyle w:val="H23G"/>
      </w:pPr>
      <w:r>
        <w:tab/>
      </w:r>
      <w:r>
        <w:tab/>
        <w:t>Délibérations du Comité</w:t>
      </w:r>
    </w:p>
    <w:p w:rsidR="00732A91" w:rsidRDefault="00732A91" w:rsidP="00732A91">
      <w:pPr>
        <w:pStyle w:val="H4G"/>
      </w:pPr>
      <w:r>
        <w:tab/>
      </w:r>
      <w:r>
        <w:tab/>
        <w:t>Examen de la recevabilité</w:t>
      </w:r>
    </w:p>
    <w:p w:rsidR="00732A91" w:rsidRDefault="00732A91" w:rsidP="00732A91">
      <w:pPr>
        <w:pStyle w:val="SingleTxtG"/>
      </w:pPr>
      <w:r>
        <w:t>6.1</w:t>
      </w:r>
      <w:r>
        <w:tab/>
        <w:t>Avant d</w:t>
      </w:r>
      <w:r w:rsidR="0007594A">
        <w:t>’</w:t>
      </w:r>
      <w:r>
        <w:t>examiner toute plainte soumise dans une communication, le Comité des droits de l</w:t>
      </w:r>
      <w:r w:rsidR="0007594A">
        <w:t>’</w:t>
      </w:r>
      <w:r>
        <w:t>homme doit, conformément à l</w:t>
      </w:r>
      <w:r w:rsidR="0007594A">
        <w:t>’</w:t>
      </w:r>
      <w:r>
        <w:t xml:space="preserve">article 93 de son règlement intérieur, déterminer si la communication est recevable en vertu du Protocole facultatif se rapportant au Pacte. </w:t>
      </w:r>
    </w:p>
    <w:p w:rsidR="00732A91" w:rsidRDefault="00732A91" w:rsidP="00732A91">
      <w:pPr>
        <w:pStyle w:val="SingleTxtG"/>
      </w:pPr>
      <w:r>
        <w:t>6.2</w:t>
      </w:r>
      <w:r>
        <w:tab/>
        <w:t>Conformément au paragraphe 2 a) de l</w:t>
      </w:r>
      <w:r w:rsidR="0007594A">
        <w:t>’</w:t>
      </w:r>
      <w:r>
        <w:t>article 5 du Protocole facultatif, le Comité doit s</w:t>
      </w:r>
      <w:r w:rsidR="0007594A">
        <w:t>’</w:t>
      </w:r>
      <w:r>
        <w:t>assurer que la même question n</w:t>
      </w:r>
      <w:r w:rsidR="0007594A">
        <w:t>’</w:t>
      </w:r>
      <w:r>
        <w:t>est pas déjà en cours d</w:t>
      </w:r>
      <w:r w:rsidR="0007594A">
        <w:t>’</w:t>
      </w:r>
      <w:r>
        <w:t>examen devant une autre instance internationale d</w:t>
      </w:r>
      <w:r w:rsidR="0007594A">
        <w:t>’</w:t>
      </w:r>
      <w:r>
        <w:t xml:space="preserve">enquête ou de règlement. Il </w:t>
      </w:r>
      <w:r w:rsidR="009C3C3A">
        <w:t xml:space="preserve">relève que </w:t>
      </w:r>
      <w:r>
        <w:t>l</w:t>
      </w:r>
      <w:r w:rsidR="0007594A">
        <w:t>’</w:t>
      </w:r>
      <w:r>
        <w:t>auteur et l</w:t>
      </w:r>
      <w:r w:rsidR="0007594A">
        <w:t>’</w:t>
      </w:r>
      <w:r>
        <w:t xml:space="preserve">État partie </w:t>
      </w:r>
      <w:r w:rsidR="009C3C3A">
        <w:t>affirment que</w:t>
      </w:r>
      <w:r>
        <w:t xml:space="preserve"> l</w:t>
      </w:r>
      <w:r w:rsidR="0007594A">
        <w:t>’</w:t>
      </w:r>
      <w:r>
        <w:t>affaire n</w:t>
      </w:r>
      <w:r w:rsidR="0007594A">
        <w:t>’</w:t>
      </w:r>
      <w:r>
        <w:t>a pas été soumise à la Commission interaméricaine des droits de l</w:t>
      </w:r>
      <w:r w:rsidR="0007594A">
        <w:t>’</w:t>
      </w:r>
      <w:r>
        <w:t>homme, ni à aucune autre instance internationale d</w:t>
      </w:r>
      <w:r w:rsidR="0007594A">
        <w:t>’</w:t>
      </w:r>
      <w:r>
        <w:t>enquête ou de règlement. En conséquence, le Comité considère qu</w:t>
      </w:r>
      <w:r w:rsidR="0007594A">
        <w:t>’</w:t>
      </w:r>
      <w:r w:rsidR="009C3C3A">
        <w:t xml:space="preserve">aucun </w:t>
      </w:r>
      <w:r>
        <w:t xml:space="preserve">obstacle </w:t>
      </w:r>
      <w:r w:rsidR="009C3C3A">
        <w:t>ne s</w:t>
      </w:r>
      <w:r w:rsidR="0007594A">
        <w:t>’</w:t>
      </w:r>
      <w:r w:rsidR="009C3C3A">
        <w:t xml:space="preserve">oppose à </w:t>
      </w:r>
      <w:r>
        <w:t>la recevabilité de la présente communication au titre de cette disposition.</w:t>
      </w:r>
    </w:p>
    <w:p w:rsidR="005867C2" w:rsidRDefault="005867C2" w:rsidP="00732A91">
      <w:pPr>
        <w:pStyle w:val="SingleTxtG"/>
      </w:pPr>
      <w:r>
        <w:t>6.3</w:t>
      </w:r>
      <w:r>
        <w:tab/>
        <w:t xml:space="preserve">Le Comité prend note des griefs de violation du </w:t>
      </w:r>
      <w:r>
        <w:rPr>
          <w:rFonts w:eastAsia="MS Mincho"/>
        </w:rPr>
        <w:t>paragraphe</w:t>
      </w:r>
      <w:r>
        <w:t> 3 de l</w:t>
      </w:r>
      <w:r w:rsidR="0007594A">
        <w:t>’</w:t>
      </w:r>
      <w:r>
        <w:t>article 2 du Pacte et rappelle que selon sa jurisprudence les dispositions de l</w:t>
      </w:r>
      <w:r w:rsidR="0007594A">
        <w:t>’</w:t>
      </w:r>
      <w:r>
        <w:t>article 2, qui définissent les obligations générales des États parties, ne peuvent pas être invoquées isolément dans une communication présentée en vertu du Protocole facultatif. Il considère par conséquent que les griefs de l</w:t>
      </w:r>
      <w:r w:rsidR="0007594A">
        <w:t>’</w:t>
      </w:r>
      <w:r>
        <w:t>auteur à ce sujet ne sont pas recevables conformément à l</w:t>
      </w:r>
      <w:r w:rsidR="0007594A">
        <w:t>’</w:t>
      </w:r>
      <w:r>
        <w:t>article 2 du Protocole facultatif</w:t>
      </w:r>
      <w:r>
        <w:rPr>
          <w:rStyle w:val="FootnoteReference"/>
        </w:rPr>
        <w:footnoteReference w:id="16"/>
      </w:r>
      <w:r w:rsidR="00F51820">
        <w:t>.</w:t>
      </w:r>
    </w:p>
    <w:p w:rsidR="00732A91" w:rsidRDefault="005867C2" w:rsidP="00732A91">
      <w:pPr>
        <w:pStyle w:val="SingleTxtG"/>
      </w:pPr>
      <w:r>
        <w:t>6.4</w:t>
      </w:r>
      <w:r w:rsidR="00732A91">
        <w:tab/>
      </w:r>
      <w:r w:rsidR="00732A91" w:rsidRPr="00F35FF1">
        <w:rPr>
          <w:spacing w:val="-1"/>
        </w:rPr>
        <w:t xml:space="preserve">Le Comité rappelle que </w:t>
      </w:r>
      <w:r w:rsidR="00732A91">
        <w:rPr>
          <w:spacing w:val="-1"/>
        </w:rPr>
        <w:t xml:space="preserve">le </w:t>
      </w:r>
      <w:r w:rsidR="00732A91" w:rsidRPr="00F35FF1">
        <w:rPr>
          <w:spacing w:val="-1"/>
        </w:rPr>
        <w:t xml:space="preserve">paragraphe 3 </w:t>
      </w:r>
      <w:r w:rsidR="00732A91">
        <w:rPr>
          <w:spacing w:val="-1"/>
        </w:rPr>
        <w:t xml:space="preserve">de </w:t>
      </w:r>
      <w:r w:rsidR="00732A91" w:rsidRPr="00F35FF1">
        <w:rPr>
          <w:spacing w:val="-1"/>
        </w:rPr>
        <w:t>l</w:t>
      </w:r>
      <w:r w:rsidR="0007594A">
        <w:rPr>
          <w:spacing w:val="-1"/>
        </w:rPr>
        <w:t>’</w:t>
      </w:r>
      <w:r w:rsidR="00732A91" w:rsidRPr="00F35FF1">
        <w:rPr>
          <w:spacing w:val="-1"/>
        </w:rPr>
        <w:t>article 14</w:t>
      </w:r>
      <w:r w:rsidR="00732A91">
        <w:rPr>
          <w:spacing w:val="-1"/>
        </w:rPr>
        <w:t xml:space="preserve"> </w:t>
      </w:r>
      <w:r w:rsidR="00732A91" w:rsidRPr="00F35FF1">
        <w:rPr>
          <w:spacing w:val="-1"/>
        </w:rPr>
        <w:t>et l</w:t>
      </w:r>
      <w:r w:rsidR="0007594A">
        <w:rPr>
          <w:spacing w:val="-1"/>
        </w:rPr>
        <w:t>’</w:t>
      </w:r>
      <w:r w:rsidR="00732A91" w:rsidRPr="00F35FF1">
        <w:rPr>
          <w:spacing w:val="-1"/>
        </w:rPr>
        <w:t>article 15 énoncent les garanties procédurales reconnues à toute personne accusée d</w:t>
      </w:r>
      <w:r w:rsidR="0007594A">
        <w:rPr>
          <w:spacing w:val="-1"/>
        </w:rPr>
        <w:t>’</w:t>
      </w:r>
      <w:r w:rsidR="00732A91" w:rsidRPr="00F35FF1">
        <w:rPr>
          <w:spacing w:val="-1"/>
        </w:rPr>
        <w:t>une infraction pénale</w:t>
      </w:r>
      <w:r w:rsidR="00732A91" w:rsidRPr="00F35FF1">
        <w:rPr>
          <w:rStyle w:val="FootnoteReference"/>
          <w:spacing w:val="-1"/>
        </w:rPr>
        <w:footnoteReference w:id="17"/>
      </w:r>
      <w:r w:rsidR="00732A91" w:rsidRPr="00F35FF1">
        <w:rPr>
          <w:spacing w:val="-1"/>
        </w:rPr>
        <w:t>.</w:t>
      </w:r>
      <w:r w:rsidR="00732A91">
        <w:rPr>
          <w:spacing w:val="-1"/>
        </w:rPr>
        <w:t xml:space="preserve"> </w:t>
      </w:r>
      <w:r>
        <w:rPr>
          <w:spacing w:val="-1"/>
        </w:rPr>
        <w:t>E</w:t>
      </w:r>
      <w:r w:rsidR="00732A91">
        <w:rPr>
          <w:spacing w:val="-1"/>
        </w:rPr>
        <w:t>n l</w:t>
      </w:r>
      <w:r w:rsidR="0007594A">
        <w:rPr>
          <w:spacing w:val="-1"/>
        </w:rPr>
        <w:t>’</w:t>
      </w:r>
      <w:r w:rsidR="00732A91">
        <w:rPr>
          <w:spacing w:val="-1"/>
        </w:rPr>
        <w:t xml:space="preserve">espèce </w:t>
      </w:r>
      <w:r>
        <w:rPr>
          <w:spacing w:val="-1"/>
        </w:rPr>
        <w:t>il s</w:t>
      </w:r>
      <w:r w:rsidR="0007594A">
        <w:rPr>
          <w:spacing w:val="-1"/>
        </w:rPr>
        <w:t>’</w:t>
      </w:r>
      <w:r>
        <w:rPr>
          <w:spacing w:val="-1"/>
        </w:rPr>
        <w:t xml:space="preserve">agit </w:t>
      </w:r>
      <w:r w:rsidR="00732A91">
        <w:rPr>
          <w:spacing w:val="-1"/>
        </w:rPr>
        <w:t>d</w:t>
      </w:r>
      <w:r w:rsidR="0007594A">
        <w:rPr>
          <w:spacing w:val="-1"/>
        </w:rPr>
        <w:t>’</w:t>
      </w:r>
      <w:r w:rsidR="00732A91">
        <w:rPr>
          <w:spacing w:val="-1"/>
        </w:rPr>
        <w:t xml:space="preserve">un conflit du travail et </w:t>
      </w:r>
      <w:r>
        <w:rPr>
          <w:spacing w:val="-1"/>
        </w:rPr>
        <w:t>après sa démission</w:t>
      </w:r>
      <w:r w:rsidR="00732A91">
        <w:rPr>
          <w:spacing w:val="-1"/>
        </w:rPr>
        <w:t>, l</w:t>
      </w:r>
      <w:r w:rsidR="0007594A">
        <w:rPr>
          <w:spacing w:val="-1"/>
        </w:rPr>
        <w:t>’</w:t>
      </w:r>
      <w:r w:rsidR="00732A91">
        <w:rPr>
          <w:spacing w:val="-1"/>
        </w:rPr>
        <w:t>auteur n</w:t>
      </w:r>
      <w:r w:rsidR="0007594A">
        <w:rPr>
          <w:spacing w:val="-1"/>
        </w:rPr>
        <w:t>’</w:t>
      </w:r>
      <w:r w:rsidR="00732A91">
        <w:rPr>
          <w:spacing w:val="-1"/>
        </w:rPr>
        <w:t xml:space="preserve">a été ni accusé </w:t>
      </w:r>
      <w:r>
        <w:rPr>
          <w:spacing w:val="-1"/>
        </w:rPr>
        <w:t>ni «reconnu coupable d</w:t>
      </w:r>
      <w:r w:rsidR="0007594A">
        <w:rPr>
          <w:spacing w:val="-1"/>
        </w:rPr>
        <w:t>’</w:t>
      </w:r>
      <w:r>
        <w:rPr>
          <w:spacing w:val="-1"/>
        </w:rPr>
        <w:t xml:space="preserve">un </w:t>
      </w:r>
      <w:r w:rsidR="00F51820">
        <w:rPr>
          <w:spacing w:val="-1"/>
        </w:rPr>
        <w:t>acte</w:t>
      </w:r>
      <w:r w:rsidR="00732A91">
        <w:rPr>
          <w:spacing w:val="-1"/>
        </w:rPr>
        <w:t xml:space="preserve"> délictueux» au sens de l</w:t>
      </w:r>
      <w:r w:rsidR="0007594A">
        <w:rPr>
          <w:spacing w:val="-1"/>
        </w:rPr>
        <w:t>’</w:t>
      </w:r>
      <w:r w:rsidR="00732A91">
        <w:rPr>
          <w:spacing w:val="-1"/>
        </w:rPr>
        <w:t xml:space="preserve">article 15. </w:t>
      </w:r>
      <w:r w:rsidR="00732A91" w:rsidRPr="00F35FF1">
        <w:rPr>
          <w:spacing w:val="-1"/>
        </w:rPr>
        <w:t>En</w:t>
      </w:r>
      <w:r>
        <w:rPr>
          <w:spacing w:val="-1"/>
        </w:rPr>
        <w:t xml:space="preserve"> </w:t>
      </w:r>
      <w:r w:rsidR="00732A91" w:rsidRPr="00F35FF1">
        <w:rPr>
          <w:spacing w:val="-1"/>
        </w:rPr>
        <w:t>conséquence,</w:t>
      </w:r>
      <w:r w:rsidR="00732A91">
        <w:t xml:space="preserve"> les </w:t>
      </w:r>
      <w:r>
        <w:t xml:space="preserve">griefs </w:t>
      </w:r>
      <w:r w:rsidR="00732A91">
        <w:t>de l</w:t>
      </w:r>
      <w:r w:rsidR="0007594A">
        <w:t>’</w:t>
      </w:r>
      <w:r w:rsidR="00732A91">
        <w:t xml:space="preserve">auteur au </w:t>
      </w:r>
      <w:r>
        <w:t xml:space="preserve">titre du paragraphe 3 </w:t>
      </w:r>
      <w:r w:rsidR="00732A91">
        <w:t>de l</w:t>
      </w:r>
      <w:r w:rsidR="0007594A">
        <w:t>’</w:t>
      </w:r>
      <w:r w:rsidR="00732A91">
        <w:t xml:space="preserve">article 14 </w:t>
      </w:r>
      <w:r>
        <w:t xml:space="preserve">et </w:t>
      </w:r>
      <w:r w:rsidR="00732A91">
        <w:t>de l</w:t>
      </w:r>
      <w:r w:rsidR="0007594A">
        <w:t>’</w:t>
      </w:r>
      <w:r w:rsidR="00732A91">
        <w:t xml:space="preserve">article 15 du Pacte sont incompatibles </w:t>
      </w:r>
      <w:r w:rsidR="00732A91" w:rsidRPr="00F032B2">
        <w:rPr>
          <w:i/>
        </w:rPr>
        <w:t>ratione materiae</w:t>
      </w:r>
      <w:r w:rsidR="00732A91">
        <w:t xml:space="preserve"> avec les dispositions du Pacte et sont irrecevables en vertu de l</w:t>
      </w:r>
      <w:r w:rsidR="0007594A">
        <w:t>’</w:t>
      </w:r>
      <w:r w:rsidR="00732A91">
        <w:t>article 3 du Protocole facultatif.</w:t>
      </w:r>
    </w:p>
    <w:p w:rsidR="005867C2" w:rsidRDefault="005867C2" w:rsidP="00732A91">
      <w:pPr>
        <w:pStyle w:val="SingleTxtG"/>
      </w:pPr>
      <w:r>
        <w:t>6.5</w:t>
      </w:r>
      <w:r>
        <w:tab/>
      </w:r>
      <w:r w:rsidR="00B16B0E">
        <w:t>En ce qui concerne les griefs tirés de l</w:t>
      </w:r>
      <w:r w:rsidR="0007594A">
        <w:t>’</w:t>
      </w:r>
      <w:r w:rsidR="00B16B0E">
        <w:t>article 26 du Pacte, le Comité fait observer que les éléments dont il dispose ne montrent pas que l</w:t>
      </w:r>
      <w:r w:rsidR="0007594A">
        <w:t>’</w:t>
      </w:r>
      <w:r w:rsidR="00B16B0E">
        <w:t>auteur a soulevé devant les tribunaux internes la question de la discrimination subie pendant la procédure avant de le faire dans la présente communication. En conséquence, il déclare cette partie de la communication irrecevable en vertu de l</w:t>
      </w:r>
      <w:r w:rsidR="0007594A">
        <w:t>’</w:t>
      </w:r>
      <w:r w:rsidR="00B16B0E">
        <w:t>article 2 et du paragraphe 2 b) de l</w:t>
      </w:r>
      <w:r w:rsidR="0007594A">
        <w:t>’</w:t>
      </w:r>
      <w:r w:rsidR="00B16B0E">
        <w:t>article 5 du Protocole facultatif, pour non-épuisement des recours internes.</w:t>
      </w:r>
    </w:p>
    <w:p w:rsidR="00732A91" w:rsidRDefault="005867C2" w:rsidP="00732A91">
      <w:pPr>
        <w:pStyle w:val="SingleTxtG"/>
      </w:pPr>
      <w:r>
        <w:t>6.6</w:t>
      </w:r>
      <w:r w:rsidR="00732A91">
        <w:tab/>
        <w:t xml:space="preserve">Le Comité </w:t>
      </w:r>
      <w:r w:rsidR="00B16B0E">
        <w:t>note</w:t>
      </w:r>
      <w:r w:rsidR="00732A91">
        <w:t xml:space="preserve"> que le grief de l</w:t>
      </w:r>
      <w:r w:rsidR="0007594A">
        <w:t>’</w:t>
      </w:r>
      <w:r w:rsidR="00732A91">
        <w:t xml:space="preserve">auteur </w:t>
      </w:r>
      <w:r w:rsidR="00B16B0E">
        <w:t xml:space="preserve">qui affirme que </w:t>
      </w:r>
      <w:r w:rsidR="00732A91">
        <w:t>l</w:t>
      </w:r>
      <w:r w:rsidR="0007594A">
        <w:t>’</w:t>
      </w:r>
      <w:r w:rsidR="00732A91">
        <w:t xml:space="preserve">État </w:t>
      </w:r>
      <w:r w:rsidR="00B16B0E">
        <w:t xml:space="preserve">partie </w:t>
      </w:r>
      <w:r w:rsidR="00732A91">
        <w:t>a violé son droit à la sécurité sociale n</w:t>
      </w:r>
      <w:r w:rsidR="0007594A">
        <w:t>’</w:t>
      </w:r>
      <w:r w:rsidR="00732A91">
        <w:t xml:space="preserve">entre pas dans </w:t>
      </w:r>
      <w:r w:rsidR="00B16B0E">
        <w:t>le champ d</w:t>
      </w:r>
      <w:r w:rsidR="0007594A">
        <w:t>’</w:t>
      </w:r>
      <w:r w:rsidR="00B16B0E">
        <w:t>application du Pacte</w:t>
      </w:r>
      <w:r w:rsidR="00732A91">
        <w:t>. En conséquence, ce grief est également irrecevable en vertu de l</w:t>
      </w:r>
      <w:r w:rsidR="0007594A">
        <w:t>’</w:t>
      </w:r>
      <w:r w:rsidR="00732A91">
        <w:t>article 3 du Protocole facultatif.</w:t>
      </w:r>
    </w:p>
    <w:p w:rsidR="00B16B0E" w:rsidRDefault="00B16B0E" w:rsidP="00B16B0E">
      <w:pPr>
        <w:pStyle w:val="SingleTxtG"/>
      </w:pPr>
      <w:r>
        <w:t>6.7</w:t>
      </w:r>
      <w:r>
        <w:tab/>
        <w:t>Concernant les griefs de violation du paragraphe 1 de l</w:t>
      </w:r>
      <w:r w:rsidR="0007594A">
        <w:t>’</w:t>
      </w:r>
      <w:r>
        <w:t>article 14, le Comité fait observer que les éléments dont il dispose ne montrent pas que l</w:t>
      </w:r>
      <w:r w:rsidR="0007594A">
        <w:t>’</w:t>
      </w:r>
      <w:r>
        <w:t>auteur a soulevé la question de l</w:t>
      </w:r>
      <w:r w:rsidR="0007594A">
        <w:t>’</w:t>
      </w:r>
      <w:r>
        <w:t>impartialité des tribunaux devant les juridictions internes avant de les exposer dans la présente communication. De plus ces allégations n</w:t>
      </w:r>
      <w:r w:rsidR="0007594A">
        <w:t>’</w:t>
      </w:r>
      <w:r>
        <w:t>ont pas été suffisamment étayées. En conséquence, cette partie de la communication est irrecevable en vertu du paragraphe 2 b) de l</w:t>
      </w:r>
      <w:r w:rsidR="0007594A">
        <w:t>’</w:t>
      </w:r>
      <w:r>
        <w:t xml:space="preserve">article 5 du Protocole facultatif. </w:t>
      </w:r>
    </w:p>
    <w:p w:rsidR="00B16B0E" w:rsidRPr="00B13A3D" w:rsidRDefault="00B16B0E" w:rsidP="00B16B0E">
      <w:pPr>
        <w:pStyle w:val="SingleTxtG"/>
        <w:rPr>
          <w:spacing w:val="-2"/>
        </w:rPr>
      </w:pPr>
      <w:r w:rsidRPr="00B13A3D">
        <w:rPr>
          <w:spacing w:val="-2"/>
        </w:rPr>
        <w:t>6.8</w:t>
      </w:r>
      <w:r w:rsidRPr="00B13A3D">
        <w:rPr>
          <w:spacing w:val="-2"/>
        </w:rPr>
        <w:tab/>
        <w:t>Le Comité considère en revanche que l</w:t>
      </w:r>
      <w:r w:rsidR="0007594A" w:rsidRPr="00B13A3D">
        <w:rPr>
          <w:spacing w:val="-2"/>
        </w:rPr>
        <w:t>’</w:t>
      </w:r>
      <w:r w:rsidRPr="00B13A3D">
        <w:rPr>
          <w:spacing w:val="-2"/>
        </w:rPr>
        <w:t xml:space="preserve">auteur </w:t>
      </w:r>
      <w:r w:rsidR="003229D8" w:rsidRPr="00B13A3D">
        <w:rPr>
          <w:spacing w:val="-2"/>
        </w:rPr>
        <w:t xml:space="preserve">a suffisamment étayé, aux fins de la recevabilité, </w:t>
      </w:r>
      <w:r w:rsidRPr="00B13A3D">
        <w:rPr>
          <w:spacing w:val="-2"/>
        </w:rPr>
        <w:t xml:space="preserve">les griefs </w:t>
      </w:r>
      <w:r w:rsidR="003229D8" w:rsidRPr="00B13A3D">
        <w:rPr>
          <w:spacing w:val="-2"/>
        </w:rPr>
        <w:t xml:space="preserve">tirés </w:t>
      </w:r>
      <w:r w:rsidRPr="00B13A3D">
        <w:rPr>
          <w:spacing w:val="-2"/>
        </w:rPr>
        <w:t xml:space="preserve">du </w:t>
      </w:r>
      <w:r w:rsidR="00F51820">
        <w:rPr>
          <w:spacing w:val="-2"/>
        </w:rPr>
        <w:t>paragraphe </w:t>
      </w:r>
      <w:r w:rsidRPr="00B13A3D">
        <w:rPr>
          <w:spacing w:val="-2"/>
        </w:rPr>
        <w:t>1 de l</w:t>
      </w:r>
      <w:r w:rsidR="0007594A" w:rsidRPr="00B13A3D">
        <w:rPr>
          <w:spacing w:val="-2"/>
        </w:rPr>
        <w:t>’</w:t>
      </w:r>
      <w:r w:rsidR="00F51820">
        <w:rPr>
          <w:spacing w:val="-2"/>
        </w:rPr>
        <w:t>article </w:t>
      </w:r>
      <w:r w:rsidRPr="00B13A3D">
        <w:rPr>
          <w:spacing w:val="-2"/>
        </w:rPr>
        <w:t>14, concernant le droit d</w:t>
      </w:r>
      <w:r w:rsidR="0007594A" w:rsidRPr="00B13A3D">
        <w:rPr>
          <w:spacing w:val="-2"/>
        </w:rPr>
        <w:t>’</w:t>
      </w:r>
      <w:r w:rsidRPr="00B13A3D">
        <w:rPr>
          <w:spacing w:val="-2"/>
        </w:rPr>
        <w:t>être entendu équitablement et publiquement</w:t>
      </w:r>
      <w:r w:rsidR="003229D8" w:rsidRPr="00B13A3D">
        <w:rPr>
          <w:spacing w:val="-2"/>
        </w:rPr>
        <w:t>,</w:t>
      </w:r>
      <w:r w:rsidRPr="00B13A3D">
        <w:rPr>
          <w:spacing w:val="-2"/>
        </w:rPr>
        <w:t xml:space="preserve"> </w:t>
      </w:r>
      <w:r w:rsidR="003229D8" w:rsidRPr="00B13A3D">
        <w:rPr>
          <w:spacing w:val="-2"/>
        </w:rPr>
        <w:t>dans un délai raisonnable</w:t>
      </w:r>
      <w:r w:rsidRPr="00B13A3D">
        <w:rPr>
          <w:spacing w:val="-2"/>
        </w:rPr>
        <w:t xml:space="preserve">. En conséquence, le Comité les considère recevables et procède à </w:t>
      </w:r>
      <w:r w:rsidR="003229D8" w:rsidRPr="00B13A3D">
        <w:rPr>
          <w:spacing w:val="-2"/>
        </w:rPr>
        <w:t xml:space="preserve">leur </w:t>
      </w:r>
      <w:r w:rsidRPr="00B13A3D">
        <w:rPr>
          <w:spacing w:val="-2"/>
        </w:rPr>
        <w:t>examen quant au fond.</w:t>
      </w:r>
    </w:p>
    <w:p w:rsidR="00732A91" w:rsidRDefault="00732A91" w:rsidP="00732A91">
      <w:pPr>
        <w:pStyle w:val="H4G"/>
      </w:pPr>
      <w:r>
        <w:tab/>
      </w:r>
      <w:r>
        <w:tab/>
        <w:t>Examen au fond</w:t>
      </w:r>
    </w:p>
    <w:p w:rsidR="00732A91" w:rsidRDefault="00732A91" w:rsidP="00B13A3D">
      <w:pPr>
        <w:pStyle w:val="SingleTxtG"/>
        <w:spacing w:line="220" w:lineRule="atLeast"/>
      </w:pPr>
      <w:r>
        <w:t>7.1</w:t>
      </w:r>
      <w:r>
        <w:tab/>
        <w:t>Conformément au paragraphe 1 de l</w:t>
      </w:r>
      <w:r w:rsidR="0007594A">
        <w:t>’</w:t>
      </w:r>
      <w:r>
        <w:t>article 5 du Protocole facultatif, le Comité des droits de l</w:t>
      </w:r>
      <w:r w:rsidR="0007594A">
        <w:t>’</w:t>
      </w:r>
      <w:r>
        <w:t>homme a examiné la présente communication en tenant compte de toutes les informations qui lui ont été communiquées par les parties.</w:t>
      </w:r>
    </w:p>
    <w:p w:rsidR="00732A91" w:rsidRDefault="00732A91" w:rsidP="00B13A3D">
      <w:pPr>
        <w:pStyle w:val="SingleTxtG"/>
        <w:spacing w:line="220" w:lineRule="atLeast"/>
      </w:pPr>
      <w:r>
        <w:t>7.2</w:t>
      </w:r>
      <w:r>
        <w:tab/>
        <w:t xml:space="preserve">En ce qui concerne les griefs </w:t>
      </w:r>
      <w:r w:rsidR="003229D8">
        <w:t xml:space="preserve">de violation </w:t>
      </w:r>
      <w:r>
        <w:t>du paragraphe 1 de l</w:t>
      </w:r>
      <w:r w:rsidR="0007594A">
        <w:t>’</w:t>
      </w:r>
      <w:r>
        <w:t>article 14 du Pacte</w:t>
      </w:r>
      <w:r w:rsidR="003229D8">
        <w:t>,</w:t>
      </w:r>
      <w:r>
        <w:t xml:space="preserve"> </w:t>
      </w:r>
      <w:r w:rsidR="003229D8">
        <w:t xml:space="preserve">du fait que </w:t>
      </w:r>
      <w:r>
        <w:t>la décision relative à sa demande de versement d</w:t>
      </w:r>
      <w:r w:rsidR="0007594A">
        <w:t>’</w:t>
      </w:r>
      <w:r>
        <w:t>indemnités, de dommages</w:t>
      </w:r>
      <w:r>
        <w:noBreakHyphen/>
        <w:t>intérêts et de réparation du préjudice moral n</w:t>
      </w:r>
      <w:r w:rsidR="0007594A">
        <w:t>’</w:t>
      </w:r>
      <w:r>
        <w:t xml:space="preserve">a pas été rendue dans des délais raisonnables et constitue un déni de justice, le Comité </w:t>
      </w:r>
      <w:r w:rsidR="003229D8">
        <w:t>relève l</w:t>
      </w:r>
      <w:r>
        <w:t>es arguments de l</w:t>
      </w:r>
      <w:r w:rsidR="0007594A">
        <w:t>’</w:t>
      </w:r>
      <w:r>
        <w:t xml:space="preserve">État partie qui </w:t>
      </w:r>
      <w:r w:rsidR="003229D8">
        <w:t xml:space="preserve">objecte </w:t>
      </w:r>
      <w:r>
        <w:t xml:space="preserve">que le retard </w:t>
      </w:r>
      <w:r w:rsidR="003229D8">
        <w:t xml:space="preserve">dans </w:t>
      </w:r>
      <w:r>
        <w:t>la procédure ne saurait lui être imputé et que l</w:t>
      </w:r>
      <w:r w:rsidR="0007594A">
        <w:t>’</w:t>
      </w:r>
      <w:r>
        <w:t>affaire a fait l</w:t>
      </w:r>
      <w:r w:rsidR="0007594A">
        <w:t>’</w:t>
      </w:r>
      <w:r>
        <w:t>objet de multiples incidents de procédure dus au litige entre les parties. Le Comité rappelle que la demande de versement d</w:t>
      </w:r>
      <w:r w:rsidR="0007594A">
        <w:t>’</w:t>
      </w:r>
      <w:r>
        <w:t>indemnités, de dommages</w:t>
      </w:r>
      <w:r>
        <w:noBreakHyphen/>
        <w:t xml:space="preserve">intérêts et de réparation du préjudice moral a été </w:t>
      </w:r>
      <w:r w:rsidR="003229D8">
        <w:t xml:space="preserve">accueillie </w:t>
      </w:r>
      <w:r>
        <w:t>à l</w:t>
      </w:r>
      <w:r w:rsidR="0007594A">
        <w:t>’</w:t>
      </w:r>
      <w:r>
        <w:t>origine par le tribunal de première instance le 21 novembre 2000, et que la chambre sociale du Tribunal suprême s</w:t>
      </w:r>
      <w:r w:rsidR="0007594A">
        <w:t>’</w:t>
      </w:r>
      <w:r>
        <w:t>est saisie de l</w:t>
      </w:r>
      <w:r w:rsidR="0007594A">
        <w:t>’</w:t>
      </w:r>
      <w:r>
        <w:t xml:space="preserve">affaire le 15 mai 2007. </w:t>
      </w:r>
      <w:r w:rsidR="003229D8">
        <w:t>Or</w:t>
      </w:r>
      <w:r>
        <w:t xml:space="preserve"> la date de l</w:t>
      </w:r>
      <w:r w:rsidR="0007594A">
        <w:t>’</w:t>
      </w:r>
      <w:r>
        <w:t>audience n</w:t>
      </w:r>
      <w:r w:rsidR="0007594A">
        <w:t>’</w:t>
      </w:r>
      <w:r>
        <w:t xml:space="preserve">a pas été fixée et la chambre </w:t>
      </w:r>
      <w:r w:rsidR="003229D8">
        <w:t xml:space="preserve">temporaire </w:t>
      </w:r>
      <w:r>
        <w:t>n</w:t>
      </w:r>
      <w:r w:rsidR="0007594A">
        <w:t>’</w:t>
      </w:r>
      <w:r>
        <w:t>a été constituée que le 14 janvier 2013, soit cinq ans et huit mois après la décision du Tribunal suprême d</w:t>
      </w:r>
      <w:r w:rsidR="0007594A">
        <w:t>’</w:t>
      </w:r>
      <w:r>
        <w:t xml:space="preserve">accepter </w:t>
      </w:r>
      <w:r w:rsidR="003229D8">
        <w:t>de se saisir de l</w:t>
      </w:r>
      <w:r w:rsidR="0007594A">
        <w:t>’</w:t>
      </w:r>
      <w:r w:rsidR="003229D8">
        <w:t>affaire</w:t>
      </w:r>
      <w:r>
        <w:t>. De surcroît, le Tribunal suprême s</w:t>
      </w:r>
      <w:r w:rsidR="0007594A">
        <w:t>’</w:t>
      </w:r>
      <w:r>
        <w:t>est enfin prononcé sur le recours de l</w:t>
      </w:r>
      <w:r w:rsidR="0007594A">
        <w:t>’</w:t>
      </w:r>
      <w:r>
        <w:t>auteur le 17 juin 2013, soit douze ans et quatre mois après la demande initiale</w:t>
      </w:r>
      <w:r w:rsidR="003229D8">
        <w:t>,</w:t>
      </w:r>
      <w:r>
        <w:t xml:space="preserve"> et a renvoyé l</w:t>
      </w:r>
      <w:r w:rsidR="0007594A">
        <w:t>’</w:t>
      </w:r>
      <w:r>
        <w:t xml:space="preserve">affaire au juge de la chambre sociale. En conséquence, à la date de la présente décision, </w:t>
      </w:r>
      <w:r w:rsidR="003229D8">
        <w:t>il n</w:t>
      </w:r>
      <w:r w:rsidR="0007594A">
        <w:t>’</w:t>
      </w:r>
      <w:r w:rsidR="003229D8">
        <w:t>a toujours pas été statué sur l</w:t>
      </w:r>
      <w:r w:rsidR="0007594A">
        <w:t>’</w:t>
      </w:r>
      <w:r w:rsidR="003229D8">
        <w:t xml:space="preserve">appel </w:t>
      </w:r>
      <w:r>
        <w:t xml:space="preserve">formé contre </w:t>
      </w:r>
      <w:r w:rsidR="003229D8">
        <w:t xml:space="preserve">le rejet </w:t>
      </w:r>
      <w:r>
        <w:t>de certains éléments de preuve par l</w:t>
      </w:r>
      <w:r w:rsidR="003229D8">
        <w:t>e tribunal de première instance</w:t>
      </w:r>
      <w:r>
        <w:t xml:space="preserve">, pas plus que </w:t>
      </w:r>
      <w:r w:rsidR="003229D8">
        <w:t xml:space="preserve">sur </w:t>
      </w:r>
      <w:r>
        <w:t>la demande initiale relative au versement de prestations sociales, à des dommages</w:t>
      </w:r>
      <w:r>
        <w:noBreakHyphen/>
        <w:t xml:space="preserve">intérêts et à réparation pour dommage moral, qui a été jugée recevable il y a plus de </w:t>
      </w:r>
      <w:r w:rsidR="003229D8">
        <w:t xml:space="preserve">treize </w:t>
      </w:r>
      <w:r>
        <w:t>ans. Dans les circonstances de l</w:t>
      </w:r>
      <w:r w:rsidR="0007594A">
        <w:t>’</w:t>
      </w:r>
      <w:r>
        <w:t>espèce, le Comité considère que le</w:t>
      </w:r>
      <w:r w:rsidR="0007594A">
        <w:t>s</w:t>
      </w:r>
      <w:r>
        <w:t xml:space="preserve"> retard</w:t>
      </w:r>
      <w:r w:rsidR="0007594A">
        <w:t>s</w:t>
      </w:r>
      <w:r>
        <w:t xml:space="preserve"> </w:t>
      </w:r>
      <w:r w:rsidR="0007594A">
        <w:t xml:space="preserve">dans </w:t>
      </w:r>
      <w:r>
        <w:t xml:space="preserve">la procédure </w:t>
      </w:r>
      <w:r w:rsidR="0007594A">
        <w:t xml:space="preserve">ne sont </w:t>
      </w:r>
      <w:r>
        <w:t>pas imputable</w:t>
      </w:r>
      <w:r w:rsidR="0007594A">
        <w:t>s</w:t>
      </w:r>
      <w:r>
        <w:t xml:space="preserve"> à la conduite de l</w:t>
      </w:r>
      <w:r w:rsidR="0007594A">
        <w:t>’</w:t>
      </w:r>
      <w:r>
        <w:t>auteur ni à la complexité de l</w:t>
      </w:r>
      <w:r w:rsidR="0007594A">
        <w:t>’</w:t>
      </w:r>
      <w:r>
        <w:t>affaire</w:t>
      </w:r>
      <w:r>
        <w:rPr>
          <w:rStyle w:val="FootnoteReference"/>
        </w:rPr>
        <w:footnoteReference w:id="18"/>
      </w:r>
      <w:r>
        <w:t xml:space="preserve">, et </w:t>
      </w:r>
      <w:r w:rsidR="0007594A">
        <w:t xml:space="preserve">sont principalement </w:t>
      </w:r>
      <w:r>
        <w:t>imputable</w:t>
      </w:r>
      <w:r w:rsidR="0007594A">
        <w:t>s</w:t>
      </w:r>
      <w:r>
        <w:t xml:space="preserve"> </w:t>
      </w:r>
      <w:r w:rsidR="0007594A">
        <w:t>à la conduite des autorités de l’État partie, notamment des autorités judiciaires</w:t>
      </w:r>
      <w:r>
        <w:t>.</w:t>
      </w:r>
    </w:p>
    <w:p w:rsidR="00732A91" w:rsidRDefault="00732A91" w:rsidP="00B13A3D">
      <w:pPr>
        <w:pStyle w:val="SingleTxtG"/>
        <w:spacing w:line="220" w:lineRule="atLeast"/>
      </w:pPr>
      <w:r>
        <w:t>7.3</w:t>
      </w:r>
      <w:r>
        <w:tab/>
        <w:t>Le Comité rappelle qu</w:t>
      </w:r>
      <w:r w:rsidR="0007594A">
        <w:t>’</w:t>
      </w:r>
      <w:r>
        <w:t xml:space="preserve">un élément important du procès équitable est la rapidité de la procédure, et que les retards </w:t>
      </w:r>
      <w:r w:rsidR="0007594A">
        <w:t>dans un procès qui</w:t>
      </w:r>
      <w:r>
        <w:t xml:space="preserve"> ne </w:t>
      </w:r>
      <w:r w:rsidR="0007594A">
        <w:t>sont pas justifiés</w:t>
      </w:r>
      <w:r>
        <w:t xml:space="preserve"> </w:t>
      </w:r>
      <w:r w:rsidR="0007594A">
        <w:t xml:space="preserve">par </w:t>
      </w:r>
      <w:r>
        <w:t>la complexité de l</w:t>
      </w:r>
      <w:r w:rsidR="0007594A">
        <w:t>’</w:t>
      </w:r>
      <w:r>
        <w:t xml:space="preserve">affaire </w:t>
      </w:r>
      <w:r w:rsidR="0007594A">
        <w:t xml:space="preserve">ou </w:t>
      </w:r>
      <w:r>
        <w:t>la conduite des parties portent atteinte au principe du procès équitable consacré par le paragraphe 1 de cette disposition</w:t>
      </w:r>
      <w:r>
        <w:rPr>
          <w:rStyle w:val="FootnoteReference"/>
        </w:rPr>
        <w:footnoteReference w:id="19"/>
      </w:r>
      <w:r>
        <w:t>. En conséquence, le Comité considère que le procès de l</w:t>
      </w:r>
      <w:r w:rsidR="0007594A">
        <w:t>’</w:t>
      </w:r>
      <w:r>
        <w:t>auteur a subi des retards qui ne sont pas compatibles avec les dispositions d</w:t>
      </w:r>
      <w:r w:rsidR="0007594A">
        <w:t>u paragraphe 1 de l’article 14.</w:t>
      </w:r>
    </w:p>
    <w:p w:rsidR="00732A91" w:rsidRDefault="0007594A" w:rsidP="00B13A3D">
      <w:pPr>
        <w:pStyle w:val="SingleTxtG"/>
        <w:spacing w:line="220" w:lineRule="atLeast"/>
      </w:pPr>
      <w:r>
        <w:t>8.</w:t>
      </w:r>
      <w:r w:rsidR="00732A91">
        <w:tab/>
        <w:t>Le Comité des droits de l</w:t>
      </w:r>
      <w:r>
        <w:t>’</w:t>
      </w:r>
      <w:r w:rsidR="00732A91">
        <w:t>homme, agissant en vertu du paragraphe 4 de l</w:t>
      </w:r>
      <w:r>
        <w:t>’</w:t>
      </w:r>
      <w:r w:rsidR="00732A91">
        <w:t>article 5 du Protocole facultatif se rapportant au Pacte international des droits civils et politiques, constate que les faits dont il est saisi font apparaître une violation du paragraphe 1 de l</w:t>
      </w:r>
      <w:r>
        <w:t>’</w:t>
      </w:r>
      <w:r w:rsidR="00732A91">
        <w:t>article 14 du Pacte.</w:t>
      </w:r>
    </w:p>
    <w:p w:rsidR="00732A91" w:rsidRPr="00AC1718" w:rsidRDefault="0007594A" w:rsidP="00B13A3D">
      <w:pPr>
        <w:pStyle w:val="SingleTxtG"/>
        <w:spacing w:line="220" w:lineRule="atLeast"/>
      </w:pPr>
      <w:r>
        <w:t>9.</w:t>
      </w:r>
      <w:r w:rsidR="00732A91">
        <w:tab/>
        <w:t>Conformément au paragraphe 3 a) de l</w:t>
      </w:r>
      <w:r>
        <w:t>’</w:t>
      </w:r>
      <w:r w:rsidR="00732A91">
        <w:t>article 2 du Pacte, l</w:t>
      </w:r>
      <w:r>
        <w:t>’</w:t>
      </w:r>
      <w:r w:rsidR="00732A91">
        <w:t xml:space="preserve">État partie est tenu </w:t>
      </w:r>
      <w:r>
        <w:t xml:space="preserve">d’assurer </w:t>
      </w:r>
      <w:r w:rsidR="00732A91">
        <w:t>à l</w:t>
      </w:r>
      <w:r>
        <w:t>’</w:t>
      </w:r>
      <w:r w:rsidR="00732A91">
        <w:t xml:space="preserve">auteur un recours utile, et en particulier: </w:t>
      </w:r>
      <w:r w:rsidR="00732A91" w:rsidRPr="005E6400">
        <w:t>a)</w:t>
      </w:r>
      <w:r w:rsidR="00732A91">
        <w:t xml:space="preserve"> veiller à ce que le procès soit assorti de toutes les garanties judiciaires prévues </w:t>
      </w:r>
      <w:r>
        <w:t xml:space="preserve">au paragraphe 1 de </w:t>
      </w:r>
      <w:r w:rsidR="00732A91">
        <w:t>l</w:t>
      </w:r>
      <w:r>
        <w:t>’</w:t>
      </w:r>
      <w:r w:rsidR="00732A91">
        <w:t>article 14 du Pacte, en particulier en ce qui concerne la nécessité de rendre une décision dans les plus brefs délais; b</w:t>
      </w:r>
      <w:r w:rsidR="00732A91" w:rsidRPr="005E6400">
        <w:t>)</w:t>
      </w:r>
      <w:r w:rsidR="00732A91">
        <w:t> lui accorder réparation, notamment sous la forme d</w:t>
      </w:r>
      <w:r>
        <w:t>’</w:t>
      </w:r>
      <w:r w:rsidR="00732A91">
        <w:t xml:space="preserve">une indemnisation appropriée. </w:t>
      </w:r>
      <w:r>
        <w:t xml:space="preserve">L’État partie </w:t>
      </w:r>
      <w:r w:rsidR="00732A91">
        <w:t>est également tenu de veiller à ce que des violations a</w:t>
      </w:r>
      <w:r>
        <w:t>nalogues ne se reproduisent pas</w:t>
      </w:r>
      <w:r w:rsidR="00732A91">
        <w:t>.</w:t>
      </w:r>
    </w:p>
    <w:p w:rsidR="00642728" w:rsidRDefault="0007594A" w:rsidP="0007594A">
      <w:pPr>
        <w:pStyle w:val="SingleTxtG"/>
        <w:rPr>
          <w:lang w:val="fr-FR"/>
        </w:rPr>
      </w:pPr>
      <w:r>
        <w:t>10.</w:t>
      </w:r>
      <w:r w:rsidR="00732A91">
        <w:tab/>
      </w:r>
      <w:r w:rsidR="00732A91" w:rsidRPr="009B421E">
        <w:t>Étant donné qu</w:t>
      </w:r>
      <w:r>
        <w:t>’</w:t>
      </w:r>
      <w:r w:rsidR="00732A91" w:rsidRPr="009B421E">
        <w:t>en adhérant au Protocole facultatif, l</w:t>
      </w:r>
      <w:r>
        <w:t>’</w:t>
      </w:r>
      <w:r w:rsidR="00732A91" w:rsidRPr="009B421E">
        <w:t>État partie a reconnu que le</w:t>
      </w:r>
      <w:r w:rsidR="00732A91">
        <w:t> </w:t>
      </w:r>
      <w:r w:rsidR="00732A91" w:rsidRPr="009B421E">
        <w:t>Comité avait compétence pour déterminer s</w:t>
      </w:r>
      <w:r>
        <w:t>’</w:t>
      </w:r>
      <w:r w:rsidR="00732A91" w:rsidRPr="009B421E">
        <w:t>il y a eu ou non violation du Pacte e</w:t>
      </w:r>
      <w:r w:rsidR="00732A91">
        <w:t>t que, conformément à l</w:t>
      </w:r>
      <w:r>
        <w:t>’</w:t>
      </w:r>
      <w:r w:rsidR="00732A91">
        <w:t>article </w:t>
      </w:r>
      <w:r w:rsidR="00732A91" w:rsidRPr="009B421E">
        <w:t>2 du Pacte, il s</w:t>
      </w:r>
      <w:r>
        <w:t>’</w:t>
      </w:r>
      <w:r w:rsidR="00732A91" w:rsidRPr="009B421E">
        <w:t>est engagé à garantir à tous les individus se trouvant sur son territoire et relevant de sa juridiction les droits reconnus dans le Pacte et</w:t>
      </w:r>
      <w:r w:rsidR="00732A91">
        <w:t> </w:t>
      </w:r>
      <w:r w:rsidR="00732A91" w:rsidRPr="009B421E">
        <w:t>à</w:t>
      </w:r>
      <w:r w:rsidR="00732A91">
        <w:t> </w:t>
      </w:r>
      <w:r w:rsidR="00732A91" w:rsidRPr="009B421E">
        <w:t>assurer un recours utile et exécutoire lorsqu</w:t>
      </w:r>
      <w:r>
        <w:t>’</w:t>
      </w:r>
      <w:r w:rsidR="00732A91" w:rsidRPr="009B421E">
        <w:t>une violation a été établie, le Comité souhaite recevoir de l</w:t>
      </w:r>
      <w:r>
        <w:t>’</w:t>
      </w:r>
      <w:r w:rsidR="00732A91" w:rsidRPr="009B421E">
        <w:t>État partie, dans un délai de cent quatre-vingts jours, des renseignements sur les mesures prises pour donner effet à ses constatations. L</w:t>
      </w:r>
      <w:r>
        <w:t>’</w:t>
      </w:r>
      <w:r w:rsidR="00732A91" w:rsidRPr="009B421E">
        <w:t>État partie est invité en outre à</w:t>
      </w:r>
      <w:r w:rsidR="00732A91">
        <w:t> </w:t>
      </w:r>
      <w:r w:rsidR="00732A91" w:rsidRPr="009B421E">
        <w:t>rendre publiques les présentes constatations</w:t>
      </w:r>
      <w:r w:rsidR="00732A91" w:rsidRPr="009B421E">
        <w:rPr>
          <w:lang w:val="fr-FR"/>
        </w:rPr>
        <w:t xml:space="preserve"> et à les diffuser largement</w:t>
      </w:r>
      <w:r w:rsidR="00732A91">
        <w:rPr>
          <w:lang w:val="fr-FR"/>
        </w:rPr>
        <w:t>.</w:t>
      </w:r>
    </w:p>
    <w:p w:rsidR="00732A91" w:rsidRPr="00732A91" w:rsidRDefault="00732A91" w:rsidP="00732A91">
      <w:pPr>
        <w:pStyle w:val="SingleTxtG"/>
        <w:spacing w:before="240" w:after="0"/>
        <w:jc w:val="center"/>
        <w:rPr>
          <w:u w:val="single"/>
        </w:rPr>
      </w:pPr>
      <w:r>
        <w:rPr>
          <w:u w:val="single"/>
        </w:rPr>
        <w:tab/>
      </w:r>
      <w:r>
        <w:rPr>
          <w:u w:val="single"/>
        </w:rPr>
        <w:tab/>
      </w:r>
      <w:r>
        <w:rPr>
          <w:u w:val="single"/>
        </w:rPr>
        <w:tab/>
      </w:r>
    </w:p>
    <w:sectPr w:rsidR="00732A91" w:rsidRPr="00732A91" w:rsidSect="00E3385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6A" w:rsidRDefault="00307D6A"/>
  </w:endnote>
  <w:endnote w:type="continuationSeparator" w:id="0">
    <w:p w:rsidR="00307D6A" w:rsidRDefault="00307D6A"/>
  </w:endnote>
  <w:endnote w:type="continuationNotice" w:id="1">
    <w:p w:rsidR="00307D6A" w:rsidRPr="00AE2643" w:rsidRDefault="00307D6A"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4A" w:rsidRPr="00E33853" w:rsidRDefault="0007594A" w:rsidP="00E33853">
    <w:pPr>
      <w:pStyle w:val="Footer"/>
      <w:tabs>
        <w:tab w:val="right" w:pos="9638"/>
      </w:tabs>
    </w:pPr>
    <w:r w:rsidRPr="00E33853">
      <w:rPr>
        <w:b/>
        <w:sz w:val="18"/>
      </w:rPr>
      <w:fldChar w:fldCharType="begin"/>
    </w:r>
    <w:r w:rsidRPr="00E33853">
      <w:rPr>
        <w:b/>
        <w:sz w:val="18"/>
      </w:rPr>
      <w:instrText xml:space="preserve"> PAGE  \* MERGEFORMAT </w:instrText>
    </w:r>
    <w:r w:rsidRPr="00E33853">
      <w:rPr>
        <w:b/>
        <w:sz w:val="18"/>
      </w:rPr>
      <w:fldChar w:fldCharType="separate"/>
    </w:r>
    <w:r w:rsidR="00517675">
      <w:rPr>
        <w:b/>
        <w:noProof/>
        <w:sz w:val="18"/>
      </w:rPr>
      <w:t>2</w:t>
    </w:r>
    <w:r w:rsidRPr="00E33853">
      <w:rPr>
        <w:b/>
        <w:sz w:val="18"/>
      </w:rPr>
      <w:fldChar w:fldCharType="end"/>
    </w:r>
    <w:r>
      <w:rPr>
        <w:b/>
        <w:sz w:val="18"/>
      </w:rPr>
      <w:tab/>
    </w:r>
    <w:r>
      <w:t>GE.14-21804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4A" w:rsidRPr="00E33853" w:rsidRDefault="0007594A" w:rsidP="00E33853">
    <w:pPr>
      <w:pStyle w:val="Footer"/>
      <w:tabs>
        <w:tab w:val="right" w:pos="9638"/>
      </w:tabs>
      <w:rPr>
        <w:b/>
        <w:sz w:val="18"/>
      </w:rPr>
    </w:pPr>
    <w:r>
      <w:t>GE.14-21804</w:t>
    </w:r>
    <w:r>
      <w:tab/>
    </w:r>
    <w:r w:rsidRPr="00E33853">
      <w:rPr>
        <w:b/>
        <w:sz w:val="18"/>
      </w:rPr>
      <w:fldChar w:fldCharType="begin"/>
    </w:r>
    <w:r w:rsidRPr="00E33853">
      <w:rPr>
        <w:b/>
        <w:sz w:val="18"/>
      </w:rPr>
      <w:instrText xml:space="preserve"> PAGE  \* MERGEFORMAT </w:instrText>
    </w:r>
    <w:r w:rsidRPr="00E33853">
      <w:rPr>
        <w:b/>
        <w:sz w:val="18"/>
      </w:rPr>
      <w:fldChar w:fldCharType="separate"/>
    </w:r>
    <w:r w:rsidR="00367680">
      <w:rPr>
        <w:b/>
        <w:noProof/>
        <w:sz w:val="18"/>
      </w:rPr>
      <w:t>3</w:t>
    </w:r>
    <w:r w:rsidRPr="00E3385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4A" w:rsidRDefault="0007594A" w:rsidP="00E33853">
    <w:pPr>
      <w:pStyle w:val="Footer"/>
      <w:spacing w:before="120"/>
    </w:pPr>
    <w:r>
      <w:rPr>
        <w:sz w:val="20"/>
      </w:rPr>
      <w:t>GE.14-21804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021214    031214</w:t>
    </w:r>
    <w:r>
      <w:rPr>
        <w:sz w:val="20"/>
      </w:rPr>
      <w:br/>
    </w:r>
    <w:r w:rsidRPr="00E33853">
      <w:rPr>
        <w:rFonts w:ascii="C39T30Lfz" w:hAnsi="C39T30Lfz"/>
        <w:sz w:val="56"/>
      </w:rPr>
      <w:t></w:t>
    </w:r>
    <w:r w:rsidRPr="00E33853">
      <w:rPr>
        <w:rFonts w:ascii="C39T30Lfz" w:hAnsi="C39T30Lfz"/>
        <w:sz w:val="56"/>
      </w:rPr>
      <w:t></w:t>
    </w:r>
    <w:r w:rsidRPr="00E33853">
      <w:rPr>
        <w:rFonts w:ascii="C39T30Lfz" w:hAnsi="C39T30Lfz"/>
        <w:sz w:val="56"/>
      </w:rPr>
      <w:t></w:t>
    </w:r>
    <w:r w:rsidRPr="00E33853">
      <w:rPr>
        <w:rFonts w:ascii="C39T30Lfz" w:hAnsi="C39T30Lfz"/>
        <w:sz w:val="56"/>
      </w:rPr>
      <w:t></w:t>
    </w:r>
    <w:r w:rsidRPr="00E33853">
      <w:rPr>
        <w:rFonts w:ascii="C39T30Lfz" w:hAnsi="C39T30Lfz"/>
        <w:sz w:val="56"/>
      </w:rPr>
      <w:t></w:t>
    </w:r>
    <w:r w:rsidRPr="00E33853">
      <w:rPr>
        <w:rFonts w:ascii="C39T30Lfz" w:hAnsi="C39T30Lfz"/>
        <w:sz w:val="56"/>
      </w:rPr>
      <w:t></w:t>
    </w:r>
    <w:r w:rsidRPr="00E33853">
      <w:rPr>
        <w:rFonts w:ascii="C39T30Lfz" w:hAnsi="C39T30Lfz"/>
        <w:sz w:val="56"/>
      </w:rPr>
      <w:t></w:t>
    </w:r>
    <w:r w:rsidRPr="00E33853">
      <w:rPr>
        <w:rFonts w:ascii="C39T30Lfz" w:hAnsi="C39T30Lfz"/>
        <w:sz w:val="56"/>
      </w:rPr>
      <w:t></w:t>
    </w:r>
    <w:r w:rsidRPr="00E33853">
      <w:rPr>
        <w:rFonts w:ascii="C39T30Lfz" w:hAnsi="C39T30Lfz"/>
        <w:sz w:val="56"/>
      </w:rPr>
      <w:t></w:t>
    </w:r>
    <w:r>
      <w:rPr>
        <w:noProof/>
        <w:lang w:val="fr-FR" w:eastAsia="fr-FR"/>
      </w:rPr>
      <w:pict>
        <v:shape id="_x0000_s2052" type="#_x0000_t75" style="position:absolute;margin-left:432.25pt;margin-top:632.1pt;width:50.25pt;height:50.25pt;z-index:2;mso-position-horizontal-relative:margin;mso-position-vertical-relative:margin">
          <v:imagedata r:id="rId2" o:title="2011&amp;Size=2&amp;Lang=F"/>
          <w10:wrap anchorx="margin" anchory="margin"/>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6A" w:rsidRPr="00D27D5E" w:rsidRDefault="00307D6A" w:rsidP="00D27D5E">
      <w:pPr>
        <w:tabs>
          <w:tab w:val="right" w:pos="2155"/>
        </w:tabs>
        <w:spacing w:after="80"/>
        <w:ind w:left="680"/>
        <w:rPr>
          <w:u w:val="single"/>
        </w:rPr>
      </w:pPr>
      <w:r>
        <w:rPr>
          <w:u w:val="single"/>
        </w:rPr>
        <w:tab/>
      </w:r>
    </w:p>
  </w:footnote>
  <w:footnote w:type="continuationSeparator" w:id="0">
    <w:p w:rsidR="00307D6A" w:rsidRPr="00A821B8" w:rsidRDefault="00307D6A" w:rsidP="00A821B8">
      <w:pPr>
        <w:tabs>
          <w:tab w:val="right" w:pos="2155"/>
        </w:tabs>
        <w:spacing w:after="80"/>
        <w:ind w:left="680"/>
        <w:rPr>
          <w:u w:val="single"/>
        </w:rPr>
      </w:pPr>
      <w:r w:rsidRPr="00A821B8">
        <w:rPr>
          <w:u w:val="single"/>
        </w:rPr>
        <w:tab/>
      </w:r>
    </w:p>
  </w:footnote>
  <w:footnote w:type="continuationNotice" w:id="1">
    <w:p w:rsidR="00307D6A" w:rsidRPr="00AE2643" w:rsidRDefault="00307D6A" w:rsidP="00AE2643">
      <w:pPr>
        <w:spacing w:line="240" w:lineRule="auto"/>
        <w:rPr>
          <w:sz w:val="2"/>
          <w:szCs w:val="2"/>
        </w:rPr>
      </w:pPr>
    </w:p>
  </w:footnote>
  <w:footnote w:id="2">
    <w:p w:rsidR="0007594A" w:rsidRPr="005B01E9" w:rsidRDefault="0007594A" w:rsidP="006B4804">
      <w:pPr>
        <w:pStyle w:val="FootnoteText"/>
        <w:rPr>
          <w:lang w:val="fr-FR"/>
        </w:rPr>
      </w:pPr>
      <w:r>
        <w:tab/>
      </w:r>
      <w:r>
        <w:rPr>
          <w:rStyle w:val="FootnoteReference"/>
        </w:rPr>
        <w:t>*</w:t>
      </w:r>
      <w:r>
        <w:tab/>
      </w:r>
      <w:r w:rsidRPr="005B01E9">
        <w:rPr>
          <w:szCs w:val="18"/>
        </w:rPr>
        <w:t xml:space="preserve">Les membres du Comité dont le nom suit ont participé </w:t>
      </w:r>
      <w:r>
        <w:rPr>
          <w:szCs w:val="18"/>
        </w:rPr>
        <w:t>à l’examen de la communication:</w:t>
      </w:r>
      <w:r>
        <w:rPr>
          <w:szCs w:val="18"/>
        </w:rPr>
        <w:br/>
        <w:t>Yadh Ben Achour, Christine Chanet, Ahmad Amin Fathalla, Cornelis Flinterman, Yuji Iwasawa, Gerald L. Neuman, Víctor Manuel Rodríguez-Rescia, Fabián Omar Salvioli, Dheerujlall B. Seetulsingh, Anja Seibert-Fohr, Yuval Shany, Konstantine Vardzelashvili, Margo Waterval et Andrei Paul Zlatescu.</w:t>
      </w:r>
    </w:p>
  </w:footnote>
  <w:footnote w:id="3">
    <w:p w:rsidR="0007594A" w:rsidRDefault="0007594A" w:rsidP="00732A91">
      <w:pPr>
        <w:pStyle w:val="FootnoteText"/>
      </w:pPr>
      <w:r>
        <w:tab/>
      </w:r>
      <w:r>
        <w:rPr>
          <w:rStyle w:val="FootnoteReference"/>
        </w:rPr>
        <w:footnoteRef/>
      </w:r>
      <w:r>
        <w:tab/>
        <w:t>Concrètement la fille du Directeur de l’Institut national de la statistique.</w:t>
      </w:r>
    </w:p>
  </w:footnote>
  <w:footnote w:id="4">
    <w:p w:rsidR="0007594A" w:rsidRDefault="0007594A" w:rsidP="00732A91">
      <w:pPr>
        <w:pStyle w:val="FootnoteText"/>
      </w:pPr>
      <w:r>
        <w:tab/>
      </w:r>
      <w:r>
        <w:rPr>
          <w:rStyle w:val="FootnoteReference"/>
        </w:rPr>
        <w:footnoteRef/>
      </w:r>
      <w:r>
        <w:tab/>
        <w:t xml:space="preserve">Soit 140 543,37 dollars des </w:t>
      </w:r>
      <w:r w:rsidRPr="005F0918">
        <w:rPr>
          <w:rFonts w:eastAsia="MS Mincho"/>
        </w:rPr>
        <w:t>États</w:t>
      </w:r>
      <w:r>
        <w:rPr>
          <w:rFonts w:eastAsia="MS Mincho"/>
        </w:rPr>
        <w:t>-</w:t>
      </w:r>
      <w:r w:rsidRPr="005F0918">
        <w:rPr>
          <w:rFonts w:eastAsia="MS Mincho"/>
        </w:rPr>
        <w:t xml:space="preserve">Unis </w:t>
      </w:r>
      <w:r>
        <w:rPr>
          <w:rFonts w:eastAsia="MS Mincho"/>
        </w:rPr>
        <w:t>au cours du jour où la demande a été présentée.</w:t>
      </w:r>
    </w:p>
  </w:footnote>
  <w:footnote w:id="5">
    <w:p w:rsidR="0007594A" w:rsidRDefault="0007594A" w:rsidP="00732A91">
      <w:pPr>
        <w:pStyle w:val="FootnoteText"/>
      </w:pPr>
      <w:r>
        <w:tab/>
      </w:r>
      <w:r>
        <w:rPr>
          <w:rStyle w:val="FootnoteReference"/>
        </w:rPr>
        <w:footnoteRef/>
      </w:r>
      <w:r>
        <w:tab/>
        <w:t>Selon les renseignements communiqués, le magistrat s’est déporté le 14 juillet 2004.</w:t>
      </w:r>
    </w:p>
  </w:footnote>
  <w:footnote w:id="6">
    <w:p w:rsidR="0007594A" w:rsidRPr="00C1454B" w:rsidRDefault="0007594A" w:rsidP="00732A91">
      <w:pPr>
        <w:pStyle w:val="FootnoteText"/>
      </w:pPr>
      <w:r>
        <w:tab/>
      </w:r>
      <w:r>
        <w:rPr>
          <w:rStyle w:val="FootnoteReference"/>
        </w:rPr>
        <w:footnoteRef/>
      </w:r>
      <w:r>
        <w:tab/>
        <w:t>Code de procédure civile de la République bolivarienne du Venezuela, art. 82: «Les fonctionnaires de l’ordre judiciaire, qu’il s’agisse des tribunaux ordinaires</w:t>
      </w:r>
      <w:r w:rsidR="000A0511">
        <w:t>,</w:t>
      </w:r>
      <w:r>
        <w:t xml:space="preserve"> provisoires ou spéciaux, y compris en matière gracieuse, peuvent être récusés pour l’un ou l’autre des motifs ci</w:t>
      </w:r>
      <w:r>
        <w:noBreakHyphen/>
        <w:t>après: […] 18. Inimitié entre le magistrat récusé et l’une ou l’autre des parties au litige, démontrée par des faits qui, dûment appréciés, conduisent à mettre en doute l’impartialité du magistrat récusé.».</w:t>
      </w:r>
    </w:p>
  </w:footnote>
  <w:footnote w:id="7">
    <w:p w:rsidR="0007594A" w:rsidRDefault="0007594A" w:rsidP="00732A91">
      <w:pPr>
        <w:pStyle w:val="FootnoteText"/>
      </w:pPr>
      <w:r>
        <w:tab/>
      </w:r>
      <w:r>
        <w:rPr>
          <w:rStyle w:val="FootnoteReference"/>
        </w:rPr>
        <w:footnoteRef/>
      </w:r>
      <w:r>
        <w:tab/>
        <w:t>L’auteur joint une copie du numéro du Journal officiel dans lequel la nomination du haut fonctionnaire a été publiée et un document du conseil d’administration de l’entreprise sur lequel figure le nom de la fille de l’intéressé.</w:t>
      </w:r>
    </w:p>
  </w:footnote>
  <w:footnote w:id="8">
    <w:p w:rsidR="0007594A" w:rsidRPr="000801A4" w:rsidRDefault="0007594A" w:rsidP="00732A91">
      <w:pPr>
        <w:pStyle w:val="FootnoteText"/>
      </w:pPr>
      <w:r>
        <w:tab/>
      </w:r>
      <w:r>
        <w:rPr>
          <w:rStyle w:val="FootnoteReference"/>
        </w:rPr>
        <w:footnoteRef/>
      </w:r>
      <w:r>
        <w:tab/>
      </w:r>
      <w:r w:rsidRPr="000801A4">
        <w:rPr>
          <w:spacing w:val="-1"/>
        </w:rPr>
        <w:t xml:space="preserve">Loi </w:t>
      </w:r>
      <w:r>
        <w:rPr>
          <w:spacing w:val="-1"/>
        </w:rPr>
        <w:t xml:space="preserve">relative à </w:t>
      </w:r>
      <w:r w:rsidRPr="000801A4">
        <w:rPr>
          <w:spacing w:val="-1"/>
        </w:rPr>
        <w:t xml:space="preserve">la procédure </w:t>
      </w:r>
      <w:r>
        <w:t>prud’homale</w:t>
      </w:r>
      <w:r w:rsidRPr="000801A4">
        <w:rPr>
          <w:spacing w:val="-1"/>
        </w:rPr>
        <w:t>, chap. II: Régime de procédure transitoire, affaires jugées en première instance, art. 197: «Les règles ci-après s</w:t>
      </w:r>
      <w:r>
        <w:rPr>
          <w:spacing w:val="-1"/>
        </w:rPr>
        <w:t>’</w:t>
      </w:r>
      <w:r w:rsidRPr="000801A4">
        <w:rPr>
          <w:spacing w:val="-1"/>
        </w:rPr>
        <w:t>appliqueront aux affaires jugées en</w:t>
      </w:r>
      <w:r>
        <w:rPr>
          <w:spacing w:val="-1"/>
        </w:rPr>
        <w:t> </w:t>
      </w:r>
      <w:r w:rsidRPr="000801A4">
        <w:rPr>
          <w:spacing w:val="-1"/>
        </w:rPr>
        <w:t xml:space="preserve">première instance conformément à la loi organique sur les tribunaux et la procédure de règlement des conflits du travail abrogée par la présente loi: </w:t>
      </w:r>
      <w:r>
        <w:rPr>
          <w:spacing w:val="-1"/>
        </w:rPr>
        <w:t xml:space="preserve">[…] </w:t>
      </w:r>
      <w:r w:rsidRPr="000801A4">
        <w:rPr>
          <w:spacing w:val="-1"/>
        </w:rPr>
        <w:t xml:space="preserve">4. Pour les affaires en </w:t>
      </w:r>
      <w:r>
        <w:rPr>
          <w:spacing w:val="-1"/>
        </w:rPr>
        <w:t>état d’être jugées</w:t>
      </w:r>
      <w:r w:rsidRPr="000801A4">
        <w:rPr>
          <w:spacing w:val="-1"/>
        </w:rPr>
        <w:t>, la décision</w:t>
      </w:r>
      <w:r w:rsidRPr="000801A4">
        <w:t xml:space="preserve"> sera rendue dans un délai de trente </w:t>
      </w:r>
      <w:r>
        <w:t xml:space="preserve">(30) </w:t>
      </w:r>
      <w:r w:rsidRPr="000801A4">
        <w:t>jours à compter de l</w:t>
      </w:r>
      <w:r>
        <w:t>’</w:t>
      </w:r>
      <w:r w:rsidRPr="000801A4">
        <w:t>entrée en vigueur de la présente loi.».</w:t>
      </w:r>
    </w:p>
  </w:footnote>
  <w:footnote w:id="9">
    <w:p w:rsidR="0007594A" w:rsidRDefault="0007594A" w:rsidP="00732A91">
      <w:pPr>
        <w:pStyle w:val="FootnoteText"/>
      </w:pPr>
      <w:r>
        <w:tab/>
      </w:r>
      <w:r>
        <w:rPr>
          <w:rStyle w:val="FootnoteReference"/>
        </w:rPr>
        <w:footnoteRef/>
      </w:r>
      <w:r>
        <w:tab/>
        <w:t>Constitution de la République bolivarienne du Venezuela du 24 mars 2000: art. 49 «Le principe du respect de la légalité s’appliquera à toutes les procédures judiciaires et administratives.», art. 51 «Chacun a le droit de présenter, directement ou indirectement, des pétitions à toute autorité ou</w:t>
      </w:r>
      <w:r w:rsidR="00545B92">
        <w:t xml:space="preserve"> tout agent de</w:t>
      </w:r>
      <w:r>
        <w:t xml:space="preserve"> la fonction publique sur les affaires qui sont de leur compétence et d’obtenir une réponse satisfaisante et en temps opportun. Quiconque porte atteinte à ce droit sera puni conformément à la loi et pourra être démis de sa charge.», art. 92 «Tous les travailleurs et travailleuses ont droit à des indemnités compensatrices pour ancienneté, qui sont un moyen de protection en cas de rupture du contrat. Le salaire et les indemnités doivent être versés immédiatement.».</w:t>
      </w:r>
    </w:p>
  </w:footnote>
  <w:footnote w:id="10">
    <w:p w:rsidR="0007594A" w:rsidRDefault="0007594A" w:rsidP="00732A91">
      <w:pPr>
        <w:pStyle w:val="FootnoteText"/>
      </w:pPr>
      <w:r>
        <w:tab/>
      </w:r>
      <w:r>
        <w:rPr>
          <w:rStyle w:val="FootnoteReference"/>
        </w:rPr>
        <w:footnoteRef/>
      </w:r>
      <w:r>
        <w:tab/>
        <w:t xml:space="preserve">Soit environ 5 000 dollars des </w:t>
      </w:r>
      <w:r w:rsidRPr="005F0918">
        <w:rPr>
          <w:rFonts w:eastAsia="MS Mincho"/>
        </w:rPr>
        <w:t>États</w:t>
      </w:r>
      <w:r>
        <w:rPr>
          <w:rFonts w:eastAsia="MS Mincho"/>
        </w:rPr>
        <w:t>-Unis, selon le cours à la date de la communication initiale.</w:t>
      </w:r>
    </w:p>
  </w:footnote>
  <w:footnote w:id="11">
    <w:p w:rsidR="0007594A" w:rsidRDefault="0007594A" w:rsidP="00732A91">
      <w:pPr>
        <w:pStyle w:val="FootnoteText"/>
      </w:pPr>
      <w:r>
        <w:tab/>
      </w:r>
      <w:r>
        <w:rPr>
          <w:rStyle w:val="FootnoteReference"/>
        </w:rPr>
        <w:footnoteRef/>
      </w:r>
      <w:r>
        <w:tab/>
        <w:t>Loi portant organisation du Tribunal suprême, 2010, art. 59: «Lorsque la récusation ou le dessaisissement sont acceptés, il sera procédé à la constitution d’une chambre temporaire à laquelle viendront s’ajouter les magistrats suppléants appelés à occuper les sièges vacants.».</w:t>
      </w:r>
    </w:p>
  </w:footnote>
  <w:footnote w:id="12">
    <w:p w:rsidR="0007594A" w:rsidRDefault="0007594A" w:rsidP="00732A91">
      <w:pPr>
        <w:pStyle w:val="FootnoteText"/>
      </w:pPr>
      <w:r>
        <w:tab/>
      </w:r>
      <w:r>
        <w:rPr>
          <w:rStyle w:val="FootnoteReference"/>
        </w:rPr>
        <w:footnoteRef/>
      </w:r>
      <w:r>
        <w:tab/>
        <w:t>Chap. V. De la procédure en deuxième instance, art. 163: «Le cinquième (5</w:t>
      </w:r>
      <w:r w:rsidRPr="00444343">
        <w:rPr>
          <w:vertAlign w:val="superscript"/>
        </w:rPr>
        <w:t>e</w:t>
      </w:r>
      <w:r w:rsidRPr="00444343">
        <w:t>)</w:t>
      </w:r>
      <w:r>
        <w:t xml:space="preserve"> jour ouvrable suivant la réception du dossier, le Tribunal prud’homal supérieur compétent fixera, dans un acte précis, le jour et l’heure de l’audience, laquelle devra se tenir dans un délai qui ne pourra pas excéder quinze (15) jours ouvrables à compter de la date à laquelle la décision aura été prise.». </w:t>
      </w:r>
    </w:p>
  </w:footnote>
  <w:footnote w:id="13">
    <w:p w:rsidR="0007594A" w:rsidRPr="00F53A07" w:rsidRDefault="0007594A" w:rsidP="00732A91">
      <w:pPr>
        <w:pStyle w:val="FootnoteText"/>
      </w:pPr>
      <w:r w:rsidRPr="00F53A07">
        <w:tab/>
      </w:r>
      <w:r w:rsidRPr="00F53A07">
        <w:rPr>
          <w:rStyle w:val="FootnoteReference"/>
        </w:rPr>
        <w:footnoteRef/>
      </w:r>
      <w:r w:rsidRPr="00F53A07">
        <w:tab/>
        <w:t>L</w:t>
      </w:r>
      <w:r>
        <w:t>’</w:t>
      </w:r>
      <w:r w:rsidRPr="00F53A07">
        <w:t>auteur ne donne pas d</w:t>
      </w:r>
      <w:r>
        <w:t>’</w:t>
      </w:r>
      <w:r w:rsidRPr="00F53A07">
        <w:t xml:space="preserve">indication sur les motifs de </w:t>
      </w:r>
      <w:r w:rsidRPr="00545B92">
        <w:t>dessaisissement</w:t>
      </w:r>
      <w:r w:rsidRPr="00F53A07">
        <w:t>.</w:t>
      </w:r>
    </w:p>
  </w:footnote>
  <w:footnote w:id="14">
    <w:p w:rsidR="0007594A" w:rsidRPr="00F53A07" w:rsidRDefault="0007594A" w:rsidP="00732A91">
      <w:pPr>
        <w:pStyle w:val="FootnoteText"/>
      </w:pPr>
      <w:r w:rsidRPr="00F53A07">
        <w:tab/>
      </w:r>
      <w:r w:rsidRPr="00F53A07">
        <w:rPr>
          <w:rStyle w:val="FootnoteReference"/>
        </w:rPr>
        <w:footnoteRef/>
      </w:r>
      <w:r w:rsidRPr="00F53A07">
        <w:tab/>
        <w:t>La communication ne contient pas de plus amples renseignements sur ce point.</w:t>
      </w:r>
    </w:p>
  </w:footnote>
  <w:footnote w:id="15">
    <w:p w:rsidR="0007594A" w:rsidRPr="00F53A07" w:rsidRDefault="0007594A" w:rsidP="00732A91">
      <w:pPr>
        <w:pStyle w:val="FootnoteText"/>
      </w:pPr>
      <w:r w:rsidRPr="00F53A07">
        <w:tab/>
      </w:r>
      <w:r w:rsidRPr="00F53A07">
        <w:rPr>
          <w:rStyle w:val="FootnoteReference"/>
        </w:rPr>
        <w:footnoteRef/>
      </w:r>
      <w:r w:rsidRPr="00F53A07">
        <w:tab/>
        <w:t>L</w:t>
      </w:r>
      <w:r>
        <w:t>’</w:t>
      </w:r>
      <w:r w:rsidRPr="00F53A07">
        <w:t xml:space="preserve">auteur </w:t>
      </w:r>
      <w:r>
        <w:t>cite les</w:t>
      </w:r>
      <w:r w:rsidRPr="00F53A07">
        <w:t xml:space="preserve"> rapports du Rapporteur spécial sur l</w:t>
      </w:r>
      <w:r>
        <w:t>’</w:t>
      </w:r>
      <w:r w:rsidRPr="00F53A07">
        <w:t>indépendance des magistrats et</w:t>
      </w:r>
      <w:r>
        <w:t> </w:t>
      </w:r>
      <w:r w:rsidRPr="00F53A07">
        <w:t>des avocats, M. Leandro Despouy (E/CN.4/2004/60, par. 35</w:t>
      </w:r>
      <w:r>
        <w:t>,</w:t>
      </w:r>
      <w:r w:rsidRPr="00F53A07">
        <w:t xml:space="preserve"> et A/HRC/8/4, par. 17).</w:t>
      </w:r>
    </w:p>
  </w:footnote>
  <w:footnote w:id="16">
    <w:p w:rsidR="0007594A" w:rsidRDefault="0007594A">
      <w:pPr>
        <w:pStyle w:val="FootnoteText"/>
      </w:pPr>
      <w:r>
        <w:tab/>
      </w:r>
      <w:r>
        <w:rPr>
          <w:rStyle w:val="FootnoteReference"/>
        </w:rPr>
        <w:footnoteRef/>
      </w:r>
      <w:r>
        <w:tab/>
        <w:t xml:space="preserve">Voir par exemple les communications </w:t>
      </w:r>
      <w:r w:rsidRPr="00C14D2A">
        <w:t>n</w:t>
      </w:r>
      <w:r w:rsidRPr="00C14D2A">
        <w:rPr>
          <w:vertAlign w:val="superscript"/>
        </w:rPr>
        <w:t>o</w:t>
      </w:r>
      <w:r>
        <w:t xml:space="preserve"> 1887/2009, </w:t>
      </w:r>
      <w:r w:rsidRPr="005867C2">
        <w:rPr>
          <w:i/>
        </w:rPr>
        <w:t>Peirano Basso</w:t>
      </w:r>
      <w:r>
        <w:t xml:space="preserve"> c. </w:t>
      </w:r>
      <w:r w:rsidRPr="005867C2">
        <w:rPr>
          <w:i/>
        </w:rPr>
        <w:t>Uruguay</w:t>
      </w:r>
      <w:r>
        <w:t xml:space="preserve">, constatations adoptées le 19 octobre 2010, par. 9.4, et </w:t>
      </w:r>
      <w:r w:rsidRPr="00C14D2A">
        <w:t>n</w:t>
      </w:r>
      <w:r w:rsidRPr="00C14D2A">
        <w:rPr>
          <w:vertAlign w:val="superscript"/>
        </w:rPr>
        <w:t>o</w:t>
      </w:r>
      <w:r>
        <w:t xml:space="preserve"> 802/1998, </w:t>
      </w:r>
      <w:r w:rsidRPr="005867C2">
        <w:rPr>
          <w:i/>
        </w:rPr>
        <w:t>Rogerson</w:t>
      </w:r>
      <w:r>
        <w:t xml:space="preserve"> c. </w:t>
      </w:r>
      <w:r w:rsidRPr="005867C2">
        <w:rPr>
          <w:i/>
        </w:rPr>
        <w:t>Australie</w:t>
      </w:r>
      <w:r>
        <w:t>, constatations adoptées le 3 avril 2002, par. 7.9.</w:t>
      </w:r>
    </w:p>
  </w:footnote>
  <w:footnote w:id="17">
    <w:p w:rsidR="0007594A" w:rsidRDefault="0007594A" w:rsidP="00732A91">
      <w:pPr>
        <w:pStyle w:val="FootnoteText"/>
      </w:pPr>
      <w:r>
        <w:tab/>
      </w:r>
      <w:r>
        <w:rPr>
          <w:rStyle w:val="FootnoteReference"/>
        </w:rPr>
        <w:footnoteRef/>
      </w:r>
      <w:r>
        <w:tab/>
      </w:r>
      <w:r w:rsidRPr="00C814FF">
        <w:rPr>
          <w:spacing w:val="-1"/>
        </w:rPr>
        <w:t>Voir l</w:t>
      </w:r>
      <w:r>
        <w:rPr>
          <w:spacing w:val="-1"/>
        </w:rPr>
        <w:t>’</w:t>
      </w:r>
      <w:r w:rsidRPr="00C814FF">
        <w:rPr>
          <w:spacing w:val="-1"/>
        </w:rPr>
        <w:t xml:space="preserve">Observation générale </w:t>
      </w:r>
      <w:r w:rsidRPr="00C814FF">
        <w:rPr>
          <w:rFonts w:eastAsia="MS Mincho"/>
          <w:spacing w:val="-1"/>
        </w:rPr>
        <w:t>n</w:t>
      </w:r>
      <w:r w:rsidRPr="00C814FF">
        <w:rPr>
          <w:rFonts w:eastAsia="MS Mincho"/>
          <w:spacing w:val="-1"/>
          <w:vertAlign w:val="superscript"/>
        </w:rPr>
        <w:t>o</w:t>
      </w:r>
      <w:r w:rsidRPr="00C814FF">
        <w:rPr>
          <w:spacing w:val="-1"/>
        </w:rPr>
        <w:t> 32 (2007) du Comité concernant le droit à l</w:t>
      </w:r>
      <w:r>
        <w:rPr>
          <w:spacing w:val="-1"/>
        </w:rPr>
        <w:t>’</w:t>
      </w:r>
      <w:r w:rsidRPr="00C814FF">
        <w:rPr>
          <w:spacing w:val="-1"/>
        </w:rPr>
        <w:t>égalité devant les tribunaux et les cours de justice et à un procès équitable (</w:t>
      </w:r>
      <w:r w:rsidRPr="00C814FF">
        <w:rPr>
          <w:i/>
          <w:spacing w:val="-1"/>
        </w:rPr>
        <w:t>Documents officiels de l</w:t>
      </w:r>
      <w:r>
        <w:rPr>
          <w:i/>
          <w:spacing w:val="-1"/>
        </w:rPr>
        <w:t>’</w:t>
      </w:r>
      <w:r w:rsidRPr="00C814FF">
        <w:rPr>
          <w:i/>
          <w:spacing w:val="-1"/>
        </w:rPr>
        <w:t>Assemblée générale, soixante</w:t>
      </w:r>
      <w:r>
        <w:rPr>
          <w:i/>
          <w:spacing w:val="-1"/>
        </w:rPr>
        <w:noBreakHyphen/>
      </w:r>
      <w:r w:rsidRPr="00C814FF">
        <w:rPr>
          <w:i/>
          <w:spacing w:val="-1"/>
        </w:rPr>
        <w:t xml:space="preserve">deuxième session, Supplément </w:t>
      </w:r>
      <w:r w:rsidRPr="00C814FF">
        <w:rPr>
          <w:rFonts w:eastAsia="MS Mincho"/>
          <w:i/>
          <w:spacing w:val="-1"/>
        </w:rPr>
        <w:t>n</w:t>
      </w:r>
      <w:r w:rsidRPr="00C814FF">
        <w:rPr>
          <w:rFonts w:eastAsia="MS Mincho"/>
          <w:i/>
          <w:spacing w:val="-1"/>
          <w:vertAlign w:val="superscript"/>
        </w:rPr>
        <w:t>o</w:t>
      </w:r>
      <w:r w:rsidRPr="00C814FF">
        <w:rPr>
          <w:i/>
          <w:spacing w:val="-1"/>
        </w:rPr>
        <w:t> 40</w:t>
      </w:r>
      <w:r w:rsidRPr="00C814FF">
        <w:rPr>
          <w:spacing w:val="-1"/>
        </w:rPr>
        <w:t xml:space="preserve">, </w:t>
      </w:r>
      <w:r>
        <w:rPr>
          <w:spacing w:val="-1"/>
        </w:rPr>
        <w:t>vol. I</w:t>
      </w:r>
      <w:r w:rsidRPr="00C814FF">
        <w:rPr>
          <w:spacing w:val="-1"/>
        </w:rPr>
        <w:t xml:space="preserve"> (A/62/40 (</w:t>
      </w:r>
      <w:r>
        <w:rPr>
          <w:spacing w:val="-1"/>
        </w:rPr>
        <w:t>v</w:t>
      </w:r>
      <w:r w:rsidRPr="00C814FF">
        <w:rPr>
          <w:spacing w:val="-1"/>
        </w:rPr>
        <w:t>ol. </w:t>
      </w:r>
      <w:r>
        <w:rPr>
          <w:spacing w:val="-1"/>
        </w:rPr>
        <w:t>I</w:t>
      </w:r>
      <w:r w:rsidRPr="00C814FF">
        <w:rPr>
          <w:spacing w:val="-1"/>
        </w:rPr>
        <w:t>)), annexe VI), par. 3.</w:t>
      </w:r>
    </w:p>
  </w:footnote>
  <w:footnote w:id="18">
    <w:p w:rsidR="0007594A" w:rsidRDefault="0007594A" w:rsidP="0007594A">
      <w:pPr>
        <w:pStyle w:val="FootnoteText"/>
      </w:pPr>
      <w:r>
        <w:tab/>
      </w:r>
      <w:r>
        <w:rPr>
          <w:rStyle w:val="FootnoteReference"/>
        </w:rPr>
        <w:footnoteRef/>
      </w:r>
      <w:r>
        <w:tab/>
        <w:t xml:space="preserve">Communication </w:t>
      </w:r>
      <w:r>
        <w:rPr>
          <w:rFonts w:eastAsia="MS Mincho"/>
        </w:rPr>
        <w:t>n</w:t>
      </w:r>
      <w:r>
        <w:rPr>
          <w:rFonts w:eastAsia="MS Mincho"/>
          <w:vertAlign w:val="superscript"/>
        </w:rPr>
        <w:t>o</w:t>
      </w:r>
      <w:r>
        <w:t> 1887/2009, par. 10.3.</w:t>
      </w:r>
    </w:p>
  </w:footnote>
  <w:footnote w:id="19">
    <w:p w:rsidR="0007594A" w:rsidRPr="00E24C1E" w:rsidRDefault="0007594A" w:rsidP="00732A91">
      <w:pPr>
        <w:pStyle w:val="FootnoteText"/>
      </w:pPr>
      <w:r>
        <w:tab/>
      </w:r>
      <w:r>
        <w:rPr>
          <w:rStyle w:val="FootnoteReference"/>
        </w:rPr>
        <w:footnoteRef/>
      </w:r>
      <w:r>
        <w:tab/>
        <w:t xml:space="preserve">Voir l’Observation générale </w:t>
      </w:r>
      <w:r>
        <w:rPr>
          <w:rFonts w:eastAsia="MS Mincho"/>
        </w:rPr>
        <w:t>n</w:t>
      </w:r>
      <w:r>
        <w:rPr>
          <w:rFonts w:eastAsia="MS Mincho"/>
          <w:vertAlign w:val="superscript"/>
        </w:rPr>
        <w:t>o</w:t>
      </w:r>
      <w:r>
        <w:t xml:space="preserve"> 32 (2007) du Comité, par. 27, et les communications </w:t>
      </w:r>
      <w:r>
        <w:rPr>
          <w:rFonts w:eastAsia="MS Mincho"/>
        </w:rPr>
        <w:t>n</w:t>
      </w:r>
      <w:r>
        <w:rPr>
          <w:rFonts w:eastAsia="MS Mincho"/>
          <w:vertAlign w:val="superscript"/>
        </w:rPr>
        <w:t>o</w:t>
      </w:r>
      <w:r>
        <w:t xml:space="preserve"> 203/1986, </w:t>
      </w:r>
      <w:r>
        <w:rPr>
          <w:i/>
        </w:rPr>
        <w:t xml:space="preserve">Muñoz Hermoza </w:t>
      </w:r>
      <w:r>
        <w:t>c. </w:t>
      </w:r>
      <w:r>
        <w:rPr>
          <w:i/>
        </w:rPr>
        <w:t>Pérou</w:t>
      </w:r>
      <w:r>
        <w:t xml:space="preserve">, 4 novembre 1998, par. 11.3, et </w:t>
      </w:r>
      <w:r>
        <w:rPr>
          <w:rFonts w:eastAsia="MS Mincho"/>
        </w:rPr>
        <w:t>n</w:t>
      </w:r>
      <w:r>
        <w:rPr>
          <w:rFonts w:eastAsia="MS Mincho"/>
          <w:vertAlign w:val="superscript"/>
        </w:rPr>
        <w:t>o</w:t>
      </w:r>
      <w:r>
        <w:t xml:space="preserve"> 514/1992, </w:t>
      </w:r>
      <w:r>
        <w:rPr>
          <w:i/>
        </w:rPr>
        <w:t xml:space="preserve">Fei </w:t>
      </w:r>
      <w:r>
        <w:t>c. </w:t>
      </w:r>
      <w:r>
        <w:rPr>
          <w:i/>
        </w:rPr>
        <w:t>Colombie</w:t>
      </w:r>
      <w:r>
        <w:t>, 4 avril 1995, par.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4A" w:rsidRPr="00E33853" w:rsidRDefault="0007594A">
    <w:pPr>
      <w:pStyle w:val="Header"/>
    </w:pPr>
    <w:r>
      <w:t>CCPR/C/112/D/2085/2011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4A" w:rsidRPr="00E33853" w:rsidRDefault="0007594A" w:rsidP="00E33853">
    <w:pPr>
      <w:pStyle w:val="Header"/>
      <w:jc w:val="right"/>
    </w:pPr>
    <w:r>
      <w:t>CCPR/C/112/D/2085/2011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7"/>
  </w:num>
  <w:num w:numId="3">
    <w:abstractNumId w:val="8"/>
  </w:num>
  <w:num w:numId="4">
    <w:abstractNumId w:val="7"/>
  </w:num>
  <w:num w:numId="5">
    <w:abstractNumId w:val="8"/>
  </w:num>
  <w:num w:numId="6">
    <w:abstractNumId w:val="7"/>
  </w:num>
  <w:num w:numId="7">
    <w:abstractNumId w:val="4"/>
  </w:num>
  <w:num w:numId="8">
    <w:abstractNumId w:val="3"/>
  </w:num>
  <w:num w:numId="9">
    <w:abstractNumId w:val="2"/>
  </w:num>
  <w:num w:numId="10">
    <w:abstractNumId w:val="1"/>
  </w:num>
  <w:num w:numId="11">
    <w:abstractNumId w:val="0"/>
  </w:num>
  <w:num w:numId="12">
    <w:abstractNumId w:val="5"/>
  </w:num>
  <w:num w:numId="13">
    <w:abstractNumId w:val="8"/>
  </w:num>
  <w:num w:numId="14">
    <w:abstractNumId w:val="7"/>
  </w:num>
  <w:num w:numId="15">
    <w:abstractNumId w:val="6"/>
  </w:num>
  <w:num w:numId="16">
    <w:abstractNumId w:val="8"/>
  </w:num>
  <w:num w:numId="17">
    <w:abstractNumId w:val="7"/>
  </w:num>
  <w:num w:numId="18">
    <w:abstractNumId w:val="6"/>
  </w:num>
  <w:num w:numId="19">
    <w:abstractNumId w:val="8"/>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proofState w:spelling="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5A38"/>
    <w:rsid w:val="00016AC5"/>
    <w:rsid w:val="00051BAD"/>
    <w:rsid w:val="00054EE9"/>
    <w:rsid w:val="00065ECB"/>
    <w:rsid w:val="0007545B"/>
    <w:rsid w:val="0007594A"/>
    <w:rsid w:val="00076BD0"/>
    <w:rsid w:val="000A0511"/>
    <w:rsid w:val="000C461C"/>
    <w:rsid w:val="000D680E"/>
    <w:rsid w:val="000F41F2"/>
    <w:rsid w:val="0010040D"/>
    <w:rsid w:val="00103C1A"/>
    <w:rsid w:val="00124721"/>
    <w:rsid w:val="00143AF1"/>
    <w:rsid w:val="00160540"/>
    <w:rsid w:val="00166CEF"/>
    <w:rsid w:val="00192EEB"/>
    <w:rsid w:val="001A20FB"/>
    <w:rsid w:val="001A51A8"/>
    <w:rsid w:val="001A723B"/>
    <w:rsid w:val="001C53E1"/>
    <w:rsid w:val="001E3FEB"/>
    <w:rsid w:val="001E4A02"/>
    <w:rsid w:val="001F4675"/>
    <w:rsid w:val="0023102D"/>
    <w:rsid w:val="00233846"/>
    <w:rsid w:val="002659F1"/>
    <w:rsid w:val="00287E79"/>
    <w:rsid w:val="002928F9"/>
    <w:rsid w:val="002A5D07"/>
    <w:rsid w:val="002A7B15"/>
    <w:rsid w:val="002E6F8C"/>
    <w:rsid w:val="003016B7"/>
    <w:rsid w:val="00307D6A"/>
    <w:rsid w:val="00314B6E"/>
    <w:rsid w:val="003229D8"/>
    <w:rsid w:val="0034214E"/>
    <w:rsid w:val="003515AA"/>
    <w:rsid w:val="0036726B"/>
    <w:rsid w:val="00367680"/>
    <w:rsid w:val="00374106"/>
    <w:rsid w:val="003976D5"/>
    <w:rsid w:val="003A14F1"/>
    <w:rsid w:val="003B4CBD"/>
    <w:rsid w:val="003B6A72"/>
    <w:rsid w:val="003C6783"/>
    <w:rsid w:val="003C77CF"/>
    <w:rsid w:val="003D6C68"/>
    <w:rsid w:val="003E5291"/>
    <w:rsid w:val="003F2D41"/>
    <w:rsid w:val="003F3055"/>
    <w:rsid w:val="00414794"/>
    <w:rsid w:val="004159D0"/>
    <w:rsid w:val="004460A3"/>
    <w:rsid w:val="00455974"/>
    <w:rsid w:val="00457435"/>
    <w:rsid w:val="00481EC5"/>
    <w:rsid w:val="00497C34"/>
    <w:rsid w:val="004B2AA3"/>
    <w:rsid w:val="004E6FFF"/>
    <w:rsid w:val="004E705D"/>
    <w:rsid w:val="004F2C80"/>
    <w:rsid w:val="00517675"/>
    <w:rsid w:val="00526AAA"/>
    <w:rsid w:val="00545B92"/>
    <w:rsid w:val="00571F41"/>
    <w:rsid w:val="00572B3F"/>
    <w:rsid w:val="005753C4"/>
    <w:rsid w:val="005757D2"/>
    <w:rsid w:val="005867C2"/>
    <w:rsid w:val="005A0AF5"/>
    <w:rsid w:val="005A0EF0"/>
    <w:rsid w:val="005A3ACA"/>
    <w:rsid w:val="005B01E9"/>
    <w:rsid w:val="005D29C8"/>
    <w:rsid w:val="005E5D1F"/>
    <w:rsid w:val="005F3366"/>
    <w:rsid w:val="00612D48"/>
    <w:rsid w:val="00616B45"/>
    <w:rsid w:val="006312C9"/>
    <w:rsid w:val="00631953"/>
    <w:rsid w:val="00642728"/>
    <w:rsid w:val="006439EC"/>
    <w:rsid w:val="00644659"/>
    <w:rsid w:val="00650E01"/>
    <w:rsid w:val="00663CB6"/>
    <w:rsid w:val="00675ACB"/>
    <w:rsid w:val="00676F17"/>
    <w:rsid w:val="006923B4"/>
    <w:rsid w:val="006959F5"/>
    <w:rsid w:val="006B1379"/>
    <w:rsid w:val="006B4590"/>
    <w:rsid w:val="006B4804"/>
    <w:rsid w:val="006C340C"/>
    <w:rsid w:val="006D4E6F"/>
    <w:rsid w:val="006D69DF"/>
    <w:rsid w:val="0070347C"/>
    <w:rsid w:val="00732A91"/>
    <w:rsid w:val="00735076"/>
    <w:rsid w:val="00757D82"/>
    <w:rsid w:val="0076401E"/>
    <w:rsid w:val="007829EA"/>
    <w:rsid w:val="007A6548"/>
    <w:rsid w:val="007B0586"/>
    <w:rsid w:val="007C59BA"/>
    <w:rsid w:val="007D66A3"/>
    <w:rsid w:val="00804237"/>
    <w:rsid w:val="00817A26"/>
    <w:rsid w:val="008433B5"/>
    <w:rsid w:val="00844750"/>
    <w:rsid w:val="00862CCC"/>
    <w:rsid w:val="00880372"/>
    <w:rsid w:val="00882085"/>
    <w:rsid w:val="00886128"/>
    <w:rsid w:val="00886D12"/>
    <w:rsid w:val="008B660C"/>
    <w:rsid w:val="008B7F10"/>
    <w:rsid w:val="008E1B41"/>
    <w:rsid w:val="008E7FAE"/>
    <w:rsid w:val="009033FB"/>
    <w:rsid w:val="00911BF7"/>
    <w:rsid w:val="00924591"/>
    <w:rsid w:val="0092636E"/>
    <w:rsid w:val="0093109B"/>
    <w:rsid w:val="0093700C"/>
    <w:rsid w:val="00950DD3"/>
    <w:rsid w:val="009717AD"/>
    <w:rsid w:val="00977EC8"/>
    <w:rsid w:val="009C3909"/>
    <w:rsid w:val="009C3C3A"/>
    <w:rsid w:val="009D3A8C"/>
    <w:rsid w:val="009E7956"/>
    <w:rsid w:val="009F7F79"/>
    <w:rsid w:val="00A23B55"/>
    <w:rsid w:val="00A2492E"/>
    <w:rsid w:val="00A73631"/>
    <w:rsid w:val="00A821B8"/>
    <w:rsid w:val="00A85799"/>
    <w:rsid w:val="00AC2A67"/>
    <w:rsid w:val="00AC7977"/>
    <w:rsid w:val="00AD41FE"/>
    <w:rsid w:val="00AE2643"/>
    <w:rsid w:val="00AE352C"/>
    <w:rsid w:val="00B00515"/>
    <w:rsid w:val="00B0649A"/>
    <w:rsid w:val="00B13028"/>
    <w:rsid w:val="00B13A3D"/>
    <w:rsid w:val="00B16B0E"/>
    <w:rsid w:val="00B22B0B"/>
    <w:rsid w:val="00B32E2D"/>
    <w:rsid w:val="00B37D92"/>
    <w:rsid w:val="00B510C0"/>
    <w:rsid w:val="00B57784"/>
    <w:rsid w:val="00B61990"/>
    <w:rsid w:val="00B955CB"/>
    <w:rsid w:val="00B95D70"/>
    <w:rsid w:val="00BA1175"/>
    <w:rsid w:val="00BA29A2"/>
    <w:rsid w:val="00BA405E"/>
    <w:rsid w:val="00BB3246"/>
    <w:rsid w:val="00BB3FF8"/>
    <w:rsid w:val="00BB46FB"/>
    <w:rsid w:val="00BB6E96"/>
    <w:rsid w:val="00BE0659"/>
    <w:rsid w:val="00BF0556"/>
    <w:rsid w:val="00C261F8"/>
    <w:rsid w:val="00C266C2"/>
    <w:rsid w:val="00CB2BAF"/>
    <w:rsid w:val="00CB6686"/>
    <w:rsid w:val="00CB6C7A"/>
    <w:rsid w:val="00CC207F"/>
    <w:rsid w:val="00CD1A71"/>
    <w:rsid w:val="00CD1FBB"/>
    <w:rsid w:val="00D0026F"/>
    <w:rsid w:val="00D016B5"/>
    <w:rsid w:val="00D034F1"/>
    <w:rsid w:val="00D14E23"/>
    <w:rsid w:val="00D20FA9"/>
    <w:rsid w:val="00D27D5E"/>
    <w:rsid w:val="00D41315"/>
    <w:rsid w:val="00D61D26"/>
    <w:rsid w:val="00D652C8"/>
    <w:rsid w:val="00D71692"/>
    <w:rsid w:val="00D77E85"/>
    <w:rsid w:val="00D80BC5"/>
    <w:rsid w:val="00D874CD"/>
    <w:rsid w:val="00D9700D"/>
    <w:rsid w:val="00DB1849"/>
    <w:rsid w:val="00DB3741"/>
    <w:rsid w:val="00DB681C"/>
    <w:rsid w:val="00DC2F07"/>
    <w:rsid w:val="00DC75BA"/>
    <w:rsid w:val="00DE6D90"/>
    <w:rsid w:val="00DF002F"/>
    <w:rsid w:val="00DF5248"/>
    <w:rsid w:val="00DF5D80"/>
    <w:rsid w:val="00E0244D"/>
    <w:rsid w:val="00E10B1F"/>
    <w:rsid w:val="00E24896"/>
    <w:rsid w:val="00E33853"/>
    <w:rsid w:val="00E5485D"/>
    <w:rsid w:val="00E66657"/>
    <w:rsid w:val="00E81E94"/>
    <w:rsid w:val="00E82607"/>
    <w:rsid w:val="00E849E1"/>
    <w:rsid w:val="00E87DDE"/>
    <w:rsid w:val="00EA5BC9"/>
    <w:rsid w:val="00EB3164"/>
    <w:rsid w:val="00EC181F"/>
    <w:rsid w:val="00EC365B"/>
    <w:rsid w:val="00F27514"/>
    <w:rsid w:val="00F51820"/>
    <w:rsid w:val="00FA5A79"/>
    <w:rsid w:val="00FB0BFE"/>
    <w:rsid w:val="00FB33B3"/>
    <w:rsid w:val="00FB4C51"/>
    <w:rsid w:val="00FB4F81"/>
    <w:rsid w:val="00FB6A89"/>
    <w:rsid w:val="00FB7502"/>
    <w:rsid w:val="00FD13A9"/>
    <w:rsid w:val="00FD511F"/>
    <w:rsid w:val="00FE1C57"/>
    <w:rsid w:val="00FE6EB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40D"/>
    <w:pPr>
      <w:suppressAutoHyphens/>
      <w:spacing w:line="240" w:lineRule="atLeast"/>
    </w:pPr>
    <w:rPr>
      <w:lang w:val="fr-CH"/>
    </w:rPr>
  </w:style>
  <w:style w:type="paragraph" w:styleId="Heading1">
    <w:name w:val="heading 1"/>
    <w:aliases w:val="Table_G"/>
    <w:basedOn w:val="SingleTxtG"/>
    <w:next w:val="SingleTxtG"/>
    <w:qFormat/>
    <w:rsid w:val="0010040D"/>
    <w:pPr>
      <w:keepNext/>
      <w:keepLines/>
      <w:spacing w:after="0" w:line="240" w:lineRule="auto"/>
      <w:ind w:right="0"/>
      <w:jc w:val="left"/>
      <w:outlineLvl w:val="0"/>
    </w:pPr>
  </w:style>
  <w:style w:type="paragraph" w:styleId="Heading2">
    <w:name w:val="heading 2"/>
    <w:basedOn w:val="Normal"/>
    <w:next w:val="Normal"/>
    <w:qFormat/>
    <w:rsid w:val="0010040D"/>
    <w:pPr>
      <w:outlineLvl w:val="1"/>
    </w:pPr>
  </w:style>
  <w:style w:type="paragraph" w:styleId="Heading3">
    <w:name w:val="heading 3"/>
    <w:basedOn w:val="Normal"/>
    <w:next w:val="Normal"/>
    <w:qFormat/>
    <w:rsid w:val="0010040D"/>
    <w:pPr>
      <w:outlineLvl w:val="2"/>
    </w:pPr>
  </w:style>
  <w:style w:type="paragraph" w:styleId="Heading4">
    <w:name w:val="heading 4"/>
    <w:basedOn w:val="Normal"/>
    <w:next w:val="Normal"/>
    <w:qFormat/>
    <w:rsid w:val="0010040D"/>
    <w:pPr>
      <w:outlineLvl w:val="3"/>
    </w:pPr>
  </w:style>
  <w:style w:type="paragraph" w:styleId="Heading5">
    <w:name w:val="heading 5"/>
    <w:basedOn w:val="Normal"/>
    <w:next w:val="Normal"/>
    <w:qFormat/>
    <w:rsid w:val="0010040D"/>
    <w:pPr>
      <w:outlineLvl w:val="4"/>
    </w:pPr>
  </w:style>
  <w:style w:type="paragraph" w:styleId="Heading6">
    <w:name w:val="heading 6"/>
    <w:basedOn w:val="Normal"/>
    <w:next w:val="Normal"/>
    <w:qFormat/>
    <w:rsid w:val="0010040D"/>
    <w:pPr>
      <w:outlineLvl w:val="5"/>
    </w:pPr>
  </w:style>
  <w:style w:type="paragraph" w:styleId="Heading7">
    <w:name w:val="heading 7"/>
    <w:basedOn w:val="Normal"/>
    <w:next w:val="Normal"/>
    <w:qFormat/>
    <w:rsid w:val="0010040D"/>
    <w:pPr>
      <w:outlineLvl w:val="6"/>
    </w:pPr>
  </w:style>
  <w:style w:type="paragraph" w:styleId="Heading8">
    <w:name w:val="heading 8"/>
    <w:basedOn w:val="Normal"/>
    <w:next w:val="Normal"/>
    <w:qFormat/>
    <w:rsid w:val="0010040D"/>
    <w:pPr>
      <w:outlineLvl w:val="7"/>
    </w:pPr>
  </w:style>
  <w:style w:type="paragraph" w:styleId="Heading9">
    <w:name w:val="heading 9"/>
    <w:basedOn w:val="Normal"/>
    <w:next w:val="Normal"/>
    <w:qFormat/>
    <w:rsid w:val="0010040D"/>
    <w:pPr>
      <w:outlineLvl w:val="8"/>
    </w:pPr>
  </w:style>
  <w:style w:type="character" w:default="1" w:styleId="DefaultParagraphFont">
    <w:name w:val="Default Paragraph Font"/>
    <w:semiHidden/>
    <w:rsid w:val="0010040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0040D"/>
  </w:style>
  <w:style w:type="paragraph" w:customStyle="1" w:styleId="HMG">
    <w:name w:val="_ H __M_G"/>
    <w:basedOn w:val="Normal"/>
    <w:next w:val="Normal"/>
    <w:rsid w:val="001004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004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004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004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004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004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0040D"/>
    <w:pPr>
      <w:spacing w:after="120"/>
      <w:ind w:left="1134" w:right="1134"/>
      <w:jc w:val="both"/>
    </w:pPr>
  </w:style>
  <w:style w:type="paragraph" w:customStyle="1" w:styleId="SLG">
    <w:name w:val="__S_L_G"/>
    <w:basedOn w:val="Normal"/>
    <w:next w:val="Normal"/>
    <w:rsid w:val="0010040D"/>
    <w:pPr>
      <w:keepNext/>
      <w:keepLines/>
      <w:spacing w:before="240" w:after="240" w:line="580" w:lineRule="exact"/>
      <w:ind w:left="1134" w:right="1134"/>
    </w:pPr>
    <w:rPr>
      <w:b/>
      <w:sz w:val="56"/>
    </w:rPr>
  </w:style>
  <w:style w:type="paragraph" w:customStyle="1" w:styleId="SMG">
    <w:name w:val="__S_M_G"/>
    <w:basedOn w:val="Normal"/>
    <w:next w:val="Normal"/>
    <w:rsid w:val="0010040D"/>
    <w:pPr>
      <w:keepNext/>
      <w:keepLines/>
      <w:spacing w:before="240" w:after="240" w:line="420" w:lineRule="exact"/>
      <w:ind w:left="1134" w:right="1134"/>
    </w:pPr>
    <w:rPr>
      <w:b/>
      <w:sz w:val="40"/>
    </w:rPr>
  </w:style>
  <w:style w:type="paragraph" w:customStyle="1" w:styleId="SSG">
    <w:name w:val="__S_S_G"/>
    <w:basedOn w:val="Normal"/>
    <w:next w:val="Normal"/>
    <w:rsid w:val="0010040D"/>
    <w:pPr>
      <w:keepNext/>
      <w:keepLines/>
      <w:spacing w:before="240" w:after="240" w:line="300" w:lineRule="exact"/>
      <w:ind w:left="1134" w:right="1134"/>
    </w:pPr>
    <w:rPr>
      <w:b/>
      <w:sz w:val="28"/>
    </w:rPr>
  </w:style>
  <w:style w:type="paragraph" w:customStyle="1" w:styleId="XLargeG">
    <w:name w:val="__XLarge_G"/>
    <w:basedOn w:val="Normal"/>
    <w:next w:val="Normal"/>
    <w:rsid w:val="0010040D"/>
    <w:pPr>
      <w:keepNext/>
      <w:keepLines/>
      <w:spacing w:before="240" w:after="240" w:line="420" w:lineRule="exact"/>
      <w:ind w:left="1134" w:right="1134"/>
    </w:pPr>
    <w:rPr>
      <w:b/>
      <w:sz w:val="40"/>
    </w:rPr>
  </w:style>
  <w:style w:type="paragraph" w:customStyle="1" w:styleId="Bullet1G">
    <w:name w:val="_Bullet 1_G"/>
    <w:basedOn w:val="Normal"/>
    <w:rsid w:val="0010040D"/>
    <w:pPr>
      <w:numPr>
        <w:numId w:val="19"/>
      </w:numPr>
      <w:spacing w:after="120"/>
      <w:ind w:right="1134"/>
      <w:jc w:val="both"/>
    </w:pPr>
  </w:style>
  <w:style w:type="paragraph" w:customStyle="1" w:styleId="Bullet2G">
    <w:name w:val="_Bullet 2_G"/>
    <w:basedOn w:val="Normal"/>
    <w:rsid w:val="0010040D"/>
    <w:pPr>
      <w:numPr>
        <w:numId w:val="20"/>
      </w:numPr>
      <w:spacing w:after="120"/>
      <w:ind w:right="1134"/>
      <w:jc w:val="both"/>
    </w:pPr>
  </w:style>
  <w:style w:type="character" w:styleId="FootnoteReference">
    <w:name w:val="footnote reference"/>
    <w:aliases w:val="4_G,Footnote number"/>
    <w:basedOn w:val="DefaultParagraphFont"/>
    <w:rsid w:val="0010040D"/>
    <w:rPr>
      <w:rFonts w:ascii="Times New Roman" w:hAnsi="Times New Roman"/>
      <w:sz w:val="18"/>
      <w:vertAlign w:val="superscript"/>
      <w:lang w:val="fr-CH"/>
    </w:rPr>
  </w:style>
  <w:style w:type="character" w:styleId="EndnoteReference">
    <w:name w:val="endnote reference"/>
    <w:aliases w:val="1_G"/>
    <w:basedOn w:val="FootnoteReference"/>
    <w:rsid w:val="0010040D"/>
  </w:style>
  <w:style w:type="paragraph" w:styleId="FootnoteText">
    <w:name w:val="footnote text"/>
    <w:aliases w:val="5_G,Footnote Text Char Char Char Char Char,Footnote Text Char Char Char Char,Footnote reference,FA Fu,Footnote Text Char Char Char"/>
    <w:basedOn w:val="Normal"/>
    <w:rsid w:val="0010040D"/>
    <w:pPr>
      <w:tabs>
        <w:tab w:val="right" w:pos="1021"/>
      </w:tabs>
      <w:spacing w:line="220" w:lineRule="exact"/>
      <w:ind w:left="1134" w:right="1134" w:hanging="1134"/>
    </w:pPr>
    <w:rPr>
      <w:sz w:val="18"/>
    </w:rPr>
  </w:style>
  <w:style w:type="paragraph" w:styleId="EndnoteText">
    <w:name w:val="endnote text"/>
    <w:aliases w:val="2_G"/>
    <w:basedOn w:val="FootnoteText"/>
    <w:rsid w:val="0010040D"/>
  </w:style>
  <w:style w:type="character" w:styleId="PageNumber">
    <w:name w:val="page number"/>
    <w:aliases w:val="7_G"/>
    <w:basedOn w:val="DefaultParagraphFont"/>
    <w:rsid w:val="0010040D"/>
    <w:rPr>
      <w:rFonts w:ascii="Times New Roman" w:hAnsi="Times New Roman"/>
      <w:b/>
      <w:sz w:val="18"/>
      <w:lang w:val="fr-CH"/>
    </w:rPr>
  </w:style>
  <w:style w:type="paragraph" w:styleId="Footer">
    <w:name w:val="footer"/>
    <w:aliases w:val="3_G"/>
    <w:basedOn w:val="Normal"/>
    <w:next w:val="Normal"/>
    <w:rsid w:val="0010040D"/>
    <w:pPr>
      <w:spacing w:line="240" w:lineRule="auto"/>
    </w:pPr>
    <w:rPr>
      <w:sz w:val="16"/>
    </w:rPr>
  </w:style>
  <w:style w:type="paragraph" w:customStyle="1" w:styleId="ParNoG">
    <w:name w:val="_ParNo_G"/>
    <w:basedOn w:val="SingleTxtG"/>
    <w:rsid w:val="0010040D"/>
    <w:pPr>
      <w:numPr>
        <w:numId w:val="21"/>
      </w:numPr>
    </w:pPr>
  </w:style>
  <w:style w:type="paragraph" w:styleId="Header">
    <w:name w:val="header"/>
    <w:aliases w:val="6_G"/>
    <w:basedOn w:val="Normal"/>
    <w:next w:val="Normal"/>
    <w:rsid w:val="0010040D"/>
    <w:pPr>
      <w:pBdr>
        <w:bottom w:val="single" w:sz="4" w:space="4" w:color="auto"/>
      </w:pBdr>
      <w:spacing w:line="240" w:lineRule="auto"/>
    </w:pPr>
    <w:rPr>
      <w:b/>
      <w:sz w:val="18"/>
    </w:rPr>
  </w:style>
  <w:style w:type="table" w:styleId="TableGrid">
    <w:name w:val="Table Grid"/>
    <w:basedOn w:val="TableNormal"/>
    <w:semiHidden/>
    <w:rsid w:val="001004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10040D"/>
    <w:rPr>
      <w:color w:val="0000FF"/>
      <w:u w:val="none"/>
    </w:rPr>
  </w:style>
  <w:style w:type="character" w:styleId="FollowedHyperlink">
    <w:name w:val="FollowedHyperlink"/>
    <w:basedOn w:val="DefaultParagraphFont"/>
    <w:semiHidden/>
    <w:rsid w:val="0010040D"/>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4443</Words>
  <Characters>22751</Characters>
  <Application>Microsoft Office Outlook</Application>
  <DocSecurity>4</DocSecurity>
  <Lines>375</Lines>
  <Paragraphs>103</Paragraphs>
  <ScaleCrop>false</ScaleCrop>
  <HeadingPairs>
    <vt:vector size="2" baseType="variant">
      <vt:variant>
        <vt:lpstr>Titre</vt:lpstr>
      </vt:variant>
      <vt:variant>
        <vt:i4>1</vt:i4>
      </vt:variant>
    </vt:vector>
  </HeadingPairs>
  <TitlesOfParts>
    <vt:vector size="1" baseType="lpstr">
      <vt:lpstr>CCPR/C/112/D/2085/2011</vt:lpstr>
    </vt:vector>
  </TitlesOfParts>
  <Company>CSD</Company>
  <LinksUpToDate>false</LinksUpToDate>
  <CharactersWithSpaces>27104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CCPR/C/112/D/2085/2011</dc:title>
  <dc:subject>FINAL</dc:subject>
  <dc:creator>Dariche</dc:creator>
  <cp:keywords/>
  <dc:description/>
  <cp:lastModifiedBy>Dariche</cp:lastModifiedBy>
  <cp:revision>2</cp:revision>
  <cp:lastPrinted>2014-12-03T10:33:00Z</cp:lastPrinted>
  <dcterms:created xsi:type="dcterms:W3CDTF">2014-12-03T14:10:00Z</dcterms:created>
  <dcterms:modified xsi:type="dcterms:W3CDTF">2014-12-03T14:10:00Z</dcterms:modified>
</cp:coreProperties>
</file>