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3260"/>
        <w:gridCol w:w="141"/>
        <w:gridCol w:w="2127"/>
        <w:gridCol w:w="2835"/>
      </w:tblGrid>
      <w:tr w:rsidR="0087597F" w:rsidTr="00C42621">
        <w:trPr>
          <w:cantSplit/>
          <w:trHeight w:hRule="exact" w:val="851"/>
        </w:trPr>
        <w:tc>
          <w:tcPr>
            <w:tcW w:w="4536" w:type="dxa"/>
            <w:gridSpan w:val="2"/>
            <w:tcBorders>
              <w:bottom w:val="single" w:sz="4" w:space="0" w:color="auto"/>
            </w:tcBorders>
            <w:vAlign w:val="bottom"/>
          </w:tcPr>
          <w:p w:rsidR="0087597F" w:rsidRPr="00B97172" w:rsidRDefault="0087597F" w:rsidP="00C42621">
            <w:pPr>
              <w:spacing w:after="80" w:line="300" w:lineRule="exact"/>
              <w:rPr>
                <w:b/>
                <w:sz w:val="24"/>
                <w:szCs w:val="24"/>
              </w:rPr>
            </w:pPr>
            <w:r>
              <w:rPr>
                <w:sz w:val="28"/>
              </w:rPr>
              <w:t>Организация Объединенных Наций</w:t>
            </w:r>
          </w:p>
        </w:tc>
        <w:tc>
          <w:tcPr>
            <w:tcW w:w="141" w:type="dxa"/>
            <w:tcBorders>
              <w:bottom w:val="single" w:sz="4" w:space="0" w:color="auto"/>
            </w:tcBorders>
            <w:vAlign w:val="bottom"/>
          </w:tcPr>
          <w:p w:rsidR="0087597F" w:rsidRPr="00EA2819" w:rsidRDefault="0087597F" w:rsidP="00C42621">
            <w:pPr>
              <w:spacing w:after="80" w:line="240" w:lineRule="auto"/>
              <w:jc w:val="right"/>
            </w:pPr>
          </w:p>
        </w:tc>
        <w:tc>
          <w:tcPr>
            <w:tcW w:w="4962" w:type="dxa"/>
            <w:gridSpan w:val="2"/>
            <w:tcBorders>
              <w:left w:val="nil"/>
              <w:bottom w:val="single" w:sz="4" w:space="0" w:color="auto"/>
            </w:tcBorders>
            <w:vAlign w:val="bottom"/>
          </w:tcPr>
          <w:p w:rsidR="0087597F" w:rsidRPr="00414448" w:rsidRDefault="0087597F" w:rsidP="001E6CD1">
            <w:pPr>
              <w:spacing w:after="80"/>
              <w:jc w:val="right"/>
              <w:rPr>
                <w:lang w:val="en-US"/>
              </w:rPr>
            </w:pPr>
            <w:r w:rsidRPr="000B4B07">
              <w:rPr>
                <w:sz w:val="40"/>
                <w:szCs w:val="40"/>
                <w:lang w:val="en-US"/>
              </w:rPr>
              <w:t>CCPR</w:t>
            </w:r>
            <w:r>
              <w:rPr>
                <w:lang w:val="en-US"/>
              </w:rPr>
              <w:t>/</w:t>
            </w:r>
            <w:fldSimple w:instr=" FILLIN  &quot;Введите часть символа после CCPR/&quot;  \* MERGEFORMAT ">
              <w:r w:rsidR="00061AF7">
                <w:t>C/115/D/2279/2013</w:t>
              </w:r>
            </w:fldSimple>
            <w:bookmarkStart w:id="0" w:name="_GoBack"/>
            <w:bookmarkEnd w:id="0"/>
          </w:p>
        </w:tc>
      </w:tr>
      <w:tr w:rsidR="0087597F" w:rsidRPr="002C048B" w:rsidTr="00C42621">
        <w:trPr>
          <w:cantSplit/>
          <w:trHeight w:hRule="exact" w:val="2835"/>
        </w:trPr>
        <w:tc>
          <w:tcPr>
            <w:tcW w:w="1276" w:type="dxa"/>
            <w:tcBorders>
              <w:top w:val="single" w:sz="4" w:space="0" w:color="auto"/>
              <w:bottom w:val="single" w:sz="12" w:space="0" w:color="auto"/>
            </w:tcBorders>
          </w:tcPr>
          <w:p w:rsidR="0087597F" w:rsidRDefault="0087597F" w:rsidP="00C42621">
            <w:pPr>
              <w:spacing w:before="120"/>
              <w:jc w:val="center"/>
            </w:pPr>
            <w:r>
              <w:rPr>
                <w:noProof/>
                <w:lang w:val="en-US" w:eastAsia="zh-CN"/>
              </w:rPr>
              <w:drawing>
                <wp:inline distT="0" distB="0" distL="0" distR="0" wp14:anchorId="4A801A6E" wp14:editId="2F82CED8">
                  <wp:extent cx="714375" cy="591820"/>
                  <wp:effectExtent l="0" t="0" r="9525" b="0"/>
                  <wp:docPr id="3"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28" w:type="dxa"/>
            <w:gridSpan w:val="3"/>
            <w:tcBorders>
              <w:top w:val="single" w:sz="4" w:space="0" w:color="auto"/>
              <w:bottom w:val="single" w:sz="12" w:space="0" w:color="auto"/>
            </w:tcBorders>
          </w:tcPr>
          <w:p w:rsidR="0087597F" w:rsidRPr="0084613B" w:rsidRDefault="0087597F" w:rsidP="00C42621">
            <w:pPr>
              <w:spacing w:before="120" w:line="380" w:lineRule="exact"/>
              <w:rPr>
                <w:spacing w:val="-4"/>
                <w:w w:val="100"/>
                <w:sz w:val="34"/>
                <w:szCs w:val="34"/>
              </w:rPr>
            </w:pPr>
            <w:r w:rsidRPr="0084613B">
              <w:rPr>
                <w:b/>
                <w:spacing w:val="-4"/>
                <w:w w:val="100"/>
                <w:sz w:val="34"/>
                <w:szCs w:val="34"/>
              </w:rPr>
              <w:t xml:space="preserve">Международный пакт </w:t>
            </w:r>
            <w:r w:rsidRPr="0084613B">
              <w:rPr>
                <w:b/>
                <w:spacing w:val="-4"/>
                <w:w w:val="100"/>
                <w:sz w:val="34"/>
                <w:szCs w:val="34"/>
              </w:rPr>
              <w:br/>
              <w:t xml:space="preserve">о гражданских и политических </w:t>
            </w:r>
            <w:r w:rsidRPr="0087597F">
              <w:rPr>
                <w:b/>
                <w:spacing w:val="-4"/>
                <w:w w:val="100"/>
                <w:sz w:val="34"/>
                <w:szCs w:val="34"/>
              </w:rPr>
              <w:br/>
            </w:r>
            <w:r w:rsidRPr="0084613B">
              <w:rPr>
                <w:b/>
                <w:spacing w:val="-4"/>
                <w:w w:val="100"/>
                <w:sz w:val="34"/>
                <w:szCs w:val="34"/>
              </w:rPr>
              <w:t>правах</w:t>
            </w:r>
          </w:p>
        </w:tc>
        <w:tc>
          <w:tcPr>
            <w:tcW w:w="2835" w:type="dxa"/>
            <w:tcBorders>
              <w:top w:val="single" w:sz="4" w:space="0" w:color="auto"/>
              <w:bottom w:val="single" w:sz="12" w:space="0" w:color="auto"/>
            </w:tcBorders>
          </w:tcPr>
          <w:p w:rsidR="0087597F" w:rsidRPr="0087597F" w:rsidRDefault="0087597F" w:rsidP="00C42621">
            <w:pPr>
              <w:spacing w:before="240"/>
            </w:pPr>
            <w:r>
              <w:rPr>
                <w:lang w:val="en-US"/>
              </w:rPr>
              <w:t>Distr</w:t>
            </w:r>
            <w:r>
              <w:t>.:</w:t>
            </w:r>
            <w:r w:rsidRPr="0087597F">
              <w:t xml:space="preserve"> </w:t>
            </w:r>
            <w:bookmarkStart w:id="1" w:name="ПолеСоСписком1"/>
            <w:r>
              <w:fldChar w:fldCharType="begin">
                <w:ffData>
                  <w:name w:val="ПолеСоСписком1"/>
                  <w:enabled/>
                  <w:calcOnExit w:val="0"/>
                  <w:ddList>
                    <w:listEntry w:val="General"/>
                    <w:listEntry w:val="Limited"/>
                    <w:listEntry w:val="Restricted"/>
                  </w:ddList>
                </w:ffData>
              </w:fldChar>
            </w:r>
            <w:r w:rsidRPr="0087597F">
              <w:instrText xml:space="preserve"> </w:instrText>
            </w:r>
            <w:r>
              <w:rPr>
                <w:lang w:val="en-US"/>
              </w:rPr>
              <w:instrText>FORMDROPDOWN</w:instrText>
            </w:r>
            <w:r w:rsidRPr="0087597F">
              <w:instrText xml:space="preserve"> </w:instrText>
            </w:r>
            <w:r w:rsidR="001E6CD1">
              <w:fldChar w:fldCharType="separate"/>
            </w:r>
            <w:r>
              <w:fldChar w:fldCharType="end"/>
            </w:r>
            <w:bookmarkEnd w:id="1"/>
          </w:p>
          <w:p w:rsidR="0087597F" w:rsidRPr="0087597F" w:rsidRDefault="00061AF7" w:rsidP="00C42621">
            <w:r>
              <w:rPr>
                <w:lang w:val="en-US"/>
              </w:rPr>
              <w:t>7</w:t>
            </w:r>
            <w:r w:rsidR="0087597F">
              <w:rPr>
                <w:lang w:val="en-US"/>
              </w:rPr>
              <w:fldChar w:fldCharType="begin"/>
            </w:r>
            <w:r w:rsidR="0087597F" w:rsidRPr="0087597F">
              <w:instrText xml:space="preserve"> </w:instrText>
            </w:r>
            <w:r w:rsidR="0087597F">
              <w:rPr>
                <w:lang w:val="en-US"/>
              </w:rPr>
              <w:instrText>FILLIN</w:instrText>
            </w:r>
            <w:r w:rsidR="0087597F" w:rsidRPr="0087597F">
              <w:instrText xml:space="preserve">  "Введите дату документа" \* </w:instrText>
            </w:r>
            <w:r w:rsidR="0087597F">
              <w:rPr>
                <w:lang w:val="en-US"/>
              </w:rPr>
              <w:instrText>MERGEFORMAT</w:instrText>
            </w:r>
            <w:r w:rsidR="0087597F" w:rsidRPr="0087597F">
              <w:instrText xml:space="preserve"> </w:instrText>
            </w:r>
            <w:r w:rsidR="0087597F">
              <w:rPr>
                <w:lang w:val="en-US"/>
              </w:rPr>
              <w:fldChar w:fldCharType="separate"/>
            </w:r>
            <w:r>
              <w:rPr>
                <w:lang w:val="en-US"/>
              </w:rPr>
              <w:t xml:space="preserve"> December</w:t>
            </w:r>
            <w:r w:rsidR="0087597F">
              <w:rPr>
                <w:lang w:val="en-US"/>
              </w:rPr>
              <w:fldChar w:fldCharType="end"/>
            </w:r>
            <w:r>
              <w:rPr>
                <w:lang w:val="en-US"/>
              </w:rPr>
              <w:t xml:space="preserve"> 2015</w:t>
            </w:r>
          </w:p>
          <w:p w:rsidR="0087597F" w:rsidRDefault="0087597F" w:rsidP="00C42621">
            <w:r>
              <w:rPr>
                <w:lang w:val="en-US"/>
              </w:rPr>
              <w:t>Russian</w:t>
            </w:r>
          </w:p>
          <w:p w:rsidR="0087597F" w:rsidRDefault="0087597F" w:rsidP="00C42621">
            <w:r>
              <w:rPr>
                <w:lang w:val="en-US"/>
              </w:rPr>
              <w:t>Original</w:t>
            </w:r>
            <w:r>
              <w:t xml:space="preserve">: </w:t>
            </w:r>
            <w:bookmarkStart w:id="2"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87597F">
              <w:instrText xml:space="preserve"> </w:instrText>
            </w:r>
            <w:r>
              <w:rPr>
                <w:lang w:val="en-US"/>
              </w:rPr>
              <w:instrText>FORMDROPDOWN</w:instrText>
            </w:r>
            <w:r w:rsidRPr="0087597F">
              <w:instrText xml:space="preserve"> </w:instrText>
            </w:r>
            <w:r w:rsidR="001E6CD1">
              <w:fldChar w:fldCharType="separate"/>
            </w:r>
            <w:r>
              <w:fldChar w:fldCharType="end"/>
            </w:r>
            <w:bookmarkEnd w:id="2"/>
          </w:p>
          <w:p w:rsidR="0087597F" w:rsidRPr="002C048B" w:rsidRDefault="0087597F" w:rsidP="00C42621"/>
        </w:tc>
      </w:tr>
    </w:tbl>
    <w:p w:rsidR="00061AF7" w:rsidRPr="004F7440" w:rsidRDefault="00061AF7" w:rsidP="00061AF7">
      <w:pPr>
        <w:spacing w:before="120"/>
        <w:ind w:right="-141"/>
        <w:rPr>
          <w:b/>
          <w:sz w:val="24"/>
          <w:szCs w:val="24"/>
        </w:rPr>
      </w:pPr>
      <w:r w:rsidRPr="004F7440">
        <w:rPr>
          <w:b/>
          <w:sz w:val="24"/>
          <w:szCs w:val="24"/>
        </w:rPr>
        <w:t>Комитет по правам человека</w:t>
      </w:r>
    </w:p>
    <w:p w:rsidR="00061AF7" w:rsidRPr="00A36331" w:rsidRDefault="00061AF7" w:rsidP="00061AF7">
      <w:pPr>
        <w:pStyle w:val="HChG"/>
        <w:outlineLvl w:val="0"/>
      </w:pPr>
      <w:r>
        <w:rPr>
          <w:lang w:val="ru-RU"/>
        </w:rPr>
        <w:tab/>
      </w:r>
      <w:r>
        <w:rPr>
          <w:lang w:val="ru-RU"/>
        </w:rPr>
        <w:tab/>
        <w:t>Сообщение № 2279/2013</w:t>
      </w:r>
    </w:p>
    <w:p w:rsidR="00061AF7" w:rsidRPr="00061AF7" w:rsidRDefault="00061AF7" w:rsidP="00061AF7">
      <w:pPr>
        <w:pStyle w:val="H1G"/>
        <w:outlineLvl w:val="0"/>
        <w:rPr>
          <w:lang w:val="ru-RU"/>
        </w:rPr>
      </w:pPr>
      <w:r>
        <w:rPr>
          <w:lang w:val="ru-RU"/>
        </w:rPr>
        <w:tab/>
      </w:r>
      <w:r>
        <w:rPr>
          <w:lang w:val="ru-RU"/>
        </w:rPr>
        <w:tab/>
        <w:t>Соображения, принятые Комитетом на его 115-й сессии</w:t>
      </w:r>
      <w:r>
        <w:rPr>
          <w:lang w:val="ru-RU"/>
        </w:rPr>
        <w:br/>
        <w:t>(19 октября</w:t>
      </w:r>
      <w:r w:rsidR="00B11EF3">
        <w:rPr>
          <w:lang w:val="ru-RU"/>
        </w:rPr>
        <w:t xml:space="preserve"> – </w:t>
      </w:r>
      <w:r>
        <w:rPr>
          <w:lang w:val="ru-RU"/>
        </w:rPr>
        <w:t>6 ноября 2015 года)</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77"/>
        <w:gridCol w:w="3827"/>
      </w:tblGrid>
      <w:tr w:rsidR="00B7475B" w:rsidRPr="004644F0" w:rsidTr="004E7444">
        <w:tc>
          <w:tcPr>
            <w:tcW w:w="2977" w:type="dxa"/>
          </w:tcPr>
          <w:p w:rsidR="00B7475B" w:rsidRPr="004644F0" w:rsidRDefault="00B7475B" w:rsidP="004E7444">
            <w:pPr>
              <w:spacing w:after="120"/>
              <w:ind w:left="57"/>
              <w:rPr>
                <w:i/>
              </w:rPr>
            </w:pPr>
            <w:r w:rsidRPr="004644F0">
              <w:rPr>
                <w:i/>
              </w:rPr>
              <w:t>Представлено:</w:t>
            </w:r>
          </w:p>
        </w:tc>
        <w:tc>
          <w:tcPr>
            <w:tcW w:w="3827" w:type="dxa"/>
          </w:tcPr>
          <w:p w:rsidR="00B7475B" w:rsidRPr="004644F0" w:rsidRDefault="00B7475B" w:rsidP="004E7444">
            <w:pPr>
              <w:suppressAutoHyphens/>
              <w:spacing w:after="120"/>
            </w:pPr>
            <w:r>
              <w:t>Z</w:t>
            </w:r>
          </w:p>
        </w:tc>
      </w:tr>
      <w:tr w:rsidR="00B7475B" w:rsidRPr="004644F0" w:rsidTr="004E7444">
        <w:tc>
          <w:tcPr>
            <w:tcW w:w="2977" w:type="dxa"/>
          </w:tcPr>
          <w:p w:rsidR="00B7475B" w:rsidRPr="004644F0" w:rsidRDefault="00B7475B" w:rsidP="004E7444">
            <w:pPr>
              <w:spacing w:after="120"/>
              <w:ind w:left="57"/>
              <w:rPr>
                <w:i/>
              </w:rPr>
            </w:pPr>
            <w:r w:rsidRPr="004644F0">
              <w:rPr>
                <w:i/>
              </w:rPr>
              <w:t>Предполагаемая жертва:</w:t>
            </w:r>
          </w:p>
        </w:tc>
        <w:tc>
          <w:tcPr>
            <w:tcW w:w="3827" w:type="dxa"/>
          </w:tcPr>
          <w:p w:rsidR="00B7475B" w:rsidRPr="004644F0" w:rsidRDefault="00B11EF3" w:rsidP="004E7444">
            <w:pPr>
              <w:suppressAutoHyphens/>
              <w:spacing w:after="120"/>
            </w:pPr>
            <w:r>
              <w:t>а</w:t>
            </w:r>
            <w:r w:rsidR="00B7475B">
              <w:t>втор и его сын, N</w:t>
            </w:r>
          </w:p>
        </w:tc>
      </w:tr>
      <w:tr w:rsidR="00B7475B" w:rsidRPr="004644F0" w:rsidTr="004E7444">
        <w:tc>
          <w:tcPr>
            <w:tcW w:w="2977" w:type="dxa"/>
          </w:tcPr>
          <w:p w:rsidR="00B7475B" w:rsidRPr="004644F0" w:rsidRDefault="00B7475B" w:rsidP="004E7444">
            <w:pPr>
              <w:spacing w:after="120"/>
              <w:ind w:left="57"/>
              <w:rPr>
                <w:i/>
              </w:rPr>
            </w:pPr>
            <w:r w:rsidRPr="004644F0">
              <w:rPr>
                <w:i/>
              </w:rPr>
              <w:t>Государство-участник:</w:t>
            </w:r>
          </w:p>
        </w:tc>
        <w:tc>
          <w:tcPr>
            <w:tcW w:w="3827" w:type="dxa"/>
          </w:tcPr>
          <w:p w:rsidR="00B7475B" w:rsidRPr="004644F0" w:rsidRDefault="00B7475B" w:rsidP="004E7444">
            <w:pPr>
              <w:suppressAutoHyphens/>
              <w:spacing w:after="120"/>
            </w:pPr>
            <w:r>
              <w:t>Австралия</w:t>
            </w:r>
          </w:p>
        </w:tc>
      </w:tr>
      <w:tr w:rsidR="00B7475B" w:rsidRPr="004644F0" w:rsidTr="004E7444">
        <w:tc>
          <w:tcPr>
            <w:tcW w:w="2977" w:type="dxa"/>
          </w:tcPr>
          <w:p w:rsidR="00B7475B" w:rsidRPr="004644F0" w:rsidRDefault="00B7475B" w:rsidP="004E7444">
            <w:pPr>
              <w:spacing w:after="120"/>
              <w:ind w:left="57"/>
              <w:rPr>
                <w:i/>
              </w:rPr>
            </w:pPr>
            <w:r w:rsidRPr="004644F0">
              <w:rPr>
                <w:i/>
              </w:rPr>
              <w:t>Дата сообщения:</w:t>
            </w:r>
          </w:p>
        </w:tc>
        <w:tc>
          <w:tcPr>
            <w:tcW w:w="3827" w:type="dxa"/>
          </w:tcPr>
          <w:p w:rsidR="00B7475B" w:rsidRPr="004644F0" w:rsidRDefault="00B7475B" w:rsidP="004E7444">
            <w:pPr>
              <w:suppressAutoHyphens/>
              <w:spacing w:after="120"/>
            </w:pPr>
            <w:r>
              <w:t>21 января 2013 года</w:t>
            </w:r>
          </w:p>
        </w:tc>
      </w:tr>
      <w:tr w:rsidR="00B7475B" w:rsidRPr="004644F0" w:rsidTr="004E7444">
        <w:tc>
          <w:tcPr>
            <w:tcW w:w="2977" w:type="dxa"/>
          </w:tcPr>
          <w:p w:rsidR="00B7475B" w:rsidRPr="004644F0" w:rsidRDefault="00B7475B" w:rsidP="004E7444">
            <w:pPr>
              <w:spacing w:after="120"/>
              <w:ind w:left="57"/>
              <w:rPr>
                <w:i/>
              </w:rPr>
            </w:pPr>
            <w:r w:rsidRPr="004644F0">
              <w:rPr>
                <w:i/>
              </w:rPr>
              <w:t>Справочная документация:</w:t>
            </w:r>
          </w:p>
        </w:tc>
        <w:tc>
          <w:tcPr>
            <w:tcW w:w="3827" w:type="dxa"/>
          </w:tcPr>
          <w:p w:rsidR="00B7475B" w:rsidRPr="004644F0" w:rsidRDefault="00EF2894" w:rsidP="004E7444">
            <w:pPr>
              <w:suppressAutoHyphens/>
              <w:spacing w:after="120"/>
            </w:pPr>
            <w:r>
              <w:t>р</w:t>
            </w:r>
            <w:r w:rsidR="00B7475B">
              <w:t>е</w:t>
            </w:r>
            <w:r w:rsidR="0047277C">
              <w:t>шение Специального докладчика в </w:t>
            </w:r>
            <w:r w:rsidR="00B7475B">
              <w:t>соответствии с правилом 97, препровожденное государству-участнику 29 июля 2013 года (в виде документа не издавалось)</w:t>
            </w:r>
          </w:p>
        </w:tc>
      </w:tr>
      <w:tr w:rsidR="00B7475B" w:rsidRPr="004644F0" w:rsidTr="004E7444">
        <w:tc>
          <w:tcPr>
            <w:tcW w:w="2977" w:type="dxa"/>
          </w:tcPr>
          <w:p w:rsidR="00B7475B" w:rsidRPr="004644F0" w:rsidRDefault="00B7475B" w:rsidP="004E7444">
            <w:pPr>
              <w:spacing w:after="120"/>
              <w:ind w:left="57"/>
              <w:rPr>
                <w:i/>
              </w:rPr>
            </w:pPr>
            <w:r w:rsidRPr="004644F0">
              <w:rPr>
                <w:i/>
              </w:rPr>
              <w:t>Дата принятия Соображений:</w:t>
            </w:r>
          </w:p>
        </w:tc>
        <w:tc>
          <w:tcPr>
            <w:tcW w:w="3827" w:type="dxa"/>
            <w:vAlign w:val="bottom"/>
          </w:tcPr>
          <w:p w:rsidR="00B7475B" w:rsidRPr="004644F0" w:rsidRDefault="00B7475B" w:rsidP="004E7444">
            <w:pPr>
              <w:suppressAutoHyphens/>
              <w:spacing w:after="120"/>
            </w:pPr>
            <w:r>
              <w:t>5 ноября 2015 года</w:t>
            </w:r>
          </w:p>
        </w:tc>
      </w:tr>
      <w:tr w:rsidR="00B7475B" w:rsidRPr="004644F0" w:rsidTr="004E7444">
        <w:tc>
          <w:tcPr>
            <w:tcW w:w="2977" w:type="dxa"/>
          </w:tcPr>
          <w:p w:rsidR="00B7475B" w:rsidRPr="004644F0" w:rsidRDefault="00B7475B" w:rsidP="004E7444">
            <w:pPr>
              <w:keepLines/>
              <w:spacing w:after="120"/>
              <w:ind w:left="57"/>
              <w:rPr>
                <w:i/>
              </w:rPr>
            </w:pPr>
            <w:r w:rsidRPr="004644F0">
              <w:rPr>
                <w:i/>
                <w:iCs/>
              </w:rPr>
              <w:t>Тема сообщения:</w:t>
            </w:r>
          </w:p>
        </w:tc>
        <w:tc>
          <w:tcPr>
            <w:tcW w:w="3827" w:type="dxa"/>
          </w:tcPr>
          <w:p w:rsidR="00B7475B" w:rsidRPr="004644F0" w:rsidRDefault="00B11EF3" w:rsidP="00690CB4">
            <w:pPr>
              <w:keepNext/>
              <w:keepLines/>
              <w:suppressAutoHyphens/>
              <w:spacing w:after="120"/>
            </w:pPr>
            <w:r>
              <w:t>в</w:t>
            </w:r>
            <w:r w:rsidR="00B7475B">
              <w:t>ывоз ребенка из Польши в Австралию</w:t>
            </w:r>
            <w:r w:rsidR="00690CB4">
              <w:t xml:space="preserve"> </w:t>
            </w:r>
            <w:r w:rsidR="00B7475B">
              <w:t>без согласия отца</w:t>
            </w:r>
          </w:p>
        </w:tc>
      </w:tr>
      <w:tr w:rsidR="00B7475B" w:rsidRPr="004644F0" w:rsidTr="004E7444">
        <w:tc>
          <w:tcPr>
            <w:tcW w:w="2977" w:type="dxa"/>
          </w:tcPr>
          <w:p w:rsidR="00B7475B" w:rsidRPr="004644F0" w:rsidRDefault="00B7475B" w:rsidP="00B7475B">
            <w:pPr>
              <w:keepNext/>
              <w:keepLines/>
              <w:spacing w:after="120"/>
              <w:rPr>
                <w:i/>
                <w:iCs/>
              </w:rPr>
            </w:pPr>
            <w:r>
              <w:rPr>
                <w:i/>
                <w:iCs/>
              </w:rPr>
              <w:t>Процедурные вопросы:</w:t>
            </w:r>
          </w:p>
        </w:tc>
        <w:tc>
          <w:tcPr>
            <w:tcW w:w="3827" w:type="dxa"/>
          </w:tcPr>
          <w:p w:rsidR="00B7475B" w:rsidRPr="004644F0" w:rsidRDefault="00B11EF3" w:rsidP="004E7444">
            <w:pPr>
              <w:keepLines/>
              <w:suppressAutoHyphens/>
              <w:spacing w:after="120"/>
            </w:pPr>
            <w:r>
              <w:t>и</w:t>
            </w:r>
            <w:r w:rsidR="00B7475B">
              <w:t>счерпание внутренних средств правовой защиты; обоснованность жалобы, несовместимость ratione materiae</w:t>
            </w:r>
          </w:p>
        </w:tc>
      </w:tr>
      <w:tr w:rsidR="00B7475B" w:rsidRPr="004644F0" w:rsidTr="004E7444">
        <w:tc>
          <w:tcPr>
            <w:tcW w:w="2977" w:type="dxa"/>
          </w:tcPr>
          <w:p w:rsidR="00B7475B" w:rsidRDefault="00B7475B" w:rsidP="004E7444">
            <w:pPr>
              <w:keepNext/>
              <w:keepLines/>
              <w:spacing w:after="120"/>
              <w:rPr>
                <w:i/>
                <w:iCs/>
              </w:rPr>
            </w:pPr>
            <w:r w:rsidRPr="004644F0">
              <w:rPr>
                <w:i/>
                <w:iCs/>
              </w:rPr>
              <w:t>Вопросы существа:</w:t>
            </w:r>
          </w:p>
        </w:tc>
        <w:tc>
          <w:tcPr>
            <w:tcW w:w="3827" w:type="dxa"/>
          </w:tcPr>
          <w:p w:rsidR="00B7475B" w:rsidRPr="004644F0" w:rsidRDefault="00B11EF3" w:rsidP="004E7444">
            <w:pPr>
              <w:keepLines/>
              <w:suppressAutoHyphens/>
              <w:spacing w:after="120"/>
            </w:pPr>
            <w:r>
              <w:t>с</w:t>
            </w:r>
            <w:r w:rsidR="00B7475B">
              <w:t>праведливое судебное разбирательство, произвольное или незаконное вмешательство в семейную жизнь, защита семьи, защита ребенка, дискриминация</w:t>
            </w:r>
          </w:p>
        </w:tc>
      </w:tr>
      <w:tr w:rsidR="00B7475B" w:rsidRPr="004644F0" w:rsidTr="004E7444">
        <w:tc>
          <w:tcPr>
            <w:tcW w:w="2977" w:type="dxa"/>
          </w:tcPr>
          <w:p w:rsidR="00B7475B" w:rsidRPr="004644F0" w:rsidRDefault="00B7475B" w:rsidP="004E7444">
            <w:pPr>
              <w:keepNext/>
              <w:keepLines/>
              <w:spacing w:after="120"/>
              <w:rPr>
                <w:i/>
                <w:iCs/>
              </w:rPr>
            </w:pPr>
            <w:r w:rsidRPr="004644F0">
              <w:rPr>
                <w:i/>
                <w:iCs/>
              </w:rPr>
              <w:t>Стать</w:t>
            </w:r>
            <w:r>
              <w:rPr>
                <w:i/>
                <w:iCs/>
              </w:rPr>
              <w:t>и</w:t>
            </w:r>
            <w:r w:rsidRPr="004644F0">
              <w:rPr>
                <w:i/>
                <w:iCs/>
              </w:rPr>
              <w:t xml:space="preserve"> Пакта</w:t>
            </w:r>
            <w:r w:rsidRPr="004644F0">
              <w:rPr>
                <w:i/>
              </w:rPr>
              <w:t>:</w:t>
            </w:r>
          </w:p>
        </w:tc>
        <w:tc>
          <w:tcPr>
            <w:tcW w:w="3827" w:type="dxa"/>
          </w:tcPr>
          <w:p w:rsidR="00B7475B" w:rsidRPr="004644F0" w:rsidRDefault="00B7475B" w:rsidP="004E7444">
            <w:pPr>
              <w:keepNext/>
              <w:keepLines/>
              <w:suppressAutoHyphens/>
              <w:spacing w:after="120"/>
            </w:pPr>
            <w:r>
              <w:t>14, 17 (1), 23 (1), 24 (1) и 26</w:t>
            </w:r>
          </w:p>
        </w:tc>
      </w:tr>
      <w:tr w:rsidR="00B7475B" w:rsidRPr="004644F0" w:rsidTr="004E7444">
        <w:tc>
          <w:tcPr>
            <w:tcW w:w="2977" w:type="dxa"/>
          </w:tcPr>
          <w:p w:rsidR="00B7475B" w:rsidRPr="004644F0" w:rsidRDefault="00B7475B" w:rsidP="004E7444">
            <w:pPr>
              <w:keepNext/>
              <w:keepLines/>
              <w:spacing w:after="120"/>
              <w:rPr>
                <w:i/>
                <w:iCs/>
              </w:rPr>
            </w:pPr>
            <w:r>
              <w:rPr>
                <w:i/>
                <w:iCs/>
              </w:rPr>
              <w:t>Статьи</w:t>
            </w:r>
            <w:r w:rsidRPr="004644F0">
              <w:rPr>
                <w:i/>
                <w:iCs/>
              </w:rPr>
              <w:t xml:space="preserve"> Факультативного протокола:</w:t>
            </w:r>
          </w:p>
        </w:tc>
        <w:tc>
          <w:tcPr>
            <w:tcW w:w="3827" w:type="dxa"/>
          </w:tcPr>
          <w:p w:rsidR="00B7475B" w:rsidRPr="004644F0" w:rsidRDefault="00B11EF3" w:rsidP="004E7444">
            <w:pPr>
              <w:keepNext/>
              <w:keepLines/>
              <w:suppressAutoHyphens/>
              <w:spacing w:after="120"/>
            </w:pPr>
            <w:r>
              <w:t xml:space="preserve">2 и 5 (2) </w:t>
            </w:r>
            <w:r w:rsidR="00B7475B">
              <w:t>b)</w:t>
            </w:r>
          </w:p>
        </w:tc>
      </w:tr>
    </w:tbl>
    <w:p w:rsidR="00B7475B" w:rsidRDefault="00B7475B" w:rsidP="00061AF7">
      <w:pPr>
        <w:pStyle w:val="SingleTxtG"/>
        <w:ind w:left="4536" w:hanging="3402"/>
        <w:jc w:val="left"/>
        <w:rPr>
          <w:i/>
          <w:lang w:val="ru-RU"/>
        </w:rPr>
      </w:pPr>
    </w:p>
    <w:p w:rsidR="00061AF7" w:rsidRPr="00061AF7" w:rsidRDefault="00061AF7" w:rsidP="0047277C">
      <w:pPr>
        <w:pStyle w:val="HChGR"/>
      </w:pPr>
      <w:r>
        <w:lastRenderedPageBreak/>
        <w:t>Приложение</w:t>
      </w:r>
    </w:p>
    <w:p w:rsidR="00061AF7" w:rsidRPr="00061AF7" w:rsidRDefault="00061AF7" w:rsidP="0047277C">
      <w:pPr>
        <w:pStyle w:val="HChGR"/>
        <w:rPr>
          <w:bCs/>
        </w:rPr>
      </w:pPr>
      <w:r>
        <w:tab/>
      </w:r>
      <w:r>
        <w:tab/>
        <w:t>Соображени</w:t>
      </w:r>
      <w:r w:rsidR="002F28F8">
        <w:t>я Комитета по правам человека в </w:t>
      </w:r>
      <w:r>
        <w:t>соответствии с пунктом 4 статьи 5 Факультативного протокола к Международному пакту о гражданских и</w:t>
      </w:r>
      <w:r w:rsidR="0047277C">
        <w:t> </w:t>
      </w:r>
      <w:r>
        <w:t>политических правах (115-я сессия)</w:t>
      </w:r>
    </w:p>
    <w:p w:rsidR="00061AF7" w:rsidRPr="00061AF7" w:rsidRDefault="00061AF7" w:rsidP="0047277C">
      <w:pPr>
        <w:pStyle w:val="SingleTxtGR"/>
      </w:pPr>
      <w:r>
        <w:t>относительно</w:t>
      </w:r>
    </w:p>
    <w:p w:rsidR="00061AF7" w:rsidRPr="00061AF7" w:rsidRDefault="00061AF7" w:rsidP="0047277C">
      <w:pPr>
        <w:pStyle w:val="H1GR"/>
        <w:rPr>
          <w:bCs/>
          <w:sz w:val="20"/>
        </w:rPr>
      </w:pPr>
      <w:r>
        <w:tab/>
      </w:r>
      <w:r>
        <w:tab/>
        <w:t>Сообщения № 2279/2013</w:t>
      </w:r>
      <w:r w:rsidRPr="004A5470">
        <w:rPr>
          <w:rStyle w:val="FootnoteReference"/>
          <w:b w:val="0"/>
          <w:bCs/>
          <w:sz w:val="20"/>
          <w:vertAlign w:val="baseline"/>
        </w:rPr>
        <w:footnoteReference w:customMarkFollows="1" w:id="1"/>
        <w:t>*</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77"/>
        <w:gridCol w:w="3827"/>
      </w:tblGrid>
      <w:tr w:rsidR="00944F14" w:rsidRPr="004644F0" w:rsidTr="004E7444">
        <w:tc>
          <w:tcPr>
            <w:tcW w:w="2977" w:type="dxa"/>
          </w:tcPr>
          <w:p w:rsidR="00944F14" w:rsidRPr="004644F0" w:rsidRDefault="00944F14" w:rsidP="004E7444">
            <w:pPr>
              <w:spacing w:after="120"/>
              <w:ind w:left="57"/>
              <w:rPr>
                <w:i/>
              </w:rPr>
            </w:pPr>
            <w:r w:rsidRPr="004644F0">
              <w:rPr>
                <w:i/>
              </w:rPr>
              <w:t>Представлено:</w:t>
            </w:r>
          </w:p>
        </w:tc>
        <w:tc>
          <w:tcPr>
            <w:tcW w:w="3827" w:type="dxa"/>
          </w:tcPr>
          <w:p w:rsidR="00944F14" w:rsidRPr="004644F0" w:rsidRDefault="00944F14" w:rsidP="004E7444">
            <w:pPr>
              <w:suppressAutoHyphens/>
              <w:spacing w:after="120"/>
            </w:pPr>
            <w:r>
              <w:t>Z</w:t>
            </w:r>
          </w:p>
        </w:tc>
      </w:tr>
      <w:tr w:rsidR="00944F14" w:rsidRPr="004644F0" w:rsidTr="004E7444">
        <w:tc>
          <w:tcPr>
            <w:tcW w:w="2977" w:type="dxa"/>
          </w:tcPr>
          <w:p w:rsidR="00944F14" w:rsidRPr="004644F0" w:rsidRDefault="00944F14" w:rsidP="004E7444">
            <w:pPr>
              <w:spacing w:after="120"/>
              <w:ind w:left="57"/>
              <w:rPr>
                <w:i/>
              </w:rPr>
            </w:pPr>
            <w:r w:rsidRPr="004644F0">
              <w:rPr>
                <w:i/>
              </w:rPr>
              <w:t>Предполагаемая жертва:</w:t>
            </w:r>
          </w:p>
        </w:tc>
        <w:tc>
          <w:tcPr>
            <w:tcW w:w="3827" w:type="dxa"/>
          </w:tcPr>
          <w:p w:rsidR="00944F14" w:rsidRPr="004644F0" w:rsidRDefault="00B11EF3" w:rsidP="004E7444">
            <w:pPr>
              <w:suppressAutoHyphens/>
              <w:spacing w:after="120"/>
            </w:pPr>
            <w:r>
              <w:t>а</w:t>
            </w:r>
            <w:r w:rsidR="00944F14">
              <w:t>втор и его сын, N</w:t>
            </w:r>
          </w:p>
        </w:tc>
      </w:tr>
      <w:tr w:rsidR="00944F14" w:rsidRPr="004644F0" w:rsidTr="004E7444">
        <w:tc>
          <w:tcPr>
            <w:tcW w:w="2977" w:type="dxa"/>
          </w:tcPr>
          <w:p w:rsidR="00944F14" w:rsidRPr="004644F0" w:rsidRDefault="00944F14" w:rsidP="004E7444">
            <w:pPr>
              <w:spacing w:after="120"/>
              <w:ind w:left="57"/>
              <w:rPr>
                <w:i/>
              </w:rPr>
            </w:pPr>
            <w:r w:rsidRPr="004644F0">
              <w:rPr>
                <w:i/>
              </w:rPr>
              <w:t>Государство-участник:</w:t>
            </w:r>
          </w:p>
        </w:tc>
        <w:tc>
          <w:tcPr>
            <w:tcW w:w="3827" w:type="dxa"/>
          </w:tcPr>
          <w:p w:rsidR="00944F14" w:rsidRPr="004644F0" w:rsidRDefault="00944F14" w:rsidP="004E7444">
            <w:pPr>
              <w:suppressAutoHyphens/>
              <w:spacing w:after="120"/>
            </w:pPr>
            <w:r>
              <w:t>Австралия</w:t>
            </w:r>
          </w:p>
        </w:tc>
      </w:tr>
      <w:tr w:rsidR="00944F14" w:rsidRPr="004644F0" w:rsidTr="004E7444">
        <w:tc>
          <w:tcPr>
            <w:tcW w:w="2977" w:type="dxa"/>
          </w:tcPr>
          <w:p w:rsidR="00944F14" w:rsidRPr="004644F0" w:rsidRDefault="00944F14" w:rsidP="004E7444">
            <w:pPr>
              <w:spacing w:after="120"/>
              <w:ind w:left="57"/>
              <w:rPr>
                <w:i/>
              </w:rPr>
            </w:pPr>
            <w:r w:rsidRPr="004644F0">
              <w:rPr>
                <w:i/>
              </w:rPr>
              <w:t>Дата сообщения:</w:t>
            </w:r>
          </w:p>
        </w:tc>
        <w:tc>
          <w:tcPr>
            <w:tcW w:w="3827" w:type="dxa"/>
          </w:tcPr>
          <w:p w:rsidR="00944F14" w:rsidRPr="004644F0" w:rsidRDefault="00944F14" w:rsidP="004E7444">
            <w:pPr>
              <w:suppressAutoHyphens/>
              <w:spacing w:after="120"/>
            </w:pPr>
            <w:r>
              <w:t>21 января 2013 года</w:t>
            </w:r>
          </w:p>
        </w:tc>
      </w:tr>
    </w:tbl>
    <w:p w:rsidR="00061AF7" w:rsidRPr="00061AF7" w:rsidRDefault="00061AF7" w:rsidP="0047277C">
      <w:pPr>
        <w:pStyle w:val="SingleTxtGR"/>
      </w:pPr>
      <w:r>
        <w:tab/>
      </w:r>
      <w:r w:rsidRPr="005E3857">
        <w:rPr>
          <w:i/>
        </w:rPr>
        <w:t>Комитет по правам человека</w:t>
      </w:r>
      <w:r>
        <w:t>, учрежденный в соответствии со статьей</w:t>
      </w:r>
      <w:r w:rsidR="002F28F8">
        <w:t> </w:t>
      </w:r>
      <w:r>
        <w:t>28 Международного пакта о гражданских и политических правах,</w:t>
      </w:r>
    </w:p>
    <w:p w:rsidR="00061AF7" w:rsidRPr="00061AF7" w:rsidRDefault="00061AF7" w:rsidP="0047277C">
      <w:pPr>
        <w:pStyle w:val="SingleTxtGR"/>
      </w:pPr>
      <w:r>
        <w:tab/>
      </w:r>
      <w:r w:rsidRPr="005E3857">
        <w:rPr>
          <w:i/>
        </w:rPr>
        <w:t>на своем заседании</w:t>
      </w:r>
      <w:r>
        <w:t xml:space="preserve"> 5 ноября 2015 года,</w:t>
      </w:r>
    </w:p>
    <w:p w:rsidR="00061AF7" w:rsidRPr="00061AF7" w:rsidRDefault="00061AF7" w:rsidP="0047277C">
      <w:pPr>
        <w:pStyle w:val="SingleTxtGR"/>
        <w:rPr>
          <w:i/>
        </w:rPr>
      </w:pPr>
      <w:r>
        <w:tab/>
      </w:r>
      <w:r w:rsidRPr="005E3857">
        <w:rPr>
          <w:i/>
        </w:rPr>
        <w:t>завершив</w:t>
      </w:r>
      <w:r>
        <w:t xml:space="preserve"> рассмотрение сообщения № 2279/2013, представленного ему Z в соответствии с Факультативным протоколом к Международному пакту о гражданских и политических правах,</w:t>
      </w:r>
    </w:p>
    <w:p w:rsidR="00061AF7" w:rsidRPr="00061AF7" w:rsidRDefault="00061AF7" w:rsidP="0047277C">
      <w:pPr>
        <w:pStyle w:val="SingleTxtGR"/>
        <w:rPr>
          <w:i/>
        </w:rPr>
      </w:pPr>
      <w:r>
        <w:tab/>
      </w:r>
      <w:r w:rsidRPr="005E3857">
        <w:rPr>
          <w:i/>
        </w:rPr>
        <w:t>приняв</w:t>
      </w:r>
      <w:r>
        <w:t xml:space="preserve"> к сведению всю письменную информацию, которая была ем</w:t>
      </w:r>
      <w:r w:rsidR="004A5470">
        <w:t>у представлена автором сообщения</w:t>
      </w:r>
      <w:r>
        <w:t xml:space="preserve"> и государством-участником,</w:t>
      </w:r>
    </w:p>
    <w:p w:rsidR="00061AF7" w:rsidRPr="00061AF7" w:rsidRDefault="00061AF7" w:rsidP="0047277C">
      <w:pPr>
        <w:pStyle w:val="SingleTxtGR"/>
        <w:rPr>
          <w:bCs/>
        </w:rPr>
      </w:pPr>
      <w:r>
        <w:tab/>
      </w:r>
      <w:r w:rsidRPr="005E3857">
        <w:rPr>
          <w:i/>
        </w:rPr>
        <w:t>принимает</w:t>
      </w:r>
      <w:r>
        <w:t xml:space="preserve"> следующее:</w:t>
      </w:r>
    </w:p>
    <w:p w:rsidR="00061AF7" w:rsidRPr="00061AF7" w:rsidRDefault="00061AF7" w:rsidP="0047277C">
      <w:pPr>
        <w:pStyle w:val="H1GR"/>
      </w:pPr>
      <w:r>
        <w:tab/>
      </w:r>
      <w:r>
        <w:tab/>
        <w:t xml:space="preserve">Соображения в соответствии с пунктом 4 статьи 5 Факультативного протокола </w:t>
      </w:r>
    </w:p>
    <w:p w:rsidR="00061AF7" w:rsidRPr="00061AF7" w:rsidRDefault="00061AF7" w:rsidP="0047277C">
      <w:pPr>
        <w:pStyle w:val="SingleTxtGR"/>
      </w:pPr>
      <w:r>
        <w:t>1.</w:t>
      </w:r>
      <w:r>
        <w:tab/>
        <w:t>Автором сообщения является гражданин Польши и Австралии Z 1952 г</w:t>
      </w:r>
      <w:r>
        <w:t>о</w:t>
      </w:r>
      <w:r>
        <w:t>да рождения. Он представляет жалобу от своего имени и от имени своего сына, N, гражданина Польши и Австралии, родившегося в 2004 году. Он утверждает, что является жертвой нарушения статьи 14, пункта 1 статьи 17, пункта 1 ст</w:t>
      </w:r>
      <w:r>
        <w:t>а</w:t>
      </w:r>
      <w:r>
        <w:t>тьи</w:t>
      </w:r>
      <w:r w:rsidR="002D4EE8">
        <w:t> </w:t>
      </w:r>
      <w:r>
        <w:t>23 и статьи 26 Пакта. Автор также утверждает, что его сын является жер</w:t>
      </w:r>
      <w:r>
        <w:t>т</w:t>
      </w:r>
      <w:r>
        <w:t>вой нарушения статей 14, 24 и 26 Пакта. Автор адвокатом не представлен. Ф</w:t>
      </w:r>
      <w:r>
        <w:t>а</w:t>
      </w:r>
      <w:r>
        <w:t>культативный протокол вступил в силу для государства-участника 25 декабря 1991</w:t>
      </w:r>
      <w:r w:rsidR="002D4EE8">
        <w:t> </w:t>
      </w:r>
      <w:r>
        <w:t>года.</w:t>
      </w:r>
    </w:p>
    <w:p w:rsidR="00061AF7" w:rsidRPr="00061AF7" w:rsidRDefault="00061AF7" w:rsidP="00061AF7">
      <w:pPr>
        <w:pStyle w:val="H23G"/>
        <w:spacing w:line="240" w:lineRule="auto"/>
        <w:rPr>
          <w:lang w:val="ru-RU"/>
        </w:rPr>
      </w:pPr>
      <w:r>
        <w:rPr>
          <w:lang w:val="ru-RU"/>
        </w:rPr>
        <w:lastRenderedPageBreak/>
        <w:tab/>
      </w:r>
      <w:r>
        <w:rPr>
          <w:lang w:val="ru-RU"/>
        </w:rPr>
        <w:tab/>
        <w:t>Факты в изложении автора</w:t>
      </w:r>
    </w:p>
    <w:p w:rsidR="00061AF7" w:rsidRPr="00061AF7" w:rsidRDefault="00061AF7" w:rsidP="0047277C">
      <w:pPr>
        <w:pStyle w:val="SingleTxtGR"/>
      </w:pPr>
      <w:r>
        <w:t>2.1</w:t>
      </w:r>
      <w:r>
        <w:tab/>
        <w:t xml:space="preserve">В 2000 году в Польше автор женился на гражданке </w:t>
      </w:r>
      <w:r w:rsidR="00235355">
        <w:t>Беларуси</w:t>
      </w:r>
      <w:r>
        <w:t>, имеющей постоянный вид на жительство в Польше. Пара проживала в Польше, и в 2004</w:t>
      </w:r>
      <w:r w:rsidR="002D4EE8">
        <w:t> </w:t>
      </w:r>
      <w:r>
        <w:t>году у них родился ребенок, который является австралийским граждан</w:t>
      </w:r>
      <w:r>
        <w:t>и</w:t>
      </w:r>
      <w:r>
        <w:t>ном по рождению. В декабре 2006 года семья переехала в город Перт, Австр</w:t>
      </w:r>
      <w:r>
        <w:t>а</w:t>
      </w:r>
      <w:r>
        <w:t>лия. В сентябре 2009 года жена автора получил австралийское гражданство, и в октябре 2009 года семья вернулась в Польшу, где автор занимался предприн</w:t>
      </w:r>
      <w:r>
        <w:t>и</w:t>
      </w:r>
      <w:r>
        <w:t>мательской деятельностью. По утверждению автора, вскоре после их возвращ</w:t>
      </w:r>
      <w:r>
        <w:t>е</w:t>
      </w:r>
      <w:r>
        <w:t>ния в Польшу его жена заявила о желании вернуться в Австралию и стала устно вы</w:t>
      </w:r>
      <w:r w:rsidR="00386D80">
        <w:t>сказываться по этому вопросу в «оскорбительной и провокационной»</w:t>
      </w:r>
      <w:r>
        <w:t xml:space="preserve"> ман</w:t>
      </w:r>
      <w:r>
        <w:t>е</w:t>
      </w:r>
      <w:r>
        <w:t xml:space="preserve">ре. Она </w:t>
      </w:r>
      <w:r w:rsidR="00386D80">
        <w:t>также угрожала автору тем, что «</w:t>
      </w:r>
      <w:r>
        <w:t>увезет их сына в такое место, где он не сможет е</w:t>
      </w:r>
      <w:r w:rsidR="00386D80">
        <w:t>го найти»</w:t>
      </w:r>
      <w:r>
        <w:t>. Ввиду этих многократных угроз автор спрятал австрали</w:t>
      </w:r>
      <w:r>
        <w:t>й</w:t>
      </w:r>
      <w:r>
        <w:t xml:space="preserve">ский паспорт ребенка. </w:t>
      </w:r>
    </w:p>
    <w:p w:rsidR="00061AF7" w:rsidRPr="00061AF7" w:rsidRDefault="00061AF7" w:rsidP="0047277C">
      <w:pPr>
        <w:pStyle w:val="SingleTxtGR"/>
      </w:pPr>
      <w:r>
        <w:t>2.2</w:t>
      </w:r>
      <w:r>
        <w:tab/>
        <w:t>В феврале 2010 года автор возбудил в Польше судебный процесс с целью расторжения брака и получения опеки над ребенком.</w:t>
      </w:r>
    </w:p>
    <w:p w:rsidR="00061AF7" w:rsidRPr="00061AF7" w:rsidRDefault="00061AF7" w:rsidP="0047277C">
      <w:pPr>
        <w:pStyle w:val="SingleTxtGR"/>
      </w:pPr>
      <w:r>
        <w:t>2.3</w:t>
      </w:r>
      <w:r>
        <w:tab/>
        <w:t>5 марта 2010 года жена автора подала в австралийское посольство в Ва</w:t>
      </w:r>
      <w:r>
        <w:t>р</w:t>
      </w:r>
      <w:r>
        <w:t>шаве заявление о срочной выдаче паспорта их сыну. Паспорт был выдан 17</w:t>
      </w:r>
      <w:r w:rsidR="002D4EE8">
        <w:t> </w:t>
      </w:r>
      <w:r>
        <w:t>марта 2010 года</w:t>
      </w:r>
      <w:r w:rsidR="002D4EE8">
        <w:rPr>
          <w:rStyle w:val="FootnoteReference"/>
        </w:rPr>
        <w:footnoteReference w:id="2"/>
      </w:r>
      <w:r>
        <w:t>. Автор заявляет, что консул в австралийском посольстве, несмотря на то, что она была осведомлена о проходившем в Польше разбир</w:t>
      </w:r>
      <w:r>
        <w:t>а</w:t>
      </w:r>
      <w:r>
        <w:t>тельстве по делу о разводе и об опекунстве, рекомендовала жене автора подать заявление на срочное получение паспорта без согласия отца. Затем консул направила заявление в Канберру, сопроводив его рекомендацией о вынесении по нему положительного решения. Автор добавляет, что с целью получения этого паспорта его жена утверждала, что она была жертвой бытового насилия.</w:t>
      </w:r>
    </w:p>
    <w:p w:rsidR="00061AF7" w:rsidRPr="00061AF7" w:rsidRDefault="00061AF7" w:rsidP="0047277C">
      <w:pPr>
        <w:pStyle w:val="SingleTxtGR"/>
      </w:pPr>
      <w:r>
        <w:t>2.4</w:t>
      </w:r>
      <w:r>
        <w:tab/>
        <w:t>31 марта 2010 года жена автора вылетела с ребенком в Австралию без с</w:t>
      </w:r>
      <w:r>
        <w:t>о</w:t>
      </w:r>
      <w:r>
        <w:t>гласия отца. На следующий день автор подал жалобу в полицию Польши. После проведения полицейского расследования, автор узнал, что его жена и ребенок явились в австралийское посольство в Варшаве и оттуда на машине были д</w:t>
      </w:r>
      <w:r>
        <w:t>о</w:t>
      </w:r>
      <w:r>
        <w:t>ставлены сотрудниками посольства в аэропорт.</w:t>
      </w:r>
    </w:p>
    <w:p w:rsidR="00061AF7" w:rsidRPr="00061AF7" w:rsidRDefault="00061AF7" w:rsidP="0047277C">
      <w:pPr>
        <w:pStyle w:val="SingleTxtGR"/>
      </w:pPr>
      <w:r>
        <w:t>2.5</w:t>
      </w:r>
      <w:r>
        <w:tab/>
        <w:t>В результате возбужденного автором бракоразводного процесса брак был расторгнут на основании решения окружного суда города Плоцка, Польша, от 2</w:t>
      </w:r>
      <w:r w:rsidR="00887B9A">
        <w:t> </w:t>
      </w:r>
      <w:r>
        <w:t>августа 2010 года. Суд предоставил отцу единоличное право опеки над ребе</w:t>
      </w:r>
      <w:r>
        <w:t>н</w:t>
      </w:r>
      <w:r>
        <w:t>ком и постановил, что ребенок должен проживать с отцом. Тем временем, 13</w:t>
      </w:r>
      <w:r w:rsidR="00887B9A">
        <w:t> </w:t>
      </w:r>
      <w:r>
        <w:t>апреля 2010 года жена автора подала в суд по семейным делам штата Запа</w:t>
      </w:r>
      <w:r>
        <w:t>д</w:t>
      </w:r>
      <w:r>
        <w:t>ная Австралия ходатайство о получении опеки над ребенком. 21</w:t>
      </w:r>
      <w:r w:rsidR="005B3ECA">
        <w:t> </w:t>
      </w:r>
      <w:r>
        <w:t>апреля 2010</w:t>
      </w:r>
      <w:r w:rsidR="00887B9A">
        <w:t> </w:t>
      </w:r>
      <w:r>
        <w:t>года этот суд издал временное постановление о том, что ребенок должен проживать с матерью до последующего распоряжения.</w:t>
      </w:r>
    </w:p>
    <w:p w:rsidR="00061AF7" w:rsidRPr="00061AF7" w:rsidRDefault="00061AF7" w:rsidP="0047277C">
      <w:pPr>
        <w:pStyle w:val="SingleTxtGR"/>
      </w:pPr>
      <w:r>
        <w:t>2.6</w:t>
      </w:r>
      <w:r>
        <w:tab/>
        <w:t>18 июня 2010 года, в соответствии с Гаагской конвенцией о гражданско-правовых аспектах международного похищения детей, автор обратился в пол</w:t>
      </w:r>
      <w:r>
        <w:t>ь</w:t>
      </w:r>
      <w:r>
        <w:t>ский центральный орган с ходатайством о возвращении сына, которое было направлено центральному органу Австралии. Решением от 4 февраля 2011 года суд по семейным делам штата Западная Австралия постановил, что, в соотве</w:t>
      </w:r>
      <w:r>
        <w:t>т</w:t>
      </w:r>
      <w:r>
        <w:t>ствии с Гаагской конвенцией, сын автора должен быть возвращен в Польшу.</w:t>
      </w:r>
    </w:p>
    <w:p w:rsidR="00061AF7" w:rsidRPr="00061AF7" w:rsidRDefault="00061AF7" w:rsidP="0047277C">
      <w:pPr>
        <w:pStyle w:val="SingleTxtGR"/>
      </w:pPr>
      <w:r>
        <w:t>2.7</w:t>
      </w:r>
      <w:r>
        <w:tab/>
        <w:t>16 февраля 2011 года бывшая супруга автора подала апелляцию на реш</w:t>
      </w:r>
      <w:r>
        <w:t>е</w:t>
      </w:r>
      <w:r>
        <w:t>ние суда по семейным делам в суд полного состава штата Западная Австралия, в которой она оспаривала решение о том, что постоянным место проживания ребенка являлась Польша. 13 апреля 2011 года судом полного состава было проведено устное слушание. Автор отмечает, что результат был предопределен, так как председательствовавший на заседании судья обратил</w:t>
      </w:r>
      <w:r w:rsidR="00386D80">
        <w:t>ся к его бывшей жене и сказал: «</w:t>
      </w:r>
      <w:r>
        <w:t>Не волнуйтесь, мы никому не позволим отнять у Вас Вашего ре</w:t>
      </w:r>
      <w:r w:rsidR="00386D80">
        <w:t>бенка»</w:t>
      </w:r>
      <w:r w:rsidR="00386D80">
        <w:rPr>
          <w:rStyle w:val="FootnoteReference"/>
        </w:rPr>
        <w:footnoteReference w:id="3"/>
      </w:r>
      <w:r>
        <w:t>. Автор добавляет, что его бывшей жене было разрешено представить дополнительные материалы, и она была подвергнута перекрестному допросу, а ему в этом было отказано, несмотря на то, что государственный адвокат заявил, что автор может быть подвергнут перекрестному допросу. Согласно заявлению автора, судьи не рассмотрели доказательства, которые он предлагал предст</w:t>
      </w:r>
      <w:r>
        <w:t>а</w:t>
      </w:r>
      <w:r>
        <w:t>вить, в том числе эмиграционную карточку из аэропорта, подписанную бывшей супругой автора, на которой она указала, что она уезжала из Австралии навс</w:t>
      </w:r>
      <w:r>
        <w:t>е</w:t>
      </w:r>
      <w:r>
        <w:t>гда, авиабилеты в один конец и заявления их сына, в которых говорится о том, что он подвергался физическому насилию со стороны матери. Судьи проигн</w:t>
      </w:r>
      <w:r>
        <w:t>о</w:t>
      </w:r>
      <w:r>
        <w:t xml:space="preserve">рировали эти доказательства и полностью учли доказательства, представленные его бывшей женой, вследствие чего сделали неверные фактологические выводы и пришли к заключению о том, что ребенок обычно проживал в Австралии. Он отмечает, что суд полного состава должен был вернуть дело в суд по семейным делам для повторного слушания. </w:t>
      </w:r>
    </w:p>
    <w:p w:rsidR="00061AF7" w:rsidRPr="00061AF7" w:rsidRDefault="00061AF7" w:rsidP="0047277C">
      <w:pPr>
        <w:pStyle w:val="SingleTxtGR"/>
      </w:pPr>
      <w:r>
        <w:t>2.8</w:t>
      </w:r>
      <w:r>
        <w:tab/>
        <w:t>8 июля 2011 года суд полного состава отменил решение суда по семе</w:t>
      </w:r>
      <w:r>
        <w:t>й</w:t>
      </w:r>
      <w:r>
        <w:t xml:space="preserve">ным делам, мотивируя свое заключение тем, что австралийский центральный орган не должен был принимать заявление о возвращении ребенка, постоянно проживающего в Австралии. </w:t>
      </w:r>
    </w:p>
    <w:p w:rsidR="00061AF7" w:rsidRPr="00061AF7" w:rsidRDefault="00061AF7" w:rsidP="0047277C">
      <w:pPr>
        <w:pStyle w:val="SingleTxtGR"/>
      </w:pPr>
      <w:r>
        <w:t>2.9</w:t>
      </w:r>
      <w:r>
        <w:tab/>
        <w:t>Просьба автора об обжаловании решения суда полного состава в Высоком суде Австралии была отклонена австралийским центральным органом. Две просьбы об обжаловании, направленные в 2011 году польским центральным о</w:t>
      </w:r>
      <w:r>
        <w:t>р</w:t>
      </w:r>
      <w:r>
        <w:t>ганом центральному органу Австралии, также были отклонены. Прямое обр</w:t>
      </w:r>
      <w:r>
        <w:t>а</w:t>
      </w:r>
      <w:r>
        <w:t>щение автора в Высокий суд за получением специального разрешения на под</w:t>
      </w:r>
      <w:r>
        <w:t>а</w:t>
      </w:r>
      <w:r>
        <w:t>чу апелляции было также отклонено на том основании, что он не являлся ст</w:t>
      </w:r>
      <w:r>
        <w:t>о</w:t>
      </w:r>
      <w:r>
        <w:t>роной разбирательства. Автор отмечает, что</w:t>
      </w:r>
      <w:r w:rsidR="00386D80">
        <w:t>,</w:t>
      </w:r>
      <w:r>
        <w:t xml:space="preserve"> хотя он выступал в качестве ст</w:t>
      </w:r>
      <w:r>
        <w:t>о</w:t>
      </w:r>
      <w:r>
        <w:t>роны разбирательства в суде по семейным делам в Перте, его имя было вычер</w:t>
      </w:r>
      <w:r>
        <w:t>к</w:t>
      </w:r>
      <w:r>
        <w:t xml:space="preserve">нуто, когда это дело было передано на рассмотрение суда полного состава. </w:t>
      </w:r>
    </w:p>
    <w:p w:rsidR="00061AF7" w:rsidRPr="00061AF7" w:rsidRDefault="00061AF7" w:rsidP="0047277C">
      <w:pPr>
        <w:pStyle w:val="SingleTxtGR"/>
      </w:pPr>
      <w:r>
        <w:t>2.10</w:t>
      </w:r>
      <w:r>
        <w:tab/>
        <w:t>6 декабря 2011 года автор подал ходатайство в австралийский централ</w:t>
      </w:r>
      <w:r>
        <w:t>ь</w:t>
      </w:r>
      <w:r>
        <w:t>ный орган с просьбой предоставить ему доступ к сыну. В ответ на это 1 ноября 2012 года центральный орган направил автору просьбу заполнить дополнител</w:t>
      </w:r>
      <w:r>
        <w:t>ь</w:t>
      </w:r>
      <w:r>
        <w:t>ное заявление на получение доступа. Заявление на получение доступа в соо</w:t>
      </w:r>
      <w:r>
        <w:t>т</w:t>
      </w:r>
      <w:r>
        <w:t>ветствии с Гаагской конвенцией было подано в суд по семейным делам штата Западная Австралия 2 июля 2013 года и 29 января 2014 года его рассмотрение было приостановлено на неопределенный срок ввиду одновременного внутре</w:t>
      </w:r>
      <w:r>
        <w:t>н</w:t>
      </w:r>
      <w:r>
        <w:t>него разбирательства, возбужденного бывшей супругой автора 13</w:t>
      </w:r>
      <w:r w:rsidR="005B3ECA">
        <w:t> </w:t>
      </w:r>
      <w:r>
        <w:t>апреля 2010</w:t>
      </w:r>
      <w:r w:rsidR="00887B9A">
        <w:t> </w:t>
      </w:r>
      <w:r>
        <w:t xml:space="preserve">года. </w:t>
      </w:r>
    </w:p>
    <w:p w:rsidR="00061AF7" w:rsidRPr="00061AF7" w:rsidRDefault="00061AF7" w:rsidP="0047277C">
      <w:pPr>
        <w:pStyle w:val="SingleTxtGR"/>
      </w:pPr>
      <w:r>
        <w:t>2.11</w:t>
      </w:r>
      <w:r>
        <w:tab/>
        <w:t>27 мая 2014 года суд по семейным делам штата Западная Австралия п</w:t>
      </w:r>
      <w:r>
        <w:t>о</w:t>
      </w:r>
      <w:r>
        <w:t>становил отменить все предыдущие постановления о родительских правах и возложил исключительную родительскую ответственность за ребенка на мать. Суд также постановил, что реб</w:t>
      </w:r>
      <w:r w:rsidR="00386D80">
        <w:t>енок должен проживать с матерью</w:t>
      </w:r>
      <w:r>
        <w:t xml:space="preserve"> и что отцу разрешается общаться с ребенком в Австралии под наблюдением либо матери либо представителя назначенного учреждения в сроки, согласованные с мат</w:t>
      </w:r>
      <w:r>
        <w:t>е</w:t>
      </w:r>
      <w:r>
        <w:t xml:space="preserve">рью, и на основании письменного уведомления, поданного не менее чем за две недели. </w:t>
      </w:r>
    </w:p>
    <w:p w:rsidR="00061AF7" w:rsidRPr="00061AF7" w:rsidRDefault="00061AF7" w:rsidP="00887B9A">
      <w:pPr>
        <w:pStyle w:val="H23GR"/>
      </w:pPr>
      <w:r>
        <w:tab/>
      </w:r>
      <w:r>
        <w:tab/>
        <w:t>Жалоба</w:t>
      </w:r>
    </w:p>
    <w:p w:rsidR="00061AF7" w:rsidRPr="00061AF7" w:rsidRDefault="00061AF7" w:rsidP="0047277C">
      <w:pPr>
        <w:pStyle w:val="SingleTxtGR"/>
      </w:pPr>
      <w:r>
        <w:t>3.1</w:t>
      </w:r>
      <w:r>
        <w:tab/>
        <w:t>Автор утверждает, что изъятие у него и его семьи в Польше его ребенка равносильно произвольному вмешательству в его семейную и домашнюю жизнь в нарушение статьи 17 Пакта. Это принудительное изъятие также уще</w:t>
      </w:r>
      <w:r>
        <w:t>м</w:t>
      </w:r>
      <w:r>
        <w:t>ляет право автора на семейную жизнь в нарушение пункта 1 статьи 23 Пакта. Автор добавляет, что неправомерные выводы относительно предполагаемых случаев насилия в семье без проведения надлежащего расследования судом полного состава также являются нарушением статьи 17.</w:t>
      </w:r>
    </w:p>
    <w:p w:rsidR="00061AF7" w:rsidRPr="00061AF7" w:rsidRDefault="00061AF7" w:rsidP="0047277C">
      <w:pPr>
        <w:pStyle w:val="SingleTxtGR"/>
      </w:pPr>
      <w:r>
        <w:t>3.2</w:t>
      </w:r>
      <w:r>
        <w:tab/>
        <w:t>Автор утверждает, что имело место нарушение статьи 14 Пакта, поскол</w:t>
      </w:r>
      <w:r>
        <w:t>ь</w:t>
      </w:r>
      <w:r>
        <w:t>ку ему было отказано в праве на справедливое судебное разбирательство судом полного состава, который опирался на обвинения его бывшей жены, не ра</w:t>
      </w:r>
      <w:r>
        <w:t>с</w:t>
      </w:r>
      <w:r>
        <w:t>смотрел надлежащим образом доказательства, представленные автором, и по</w:t>
      </w:r>
      <w:r>
        <w:t>д</w:t>
      </w:r>
      <w:r>
        <w:t>верг перекрестному допросу только его бывшую жену, нарушая тем самым принцип равенства состязательных возможностей. Кроме того, ему не было разрешено обжаловать решение суда полного состава на том основании, что он не являлся стороной разбирательства, в результате чего он был лишен возмо</w:t>
      </w:r>
      <w:r>
        <w:t>ж</w:t>
      </w:r>
      <w:r>
        <w:t>ности обеспечить себе защиту от исходных предположений суда полного сост</w:t>
      </w:r>
      <w:r>
        <w:t>а</w:t>
      </w:r>
      <w:r>
        <w:t xml:space="preserve">ва. </w:t>
      </w:r>
    </w:p>
    <w:p w:rsidR="00061AF7" w:rsidRPr="00061AF7" w:rsidRDefault="00061AF7" w:rsidP="0047277C">
      <w:pPr>
        <w:pStyle w:val="SingleTxtGR"/>
      </w:pPr>
      <w:r>
        <w:t>3.3</w:t>
      </w:r>
      <w:r>
        <w:tab/>
        <w:t>Автор утверждает, что мнение его сына не было адекватным образом представлено, поскольку у сына не было своего представителя в суде. Поэтому его интересы не могли быть надлежащим образом определены независимо от интересов матери, что явилось нарушением гарантий справедливого судебного разбирательства и отказом ему в защите, закрепленной статьей 24 Пакта. Кроме того, автор утверждает, что суд полного состава не действовал в наилучших и</w:t>
      </w:r>
      <w:r>
        <w:t>н</w:t>
      </w:r>
      <w:r>
        <w:t>тересах ребенка, поскольку им не были приняты к рассмотрению письменные заявления ребенка в отношении физического и морального насилия со стороны матери.</w:t>
      </w:r>
    </w:p>
    <w:p w:rsidR="00061AF7" w:rsidRPr="00061AF7" w:rsidRDefault="00061AF7" w:rsidP="0047277C">
      <w:pPr>
        <w:pStyle w:val="SingleTxtGR"/>
      </w:pPr>
      <w:r>
        <w:t>3.4</w:t>
      </w:r>
      <w:r>
        <w:tab/>
        <w:t>Автор заявляет, что, отказав ему в обжаловании решения суда полного состава, центральный орган Австралии лишил его и его сына права на излож</w:t>
      </w:r>
      <w:r>
        <w:t>е</w:t>
      </w:r>
      <w:r>
        <w:t>ние своих мнений в суде в нарушение статей 14 и 26 Пакта. Автор добавляет, что его сын не был представлен адвокатом по защите прав ребенка и не получал помощь назначенного судом детского психолога.</w:t>
      </w:r>
    </w:p>
    <w:p w:rsidR="00061AF7" w:rsidRPr="00061AF7" w:rsidRDefault="00061AF7" w:rsidP="0047277C">
      <w:pPr>
        <w:pStyle w:val="SingleTxtGR"/>
      </w:pPr>
      <w:r>
        <w:t>3.5</w:t>
      </w:r>
      <w:r>
        <w:tab/>
        <w:t>Автор утверждает, что центральный орган Австралии также нарушил пункт 3 с) статьи 14 и статью 26, чрезмерно затянув передачу дела в суд и з</w:t>
      </w:r>
      <w:r>
        <w:t>а</w:t>
      </w:r>
      <w:r>
        <w:t>вершение разбирательства по вопросу о доступе к ребенку согласно Гаагской конвенции. Автор отмечает, что единственная цель ответа центрального органа Австралии, направленного ему через год после того, как он подал ходатайство о предоставлении ему доступа к ребенку, и содержащего просьбу о предоставл</w:t>
      </w:r>
      <w:r>
        <w:t>е</w:t>
      </w:r>
      <w:r>
        <w:t>нии новой формы с новой датой, состояла в том, чтобы затянуть разбирател</w:t>
      </w:r>
      <w:r>
        <w:t>ь</w:t>
      </w:r>
      <w:r>
        <w:t>ство по делу о доступе.</w:t>
      </w:r>
    </w:p>
    <w:p w:rsidR="00061AF7" w:rsidRPr="00061AF7" w:rsidRDefault="00061AF7" w:rsidP="0047277C">
      <w:pPr>
        <w:pStyle w:val="SingleTxtGR"/>
      </w:pPr>
      <w:r>
        <w:t>3.6</w:t>
      </w:r>
      <w:r>
        <w:tab/>
        <w:t>Автор также заявляет о нарушении пункта 1 статьи 3, пункта 1 статьи 9 и статьи 12 Конвенции о правах ребенка.</w:t>
      </w:r>
    </w:p>
    <w:p w:rsidR="00061AF7" w:rsidRPr="00061AF7" w:rsidRDefault="00061AF7" w:rsidP="00887B9A">
      <w:pPr>
        <w:pStyle w:val="H23GR"/>
      </w:pPr>
      <w:r>
        <w:tab/>
      </w:r>
      <w:r>
        <w:tab/>
        <w:t>Замечания государства-участника относительно приемлемости и существа сообщения</w:t>
      </w:r>
    </w:p>
    <w:p w:rsidR="00061AF7" w:rsidRPr="00061AF7" w:rsidRDefault="00061AF7" w:rsidP="0047277C">
      <w:pPr>
        <w:pStyle w:val="SingleTxtGR"/>
      </w:pPr>
      <w:r>
        <w:t>4.1</w:t>
      </w:r>
      <w:r>
        <w:tab/>
        <w:t>В своем представлении от 17 июня 2014 года государство-участник осп</w:t>
      </w:r>
      <w:r>
        <w:t>а</w:t>
      </w:r>
      <w:r>
        <w:t>ривает приемлемость и существо сообщения. Государство-участник утверждает, что хотя автор исчерпал имеющиеся средства правовой защиты в соответствии с процедурой, предусмотренной Гаагской конвенцией, им не были исчерпаны внутренние средства правовой защиты, предусмотренные Законом о семейном праве 1975 года относительно установления опеки над ребенком, которые по</w:t>
      </w:r>
      <w:r>
        <w:t>з</w:t>
      </w:r>
      <w:r>
        <w:t>воляли автору ходатайствовать о возвращении его ребенка в Польшу.</w:t>
      </w:r>
    </w:p>
    <w:p w:rsidR="00061AF7" w:rsidRPr="00061AF7" w:rsidRDefault="00061AF7" w:rsidP="0047277C">
      <w:pPr>
        <w:pStyle w:val="SingleTxtGR"/>
      </w:pPr>
      <w:r>
        <w:t>4.2</w:t>
      </w:r>
      <w:r>
        <w:tab/>
        <w:t>В этой связи государство-участник утверждает, что претензии автора по статье 14 Пакта не были достаточно обоснованы. Автор не заявляет, что какие-либо конкретные положения данной статьи были нарушены, но высказывает лишь претензии общего характера относительно действий суда полного состава в связи с оценкой доказательств, обеспечением процессуальной справедлив</w:t>
      </w:r>
      <w:r>
        <w:t>о</w:t>
      </w:r>
      <w:r>
        <w:t>сти, равенства состязательных возможностей, отказом в правосудии и соблюд</w:t>
      </w:r>
      <w:r>
        <w:t>е</w:t>
      </w:r>
      <w:r>
        <w:t xml:space="preserve">нием принципа беспристрастности. </w:t>
      </w:r>
    </w:p>
    <w:p w:rsidR="00061AF7" w:rsidRPr="00061AF7" w:rsidRDefault="00061AF7" w:rsidP="0047277C">
      <w:pPr>
        <w:pStyle w:val="SingleTxtGR"/>
      </w:pPr>
      <w:r>
        <w:t>4.3</w:t>
      </w:r>
      <w:r>
        <w:tab/>
        <w:t>Государство-участник отмечает, что суд полного состава отклонил ход</w:t>
      </w:r>
      <w:r>
        <w:t>а</w:t>
      </w:r>
      <w:r>
        <w:t>тайство матери о представлении доказательств, связанных с насилием в семье. Суд полного состава пришел к выводу о том, что ребенок автора не проживает обычно в Польше, и не вынес никакого заключения по вопросу о насилии в с</w:t>
      </w:r>
      <w:r>
        <w:t>е</w:t>
      </w:r>
      <w:r>
        <w:t>мье. Поэтому эта претензия также является недостаточно обоснованной.</w:t>
      </w:r>
    </w:p>
    <w:p w:rsidR="00061AF7" w:rsidRPr="00061AF7" w:rsidRDefault="00061AF7" w:rsidP="0047277C">
      <w:pPr>
        <w:pStyle w:val="SingleTxtGR"/>
      </w:pPr>
      <w:r>
        <w:t>4.4</w:t>
      </w:r>
      <w:r>
        <w:tab/>
        <w:t>Что касается утверждений автора в связи с пунктом 3 статьи 14 Пакта, то государство-участник считает, что разбирательство, осуществляемое в соотве</w:t>
      </w:r>
      <w:r>
        <w:t>т</w:t>
      </w:r>
      <w:r>
        <w:t>ствии с Гаагской конвенцией, не является уголовным судопроизводством и п</w:t>
      </w:r>
      <w:r>
        <w:t>о</w:t>
      </w:r>
      <w:r>
        <w:t>этому не подпадает под сферу действия указанного положения.</w:t>
      </w:r>
    </w:p>
    <w:p w:rsidR="00061AF7" w:rsidRPr="00061AF7" w:rsidRDefault="00061AF7" w:rsidP="0047277C">
      <w:pPr>
        <w:pStyle w:val="SingleTxtGR"/>
      </w:pPr>
      <w:r>
        <w:t>4.5</w:t>
      </w:r>
      <w:r>
        <w:tab/>
        <w:t>В отношении утверждений автора относительно равенства состязател</w:t>
      </w:r>
      <w:r>
        <w:t>ь</w:t>
      </w:r>
      <w:r>
        <w:t>ных возможностей государство-участник отмечает, что автор не являлся стор</w:t>
      </w:r>
      <w:r>
        <w:t>о</w:t>
      </w:r>
      <w:r>
        <w:t>ной разбирательства в суде полного состава, и поэтому эти утверждения лиш</w:t>
      </w:r>
      <w:r>
        <w:t>е</w:t>
      </w:r>
      <w:r>
        <w:t>ны оснований.</w:t>
      </w:r>
    </w:p>
    <w:p w:rsidR="00061AF7" w:rsidRPr="00061AF7" w:rsidRDefault="00061AF7" w:rsidP="0047277C">
      <w:pPr>
        <w:pStyle w:val="SingleTxtGR"/>
      </w:pPr>
      <w:r>
        <w:t>4.6</w:t>
      </w:r>
      <w:r>
        <w:tab/>
        <w:t>Государство-участник заявляет, что</w:t>
      </w:r>
      <w:r w:rsidR="00386D80">
        <w:t>,</w:t>
      </w:r>
      <w:r>
        <w:t xml:space="preserve"> если Комитет сочтет претензии авт</w:t>
      </w:r>
      <w:r>
        <w:t>о</w:t>
      </w:r>
      <w:r>
        <w:t>ра по статье 14 приемлемыми, их следует отклонить в качестве безосновател</w:t>
      </w:r>
      <w:r>
        <w:t>ь</w:t>
      </w:r>
      <w:r>
        <w:t>ных. Суд полного состава удовлетворил критерию принципа беспристрастн</w:t>
      </w:r>
      <w:r>
        <w:t>о</w:t>
      </w:r>
      <w:r>
        <w:t>сти, согласно которому судьи должны быть свободными и должны восприн</w:t>
      </w:r>
      <w:r>
        <w:t>и</w:t>
      </w:r>
      <w:r>
        <w:t>маться в качестве свободных от предвзятости. Нет никаких доказательств того, что суд полного состава не был беспристрастным. Что касается принципа р</w:t>
      </w:r>
      <w:r>
        <w:t>а</w:t>
      </w:r>
      <w:r>
        <w:t>венства состязательных возможностей, то государство-участник отмечает, что этот принцип не имеет значения, поскольку автор не являлся стороной разбир</w:t>
      </w:r>
      <w:r>
        <w:t>а</w:t>
      </w:r>
      <w:r>
        <w:t>тельства в суде полного состава. Наконец, государство-участник отмечает, что суд полного состава выработал свою точку зрения по поводу относимости представленных матерью доказательств в контексте всего хода слушаний.</w:t>
      </w:r>
    </w:p>
    <w:p w:rsidR="00061AF7" w:rsidRPr="00061AF7" w:rsidRDefault="00061AF7" w:rsidP="0047277C">
      <w:pPr>
        <w:pStyle w:val="SingleTxtGR"/>
      </w:pPr>
      <w:r>
        <w:t>4.7</w:t>
      </w:r>
      <w:r>
        <w:tab/>
        <w:t>В отношении претензий автора по статье 17 Пакта государство-участник отмечает, что автор не сумел сформулировать конкретные обвинения и обосн</w:t>
      </w:r>
      <w:r>
        <w:t>о</w:t>
      </w:r>
      <w:r>
        <w:t>вать эти претензии. В частности, автор не пояснил, почему срочная выдача па</w:t>
      </w:r>
      <w:r>
        <w:t>с</w:t>
      </w:r>
      <w:r>
        <w:t>порта являлась незаконным или произвольным актом. Несмотря на заявление матери о случаях насилия в семье, государство-участник отмечает, что это не явилось основанием для выдачи паспорта. Паспорт был выдан с целью позв</w:t>
      </w:r>
      <w:r>
        <w:t>о</w:t>
      </w:r>
      <w:r>
        <w:t>лить ребенку вернуться в место его обычного проживания и родителям ребенка урегулировать спор об опеке в австралийском суде. Таким образом, решение о выдаче паспорта было обоснованным и объективным и находилось в соотве</w:t>
      </w:r>
      <w:r>
        <w:t>т</w:t>
      </w:r>
      <w:r>
        <w:t>ствии с австралийским законодательством.</w:t>
      </w:r>
    </w:p>
    <w:p w:rsidR="00061AF7" w:rsidRPr="00061AF7" w:rsidRDefault="00061AF7" w:rsidP="0047277C">
      <w:pPr>
        <w:pStyle w:val="SingleTxtGR"/>
      </w:pPr>
      <w:r>
        <w:t>4.8</w:t>
      </w:r>
      <w:r>
        <w:tab/>
        <w:t>В отношении претензий автора по статье 23 Пакта государство-участник отмечает, что Комитет рассматривал вопрос о нарушении этой статьи лишь в связи с нарушением статьи 17. Автор не обосновал достаточным образом отсу</w:t>
      </w:r>
      <w:r>
        <w:t>т</w:t>
      </w:r>
      <w:r>
        <w:t>ствие адекватных мер по защите его ребенка в ходе разбирательства в суде по</w:t>
      </w:r>
      <w:r>
        <w:t>л</w:t>
      </w:r>
      <w:r>
        <w:t>ного состава. Что касается существа дела, то государство-участник отмечает, что постановление суда полного состава не было произвольным или незако</w:t>
      </w:r>
      <w:r>
        <w:t>н</w:t>
      </w:r>
      <w:r>
        <w:t>ным, и что при вынесении своего решения суд полного состава должным обр</w:t>
      </w:r>
      <w:r>
        <w:t>а</w:t>
      </w:r>
      <w:r>
        <w:t>зом рассмотрел имевшиеся доказательства.</w:t>
      </w:r>
    </w:p>
    <w:p w:rsidR="00061AF7" w:rsidRPr="00061AF7" w:rsidRDefault="00061AF7" w:rsidP="0047277C">
      <w:pPr>
        <w:pStyle w:val="SingleTxtGR"/>
      </w:pPr>
      <w:r>
        <w:t>4.9</w:t>
      </w:r>
      <w:r>
        <w:tab/>
        <w:t>В этой связи государство-участник утверждает, что претензии автора по статье 24 Пакта следует признать неприемлемыми ввиду отсутствия достато</w:t>
      </w:r>
      <w:r>
        <w:t>ч</w:t>
      </w:r>
      <w:r>
        <w:t>ного обоснования. Суд полного состава постановил, что надлежащей юрисди</w:t>
      </w:r>
      <w:r>
        <w:t>к</w:t>
      </w:r>
      <w:r>
        <w:t>цией для определения родительских обязанностей в отношении ребенка являе</w:t>
      </w:r>
      <w:r>
        <w:t>т</w:t>
      </w:r>
      <w:r>
        <w:t>ся Австралия. Государство-участник отмечает, что Комитет не должен давать оценку фактам и доказательствам, если только не становится очевидным, что решение суда было явно произвольным или было равносильно отказу в прав</w:t>
      </w:r>
      <w:r>
        <w:t>о</w:t>
      </w:r>
      <w:r>
        <w:t>судии. По существу вопроса государство-участник утверждает, что сыну автора были обеспечены мер защиты, поскольку разбирательство по Гаагской конве</w:t>
      </w:r>
      <w:r>
        <w:t>н</w:t>
      </w:r>
      <w:r>
        <w:t>ции является надлежащей правовой основой для рассмотрения этого дела. Эти процедуры предусматривают определение юрисдикции для урегулирования в</w:t>
      </w:r>
      <w:r>
        <w:t>о</w:t>
      </w:r>
      <w:r>
        <w:t>просов, касающихся выполнения родительских обязанностей, и не предназн</w:t>
      </w:r>
      <w:r>
        <w:t>а</w:t>
      </w:r>
      <w:r>
        <w:t>чены для проведения исчерпывающего анализа условий будущего ухода, отв</w:t>
      </w:r>
      <w:r>
        <w:t>е</w:t>
      </w:r>
      <w:r>
        <w:t>чающих наилучшим интересам ребенка. Суд полного состава по сути рассма</w:t>
      </w:r>
      <w:r>
        <w:t>т</w:t>
      </w:r>
      <w:r>
        <w:t>ривал вопрос о том, действительно ли ребенок обычно проживал в Польше, с тем чтобы определить, должен ли ребенок быть возвращен в Польшу с целью урегулирования в этой стране вопросов по уходу за ребенком. Австралийское законодательство предусматривает назначение независимого адвоката по защ</w:t>
      </w:r>
      <w:r>
        <w:t>и</w:t>
      </w:r>
      <w:r>
        <w:t>те прав ребенка в исключительных обстоятельствах, в том числе в случаях, к</w:t>
      </w:r>
      <w:r>
        <w:t>о</w:t>
      </w:r>
      <w:r>
        <w:t xml:space="preserve">гда один из родителей ссылается на возражения ребенка против возвращения. Государство-участник отмечает, что в данном случае это положение не имело отношения к вопросу определения места постоянного проживания ребенка. </w:t>
      </w:r>
    </w:p>
    <w:p w:rsidR="00061AF7" w:rsidRPr="00061AF7" w:rsidRDefault="00061AF7" w:rsidP="0047277C">
      <w:pPr>
        <w:pStyle w:val="SingleTxtGR"/>
      </w:pPr>
      <w:r>
        <w:t>4.10</w:t>
      </w:r>
      <w:r>
        <w:tab/>
        <w:t>Относительно претензий автора в связи со статьей 26 Пакта государство-участник отмечает, что эти претензии не были достаточно обоснованы, и не были представлены убедительные доказательства, указывающие на диффере</w:t>
      </w:r>
      <w:r>
        <w:t>н</w:t>
      </w:r>
      <w:r>
        <w:t>цированное обращение со стороны суда по отношению к автору. Государство-участник добавляет, что в любом случае такие заявления являются неубед</w:t>
      </w:r>
      <w:r>
        <w:t>и</w:t>
      </w:r>
      <w:r>
        <w:t xml:space="preserve">тельными, поскольку неясно, на каком основании автор или его ребенок могли подвергаться дискриминации. </w:t>
      </w:r>
    </w:p>
    <w:p w:rsidR="00061AF7" w:rsidRPr="00061AF7" w:rsidRDefault="00061AF7" w:rsidP="0047277C">
      <w:pPr>
        <w:pStyle w:val="SingleTxtGR"/>
      </w:pPr>
      <w:r>
        <w:t>4.11</w:t>
      </w:r>
      <w:r>
        <w:tab/>
        <w:t>Государство-участник утверждает, что претензии автора по Конвенции о правах ребенка выходят за рамки мандата Комитета и должны быть признаны неприемлемыми ratione materiae.</w:t>
      </w:r>
    </w:p>
    <w:p w:rsidR="00061AF7" w:rsidRPr="00061AF7" w:rsidRDefault="00061AF7" w:rsidP="00FD4438">
      <w:pPr>
        <w:pStyle w:val="H23GR"/>
      </w:pPr>
      <w:r>
        <w:tab/>
      </w:r>
      <w:r>
        <w:tab/>
        <w:t>Комментарии автора к замечаниям государства-участника</w:t>
      </w:r>
    </w:p>
    <w:p w:rsidR="00061AF7" w:rsidRPr="00061AF7" w:rsidRDefault="00061AF7" w:rsidP="0047277C">
      <w:pPr>
        <w:pStyle w:val="SingleTxtGR"/>
      </w:pPr>
      <w:r>
        <w:t>5.</w:t>
      </w:r>
      <w:r>
        <w:tab/>
        <w:t>20 июля 2014 года автор представил комментарии к замечаниям госуда</w:t>
      </w:r>
      <w:r>
        <w:t>р</w:t>
      </w:r>
      <w:r>
        <w:t>ства-участника, в которых он вновь изложил свои предыдущие аргументы. А</w:t>
      </w:r>
      <w:r>
        <w:t>в</w:t>
      </w:r>
      <w:r>
        <w:t>тор отмечает, что представленная им в Комитет жалоба не касается возбужде</w:t>
      </w:r>
      <w:r>
        <w:t>н</w:t>
      </w:r>
      <w:r>
        <w:t>ного его бывшей женой разбирательства по делу об опеке в Австралии, и что поэтому он не обязан исчерпывать эти средства в Австралии. Он добавляет, что он уже получил окончательное судебное постановление польского суда по в</w:t>
      </w:r>
      <w:r>
        <w:t>о</w:t>
      </w:r>
      <w:r>
        <w:t>просам развода и опеки.</w:t>
      </w:r>
    </w:p>
    <w:p w:rsidR="00061AF7" w:rsidRPr="00061AF7" w:rsidRDefault="00061AF7" w:rsidP="00FD4438">
      <w:pPr>
        <w:pStyle w:val="H23GR"/>
      </w:pPr>
      <w:r>
        <w:tab/>
      </w:r>
      <w:r>
        <w:tab/>
        <w:t>Вопросы и процедуры, находящиеся на рассмотрении Комитета</w:t>
      </w:r>
    </w:p>
    <w:p w:rsidR="00061AF7" w:rsidRPr="00061AF7" w:rsidRDefault="00061AF7" w:rsidP="00FD4438">
      <w:pPr>
        <w:pStyle w:val="H4GR"/>
      </w:pPr>
      <w:r>
        <w:tab/>
      </w:r>
      <w:r>
        <w:tab/>
        <w:t>Рассмотрение вопроса о приемлемости</w:t>
      </w:r>
    </w:p>
    <w:p w:rsidR="00061AF7" w:rsidRPr="00061AF7" w:rsidRDefault="00061AF7" w:rsidP="0047277C">
      <w:pPr>
        <w:pStyle w:val="SingleTxtGR"/>
      </w:pPr>
      <w:r>
        <w:t>6.1</w:t>
      </w:r>
      <w:r>
        <w:tab/>
        <w:t>Прежде чем приступать к рассмотрению любой жалобы, содержащейся в сообщении, Комитет должен в соответствии с правилом 93 своих правил проц</w:t>
      </w:r>
      <w:r>
        <w:t>е</w:t>
      </w:r>
      <w:r>
        <w:t>дуры принять решение о том, является ли оно приемлемым в соответствии с Факультативным протоколом к Конвенции.</w:t>
      </w:r>
    </w:p>
    <w:p w:rsidR="00061AF7" w:rsidRPr="00061AF7" w:rsidRDefault="00061AF7" w:rsidP="0047277C">
      <w:pPr>
        <w:pStyle w:val="SingleTxtGR"/>
      </w:pPr>
      <w:r>
        <w:t>6.2</w:t>
      </w:r>
      <w:r>
        <w:tab/>
        <w:t>Комитет удостоверился, как того требует пункт 2 а) статьи 5 Факульт</w:t>
      </w:r>
      <w:r>
        <w:t>а</w:t>
      </w:r>
      <w:r>
        <w:t>тивного протокола, что тот же самый вопрос не рассматривается в соответствии с другой процедурой международного разбирательства или урегулирования.</w:t>
      </w:r>
    </w:p>
    <w:p w:rsidR="00061AF7" w:rsidRPr="00061AF7" w:rsidRDefault="00061AF7" w:rsidP="0047277C">
      <w:pPr>
        <w:pStyle w:val="SingleTxtGR"/>
      </w:pPr>
      <w:r>
        <w:t>6.3</w:t>
      </w:r>
      <w:r>
        <w:tab/>
        <w:t>Комитет принимает к сведению аргумент государства-участника о том, что хотя автор исчерпал внутренние средства правовой защиты в рамках разб</w:t>
      </w:r>
      <w:r>
        <w:t>и</w:t>
      </w:r>
      <w:r>
        <w:t>рательства по вопросу о возвращении в соответствии с Гаагской конвенцией, он не исчерпал внутренних средств правовой защиты в соответствии с Законом о семейном праве 1975 года, и что он мог бы также запросить возвращение сво</w:t>
      </w:r>
      <w:r>
        <w:t>е</w:t>
      </w:r>
      <w:r>
        <w:t>го ребенка в рамках этой процедуры. В то же время Комитет отмечает, что а</w:t>
      </w:r>
      <w:r>
        <w:t>в</w:t>
      </w:r>
      <w:r>
        <w:t>тор, проживающий в Польше, приложил значительные усилия в виде админ</w:t>
      </w:r>
      <w:r>
        <w:t>и</w:t>
      </w:r>
      <w:r>
        <w:t>стративных и судебных мер как в Польше, так и в Австралии для получения д</w:t>
      </w:r>
      <w:r>
        <w:t>о</w:t>
      </w:r>
      <w:r>
        <w:t>ступа к своему сыну и опекунства над ним. В результате предпринятых в Польше судебных действий в апреле 2010 года суд вынес решение о предоста</w:t>
      </w:r>
      <w:r>
        <w:t>в</w:t>
      </w:r>
      <w:r>
        <w:t>лении ему права опеки над ребенком. Относительно действий автора, предпр</w:t>
      </w:r>
      <w:r>
        <w:t>и</w:t>
      </w:r>
      <w:r>
        <w:t>нятых в государстве-участнике, Комитет обращает внимание на то, что они б</w:t>
      </w:r>
      <w:r>
        <w:t>ы</w:t>
      </w:r>
      <w:r>
        <w:t>ли направлены как на возвращение ребенка, так и на получение доступа к нему, и как признает государство-участник, оба эти средства были должным образом исчерпаны. Комитет далее отмечает, что разбирательство по вопросу об опеке, возбужденное в Австралии в апреле 2010 года бывшей супругой автора, в янв</w:t>
      </w:r>
      <w:r>
        <w:t>а</w:t>
      </w:r>
      <w:r>
        <w:t>ре 2014 года, когда рассмотрение ходатайства автора о получении доступа было приостановлено, еще не было завершено, и что государство-участник не пре</w:t>
      </w:r>
      <w:r>
        <w:t>д</w:t>
      </w:r>
      <w:r>
        <w:t>ставило какого-либо объяснения причин такой задержки, особенно в контексте рассматриваемого вопроса. В свете вышеизложенного Комитет не видит пр</w:t>
      </w:r>
      <w:r>
        <w:t>е</w:t>
      </w:r>
      <w:r>
        <w:t>пятствий для признания настоящего сообщения приемлемым в соответствии с пунктом 2 b) статьи 5 Факультативного протокола.</w:t>
      </w:r>
    </w:p>
    <w:p w:rsidR="00061AF7" w:rsidRPr="00061AF7" w:rsidRDefault="00061AF7" w:rsidP="0047277C">
      <w:pPr>
        <w:pStyle w:val="SingleTxtGR"/>
      </w:pPr>
      <w:r>
        <w:t>6.4</w:t>
      </w:r>
      <w:r>
        <w:tab/>
        <w:t>Комитет принимает к сведению утверждения автора о том, что он и его сын подверглись дискриминации со стороны центрального органа Австралии, когда центральный орган не позволил ему обжаловать решение суда полного состава об отмене постановления суда по семейным делам относительно во</w:t>
      </w:r>
      <w:r>
        <w:t>з</w:t>
      </w:r>
      <w:r>
        <w:t>ращения ребенка в Польшу, и когда он чрезмерно затягивал начало судебного разбирательства по его ходатайству о предоставлении доступа к ребенку. Ком</w:t>
      </w:r>
      <w:r>
        <w:t>и</w:t>
      </w:r>
      <w:r>
        <w:t>тет принимает к сведению аргумент государства-участника о том, что автор не обосновал свое утверждение и не представил достаточные доказательства, по</w:t>
      </w:r>
      <w:r>
        <w:t>з</w:t>
      </w:r>
      <w:r>
        <w:t>воляющие предположить, что дифференцированное обращение, действительно, имело место. Комитет также отмечает, что автор не указывает, на каких основ</w:t>
      </w:r>
      <w:r>
        <w:t>а</w:t>
      </w:r>
      <w:r>
        <w:t>ниях согласно статье 26 он и его сына могли подвергнуться дискриминации. В</w:t>
      </w:r>
      <w:r w:rsidR="009A5455">
        <w:t> </w:t>
      </w:r>
      <w:r>
        <w:t>этих обстоятельствах Комитет считает, что автор недостаточно обосновал свое утверждение по статье 14 Пакта, и признает эту часть сообщения непр</w:t>
      </w:r>
      <w:r>
        <w:t>и</w:t>
      </w:r>
      <w:r>
        <w:t>емлемой в соответствии со статьей 2 Факультативного протокола.</w:t>
      </w:r>
    </w:p>
    <w:p w:rsidR="00061AF7" w:rsidRPr="00061AF7" w:rsidRDefault="00061AF7" w:rsidP="0047277C">
      <w:pPr>
        <w:pStyle w:val="SingleTxtGR"/>
      </w:pPr>
      <w:r>
        <w:t>6.5</w:t>
      </w:r>
      <w:r>
        <w:tab/>
        <w:t>Комитет принимает к сведению претензии автора по пункту 1 статьи 14 Пакта, касающиеся рассмотрения доказательств в суде полного состава. Ком</w:t>
      </w:r>
      <w:r>
        <w:t>и</w:t>
      </w:r>
      <w:r>
        <w:t>тет напоминает, что, как правило, изучением фактов и доказательств по делу занимаются органы государств-участников, если только нельзя установить, что такая оценка носила произвольный характер или была равнозначна явной ошибке или отказу в правосудии</w:t>
      </w:r>
      <w:r w:rsidR="00FD4438">
        <w:rPr>
          <w:rStyle w:val="FootnoteReference"/>
        </w:rPr>
        <w:footnoteReference w:id="4"/>
      </w:r>
      <w:r>
        <w:t>. Комитет считает, что информация, предста</w:t>
      </w:r>
      <w:r>
        <w:t>в</w:t>
      </w:r>
      <w:r>
        <w:t>ленная автором и содержащаяся в материалах дела, не позволяет ему сделать вывод о том, что дело обстояло именно таким образом. Кроме того, Комитет считает, что автор не представил достаточных доказательств в обоснование своего утверждения о том, что суд полного состава не проявил должной бе</w:t>
      </w:r>
      <w:r>
        <w:t>с</w:t>
      </w:r>
      <w:r>
        <w:t>пристрастности. В этих обстоятельствах Комитет считает, что автор недост</w:t>
      </w:r>
      <w:r>
        <w:t>а</w:t>
      </w:r>
      <w:r>
        <w:t>точно обосновал свое утверждение и признает эту часть сообщения неприе</w:t>
      </w:r>
      <w:r>
        <w:t>м</w:t>
      </w:r>
      <w:r>
        <w:t>лемой в соответствии со статьей 2 Факультативного протокола.</w:t>
      </w:r>
    </w:p>
    <w:p w:rsidR="00061AF7" w:rsidRPr="00061AF7" w:rsidRDefault="00061AF7" w:rsidP="0047277C">
      <w:pPr>
        <w:pStyle w:val="SingleTxtGR"/>
      </w:pPr>
      <w:r>
        <w:t>6.6</w:t>
      </w:r>
      <w:r>
        <w:tab/>
        <w:t>Относительно утверждений автора относительно неоправданного затяг</w:t>
      </w:r>
      <w:r>
        <w:t>и</w:t>
      </w:r>
      <w:r>
        <w:t>вания начала разбирательства по делу о доступе к ребенку Комитет считает, что эти утверждения были должным образом обоснованы, и что разбирательство по делу об опеке и доступе относится к категории гражданских процессов, и что, следовательно, к нему также применимы гарантии, предусмотренные пунктом 1 статьи 14. Поэтому Комитет постановляет рассмотреть данную жалобу по с</w:t>
      </w:r>
      <w:r>
        <w:t>у</w:t>
      </w:r>
      <w:r>
        <w:t>ществу.</w:t>
      </w:r>
    </w:p>
    <w:p w:rsidR="00061AF7" w:rsidRPr="00061AF7" w:rsidRDefault="00061AF7" w:rsidP="0047277C">
      <w:pPr>
        <w:pStyle w:val="SingleTxtGR"/>
      </w:pPr>
      <w:r>
        <w:t>6.7</w:t>
      </w:r>
      <w:r>
        <w:tab/>
        <w:t>В отношении претензий автора по соответствующим статьям Конвенции о правах ребенка Комитет принимает к сведению довод государства-участника о том, что они выходят за рамки мандата Комитета. Таким образом Комитет з</w:t>
      </w:r>
      <w:r>
        <w:t>а</w:t>
      </w:r>
      <w:r>
        <w:t>являет, что эти претензии несовместимы с Пактом и неприемлемы ratione materiae согласно статье 2 Факультативного протокола.</w:t>
      </w:r>
    </w:p>
    <w:p w:rsidR="00061AF7" w:rsidRPr="00061AF7" w:rsidRDefault="00061AF7" w:rsidP="0047277C">
      <w:pPr>
        <w:pStyle w:val="SingleTxtGR"/>
      </w:pPr>
      <w:r>
        <w:t>6.8</w:t>
      </w:r>
      <w:r>
        <w:tab/>
        <w:t>Комитет считает, что утверждения автора по пункту 1 статьи 14 в отн</w:t>
      </w:r>
      <w:r>
        <w:t>о</w:t>
      </w:r>
      <w:r>
        <w:t>шении чрезмерных судебных задержек, а также по статьям 17, 23 и 24, были в достаточной мере обоснованы.</w:t>
      </w:r>
    </w:p>
    <w:p w:rsidR="00061AF7" w:rsidRPr="00061AF7" w:rsidRDefault="00061AF7" w:rsidP="0047277C">
      <w:pPr>
        <w:pStyle w:val="SingleTxtGR"/>
      </w:pPr>
      <w:r>
        <w:t>6.9</w:t>
      </w:r>
      <w:r>
        <w:tab/>
        <w:t>Исходя из вышеизложенного, Комитет объявляет сообщение приемлемым в той части, в которой оно, как представляется, затрагивает вопросы по пун</w:t>
      </w:r>
      <w:r>
        <w:t>к</w:t>
      </w:r>
      <w:r>
        <w:t>ту</w:t>
      </w:r>
      <w:r w:rsidR="00FD4438">
        <w:t> </w:t>
      </w:r>
      <w:r>
        <w:t>1 статьи 14, статьям 17, 23 и 24 Пакта, и переходит к его рассмотрению по существу.</w:t>
      </w:r>
    </w:p>
    <w:p w:rsidR="00061AF7" w:rsidRPr="00061AF7" w:rsidRDefault="00061AF7" w:rsidP="00FD4438">
      <w:pPr>
        <w:pStyle w:val="H4GR"/>
      </w:pPr>
      <w:r>
        <w:tab/>
      </w:r>
      <w:r>
        <w:tab/>
        <w:t>Рассмотрение сообщения по существу</w:t>
      </w:r>
    </w:p>
    <w:p w:rsidR="00061AF7" w:rsidRPr="00061AF7" w:rsidRDefault="00061AF7" w:rsidP="0047277C">
      <w:pPr>
        <w:pStyle w:val="SingleTxtGR"/>
      </w:pPr>
      <w:r>
        <w:t>7.1</w:t>
      </w:r>
      <w:r>
        <w:tab/>
        <w:t>В соответствии с требованиями пункта 1 статьи 5 Факультативного пр</w:t>
      </w:r>
      <w:r>
        <w:t>о</w:t>
      </w:r>
      <w:r>
        <w:t>токола Комитет рассмотрел настоящее сообщение в свете всей информации, представленной ему заинтересованными сторонами.</w:t>
      </w:r>
    </w:p>
    <w:p w:rsidR="00061AF7" w:rsidRPr="00061AF7" w:rsidRDefault="00061AF7" w:rsidP="0047277C">
      <w:pPr>
        <w:pStyle w:val="SingleTxtGR"/>
      </w:pPr>
      <w:r>
        <w:t>7.2</w:t>
      </w:r>
      <w:r>
        <w:tab/>
        <w:t>Комитет принимает к сведению аргумент автора о том, что вывоз его с</w:t>
      </w:r>
      <w:r>
        <w:t>ы</w:t>
      </w:r>
      <w:r>
        <w:t>на равносилен произвольному вмешательству в его семейную и домашнюю жизнь и свидетельствует о неспособности обеспечить защиту семьи в наруш</w:t>
      </w:r>
      <w:r>
        <w:t>е</w:t>
      </w:r>
      <w:r>
        <w:t>ние статей 17 и 23 Пакта. Комитет ссылается на свою правовую практику, с</w:t>
      </w:r>
      <w:r>
        <w:t>о</w:t>
      </w:r>
      <w:r w:rsidR="009A5455">
        <w:t>гласно которой термин «семья»</w:t>
      </w:r>
      <w:r>
        <w:t xml:space="preserve"> следует толковать в широком смысле, и указ</w:t>
      </w:r>
      <w:r>
        <w:t>ы</w:t>
      </w:r>
      <w:r>
        <w:t>вает, что он включает отношения между родителем и ребенком в целом</w:t>
      </w:r>
      <w:r w:rsidR="00FD4438">
        <w:rPr>
          <w:rStyle w:val="FootnoteReference"/>
        </w:rPr>
        <w:footnoteReference w:id="5"/>
      </w:r>
      <w:r>
        <w:t>. Ком</w:t>
      </w:r>
      <w:r>
        <w:t>и</w:t>
      </w:r>
      <w:r>
        <w:t>тет далее напоминает о том, что изъятие ребенка из-под опеки одного или об</w:t>
      </w:r>
      <w:r>
        <w:t>о</w:t>
      </w:r>
      <w:r>
        <w:t>их родителей является вмешательством в семейную жизнь родителей и ребе</w:t>
      </w:r>
      <w:r>
        <w:t>н</w:t>
      </w:r>
      <w:r>
        <w:t>ка</w:t>
      </w:r>
      <w:r w:rsidR="00FD4438">
        <w:rPr>
          <w:rStyle w:val="FootnoteReference"/>
        </w:rPr>
        <w:footnoteReference w:id="6"/>
      </w:r>
      <w:r>
        <w:t xml:space="preserve">. Таким образом, возникает вопрос о том, является ли такое вмешательство произвольным и незаконным по статье 17. </w:t>
      </w:r>
    </w:p>
    <w:p w:rsidR="00061AF7" w:rsidRPr="00061AF7" w:rsidRDefault="00061AF7" w:rsidP="0047277C">
      <w:pPr>
        <w:pStyle w:val="SingleTxtGR"/>
      </w:pPr>
      <w:r>
        <w:t>7.3</w:t>
      </w:r>
      <w:r>
        <w:tab/>
        <w:t>Комитет напоминает, что в делах об опеке над ребенком и доступе к нему, необходимо, с одной стороны, принимать во внимание соответствующие крит</w:t>
      </w:r>
      <w:r>
        <w:t>е</w:t>
      </w:r>
      <w:r>
        <w:t>рии оценки объективной необходимости конкретного вмешательства в семе</w:t>
      </w:r>
      <w:r>
        <w:t>й</w:t>
      </w:r>
      <w:r>
        <w:t>ную жизнь в свете эффективного права родителя и ребенка поддерживать ли</w:t>
      </w:r>
      <w:r>
        <w:t>ч</w:t>
      </w:r>
      <w:r>
        <w:t>ные отношения и регулярные контакты друг с другом, и, с другой стороны, уч</w:t>
      </w:r>
      <w:r>
        <w:t>и</w:t>
      </w:r>
      <w:r>
        <w:t>тывать наилучшие интересы ребенка</w:t>
      </w:r>
      <w:r w:rsidR="002103D6">
        <w:rPr>
          <w:rStyle w:val="FootnoteReference"/>
        </w:rPr>
        <w:footnoteReference w:id="7"/>
      </w:r>
      <w:r>
        <w:t>. В данном случае Комитет отмечает, что национальные власти не приняли никаких мер для обеспечения контактов ме</w:t>
      </w:r>
      <w:r>
        <w:t>ж</w:t>
      </w:r>
      <w:r>
        <w:t>ду автором и его сыном после вывоза сына из Польши, и что ходатайство автора о доступе было отклонено судом по семейным делам штата Западная Австралия 29 января 2014 года на основании наличия параллельного разбирательства по делу об опеке, возбужденного почти четыре года назад, 12 апреля 2010 года. В</w:t>
      </w:r>
      <w:r w:rsidR="002103D6">
        <w:t> </w:t>
      </w:r>
      <w:r>
        <w:t xml:space="preserve">отсутствие разъяснений со стороны государства-участника, которые могли бы оправдать сохранение этой ситуации, Комитет считает, что государство-участник не приняло меры, необходимые для того, чтобы гарантировать право на семейную жизнь автору и его сыну после вывоза последнего из Польши, и что это бездействие равносильно произвольному вмешательству в их семейную жизнь. </w:t>
      </w:r>
    </w:p>
    <w:p w:rsidR="00061AF7" w:rsidRPr="00061AF7" w:rsidRDefault="00061AF7" w:rsidP="0047277C">
      <w:pPr>
        <w:pStyle w:val="SingleTxtGR"/>
      </w:pPr>
      <w:r>
        <w:t>7.4</w:t>
      </w:r>
      <w:r>
        <w:tab/>
        <w:t>В свете вышеизложенного Комитет приходит к выводу о том, что пре</w:t>
      </w:r>
      <w:r>
        <w:t>д</w:t>
      </w:r>
      <w:r>
        <w:t>ставленные на его рассмотрение факты свидетельствуют о произвольном вм</w:t>
      </w:r>
      <w:r>
        <w:t>е</w:t>
      </w:r>
      <w:r>
        <w:t>шательстве в семейную жизнь автора в нарушение пункта 1 статьи 17 Пакта и о неспособности государства предпринять необходимые шаги по обеспечению права семьи на защиту в соответствии с пунктом 1 статьи 23 Пакта.</w:t>
      </w:r>
    </w:p>
    <w:p w:rsidR="00061AF7" w:rsidRPr="00061AF7" w:rsidRDefault="00061AF7" w:rsidP="0047277C">
      <w:pPr>
        <w:pStyle w:val="SingleTxtGR"/>
      </w:pPr>
      <w:r>
        <w:t>7.5</w:t>
      </w:r>
      <w:r>
        <w:tab/>
        <w:t>По причинам, изложенным выше, а также в отсутствие какой-либо и</w:t>
      </w:r>
      <w:r>
        <w:t>н</w:t>
      </w:r>
      <w:r>
        <w:t>формации со стороны государства-участника о том, что необеспечение доступа автора к его сыну было основано на наилучших интересах ребенка, Комитет также считает, что государство-участник, в нарушение пункта 1 статьи 24 Па</w:t>
      </w:r>
      <w:r>
        <w:t>к</w:t>
      </w:r>
      <w:r>
        <w:t>та, не приняло меры защиты, которые требовались сыну автора, учитывая его несовершеннолетний возраст.</w:t>
      </w:r>
    </w:p>
    <w:p w:rsidR="00061AF7" w:rsidRPr="00061AF7" w:rsidRDefault="00061AF7" w:rsidP="0047277C">
      <w:pPr>
        <w:pStyle w:val="SingleTxtGR"/>
      </w:pPr>
      <w:r>
        <w:t>7.6</w:t>
      </w:r>
      <w:r>
        <w:tab/>
        <w:t>В связи с претензиями автора относительно неоправданных задержек со стороны национальных властей при рассмотрении его ходатайства о получении доступа в соответствии с Гаагской конвенцией Комитет принимает к сведению аргумент государства-участника о том, что пункт 3 статьи 14 предусматривает процедуры уголовного судопроизводства, и что, соответственно, процедуры Г</w:t>
      </w:r>
      <w:r>
        <w:t>а</w:t>
      </w:r>
      <w:r>
        <w:t>агской конвенции выходят за сферу действия этого положения. Вместе с тем Комитет напоминает о своем замечании общего порядка № 32 (2007) относ</w:t>
      </w:r>
      <w:r>
        <w:t>и</w:t>
      </w:r>
      <w:r>
        <w:t>тельно права на равенство перед судами и трибуналами и на справедливое с</w:t>
      </w:r>
      <w:r>
        <w:t>у</w:t>
      </w:r>
      <w:r>
        <w:t>дебное разб</w:t>
      </w:r>
      <w:r w:rsidR="002D3D1E">
        <w:t>ирательство, в том смысле, что «</w:t>
      </w:r>
      <w:r>
        <w:t>важным элементом справедливого судебного разбирательс</w:t>
      </w:r>
      <w:r w:rsidR="002D3D1E">
        <w:t>тва является скорость процедуры» и что «</w:t>
      </w:r>
      <w:r>
        <w:t>хотя вопрос о неоправданных задержках в рассмотрении уголовного дела однозначно освещен в пункте 3 с) статьи 14, при задержках в рассмотрении гражданских дел, кот</w:t>
      </w:r>
      <w:r>
        <w:t>о</w:t>
      </w:r>
      <w:r>
        <w:t>рые не сопряжены со сложностью дела или поведением сторон, нарушается принцип справедливого судебного разбирательства, закрепленный в пункте</w:t>
      </w:r>
      <w:r w:rsidR="002103D6">
        <w:t> </w:t>
      </w:r>
      <w:r w:rsidR="002D3D1E">
        <w:t>1 настоящего положения»</w:t>
      </w:r>
      <w:r w:rsidR="002103D6">
        <w:rPr>
          <w:rStyle w:val="FootnoteReference"/>
        </w:rPr>
        <w:footnoteReference w:id="8"/>
      </w:r>
      <w:r>
        <w:t>. В данном случае Комитет отмечает, что ходатайство автора о доступе от 6 декабря 2011 года было подано центральным органом А</w:t>
      </w:r>
      <w:r>
        <w:t>в</w:t>
      </w:r>
      <w:r>
        <w:t xml:space="preserve">стралии в суд по семейным делам штата Западная Австралия только 2 июля 2013 года </w:t>
      </w:r>
      <w:r w:rsidR="002103D6">
        <w:t>–</w:t>
      </w:r>
      <w:r>
        <w:t xml:space="preserve"> 19 месяцев спустя </w:t>
      </w:r>
      <w:r w:rsidR="002103D6">
        <w:t>–</w:t>
      </w:r>
      <w:r>
        <w:t xml:space="preserve"> и что 29 января 2014 года этот суд окончател</w:t>
      </w:r>
      <w:r>
        <w:t>ь</w:t>
      </w:r>
      <w:r>
        <w:t>но приостановил рассмотрение заявления ввиду проводившегося разбирател</w:t>
      </w:r>
      <w:r>
        <w:t>ь</w:t>
      </w:r>
      <w:r>
        <w:t xml:space="preserve">ства по делу об опекунстве, возбужденного в апреле 2010 года </w:t>
      </w:r>
      <w:r w:rsidR="002103D6">
        <w:t>–</w:t>
      </w:r>
      <w:r>
        <w:t xml:space="preserve"> почти четыре года назад. Комитет отмечает, что государство-участник не представило каких-либо обоснований в пользу этой задержки в рассмотрении заявления автора об опекунстве или его заявления о доступе или в обеспечении какого-либо вр</w:t>
      </w:r>
      <w:r>
        <w:t>е</w:t>
      </w:r>
      <w:r>
        <w:t>менного решения в отношении доступа автора к ребенку, особенно с учетом рассматриваемого вопроса</w:t>
      </w:r>
      <w:r w:rsidR="002103D6">
        <w:rPr>
          <w:rStyle w:val="FootnoteReference"/>
        </w:rPr>
        <w:footnoteReference w:id="9"/>
      </w:r>
      <w:r>
        <w:t>. В этой связи Комитет считает, что в ходе судопр</w:t>
      </w:r>
      <w:r>
        <w:t>о</w:t>
      </w:r>
      <w:r>
        <w:t>изводства по делу о доступе имели место неоправданные задержки в нару</w:t>
      </w:r>
      <w:r w:rsidR="00235355">
        <w:t xml:space="preserve">шение пункта 1 </w:t>
      </w:r>
      <w:r>
        <w:t>статьи 14 Пакта</w:t>
      </w:r>
      <w:r w:rsidR="00235355">
        <w:t>.</w:t>
      </w:r>
    </w:p>
    <w:p w:rsidR="00061AF7" w:rsidRPr="00061AF7" w:rsidRDefault="00061AF7" w:rsidP="0047277C">
      <w:pPr>
        <w:pStyle w:val="SingleTxtGR"/>
      </w:pPr>
      <w:r>
        <w:t>8.</w:t>
      </w:r>
      <w:r>
        <w:tab/>
        <w:t>Комитет, действуя в соответствии с пунктом 4 статьи 5 Факультативного протокола, заключает, что факты, которыми он располагает, указывают на нарушение пункта 1 статьи 14 и статей 17, 23 и 24 Пакта.</w:t>
      </w:r>
    </w:p>
    <w:p w:rsidR="00061AF7" w:rsidRPr="00061AF7" w:rsidRDefault="00061AF7" w:rsidP="0047277C">
      <w:pPr>
        <w:pStyle w:val="SingleTxtGR"/>
      </w:pPr>
      <w:r>
        <w:t>9.</w:t>
      </w:r>
      <w:r>
        <w:tab/>
        <w:t>В соответствии с пунктом</w:t>
      </w:r>
      <w:r w:rsidR="00B82D0A">
        <w:t> </w:t>
      </w:r>
      <w:r>
        <w:t>3</w:t>
      </w:r>
      <w:r w:rsidR="00B82D0A">
        <w:t> </w:t>
      </w:r>
      <w:r>
        <w:t>а) статьи 2 Пакта государство-участник об</w:t>
      </w:r>
      <w:r>
        <w:t>я</w:t>
      </w:r>
      <w:r>
        <w:t>зано обеспечить автору эффективные средства правовой защиты. Для этого необходимо предоставить полное возмещение лицам, чьи права, признаваемые в Пакте, были нарушены. В связи с этим государство-участник обязано, в час</w:t>
      </w:r>
      <w:r>
        <w:t>т</w:t>
      </w:r>
      <w:r>
        <w:t>ности, обеспечить регулярные контакты между автором и его сыном, а также предоставить автору надлежащую компенсацию. Государство-участник также обязано не допускать аналогичных нарушений в будущем.</w:t>
      </w:r>
    </w:p>
    <w:p w:rsidR="00061AF7" w:rsidRPr="00061AF7" w:rsidRDefault="00061AF7" w:rsidP="0047277C">
      <w:pPr>
        <w:pStyle w:val="SingleTxtGR"/>
      </w:pPr>
      <w:r>
        <w:t>10.</w:t>
      </w:r>
      <w:r>
        <w:tab/>
        <w:t>Принимая во внимание тот факт, что, став участником Факультативного протокола, государство-участник признало компетенцию Комитета определять, имело ли место нарушение Пакта, и что согласно статье 2 Пакта государство-участник обязалось обеспечить всем находящимся на его территории или под его юрисдикцией лицам признаваемые в Пакте права и обеспечивать их де</w:t>
      </w:r>
      <w:r>
        <w:t>й</w:t>
      </w:r>
      <w:r>
        <w:t>ственными и имеющими исковую силу средствами правовой защиты в случае установления факта нарушения, Комитет хотел бы получить от государства-участника в течение 180 дней информацию о принятых мерах в ответ на сфо</w:t>
      </w:r>
      <w:r>
        <w:t>р</w:t>
      </w:r>
      <w:r>
        <w:t>мулированные Комитетом Соображения. Государству-участнику также предл</w:t>
      </w:r>
      <w:r>
        <w:t>а</w:t>
      </w:r>
      <w:r>
        <w:t>гается опубликовать настоящие Соображения Комитета и обеспечить их шир</w:t>
      </w:r>
      <w:r>
        <w:t>о</w:t>
      </w:r>
      <w:r>
        <w:t xml:space="preserve">кое распространение. </w:t>
      </w:r>
    </w:p>
    <w:p w:rsidR="0087597F" w:rsidRPr="00B82D0A" w:rsidRDefault="00B82D0A" w:rsidP="00B82D0A">
      <w:pPr>
        <w:spacing w:before="240"/>
        <w:jc w:val="center"/>
        <w:rPr>
          <w:u w:val="single"/>
        </w:rPr>
      </w:pPr>
      <w:r>
        <w:rPr>
          <w:u w:val="single"/>
        </w:rPr>
        <w:tab/>
      </w:r>
      <w:r>
        <w:rPr>
          <w:u w:val="single"/>
        </w:rPr>
        <w:tab/>
      </w:r>
      <w:r>
        <w:rPr>
          <w:u w:val="single"/>
        </w:rPr>
        <w:tab/>
      </w:r>
    </w:p>
    <w:sectPr w:rsidR="0087597F" w:rsidRPr="00B82D0A" w:rsidSect="0087597F">
      <w:headerReference w:type="even" r:id="rId10"/>
      <w:headerReference w:type="default" r:id="rId11"/>
      <w:footerReference w:type="even" r:id="rId12"/>
      <w:footerReference w:type="default" r:id="rId13"/>
      <w:footerReference w:type="first" r:id="rId14"/>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B78" w:rsidRDefault="003E7B78" w:rsidP="00B471C5">
      <w:r>
        <w:separator/>
      </w:r>
    </w:p>
  </w:endnote>
  <w:endnote w:type="continuationSeparator" w:id="0">
    <w:p w:rsidR="003E7B78" w:rsidRDefault="003E7B78"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altName w:val="Calibri"/>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58" w:rsidRPr="005F0588" w:rsidRDefault="0087597F">
    <w:pPr>
      <w:pStyle w:val="Footer"/>
      <w:rPr>
        <w:lang w:val="en-US"/>
      </w:rPr>
    </w:pPr>
    <w:r w:rsidRPr="00760AEE">
      <w:rPr>
        <w:b/>
        <w:sz w:val="18"/>
        <w:lang w:val="ru-RU"/>
      </w:rPr>
      <w:fldChar w:fldCharType="begin"/>
    </w:r>
    <w:r w:rsidRPr="00760AEE">
      <w:rPr>
        <w:b/>
        <w:sz w:val="18"/>
        <w:lang w:val="ru-RU"/>
      </w:rPr>
      <w:instrText xml:space="preserve"> PAGE  \* Arabic  \* MERGEFORMAT </w:instrText>
    </w:r>
    <w:r w:rsidRPr="00760AEE">
      <w:rPr>
        <w:b/>
        <w:sz w:val="18"/>
        <w:lang w:val="ru-RU"/>
      </w:rPr>
      <w:fldChar w:fldCharType="separate"/>
    </w:r>
    <w:r w:rsidR="001E6CD1">
      <w:rPr>
        <w:b/>
        <w:noProof/>
        <w:sz w:val="18"/>
        <w:lang w:val="ru-RU"/>
      </w:rPr>
      <w:t>2</w:t>
    </w:r>
    <w:r w:rsidRPr="00760AEE">
      <w:rPr>
        <w:b/>
        <w:sz w:val="18"/>
      </w:rPr>
      <w:fldChar w:fldCharType="end"/>
    </w:r>
    <w:r>
      <w:rPr>
        <w:lang w:val="en-US"/>
      </w:rPr>
      <w:tab/>
      <w:t>GE.1</w:t>
    </w:r>
    <w:r w:rsidR="00CE0FAB">
      <w:rPr>
        <w:lang w:val="en-US"/>
      </w:rPr>
      <w:t>5</w:t>
    </w:r>
    <w:r>
      <w:rPr>
        <w:lang w:val="en-US"/>
      </w:rPr>
      <w:t>-</w:t>
    </w:r>
    <w:r w:rsidR="00B7475B">
      <w:rPr>
        <w:lang w:val="en-US"/>
      </w:rPr>
      <w:t>21510</w:t>
    </w:r>
    <w:r w:rsidR="001E6CD1">
      <w:rPr>
        <w:lang w:val="en-US"/>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58" w:rsidRPr="0075144F" w:rsidRDefault="00B7475B">
    <w:pPr>
      <w:pStyle w:val="Footer"/>
      <w:rPr>
        <w:lang w:val="en-US"/>
      </w:rPr>
    </w:pPr>
    <w:r>
      <w:rPr>
        <w:lang w:val="en-US"/>
      </w:rPr>
      <w:t>GE.15</w:t>
    </w:r>
    <w:r w:rsidR="0087597F">
      <w:rPr>
        <w:lang w:val="en-US"/>
      </w:rPr>
      <w:t>-</w:t>
    </w:r>
    <w:r>
      <w:rPr>
        <w:lang w:val="en-US"/>
      </w:rPr>
      <w:t>21510</w:t>
    </w:r>
    <w:r w:rsidR="001E6CD1">
      <w:rPr>
        <w:lang w:val="en-US"/>
      </w:rPr>
      <w:t xml:space="preserve">  (EXT)</w:t>
    </w:r>
    <w:r w:rsidR="0087597F">
      <w:rPr>
        <w:lang w:val="en-US"/>
      </w:rPr>
      <w:tab/>
    </w:r>
    <w:r w:rsidR="0087597F" w:rsidRPr="00760AEE">
      <w:rPr>
        <w:b/>
        <w:sz w:val="18"/>
        <w:lang w:val="ru-RU"/>
      </w:rPr>
      <w:fldChar w:fldCharType="begin"/>
    </w:r>
    <w:r w:rsidR="0087597F" w:rsidRPr="00760AEE">
      <w:rPr>
        <w:b/>
        <w:sz w:val="18"/>
        <w:lang w:val="ru-RU"/>
      </w:rPr>
      <w:instrText xml:space="preserve"> PAGE  \* Arabic  \* MERGEFORMAT </w:instrText>
    </w:r>
    <w:r w:rsidR="0087597F" w:rsidRPr="00760AEE">
      <w:rPr>
        <w:b/>
        <w:sz w:val="18"/>
        <w:lang w:val="ru-RU"/>
      </w:rPr>
      <w:fldChar w:fldCharType="separate"/>
    </w:r>
    <w:r w:rsidR="001E6CD1">
      <w:rPr>
        <w:b/>
        <w:noProof/>
        <w:sz w:val="18"/>
        <w:lang w:val="ru-RU"/>
      </w:rPr>
      <w:t>9</w:t>
    </w:r>
    <w:r w:rsidR="0087597F" w:rsidRPr="00760AE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5A50E9" w:rsidRPr="00797A78" w:rsidTr="007B199D">
      <w:trPr>
        <w:trHeight w:val="431"/>
      </w:trPr>
      <w:tc>
        <w:tcPr>
          <w:tcW w:w="3648" w:type="dxa"/>
          <w:tcMar>
            <w:left w:w="57" w:type="dxa"/>
            <w:right w:w="57" w:type="dxa"/>
          </w:tcMar>
          <w:vAlign w:val="bottom"/>
        </w:tcPr>
        <w:p w:rsidR="005A50E9" w:rsidRPr="001C3ABC" w:rsidRDefault="00B7475B" w:rsidP="007B199D">
          <w:pPr>
            <w:spacing w:after="40"/>
            <w:rPr>
              <w:rFonts w:ascii="C39T30Lfz" w:hAnsi="C39T30Lfz"/>
              <w:spacing w:val="0"/>
              <w:w w:val="100"/>
              <w:kern w:val="0"/>
              <w:lang w:val="en-US" w:eastAsia="ru-RU"/>
            </w:rPr>
          </w:pPr>
          <w:r>
            <w:rPr>
              <w:lang w:val="en-US"/>
            </w:rPr>
            <w:t>GE.15</w:t>
          </w:r>
          <w:r w:rsidR="005A50E9" w:rsidRPr="001C3ABC">
            <w:rPr>
              <w:lang w:val="en-US"/>
            </w:rPr>
            <w:t>-</w:t>
          </w:r>
          <w:r>
            <w:rPr>
              <w:lang w:val="en-US"/>
            </w:rPr>
            <w:t xml:space="preserve">21510 </w:t>
          </w:r>
          <w:r w:rsidR="005A50E9" w:rsidRPr="001C3ABC">
            <w:rPr>
              <w:lang w:val="en-US"/>
            </w:rPr>
            <w:t xml:space="preserve"> </w:t>
          </w:r>
          <w:r>
            <w:rPr>
              <w:lang w:val="en-US"/>
            </w:rPr>
            <w:t>(EXT</w:t>
          </w:r>
          <w:r w:rsidR="005A50E9" w:rsidRPr="001C3ABC">
            <w:rPr>
              <w:lang w:val="en-US"/>
            </w:rPr>
            <w:t>)</w:t>
          </w:r>
        </w:p>
      </w:tc>
      <w:tc>
        <w:tcPr>
          <w:tcW w:w="5056" w:type="dxa"/>
          <w:vMerge w:val="restart"/>
          <w:tcMar>
            <w:left w:w="57" w:type="dxa"/>
            <w:right w:w="57" w:type="dxa"/>
          </w:tcMar>
          <w:vAlign w:val="bottom"/>
        </w:tcPr>
        <w:p w:rsidR="005A50E9" w:rsidRDefault="005A50E9" w:rsidP="007B199D">
          <w:pPr>
            <w:jc w:val="right"/>
          </w:pPr>
          <w:r>
            <w:rPr>
              <w:b/>
              <w:noProof/>
              <w:lang w:val="en-US" w:eastAsia="zh-CN"/>
            </w:rPr>
            <w:drawing>
              <wp:inline distT="0" distB="0" distL="0" distR="0" wp14:anchorId="52DE25DB" wp14:editId="2F5F3127">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5A50E9" w:rsidRDefault="00163B65" w:rsidP="007B199D">
          <w:pPr>
            <w:jc w:val="right"/>
          </w:pPr>
          <w:r>
            <w:rPr>
              <w:noProof/>
              <w:lang w:val="en-US" w:eastAsia="zh-CN"/>
            </w:rPr>
            <w:drawing>
              <wp:inline distT="0" distB="0" distL="0" distR="0">
                <wp:extent cx="579120" cy="579120"/>
                <wp:effectExtent l="0" t="0" r="0" b="0"/>
                <wp:docPr id="5" name="Рисунок 5" descr="http://undocs.org/m2/QRCode.ashx?DS=CCPR/C/115/D/2279/2013&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5/D/2279/2013&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tc>
    </w:tr>
    <w:tr w:rsidR="005A50E9" w:rsidRPr="00797A78" w:rsidTr="007B199D">
      <w:trPr>
        <w:trHeight w:hRule="exact" w:val="564"/>
      </w:trPr>
      <w:tc>
        <w:tcPr>
          <w:tcW w:w="3648" w:type="dxa"/>
          <w:tcMar>
            <w:left w:w="57" w:type="dxa"/>
            <w:right w:w="57" w:type="dxa"/>
          </w:tcMar>
          <w:vAlign w:val="bottom"/>
        </w:tcPr>
        <w:p w:rsidR="005A50E9" w:rsidRPr="00163B65" w:rsidRDefault="00163B65" w:rsidP="007B199D">
          <w:pPr>
            <w:spacing w:after="40"/>
            <w:rPr>
              <w:rFonts w:ascii="C39T30Lfz" w:hAnsi="C39T30Lfz"/>
              <w:spacing w:val="0"/>
              <w:w w:val="100"/>
              <w:kern w:val="0"/>
              <w:sz w:val="56"/>
              <w:szCs w:val="56"/>
              <w:lang w:val="en-US" w:eastAsia="ru-RU"/>
            </w:rPr>
          </w:pPr>
          <w:r w:rsidRPr="00163B65">
            <w:rPr>
              <w:rFonts w:ascii="C39T30Lfz" w:hAnsi="C39T30Lfz"/>
              <w:spacing w:val="0"/>
              <w:w w:val="100"/>
              <w:kern w:val="0"/>
              <w:sz w:val="56"/>
              <w:szCs w:val="56"/>
              <w:lang w:val="en-US" w:eastAsia="ru-RU"/>
            </w:rPr>
            <w:t></w:t>
          </w:r>
          <w:r w:rsidRPr="00163B65">
            <w:rPr>
              <w:rFonts w:ascii="C39T30Lfz" w:hAnsi="C39T30Lfz"/>
              <w:spacing w:val="0"/>
              <w:w w:val="100"/>
              <w:kern w:val="0"/>
              <w:sz w:val="56"/>
              <w:szCs w:val="56"/>
              <w:lang w:val="en-US" w:eastAsia="ru-RU"/>
            </w:rPr>
            <w:t></w:t>
          </w:r>
          <w:r w:rsidRPr="00163B65">
            <w:rPr>
              <w:rFonts w:ascii="C39T30Lfz" w:hAnsi="C39T30Lfz"/>
              <w:spacing w:val="0"/>
              <w:w w:val="100"/>
              <w:kern w:val="0"/>
              <w:sz w:val="56"/>
              <w:szCs w:val="56"/>
              <w:lang w:val="en-US" w:eastAsia="ru-RU"/>
            </w:rPr>
            <w:t></w:t>
          </w:r>
          <w:r w:rsidRPr="00163B65">
            <w:rPr>
              <w:rFonts w:ascii="C39T30Lfz" w:hAnsi="C39T30Lfz"/>
              <w:spacing w:val="0"/>
              <w:w w:val="100"/>
              <w:kern w:val="0"/>
              <w:sz w:val="56"/>
              <w:szCs w:val="56"/>
              <w:lang w:val="en-US" w:eastAsia="ru-RU"/>
            </w:rPr>
            <w:t></w:t>
          </w:r>
          <w:r w:rsidRPr="00163B65">
            <w:rPr>
              <w:rFonts w:ascii="C39T30Lfz" w:hAnsi="C39T30Lfz"/>
              <w:spacing w:val="0"/>
              <w:w w:val="100"/>
              <w:kern w:val="0"/>
              <w:sz w:val="56"/>
              <w:szCs w:val="56"/>
              <w:lang w:val="en-US" w:eastAsia="ru-RU"/>
            </w:rPr>
            <w:t></w:t>
          </w:r>
          <w:r w:rsidRPr="00163B65">
            <w:rPr>
              <w:rFonts w:ascii="C39T30Lfz" w:hAnsi="C39T30Lfz"/>
              <w:spacing w:val="0"/>
              <w:w w:val="100"/>
              <w:kern w:val="0"/>
              <w:sz w:val="56"/>
              <w:szCs w:val="56"/>
              <w:lang w:val="en-US" w:eastAsia="ru-RU"/>
            </w:rPr>
            <w:t></w:t>
          </w:r>
          <w:r w:rsidRPr="00163B65">
            <w:rPr>
              <w:rFonts w:ascii="C39T30Lfz" w:hAnsi="C39T30Lfz"/>
              <w:spacing w:val="0"/>
              <w:w w:val="100"/>
              <w:kern w:val="0"/>
              <w:sz w:val="56"/>
              <w:szCs w:val="56"/>
              <w:lang w:val="en-US" w:eastAsia="ru-RU"/>
            </w:rPr>
            <w:t></w:t>
          </w:r>
          <w:r w:rsidRPr="00163B65">
            <w:rPr>
              <w:rFonts w:ascii="C39T30Lfz" w:hAnsi="C39T30Lfz"/>
              <w:spacing w:val="0"/>
              <w:w w:val="100"/>
              <w:kern w:val="0"/>
              <w:sz w:val="56"/>
              <w:szCs w:val="56"/>
              <w:lang w:val="en-US" w:eastAsia="ru-RU"/>
            </w:rPr>
            <w:t></w:t>
          </w:r>
          <w:r w:rsidRPr="00163B65">
            <w:rPr>
              <w:rFonts w:ascii="C39T30Lfz" w:hAnsi="C39T30Lfz"/>
              <w:spacing w:val="0"/>
              <w:w w:val="100"/>
              <w:kern w:val="0"/>
              <w:sz w:val="56"/>
              <w:szCs w:val="56"/>
              <w:lang w:val="en-US" w:eastAsia="ru-RU"/>
            </w:rPr>
            <w:t></w:t>
          </w:r>
        </w:p>
      </w:tc>
      <w:tc>
        <w:tcPr>
          <w:tcW w:w="5056" w:type="dxa"/>
          <w:vMerge/>
          <w:tcMar>
            <w:left w:w="57" w:type="dxa"/>
            <w:right w:w="57" w:type="dxa"/>
          </w:tcMar>
        </w:tcPr>
        <w:p w:rsidR="005A50E9" w:rsidRDefault="005A50E9" w:rsidP="007B199D"/>
      </w:tc>
      <w:tc>
        <w:tcPr>
          <w:tcW w:w="972" w:type="dxa"/>
          <w:vMerge/>
          <w:tcMar>
            <w:left w:w="57" w:type="dxa"/>
            <w:right w:w="57" w:type="dxa"/>
          </w:tcMar>
        </w:tcPr>
        <w:p w:rsidR="005A50E9" w:rsidRDefault="005A50E9" w:rsidP="007B199D"/>
      </w:tc>
    </w:tr>
  </w:tbl>
  <w:p w:rsidR="006E7AF7" w:rsidRPr="002D7E3C" w:rsidRDefault="0087597F" w:rsidP="00F579C6">
    <w:pPr>
      <w:pStyle w:val="Footer"/>
      <w:spacing w:line="240" w:lineRule="auto"/>
      <w:rPr>
        <w:sz w:val="2"/>
        <w:szCs w:val="2"/>
      </w:rPr>
    </w:pPr>
    <w:r>
      <w:rPr>
        <w:noProof/>
        <w:sz w:val="2"/>
        <w:szCs w:val="2"/>
        <w:lang w:val="en-US" w:eastAsia="zh-CN"/>
      </w:rPr>
      <mc:AlternateContent>
        <mc:Choice Requires="wps">
          <w:drawing>
            <wp:anchor distT="0" distB="0" distL="114300" distR="114300" simplePos="0" relativeHeight="251659264" behindDoc="0" locked="0" layoutInCell="1" allowOverlap="1" wp14:anchorId="71ED82E7" wp14:editId="3FC3BAAC">
              <wp:simplePos x="0" y="0"/>
              <wp:positionH relativeFrom="column">
                <wp:posOffset>8763000</wp:posOffset>
              </wp:positionH>
              <wp:positionV relativeFrom="paragraph">
                <wp:posOffset>-2453005</wp:posOffset>
              </wp:positionV>
              <wp:extent cx="457200" cy="2069465"/>
              <wp:effectExtent l="0" t="444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6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AF7" w:rsidRDefault="001E6CD1" w:rsidP="006E7AF7">
                          <w:pPr>
                            <w:rPr>
                              <w:lang w:val="en-US"/>
                            </w:rPr>
                          </w:pPr>
                        </w:p>
                        <w:p w:rsidR="006E7AF7" w:rsidRDefault="0087597F" w:rsidP="006E7AF7">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1E6CD1">
                            <w:rPr>
                              <w:rStyle w:val="PageNumber"/>
                              <w:noProof/>
                            </w:rPr>
                            <w:t>1</w:t>
                          </w:r>
                          <w:r>
                            <w:rPr>
                              <w:rStyle w:val="PageNumber"/>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0pt;margin-top:-193.15pt;width:36pt;height:1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" filled="f" stroked="f">
              <v:textbox style="layout-flow:vertical" inset="0,0,0,0">
                <w:txbxContent>
                  <w:p w:rsidR="006E7AF7" w:rsidRDefault="001E6CD1" w:rsidP="006E7AF7">
                    <w:pPr>
                      <w:rPr>
                        <w:lang w:val="en-US"/>
                      </w:rPr>
                    </w:pPr>
                  </w:p>
                  <w:p w:rsidR="006E7AF7" w:rsidRDefault="0087597F" w:rsidP="006E7AF7">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1E6CD1">
                      <w:rPr>
                        <w:rStyle w:val="PageNumber"/>
                        <w:noProof/>
                      </w:rPr>
                      <w:t>1</w:t>
                    </w:r>
                    <w:r>
                      <w:rPr>
                        <w:rStyle w:val="PageNumber"/>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B78" w:rsidRPr="009141DC" w:rsidRDefault="003E7B78" w:rsidP="00D1261C">
      <w:pPr>
        <w:tabs>
          <w:tab w:val="left" w:pos="2268"/>
        </w:tabs>
        <w:spacing w:after="80"/>
        <w:ind w:left="680"/>
        <w:rPr>
          <w:u w:val="single"/>
          <w:lang w:val="en-US"/>
        </w:rPr>
      </w:pPr>
      <w:r>
        <w:rPr>
          <w:u w:val="single"/>
          <w:lang w:val="en-US"/>
        </w:rPr>
        <w:tab/>
      </w:r>
    </w:p>
  </w:footnote>
  <w:footnote w:type="continuationSeparator" w:id="0">
    <w:p w:rsidR="003E7B78" w:rsidRPr="00D1261C" w:rsidRDefault="003E7B78" w:rsidP="00D1261C">
      <w:pPr>
        <w:tabs>
          <w:tab w:val="left" w:pos="2268"/>
        </w:tabs>
        <w:spacing w:after="80"/>
        <w:rPr>
          <w:u w:val="single"/>
          <w:lang w:val="en-US"/>
        </w:rPr>
      </w:pPr>
      <w:r>
        <w:rPr>
          <w:u w:val="single"/>
          <w:lang w:val="en-US"/>
        </w:rPr>
        <w:tab/>
      </w:r>
    </w:p>
  </w:footnote>
  <w:footnote w:id="1">
    <w:p w:rsidR="00061AF7" w:rsidRPr="002D4EE8" w:rsidRDefault="00061AF7" w:rsidP="00061AF7">
      <w:pPr>
        <w:pStyle w:val="FootnoteText"/>
        <w:rPr>
          <w:rStyle w:val="EndnoteTextChar"/>
          <w:lang w:val="ru-RU"/>
        </w:rPr>
      </w:pPr>
      <w:r>
        <w:rPr>
          <w:lang w:val="ru-RU"/>
        </w:rPr>
        <w:tab/>
        <w:t>*</w:t>
      </w:r>
      <w:r>
        <w:rPr>
          <w:lang w:val="ru-RU"/>
        </w:rPr>
        <w:tab/>
      </w:r>
      <w:r w:rsidRPr="00B11EF3">
        <w:rPr>
          <w:rStyle w:val="EndnoteTextChar"/>
          <w:lang w:val="ru-RU"/>
        </w:rPr>
        <w:t>В рассмотрении настоящего сообщения принимали участие следующие чле</w:t>
      </w:r>
      <w:r w:rsidR="00B11EF3">
        <w:rPr>
          <w:rStyle w:val="EndnoteTextChar"/>
          <w:lang w:val="ru-RU"/>
        </w:rPr>
        <w:t xml:space="preserve">ны Комитета: </w:t>
      </w:r>
      <w:proofErr w:type="spellStart"/>
      <w:r w:rsidR="00B11EF3">
        <w:rPr>
          <w:rStyle w:val="EndnoteTextChar"/>
          <w:lang w:val="ru-RU"/>
        </w:rPr>
        <w:t>Ядх</w:t>
      </w:r>
      <w:proofErr w:type="spellEnd"/>
      <w:r w:rsidR="00B11EF3">
        <w:rPr>
          <w:rStyle w:val="EndnoteTextChar"/>
          <w:lang w:val="ru-RU"/>
        </w:rPr>
        <w:t xml:space="preserve"> Бен </w:t>
      </w:r>
      <w:proofErr w:type="spellStart"/>
      <w:r w:rsidR="00B11EF3">
        <w:rPr>
          <w:rStyle w:val="EndnoteTextChar"/>
          <w:lang w:val="ru-RU"/>
        </w:rPr>
        <w:t>Ашур</w:t>
      </w:r>
      <w:proofErr w:type="spellEnd"/>
      <w:r w:rsidR="00B11EF3">
        <w:rPr>
          <w:rStyle w:val="EndnoteTextChar"/>
          <w:lang w:val="ru-RU"/>
        </w:rPr>
        <w:t>, Лаза</w:t>
      </w:r>
      <w:r w:rsidRPr="00B11EF3">
        <w:rPr>
          <w:rStyle w:val="EndnoteTextChar"/>
          <w:lang w:val="ru-RU"/>
        </w:rPr>
        <w:t xml:space="preserve">ри </w:t>
      </w:r>
      <w:proofErr w:type="spellStart"/>
      <w:r w:rsidRPr="00B11EF3">
        <w:rPr>
          <w:rStyle w:val="EndnoteTextChar"/>
          <w:lang w:val="ru-RU"/>
        </w:rPr>
        <w:t>Бузид</w:t>
      </w:r>
      <w:proofErr w:type="spellEnd"/>
      <w:r w:rsidRPr="00B11EF3">
        <w:rPr>
          <w:rStyle w:val="EndnoteTextChar"/>
          <w:lang w:val="ru-RU"/>
        </w:rPr>
        <w:t xml:space="preserve">, Сара Кливленд, Оливье де </w:t>
      </w:r>
      <w:proofErr w:type="spellStart"/>
      <w:r w:rsidRPr="00B11EF3">
        <w:rPr>
          <w:rStyle w:val="EndnoteTextChar"/>
          <w:lang w:val="ru-RU"/>
        </w:rPr>
        <w:t>Фрувиль</w:t>
      </w:r>
      <w:proofErr w:type="spellEnd"/>
      <w:r w:rsidRPr="00B11EF3">
        <w:rPr>
          <w:rStyle w:val="EndnoteTextChar"/>
          <w:lang w:val="ru-RU"/>
        </w:rPr>
        <w:t xml:space="preserve">, </w:t>
      </w:r>
      <w:proofErr w:type="spellStart"/>
      <w:r w:rsidRPr="00B11EF3">
        <w:rPr>
          <w:rStyle w:val="EndnoteTextChar"/>
          <w:lang w:val="ru-RU"/>
        </w:rPr>
        <w:t>Юдзи</w:t>
      </w:r>
      <w:proofErr w:type="spellEnd"/>
      <w:r w:rsidRPr="00B11EF3">
        <w:rPr>
          <w:rStyle w:val="EndnoteTextChar"/>
          <w:lang w:val="ru-RU"/>
        </w:rPr>
        <w:t xml:space="preserve"> </w:t>
      </w:r>
      <w:proofErr w:type="spellStart"/>
      <w:r w:rsidRPr="00B11EF3">
        <w:rPr>
          <w:rStyle w:val="EndnoteTextChar"/>
          <w:lang w:val="ru-RU"/>
        </w:rPr>
        <w:t>Ивасава</w:t>
      </w:r>
      <w:proofErr w:type="spellEnd"/>
      <w:r w:rsidRPr="00B11EF3">
        <w:rPr>
          <w:rStyle w:val="EndnoteTextChar"/>
          <w:lang w:val="ru-RU"/>
        </w:rPr>
        <w:t xml:space="preserve">, Ивана </w:t>
      </w:r>
      <w:proofErr w:type="spellStart"/>
      <w:r w:rsidRPr="00B11EF3">
        <w:rPr>
          <w:rStyle w:val="EndnoteTextChar"/>
          <w:lang w:val="ru-RU"/>
        </w:rPr>
        <w:t>Елич</w:t>
      </w:r>
      <w:proofErr w:type="spellEnd"/>
      <w:r w:rsidRPr="00B11EF3">
        <w:rPr>
          <w:rStyle w:val="EndnoteTextChar"/>
          <w:lang w:val="ru-RU"/>
        </w:rPr>
        <w:t xml:space="preserve">, Дункан Лаки </w:t>
      </w:r>
      <w:proofErr w:type="spellStart"/>
      <w:r w:rsidRPr="00B11EF3">
        <w:rPr>
          <w:rStyle w:val="EndnoteTextChar"/>
          <w:lang w:val="ru-RU"/>
        </w:rPr>
        <w:t>Мухумуза</w:t>
      </w:r>
      <w:proofErr w:type="spellEnd"/>
      <w:r w:rsidRPr="00B11EF3">
        <w:rPr>
          <w:rStyle w:val="EndnoteTextChar"/>
          <w:lang w:val="ru-RU"/>
        </w:rPr>
        <w:t xml:space="preserve">, </w:t>
      </w:r>
      <w:proofErr w:type="spellStart"/>
      <w:r w:rsidRPr="00B11EF3">
        <w:rPr>
          <w:rStyle w:val="EndnoteTextChar"/>
          <w:lang w:val="ru-RU"/>
        </w:rPr>
        <w:t>Фотини</w:t>
      </w:r>
      <w:proofErr w:type="spellEnd"/>
      <w:r w:rsidRPr="00B11EF3">
        <w:rPr>
          <w:rStyle w:val="EndnoteTextChar"/>
          <w:lang w:val="ru-RU"/>
        </w:rPr>
        <w:t xml:space="preserve"> </w:t>
      </w:r>
      <w:proofErr w:type="spellStart"/>
      <w:r w:rsidRPr="00B11EF3">
        <w:rPr>
          <w:rStyle w:val="EndnoteTextChar"/>
          <w:lang w:val="ru-RU"/>
        </w:rPr>
        <w:t>Пазарцис</w:t>
      </w:r>
      <w:proofErr w:type="spellEnd"/>
      <w:r w:rsidRPr="00B11EF3">
        <w:rPr>
          <w:rStyle w:val="EndnoteTextChar"/>
          <w:lang w:val="ru-RU"/>
        </w:rPr>
        <w:t xml:space="preserve">, </w:t>
      </w:r>
      <w:proofErr w:type="spellStart"/>
      <w:r w:rsidRPr="00B11EF3">
        <w:rPr>
          <w:rStyle w:val="EndnoteTextChar"/>
          <w:lang w:val="ru-RU"/>
        </w:rPr>
        <w:t>Мауро</w:t>
      </w:r>
      <w:proofErr w:type="spellEnd"/>
      <w:r w:rsidRPr="00B11EF3">
        <w:rPr>
          <w:rStyle w:val="EndnoteTextChar"/>
          <w:lang w:val="ru-RU"/>
        </w:rPr>
        <w:t xml:space="preserve"> </w:t>
      </w:r>
      <w:proofErr w:type="spellStart"/>
      <w:r w:rsidRPr="00B11EF3">
        <w:rPr>
          <w:rStyle w:val="EndnoteTextChar"/>
          <w:lang w:val="ru-RU"/>
        </w:rPr>
        <w:t>Полити</w:t>
      </w:r>
      <w:proofErr w:type="spellEnd"/>
      <w:r w:rsidRPr="00B11EF3">
        <w:rPr>
          <w:rStyle w:val="EndnoteTextChar"/>
          <w:lang w:val="ru-RU"/>
        </w:rPr>
        <w:t>, сэр</w:t>
      </w:r>
      <w:r w:rsidR="00B11EF3">
        <w:rPr>
          <w:rStyle w:val="EndnoteTextChar"/>
          <w:lang w:val="ru-RU"/>
        </w:rPr>
        <w:t> </w:t>
      </w:r>
      <w:r w:rsidRPr="00B11EF3">
        <w:rPr>
          <w:rStyle w:val="EndnoteTextChar"/>
          <w:lang w:val="ru-RU"/>
        </w:rPr>
        <w:t xml:space="preserve">Найджел </w:t>
      </w:r>
      <w:proofErr w:type="spellStart"/>
      <w:r w:rsidRPr="00B11EF3">
        <w:rPr>
          <w:rStyle w:val="EndnoteTextChar"/>
          <w:lang w:val="ru-RU"/>
        </w:rPr>
        <w:t>Родли</w:t>
      </w:r>
      <w:proofErr w:type="spellEnd"/>
      <w:r w:rsidRPr="00B11EF3">
        <w:rPr>
          <w:rStyle w:val="EndnoteTextChar"/>
          <w:lang w:val="ru-RU"/>
        </w:rPr>
        <w:t xml:space="preserve">, Виктор </w:t>
      </w:r>
      <w:proofErr w:type="spellStart"/>
      <w:r w:rsidRPr="00B11EF3">
        <w:rPr>
          <w:rStyle w:val="EndnoteTextChar"/>
          <w:lang w:val="ru-RU"/>
        </w:rPr>
        <w:t>Мануэль</w:t>
      </w:r>
      <w:proofErr w:type="spellEnd"/>
      <w:r w:rsidRPr="00B11EF3">
        <w:rPr>
          <w:rStyle w:val="EndnoteTextChar"/>
          <w:lang w:val="ru-RU"/>
        </w:rPr>
        <w:t xml:space="preserve"> Родригес-</w:t>
      </w:r>
      <w:proofErr w:type="spellStart"/>
      <w:r w:rsidRPr="00B11EF3">
        <w:rPr>
          <w:rStyle w:val="EndnoteTextChar"/>
          <w:lang w:val="ru-RU"/>
        </w:rPr>
        <w:t>Ресия</w:t>
      </w:r>
      <w:proofErr w:type="spellEnd"/>
      <w:r w:rsidRPr="00B11EF3">
        <w:rPr>
          <w:rStyle w:val="EndnoteTextChar"/>
          <w:lang w:val="ru-RU"/>
        </w:rPr>
        <w:t xml:space="preserve">, </w:t>
      </w:r>
      <w:proofErr w:type="spellStart"/>
      <w:r w:rsidRPr="00B11EF3">
        <w:rPr>
          <w:rStyle w:val="EndnoteTextChar"/>
          <w:lang w:val="ru-RU"/>
        </w:rPr>
        <w:t>Ф</w:t>
      </w:r>
      <w:r w:rsidR="00B11EF3">
        <w:rPr>
          <w:rStyle w:val="EndnoteTextChar"/>
          <w:lang w:val="ru-RU"/>
        </w:rPr>
        <w:t>абиан</w:t>
      </w:r>
      <w:proofErr w:type="spellEnd"/>
      <w:r w:rsidR="00B11EF3">
        <w:rPr>
          <w:rStyle w:val="EndnoteTextChar"/>
          <w:lang w:val="ru-RU"/>
        </w:rPr>
        <w:t xml:space="preserve"> Омар </w:t>
      </w:r>
      <w:proofErr w:type="spellStart"/>
      <w:r w:rsidR="00B11EF3">
        <w:rPr>
          <w:rStyle w:val="EndnoteTextChar"/>
          <w:lang w:val="ru-RU"/>
        </w:rPr>
        <w:t>Сальвиоли</w:t>
      </w:r>
      <w:proofErr w:type="spellEnd"/>
      <w:r w:rsidR="00B11EF3">
        <w:rPr>
          <w:rStyle w:val="EndnoteTextChar"/>
          <w:lang w:val="ru-RU"/>
        </w:rPr>
        <w:t xml:space="preserve">, </w:t>
      </w:r>
      <w:proofErr w:type="spellStart"/>
      <w:r w:rsidR="00B11EF3">
        <w:rPr>
          <w:rStyle w:val="EndnoteTextChar"/>
          <w:lang w:val="ru-RU"/>
        </w:rPr>
        <w:t>Дируджлал</w:t>
      </w:r>
      <w:proofErr w:type="spellEnd"/>
      <w:r w:rsidRPr="00B11EF3">
        <w:rPr>
          <w:rStyle w:val="EndnoteTextChar"/>
          <w:lang w:val="ru-RU"/>
        </w:rPr>
        <w:t xml:space="preserve"> </w:t>
      </w:r>
      <w:proofErr w:type="spellStart"/>
      <w:r w:rsidRPr="00B11EF3">
        <w:rPr>
          <w:rStyle w:val="EndnoteTextChar"/>
          <w:lang w:val="ru-RU"/>
        </w:rPr>
        <w:t>Ситулсингх</w:t>
      </w:r>
      <w:proofErr w:type="spellEnd"/>
      <w:r w:rsidRPr="00B11EF3">
        <w:rPr>
          <w:rStyle w:val="EndnoteTextChar"/>
          <w:lang w:val="ru-RU"/>
        </w:rPr>
        <w:t xml:space="preserve">, Аня </w:t>
      </w:r>
      <w:proofErr w:type="spellStart"/>
      <w:r w:rsidRPr="00B11EF3">
        <w:rPr>
          <w:rStyle w:val="EndnoteTextChar"/>
          <w:lang w:val="ru-RU"/>
        </w:rPr>
        <w:t>Зайберт</w:t>
      </w:r>
      <w:proofErr w:type="spellEnd"/>
      <w:r w:rsidRPr="00B11EF3">
        <w:rPr>
          <w:rStyle w:val="EndnoteTextChar"/>
          <w:lang w:val="ru-RU"/>
        </w:rPr>
        <w:t xml:space="preserve">-Фор, </w:t>
      </w:r>
      <w:proofErr w:type="spellStart"/>
      <w:r w:rsidRPr="00B11EF3">
        <w:rPr>
          <w:rStyle w:val="EndnoteTextChar"/>
          <w:lang w:val="ru-RU"/>
        </w:rPr>
        <w:t>Юваль</w:t>
      </w:r>
      <w:proofErr w:type="spellEnd"/>
      <w:r w:rsidRPr="00B11EF3">
        <w:rPr>
          <w:rStyle w:val="EndnoteTextChar"/>
          <w:lang w:val="ru-RU"/>
        </w:rPr>
        <w:t xml:space="preserve"> </w:t>
      </w:r>
      <w:proofErr w:type="spellStart"/>
      <w:r w:rsidRPr="00B11EF3">
        <w:rPr>
          <w:rStyle w:val="EndnoteTextChar"/>
          <w:lang w:val="ru-RU"/>
        </w:rPr>
        <w:t>Шани</w:t>
      </w:r>
      <w:proofErr w:type="spellEnd"/>
      <w:r w:rsidRPr="00B11EF3">
        <w:rPr>
          <w:rStyle w:val="EndnoteTextChar"/>
          <w:lang w:val="ru-RU"/>
        </w:rPr>
        <w:t xml:space="preserve">, Константин </w:t>
      </w:r>
      <w:proofErr w:type="spellStart"/>
      <w:r w:rsidRPr="00B11EF3">
        <w:rPr>
          <w:rStyle w:val="EndnoteTextChar"/>
          <w:lang w:val="ru-RU"/>
        </w:rPr>
        <w:t>Вардзелашвили</w:t>
      </w:r>
      <w:proofErr w:type="spellEnd"/>
      <w:r w:rsidRPr="00B11EF3">
        <w:rPr>
          <w:rStyle w:val="EndnoteTextChar"/>
          <w:lang w:val="ru-RU"/>
        </w:rPr>
        <w:t xml:space="preserve"> и Марго </w:t>
      </w:r>
      <w:proofErr w:type="spellStart"/>
      <w:r w:rsidRPr="00B11EF3">
        <w:rPr>
          <w:rStyle w:val="EndnoteTextChar"/>
          <w:lang w:val="ru-RU"/>
        </w:rPr>
        <w:t>Ватервал</w:t>
      </w:r>
      <w:proofErr w:type="spellEnd"/>
      <w:r w:rsidRPr="00B11EF3">
        <w:rPr>
          <w:rStyle w:val="EndnoteTextChar"/>
          <w:lang w:val="ru-RU"/>
        </w:rPr>
        <w:t>.</w:t>
      </w:r>
    </w:p>
  </w:footnote>
  <w:footnote w:id="2">
    <w:p w:rsidR="002D4EE8" w:rsidRPr="002D4EE8" w:rsidRDefault="002D4EE8">
      <w:pPr>
        <w:pStyle w:val="FootnoteText"/>
        <w:rPr>
          <w:lang w:val="ru-RU"/>
        </w:rPr>
      </w:pPr>
      <w:r w:rsidRPr="00B11EF3">
        <w:rPr>
          <w:lang w:val="ru-RU"/>
        </w:rPr>
        <w:tab/>
      </w:r>
      <w:r>
        <w:rPr>
          <w:rStyle w:val="FootnoteReference"/>
        </w:rPr>
        <w:footnoteRef/>
      </w:r>
      <w:r w:rsidRPr="002D4EE8">
        <w:rPr>
          <w:lang w:val="ru-RU"/>
        </w:rPr>
        <w:tab/>
      </w:r>
      <w:r>
        <w:rPr>
          <w:lang w:val="ru-RU"/>
        </w:rPr>
        <w:t xml:space="preserve">Автор представил копию письма директора паспортного отдела министерства иностранных дел и торговли Австралии от 9 апреля 2010 года, в котором автору сообщается, что паспорт его сына был выдан в соответствии со статьей 11 австралийского Закона о паспортах 2005 года, позволяющим при особых обстоятельствах выдавать ребенку паспорт без согласия одного из родителей и без постановления суда, в том числе в тех случаях, когда ребенок покидает Австралию менее чем за 12 месяцев до подачи заявления о выдаче паспорта, и министр считает, что паспорт должен быть выдан для того, чтобы позволить ребенку вернуться в Австралию. </w:t>
      </w:r>
    </w:p>
  </w:footnote>
  <w:footnote w:id="3">
    <w:p w:rsidR="00386D80" w:rsidRPr="00887B9A" w:rsidRDefault="00386D80" w:rsidP="00386D80">
      <w:pPr>
        <w:pStyle w:val="FootnoteText"/>
        <w:rPr>
          <w:lang w:val="ru-RU"/>
        </w:rPr>
      </w:pPr>
      <w:r w:rsidRPr="00B11EF3">
        <w:rPr>
          <w:lang w:val="ru-RU"/>
        </w:rPr>
        <w:tab/>
      </w:r>
      <w:r>
        <w:rPr>
          <w:rStyle w:val="FootnoteReference"/>
        </w:rPr>
        <w:footnoteRef/>
      </w:r>
      <w:r w:rsidRPr="00887B9A">
        <w:rPr>
          <w:lang w:val="ru-RU"/>
        </w:rPr>
        <w:tab/>
      </w:r>
      <w:r>
        <w:rPr>
          <w:lang w:val="ru-RU"/>
        </w:rPr>
        <w:t>Автор утверждает, что это заявление не было включено в стенограмму судебного заседания, которую он просил представить ему для ознакомления.</w:t>
      </w:r>
    </w:p>
  </w:footnote>
  <w:footnote w:id="4">
    <w:p w:rsidR="00FD4438" w:rsidRPr="00FD4438" w:rsidRDefault="00FD4438">
      <w:pPr>
        <w:pStyle w:val="FootnoteText"/>
        <w:rPr>
          <w:lang w:val="ru-RU"/>
        </w:rPr>
      </w:pPr>
      <w:r w:rsidRPr="00B11EF3">
        <w:rPr>
          <w:lang w:val="ru-RU"/>
        </w:rPr>
        <w:tab/>
      </w:r>
      <w:r>
        <w:rPr>
          <w:rStyle w:val="FootnoteReference"/>
        </w:rPr>
        <w:footnoteRef/>
      </w:r>
      <w:r w:rsidRPr="00FD4438">
        <w:rPr>
          <w:lang w:val="ru-RU"/>
        </w:rPr>
        <w:tab/>
      </w:r>
      <w:r>
        <w:rPr>
          <w:lang w:val="ru-RU"/>
        </w:rPr>
        <w:t xml:space="preserve">См. в частности, сообщения № 1616/2007, </w:t>
      </w:r>
      <w:r w:rsidRPr="009A5455">
        <w:rPr>
          <w:i/>
          <w:lang w:val="ru-RU"/>
        </w:rPr>
        <w:t>Мансано и др. против Колумбии</w:t>
      </w:r>
      <w:r>
        <w:rPr>
          <w:lang w:val="ru-RU"/>
        </w:rPr>
        <w:t>, решение, принято</w:t>
      </w:r>
      <w:r w:rsidR="009A5455">
        <w:rPr>
          <w:lang w:val="ru-RU"/>
        </w:rPr>
        <w:t>е 19 марта 2010 года, пункт 6.4;</w:t>
      </w:r>
      <w:r>
        <w:rPr>
          <w:lang w:val="ru-RU"/>
        </w:rPr>
        <w:t xml:space="preserve"> № 1622/2007, </w:t>
      </w:r>
      <w:r w:rsidRPr="009A5455">
        <w:rPr>
          <w:i/>
          <w:lang w:val="ru-RU"/>
        </w:rPr>
        <w:t>Л.Д.Л.П. против Испании</w:t>
      </w:r>
      <w:r>
        <w:rPr>
          <w:lang w:val="ru-RU"/>
        </w:rPr>
        <w:t>, решение, принятое 26 июля 2011</w:t>
      </w:r>
      <w:r w:rsidR="009A5455">
        <w:rPr>
          <w:lang w:val="ru-RU"/>
        </w:rPr>
        <w:t xml:space="preserve"> года, пункт 6.3; и № 2070/2011,</w:t>
      </w:r>
      <w:r>
        <w:rPr>
          <w:lang w:val="ru-RU"/>
        </w:rPr>
        <w:t xml:space="preserve"> </w:t>
      </w:r>
      <w:r w:rsidRPr="009A5455">
        <w:rPr>
          <w:i/>
          <w:lang w:val="ru-RU"/>
        </w:rPr>
        <w:t>Каньяда Мора против Испании</w:t>
      </w:r>
      <w:r>
        <w:rPr>
          <w:lang w:val="ru-RU"/>
        </w:rPr>
        <w:t>, решение, принятое 28 октября 2014 года, пункт 43.</w:t>
      </w:r>
    </w:p>
  </w:footnote>
  <w:footnote w:id="5">
    <w:p w:rsidR="00FD4438" w:rsidRPr="00FD4438" w:rsidRDefault="00FD4438">
      <w:pPr>
        <w:pStyle w:val="FootnoteText"/>
        <w:rPr>
          <w:lang w:val="ru-RU"/>
        </w:rPr>
      </w:pPr>
      <w:r w:rsidRPr="00B11EF3">
        <w:rPr>
          <w:lang w:val="ru-RU"/>
        </w:rPr>
        <w:tab/>
      </w:r>
      <w:r>
        <w:rPr>
          <w:rStyle w:val="FootnoteReference"/>
        </w:rPr>
        <w:footnoteRef/>
      </w:r>
      <w:r w:rsidRPr="00FD4438">
        <w:rPr>
          <w:lang w:val="ru-RU"/>
        </w:rPr>
        <w:tab/>
      </w:r>
      <w:r>
        <w:rPr>
          <w:lang w:val="ru-RU"/>
        </w:rPr>
        <w:t xml:space="preserve">См. сообщение № 201/1985, </w:t>
      </w:r>
      <w:r w:rsidRPr="009A5455">
        <w:rPr>
          <w:i/>
          <w:lang w:val="ru-RU"/>
        </w:rPr>
        <w:t>Хендрикс против Нидерландов</w:t>
      </w:r>
      <w:r>
        <w:rPr>
          <w:lang w:val="ru-RU"/>
        </w:rPr>
        <w:t xml:space="preserve">, Соображения от 27 июля 1988 года, пункт 10.3; № 417/1990, </w:t>
      </w:r>
      <w:r w:rsidRPr="009A5455">
        <w:rPr>
          <w:i/>
          <w:lang w:val="ru-RU"/>
        </w:rPr>
        <w:t>Сантакана против Испании</w:t>
      </w:r>
      <w:r>
        <w:rPr>
          <w:lang w:val="ru-RU"/>
        </w:rPr>
        <w:t xml:space="preserve">, Соображения от 15 июля 1994 года, пункт 10.2; и № 1052/2002 </w:t>
      </w:r>
      <w:r w:rsidRPr="009A5455">
        <w:rPr>
          <w:i/>
          <w:lang w:val="ru-RU"/>
        </w:rPr>
        <w:t>Н.Т. против Канады</w:t>
      </w:r>
      <w:r>
        <w:rPr>
          <w:lang w:val="ru-RU"/>
        </w:rPr>
        <w:t>, Соображения от 20 марта 2007 года, пункт 8.2.</w:t>
      </w:r>
    </w:p>
  </w:footnote>
  <w:footnote w:id="6">
    <w:p w:rsidR="00FD4438" w:rsidRPr="00FD4438" w:rsidRDefault="00FD4438">
      <w:pPr>
        <w:pStyle w:val="FootnoteText"/>
        <w:rPr>
          <w:lang w:val="ru-RU"/>
        </w:rPr>
      </w:pPr>
      <w:r w:rsidRPr="00B11EF3">
        <w:rPr>
          <w:lang w:val="ru-RU"/>
        </w:rPr>
        <w:tab/>
      </w:r>
      <w:r>
        <w:rPr>
          <w:rStyle w:val="FootnoteReference"/>
        </w:rPr>
        <w:footnoteRef/>
      </w:r>
      <w:r w:rsidRPr="00FD4438">
        <w:rPr>
          <w:lang w:val="ru-RU"/>
        </w:rPr>
        <w:tab/>
      </w:r>
      <w:r>
        <w:rPr>
          <w:lang w:val="ru-RU"/>
        </w:rPr>
        <w:t xml:space="preserve">См. </w:t>
      </w:r>
      <w:r w:rsidRPr="002D3D1E">
        <w:rPr>
          <w:i/>
          <w:lang w:val="ru-RU"/>
        </w:rPr>
        <w:t>Н.Т. против Канады</w:t>
      </w:r>
      <w:r>
        <w:rPr>
          <w:lang w:val="ru-RU"/>
        </w:rPr>
        <w:t>, пункт 8.3.</w:t>
      </w:r>
    </w:p>
  </w:footnote>
  <w:footnote w:id="7">
    <w:p w:rsidR="002103D6" w:rsidRPr="002103D6" w:rsidRDefault="002103D6">
      <w:pPr>
        <w:pStyle w:val="FootnoteText"/>
        <w:rPr>
          <w:lang w:val="ru-RU"/>
        </w:rPr>
      </w:pPr>
      <w:r w:rsidRPr="00B11EF3">
        <w:rPr>
          <w:lang w:val="ru-RU"/>
        </w:rPr>
        <w:tab/>
      </w:r>
      <w:r>
        <w:rPr>
          <w:rStyle w:val="FootnoteReference"/>
        </w:rPr>
        <w:footnoteRef/>
      </w:r>
      <w:r w:rsidRPr="002103D6">
        <w:rPr>
          <w:lang w:val="ru-RU"/>
        </w:rPr>
        <w:tab/>
      </w:r>
      <w:r>
        <w:rPr>
          <w:lang w:val="ru-RU"/>
        </w:rPr>
        <w:t xml:space="preserve">См. сообщение № 946/2000, </w:t>
      </w:r>
      <w:r w:rsidRPr="002D3D1E">
        <w:rPr>
          <w:i/>
          <w:lang w:val="ru-RU"/>
        </w:rPr>
        <w:t>Л.П. против Чешской Республики</w:t>
      </w:r>
      <w:r>
        <w:rPr>
          <w:lang w:val="ru-RU"/>
        </w:rPr>
        <w:t xml:space="preserve">, Соображения от 25 июля 2002 года, пункт 7.3; и </w:t>
      </w:r>
      <w:r w:rsidRPr="002D3D1E">
        <w:rPr>
          <w:i/>
          <w:lang w:val="ru-RU"/>
        </w:rPr>
        <w:t>Н.Т. против Канады</w:t>
      </w:r>
      <w:r>
        <w:rPr>
          <w:lang w:val="ru-RU"/>
        </w:rPr>
        <w:t>, пункт 8.3.</w:t>
      </w:r>
    </w:p>
  </w:footnote>
  <w:footnote w:id="8">
    <w:p w:rsidR="002103D6" w:rsidRPr="002103D6" w:rsidRDefault="002103D6">
      <w:pPr>
        <w:pStyle w:val="FootnoteText"/>
        <w:rPr>
          <w:lang w:val="ru-RU"/>
        </w:rPr>
      </w:pPr>
      <w:r w:rsidRPr="00B11EF3">
        <w:rPr>
          <w:lang w:val="ru-RU"/>
        </w:rPr>
        <w:tab/>
      </w:r>
      <w:r>
        <w:rPr>
          <w:rStyle w:val="FootnoteReference"/>
        </w:rPr>
        <w:footnoteRef/>
      </w:r>
      <w:r w:rsidRPr="002103D6">
        <w:rPr>
          <w:lang w:val="ru-RU"/>
        </w:rPr>
        <w:tab/>
      </w:r>
      <w:r>
        <w:rPr>
          <w:lang w:val="ru-RU"/>
        </w:rPr>
        <w:t>См. замечание общего порядка № 32, пункт 27.</w:t>
      </w:r>
    </w:p>
  </w:footnote>
  <w:footnote w:id="9">
    <w:p w:rsidR="002103D6" w:rsidRPr="002103D6" w:rsidRDefault="002103D6">
      <w:pPr>
        <w:pStyle w:val="FootnoteText"/>
        <w:rPr>
          <w:lang w:val="ru-RU"/>
        </w:rPr>
      </w:pPr>
      <w:r w:rsidRPr="00B11EF3">
        <w:rPr>
          <w:lang w:val="ru-RU"/>
        </w:rPr>
        <w:tab/>
      </w:r>
      <w:r>
        <w:rPr>
          <w:rStyle w:val="FootnoteReference"/>
        </w:rPr>
        <w:footnoteRef/>
      </w:r>
      <w:r w:rsidRPr="002103D6">
        <w:rPr>
          <w:lang w:val="ru-RU"/>
        </w:rPr>
        <w:tab/>
      </w:r>
      <w:r>
        <w:rPr>
          <w:lang w:val="ru-RU"/>
        </w:rPr>
        <w:t xml:space="preserve">Также см. сообщение № 1407/2005, </w:t>
      </w:r>
      <w:r w:rsidRPr="002D3D1E">
        <w:rPr>
          <w:i/>
          <w:lang w:val="ru-RU"/>
        </w:rPr>
        <w:t>Асенси Мартинес против Парагвая</w:t>
      </w:r>
      <w:r>
        <w:rPr>
          <w:lang w:val="ru-RU"/>
        </w:rPr>
        <w:t>, Соображения, принятые 27 марта 2009 года, пункт 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58" w:rsidRPr="005F0588" w:rsidRDefault="0087597F">
    <w:pPr>
      <w:pStyle w:val="Header"/>
      <w:rPr>
        <w:lang w:val="en-US"/>
      </w:rPr>
    </w:pPr>
    <w:r>
      <w:rPr>
        <w:lang w:val="en-US"/>
      </w:rPr>
      <w:t>CCPR/</w:t>
    </w:r>
    <w:r w:rsidR="00CE0FAB">
      <w:rPr>
        <w:lang w:val="en-US"/>
      </w:rPr>
      <w:t>C/115/D/2279/2013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58" w:rsidRPr="005F0588" w:rsidRDefault="0087597F">
    <w:pPr>
      <w:pStyle w:val="Header"/>
      <w:rPr>
        <w:lang w:val="en-US"/>
      </w:rPr>
    </w:pPr>
    <w:r>
      <w:rPr>
        <w:lang w:val="en-US"/>
      </w:rPr>
      <w:tab/>
      <w:t>CCPR/</w:t>
    </w:r>
    <w:r w:rsidR="00CE0FAB">
      <w:rPr>
        <w:lang w:val="en-US"/>
      </w:rPr>
      <w:t>C/115/D/2279/2013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isplayBackgroundShape/>
  <w:proofState w:spelling="clean"/>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F7"/>
    <w:rsid w:val="000450D1"/>
    <w:rsid w:val="00061AF7"/>
    <w:rsid w:val="000F2A4F"/>
    <w:rsid w:val="00135904"/>
    <w:rsid w:val="00163B65"/>
    <w:rsid w:val="00182EA5"/>
    <w:rsid w:val="001E6CD1"/>
    <w:rsid w:val="00203F84"/>
    <w:rsid w:val="002103D6"/>
    <w:rsid w:val="00235355"/>
    <w:rsid w:val="00245476"/>
    <w:rsid w:val="00275188"/>
    <w:rsid w:val="0028687D"/>
    <w:rsid w:val="002B091C"/>
    <w:rsid w:val="002D0CCB"/>
    <w:rsid w:val="002D3D1E"/>
    <w:rsid w:val="002D4EE8"/>
    <w:rsid w:val="002F28F8"/>
    <w:rsid w:val="00345C79"/>
    <w:rsid w:val="0035455C"/>
    <w:rsid w:val="00366A39"/>
    <w:rsid w:val="00386D80"/>
    <w:rsid w:val="003E2A2A"/>
    <w:rsid w:val="003E7B78"/>
    <w:rsid w:val="0047277C"/>
    <w:rsid w:val="0048005C"/>
    <w:rsid w:val="004A5470"/>
    <w:rsid w:val="004E242B"/>
    <w:rsid w:val="00544379"/>
    <w:rsid w:val="00566944"/>
    <w:rsid w:val="005A50E9"/>
    <w:rsid w:val="005B3ECA"/>
    <w:rsid w:val="005D56BF"/>
    <w:rsid w:val="00665D8D"/>
    <w:rsid w:val="00690CB4"/>
    <w:rsid w:val="006A7A3B"/>
    <w:rsid w:val="006B6B57"/>
    <w:rsid w:val="00705394"/>
    <w:rsid w:val="00743F62"/>
    <w:rsid w:val="00760D3A"/>
    <w:rsid w:val="007A1F42"/>
    <w:rsid w:val="007D76DD"/>
    <w:rsid w:val="008717E8"/>
    <w:rsid w:val="0087597F"/>
    <w:rsid w:val="00887B9A"/>
    <w:rsid w:val="008D01AE"/>
    <w:rsid w:val="008E0423"/>
    <w:rsid w:val="009141DC"/>
    <w:rsid w:val="009174A1"/>
    <w:rsid w:val="00944F14"/>
    <w:rsid w:val="0098674D"/>
    <w:rsid w:val="00997ACA"/>
    <w:rsid w:val="009A5455"/>
    <w:rsid w:val="00A03FB7"/>
    <w:rsid w:val="00A75A11"/>
    <w:rsid w:val="00AD7EAD"/>
    <w:rsid w:val="00B11EF3"/>
    <w:rsid w:val="00B35A32"/>
    <w:rsid w:val="00B432C6"/>
    <w:rsid w:val="00B471C5"/>
    <w:rsid w:val="00B6474A"/>
    <w:rsid w:val="00B7475B"/>
    <w:rsid w:val="00B82D0A"/>
    <w:rsid w:val="00BE1742"/>
    <w:rsid w:val="00CE0FAB"/>
    <w:rsid w:val="00D1261C"/>
    <w:rsid w:val="00D75DCE"/>
    <w:rsid w:val="00DD35AC"/>
    <w:rsid w:val="00DD479F"/>
    <w:rsid w:val="00E15E48"/>
    <w:rsid w:val="00EB0723"/>
    <w:rsid w:val="00EE6F37"/>
    <w:rsid w:val="00EF2894"/>
    <w:rsid w:val="00F1599F"/>
    <w:rsid w:val="00F31EF2"/>
    <w:rsid w:val="00F579C6"/>
    <w:rsid w:val="00FC2331"/>
    <w:rsid w:val="00FD4438"/>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7597F"/>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4_G"/>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___GR"/>
    <w:basedOn w:val="DefaultParagraphFont"/>
    <w:qFormat/>
    <w:rsid w:val="00BE1742"/>
    <w:rPr>
      <w:rFonts w:ascii="Times New Roman" w:hAnsi="Times New Roman"/>
      <w:b/>
      <w:sz w:val="18"/>
    </w:rPr>
  </w:style>
  <w:style w:type="paragraph" w:styleId="FootnoteText">
    <w:name w:val="footnote text"/>
    <w:aliases w:val="5_GR,5_G"/>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5_G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A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AF7"/>
    <w:rPr>
      <w:rFonts w:ascii="Tahoma" w:eastAsia="Times New Roman" w:hAnsi="Tahoma" w:cs="Tahoma"/>
      <w:spacing w:val="4"/>
      <w:w w:val="103"/>
      <w:kern w:val="14"/>
      <w:sz w:val="16"/>
      <w:szCs w:val="16"/>
    </w:rPr>
  </w:style>
  <w:style w:type="paragraph" w:customStyle="1" w:styleId="SingleTxtG">
    <w:name w:val="_ Single Txt_G"/>
    <w:basedOn w:val="Normal"/>
    <w:link w:val="SingleTxtGChar"/>
    <w:rsid w:val="00061AF7"/>
    <w:pPr>
      <w:suppressAutoHyphens/>
      <w:spacing w:after="120"/>
      <w:ind w:left="1134" w:right="1134"/>
      <w:jc w:val="both"/>
    </w:pPr>
    <w:rPr>
      <w:spacing w:val="0"/>
      <w:w w:val="100"/>
      <w:kern w:val="0"/>
      <w:lang w:val="en-GB"/>
    </w:rPr>
  </w:style>
  <w:style w:type="paragraph" w:customStyle="1" w:styleId="HChG">
    <w:name w:val="_ H _Ch_G"/>
    <w:basedOn w:val="Normal"/>
    <w:next w:val="Normal"/>
    <w:rsid w:val="00061AF7"/>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H1G">
    <w:name w:val="_ H_1_G"/>
    <w:basedOn w:val="Normal"/>
    <w:next w:val="Normal"/>
    <w:rsid w:val="00061AF7"/>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Normal"/>
    <w:next w:val="Normal"/>
    <w:rsid w:val="00061AF7"/>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Normal"/>
    <w:next w:val="Normal"/>
    <w:rsid w:val="00061AF7"/>
    <w:pPr>
      <w:keepNext/>
      <w:keepLines/>
      <w:tabs>
        <w:tab w:val="right" w:pos="851"/>
      </w:tabs>
      <w:suppressAutoHyphens/>
      <w:spacing w:before="240" w:after="120" w:line="240" w:lineRule="exact"/>
      <w:ind w:left="1134" w:right="1134" w:hanging="1134"/>
    </w:pPr>
    <w:rPr>
      <w:i/>
      <w:spacing w:val="0"/>
      <w:w w:val="100"/>
      <w:kern w:val="0"/>
      <w:lang w:val="en-GB"/>
    </w:rPr>
  </w:style>
  <w:style w:type="character" w:customStyle="1" w:styleId="SingleTxtGChar">
    <w:name w:val="_ Single Txt_G Char"/>
    <w:link w:val="SingleTxtG"/>
    <w:rsid w:val="00061AF7"/>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7597F"/>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4_G"/>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___GR"/>
    <w:basedOn w:val="DefaultParagraphFont"/>
    <w:qFormat/>
    <w:rsid w:val="00BE1742"/>
    <w:rPr>
      <w:rFonts w:ascii="Times New Roman" w:hAnsi="Times New Roman"/>
      <w:b/>
      <w:sz w:val="18"/>
    </w:rPr>
  </w:style>
  <w:style w:type="paragraph" w:styleId="FootnoteText">
    <w:name w:val="footnote text"/>
    <w:aliases w:val="5_GR,5_G"/>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5_G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A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AF7"/>
    <w:rPr>
      <w:rFonts w:ascii="Tahoma" w:eastAsia="Times New Roman" w:hAnsi="Tahoma" w:cs="Tahoma"/>
      <w:spacing w:val="4"/>
      <w:w w:val="103"/>
      <w:kern w:val="14"/>
      <w:sz w:val="16"/>
      <w:szCs w:val="16"/>
    </w:rPr>
  </w:style>
  <w:style w:type="paragraph" w:customStyle="1" w:styleId="SingleTxtG">
    <w:name w:val="_ Single Txt_G"/>
    <w:basedOn w:val="Normal"/>
    <w:link w:val="SingleTxtGChar"/>
    <w:rsid w:val="00061AF7"/>
    <w:pPr>
      <w:suppressAutoHyphens/>
      <w:spacing w:after="120"/>
      <w:ind w:left="1134" w:right="1134"/>
      <w:jc w:val="both"/>
    </w:pPr>
    <w:rPr>
      <w:spacing w:val="0"/>
      <w:w w:val="100"/>
      <w:kern w:val="0"/>
      <w:lang w:val="en-GB"/>
    </w:rPr>
  </w:style>
  <w:style w:type="paragraph" w:customStyle="1" w:styleId="HChG">
    <w:name w:val="_ H _Ch_G"/>
    <w:basedOn w:val="Normal"/>
    <w:next w:val="Normal"/>
    <w:rsid w:val="00061AF7"/>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H1G">
    <w:name w:val="_ H_1_G"/>
    <w:basedOn w:val="Normal"/>
    <w:next w:val="Normal"/>
    <w:rsid w:val="00061AF7"/>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Normal"/>
    <w:next w:val="Normal"/>
    <w:rsid w:val="00061AF7"/>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Normal"/>
    <w:next w:val="Normal"/>
    <w:rsid w:val="00061AF7"/>
    <w:pPr>
      <w:keepNext/>
      <w:keepLines/>
      <w:tabs>
        <w:tab w:val="right" w:pos="851"/>
      </w:tabs>
      <w:suppressAutoHyphens/>
      <w:spacing w:before="240" w:after="120" w:line="240" w:lineRule="exact"/>
      <w:ind w:left="1134" w:right="1134" w:hanging="1134"/>
    </w:pPr>
    <w:rPr>
      <w:i/>
      <w:spacing w:val="0"/>
      <w:w w:val="100"/>
      <w:kern w:val="0"/>
      <w:lang w:val="en-GB"/>
    </w:rPr>
  </w:style>
  <w:style w:type="character" w:customStyle="1" w:styleId="SingleTxtGChar">
    <w:name w:val="_ Single Txt_G Char"/>
    <w:link w:val="SingleTxtG"/>
    <w:rsid w:val="00061AF7"/>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a\AppData\Roaming\Microsoft\&#1064;&#1072;&#1073;&#1083;&#1086;&#1085;&#1099;\CCPR.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581F6-DC07-4A95-B1D1-60A4F4F9D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4512</Words>
  <Characters>25725</Characters>
  <Application>Microsoft Office Word</Application>
  <DocSecurity>4</DocSecurity>
  <Lines>214</Lines>
  <Paragraphs>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30177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Argounova</dc:creator>
  <cp:lastModifiedBy>AdayMartin</cp:lastModifiedBy>
  <cp:revision>2</cp:revision>
  <dcterms:created xsi:type="dcterms:W3CDTF">2016-07-15T12:47:00Z</dcterms:created>
  <dcterms:modified xsi:type="dcterms:W3CDTF">2016-07-15T12:47:00Z</dcterms:modified>
</cp:coreProperties>
</file>