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7462D">
        <w:trPr>
          <w:trHeight w:hRule="exact" w:val="851"/>
        </w:trPr>
        <w:tc>
          <w:tcPr>
            <w:tcW w:w="1280" w:type="dxa"/>
            <w:tcBorders>
              <w:bottom w:val="single" w:sz="4" w:space="0" w:color="auto"/>
            </w:tcBorders>
          </w:tcPr>
          <w:p w:rsidR="00C7462D" w:rsidRDefault="00C7462D">
            <w:pPr>
              <w:rPr>
                <w:rFonts w:hint="eastAsia"/>
              </w:rPr>
            </w:pPr>
          </w:p>
        </w:tc>
        <w:tc>
          <w:tcPr>
            <w:tcW w:w="2273" w:type="dxa"/>
            <w:tcBorders>
              <w:bottom w:val="single" w:sz="4" w:space="0" w:color="auto"/>
            </w:tcBorders>
            <w:vAlign w:val="bottom"/>
          </w:tcPr>
          <w:p w:rsidR="00C7462D" w:rsidRDefault="00C7462D">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7462D" w:rsidRPr="00D14313" w:rsidRDefault="00C7462D" w:rsidP="00B51E7A">
            <w:pPr>
              <w:spacing w:line="240" w:lineRule="atLeast"/>
              <w:jc w:val="right"/>
              <w:rPr>
                <w:sz w:val="20"/>
                <w:szCs w:val="21"/>
              </w:rPr>
            </w:pPr>
            <w:r>
              <w:rPr>
                <w:rFonts w:hint="eastAsia"/>
                <w:sz w:val="40"/>
                <w:szCs w:val="40"/>
              </w:rPr>
              <w:t>CCPR</w:t>
            </w:r>
            <w:r w:rsidRPr="00BB67F9">
              <w:rPr>
                <w:sz w:val="20"/>
              </w:rPr>
              <w:t>/</w:t>
            </w:r>
            <w:r w:rsidR="00D14313" w:rsidRPr="00D14313">
              <w:rPr>
                <w:sz w:val="20"/>
              </w:rPr>
              <w:t>C/115/D/2130/2012</w:t>
            </w:r>
          </w:p>
        </w:tc>
      </w:tr>
      <w:tr w:rsidR="00C7462D">
        <w:trPr>
          <w:trHeight w:hRule="exact" w:val="2835"/>
        </w:trPr>
        <w:tc>
          <w:tcPr>
            <w:tcW w:w="1280" w:type="dxa"/>
            <w:tcBorders>
              <w:top w:val="single" w:sz="4" w:space="0" w:color="auto"/>
              <w:bottom w:val="single" w:sz="12" w:space="0" w:color="auto"/>
            </w:tcBorders>
          </w:tcPr>
          <w:p w:rsidR="00C7462D" w:rsidRDefault="00C7462D">
            <w:pPr>
              <w:spacing w:line="120" w:lineRule="atLeast"/>
              <w:rPr>
                <w:sz w:val="10"/>
                <w:szCs w:val="10"/>
              </w:rPr>
            </w:pPr>
          </w:p>
          <w:p w:rsidR="00C7462D" w:rsidRDefault="00C7462D">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7462D" w:rsidRDefault="00C7462D">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7462D" w:rsidRPr="00D14313" w:rsidRDefault="00C7462D" w:rsidP="00BB67F9">
            <w:pPr>
              <w:spacing w:before="240" w:line="240" w:lineRule="atLeast"/>
              <w:rPr>
                <w:sz w:val="20"/>
              </w:rPr>
            </w:pPr>
            <w:r w:rsidRPr="00BB67F9">
              <w:rPr>
                <w:sz w:val="20"/>
              </w:rPr>
              <w:t xml:space="preserve">Distr.: </w:t>
            </w:r>
            <w:r w:rsidR="00D14313" w:rsidRPr="00D14313">
              <w:rPr>
                <w:sz w:val="20"/>
              </w:rPr>
              <w:t>General</w:t>
            </w:r>
          </w:p>
          <w:p w:rsidR="00C7462D" w:rsidRPr="00D14313" w:rsidRDefault="00D14313" w:rsidP="00BB67F9">
            <w:pPr>
              <w:spacing w:line="240" w:lineRule="atLeast"/>
              <w:rPr>
                <w:rFonts w:hint="eastAsia"/>
                <w:sz w:val="20"/>
              </w:rPr>
            </w:pPr>
            <w:r w:rsidRPr="00D14313">
              <w:rPr>
                <w:sz w:val="20"/>
              </w:rPr>
              <w:t>9 February 2016</w:t>
            </w:r>
          </w:p>
          <w:p w:rsidR="00C7462D" w:rsidRPr="00BB67F9" w:rsidRDefault="00C7462D" w:rsidP="00BB67F9">
            <w:pPr>
              <w:spacing w:line="240" w:lineRule="atLeast"/>
              <w:rPr>
                <w:sz w:val="20"/>
              </w:rPr>
            </w:pPr>
            <w:r w:rsidRPr="00BB67F9">
              <w:rPr>
                <w:sz w:val="20"/>
              </w:rPr>
              <w:t xml:space="preserve">Chinese </w:t>
            </w:r>
          </w:p>
          <w:p w:rsidR="00C7462D" w:rsidRPr="00D14313" w:rsidRDefault="00C7462D" w:rsidP="00BB67F9">
            <w:pPr>
              <w:spacing w:line="240" w:lineRule="atLeast"/>
              <w:rPr>
                <w:rFonts w:hint="eastAsia"/>
                <w:sz w:val="20"/>
              </w:rPr>
            </w:pPr>
            <w:r w:rsidRPr="00BB67F9">
              <w:rPr>
                <w:sz w:val="20"/>
              </w:rPr>
              <w:t xml:space="preserve">Original: </w:t>
            </w:r>
            <w:r w:rsidR="00D14313" w:rsidRPr="00D14313">
              <w:rPr>
                <w:sz w:val="20"/>
              </w:rPr>
              <w:t>French</w:t>
            </w:r>
          </w:p>
        </w:tc>
      </w:tr>
    </w:tbl>
    <w:p w:rsidR="00C7462D" w:rsidRDefault="00C7462D">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C7462D" w:rsidRDefault="00334EDE" w:rsidP="00C219B1">
      <w:pPr>
        <w:pStyle w:val="HChGC"/>
      </w:pPr>
      <w:r>
        <w:tab/>
      </w:r>
      <w:r>
        <w:tab/>
      </w:r>
      <w:r w:rsidR="00C219B1">
        <w:rPr>
          <w:rFonts w:hint="eastAsia"/>
        </w:rPr>
        <w:t>第</w:t>
      </w:r>
      <w:r w:rsidR="005C4FF8" w:rsidRPr="005C4FF8">
        <w:t>2130/2012</w:t>
      </w:r>
      <w:r w:rsidR="00C219B1">
        <w:rPr>
          <w:rFonts w:hint="eastAsia"/>
        </w:rPr>
        <w:t>号来文</w:t>
      </w:r>
    </w:p>
    <w:p w:rsidR="00C7462D" w:rsidRPr="005C4FF8" w:rsidRDefault="00C7462D" w:rsidP="00C219B1">
      <w:pPr>
        <w:pStyle w:val="H1GC"/>
        <w:rPr>
          <w:rFonts w:hint="eastAsia"/>
        </w:rPr>
      </w:pPr>
      <w:r>
        <w:tab/>
      </w:r>
      <w:r>
        <w:tab/>
      </w:r>
      <w:r w:rsidR="005C4FF8" w:rsidRPr="005C4FF8">
        <w:rPr>
          <w:rFonts w:hint="eastAsia"/>
        </w:rPr>
        <w:t>委员会第一一五届会议</w:t>
      </w:r>
      <w:r w:rsidR="005C4FF8" w:rsidRPr="005C4FF8">
        <w:rPr>
          <w:rFonts w:hint="eastAsia"/>
        </w:rPr>
        <w:t>(2015</w:t>
      </w:r>
      <w:r w:rsidR="005C4FF8" w:rsidRPr="005C4FF8">
        <w:rPr>
          <w:rFonts w:hint="eastAsia"/>
        </w:rPr>
        <w:t>年</w:t>
      </w:r>
      <w:r w:rsidR="005C4FF8" w:rsidRPr="005C4FF8">
        <w:rPr>
          <w:rFonts w:hint="eastAsia"/>
        </w:rPr>
        <w:t>10</w:t>
      </w:r>
      <w:r w:rsidR="005C4FF8" w:rsidRPr="005C4FF8">
        <w:rPr>
          <w:rFonts w:hint="eastAsia"/>
        </w:rPr>
        <w:t>月</w:t>
      </w:r>
      <w:r w:rsidR="005C4FF8" w:rsidRPr="005C4FF8">
        <w:rPr>
          <w:rFonts w:hint="eastAsia"/>
        </w:rPr>
        <w:t>19</w:t>
      </w:r>
      <w:r w:rsidR="005C4FF8" w:rsidRPr="005C4FF8">
        <w:rPr>
          <w:rFonts w:hint="eastAsia"/>
        </w:rPr>
        <w:t>日至</w:t>
      </w:r>
      <w:r w:rsidR="005C4FF8" w:rsidRPr="005C4FF8">
        <w:rPr>
          <w:rFonts w:hint="eastAsia"/>
        </w:rPr>
        <w:t>11</w:t>
      </w:r>
      <w:r w:rsidR="005C4FF8" w:rsidRPr="005C4FF8">
        <w:rPr>
          <w:rFonts w:hint="eastAsia"/>
        </w:rPr>
        <w:t>月</w:t>
      </w:r>
      <w:r w:rsidR="005C4FF8" w:rsidRPr="005C4FF8">
        <w:rPr>
          <w:rFonts w:hint="eastAsia"/>
        </w:rPr>
        <w:t>6</w:t>
      </w:r>
      <w:r w:rsidR="005C4FF8" w:rsidRPr="005C4FF8">
        <w:rPr>
          <w:rFonts w:hint="eastAsia"/>
        </w:rPr>
        <w:t>日</w:t>
      </w:r>
      <w:r w:rsidR="005C4FF8" w:rsidRPr="005C4FF8">
        <w:rPr>
          <w:rFonts w:hint="eastAsia"/>
        </w:rPr>
        <w:t>)</w:t>
      </w:r>
      <w:r w:rsidR="005C4FF8" w:rsidRPr="005C4FF8">
        <w:rPr>
          <w:rFonts w:hint="eastAsia"/>
        </w:rPr>
        <w:t>上通过的决定</w:t>
      </w:r>
    </w:p>
    <w:tbl>
      <w:tblPr>
        <w:tblW w:w="0" w:type="auto"/>
        <w:tblInd w:w="1565" w:type="dxa"/>
        <w:tblLayout w:type="fixed"/>
        <w:tblCellMar>
          <w:left w:w="0" w:type="dxa"/>
          <w:right w:w="0" w:type="dxa"/>
        </w:tblCellMar>
        <w:tblLook w:val="01E0" w:firstRow="1" w:lastRow="1" w:firstColumn="1" w:lastColumn="1" w:noHBand="0" w:noVBand="0"/>
      </w:tblPr>
      <w:tblGrid>
        <w:gridCol w:w="2187"/>
        <w:gridCol w:w="4744"/>
      </w:tblGrid>
      <w:tr w:rsidR="009E146E" w:rsidTr="00B362C9">
        <w:trPr>
          <w:cantSplit/>
        </w:trPr>
        <w:tc>
          <w:tcPr>
            <w:tcW w:w="2187" w:type="dxa"/>
            <w:shd w:val="clear" w:color="auto" w:fill="auto"/>
          </w:tcPr>
          <w:p w:rsidR="009E146E" w:rsidRPr="00B362C9" w:rsidRDefault="009E146E" w:rsidP="00B362C9">
            <w:pPr>
              <w:pStyle w:val="SingleTxtGC"/>
              <w:ind w:left="0" w:right="0"/>
              <w:rPr>
                <w:rFonts w:eastAsia="KaiTi_GB2312"/>
              </w:rPr>
            </w:pPr>
            <w:r w:rsidRPr="00B362C9">
              <w:rPr>
                <w:rFonts w:ascii="Time New Roman" w:eastAsia="KaiTi_GB2312" w:hAnsi="Time New Roman" w:hint="eastAsia"/>
              </w:rPr>
              <w:t>提交人</w:t>
            </w:r>
            <w:r w:rsidRPr="00B362C9">
              <w:rPr>
                <w:rFonts w:eastAsia="KaiTi_GB2312" w:hint="eastAsia"/>
              </w:rPr>
              <w:t>：</w:t>
            </w:r>
          </w:p>
        </w:tc>
        <w:tc>
          <w:tcPr>
            <w:tcW w:w="4744" w:type="dxa"/>
            <w:shd w:val="clear" w:color="auto" w:fill="auto"/>
          </w:tcPr>
          <w:p w:rsidR="009E146E" w:rsidRPr="005C4FF8" w:rsidRDefault="005C4FF8" w:rsidP="00B362C9">
            <w:pPr>
              <w:pStyle w:val="SingleTxtGC"/>
              <w:ind w:left="0" w:right="0"/>
            </w:pPr>
            <w:r>
              <w:rPr>
                <w:rFonts w:hint="eastAsia"/>
              </w:rPr>
              <w:t>宰因·阿比丁·本·</w:t>
            </w:r>
            <w:r w:rsidRPr="005C4FF8">
              <w:rPr>
                <w:rFonts w:hint="eastAsia"/>
              </w:rPr>
              <w:t>阿里</w:t>
            </w:r>
            <w:r w:rsidRPr="005C4FF8">
              <w:rPr>
                <w:rFonts w:hint="eastAsia"/>
              </w:rPr>
              <w:t>(</w:t>
            </w:r>
            <w:r w:rsidRPr="005C4FF8">
              <w:rPr>
                <w:rFonts w:hint="eastAsia"/>
              </w:rPr>
              <w:t>由</w:t>
            </w:r>
            <w:r w:rsidRPr="005C4FF8">
              <w:rPr>
                <w:rFonts w:hint="eastAsia"/>
              </w:rPr>
              <w:t>Akram Azoury</w:t>
            </w:r>
            <w:r w:rsidRPr="005C4FF8">
              <w:rPr>
                <w:rFonts w:hint="eastAsia"/>
              </w:rPr>
              <w:t>代理</w:t>
            </w:r>
            <w:r w:rsidRPr="005C4FF8">
              <w:rPr>
                <w:rFonts w:hint="eastAsia"/>
              </w:rPr>
              <w:t>)</w:t>
            </w:r>
          </w:p>
        </w:tc>
      </w:tr>
      <w:tr w:rsidR="009E146E" w:rsidTr="00B362C9">
        <w:trPr>
          <w:cantSplit/>
        </w:trPr>
        <w:tc>
          <w:tcPr>
            <w:tcW w:w="2187" w:type="dxa"/>
            <w:shd w:val="clear" w:color="auto" w:fill="auto"/>
          </w:tcPr>
          <w:p w:rsidR="009E146E" w:rsidRPr="00B362C9" w:rsidRDefault="009E146E" w:rsidP="00B362C9">
            <w:pPr>
              <w:pStyle w:val="SingleTxtGC"/>
              <w:ind w:left="0" w:right="0"/>
              <w:rPr>
                <w:rFonts w:eastAsia="KaiTi_GB2312"/>
              </w:rPr>
            </w:pPr>
            <w:r w:rsidRPr="00B362C9">
              <w:rPr>
                <w:rFonts w:ascii="Time New Roman" w:eastAsia="KaiTi_GB2312" w:hAnsi="Time New Roman" w:hint="eastAsia"/>
              </w:rPr>
              <w:t>据称受害人：</w:t>
            </w:r>
          </w:p>
        </w:tc>
        <w:tc>
          <w:tcPr>
            <w:tcW w:w="4744" w:type="dxa"/>
            <w:shd w:val="clear" w:color="auto" w:fill="auto"/>
          </w:tcPr>
          <w:p w:rsidR="009E146E" w:rsidRPr="00C74FB6" w:rsidRDefault="009E146E" w:rsidP="00B362C9">
            <w:pPr>
              <w:pStyle w:val="SingleTxtGC"/>
              <w:ind w:left="0" w:right="0"/>
            </w:pPr>
            <w:r w:rsidRPr="00C74FB6">
              <w:rPr>
                <w:rFonts w:hint="eastAsia"/>
              </w:rPr>
              <w:t>提交人</w:t>
            </w:r>
          </w:p>
        </w:tc>
      </w:tr>
      <w:tr w:rsidR="009E146E" w:rsidTr="00B362C9">
        <w:trPr>
          <w:cantSplit/>
        </w:trPr>
        <w:tc>
          <w:tcPr>
            <w:tcW w:w="2187" w:type="dxa"/>
            <w:shd w:val="clear" w:color="auto" w:fill="auto"/>
          </w:tcPr>
          <w:p w:rsidR="009E146E" w:rsidRPr="00B362C9" w:rsidRDefault="009E146E" w:rsidP="00B362C9">
            <w:pPr>
              <w:pStyle w:val="SingleTxtGC"/>
              <w:ind w:left="0" w:right="0"/>
              <w:rPr>
                <w:rFonts w:eastAsia="KaiTi_GB2312"/>
              </w:rPr>
            </w:pPr>
            <w:r w:rsidRPr="00B362C9">
              <w:rPr>
                <w:rFonts w:ascii="Time New Roman" w:eastAsia="KaiTi_GB2312" w:hAnsi="Time New Roman" w:hint="eastAsia"/>
              </w:rPr>
              <w:t>所涉缔约国：</w:t>
            </w:r>
          </w:p>
        </w:tc>
        <w:tc>
          <w:tcPr>
            <w:tcW w:w="4744" w:type="dxa"/>
            <w:shd w:val="clear" w:color="auto" w:fill="auto"/>
          </w:tcPr>
          <w:p w:rsidR="009E146E" w:rsidRPr="005C4FF8" w:rsidRDefault="005C4FF8" w:rsidP="00B362C9">
            <w:pPr>
              <w:pStyle w:val="SingleTxtGC"/>
              <w:ind w:left="0" w:right="0"/>
            </w:pPr>
            <w:r w:rsidRPr="005C4FF8">
              <w:rPr>
                <w:rFonts w:hint="eastAsia"/>
              </w:rPr>
              <w:t>突尼斯</w:t>
            </w:r>
          </w:p>
        </w:tc>
      </w:tr>
      <w:tr w:rsidR="009E146E" w:rsidTr="00B362C9">
        <w:trPr>
          <w:cantSplit/>
        </w:trPr>
        <w:tc>
          <w:tcPr>
            <w:tcW w:w="2187" w:type="dxa"/>
            <w:shd w:val="clear" w:color="auto" w:fill="auto"/>
          </w:tcPr>
          <w:p w:rsidR="009E146E" w:rsidRPr="00B362C9" w:rsidRDefault="009E146E" w:rsidP="00B362C9">
            <w:pPr>
              <w:pStyle w:val="SingleTxtGC"/>
              <w:ind w:left="0" w:right="0"/>
              <w:rPr>
                <w:rFonts w:ascii="Time New Roman" w:eastAsia="KaiTi_GB2312" w:hAnsi="Time New Roman" w:hint="eastAsia"/>
              </w:rPr>
            </w:pPr>
            <w:r w:rsidRPr="00B362C9">
              <w:rPr>
                <w:rFonts w:ascii="Time New Roman" w:eastAsia="KaiTi_GB2312" w:hAnsi="Time New Roman" w:hint="eastAsia"/>
              </w:rPr>
              <w:t>来文日期：</w:t>
            </w:r>
          </w:p>
        </w:tc>
        <w:tc>
          <w:tcPr>
            <w:tcW w:w="4744" w:type="dxa"/>
            <w:shd w:val="clear" w:color="auto" w:fill="auto"/>
          </w:tcPr>
          <w:p w:rsidR="009E146E" w:rsidRPr="005C4FF8" w:rsidRDefault="005C4FF8" w:rsidP="00B362C9">
            <w:pPr>
              <w:pStyle w:val="SingleTxtGC"/>
              <w:ind w:left="0" w:right="0"/>
              <w:rPr>
                <w:rFonts w:hint="eastAsia"/>
              </w:rPr>
            </w:pPr>
            <w:r w:rsidRPr="005C4FF8">
              <w:rPr>
                <w:rFonts w:hint="eastAsia"/>
              </w:rPr>
              <w:t>2012</w:t>
            </w:r>
            <w:r w:rsidRPr="005C4FF8">
              <w:rPr>
                <w:rFonts w:hint="eastAsia"/>
              </w:rPr>
              <w:t>年</w:t>
            </w:r>
            <w:r w:rsidRPr="005C4FF8">
              <w:rPr>
                <w:rFonts w:hint="eastAsia"/>
              </w:rPr>
              <w:t>1</w:t>
            </w:r>
            <w:r w:rsidRPr="005C4FF8">
              <w:rPr>
                <w:rFonts w:hint="eastAsia"/>
              </w:rPr>
              <w:t>月</w:t>
            </w:r>
            <w:r w:rsidRPr="005C4FF8">
              <w:rPr>
                <w:rFonts w:hint="eastAsia"/>
              </w:rPr>
              <w:t>19</w:t>
            </w:r>
            <w:r w:rsidRPr="005C4FF8">
              <w:rPr>
                <w:rFonts w:hint="eastAsia"/>
              </w:rPr>
              <w:t>日</w:t>
            </w:r>
            <w:r w:rsidRPr="005C4FF8">
              <w:rPr>
                <w:rFonts w:hint="eastAsia"/>
              </w:rPr>
              <w:t>(</w:t>
            </w:r>
            <w:r w:rsidRPr="005C4FF8">
              <w:rPr>
                <w:rFonts w:hint="eastAsia"/>
              </w:rPr>
              <w:t>首次提交</w:t>
            </w:r>
            <w:r w:rsidRPr="005C4FF8">
              <w:rPr>
                <w:rFonts w:hint="eastAsia"/>
              </w:rPr>
              <w:t>)</w:t>
            </w:r>
          </w:p>
        </w:tc>
      </w:tr>
      <w:tr w:rsidR="009E146E" w:rsidTr="00B362C9">
        <w:trPr>
          <w:cantSplit/>
        </w:trPr>
        <w:tc>
          <w:tcPr>
            <w:tcW w:w="2187" w:type="dxa"/>
            <w:shd w:val="clear" w:color="auto" w:fill="auto"/>
          </w:tcPr>
          <w:p w:rsidR="009E146E" w:rsidRPr="00B362C9" w:rsidRDefault="009E146E" w:rsidP="00B362C9">
            <w:pPr>
              <w:pStyle w:val="SingleTxtGC"/>
              <w:ind w:left="0" w:right="0"/>
              <w:rPr>
                <w:rFonts w:ascii="Time New Roman" w:eastAsia="KaiTi_GB2312" w:hAnsi="Time New Roman" w:hint="eastAsia"/>
              </w:rPr>
            </w:pPr>
            <w:r w:rsidRPr="00B362C9">
              <w:rPr>
                <w:rFonts w:ascii="Time New Roman" w:eastAsia="KaiTi_GB2312" w:hAnsi="Time New Roman" w:hint="eastAsia"/>
              </w:rPr>
              <w:t>参考文件：</w:t>
            </w:r>
          </w:p>
        </w:tc>
        <w:tc>
          <w:tcPr>
            <w:tcW w:w="4744" w:type="dxa"/>
            <w:shd w:val="clear" w:color="auto" w:fill="auto"/>
          </w:tcPr>
          <w:p w:rsidR="009E146E" w:rsidRPr="00B362C9" w:rsidRDefault="005C4FF8" w:rsidP="00B362C9">
            <w:pPr>
              <w:pStyle w:val="SingleTxtGC"/>
              <w:ind w:left="0" w:right="0"/>
              <w:rPr>
                <w:rFonts w:hint="eastAsia"/>
                <w:lang w:val="fr-CH"/>
              </w:rPr>
            </w:pPr>
            <w:r w:rsidRPr="00B362C9">
              <w:rPr>
                <w:rFonts w:hint="eastAsia"/>
                <w:lang w:val="fr-CH"/>
              </w:rPr>
              <w:t>特别报告员根据议事规则第</w:t>
            </w:r>
            <w:r w:rsidRPr="00B362C9">
              <w:rPr>
                <w:rFonts w:hint="eastAsia"/>
                <w:lang w:val="fr-CH"/>
              </w:rPr>
              <w:t>92</w:t>
            </w:r>
            <w:r w:rsidRPr="00B362C9">
              <w:rPr>
                <w:rFonts w:hint="eastAsia"/>
                <w:lang w:val="fr-CH"/>
              </w:rPr>
              <w:t>和第</w:t>
            </w:r>
            <w:r w:rsidRPr="00B362C9">
              <w:rPr>
                <w:rFonts w:hint="eastAsia"/>
                <w:lang w:val="fr-CH"/>
              </w:rPr>
              <w:t>97</w:t>
            </w:r>
            <w:r w:rsidRPr="00B362C9">
              <w:rPr>
                <w:rFonts w:hint="eastAsia"/>
                <w:lang w:val="fr-CH"/>
              </w:rPr>
              <w:t>条作出的决定，于</w:t>
            </w:r>
            <w:r w:rsidRPr="00B362C9">
              <w:rPr>
                <w:rFonts w:hint="eastAsia"/>
                <w:lang w:val="fr-CH"/>
              </w:rPr>
              <w:t>2012</w:t>
            </w:r>
            <w:r w:rsidRPr="00B362C9">
              <w:rPr>
                <w:rFonts w:hint="eastAsia"/>
                <w:lang w:val="fr-CH"/>
              </w:rPr>
              <w:t>年</w:t>
            </w:r>
            <w:r w:rsidRPr="00B362C9">
              <w:rPr>
                <w:rFonts w:hint="eastAsia"/>
                <w:lang w:val="fr-CH"/>
              </w:rPr>
              <w:t>2</w:t>
            </w:r>
            <w:r w:rsidRPr="00B362C9">
              <w:rPr>
                <w:rFonts w:hint="eastAsia"/>
                <w:lang w:val="fr-CH"/>
              </w:rPr>
              <w:t>月</w:t>
            </w:r>
            <w:r w:rsidRPr="00B362C9">
              <w:rPr>
                <w:rFonts w:hint="eastAsia"/>
                <w:lang w:val="fr-CH"/>
              </w:rPr>
              <w:t>1</w:t>
            </w:r>
            <w:r w:rsidRPr="00B362C9">
              <w:rPr>
                <w:rFonts w:hint="eastAsia"/>
                <w:lang w:val="fr-CH"/>
              </w:rPr>
              <w:t>日转交缔约国</w:t>
            </w:r>
            <w:r w:rsidRPr="00B362C9">
              <w:rPr>
                <w:rFonts w:hint="eastAsia"/>
                <w:lang w:val="fr-CH"/>
              </w:rPr>
              <w:t>(</w:t>
            </w:r>
            <w:r w:rsidRPr="00B362C9">
              <w:rPr>
                <w:rFonts w:hint="eastAsia"/>
                <w:lang w:val="fr-CH"/>
              </w:rPr>
              <w:t>未作为文件印发</w:t>
            </w:r>
            <w:r w:rsidRPr="00B362C9">
              <w:rPr>
                <w:rFonts w:hint="eastAsia"/>
                <w:lang w:val="fr-CH"/>
              </w:rPr>
              <w:t>)</w:t>
            </w:r>
          </w:p>
        </w:tc>
      </w:tr>
      <w:tr w:rsidR="009E146E" w:rsidTr="00B362C9">
        <w:trPr>
          <w:cantSplit/>
        </w:trPr>
        <w:tc>
          <w:tcPr>
            <w:tcW w:w="2187" w:type="dxa"/>
            <w:shd w:val="clear" w:color="auto" w:fill="auto"/>
          </w:tcPr>
          <w:p w:rsidR="009E146E" w:rsidRPr="00B362C9" w:rsidRDefault="005C4FF8" w:rsidP="00B362C9">
            <w:pPr>
              <w:pStyle w:val="SingleTxtGC"/>
              <w:ind w:left="0" w:right="0"/>
              <w:rPr>
                <w:rFonts w:ascii="Time New Roman" w:eastAsia="KaiTi_GB2312" w:hAnsi="Time New Roman" w:hint="eastAsia"/>
              </w:rPr>
            </w:pPr>
            <w:r w:rsidRPr="00B362C9">
              <w:rPr>
                <w:rFonts w:ascii="Time New Roman" w:eastAsia="KaiTi_GB2312" w:hAnsi="Time New Roman" w:hint="eastAsia"/>
              </w:rPr>
              <w:t>决定的通过日期：</w:t>
            </w:r>
          </w:p>
        </w:tc>
        <w:tc>
          <w:tcPr>
            <w:tcW w:w="4744" w:type="dxa"/>
            <w:shd w:val="clear" w:color="auto" w:fill="auto"/>
          </w:tcPr>
          <w:p w:rsidR="009E146E" w:rsidRPr="00B362C9" w:rsidRDefault="005C4FF8" w:rsidP="00B362C9">
            <w:pPr>
              <w:pStyle w:val="SingleTxtGC"/>
              <w:ind w:left="0" w:right="0"/>
              <w:rPr>
                <w:rFonts w:hint="eastAsia"/>
                <w:snapToGrid/>
              </w:rPr>
            </w:pPr>
            <w:r w:rsidRPr="00B362C9">
              <w:rPr>
                <w:rFonts w:hint="eastAsia"/>
                <w:snapToGrid/>
              </w:rPr>
              <w:t>2015</w:t>
            </w:r>
            <w:r w:rsidRPr="00B362C9">
              <w:rPr>
                <w:rFonts w:hint="eastAsia"/>
                <w:snapToGrid/>
              </w:rPr>
              <w:t>年</w:t>
            </w:r>
            <w:r w:rsidRPr="00B362C9">
              <w:rPr>
                <w:rFonts w:hint="eastAsia"/>
                <w:snapToGrid/>
              </w:rPr>
              <w:t>11</w:t>
            </w:r>
            <w:r w:rsidRPr="00B362C9">
              <w:rPr>
                <w:rFonts w:hint="eastAsia"/>
                <w:snapToGrid/>
              </w:rPr>
              <w:t>月</w:t>
            </w:r>
            <w:r w:rsidRPr="00B362C9">
              <w:rPr>
                <w:rFonts w:hint="eastAsia"/>
                <w:snapToGrid/>
              </w:rPr>
              <w:t>2</w:t>
            </w:r>
            <w:r w:rsidRPr="00B362C9">
              <w:rPr>
                <w:rFonts w:hint="eastAsia"/>
                <w:snapToGrid/>
              </w:rPr>
              <w:t>日</w:t>
            </w:r>
          </w:p>
        </w:tc>
      </w:tr>
      <w:tr w:rsidR="009E146E" w:rsidTr="00B362C9">
        <w:trPr>
          <w:cantSplit/>
        </w:trPr>
        <w:tc>
          <w:tcPr>
            <w:tcW w:w="2187" w:type="dxa"/>
            <w:shd w:val="clear" w:color="auto" w:fill="auto"/>
          </w:tcPr>
          <w:p w:rsidR="009E146E" w:rsidRPr="00B362C9" w:rsidRDefault="009E146E" w:rsidP="00B362C9">
            <w:pPr>
              <w:pStyle w:val="SingleTxtGC"/>
              <w:ind w:left="0" w:right="0"/>
              <w:rPr>
                <w:rFonts w:ascii="Time New Roman" w:eastAsia="KaiTi_GB2312" w:hAnsi="Time New Roman" w:hint="eastAsia"/>
              </w:rPr>
            </w:pPr>
            <w:r w:rsidRPr="00B362C9">
              <w:rPr>
                <w:rFonts w:ascii="Time New Roman" w:eastAsia="KaiTi_GB2312" w:hAnsi="Time New Roman" w:hint="eastAsia"/>
              </w:rPr>
              <w:t>事由</w:t>
            </w:r>
            <w:r w:rsidRPr="00B362C9">
              <w:rPr>
                <w:rFonts w:hint="eastAsia"/>
                <w:snapToGrid/>
              </w:rPr>
              <w:t>：</w:t>
            </w:r>
          </w:p>
        </w:tc>
        <w:tc>
          <w:tcPr>
            <w:tcW w:w="4744" w:type="dxa"/>
            <w:shd w:val="clear" w:color="auto" w:fill="auto"/>
          </w:tcPr>
          <w:p w:rsidR="009E146E" w:rsidRPr="00B362C9" w:rsidRDefault="005C4FF8" w:rsidP="00B362C9">
            <w:pPr>
              <w:pStyle w:val="SingleTxtGC"/>
              <w:ind w:left="0" w:right="0"/>
              <w:rPr>
                <w:rFonts w:hint="eastAsia"/>
                <w:snapToGrid/>
              </w:rPr>
            </w:pPr>
            <w:r w:rsidRPr="00B362C9">
              <w:rPr>
                <w:rFonts w:hint="eastAsia"/>
                <w:snapToGrid/>
              </w:rPr>
              <w:t>不公平缺席审判</w:t>
            </w:r>
          </w:p>
        </w:tc>
      </w:tr>
      <w:tr w:rsidR="009E146E" w:rsidTr="00B362C9">
        <w:trPr>
          <w:cantSplit/>
        </w:trPr>
        <w:tc>
          <w:tcPr>
            <w:tcW w:w="2187" w:type="dxa"/>
            <w:shd w:val="clear" w:color="auto" w:fill="auto"/>
          </w:tcPr>
          <w:p w:rsidR="009E146E" w:rsidRPr="00B362C9" w:rsidRDefault="009E146E" w:rsidP="00B362C9">
            <w:pPr>
              <w:pStyle w:val="SingleTxtGC"/>
              <w:ind w:left="0" w:right="0"/>
              <w:rPr>
                <w:rFonts w:ascii="Time New Roman" w:eastAsia="KaiTi_GB2312" w:hAnsi="Time New Roman" w:hint="eastAsia"/>
              </w:rPr>
            </w:pPr>
            <w:r w:rsidRPr="00B362C9">
              <w:rPr>
                <w:rFonts w:eastAsia="KaiTi_GB2312" w:hint="eastAsia"/>
                <w:snapToGrid/>
              </w:rPr>
              <w:t>程序性问题</w:t>
            </w:r>
            <w:r w:rsidRPr="00B362C9">
              <w:rPr>
                <w:rFonts w:hint="eastAsia"/>
                <w:snapToGrid/>
              </w:rPr>
              <w:t>：</w:t>
            </w:r>
          </w:p>
        </w:tc>
        <w:tc>
          <w:tcPr>
            <w:tcW w:w="4744" w:type="dxa"/>
            <w:shd w:val="clear" w:color="auto" w:fill="auto"/>
          </w:tcPr>
          <w:p w:rsidR="009E146E" w:rsidRPr="00B362C9" w:rsidRDefault="005C4FF8" w:rsidP="00B362C9">
            <w:pPr>
              <w:pStyle w:val="SingleTxtGC"/>
              <w:ind w:left="0" w:right="0"/>
              <w:rPr>
                <w:rFonts w:hint="eastAsia"/>
                <w:snapToGrid/>
              </w:rPr>
            </w:pPr>
            <w:r w:rsidRPr="00B362C9">
              <w:rPr>
                <w:rFonts w:hint="eastAsia"/>
                <w:snapToGrid/>
              </w:rPr>
              <w:t>因属时理由不可受理；不一致；未用尽国内救济办法</w:t>
            </w:r>
          </w:p>
        </w:tc>
      </w:tr>
      <w:tr w:rsidR="009E146E" w:rsidTr="00B362C9">
        <w:trPr>
          <w:cantSplit/>
        </w:trPr>
        <w:tc>
          <w:tcPr>
            <w:tcW w:w="2187" w:type="dxa"/>
            <w:shd w:val="clear" w:color="auto" w:fill="auto"/>
          </w:tcPr>
          <w:p w:rsidR="009E146E" w:rsidRPr="00B362C9" w:rsidRDefault="009E146E" w:rsidP="00B362C9">
            <w:pPr>
              <w:pStyle w:val="SingleTxtGC"/>
              <w:ind w:left="0" w:right="0"/>
              <w:rPr>
                <w:rFonts w:eastAsia="KaiTi_GB2312" w:hint="eastAsia"/>
                <w:snapToGrid/>
                <w:lang w:val="fr-CH"/>
              </w:rPr>
            </w:pPr>
            <w:r w:rsidRPr="00B362C9">
              <w:rPr>
                <w:rFonts w:eastAsia="KaiTi_GB2312"/>
                <w:snapToGrid/>
              </w:rPr>
              <w:t>实质性问题</w:t>
            </w:r>
            <w:r w:rsidRPr="00B362C9">
              <w:rPr>
                <w:rFonts w:eastAsia="KaiTi_GB2312" w:hint="eastAsia"/>
                <w:snapToGrid/>
                <w:lang w:val="fr-CH"/>
              </w:rPr>
              <w:t>：</w:t>
            </w:r>
          </w:p>
        </w:tc>
        <w:tc>
          <w:tcPr>
            <w:tcW w:w="4744" w:type="dxa"/>
            <w:shd w:val="clear" w:color="auto" w:fill="auto"/>
          </w:tcPr>
          <w:p w:rsidR="009E146E" w:rsidRPr="00B362C9" w:rsidRDefault="005C4FF8" w:rsidP="00B362C9">
            <w:pPr>
              <w:pStyle w:val="SingleTxtGC"/>
              <w:ind w:left="0" w:right="0"/>
              <w:rPr>
                <w:rFonts w:hint="eastAsia"/>
                <w:snapToGrid/>
              </w:rPr>
            </w:pPr>
            <w:r w:rsidRPr="00B362C9">
              <w:rPr>
                <w:rFonts w:hint="eastAsia"/>
                <w:snapToGrid/>
              </w:rPr>
              <w:t>公平审判权；无罪推定；独立和公正法庭的权利；自己辩护或通过自己选择的法律援助进行辩护的权利；及时和详细了解所提指控的性质和理由的权利；有充分的时间和便利准备辩护的权利</w:t>
            </w:r>
          </w:p>
        </w:tc>
      </w:tr>
      <w:tr w:rsidR="009E146E" w:rsidTr="00B362C9">
        <w:trPr>
          <w:cantSplit/>
        </w:trPr>
        <w:tc>
          <w:tcPr>
            <w:tcW w:w="2187" w:type="dxa"/>
            <w:shd w:val="clear" w:color="auto" w:fill="auto"/>
          </w:tcPr>
          <w:p w:rsidR="009E146E" w:rsidRPr="00B362C9" w:rsidRDefault="009E146E" w:rsidP="00B362C9">
            <w:pPr>
              <w:pStyle w:val="SingleTxtGC"/>
              <w:ind w:left="-85" w:right="0"/>
              <w:rPr>
                <w:rFonts w:eastAsia="KaiTi_GB2312"/>
                <w:snapToGrid/>
              </w:rPr>
            </w:pPr>
            <w:r w:rsidRPr="00B362C9">
              <w:rPr>
                <w:rFonts w:ascii="Time New Roman" w:eastAsia="KaiTi_GB2312" w:hAnsi="Time New Roman" w:hint="eastAsia"/>
              </w:rPr>
              <w:t>《公约》</w:t>
            </w:r>
            <w:r w:rsidRPr="00B362C9">
              <w:rPr>
                <w:rFonts w:eastAsia="KaiTi_GB2312" w:hint="eastAsia"/>
                <w:snapToGrid/>
              </w:rPr>
              <w:t>条款</w:t>
            </w:r>
            <w:r w:rsidRPr="00B362C9">
              <w:rPr>
                <w:rFonts w:hint="eastAsia"/>
                <w:snapToGrid/>
              </w:rPr>
              <w:t>：</w:t>
            </w:r>
          </w:p>
        </w:tc>
        <w:tc>
          <w:tcPr>
            <w:tcW w:w="4744" w:type="dxa"/>
            <w:shd w:val="clear" w:color="auto" w:fill="auto"/>
          </w:tcPr>
          <w:p w:rsidR="009E146E" w:rsidRPr="00B362C9" w:rsidRDefault="005C4FF8" w:rsidP="00B362C9">
            <w:pPr>
              <w:pStyle w:val="SingleTxtGC"/>
              <w:ind w:left="0" w:right="0"/>
              <w:rPr>
                <w:rFonts w:hint="eastAsia"/>
                <w:snapToGrid/>
              </w:rPr>
            </w:pPr>
            <w:r w:rsidRPr="00B362C9">
              <w:rPr>
                <w:rFonts w:hint="eastAsia"/>
                <w:snapToGrid/>
              </w:rPr>
              <w:t>第十四条第</w:t>
            </w:r>
            <w:r w:rsidRPr="00B362C9">
              <w:rPr>
                <w:rFonts w:hint="eastAsia"/>
                <w:snapToGrid/>
              </w:rPr>
              <w:t>1</w:t>
            </w:r>
            <w:r w:rsidRPr="00B362C9">
              <w:rPr>
                <w:rFonts w:hint="eastAsia"/>
                <w:snapToGrid/>
              </w:rPr>
              <w:t>款、第</w:t>
            </w:r>
            <w:r w:rsidRPr="00B362C9">
              <w:rPr>
                <w:rFonts w:hint="eastAsia"/>
                <w:snapToGrid/>
              </w:rPr>
              <w:t>2</w:t>
            </w:r>
            <w:r w:rsidRPr="00B362C9">
              <w:rPr>
                <w:rFonts w:hint="eastAsia"/>
                <w:snapToGrid/>
              </w:rPr>
              <w:t>款和第</w:t>
            </w:r>
            <w:r w:rsidRPr="00B362C9">
              <w:rPr>
                <w:rFonts w:hint="eastAsia"/>
                <w:snapToGrid/>
              </w:rPr>
              <w:t>3</w:t>
            </w:r>
            <w:r w:rsidRPr="00B362C9">
              <w:rPr>
                <w:rFonts w:hint="eastAsia"/>
                <w:snapToGrid/>
              </w:rPr>
              <w:t>款</w:t>
            </w:r>
            <w:r w:rsidRPr="00B362C9">
              <w:rPr>
                <w:rFonts w:hint="eastAsia"/>
                <w:snapToGrid/>
              </w:rPr>
              <w:t>(</w:t>
            </w:r>
            <w:r w:rsidRPr="00B362C9">
              <w:rPr>
                <w:rFonts w:hint="eastAsia"/>
                <w:snapToGrid/>
              </w:rPr>
              <w:t>甲</w:t>
            </w:r>
            <w:r w:rsidRPr="00B362C9">
              <w:rPr>
                <w:rFonts w:hint="eastAsia"/>
                <w:snapToGrid/>
              </w:rPr>
              <w:t>)</w:t>
            </w:r>
            <w:r w:rsidRPr="00B362C9">
              <w:rPr>
                <w:rFonts w:hint="eastAsia"/>
                <w:snapToGrid/>
              </w:rPr>
              <w:t>、</w:t>
            </w:r>
            <w:r w:rsidRPr="00B362C9">
              <w:rPr>
                <w:rFonts w:hint="eastAsia"/>
                <w:snapToGrid/>
              </w:rPr>
              <w:t>(</w:t>
            </w:r>
            <w:r w:rsidRPr="00B362C9">
              <w:rPr>
                <w:rFonts w:hint="eastAsia"/>
                <w:snapToGrid/>
              </w:rPr>
              <w:t>乙</w:t>
            </w:r>
            <w:r w:rsidRPr="00B362C9">
              <w:rPr>
                <w:rFonts w:hint="eastAsia"/>
                <w:snapToGrid/>
              </w:rPr>
              <w:t>)</w:t>
            </w:r>
            <w:r w:rsidRPr="00B362C9">
              <w:rPr>
                <w:rFonts w:hint="eastAsia"/>
                <w:snapToGrid/>
              </w:rPr>
              <w:t>和</w:t>
            </w:r>
            <w:r w:rsidRPr="00B362C9">
              <w:rPr>
                <w:rFonts w:hint="eastAsia"/>
                <w:snapToGrid/>
              </w:rPr>
              <w:t>(</w:t>
            </w:r>
            <w:r w:rsidRPr="00B362C9">
              <w:rPr>
                <w:rFonts w:hint="eastAsia"/>
                <w:snapToGrid/>
              </w:rPr>
              <w:t>丁</w:t>
            </w:r>
            <w:r w:rsidRPr="00B362C9">
              <w:rPr>
                <w:rFonts w:hint="eastAsia"/>
                <w:snapToGrid/>
              </w:rPr>
              <w:t>)</w:t>
            </w:r>
            <w:r w:rsidRPr="00B362C9">
              <w:rPr>
                <w:rFonts w:hint="eastAsia"/>
                <w:snapToGrid/>
              </w:rPr>
              <w:t>项</w:t>
            </w:r>
          </w:p>
        </w:tc>
      </w:tr>
      <w:tr w:rsidR="009E146E" w:rsidTr="00B362C9">
        <w:trPr>
          <w:cantSplit/>
        </w:trPr>
        <w:tc>
          <w:tcPr>
            <w:tcW w:w="2187" w:type="dxa"/>
            <w:shd w:val="clear" w:color="auto" w:fill="auto"/>
          </w:tcPr>
          <w:p w:rsidR="009E146E" w:rsidRPr="00B362C9" w:rsidRDefault="009E146E" w:rsidP="00B362C9">
            <w:pPr>
              <w:pStyle w:val="SingleTxtGC"/>
              <w:ind w:left="-85" w:right="0"/>
              <w:rPr>
                <w:rFonts w:ascii="Time New Roman" w:eastAsia="KaiTi_GB2312" w:hAnsi="Time New Roman" w:hint="eastAsia"/>
              </w:rPr>
            </w:pPr>
            <w:r w:rsidRPr="00B362C9">
              <w:rPr>
                <w:rFonts w:ascii="Time New Roman" w:eastAsia="KaiTi_GB2312" w:hAnsi="Time New Roman" w:hint="eastAsia"/>
              </w:rPr>
              <w:t>《任择议定书》</w:t>
            </w:r>
            <w:r w:rsidRPr="00B362C9">
              <w:rPr>
                <w:rFonts w:eastAsia="KaiTi_GB2312" w:hint="eastAsia"/>
                <w:snapToGrid/>
              </w:rPr>
              <w:t>条款</w:t>
            </w:r>
            <w:r w:rsidRPr="00B362C9">
              <w:rPr>
                <w:rFonts w:hint="eastAsia"/>
                <w:snapToGrid/>
              </w:rPr>
              <w:t>：</w:t>
            </w:r>
          </w:p>
        </w:tc>
        <w:tc>
          <w:tcPr>
            <w:tcW w:w="4744" w:type="dxa"/>
            <w:shd w:val="clear" w:color="auto" w:fill="auto"/>
          </w:tcPr>
          <w:p w:rsidR="009E146E" w:rsidRPr="00B362C9" w:rsidRDefault="005C4FF8" w:rsidP="00B362C9">
            <w:pPr>
              <w:pStyle w:val="SingleTxtGC"/>
              <w:ind w:left="0" w:right="0"/>
              <w:rPr>
                <w:rFonts w:hint="eastAsia"/>
                <w:snapToGrid/>
              </w:rPr>
            </w:pPr>
            <w:r w:rsidRPr="00B362C9">
              <w:rPr>
                <w:rFonts w:hint="eastAsia"/>
                <w:snapToGrid/>
              </w:rPr>
              <w:t>第一条、第三条和第五条第</w:t>
            </w:r>
            <w:r w:rsidRPr="00B362C9">
              <w:rPr>
                <w:rFonts w:hint="eastAsia"/>
                <w:snapToGrid/>
              </w:rPr>
              <w:t>2</w:t>
            </w:r>
            <w:r w:rsidRPr="00B362C9">
              <w:rPr>
                <w:rFonts w:hint="eastAsia"/>
                <w:snapToGrid/>
              </w:rPr>
              <w:t>款</w:t>
            </w:r>
            <w:r w:rsidRPr="00B362C9">
              <w:rPr>
                <w:rFonts w:hint="eastAsia"/>
                <w:snapToGrid/>
              </w:rPr>
              <w:t>(</w:t>
            </w:r>
            <w:r w:rsidRPr="00B362C9">
              <w:rPr>
                <w:rFonts w:hint="eastAsia"/>
                <w:snapToGrid/>
              </w:rPr>
              <w:t>丑</w:t>
            </w:r>
            <w:r w:rsidRPr="00B362C9">
              <w:rPr>
                <w:rFonts w:hint="eastAsia"/>
                <w:snapToGrid/>
              </w:rPr>
              <w:t>)</w:t>
            </w:r>
            <w:r w:rsidRPr="00B362C9">
              <w:rPr>
                <w:rFonts w:hint="eastAsia"/>
                <w:snapToGrid/>
              </w:rPr>
              <w:t>项</w:t>
            </w:r>
          </w:p>
        </w:tc>
      </w:tr>
    </w:tbl>
    <w:p w:rsidR="00891918" w:rsidRPr="009E146E" w:rsidRDefault="00891918" w:rsidP="00891918">
      <w:pPr>
        <w:pStyle w:val="SingleTxtGC"/>
        <w:spacing w:before="120"/>
        <w:rPr>
          <w:rFonts w:hint="eastAsia"/>
        </w:rPr>
      </w:pPr>
      <w:r>
        <w:rPr>
          <w:rFonts w:hint="eastAsia"/>
        </w:rPr>
        <w:t>[</w:t>
      </w:r>
      <w:r>
        <w:rPr>
          <w:rFonts w:hint="eastAsia"/>
        </w:rPr>
        <w:t>附件</w:t>
      </w:r>
      <w:r>
        <w:rPr>
          <w:rFonts w:hint="eastAsia"/>
        </w:rPr>
        <w:t>]</w:t>
      </w:r>
    </w:p>
    <w:p w:rsidR="00C7462D" w:rsidRDefault="00C7462D" w:rsidP="006F34E0">
      <w:pPr>
        <w:pStyle w:val="HChGC"/>
        <w:rPr>
          <w:rFonts w:hint="eastAsia"/>
        </w:rPr>
      </w:pPr>
      <w:r>
        <w:rPr>
          <w:rFonts w:hint="eastAsia"/>
        </w:rPr>
        <w:t>附件</w:t>
      </w:r>
    </w:p>
    <w:p w:rsidR="00C7462D" w:rsidRPr="005C4FF8" w:rsidRDefault="00C7462D" w:rsidP="009E146E">
      <w:pPr>
        <w:pStyle w:val="HChGC"/>
      </w:pPr>
      <w:r>
        <w:rPr>
          <w:rFonts w:hint="eastAsia"/>
        </w:rPr>
        <w:tab/>
      </w:r>
      <w:r>
        <w:rPr>
          <w:rFonts w:hint="eastAsia"/>
        </w:rPr>
        <w:tab/>
      </w:r>
      <w:r w:rsidR="005C4FF8" w:rsidRPr="005C4FF8">
        <w:rPr>
          <w:rFonts w:hint="eastAsia"/>
        </w:rPr>
        <w:t>人权事务委员会根据《公民权利和政治权利国际公约</w:t>
      </w:r>
      <w:r w:rsidR="005C4FF8">
        <w:br/>
      </w:r>
      <w:r w:rsidR="005C4FF8" w:rsidRPr="005C4FF8">
        <w:rPr>
          <w:rFonts w:hint="eastAsia"/>
        </w:rPr>
        <w:t>任择议定书》在第一一五届会议上</w:t>
      </w:r>
    </w:p>
    <w:p w:rsidR="00C7462D" w:rsidRPr="005C4FF8" w:rsidRDefault="005C4FF8" w:rsidP="000475C3">
      <w:pPr>
        <w:pStyle w:val="SingleTxtGC"/>
      </w:pPr>
      <w:r w:rsidRPr="005C4FF8">
        <w:rPr>
          <w:rFonts w:hint="eastAsia"/>
        </w:rPr>
        <w:t>通过的关于</w:t>
      </w:r>
    </w:p>
    <w:p w:rsidR="00C7462D" w:rsidRDefault="00C7462D" w:rsidP="009E146E">
      <w:pPr>
        <w:pStyle w:val="H1GC"/>
        <w:rPr>
          <w:rFonts w:hint="eastAsia"/>
        </w:rPr>
      </w:pPr>
      <w:r>
        <w:rPr>
          <w:rFonts w:hint="eastAsia"/>
        </w:rPr>
        <w:tab/>
      </w:r>
      <w:r>
        <w:rPr>
          <w:rFonts w:hint="eastAsia"/>
        </w:rPr>
        <w:tab/>
      </w:r>
      <w:r w:rsidR="005C4FF8" w:rsidRPr="005C4FF8">
        <w:rPr>
          <w:rFonts w:hint="eastAsia"/>
          <w:bCs/>
        </w:rPr>
        <w:t>第</w:t>
      </w:r>
      <w:r w:rsidR="005C4FF8" w:rsidRPr="005C4FF8">
        <w:t>2130/2012</w:t>
      </w:r>
      <w:r w:rsidR="005C4FF8" w:rsidRPr="005C4FF8">
        <w:rPr>
          <w:rFonts w:hint="eastAsia"/>
        </w:rPr>
        <w:t>号来文</w:t>
      </w:r>
      <w:r w:rsidR="005C4FF8" w:rsidRPr="005C4FF8">
        <w:footnoteReference w:customMarkFollows="1" w:id="1"/>
        <w:t>*</w:t>
      </w:r>
      <w:r w:rsidR="005C4FF8">
        <w:rPr>
          <w:bCs/>
          <w:vertAlign w:val="superscript"/>
        </w:rPr>
        <w:t xml:space="preserve"> </w:t>
      </w:r>
      <w:r w:rsidR="005C4FF8" w:rsidRPr="005C4FF8">
        <w:rPr>
          <w:rFonts w:hint="eastAsia"/>
        </w:rPr>
        <w:t>的决定</w:t>
      </w:r>
    </w:p>
    <w:tbl>
      <w:tblPr>
        <w:tblW w:w="0" w:type="auto"/>
        <w:tblInd w:w="1565" w:type="dxa"/>
        <w:tblLayout w:type="fixed"/>
        <w:tblCellMar>
          <w:left w:w="0" w:type="dxa"/>
          <w:right w:w="0" w:type="dxa"/>
        </w:tblCellMar>
        <w:tblLook w:val="01E0" w:firstRow="1" w:lastRow="1" w:firstColumn="1" w:lastColumn="1" w:noHBand="0" w:noVBand="0"/>
      </w:tblPr>
      <w:tblGrid>
        <w:gridCol w:w="1501"/>
        <w:gridCol w:w="5431"/>
      </w:tblGrid>
      <w:tr w:rsidR="009E146E" w:rsidRPr="00C74FB6" w:rsidTr="00B362C9">
        <w:trPr>
          <w:cantSplit/>
        </w:trPr>
        <w:tc>
          <w:tcPr>
            <w:tcW w:w="1501" w:type="dxa"/>
            <w:shd w:val="clear" w:color="auto" w:fill="auto"/>
          </w:tcPr>
          <w:p w:rsidR="009E146E" w:rsidRPr="00B362C9" w:rsidRDefault="009E146E" w:rsidP="00B362C9">
            <w:pPr>
              <w:pStyle w:val="SingleTxtGC"/>
              <w:ind w:left="0" w:right="0"/>
              <w:rPr>
                <w:rFonts w:eastAsia="KaiTi_GB2312"/>
              </w:rPr>
            </w:pPr>
            <w:r w:rsidRPr="00B362C9">
              <w:rPr>
                <w:rFonts w:ascii="Time New Roman" w:eastAsia="KaiTi_GB2312" w:hAnsi="Time New Roman" w:hint="eastAsia"/>
              </w:rPr>
              <w:t>提交人</w:t>
            </w:r>
            <w:r w:rsidRPr="00B362C9">
              <w:rPr>
                <w:rFonts w:eastAsia="KaiTi_GB2312" w:hint="eastAsia"/>
              </w:rPr>
              <w:t>：</w:t>
            </w:r>
          </w:p>
        </w:tc>
        <w:tc>
          <w:tcPr>
            <w:tcW w:w="5431" w:type="dxa"/>
            <w:shd w:val="clear" w:color="auto" w:fill="auto"/>
          </w:tcPr>
          <w:p w:rsidR="009E146E" w:rsidRPr="00736D32" w:rsidRDefault="00736D32" w:rsidP="00B362C9">
            <w:pPr>
              <w:pStyle w:val="SingleTxtGC"/>
              <w:ind w:left="0" w:right="0"/>
            </w:pPr>
            <w:r w:rsidRPr="00736D32">
              <w:rPr>
                <w:rFonts w:hint="eastAsia"/>
              </w:rPr>
              <w:t>宰因</w:t>
            </w:r>
            <w:r>
              <w:rPr>
                <w:rFonts w:hint="eastAsia"/>
              </w:rPr>
              <w:t>·</w:t>
            </w:r>
            <w:r w:rsidRPr="00736D32">
              <w:rPr>
                <w:rFonts w:hint="eastAsia"/>
              </w:rPr>
              <w:t>阿比丁</w:t>
            </w:r>
            <w:r>
              <w:rPr>
                <w:rFonts w:hint="eastAsia"/>
              </w:rPr>
              <w:t>·</w:t>
            </w:r>
            <w:r w:rsidRPr="00736D32">
              <w:rPr>
                <w:rFonts w:hint="eastAsia"/>
              </w:rPr>
              <w:t>本</w:t>
            </w:r>
            <w:r>
              <w:rPr>
                <w:rFonts w:hint="eastAsia"/>
              </w:rPr>
              <w:t>·</w:t>
            </w:r>
            <w:r w:rsidRPr="00736D32">
              <w:rPr>
                <w:rFonts w:hint="eastAsia"/>
              </w:rPr>
              <w:t>阿里</w:t>
            </w:r>
            <w:r w:rsidRPr="00736D32">
              <w:rPr>
                <w:rFonts w:hint="eastAsia"/>
              </w:rPr>
              <w:t>(</w:t>
            </w:r>
            <w:r w:rsidRPr="00736D32">
              <w:rPr>
                <w:rFonts w:hint="eastAsia"/>
              </w:rPr>
              <w:t>由</w:t>
            </w:r>
            <w:r w:rsidRPr="00736D32">
              <w:rPr>
                <w:rFonts w:hint="eastAsia"/>
              </w:rPr>
              <w:t>Akram Azoury</w:t>
            </w:r>
            <w:r w:rsidRPr="00736D32">
              <w:rPr>
                <w:rFonts w:hint="eastAsia"/>
              </w:rPr>
              <w:t>代理</w:t>
            </w:r>
            <w:r w:rsidRPr="00736D32">
              <w:rPr>
                <w:rFonts w:hint="eastAsia"/>
              </w:rPr>
              <w:t>)</w:t>
            </w:r>
          </w:p>
        </w:tc>
      </w:tr>
      <w:tr w:rsidR="009E146E" w:rsidRPr="00C74FB6" w:rsidTr="00B362C9">
        <w:trPr>
          <w:cantSplit/>
        </w:trPr>
        <w:tc>
          <w:tcPr>
            <w:tcW w:w="1501" w:type="dxa"/>
            <w:shd w:val="clear" w:color="auto" w:fill="auto"/>
          </w:tcPr>
          <w:p w:rsidR="009E146E" w:rsidRPr="00B362C9" w:rsidRDefault="009E146E" w:rsidP="00B362C9">
            <w:pPr>
              <w:pStyle w:val="SingleTxtGC"/>
              <w:ind w:left="0" w:right="0"/>
              <w:rPr>
                <w:rFonts w:eastAsia="KaiTi_GB2312"/>
              </w:rPr>
            </w:pPr>
            <w:r w:rsidRPr="00B362C9">
              <w:rPr>
                <w:rFonts w:ascii="Time New Roman" w:eastAsia="KaiTi_GB2312" w:hAnsi="Time New Roman" w:hint="eastAsia"/>
              </w:rPr>
              <w:t>据称受害人：</w:t>
            </w:r>
          </w:p>
        </w:tc>
        <w:tc>
          <w:tcPr>
            <w:tcW w:w="5431" w:type="dxa"/>
            <w:shd w:val="clear" w:color="auto" w:fill="auto"/>
          </w:tcPr>
          <w:p w:rsidR="009E146E" w:rsidRPr="00C74FB6" w:rsidRDefault="009E146E" w:rsidP="00B362C9">
            <w:pPr>
              <w:pStyle w:val="SingleTxtGC"/>
              <w:ind w:left="0" w:right="0"/>
            </w:pPr>
            <w:r w:rsidRPr="00C74FB6">
              <w:rPr>
                <w:rFonts w:hint="eastAsia"/>
              </w:rPr>
              <w:t>提交人</w:t>
            </w:r>
          </w:p>
        </w:tc>
      </w:tr>
      <w:tr w:rsidR="009E146E" w:rsidRPr="00C74FB6" w:rsidTr="00B362C9">
        <w:trPr>
          <w:cantSplit/>
        </w:trPr>
        <w:tc>
          <w:tcPr>
            <w:tcW w:w="1501" w:type="dxa"/>
            <w:shd w:val="clear" w:color="auto" w:fill="auto"/>
          </w:tcPr>
          <w:p w:rsidR="009E146E" w:rsidRPr="00B362C9" w:rsidRDefault="009E146E" w:rsidP="00B362C9">
            <w:pPr>
              <w:pStyle w:val="SingleTxtGC"/>
              <w:ind w:left="0" w:right="0"/>
              <w:rPr>
                <w:rFonts w:eastAsia="KaiTi_GB2312"/>
              </w:rPr>
            </w:pPr>
            <w:r w:rsidRPr="00B362C9">
              <w:rPr>
                <w:rFonts w:ascii="Time New Roman" w:eastAsia="KaiTi_GB2312" w:hAnsi="Time New Roman" w:hint="eastAsia"/>
              </w:rPr>
              <w:t>所涉缔约国：</w:t>
            </w:r>
          </w:p>
        </w:tc>
        <w:tc>
          <w:tcPr>
            <w:tcW w:w="5431" w:type="dxa"/>
            <w:shd w:val="clear" w:color="auto" w:fill="auto"/>
          </w:tcPr>
          <w:p w:rsidR="009E146E" w:rsidRPr="00736D32" w:rsidRDefault="00736D32" w:rsidP="00B362C9">
            <w:pPr>
              <w:pStyle w:val="SingleTxtGC"/>
              <w:ind w:left="0" w:right="0"/>
            </w:pPr>
            <w:r w:rsidRPr="00736D32">
              <w:rPr>
                <w:rFonts w:hint="eastAsia"/>
              </w:rPr>
              <w:t>突尼斯</w:t>
            </w:r>
          </w:p>
        </w:tc>
      </w:tr>
      <w:tr w:rsidR="009E146E" w:rsidRPr="00C74FB6" w:rsidTr="00B362C9">
        <w:trPr>
          <w:cantSplit/>
        </w:trPr>
        <w:tc>
          <w:tcPr>
            <w:tcW w:w="1501" w:type="dxa"/>
            <w:shd w:val="clear" w:color="auto" w:fill="auto"/>
          </w:tcPr>
          <w:p w:rsidR="009E146E" w:rsidRPr="00B362C9" w:rsidRDefault="009E146E" w:rsidP="00B362C9">
            <w:pPr>
              <w:pStyle w:val="SingleTxtGC"/>
              <w:ind w:left="0" w:right="0"/>
              <w:rPr>
                <w:rFonts w:ascii="Time New Roman" w:eastAsia="KaiTi_GB2312" w:hAnsi="Time New Roman" w:hint="eastAsia"/>
              </w:rPr>
            </w:pPr>
            <w:r w:rsidRPr="00B362C9">
              <w:rPr>
                <w:rFonts w:ascii="Time New Roman" w:eastAsia="KaiTi_GB2312" w:hAnsi="Time New Roman" w:hint="eastAsia"/>
              </w:rPr>
              <w:t>来文日期：</w:t>
            </w:r>
          </w:p>
        </w:tc>
        <w:tc>
          <w:tcPr>
            <w:tcW w:w="5431" w:type="dxa"/>
            <w:shd w:val="clear" w:color="auto" w:fill="auto"/>
          </w:tcPr>
          <w:p w:rsidR="009E146E" w:rsidRPr="00736D32" w:rsidRDefault="00736D32" w:rsidP="00B362C9">
            <w:pPr>
              <w:pStyle w:val="SingleTxtGC"/>
              <w:ind w:left="0" w:right="0"/>
              <w:rPr>
                <w:rFonts w:hint="eastAsia"/>
              </w:rPr>
            </w:pPr>
            <w:r w:rsidRPr="00736D32">
              <w:rPr>
                <w:rFonts w:hint="eastAsia"/>
              </w:rPr>
              <w:t>2012</w:t>
            </w:r>
            <w:r w:rsidRPr="00736D32">
              <w:rPr>
                <w:rFonts w:hint="eastAsia"/>
              </w:rPr>
              <w:t>年</w:t>
            </w:r>
            <w:r w:rsidRPr="00736D32">
              <w:rPr>
                <w:rFonts w:hint="eastAsia"/>
              </w:rPr>
              <w:t>1</w:t>
            </w:r>
            <w:r w:rsidRPr="00736D32">
              <w:rPr>
                <w:rFonts w:hint="eastAsia"/>
              </w:rPr>
              <w:t>月</w:t>
            </w:r>
            <w:r w:rsidRPr="00736D32">
              <w:rPr>
                <w:rFonts w:hint="eastAsia"/>
              </w:rPr>
              <w:t>19</w:t>
            </w:r>
            <w:r w:rsidRPr="00736D32">
              <w:rPr>
                <w:rFonts w:hint="eastAsia"/>
              </w:rPr>
              <w:t>日</w:t>
            </w:r>
            <w:r w:rsidRPr="00736D32">
              <w:rPr>
                <w:rFonts w:hint="eastAsia"/>
              </w:rPr>
              <w:t>(</w:t>
            </w:r>
            <w:r w:rsidRPr="00736D32">
              <w:rPr>
                <w:rFonts w:hint="eastAsia"/>
              </w:rPr>
              <w:t>首次提交</w:t>
            </w:r>
            <w:r w:rsidRPr="00736D32">
              <w:rPr>
                <w:rFonts w:hint="eastAsia"/>
              </w:rPr>
              <w:t>)</w:t>
            </w:r>
          </w:p>
        </w:tc>
      </w:tr>
    </w:tbl>
    <w:p w:rsidR="009E146E" w:rsidRDefault="009E146E" w:rsidP="009E146E">
      <w:pPr>
        <w:spacing w:line="160" w:lineRule="exact"/>
        <w:rPr>
          <w:rFonts w:hint="eastAsia"/>
        </w:rPr>
      </w:pPr>
    </w:p>
    <w:p w:rsidR="009E146E" w:rsidRDefault="004B3CB5" w:rsidP="004B3CB5">
      <w:pPr>
        <w:pStyle w:val="SingleTxtGC"/>
        <w:rPr>
          <w:rFonts w:hint="eastAsia"/>
        </w:rPr>
      </w:pPr>
      <w:r>
        <w:rPr>
          <w:rFonts w:hint="eastAsia"/>
        </w:rPr>
        <w:tab/>
      </w:r>
      <w:r w:rsidR="009E146E">
        <w:rPr>
          <w:rFonts w:hint="eastAsia"/>
        </w:rPr>
        <w:t>根据《公民权利和政治权利国际公约》第</w:t>
      </w:r>
      <w:r w:rsidR="000B5C2E">
        <w:rPr>
          <w:rFonts w:hint="eastAsia"/>
        </w:rPr>
        <w:t>二十八</w:t>
      </w:r>
      <w:r w:rsidR="009E146E">
        <w:rPr>
          <w:rFonts w:hint="eastAsia"/>
        </w:rPr>
        <w:t>条设立的</w:t>
      </w:r>
      <w:r w:rsidR="009E146E" w:rsidRPr="00F25F14">
        <w:rPr>
          <w:rFonts w:eastAsia="KaiTi_GB2312" w:hint="eastAsia"/>
          <w:snapToGrid/>
        </w:rPr>
        <w:t>人权事务委员会</w:t>
      </w:r>
      <w:r w:rsidR="009E146E">
        <w:rPr>
          <w:rFonts w:hint="eastAsia"/>
        </w:rPr>
        <w:t>，</w:t>
      </w:r>
    </w:p>
    <w:p w:rsidR="009E146E" w:rsidRDefault="004B3CB5" w:rsidP="004B3CB5">
      <w:pPr>
        <w:pStyle w:val="SingleTxtGC"/>
      </w:pPr>
      <w:r>
        <w:rPr>
          <w:rFonts w:hint="eastAsia"/>
        </w:rPr>
        <w:tab/>
      </w:r>
      <w:r w:rsidR="00736D32" w:rsidRPr="00736D32">
        <w:rPr>
          <w:rFonts w:hint="eastAsia"/>
        </w:rPr>
        <w:t>于</w:t>
      </w:r>
      <w:r w:rsidR="00736D32" w:rsidRPr="00736D32">
        <w:rPr>
          <w:rFonts w:hint="eastAsia"/>
        </w:rPr>
        <w:t>2015</w:t>
      </w:r>
      <w:r w:rsidR="00736D32" w:rsidRPr="00736D32">
        <w:rPr>
          <w:rFonts w:hint="eastAsia"/>
        </w:rPr>
        <w:t>年</w:t>
      </w:r>
      <w:r w:rsidR="00736D32" w:rsidRPr="00736D32">
        <w:rPr>
          <w:rFonts w:hint="eastAsia"/>
        </w:rPr>
        <w:t>11</w:t>
      </w:r>
      <w:r w:rsidR="00736D32" w:rsidRPr="00736D32">
        <w:rPr>
          <w:rFonts w:hint="eastAsia"/>
        </w:rPr>
        <w:t>月</w:t>
      </w:r>
      <w:r w:rsidR="00736D32" w:rsidRPr="00736D32">
        <w:rPr>
          <w:rFonts w:hint="eastAsia"/>
        </w:rPr>
        <w:t>2</w:t>
      </w:r>
      <w:r w:rsidR="00736D32" w:rsidRPr="00736D32">
        <w:rPr>
          <w:rFonts w:hint="eastAsia"/>
        </w:rPr>
        <w:t>日</w:t>
      </w:r>
      <w:r w:rsidR="009E146E" w:rsidRPr="00F25F14">
        <w:rPr>
          <w:rFonts w:eastAsia="KaiTi_GB2312" w:hint="eastAsia"/>
          <w:snapToGrid/>
        </w:rPr>
        <w:t>举行会议</w:t>
      </w:r>
      <w:r w:rsidR="009E146E">
        <w:rPr>
          <w:rFonts w:hint="eastAsia"/>
        </w:rPr>
        <w:t>，</w:t>
      </w:r>
    </w:p>
    <w:p w:rsidR="00736D32" w:rsidRDefault="00736D32" w:rsidP="00736D32">
      <w:pPr>
        <w:pStyle w:val="SingleTxtGC"/>
        <w:rPr>
          <w:rFonts w:hint="eastAsia"/>
        </w:rPr>
      </w:pPr>
      <w:r>
        <w:tab/>
      </w:r>
      <w:r w:rsidRPr="00736D32">
        <w:rPr>
          <w:rFonts w:eastAsia="KaiTi_GB2312" w:hint="eastAsia"/>
        </w:rPr>
        <w:t>结束了</w:t>
      </w:r>
      <w:r>
        <w:rPr>
          <w:rFonts w:hint="eastAsia"/>
        </w:rPr>
        <w:t>对宰因·阿比丁·本·阿里根据《公民权利和政治权利国际公约任择议定书》提交人权事务委员会的第</w:t>
      </w:r>
      <w:r>
        <w:rPr>
          <w:rFonts w:hint="eastAsia"/>
        </w:rPr>
        <w:t>2130/2012</w:t>
      </w:r>
      <w:r>
        <w:rPr>
          <w:rFonts w:hint="eastAsia"/>
        </w:rPr>
        <w:t>号来文的审议，</w:t>
      </w:r>
    </w:p>
    <w:p w:rsidR="00736D32" w:rsidRDefault="00736D32" w:rsidP="00736D32">
      <w:pPr>
        <w:pStyle w:val="SingleTxtGC"/>
      </w:pPr>
      <w:r>
        <w:tab/>
      </w:r>
      <w:r w:rsidRPr="00736D32">
        <w:rPr>
          <w:rFonts w:eastAsia="KaiTi_GB2312" w:hint="eastAsia"/>
        </w:rPr>
        <w:t>考虑了</w:t>
      </w:r>
      <w:r>
        <w:rPr>
          <w:rFonts w:hint="eastAsia"/>
        </w:rPr>
        <w:t>来文提交人和缔约国向委员会提供的全部书面资料，</w:t>
      </w:r>
    </w:p>
    <w:p w:rsidR="009E146E" w:rsidRPr="005D1901" w:rsidRDefault="004B3CB5" w:rsidP="004B3CB5">
      <w:pPr>
        <w:pStyle w:val="SingleTxtGC"/>
      </w:pPr>
      <w:r>
        <w:rPr>
          <w:rFonts w:eastAsia="KaiTi_GB2312" w:hint="eastAsia"/>
          <w:snapToGrid/>
        </w:rPr>
        <w:tab/>
      </w:r>
      <w:r w:rsidR="009E146E" w:rsidRPr="00AF3863">
        <w:rPr>
          <w:rFonts w:eastAsia="KaiTi_GB2312" w:hint="eastAsia"/>
          <w:snapToGrid/>
        </w:rPr>
        <w:t>通过</w:t>
      </w:r>
      <w:r w:rsidR="005D1901" w:rsidRPr="005D1901">
        <w:rPr>
          <w:rFonts w:hint="eastAsia"/>
        </w:rPr>
        <w:t>如下：</w:t>
      </w:r>
    </w:p>
    <w:p w:rsidR="00C7462D" w:rsidRPr="005D1901" w:rsidRDefault="00C7462D" w:rsidP="000475C3">
      <w:pPr>
        <w:pStyle w:val="H1GC"/>
        <w:rPr>
          <w:rFonts w:hint="eastAsia"/>
        </w:rPr>
      </w:pPr>
      <w:r>
        <w:rPr>
          <w:rFonts w:hint="eastAsia"/>
        </w:rPr>
        <w:tab/>
      </w:r>
      <w:r>
        <w:rPr>
          <w:rFonts w:hint="eastAsia"/>
        </w:rPr>
        <w:tab/>
      </w:r>
      <w:r w:rsidR="005D1901" w:rsidRPr="005D1901">
        <w:rPr>
          <w:rFonts w:hint="eastAsia"/>
        </w:rPr>
        <w:t>关于可否受理的决定</w:t>
      </w:r>
    </w:p>
    <w:p w:rsidR="005D1901" w:rsidRPr="005D1901" w:rsidRDefault="005D1901" w:rsidP="005D1901">
      <w:pPr>
        <w:pStyle w:val="SingleTxtGC"/>
      </w:pPr>
      <w:r w:rsidRPr="005D1901">
        <w:t>1.</w:t>
      </w:r>
      <w:r>
        <w:t xml:space="preserve">  </w:t>
      </w:r>
      <w:r w:rsidRPr="005D1901">
        <w:t>2012</w:t>
      </w:r>
      <w:r w:rsidRPr="005D1901">
        <w:rPr>
          <w:rFonts w:hint="eastAsia"/>
        </w:rPr>
        <w:t>年</w:t>
      </w:r>
      <w:r w:rsidRPr="005D1901">
        <w:t>1</w:t>
      </w:r>
      <w:r w:rsidRPr="005D1901">
        <w:rPr>
          <w:rFonts w:hint="eastAsia"/>
        </w:rPr>
        <w:t>月</w:t>
      </w:r>
      <w:r w:rsidRPr="005D1901">
        <w:t>19</w:t>
      </w:r>
      <w:r w:rsidRPr="005D1901">
        <w:rPr>
          <w:rFonts w:hint="eastAsia"/>
        </w:rPr>
        <w:t>日来文的提交人是突尼斯前总统宰因·阿比丁·本·阿里。他的来文报告了突尼斯违反《公约》第十四条第</w:t>
      </w:r>
      <w:r w:rsidRPr="005D1901">
        <w:t>1</w:t>
      </w:r>
      <w:r w:rsidRPr="005D1901">
        <w:rPr>
          <w:rFonts w:hint="eastAsia"/>
        </w:rPr>
        <w:t>款、第</w:t>
      </w:r>
      <w:r w:rsidRPr="005D1901">
        <w:t>2</w:t>
      </w:r>
      <w:r w:rsidRPr="005D1901">
        <w:rPr>
          <w:rFonts w:hint="eastAsia"/>
        </w:rPr>
        <w:t>款和第</w:t>
      </w:r>
      <w:r w:rsidRPr="005D1901">
        <w:t>3</w:t>
      </w:r>
      <w:r w:rsidRPr="005D1901">
        <w:rPr>
          <w:rFonts w:hint="eastAsia"/>
        </w:rPr>
        <w:t>款</w:t>
      </w:r>
      <w:r w:rsidRPr="005D1901">
        <w:rPr>
          <w:rFonts w:hint="eastAsia"/>
        </w:rPr>
        <w:t>(</w:t>
      </w:r>
      <w:r w:rsidRPr="005D1901">
        <w:rPr>
          <w:rFonts w:hint="eastAsia"/>
        </w:rPr>
        <w:t>甲</w:t>
      </w:r>
      <w:r w:rsidRPr="005D1901">
        <w:rPr>
          <w:rFonts w:hint="eastAsia"/>
        </w:rPr>
        <w:t>)</w:t>
      </w:r>
      <w:r w:rsidRPr="005D1901">
        <w:rPr>
          <w:rFonts w:hint="eastAsia"/>
        </w:rPr>
        <w:t>、</w:t>
      </w:r>
      <w:r w:rsidRPr="005D1901">
        <w:rPr>
          <w:rFonts w:hint="eastAsia"/>
        </w:rPr>
        <w:t>(</w:t>
      </w:r>
      <w:r w:rsidRPr="005D1901">
        <w:rPr>
          <w:rFonts w:hint="eastAsia"/>
        </w:rPr>
        <w:t>乙</w:t>
      </w:r>
      <w:r w:rsidRPr="005D1901">
        <w:rPr>
          <w:rFonts w:hint="eastAsia"/>
        </w:rPr>
        <w:t>)</w:t>
      </w:r>
      <w:r w:rsidRPr="005D1901">
        <w:rPr>
          <w:rFonts w:hint="eastAsia"/>
        </w:rPr>
        <w:t>和</w:t>
      </w:r>
      <w:r w:rsidRPr="005D1901">
        <w:rPr>
          <w:rFonts w:hint="eastAsia"/>
        </w:rPr>
        <w:t>(</w:t>
      </w:r>
      <w:r w:rsidRPr="005D1901">
        <w:rPr>
          <w:rFonts w:hint="eastAsia"/>
        </w:rPr>
        <w:t>丁</w:t>
      </w:r>
      <w:r w:rsidRPr="005D1901">
        <w:rPr>
          <w:rFonts w:hint="eastAsia"/>
        </w:rPr>
        <w:t>)</w:t>
      </w:r>
      <w:r w:rsidRPr="005D1901">
        <w:rPr>
          <w:rFonts w:hint="eastAsia"/>
        </w:rPr>
        <w:t>项的情况。他由</w:t>
      </w:r>
      <w:r w:rsidRPr="005D1901">
        <w:t>Azoury</w:t>
      </w:r>
      <w:r w:rsidRPr="005D1901">
        <w:rPr>
          <w:rFonts w:hint="eastAsia"/>
        </w:rPr>
        <w:t>先生代理。突尼斯于</w:t>
      </w:r>
      <w:r w:rsidRPr="005D1901">
        <w:t>1969</w:t>
      </w:r>
      <w:r w:rsidRPr="005D1901">
        <w:rPr>
          <w:rFonts w:hint="eastAsia"/>
        </w:rPr>
        <w:t>年</w:t>
      </w:r>
      <w:r w:rsidRPr="005D1901">
        <w:t>3</w:t>
      </w:r>
      <w:r w:rsidRPr="005D1901">
        <w:rPr>
          <w:rFonts w:hint="eastAsia"/>
        </w:rPr>
        <w:t>月</w:t>
      </w:r>
      <w:r w:rsidRPr="005D1901">
        <w:t>18</w:t>
      </w:r>
      <w:r w:rsidRPr="005D1901">
        <w:rPr>
          <w:rFonts w:hint="eastAsia"/>
        </w:rPr>
        <w:t>日批准《公约》并于</w:t>
      </w:r>
      <w:r w:rsidRPr="005D1901">
        <w:t>2011</w:t>
      </w:r>
      <w:r w:rsidRPr="005D1901">
        <w:rPr>
          <w:rFonts w:hint="eastAsia"/>
        </w:rPr>
        <w:t>年</w:t>
      </w:r>
      <w:r w:rsidRPr="005D1901">
        <w:t>6</w:t>
      </w:r>
      <w:r w:rsidRPr="005D1901">
        <w:rPr>
          <w:rFonts w:hint="eastAsia"/>
        </w:rPr>
        <w:t>月</w:t>
      </w:r>
      <w:r w:rsidRPr="005D1901">
        <w:t>29</w:t>
      </w:r>
      <w:r w:rsidRPr="005D1901">
        <w:rPr>
          <w:rFonts w:hint="eastAsia"/>
        </w:rPr>
        <w:t>日加入《任择议定书》。根据《任择议定书》第八条第</w:t>
      </w:r>
      <w:r w:rsidRPr="005D1901">
        <w:t>2</w:t>
      </w:r>
      <w:r w:rsidRPr="005D1901">
        <w:rPr>
          <w:rFonts w:hint="eastAsia"/>
        </w:rPr>
        <w:t>款之规定，《任择议定书》于</w:t>
      </w:r>
      <w:r w:rsidRPr="005D1901">
        <w:t>2011</w:t>
      </w:r>
      <w:r w:rsidRPr="005D1901">
        <w:rPr>
          <w:rFonts w:hint="eastAsia"/>
        </w:rPr>
        <w:t>年</w:t>
      </w:r>
      <w:r w:rsidRPr="005D1901">
        <w:t>9</w:t>
      </w:r>
      <w:r w:rsidRPr="005D1901">
        <w:rPr>
          <w:rFonts w:hint="eastAsia"/>
        </w:rPr>
        <w:t>月</w:t>
      </w:r>
      <w:r w:rsidRPr="005D1901">
        <w:t>29</w:t>
      </w:r>
      <w:r w:rsidRPr="005D1901">
        <w:rPr>
          <w:rFonts w:hint="eastAsia"/>
        </w:rPr>
        <w:t>日生效。</w:t>
      </w:r>
    </w:p>
    <w:p w:rsidR="005D1901" w:rsidRPr="005D1901" w:rsidRDefault="001B68B7" w:rsidP="001B68B7">
      <w:pPr>
        <w:pStyle w:val="H23GC"/>
      </w:pPr>
      <w:r>
        <w:tab/>
      </w:r>
      <w:r>
        <w:tab/>
      </w:r>
      <w:r w:rsidR="005D1901" w:rsidRPr="005D1901">
        <w:rPr>
          <w:rFonts w:hint="eastAsia"/>
        </w:rPr>
        <w:t>提交人陈述的事实</w:t>
      </w:r>
    </w:p>
    <w:p w:rsidR="005D1901" w:rsidRPr="005D1901" w:rsidRDefault="005D1901" w:rsidP="005D1901">
      <w:pPr>
        <w:pStyle w:val="SingleTxtGC"/>
        <w:rPr>
          <w:lang w:val="fr-CH"/>
        </w:rPr>
      </w:pPr>
      <w:r w:rsidRPr="005D1901">
        <w:rPr>
          <w:lang w:val="fr-CH"/>
        </w:rPr>
        <w:t>2.1</w:t>
      </w:r>
      <w:r w:rsidR="003E17FD">
        <w:rPr>
          <w:lang w:val="fr-CH"/>
        </w:rPr>
        <w:t xml:space="preserve">  </w:t>
      </w:r>
      <w:r w:rsidRPr="005D1901">
        <w:rPr>
          <w:rFonts w:hint="eastAsia"/>
          <w:lang w:val="fr-CH"/>
        </w:rPr>
        <w:t>提交人是突尼斯总统，并任职到</w:t>
      </w:r>
      <w:r w:rsidRPr="005D1901">
        <w:rPr>
          <w:lang w:val="fr-CH"/>
        </w:rPr>
        <w:t>2011</w:t>
      </w:r>
      <w:r w:rsidRPr="005D1901">
        <w:rPr>
          <w:rFonts w:hint="eastAsia"/>
          <w:lang w:val="fr-CH"/>
        </w:rPr>
        <w:t>年</w:t>
      </w:r>
      <w:r w:rsidRPr="005D1901">
        <w:rPr>
          <w:lang w:val="fr-CH"/>
        </w:rPr>
        <w:t>1</w:t>
      </w:r>
      <w:r w:rsidRPr="005D1901">
        <w:rPr>
          <w:rFonts w:hint="eastAsia"/>
          <w:lang w:val="fr-CH"/>
        </w:rPr>
        <w:t>月</w:t>
      </w:r>
      <w:r w:rsidRPr="005D1901">
        <w:rPr>
          <w:lang w:val="fr-CH"/>
        </w:rPr>
        <w:t>14</w:t>
      </w:r>
      <w:r w:rsidRPr="005D1901">
        <w:rPr>
          <w:rFonts w:hint="eastAsia"/>
          <w:lang w:val="fr-CH"/>
        </w:rPr>
        <w:t>日</w:t>
      </w:r>
      <w:r w:rsidR="001B68B7" w:rsidRPr="001B68B7">
        <w:rPr>
          <w:rFonts w:hint="eastAsia"/>
          <w:spacing w:val="-50"/>
          <w:lang w:val="fr-CH"/>
        </w:rPr>
        <w:t>―</w:t>
      </w:r>
      <w:r w:rsidR="001B68B7" w:rsidRPr="001B68B7">
        <w:rPr>
          <w:rFonts w:hint="eastAsia"/>
          <w:lang w:val="fr-CH"/>
        </w:rPr>
        <w:t>―</w:t>
      </w:r>
      <w:r w:rsidRPr="005D1901">
        <w:rPr>
          <w:rFonts w:hint="eastAsia"/>
          <w:lang w:val="fr-CH"/>
        </w:rPr>
        <w:t>他离开突尼斯的日子。自他离开之后，突尼斯国家当局和官方媒体一直声称提交人犯有各种刑事犯罪，其中包括：</w:t>
      </w:r>
      <w:r w:rsidRPr="005D1901">
        <w:rPr>
          <w:lang w:val="fr-CH"/>
        </w:rPr>
        <w:t>(1)</w:t>
      </w:r>
      <w:r w:rsidRPr="005D1901">
        <w:rPr>
          <w:vertAlign w:val="superscript"/>
          <w:lang w:val="fr-CH"/>
        </w:rPr>
        <w:t xml:space="preserve"> </w:t>
      </w:r>
      <w:r w:rsidRPr="005D1901">
        <w:rPr>
          <w:rFonts w:hint="eastAsia"/>
          <w:lang w:val="fr-CH"/>
        </w:rPr>
        <w:t>资产非法增加以及在包括瑞士在内的各国拥有资产；</w:t>
      </w:r>
      <w:r w:rsidRPr="005D1901">
        <w:rPr>
          <w:lang w:val="fr-CH"/>
        </w:rPr>
        <w:t>(2)</w:t>
      </w:r>
      <w:r w:rsidRPr="005D1901">
        <w:rPr>
          <w:vertAlign w:val="superscript"/>
          <w:lang w:val="fr-CH"/>
        </w:rPr>
        <w:t xml:space="preserve"> </w:t>
      </w:r>
      <w:r w:rsidRPr="005D1901">
        <w:rPr>
          <w:rFonts w:hint="eastAsia"/>
          <w:lang w:val="fr-CH"/>
        </w:rPr>
        <w:t>武器贩运；以及</w:t>
      </w:r>
      <w:r w:rsidRPr="005D1901">
        <w:rPr>
          <w:lang w:val="fr-CH"/>
        </w:rPr>
        <w:t>(3)</w:t>
      </w:r>
      <w:r w:rsidRPr="005D1901">
        <w:rPr>
          <w:vertAlign w:val="superscript"/>
          <w:lang w:val="fr-CH"/>
        </w:rPr>
        <w:t xml:space="preserve"> </w:t>
      </w:r>
      <w:r w:rsidRPr="005D1901">
        <w:rPr>
          <w:rFonts w:hint="eastAsia"/>
          <w:lang w:val="fr-CH"/>
        </w:rPr>
        <w:t>贩毒。</w:t>
      </w:r>
    </w:p>
    <w:p w:rsidR="005D1901" w:rsidRPr="005D1901" w:rsidRDefault="005D1901" w:rsidP="005D1901">
      <w:pPr>
        <w:pStyle w:val="SingleTxtGC"/>
      </w:pPr>
      <w:r w:rsidRPr="005D1901">
        <w:t>2.2</w:t>
      </w:r>
      <w:r>
        <w:t xml:space="preserve">  </w:t>
      </w:r>
      <w:r w:rsidRPr="005D1901">
        <w:t>2011</w:t>
      </w:r>
      <w:r w:rsidRPr="005D1901">
        <w:rPr>
          <w:rFonts w:hint="eastAsia"/>
        </w:rPr>
        <w:t>年</w:t>
      </w:r>
      <w:r w:rsidRPr="005D1901">
        <w:t>2</w:t>
      </w:r>
      <w:r w:rsidRPr="005D1901">
        <w:rPr>
          <w:rFonts w:hint="eastAsia"/>
        </w:rPr>
        <w:t>月</w:t>
      </w:r>
      <w:r w:rsidRPr="005D1901">
        <w:t>21</w:t>
      </w:r>
      <w:r w:rsidRPr="005D1901">
        <w:rPr>
          <w:rFonts w:hint="eastAsia"/>
        </w:rPr>
        <w:t>日，在提交人离开突尼斯</w:t>
      </w:r>
      <w:r w:rsidRPr="005D1901">
        <w:t>35</w:t>
      </w:r>
      <w:r w:rsidRPr="005D1901">
        <w:rPr>
          <w:rFonts w:hint="eastAsia"/>
        </w:rPr>
        <w:t>天之后，突尼斯电视台播放了在西迪布赛总统官邸拍摄的一则新闻报道，展示了据认为是被提交人及其家族侵吞并存放在官邸保险柜里的现金。报道展示了纸币和珠宝。</w:t>
      </w:r>
      <w:r w:rsidRPr="005D1901">
        <w:t>2011</w:t>
      </w:r>
      <w:r w:rsidRPr="005D1901">
        <w:rPr>
          <w:rFonts w:hint="eastAsia"/>
        </w:rPr>
        <w:t>年</w:t>
      </w:r>
      <w:r w:rsidRPr="005D1901">
        <w:t>3</w:t>
      </w:r>
      <w:r w:rsidRPr="005D1901">
        <w:rPr>
          <w:rFonts w:hint="eastAsia"/>
        </w:rPr>
        <w:t>月</w:t>
      </w:r>
      <w:r w:rsidRPr="005D1901">
        <w:t>4</w:t>
      </w:r>
      <w:r w:rsidRPr="005D1901">
        <w:rPr>
          <w:rFonts w:hint="eastAsia"/>
        </w:rPr>
        <w:t>日，突尼斯总理贝吉·卡伊德·埃塞卜西在第一次公开露面时表示，提交人“因停止履行其确保国家安全与稳定的职责以及因在他担任武装部队总司令时离开国家而犯有叛国罪”，并且指出，这一犯罪可以处以死刑。</w:t>
      </w:r>
      <w:r w:rsidRPr="005D1901">
        <w:t>2011</w:t>
      </w:r>
      <w:r w:rsidRPr="005D1901">
        <w:rPr>
          <w:rFonts w:hint="eastAsia"/>
        </w:rPr>
        <w:t>年</w:t>
      </w:r>
      <w:r w:rsidRPr="005D1901">
        <w:t>3</w:t>
      </w:r>
      <w:r w:rsidRPr="005D1901">
        <w:rPr>
          <w:rFonts w:hint="eastAsia"/>
        </w:rPr>
        <w:t>月</w:t>
      </w:r>
      <w:r w:rsidRPr="005D1901">
        <w:t>14</w:t>
      </w:r>
      <w:r w:rsidRPr="005D1901">
        <w:rPr>
          <w:rFonts w:hint="eastAsia"/>
        </w:rPr>
        <w:t>日，代总统福阿德·迈巴扎在</w:t>
      </w:r>
      <w:r w:rsidRPr="005D1901">
        <w:t>2011</w:t>
      </w:r>
      <w:r w:rsidRPr="005D1901">
        <w:rPr>
          <w:rFonts w:hint="eastAsia"/>
        </w:rPr>
        <w:t>年</w:t>
      </w:r>
      <w:r w:rsidRPr="005D1901">
        <w:t>3</w:t>
      </w:r>
      <w:r w:rsidRPr="005D1901">
        <w:rPr>
          <w:rFonts w:hint="eastAsia"/>
        </w:rPr>
        <w:t>月</w:t>
      </w:r>
      <w:r w:rsidRPr="005D1901">
        <w:t>18</w:t>
      </w:r>
      <w:r w:rsidRPr="005D1901">
        <w:rPr>
          <w:rFonts w:hint="eastAsia"/>
        </w:rPr>
        <w:t>日第</w:t>
      </w:r>
      <w:r w:rsidRPr="005D1901">
        <w:t>18</w:t>
      </w:r>
      <w:r w:rsidRPr="005D1901">
        <w:rPr>
          <w:rFonts w:hint="eastAsia"/>
        </w:rPr>
        <w:t>号《政府公报》上公布第</w:t>
      </w:r>
      <w:r w:rsidRPr="005D1901">
        <w:t>13</w:t>
      </w:r>
      <w:r w:rsidRPr="005D1901">
        <w:rPr>
          <w:rFonts w:hint="eastAsia"/>
        </w:rPr>
        <w:t>号法令，没收提交人自</w:t>
      </w:r>
      <w:r w:rsidRPr="005D1901">
        <w:t>1987</w:t>
      </w:r>
      <w:r w:rsidRPr="005D1901">
        <w:rPr>
          <w:rFonts w:hint="eastAsia"/>
        </w:rPr>
        <w:t>年</w:t>
      </w:r>
      <w:r w:rsidRPr="005D1901">
        <w:t>11</w:t>
      </w:r>
      <w:r w:rsidRPr="005D1901">
        <w:rPr>
          <w:rFonts w:hint="eastAsia"/>
        </w:rPr>
        <w:t>月</w:t>
      </w:r>
      <w:r w:rsidRPr="005D1901">
        <w:t>7</w:t>
      </w:r>
      <w:r w:rsidRPr="005D1901">
        <w:rPr>
          <w:rFonts w:hint="eastAsia"/>
        </w:rPr>
        <w:t>日之后取得且属于提交人及其另外</w:t>
      </w:r>
      <w:r w:rsidRPr="005D1901">
        <w:t>112</w:t>
      </w:r>
      <w:r w:rsidRPr="005D1901">
        <w:rPr>
          <w:rFonts w:hint="eastAsia"/>
        </w:rPr>
        <w:t>名家族成员的动产和不动产，其家族成员的姓名列在该法令所附名单中。</w:t>
      </w:r>
      <w:r w:rsidR="001B68B7">
        <w:rPr>
          <w:rStyle w:val="FootnoteReference"/>
        </w:rPr>
        <w:footnoteReference w:id="2"/>
      </w:r>
      <w:r w:rsidR="001B68B7" w:rsidRPr="001B68B7">
        <w:rPr>
          <w:vertAlign w:val="superscript"/>
        </w:rPr>
        <w:t xml:space="preserve"> </w:t>
      </w:r>
      <w:r w:rsidRPr="005D1901">
        <w:rPr>
          <w:rFonts w:hint="eastAsia"/>
        </w:rPr>
        <w:t>该法令是在有关允许时任代总统享有立法特权的第</w:t>
      </w:r>
      <w:r w:rsidRPr="005D1901">
        <w:t>14</w:t>
      </w:r>
      <w:r w:rsidRPr="005D1901">
        <w:rPr>
          <w:rFonts w:hint="eastAsia"/>
        </w:rPr>
        <w:t>号法令生效的前一天生效的。</w:t>
      </w:r>
      <w:r w:rsidRPr="005D1901">
        <w:t>2011</w:t>
      </w:r>
      <w:r w:rsidRPr="005D1901">
        <w:rPr>
          <w:rFonts w:hint="eastAsia"/>
        </w:rPr>
        <w:t>年</w:t>
      </w:r>
      <w:r w:rsidRPr="005D1901">
        <w:t>6</w:t>
      </w:r>
      <w:r w:rsidRPr="005D1901">
        <w:rPr>
          <w:rFonts w:hint="eastAsia"/>
        </w:rPr>
        <w:t>月</w:t>
      </w:r>
      <w:r w:rsidRPr="005D1901">
        <w:t>7</w:t>
      </w:r>
      <w:r w:rsidRPr="005D1901">
        <w:rPr>
          <w:rFonts w:hint="eastAsia"/>
        </w:rPr>
        <w:t>日，</w:t>
      </w:r>
      <w:r w:rsidRPr="005D1901">
        <w:t>Kadhem Zine El Abidine</w:t>
      </w:r>
      <w:r w:rsidRPr="005D1901">
        <w:rPr>
          <w:rFonts w:hint="eastAsia"/>
        </w:rPr>
        <w:t>代表司法部公开申明，根据突尼斯法律，如果提交人本人不到法院出庭受审，则他无权指派其选择的律师在突尼斯诉讼中为他辩护。</w:t>
      </w:r>
    </w:p>
    <w:p w:rsidR="005D1901" w:rsidRPr="005D1901" w:rsidRDefault="005D1901" w:rsidP="005D1901">
      <w:pPr>
        <w:pStyle w:val="SingleTxtGC"/>
      </w:pPr>
      <w:r w:rsidRPr="005D1901">
        <w:t>2.3</w:t>
      </w:r>
      <w:r>
        <w:t xml:space="preserve">  </w:t>
      </w:r>
      <w:r w:rsidRPr="005D1901">
        <w:t>2011</w:t>
      </w:r>
      <w:r w:rsidRPr="005D1901">
        <w:rPr>
          <w:rFonts w:hint="eastAsia"/>
        </w:rPr>
        <w:t>年</w:t>
      </w:r>
      <w:r w:rsidRPr="005D1901">
        <w:t>6</w:t>
      </w:r>
      <w:r w:rsidRPr="005D1901">
        <w:rPr>
          <w:rFonts w:hint="eastAsia"/>
        </w:rPr>
        <w:t>月</w:t>
      </w:r>
      <w:r w:rsidRPr="005D1901">
        <w:t>20</w:t>
      </w:r>
      <w:r w:rsidRPr="005D1901">
        <w:rPr>
          <w:rFonts w:hint="eastAsia"/>
        </w:rPr>
        <w:t>日，媒体发布了关于据称突尼斯大审法院</w:t>
      </w:r>
      <w:r w:rsidRPr="005D1901">
        <w:rPr>
          <w:rFonts w:hint="eastAsia"/>
        </w:rPr>
        <w:t>(</w:t>
      </w:r>
      <w:r w:rsidRPr="005D1901">
        <w:rPr>
          <w:rFonts w:hint="eastAsia"/>
        </w:rPr>
        <w:t>主要管辖法院</w:t>
      </w:r>
      <w:r w:rsidRPr="005D1901">
        <w:rPr>
          <w:rFonts w:hint="eastAsia"/>
        </w:rPr>
        <w:t>)</w:t>
      </w:r>
      <w:r w:rsidRPr="005D1901">
        <w:rPr>
          <w:rFonts w:hint="eastAsia"/>
        </w:rPr>
        <w:t>将要做出判决的信息；当天，审判开始，法院以已经公布的外币照片为依据判决提交人</w:t>
      </w:r>
      <w:r w:rsidRPr="005D1901">
        <w:t>35</w:t>
      </w:r>
      <w:r w:rsidRPr="005D1901">
        <w:rPr>
          <w:rFonts w:hint="eastAsia"/>
        </w:rPr>
        <w:t>年监禁。</w:t>
      </w:r>
      <w:r w:rsidRPr="005D1901">
        <w:t>2011</w:t>
      </w:r>
      <w:r w:rsidRPr="005D1901">
        <w:rPr>
          <w:rFonts w:hint="eastAsia"/>
        </w:rPr>
        <w:t>年</w:t>
      </w:r>
      <w:r w:rsidRPr="005D1901">
        <w:t>7</w:t>
      </w:r>
      <w:r w:rsidRPr="005D1901">
        <w:rPr>
          <w:rFonts w:hint="eastAsia"/>
        </w:rPr>
        <w:t>月</w:t>
      </w:r>
      <w:r w:rsidRPr="005D1901">
        <w:t>4</w:t>
      </w:r>
      <w:r w:rsidRPr="005D1901">
        <w:rPr>
          <w:rFonts w:hint="eastAsia"/>
        </w:rPr>
        <w:t>日，媒体也发布了关于据称突尼斯大审法院将要做出判决的信息；当天，“迦太基宫”案的审判工作开始，依据是在提交人离开后在总统官邸所谓发现的两公斤大麻脂、武器和考古文物。法院依据装有大麻的所谓手提箱判处提交人</w:t>
      </w:r>
      <w:r w:rsidRPr="005D1901">
        <w:t>15</w:t>
      </w:r>
      <w:r w:rsidRPr="005D1901">
        <w:rPr>
          <w:rFonts w:hint="eastAsia"/>
        </w:rPr>
        <w:t>年零</w:t>
      </w:r>
      <w:r w:rsidRPr="005D1901">
        <w:t>6</w:t>
      </w:r>
      <w:r w:rsidRPr="005D1901">
        <w:rPr>
          <w:rFonts w:hint="eastAsia"/>
        </w:rPr>
        <w:t>个月的监禁，在审判期间，缉毒小分队的队长打开该手提箱，同时打开的还有一个泡沫包装信封，上面写着“毒品”字样，法官说这是提交人的笔迹。</w:t>
      </w:r>
      <w:r w:rsidRPr="005D1901">
        <w:t>2011</w:t>
      </w:r>
      <w:r w:rsidRPr="005D1901">
        <w:rPr>
          <w:rFonts w:hint="eastAsia"/>
        </w:rPr>
        <w:t>年</w:t>
      </w:r>
      <w:r w:rsidRPr="005D1901">
        <w:t>7</w:t>
      </w:r>
      <w:r w:rsidRPr="005D1901">
        <w:rPr>
          <w:rFonts w:hint="eastAsia"/>
        </w:rPr>
        <w:t>月</w:t>
      </w:r>
      <w:r w:rsidRPr="005D1901">
        <w:t>28</w:t>
      </w:r>
      <w:r w:rsidRPr="005D1901">
        <w:rPr>
          <w:rFonts w:hint="eastAsia"/>
        </w:rPr>
        <w:t>日，媒体发布了关于突尼斯大审法院作出所谓判决的信息，以提交人在</w:t>
      </w:r>
      <w:r w:rsidRPr="005D1901">
        <w:t>2000</w:t>
      </w:r>
      <w:r w:rsidRPr="005D1901">
        <w:rPr>
          <w:rFonts w:hint="eastAsia"/>
        </w:rPr>
        <w:t>年代初期的地产开发中买卖土地中存在欺诈和腐败为由缺席判决提交人</w:t>
      </w:r>
      <w:r w:rsidRPr="005D1901">
        <w:t>16</w:t>
      </w:r>
      <w:r w:rsidRPr="005D1901">
        <w:rPr>
          <w:rFonts w:hint="eastAsia"/>
        </w:rPr>
        <w:t>年监禁。</w:t>
      </w:r>
    </w:p>
    <w:p w:rsidR="005D1901" w:rsidRPr="005D1901" w:rsidRDefault="001B68B7" w:rsidP="001B68B7">
      <w:pPr>
        <w:pStyle w:val="H23GC"/>
      </w:pPr>
      <w:r>
        <w:tab/>
      </w:r>
      <w:r>
        <w:tab/>
      </w:r>
      <w:r w:rsidR="005D1901" w:rsidRPr="005D1901">
        <w:rPr>
          <w:rFonts w:hint="eastAsia"/>
        </w:rPr>
        <w:t>申诉</w:t>
      </w:r>
    </w:p>
    <w:p w:rsidR="005D1901" w:rsidRPr="005D1901" w:rsidRDefault="005D1901" w:rsidP="005D1901">
      <w:pPr>
        <w:pStyle w:val="SingleTxtGC"/>
      </w:pPr>
      <w:r w:rsidRPr="005D1901">
        <w:t>3.1</w:t>
      </w:r>
      <w:r>
        <w:t xml:space="preserve">  </w:t>
      </w:r>
      <w:r w:rsidRPr="005D1901">
        <w:rPr>
          <w:rFonts w:hint="eastAsia"/>
        </w:rPr>
        <w:t>提交人声称是缔约国违反《公约》第十四条第</w:t>
      </w:r>
      <w:r w:rsidRPr="005D1901">
        <w:t>2</w:t>
      </w:r>
      <w:r w:rsidRPr="005D1901">
        <w:rPr>
          <w:rFonts w:hint="eastAsia"/>
        </w:rPr>
        <w:t>款的受害者，因为缔约国政治当局和媒体自</w:t>
      </w:r>
      <w:r w:rsidRPr="005D1901">
        <w:t>2011</w:t>
      </w:r>
      <w:r w:rsidRPr="005D1901">
        <w:rPr>
          <w:rFonts w:hint="eastAsia"/>
        </w:rPr>
        <w:t>年</w:t>
      </w:r>
      <w:r w:rsidRPr="005D1901">
        <w:t>1</w:t>
      </w:r>
      <w:r w:rsidRPr="005D1901">
        <w:rPr>
          <w:rFonts w:hint="eastAsia"/>
        </w:rPr>
        <w:t>月</w:t>
      </w:r>
      <w:r w:rsidRPr="005D1901">
        <w:t>14</w:t>
      </w:r>
      <w:r w:rsidRPr="005D1901">
        <w:rPr>
          <w:rFonts w:hint="eastAsia"/>
        </w:rPr>
        <w:t>日以来一再声称他犯有缔约国对他指控的所有罪行。</w:t>
      </w:r>
      <w:r w:rsidRPr="005D1901">
        <w:t>2011</w:t>
      </w:r>
      <w:r w:rsidRPr="005D1901">
        <w:rPr>
          <w:rFonts w:hint="eastAsia"/>
        </w:rPr>
        <w:t>年</w:t>
      </w:r>
      <w:r w:rsidRPr="005D1901">
        <w:t>2</w:t>
      </w:r>
      <w:r w:rsidRPr="005D1901">
        <w:rPr>
          <w:rFonts w:hint="eastAsia"/>
        </w:rPr>
        <w:t>月</w:t>
      </w:r>
      <w:r w:rsidRPr="005D1901">
        <w:t>21</w:t>
      </w:r>
      <w:r w:rsidRPr="005D1901">
        <w:rPr>
          <w:rFonts w:hint="eastAsia"/>
        </w:rPr>
        <w:t>日，突尼斯官方电视频道播放了事前录制的影像，并配有关于所展示的现金和珠宝均系提交人犯罪所得的正式声明。这些声明和影像在媒体上进行了传播。提交人指称，缔约国违反了对调查进行保密的义务，因为这些影像原则上属于刑事侦查记录的一部分，但媒体已被提醒有这些影像的存在，并且当着媒体的面打开了保险柜。另外，突尼斯总理</w:t>
      </w:r>
      <w:r w:rsidRPr="005D1901">
        <w:t>2011</w:t>
      </w:r>
      <w:r w:rsidRPr="005D1901">
        <w:rPr>
          <w:rFonts w:hint="eastAsia"/>
        </w:rPr>
        <w:t>年</w:t>
      </w:r>
      <w:r w:rsidRPr="005D1901">
        <w:t>3</w:t>
      </w:r>
      <w:r w:rsidRPr="005D1901">
        <w:rPr>
          <w:rFonts w:hint="eastAsia"/>
        </w:rPr>
        <w:t>月</w:t>
      </w:r>
      <w:r w:rsidRPr="005D1901">
        <w:t>4</w:t>
      </w:r>
      <w:r w:rsidRPr="005D1901">
        <w:rPr>
          <w:rFonts w:hint="eastAsia"/>
        </w:rPr>
        <w:t>日发表的指控提交人犯有叛国罪的声明和后来做出的判决，都出于提交人有罪的政治决定，因此违反了无罪推定原则。</w:t>
      </w:r>
    </w:p>
    <w:p w:rsidR="005D1901" w:rsidRPr="005D1901" w:rsidRDefault="005D1901" w:rsidP="005D1901">
      <w:pPr>
        <w:pStyle w:val="SingleTxtGC"/>
      </w:pPr>
      <w:r w:rsidRPr="005D1901">
        <w:t>3.2</w:t>
      </w:r>
      <w:r>
        <w:t xml:space="preserve">  </w:t>
      </w:r>
      <w:r w:rsidRPr="005D1901">
        <w:rPr>
          <w:rFonts w:hint="eastAsia"/>
        </w:rPr>
        <w:t>提交人认为他是缔约国违反《公约》第十四条第</w:t>
      </w:r>
      <w:r w:rsidRPr="005D1901">
        <w:t>1</w:t>
      </w:r>
      <w:r w:rsidRPr="005D1901">
        <w:rPr>
          <w:rFonts w:hint="eastAsia"/>
        </w:rPr>
        <w:t>款的受害者，该条款规定法庭应拥有管辖权、独立和公正。他援引委员会的判例法，根据该判例法，“司法部门和行政部门的职能和权限划分不明或后者能够控制或指挥前者的情况，不符合第十四条第</w:t>
      </w:r>
      <w:r w:rsidRPr="005D1901">
        <w:t>1</w:t>
      </w:r>
      <w:r w:rsidRPr="005D1901">
        <w:rPr>
          <w:rFonts w:hint="eastAsia"/>
        </w:rPr>
        <w:t>款意义上的法庭独立和公正的概念”。</w:t>
      </w:r>
      <w:r w:rsidR="001B68B7">
        <w:rPr>
          <w:rStyle w:val="FootnoteReference"/>
        </w:rPr>
        <w:footnoteReference w:id="3"/>
      </w:r>
      <w:r w:rsidR="001B68B7" w:rsidRPr="001B68B7">
        <w:rPr>
          <w:vertAlign w:val="superscript"/>
        </w:rPr>
        <w:t xml:space="preserve"> </w:t>
      </w:r>
      <w:r w:rsidRPr="005D1901">
        <w:rPr>
          <w:rFonts w:hint="eastAsia"/>
        </w:rPr>
        <w:t>各官方机关已经声称提交人犯有被指控的所有罪行，并事实上指示司法部门批准其有罪决定。另外，突尼斯司法部指示司法部门不同意由提交人选择的律师在他缺席时对其进行辩护</w:t>
      </w:r>
      <w:r w:rsidRPr="005D1901">
        <w:rPr>
          <w:rFonts w:hint="eastAsia"/>
        </w:rPr>
        <w:t>(</w:t>
      </w:r>
      <w:r w:rsidRPr="005D1901">
        <w:rPr>
          <w:rFonts w:hint="eastAsia"/>
        </w:rPr>
        <w:t>见上文第</w:t>
      </w:r>
      <w:r w:rsidRPr="005D1901">
        <w:t>2.2</w:t>
      </w:r>
      <w:r w:rsidRPr="005D1901">
        <w:rPr>
          <w:rFonts w:hint="eastAsia"/>
        </w:rPr>
        <w:t>段</w:t>
      </w:r>
      <w:r w:rsidRPr="005D1901">
        <w:rPr>
          <w:rFonts w:hint="eastAsia"/>
        </w:rPr>
        <w:t>)</w:t>
      </w:r>
      <w:r w:rsidRPr="005D1901">
        <w:rPr>
          <w:rFonts w:hint="eastAsia"/>
        </w:rPr>
        <w:t>。提交人还认为，在</w:t>
      </w:r>
      <w:r w:rsidRPr="005D1901">
        <w:t>2011</w:t>
      </w:r>
      <w:r w:rsidRPr="005D1901">
        <w:rPr>
          <w:rFonts w:hint="eastAsia"/>
        </w:rPr>
        <w:t>年</w:t>
      </w:r>
      <w:r w:rsidRPr="005D1901">
        <w:t>3</w:t>
      </w:r>
      <w:r w:rsidRPr="005D1901">
        <w:rPr>
          <w:rFonts w:hint="eastAsia"/>
        </w:rPr>
        <w:t>月</w:t>
      </w:r>
      <w:r w:rsidRPr="005D1901">
        <w:t>18</w:t>
      </w:r>
      <w:r w:rsidRPr="005D1901">
        <w:rPr>
          <w:rFonts w:hint="eastAsia"/>
        </w:rPr>
        <w:t>日《政府公报》上公布的第</w:t>
      </w:r>
      <w:r w:rsidRPr="005D1901">
        <w:t>13</w:t>
      </w:r>
      <w:r w:rsidRPr="005D1901">
        <w:rPr>
          <w:rFonts w:hint="eastAsia"/>
        </w:rPr>
        <w:t>号法令违反了行政权与司法权分立的原则，因为该法令命令对提交人实施没收其包括个人住房在内所有动产和不动产的刑事处罚，而实施刑事处罚的权力是司法部门在法院做出符合公平审判标准和尊重辩护权的判决之后方能行使的专有权利。</w:t>
      </w:r>
    </w:p>
    <w:p w:rsidR="005D1901" w:rsidRPr="005D1901" w:rsidRDefault="005D1901" w:rsidP="005D1901">
      <w:pPr>
        <w:pStyle w:val="SingleTxtGC"/>
      </w:pPr>
      <w:r w:rsidRPr="005D1901">
        <w:t>3.3</w:t>
      </w:r>
      <w:r>
        <w:t xml:space="preserve">  </w:t>
      </w:r>
      <w:r w:rsidRPr="005D1901">
        <w:rPr>
          <w:rFonts w:hint="eastAsia"/>
        </w:rPr>
        <w:t>提交人还声称是缔约国违反《公约》第十四条第</w:t>
      </w:r>
      <w:r w:rsidRPr="005D1901">
        <w:t>3</w:t>
      </w:r>
      <w:r w:rsidRPr="005D1901">
        <w:rPr>
          <w:rFonts w:hint="eastAsia"/>
        </w:rPr>
        <w:t>款</w:t>
      </w:r>
      <w:r w:rsidRPr="005D1901">
        <w:rPr>
          <w:rFonts w:hint="eastAsia"/>
        </w:rPr>
        <w:t>(</w:t>
      </w:r>
      <w:r w:rsidRPr="005D1901">
        <w:rPr>
          <w:rFonts w:hint="eastAsia"/>
        </w:rPr>
        <w:t>丁</w:t>
      </w:r>
      <w:r w:rsidRPr="005D1901">
        <w:rPr>
          <w:rFonts w:hint="eastAsia"/>
        </w:rPr>
        <w:t>)</w:t>
      </w:r>
      <w:r w:rsidRPr="005D1901">
        <w:rPr>
          <w:rFonts w:hint="eastAsia"/>
        </w:rPr>
        <w:t>项规定的受害者，该条款承认亲自替自己辩护或通过他自己所选择的法律援助进行辩护的权利。提交人提到司法部代表在</w:t>
      </w:r>
      <w:r w:rsidRPr="005D1901">
        <w:t>2011</w:t>
      </w:r>
      <w:r w:rsidRPr="005D1901">
        <w:rPr>
          <w:rFonts w:hint="eastAsia"/>
        </w:rPr>
        <w:t>年</w:t>
      </w:r>
      <w:r w:rsidRPr="005D1901">
        <w:t>6</w:t>
      </w:r>
      <w:r w:rsidRPr="005D1901">
        <w:rPr>
          <w:rFonts w:hint="eastAsia"/>
        </w:rPr>
        <w:t>月</w:t>
      </w:r>
      <w:r w:rsidRPr="005D1901">
        <w:t>7</w:t>
      </w:r>
      <w:r w:rsidRPr="005D1901">
        <w:rPr>
          <w:rFonts w:hint="eastAsia"/>
        </w:rPr>
        <w:t>日发表的声明</w:t>
      </w:r>
      <w:r w:rsidRPr="005D1901">
        <w:rPr>
          <w:rFonts w:hint="eastAsia"/>
        </w:rPr>
        <w:t>(</w:t>
      </w:r>
      <w:r w:rsidRPr="005D1901">
        <w:rPr>
          <w:rFonts w:hint="eastAsia"/>
        </w:rPr>
        <w:t>见上文第</w:t>
      </w:r>
      <w:r w:rsidRPr="005D1901">
        <w:t>2.2</w:t>
      </w:r>
      <w:r w:rsidRPr="005D1901">
        <w:rPr>
          <w:rFonts w:hint="eastAsia"/>
        </w:rPr>
        <w:t>段</w:t>
      </w:r>
      <w:r w:rsidRPr="005D1901">
        <w:rPr>
          <w:rFonts w:hint="eastAsia"/>
        </w:rPr>
        <w:t>)</w:t>
      </w:r>
      <w:r w:rsidRPr="005D1901">
        <w:rPr>
          <w:rFonts w:hint="eastAsia"/>
        </w:rPr>
        <w:t>。另外，他选择的律师也无法代表他出席在</w:t>
      </w:r>
      <w:r w:rsidRPr="005D1901">
        <w:t>2011</w:t>
      </w:r>
      <w:r w:rsidRPr="005D1901">
        <w:rPr>
          <w:rFonts w:hint="eastAsia"/>
        </w:rPr>
        <w:t>年</w:t>
      </w:r>
      <w:r w:rsidRPr="005D1901">
        <w:t>6</w:t>
      </w:r>
      <w:r w:rsidRPr="005D1901">
        <w:rPr>
          <w:rFonts w:hint="eastAsia"/>
        </w:rPr>
        <w:t>月</w:t>
      </w:r>
      <w:r w:rsidRPr="005D1901">
        <w:t>20</w:t>
      </w:r>
      <w:r w:rsidRPr="005D1901">
        <w:rPr>
          <w:rFonts w:hint="eastAsia"/>
        </w:rPr>
        <w:t>日和</w:t>
      </w:r>
      <w:r w:rsidRPr="005D1901">
        <w:t>2011</w:t>
      </w:r>
      <w:r w:rsidRPr="005D1901">
        <w:rPr>
          <w:rFonts w:hint="eastAsia"/>
        </w:rPr>
        <w:t>年</w:t>
      </w:r>
      <w:r w:rsidRPr="005D1901">
        <w:t>7</w:t>
      </w:r>
      <w:r w:rsidRPr="005D1901">
        <w:rPr>
          <w:rFonts w:hint="eastAsia"/>
        </w:rPr>
        <w:t>月</w:t>
      </w:r>
      <w:r w:rsidRPr="005D1901">
        <w:t>4</w:t>
      </w:r>
      <w:r w:rsidRPr="005D1901">
        <w:rPr>
          <w:rFonts w:hint="eastAsia"/>
        </w:rPr>
        <w:t>日举行的审理活动。</w:t>
      </w:r>
    </w:p>
    <w:p w:rsidR="005D1901" w:rsidRPr="005D1901" w:rsidRDefault="005D1901" w:rsidP="005D1901">
      <w:pPr>
        <w:pStyle w:val="SingleTxtGC"/>
      </w:pPr>
      <w:r w:rsidRPr="005D1901">
        <w:t>3.4</w:t>
      </w:r>
      <w:r>
        <w:t xml:space="preserve">  </w:t>
      </w:r>
      <w:r w:rsidRPr="005D1901">
        <w:rPr>
          <w:rFonts w:hint="eastAsia"/>
        </w:rPr>
        <w:t>提交人指称，被告人享有自选律师为其辩护的权利意味着即使在被告人缺席的情况下也可以为其辩护的权利。司法部的代表声称《刑事诉讼法典》第</w:t>
      </w:r>
      <w:r w:rsidRPr="005D1901">
        <w:t>141</w:t>
      </w:r>
      <w:r w:rsidRPr="005D1901">
        <w:rPr>
          <w:rFonts w:hint="eastAsia"/>
        </w:rPr>
        <w:t>条规定未出席的被告人不可以享有辩护，且不得由律师代为辩护。因此，他显然忽视了《突尼斯宪法》第</w:t>
      </w:r>
      <w:r w:rsidRPr="005D1901">
        <w:t>32</w:t>
      </w:r>
      <w:r w:rsidRPr="005D1901">
        <w:rPr>
          <w:rFonts w:hint="eastAsia"/>
        </w:rPr>
        <w:t>条，该条规定，在国内法与国际公约相冲突时，以国际公约的约文为准；因此，他显然违反了本案所适用的公平审判保障。</w:t>
      </w:r>
    </w:p>
    <w:p w:rsidR="005D1901" w:rsidRPr="005D1901" w:rsidRDefault="005D1901" w:rsidP="005D1901">
      <w:pPr>
        <w:pStyle w:val="SingleTxtGC"/>
      </w:pPr>
      <w:r w:rsidRPr="005D1901">
        <w:t>3.5</w:t>
      </w:r>
      <w:r>
        <w:t xml:space="preserve">  </w:t>
      </w:r>
      <w:r w:rsidRPr="005D1901">
        <w:rPr>
          <w:rFonts w:hint="eastAsia"/>
        </w:rPr>
        <w:t>《公约》第十四条第</w:t>
      </w:r>
      <w:r w:rsidRPr="005D1901">
        <w:t>3</w:t>
      </w:r>
      <w:r w:rsidRPr="005D1901">
        <w:rPr>
          <w:rFonts w:hint="eastAsia"/>
        </w:rPr>
        <w:t>款</w:t>
      </w:r>
      <w:r w:rsidRPr="005D1901">
        <w:rPr>
          <w:rFonts w:hint="eastAsia"/>
        </w:rPr>
        <w:t>(</w:t>
      </w:r>
      <w:r w:rsidRPr="005D1901">
        <w:rPr>
          <w:rFonts w:hint="eastAsia"/>
        </w:rPr>
        <w:t>甲</w:t>
      </w:r>
      <w:r w:rsidRPr="005D1901">
        <w:rPr>
          <w:rFonts w:hint="eastAsia"/>
        </w:rPr>
        <w:t>)</w:t>
      </w:r>
      <w:r w:rsidRPr="005D1901">
        <w:rPr>
          <w:rFonts w:hint="eastAsia"/>
        </w:rPr>
        <w:t>和</w:t>
      </w:r>
      <w:r w:rsidRPr="005D1901">
        <w:rPr>
          <w:rFonts w:hint="eastAsia"/>
        </w:rPr>
        <w:t>(</w:t>
      </w:r>
      <w:r w:rsidRPr="005D1901">
        <w:rPr>
          <w:rFonts w:hint="eastAsia"/>
        </w:rPr>
        <w:t>乙</w:t>
      </w:r>
      <w:r w:rsidRPr="005D1901">
        <w:rPr>
          <w:rFonts w:hint="eastAsia"/>
        </w:rPr>
        <w:t>)</w:t>
      </w:r>
      <w:r w:rsidRPr="005D1901">
        <w:rPr>
          <w:rFonts w:hint="eastAsia"/>
        </w:rPr>
        <w:t>项规定，每个被告人都拥有迅速和详细告知对其提出的指控的性质和原因以及有充分的时间和便利准备其辩护的权利。这一原则的表现形式是被告人有权直接查看其犯罪记录，进行倾诉，发表意见以及被告知所作出的意见和出示的文件，武装完全平等。提交人未被告知对他提起的诉讼，也没有通知对他提出的指控，而且他未享有陈述其主张的权利。另外，也没有通知他有关</w:t>
      </w:r>
      <w:r w:rsidRPr="005D1901">
        <w:t>2011</w:t>
      </w:r>
      <w:r w:rsidRPr="005D1901">
        <w:rPr>
          <w:rFonts w:hint="eastAsia"/>
        </w:rPr>
        <w:t>年</w:t>
      </w:r>
      <w:r w:rsidRPr="005D1901">
        <w:t>6</w:t>
      </w:r>
      <w:r w:rsidRPr="005D1901">
        <w:rPr>
          <w:rFonts w:hint="eastAsia"/>
        </w:rPr>
        <w:t>月</w:t>
      </w:r>
      <w:r w:rsidRPr="005D1901">
        <w:t>20</w:t>
      </w:r>
      <w:r w:rsidRPr="005D1901">
        <w:rPr>
          <w:rFonts w:hint="eastAsia"/>
        </w:rPr>
        <w:t>日、</w:t>
      </w:r>
      <w:r w:rsidRPr="005D1901">
        <w:t>2011</w:t>
      </w:r>
      <w:r w:rsidRPr="005D1901">
        <w:rPr>
          <w:rFonts w:hint="eastAsia"/>
        </w:rPr>
        <w:t>年</w:t>
      </w:r>
      <w:r w:rsidRPr="005D1901">
        <w:t>7</w:t>
      </w:r>
      <w:r w:rsidRPr="005D1901">
        <w:rPr>
          <w:rFonts w:hint="eastAsia"/>
        </w:rPr>
        <w:t>月</w:t>
      </w:r>
      <w:r w:rsidRPr="005D1901">
        <w:t>4</w:t>
      </w:r>
      <w:r w:rsidRPr="005D1901">
        <w:rPr>
          <w:rFonts w:hint="eastAsia"/>
        </w:rPr>
        <w:t>日和</w:t>
      </w:r>
      <w:r w:rsidRPr="005D1901">
        <w:t>2011</w:t>
      </w:r>
      <w:r w:rsidRPr="005D1901">
        <w:rPr>
          <w:rFonts w:hint="eastAsia"/>
        </w:rPr>
        <w:t>年</w:t>
      </w:r>
      <w:r w:rsidRPr="005D1901">
        <w:t>7</w:t>
      </w:r>
      <w:r w:rsidRPr="005D1901">
        <w:rPr>
          <w:rFonts w:hint="eastAsia"/>
        </w:rPr>
        <w:t>月</w:t>
      </w:r>
      <w:r w:rsidRPr="005D1901">
        <w:t>28</w:t>
      </w:r>
      <w:r w:rsidRPr="005D1901">
        <w:rPr>
          <w:rFonts w:hint="eastAsia"/>
        </w:rPr>
        <w:t>日的审理或所谓判决的日期，这些判决都是在相关案件的审理当日作出的，剥夺了他需要准备其辩护的时间和便利，违反了《公约》第十四条。</w:t>
      </w:r>
    </w:p>
    <w:p w:rsidR="005D1901" w:rsidRPr="005D1901" w:rsidRDefault="005D1901" w:rsidP="005D1901">
      <w:pPr>
        <w:pStyle w:val="SingleTxtGC"/>
      </w:pPr>
      <w:r w:rsidRPr="005D1901">
        <w:t>3.6</w:t>
      </w:r>
      <w:r>
        <w:t xml:space="preserve">  </w:t>
      </w:r>
      <w:r w:rsidRPr="005D1901">
        <w:rPr>
          <w:rFonts w:hint="eastAsia"/>
        </w:rPr>
        <w:t>提交人还指称，他本应该有合理的期限来准备他的辩护。不合理的期限可以是过度延误，也可以是时间非常短致使被告人无法提供其答辩。法官必须花费必要的时间来判案，不得仓促行事或草率地做出裁决。提交人指出，作出三次判决的速度相当不合理，在开始相关案件审理工作的当天就宣布判决，只听取了检方的陈述，而没有听取被告人的答辩。</w:t>
      </w:r>
      <w:r w:rsidR="001B68B7">
        <w:rPr>
          <w:rStyle w:val="FootnoteReference"/>
        </w:rPr>
        <w:footnoteReference w:id="4"/>
      </w:r>
    </w:p>
    <w:p w:rsidR="005D1901" w:rsidRPr="005D1901" w:rsidRDefault="005D1901" w:rsidP="005D1901">
      <w:pPr>
        <w:pStyle w:val="SingleTxtGC"/>
      </w:pPr>
      <w:r w:rsidRPr="005D1901">
        <w:t>3.7</w:t>
      </w:r>
      <w:r>
        <w:t xml:space="preserve">  </w:t>
      </w:r>
      <w:r w:rsidRPr="005D1901">
        <w:rPr>
          <w:rFonts w:hint="eastAsia"/>
        </w:rPr>
        <w:t>《公约》第十四条第</w:t>
      </w:r>
      <w:r w:rsidRPr="005D1901">
        <w:t>1</w:t>
      </w:r>
      <w:r w:rsidRPr="005D1901">
        <w:rPr>
          <w:rFonts w:hint="eastAsia"/>
        </w:rPr>
        <w:t>款和《欧洲保护人权与基本自由公约》第</w:t>
      </w:r>
      <w:r w:rsidRPr="005D1901">
        <w:t>6</w:t>
      </w:r>
      <w:r w:rsidRPr="005D1901">
        <w:rPr>
          <w:rFonts w:hint="eastAsia"/>
        </w:rPr>
        <w:t>条第</w:t>
      </w:r>
      <w:r w:rsidRPr="005D1901">
        <w:t>1</w:t>
      </w:r>
      <w:r w:rsidRPr="005D1901">
        <w:rPr>
          <w:rFonts w:hint="eastAsia"/>
        </w:rPr>
        <w:t>款对司法机关成员的中立性和公正性做出了规定。如果法官在言语中表明其已经相信有关当事人有罪，则客观上表明其显然缺乏公正性。宣布</w:t>
      </w:r>
      <w:r w:rsidRPr="005D1901">
        <w:t>2011</w:t>
      </w:r>
      <w:r w:rsidRPr="005D1901">
        <w:rPr>
          <w:rFonts w:hint="eastAsia"/>
        </w:rPr>
        <w:t>年</w:t>
      </w:r>
      <w:r w:rsidRPr="005D1901">
        <w:t>6</w:t>
      </w:r>
      <w:r w:rsidRPr="005D1901">
        <w:rPr>
          <w:rFonts w:hint="eastAsia"/>
        </w:rPr>
        <w:t>月</w:t>
      </w:r>
      <w:r w:rsidRPr="005D1901">
        <w:t>20</w:t>
      </w:r>
      <w:r w:rsidRPr="005D1901">
        <w:rPr>
          <w:rFonts w:hint="eastAsia"/>
        </w:rPr>
        <w:t>日、</w:t>
      </w:r>
      <w:r w:rsidRPr="005D1901">
        <w:t>2011</w:t>
      </w:r>
      <w:r w:rsidRPr="005D1901">
        <w:rPr>
          <w:rFonts w:hint="eastAsia"/>
        </w:rPr>
        <w:t>年</w:t>
      </w:r>
      <w:r w:rsidRPr="005D1901">
        <w:t>7</w:t>
      </w:r>
      <w:r w:rsidRPr="005D1901">
        <w:rPr>
          <w:rFonts w:hint="eastAsia"/>
        </w:rPr>
        <w:t>月</w:t>
      </w:r>
      <w:r w:rsidRPr="005D1901">
        <w:t>4</w:t>
      </w:r>
      <w:r w:rsidRPr="005D1901">
        <w:rPr>
          <w:rFonts w:hint="eastAsia"/>
        </w:rPr>
        <w:t>日和</w:t>
      </w:r>
      <w:r w:rsidRPr="005D1901">
        <w:t>2011</w:t>
      </w:r>
      <w:r w:rsidRPr="005D1901">
        <w:rPr>
          <w:rFonts w:hint="eastAsia"/>
        </w:rPr>
        <w:t>年</w:t>
      </w:r>
      <w:r w:rsidRPr="005D1901">
        <w:t>7</w:t>
      </w:r>
      <w:r w:rsidRPr="005D1901">
        <w:rPr>
          <w:rFonts w:hint="eastAsia"/>
        </w:rPr>
        <w:t>月</w:t>
      </w:r>
      <w:r w:rsidRPr="005D1901">
        <w:t>28</w:t>
      </w:r>
      <w:r w:rsidRPr="005D1901">
        <w:rPr>
          <w:rFonts w:hint="eastAsia"/>
        </w:rPr>
        <w:t>日判决的司法机关的成员显然受到了政府当局、媒体和舆论不间断地宣称提交人有罪以及法庭内的喊叫和人群的影响。采用侵犯辩护权的程序是由行政机关决定的。以下事实客观表明显然缺乏公正性，即判决是在开始审判的当天宣布的，没有听取有关当事人的意见，违反了所有公平审判保障。</w:t>
      </w:r>
      <w:r w:rsidRPr="005D1901">
        <w:t>2011</w:t>
      </w:r>
      <w:r w:rsidRPr="005D1901">
        <w:rPr>
          <w:rFonts w:hint="eastAsia"/>
        </w:rPr>
        <w:t>年</w:t>
      </w:r>
      <w:r w:rsidRPr="005D1901">
        <w:t>6</w:t>
      </w:r>
      <w:r w:rsidRPr="005D1901">
        <w:rPr>
          <w:rFonts w:hint="eastAsia"/>
        </w:rPr>
        <w:t>月</w:t>
      </w:r>
      <w:r w:rsidRPr="005D1901">
        <w:t>20</w:t>
      </w:r>
      <w:r w:rsidRPr="005D1901">
        <w:rPr>
          <w:rFonts w:hint="eastAsia"/>
        </w:rPr>
        <w:t>日、</w:t>
      </w:r>
      <w:r w:rsidRPr="005D1901">
        <w:t>2011</w:t>
      </w:r>
      <w:r w:rsidRPr="005D1901">
        <w:rPr>
          <w:rFonts w:hint="eastAsia"/>
        </w:rPr>
        <w:t>年</w:t>
      </w:r>
      <w:r w:rsidRPr="005D1901">
        <w:t>7</w:t>
      </w:r>
      <w:r w:rsidRPr="005D1901">
        <w:rPr>
          <w:rFonts w:hint="eastAsia"/>
        </w:rPr>
        <w:t>月</w:t>
      </w:r>
      <w:r w:rsidRPr="005D1901">
        <w:t>4</w:t>
      </w:r>
      <w:r w:rsidRPr="005D1901">
        <w:rPr>
          <w:rFonts w:hint="eastAsia"/>
        </w:rPr>
        <w:t>日和</w:t>
      </w:r>
      <w:r w:rsidRPr="005D1901">
        <w:t>2011</w:t>
      </w:r>
      <w:r w:rsidRPr="005D1901">
        <w:rPr>
          <w:rFonts w:hint="eastAsia"/>
        </w:rPr>
        <w:t>年</w:t>
      </w:r>
      <w:r w:rsidRPr="005D1901">
        <w:t>7</w:t>
      </w:r>
      <w:r w:rsidRPr="005D1901">
        <w:rPr>
          <w:rFonts w:hint="eastAsia"/>
        </w:rPr>
        <w:t>月</w:t>
      </w:r>
      <w:r w:rsidRPr="005D1901">
        <w:t>28</w:t>
      </w:r>
      <w:r w:rsidRPr="005D1901">
        <w:rPr>
          <w:rFonts w:hint="eastAsia"/>
        </w:rPr>
        <w:t>日的判决没有任何正当理由。宣布这些判决的依据分别是：只有所谓先前已在电视上展示的外币影像，由此推定这些外币是被提交人及其家族侵吞并存放在保险柜里的；在审理期间，缉毒小分队队长只展示了所谓的两公斤大麻脂</w:t>
      </w:r>
      <w:r w:rsidRPr="005D1901">
        <w:rPr>
          <w:rFonts w:hint="eastAsia"/>
        </w:rPr>
        <w:t>(</w:t>
      </w:r>
      <w:r w:rsidRPr="005D1901">
        <w:rPr>
          <w:rFonts w:hint="eastAsia"/>
        </w:rPr>
        <w:t>据法官称上面有提交人亲手书写的“毒品”字样</w:t>
      </w:r>
      <w:r w:rsidRPr="005D1901">
        <w:rPr>
          <w:rFonts w:hint="eastAsia"/>
        </w:rPr>
        <w:t>)</w:t>
      </w:r>
      <w:r w:rsidRPr="005D1901">
        <w:rPr>
          <w:rFonts w:hint="eastAsia"/>
        </w:rPr>
        <w:t>、武器和考古文物；以及被指控在房地产开发中进行欺诈性土地买卖活动。在宣布判决时没有对如何在提交人离开</w:t>
      </w:r>
      <w:r w:rsidRPr="005D1901">
        <w:t>40</w:t>
      </w:r>
      <w:r w:rsidRPr="005D1901">
        <w:rPr>
          <w:rFonts w:hint="eastAsia"/>
        </w:rPr>
        <w:t>天后“发现”外币以及毒品可能与他有关做出任何说明，法院没有对所谓外币进行检查，也没有将其作为证物进行密封</w:t>
      </w:r>
      <w:r w:rsidRPr="005D1901">
        <w:rPr>
          <w:rFonts w:hint="eastAsia"/>
        </w:rPr>
        <w:t>(</w:t>
      </w:r>
      <w:r w:rsidRPr="005D1901">
        <w:rPr>
          <w:rFonts w:hint="eastAsia"/>
        </w:rPr>
        <w:t>而是将其归还中央银行，在那里，将无法再对这些外币进行独立识别</w:t>
      </w:r>
      <w:r w:rsidRPr="005D1901">
        <w:rPr>
          <w:rFonts w:hint="eastAsia"/>
        </w:rPr>
        <w:t>)</w:t>
      </w:r>
      <w:r w:rsidRPr="005D1901">
        <w:rPr>
          <w:rFonts w:hint="eastAsia"/>
        </w:rPr>
        <w:t>，而且法院也没有提出土地买卖性质异常的任何证据。这些判决显然只是基于谣言、推定和证人证言。</w:t>
      </w:r>
    </w:p>
    <w:p w:rsidR="005D1901" w:rsidRPr="005D1901" w:rsidRDefault="005D1901" w:rsidP="005D1901">
      <w:pPr>
        <w:pStyle w:val="SingleTxtGC"/>
      </w:pPr>
      <w:r w:rsidRPr="005D1901">
        <w:t>3.8</w:t>
      </w:r>
      <w:r>
        <w:t xml:space="preserve">  </w:t>
      </w:r>
      <w:r w:rsidRPr="005D1901">
        <w:rPr>
          <w:rFonts w:hint="eastAsia"/>
        </w:rPr>
        <w:t>政治当局剥夺了提交人在本人未出庭时由其所选律师代为出庭的权利，实际上就剥夺了他的辩护权，也剥夺了他对法庭所作任何不利裁决提出上诉的权利。这一决定事实上剥夺了他诉诸法院的权利。因此，用尽本地救济办法的要求已经满足，因为司法机关批准的一项政治决定剥夺了提交人查阅其卷宗的权利。</w:t>
      </w:r>
    </w:p>
    <w:p w:rsidR="005D1901" w:rsidRPr="005D1901" w:rsidRDefault="001B68B7" w:rsidP="001B68B7">
      <w:pPr>
        <w:pStyle w:val="H23GC"/>
      </w:pPr>
      <w:r>
        <w:tab/>
      </w:r>
      <w:r>
        <w:tab/>
      </w:r>
      <w:r w:rsidR="005D1901" w:rsidRPr="005D1901">
        <w:rPr>
          <w:rFonts w:hint="eastAsia"/>
        </w:rPr>
        <w:t>缔约国关于可否受理和案情的意见</w:t>
      </w:r>
    </w:p>
    <w:p w:rsidR="005D1901" w:rsidRPr="005D1901" w:rsidRDefault="005D1901" w:rsidP="005D1901">
      <w:pPr>
        <w:pStyle w:val="SingleTxtGC"/>
      </w:pPr>
      <w:r w:rsidRPr="005D1901">
        <w:t>4.1</w:t>
      </w:r>
      <w:r>
        <w:t xml:space="preserve">  </w:t>
      </w:r>
      <w:r w:rsidRPr="005D1901">
        <w:t>2012</w:t>
      </w:r>
      <w:r w:rsidRPr="005D1901">
        <w:rPr>
          <w:rFonts w:hint="eastAsia"/>
        </w:rPr>
        <w:t>年</w:t>
      </w:r>
      <w:r w:rsidRPr="005D1901">
        <w:t>8</w:t>
      </w:r>
      <w:r w:rsidRPr="005D1901">
        <w:rPr>
          <w:rFonts w:hint="eastAsia"/>
        </w:rPr>
        <w:t>月</w:t>
      </w:r>
      <w:r w:rsidRPr="005D1901">
        <w:t>3</w:t>
      </w:r>
      <w:r w:rsidRPr="005D1901">
        <w:rPr>
          <w:rFonts w:hint="eastAsia"/>
        </w:rPr>
        <w:t>日，缔约国提交了其对来文可否受理和案情的意见。缔约国从属时理由、未用尽国内救济办法以及从来文在《任择议定书》第三条方面与《公约》不符方面质疑来文的可受理性。它还质疑来文的案情。</w:t>
      </w:r>
    </w:p>
    <w:p w:rsidR="005D1901" w:rsidRPr="005D1901" w:rsidRDefault="005D1901" w:rsidP="005D1901">
      <w:pPr>
        <w:pStyle w:val="SingleTxtGC"/>
      </w:pPr>
      <w:r w:rsidRPr="005D1901">
        <w:t>4.2</w:t>
      </w:r>
      <w:r>
        <w:t xml:space="preserve">  </w:t>
      </w:r>
      <w:r w:rsidRPr="005D1901">
        <w:rPr>
          <w:rFonts w:hint="eastAsia"/>
        </w:rPr>
        <w:t>缔约国首先回顾了本案的事实并指出，根据突尼斯一审法院刑事庭</w:t>
      </w:r>
      <w:r w:rsidRPr="005D1901">
        <w:t>2011</w:t>
      </w:r>
      <w:r w:rsidRPr="005D1901">
        <w:rPr>
          <w:rFonts w:hint="eastAsia"/>
        </w:rPr>
        <w:t>年</w:t>
      </w:r>
      <w:r w:rsidRPr="005D1901">
        <w:t>6</w:t>
      </w:r>
      <w:r w:rsidRPr="005D1901">
        <w:rPr>
          <w:rFonts w:hint="eastAsia"/>
        </w:rPr>
        <w:t>月</w:t>
      </w:r>
      <w:r w:rsidRPr="005D1901">
        <w:t>20</w:t>
      </w:r>
      <w:r w:rsidRPr="005D1901">
        <w:rPr>
          <w:rFonts w:hint="eastAsia"/>
        </w:rPr>
        <w:t>日第</w:t>
      </w:r>
      <w:r w:rsidRPr="005D1901">
        <w:t>23004</w:t>
      </w:r>
      <w:r w:rsidRPr="005D1901">
        <w:rPr>
          <w:rFonts w:hint="eastAsia"/>
        </w:rPr>
        <w:t>号判决，法庭依据《突尼斯刑法》第</w:t>
      </w:r>
      <w:r w:rsidRPr="005D1901">
        <w:t>95</w:t>
      </w:r>
      <w:r w:rsidRPr="005D1901">
        <w:rPr>
          <w:rFonts w:hint="eastAsia"/>
        </w:rPr>
        <w:t>、第</w:t>
      </w:r>
      <w:r w:rsidRPr="005D1901">
        <w:t>96</w:t>
      </w:r>
      <w:r w:rsidRPr="005D1901">
        <w:rPr>
          <w:rFonts w:hint="eastAsia"/>
        </w:rPr>
        <w:t>、第</w:t>
      </w:r>
      <w:r w:rsidRPr="005D1901">
        <w:t>97</w:t>
      </w:r>
      <w:r w:rsidRPr="005D1901">
        <w:rPr>
          <w:rFonts w:hint="eastAsia"/>
        </w:rPr>
        <w:t>和第</w:t>
      </w:r>
      <w:r w:rsidRPr="005D1901">
        <w:t>99</w:t>
      </w:r>
      <w:r w:rsidRPr="005D1901">
        <w:rPr>
          <w:rFonts w:hint="eastAsia"/>
        </w:rPr>
        <w:t>条之规定，以提交人贪污、以公共利益监护人身份挪用公共资金和滥用资金的罪名缺席判处提交人</w:t>
      </w:r>
      <w:r w:rsidRPr="005D1901">
        <w:t>35</w:t>
      </w:r>
      <w:r w:rsidRPr="005D1901">
        <w:rPr>
          <w:rFonts w:hint="eastAsia"/>
        </w:rPr>
        <w:t>年监禁。提交人被指控利用其总统职位贪污公共资金和挪用资金总额达</w:t>
      </w:r>
      <w:r w:rsidRPr="005D1901">
        <w:t>41</w:t>
      </w:r>
      <w:r w:rsidR="001B68B7">
        <w:t>,</w:t>
      </w:r>
      <w:r w:rsidRPr="005D1901">
        <w:t>225</w:t>
      </w:r>
      <w:r w:rsidR="001B68B7">
        <w:t>,</w:t>
      </w:r>
      <w:r w:rsidRPr="005D1901">
        <w:t>925</w:t>
      </w:r>
      <w:r w:rsidRPr="005D1901">
        <w:rPr>
          <w:rFonts w:hint="eastAsia"/>
        </w:rPr>
        <w:t>突尼斯第纳尔。</w:t>
      </w:r>
      <w:r w:rsidRPr="005D1901">
        <w:t>2011</w:t>
      </w:r>
      <w:r w:rsidRPr="005D1901">
        <w:rPr>
          <w:rFonts w:hint="eastAsia"/>
        </w:rPr>
        <w:t>年</w:t>
      </w:r>
      <w:r w:rsidRPr="005D1901">
        <w:t>2</w:t>
      </w:r>
      <w:r w:rsidRPr="005D1901">
        <w:rPr>
          <w:rFonts w:hint="eastAsia"/>
        </w:rPr>
        <w:t>月，全国贪污腐败调查委员会委员在依照其特权和法定权力对提交人的住所</w:t>
      </w:r>
      <w:r w:rsidRPr="005D1901">
        <w:t>Sidi Dhrif</w:t>
      </w:r>
      <w:r w:rsidRPr="005D1901">
        <w:rPr>
          <w:rFonts w:hint="eastAsia"/>
        </w:rPr>
        <w:t>宫进行搜查之后，发现了一些非常隐蔽的保险柜，里面装潢了纸币，大量金子、珠宝及其他宝石以及由外国银行发的很多不同信用卡。因此，该委员会将案件转交检察官办公室，然后开始调查及作出上述判决。</w:t>
      </w:r>
    </w:p>
    <w:p w:rsidR="005D1901" w:rsidRPr="005D1901" w:rsidRDefault="005D1901" w:rsidP="005D1901">
      <w:pPr>
        <w:pStyle w:val="SingleTxtGC"/>
      </w:pPr>
      <w:r w:rsidRPr="005D1901">
        <w:t>4.3</w:t>
      </w:r>
      <w:r>
        <w:t xml:space="preserve">  </w:t>
      </w:r>
      <w:r w:rsidRPr="005D1901">
        <w:rPr>
          <w:rFonts w:hint="eastAsia"/>
        </w:rPr>
        <w:t>根据突尼斯一审法院刑事庭</w:t>
      </w:r>
      <w:r w:rsidRPr="005D1901">
        <w:t>2011</w:t>
      </w:r>
      <w:r w:rsidRPr="005D1901">
        <w:rPr>
          <w:rFonts w:hint="eastAsia"/>
        </w:rPr>
        <w:t>年</w:t>
      </w:r>
      <w:r w:rsidRPr="005D1901">
        <w:t>7</w:t>
      </w:r>
      <w:r w:rsidRPr="005D1901">
        <w:rPr>
          <w:rFonts w:hint="eastAsia"/>
        </w:rPr>
        <w:t>月</w:t>
      </w:r>
      <w:r w:rsidRPr="005D1901">
        <w:t>4</w:t>
      </w:r>
      <w:r w:rsidRPr="005D1901">
        <w:rPr>
          <w:rFonts w:hint="eastAsia"/>
        </w:rPr>
        <w:t>日作出的第</w:t>
      </w:r>
      <w:r w:rsidRPr="005D1901">
        <w:t>23005</w:t>
      </w:r>
      <w:r w:rsidRPr="005D1901">
        <w:rPr>
          <w:rFonts w:hint="eastAsia"/>
        </w:rPr>
        <w:t>号判决，提交人因以下罪行被缺席判处</w:t>
      </w:r>
      <w:r w:rsidRPr="005D1901">
        <w:t>15</w:t>
      </w:r>
      <w:r w:rsidRPr="005D1901">
        <w:rPr>
          <w:rFonts w:hint="eastAsia"/>
        </w:rPr>
        <w:t>年零</w:t>
      </w:r>
      <w:r w:rsidRPr="005D1901">
        <w:t>6</w:t>
      </w:r>
      <w:r w:rsidRPr="005D1901">
        <w:rPr>
          <w:rFonts w:hint="eastAsia"/>
        </w:rPr>
        <w:t>个月监禁：</w:t>
      </w:r>
      <w:r w:rsidRPr="005D1901">
        <w:t>(1)</w:t>
      </w:r>
      <w:r w:rsidRPr="005D1901">
        <w:rPr>
          <w:vertAlign w:val="superscript"/>
        </w:rPr>
        <w:t xml:space="preserve"> </w:t>
      </w:r>
      <w:r w:rsidRPr="005D1901">
        <w:rPr>
          <w:rFonts w:hint="eastAsia"/>
        </w:rPr>
        <w:t>通过非法分配、使用和配备房屋使之用于储存和藏匿毒品而违反《反毒品法》，</w:t>
      </w:r>
      <w:r w:rsidRPr="005D1901">
        <w:t>(2)</w:t>
      </w:r>
      <w:r w:rsidRPr="005D1901">
        <w:rPr>
          <w:vertAlign w:val="superscript"/>
        </w:rPr>
        <w:t xml:space="preserve"> </w:t>
      </w:r>
      <w:r w:rsidRPr="005D1901">
        <w:rPr>
          <w:rFonts w:hint="eastAsia"/>
        </w:rPr>
        <w:t>因引进和输入第一类武器和弹药而违反《引进、交易、拥有和携带武器法》，和</w:t>
      </w:r>
      <w:r w:rsidRPr="005D1901">
        <w:t>(3)</w:t>
      </w:r>
      <w:r w:rsidRPr="005D1901">
        <w:rPr>
          <w:vertAlign w:val="superscript"/>
        </w:rPr>
        <w:t xml:space="preserve"> </w:t>
      </w:r>
      <w:r w:rsidRPr="005D1901">
        <w:rPr>
          <w:rFonts w:hint="eastAsia"/>
        </w:rPr>
        <w:t>违反《考古、历史和传统艺术遗产法典》。</w:t>
      </w:r>
      <w:r w:rsidR="001B68B7">
        <w:rPr>
          <w:rStyle w:val="FootnoteReference"/>
        </w:rPr>
        <w:footnoteReference w:id="5"/>
      </w:r>
      <w:r w:rsidR="001B68B7" w:rsidRPr="001B68B7">
        <w:rPr>
          <w:vertAlign w:val="superscript"/>
        </w:rPr>
        <w:t xml:space="preserve"> </w:t>
      </w:r>
      <w:r w:rsidRPr="005D1901">
        <w:rPr>
          <w:rFonts w:hint="eastAsia"/>
        </w:rPr>
        <w:t>提交人被指控曾利用其位于迦太基宫的个人办公室的前厅储存和藏匿毒品、未经法律授权引进并输入第一类武器和弹药以及未通知相关部门其拥有可移动考古文物。</w:t>
      </w:r>
    </w:p>
    <w:p w:rsidR="005D1901" w:rsidRPr="005D1901" w:rsidRDefault="005D1901" w:rsidP="005D1901">
      <w:pPr>
        <w:pStyle w:val="SingleTxtGC"/>
      </w:pPr>
      <w:r w:rsidRPr="005D1901">
        <w:t>4.4</w:t>
      </w:r>
      <w:r>
        <w:t xml:space="preserve">  </w:t>
      </w:r>
      <w:r w:rsidRPr="005D1901">
        <w:rPr>
          <w:rFonts w:hint="eastAsia"/>
        </w:rPr>
        <w:t>关于</w:t>
      </w:r>
      <w:r w:rsidRPr="005D1901">
        <w:t>2011</w:t>
      </w:r>
      <w:r w:rsidRPr="005D1901">
        <w:rPr>
          <w:rFonts w:hint="eastAsia"/>
        </w:rPr>
        <w:t>年</w:t>
      </w:r>
      <w:r w:rsidRPr="005D1901">
        <w:t>7</w:t>
      </w:r>
      <w:r w:rsidRPr="005D1901">
        <w:rPr>
          <w:rFonts w:hint="eastAsia"/>
        </w:rPr>
        <w:t>月</w:t>
      </w:r>
      <w:r w:rsidRPr="005D1901">
        <w:t>28</w:t>
      </w:r>
      <w:r w:rsidRPr="005D1901">
        <w:rPr>
          <w:rFonts w:hint="eastAsia"/>
        </w:rPr>
        <w:t>日的第</w:t>
      </w:r>
      <w:r w:rsidRPr="005D1901">
        <w:t>23175</w:t>
      </w:r>
      <w:r w:rsidRPr="005D1901">
        <w:rPr>
          <w:rFonts w:hint="eastAsia"/>
        </w:rPr>
        <w:t>号判决，缔约国注意到提交人意见中有一处错误或不准确之处，因为在缔约国提交意见之日，已对提交人作出两项刑事定罪</w:t>
      </w:r>
      <w:r w:rsidRPr="005D1901">
        <w:rPr>
          <w:rFonts w:hint="eastAsia"/>
        </w:rPr>
        <w:t>(</w:t>
      </w:r>
      <w:r w:rsidRPr="005D1901">
        <w:rPr>
          <w:rFonts w:hint="eastAsia"/>
        </w:rPr>
        <w:t>第</w:t>
      </w:r>
      <w:r w:rsidRPr="005D1901">
        <w:t>23174/11</w:t>
      </w:r>
      <w:r w:rsidRPr="005D1901">
        <w:rPr>
          <w:rFonts w:hint="eastAsia"/>
        </w:rPr>
        <w:t>号和第</w:t>
      </w:r>
      <w:r w:rsidRPr="005D1901">
        <w:t>23175/11</w:t>
      </w:r>
      <w:r w:rsidRPr="005D1901">
        <w:rPr>
          <w:rFonts w:hint="eastAsia"/>
        </w:rPr>
        <w:t>号判决</w:t>
      </w:r>
      <w:r w:rsidRPr="005D1901">
        <w:rPr>
          <w:rFonts w:hint="eastAsia"/>
        </w:rPr>
        <w:t>)</w:t>
      </w:r>
      <w:r w:rsidRPr="005D1901">
        <w:rPr>
          <w:rFonts w:hint="eastAsia"/>
        </w:rPr>
        <w:t>，这两项定罪均涉及提交人滥用和利用其共和国总统职位为第三方</w:t>
      </w:r>
      <w:r w:rsidRPr="005D1901">
        <w:rPr>
          <w:rFonts w:hint="eastAsia"/>
        </w:rPr>
        <w:t>(</w:t>
      </w:r>
      <w:r w:rsidRPr="005D1901">
        <w:rPr>
          <w:rFonts w:hint="eastAsia"/>
        </w:rPr>
        <w:t>在本案中为其家族成员</w:t>
      </w:r>
      <w:r w:rsidRPr="005D1901">
        <w:rPr>
          <w:rFonts w:hint="eastAsia"/>
        </w:rPr>
        <w:t>)</w:t>
      </w:r>
      <w:r w:rsidRPr="005D1901">
        <w:rPr>
          <w:rFonts w:hint="eastAsia"/>
        </w:rPr>
        <w:t>提供无正当理由的利益，致使损害其政府，也违反现行法规。不过，这两项定罪都未涉及刑期相当于</w:t>
      </w:r>
      <w:r w:rsidRPr="005D1901">
        <w:t>16</w:t>
      </w:r>
      <w:r w:rsidRPr="005D1901">
        <w:rPr>
          <w:rFonts w:hint="eastAsia"/>
        </w:rPr>
        <w:t>年监禁的判刑。</w:t>
      </w:r>
    </w:p>
    <w:p w:rsidR="005D1901" w:rsidRPr="005D1901" w:rsidRDefault="005D1901" w:rsidP="005D1901">
      <w:pPr>
        <w:pStyle w:val="SingleTxtGC"/>
      </w:pPr>
      <w:r w:rsidRPr="005D1901">
        <w:t>4.5</w:t>
      </w:r>
      <w:r>
        <w:t xml:space="preserve">  </w:t>
      </w:r>
      <w:r w:rsidRPr="005D1901">
        <w:rPr>
          <w:rFonts w:hint="eastAsia"/>
        </w:rPr>
        <w:t>关于可否受理问题，缔约国指出，《任择议定书》第九条规定，本议定书应于加入书交存联合国秘书长之日起三个月后生效。突尼斯加入《任择议定书》的加入书于</w:t>
      </w:r>
      <w:r w:rsidRPr="005D1901">
        <w:t>2011</w:t>
      </w:r>
      <w:r w:rsidRPr="005D1901">
        <w:rPr>
          <w:rFonts w:hint="eastAsia"/>
        </w:rPr>
        <w:t>年</w:t>
      </w:r>
      <w:r w:rsidRPr="005D1901">
        <w:t>6</w:t>
      </w:r>
      <w:r w:rsidRPr="005D1901">
        <w:rPr>
          <w:rFonts w:hint="eastAsia"/>
        </w:rPr>
        <w:t>月交存。因此，《任择议定书》于</w:t>
      </w:r>
      <w:r w:rsidRPr="005D1901">
        <w:t>2011</w:t>
      </w:r>
      <w:r w:rsidRPr="005D1901">
        <w:rPr>
          <w:rFonts w:hint="eastAsia"/>
        </w:rPr>
        <w:t>年</w:t>
      </w:r>
      <w:r w:rsidRPr="005D1901">
        <w:t>9</w:t>
      </w:r>
      <w:r w:rsidRPr="005D1901">
        <w:rPr>
          <w:rFonts w:hint="eastAsia"/>
        </w:rPr>
        <w:t>月对突尼斯生效。不过，被质疑的定罪分别是在</w:t>
      </w:r>
      <w:r w:rsidRPr="005D1901">
        <w:t>2011</w:t>
      </w:r>
      <w:r w:rsidRPr="005D1901">
        <w:rPr>
          <w:rFonts w:hint="eastAsia"/>
        </w:rPr>
        <w:t>年</w:t>
      </w:r>
      <w:r w:rsidRPr="005D1901">
        <w:t>6</w:t>
      </w:r>
      <w:r w:rsidRPr="005D1901">
        <w:rPr>
          <w:rFonts w:hint="eastAsia"/>
        </w:rPr>
        <w:t>月和</w:t>
      </w:r>
      <w:r w:rsidRPr="005D1901">
        <w:t>7</w:t>
      </w:r>
      <w:r w:rsidRPr="005D1901">
        <w:rPr>
          <w:rFonts w:hint="eastAsia"/>
        </w:rPr>
        <w:t>月作出的。因此，从这一点来讲，来文不可受理。</w:t>
      </w:r>
    </w:p>
    <w:p w:rsidR="005D1901" w:rsidRPr="005D1901" w:rsidRDefault="005D1901" w:rsidP="005D1901">
      <w:pPr>
        <w:pStyle w:val="SingleTxtGC"/>
      </w:pPr>
      <w:r w:rsidRPr="005D1901">
        <w:t>4.6</w:t>
      </w:r>
      <w:r>
        <w:t xml:space="preserve">  </w:t>
      </w:r>
      <w:r w:rsidRPr="005D1901">
        <w:rPr>
          <w:rFonts w:hint="eastAsia"/>
        </w:rPr>
        <w:t>缔约国还认为，提交人未用尽国内救济办法。的确，根据突尼斯法律，向上级法院提出上诉的权利的原则适用。这些法律救济办法诉讼当事人都可以使用，并且还包括根据《刑事诉讼法典》第</w:t>
      </w:r>
      <w:r w:rsidRPr="005D1901">
        <w:t>175</w:t>
      </w:r>
      <w:r w:rsidRPr="005D1901">
        <w:rPr>
          <w:rFonts w:hint="eastAsia"/>
        </w:rPr>
        <w:t>条至第</w:t>
      </w:r>
      <w:r w:rsidRPr="005D1901">
        <w:t>183</w:t>
      </w:r>
      <w:r w:rsidRPr="005D1901">
        <w:rPr>
          <w:rFonts w:hint="eastAsia"/>
        </w:rPr>
        <w:t>条申请再审和根据《刑事诉讼法典》第</w:t>
      </w:r>
      <w:r w:rsidRPr="005D1901">
        <w:t>207</w:t>
      </w:r>
      <w:r w:rsidRPr="005D1901">
        <w:rPr>
          <w:rFonts w:hint="eastAsia"/>
        </w:rPr>
        <w:t>条至第</w:t>
      </w:r>
      <w:r w:rsidRPr="005D1901">
        <w:t>220</w:t>
      </w:r>
      <w:r w:rsidRPr="005D1901">
        <w:rPr>
          <w:rFonts w:hint="eastAsia"/>
        </w:rPr>
        <w:t>条提出上诉。还有对法律条文提出上诉等特殊救济办法。不过，提交人并未利用上述任何救济办法来质疑法院对他作出的不利判决。在这方面，缔约国指出，提交人承认他未用尽这些救济办法，理由是“突尼斯政治当局”剥夺了他由其所选律师在其缺席时代为出庭的权利。不过，可以对缺席审判作出的不利判决提出再审申请。</w:t>
      </w:r>
      <w:r w:rsidR="001B68B7">
        <w:rPr>
          <w:rStyle w:val="FootnoteReference"/>
        </w:rPr>
        <w:footnoteReference w:id="6"/>
      </w:r>
      <w:r w:rsidR="001B68B7" w:rsidRPr="001B68B7">
        <w:rPr>
          <w:vertAlign w:val="superscript"/>
        </w:rPr>
        <w:t xml:space="preserve"> </w:t>
      </w:r>
      <w:r w:rsidRPr="005D1901">
        <w:rPr>
          <w:rFonts w:hint="eastAsia"/>
        </w:rPr>
        <w:t>可以由申请人本人或其代表在规定时限内向作出裁决的法院书记处提出申请，规定时限的长短取决于送达判决的方式。如果被送达人居住在突尼斯境外，则可在</w:t>
      </w:r>
      <w:r w:rsidRPr="005D1901">
        <w:t>30</w:t>
      </w:r>
      <w:r w:rsidRPr="005D1901">
        <w:rPr>
          <w:rFonts w:hint="eastAsia"/>
        </w:rPr>
        <w:t>天期限内提出再审申请。如果未送达有关当事人或如果执行文件未显示被告人知道这些文件，在判决不得再强制执行之后的时效期满之前，可受理再审申请。刑事处罚的时效期为</w:t>
      </w:r>
      <w:r w:rsidRPr="005D1901">
        <w:t>20</w:t>
      </w:r>
      <w:r w:rsidRPr="005D1901">
        <w:rPr>
          <w:rFonts w:hint="eastAsia"/>
        </w:rPr>
        <w:t>年。提交人仍然可以申请再审，但到目前为止，他认为仍不适合使用这一救济手段，宁愿逃避司法，放弃到主管法院出庭辩护的机会。</w:t>
      </w:r>
    </w:p>
    <w:p w:rsidR="005D1901" w:rsidRPr="005D1901" w:rsidRDefault="005D1901" w:rsidP="005D1901">
      <w:pPr>
        <w:pStyle w:val="SingleTxtGC"/>
      </w:pPr>
      <w:r w:rsidRPr="005D1901">
        <w:t>4.7</w:t>
      </w:r>
      <w:r>
        <w:t xml:space="preserve">  </w:t>
      </w:r>
      <w:r w:rsidRPr="005D1901">
        <w:rPr>
          <w:rFonts w:hint="eastAsia"/>
        </w:rPr>
        <w:t>缔约国补充说，提交再审申请意味着必须尽早确定审理日期。如果提交人到主管法院出庭，他可能会再次受到审判，关于刑事或民事裁决要点的缺席定罪将会被宣布无效，因为再审申请是一种具有撤销性质的救济办法。因此，提交人本可以按照现行法律要求再审，并且有机会在其选择的律师的帮助下进行自我辩护。</w:t>
      </w:r>
    </w:p>
    <w:p w:rsidR="005D1901" w:rsidRPr="005D1901" w:rsidRDefault="005D1901" w:rsidP="005D1901">
      <w:pPr>
        <w:pStyle w:val="SingleTxtGC"/>
      </w:pPr>
      <w:r w:rsidRPr="005D1901">
        <w:t>4.8</w:t>
      </w:r>
      <w:r>
        <w:t xml:space="preserve">  </w:t>
      </w:r>
      <w:r w:rsidRPr="005D1901">
        <w:rPr>
          <w:rFonts w:hint="eastAsia"/>
        </w:rPr>
        <w:t>如上所述，提交人也可以对所做判决向上诉法院刑事庭以及在适当时向最高上诉法院提出上诉。提交人目前仍然在逃避司法，并且仍然拒绝到司法机关出庭，尽管他是突尼斯法律当局签发并经国际刑警组织转发的国际逮捕令通缉的对象。</w:t>
      </w:r>
    </w:p>
    <w:p w:rsidR="005D1901" w:rsidRPr="005D1901" w:rsidRDefault="005D1901" w:rsidP="005D1901">
      <w:pPr>
        <w:pStyle w:val="SingleTxtGC"/>
      </w:pPr>
      <w:r w:rsidRPr="005D1901">
        <w:t>4.9</w:t>
      </w:r>
      <w:r>
        <w:t xml:space="preserve">  </w:t>
      </w:r>
      <w:r w:rsidRPr="005D1901">
        <w:rPr>
          <w:rFonts w:hint="eastAsia"/>
        </w:rPr>
        <w:t>与提交人的主张相反，他本可以由其选择的律师代为出庭。不过，因为他逃离突尼斯领土而没有留下地址，本可以使他能够指定其选择的律师代他出庭的传票及其他文件被转寄到他的原选区的警察局。</w:t>
      </w:r>
      <w:r w:rsidR="001B68B7">
        <w:rPr>
          <w:rStyle w:val="FootnoteReference"/>
        </w:rPr>
        <w:footnoteReference w:id="7"/>
      </w:r>
      <w:r w:rsidR="001B68B7" w:rsidRPr="001B68B7">
        <w:rPr>
          <w:vertAlign w:val="superscript"/>
        </w:rPr>
        <w:t xml:space="preserve"> </w:t>
      </w:r>
      <w:r w:rsidRPr="005D1901">
        <w:rPr>
          <w:rFonts w:hint="eastAsia"/>
        </w:rPr>
        <w:t>因为提交人没有指定一名或多名律师，所以法庭根据《刑事诉讼法典》第</w:t>
      </w:r>
      <w:r w:rsidRPr="005D1901">
        <w:t>141</w:t>
      </w:r>
      <w:r w:rsidRPr="005D1901">
        <w:rPr>
          <w:rFonts w:hint="eastAsia"/>
        </w:rPr>
        <w:t>条规定为提交人指定了律师。法庭指定的律师能够在法庭登记其出庭情况，但无法对提交人的案件进行辩护，因为第</w:t>
      </w:r>
      <w:r w:rsidRPr="005D1901">
        <w:t>141</w:t>
      </w:r>
      <w:r w:rsidRPr="005D1901">
        <w:rPr>
          <w:rFonts w:hint="eastAsia"/>
        </w:rPr>
        <w:t>条第</w:t>
      </w:r>
      <w:r w:rsidRPr="005D1901">
        <w:t>1</w:t>
      </w:r>
      <w:r w:rsidRPr="005D1901">
        <w:rPr>
          <w:rFonts w:hint="eastAsia"/>
        </w:rPr>
        <w:t>款规定，被控有可受到监禁处罚之罪行的当事人必须亲自出庭受审，只有这样其律师才能为其案件进行辩护。第</w:t>
      </w:r>
      <w:r w:rsidRPr="005D1901">
        <w:t>175</w:t>
      </w:r>
      <w:r w:rsidRPr="005D1901">
        <w:rPr>
          <w:rFonts w:hint="eastAsia"/>
        </w:rPr>
        <w:t>款规定，已向被告人适当发出传唤但未能出庭的，应进行缺席审判。</w:t>
      </w:r>
    </w:p>
    <w:p w:rsidR="005D1901" w:rsidRPr="005D1901" w:rsidRDefault="005D1901" w:rsidP="005D1901">
      <w:pPr>
        <w:pStyle w:val="SingleTxtGC"/>
      </w:pPr>
      <w:r w:rsidRPr="005D1901">
        <w:t>4.10</w:t>
      </w:r>
      <w:r>
        <w:t xml:space="preserve">  </w:t>
      </w:r>
      <w:r w:rsidRPr="005D1901">
        <w:rPr>
          <w:rFonts w:hint="eastAsia"/>
        </w:rPr>
        <w:t>缔约国指出，国内法未授权外国律师可以在突尼斯法庭上代表突尼斯籍当事人。另外，缔约国签署的一些关于合作和司法互助的双边公约也未对这种可能性做出规定。例如，缔约国与黎巴嫩之间的双边公约就是这种情况，提交人的律师</w:t>
      </w:r>
      <w:r w:rsidRPr="005D1901">
        <w:t>Azoury</w:t>
      </w:r>
      <w:r w:rsidRPr="005D1901">
        <w:rPr>
          <w:rFonts w:hint="eastAsia"/>
        </w:rPr>
        <w:t>先生是黎巴嫩国民。缔约国还指出，在提交委员会的来文结尾处的签名与</w:t>
      </w:r>
      <w:r w:rsidRPr="005D1901">
        <w:t>Azoury</w:t>
      </w:r>
      <w:r w:rsidRPr="005D1901">
        <w:rPr>
          <w:rFonts w:hint="eastAsia"/>
        </w:rPr>
        <w:t>先生于</w:t>
      </w:r>
      <w:r w:rsidRPr="005D1901">
        <w:t>2011</w:t>
      </w:r>
      <w:r w:rsidRPr="005D1901">
        <w:rPr>
          <w:rFonts w:hint="eastAsia"/>
        </w:rPr>
        <w:t>年</w:t>
      </w:r>
      <w:r w:rsidRPr="005D1901">
        <w:t>7</w:t>
      </w:r>
      <w:r w:rsidRPr="005D1901">
        <w:rPr>
          <w:rFonts w:hint="eastAsia"/>
        </w:rPr>
        <w:t>月</w:t>
      </w:r>
      <w:r w:rsidRPr="005D1901">
        <w:t>1</w:t>
      </w:r>
      <w:r w:rsidRPr="005D1901">
        <w:rPr>
          <w:rFonts w:hint="eastAsia"/>
        </w:rPr>
        <w:t>日给突尼斯律师公会主席的信件底部出现的签名不一致，这使委员会收到的来文成了匿名来文，因此，违反了《任择议定书》第三条之规定。</w:t>
      </w:r>
    </w:p>
    <w:p w:rsidR="005D1901" w:rsidRPr="005D1901" w:rsidRDefault="005D1901" w:rsidP="005D1901">
      <w:pPr>
        <w:pStyle w:val="SingleTxtGC"/>
      </w:pPr>
      <w:r w:rsidRPr="005D1901">
        <w:t>4.11</w:t>
      </w:r>
      <w:r>
        <w:t xml:space="preserve">  </w:t>
      </w:r>
      <w:r w:rsidRPr="005D1901">
        <w:rPr>
          <w:rFonts w:hint="eastAsia"/>
        </w:rPr>
        <w:t>关于委员会的程序，缔约国指出，为支持来文提供的且授予</w:t>
      </w:r>
      <w:r w:rsidRPr="005D1901">
        <w:t>Azoury</w:t>
      </w:r>
      <w:r w:rsidRPr="005D1901">
        <w:rPr>
          <w:rFonts w:hint="eastAsia"/>
        </w:rPr>
        <w:t>先生代表权的授权书已于</w:t>
      </w:r>
      <w:r w:rsidRPr="005D1901">
        <w:t>2011</w:t>
      </w:r>
      <w:r w:rsidRPr="005D1901">
        <w:rPr>
          <w:rFonts w:hint="eastAsia"/>
        </w:rPr>
        <w:t>年</w:t>
      </w:r>
      <w:r w:rsidRPr="005D1901">
        <w:t>12</w:t>
      </w:r>
      <w:r w:rsidRPr="005D1901">
        <w:rPr>
          <w:rFonts w:hint="eastAsia"/>
        </w:rPr>
        <w:t>月</w:t>
      </w:r>
      <w:r w:rsidRPr="005D1901">
        <w:t>31</w:t>
      </w:r>
      <w:r w:rsidRPr="005D1901">
        <w:rPr>
          <w:rFonts w:hint="eastAsia"/>
        </w:rPr>
        <w:t>日到期。因此，该律师没有代表提交人行事的诉权。</w:t>
      </w:r>
    </w:p>
    <w:p w:rsidR="005D1901" w:rsidRPr="005D1901" w:rsidRDefault="005D1901" w:rsidP="005D1901">
      <w:pPr>
        <w:pStyle w:val="SingleTxtGC"/>
      </w:pPr>
      <w:r w:rsidRPr="005D1901">
        <w:t>4.12</w:t>
      </w:r>
      <w:r>
        <w:t xml:space="preserve">  </w:t>
      </w:r>
      <w:r w:rsidRPr="005D1901">
        <w:rPr>
          <w:rFonts w:hint="eastAsia"/>
        </w:rPr>
        <w:t>关于案情，缔约国指出，提交人首先质疑缔约国立案审判提交人所依据的法律规则，其次，质疑缔约国开展审判的方式。关于第一点，缔约国指出，审判提交人所依据的法律规则是在提交人担任突尼斯行政首脑时生效的。另外，提交人还一再向包括委员会在内的联合国机构声称这些规则与突尼斯批准的国际文书是一致的。</w:t>
      </w:r>
    </w:p>
    <w:p w:rsidR="005D1901" w:rsidRPr="005D1901" w:rsidRDefault="005D1901" w:rsidP="005D1901">
      <w:pPr>
        <w:pStyle w:val="SingleTxtGC"/>
      </w:pPr>
      <w:r w:rsidRPr="005D1901">
        <w:t>4.13</w:t>
      </w:r>
      <w:r>
        <w:t xml:space="preserve">  </w:t>
      </w:r>
      <w:r w:rsidRPr="005D1901">
        <w:rPr>
          <w:rFonts w:hint="eastAsia"/>
        </w:rPr>
        <w:t>关于第二点，虽然提交人认为他未从《公约》第十四条第</w:t>
      </w:r>
      <w:r w:rsidRPr="005D1901">
        <w:t>2</w:t>
      </w:r>
      <w:r w:rsidRPr="005D1901">
        <w:rPr>
          <w:rFonts w:hint="eastAsia"/>
        </w:rPr>
        <w:t>款规定的无罪推定原则中受益，但缔约国指出，公诉人或调查法官提供的且已被法庭留作为提交人犯罪证据的文件或证词未提到关于其有罪的任何政治决定。针对提交人的判决是由完全独立和公正的主管法庭根据现行法律作出的。缔约国不对各种新闻和传播机构的媒体内容负责。它忆及新闻自由受到保障。第一电视频道的公共性质并未表示对其媒体内容实施任何控制。另外，对提交人的家进行的查封是由全国贪污腐败调查委员会，该委员会是一个独立机构。</w:t>
      </w:r>
    </w:p>
    <w:p w:rsidR="005D1901" w:rsidRPr="005D1901" w:rsidRDefault="005D1901" w:rsidP="005D1901">
      <w:pPr>
        <w:pStyle w:val="SingleTxtGC"/>
      </w:pPr>
      <w:r w:rsidRPr="005D1901">
        <w:t>4.14</w:t>
      </w:r>
      <w:r>
        <w:t xml:space="preserve">  </w:t>
      </w:r>
      <w:r w:rsidRPr="005D1901">
        <w:rPr>
          <w:rFonts w:hint="eastAsia"/>
        </w:rPr>
        <w:t>无论如何，播放事件影像都不违反调查保密原则，因为委员会进行的查封活动是在对提交人的司法调查开始之前。另外，调查保密原则不应妨碍知情权。播放的影像只是让公众了解提交人住所的状况，没有做出任何与其有罪有关的判断。</w:t>
      </w:r>
    </w:p>
    <w:p w:rsidR="005D1901" w:rsidRPr="005D1901" w:rsidRDefault="005D1901" w:rsidP="005D1901">
      <w:pPr>
        <w:pStyle w:val="SingleTxtGC"/>
      </w:pPr>
      <w:r w:rsidRPr="005D1901">
        <w:t>4.15</w:t>
      </w:r>
      <w:r>
        <w:t xml:space="preserve">  </w:t>
      </w:r>
      <w:r w:rsidRPr="005D1901">
        <w:rPr>
          <w:rFonts w:hint="eastAsia"/>
        </w:rPr>
        <w:t>与提交人的主张相反，自</w:t>
      </w:r>
      <w:r w:rsidRPr="005D1901">
        <w:t>2011</w:t>
      </w:r>
      <w:r w:rsidRPr="005D1901">
        <w:rPr>
          <w:rFonts w:hint="eastAsia"/>
        </w:rPr>
        <w:t>年</w:t>
      </w:r>
      <w:r w:rsidRPr="005D1901">
        <w:t>1</w:t>
      </w:r>
      <w:r w:rsidRPr="005D1901">
        <w:rPr>
          <w:rFonts w:hint="eastAsia"/>
        </w:rPr>
        <w:t>月</w:t>
      </w:r>
      <w:r w:rsidRPr="005D1901">
        <w:t>14</w:t>
      </w:r>
      <w:r w:rsidRPr="005D1901">
        <w:rPr>
          <w:rFonts w:hint="eastAsia"/>
        </w:rPr>
        <w:t>日以来，司法当局一直在完全独立地行使职能。几项法院裁决证明了这种独立性，有的裁决还了提交人家族某些成员和他女婿的清白，有的裁决采用了减罪情节。</w:t>
      </w:r>
      <w:r w:rsidR="001B68B7">
        <w:rPr>
          <w:rStyle w:val="FootnoteReference"/>
        </w:rPr>
        <w:footnoteReference w:id="8"/>
      </w:r>
      <w:r w:rsidR="001B68B7" w:rsidRPr="001B68B7">
        <w:rPr>
          <w:vertAlign w:val="superscript"/>
        </w:rPr>
        <w:t xml:space="preserve"> </w:t>
      </w:r>
      <w:r w:rsidRPr="005D1901">
        <w:rPr>
          <w:rFonts w:hint="eastAsia"/>
        </w:rPr>
        <w:t>缔约国不接受提交人的这种论点，即司法部长指示司法机关不同意由提交人选择的律师对其进行辩护。这是一个法律问题，而不是政治问题</w:t>
      </w:r>
      <w:r w:rsidRPr="005D1901">
        <w:rPr>
          <w:rFonts w:hint="eastAsia"/>
        </w:rPr>
        <w:t>(</w:t>
      </w:r>
      <w:r w:rsidRPr="005D1901">
        <w:rPr>
          <w:rFonts w:hint="eastAsia"/>
        </w:rPr>
        <w:t>见上文第</w:t>
      </w:r>
      <w:r w:rsidRPr="005D1901">
        <w:t>4.9</w:t>
      </w:r>
      <w:r w:rsidRPr="005D1901">
        <w:rPr>
          <w:rFonts w:hint="eastAsia"/>
        </w:rPr>
        <w:t>段和下文第</w:t>
      </w:r>
      <w:r w:rsidRPr="005D1901">
        <w:t>4.16</w:t>
      </w:r>
      <w:r w:rsidRPr="005D1901">
        <w:rPr>
          <w:rFonts w:hint="eastAsia"/>
        </w:rPr>
        <w:t>段</w:t>
      </w:r>
      <w:r w:rsidRPr="005D1901">
        <w:rPr>
          <w:rFonts w:hint="eastAsia"/>
        </w:rPr>
        <w:t>)</w:t>
      </w:r>
      <w:r w:rsidRPr="005D1901">
        <w:rPr>
          <w:rFonts w:hint="eastAsia"/>
        </w:rPr>
        <w:t>。根据</w:t>
      </w:r>
      <w:r w:rsidRPr="005D1901">
        <w:t>2011</w:t>
      </w:r>
      <w:r w:rsidRPr="005D1901">
        <w:rPr>
          <w:rFonts w:hint="eastAsia"/>
        </w:rPr>
        <w:t>年</w:t>
      </w:r>
      <w:r w:rsidRPr="005D1901">
        <w:t>3</w:t>
      </w:r>
      <w:r w:rsidRPr="005D1901">
        <w:rPr>
          <w:rFonts w:hint="eastAsia"/>
        </w:rPr>
        <w:t>月</w:t>
      </w:r>
      <w:r w:rsidRPr="005D1901">
        <w:t>14</w:t>
      </w:r>
      <w:r w:rsidRPr="005D1901">
        <w:rPr>
          <w:rFonts w:hint="eastAsia"/>
        </w:rPr>
        <w:t>日关于没收提交人及其家族成员等动产和不动产的第</w:t>
      </w:r>
      <w:r w:rsidRPr="005D1901">
        <w:t>13</w:t>
      </w:r>
      <w:r w:rsidRPr="005D1901">
        <w:rPr>
          <w:rFonts w:hint="eastAsia"/>
        </w:rPr>
        <w:t>号法令，没收既是一种惩罚，也是一种安全措施。它是一种安全措施的原因在于其目的是要保证有关人员的安全以及身心的完整性以及国家的国内安全。实际上，突尼斯人民一直要求归还没收行为所涉当事人持有的资产。在颁布该法令时生效的</w:t>
      </w:r>
      <w:r w:rsidRPr="005D1901">
        <w:t>1959</w:t>
      </w:r>
      <w:r w:rsidRPr="005D1901">
        <w:rPr>
          <w:rFonts w:hint="eastAsia"/>
        </w:rPr>
        <w:t>年</w:t>
      </w:r>
      <w:r w:rsidRPr="005D1901">
        <w:t>6</w:t>
      </w:r>
      <w:r w:rsidRPr="005D1901">
        <w:rPr>
          <w:rFonts w:hint="eastAsia"/>
        </w:rPr>
        <w:t>月</w:t>
      </w:r>
      <w:r w:rsidRPr="005D1901">
        <w:t>1</w:t>
      </w:r>
      <w:r w:rsidRPr="005D1901">
        <w:rPr>
          <w:rFonts w:hint="eastAsia"/>
        </w:rPr>
        <w:t>日《宪法》规定，所有权应根据法律行使。在特殊情况下，法律可以限制行使这种权利，以确保社会的重大利益，在本案中，社会的重大利益就是人身安全和财产安全以及国家的安全。</w:t>
      </w:r>
    </w:p>
    <w:p w:rsidR="005D1901" w:rsidRPr="005D1901" w:rsidRDefault="005D1901" w:rsidP="005D1901">
      <w:pPr>
        <w:pStyle w:val="SingleTxtGC"/>
      </w:pPr>
      <w:r w:rsidRPr="005D1901">
        <w:t>4.16</w:t>
      </w:r>
      <w:r>
        <w:t xml:space="preserve">  </w:t>
      </w:r>
      <w:r w:rsidRPr="005D1901">
        <w:rPr>
          <w:rFonts w:hint="eastAsia"/>
        </w:rPr>
        <w:t>关于第十四条第</w:t>
      </w:r>
      <w:r w:rsidRPr="005D1901">
        <w:t>3</w:t>
      </w:r>
      <w:r w:rsidRPr="005D1901">
        <w:rPr>
          <w:rFonts w:hint="eastAsia"/>
        </w:rPr>
        <w:t>款</w:t>
      </w:r>
      <w:r w:rsidRPr="005D1901">
        <w:rPr>
          <w:rFonts w:hint="eastAsia"/>
        </w:rPr>
        <w:t>(</w:t>
      </w:r>
      <w:r w:rsidRPr="005D1901">
        <w:rPr>
          <w:rFonts w:hint="eastAsia"/>
        </w:rPr>
        <w:t>丁</w:t>
      </w:r>
      <w:r w:rsidRPr="005D1901">
        <w:rPr>
          <w:rFonts w:hint="eastAsia"/>
        </w:rPr>
        <w:t>)</w:t>
      </w:r>
      <w:r w:rsidRPr="005D1901">
        <w:rPr>
          <w:rFonts w:hint="eastAsia"/>
        </w:rPr>
        <w:t>项的指控，即提交人未能得到其所选律师的协助，缔约国重申了其在关于可否受理问题方面陈述的论点</w:t>
      </w:r>
      <w:r w:rsidRPr="005D1901">
        <w:rPr>
          <w:rFonts w:hint="eastAsia"/>
        </w:rPr>
        <w:t>(</w:t>
      </w:r>
      <w:r w:rsidRPr="005D1901">
        <w:rPr>
          <w:rFonts w:hint="eastAsia"/>
        </w:rPr>
        <w:t>见上文第</w:t>
      </w:r>
      <w:r w:rsidRPr="005D1901">
        <w:t>4.9</w:t>
      </w:r>
      <w:r w:rsidRPr="005D1901">
        <w:rPr>
          <w:rFonts w:hint="eastAsia"/>
        </w:rPr>
        <w:t>段</w:t>
      </w:r>
      <w:r w:rsidRPr="005D1901">
        <w:rPr>
          <w:rFonts w:hint="eastAsia"/>
        </w:rPr>
        <w:t>)</w:t>
      </w:r>
      <w:r w:rsidRPr="005D1901">
        <w:rPr>
          <w:rFonts w:hint="eastAsia"/>
        </w:rPr>
        <w:t>。它补充说，为了适当司法，在某些情况下允许对被告人进行缺席审判，例如，尽管事先已经充分通知诉讼程序，但被告人仍然拒绝行使其出庭权的。因此，只有在采取必要措施及时传唤被告人并事先通知其审判地点和日期且要求其出庭时，此种审判才能符合第十四条第</w:t>
      </w:r>
      <w:r w:rsidRPr="005D1901">
        <w:t>3</w:t>
      </w:r>
      <w:r w:rsidRPr="005D1901">
        <w:rPr>
          <w:rFonts w:hint="eastAsia"/>
        </w:rPr>
        <w:t>款</w:t>
      </w:r>
      <w:r w:rsidRPr="005D1901">
        <w:rPr>
          <w:rFonts w:hint="eastAsia"/>
        </w:rPr>
        <w:t>(</w:t>
      </w:r>
      <w:r w:rsidRPr="005D1901">
        <w:rPr>
          <w:rFonts w:hint="eastAsia"/>
        </w:rPr>
        <w:t>丁</w:t>
      </w:r>
      <w:r w:rsidRPr="005D1901">
        <w:rPr>
          <w:rFonts w:hint="eastAsia"/>
        </w:rPr>
        <w:t>)</w:t>
      </w:r>
      <w:r w:rsidRPr="005D1901">
        <w:rPr>
          <w:rFonts w:hint="eastAsia"/>
        </w:rPr>
        <w:t>项的规定。</w:t>
      </w:r>
      <w:r w:rsidR="001B68B7">
        <w:rPr>
          <w:rStyle w:val="FootnoteReference"/>
        </w:rPr>
        <w:footnoteReference w:id="9"/>
      </w:r>
      <w:r w:rsidR="001B68B7" w:rsidRPr="001B68B7">
        <w:rPr>
          <w:vertAlign w:val="superscript"/>
        </w:rPr>
        <w:t xml:space="preserve"> </w:t>
      </w:r>
      <w:r w:rsidRPr="005D1901">
        <w:rPr>
          <w:rFonts w:hint="eastAsia"/>
        </w:rPr>
        <w:t>不过，正如提交人在向委员会提交的来文所附几篇提到这些审判的文章所显示的那样，提交人明确承认他已被告知审判的地点和日期。</w:t>
      </w:r>
    </w:p>
    <w:p w:rsidR="005D1901" w:rsidRPr="005D1901" w:rsidRDefault="005D1901" w:rsidP="005D1901">
      <w:pPr>
        <w:pStyle w:val="SingleTxtGC"/>
      </w:pPr>
      <w:r w:rsidRPr="005D1901">
        <w:t>4.17</w:t>
      </w:r>
      <w:r>
        <w:t xml:space="preserve">  </w:t>
      </w:r>
      <w:r w:rsidRPr="005D1901">
        <w:rPr>
          <w:rFonts w:hint="eastAsia"/>
        </w:rPr>
        <w:t>所有传票和判决书送达情况都已根据当时生效的法律通知提交人</w:t>
      </w:r>
      <w:r w:rsidRPr="005D1901">
        <w:rPr>
          <w:rFonts w:hint="eastAsia"/>
        </w:rPr>
        <w:t>(</w:t>
      </w:r>
      <w:r w:rsidRPr="005D1901">
        <w:rPr>
          <w:rFonts w:hint="eastAsia"/>
        </w:rPr>
        <w:t>见上文第</w:t>
      </w:r>
      <w:r w:rsidRPr="005D1901">
        <w:t>4.9</w:t>
      </w:r>
      <w:r w:rsidRPr="005D1901">
        <w:rPr>
          <w:rFonts w:hint="eastAsia"/>
        </w:rPr>
        <w:t>段</w:t>
      </w:r>
      <w:r w:rsidRPr="005D1901">
        <w:rPr>
          <w:rFonts w:hint="eastAsia"/>
        </w:rPr>
        <w:t>)</w:t>
      </w:r>
      <w:r w:rsidRPr="005D1901">
        <w:rPr>
          <w:rFonts w:hint="eastAsia"/>
        </w:rPr>
        <w:t>。</w:t>
      </w:r>
    </w:p>
    <w:p w:rsidR="005D1901" w:rsidRPr="005D1901" w:rsidRDefault="005D1901" w:rsidP="005D1901">
      <w:pPr>
        <w:pStyle w:val="SingleTxtGC"/>
      </w:pPr>
      <w:r w:rsidRPr="005D1901">
        <w:t>4.18</w:t>
      </w:r>
      <w:r>
        <w:t xml:space="preserve">  </w:t>
      </w:r>
      <w:r w:rsidRPr="005D1901">
        <w:rPr>
          <w:rFonts w:hint="eastAsia"/>
        </w:rPr>
        <w:t>关于作出判决的时间安排问题，缔约国回应称，提交人有法庭指定的律师，该律师根据《刑事诉讼法典》之规定就审判形式提出的评论意见并提出了书面报告；该律师无法进行口头辩护的原因是提交人逃匿；且这就是为什么当天就宣布判决的原因，特别是在刑事案件中，因为一旦结束辩论，法庭就要根据《刑事诉讼法典》第</w:t>
      </w:r>
      <w:r w:rsidRPr="005D1901">
        <w:t>164</w:t>
      </w:r>
      <w:r w:rsidRPr="005D1901">
        <w:rPr>
          <w:rFonts w:hint="eastAsia"/>
        </w:rPr>
        <w:t>条对案卷进行审议，然后就要宣布判决，且不得像轻罪案件那样将判决推迟到下一次审理时做出。法官的公正性不容置疑，因为提交人也曾经从一些指控被宣告无罪中受益。</w:t>
      </w:r>
      <w:r w:rsidR="001B68B7">
        <w:rPr>
          <w:rStyle w:val="FootnoteReference"/>
        </w:rPr>
        <w:footnoteReference w:id="10"/>
      </w:r>
    </w:p>
    <w:p w:rsidR="005D1901" w:rsidRPr="005D1901" w:rsidRDefault="005D1901" w:rsidP="005D1901">
      <w:pPr>
        <w:pStyle w:val="SingleTxtGC"/>
      </w:pPr>
      <w:r w:rsidRPr="005D1901">
        <w:t>4.19</w:t>
      </w:r>
      <w:r>
        <w:t xml:space="preserve">  </w:t>
      </w:r>
      <w:r w:rsidRPr="005D1901">
        <w:rPr>
          <w:rFonts w:hint="eastAsia"/>
        </w:rPr>
        <w:t>关于其他异议，缔约国指出，提交人要求委员会对法庭出示的证据进行评估，即使对提交人不利的所有判决已经事实上依法作出。缔约国回顾指出，委员会无权评估法庭对法律的适用情况，除非其评估涉及到缔约国违反其在《公约》之下承担的义务，但情况并非如此，因为从本案判决中无法明显看出存在任意解释和适用法律或其适用构成司法不公的情况。</w:t>
      </w:r>
      <w:r w:rsidR="001B68B7">
        <w:rPr>
          <w:rStyle w:val="FootnoteReference"/>
        </w:rPr>
        <w:footnoteReference w:id="11"/>
      </w:r>
      <w:r w:rsidR="001B68B7" w:rsidRPr="001B68B7">
        <w:rPr>
          <w:vertAlign w:val="superscript"/>
        </w:rPr>
        <w:t xml:space="preserve"> </w:t>
      </w:r>
      <w:r w:rsidRPr="005D1901">
        <w:rPr>
          <w:rFonts w:hint="eastAsia"/>
        </w:rPr>
        <w:t>缔约国补充说，委员会不是最终上诉场合。</w:t>
      </w:r>
    </w:p>
    <w:p w:rsidR="005D1901" w:rsidRPr="005D1901" w:rsidRDefault="001B68B7" w:rsidP="001B68B7">
      <w:pPr>
        <w:pStyle w:val="H23GC"/>
      </w:pPr>
      <w:r>
        <w:tab/>
      </w:r>
      <w:r>
        <w:tab/>
      </w:r>
      <w:r w:rsidR="005D1901" w:rsidRPr="005D1901">
        <w:rPr>
          <w:rFonts w:hint="eastAsia"/>
        </w:rPr>
        <w:t>缔约国关于可否受理和案情的意见</w:t>
      </w:r>
    </w:p>
    <w:p w:rsidR="005D1901" w:rsidRPr="005D1901" w:rsidRDefault="005D1901" w:rsidP="005D1901">
      <w:pPr>
        <w:pStyle w:val="SingleTxtGC"/>
      </w:pPr>
      <w:r w:rsidRPr="005D1901">
        <w:t>5.1</w:t>
      </w:r>
      <w:r>
        <w:t xml:space="preserve">  </w:t>
      </w:r>
      <w:r w:rsidRPr="005D1901">
        <w:t>2012</w:t>
      </w:r>
      <w:r w:rsidRPr="005D1901">
        <w:rPr>
          <w:rFonts w:hint="eastAsia"/>
        </w:rPr>
        <w:t>年</w:t>
      </w:r>
      <w:r w:rsidRPr="005D1901">
        <w:t>12</w:t>
      </w:r>
      <w:r w:rsidRPr="005D1901">
        <w:rPr>
          <w:rFonts w:hint="eastAsia"/>
        </w:rPr>
        <w:t>月</w:t>
      </w:r>
      <w:r w:rsidRPr="005D1901">
        <w:t>28</w:t>
      </w:r>
      <w:r w:rsidRPr="005D1901">
        <w:rPr>
          <w:rFonts w:hint="eastAsia"/>
        </w:rPr>
        <w:t>日，提交人首次回答说，他已经续签了聘用其律师的委托书，并因此证实了其律师代表权的合法性。</w:t>
      </w:r>
      <w:r w:rsidR="001B68B7">
        <w:rPr>
          <w:rStyle w:val="FootnoteReference"/>
        </w:rPr>
        <w:footnoteReference w:id="12"/>
      </w:r>
    </w:p>
    <w:p w:rsidR="005D1901" w:rsidRPr="005D1901" w:rsidRDefault="005D1901" w:rsidP="005D1901">
      <w:pPr>
        <w:pStyle w:val="SingleTxtGC"/>
      </w:pPr>
      <w:r w:rsidRPr="005D1901">
        <w:t>5.2</w:t>
      </w:r>
      <w:r>
        <w:t xml:space="preserve">  </w:t>
      </w:r>
      <w:r w:rsidRPr="005D1901">
        <w:rPr>
          <w:rFonts w:hint="eastAsia"/>
        </w:rPr>
        <w:t>关于提交委员会的来文结尾处的签名与给突尼斯律师公会主席的信件底部所附律师</w:t>
      </w:r>
      <w:r w:rsidRPr="005D1901">
        <w:t>Azoury</w:t>
      </w:r>
      <w:r w:rsidRPr="005D1901">
        <w:rPr>
          <w:rFonts w:hint="eastAsia"/>
        </w:rPr>
        <w:t>先生的签名不一致问题，提交人回答说，信件上的签名是获得</w:t>
      </w:r>
      <w:r w:rsidRPr="005D1901">
        <w:t>Azoury</w:t>
      </w:r>
      <w:r w:rsidRPr="005D1901">
        <w:rPr>
          <w:rFonts w:hint="eastAsia"/>
        </w:rPr>
        <w:t>先生授权的合伙律师代他签的。委员会收到的来文底部出现的签名当然是</w:t>
      </w:r>
      <w:r w:rsidRPr="005D1901">
        <w:t>Azoury</w:t>
      </w:r>
      <w:r w:rsidRPr="005D1901">
        <w:rPr>
          <w:rFonts w:hint="eastAsia"/>
        </w:rPr>
        <w:t>先生的签名。</w:t>
      </w:r>
    </w:p>
    <w:p w:rsidR="005D1901" w:rsidRPr="005D1901" w:rsidRDefault="005D1901" w:rsidP="005D1901">
      <w:pPr>
        <w:pStyle w:val="SingleTxtGC"/>
      </w:pPr>
      <w:r w:rsidRPr="005D1901">
        <w:t>5.3</w:t>
      </w:r>
      <w:r>
        <w:t xml:space="preserve">  </w:t>
      </w:r>
      <w:r w:rsidRPr="005D1901">
        <w:rPr>
          <w:rFonts w:hint="eastAsia"/>
        </w:rPr>
        <w:t>在回答有关属时管辖的论点时，提交人承认《任择议定书》是在</w:t>
      </w:r>
      <w:r w:rsidRPr="005D1901">
        <w:t>2011</w:t>
      </w:r>
      <w:r w:rsidRPr="005D1901">
        <w:rPr>
          <w:rFonts w:hint="eastAsia"/>
        </w:rPr>
        <w:t>年</w:t>
      </w:r>
      <w:r w:rsidRPr="005D1901">
        <w:t>9</w:t>
      </w:r>
      <w:r w:rsidRPr="005D1901">
        <w:rPr>
          <w:rFonts w:hint="eastAsia"/>
        </w:rPr>
        <w:t>月才开始生效的。不过，他认为，这意味着个人在该日期之后才能向委员会提交来文，但可提交与该议定书生效之前发生的事实有关的来文，据他所说，因《公约》已经适用于缔约国。</w:t>
      </w:r>
    </w:p>
    <w:p w:rsidR="005D1901" w:rsidRPr="005D1901" w:rsidRDefault="005D1901" w:rsidP="005D1901">
      <w:pPr>
        <w:pStyle w:val="SingleTxtGC"/>
      </w:pPr>
      <w:r w:rsidRPr="005D1901">
        <w:t>5.4</w:t>
      </w:r>
      <w:r>
        <w:t xml:space="preserve">  </w:t>
      </w:r>
      <w:r w:rsidRPr="005D1901">
        <w:rPr>
          <w:rFonts w:hint="eastAsia"/>
        </w:rPr>
        <w:t>关于用尽国内救济办法问题，提交人回答说，缔约国没有提供证据证明它已向提交人提供关于程序文件和判决的通知。他是在查阅缔约国意见的附件时才首次知道这一事实。另外，他呼吁缔约国不仅要证明有国内救济办法可用，而且还要证明能够利用这些救济办法。</w:t>
      </w:r>
    </w:p>
    <w:p w:rsidR="005D1901" w:rsidRPr="005D1901" w:rsidRDefault="005D1901" w:rsidP="005D1901">
      <w:pPr>
        <w:pStyle w:val="SingleTxtGC"/>
      </w:pPr>
      <w:r w:rsidRPr="005D1901">
        <w:t>5.5</w:t>
      </w:r>
      <w:r>
        <w:t xml:space="preserve">  </w:t>
      </w:r>
      <w:r w:rsidRPr="005D1901">
        <w:rPr>
          <w:rFonts w:hint="eastAsia"/>
        </w:rPr>
        <w:t>提交人指称，缔约国的行政机构不允许他指定的两名律师为他辩护，甚至不允许他们熟悉卷宗中的文件。另外，司法部也在一份正式声明中禁止任何律师</w:t>
      </w:r>
      <w:r w:rsidRPr="001B68B7">
        <w:rPr>
          <w:rFonts w:hint="eastAsia"/>
          <w:spacing w:val="-2"/>
        </w:rPr>
        <w:t>为提交人进行辩护，无论是由提交人自己指定的，还是由法庭依据职权指定的。</w:t>
      </w:r>
      <w:r w:rsidR="001B68B7" w:rsidRPr="001B68B7">
        <w:rPr>
          <w:rStyle w:val="FootnoteReference"/>
          <w:spacing w:val="-2"/>
        </w:rPr>
        <w:footnoteReference w:id="13"/>
      </w:r>
      <w:r w:rsidR="001B68B7" w:rsidRPr="001B68B7">
        <w:rPr>
          <w:spacing w:val="-2"/>
          <w:vertAlign w:val="superscript"/>
        </w:rPr>
        <w:t xml:space="preserve"> </w:t>
      </w:r>
      <w:r w:rsidRPr="005D1901">
        <w:rPr>
          <w:rFonts w:hint="eastAsia"/>
        </w:rPr>
        <w:t>提交人认为，《公约》规定每个被告人都有自行辩护的权利以及通过其选择的律师行使补救的权利，即使是在缺席的情况下。</w:t>
      </w:r>
    </w:p>
    <w:p w:rsidR="005D1901" w:rsidRPr="005D1901" w:rsidRDefault="005D1901" w:rsidP="005D1901">
      <w:pPr>
        <w:pStyle w:val="SingleTxtGC"/>
      </w:pPr>
      <w:r w:rsidRPr="005D1901">
        <w:t>5.6</w:t>
      </w:r>
      <w:r>
        <w:t xml:space="preserve">  </w:t>
      </w:r>
      <w:r w:rsidRPr="005D1901">
        <w:rPr>
          <w:rFonts w:hint="eastAsia"/>
        </w:rPr>
        <w:t>提交人坚持认为，他不是在逃避起诉，因为他在案件提交之前早就离开了突尼斯。提交人认为，他是阴谋实施政权更迭的受害人。事实上，尽管他坚持要回突尼斯，但不让他回。无法回突尼斯使他不可能利用任何国内救济办法。</w:t>
      </w:r>
    </w:p>
    <w:p w:rsidR="005D1901" w:rsidRPr="005D1901" w:rsidRDefault="005D1901" w:rsidP="005D1901">
      <w:pPr>
        <w:pStyle w:val="SingleTxtGC"/>
      </w:pPr>
      <w:r w:rsidRPr="005D1901">
        <w:t>5.7</w:t>
      </w:r>
      <w:r>
        <w:t xml:space="preserve">  </w:t>
      </w:r>
      <w:r w:rsidRPr="005D1901">
        <w:rPr>
          <w:rFonts w:hint="eastAsia"/>
        </w:rPr>
        <w:t>缔约国提出的关于作出判决的法律规则是在提交人当权时制定的论点无法令人信服。国内法律规则必须与《公约》一致，不论掌管国家之人在颁布该法律规则时的身份如何。</w:t>
      </w:r>
    </w:p>
    <w:p w:rsidR="005D1901" w:rsidRPr="005D1901" w:rsidRDefault="005D1901" w:rsidP="005D1901">
      <w:pPr>
        <w:pStyle w:val="SingleTxtGC"/>
      </w:pPr>
      <w:r w:rsidRPr="005D1901">
        <w:t>5.8</w:t>
      </w:r>
      <w:r>
        <w:t xml:space="preserve">  </w:t>
      </w:r>
      <w:r w:rsidRPr="005D1901">
        <w:rPr>
          <w:rFonts w:hint="eastAsia"/>
        </w:rPr>
        <w:t>关于无罪推定原则，尽管突尼斯电视不是国家电视台，但它是国家电视公司，并且代表国家的意见，国家对其拥有一定的影响力。另外，全国调查委员会隶属于行政当局是</w:t>
      </w:r>
      <w:r w:rsidRPr="005D1901">
        <w:t>2011</w:t>
      </w:r>
      <w:r w:rsidRPr="005D1901">
        <w:rPr>
          <w:rFonts w:hint="eastAsia"/>
        </w:rPr>
        <w:t>年</w:t>
      </w:r>
      <w:r w:rsidRPr="005D1901">
        <w:t>2</w:t>
      </w:r>
      <w:r w:rsidRPr="005D1901">
        <w:rPr>
          <w:rFonts w:hint="eastAsia"/>
        </w:rPr>
        <w:t>月</w:t>
      </w:r>
      <w:r w:rsidRPr="005D1901">
        <w:t>18</w:t>
      </w:r>
      <w:r w:rsidRPr="005D1901">
        <w:rPr>
          <w:rFonts w:hint="eastAsia"/>
        </w:rPr>
        <w:t>日第</w:t>
      </w:r>
      <w:r w:rsidRPr="005D1901">
        <w:t>2011-7</w:t>
      </w:r>
      <w:r w:rsidRPr="005D1901">
        <w:rPr>
          <w:rFonts w:hint="eastAsia"/>
        </w:rPr>
        <w:t>号法令确立的，这证明该委员会实际上是行政当局的一部分，尽管其名义上完全是一个独立的机构。提交人注意到调查委员会的公共服务义务、其过度的权力、指定其成员的程序、其对行政部门的问责义务及其供资来源。</w:t>
      </w:r>
    </w:p>
    <w:p w:rsidR="005D1901" w:rsidRPr="005D1901" w:rsidRDefault="005D1901" w:rsidP="005D1901">
      <w:pPr>
        <w:pStyle w:val="SingleTxtGC"/>
      </w:pPr>
      <w:r w:rsidRPr="005D1901">
        <w:t>5.9</w:t>
      </w:r>
      <w:r>
        <w:t xml:space="preserve">  </w:t>
      </w:r>
      <w:r w:rsidRPr="005D1901">
        <w:rPr>
          <w:rFonts w:hint="eastAsia"/>
        </w:rPr>
        <w:t>进行的唯一一次调查是由行政当局通过调查委员会进行的。调查委员会的报告是定罪和判刑的唯一依据。因此，判决仅仅是认可了政治决定。调查委员会邀请突尼斯电视公司拍摄查封行动的事实表明，当局向电视台施加了压力，目的是让舆论相信提交人犯有所谓的罪行。提交人援引了一些官方声明来支持这样一种论点，即司法机关不是独立的。</w:t>
      </w:r>
    </w:p>
    <w:p w:rsidR="005D1901" w:rsidRPr="005D1901" w:rsidRDefault="005D1901" w:rsidP="005D1901">
      <w:pPr>
        <w:pStyle w:val="SingleTxtGC"/>
      </w:pPr>
      <w:r w:rsidRPr="005D1901">
        <w:t>5.10</w:t>
      </w:r>
      <w:r>
        <w:t xml:space="preserve">  </w:t>
      </w:r>
      <w:r w:rsidRPr="005D1901">
        <w:rPr>
          <w:rFonts w:hint="eastAsia"/>
        </w:rPr>
        <w:t>关于</w:t>
      </w:r>
      <w:r w:rsidRPr="005D1901">
        <w:t>2011</w:t>
      </w:r>
      <w:r w:rsidRPr="005D1901">
        <w:rPr>
          <w:rFonts w:hint="eastAsia"/>
        </w:rPr>
        <w:t>年</w:t>
      </w:r>
      <w:r w:rsidRPr="005D1901">
        <w:t>3</w:t>
      </w:r>
      <w:r w:rsidRPr="005D1901">
        <w:rPr>
          <w:rFonts w:hint="eastAsia"/>
        </w:rPr>
        <w:t>月</w:t>
      </w:r>
      <w:r w:rsidRPr="005D1901">
        <w:t>14</w:t>
      </w:r>
      <w:r w:rsidRPr="005D1901">
        <w:rPr>
          <w:rFonts w:hint="eastAsia"/>
        </w:rPr>
        <w:t>日的法令，提交人坚持认为，这是行政当局侵犯司法机关的权力，缔约国自己也承认这一点，它当时提到其颁布该法令的目的是为了保证国家的内部安全。据提交人称，这一侵权措施是行政当局实施的一种行为，与司法程序不符，违反了辩护权和三权分立原则。</w:t>
      </w:r>
    </w:p>
    <w:p w:rsidR="005D1901" w:rsidRPr="005D1901" w:rsidRDefault="005D1901" w:rsidP="005D1901">
      <w:pPr>
        <w:pStyle w:val="SingleTxtGC"/>
      </w:pPr>
      <w:r w:rsidRPr="005D1901">
        <w:t>5.11</w:t>
      </w:r>
      <w:r>
        <w:t xml:space="preserve">  </w:t>
      </w:r>
      <w:r w:rsidRPr="005D1901">
        <w:rPr>
          <w:rFonts w:hint="eastAsia"/>
        </w:rPr>
        <w:t>关于第十四条第</w:t>
      </w:r>
      <w:r w:rsidRPr="005D1901">
        <w:t>3</w:t>
      </w:r>
      <w:r w:rsidRPr="005D1901">
        <w:rPr>
          <w:rFonts w:hint="eastAsia"/>
        </w:rPr>
        <w:t>款</w:t>
      </w:r>
      <w:r w:rsidRPr="005D1901">
        <w:rPr>
          <w:rFonts w:hint="eastAsia"/>
        </w:rPr>
        <w:t>(</w:t>
      </w:r>
      <w:r w:rsidRPr="005D1901">
        <w:rPr>
          <w:rFonts w:hint="eastAsia"/>
        </w:rPr>
        <w:t>丁</w:t>
      </w:r>
      <w:r w:rsidRPr="005D1901">
        <w:rPr>
          <w:rFonts w:hint="eastAsia"/>
        </w:rPr>
        <w:t>)</w:t>
      </w:r>
      <w:r w:rsidRPr="005D1901">
        <w:rPr>
          <w:rFonts w:hint="eastAsia"/>
        </w:rPr>
        <w:t>项的问题，提交人回答说，他曾尝试从突尼斯当局那里获得关于对其提出的指控以及关于案件进展情况的信息，但没有起作用。他遭到断然拒绝，这表明缔约国当局方面存在恶意，它们拒绝由提交人选择的律师</w:t>
      </w:r>
      <w:r w:rsidRPr="005D1901">
        <w:rPr>
          <w:rFonts w:hint="eastAsia"/>
        </w:rPr>
        <w:t>(</w:t>
      </w:r>
      <w:r w:rsidRPr="005D1901">
        <w:rPr>
          <w:rFonts w:hint="eastAsia"/>
        </w:rPr>
        <w:t>甚至是外国律师</w:t>
      </w:r>
      <w:r w:rsidRPr="005D1901">
        <w:rPr>
          <w:rFonts w:hint="eastAsia"/>
        </w:rPr>
        <w:t>)</w:t>
      </w:r>
      <w:r w:rsidRPr="005D1901">
        <w:rPr>
          <w:rFonts w:hint="eastAsia"/>
        </w:rPr>
        <w:t>代其出庭的权利，借口是突尼斯法律不允许。为了证明善意，当局本应与提交人选择的律师进行合作，至少查明是什么问题妨碍提交人出庭受审或获得一个可用于向提交人寄送程序文件的地址。除非同时对允许侵权情形做出规定，否则，立法机关不可能对侵犯上述辩护权的行为做出规定。提交人指出，法庭指定的律师没有与他本人进行过联系，也没有与他的律师进行过联系，尽管事实上可以联系。因此，提交人无法熟悉卷宗中关于提交人的情况，也无法熟悉卷宗中针对各项指控作出的抗辩内容。有鉴于此，根据上文提到的第</w:t>
      </w:r>
      <w:r w:rsidRPr="005D1901">
        <w:t>141</w:t>
      </w:r>
      <w:r w:rsidRPr="005D1901">
        <w:rPr>
          <w:rFonts w:hint="eastAsia"/>
        </w:rPr>
        <w:t>条，法庭指定的律师不可以对案情进行辩护，故没有提供实用或有效的辩护，从而违反了第十四条第</w:t>
      </w:r>
      <w:r w:rsidRPr="005D1901">
        <w:t>3</w:t>
      </w:r>
      <w:r w:rsidRPr="005D1901">
        <w:rPr>
          <w:rFonts w:hint="eastAsia"/>
        </w:rPr>
        <w:t>款</w:t>
      </w:r>
      <w:r w:rsidRPr="005D1901">
        <w:rPr>
          <w:rFonts w:hint="eastAsia"/>
        </w:rPr>
        <w:t>(</w:t>
      </w:r>
      <w:r w:rsidRPr="005D1901">
        <w:rPr>
          <w:rFonts w:hint="eastAsia"/>
        </w:rPr>
        <w:t>丁</w:t>
      </w:r>
      <w:r w:rsidRPr="005D1901">
        <w:rPr>
          <w:rFonts w:hint="eastAsia"/>
        </w:rPr>
        <w:t>)</w:t>
      </w:r>
      <w:r w:rsidRPr="005D1901">
        <w:rPr>
          <w:rFonts w:hint="eastAsia"/>
        </w:rPr>
        <w:t>项之规定。</w:t>
      </w:r>
    </w:p>
    <w:p w:rsidR="005D1901" w:rsidRPr="005D1901" w:rsidRDefault="005D1901" w:rsidP="005D1901">
      <w:pPr>
        <w:pStyle w:val="SingleTxtGC"/>
      </w:pPr>
      <w:r w:rsidRPr="005D1901">
        <w:t>5.12</w:t>
      </w:r>
      <w:r>
        <w:t xml:space="preserve">  </w:t>
      </w:r>
      <w:r w:rsidRPr="005D1901">
        <w:rPr>
          <w:rFonts w:hint="eastAsia"/>
        </w:rPr>
        <w:t>提交人反驳了缔约国提交的信息，即突尼斯与黎巴嫩之间不存在能够允许黎巴嫩律师在突尼斯为突尼斯公民进行辩护的双边协定。外国律师得到属于本地律师公会会员的律师协助就够了。</w:t>
      </w:r>
    </w:p>
    <w:p w:rsidR="005D1901" w:rsidRPr="005D1901" w:rsidRDefault="005D1901" w:rsidP="005D1901">
      <w:pPr>
        <w:pStyle w:val="SingleTxtGC"/>
      </w:pPr>
      <w:r w:rsidRPr="005D1901">
        <w:t>5.13</w:t>
      </w:r>
      <w:r>
        <w:t xml:space="preserve">  </w:t>
      </w:r>
      <w:r w:rsidRPr="005D1901">
        <w:rPr>
          <w:rFonts w:hint="eastAsia"/>
        </w:rPr>
        <w:t>提交人认为，用一周的时间作出一项判决不可能被称为是合理的，法庭指定的律师无法在这么短的时间内审查证据并提供辩护，甚至法官也无法在这么短的时间内复查案件。</w:t>
      </w:r>
    </w:p>
    <w:p w:rsidR="005D1901" w:rsidRPr="005D1901" w:rsidRDefault="001B68B7" w:rsidP="001B68B7">
      <w:pPr>
        <w:pStyle w:val="H23GC"/>
      </w:pPr>
      <w:r>
        <w:tab/>
      </w:r>
      <w:r>
        <w:tab/>
      </w:r>
      <w:r w:rsidR="005D1901" w:rsidRPr="005D1901">
        <w:rPr>
          <w:rFonts w:hint="eastAsia"/>
        </w:rPr>
        <w:t>委员会需处理的问题和议事情况</w:t>
      </w:r>
    </w:p>
    <w:p w:rsidR="005D1901" w:rsidRPr="005D1901" w:rsidRDefault="001B68B7" w:rsidP="001B68B7">
      <w:pPr>
        <w:pStyle w:val="H4GC"/>
      </w:pPr>
      <w:r>
        <w:tab/>
      </w:r>
      <w:r>
        <w:tab/>
      </w:r>
      <w:r w:rsidR="005D1901" w:rsidRPr="005D1901">
        <w:rPr>
          <w:rFonts w:hint="eastAsia"/>
        </w:rPr>
        <w:t>审议可否受理</w:t>
      </w:r>
    </w:p>
    <w:p w:rsidR="005D1901" w:rsidRPr="005D1901" w:rsidRDefault="005D1901" w:rsidP="005D1901">
      <w:pPr>
        <w:pStyle w:val="SingleTxtGC"/>
      </w:pPr>
      <w:r w:rsidRPr="005D1901">
        <w:t>6.1</w:t>
      </w:r>
      <w:r>
        <w:t xml:space="preserve">  </w:t>
      </w:r>
      <w:r w:rsidRPr="005D1901">
        <w:rPr>
          <w:rFonts w:hint="eastAsia"/>
        </w:rPr>
        <w:t>在审议来文所载的任何请求之前，人权事务委员会必须根据其议事规则第</w:t>
      </w:r>
      <w:r w:rsidRPr="005D1901">
        <w:t>93</w:t>
      </w:r>
      <w:r w:rsidRPr="005D1901">
        <w:rPr>
          <w:rFonts w:hint="eastAsia"/>
        </w:rPr>
        <w:t>条，决定来文是否符合《公约任择议定书》规定的受理条件。</w:t>
      </w:r>
    </w:p>
    <w:p w:rsidR="005D1901" w:rsidRPr="005D1901" w:rsidRDefault="005D1901" w:rsidP="005D1901">
      <w:pPr>
        <w:pStyle w:val="SingleTxtGC"/>
      </w:pPr>
      <w:r w:rsidRPr="005D1901">
        <w:t>6.2</w:t>
      </w:r>
      <w:r>
        <w:t xml:space="preserve">  </w:t>
      </w:r>
      <w:r w:rsidRPr="005D1901">
        <w:rPr>
          <w:rFonts w:hint="eastAsia"/>
        </w:rPr>
        <w:t>关于《任择议定书》是否适用于本来文的问题，委员会忆及突尼斯于</w:t>
      </w:r>
      <w:r w:rsidRPr="005D1901">
        <w:t>2011</w:t>
      </w:r>
      <w:r w:rsidRPr="005D1901">
        <w:rPr>
          <w:rFonts w:hint="eastAsia"/>
        </w:rPr>
        <w:t>年</w:t>
      </w:r>
      <w:r w:rsidRPr="005D1901">
        <w:t>6</w:t>
      </w:r>
      <w:r w:rsidRPr="005D1901">
        <w:rPr>
          <w:rFonts w:hint="eastAsia"/>
        </w:rPr>
        <w:t>月</w:t>
      </w:r>
      <w:r w:rsidRPr="005D1901">
        <w:t>29</w:t>
      </w:r>
      <w:r w:rsidRPr="005D1901">
        <w:rPr>
          <w:rFonts w:hint="eastAsia"/>
        </w:rPr>
        <w:t>日加入《公约任择议定书》。根据《任择议定书》第九条第</w:t>
      </w:r>
      <w:r w:rsidRPr="005D1901">
        <w:t>2</w:t>
      </w:r>
      <w:r w:rsidRPr="005D1901">
        <w:rPr>
          <w:rFonts w:hint="eastAsia"/>
        </w:rPr>
        <w:t>款之规定，《任择议定书》于</w:t>
      </w:r>
      <w:r w:rsidRPr="005D1901">
        <w:t>2011</w:t>
      </w:r>
      <w:r w:rsidRPr="005D1901">
        <w:rPr>
          <w:rFonts w:hint="eastAsia"/>
        </w:rPr>
        <w:t>年</w:t>
      </w:r>
      <w:r w:rsidRPr="005D1901">
        <w:t>9</w:t>
      </w:r>
      <w:r w:rsidRPr="005D1901">
        <w:rPr>
          <w:rFonts w:hint="eastAsia"/>
        </w:rPr>
        <w:t>月</w:t>
      </w:r>
      <w:r w:rsidRPr="005D1901">
        <w:t>29</w:t>
      </w:r>
      <w:r w:rsidRPr="005D1901">
        <w:rPr>
          <w:rFonts w:hint="eastAsia"/>
        </w:rPr>
        <w:t>日对突尼斯生效。委员会忆及其判例法，并且重申其可以审查在《任择议定书》对缔约国生效之前发生的所谓违反《公约》的行为，条件是此种违反行为在生效日期之后继续存在或继续产生违反《公约》行为本身所具有的作用。</w:t>
      </w:r>
      <w:r w:rsidR="001B68B7">
        <w:rPr>
          <w:rStyle w:val="FootnoteReference"/>
        </w:rPr>
        <w:footnoteReference w:id="14"/>
      </w:r>
      <w:r w:rsidR="001B68B7" w:rsidRPr="001B68B7">
        <w:rPr>
          <w:vertAlign w:val="superscript"/>
        </w:rPr>
        <w:t xml:space="preserve"> </w:t>
      </w:r>
      <w:r w:rsidRPr="005D1901">
        <w:rPr>
          <w:rFonts w:hint="eastAsia"/>
        </w:rPr>
        <w:t>因为《议定书》不可以追溯性适用，所以委员会没有属时管辖权审查</w:t>
      </w:r>
      <w:r w:rsidRPr="005D1901">
        <w:t>2011</w:t>
      </w:r>
      <w:r w:rsidRPr="005D1901">
        <w:rPr>
          <w:rFonts w:hint="eastAsia"/>
        </w:rPr>
        <w:t>年</w:t>
      </w:r>
      <w:r w:rsidRPr="005D1901">
        <w:t>6</w:t>
      </w:r>
      <w:r w:rsidRPr="005D1901">
        <w:rPr>
          <w:rFonts w:hint="eastAsia"/>
        </w:rPr>
        <w:t>月</w:t>
      </w:r>
      <w:r w:rsidRPr="005D1901">
        <w:t>20</w:t>
      </w:r>
      <w:r w:rsidRPr="005D1901">
        <w:rPr>
          <w:rFonts w:hint="eastAsia"/>
        </w:rPr>
        <w:t>日第</w:t>
      </w:r>
      <w:r w:rsidRPr="005D1901">
        <w:t>23004</w:t>
      </w:r>
      <w:r w:rsidRPr="005D1901">
        <w:rPr>
          <w:rFonts w:hint="eastAsia"/>
        </w:rPr>
        <w:t>号、</w:t>
      </w:r>
      <w:r w:rsidRPr="005D1901">
        <w:t>2011</w:t>
      </w:r>
      <w:r w:rsidRPr="005D1901">
        <w:rPr>
          <w:rFonts w:hint="eastAsia"/>
        </w:rPr>
        <w:t>年</w:t>
      </w:r>
      <w:r w:rsidRPr="005D1901">
        <w:t>7</w:t>
      </w:r>
      <w:r w:rsidRPr="005D1901">
        <w:rPr>
          <w:rFonts w:hint="eastAsia"/>
        </w:rPr>
        <w:t>月</w:t>
      </w:r>
      <w:r w:rsidRPr="005D1901">
        <w:t>4</w:t>
      </w:r>
      <w:r w:rsidRPr="005D1901">
        <w:rPr>
          <w:rFonts w:hint="eastAsia"/>
        </w:rPr>
        <w:t>日第</w:t>
      </w:r>
      <w:r w:rsidRPr="005D1901">
        <w:t>23005</w:t>
      </w:r>
      <w:r w:rsidRPr="005D1901">
        <w:rPr>
          <w:rFonts w:hint="eastAsia"/>
        </w:rPr>
        <w:t>号和</w:t>
      </w:r>
      <w:r w:rsidRPr="005D1901">
        <w:t>2011</w:t>
      </w:r>
      <w:r w:rsidRPr="005D1901">
        <w:rPr>
          <w:rFonts w:hint="eastAsia"/>
        </w:rPr>
        <w:t>年</w:t>
      </w:r>
      <w:r w:rsidRPr="005D1901">
        <w:t>7</w:t>
      </w:r>
      <w:r w:rsidRPr="005D1901">
        <w:rPr>
          <w:rFonts w:hint="eastAsia"/>
        </w:rPr>
        <w:t>月</w:t>
      </w:r>
      <w:r w:rsidRPr="005D1901">
        <w:t>28</w:t>
      </w:r>
      <w:r w:rsidRPr="005D1901">
        <w:rPr>
          <w:rFonts w:hint="eastAsia"/>
        </w:rPr>
        <w:t>日第</w:t>
      </w:r>
      <w:r w:rsidRPr="005D1901">
        <w:t>23175</w:t>
      </w:r>
      <w:r w:rsidRPr="005D1901">
        <w:rPr>
          <w:rFonts w:hint="eastAsia"/>
        </w:rPr>
        <w:t>号对提交人不利判决，也没有属时管辖权审查与颁布</w:t>
      </w:r>
      <w:r w:rsidRPr="005D1901">
        <w:t>2011</w:t>
      </w:r>
      <w:r w:rsidRPr="005D1901">
        <w:rPr>
          <w:rFonts w:hint="eastAsia"/>
        </w:rPr>
        <w:t>年</w:t>
      </w:r>
      <w:r w:rsidRPr="005D1901">
        <w:t>3</w:t>
      </w:r>
      <w:r w:rsidRPr="005D1901">
        <w:rPr>
          <w:rFonts w:hint="eastAsia"/>
        </w:rPr>
        <w:t>月</w:t>
      </w:r>
      <w:r w:rsidRPr="005D1901">
        <w:t>14</w:t>
      </w:r>
      <w:r w:rsidRPr="005D1901">
        <w:rPr>
          <w:rFonts w:hint="eastAsia"/>
        </w:rPr>
        <w:t>日法令之后所采取剥夺措施有关的指控，而这些指控正是提交委员会的来文的唯一主体。委员会补充说，未能确定上述行为在《任择议定书》对缔约国生效之后继续产生影响。</w:t>
      </w:r>
    </w:p>
    <w:p w:rsidR="005D1901" w:rsidRPr="005D1901" w:rsidRDefault="005D1901" w:rsidP="005D1901">
      <w:pPr>
        <w:pStyle w:val="SingleTxtGC"/>
      </w:pPr>
      <w:r w:rsidRPr="005D1901">
        <w:t>6.3</w:t>
      </w:r>
      <w:r>
        <w:t xml:space="preserve">  </w:t>
      </w:r>
      <w:r w:rsidRPr="005D1901">
        <w:rPr>
          <w:rFonts w:hint="eastAsia"/>
        </w:rPr>
        <w:t>鉴于以上情况，委员会不会考虑来文可否受理的其他例外情形。</w:t>
      </w:r>
    </w:p>
    <w:p w:rsidR="005D1901" w:rsidRPr="005D1901" w:rsidRDefault="005D1901" w:rsidP="005D1901">
      <w:pPr>
        <w:pStyle w:val="SingleTxtGC"/>
      </w:pPr>
      <w:r w:rsidRPr="005D1901">
        <w:t>7.</w:t>
      </w:r>
      <w:r>
        <w:t xml:space="preserve">  </w:t>
      </w:r>
      <w:r w:rsidRPr="005D1901">
        <w:rPr>
          <w:rFonts w:hint="eastAsia"/>
        </w:rPr>
        <w:t>因此，人权事务委员会决定：</w:t>
      </w:r>
    </w:p>
    <w:p w:rsidR="005D1901" w:rsidRPr="005D1901" w:rsidRDefault="005D1901" w:rsidP="005D1901">
      <w:pPr>
        <w:pStyle w:val="SingleTxtGC"/>
        <w:numPr>
          <w:ilvl w:val="0"/>
          <w:numId w:val="47"/>
        </w:numPr>
        <w:tabs>
          <w:tab w:val="clear" w:pos="2426"/>
          <w:tab w:val="left" w:pos="2427"/>
        </w:tabs>
      </w:pPr>
      <w:r w:rsidRPr="005D1901">
        <w:rPr>
          <w:rFonts w:hint="eastAsia"/>
        </w:rPr>
        <w:t>根据《任择议定书》第一条，来文不可受理；</w:t>
      </w:r>
    </w:p>
    <w:p w:rsidR="005D1901" w:rsidRPr="005D1901" w:rsidRDefault="005D1901" w:rsidP="005D1901">
      <w:pPr>
        <w:pStyle w:val="SingleTxtGC"/>
        <w:numPr>
          <w:ilvl w:val="0"/>
          <w:numId w:val="47"/>
        </w:numPr>
        <w:tabs>
          <w:tab w:val="clear" w:pos="2426"/>
          <w:tab w:val="left" w:pos="2427"/>
        </w:tabs>
      </w:pPr>
      <w:r w:rsidRPr="005D1901">
        <w:rPr>
          <w:rFonts w:hint="eastAsia"/>
        </w:rPr>
        <w:t>本决定应递送缔约国和来文提交人。</w:t>
      </w:r>
    </w:p>
    <w:p w:rsidR="00C7462D" w:rsidRDefault="00C7462D" w:rsidP="000475C3">
      <w:pPr>
        <w:pStyle w:val="SingleTxtGC"/>
      </w:pPr>
    </w:p>
    <w:p w:rsidR="005D1901" w:rsidRPr="002D6A9C" w:rsidRDefault="005D190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5D1901" w:rsidRPr="002D6A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2C9" w:rsidRPr="008C40EB" w:rsidRDefault="00B362C9" w:rsidP="008C40EB">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B362C9" w:rsidRDefault="00B36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font>
  <w:font w:name="C39T30Lfz">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FD" w:rsidRPr="00CE042C" w:rsidRDefault="003E17FD" w:rsidP="00FC3094">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925F6C">
      <w:rPr>
        <w:rStyle w:val="PageNumber"/>
        <w:noProof/>
      </w:rPr>
      <w:t>4</w:t>
    </w:r>
    <w:r>
      <w:rPr>
        <w:rStyle w:val="PageNumber"/>
      </w:rPr>
      <w:fldChar w:fldCharType="end"/>
    </w:r>
    <w:r>
      <w:rPr>
        <w:rStyle w:val="PageNumber"/>
        <w:rFonts w:eastAsia="SimSun" w:hint="eastAsia"/>
        <w:lang w:eastAsia="zh-CN"/>
      </w:rPr>
      <w:tab/>
    </w:r>
    <w:r w:rsidRPr="00CE042C">
      <w:rPr>
        <w:rFonts w:eastAsia="SimSun"/>
      </w:rPr>
      <w:t>GE.16-01722</w:t>
    </w:r>
    <w:r>
      <w:rPr>
        <w:rFonts w:eastAsia="SimSun"/>
      </w:rPr>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FD" w:rsidRDefault="003E17FD">
    <w:pPr>
      <w:pStyle w:val="Footer"/>
      <w:tabs>
        <w:tab w:val="right" w:pos="9639"/>
      </w:tabs>
    </w:pPr>
    <w:r w:rsidRPr="00CE042C">
      <w:rPr>
        <w:rFonts w:eastAsia="SimSun"/>
      </w:rPr>
      <w:t>GE.16-01722</w:t>
    </w:r>
    <w:r>
      <w:rPr>
        <w:rFonts w:eastAsia="SimSun"/>
      </w:rPr>
      <w:t xml:space="preserve"> (EXT)</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925F6C">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FD" w:rsidRDefault="003E17FD" w:rsidP="002E57F0">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2012&amp;Size=2&amp;Lang=C"/>
          <w10:wrap type="square"/>
        </v:shape>
      </w:pict>
    </w:r>
    <w:r>
      <w:rPr>
        <w:rFonts w:eastAsia="SimSun"/>
        <w:sz w:val="20"/>
        <w:lang w:eastAsia="zh-CN"/>
      </w:rPr>
      <w:t>GE.</w:t>
    </w:r>
    <w:r>
      <w:rPr>
        <w:rFonts w:eastAsia="SimSun" w:hint="eastAsia"/>
        <w:sz w:val="20"/>
        <w:lang w:eastAsia="zh-CN"/>
      </w:rPr>
      <w:t>1</w:t>
    </w:r>
    <w:r>
      <w:rPr>
        <w:rFonts w:eastAsia="SimSun"/>
        <w:sz w:val="20"/>
        <w:lang w:eastAsia="zh-CN"/>
      </w:rPr>
      <w:t>6</w:t>
    </w:r>
    <w:r w:rsidRPr="00EE277A">
      <w:rPr>
        <w:rFonts w:eastAsia="SimSun"/>
        <w:sz w:val="20"/>
        <w:lang w:eastAsia="zh-CN"/>
      </w:rPr>
      <w:t>-0</w:t>
    </w:r>
    <w:r>
      <w:rPr>
        <w:rFonts w:eastAsia="SimSun"/>
        <w:sz w:val="20"/>
        <w:lang w:eastAsia="zh-CN"/>
      </w:rPr>
      <w:t>1722 (EXT</w:t>
    </w:r>
    <w:r w:rsidRPr="00EE277A">
      <w:rPr>
        <w:rFonts w:eastAsia="SimSun"/>
        <w:sz w:val="20"/>
        <w:lang w:eastAsia="zh-CN"/>
      </w:rPr>
      <w:t>)</w:t>
    </w:r>
  </w:p>
  <w:p w:rsidR="003E17FD" w:rsidRPr="00E04D00" w:rsidRDefault="003E17FD" w:rsidP="00DA42CE">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Pr>
        <w:rFonts w:ascii="C39T30Lfz" w:eastAsia="SimSun" w:hAnsi="C39T30Lfz"/>
        <w:sz w:val="56"/>
        <w:szCs w:val="56"/>
        <w:lang w:eastAsia="zh-CN"/>
      </w:rPr>
      <w:t></w:t>
    </w:r>
    <w:r w:rsidRPr="00CE042C">
      <w:rPr>
        <w:rFonts w:ascii="C39T30Lfz" w:eastAsia="SimSun" w:hAnsi="C39T30Lfz"/>
        <w:sz w:val="56"/>
        <w:szCs w:val="56"/>
        <w:lang w:eastAsia="zh-CN"/>
      </w:rPr>
      <w:t></w:t>
    </w:r>
    <w:r w:rsidRPr="00CE042C">
      <w:rPr>
        <w:rFonts w:ascii="C39T30Lfz" w:eastAsia="SimSun" w:hAnsi="C39T30Lfz"/>
        <w:sz w:val="56"/>
        <w:szCs w:val="56"/>
        <w:lang w:eastAsia="zh-CN"/>
      </w:rPr>
      <w:t></w:t>
    </w:r>
    <w:r w:rsidRPr="00CE042C">
      <w:rPr>
        <w:rFonts w:ascii="C39T30Lfz" w:eastAsia="SimSun" w:hAnsi="C39T30Lfz"/>
        <w:sz w:val="56"/>
        <w:szCs w:val="56"/>
        <w:lang w:eastAsia="zh-CN"/>
      </w:rPr>
      <w:t></w:t>
    </w:r>
    <w:r w:rsidRPr="00CE042C">
      <w:rPr>
        <w:rFonts w:ascii="C39T30Lfz" w:eastAsia="SimSun" w:hAnsi="C39T30Lfz"/>
        <w:sz w:val="56"/>
        <w:szCs w:val="56"/>
        <w:lang w:eastAsia="zh-CN"/>
      </w:rPr>
      <w:t></w:t>
    </w:r>
    <w:r w:rsidRPr="00CE042C">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2C9" w:rsidRPr="005749F7" w:rsidRDefault="00B362C9" w:rsidP="005749F7">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B362C9" w:rsidRPr="005749F7" w:rsidRDefault="00B362C9" w:rsidP="005749F7">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3E17FD" w:rsidRPr="005C4FF8" w:rsidRDefault="003E17FD">
      <w:pPr>
        <w:pStyle w:val="FootnoteText"/>
      </w:pPr>
      <w:r>
        <w:tab/>
      </w:r>
      <w:r w:rsidRPr="005C4FF8">
        <w:rPr>
          <w:rStyle w:val="FootnoteReference"/>
          <w:vertAlign w:val="baseline"/>
        </w:rPr>
        <w:t>*</w:t>
      </w:r>
      <w:r w:rsidRPr="005C4FF8">
        <w:tab/>
      </w:r>
      <w:r>
        <w:rPr>
          <w:rFonts w:hint="eastAsia"/>
        </w:rPr>
        <w:t>委员会以下委员参与了本来文的审议：亚兹·</w:t>
      </w:r>
      <w:r w:rsidRPr="005C4FF8">
        <w:rPr>
          <w:rFonts w:hint="eastAsia"/>
        </w:rPr>
        <w:t>本</w:t>
      </w:r>
      <w:r>
        <w:rPr>
          <w:rFonts w:hint="eastAsia"/>
        </w:rPr>
        <w:t>·</w:t>
      </w:r>
      <w:r w:rsidRPr="005C4FF8">
        <w:rPr>
          <w:rFonts w:hint="eastAsia"/>
        </w:rPr>
        <w:t>阿舒尔先生、莱兹赫里</w:t>
      </w:r>
      <w:r>
        <w:rPr>
          <w:rFonts w:hint="eastAsia"/>
        </w:rPr>
        <w:t>·</w:t>
      </w:r>
      <w:r w:rsidRPr="005C4FF8">
        <w:rPr>
          <w:rFonts w:hint="eastAsia"/>
        </w:rPr>
        <w:t>布齐德先生、萨拉</w:t>
      </w:r>
      <w:r>
        <w:rPr>
          <w:rFonts w:hint="eastAsia"/>
        </w:rPr>
        <w:t>·</w:t>
      </w:r>
      <w:r w:rsidRPr="005C4FF8">
        <w:rPr>
          <w:rFonts w:hint="eastAsia"/>
        </w:rPr>
        <w:t>克利夫兰女士、艾哈迈德</w:t>
      </w:r>
      <w:r>
        <w:rPr>
          <w:rFonts w:hint="eastAsia"/>
        </w:rPr>
        <w:t>·</w:t>
      </w:r>
      <w:r w:rsidRPr="005C4FF8">
        <w:rPr>
          <w:rFonts w:hint="eastAsia"/>
        </w:rPr>
        <w:t>阿明</w:t>
      </w:r>
      <w:r>
        <w:rPr>
          <w:rFonts w:hint="eastAsia"/>
        </w:rPr>
        <w:t>·</w:t>
      </w:r>
      <w:r w:rsidRPr="005C4FF8">
        <w:rPr>
          <w:rFonts w:hint="eastAsia"/>
        </w:rPr>
        <w:t>法萨拉先生、奥利维尔</w:t>
      </w:r>
      <w:r>
        <w:rPr>
          <w:rFonts w:hint="eastAsia"/>
        </w:rPr>
        <w:t>·</w:t>
      </w:r>
      <w:r w:rsidRPr="005C4FF8">
        <w:rPr>
          <w:rFonts w:hint="eastAsia"/>
        </w:rPr>
        <w:t>德</w:t>
      </w:r>
      <w:r>
        <w:rPr>
          <w:rFonts w:hint="eastAsia"/>
        </w:rPr>
        <w:t>·</w:t>
      </w:r>
      <w:r w:rsidRPr="005C4FF8">
        <w:rPr>
          <w:rFonts w:hint="eastAsia"/>
        </w:rPr>
        <w:t>弗鲁维尔先生、岩泽雄司先生、伊万娜</w:t>
      </w:r>
      <w:r>
        <w:rPr>
          <w:rFonts w:hint="eastAsia"/>
        </w:rPr>
        <w:t>·</w:t>
      </w:r>
      <w:r w:rsidRPr="005C4FF8">
        <w:rPr>
          <w:rFonts w:hint="eastAsia"/>
        </w:rPr>
        <w:t>耶利奇女士、邓肯</w:t>
      </w:r>
      <w:r>
        <w:rPr>
          <w:rFonts w:hint="eastAsia"/>
        </w:rPr>
        <w:t>·</w:t>
      </w:r>
      <w:r w:rsidRPr="005C4FF8">
        <w:rPr>
          <w:rFonts w:hint="eastAsia"/>
        </w:rPr>
        <w:t>拉基</w:t>
      </w:r>
      <w:r>
        <w:rPr>
          <w:rFonts w:hint="eastAsia"/>
        </w:rPr>
        <w:t>·</w:t>
      </w:r>
      <w:r w:rsidRPr="005C4FF8">
        <w:rPr>
          <w:rFonts w:hint="eastAsia"/>
        </w:rPr>
        <w:t>穆尤穆扎先生、费蒂尼</w:t>
      </w:r>
      <w:r>
        <w:rPr>
          <w:rFonts w:hint="eastAsia"/>
        </w:rPr>
        <w:t>·</w:t>
      </w:r>
      <w:r w:rsidRPr="005C4FF8">
        <w:rPr>
          <w:rFonts w:hint="eastAsia"/>
        </w:rPr>
        <w:t>帕扎齐斯女士、毛罗</w:t>
      </w:r>
      <w:r>
        <w:rPr>
          <w:rFonts w:hint="eastAsia"/>
        </w:rPr>
        <w:t>·</w:t>
      </w:r>
      <w:r w:rsidRPr="005C4FF8">
        <w:rPr>
          <w:rFonts w:hint="eastAsia"/>
        </w:rPr>
        <w:t>波利蒂先生、奈杰尔</w:t>
      </w:r>
      <w:r>
        <w:rPr>
          <w:rFonts w:hint="eastAsia"/>
        </w:rPr>
        <w:t>·</w:t>
      </w:r>
      <w:r w:rsidRPr="005C4FF8">
        <w:rPr>
          <w:rFonts w:hint="eastAsia"/>
        </w:rPr>
        <w:t>罗德利爵士、维克多</w:t>
      </w:r>
      <w:r>
        <w:rPr>
          <w:rFonts w:hint="eastAsia"/>
        </w:rPr>
        <w:t>·</w:t>
      </w:r>
      <w:r w:rsidRPr="005C4FF8">
        <w:rPr>
          <w:rFonts w:hint="eastAsia"/>
        </w:rPr>
        <w:t>曼努埃尔</w:t>
      </w:r>
      <w:r>
        <w:rPr>
          <w:rFonts w:hint="eastAsia"/>
        </w:rPr>
        <w:t>·</w:t>
      </w:r>
      <w:r w:rsidRPr="005C4FF8">
        <w:rPr>
          <w:rFonts w:hint="eastAsia"/>
        </w:rPr>
        <w:t>罗德里格斯－雷夏先生、费边</w:t>
      </w:r>
      <w:r>
        <w:rPr>
          <w:rFonts w:hint="eastAsia"/>
        </w:rPr>
        <w:t>·</w:t>
      </w:r>
      <w:r w:rsidRPr="005C4FF8">
        <w:rPr>
          <w:rFonts w:hint="eastAsia"/>
        </w:rPr>
        <w:t>奥马尔</w:t>
      </w:r>
      <w:r>
        <w:rPr>
          <w:rFonts w:hint="eastAsia"/>
        </w:rPr>
        <w:t>·</w:t>
      </w:r>
      <w:r w:rsidRPr="005C4FF8">
        <w:rPr>
          <w:rFonts w:hint="eastAsia"/>
        </w:rPr>
        <w:t>萨尔维奥利先生、迪鲁杰拉尔</w:t>
      </w:r>
      <w:r>
        <w:rPr>
          <w:rFonts w:hint="eastAsia"/>
        </w:rPr>
        <w:t>·</w:t>
      </w:r>
      <w:r w:rsidRPr="005C4FF8">
        <w:rPr>
          <w:rFonts w:hint="eastAsia"/>
        </w:rPr>
        <w:t>西图辛格先生、安雅</w:t>
      </w:r>
      <w:r>
        <w:rPr>
          <w:rFonts w:hint="eastAsia"/>
        </w:rPr>
        <w:t>·</w:t>
      </w:r>
      <w:r w:rsidRPr="005C4FF8">
        <w:rPr>
          <w:rFonts w:hint="eastAsia"/>
        </w:rPr>
        <w:t>塞伯特－佛尔女士、尤瓦尔</w:t>
      </w:r>
      <w:r>
        <w:rPr>
          <w:rFonts w:hint="eastAsia"/>
        </w:rPr>
        <w:t>·</w:t>
      </w:r>
      <w:r w:rsidRPr="005C4FF8">
        <w:rPr>
          <w:rFonts w:hint="eastAsia"/>
        </w:rPr>
        <w:t>沙尼先生、康斯坦丁</w:t>
      </w:r>
      <w:r>
        <w:rPr>
          <w:rFonts w:hint="eastAsia"/>
        </w:rPr>
        <w:t>·</w:t>
      </w:r>
      <w:r w:rsidRPr="005C4FF8">
        <w:rPr>
          <w:rFonts w:hint="eastAsia"/>
        </w:rPr>
        <w:t>瓦尔泽拉什维利先生和马戈</w:t>
      </w:r>
      <w:r>
        <w:rPr>
          <w:rFonts w:hint="eastAsia"/>
        </w:rPr>
        <w:t>·</w:t>
      </w:r>
      <w:r w:rsidRPr="005C4FF8">
        <w:rPr>
          <w:rFonts w:hint="eastAsia"/>
        </w:rPr>
        <w:t>瓦特瓦尔女士。</w:t>
      </w:r>
    </w:p>
  </w:footnote>
  <w:footnote w:id="2">
    <w:p w:rsidR="003E17FD" w:rsidRPr="001B68B7" w:rsidRDefault="003E17FD">
      <w:pPr>
        <w:pStyle w:val="FootnoteText"/>
      </w:pPr>
      <w:r>
        <w:tab/>
      </w:r>
      <w:r>
        <w:rPr>
          <w:rStyle w:val="FootnoteReference"/>
        </w:rPr>
        <w:footnoteRef/>
      </w:r>
      <w:r>
        <w:tab/>
      </w:r>
      <w:r w:rsidRPr="001B68B7">
        <w:rPr>
          <w:rFonts w:hint="eastAsia"/>
        </w:rPr>
        <w:t>缔约国在其意见中提到，第</w:t>
      </w:r>
      <w:r w:rsidRPr="001B68B7">
        <w:rPr>
          <w:rFonts w:hint="eastAsia"/>
        </w:rPr>
        <w:t>13</w:t>
      </w:r>
      <w:r w:rsidRPr="001B68B7">
        <w:rPr>
          <w:rFonts w:hint="eastAsia"/>
        </w:rPr>
        <w:t>号法令是在</w:t>
      </w:r>
      <w:r w:rsidRPr="001B68B7">
        <w:rPr>
          <w:rFonts w:hint="eastAsia"/>
        </w:rPr>
        <w:t>2011</w:t>
      </w:r>
      <w:r w:rsidRPr="001B68B7">
        <w:rPr>
          <w:rFonts w:hint="eastAsia"/>
        </w:rPr>
        <w:t>年</w:t>
      </w:r>
      <w:r w:rsidRPr="001B68B7">
        <w:rPr>
          <w:rFonts w:hint="eastAsia"/>
        </w:rPr>
        <w:t>3</w:t>
      </w:r>
      <w:r w:rsidRPr="001B68B7">
        <w:rPr>
          <w:rFonts w:hint="eastAsia"/>
        </w:rPr>
        <w:t>月</w:t>
      </w:r>
      <w:r w:rsidRPr="001B68B7">
        <w:rPr>
          <w:rFonts w:hint="eastAsia"/>
        </w:rPr>
        <w:t>14</w:t>
      </w:r>
      <w:r w:rsidRPr="001B68B7">
        <w:rPr>
          <w:rFonts w:hint="eastAsia"/>
        </w:rPr>
        <w:t>日而非</w:t>
      </w:r>
      <w:r w:rsidRPr="001B68B7">
        <w:rPr>
          <w:rFonts w:hint="eastAsia"/>
        </w:rPr>
        <w:t>3</w:t>
      </w:r>
      <w:r w:rsidRPr="001B68B7">
        <w:rPr>
          <w:rFonts w:hint="eastAsia"/>
        </w:rPr>
        <w:t>月</w:t>
      </w:r>
      <w:r w:rsidRPr="001B68B7">
        <w:rPr>
          <w:rFonts w:hint="eastAsia"/>
        </w:rPr>
        <w:t>18</w:t>
      </w:r>
      <w:r w:rsidRPr="001B68B7">
        <w:rPr>
          <w:rFonts w:hint="eastAsia"/>
        </w:rPr>
        <w:t>日颁布的</w:t>
      </w:r>
      <w:r w:rsidRPr="001B68B7">
        <w:rPr>
          <w:rFonts w:hint="eastAsia"/>
        </w:rPr>
        <w:t>(</w:t>
      </w:r>
      <w:r w:rsidRPr="001B68B7">
        <w:rPr>
          <w:rFonts w:hint="eastAsia"/>
        </w:rPr>
        <w:t>见下文第</w:t>
      </w:r>
      <w:r w:rsidRPr="001B68B7">
        <w:rPr>
          <w:rFonts w:hint="eastAsia"/>
        </w:rPr>
        <w:t>4.15</w:t>
      </w:r>
      <w:r w:rsidRPr="001B68B7">
        <w:rPr>
          <w:rFonts w:hint="eastAsia"/>
        </w:rPr>
        <w:t>段</w:t>
      </w:r>
      <w:r w:rsidRPr="001B68B7">
        <w:rPr>
          <w:rFonts w:hint="eastAsia"/>
        </w:rPr>
        <w:t>)</w:t>
      </w:r>
      <w:r w:rsidRPr="001B68B7">
        <w:rPr>
          <w:rFonts w:hint="eastAsia"/>
        </w:rPr>
        <w:t>。</w:t>
      </w:r>
    </w:p>
  </w:footnote>
  <w:footnote w:id="3">
    <w:p w:rsidR="003E17FD" w:rsidRPr="001B68B7" w:rsidRDefault="003E17FD">
      <w:pPr>
        <w:pStyle w:val="FootnoteText"/>
      </w:pPr>
      <w:r>
        <w:tab/>
      </w:r>
      <w:r>
        <w:rPr>
          <w:rStyle w:val="FootnoteReference"/>
        </w:rPr>
        <w:footnoteRef/>
      </w:r>
      <w:r>
        <w:tab/>
      </w:r>
      <w:r w:rsidRPr="001B68B7">
        <w:rPr>
          <w:rFonts w:hint="eastAsia"/>
        </w:rPr>
        <w:t>第</w:t>
      </w:r>
      <w:r w:rsidRPr="001B68B7">
        <w:rPr>
          <w:rFonts w:hint="eastAsia"/>
        </w:rPr>
        <w:t>468/1991</w:t>
      </w:r>
      <w:r w:rsidRPr="001B68B7">
        <w:rPr>
          <w:rFonts w:hint="eastAsia"/>
        </w:rPr>
        <w:t>号来文，</w:t>
      </w:r>
      <w:r w:rsidRPr="001B68B7">
        <w:rPr>
          <w:rFonts w:hint="eastAsia"/>
          <w:i/>
        </w:rPr>
        <w:t>Bahamonde</w:t>
      </w:r>
      <w:r w:rsidRPr="001B68B7">
        <w:rPr>
          <w:rFonts w:eastAsia="KaiTi_GB2312" w:hint="eastAsia"/>
        </w:rPr>
        <w:t>诉赤道几内亚</w:t>
      </w:r>
      <w:r w:rsidRPr="001B68B7">
        <w:rPr>
          <w:rFonts w:hint="eastAsia"/>
        </w:rPr>
        <w:t>案，</w:t>
      </w:r>
      <w:r w:rsidRPr="001B68B7">
        <w:rPr>
          <w:rFonts w:hint="eastAsia"/>
        </w:rPr>
        <w:t>1993</w:t>
      </w:r>
      <w:r w:rsidRPr="001B68B7">
        <w:rPr>
          <w:rFonts w:hint="eastAsia"/>
        </w:rPr>
        <w:t>年</w:t>
      </w:r>
      <w:r w:rsidRPr="001B68B7">
        <w:rPr>
          <w:rFonts w:hint="eastAsia"/>
        </w:rPr>
        <w:t>10</w:t>
      </w:r>
      <w:r w:rsidRPr="001B68B7">
        <w:rPr>
          <w:rFonts w:hint="eastAsia"/>
        </w:rPr>
        <w:t>月</w:t>
      </w:r>
      <w:r w:rsidRPr="001B68B7">
        <w:rPr>
          <w:rFonts w:hint="eastAsia"/>
        </w:rPr>
        <w:t>20</w:t>
      </w:r>
      <w:r w:rsidRPr="001B68B7">
        <w:rPr>
          <w:rFonts w:hint="eastAsia"/>
        </w:rPr>
        <w:t>日通过的意见，第</w:t>
      </w:r>
      <w:r w:rsidRPr="001B68B7">
        <w:rPr>
          <w:rFonts w:hint="eastAsia"/>
        </w:rPr>
        <w:t>9.4</w:t>
      </w:r>
      <w:r w:rsidRPr="001B68B7">
        <w:rPr>
          <w:rFonts w:hint="eastAsia"/>
        </w:rPr>
        <w:t>段。</w:t>
      </w:r>
    </w:p>
  </w:footnote>
  <w:footnote w:id="4">
    <w:p w:rsidR="003E17FD" w:rsidRPr="001B68B7" w:rsidRDefault="003E17FD">
      <w:pPr>
        <w:pStyle w:val="FootnoteText"/>
      </w:pPr>
      <w:r>
        <w:tab/>
      </w:r>
      <w:r>
        <w:rPr>
          <w:rStyle w:val="FootnoteReference"/>
        </w:rPr>
        <w:footnoteRef/>
      </w:r>
      <w:r>
        <w:tab/>
      </w:r>
      <w:r w:rsidRPr="001B68B7">
        <w:rPr>
          <w:rFonts w:hint="eastAsia"/>
        </w:rPr>
        <w:t>尽管提交人未明确提到它，但他在本来文中提出的权利主张似乎属于《公约》第十四条第</w:t>
      </w:r>
      <w:r w:rsidRPr="001B68B7">
        <w:rPr>
          <w:rFonts w:hint="eastAsia"/>
        </w:rPr>
        <w:t>3</w:t>
      </w:r>
      <w:r w:rsidRPr="001B68B7">
        <w:rPr>
          <w:rFonts w:hint="eastAsia"/>
        </w:rPr>
        <w:t>款</w:t>
      </w:r>
      <w:r w:rsidRPr="001B68B7">
        <w:rPr>
          <w:rFonts w:hint="eastAsia"/>
        </w:rPr>
        <w:t>(</w:t>
      </w:r>
      <w:r w:rsidRPr="001B68B7">
        <w:rPr>
          <w:rFonts w:hint="eastAsia"/>
        </w:rPr>
        <w:t>丙</w:t>
      </w:r>
      <w:r w:rsidRPr="001B68B7">
        <w:rPr>
          <w:rFonts w:hint="eastAsia"/>
        </w:rPr>
        <w:t>)</w:t>
      </w:r>
      <w:r w:rsidRPr="001B68B7">
        <w:rPr>
          <w:rFonts w:hint="eastAsia"/>
        </w:rPr>
        <w:t>项的适用范围。</w:t>
      </w:r>
    </w:p>
  </w:footnote>
  <w:footnote w:id="5">
    <w:p w:rsidR="003E17FD" w:rsidRPr="001B68B7" w:rsidRDefault="003E17FD">
      <w:pPr>
        <w:pStyle w:val="FootnoteText"/>
      </w:pPr>
      <w:r>
        <w:tab/>
      </w:r>
      <w:r>
        <w:rPr>
          <w:rStyle w:val="FootnoteReference"/>
        </w:rPr>
        <w:footnoteRef/>
      </w:r>
      <w:r>
        <w:tab/>
      </w:r>
      <w:r w:rsidRPr="001B68B7">
        <w:rPr>
          <w:rFonts w:hint="eastAsia"/>
        </w:rPr>
        <w:t>1992</w:t>
      </w:r>
      <w:r w:rsidRPr="001B68B7">
        <w:rPr>
          <w:rFonts w:hint="eastAsia"/>
        </w:rPr>
        <w:t>年</w:t>
      </w:r>
      <w:r w:rsidRPr="001B68B7">
        <w:rPr>
          <w:rFonts w:hint="eastAsia"/>
        </w:rPr>
        <w:t>5</w:t>
      </w:r>
      <w:r w:rsidRPr="001B68B7">
        <w:rPr>
          <w:rFonts w:hint="eastAsia"/>
        </w:rPr>
        <w:t>月</w:t>
      </w:r>
      <w:r w:rsidRPr="001B68B7">
        <w:rPr>
          <w:rFonts w:hint="eastAsia"/>
        </w:rPr>
        <w:t>18</w:t>
      </w:r>
      <w:r w:rsidRPr="001B68B7">
        <w:rPr>
          <w:rFonts w:hint="eastAsia"/>
        </w:rPr>
        <w:t>日第</w:t>
      </w:r>
      <w:r w:rsidRPr="001B68B7">
        <w:rPr>
          <w:rFonts w:hint="eastAsia"/>
        </w:rPr>
        <w:t>52</w:t>
      </w:r>
      <w:r w:rsidRPr="001B68B7">
        <w:rPr>
          <w:rFonts w:hint="eastAsia"/>
        </w:rPr>
        <w:t>号法第</w:t>
      </w:r>
      <w:r w:rsidRPr="001B68B7">
        <w:rPr>
          <w:rFonts w:hint="eastAsia"/>
        </w:rPr>
        <w:t>7</w:t>
      </w:r>
      <w:r w:rsidRPr="001B68B7">
        <w:rPr>
          <w:rFonts w:hint="eastAsia"/>
        </w:rPr>
        <w:t>条；</w:t>
      </w:r>
      <w:r w:rsidRPr="001B68B7">
        <w:rPr>
          <w:rFonts w:hint="eastAsia"/>
        </w:rPr>
        <w:t>1969</w:t>
      </w:r>
      <w:r w:rsidRPr="001B68B7">
        <w:rPr>
          <w:rFonts w:hint="eastAsia"/>
        </w:rPr>
        <w:t>年</w:t>
      </w:r>
      <w:r w:rsidRPr="001B68B7">
        <w:rPr>
          <w:rFonts w:hint="eastAsia"/>
        </w:rPr>
        <w:t>6</w:t>
      </w:r>
      <w:r w:rsidRPr="001B68B7">
        <w:rPr>
          <w:rFonts w:hint="eastAsia"/>
        </w:rPr>
        <w:t>月</w:t>
      </w:r>
      <w:r w:rsidRPr="001B68B7">
        <w:rPr>
          <w:rFonts w:hint="eastAsia"/>
        </w:rPr>
        <w:t>12</w:t>
      </w:r>
      <w:r w:rsidRPr="001B68B7">
        <w:rPr>
          <w:rFonts w:hint="eastAsia"/>
        </w:rPr>
        <w:t>日第</w:t>
      </w:r>
      <w:r w:rsidRPr="001B68B7">
        <w:rPr>
          <w:rFonts w:hint="eastAsia"/>
        </w:rPr>
        <w:t>33</w:t>
      </w:r>
      <w:r w:rsidRPr="001B68B7">
        <w:rPr>
          <w:rFonts w:hint="eastAsia"/>
        </w:rPr>
        <w:t>号法第</w:t>
      </w:r>
      <w:r w:rsidRPr="001B68B7">
        <w:rPr>
          <w:rFonts w:hint="eastAsia"/>
        </w:rPr>
        <w:t>2</w:t>
      </w:r>
      <w:r w:rsidRPr="001B68B7">
        <w:rPr>
          <w:rFonts w:hint="eastAsia"/>
        </w:rPr>
        <w:t>和第</w:t>
      </w:r>
      <w:r w:rsidRPr="001B68B7">
        <w:rPr>
          <w:rFonts w:hint="eastAsia"/>
        </w:rPr>
        <w:t>17</w:t>
      </w:r>
      <w:r w:rsidRPr="001B68B7">
        <w:rPr>
          <w:rFonts w:hint="eastAsia"/>
        </w:rPr>
        <w:t>条以及《考古、历史和传统艺术遗产法典》第</w:t>
      </w:r>
      <w:r w:rsidRPr="001B68B7">
        <w:rPr>
          <w:rFonts w:hint="eastAsia"/>
        </w:rPr>
        <w:t>68</w:t>
      </w:r>
      <w:r w:rsidRPr="001B68B7">
        <w:rPr>
          <w:rFonts w:hint="eastAsia"/>
        </w:rPr>
        <w:t>、第</w:t>
      </w:r>
      <w:r w:rsidRPr="001B68B7">
        <w:rPr>
          <w:rFonts w:hint="eastAsia"/>
        </w:rPr>
        <w:t>81</w:t>
      </w:r>
      <w:r w:rsidRPr="001B68B7">
        <w:rPr>
          <w:rFonts w:hint="eastAsia"/>
        </w:rPr>
        <w:t>、第</w:t>
      </w:r>
      <w:r w:rsidRPr="001B68B7">
        <w:rPr>
          <w:rFonts w:hint="eastAsia"/>
        </w:rPr>
        <w:t>82</w:t>
      </w:r>
      <w:r w:rsidRPr="001B68B7">
        <w:rPr>
          <w:rFonts w:hint="eastAsia"/>
        </w:rPr>
        <w:t>和第</w:t>
      </w:r>
      <w:r w:rsidRPr="001B68B7">
        <w:rPr>
          <w:rFonts w:hint="eastAsia"/>
        </w:rPr>
        <w:t>93</w:t>
      </w:r>
      <w:r w:rsidRPr="001B68B7">
        <w:rPr>
          <w:rFonts w:hint="eastAsia"/>
        </w:rPr>
        <w:t>条。</w:t>
      </w:r>
    </w:p>
  </w:footnote>
  <w:footnote w:id="6">
    <w:p w:rsidR="003E17FD" w:rsidRPr="001B68B7" w:rsidRDefault="003E17FD">
      <w:pPr>
        <w:pStyle w:val="FootnoteText"/>
      </w:pPr>
      <w:r>
        <w:tab/>
      </w:r>
      <w:r>
        <w:rPr>
          <w:rStyle w:val="FootnoteReference"/>
        </w:rPr>
        <w:footnoteRef/>
      </w:r>
      <w:r>
        <w:tab/>
      </w:r>
      <w:r w:rsidRPr="001B68B7">
        <w:rPr>
          <w:rFonts w:hint="eastAsia"/>
        </w:rPr>
        <w:t>再审申请和缺席判决受《刑事诉讼法典》第</w:t>
      </w:r>
      <w:r w:rsidRPr="001B68B7">
        <w:rPr>
          <w:rFonts w:hint="eastAsia"/>
        </w:rPr>
        <w:t>175</w:t>
      </w:r>
      <w:r w:rsidRPr="001B68B7">
        <w:rPr>
          <w:rFonts w:hint="eastAsia"/>
        </w:rPr>
        <w:t>条至第</w:t>
      </w:r>
      <w:r w:rsidRPr="001B68B7">
        <w:rPr>
          <w:rFonts w:hint="eastAsia"/>
        </w:rPr>
        <w:t>183</w:t>
      </w:r>
      <w:r w:rsidRPr="001B68B7">
        <w:rPr>
          <w:rFonts w:hint="eastAsia"/>
        </w:rPr>
        <w:t>条管辖。</w:t>
      </w:r>
    </w:p>
  </w:footnote>
  <w:footnote w:id="7">
    <w:p w:rsidR="003E17FD" w:rsidRPr="001B68B7" w:rsidRDefault="003E17FD">
      <w:pPr>
        <w:pStyle w:val="FootnoteText"/>
      </w:pPr>
      <w:r>
        <w:tab/>
      </w:r>
      <w:r>
        <w:rPr>
          <w:rStyle w:val="FootnoteReference"/>
        </w:rPr>
        <w:footnoteRef/>
      </w:r>
      <w:r>
        <w:tab/>
      </w:r>
      <w:r w:rsidRPr="001B68B7">
        <w:rPr>
          <w:rFonts w:hint="eastAsia"/>
        </w:rPr>
        <w:t>《刑事诉讼法典》第</w:t>
      </w:r>
      <w:r w:rsidRPr="001B68B7">
        <w:rPr>
          <w:rFonts w:hint="eastAsia"/>
        </w:rPr>
        <w:t>139</w:t>
      </w:r>
      <w:r w:rsidRPr="001B68B7">
        <w:rPr>
          <w:rFonts w:hint="eastAsia"/>
        </w:rPr>
        <w:t>条。</w:t>
      </w:r>
    </w:p>
  </w:footnote>
  <w:footnote w:id="8">
    <w:p w:rsidR="003E17FD" w:rsidRPr="001B68B7" w:rsidRDefault="003E17FD">
      <w:pPr>
        <w:pStyle w:val="FootnoteText"/>
      </w:pPr>
      <w:r>
        <w:tab/>
      </w:r>
      <w:r>
        <w:rPr>
          <w:rStyle w:val="FootnoteReference"/>
        </w:rPr>
        <w:footnoteRef/>
      </w:r>
      <w:r>
        <w:tab/>
      </w:r>
      <w:r w:rsidRPr="001B68B7">
        <w:rPr>
          <w:rFonts w:hint="eastAsia"/>
        </w:rPr>
        <w:t>缔约国援引了很多判决来支持其论点。</w:t>
      </w:r>
    </w:p>
  </w:footnote>
  <w:footnote w:id="9">
    <w:p w:rsidR="003E17FD" w:rsidRPr="001B68B7" w:rsidRDefault="003E17FD">
      <w:pPr>
        <w:pStyle w:val="FootnoteText"/>
      </w:pPr>
      <w:r>
        <w:tab/>
      </w:r>
      <w:r>
        <w:rPr>
          <w:rStyle w:val="FootnoteReference"/>
        </w:rPr>
        <w:footnoteRef/>
      </w:r>
      <w:r>
        <w:tab/>
      </w:r>
      <w:r w:rsidRPr="001B68B7">
        <w:rPr>
          <w:rFonts w:hint="eastAsia"/>
        </w:rPr>
        <w:t>第</w:t>
      </w:r>
      <w:r w:rsidRPr="001B68B7">
        <w:rPr>
          <w:rFonts w:hint="eastAsia"/>
        </w:rPr>
        <w:t>16/1977</w:t>
      </w:r>
      <w:r w:rsidRPr="001B68B7">
        <w:rPr>
          <w:rFonts w:hint="eastAsia"/>
        </w:rPr>
        <w:t>号来文，</w:t>
      </w:r>
      <w:r w:rsidRPr="001B68B7">
        <w:rPr>
          <w:rFonts w:eastAsia="KaiTi_GB2312"/>
          <w:i/>
        </w:rPr>
        <w:t>Mbenge</w:t>
      </w:r>
      <w:r w:rsidRPr="001B68B7">
        <w:rPr>
          <w:rFonts w:eastAsia="KaiTi_GB2312"/>
        </w:rPr>
        <w:t>诉扎伊尔</w:t>
      </w:r>
      <w:r w:rsidRPr="001B68B7">
        <w:rPr>
          <w:rFonts w:hint="eastAsia"/>
        </w:rPr>
        <w:t>案，第</w:t>
      </w:r>
      <w:r w:rsidRPr="001B68B7">
        <w:rPr>
          <w:rFonts w:hint="eastAsia"/>
        </w:rPr>
        <w:t>14.1</w:t>
      </w:r>
      <w:r w:rsidRPr="001B68B7">
        <w:rPr>
          <w:rFonts w:hint="eastAsia"/>
        </w:rPr>
        <w:t>段，以及第</w:t>
      </w:r>
      <w:r w:rsidRPr="001B68B7">
        <w:rPr>
          <w:rFonts w:hint="eastAsia"/>
        </w:rPr>
        <w:t>699/1996</w:t>
      </w:r>
      <w:r w:rsidRPr="001B68B7">
        <w:rPr>
          <w:rFonts w:hint="eastAsia"/>
        </w:rPr>
        <w:t>号来文，</w:t>
      </w:r>
      <w:r w:rsidRPr="001B68B7">
        <w:rPr>
          <w:rFonts w:hint="eastAsia"/>
          <w:i/>
        </w:rPr>
        <w:t>Maleki</w:t>
      </w:r>
      <w:r w:rsidRPr="001B68B7">
        <w:rPr>
          <w:rFonts w:eastAsia="KaiTi_GB2312" w:hint="eastAsia"/>
        </w:rPr>
        <w:t>诉意大利</w:t>
      </w:r>
      <w:r w:rsidRPr="001B68B7">
        <w:rPr>
          <w:rFonts w:hint="eastAsia"/>
        </w:rPr>
        <w:t>案，第</w:t>
      </w:r>
      <w:r w:rsidRPr="001B68B7">
        <w:rPr>
          <w:rFonts w:hint="eastAsia"/>
        </w:rPr>
        <w:t>9.3</w:t>
      </w:r>
      <w:r w:rsidRPr="001B68B7">
        <w:rPr>
          <w:rFonts w:hint="eastAsia"/>
        </w:rPr>
        <w:t>段。</w:t>
      </w:r>
    </w:p>
  </w:footnote>
  <w:footnote w:id="10">
    <w:p w:rsidR="003E17FD" w:rsidRPr="001B68B7" w:rsidRDefault="003E17FD">
      <w:pPr>
        <w:pStyle w:val="FootnoteText"/>
      </w:pPr>
      <w:r>
        <w:tab/>
      </w:r>
      <w:r>
        <w:rPr>
          <w:rStyle w:val="FootnoteReference"/>
        </w:rPr>
        <w:footnoteRef/>
      </w:r>
      <w:r>
        <w:tab/>
      </w:r>
      <w:r w:rsidRPr="001B68B7">
        <w:rPr>
          <w:rFonts w:hint="eastAsia"/>
        </w:rPr>
        <w:t>2011</w:t>
      </w:r>
      <w:r w:rsidRPr="001B68B7">
        <w:rPr>
          <w:rFonts w:hint="eastAsia"/>
        </w:rPr>
        <w:t>年</w:t>
      </w:r>
      <w:r w:rsidRPr="001B68B7">
        <w:rPr>
          <w:rFonts w:hint="eastAsia"/>
        </w:rPr>
        <w:t>7</w:t>
      </w:r>
      <w:r w:rsidRPr="001B68B7">
        <w:rPr>
          <w:rFonts w:hint="eastAsia"/>
        </w:rPr>
        <w:t>月</w:t>
      </w:r>
      <w:r w:rsidRPr="001B68B7">
        <w:rPr>
          <w:rFonts w:hint="eastAsia"/>
        </w:rPr>
        <w:t>4</w:t>
      </w:r>
      <w:r w:rsidRPr="001B68B7">
        <w:rPr>
          <w:rFonts w:hint="eastAsia"/>
        </w:rPr>
        <w:t>日的第</w:t>
      </w:r>
      <w:r w:rsidRPr="001B68B7">
        <w:rPr>
          <w:rFonts w:hint="eastAsia"/>
        </w:rPr>
        <w:t>23005</w:t>
      </w:r>
      <w:r w:rsidRPr="001B68B7">
        <w:rPr>
          <w:rFonts w:hint="eastAsia"/>
        </w:rPr>
        <w:t>号判决。</w:t>
      </w:r>
    </w:p>
  </w:footnote>
  <w:footnote w:id="11">
    <w:p w:rsidR="003E17FD" w:rsidRPr="001B68B7" w:rsidRDefault="003E17FD">
      <w:pPr>
        <w:pStyle w:val="FootnoteText"/>
      </w:pPr>
      <w:r>
        <w:tab/>
      </w:r>
      <w:r>
        <w:rPr>
          <w:rStyle w:val="FootnoteReference"/>
        </w:rPr>
        <w:footnoteRef/>
      </w:r>
      <w:r>
        <w:tab/>
      </w:r>
      <w:r w:rsidRPr="001B68B7">
        <w:rPr>
          <w:rFonts w:hint="eastAsia"/>
        </w:rPr>
        <w:t>第</w:t>
      </w:r>
      <w:r w:rsidRPr="001B68B7">
        <w:rPr>
          <w:rFonts w:hint="eastAsia"/>
        </w:rPr>
        <w:t>583/1994</w:t>
      </w:r>
      <w:r w:rsidRPr="001B68B7">
        <w:rPr>
          <w:rFonts w:hint="eastAsia"/>
        </w:rPr>
        <w:t>号来文，</w:t>
      </w:r>
      <w:r w:rsidRPr="001B68B7">
        <w:rPr>
          <w:rFonts w:hint="eastAsia"/>
          <w:i/>
        </w:rPr>
        <w:t>van der Houwen</w:t>
      </w:r>
      <w:r w:rsidRPr="001B68B7">
        <w:rPr>
          <w:rFonts w:eastAsia="KaiTi_GB2312" w:hint="eastAsia"/>
        </w:rPr>
        <w:t>诉荷兰</w:t>
      </w:r>
      <w:r w:rsidRPr="001B68B7">
        <w:rPr>
          <w:rFonts w:hint="eastAsia"/>
        </w:rPr>
        <w:t>案。</w:t>
      </w:r>
    </w:p>
  </w:footnote>
  <w:footnote w:id="12">
    <w:p w:rsidR="003E17FD" w:rsidRPr="001B68B7" w:rsidRDefault="003E17FD">
      <w:pPr>
        <w:pStyle w:val="FootnoteText"/>
      </w:pPr>
      <w:r>
        <w:tab/>
      </w:r>
      <w:r>
        <w:rPr>
          <w:rStyle w:val="FootnoteReference"/>
        </w:rPr>
        <w:footnoteRef/>
      </w:r>
      <w:r>
        <w:tab/>
      </w:r>
      <w:r w:rsidRPr="001B68B7">
        <w:rPr>
          <w:rFonts w:hint="eastAsia"/>
        </w:rPr>
        <w:t>提交人在评论意见中提供了一份署期为</w:t>
      </w:r>
      <w:r w:rsidRPr="001B68B7">
        <w:rPr>
          <w:rFonts w:hint="eastAsia"/>
        </w:rPr>
        <w:t>2012</w:t>
      </w:r>
      <w:r w:rsidRPr="001B68B7">
        <w:rPr>
          <w:rFonts w:hint="eastAsia"/>
        </w:rPr>
        <w:t>年</w:t>
      </w:r>
      <w:r w:rsidRPr="001B68B7">
        <w:rPr>
          <w:rFonts w:hint="eastAsia"/>
        </w:rPr>
        <w:t>1</w:t>
      </w:r>
      <w:r w:rsidRPr="001B68B7">
        <w:rPr>
          <w:rFonts w:hint="eastAsia"/>
        </w:rPr>
        <w:t>月</w:t>
      </w:r>
      <w:r w:rsidRPr="001B68B7">
        <w:rPr>
          <w:rFonts w:hint="eastAsia"/>
        </w:rPr>
        <w:t>1</w:t>
      </w:r>
      <w:r w:rsidRPr="001B68B7">
        <w:rPr>
          <w:rFonts w:hint="eastAsia"/>
        </w:rPr>
        <w:t>日的续签委托书的副本。</w:t>
      </w:r>
    </w:p>
  </w:footnote>
  <w:footnote w:id="13">
    <w:p w:rsidR="003E17FD" w:rsidRPr="001B68B7" w:rsidRDefault="003E17FD">
      <w:pPr>
        <w:pStyle w:val="FootnoteText"/>
      </w:pPr>
      <w:r>
        <w:tab/>
      </w:r>
      <w:r>
        <w:rPr>
          <w:rStyle w:val="FootnoteReference"/>
        </w:rPr>
        <w:footnoteRef/>
      </w:r>
      <w:r>
        <w:tab/>
      </w:r>
      <w:r w:rsidRPr="001B68B7">
        <w:rPr>
          <w:rFonts w:hint="eastAsia"/>
        </w:rPr>
        <w:t>2011</w:t>
      </w:r>
      <w:r w:rsidRPr="001B68B7">
        <w:rPr>
          <w:rFonts w:hint="eastAsia"/>
        </w:rPr>
        <w:t>年</w:t>
      </w:r>
      <w:r w:rsidRPr="001B68B7">
        <w:rPr>
          <w:rFonts w:hint="eastAsia"/>
        </w:rPr>
        <w:t>6</w:t>
      </w:r>
      <w:r w:rsidRPr="001B68B7">
        <w:rPr>
          <w:rFonts w:hint="eastAsia"/>
        </w:rPr>
        <w:t>月</w:t>
      </w:r>
      <w:r w:rsidRPr="001B68B7">
        <w:rPr>
          <w:rFonts w:hint="eastAsia"/>
        </w:rPr>
        <w:t>7</w:t>
      </w:r>
      <w:r w:rsidRPr="001B68B7">
        <w:rPr>
          <w:rFonts w:hint="eastAsia"/>
        </w:rPr>
        <w:t>日，司法部的代表公开声称，根据突尼斯法律，如果提交人本人不到法院出庭受审，则他无权指派其选择的律师在突尼斯诉讼中为他辩护。</w:t>
      </w:r>
    </w:p>
  </w:footnote>
  <w:footnote w:id="14">
    <w:p w:rsidR="003E17FD" w:rsidRPr="001B68B7" w:rsidRDefault="003E17FD">
      <w:pPr>
        <w:pStyle w:val="FootnoteText"/>
      </w:pPr>
      <w:r>
        <w:tab/>
      </w:r>
      <w:r>
        <w:rPr>
          <w:rStyle w:val="FootnoteReference"/>
        </w:rPr>
        <w:footnoteRef/>
      </w:r>
      <w:r>
        <w:tab/>
      </w:r>
      <w:r w:rsidRPr="001B68B7">
        <w:rPr>
          <w:rFonts w:hint="eastAsia"/>
        </w:rPr>
        <w:t>尤其见，第</w:t>
      </w:r>
      <w:r w:rsidRPr="001B68B7">
        <w:rPr>
          <w:rFonts w:hint="eastAsia"/>
        </w:rPr>
        <w:t>1972/2010</w:t>
      </w:r>
      <w:r w:rsidRPr="001B68B7">
        <w:rPr>
          <w:rFonts w:hint="eastAsia"/>
        </w:rPr>
        <w:t>号来文，</w:t>
      </w:r>
      <w:r w:rsidRPr="001B68B7">
        <w:rPr>
          <w:rFonts w:hint="eastAsia"/>
          <w:i/>
        </w:rPr>
        <w:t>Quliyev</w:t>
      </w:r>
      <w:r w:rsidRPr="001B68B7">
        <w:rPr>
          <w:rFonts w:eastAsia="KaiTi_GB2312" w:hint="eastAsia"/>
        </w:rPr>
        <w:t>诉阿塞拜疆</w:t>
      </w:r>
      <w:r w:rsidRPr="001B68B7">
        <w:rPr>
          <w:rFonts w:hint="eastAsia"/>
        </w:rPr>
        <w:t>案，</w:t>
      </w:r>
      <w:r w:rsidRPr="001B68B7">
        <w:rPr>
          <w:rFonts w:hint="eastAsia"/>
        </w:rPr>
        <w:t>2014</w:t>
      </w:r>
      <w:r w:rsidRPr="001B68B7">
        <w:rPr>
          <w:rFonts w:hint="eastAsia"/>
        </w:rPr>
        <w:t>年</w:t>
      </w:r>
      <w:r w:rsidRPr="001B68B7">
        <w:rPr>
          <w:rFonts w:hint="eastAsia"/>
        </w:rPr>
        <w:t>10</w:t>
      </w:r>
      <w:r w:rsidRPr="001B68B7">
        <w:rPr>
          <w:rFonts w:hint="eastAsia"/>
        </w:rPr>
        <w:t>月</w:t>
      </w:r>
      <w:r w:rsidRPr="001B68B7">
        <w:rPr>
          <w:rFonts w:hint="eastAsia"/>
        </w:rPr>
        <w:t>16</w:t>
      </w:r>
      <w:r w:rsidRPr="001B68B7">
        <w:rPr>
          <w:rFonts w:hint="eastAsia"/>
        </w:rPr>
        <w:t>日通过的意见，第</w:t>
      </w:r>
      <w:r w:rsidRPr="001B68B7">
        <w:rPr>
          <w:rFonts w:hint="eastAsia"/>
        </w:rPr>
        <w:t>8.3</w:t>
      </w:r>
      <w:r w:rsidRPr="001B68B7">
        <w:rPr>
          <w:rFonts w:hint="eastAsia"/>
        </w:rPr>
        <w:t>段；及第</w:t>
      </w:r>
      <w:r w:rsidRPr="001B68B7">
        <w:rPr>
          <w:rFonts w:hint="eastAsia"/>
        </w:rPr>
        <w:t>1070/2002</w:t>
      </w:r>
      <w:r w:rsidRPr="001B68B7">
        <w:rPr>
          <w:rFonts w:hint="eastAsia"/>
        </w:rPr>
        <w:t>号来文，</w:t>
      </w:r>
      <w:r w:rsidRPr="001B68B7">
        <w:rPr>
          <w:rFonts w:hint="eastAsia"/>
          <w:i/>
        </w:rPr>
        <w:t>Kouidis</w:t>
      </w:r>
      <w:r w:rsidRPr="001B68B7">
        <w:rPr>
          <w:rFonts w:eastAsia="KaiTi_GB2312" w:hint="eastAsia"/>
        </w:rPr>
        <w:t>诉希腊</w:t>
      </w:r>
      <w:r w:rsidRPr="001B68B7">
        <w:rPr>
          <w:rFonts w:hint="eastAsia"/>
        </w:rPr>
        <w:t>案，</w:t>
      </w:r>
      <w:r w:rsidRPr="001B68B7">
        <w:rPr>
          <w:rFonts w:hint="eastAsia"/>
        </w:rPr>
        <w:t>2006</w:t>
      </w:r>
      <w:r w:rsidRPr="001B68B7">
        <w:rPr>
          <w:rFonts w:hint="eastAsia"/>
        </w:rPr>
        <w:t>年</w:t>
      </w:r>
      <w:r w:rsidRPr="001B68B7">
        <w:rPr>
          <w:rFonts w:hint="eastAsia"/>
        </w:rPr>
        <w:t>3</w:t>
      </w:r>
      <w:r w:rsidRPr="001B68B7">
        <w:rPr>
          <w:rFonts w:hint="eastAsia"/>
        </w:rPr>
        <w:t>月</w:t>
      </w:r>
      <w:r w:rsidRPr="001B68B7">
        <w:rPr>
          <w:rFonts w:hint="eastAsia"/>
        </w:rPr>
        <w:t>28</w:t>
      </w:r>
      <w:r w:rsidRPr="001B68B7">
        <w:rPr>
          <w:rFonts w:hint="eastAsia"/>
        </w:rPr>
        <w:t>日通过的意见，第</w:t>
      </w:r>
      <w:r w:rsidRPr="001B68B7">
        <w:rPr>
          <w:rFonts w:hint="eastAsia"/>
        </w:rPr>
        <w:t>6.3</w:t>
      </w:r>
      <w:r w:rsidRPr="001B68B7">
        <w:rPr>
          <w:rFonts w:hint="eastAsia"/>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FD" w:rsidRPr="00CE042C" w:rsidRDefault="003E17FD">
    <w:pPr>
      <w:pStyle w:val="Header"/>
    </w:pPr>
    <w:r w:rsidRPr="00CE042C">
      <w:t>CCPR/C/115/D/2130/2012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FD" w:rsidRPr="00CE042C" w:rsidRDefault="003E17FD">
    <w:pPr>
      <w:pStyle w:val="Header"/>
      <w:jc w:val="right"/>
    </w:pPr>
    <w:r w:rsidRPr="00CE042C">
      <w:t>CCPR/C/115/D/2130/2012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9B45D4B"/>
    <w:multiLevelType w:val="hybridMultilevel"/>
    <w:tmpl w:val="AAF036F4"/>
    <w:lvl w:ilvl="0" w:tplc="CCE27AD6">
      <w:start w:val="1"/>
      <w:numFmt w:val="lowerLetter"/>
      <w:lvlRestart w:val="0"/>
      <w:lvlText w:val="(%1)"/>
      <w:lvlJc w:val="right"/>
      <w:pPr>
        <w:tabs>
          <w:tab w:val="num" w:pos="2431"/>
        </w:tabs>
        <w:ind w:left="2431" w:hanging="205"/>
      </w:p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3">
    <w:nsid w:val="13D86AAA"/>
    <w:multiLevelType w:val="hybridMultilevel"/>
    <w:tmpl w:val="065C6134"/>
    <w:lvl w:ilvl="0" w:tplc="D9B0BDC6">
      <w:start w:val="1"/>
      <w:numFmt w:val="bullet"/>
      <w:pStyle w:val="FootnoteReference"/>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nsid w:val="15662C53"/>
    <w:multiLevelType w:val="hybridMultilevel"/>
    <w:tmpl w:val="2A10FF4C"/>
    <w:lvl w:ilvl="0" w:tplc="6166126C">
      <w:start w:val="1"/>
      <w:numFmt w:val="bullet"/>
      <w:pStyle w:val="Heading1Char"/>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1E8B7260"/>
    <w:multiLevelType w:val="hybridMultilevel"/>
    <w:tmpl w:val="481CBFCA"/>
    <w:lvl w:ilvl="0" w:tplc="474EFE74">
      <w:start w:val="1"/>
      <w:numFmt w:val="lowerLetter"/>
      <w:lvlText w:val="(%1)"/>
      <w:lvlJc w:val="left"/>
      <w:pPr>
        <w:tabs>
          <w:tab w:val="num" w:pos="1128"/>
        </w:tabs>
        <w:ind w:left="1128" w:hanging="696"/>
      </w:pPr>
      <w:rPr>
        <w:rFonts w:hint="default"/>
      </w:rPr>
    </w:lvl>
    <w:lvl w:ilvl="1" w:tplc="04090019" w:tentative="1">
      <w:start w:val="1"/>
      <w:numFmt w:val="lowerLetter"/>
      <w:lvlText w:val="%2)"/>
      <w:lvlJc w:val="left"/>
      <w:pPr>
        <w:tabs>
          <w:tab w:val="num" w:pos="1272"/>
        </w:tabs>
        <w:ind w:left="1272" w:hanging="420"/>
      </w:pPr>
    </w:lvl>
    <w:lvl w:ilvl="2" w:tplc="0409001B" w:tentative="1">
      <w:start w:val="1"/>
      <w:numFmt w:val="lowerRoman"/>
      <w:lvlText w:val="%3."/>
      <w:lvlJc w:val="righ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9" w:tentative="1">
      <w:start w:val="1"/>
      <w:numFmt w:val="lowerLetter"/>
      <w:lvlText w:val="%5)"/>
      <w:lvlJc w:val="left"/>
      <w:pPr>
        <w:tabs>
          <w:tab w:val="num" w:pos="2532"/>
        </w:tabs>
        <w:ind w:left="2532" w:hanging="420"/>
      </w:pPr>
    </w:lvl>
    <w:lvl w:ilvl="5" w:tplc="0409001B" w:tentative="1">
      <w:start w:val="1"/>
      <w:numFmt w:val="lowerRoman"/>
      <w:lvlText w:val="%6."/>
      <w:lvlJc w:val="righ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9" w:tentative="1">
      <w:start w:val="1"/>
      <w:numFmt w:val="lowerLetter"/>
      <w:lvlText w:val="%8)"/>
      <w:lvlJc w:val="left"/>
      <w:pPr>
        <w:tabs>
          <w:tab w:val="num" w:pos="3792"/>
        </w:tabs>
        <w:ind w:left="3792" w:hanging="420"/>
      </w:pPr>
    </w:lvl>
    <w:lvl w:ilvl="8" w:tplc="0409001B" w:tentative="1">
      <w:start w:val="1"/>
      <w:numFmt w:val="lowerRoman"/>
      <w:lvlText w:val="%9."/>
      <w:lvlJc w:val="right"/>
      <w:pPr>
        <w:tabs>
          <w:tab w:val="num" w:pos="4212"/>
        </w:tabs>
        <w:ind w:left="4212" w:hanging="420"/>
      </w:pPr>
    </w:lvl>
  </w:abstractNum>
  <w:abstractNum w:abstractNumId="16">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70A66AC"/>
    <w:multiLevelType w:val="hybridMultilevel"/>
    <w:tmpl w:val="C55AC51A"/>
    <w:lvl w:ilvl="0" w:tplc="EB6AEDA0">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D5952B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2">
    <w:nsid w:val="3F67148B"/>
    <w:multiLevelType w:val="hybridMultilevel"/>
    <w:tmpl w:val="7A18681A"/>
    <w:lvl w:ilvl="0" w:tplc="CCE27AD6">
      <w:start w:val="1"/>
      <w:numFmt w:val="lowerLetter"/>
      <w:lvlRestart w:val="0"/>
      <w:lvlText w:val="(%1)"/>
      <w:lvlJc w:val="right"/>
      <w:pPr>
        <w:tabs>
          <w:tab w:val="num" w:pos="1996"/>
        </w:tabs>
        <w:ind w:left="1996" w:hanging="20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3067C7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4">
    <w:nsid w:val="49417F43"/>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6">
    <w:nsid w:val="564257B6"/>
    <w:multiLevelType w:val="hybridMultilevel"/>
    <w:tmpl w:val="77EC1926"/>
    <w:lvl w:ilvl="0" w:tplc="66A6859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671861DB"/>
    <w:multiLevelType w:val="hybridMultilevel"/>
    <w:tmpl w:val="A9B633D4"/>
    <w:lvl w:ilvl="0" w:tplc="34446D32">
      <w:start w:val="1"/>
      <w:numFmt w:val="bullet"/>
      <w:pStyle w:val="a"/>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nsid w:val="67F31F55"/>
    <w:multiLevelType w:val="multilevel"/>
    <w:tmpl w:val="79FA05F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9">
    <w:nsid w:val="68862366"/>
    <w:multiLevelType w:val="hybridMultilevel"/>
    <w:tmpl w:val="523E6D94"/>
    <w:lvl w:ilvl="0" w:tplc="E24C15DA">
      <w:start w:val="1"/>
      <w:numFmt w:val="bullet"/>
      <w:pStyle w:val="H56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21"/>
  </w:num>
  <w:num w:numId="13">
    <w:abstractNumId w:val="24"/>
  </w:num>
  <w:num w:numId="14">
    <w:abstractNumId w:val="13"/>
  </w:num>
  <w:num w:numId="15">
    <w:abstractNumId w:val="14"/>
  </w:num>
  <w:num w:numId="16">
    <w:abstractNumId w:val="27"/>
  </w:num>
  <w:num w:numId="17">
    <w:abstractNumId w:val="13"/>
  </w:num>
  <w:num w:numId="18">
    <w:abstractNumId w:val="13"/>
  </w:num>
  <w:num w:numId="19">
    <w:abstractNumId w:val="27"/>
  </w:num>
  <w:num w:numId="20">
    <w:abstractNumId w:val="14"/>
  </w:num>
  <w:num w:numId="21">
    <w:abstractNumId w:val="14"/>
  </w:num>
  <w:num w:numId="22">
    <w:abstractNumId w:val="20"/>
  </w:num>
  <w:num w:numId="23">
    <w:abstractNumId w:val="11"/>
  </w:num>
  <w:num w:numId="24">
    <w:abstractNumId w:val="18"/>
  </w:num>
  <w:num w:numId="25">
    <w:abstractNumId w:val="25"/>
  </w:num>
  <w:num w:numId="26">
    <w:abstractNumId w:val="19"/>
  </w:num>
  <w:num w:numId="27">
    <w:abstractNumId w:val="16"/>
  </w:num>
  <w:num w:numId="28">
    <w:abstractNumId w:val="20"/>
  </w:num>
  <w:num w:numId="29">
    <w:abstractNumId w:val="11"/>
  </w:num>
  <w:num w:numId="30">
    <w:abstractNumId w:val="18"/>
  </w:num>
  <w:num w:numId="31">
    <w:abstractNumId w:val="31"/>
  </w:num>
  <w:num w:numId="32">
    <w:abstractNumId w:val="25"/>
  </w:num>
  <w:num w:numId="33">
    <w:abstractNumId w:val="19"/>
  </w:num>
  <w:num w:numId="34">
    <w:abstractNumId w:val="16"/>
  </w:num>
  <w:num w:numId="35">
    <w:abstractNumId w:val="20"/>
  </w:num>
  <w:num w:numId="36">
    <w:abstractNumId w:val="11"/>
  </w:num>
  <w:num w:numId="37">
    <w:abstractNumId w:val="18"/>
  </w:num>
  <w:num w:numId="38">
    <w:abstractNumId w:val="31"/>
  </w:num>
  <w:num w:numId="39">
    <w:abstractNumId w:val="22"/>
  </w:num>
  <w:num w:numId="40">
    <w:abstractNumId w:val="17"/>
  </w:num>
  <w:num w:numId="41">
    <w:abstractNumId w:val="12"/>
  </w:num>
  <w:num w:numId="42">
    <w:abstractNumId w:val="30"/>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29"/>
  </w:num>
  <w:num w:numId="47">
    <w:abstractNumId w:val="26"/>
  </w:num>
  <w:num w:numId="4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4313"/>
    <w:rsid w:val="00002034"/>
    <w:rsid w:val="00020C87"/>
    <w:rsid w:val="00022C6D"/>
    <w:rsid w:val="00030AD2"/>
    <w:rsid w:val="000475C3"/>
    <w:rsid w:val="000511D6"/>
    <w:rsid w:val="00055382"/>
    <w:rsid w:val="0007052C"/>
    <w:rsid w:val="00085DDB"/>
    <w:rsid w:val="000B5C2E"/>
    <w:rsid w:val="000C3594"/>
    <w:rsid w:val="000C6A2D"/>
    <w:rsid w:val="000D6051"/>
    <w:rsid w:val="000E4FF4"/>
    <w:rsid w:val="000F04AE"/>
    <w:rsid w:val="00102FBD"/>
    <w:rsid w:val="00112244"/>
    <w:rsid w:val="0012413E"/>
    <w:rsid w:val="001259F1"/>
    <w:rsid w:val="0014003F"/>
    <w:rsid w:val="00152893"/>
    <w:rsid w:val="00172BD1"/>
    <w:rsid w:val="001B68B7"/>
    <w:rsid w:val="001D0F8B"/>
    <w:rsid w:val="001D1874"/>
    <w:rsid w:val="001E0E36"/>
    <w:rsid w:val="001F2D62"/>
    <w:rsid w:val="002336D2"/>
    <w:rsid w:val="00251218"/>
    <w:rsid w:val="0025344C"/>
    <w:rsid w:val="00253703"/>
    <w:rsid w:val="0026330B"/>
    <w:rsid w:val="00283897"/>
    <w:rsid w:val="00295F1A"/>
    <w:rsid w:val="0029644C"/>
    <w:rsid w:val="002A77DF"/>
    <w:rsid w:val="002D7642"/>
    <w:rsid w:val="002E1CDE"/>
    <w:rsid w:val="002E57F0"/>
    <w:rsid w:val="00302259"/>
    <w:rsid w:val="003024F1"/>
    <w:rsid w:val="00327B3E"/>
    <w:rsid w:val="0033248F"/>
    <w:rsid w:val="00334EDE"/>
    <w:rsid w:val="0035477D"/>
    <w:rsid w:val="00360908"/>
    <w:rsid w:val="0038336D"/>
    <w:rsid w:val="00384758"/>
    <w:rsid w:val="00386DC8"/>
    <w:rsid w:val="003E130D"/>
    <w:rsid w:val="003E17FD"/>
    <w:rsid w:val="003F1942"/>
    <w:rsid w:val="00411F1E"/>
    <w:rsid w:val="004303A9"/>
    <w:rsid w:val="0044403E"/>
    <w:rsid w:val="00487142"/>
    <w:rsid w:val="00496D5F"/>
    <w:rsid w:val="004B208D"/>
    <w:rsid w:val="004B3CB5"/>
    <w:rsid w:val="005060D3"/>
    <w:rsid w:val="00511D61"/>
    <w:rsid w:val="00547E6A"/>
    <w:rsid w:val="00566A63"/>
    <w:rsid w:val="005749F7"/>
    <w:rsid w:val="0058774F"/>
    <w:rsid w:val="00587F08"/>
    <w:rsid w:val="005A783C"/>
    <w:rsid w:val="005C3406"/>
    <w:rsid w:val="005C365E"/>
    <w:rsid w:val="005C4FF8"/>
    <w:rsid w:val="005D1901"/>
    <w:rsid w:val="005D73FB"/>
    <w:rsid w:val="00666AB7"/>
    <w:rsid w:val="00676167"/>
    <w:rsid w:val="0068582B"/>
    <w:rsid w:val="006D1BB2"/>
    <w:rsid w:val="006F34E0"/>
    <w:rsid w:val="00700C0F"/>
    <w:rsid w:val="00704F21"/>
    <w:rsid w:val="007109CC"/>
    <w:rsid w:val="00736D32"/>
    <w:rsid w:val="00741758"/>
    <w:rsid w:val="007471AC"/>
    <w:rsid w:val="0075219B"/>
    <w:rsid w:val="00756446"/>
    <w:rsid w:val="00794610"/>
    <w:rsid w:val="00796148"/>
    <w:rsid w:val="007A39CF"/>
    <w:rsid w:val="007E15C7"/>
    <w:rsid w:val="007F752C"/>
    <w:rsid w:val="0080101E"/>
    <w:rsid w:val="00833FBA"/>
    <w:rsid w:val="00834F13"/>
    <w:rsid w:val="00883F5B"/>
    <w:rsid w:val="00891918"/>
    <w:rsid w:val="00892535"/>
    <w:rsid w:val="008A4C1F"/>
    <w:rsid w:val="008B041C"/>
    <w:rsid w:val="008B39E2"/>
    <w:rsid w:val="008C40EB"/>
    <w:rsid w:val="008E7C19"/>
    <w:rsid w:val="008F23EE"/>
    <w:rsid w:val="008F2A60"/>
    <w:rsid w:val="008F6D12"/>
    <w:rsid w:val="009066FA"/>
    <w:rsid w:val="00911A84"/>
    <w:rsid w:val="0091645A"/>
    <w:rsid w:val="00925F6C"/>
    <w:rsid w:val="00932962"/>
    <w:rsid w:val="009336BD"/>
    <w:rsid w:val="0096650C"/>
    <w:rsid w:val="00976169"/>
    <w:rsid w:val="00985AAE"/>
    <w:rsid w:val="009902E4"/>
    <w:rsid w:val="009A4F47"/>
    <w:rsid w:val="009B7C5E"/>
    <w:rsid w:val="009C62AD"/>
    <w:rsid w:val="009E146E"/>
    <w:rsid w:val="00A11BC5"/>
    <w:rsid w:val="00A328C0"/>
    <w:rsid w:val="00A43331"/>
    <w:rsid w:val="00A50B88"/>
    <w:rsid w:val="00A900DA"/>
    <w:rsid w:val="00A93A29"/>
    <w:rsid w:val="00AE65DA"/>
    <w:rsid w:val="00AF3863"/>
    <w:rsid w:val="00B03657"/>
    <w:rsid w:val="00B063C6"/>
    <w:rsid w:val="00B115C8"/>
    <w:rsid w:val="00B16CF2"/>
    <w:rsid w:val="00B362C9"/>
    <w:rsid w:val="00B51E7A"/>
    <w:rsid w:val="00B676D5"/>
    <w:rsid w:val="00B77980"/>
    <w:rsid w:val="00BA27E0"/>
    <w:rsid w:val="00BB67F9"/>
    <w:rsid w:val="00BE01D0"/>
    <w:rsid w:val="00BE3010"/>
    <w:rsid w:val="00BF3898"/>
    <w:rsid w:val="00C157B9"/>
    <w:rsid w:val="00C219B1"/>
    <w:rsid w:val="00C53E8D"/>
    <w:rsid w:val="00C7462D"/>
    <w:rsid w:val="00C80503"/>
    <w:rsid w:val="00C84DDE"/>
    <w:rsid w:val="00CC6B5C"/>
    <w:rsid w:val="00CE042C"/>
    <w:rsid w:val="00CE0E43"/>
    <w:rsid w:val="00CF59E4"/>
    <w:rsid w:val="00CF5A57"/>
    <w:rsid w:val="00CF7146"/>
    <w:rsid w:val="00D14313"/>
    <w:rsid w:val="00D42589"/>
    <w:rsid w:val="00D4597B"/>
    <w:rsid w:val="00D62149"/>
    <w:rsid w:val="00D769E5"/>
    <w:rsid w:val="00D935F8"/>
    <w:rsid w:val="00DA42CE"/>
    <w:rsid w:val="00DA74D3"/>
    <w:rsid w:val="00DB258F"/>
    <w:rsid w:val="00DC3250"/>
    <w:rsid w:val="00DD132F"/>
    <w:rsid w:val="00E12397"/>
    <w:rsid w:val="00E155E7"/>
    <w:rsid w:val="00E241E8"/>
    <w:rsid w:val="00E754D2"/>
    <w:rsid w:val="00E77525"/>
    <w:rsid w:val="00EA3661"/>
    <w:rsid w:val="00EA62B1"/>
    <w:rsid w:val="00EB6660"/>
    <w:rsid w:val="00EE5D22"/>
    <w:rsid w:val="00EF093E"/>
    <w:rsid w:val="00F1312C"/>
    <w:rsid w:val="00F15D03"/>
    <w:rsid w:val="00F25F14"/>
    <w:rsid w:val="00F377B3"/>
    <w:rsid w:val="00F418CC"/>
    <w:rsid w:val="00F44EBF"/>
    <w:rsid w:val="00F81CE4"/>
    <w:rsid w:val="00F9137E"/>
    <w:rsid w:val="00FA3CA8"/>
    <w:rsid w:val="00FC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34EDE"/>
    <w:pPr>
      <w:tabs>
        <w:tab w:val="left" w:pos="431"/>
      </w:tabs>
      <w:overflowPunct w:val="0"/>
      <w:adjustRightInd w:val="0"/>
      <w:snapToGrid w:val="0"/>
      <w:spacing w:line="320" w:lineRule="exact"/>
      <w:jc w:val="both"/>
    </w:pPr>
    <w:rPr>
      <w:snapToGrid w:val="0"/>
      <w:sz w:val="21"/>
      <w:lang w:eastAsia="zh-CN"/>
    </w:rPr>
  </w:style>
  <w:style w:type="paragraph" w:styleId="Heading1">
    <w:name w:val="heading 1"/>
    <w:aliases w:val="Table_G"/>
    <w:basedOn w:val="Normal"/>
    <w:next w:val="Normal"/>
    <w:link w:val="Heading1Char"/>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pPr>
      <w:keepNext/>
      <w:keepLines/>
      <w:widowControl w:val="0"/>
      <w:spacing w:after="320" w:line="288" w:lineRule="auto"/>
      <w:jc w:val="center"/>
      <w:outlineLvl w:val="1"/>
    </w:pPr>
    <w:rPr>
      <w:kern w:val="28"/>
      <w:sz w:val="28"/>
    </w:rPr>
  </w:style>
  <w:style w:type="paragraph" w:styleId="Heading3">
    <w:name w:val="heading 3"/>
    <w:basedOn w:val="Normal"/>
    <w:next w:val="Normal"/>
    <w:link w:val="Heading3Char"/>
    <w:qFormat/>
    <w:pPr>
      <w:keepNext/>
      <w:keepLines/>
      <w:widowControl w:val="0"/>
      <w:spacing w:after="320"/>
      <w:jc w:val="center"/>
      <w:outlineLvl w:val="2"/>
    </w:pPr>
    <w:rPr>
      <w:kern w:val="28"/>
      <w:u w:val="single"/>
    </w:rPr>
  </w:style>
  <w:style w:type="paragraph" w:styleId="Heading4">
    <w:name w:val="heading 4"/>
    <w:basedOn w:val="Normal"/>
    <w:next w:val="Normal"/>
    <w:link w:val="Heading4Char"/>
    <w:qFormat/>
    <w:pPr>
      <w:keepNext/>
      <w:keepLines/>
      <w:widowControl w:val="0"/>
      <w:spacing w:after="240"/>
      <w:outlineLvl w:val="3"/>
    </w:pPr>
    <w:rPr>
      <w:u w:val="single"/>
    </w:rPr>
  </w:style>
  <w:style w:type="paragraph" w:styleId="Heading5">
    <w:name w:val="heading 5"/>
    <w:basedOn w:val="Normal"/>
    <w:next w:val="Normal"/>
    <w:link w:val="Heading5Char"/>
    <w:qFormat/>
    <w:pPr>
      <w:spacing w:after="240"/>
      <w:outlineLvl w:val="4"/>
    </w:pPr>
    <w:rPr>
      <w:rFonts w:eastAsia="SimHei"/>
      <w:bCs/>
      <w:szCs w:val="36"/>
    </w:rPr>
  </w:style>
  <w:style w:type="paragraph" w:styleId="Heading6">
    <w:name w:val="heading 6"/>
    <w:basedOn w:val="Normal"/>
    <w:next w:val="Normal"/>
    <w:link w:val="Heading6Char"/>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link w:val="Heading7Char"/>
    <w:qFormat/>
    <w:pPr>
      <w:keepNext/>
      <w:keepLines/>
      <w:spacing w:before="240" w:after="64" w:line="320" w:lineRule="auto"/>
      <w:outlineLvl w:val="6"/>
    </w:pPr>
    <w:rPr>
      <w:b/>
      <w:bCs/>
      <w:szCs w:val="24"/>
    </w:rPr>
  </w:style>
  <w:style w:type="paragraph" w:styleId="Heading8">
    <w:name w:val="heading 8"/>
    <w:basedOn w:val="Normal"/>
    <w:next w:val="Normal"/>
    <w:link w:val="Heading8Char"/>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link w:val="Heading9Char"/>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aliases w:val="Table_G Char"/>
    <w:link w:val="Heading1"/>
    <w:semiHidden/>
    <w:locked/>
    <w:rsid w:val="005D1901"/>
    <w:rPr>
      <w:rFonts w:eastAsia="SimSun"/>
      <w:b/>
      <w:kern w:val="32"/>
      <w:sz w:val="30"/>
      <w:lang w:val="en-US" w:eastAsia="zh-CN" w:bidi="ar-SA"/>
    </w:rPr>
  </w:style>
  <w:style w:type="character" w:customStyle="1" w:styleId="Heading2Char">
    <w:name w:val="Heading 2 Char"/>
    <w:link w:val="Heading2"/>
    <w:semiHidden/>
    <w:locked/>
    <w:rsid w:val="005D1901"/>
    <w:rPr>
      <w:rFonts w:eastAsia="SimSun"/>
      <w:snapToGrid w:val="0"/>
      <w:kern w:val="28"/>
      <w:sz w:val="28"/>
      <w:lang w:val="en-US" w:eastAsia="zh-CN" w:bidi="ar-SA"/>
    </w:rPr>
  </w:style>
  <w:style w:type="character" w:customStyle="1" w:styleId="Heading3Char">
    <w:name w:val="Heading 3 Char"/>
    <w:link w:val="Heading3"/>
    <w:semiHidden/>
    <w:locked/>
    <w:rsid w:val="005D1901"/>
    <w:rPr>
      <w:rFonts w:eastAsia="SimSun"/>
      <w:snapToGrid w:val="0"/>
      <w:kern w:val="28"/>
      <w:sz w:val="21"/>
      <w:u w:val="single"/>
      <w:lang w:val="en-US" w:eastAsia="zh-CN" w:bidi="ar-SA"/>
    </w:rPr>
  </w:style>
  <w:style w:type="character" w:customStyle="1" w:styleId="Heading4Char">
    <w:name w:val="Heading 4 Char"/>
    <w:link w:val="Heading4"/>
    <w:semiHidden/>
    <w:locked/>
    <w:rsid w:val="005D1901"/>
    <w:rPr>
      <w:rFonts w:eastAsia="SimSun"/>
      <w:snapToGrid w:val="0"/>
      <w:sz w:val="21"/>
      <w:u w:val="single"/>
      <w:lang w:val="en-US" w:eastAsia="zh-CN" w:bidi="ar-SA"/>
    </w:rPr>
  </w:style>
  <w:style w:type="character" w:customStyle="1" w:styleId="Heading5Char">
    <w:name w:val="Heading 5 Char"/>
    <w:link w:val="Heading5"/>
    <w:semiHidden/>
    <w:locked/>
    <w:rsid w:val="005D1901"/>
    <w:rPr>
      <w:rFonts w:eastAsia="SimHei"/>
      <w:bCs/>
      <w:snapToGrid w:val="0"/>
      <w:sz w:val="21"/>
      <w:szCs w:val="36"/>
      <w:lang w:val="en-US" w:eastAsia="zh-CN" w:bidi="ar-SA"/>
    </w:rPr>
  </w:style>
  <w:style w:type="character" w:customStyle="1" w:styleId="Heading6Char">
    <w:name w:val="Heading 6 Char"/>
    <w:link w:val="Heading6"/>
    <w:semiHidden/>
    <w:locked/>
    <w:rsid w:val="005D1901"/>
    <w:rPr>
      <w:rFonts w:ascii="Arial" w:eastAsia="SimHei" w:hAnsi="Arial"/>
      <w:b/>
      <w:bCs/>
      <w:snapToGrid w:val="0"/>
      <w:sz w:val="21"/>
      <w:szCs w:val="24"/>
      <w:lang w:val="en-US" w:eastAsia="zh-CN" w:bidi="ar-SA"/>
    </w:rPr>
  </w:style>
  <w:style w:type="character" w:customStyle="1" w:styleId="Heading7Char">
    <w:name w:val="Heading 7 Char"/>
    <w:link w:val="Heading7"/>
    <w:semiHidden/>
    <w:locked/>
    <w:rsid w:val="005D1901"/>
    <w:rPr>
      <w:rFonts w:eastAsia="SimSun"/>
      <w:b/>
      <w:bCs/>
      <w:snapToGrid w:val="0"/>
      <w:sz w:val="21"/>
      <w:szCs w:val="24"/>
      <w:lang w:val="en-US" w:eastAsia="zh-CN" w:bidi="ar-SA"/>
    </w:rPr>
  </w:style>
  <w:style w:type="character" w:customStyle="1" w:styleId="Heading8Char">
    <w:name w:val="Heading 8 Char"/>
    <w:link w:val="Heading8"/>
    <w:semiHidden/>
    <w:locked/>
    <w:rsid w:val="005D1901"/>
    <w:rPr>
      <w:rFonts w:ascii="Arial" w:eastAsia="SimHei" w:hAnsi="Arial"/>
      <w:snapToGrid w:val="0"/>
      <w:sz w:val="21"/>
      <w:szCs w:val="24"/>
      <w:lang w:val="en-US" w:eastAsia="zh-CN" w:bidi="ar-SA"/>
    </w:rPr>
  </w:style>
  <w:style w:type="character" w:customStyle="1" w:styleId="Heading9Char">
    <w:name w:val="Heading 9 Char"/>
    <w:link w:val="Heading9"/>
    <w:semiHidden/>
    <w:locked/>
    <w:rsid w:val="005D1901"/>
    <w:rPr>
      <w:rFonts w:ascii="Arial" w:eastAsia="SimHei" w:hAnsi="Arial"/>
      <w:snapToGrid w:val="0"/>
      <w:sz w:val="21"/>
      <w:szCs w:val="21"/>
      <w:lang w:val="en-US" w:eastAsia="zh-CN" w:bidi="ar-SA"/>
    </w:rPr>
  </w:style>
  <w:style w:type="paragraph" w:customStyle="1" w:styleId="DashGC">
    <w:name w:val="_Dash_GC"/>
    <w:basedOn w:val="Normal"/>
    <w:rsid w:val="00DB258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aliases w:val="5_G,Footnote Text Char Char Char Char Char,Footnote Text Char Char Char Char,Footnote reference,FA Fu,Footnote Text Char Char Char,Footnote Reference1,Char,single space,ft,Footnote Text Char Char,footnote text Char,single space Char,ft Ch"/>
    <w:basedOn w:val="Normal"/>
    <w:link w:val="FootnoteTextChar"/>
    <w:rsid w:val="007471AC"/>
    <w:pPr>
      <w:keepLines/>
      <w:tabs>
        <w:tab w:val="clear" w:pos="431"/>
        <w:tab w:val="right" w:pos="1021"/>
      </w:tabs>
      <w:spacing w:after="120" w:line="240" w:lineRule="exact"/>
      <w:ind w:left="1134" w:right="1134" w:hanging="1134"/>
    </w:pPr>
    <w:rPr>
      <w:sz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single space Char1,ft Char"/>
    <w:link w:val="FootnoteText"/>
    <w:locked/>
    <w:rsid w:val="005D1901"/>
    <w:rPr>
      <w:rFonts w:eastAsia="SimSun"/>
      <w:snapToGrid w:val="0"/>
      <w:sz w:val="18"/>
      <w:lang w:val="en-US" w:eastAsia="zh-CN" w:bidi="ar-SA"/>
    </w:rPr>
  </w:style>
  <w:style w:type="character" w:styleId="FootnoteReference">
    <w:name w:val="footnote reference"/>
    <w:aliases w:val="4_G,Footnote number,ftref,BVI fnr,16 Point,Superscript 6 Point,Footnote,Footnote symbol,Footnote Refernece,Texto de nota al pie,Fußnotenzeichen_Raxen"/>
    <w:rsid w:val="00D935F8"/>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91645A"/>
    <w:pPr>
      <w:ind w:left="1565"/>
    </w:pPr>
  </w:style>
  <w:style w:type="paragraph" w:customStyle="1" w:styleId="SingleTxtGC">
    <w:name w:val="_ Single Txt_GC"/>
    <w:basedOn w:val="Normal"/>
    <w:link w:val="SingleTxtGCChar"/>
    <w:rsid w:val="000475C3"/>
    <w:pPr>
      <w:tabs>
        <w:tab w:val="left" w:pos="1134"/>
        <w:tab w:val="left" w:pos="1565"/>
        <w:tab w:val="left" w:pos="1996"/>
        <w:tab w:val="left" w:pos="2427"/>
      </w:tabs>
      <w:spacing w:after="120"/>
      <w:ind w:left="1134" w:right="1134"/>
    </w:pPr>
  </w:style>
  <w:style w:type="character" w:customStyle="1" w:styleId="SingleTxtGCChar">
    <w:name w:val="_ Single Txt_GC Char"/>
    <w:link w:val="SingleTxtGC"/>
    <w:locked/>
    <w:rsid w:val="005D1901"/>
    <w:rPr>
      <w:rFonts w:eastAsia="SimSun"/>
      <w:snapToGrid w:val="0"/>
      <w:sz w:val="21"/>
      <w:lang w:val="en-US" w:eastAsia="zh-CN" w:bidi="ar-SA"/>
    </w:rPr>
  </w:style>
  <w:style w:type="paragraph" w:customStyle="1" w:styleId="a0">
    <w:name w:val="表中标题"/>
    <w:basedOn w:val="SingleTxtGC"/>
    <w:rsid w:val="00D42589"/>
    <w:pPr>
      <w:spacing w:before="80" w:after="80" w:line="200" w:lineRule="exact"/>
      <w:ind w:left="0" w:right="113"/>
    </w:pPr>
    <w:rPr>
      <w:rFonts w:eastAsia="KaiTi_GB2312"/>
      <w:sz w:val="18"/>
    </w:rPr>
  </w:style>
  <w:style w:type="paragraph" w:customStyle="1" w:styleId="a1">
    <w:name w:val="目录段页次"/>
    <w:basedOn w:val="Normal"/>
    <w:rsid w:val="003F1942"/>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3F1942"/>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aliases w:val="2_G"/>
    <w:basedOn w:val="FootnoteText"/>
    <w:link w:val="EndnoteTextChar"/>
    <w:rsid w:val="00D935F8"/>
    <w:pPr>
      <w:tabs>
        <w:tab w:val="right" w:pos="1021"/>
      </w:tabs>
    </w:pPr>
  </w:style>
  <w:style w:type="character" w:customStyle="1" w:styleId="EndnoteTextChar">
    <w:name w:val="Endnote Text Char"/>
    <w:aliases w:val="2_G Char"/>
    <w:link w:val="EndnoteText"/>
    <w:locked/>
    <w:rsid w:val="005D1901"/>
    <w:rPr>
      <w:rFonts w:eastAsia="SimSun"/>
      <w:snapToGrid w:val="0"/>
      <w:sz w:val="18"/>
      <w:lang w:val="en-US" w:eastAsia="zh-CN" w:bidi="ar-SA"/>
    </w:rPr>
  </w:style>
  <w:style w:type="character" w:styleId="EndnoteReference">
    <w:name w:val="endnote reference"/>
    <w:aliases w:val="1_G"/>
    <w:basedOn w:val="FootnoteReference"/>
    <w:rsid w:val="00DB258F"/>
    <w:rPr>
      <w:rFonts w:ascii="Times New Roman" w:hAnsi="Times New Roman"/>
      <w:dstrike w:val="0"/>
      <w:color w:val="0000FF"/>
      <w:spacing w:val="0"/>
      <w:w w:val="100"/>
      <w:kern w:val="0"/>
      <w:position w:val="0"/>
      <w:sz w:val="21"/>
      <w:vertAlign w:val="superscript"/>
    </w:rPr>
  </w:style>
  <w:style w:type="paragraph" w:styleId="Footer">
    <w:name w:val="footer"/>
    <w:aliases w:val="3_G"/>
    <w:basedOn w:val="Normal"/>
    <w:link w:val="FooterChar"/>
    <w:rsid w:val="00334EDE"/>
    <w:pPr>
      <w:spacing w:line="240" w:lineRule="auto"/>
    </w:pPr>
    <w:rPr>
      <w:rFonts w:eastAsia="Times New Roman"/>
      <w:sz w:val="16"/>
      <w:lang w:val="en-GB" w:eastAsia="en-US"/>
    </w:rPr>
  </w:style>
  <w:style w:type="character" w:customStyle="1" w:styleId="FooterChar">
    <w:name w:val="Footer Char"/>
    <w:aliases w:val="3_G Char"/>
    <w:link w:val="Footer"/>
    <w:locked/>
    <w:rsid w:val="005D1901"/>
    <w:rPr>
      <w:snapToGrid w:val="0"/>
      <w:sz w:val="16"/>
      <w:lang w:val="en-GB" w:eastAsia="en-US" w:bidi="ar-SA"/>
    </w:rPr>
  </w:style>
  <w:style w:type="character" w:styleId="PageNumber">
    <w:name w:val="page number"/>
    <w:aliases w:val="7_G"/>
    <w:rsid w:val="00334EDE"/>
    <w:rPr>
      <w:rFonts w:ascii="Times New Roman" w:hAnsi="Times New Roman"/>
      <w:b/>
      <w:spacing w:val="0"/>
      <w:kern w:val="0"/>
      <w:sz w:val="18"/>
    </w:rPr>
  </w:style>
  <w:style w:type="paragraph" w:styleId="Header">
    <w:name w:val="header"/>
    <w:aliases w:val="6_G"/>
    <w:basedOn w:val="Normal"/>
    <w:link w:val="HeaderChar"/>
    <w:rsid w:val="00334EDE"/>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character" w:customStyle="1" w:styleId="HeaderChar">
    <w:name w:val="Header Char"/>
    <w:aliases w:val="6_G Char"/>
    <w:link w:val="Header"/>
    <w:locked/>
    <w:rsid w:val="005D1901"/>
    <w:rPr>
      <w:rFonts w:eastAsia="SimSun"/>
      <w:b/>
      <w:snapToGrid w:val="0"/>
      <w:sz w:val="18"/>
      <w:lang w:val="en-GB" w:eastAsia="en-US" w:bidi="ar-SA"/>
    </w:rPr>
  </w:style>
  <w:style w:type="paragraph" w:customStyle="1" w:styleId="Bullet1GC">
    <w:name w:val="_Bullet 1_GC"/>
    <w:basedOn w:val="Normal"/>
    <w:rsid w:val="00334EDE"/>
    <w:pPr>
      <w:numPr>
        <w:numId w:val="18"/>
      </w:numPr>
      <w:spacing w:after="120"/>
      <w:ind w:right="1134"/>
    </w:pPr>
  </w:style>
  <w:style w:type="paragraph" w:customStyle="1" w:styleId="Bullet2GC">
    <w:name w:val="_Bullet 2_GC"/>
    <w:basedOn w:val="Normal"/>
    <w:rsid w:val="00DB258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DD132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DD132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DD132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DD132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DD132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DD132F"/>
    <w:pPr>
      <w:keepNext/>
      <w:keepLines/>
      <w:tabs>
        <w:tab w:val="clear" w:pos="431"/>
        <w:tab w:val="right" w:pos="851"/>
      </w:tabs>
      <w:spacing w:before="240" w:after="120"/>
      <w:ind w:left="1134" w:right="1134" w:hanging="1134"/>
      <w:outlineLvl w:val="5"/>
    </w:pPr>
  </w:style>
  <w:style w:type="paragraph" w:customStyle="1" w:styleId="SLGC">
    <w:name w:val="__S_L_GC"/>
    <w:basedOn w:val="Normal"/>
    <w:next w:val="SingleTxtGC"/>
    <w:rsid w:val="00030AD2"/>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030AD2"/>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030AD2"/>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030AD2"/>
    <w:pPr>
      <w:keepNext/>
      <w:keepLines/>
      <w:spacing w:before="240" w:after="240" w:line="420" w:lineRule="exact"/>
      <w:ind w:left="1134" w:right="1134"/>
      <w:jc w:val="left"/>
    </w:pPr>
    <w:rPr>
      <w:rFonts w:eastAsia="SimHei"/>
      <w:sz w:val="40"/>
    </w:rPr>
  </w:style>
  <w:style w:type="paragraph" w:customStyle="1" w:styleId="a3">
    <w:name w:val="悬挂"/>
    <w:basedOn w:val="SingleTxtGC"/>
    <w:rsid w:val="00F418CC"/>
    <w:pPr>
      <w:ind w:left="1565" w:hanging="431"/>
    </w:pPr>
  </w:style>
  <w:style w:type="paragraph" w:customStyle="1" w:styleId="a4">
    <w:name w:val="表中文字"/>
    <w:basedOn w:val="SingleTxtGC"/>
    <w:rsid w:val="00F81CE4"/>
    <w:pPr>
      <w:spacing w:before="40" w:line="240" w:lineRule="atLeast"/>
      <w:ind w:left="0" w:right="113"/>
    </w:pPr>
    <w:rPr>
      <w:sz w:val="18"/>
    </w:rPr>
  </w:style>
  <w:style w:type="paragraph" w:customStyle="1" w:styleId="a5">
    <w:name w:val="表数文字"/>
    <w:basedOn w:val="SingleTxtGC"/>
    <w:rsid w:val="00B676D5"/>
    <w:pPr>
      <w:spacing w:before="40" w:after="40" w:line="240" w:lineRule="atLeast"/>
      <w:ind w:left="0" w:right="113"/>
    </w:pPr>
    <w:rPr>
      <w:sz w:val="18"/>
    </w:rPr>
  </w:style>
  <w:style w:type="table" w:styleId="TableGrid">
    <w:name w:val="Table Grid"/>
    <w:basedOn w:val="TableNormal"/>
    <w:semiHidden/>
    <w:rsid w:val="009E146E"/>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5D1901"/>
    <w:pPr>
      <w:tabs>
        <w:tab w:val="left" w:pos="431"/>
      </w:tabs>
      <w:spacing w:after="200"/>
    </w:pPr>
    <w:rPr>
      <w:rFonts w:ascii="Calibri" w:hAnsi="Calibri"/>
      <w:b/>
      <w:bCs/>
      <w:snapToGrid/>
      <w:color w:val="4F81BD"/>
      <w:sz w:val="18"/>
      <w:szCs w:val="18"/>
    </w:rPr>
  </w:style>
  <w:style w:type="paragraph" w:styleId="TOCHeading">
    <w:name w:val="TOC Heading"/>
    <w:basedOn w:val="Heading1"/>
    <w:next w:val="Normal"/>
    <w:qFormat/>
    <w:rsid w:val="005D1901"/>
    <w:pPr>
      <w:widowControl/>
      <w:tabs>
        <w:tab w:val="left" w:pos="431"/>
      </w:tabs>
      <w:spacing w:before="480" w:after="0" w:line="276" w:lineRule="auto"/>
      <w:jc w:val="both"/>
      <w:outlineLvl w:val="9"/>
    </w:pPr>
    <w:rPr>
      <w:bCs/>
      <w:color w:val="365F91"/>
      <w:kern w:val="0"/>
      <w:sz w:val="28"/>
      <w:szCs w:val="28"/>
    </w:rPr>
  </w:style>
  <w:style w:type="paragraph" w:styleId="BalloonText">
    <w:name w:val="Balloon Text"/>
    <w:basedOn w:val="Normal"/>
    <w:link w:val="BalloonTextChar"/>
    <w:rsid w:val="005D1901"/>
    <w:pPr>
      <w:tabs>
        <w:tab w:val="left" w:pos="431"/>
      </w:tabs>
    </w:pPr>
    <w:rPr>
      <w:snapToGrid/>
      <w:sz w:val="18"/>
      <w:szCs w:val="18"/>
    </w:rPr>
  </w:style>
  <w:style w:type="character" w:customStyle="1" w:styleId="BalloonTextChar">
    <w:name w:val="Balloon Text Char"/>
    <w:link w:val="BalloonText"/>
    <w:locked/>
    <w:rsid w:val="005D1901"/>
    <w:rPr>
      <w:rFonts w:eastAsia="SimSun"/>
      <w:sz w:val="18"/>
      <w:szCs w:val="18"/>
      <w:lang w:val="en-US" w:eastAsia="zh-CN" w:bidi="ar-SA"/>
    </w:rPr>
  </w:style>
  <w:style w:type="paragraph" w:customStyle="1" w:styleId="SingleTxtG">
    <w:name w:val="_ Single Txt_G"/>
    <w:basedOn w:val="Normal"/>
    <w:link w:val="SingleTxtGChar"/>
    <w:rsid w:val="005D1901"/>
    <w:pPr>
      <w:tabs>
        <w:tab w:val="clear" w:pos="431"/>
      </w:tabs>
      <w:suppressAutoHyphens/>
      <w:overflowPunct/>
      <w:adjustRightInd/>
      <w:snapToGrid/>
      <w:spacing w:after="120" w:line="240" w:lineRule="atLeast"/>
      <w:ind w:left="1134" w:right="1134"/>
    </w:pPr>
    <w:rPr>
      <w:snapToGrid/>
      <w:sz w:val="20"/>
      <w:lang w:val="fr-CH" w:eastAsia="en-US"/>
    </w:rPr>
  </w:style>
  <w:style w:type="character" w:customStyle="1" w:styleId="SingleTxtGChar">
    <w:name w:val="_ Single Txt_G Char"/>
    <w:link w:val="SingleTxtG"/>
    <w:locked/>
    <w:rsid w:val="005D1901"/>
    <w:rPr>
      <w:rFonts w:eastAsia="SimSun"/>
      <w:lang w:val="fr-CH" w:eastAsia="en-US" w:bidi="ar-SA"/>
    </w:rPr>
  </w:style>
  <w:style w:type="paragraph" w:customStyle="1" w:styleId="H23G">
    <w:name w:val="_ H_2/3_G"/>
    <w:basedOn w:val="Normal"/>
    <w:next w:val="Normal"/>
    <w:rsid w:val="005D1901"/>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fr-CH" w:eastAsia="en-US"/>
    </w:rPr>
  </w:style>
  <w:style w:type="paragraph" w:customStyle="1" w:styleId="H4G">
    <w:name w:val="_ H_4_G"/>
    <w:basedOn w:val="Normal"/>
    <w:next w:val="Normal"/>
    <w:rsid w:val="005D1901"/>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fr-CH" w:eastAsia="en-US"/>
    </w:rPr>
  </w:style>
  <w:style w:type="paragraph" w:customStyle="1" w:styleId="HChG">
    <w:name w:val="_ H _Ch_G"/>
    <w:basedOn w:val="Normal"/>
    <w:next w:val="Normal"/>
    <w:rsid w:val="005D1901"/>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fr-CH" w:eastAsia="en-US"/>
    </w:rPr>
  </w:style>
  <w:style w:type="paragraph" w:customStyle="1" w:styleId="H1G">
    <w:name w:val="_ H_1_G"/>
    <w:basedOn w:val="Normal"/>
    <w:next w:val="Normal"/>
    <w:rsid w:val="005D1901"/>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fr-CH" w:eastAsia="en-US"/>
    </w:rPr>
  </w:style>
  <w:style w:type="paragraph" w:customStyle="1" w:styleId="HMG">
    <w:name w:val="_ H __M_G"/>
    <w:basedOn w:val="Normal"/>
    <w:next w:val="Normal"/>
    <w:rsid w:val="005D1901"/>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MS Mincho"/>
      <w:b/>
      <w:snapToGrid/>
      <w:sz w:val="34"/>
      <w:lang w:val="en-GB" w:eastAsia="en-US"/>
    </w:rPr>
  </w:style>
  <w:style w:type="paragraph" w:customStyle="1" w:styleId="SMG">
    <w:name w:val="__S_M_G"/>
    <w:basedOn w:val="Normal"/>
    <w:next w:val="Normal"/>
    <w:rsid w:val="005D1901"/>
    <w:pPr>
      <w:keepNext/>
      <w:keepLines/>
      <w:tabs>
        <w:tab w:val="clear" w:pos="431"/>
      </w:tabs>
      <w:suppressAutoHyphens/>
      <w:overflowPunct/>
      <w:adjustRightInd/>
      <w:snapToGrid/>
      <w:spacing w:before="240" w:after="240" w:line="420" w:lineRule="exact"/>
      <w:ind w:left="1134" w:right="1134"/>
      <w:jc w:val="left"/>
    </w:pPr>
    <w:rPr>
      <w:rFonts w:eastAsia="MS Mincho"/>
      <w:b/>
      <w:snapToGrid/>
      <w:sz w:val="40"/>
      <w:lang w:val="en-GB" w:eastAsia="en-US"/>
    </w:rPr>
  </w:style>
  <w:style w:type="paragraph" w:customStyle="1" w:styleId="SLG">
    <w:name w:val="__S_L_G"/>
    <w:basedOn w:val="Normal"/>
    <w:next w:val="Normal"/>
    <w:rsid w:val="005D1901"/>
    <w:pPr>
      <w:keepNext/>
      <w:keepLines/>
      <w:tabs>
        <w:tab w:val="clear" w:pos="431"/>
      </w:tabs>
      <w:suppressAutoHyphens/>
      <w:overflowPunct/>
      <w:adjustRightInd/>
      <w:snapToGrid/>
      <w:spacing w:before="240" w:after="240" w:line="580" w:lineRule="exact"/>
      <w:ind w:left="1134" w:right="1134"/>
      <w:jc w:val="left"/>
    </w:pPr>
    <w:rPr>
      <w:rFonts w:eastAsia="MS Mincho"/>
      <w:b/>
      <w:snapToGrid/>
      <w:sz w:val="56"/>
      <w:lang w:val="en-GB" w:eastAsia="en-US"/>
    </w:rPr>
  </w:style>
  <w:style w:type="paragraph" w:customStyle="1" w:styleId="SSG">
    <w:name w:val="__S_S_G"/>
    <w:basedOn w:val="Normal"/>
    <w:next w:val="Normal"/>
    <w:rsid w:val="005D1901"/>
    <w:pPr>
      <w:keepNext/>
      <w:keepLines/>
      <w:tabs>
        <w:tab w:val="clear" w:pos="431"/>
      </w:tabs>
      <w:suppressAutoHyphens/>
      <w:overflowPunct/>
      <w:adjustRightInd/>
      <w:snapToGrid/>
      <w:spacing w:before="240" w:after="240" w:line="300" w:lineRule="exact"/>
      <w:ind w:left="1134" w:right="1134"/>
      <w:jc w:val="left"/>
    </w:pPr>
    <w:rPr>
      <w:rFonts w:eastAsia="MS Mincho"/>
      <w:b/>
      <w:snapToGrid/>
      <w:sz w:val="28"/>
      <w:lang w:val="en-GB" w:eastAsia="en-US"/>
    </w:rPr>
  </w:style>
  <w:style w:type="paragraph" w:customStyle="1" w:styleId="XLargeG">
    <w:name w:val="__XLarge_G"/>
    <w:basedOn w:val="Normal"/>
    <w:next w:val="Normal"/>
    <w:rsid w:val="005D1901"/>
    <w:pPr>
      <w:keepNext/>
      <w:keepLines/>
      <w:tabs>
        <w:tab w:val="clear" w:pos="431"/>
      </w:tabs>
      <w:suppressAutoHyphens/>
      <w:overflowPunct/>
      <w:adjustRightInd/>
      <w:snapToGrid/>
      <w:spacing w:before="240" w:after="240" w:line="420" w:lineRule="exact"/>
      <w:ind w:left="1134" w:right="1134"/>
      <w:jc w:val="left"/>
    </w:pPr>
    <w:rPr>
      <w:rFonts w:eastAsia="MS Mincho"/>
      <w:b/>
      <w:snapToGrid/>
      <w:sz w:val="40"/>
      <w:lang w:val="en-GB" w:eastAsia="en-US"/>
    </w:rPr>
  </w:style>
  <w:style w:type="paragraph" w:customStyle="1" w:styleId="Bullet1G">
    <w:name w:val="_Bullet 1_G"/>
    <w:basedOn w:val="Normal"/>
    <w:rsid w:val="005D1901"/>
    <w:pPr>
      <w:numPr>
        <w:numId w:val="45"/>
      </w:numPr>
      <w:tabs>
        <w:tab w:val="clear" w:pos="431"/>
      </w:tabs>
      <w:suppressAutoHyphens/>
      <w:overflowPunct/>
      <w:adjustRightInd/>
      <w:snapToGrid/>
      <w:spacing w:after="120" w:line="240" w:lineRule="atLeast"/>
      <w:ind w:right="1134"/>
    </w:pPr>
    <w:rPr>
      <w:rFonts w:eastAsia="MS Mincho"/>
      <w:snapToGrid/>
      <w:sz w:val="20"/>
      <w:lang w:val="en-GB" w:eastAsia="en-US"/>
    </w:rPr>
  </w:style>
  <w:style w:type="paragraph" w:customStyle="1" w:styleId="Bullet2G">
    <w:name w:val="_Bullet 2_G"/>
    <w:basedOn w:val="Normal"/>
    <w:rsid w:val="005D1901"/>
    <w:pPr>
      <w:numPr>
        <w:numId w:val="46"/>
      </w:numPr>
      <w:tabs>
        <w:tab w:val="clear" w:pos="431"/>
      </w:tabs>
      <w:suppressAutoHyphens/>
      <w:overflowPunct/>
      <w:adjustRightInd/>
      <w:snapToGrid/>
      <w:spacing w:after="120" w:line="240" w:lineRule="atLeast"/>
      <w:ind w:right="1134"/>
    </w:pPr>
    <w:rPr>
      <w:rFonts w:eastAsia="MS Mincho"/>
      <w:snapToGrid/>
      <w:sz w:val="20"/>
      <w:lang w:val="en-GB" w:eastAsia="en-US"/>
    </w:rPr>
  </w:style>
  <w:style w:type="paragraph" w:customStyle="1" w:styleId="H56G">
    <w:name w:val="_ H_5/6_G"/>
    <w:basedOn w:val="Normal"/>
    <w:next w:val="Normal"/>
    <w:rsid w:val="005D1901"/>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MS Mincho"/>
      <w:snapToGrid/>
      <w:sz w:val="20"/>
      <w:lang w:val="en-GB" w:eastAsia="en-US"/>
    </w:rPr>
  </w:style>
  <w:style w:type="character" w:customStyle="1" w:styleId="sectionlabel">
    <w:name w:val="sectionlabel"/>
    <w:rsid w:val="005D1901"/>
  </w:style>
  <w:style w:type="character" w:customStyle="1" w:styleId="canliisectionwithsubsection">
    <w:name w:val="canlii_section_with_subsection"/>
    <w:rsid w:val="005D1901"/>
  </w:style>
  <w:style w:type="character" w:styleId="Emphasis">
    <w:name w:val="Emphasis"/>
    <w:qFormat/>
    <w:rsid w:val="005D1901"/>
    <w:rPr>
      <w:b/>
    </w:rPr>
  </w:style>
  <w:style w:type="character" w:customStyle="1" w:styleId="st">
    <w:name w:val="st"/>
    <w:rsid w:val="005D1901"/>
  </w:style>
  <w:style w:type="paragraph" w:customStyle="1" w:styleId="Default">
    <w:name w:val="Default"/>
    <w:rsid w:val="005D1901"/>
    <w:pPr>
      <w:autoSpaceDE w:val="0"/>
      <w:autoSpaceDN w:val="0"/>
      <w:adjustRightInd w:val="0"/>
    </w:pPr>
    <w:rPr>
      <w:rFonts w:eastAsia="Times New Roman"/>
      <w:color w:val="000000"/>
      <w:sz w:val="24"/>
      <w:szCs w:val="24"/>
      <w:lang w:val="en-GB" w:eastAsia="en-GB"/>
    </w:rPr>
  </w:style>
  <w:style w:type="paragraph" w:customStyle="1" w:styleId="MediumGrid2-Accent11">
    <w:name w:val="Medium Grid 2 - Accent 11"/>
    <w:rsid w:val="005D1901"/>
    <w:rPr>
      <w:rFonts w:ascii="Calibri" w:eastAsia="Times New Roman" w:hAnsi="Calibri"/>
      <w:sz w:val="22"/>
      <w:szCs w:val="22"/>
      <w:lang w:val="en-GB"/>
    </w:rPr>
  </w:style>
  <w:style w:type="paragraph" w:styleId="NormalWeb">
    <w:name w:val="Normal (Web)"/>
    <w:basedOn w:val="Normal"/>
    <w:rsid w:val="005D1901"/>
    <w:pPr>
      <w:tabs>
        <w:tab w:val="clear" w:pos="431"/>
      </w:tabs>
      <w:overflowPunct/>
      <w:adjustRightInd/>
      <w:snapToGrid/>
      <w:spacing w:before="100" w:beforeAutospacing="1" w:after="100" w:afterAutospacing="1" w:line="240" w:lineRule="auto"/>
      <w:jc w:val="left"/>
    </w:pPr>
    <w:rPr>
      <w:rFonts w:eastAsia="MS Mincho"/>
      <w:snapToGrid/>
      <w:sz w:val="24"/>
      <w:szCs w:val="24"/>
      <w:lang w:val="en-GB" w:eastAsia="en-GB"/>
    </w:rPr>
  </w:style>
  <w:style w:type="character" w:styleId="CommentReference">
    <w:name w:val="annotation reference"/>
    <w:rsid w:val="005D1901"/>
    <w:rPr>
      <w:sz w:val="18"/>
    </w:rPr>
  </w:style>
  <w:style w:type="paragraph" w:styleId="CommentText">
    <w:name w:val="annotation text"/>
    <w:basedOn w:val="Normal"/>
    <w:link w:val="CommentTextChar"/>
    <w:rsid w:val="005D1901"/>
    <w:pPr>
      <w:tabs>
        <w:tab w:val="clear" w:pos="431"/>
      </w:tabs>
      <w:suppressAutoHyphens/>
      <w:overflowPunct/>
      <w:adjustRightInd/>
      <w:snapToGrid/>
      <w:spacing w:line="240" w:lineRule="atLeast"/>
      <w:jc w:val="left"/>
    </w:pPr>
    <w:rPr>
      <w:rFonts w:eastAsia="MS Mincho"/>
      <w:snapToGrid/>
      <w:sz w:val="20"/>
      <w:lang w:val="en-GB" w:eastAsia="en-US"/>
    </w:rPr>
  </w:style>
  <w:style w:type="character" w:customStyle="1" w:styleId="CommentTextChar">
    <w:name w:val="Comment Text Char"/>
    <w:link w:val="CommentText"/>
    <w:locked/>
    <w:rsid w:val="005D1901"/>
    <w:rPr>
      <w:rFonts w:eastAsia="MS Mincho"/>
      <w:lang w:val="en-GB" w:eastAsia="en-US" w:bidi="ar-SA"/>
    </w:rPr>
  </w:style>
  <w:style w:type="paragraph" w:styleId="CommentSubject">
    <w:name w:val="annotation subject"/>
    <w:basedOn w:val="CommentText"/>
    <w:next w:val="CommentText"/>
    <w:link w:val="CommentSubjectChar"/>
    <w:rsid w:val="005D1901"/>
    <w:rPr>
      <w:b/>
      <w:bCs/>
    </w:rPr>
  </w:style>
  <w:style w:type="character" w:customStyle="1" w:styleId="CommentSubjectChar">
    <w:name w:val="Comment Subject Char"/>
    <w:link w:val="CommentSubject"/>
    <w:locked/>
    <w:rsid w:val="005D1901"/>
    <w:rPr>
      <w:rFonts w:eastAsia="MS Mincho"/>
      <w:b/>
      <w:bCs/>
      <w:lang w:val="en-GB" w:eastAsia="en-US" w:bidi="ar-SA"/>
    </w:rPr>
  </w:style>
  <w:style w:type="paragraph" w:styleId="Revision">
    <w:name w:val="Revision"/>
    <w:hidden/>
    <w:semiHidden/>
    <w:rsid w:val="005D1901"/>
    <w:rPr>
      <w:rFonts w:eastAsia="MS Mincho"/>
      <w:lang w:val="en-GB"/>
    </w:rPr>
  </w:style>
  <w:style w:type="character" w:customStyle="1" w:styleId="a6">
    <w:name w:val="脚注文本 字符"/>
    <w:aliases w:val="5_G 字符"/>
    <w:locked/>
    <w:rsid w:val="005D1901"/>
    <w:rPr>
      <w:rFonts w:eastAsia="SimSun"/>
      <w:sz w:val="18"/>
      <w:lang w:val="en-US" w:eastAsia="zh-CN"/>
    </w:rPr>
  </w:style>
  <w:style w:type="character" w:customStyle="1" w:styleId="1">
    <w:name w:val="标题 1 字符"/>
    <w:aliases w:val="Table_G 字符"/>
    <w:locked/>
    <w:rsid w:val="005D1901"/>
    <w:rPr>
      <w:rFonts w:ascii="Cambria" w:eastAsia="SimSun" w:hAnsi="Cambria"/>
      <w:b/>
      <w:kern w:val="32"/>
      <w:sz w:val="32"/>
      <w:lang w:val="en-GB" w:eastAsia="en-US"/>
    </w:rPr>
  </w:style>
  <w:style w:type="character" w:customStyle="1" w:styleId="a7">
    <w:name w:val="批注文字 字符"/>
    <w:locked/>
    <w:rsid w:val="005D1901"/>
    <w:rPr>
      <w:lang w:val="x-none" w:eastAsia="en-US"/>
    </w:rPr>
  </w:style>
  <w:style w:type="character" w:customStyle="1" w:styleId="a8">
    <w:name w:val="批注框文本 字符"/>
    <w:locked/>
    <w:rsid w:val="005D1901"/>
    <w:rPr>
      <w:rFonts w:ascii="Tahoma" w:hAnsi="Tahoma"/>
      <w:sz w:val="16"/>
      <w:lang w:val="x-none" w:eastAsia="en-US"/>
    </w:rPr>
  </w:style>
  <w:style w:type="character" w:customStyle="1" w:styleId="a9">
    <w:name w:val="批注主题 字符"/>
    <w:locked/>
    <w:rsid w:val="005D1901"/>
    <w:rPr>
      <w:b/>
      <w:lang w:val="x-none" w:eastAsia="en-US"/>
    </w:rPr>
  </w:style>
  <w:style w:type="character" w:customStyle="1" w:styleId="Hyperlink1">
    <w:name w:val="Hyperlink.1"/>
    <w:rsid w:val="005D1901"/>
    <w:rPr>
      <w:color w:val="000000"/>
      <w:u w:val="none" w:color="000000"/>
    </w:rPr>
  </w:style>
  <w:style w:type="paragraph" w:customStyle="1" w:styleId="10">
    <w:name w:val="修订1"/>
    <w:hidden/>
    <w:semiHidden/>
    <w:rsid w:val="005D1901"/>
    <w:rPr>
      <w:lang w:val="en-GB"/>
    </w:rPr>
  </w:style>
  <w:style w:type="paragraph" w:customStyle="1" w:styleId="H23">
    <w:name w:val="_ H_2/3"/>
    <w:basedOn w:val="Normal"/>
    <w:next w:val="SingleTxt"/>
    <w:rsid w:val="005D1901"/>
    <w:pPr>
      <w:keepNext/>
      <w:keepLines/>
      <w:tabs>
        <w:tab w:val="clear" w:pos="431"/>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djustRightInd/>
      <w:snapToGrid/>
      <w:spacing w:line="240" w:lineRule="exact"/>
      <w:ind w:left="1267" w:right="1267" w:hanging="1267"/>
      <w:jc w:val="left"/>
      <w:outlineLvl w:val="1"/>
    </w:pPr>
    <w:rPr>
      <w:rFonts w:ascii="SimSun" w:hAnsi="SimSun" w:cs="SimSun"/>
      <w:b/>
      <w:snapToGrid/>
      <w:spacing w:val="2"/>
      <w:w w:val="103"/>
      <w:kern w:val="14"/>
      <w:sz w:val="20"/>
      <w:lang w:val="zh-CN"/>
    </w:rPr>
  </w:style>
  <w:style w:type="paragraph" w:customStyle="1" w:styleId="SingleTxt">
    <w:name w:val="__Single Txt"/>
    <w:basedOn w:val="Normal"/>
    <w:rsid w:val="005D1901"/>
    <w:pPr>
      <w:tabs>
        <w:tab w:val="clear" w:pos="431"/>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djustRightInd/>
      <w:snapToGrid/>
      <w:spacing w:after="120" w:line="240" w:lineRule="exact"/>
      <w:ind w:left="1267" w:right="1267"/>
    </w:pPr>
    <w:rPr>
      <w:rFonts w:ascii="SimSun" w:hAnsi="SimSun" w:cs="SimSun"/>
      <w:snapToGrid/>
      <w:spacing w:val="4"/>
      <w:w w:val="103"/>
      <w:kern w:val="14"/>
      <w:sz w:val="20"/>
      <w:lang w:val="zh-CN"/>
    </w:rPr>
  </w:style>
  <w:style w:type="paragraph" w:customStyle="1" w:styleId="H4">
    <w:name w:val="_ H_4"/>
    <w:basedOn w:val="Normal"/>
    <w:next w:val="SingleTxt"/>
    <w:rsid w:val="005D1901"/>
    <w:pPr>
      <w:keepNext/>
      <w:keepLines/>
      <w:tabs>
        <w:tab w:val="clear" w:pos="431"/>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djustRightInd/>
      <w:snapToGrid/>
      <w:spacing w:line="240" w:lineRule="exact"/>
      <w:ind w:left="1267" w:right="1267" w:hanging="1267"/>
      <w:jc w:val="left"/>
      <w:outlineLvl w:val="3"/>
    </w:pPr>
    <w:rPr>
      <w:rFonts w:ascii="SimSun" w:hAnsi="SimSun" w:cs="SimSun"/>
      <w:i/>
      <w:snapToGrid/>
      <w:spacing w:val="3"/>
      <w:w w:val="103"/>
      <w:kern w:val="14"/>
      <w:sz w:val="20"/>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xt%20Processing\Word_templates_2003\CCPR-&#20915;&#234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CCPR-决定.dot</Template>
  <TotalTime>0</TotalTime>
  <Pages>11</Pages>
  <Words>1579</Words>
  <Characters>9001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10559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TT</dc:creator>
  <cp:keywords/>
  <cp:lastModifiedBy>yangw</cp:lastModifiedBy>
  <cp:revision>2</cp:revision>
  <cp:lastPrinted>2009-10-01T15:03:00Z</cp:lastPrinted>
  <dcterms:created xsi:type="dcterms:W3CDTF">2016-08-25T15:07:00Z</dcterms:created>
  <dcterms:modified xsi:type="dcterms:W3CDTF">2016-08-25T15:07:00Z</dcterms:modified>
</cp:coreProperties>
</file>