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0B7E91" w:rsidTr="00464EEE">
        <w:trPr>
          <w:trHeight w:hRule="exact" w:val="851"/>
        </w:trPr>
        <w:tc>
          <w:tcPr>
            <w:tcW w:w="1277" w:type="dxa"/>
            <w:tcBorders>
              <w:bottom w:val="single" w:sz="4" w:space="0" w:color="auto"/>
            </w:tcBorders>
          </w:tcPr>
          <w:p w:rsidR="00AF1CE8" w:rsidRPr="000B7E91" w:rsidRDefault="00AF1CE8" w:rsidP="00464EEE">
            <w:pPr>
              <w:rPr>
                <w:lang w:val="fr-FR"/>
              </w:rPr>
            </w:pPr>
          </w:p>
        </w:tc>
        <w:tc>
          <w:tcPr>
            <w:tcW w:w="2268" w:type="dxa"/>
            <w:tcBorders>
              <w:bottom w:val="single" w:sz="4" w:space="0" w:color="auto"/>
            </w:tcBorders>
            <w:vAlign w:val="bottom"/>
          </w:tcPr>
          <w:p w:rsidR="00AF1CE8" w:rsidRPr="000B7E91" w:rsidRDefault="00AF1CE8" w:rsidP="00464EEE">
            <w:pPr>
              <w:spacing w:after="80" w:line="300" w:lineRule="exact"/>
              <w:rPr>
                <w:sz w:val="28"/>
                <w:lang w:val="fr-FR"/>
              </w:rPr>
            </w:pPr>
            <w:r w:rsidRPr="000B7E91">
              <w:rPr>
                <w:sz w:val="28"/>
                <w:lang w:val="fr-FR"/>
              </w:rPr>
              <w:t>Nations Unies</w:t>
            </w:r>
          </w:p>
        </w:tc>
        <w:tc>
          <w:tcPr>
            <w:tcW w:w="6094" w:type="dxa"/>
            <w:gridSpan w:val="2"/>
            <w:tcBorders>
              <w:bottom w:val="single" w:sz="4" w:space="0" w:color="auto"/>
            </w:tcBorders>
            <w:vAlign w:val="bottom"/>
          </w:tcPr>
          <w:p w:rsidR="00AF1CE8" w:rsidRPr="001D202E" w:rsidRDefault="001D202E" w:rsidP="001D202E">
            <w:pPr>
              <w:jc w:val="right"/>
              <w:rPr>
                <w:lang w:val="fr-FR"/>
              </w:rPr>
            </w:pPr>
            <w:r w:rsidRPr="001D202E">
              <w:rPr>
                <w:sz w:val="40"/>
                <w:lang w:val="fr-FR"/>
              </w:rPr>
              <w:t>CCPR</w:t>
            </w:r>
            <w:r>
              <w:rPr>
                <w:lang w:val="fr-FR"/>
              </w:rPr>
              <w:t>/C/111/D/2055/2011</w:t>
            </w:r>
          </w:p>
        </w:tc>
      </w:tr>
      <w:tr w:rsidR="00AF1CE8" w:rsidRPr="000B7E91" w:rsidTr="00464EEE">
        <w:trPr>
          <w:trHeight w:hRule="exact" w:val="2835"/>
        </w:trPr>
        <w:tc>
          <w:tcPr>
            <w:tcW w:w="1276" w:type="dxa"/>
            <w:tcBorders>
              <w:top w:val="single" w:sz="4" w:space="0" w:color="auto"/>
              <w:bottom w:val="single" w:sz="12" w:space="0" w:color="auto"/>
            </w:tcBorders>
          </w:tcPr>
          <w:p w:rsidR="00AF1CE8" w:rsidRPr="000B7E91" w:rsidRDefault="00943FE1" w:rsidP="00464EEE">
            <w:pPr>
              <w:spacing w:before="120"/>
              <w:jc w:val="center"/>
              <w:rPr>
                <w:lang w:val="fr-FR"/>
              </w:rPr>
            </w:pPr>
            <w:r w:rsidRPr="000B7E91">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0B7E91" w:rsidRDefault="00AF1CE8" w:rsidP="00464EEE">
            <w:pPr>
              <w:spacing w:before="120" w:line="380" w:lineRule="exact"/>
              <w:rPr>
                <w:b/>
                <w:sz w:val="34"/>
                <w:szCs w:val="34"/>
                <w:lang w:val="fr-FR"/>
              </w:rPr>
            </w:pPr>
            <w:r w:rsidRPr="000B7E91">
              <w:rPr>
                <w:b/>
                <w:sz w:val="34"/>
                <w:szCs w:val="34"/>
                <w:lang w:val="fr-FR"/>
              </w:rPr>
              <w:t>Pacte international relatif</w:t>
            </w:r>
            <w:r w:rsidRPr="000B7E91">
              <w:rPr>
                <w:b/>
                <w:sz w:val="34"/>
                <w:szCs w:val="34"/>
                <w:lang w:val="fr-FR"/>
              </w:rPr>
              <w:br/>
              <w:t>aux droits civils et politiques</w:t>
            </w:r>
          </w:p>
          <w:p w:rsidR="00465DC2" w:rsidRPr="000B7E91" w:rsidRDefault="00465DC2" w:rsidP="00464EEE">
            <w:pPr>
              <w:spacing w:before="120" w:line="380" w:lineRule="exact"/>
              <w:rPr>
                <w:b/>
                <w:sz w:val="34"/>
                <w:szCs w:val="34"/>
                <w:lang w:val="fr-FR"/>
              </w:rPr>
            </w:pPr>
          </w:p>
        </w:tc>
        <w:tc>
          <w:tcPr>
            <w:tcW w:w="2835" w:type="dxa"/>
            <w:tcBorders>
              <w:top w:val="single" w:sz="4" w:space="0" w:color="auto"/>
              <w:bottom w:val="single" w:sz="12" w:space="0" w:color="auto"/>
            </w:tcBorders>
          </w:tcPr>
          <w:p w:rsidR="00AF1CE8" w:rsidRPr="000B7E91" w:rsidRDefault="001F4248" w:rsidP="00464EEE">
            <w:pPr>
              <w:spacing w:before="240"/>
              <w:rPr>
                <w:lang w:val="fr-FR"/>
              </w:rPr>
            </w:pPr>
            <w:r w:rsidRPr="000B7E91">
              <w:rPr>
                <w:lang w:val="fr-FR"/>
              </w:rPr>
              <w:t xml:space="preserve">Distr. </w:t>
            </w:r>
            <w:r w:rsidR="003D21D5" w:rsidRPr="000B7E91">
              <w:rPr>
                <w:lang w:val="fr-FR"/>
              </w:rPr>
              <w:t>générale</w:t>
            </w:r>
          </w:p>
          <w:p w:rsidR="001F4248" w:rsidRPr="000B7E91" w:rsidRDefault="003A37B4" w:rsidP="00BC46B8">
            <w:pPr>
              <w:spacing w:line="240" w:lineRule="exact"/>
              <w:rPr>
                <w:lang w:val="fr-FR"/>
              </w:rPr>
            </w:pPr>
            <w:r w:rsidRPr="009C0F71">
              <w:rPr>
                <w:lang w:val="fr-FR"/>
              </w:rPr>
              <w:t>2</w:t>
            </w:r>
            <w:r w:rsidR="00BC46B8" w:rsidRPr="009C0F71">
              <w:rPr>
                <w:lang w:val="fr-FR"/>
              </w:rPr>
              <w:t>7</w:t>
            </w:r>
            <w:r w:rsidR="00295228" w:rsidRPr="00BC46B8">
              <w:rPr>
                <w:lang w:val="fr-FR"/>
              </w:rPr>
              <w:t xml:space="preserve"> octob</w:t>
            </w:r>
            <w:r w:rsidR="00C42F2E" w:rsidRPr="009C0F71">
              <w:rPr>
                <w:lang w:val="fr-FR"/>
              </w:rPr>
              <w:t>re</w:t>
            </w:r>
            <w:r w:rsidR="001F4248" w:rsidRPr="009C0F71">
              <w:rPr>
                <w:lang w:val="fr-FR"/>
              </w:rPr>
              <w:t xml:space="preserve"> 2014</w:t>
            </w:r>
          </w:p>
          <w:p w:rsidR="001F4248" w:rsidRPr="000B7E91" w:rsidRDefault="001F4248" w:rsidP="001F4248">
            <w:pPr>
              <w:spacing w:line="240" w:lineRule="exact"/>
              <w:rPr>
                <w:lang w:val="fr-FR"/>
              </w:rPr>
            </w:pPr>
          </w:p>
          <w:p w:rsidR="001F4248" w:rsidRPr="000B7E91" w:rsidRDefault="001F4248" w:rsidP="001F4248">
            <w:pPr>
              <w:spacing w:line="240" w:lineRule="exact"/>
              <w:rPr>
                <w:lang w:val="fr-FR"/>
              </w:rPr>
            </w:pPr>
            <w:r w:rsidRPr="000B7E91">
              <w:rPr>
                <w:lang w:val="fr-FR"/>
              </w:rPr>
              <w:t xml:space="preserve">Original: français </w:t>
            </w:r>
          </w:p>
        </w:tc>
      </w:tr>
    </w:tbl>
    <w:p w:rsidR="00FF1DBD" w:rsidRPr="000B7E91" w:rsidRDefault="00DF3BF1" w:rsidP="00DF3BF1">
      <w:pPr>
        <w:spacing w:before="120"/>
        <w:rPr>
          <w:b/>
          <w:sz w:val="24"/>
          <w:szCs w:val="24"/>
          <w:lang w:val="fr-FR"/>
        </w:rPr>
      </w:pPr>
      <w:r w:rsidRPr="000B7E91">
        <w:rPr>
          <w:b/>
          <w:sz w:val="24"/>
          <w:szCs w:val="24"/>
          <w:lang w:val="fr-FR"/>
        </w:rPr>
        <w:t>Comité des droits de l’homme</w:t>
      </w:r>
    </w:p>
    <w:p w:rsidR="001F4248" w:rsidRPr="00BC46B8" w:rsidRDefault="001F4248" w:rsidP="00DE636A">
      <w:pPr>
        <w:pStyle w:val="HChG"/>
        <w:rPr>
          <w:lang w:val="fr-FR"/>
        </w:rPr>
      </w:pPr>
      <w:r w:rsidRPr="000B7E91">
        <w:rPr>
          <w:lang w:val="fr-FR"/>
        </w:rPr>
        <w:tab/>
      </w:r>
      <w:r w:rsidRPr="000B7E91">
        <w:rPr>
          <w:lang w:val="fr-FR"/>
        </w:rPr>
        <w:tab/>
      </w:r>
      <w:r w:rsidRPr="00BC46B8">
        <w:rPr>
          <w:lang w:val="fr-FR"/>
        </w:rPr>
        <w:t xml:space="preserve">Communication </w:t>
      </w:r>
      <w:r w:rsidR="000B7E91" w:rsidRPr="00BC46B8">
        <w:rPr>
          <w:lang w:val="fr-FR"/>
        </w:rPr>
        <w:t>n</w:t>
      </w:r>
      <w:r w:rsidRPr="009C0F71">
        <w:rPr>
          <w:vertAlign w:val="superscript"/>
          <w:lang w:val="fr-FR"/>
        </w:rPr>
        <w:t>o</w:t>
      </w:r>
      <w:r w:rsidR="008614A5" w:rsidRPr="00BC46B8">
        <w:rPr>
          <w:lang w:val="fr-FR"/>
        </w:rPr>
        <w:t> </w:t>
      </w:r>
      <w:r w:rsidRPr="00BC46B8">
        <w:rPr>
          <w:lang w:val="fr-FR"/>
        </w:rPr>
        <w:t>2055/2011</w:t>
      </w:r>
    </w:p>
    <w:p w:rsidR="001F4248" w:rsidRPr="009C0F71" w:rsidRDefault="001F4248" w:rsidP="00FB3B8F">
      <w:pPr>
        <w:pStyle w:val="H1G"/>
        <w:rPr>
          <w:i/>
          <w:lang w:val="fr-FR"/>
        </w:rPr>
      </w:pPr>
      <w:r w:rsidRPr="00BC46B8">
        <w:rPr>
          <w:lang w:val="fr-FR"/>
        </w:rPr>
        <w:tab/>
      </w:r>
      <w:r w:rsidRPr="00BC46B8">
        <w:rPr>
          <w:lang w:val="fr-FR"/>
        </w:rPr>
        <w:tab/>
      </w:r>
      <w:r w:rsidR="00DC54A8" w:rsidRPr="009C0F71">
        <w:rPr>
          <w:lang w:val="fr-FR"/>
        </w:rPr>
        <w:t>Constatations adoptées par le Comité à sa 111</w:t>
      </w:r>
      <w:r w:rsidR="00DC54A8" w:rsidRPr="009C0F71">
        <w:rPr>
          <w:vertAlign w:val="superscript"/>
          <w:lang w:val="fr-FR"/>
        </w:rPr>
        <w:t>e</w:t>
      </w:r>
      <w:r w:rsidR="00DC54A8" w:rsidRPr="009C0F71">
        <w:rPr>
          <w:lang w:val="fr-FR"/>
        </w:rPr>
        <w:t xml:space="preserve"> session</w:t>
      </w:r>
      <w:r w:rsidR="003D21D5" w:rsidRPr="009C0F71">
        <w:rPr>
          <w:lang w:val="fr-FR"/>
        </w:rPr>
        <w:br/>
      </w:r>
      <w:r w:rsidR="00DC54A8" w:rsidRPr="009C0F71">
        <w:rPr>
          <w:lang w:val="fr-FR"/>
        </w:rPr>
        <w:t>(7-25 juillet 2014)</w:t>
      </w:r>
    </w:p>
    <w:p w:rsidR="001F4248" w:rsidRPr="009C0F71" w:rsidRDefault="001F4248" w:rsidP="001F4248">
      <w:pPr>
        <w:pStyle w:val="SingleTxtG"/>
        <w:ind w:left="4536" w:hanging="3402"/>
        <w:rPr>
          <w:i/>
          <w:lang w:val="fr-FR"/>
        </w:rPr>
      </w:pPr>
      <w:r w:rsidRPr="009C0F71">
        <w:rPr>
          <w:i/>
          <w:lang w:val="fr-FR"/>
        </w:rPr>
        <w:t>Communication présentée par</w:t>
      </w:r>
      <w:r w:rsidRPr="009C0F71">
        <w:rPr>
          <w:lang w:val="fr-FR"/>
        </w:rPr>
        <w:t>:</w:t>
      </w:r>
      <w:r w:rsidRPr="009C0F71">
        <w:rPr>
          <w:lang w:val="fr-FR"/>
        </w:rPr>
        <w:tab/>
        <w:t>Paul Mitonsou Zinsou (représenté par Serge Roberto Prince Agbodjan)</w:t>
      </w:r>
    </w:p>
    <w:p w:rsidR="001F4248" w:rsidRPr="00BC46B8" w:rsidRDefault="001F4248" w:rsidP="001F4248">
      <w:pPr>
        <w:pStyle w:val="SingleTxtG"/>
        <w:tabs>
          <w:tab w:val="left" w:pos="567"/>
          <w:tab w:val="left" w:pos="1134"/>
          <w:tab w:val="left" w:pos="1701"/>
          <w:tab w:val="left" w:pos="2268"/>
          <w:tab w:val="left" w:pos="2835"/>
        </w:tabs>
        <w:ind w:left="4536" w:hanging="3402"/>
        <w:rPr>
          <w:i/>
          <w:lang w:val="fr-FR"/>
        </w:rPr>
      </w:pPr>
      <w:r w:rsidRPr="009C0F71">
        <w:rPr>
          <w:i/>
          <w:lang w:val="fr-FR"/>
        </w:rPr>
        <w:t>Au nom de</w:t>
      </w:r>
      <w:r w:rsidRPr="009C0F71">
        <w:rPr>
          <w:lang w:val="fr-FR"/>
        </w:rPr>
        <w:t>:</w:t>
      </w:r>
      <w:r w:rsidRPr="009C0F71">
        <w:rPr>
          <w:lang w:val="fr-FR"/>
        </w:rPr>
        <w:tab/>
      </w:r>
      <w:r w:rsidRPr="009C0F71">
        <w:rPr>
          <w:lang w:val="fr-FR"/>
        </w:rPr>
        <w:tab/>
      </w:r>
      <w:r w:rsidRPr="009C0F71">
        <w:rPr>
          <w:lang w:val="fr-FR"/>
        </w:rPr>
        <w:tab/>
      </w:r>
      <w:r w:rsidR="00407BD3" w:rsidRPr="009C0F71">
        <w:rPr>
          <w:lang w:val="fr-FR"/>
        </w:rPr>
        <w:t>L’auteur</w:t>
      </w:r>
    </w:p>
    <w:p w:rsidR="001F4248" w:rsidRPr="009C0F71" w:rsidRDefault="001F4248" w:rsidP="001F4248">
      <w:pPr>
        <w:pStyle w:val="SingleTxtG"/>
        <w:ind w:left="4536" w:hanging="3402"/>
        <w:rPr>
          <w:i/>
          <w:lang w:val="fr-FR"/>
        </w:rPr>
      </w:pPr>
      <w:r w:rsidRPr="009C0F71">
        <w:rPr>
          <w:i/>
          <w:lang w:val="fr-FR"/>
        </w:rPr>
        <w:t>État partie</w:t>
      </w:r>
      <w:r w:rsidRPr="009C0F71">
        <w:rPr>
          <w:lang w:val="fr-FR"/>
        </w:rPr>
        <w:t>:</w:t>
      </w:r>
      <w:r w:rsidRPr="009C0F71">
        <w:rPr>
          <w:lang w:val="fr-FR"/>
        </w:rPr>
        <w:tab/>
        <w:t>Bénin</w:t>
      </w:r>
    </w:p>
    <w:p w:rsidR="001F4248" w:rsidRPr="009C0F71" w:rsidRDefault="001F4248" w:rsidP="001F4248">
      <w:pPr>
        <w:pStyle w:val="SingleTxtG"/>
        <w:ind w:left="4536" w:hanging="3402"/>
        <w:rPr>
          <w:i/>
          <w:lang w:val="fr-FR"/>
        </w:rPr>
      </w:pPr>
      <w:r w:rsidRPr="009C0F71">
        <w:rPr>
          <w:i/>
          <w:lang w:val="fr-FR"/>
        </w:rPr>
        <w:t>Date de la communication</w:t>
      </w:r>
      <w:r w:rsidRPr="009C0F71">
        <w:rPr>
          <w:lang w:val="fr-FR"/>
        </w:rPr>
        <w:t>:</w:t>
      </w:r>
      <w:r w:rsidRPr="009C0F71">
        <w:rPr>
          <w:lang w:val="fr-FR"/>
        </w:rPr>
        <w:tab/>
        <w:t>2 septembre 2010</w:t>
      </w:r>
      <w:r w:rsidRPr="009C0F71">
        <w:rPr>
          <w:iCs/>
          <w:lang w:val="fr-FR"/>
        </w:rPr>
        <w:t xml:space="preserve"> (date de la lettre initiale)</w:t>
      </w:r>
    </w:p>
    <w:p w:rsidR="001F4248" w:rsidRPr="009C0F71" w:rsidRDefault="001F4248" w:rsidP="00DE636A">
      <w:pPr>
        <w:pStyle w:val="SingleTxtG"/>
        <w:ind w:left="4536" w:hanging="3402"/>
        <w:rPr>
          <w:i/>
          <w:lang w:val="fr-FR"/>
        </w:rPr>
      </w:pPr>
      <w:r w:rsidRPr="009C0F71">
        <w:rPr>
          <w:i/>
          <w:lang w:val="fr-FR"/>
        </w:rPr>
        <w:t>Références</w:t>
      </w:r>
      <w:r w:rsidRPr="009C0F71">
        <w:rPr>
          <w:lang w:val="fr-FR"/>
        </w:rPr>
        <w:t>:</w:t>
      </w:r>
      <w:r w:rsidRPr="009C0F71">
        <w:rPr>
          <w:lang w:val="fr-FR"/>
        </w:rPr>
        <w:tab/>
        <w:t>Décision prise par le Rapporteur spécial en application de l’article</w:t>
      </w:r>
      <w:r w:rsidR="003B478D" w:rsidRPr="009C0F71">
        <w:rPr>
          <w:lang w:val="fr-FR"/>
        </w:rPr>
        <w:t> </w:t>
      </w:r>
      <w:r w:rsidRPr="009C0F71">
        <w:rPr>
          <w:lang w:val="fr-FR"/>
        </w:rPr>
        <w:t xml:space="preserve">97 du </w:t>
      </w:r>
      <w:r w:rsidR="00966772" w:rsidRPr="009C0F71">
        <w:rPr>
          <w:lang w:val="fr-FR"/>
        </w:rPr>
        <w:t>r</w:t>
      </w:r>
      <w:r w:rsidRPr="009C0F71">
        <w:rPr>
          <w:lang w:val="fr-FR"/>
        </w:rPr>
        <w:t>èglement intérieur, communiquée à l’État partie le 26</w:t>
      </w:r>
      <w:r w:rsidR="00966772" w:rsidRPr="009C0F71">
        <w:rPr>
          <w:lang w:val="fr-FR"/>
        </w:rPr>
        <w:t> </w:t>
      </w:r>
      <w:r w:rsidRPr="009C0F71">
        <w:rPr>
          <w:lang w:val="fr-FR"/>
        </w:rPr>
        <w:t>avril 2011 (non publiée sous forme de</w:t>
      </w:r>
      <w:r w:rsidR="003B478D" w:rsidRPr="009C0F71">
        <w:rPr>
          <w:lang w:val="fr-FR"/>
        </w:rPr>
        <w:t xml:space="preserve"> </w:t>
      </w:r>
      <w:r w:rsidRPr="009C0F71">
        <w:rPr>
          <w:lang w:val="fr-FR"/>
        </w:rPr>
        <w:t>document)</w:t>
      </w:r>
    </w:p>
    <w:p w:rsidR="001F4248" w:rsidRPr="009C0F71" w:rsidRDefault="001F4248" w:rsidP="001F4248">
      <w:pPr>
        <w:pStyle w:val="SingleTxtG"/>
        <w:ind w:left="4536" w:hanging="3402"/>
        <w:rPr>
          <w:lang w:val="fr-FR"/>
        </w:rPr>
      </w:pPr>
      <w:r w:rsidRPr="009C0F71">
        <w:rPr>
          <w:i/>
          <w:lang w:val="fr-FR"/>
        </w:rPr>
        <w:t>Date de l’adoption des constatations</w:t>
      </w:r>
      <w:r w:rsidRPr="009C0F71">
        <w:rPr>
          <w:lang w:val="fr-FR"/>
        </w:rPr>
        <w:t>:</w:t>
      </w:r>
      <w:r w:rsidRPr="009C0F71">
        <w:rPr>
          <w:lang w:val="fr-FR"/>
        </w:rPr>
        <w:tab/>
      </w:r>
      <w:r w:rsidR="00DC54A8" w:rsidRPr="009C0F71">
        <w:rPr>
          <w:lang w:val="fr-FR"/>
        </w:rPr>
        <w:t>18</w:t>
      </w:r>
      <w:r w:rsidR="008614A5" w:rsidRPr="009C0F71">
        <w:rPr>
          <w:lang w:val="fr-FR"/>
        </w:rPr>
        <w:t xml:space="preserve"> </w:t>
      </w:r>
      <w:r w:rsidRPr="009C0F71">
        <w:rPr>
          <w:lang w:val="fr-FR"/>
        </w:rPr>
        <w:t>juillet 2014</w:t>
      </w:r>
    </w:p>
    <w:p w:rsidR="003A3615" w:rsidRDefault="008614A5" w:rsidP="009C0F71">
      <w:pPr>
        <w:pStyle w:val="SingleTxtG"/>
        <w:ind w:left="4536" w:hanging="3402"/>
        <w:jc w:val="left"/>
        <w:rPr>
          <w:lang w:val="fr-FR"/>
        </w:rPr>
      </w:pPr>
      <w:r w:rsidRPr="009C0F71">
        <w:rPr>
          <w:i/>
          <w:iCs/>
          <w:lang w:val="fr-FR"/>
        </w:rPr>
        <w:t>Objet</w:t>
      </w:r>
      <w:r w:rsidRPr="009C0F71">
        <w:rPr>
          <w:lang w:val="fr-FR"/>
        </w:rPr>
        <w:t>:</w:t>
      </w:r>
      <w:r w:rsidRPr="009C0F71">
        <w:rPr>
          <w:lang w:val="fr-FR"/>
        </w:rPr>
        <w:tab/>
        <w:t>Obligation pour un prévenu d’appara</w:t>
      </w:r>
      <w:r w:rsidR="00966772" w:rsidRPr="009C0F71">
        <w:rPr>
          <w:lang w:val="fr-FR"/>
        </w:rPr>
        <w:t>î</w:t>
      </w:r>
      <w:r w:rsidRPr="009C0F71">
        <w:rPr>
          <w:lang w:val="fr-FR"/>
        </w:rPr>
        <w:t>tre à son procès menotté et portant un gilet indiquant son lieu de détention</w:t>
      </w:r>
    </w:p>
    <w:p w:rsidR="003A3615" w:rsidRPr="000B7E91" w:rsidRDefault="003A3615" w:rsidP="00DE636A">
      <w:pPr>
        <w:pStyle w:val="SingleTxtG"/>
        <w:ind w:left="4536" w:hanging="3402"/>
        <w:rPr>
          <w:lang w:val="fr-FR"/>
        </w:rPr>
      </w:pPr>
      <w:r w:rsidRPr="000B7E91">
        <w:rPr>
          <w:i/>
          <w:iCs/>
          <w:lang w:val="fr-FR"/>
        </w:rPr>
        <w:t>Questions de fond</w:t>
      </w:r>
      <w:r w:rsidRPr="000B7E91">
        <w:rPr>
          <w:lang w:val="fr-FR"/>
        </w:rPr>
        <w:t>:</w:t>
      </w:r>
      <w:r w:rsidRPr="000B7E91">
        <w:rPr>
          <w:lang w:val="fr-FR"/>
        </w:rPr>
        <w:tab/>
      </w:r>
      <w:r w:rsidRPr="00DE636A">
        <w:rPr>
          <w:lang w:val="fr-FR"/>
        </w:rPr>
        <w:t xml:space="preserve">Interdiction des </w:t>
      </w:r>
      <w:r w:rsidRPr="00BC46B8">
        <w:rPr>
          <w:lang w:val="fr-FR"/>
        </w:rPr>
        <w:t xml:space="preserve">traitements </w:t>
      </w:r>
      <w:r w:rsidRPr="009C0F71">
        <w:rPr>
          <w:lang w:val="fr-FR"/>
        </w:rPr>
        <w:t>cruels</w:t>
      </w:r>
      <w:r w:rsidR="00EE2E44" w:rsidRPr="009C0F71">
        <w:rPr>
          <w:lang w:val="fr-FR"/>
        </w:rPr>
        <w:t>,</w:t>
      </w:r>
      <w:r w:rsidRPr="00BC46B8">
        <w:rPr>
          <w:lang w:val="fr-FR"/>
        </w:rPr>
        <w:t xml:space="preserve"> inhumains</w:t>
      </w:r>
      <w:r w:rsidR="00EE2E44" w:rsidRPr="009C0F71">
        <w:rPr>
          <w:lang w:val="fr-FR"/>
        </w:rPr>
        <w:t xml:space="preserve"> ou dégradants, et</w:t>
      </w:r>
      <w:r w:rsidRPr="00BC46B8">
        <w:rPr>
          <w:lang w:val="fr-FR"/>
        </w:rPr>
        <w:t xml:space="preserve"> droit à la pr</w:t>
      </w:r>
      <w:r w:rsidRPr="00DE636A">
        <w:rPr>
          <w:lang w:val="fr-FR"/>
        </w:rPr>
        <w:t>ésomption d’innocence</w:t>
      </w:r>
    </w:p>
    <w:p w:rsidR="001F4248" w:rsidRPr="00BC46B8" w:rsidRDefault="001F4248" w:rsidP="009C0F71">
      <w:pPr>
        <w:pStyle w:val="SingleTxtG"/>
        <w:ind w:left="4536" w:hanging="3402"/>
        <w:jc w:val="left"/>
        <w:rPr>
          <w:i/>
          <w:iCs/>
          <w:lang w:val="fr-FR"/>
        </w:rPr>
      </w:pPr>
      <w:r w:rsidRPr="000B7E91">
        <w:rPr>
          <w:i/>
          <w:iCs/>
          <w:lang w:val="fr-FR"/>
        </w:rPr>
        <w:t>Question de procédure</w:t>
      </w:r>
      <w:r w:rsidRPr="000B7E91">
        <w:rPr>
          <w:lang w:val="fr-FR"/>
        </w:rPr>
        <w:t>:</w:t>
      </w:r>
      <w:r w:rsidRPr="000B7E91">
        <w:rPr>
          <w:lang w:val="fr-FR"/>
        </w:rPr>
        <w:tab/>
      </w:r>
      <w:r w:rsidR="000B7E91" w:rsidRPr="00BC46B8">
        <w:rPr>
          <w:lang w:val="fr-FR"/>
        </w:rPr>
        <w:t>É</w:t>
      </w:r>
      <w:r w:rsidRPr="00BC46B8">
        <w:rPr>
          <w:iCs/>
          <w:lang w:val="fr-FR"/>
        </w:rPr>
        <w:t>puisement des recours internes</w:t>
      </w:r>
    </w:p>
    <w:p w:rsidR="001F4248" w:rsidRPr="000B7E91" w:rsidRDefault="001F4248" w:rsidP="00DE636A">
      <w:pPr>
        <w:pStyle w:val="SingleTxtG"/>
        <w:ind w:left="4536" w:hanging="3402"/>
        <w:rPr>
          <w:lang w:val="fr-FR"/>
        </w:rPr>
      </w:pPr>
      <w:r w:rsidRPr="00BC46B8">
        <w:rPr>
          <w:i/>
          <w:iCs/>
          <w:lang w:val="fr-FR"/>
        </w:rPr>
        <w:t>Articles du Pacte</w:t>
      </w:r>
      <w:r w:rsidRPr="00BC46B8">
        <w:rPr>
          <w:lang w:val="fr-FR"/>
        </w:rPr>
        <w:t>:</w:t>
      </w:r>
      <w:r w:rsidRPr="00BC46B8">
        <w:rPr>
          <w:lang w:val="fr-FR"/>
        </w:rPr>
        <w:tab/>
        <w:t>7</w:t>
      </w:r>
      <w:r w:rsidR="00966772" w:rsidRPr="00BC46B8">
        <w:rPr>
          <w:lang w:val="fr-FR"/>
        </w:rPr>
        <w:t xml:space="preserve"> et</w:t>
      </w:r>
      <w:r w:rsidRPr="00BC46B8">
        <w:rPr>
          <w:lang w:val="fr-FR"/>
        </w:rPr>
        <w:t xml:space="preserve"> 14, par.</w:t>
      </w:r>
      <w:r w:rsidR="003B478D" w:rsidRPr="009C0F71">
        <w:rPr>
          <w:lang w:val="fr-FR"/>
        </w:rPr>
        <w:t> </w:t>
      </w:r>
      <w:r w:rsidRPr="009C0F71">
        <w:rPr>
          <w:lang w:val="fr-FR"/>
        </w:rPr>
        <w:t>2</w:t>
      </w:r>
    </w:p>
    <w:p w:rsidR="001F4248" w:rsidRPr="000B7E91" w:rsidRDefault="001F4248" w:rsidP="001F4248">
      <w:pPr>
        <w:pStyle w:val="SingleTxtG"/>
        <w:ind w:left="4536" w:hanging="3402"/>
        <w:rPr>
          <w:lang w:val="fr-FR"/>
        </w:rPr>
      </w:pPr>
      <w:r w:rsidRPr="000B7E91">
        <w:rPr>
          <w:i/>
          <w:iCs/>
          <w:lang w:val="fr-FR"/>
        </w:rPr>
        <w:t>Article du Protocole facultatif</w:t>
      </w:r>
      <w:r w:rsidRPr="000B7E91">
        <w:rPr>
          <w:lang w:val="fr-FR"/>
        </w:rPr>
        <w:t>:</w:t>
      </w:r>
      <w:r w:rsidRPr="000B7E91">
        <w:rPr>
          <w:lang w:val="fr-FR"/>
        </w:rPr>
        <w:tab/>
      </w:r>
      <w:r w:rsidR="00BD468D" w:rsidRPr="000B7E91">
        <w:rPr>
          <w:lang w:val="fr-FR"/>
        </w:rPr>
        <w:t>-</w:t>
      </w:r>
    </w:p>
    <w:p w:rsidR="001F4248" w:rsidRPr="000B7E91" w:rsidRDefault="00314E3C" w:rsidP="00BD468D">
      <w:pPr>
        <w:pStyle w:val="HChG"/>
        <w:rPr>
          <w:lang w:val="fr-FR"/>
        </w:rPr>
      </w:pPr>
      <w:r w:rsidRPr="000B7E91" w:rsidDel="00314E3C">
        <w:rPr>
          <w:lang w:val="fr-FR"/>
        </w:rPr>
        <w:t xml:space="preserve"> </w:t>
      </w:r>
      <w:r w:rsidR="001F4248" w:rsidRPr="000B7E91">
        <w:rPr>
          <w:lang w:val="fr-FR"/>
        </w:rPr>
        <w:br w:type="page"/>
        <w:t>Annexe</w:t>
      </w:r>
    </w:p>
    <w:p w:rsidR="001D3BB7" w:rsidRPr="009C0F71" w:rsidRDefault="001F4248" w:rsidP="000B7E91">
      <w:pPr>
        <w:pStyle w:val="HChG"/>
        <w:rPr>
          <w:lang w:val="fr-FR"/>
        </w:rPr>
      </w:pPr>
      <w:r w:rsidRPr="000B7E91">
        <w:rPr>
          <w:lang w:val="fr-FR"/>
        </w:rPr>
        <w:tab/>
      </w:r>
      <w:r w:rsidRPr="000B7E91">
        <w:rPr>
          <w:lang w:val="fr-FR"/>
        </w:rPr>
        <w:tab/>
      </w:r>
      <w:r w:rsidRPr="00BC46B8">
        <w:rPr>
          <w:lang w:val="fr-FR"/>
        </w:rPr>
        <w:t>Constatations du Comité des droits de l’homme au titre du paragraphe 4 de l’article 5 du Protocole facultatif se rapportant au Pacte international relatif aux droits civils et politiques (111</w:t>
      </w:r>
      <w:r w:rsidRPr="009C0F71">
        <w:rPr>
          <w:vertAlign w:val="superscript"/>
          <w:lang w:val="fr-FR"/>
        </w:rPr>
        <w:t>e</w:t>
      </w:r>
      <w:r w:rsidRPr="009C0F71">
        <w:rPr>
          <w:lang w:val="fr-FR"/>
        </w:rPr>
        <w:t xml:space="preserve"> session)</w:t>
      </w:r>
    </w:p>
    <w:p w:rsidR="001F4248" w:rsidRPr="009C0F71" w:rsidRDefault="001F4248" w:rsidP="001F4248">
      <w:pPr>
        <w:pStyle w:val="SingleTxtG"/>
        <w:rPr>
          <w:lang w:val="fr-FR"/>
        </w:rPr>
      </w:pPr>
      <w:r w:rsidRPr="009C0F71">
        <w:rPr>
          <w:lang w:val="fr-FR"/>
        </w:rPr>
        <w:t>concernant la</w:t>
      </w:r>
    </w:p>
    <w:p w:rsidR="001F4248" w:rsidRPr="00BC46B8" w:rsidRDefault="001F4248" w:rsidP="00DE636A">
      <w:pPr>
        <w:pStyle w:val="H1G"/>
        <w:rPr>
          <w:lang w:val="fr-FR"/>
        </w:rPr>
      </w:pPr>
      <w:r w:rsidRPr="009C0F71">
        <w:rPr>
          <w:lang w:val="fr-FR"/>
        </w:rPr>
        <w:tab/>
      </w:r>
      <w:r w:rsidRPr="009C0F71">
        <w:rPr>
          <w:lang w:val="fr-FR"/>
        </w:rPr>
        <w:tab/>
        <w:t xml:space="preserve">Communication </w:t>
      </w:r>
      <w:r w:rsidR="000B7E91" w:rsidRPr="009C0F71">
        <w:rPr>
          <w:lang w:val="fr-FR"/>
        </w:rPr>
        <w:t>n</w:t>
      </w:r>
      <w:r w:rsidRPr="009C0F71">
        <w:rPr>
          <w:vertAlign w:val="superscript"/>
          <w:lang w:val="fr-FR"/>
        </w:rPr>
        <w:t>o</w:t>
      </w:r>
      <w:r w:rsidR="004E6FD0" w:rsidRPr="00BC46B8">
        <w:rPr>
          <w:lang w:val="fr-FR"/>
        </w:rPr>
        <w:t> </w:t>
      </w:r>
      <w:r w:rsidRPr="00BC46B8">
        <w:rPr>
          <w:lang w:val="fr-FR"/>
        </w:rPr>
        <w:t>2055/2011</w:t>
      </w:r>
      <w:r w:rsidR="003D21D5" w:rsidRPr="00BC46B8">
        <w:rPr>
          <w:rStyle w:val="FootnoteReference"/>
          <w:b w:val="0"/>
          <w:bCs/>
          <w:sz w:val="20"/>
          <w:vertAlign w:val="baseline"/>
          <w:lang w:val="fr-FR"/>
        </w:rPr>
        <w:footnoteReference w:customMarkFollows="1" w:id="2"/>
        <w:t>*</w:t>
      </w:r>
    </w:p>
    <w:p w:rsidR="001F4248" w:rsidRPr="009C0F71" w:rsidRDefault="001F4248" w:rsidP="001F4248">
      <w:pPr>
        <w:pStyle w:val="SingleTxtG"/>
        <w:ind w:left="4536" w:hanging="3402"/>
        <w:rPr>
          <w:lang w:val="fr-FR"/>
        </w:rPr>
      </w:pPr>
      <w:r w:rsidRPr="009C0F71">
        <w:rPr>
          <w:i/>
          <w:lang w:val="fr-FR"/>
        </w:rPr>
        <w:t>Présentée par</w:t>
      </w:r>
      <w:r w:rsidRPr="009C0F71">
        <w:rPr>
          <w:lang w:val="fr-FR"/>
        </w:rPr>
        <w:t>:</w:t>
      </w:r>
      <w:r w:rsidRPr="009C0F71">
        <w:rPr>
          <w:i/>
          <w:lang w:val="fr-FR"/>
        </w:rPr>
        <w:tab/>
      </w:r>
      <w:r w:rsidRPr="009C0F71">
        <w:rPr>
          <w:lang w:val="fr-FR"/>
        </w:rPr>
        <w:t xml:space="preserve">Paul Mitonsou Zinsou (représenté par Serge Roberto Prince Agbodjan) </w:t>
      </w:r>
    </w:p>
    <w:p w:rsidR="001F4248" w:rsidRPr="009C0F71" w:rsidRDefault="001F4248" w:rsidP="00DE636A">
      <w:pPr>
        <w:pStyle w:val="SingleTxtG"/>
        <w:ind w:left="4536" w:hanging="3402"/>
        <w:rPr>
          <w:lang w:val="fr-FR"/>
        </w:rPr>
      </w:pPr>
      <w:r w:rsidRPr="009C0F71">
        <w:rPr>
          <w:i/>
          <w:lang w:val="fr-FR"/>
        </w:rPr>
        <w:t>Au nom de</w:t>
      </w:r>
      <w:r w:rsidRPr="009C0F71">
        <w:rPr>
          <w:lang w:val="fr-FR"/>
        </w:rPr>
        <w:t>:</w:t>
      </w:r>
      <w:r w:rsidRPr="009C0F71">
        <w:rPr>
          <w:i/>
          <w:lang w:val="fr-FR"/>
        </w:rPr>
        <w:tab/>
      </w:r>
      <w:r w:rsidR="00407BD3" w:rsidRPr="009C0F71">
        <w:rPr>
          <w:iCs/>
          <w:lang w:val="fr-FR"/>
        </w:rPr>
        <w:t>L’auteur</w:t>
      </w:r>
    </w:p>
    <w:p w:rsidR="001F4248" w:rsidRPr="009C0F71" w:rsidRDefault="001F4248" w:rsidP="001F4248">
      <w:pPr>
        <w:pStyle w:val="SingleTxtG"/>
        <w:ind w:left="4536" w:hanging="3402"/>
        <w:rPr>
          <w:i/>
          <w:lang w:val="fr-FR"/>
        </w:rPr>
      </w:pPr>
      <w:r w:rsidRPr="009C0F71">
        <w:rPr>
          <w:i/>
          <w:lang w:val="fr-FR"/>
        </w:rPr>
        <w:t>État partie</w:t>
      </w:r>
      <w:r w:rsidRPr="009C0F71">
        <w:rPr>
          <w:lang w:val="fr-FR"/>
        </w:rPr>
        <w:t>:</w:t>
      </w:r>
      <w:r w:rsidRPr="009C0F71">
        <w:rPr>
          <w:i/>
          <w:lang w:val="fr-FR"/>
        </w:rPr>
        <w:tab/>
      </w:r>
      <w:r w:rsidRPr="009C0F71">
        <w:rPr>
          <w:lang w:val="fr-FR"/>
        </w:rPr>
        <w:t>Bénin</w:t>
      </w:r>
    </w:p>
    <w:p w:rsidR="001F4248" w:rsidRPr="009C0F71" w:rsidRDefault="001F4248" w:rsidP="001F4248">
      <w:pPr>
        <w:pStyle w:val="SingleTxtG"/>
        <w:ind w:left="4536" w:hanging="3402"/>
        <w:rPr>
          <w:i/>
          <w:lang w:val="fr-FR"/>
        </w:rPr>
      </w:pPr>
      <w:r w:rsidRPr="009C0F71">
        <w:rPr>
          <w:i/>
          <w:lang w:val="fr-FR"/>
        </w:rPr>
        <w:t>Date de la communication</w:t>
      </w:r>
      <w:r w:rsidRPr="009C0F71">
        <w:rPr>
          <w:lang w:val="fr-FR"/>
        </w:rPr>
        <w:t>:</w:t>
      </w:r>
      <w:r w:rsidRPr="009C0F71">
        <w:rPr>
          <w:i/>
          <w:lang w:val="fr-FR"/>
        </w:rPr>
        <w:tab/>
      </w:r>
      <w:r w:rsidRPr="009C0F71">
        <w:rPr>
          <w:lang w:val="fr-FR"/>
        </w:rPr>
        <w:t>2 septembre 2010</w:t>
      </w:r>
      <w:r w:rsidRPr="009C0F71">
        <w:rPr>
          <w:iCs/>
          <w:lang w:val="fr-FR"/>
        </w:rPr>
        <w:t xml:space="preserve"> </w:t>
      </w:r>
      <w:r w:rsidRPr="009C0F71">
        <w:rPr>
          <w:lang w:val="fr-FR"/>
        </w:rPr>
        <w:t>(date de la lettre initiale)</w:t>
      </w:r>
    </w:p>
    <w:p w:rsidR="001F4248" w:rsidRPr="009C0F71" w:rsidRDefault="001F4248" w:rsidP="00BD468D">
      <w:pPr>
        <w:pStyle w:val="SingleTxtG"/>
        <w:ind w:firstLine="567"/>
        <w:rPr>
          <w:i/>
          <w:lang w:val="fr-FR"/>
        </w:rPr>
      </w:pPr>
      <w:r w:rsidRPr="009C0F71">
        <w:rPr>
          <w:i/>
          <w:lang w:val="fr-FR"/>
        </w:rPr>
        <w:t>Le Comité des droits de l’homme</w:t>
      </w:r>
      <w:r w:rsidRPr="009C0F71">
        <w:rPr>
          <w:lang w:val="fr-FR"/>
        </w:rPr>
        <w:t>, institué en vertu de l’article 28 du Pacte international relatif aux droits civils et politiques,</w:t>
      </w:r>
    </w:p>
    <w:p w:rsidR="001F4248" w:rsidRPr="009C0F71" w:rsidRDefault="001F4248" w:rsidP="00FB3B8F">
      <w:pPr>
        <w:pStyle w:val="SingleTxtG"/>
        <w:rPr>
          <w:i/>
          <w:iCs/>
          <w:lang w:val="fr-FR"/>
        </w:rPr>
      </w:pPr>
      <w:r w:rsidRPr="009C0F71">
        <w:rPr>
          <w:i/>
          <w:lang w:val="fr-FR"/>
        </w:rPr>
        <w:tab/>
        <w:t>Réuni</w:t>
      </w:r>
      <w:r w:rsidRPr="009C0F71">
        <w:rPr>
          <w:i/>
          <w:iCs/>
          <w:lang w:val="fr-FR"/>
        </w:rPr>
        <w:t xml:space="preserve"> le</w:t>
      </w:r>
      <w:r w:rsidR="008744D2" w:rsidRPr="009C0F71">
        <w:rPr>
          <w:lang w:val="fr-FR"/>
        </w:rPr>
        <w:t xml:space="preserve"> 18</w:t>
      </w:r>
      <w:r w:rsidR="008614A5" w:rsidRPr="009C0F71">
        <w:rPr>
          <w:lang w:val="fr-FR"/>
        </w:rPr>
        <w:t xml:space="preserve"> </w:t>
      </w:r>
      <w:r w:rsidRPr="009C0F71">
        <w:rPr>
          <w:lang w:val="fr-FR"/>
        </w:rPr>
        <w:t>juillet 2014,</w:t>
      </w:r>
    </w:p>
    <w:p w:rsidR="001F4248" w:rsidRPr="009C0F71" w:rsidRDefault="001F4248" w:rsidP="00DE636A">
      <w:pPr>
        <w:pStyle w:val="SingleTxtG"/>
        <w:rPr>
          <w:i/>
          <w:iCs/>
          <w:lang w:val="fr-FR"/>
        </w:rPr>
      </w:pPr>
      <w:r w:rsidRPr="009C0F71">
        <w:rPr>
          <w:i/>
          <w:iCs/>
          <w:lang w:val="fr-FR"/>
        </w:rPr>
        <w:tab/>
        <w:t>Ayant achevé</w:t>
      </w:r>
      <w:r w:rsidRPr="009C0F71">
        <w:rPr>
          <w:lang w:val="fr-FR"/>
        </w:rPr>
        <w:t xml:space="preserve"> l’examen de la communication </w:t>
      </w:r>
      <w:r w:rsidR="004E6FD0" w:rsidRPr="009C0F71">
        <w:rPr>
          <w:lang w:val="fr-FR"/>
        </w:rPr>
        <w:t>n</w:t>
      </w:r>
      <w:r w:rsidR="004E6FD0" w:rsidRPr="009C0F71">
        <w:rPr>
          <w:vertAlign w:val="superscript"/>
          <w:lang w:val="fr-FR"/>
        </w:rPr>
        <w:t>o</w:t>
      </w:r>
      <w:r w:rsidR="004E6FD0" w:rsidRPr="009C0F71">
        <w:rPr>
          <w:lang w:val="fr-FR"/>
        </w:rPr>
        <w:t> </w:t>
      </w:r>
      <w:r w:rsidRPr="009C0F71">
        <w:rPr>
          <w:lang w:val="fr-FR"/>
        </w:rPr>
        <w:t>2055/2011 présentée par Paul Mitonsou Zinsou en vertu du Protocole facultatif se rapportant au Pacte international relatif aux droits civils et politiques,</w:t>
      </w:r>
    </w:p>
    <w:p w:rsidR="001F4248" w:rsidRPr="009C0F71" w:rsidRDefault="001F4248" w:rsidP="00DE636A">
      <w:pPr>
        <w:pStyle w:val="SingleTxtG"/>
        <w:rPr>
          <w:i/>
          <w:lang w:val="fr-FR"/>
        </w:rPr>
      </w:pPr>
      <w:r w:rsidRPr="009C0F71">
        <w:rPr>
          <w:i/>
          <w:iCs/>
          <w:lang w:val="fr-FR"/>
        </w:rPr>
        <w:tab/>
        <w:t>Ayant tenu compte</w:t>
      </w:r>
      <w:r w:rsidRPr="009C0F71">
        <w:rPr>
          <w:lang w:val="fr-FR"/>
        </w:rPr>
        <w:t xml:space="preserve"> de toutes les informations écrites qui lui ont été communiquées par l</w:t>
      </w:r>
      <w:r w:rsidR="009D49B6" w:rsidRPr="009C0F71">
        <w:rPr>
          <w:lang w:val="fr-FR"/>
        </w:rPr>
        <w:t>’</w:t>
      </w:r>
      <w:r w:rsidRPr="009C0F71">
        <w:rPr>
          <w:lang w:val="fr-FR"/>
        </w:rPr>
        <w:t>auteur de la communication et l’État partie,</w:t>
      </w:r>
    </w:p>
    <w:p w:rsidR="001F4248" w:rsidRPr="009C0F71" w:rsidRDefault="001F4248" w:rsidP="001F4248">
      <w:pPr>
        <w:pStyle w:val="SingleTxtG"/>
        <w:rPr>
          <w:lang w:val="fr-FR"/>
        </w:rPr>
      </w:pPr>
      <w:r w:rsidRPr="009C0F71">
        <w:rPr>
          <w:i/>
          <w:lang w:val="fr-FR"/>
        </w:rPr>
        <w:tab/>
        <w:t>Adopte</w:t>
      </w:r>
      <w:r w:rsidRPr="009C0F71">
        <w:rPr>
          <w:lang w:val="fr-FR"/>
        </w:rPr>
        <w:t xml:space="preserve"> ce qui suit:</w:t>
      </w:r>
    </w:p>
    <w:p w:rsidR="001F4248" w:rsidRPr="000B7E91" w:rsidRDefault="001F4248" w:rsidP="00BD468D">
      <w:pPr>
        <w:pStyle w:val="H1G"/>
        <w:rPr>
          <w:lang w:val="fr-FR"/>
        </w:rPr>
      </w:pPr>
      <w:r w:rsidRPr="009C0F71">
        <w:rPr>
          <w:lang w:val="fr-FR"/>
        </w:rPr>
        <w:tab/>
      </w:r>
      <w:r w:rsidRPr="009C0F71">
        <w:rPr>
          <w:lang w:val="fr-FR"/>
        </w:rPr>
        <w:tab/>
        <w:t>Constatations au titre du paragraphe 4 de l’article 5 du Protocole facultatif</w:t>
      </w:r>
    </w:p>
    <w:p w:rsidR="001F4248" w:rsidRPr="000B7E91" w:rsidRDefault="001F4248" w:rsidP="00FB3B8F">
      <w:pPr>
        <w:pStyle w:val="SingleTxtG"/>
        <w:rPr>
          <w:lang w:val="fr-FR"/>
        </w:rPr>
      </w:pPr>
      <w:r w:rsidRPr="000B7E91">
        <w:rPr>
          <w:lang w:val="fr-FR"/>
        </w:rPr>
        <w:t>1.</w:t>
      </w:r>
      <w:r w:rsidRPr="000B7E91">
        <w:rPr>
          <w:lang w:val="fr-FR"/>
        </w:rPr>
        <w:tab/>
        <w:t>L’auteur de la communication est Paul Mitonsou Zinsou, citoyen béninois né à Cotonou en 1971. Il fait état de violations par le Bénin de l’article</w:t>
      </w:r>
      <w:r w:rsidR="00DE20CB" w:rsidRPr="000B7E91">
        <w:rPr>
          <w:lang w:val="fr-FR"/>
        </w:rPr>
        <w:t> </w:t>
      </w:r>
      <w:r w:rsidRPr="000B7E91">
        <w:rPr>
          <w:lang w:val="fr-FR"/>
        </w:rPr>
        <w:t>7 et 14, paragraphe</w:t>
      </w:r>
      <w:r w:rsidR="00DE20CB" w:rsidRPr="000B7E91">
        <w:rPr>
          <w:lang w:val="fr-FR"/>
        </w:rPr>
        <w:t> </w:t>
      </w:r>
      <w:r w:rsidRPr="000B7E91">
        <w:rPr>
          <w:lang w:val="fr-FR"/>
        </w:rPr>
        <w:t>2</w:t>
      </w:r>
      <w:r w:rsidR="009A4D61">
        <w:rPr>
          <w:lang w:val="fr-FR"/>
        </w:rPr>
        <w:t>,</w:t>
      </w:r>
      <w:r w:rsidRPr="000B7E91">
        <w:rPr>
          <w:lang w:val="fr-FR"/>
        </w:rPr>
        <w:t xml:space="preserve"> du Pacte</w:t>
      </w:r>
      <w:r w:rsidRPr="00BC46B8">
        <w:rPr>
          <w:lang w:val="fr-FR"/>
        </w:rPr>
        <w:t>. Il est représenté</w:t>
      </w:r>
      <w:r w:rsidR="00EF56C2" w:rsidRPr="009C0F71">
        <w:rPr>
          <w:lang w:val="fr-FR"/>
        </w:rPr>
        <w:t xml:space="preserve"> par un conseil</w:t>
      </w:r>
      <w:r w:rsidRPr="00BC46B8">
        <w:rPr>
          <w:lang w:val="fr-FR"/>
        </w:rPr>
        <w:t>.</w:t>
      </w:r>
      <w:r w:rsidRPr="000B7E91">
        <w:rPr>
          <w:lang w:val="fr-FR"/>
        </w:rPr>
        <w:t xml:space="preserve"> Le Protocole facultatif est entré en vigueur pour l’</w:t>
      </w:r>
      <w:r w:rsidR="00DE20CB" w:rsidRPr="000B7E91">
        <w:rPr>
          <w:lang w:val="fr-FR"/>
        </w:rPr>
        <w:t>État</w:t>
      </w:r>
      <w:r w:rsidRPr="000B7E91">
        <w:rPr>
          <w:lang w:val="fr-FR"/>
        </w:rPr>
        <w:t xml:space="preserve"> partie le </w:t>
      </w:r>
      <w:r w:rsidRPr="00BC46B8">
        <w:rPr>
          <w:lang w:val="fr-FR"/>
        </w:rPr>
        <w:t>12</w:t>
      </w:r>
      <w:r w:rsidR="00DE20CB" w:rsidRPr="00BC46B8">
        <w:rPr>
          <w:lang w:val="fr-FR"/>
        </w:rPr>
        <w:t> </w:t>
      </w:r>
      <w:r w:rsidRPr="00BC46B8">
        <w:rPr>
          <w:lang w:val="fr-FR"/>
        </w:rPr>
        <w:t>juin 1992.</w:t>
      </w:r>
    </w:p>
    <w:p w:rsidR="001F4248" w:rsidRPr="00BC46B8" w:rsidRDefault="00BD468D" w:rsidP="00DE636A">
      <w:pPr>
        <w:pStyle w:val="H23G"/>
        <w:rPr>
          <w:lang w:val="fr-FR"/>
        </w:rPr>
      </w:pPr>
      <w:r w:rsidRPr="000B7E91">
        <w:rPr>
          <w:lang w:val="fr-FR"/>
        </w:rPr>
        <w:tab/>
      </w:r>
      <w:r w:rsidRPr="000B7E91">
        <w:rPr>
          <w:lang w:val="fr-FR"/>
        </w:rPr>
        <w:tab/>
      </w:r>
      <w:r w:rsidR="009D49B6" w:rsidRPr="00BC46B8">
        <w:rPr>
          <w:lang w:val="fr-FR"/>
        </w:rPr>
        <w:t>Rappel d</w:t>
      </w:r>
      <w:r w:rsidR="001F4248" w:rsidRPr="00BC46B8">
        <w:rPr>
          <w:lang w:val="fr-FR"/>
        </w:rPr>
        <w:t>es faits présentés par l’auteur</w:t>
      </w:r>
    </w:p>
    <w:p w:rsidR="001F4248" w:rsidRPr="000B7E91" w:rsidRDefault="001F4248" w:rsidP="001F4248">
      <w:pPr>
        <w:pStyle w:val="SingleTxtG"/>
        <w:rPr>
          <w:lang w:val="fr-FR"/>
        </w:rPr>
      </w:pPr>
      <w:r w:rsidRPr="009C0F71">
        <w:rPr>
          <w:lang w:val="fr-FR"/>
        </w:rPr>
        <w:t>2.1</w:t>
      </w:r>
      <w:r w:rsidRPr="009C0F71">
        <w:rPr>
          <w:lang w:val="fr-FR"/>
        </w:rPr>
        <w:tab/>
        <w:t>L’auteur est mécanicien et chauffeur de profession. Suite</w:t>
      </w:r>
      <w:r w:rsidRPr="000B7E91">
        <w:rPr>
          <w:lang w:val="fr-FR"/>
        </w:rPr>
        <w:t xml:space="preserve"> à son implication, à une date non spécifiée, dans un accident de la circulation,</w:t>
      </w:r>
      <w:r w:rsidR="008614A5" w:rsidRPr="000B7E91">
        <w:rPr>
          <w:lang w:val="fr-FR"/>
        </w:rPr>
        <w:t xml:space="preserve"> </w:t>
      </w:r>
      <w:r w:rsidRPr="000B7E91">
        <w:rPr>
          <w:lang w:val="fr-FR"/>
        </w:rPr>
        <w:t>il a été mis sous mandat de dépôt pour</w:t>
      </w:r>
      <w:r w:rsidR="008614A5" w:rsidRPr="000B7E91">
        <w:rPr>
          <w:lang w:val="fr-FR"/>
        </w:rPr>
        <w:t xml:space="preserve"> </w:t>
      </w:r>
      <w:r w:rsidRPr="000B7E91">
        <w:rPr>
          <w:lang w:val="fr-FR"/>
        </w:rPr>
        <w:t xml:space="preserve">homicide involontaire et défaut de maîtrise. </w:t>
      </w:r>
    </w:p>
    <w:p w:rsidR="001F4248" w:rsidRPr="000B7E91" w:rsidRDefault="001F4248" w:rsidP="00DE636A">
      <w:pPr>
        <w:pStyle w:val="SingleTxtG"/>
        <w:rPr>
          <w:lang w:val="fr-FR"/>
        </w:rPr>
      </w:pPr>
      <w:r w:rsidRPr="000B7E91">
        <w:rPr>
          <w:lang w:val="fr-FR"/>
        </w:rPr>
        <w:t>2.2</w:t>
      </w:r>
      <w:r w:rsidRPr="000B7E91">
        <w:rPr>
          <w:lang w:val="fr-FR"/>
        </w:rPr>
        <w:tab/>
        <w:t>Durant son séjour en tant que prévenu à la maison d’arrêt de Cotonou</w:t>
      </w:r>
      <w:r w:rsidR="009A4D61">
        <w:rPr>
          <w:lang w:val="fr-FR"/>
        </w:rPr>
        <w:t>,</w:t>
      </w:r>
      <w:r w:rsidRPr="000B7E91">
        <w:rPr>
          <w:lang w:val="fr-FR"/>
        </w:rPr>
        <w:t xml:space="preserve"> du 14</w:t>
      </w:r>
      <w:r w:rsidR="004E6FD0" w:rsidRPr="000B7E91">
        <w:rPr>
          <w:lang w:val="fr-FR"/>
        </w:rPr>
        <w:t> </w:t>
      </w:r>
      <w:r w:rsidRPr="000B7E91">
        <w:rPr>
          <w:lang w:val="fr-FR"/>
        </w:rPr>
        <w:t>août au 5</w:t>
      </w:r>
      <w:r w:rsidR="004E6FD0" w:rsidRPr="000B7E91">
        <w:rPr>
          <w:lang w:val="fr-FR"/>
        </w:rPr>
        <w:t> </w:t>
      </w:r>
      <w:r w:rsidRPr="000B7E91">
        <w:rPr>
          <w:lang w:val="fr-FR"/>
        </w:rPr>
        <w:t>septembre 2008 (date de sa libération), l’auteur a été soumis à une règle imposée à toutes les personnes incarcérées dans les prisons béninoises, qui oblige les détenus, y compris les prévenus,</w:t>
      </w:r>
      <w:r w:rsidR="008614A5" w:rsidRPr="000B7E91">
        <w:rPr>
          <w:lang w:val="fr-FR"/>
        </w:rPr>
        <w:t xml:space="preserve"> </w:t>
      </w:r>
      <w:r w:rsidRPr="000B7E91">
        <w:rPr>
          <w:lang w:val="fr-FR"/>
        </w:rPr>
        <w:t xml:space="preserve">à être vêtus d’un gilet portant mention de leur lieu de détention lorsqu’ils se </w:t>
      </w:r>
      <w:r w:rsidRPr="00BC46B8">
        <w:rPr>
          <w:lang w:val="fr-FR"/>
        </w:rPr>
        <w:t xml:space="preserve">rendent au tribunal </w:t>
      </w:r>
      <w:r w:rsidRPr="009C0F71">
        <w:rPr>
          <w:lang w:val="fr-FR"/>
        </w:rPr>
        <w:t>et durant leur</w:t>
      </w:r>
      <w:r w:rsidR="009A4D61" w:rsidRPr="009C0F71">
        <w:rPr>
          <w:lang w:val="fr-FR"/>
        </w:rPr>
        <w:t>s</w:t>
      </w:r>
      <w:r w:rsidRPr="009C0F71">
        <w:rPr>
          <w:lang w:val="fr-FR"/>
        </w:rPr>
        <w:t xml:space="preserve"> audience</w:t>
      </w:r>
      <w:r w:rsidR="009A4D61" w:rsidRPr="009C0F71">
        <w:rPr>
          <w:lang w:val="fr-FR"/>
        </w:rPr>
        <w:t>s</w:t>
      </w:r>
      <w:r w:rsidRPr="009C0F71">
        <w:rPr>
          <w:lang w:val="fr-FR"/>
        </w:rPr>
        <w:t>. Ce</w:t>
      </w:r>
      <w:r w:rsidRPr="000B7E91">
        <w:rPr>
          <w:lang w:val="fr-FR"/>
        </w:rPr>
        <w:t xml:space="preserve"> faisant, les détenus passent devant le public et, ainsi vêtus, font l’objet de railleries et de moqueries. </w:t>
      </w:r>
    </w:p>
    <w:p w:rsidR="001F4248" w:rsidRPr="000B7E91" w:rsidRDefault="001F4248" w:rsidP="00DE636A">
      <w:pPr>
        <w:pStyle w:val="SingleTxtG"/>
        <w:rPr>
          <w:lang w:val="fr-FR"/>
        </w:rPr>
      </w:pPr>
      <w:r w:rsidRPr="000B7E91">
        <w:rPr>
          <w:lang w:val="fr-FR"/>
        </w:rPr>
        <w:t>2.3</w:t>
      </w:r>
      <w:r w:rsidRPr="000B7E91">
        <w:rPr>
          <w:lang w:val="fr-FR"/>
        </w:rPr>
        <w:tab/>
        <w:t xml:space="preserve">L’auteur a été soumis à cette pratique </w:t>
      </w:r>
      <w:r w:rsidR="009A4D61">
        <w:rPr>
          <w:lang w:val="fr-FR"/>
        </w:rPr>
        <w:t xml:space="preserve">chaque </w:t>
      </w:r>
      <w:r w:rsidRPr="000B7E91">
        <w:rPr>
          <w:lang w:val="fr-FR"/>
        </w:rPr>
        <w:t xml:space="preserve">fois </w:t>
      </w:r>
      <w:r w:rsidR="009A4D61">
        <w:rPr>
          <w:lang w:val="fr-FR"/>
        </w:rPr>
        <w:t>qu’</w:t>
      </w:r>
      <w:r w:rsidRPr="000B7E91">
        <w:rPr>
          <w:lang w:val="fr-FR"/>
        </w:rPr>
        <w:t>il s</w:t>
      </w:r>
      <w:r w:rsidR="009A4D61">
        <w:rPr>
          <w:lang w:val="fr-FR"/>
        </w:rPr>
        <w:t xml:space="preserve">’est </w:t>
      </w:r>
      <w:r w:rsidRPr="000B7E91">
        <w:rPr>
          <w:lang w:val="fr-FR"/>
        </w:rPr>
        <w:t>rend</w:t>
      </w:r>
      <w:r w:rsidR="009A4D61">
        <w:rPr>
          <w:lang w:val="fr-FR"/>
        </w:rPr>
        <w:t xml:space="preserve">u </w:t>
      </w:r>
      <w:r w:rsidRPr="000B7E91">
        <w:rPr>
          <w:lang w:val="fr-FR"/>
        </w:rPr>
        <w:t>au tribunal, notamment pour son audience du 5</w:t>
      </w:r>
      <w:r w:rsidR="004E6FD0" w:rsidRPr="000B7E91">
        <w:rPr>
          <w:lang w:val="fr-FR"/>
        </w:rPr>
        <w:t> </w:t>
      </w:r>
      <w:r w:rsidRPr="000B7E91">
        <w:rPr>
          <w:lang w:val="fr-FR"/>
        </w:rPr>
        <w:t>septembre 2008</w:t>
      </w:r>
      <w:r w:rsidR="009A4D61">
        <w:rPr>
          <w:lang w:val="fr-FR"/>
        </w:rPr>
        <w:t>.</w:t>
      </w:r>
      <w:r w:rsidRPr="000B7E91">
        <w:rPr>
          <w:lang w:val="fr-FR"/>
        </w:rPr>
        <w:t xml:space="preserve"> Il soutient qu’il a dû se rendre au tribunal vêtu d’un gilet portant la mention «Prison civile de Cotonou» et menotté. L’auteur ajoute qu</w:t>
      </w:r>
      <w:r w:rsidR="009A4D61">
        <w:rPr>
          <w:lang w:val="fr-FR"/>
        </w:rPr>
        <w:t xml:space="preserve">e, durant sa détention, </w:t>
      </w:r>
      <w:r w:rsidRPr="000B7E91">
        <w:rPr>
          <w:lang w:val="fr-FR"/>
        </w:rPr>
        <w:t>il a également dû recevoir toutes ses visites vêtu de ce gilet</w:t>
      </w:r>
      <w:r w:rsidR="009A4D61">
        <w:rPr>
          <w:lang w:val="fr-FR"/>
        </w:rPr>
        <w:t>. I</w:t>
      </w:r>
      <w:r w:rsidRPr="000B7E91">
        <w:rPr>
          <w:lang w:val="fr-FR"/>
        </w:rPr>
        <w:t xml:space="preserve">l a ainsi </w:t>
      </w:r>
      <w:r w:rsidR="00DE636A">
        <w:rPr>
          <w:lang w:val="fr-FR"/>
        </w:rPr>
        <w:t xml:space="preserve">été </w:t>
      </w:r>
      <w:r w:rsidRPr="000B7E91">
        <w:rPr>
          <w:lang w:val="fr-FR"/>
        </w:rPr>
        <w:t xml:space="preserve">l’objet de railleries et de moqueries, ce qu’il a vécu comme une humiliation. De plus, </w:t>
      </w:r>
      <w:r w:rsidR="009A4D61">
        <w:rPr>
          <w:lang w:val="fr-FR"/>
        </w:rPr>
        <w:t xml:space="preserve">en raison de </w:t>
      </w:r>
      <w:r w:rsidRPr="000B7E91">
        <w:rPr>
          <w:lang w:val="fr-FR"/>
        </w:rPr>
        <w:t>toutes ses protestations contre cette pratique</w:t>
      </w:r>
      <w:r w:rsidR="009A4D61">
        <w:rPr>
          <w:lang w:val="fr-FR"/>
        </w:rPr>
        <w:t>, il a subi</w:t>
      </w:r>
      <w:r w:rsidRPr="000B7E91">
        <w:rPr>
          <w:lang w:val="fr-FR"/>
        </w:rPr>
        <w:t xml:space="preserve"> des sévices corporels</w:t>
      </w:r>
      <w:r w:rsidR="009A4D61">
        <w:rPr>
          <w:lang w:val="fr-FR"/>
        </w:rPr>
        <w:t xml:space="preserve"> ainsi que</w:t>
      </w:r>
      <w:r w:rsidRPr="000B7E91">
        <w:rPr>
          <w:lang w:val="fr-FR"/>
        </w:rPr>
        <w:t xml:space="preserve"> des</w:t>
      </w:r>
      <w:r w:rsidR="008614A5" w:rsidRPr="000B7E91">
        <w:rPr>
          <w:lang w:val="fr-FR"/>
        </w:rPr>
        <w:t xml:space="preserve"> </w:t>
      </w:r>
      <w:r w:rsidRPr="000B7E91">
        <w:rPr>
          <w:lang w:val="fr-FR"/>
        </w:rPr>
        <w:t>réprimandes et autres railleries</w:t>
      </w:r>
      <w:r w:rsidRPr="000B7E91">
        <w:rPr>
          <w:rStyle w:val="FootnoteReference"/>
          <w:lang w:val="fr-FR"/>
        </w:rPr>
        <w:footnoteReference w:id="3"/>
      </w:r>
      <w:r w:rsidR="004E6FD0" w:rsidRPr="000B7E91">
        <w:rPr>
          <w:lang w:val="fr-FR"/>
        </w:rPr>
        <w:t>.</w:t>
      </w:r>
    </w:p>
    <w:p w:rsidR="001F4248" w:rsidRPr="000B7E91" w:rsidRDefault="001F4248" w:rsidP="00EF56C2">
      <w:pPr>
        <w:pStyle w:val="SingleTxtG"/>
        <w:rPr>
          <w:lang w:val="fr-FR"/>
        </w:rPr>
      </w:pPr>
      <w:r w:rsidRPr="000B7E91">
        <w:rPr>
          <w:lang w:val="fr-FR"/>
        </w:rPr>
        <w:t>2.4</w:t>
      </w:r>
      <w:r w:rsidRPr="000B7E91">
        <w:rPr>
          <w:lang w:val="fr-FR"/>
        </w:rPr>
        <w:tab/>
        <w:t>Le 8</w:t>
      </w:r>
      <w:r w:rsidR="003B478D">
        <w:rPr>
          <w:lang w:val="fr-FR"/>
        </w:rPr>
        <w:t> </w:t>
      </w:r>
      <w:r w:rsidRPr="000B7E91">
        <w:rPr>
          <w:lang w:val="fr-FR"/>
        </w:rPr>
        <w:t xml:space="preserve">décembre 2009, l’auteur a saisi la Cour </w:t>
      </w:r>
      <w:r w:rsidR="00DE636A">
        <w:rPr>
          <w:lang w:val="fr-FR"/>
        </w:rPr>
        <w:t>c</w:t>
      </w:r>
      <w:r w:rsidRPr="000B7E91">
        <w:rPr>
          <w:lang w:val="fr-FR"/>
        </w:rPr>
        <w:t>onstitutionnelle du Bénin d’une requête en vue de voir déclarer les pratiques subies contraires aux articles</w:t>
      </w:r>
      <w:r w:rsidR="004E6FD0" w:rsidRPr="000B7E91">
        <w:rPr>
          <w:lang w:val="fr-FR"/>
        </w:rPr>
        <w:t> </w:t>
      </w:r>
      <w:r w:rsidRPr="000B7E91">
        <w:rPr>
          <w:lang w:val="fr-FR"/>
        </w:rPr>
        <w:t>17 et 18</w:t>
      </w:r>
      <w:r w:rsidR="008614A5" w:rsidRPr="000B7E91">
        <w:rPr>
          <w:lang w:val="fr-FR"/>
        </w:rPr>
        <w:t xml:space="preserve"> </w:t>
      </w:r>
      <w:r w:rsidRPr="000B7E91">
        <w:rPr>
          <w:lang w:val="fr-FR"/>
        </w:rPr>
        <w:t>de la Constitution du Bénin, qui garantissent respectivement la présomption d’innocence et le droit de ne pas subir de traitements inhumains</w:t>
      </w:r>
      <w:r w:rsidRPr="00BC46B8">
        <w:rPr>
          <w:lang w:val="fr-FR"/>
        </w:rPr>
        <w:t xml:space="preserve">, </w:t>
      </w:r>
      <w:r w:rsidRPr="009C0F71">
        <w:rPr>
          <w:lang w:val="fr-FR"/>
        </w:rPr>
        <w:t>humiliant</w:t>
      </w:r>
      <w:r w:rsidR="00DE636A" w:rsidRPr="009C0F71">
        <w:rPr>
          <w:lang w:val="fr-FR"/>
        </w:rPr>
        <w:t>s</w:t>
      </w:r>
      <w:r w:rsidRPr="009C0F71">
        <w:rPr>
          <w:lang w:val="fr-FR"/>
        </w:rPr>
        <w:t xml:space="preserve"> et</w:t>
      </w:r>
      <w:r w:rsidRPr="000B7E91">
        <w:rPr>
          <w:lang w:val="fr-FR"/>
        </w:rPr>
        <w:t xml:space="preserve"> dégradants. Dans sa décision du 13</w:t>
      </w:r>
      <w:r w:rsidR="004E6FD0" w:rsidRPr="000B7E91">
        <w:rPr>
          <w:lang w:val="fr-FR"/>
        </w:rPr>
        <w:t> </w:t>
      </w:r>
      <w:r w:rsidRPr="000B7E91">
        <w:rPr>
          <w:lang w:val="fr-FR"/>
        </w:rPr>
        <w:t xml:space="preserve">juillet 2010, la Cour </w:t>
      </w:r>
      <w:r w:rsidR="00DE636A">
        <w:rPr>
          <w:lang w:val="fr-FR"/>
        </w:rPr>
        <w:t>c</w:t>
      </w:r>
      <w:r w:rsidRPr="000B7E91">
        <w:rPr>
          <w:lang w:val="fr-FR"/>
        </w:rPr>
        <w:t xml:space="preserve">onstitutionnelle a rejeté </w:t>
      </w:r>
      <w:r w:rsidR="00E43C0B">
        <w:rPr>
          <w:lang w:val="fr-FR"/>
        </w:rPr>
        <w:t>l</w:t>
      </w:r>
      <w:r w:rsidRPr="000B7E91">
        <w:rPr>
          <w:lang w:val="fr-FR"/>
        </w:rPr>
        <w:t>a requête</w:t>
      </w:r>
      <w:r w:rsidR="00E43C0B">
        <w:rPr>
          <w:lang w:val="fr-FR"/>
        </w:rPr>
        <w:t xml:space="preserve"> de l’auteur</w:t>
      </w:r>
      <w:r w:rsidRPr="000B7E91">
        <w:rPr>
          <w:lang w:val="fr-FR"/>
        </w:rPr>
        <w:t>, considérant que</w:t>
      </w:r>
      <w:r w:rsidR="004E6FD0" w:rsidRPr="000B7E91">
        <w:rPr>
          <w:lang w:val="fr-FR"/>
        </w:rPr>
        <w:t xml:space="preserve"> </w:t>
      </w:r>
      <w:r w:rsidRPr="000B7E91">
        <w:rPr>
          <w:lang w:val="fr-FR"/>
        </w:rPr>
        <w:t xml:space="preserve">l’obligation faite aux détenus de porter, à l’occasion des procès, une tenue réglementaire relève des mesures de sécurité qu’il appartient aux seules autorités pénitentiaires de prendre en mesure d’éviter que les prévenus aient la possibilité de se fondre dans le public pour échapper à la surveillance des gardes, et contribue ainsi à freiner toute velléité d’évasion éventuelle. La </w:t>
      </w:r>
      <w:r w:rsidR="00DE636A">
        <w:rPr>
          <w:lang w:val="fr-FR"/>
        </w:rPr>
        <w:t>C</w:t>
      </w:r>
      <w:r w:rsidRPr="000B7E91">
        <w:rPr>
          <w:lang w:val="fr-FR"/>
        </w:rPr>
        <w:t>our en a conclu</w:t>
      </w:r>
      <w:r w:rsidR="008614A5" w:rsidRPr="000B7E91">
        <w:rPr>
          <w:lang w:val="fr-FR"/>
        </w:rPr>
        <w:t xml:space="preserve"> </w:t>
      </w:r>
      <w:r w:rsidRPr="000B7E91">
        <w:rPr>
          <w:lang w:val="fr-FR"/>
        </w:rPr>
        <w:t>que le port</w:t>
      </w:r>
      <w:r w:rsidR="00DE636A">
        <w:rPr>
          <w:lang w:val="fr-FR"/>
        </w:rPr>
        <w:t>,</w:t>
      </w:r>
      <w:r w:rsidRPr="000B7E91">
        <w:rPr>
          <w:lang w:val="fr-FR"/>
        </w:rPr>
        <w:t xml:space="preserve"> par les prévenus</w:t>
      </w:r>
      <w:r w:rsidR="00DE636A">
        <w:rPr>
          <w:lang w:val="fr-FR"/>
        </w:rPr>
        <w:t>,</w:t>
      </w:r>
      <w:r w:rsidRPr="000B7E91">
        <w:rPr>
          <w:lang w:val="fr-FR"/>
        </w:rPr>
        <w:t xml:space="preserve"> d’une tenue réglementaire ne saurait être analysé comme un traitement dégradant</w:t>
      </w:r>
      <w:r w:rsidR="00DE636A">
        <w:rPr>
          <w:lang w:val="fr-FR"/>
        </w:rPr>
        <w:t xml:space="preserve"> ni </w:t>
      </w:r>
      <w:r w:rsidRPr="000B7E91">
        <w:rPr>
          <w:lang w:val="fr-FR"/>
        </w:rPr>
        <w:t xml:space="preserve">comme une atteinte à leur droit à la présomption d’innocence. </w:t>
      </w:r>
    </w:p>
    <w:p w:rsidR="001F4248" w:rsidRPr="00BC46B8" w:rsidRDefault="001F4248" w:rsidP="00DE636A">
      <w:pPr>
        <w:pStyle w:val="SingleTxtG"/>
        <w:rPr>
          <w:lang w:val="fr-FR"/>
        </w:rPr>
      </w:pPr>
      <w:r w:rsidRPr="000B7E91">
        <w:rPr>
          <w:lang w:val="fr-FR"/>
        </w:rPr>
        <w:t>2.5</w:t>
      </w:r>
      <w:r w:rsidRPr="000B7E91">
        <w:rPr>
          <w:lang w:val="fr-FR"/>
        </w:rPr>
        <w:tab/>
        <w:t xml:space="preserve">L’auteur ajoute que les décisions de la Cour </w:t>
      </w:r>
      <w:r w:rsidR="00DE636A">
        <w:rPr>
          <w:lang w:val="fr-FR"/>
        </w:rPr>
        <w:t>c</w:t>
      </w:r>
      <w:r w:rsidRPr="000B7E91">
        <w:rPr>
          <w:lang w:val="fr-FR"/>
        </w:rPr>
        <w:t xml:space="preserve">onstitutionnelle </w:t>
      </w:r>
      <w:r w:rsidR="00DE636A">
        <w:rPr>
          <w:lang w:val="fr-FR"/>
        </w:rPr>
        <w:t>n’</w:t>
      </w:r>
      <w:r w:rsidRPr="000B7E91">
        <w:rPr>
          <w:lang w:val="fr-FR"/>
        </w:rPr>
        <w:t xml:space="preserve">étant, </w:t>
      </w:r>
      <w:r w:rsidR="00DE636A">
        <w:rPr>
          <w:lang w:val="fr-FR"/>
        </w:rPr>
        <w:t xml:space="preserve">aux termes </w:t>
      </w:r>
      <w:r w:rsidRPr="000B7E91">
        <w:rPr>
          <w:lang w:val="fr-FR"/>
        </w:rPr>
        <w:t>de l’article</w:t>
      </w:r>
      <w:r w:rsidR="004E6FD0" w:rsidRPr="000B7E91">
        <w:rPr>
          <w:lang w:val="fr-FR"/>
        </w:rPr>
        <w:t> </w:t>
      </w:r>
      <w:r w:rsidR="00DE636A">
        <w:rPr>
          <w:lang w:val="fr-FR"/>
        </w:rPr>
        <w:t>1</w:t>
      </w:r>
      <w:r w:rsidRPr="000B7E91">
        <w:rPr>
          <w:lang w:val="fr-FR"/>
        </w:rPr>
        <w:t xml:space="preserve">24 de la Constitution du Bénin, «susceptibles d’aucun recours», il a en l’état épuisé tous </w:t>
      </w:r>
      <w:r w:rsidRPr="00BC46B8">
        <w:rPr>
          <w:lang w:val="fr-FR"/>
        </w:rPr>
        <w:t>les recours internes qui lui étaient offerts.</w:t>
      </w:r>
    </w:p>
    <w:p w:rsidR="001F4248" w:rsidRPr="00BC46B8" w:rsidRDefault="00BD468D" w:rsidP="00BD468D">
      <w:pPr>
        <w:pStyle w:val="H23G"/>
        <w:rPr>
          <w:lang w:val="fr-FR"/>
        </w:rPr>
      </w:pPr>
      <w:r w:rsidRPr="00BC46B8">
        <w:rPr>
          <w:lang w:val="fr-FR"/>
        </w:rPr>
        <w:tab/>
      </w:r>
      <w:r w:rsidRPr="00BC46B8">
        <w:rPr>
          <w:lang w:val="fr-FR"/>
        </w:rPr>
        <w:tab/>
      </w:r>
      <w:r w:rsidR="001F4248" w:rsidRPr="00BC46B8">
        <w:rPr>
          <w:lang w:val="fr-FR"/>
        </w:rPr>
        <w:t>Teneur de la plainte</w:t>
      </w:r>
    </w:p>
    <w:p w:rsidR="001F4248" w:rsidRPr="000B7E91" w:rsidRDefault="001F4248" w:rsidP="00FB3B8F">
      <w:pPr>
        <w:pStyle w:val="SingleTxtG"/>
        <w:rPr>
          <w:lang w:val="fr-FR"/>
        </w:rPr>
      </w:pPr>
      <w:r w:rsidRPr="00BC46B8">
        <w:rPr>
          <w:lang w:val="fr-FR"/>
        </w:rPr>
        <w:t>3.1</w:t>
      </w:r>
      <w:r w:rsidRPr="00BC46B8">
        <w:rPr>
          <w:lang w:val="fr-FR"/>
        </w:rPr>
        <w:tab/>
        <w:t>L’auteur invoque</w:t>
      </w:r>
      <w:r w:rsidRPr="000B7E91">
        <w:rPr>
          <w:lang w:val="fr-FR"/>
        </w:rPr>
        <w:t xml:space="preserve"> une violation de l’article</w:t>
      </w:r>
      <w:r w:rsidR="004E6FD0" w:rsidRPr="000B7E91">
        <w:rPr>
          <w:lang w:val="fr-FR"/>
        </w:rPr>
        <w:t> </w:t>
      </w:r>
      <w:r w:rsidRPr="000B7E91">
        <w:rPr>
          <w:lang w:val="fr-FR"/>
        </w:rPr>
        <w:t>7 du Pacte, au motif que le fait de devoir porter quotidiennement un gilet portant l’indication «Prison</w:t>
      </w:r>
      <w:r w:rsidR="00C00F33" w:rsidRPr="000B7E91">
        <w:rPr>
          <w:lang w:val="fr-FR"/>
        </w:rPr>
        <w:t xml:space="preserve"> civile</w:t>
      </w:r>
      <w:r w:rsidRPr="000B7E91">
        <w:rPr>
          <w:lang w:val="fr-FR"/>
        </w:rPr>
        <w:t xml:space="preserve"> de Cotonou»</w:t>
      </w:r>
      <w:r w:rsidR="003B478D">
        <w:rPr>
          <w:lang w:val="fr-FR"/>
        </w:rPr>
        <w:t xml:space="preserve"> </w:t>
      </w:r>
      <w:r w:rsidRPr="000B7E91">
        <w:rPr>
          <w:lang w:val="fr-FR"/>
        </w:rPr>
        <w:t>lors de sa détention préventive dans cet établissement du 14</w:t>
      </w:r>
      <w:r w:rsidR="004E6FD0" w:rsidRPr="000B7E91">
        <w:rPr>
          <w:lang w:val="fr-FR"/>
        </w:rPr>
        <w:t> </w:t>
      </w:r>
      <w:r w:rsidRPr="000B7E91">
        <w:rPr>
          <w:lang w:val="fr-FR"/>
        </w:rPr>
        <w:t>août au 5</w:t>
      </w:r>
      <w:r w:rsidR="004E6FD0" w:rsidRPr="000B7E91">
        <w:rPr>
          <w:lang w:val="fr-FR"/>
        </w:rPr>
        <w:t> </w:t>
      </w:r>
      <w:r w:rsidRPr="000B7E91">
        <w:rPr>
          <w:lang w:val="fr-FR"/>
        </w:rPr>
        <w:t>septembre 2008</w:t>
      </w:r>
      <w:r w:rsidR="008614A5" w:rsidRPr="000B7E91">
        <w:rPr>
          <w:lang w:val="fr-FR"/>
        </w:rPr>
        <w:t xml:space="preserve"> </w:t>
      </w:r>
      <w:r w:rsidRPr="000B7E91">
        <w:rPr>
          <w:lang w:val="fr-FR"/>
        </w:rPr>
        <w:t xml:space="preserve">l’a exposé aux moqueries et </w:t>
      </w:r>
      <w:r w:rsidR="00D432F8">
        <w:rPr>
          <w:lang w:val="fr-FR"/>
        </w:rPr>
        <w:t xml:space="preserve">aux </w:t>
      </w:r>
      <w:r w:rsidRPr="000B7E91">
        <w:rPr>
          <w:lang w:val="fr-FR"/>
        </w:rPr>
        <w:t>railleries du public, notamment lorsqu’il a reçu des visites de l’extérieur, ce qu’il a vécu comme une humiliation et a constitué selon lui un traitement dégradant à son encontre.</w:t>
      </w:r>
    </w:p>
    <w:p w:rsidR="001F4248" w:rsidRPr="000B7E91" w:rsidRDefault="001F4248" w:rsidP="00EF56C2">
      <w:pPr>
        <w:pStyle w:val="SingleTxtG"/>
        <w:rPr>
          <w:lang w:val="fr-FR"/>
        </w:rPr>
      </w:pPr>
      <w:r w:rsidRPr="000B7E91">
        <w:rPr>
          <w:lang w:val="fr-FR"/>
        </w:rPr>
        <w:t>3.2</w:t>
      </w:r>
      <w:r w:rsidRPr="000B7E91">
        <w:rPr>
          <w:lang w:val="fr-FR"/>
        </w:rPr>
        <w:tab/>
        <w:t>L’auteur allègue également une violation de l’article</w:t>
      </w:r>
      <w:r w:rsidR="004E6FD0" w:rsidRPr="000B7E91">
        <w:rPr>
          <w:lang w:val="fr-FR"/>
        </w:rPr>
        <w:t> </w:t>
      </w:r>
      <w:r w:rsidRPr="000B7E91">
        <w:rPr>
          <w:lang w:val="fr-FR"/>
        </w:rPr>
        <w:t>14, paragraphe</w:t>
      </w:r>
      <w:r w:rsidR="004E6FD0" w:rsidRPr="000B7E91">
        <w:rPr>
          <w:lang w:val="fr-FR"/>
        </w:rPr>
        <w:t> </w:t>
      </w:r>
      <w:r w:rsidRPr="000B7E91">
        <w:rPr>
          <w:lang w:val="fr-FR"/>
        </w:rPr>
        <w:t>2</w:t>
      </w:r>
      <w:r w:rsidR="00D432F8">
        <w:rPr>
          <w:lang w:val="fr-FR"/>
        </w:rPr>
        <w:t>,</w:t>
      </w:r>
      <w:r w:rsidRPr="000B7E91">
        <w:rPr>
          <w:lang w:val="fr-FR"/>
        </w:rPr>
        <w:t xml:space="preserve"> du Pacte, en ce qu’il considère que l’obligation de comparaître à son audience du 5</w:t>
      </w:r>
      <w:r w:rsidR="004E6FD0" w:rsidRPr="000B7E91">
        <w:rPr>
          <w:lang w:val="fr-FR"/>
        </w:rPr>
        <w:t> </w:t>
      </w:r>
      <w:r w:rsidRPr="000B7E91">
        <w:rPr>
          <w:lang w:val="fr-FR"/>
        </w:rPr>
        <w:t>septembre 2008</w:t>
      </w:r>
      <w:r w:rsidR="004E6FD0" w:rsidRPr="000B7E91">
        <w:rPr>
          <w:lang w:val="fr-FR"/>
        </w:rPr>
        <w:t xml:space="preserve"> </w:t>
      </w:r>
      <w:r w:rsidRPr="000B7E91">
        <w:rPr>
          <w:lang w:val="fr-FR"/>
        </w:rPr>
        <w:t>menotté et vêtu comme un prisonnier – c</w:t>
      </w:r>
      <w:r w:rsidR="00A706B3" w:rsidRPr="000B7E91">
        <w:rPr>
          <w:lang w:val="fr-FR"/>
        </w:rPr>
        <w:t>’</w:t>
      </w:r>
      <w:r w:rsidRPr="000B7E91">
        <w:rPr>
          <w:lang w:val="fr-FR"/>
        </w:rPr>
        <w:t>est-à-dire portant un gilet indiquant le lieu de sa détention – alors même qu’il n’</w:t>
      </w:r>
      <w:r w:rsidR="007A7E0E">
        <w:rPr>
          <w:lang w:val="fr-FR"/>
        </w:rPr>
        <w:t xml:space="preserve">était </w:t>
      </w:r>
      <w:r w:rsidRPr="000B7E91">
        <w:rPr>
          <w:lang w:val="fr-FR"/>
        </w:rPr>
        <w:t xml:space="preserve">pas encore condamné </w:t>
      </w:r>
      <w:r w:rsidR="007A7E0E">
        <w:rPr>
          <w:lang w:val="fr-FR"/>
        </w:rPr>
        <w:t xml:space="preserve">constituait </w:t>
      </w:r>
      <w:r w:rsidRPr="000B7E91">
        <w:rPr>
          <w:lang w:val="fr-FR"/>
        </w:rPr>
        <w:t xml:space="preserve">une violation de son droit à la présomption d’innocence. </w:t>
      </w:r>
    </w:p>
    <w:p w:rsidR="001F4248" w:rsidRPr="00BC46B8" w:rsidRDefault="001F4248" w:rsidP="00EF56C2">
      <w:pPr>
        <w:pStyle w:val="SingleTxtG"/>
        <w:rPr>
          <w:iCs/>
          <w:lang w:val="fr-FR"/>
        </w:rPr>
      </w:pPr>
      <w:r w:rsidRPr="000B7E91">
        <w:rPr>
          <w:lang w:val="fr-FR"/>
        </w:rPr>
        <w:t>3.3</w:t>
      </w:r>
      <w:r w:rsidRPr="000B7E91">
        <w:rPr>
          <w:lang w:val="fr-FR"/>
        </w:rPr>
        <w:tab/>
        <w:t xml:space="preserve">L’auteur fait référence aux </w:t>
      </w:r>
      <w:r w:rsidR="001B3731" w:rsidRPr="00BC46B8">
        <w:rPr>
          <w:lang w:val="fr-FR"/>
        </w:rPr>
        <w:t>o</w:t>
      </w:r>
      <w:r w:rsidRPr="00BC46B8">
        <w:rPr>
          <w:lang w:val="fr-FR"/>
        </w:rPr>
        <w:t>bservations finales du Comité</w:t>
      </w:r>
      <w:r w:rsidR="008614A5" w:rsidRPr="00BC46B8">
        <w:rPr>
          <w:lang w:val="fr-FR"/>
        </w:rPr>
        <w:t xml:space="preserve"> </w:t>
      </w:r>
      <w:r w:rsidRPr="00BC46B8">
        <w:rPr>
          <w:lang w:val="fr-FR"/>
        </w:rPr>
        <w:t xml:space="preserve">relatives à l’examen du rapport </w:t>
      </w:r>
      <w:r w:rsidR="001B3731" w:rsidRPr="009C0F71">
        <w:rPr>
          <w:lang w:val="fr-FR"/>
        </w:rPr>
        <w:t xml:space="preserve">initial </w:t>
      </w:r>
      <w:r w:rsidRPr="009C0F71">
        <w:rPr>
          <w:lang w:val="fr-FR"/>
        </w:rPr>
        <w:t>de l’</w:t>
      </w:r>
      <w:r w:rsidR="00A706B3" w:rsidRPr="009C0F71">
        <w:rPr>
          <w:lang w:val="fr-FR"/>
        </w:rPr>
        <w:t>État</w:t>
      </w:r>
      <w:r w:rsidRPr="009C0F71">
        <w:rPr>
          <w:lang w:val="fr-FR"/>
        </w:rPr>
        <w:t xml:space="preserve"> partie en 2004, dans lesquelles le Comité a considéré que</w:t>
      </w:r>
      <w:r w:rsidR="008614A5" w:rsidRPr="009C0F71">
        <w:rPr>
          <w:lang w:val="fr-FR"/>
        </w:rPr>
        <w:t xml:space="preserve"> </w:t>
      </w:r>
      <w:r w:rsidRPr="009C0F71">
        <w:rPr>
          <w:lang w:val="fr-FR"/>
        </w:rPr>
        <w:t>l’obligation faite aux prévenus et aux condamnés de porter un gilet indiquant le lieu de leur détention constitue un traitement dégradant, et que l’obligation faite aux prévenus d’apparaître ainsi vêtus à leur procès est de nature à porter atteinte au principe de la présomption d’innocence (articles 7 et 14 du Pacte)</w:t>
      </w:r>
      <w:r w:rsidRPr="00BC46B8">
        <w:rPr>
          <w:rStyle w:val="FootnoteReference"/>
          <w:lang w:val="fr-FR"/>
        </w:rPr>
        <w:footnoteReference w:id="4"/>
      </w:r>
      <w:r w:rsidR="004E6FD0" w:rsidRPr="00BC46B8">
        <w:rPr>
          <w:lang w:val="fr-FR"/>
        </w:rPr>
        <w:t>.</w:t>
      </w:r>
    </w:p>
    <w:p w:rsidR="001F4248" w:rsidRPr="00BC46B8" w:rsidRDefault="001F4248" w:rsidP="00BD468D">
      <w:pPr>
        <w:pStyle w:val="H23G"/>
        <w:rPr>
          <w:lang w:val="fr-FR"/>
        </w:rPr>
      </w:pPr>
      <w:r w:rsidRPr="00BC46B8">
        <w:rPr>
          <w:lang w:val="fr-FR"/>
        </w:rPr>
        <w:tab/>
      </w:r>
      <w:r w:rsidRPr="00BC46B8">
        <w:rPr>
          <w:lang w:val="fr-FR"/>
        </w:rPr>
        <w:tab/>
        <w:t>Observations de l’État partie sur le fond de la communication</w:t>
      </w:r>
    </w:p>
    <w:p w:rsidR="001F4248" w:rsidRPr="009C0F71" w:rsidRDefault="001F4248" w:rsidP="001F4248">
      <w:pPr>
        <w:pStyle w:val="SingleTxtG"/>
        <w:rPr>
          <w:lang w:val="fr-FR"/>
        </w:rPr>
      </w:pPr>
      <w:r w:rsidRPr="00BC46B8">
        <w:rPr>
          <w:lang w:val="fr-FR"/>
        </w:rPr>
        <w:t>4.1</w:t>
      </w:r>
      <w:r w:rsidRPr="00BC46B8">
        <w:rPr>
          <w:lang w:val="fr-FR"/>
        </w:rPr>
        <w:tab/>
        <w:t>Le 5</w:t>
      </w:r>
      <w:r w:rsidR="004E6FD0" w:rsidRPr="00BC46B8">
        <w:rPr>
          <w:lang w:val="fr-FR"/>
        </w:rPr>
        <w:t> </w:t>
      </w:r>
      <w:r w:rsidRPr="009C0F71">
        <w:rPr>
          <w:lang w:val="fr-FR"/>
        </w:rPr>
        <w:t>avril 2012, l’</w:t>
      </w:r>
      <w:r w:rsidR="00A706B3" w:rsidRPr="009C0F71">
        <w:rPr>
          <w:lang w:val="fr-FR"/>
        </w:rPr>
        <w:t>État</w:t>
      </w:r>
      <w:r w:rsidRPr="009C0F71">
        <w:rPr>
          <w:lang w:val="fr-FR"/>
        </w:rPr>
        <w:t xml:space="preserve"> partie a soumis des observations sur le fond de la communication.</w:t>
      </w:r>
    </w:p>
    <w:p w:rsidR="001F4248" w:rsidRPr="009C0F71" w:rsidRDefault="001F4248" w:rsidP="001027F8">
      <w:pPr>
        <w:pStyle w:val="SingleTxtG"/>
        <w:rPr>
          <w:lang w:val="fr-FR"/>
        </w:rPr>
      </w:pPr>
      <w:r w:rsidRPr="009C0F71">
        <w:rPr>
          <w:lang w:val="fr-FR"/>
        </w:rPr>
        <w:t>4.2</w:t>
      </w:r>
      <w:r w:rsidRPr="009C0F71">
        <w:rPr>
          <w:lang w:val="fr-FR"/>
        </w:rPr>
        <w:tab/>
        <w:t>L’</w:t>
      </w:r>
      <w:r w:rsidR="004E6FD0" w:rsidRPr="009C0F71">
        <w:rPr>
          <w:lang w:val="fr-FR"/>
        </w:rPr>
        <w:t>É</w:t>
      </w:r>
      <w:r w:rsidRPr="009C0F71">
        <w:rPr>
          <w:lang w:val="fr-FR"/>
        </w:rPr>
        <w:t>tat partie se réfère à l’Ensemble de règles minima des Nations Unies pour le traitement des détenus</w:t>
      </w:r>
      <w:r w:rsidRPr="00BC46B8">
        <w:rPr>
          <w:rStyle w:val="FootnoteReference"/>
          <w:lang w:val="fr-FR"/>
        </w:rPr>
        <w:footnoteReference w:id="5"/>
      </w:r>
      <w:r w:rsidR="004E6FD0" w:rsidRPr="00BC46B8">
        <w:rPr>
          <w:lang w:val="fr-FR"/>
        </w:rPr>
        <w:t>,</w:t>
      </w:r>
      <w:r w:rsidRPr="00BC46B8">
        <w:rPr>
          <w:lang w:val="fr-FR"/>
        </w:rPr>
        <w:t xml:space="preserve"> dont l’article</w:t>
      </w:r>
      <w:r w:rsidR="004E6FD0" w:rsidRPr="00BC46B8">
        <w:rPr>
          <w:lang w:val="fr-FR"/>
        </w:rPr>
        <w:t> </w:t>
      </w:r>
      <w:r w:rsidRPr="00BC46B8">
        <w:rPr>
          <w:lang w:val="fr-FR"/>
        </w:rPr>
        <w:t>33</w:t>
      </w:r>
      <w:r w:rsidR="001027F8" w:rsidRPr="00BC46B8">
        <w:rPr>
          <w:lang w:val="fr-FR"/>
        </w:rPr>
        <w:t>, consacré aux</w:t>
      </w:r>
      <w:r w:rsidRPr="009C0F71">
        <w:rPr>
          <w:lang w:val="fr-FR"/>
        </w:rPr>
        <w:t xml:space="preserve"> moyens de contrainte</w:t>
      </w:r>
      <w:r w:rsidR="001027F8" w:rsidRPr="009C0F71">
        <w:rPr>
          <w:lang w:val="fr-FR"/>
        </w:rPr>
        <w:t>,</w:t>
      </w:r>
      <w:r w:rsidRPr="009C0F71">
        <w:rPr>
          <w:lang w:val="fr-FR"/>
        </w:rPr>
        <w:t xml:space="preserve"> dispose que:</w:t>
      </w:r>
    </w:p>
    <w:p w:rsidR="001F4248" w:rsidRPr="00BC46B8" w:rsidRDefault="001F4248" w:rsidP="000B7E91">
      <w:pPr>
        <w:pStyle w:val="SingleTxtG"/>
        <w:ind w:left="1701"/>
        <w:rPr>
          <w:lang w:val="fr-FR"/>
        </w:rPr>
      </w:pPr>
      <w:r w:rsidRPr="009C0F71">
        <w:rPr>
          <w:lang w:val="fr-FR"/>
        </w:rPr>
        <w:t>«Les instruments de contrainte tels que menottes, chaîne</w:t>
      </w:r>
      <w:r w:rsidR="00402695" w:rsidRPr="009C0F71">
        <w:rPr>
          <w:lang w:val="fr-FR"/>
        </w:rPr>
        <w:t>s</w:t>
      </w:r>
      <w:r w:rsidRPr="00BC46B8">
        <w:rPr>
          <w:lang w:val="fr-FR"/>
        </w:rPr>
        <w:t>, fer</w:t>
      </w:r>
      <w:r w:rsidR="00402695" w:rsidRPr="009C0F71">
        <w:rPr>
          <w:lang w:val="fr-FR"/>
        </w:rPr>
        <w:t>s</w:t>
      </w:r>
      <w:r w:rsidRPr="00BC46B8">
        <w:rPr>
          <w:lang w:val="fr-FR"/>
        </w:rPr>
        <w:t xml:space="preserve"> et camisole</w:t>
      </w:r>
      <w:r w:rsidR="00402695" w:rsidRPr="009C0F71">
        <w:rPr>
          <w:lang w:val="fr-FR"/>
        </w:rPr>
        <w:t>s</w:t>
      </w:r>
      <w:r w:rsidRPr="00BC46B8">
        <w:rPr>
          <w:lang w:val="fr-FR"/>
        </w:rPr>
        <w:t xml:space="preserve"> de force ne doivent jamais être appliqués en tant que sanctions. Les chaînes et les fers ne doivent pas non plus être utilisés en tant que moyens de contrainte. Les autres instruments de contrainte ne peuvent être utilisés que dans les cas suivants:</w:t>
      </w:r>
    </w:p>
    <w:p w:rsidR="001F4248" w:rsidRPr="009C0F71" w:rsidRDefault="001F4248" w:rsidP="001027F8">
      <w:pPr>
        <w:pStyle w:val="SingleTxtG"/>
        <w:ind w:left="1701"/>
        <w:rPr>
          <w:lang w:val="fr-FR"/>
        </w:rPr>
      </w:pPr>
      <w:r w:rsidRPr="009C0F71">
        <w:rPr>
          <w:lang w:val="fr-FR"/>
        </w:rPr>
        <w:t>a)</w:t>
      </w:r>
      <w:r w:rsidRPr="00BC46B8">
        <w:rPr>
          <w:lang w:val="fr-FR"/>
        </w:rPr>
        <w:t xml:space="preserve"> Par mesure de précaution contre une évasion pendant un transfèrement, pourvu qu’ils soient enlevés dès que le détenu compara</w:t>
      </w:r>
      <w:r w:rsidR="00402695" w:rsidRPr="00BC46B8">
        <w:rPr>
          <w:lang w:val="fr-FR"/>
        </w:rPr>
        <w:t>î</w:t>
      </w:r>
      <w:r w:rsidRPr="00BC46B8">
        <w:rPr>
          <w:lang w:val="fr-FR"/>
        </w:rPr>
        <w:t>t devant une autorité judiciaire ou administrative</w:t>
      </w:r>
      <w:r w:rsidRPr="009C0F71">
        <w:rPr>
          <w:lang w:val="fr-FR"/>
        </w:rPr>
        <w:t>»</w:t>
      </w:r>
      <w:r w:rsidR="00402695" w:rsidRPr="009C0F71">
        <w:rPr>
          <w:lang w:val="fr-FR"/>
        </w:rPr>
        <w:t>.</w:t>
      </w:r>
    </w:p>
    <w:p w:rsidR="001F4248" w:rsidRPr="000B7E91" w:rsidRDefault="001F4248" w:rsidP="00365A84">
      <w:pPr>
        <w:pStyle w:val="SingleTxtG"/>
        <w:rPr>
          <w:lang w:val="fr-FR"/>
        </w:rPr>
      </w:pPr>
      <w:r w:rsidRPr="009C0F71">
        <w:rPr>
          <w:lang w:val="fr-FR"/>
        </w:rPr>
        <w:t>4.3</w:t>
      </w:r>
      <w:r w:rsidRPr="009C0F71">
        <w:rPr>
          <w:lang w:val="fr-FR"/>
        </w:rPr>
        <w:tab/>
        <w:t>L’</w:t>
      </w:r>
      <w:r w:rsidR="00A706B3" w:rsidRPr="009C0F71">
        <w:rPr>
          <w:lang w:val="fr-FR"/>
        </w:rPr>
        <w:t>État</w:t>
      </w:r>
      <w:r w:rsidRPr="009C0F71">
        <w:rPr>
          <w:lang w:val="fr-FR"/>
        </w:rPr>
        <w:t xml:space="preserve"> partie soutient qu’en application de l’alinéa</w:t>
      </w:r>
      <w:r w:rsidR="004E6FD0" w:rsidRPr="009C0F71">
        <w:rPr>
          <w:lang w:val="fr-FR"/>
        </w:rPr>
        <w:t> </w:t>
      </w:r>
      <w:r w:rsidRPr="009C0F71">
        <w:rPr>
          <w:lang w:val="fr-FR"/>
        </w:rPr>
        <w:t>a</w:t>
      </w:r>
      <w:r w:rsidR="001027F8" w:rsidRPr="00BC46B8">
        <w:rPr>
          <w:lang w:val="fr-FR"/>
        </w:rPr>
        <w:t>)</w:t>
      </w:r>
      <w:r w:rsidRPr="000B7E91">
        <w:rPr>
          <w:lang w:val="fr-FR"/>
        </w:rPr>
        <w:t xml:space="preserve"> de l’article</w:t>
      </w:r>
      <w:r w:rsidR="004E6FD0" w:rsidRPr="000B7E91">
        <w:rPr>
          <w:lang w:val="fr-FR"/>
        </w:rPr>
        <w:t> </w:t>
      </w:r>
      <w:r w:rsidRPr="000B7E91">
        <w:rPr>
          <w:lang w:val="fr-FR"/>
        </w:rPr>
        <w:t>33 précité, les camisoles des détenus sont enlevées lors de leur présentation devant une autorité judiciaire ou administrative. Il ajoute que le port du gilet dans les prisons civiles du Bénin, loin de constituer un traitement cruel, inhumain ou dégradant ou une violation de la présomption d’innocence, doit être analysé comme un impératif de sécurité. Selon l’</w:t>
      </w:r>
      <w:r w:rsidR="00A706B3" w:rsidRPr="000B7E91">
        <w:rPr>
          <w:lang w:val="fr-FR"/>
        </w:rPr>
        <w:t>État</w:t>
      </w:r>
      <w:r w:rsidRPr="000B7E91">
        <w:rPr>
          <w:lang w:val="fr-FR"/>
        </w:rPr>
        <w:t xml:space="preserve"> partie, l’auteur commet une erreur d’appréciation, dans la mesure où cette pratique a toujours été appliquée de manière non discriminatoire à tous les détenus des prisons civiles du Bénin, sans aucune intention d’infliger une souffrance aig</w:t>
      </w:r>
      <w:r w:rsidR="00365A84">
        <w:rPr>
          <w:lang w:val="fr-FR"/>
        </w:rPr>
        <w:t>uë</w:t>
      </w:r>
      <w:r w:rsidRPr="000B7E91">
        <w:rPr>
          <w:lang w:val="fr-FR"/>
        </w:rPr>
        <w:t>, physique ou morale.</w:t>
      </w:r>
    </w:p>
    <w:p w:rsidR="001F4248" w:rsidRPr="00BC46B8" w:rsidRDefault="001F4248" w:rsidP="00BD468D">
      <w:pPr>
        <w:pStyle w:val="H23G"/>
        <w:rPr>
          <w:lang w:val="fr-FR"/>
        </w:rPr>
      </w:pPr>
      <w:r w:rsidRPr="000B7E91">
        <w:rPr>
          <w:lang w:val="fr-FR"/>
        </w:rPr>
        <w:tab/>
      </w:r>
      <w:r w:rsidRPr="000B7E91">
        <w:rPr>
          <w:lang w:val="fr-FR"/>
        </w:rPr>
        <w:tab/>
      </w:r>
      <w:r w:rsidRPr="00BC46B8">
        <w:rPr>
          <w:lang w:val="fr-FR"/>
        </w:rPr>
        <w:t>Commentaires de l’auteur sur les observations de l’État partie</w:t>
      </w:r>
    </w:p>
    <w:p w:rsidR="001F4248" w:rsidRPr="000B7E91" w:rsidRDefault="001F4248" w:rsidP="00365A84">
      <w:pPr>
        <w:pStyle w:val="SingleTxtG"/>
        <w:rPr>
          <w:lang w:val="fr-FR"/>
        </w:rPr>
      </w:pPr>
      <w:r w:rsidRPr="00BC46B8">
        <w:rPr>
          <w:lang w:val="fr-FR"/>
        </w:rPr>
        <w:t>5.</w:t>
      </w:r>
      <w:r w:rsidRPr="00BC46B8">
        <w:rPr>
          <w:lang w:val="fr-FR"/>
        </w:rPr>
        <w:tab/>
        <w:t>Le 21</w:t>
      </w:r>
      <w:r w:rsidR="004E6FD0" w:rsidRPr="00BC46B8">
        <w:rPr>
          <w:lang w:val="fr-FR"/>
        </w:rPr>
        <w:t> </w:t>
      </w:r>
      <w:r w:rsidRPr="00BC46B8">
        <w:rPr>
          <w:lang w:val="fr-FR"/>
        </w:rPr>
        <w:t>mai 2012, l’auteur a présenté des commentaires relatifs aux observations de l’État partie, dans lesquels il a réitéré l’ense</w:t>
      </w:r>
      <w:r w:rsidRPr="009C0F71">
        <w:rPr>
          <w:lang w:val="fr-FR"/>
        </w:rPr>
        <w:t>mble de ses allégations</w:t>
      </w:r>
      <w:r w:rsidRPr="000B7E91">
        <w:rPr>
          <w:lang w:val="fr-FR"/>
        </w:rPr>
        <w:t xml:space="preserve"> initiales. L’auteur réaffirme</w:t>
      </w:r>
      <w:r w:rsidR="008614A5" w:rsidRPr="000B7E91">
        <w:rPr>
          <w:lang w:val="fr-FR"/>
        </w:rPr>
        <w:t xml:space="preserve"> </w:t>
      </w:r>
      <w:r w:rsidRPr="000B7E91">
        <w:rPr>
          <w:lang w:val="fr-FR"/>
        </w:rPr>
        <w:t xml:space="preserve">que malgré la recommandation </w:t>
      </w:r>
      <w:r w:rsidR="00365A84">
        <w:rPr>
          <w:lang w:val="fr-FR"/>
        </w:rPr>
        <w:t xml:space="preserve">adoptée en 2004 par le </w:t>
      </w:r>
      <w:r w:rsidRPr="000B7E91">
        <w:rPr>
          <w:lang w:val="fr-FR"/>
        </w:rPr>
        <w:t xml:space="preserve">Comité </w:t>
      </w:r>
      <w:r w:rsidR="00365A84">
        <w:rPr>
          <w:lang w:val="fr-FR"/>
        </w:rPr>
        <w:t xml:space="preserve">lors de ses observations finales concernant le rapport initial du Bénin </w:t>
      </w:r>
      <w:r w:rsidRPr="000B7E91">
        <w:rPr>
          <w:lang w:val="fr-FR"/>
        </w:rPr>
        <w:t>(</w:t>
      </w:r>
      <w:r w:rsidR="00365A84">
        <w:rPr>
          <w:lang w:val="fr-FR"/>
        </w:rPr>
        <w:t xml:space="preserve">voir </w:t>
      </w:r>
      <w:r w:rsidRPr="000B7E91">
        <w:rPr>
          <w:lang w:val="fr-FR"/>
        </w:rPr>
        <w:t>par.</w:t>
      </w:r>
      <w:r w:rsidR="004E6FD0" w:rsidRPr="000B7E91">
        <w:rPr>
          <w:lang w:val="fr-FR"/>
        </w:rPr>
        <w:t> </w:t>
      </w:r>
      <w:r w:rsidRPr="000B7E91">
        <w:rPr>
          <w:lang w:val="fr-FR"/>
        </w:rPr>
        <w:t>3.3</w:t>
      </w:r>
      <w:r w:rsidR="00365A84">
        <w:rPr>
          <w:lang w:val="fr-FR"/>
        </w:rPr>
        <w:t xml:space="preserve"> du présent document</w:t>
      </w:r>
      <w:r w:rsidRPr="000B7E91">
        <w:rPr>
          <w:lang w:val="fr-FR"/>
        </w:rPr>
        <w:t xml:space="preserve">), </w:t>
      </w:r>
      <w:r w:rsidR="00365A84">
        <w:rPr>
          <w:lang w:val="fr-FR"/>
        </w:rPr>
        <w:t xml:space="preserve">au Bénin, </w:t>
      </w:r>
      <w:r w:rsidRPr="000B7E91">
        <w:rPr>
          <w:lang w:val="fr-FR"/>
        </w:rPr>
        <w:t>les prévenus continuent</w:t>
      </w:r>
      <w:r w:rsidR="00365A84">
        <w:rPr>
          <w:lang w:val="fr-FR"/>
        </w:rPr>
        <w:t xml:space="preserve"> </w:t>
      </w:r>
      <w:r w:rsidRPr="000B7E91">
        <w:rPr>
          <w:lang w:val="fr-FR"/>
        </w:rPr>
        <w:t>de porter un gilet indiquant publiquement leur lieu de détention lorsqu’ils se rendent à des audiences devant les tribunaux, et apparaissent ainsi vêtus à leur procès, en violation des articles</w:t>
      </w:r>
      <w:r w:rsidR="004E6FD0" w:rsidRPr="000B7E91">
        <w:rPr>
          <w:lang w:val="fr-FR"/>
        </w:rPr>
        <w:t> </w:t>
      </w:r>
      <w:r w:rsidRPr="000B7E91">
        <w:rPr>
          <w:lang w:val="fr-FR"/>
        </w:rPr>
        <w:t>7 et 14, paragraphe</w:t>
      </w:r>
      <w:r w:rsidR="004E6FD0" w:rsidRPr="000B7E91">
        <w:rPr>
          <w:lang w:val="fr-FR"/>
        </w:rPr>
        <w:t> </w:t>
      </w:r>
      <w:r w:rsidRPr="000B7E91">
        <w:rPr>
          <w:lang w:val="fr-FR"/>
        </w:rPr>
        <w:t>2</w:t>
      </w:r>
      <w:r w:rsidR="00365A84">
        <w:rPr>
          <w:lang w:val="fr-FR"/>
        </w:rPr>
        <w:t>,</w:t>
      </w:r>
      <w:r w:rsidRPr="000B7E91">
        <w:rPr>
          <w:lang w:val="fr-FR"/>
        </w:rPr>
        <w:t xml:space="preserve"> du Pacte.</w:t>
      </w:r>
    </w:p>
    <w:p w:rsidR="001F4248" w:rsidRPr="00BC46B8" w:rsidRDefault="001F4248" w:rsidP="00BD468D">
      <w:pPr>
        <w:pStyle w:val="H23G"/>
        <w:rPr>
          <w:lang w:val="fr-FR"/>
        </w:rPr>
      </w:pPr>
      <w:r w:rsidRPr="000B7E91">
        <w:rPr>
          <w:lang w:val="fr-FR"/>
        </w:rPr>
        <w:tab/>
      </w:r>
      <w:r w:rsidRPr="000B7E91">
        <w:rPr>
          <w:lang w:val="fr-FR"/>
        </w:rPr>
        <w:tab/>
      </w:r>
      <w:r w:rsidRPr="00BC46B8">
        <w:rPr>
          <w:lang w:val="fr-FR"/>
        </w:rPr>
        <w:t>Délibérations du Comité</w:t>
      </w:r>
    </w:p>
    <w:p w:rsidR="001F4248" w:rsidRPr="00BC46B8" w:rsidRDefault="001F4248" w:rsidP="00BD468D">
      <w:pPr>
        <w:pStyle w:val="H4G"/>
        <w:rPr>
          <w:lang w:val="fr-FR"/>
        </w:rPr>
      </w:pPr>
      <w:r w:rsidRPr="00BC46B8">
        <w:rPr>
          <w:lang w:val="fr-FR"/>
        </w:rPr>
        <w:tab/>
      </w:r>
      <w:r w:rsidRPr="00BC46B8">
        <w:rPr>
          <w:lang w:val="fr-FR"/>
        </w:rPr>
        <w:tab/>
        <w:t>Examen de la recevabilité</w:t>
      </w:r>
    </w:p>
    <w:p w:rsidR="001F4248" w:rsidRPr="009C0F71" w:rsidRDefault="001F4248" w:rsidP="001F4248">
      <w:pPr>
        <w:pStyle w:val="SingleTxtG"/>
        <w:rPr>
          <w:lang w:val="fr-FR"/>
        </w:rPr>
      </w:pPr>
      <w:r w:rsidRPr="00BC46B8">
        <w:rPr>
          <w:lang w:val="fr-FR"/>
        </w:rPr>
        <w:t>6.1</w:t>
      </w:r>
      <w:r w:rsidRPr="00BC46B8">
        <w:rPr>
          <w:i/>
          <w:lang w:val="fr-FR"/>
        </w:rPr>
        <w:tab/>
      </w:r>
      <w:r w:rsidRPr="009C0F71">
        <w:rPr>
          <w:lang w:val="fr-FR"/>
        </w:rPr>
        <w:t>Avant d’examiner toute plainte soumise dans une communication, le Comité des droits de l’homme doit, conformément à l’article 93 de son règlement intérieur, déterminer si la communication est recevable en vertu du Protocole facultatif se rapportant au Pacte.</w:t>
      </w:r>
    </w:p>
    <w:p w:rsidR="001F4248" w:rsidRPr="009C0F71" w:rsidRDefault="001F4248" w:rsidP="001F4248">
      <w:pPr>
        <w:pStyle w:val="SingleTxtG"/>
        <w:rPr>
          <w:lang w:val="fr-FR"/>
        </w:rPr>
      </w:pPr>
      <w:r w:rsidRPr="009C0F71">
        <w:rPr>
          <w:lang w:val="fr-FR"/>
        </w:rPr>
        <w:t>6.2</w:t>
      </w:r>
      <w:r w:rsidRPr="009C0F71">
        <w:rPr>
          <w:lang w:val="fr-FR"/>
        </w:rPr>
        <w:tab/>
        <w:t xml:space="preserve">Le Comité s’est assuré, comme il est tenu de le faire conformément aux dispositions du paragraphe 2 a) de l’article 5 du Protocole facultatif, que la même affaire n’était pas en cours d’examen devant une autre instance internationale d’enquête ou de règlement. </w:t>
      </w:r>
    </w:p>
    <w:p w:rsidR="001F4248" w:rsidRPr="009C0F71" w:rsidRDefault="001F4248" w:rsidP="00EF56C2">
      <w:pPr>
        <w:pStyle w:val="SingleTxtG"/>
        <w:rPr>
          <w:lang w:val="fr-FR"/>
        </w:rPr>
      </w:pPr>
      <w:r w:rsidRPr="009C0F71">
        <w:rPr>
          <w:lang w:val="fr-FR"/>
        </w:rPr>
        <w:t>6.3</w:t>
      </w:r>
      <w:r w:rsidRPr="009C0F71">
        <w:rPr>
          <w:lang w:val="fr-FR"/>
        </w:rPr>
        <w:tab/>
        <w:t>Le Comité considère que l’auteur a suffisamment étayé ses allégations, dans la mesure où elles soulèvent des questions au regard des articles</w:t>
      </w:r>
      <w:r w:rsidR="004E6FD0" w:rsidRPr="009C0F71">
        <w:rPr>
          <w:lang w:val="fr-FR"/>
        </w:rPr>
        <w:t> </w:t>
      </w:r>
      <w:r w:rsidRPr="009C0F71">
        <w:rPr>
          <w:lang w:val="fr-FR"/>
        </w:rPr>
        <w:t>7 et 14, paragraphe</w:t>
      </w:r>
      <w:r w:rsidR="004E6FD0" w:rsidRPr="009C0F71">
        <w:rPr>
          <w:lang w:val="fr-FR"/>
        </w:rPr>
        <w:t> </w:t>
      </w:r>
      <w:r w:rsidRPr="009C0F71">
        <w:rPr>
          <w:lang w:val="fr-FR"/>
        </w:rPr>
        <w:t>2</w:t>
      </w:r>
      <w:r w:rsidR="0072098F" w:rsidRPr="009C0F71">
        <w:rPr>
          <w:lang w:val="fr-FR"/>
        </w:rPr>
        <w:t>,</w:t>
      </w:r>
      <w:r w:rsidR="004E6FD0" w:rsidRPr="009C0F71">
        <w:rPr>
          <w:lang w:val="fr-FR"/>
        </w:rPr>
        <w:t xml:space="preserve"> </w:t>
      </w:r>
      <w:r w:rsidRPr="009C0F71">
        <w:rPr>
          <w:lang w:val="fr-FR"/>
        </w:rPr>
        <w:t>du Pacte, et que les critères de recevabilité ont été remplis. Il déclare donc la communication recevable et procède à son examen sur le fond.</w:t>
      </w:r>
    </w:p>
    <w:p w:rsidR="001F4248" w:rsidRPr="000B7E91" w:rsidRDefault="001F4248" w:rsidP="00BD468D">
      <w:pPr>
        <w:pStyle w:val="H4G"/>
        <w:rPr>
          <w:lang w:val="fr-FR"/>
        </w:rPr>
      </w:pPr>
      <w:r w:rsidRPr="009C0F71">
        <w:rPr>
          <w:lang w:val="fr-FR"/>
        </w:rPr>
        <w:tab/>
      </w:r>
      <w:r w:rsidRPr="009C0F71">
        <w:rPr>
          <w:lang w:val="fr-FR"/>
        </w:rPr>
        <w:tab/>
        <w:t>Examen au fond</w:t>
      </w:r>
    </w:p>
    <w:p w:rsidR="001F4248" w:rsidRPr="000B7E91" w:rsidRDefault="001F4248" w:rsidP="001F4248">
      <w:pPr>
        <w:pStyle w:val="SingleTxtG"/>
        <w:rPr>
          <w:lang w:val="fr-FR"/>
        </w:rPr>
      </w:pPr>
      <w:r w:rsidRPr="000B7E91">
        <w:rPr>
          <w:lang w:val="fr-FR"/>
        </w:rPr>
        <w:t>7.1</w:t>
      </w:r>
      <w:r w:rsidRPr="000B7E91">
        <w:rPr>
          <w:lang w:val="fr-FR"/>
        </w:rPr>
        <w:tab/>
        <w:t>Le Comité des droits de l’homme a examiné la présente communication en tenant compte de toutes les informations soumises par les parties, conformément au paragraphe 1 de l’article 5 du Protocole facultatif.</w:t>
      </w:r>
    </w:p>
    <w:p w:rsidR="001F4248" w:rsidRPr="000B7E91" w:rsidRDefault="00BD468D" w:rsidP="00BD468D">
      <w:pPr>
        <w:pStyle w:val="H4G"/>
        <w:rPr>
          <w:lang w:val="fr-FR"/>
        </w:rPr>
      </w:pPr>
      <w:r w:rsidRPr="000B7E91">
        <w:rPr>
          <w:lang w:val="fr-FR"/>
        </w:rPr>
        <w:tab/>
      </w:r>
      <w:r w:rsidRPr="000B7E91">
        <w:rPr>
          <w:lang w:val="fr-FR"/>
        </w:rPr>
        <w:tab/>
      </w:r>
      <w:r w:rsidR="001F4248" w:rsidRPr="000B7E91">
        <w:rPr>
          <w:lang w:val="fr-FR"/>
        </w:rPr>
        <w:t>Port du gilet au sein de l’établissement pénitentiaire</w:t>
      </w:r>
    </w:p>
    <w:p w:rsidR="001F4248" w:rsidRPr="000B7E91" w:rsidRDefault="001F4248" w:rsidP="003F2FC1">
      <w:pPr>
        <w:pStyle w:val="SingleTxtG"/>
        <w:rPr>
          <w:lang w:val="fr-FR"/>
        </w:rPr>
      </w:pPr>
      <w:r w:rsidRPr="000B7E91">
        <w:rPr>
          <w:lang w:val="fr-FR"/>
        </w:rPr>
        <w:t>7.2</w:t>
      </w:r>
      <w:r w:rsidRPr="000B7E91">
        <w:rPr>
          <w:lang w:val="fr-FR"/>
        </w:rPr>
        <w:tab/>
        <w:t>Le Comité a pris note de l’allégation de l’auteur, selon laquelle</w:t>
      </w:r>
      <w:r w:rsidR="0072098F">
        <w:rPr>
          <w:lang w:val="fr-FR"/>
        </w:rPr>
        <w:t>, durant</w:t>
      </w:r>
      <w:r w:rsidRPr="000B7E91">
        <w:rPr>
          <w:lang w:val="fr-FR"/>
        </w:rPr>
        <w:t xml:space="preserve"> </w:t>
      </w:r>
      <w:r w:rsidR="0072098F">
        <w:rPr>
          <w:lang w:val="fr-FR"/>
        </w:rPr>
        <w:t xml:space="preserve">toute sa détention </w:t>
      </w:r>
      <w:r w:rsidRPr="000B7E91">
        <w:rPr>
          <w:lang w:val="fr-FR"/>
        </w:rPr>
        <w:t>à la maison d’arrêt de Cotonou</w:t>
      </w:r>
      <w:r w:rsidR="0072098F">
        <w:rPr>
          <w:lang w:val="fr-FR"/>
        </w:rPr>
        <w:t>,</w:t>
      </w:r>
      <w:r w:rsidRPr="000B7E91">
        <w:rPr>
          <w:lang w:val="fr-FR"/>
        </w:rPr>
        <w:t xml:space="preserve"> du 14</w:t>
      </w:r>
      <w:r w:rsidR="004E6FD0" w:rsidRPr="000B7E91">
        <w:rPr>
          <w:lang w:val="fr-FR"/>
        </w:rPr>
        <w:t> </w:t>
      </w:r>
      <w:r w:rsidRPr="000B7E91">
        <w:rPr>
          <w:lang w:val="fr-FR"/>
        </w:rPr>
        <w:t>août au 5</w:t>
      </w:r>
      <w:r w:rsidR="004E6FD0" w:rsidRPr="000B7E91">
        <w:rPr>
          <w:lang w:val="fr-FR"/>
        </w:rPr>
        <w:t> </w:t>
      </w:r>
      <w:r w:rsidRPr="000B7E91">
        <w:rPr>
          <w:lang w:val="fr-FR"/>
        </w:rPr>
        <w:t xml:space="preserve">septembre 2008, il </w:t>
      </w:r>
      <w:r w:rsidR="0072098F">
        <w:rPr>
          <w:lang w:val="fr-FR"/>
        </w:rPr>
        <w:t xml:space="preserve">devait </w:t>
      </w:r>
      <w:r w:rsidRPr="000B7E91">
        <w:rPr>
          <w:lang w:val="fr-FR"/>
        </w:rPr>
        <w:t xml:space="preserve">être vêtu d’un gilet portant </w:t>
      </w:r>
      <w:r w:rsidR="0072098F">
        <w:rPr>
          <w:lang w:val="fr-FR"/>
        </w:rPr>
        <w:t xml:space="preserve">la </w:t>
      </w:r>
      <w:r w:rsidRPr="000B7E91">
        <w:rPr>
          <w:lang w:val="fr-FR"/>
        </w:rPr>
        <w:t>mention «Prison civile de Cotonou», y compris lorsqu’il re</w:t>
      </w:r>
      <w:r w:rsidR="0072098F">
        <w:rPr>
          <w:lang w:val="fr-FR"/>
        </w:rPr>
        <w:t xml:space="preserve">cevait </w:t>
      </w:r>
      <w:r w:rsidRPr="000B7E91">
        <w:rPr>
          <w:lang w:val="fr-FR"/>
        </w:rPr>
        <w:t>des visites. Le Comité a également pris note de l’argument de l’</w:t>
      </w:r>
      <w:r w:rsidR="00A706B3" w:rsidRPr="000B7E91">
        <w:rPr>
          <w:lang w:val="fr-FR"/>
        </w:rPr>
        <w:t>État</w:t>
      </w:r>
      <w:r w:rsidRPr="000B7E91">
        <w:rPr>
          <w:lang w:val="fr-FR"/>
        </w:rPr>
        <w:t xml:space="preserve"> partie, qui a soutenu qu’une telle mesure répond</w:t>
      </w:r>
      <w:r w:rsidR="0072098F">
        <w:rPr>
          <w:lang w:val="fr-FR"/>
        </w:rPr>
        <w:t>ait</w:t>
      </w:r>
      <w:r w:rsidRPr="000B7E91">
        <w:rPr>
          <w:lang w:val="fr-FR"/>
        </w:rPr>
        <w:t xml:space="preserve"> à un impératif de sécurité. </w:t>
      </w:r>
      <w:r w:rsidR="008744D2" w:rsidRPr="000B7E91">
        <w:rPr>
          <w:lang w:val="fr-FR"/>
        </w:rPr>
        <w:t>Le Comité observe que les arguments avancés par l</w:t>
      </w:r>
      <w:r w:rsidRPr="000B7E91">
        <w:rPr>
          <w:lang w:val="fr-FR"/>
        </w:rPr>
        <w:t>’auteur, qui a simplement affirmé s’être senti humilié par le port d’un tel gilet en prison, n’</w:t>
      </w:r>
      <w:r w:rsidR="008744D2" w:rsidRPr="000B7E91">
        <w:rPr>
          <w:lang w:val="fr-FR"/>
        </w:rPr>
        <w:t>ont</w:t>
      </w:r>
      <w:r w:rsidRPr="000B7E91">
        <w:rPr>
          <w:lang w:val="fr-FR"/>
        </w:rPr>
        <w:t xml:space="preserve"> pas </w:t>
      </w:r>
      <w:r w:rsidR="008744D2" w:rsidRPr="000B7E91">
        <w:rPr>
          <w:lang w:val="fr-FR"/>
        </w:rPr>
        <w:t>permis au Comité de conclure</w:t>
      </w:r>
      <w:r w:rsidR="008614A5" w:rsidRPr="000B7E91">
        <w:rPr>
          <w:lang w:val="fr-FR"/>
        </w:rPr>
        <w:t xml:space="preserve"> </w:t>
      </w:r>
      <w:r w:rsidRPr="000B7E91">
        <w:rPr>
          <w:lang w:val="fr-FR"/>
        </w:rPr>
        <w:t>que les effets d</w:t>
      </w:r>
      <w:r w:rsidR="0072098F">
        <w:rPr>
          <w:lang w:val="fr-FR"/>
        </w:rPr>
        <w:t xml:space="preserve">e cette </w:t>
      </w:r>
      <w:r w:rsidRPr="000B7E91">
        <w:rPr>
          <w:lang w:val="fr-FR"/>
        </w:rPr>
        <w:t xml:space="preserve">mesure </w:t>
      </w:r>
      <w:r w:rsidR="003F2FC1">
        <w:rPr>
          <w:lang w:val="fr-FR"/>
        </w:rPr>
        <w:t>avaie</w:t>
      </w:r>
      <w:r w:rsidRPr="000B7E91">
        <w:rPr>
          <w:lang w:val="fr-FR"/>
        </w:rPr>
        <w:t>nt été d</w:t>
      </w:r>
      <w:r w:rsidR="00A706B3" w:rsidRPr="000B7E91">
        <w:rPr>
          <w:lang w:val="fr-FR"/>
        </w:rPr>
        <w:t>’</w:t>
      </w:r>
      <w:r w:rsidRPr="000B7E91">
        <w:rPr>
          <w:lang w:val="fr-FR"/>
        </w:rPr>
        <w:t>une gravité telle qu’il a</w:t>
      </w:r>
      <w:r w:rsidR="003F2FC1">
        <w:rPr>
          <w:lang w:val="fr-FR"/>
        </w:rPr>
        <w:t>vait</w:t>
      </w:r>
      <w:r w:rsidRPr="000B7E91">
        <w:rPr>
          <w:lang w:val="fr-FR"/>
        </w:rPr>
        <w:t xml:space="preserve"> été porté atteinte à </w:t>
      </w:r>
      <w:r w:rsidR="0072098F">
        <w:rPr>
          <w:lang w:val="fr-FR"/>
        </w:rPr>
        <w:t>l</w:t>
      </w:r>
      <w:r w:rsidRPr="000B7E91">
        <w:rPr>
          <w:lang w:val="fr-FR"/>
        </w:rPr>
        <w:t>a dignité</w:t>
      </w:r>
      <w:r w:rsidR="0072098F">
        <w:rPr>
          <w:lang w:val="fr-FR"/>
        </w:rPr>
        <w:t xml:space="preserve"> de l’auteur</w:t>
      </w:r>
      <w:r w:rsidRPr="000B7E91">
        <w:rPr>
          <w:lang w:val="fr-FR"/>
        </w:rPr>
        <w:t>, au point de constituer un déni de ses droits au titre de l’article</w:t>
      </w:r>
      <w:r w:rsidR="004E6FD0" w:rsidRPr="000B7E91">
        <w:rPr>
          <w:lang w:val="fr-FR"/>
        </w:rPr>
        <w:t> </w:t>
      </w:r>
      <w:r w:rsidRPr="000B7E91">
        <w:rPr>
          <w:lang w:val="fr-FR"/>
        </w:rPr>
        <w:t xml:space="preserve">7 du Pacte. </w:t>
      </w:r>
    </w:p>
    <w:p w:rsidR="001F4248" w:rsidRPr="000B7E91" w:rsidRDefault="00BD468D" w:rsidP="00BD468D">
      <w:pPr>
        <w:pStyle w:val="H4G"/>
        <w:rPr>
          <w:lang w:val="fr-FR"/>
        </w:rPr>
      </w:pPr>
      <w:r w:rsidRPr="000B7E91">
        <w:rPr>
          <w:lang w:val="fr-FR"/>
        </w:rPr>
        <w:tab/>
      </w:r>
      <w:r w:rsidRPr="000B7E91">
        <w:rPr>
          <w:lang w:val="fr-FR"/>
        </w:rPr>
        <w:tab/>
      </w:r>
      <w:r w:rsidR="001F4248" w:rsidRPr="000B7E91">
        <w:rPr>
          <w:lang w:val="fr-FR"/>
        </w:rPr>
        <w:t>Port du gilet et de menottes durant l’audience publique du 5</w:t>
      </w:r>
      <w:r w:rsidR="004E6FD0" w:rsidRPr="000B7E91">
        <w:rPr>
          <w:lang w:val="fr-FR"/>
        </w:rPr>
        <w:t> </w:t>
      </w:r>
      <w:r w:rsidR="001F4248" w:rsidRPr="000B7E91">
        <w:rPr>
          <w:lang w:val="fr-FR"/>
        </w:rPr>
        <w:t>septembre 2008</w:t>
      </w:r>
    </w:p>
    <w:p w:rsidR="001F4248" w:rsidRPr="000B7E91" w:rsidRDefault="00C00F33" w:rsidP="00EF56C2">
      <w:pPr>
        <w:pStyle w:val="SingleTxtG"/>
        <w:rPr>
          <w:lang w:val="fr-FR"/>
        </w:rPr>
      </w:pPr>
      <w:r w:rsidRPr="000B7E91">
        <w:rPr>
          <w:lang w:val="fr-FR"/>
        </w:rPr>
        <w:t>7.3</w:t>
      </w:r>
      <w:r w:rsidRPr="000B7E91">
        <w:rPr>
          <w:lang w:val="fr-FR"/>
        </w:rPr>
        <w:tab/>
      </w:r>
      <w:r w:rsidR="001F4248" w:rsidRPr="000B7E91">
        <w:rPr>
          <w:lang w:val="fr-FR"/>
        </w:rPr>
        <w:t>Le Comité relève que l’</w:t>
      </w:r>
      <w:r w:rsidR="00A706B3" w:rsidRPr="000B7E91">
        <w:rPr>
          <w:lang w:val="fr-FR"/>
        </w:rPr>
        <w:t>État</w:t>
      </w:r>
      <w:r w:rsidR="001F4248" w:rsidRPr="000B7E91">
        <w:rPr>
          <w:lang w:val="fr-FR"/>
        </w:rPr>
        <w:t xml:space="preserve"> partie n’a pas répondu à l’allégation de l’auteur, selon laquelle il a été porté atteinte à son droit à la présomption d’innocence dans les circonstances évoquées </w:t>
      </w:r>
      <w:r w:rsidR="0025791E">
        <w:rPr>
          <w:lang w:val="fr-FR"/>
        </w:rPr>
        <w:t>plus haut</w:t>
      </w:r>
      <w:r w:rsidR="001F4248" w:rsidRPr="000B7E91">
        <w:rPr>
          <w:lang w:val="fr-FR"/>
        </w:rPr>
        <w:t xml:space="preserve">. Le Comité </w:t>
      </w:r>
      <w:r w:rsidR="001F4248" w:rsidRPr="00EF56C2">
        <w:rPr>
          <w:lang w:val="fr-FR"/>
        </w:rPr>
        <w:t>rappelle que toute personne accusée d’une infraction pénale est présumée innocente jusqu’à ce que sa culpabilité ait été légalement établie. Ainsi, toutes les autorités publiques ont le devoir de s’abstenir de préjuger de l’issue d’un procès</w:t>
      </w:r>
      <w:r w:rsidR="00CD7C6E">
        <w:rPr>
          <w:lang w:val="fr-FR"/>
        </w:rPr>
        <w:t>.</w:t>
      </w:r>
      <w:r w:rsidR="001F4248" w:rsidRPr="00EF56C2">
        <w:rPr>
          <w:lang w:val="fr-FR"/>
        </w:rPr>
        <w:t xml:space="preserve"> </w:t>
      </w:r>
      <w:r w:rsidR="00CD7C6E">
        <w:rPr>
          <w:lang w:val="fr-FR"/>
        </w:rPr>
        <w:t>L</w:t>
      </w:r>
      <w:r w:rsidR="001F4248" w:rsidRPr="00CD7C6E">
        <w:rPr>
          <w:lang w:val="fr-FR"/>
        </w:rPr>
        <w:t xml:space="preserve">es défendeurs ne devraient </w:t>
      </w:r>
      <w:r w:rsidR="003A3615" w:rsidRPr="00EF56C2">
        <w:rPr>
          <w:lang w:val="fr-FR"/>
        </w:rPr>
        <w:t xml:space="preserve">pas </w:t>
      </w:r>
      <w:r w:rsidR="001F4248" w:rsidRPr="00EF56C2">
        <w:rPr>
          <w:lang w:val="fr-FR"/>
        </w:rPr>
        <w:t>normalement être entravés ou enfermés dans des cages pendant les audiences, ni présentés au tribunal d’une manière laissant penser qu’ils peuvent être des criminels dangereux</w:t>
      </w:r>
      <w:r w:rsidR="001F4248" w:rsidRPr="00EF56C2">
        <w:rPr>
          <w:rStyle w:val="FootnoteReference"/>
          <w:lang w:val="fr-FR"/>
        </w:rPr>
        <w:footnoteReference w:id="6"/>
      </w:r>
      <w:r w:rsidR="004E6FD0" w:rsidRPr="00EF56C2">
        <w:rPr>
          <w:lang w:val="fr-FR"/>
        </w:rPr>
        <w:t>.</w:t>
      </w:r>
      <w:r w:rsidR="001F4248" w:rsidRPr="00EF56C2">
        <w:rPr>
          <w:lang w:val="fr-FR"/>
        </w:rPr>
        <w:t xml:space="preserve"> En l’espèce, et en l’absence de justification de la part de l’</w:t>
      </w:r>
      <w:r w:rsidR="00A706B3" w:rsidRPr="00EF56C2">
        <w:rPr>
          <w:lang w:val="fr-FR"/>
        </w:rPr>
        <w:t>État</w:t>
      </w:r>
      <w:r w:rsidR="001F4248" w:rsidRPr="00EF56C2">
        <w:rPr>
          <w:lang w:val="fr-FR"/>
        </w:rPr>
        <w:t xml:space="preserve"> partie, le Comité considère</w:t>
      </w:r>
      <w:r w:rsidR="001F4248" w:rsidRPr="000B7E91">
        <w:rPr>
          <w:lang w:val="fr-FR"/>
        </w:rPr>
        <w:t xml:space="preserve"> que</w:t>
      </w:r>
      <w:r w:rsidR="008614A5" w:rsidRPr="000B7E91">
        <w:rPr>
          <w:lang w:val="fr-FR"/>
        </w:rPr>
        <w:t xml:space="preserve"> </w:t>
      </w:r>
      <w:r w:rsidR="001F4248" w:rsidRPr="000B7E91">
        <w:rPr>
          <w:lang w:val="fr-FR"/>
        </w:rPr>
        <w:t xml:space="preserve">le port d’un gilet indiquant son lieu de détention et de menottes durant son audience publique ont porté atteinte au droit de l’auteur </w:t>
      </w:r>
      <w:r w:rsidR="0025791E">
        <w:rPr>
          <w:lang w:val="fr-FR"/>
        </w:rPr>
        <w:t xml:space="preserve">à la présomption d’innocence, </w:t>
      </w:r>
      <w:r w:rsidRPr="000B7E91">
        <w:rPr>
          <w:lang w:val="fr-FR"/>
        </w:rPr>
        <w:t>au titre de</w:t>
      </w:r>
      <w:r w:rsidR="008614A5" w:rsidRPr="000B7E91">
        <w:rPr>
          <w:lang w:val="fr-FR"/>
        </w:rPr>
        <w:t xml:space="preserve"> </w:t>
      </w:r>
      <w:r w:rsidR="001F4248" w:rsidRPr="000B7E91">
        <w:rPr>
          <w:lang w:val="fr-FR"/>
        </w:rPr>
        <w:t>l’article</w:t>
      </w:r>
      <w:r w:rsidR="004E6FD0" w:rsidRPr="000B7E91">
        <w:rPr>
          <w:lang w:val="fr-FR"/>
        </w:rPr>
        <w:t> </w:t>
      </w:r>
      <w:r w:rsidR="001F4248" w:rsidRPr="000B7E91">
        <w:rPr>
          <w:lang w:val="fr-FR"/>
        </w:rPr>
        <w:t>14, paragraphe</w:t>
      </w:r>
      <w:r w:rsidR="004E6FD0" w:rsidRPr="000B7E91">
        <w:rPr>
          <w:lang w:val="fr-FR"/>
        </w:rPr>
        <w:t> </w:t>
      </w:r>
      <w:r w:rsidR="001F4248" w:rsidRPr="000B7E91">
        <w:rPr>
          <w:lang w:val="fr-FR"/>
        </w:rPr>
        <w:t>2</w:t>
      </w:r>
      <w:r w:rsidR="0025791E">
        <w:rPr>
          <w:lang w:val="fr-FR"/>
        </w:rPr>
        <w:t>,</w:t>
      </w:r>
      <w:r w:rsidR="001F4248" w:rsidRPr="000B7E91">
        <w:rPr>
          <w:lang w:val="fr-FR"/>
        </w:rPr>
        <w:t xml:space="preserve"> du Pacte. </w:t>
      </w:r>
    </w:p>
    <w:p w:rsidR="00C00F33" w:rsidRPr="000B7E91" w:rsidRDefault="00C00F33" w:rsidP="00EF56C2">
      <w:pPr>
        <w:pStyle w:val="SingleTxtG"/>
        <w:rPr>
          <w:lang w:val="fr-FR"/>
        </w:rPr>
      </w:pPr>
      <w:r w:rsidRPr="000B7E91">
        <w:rPr>
          <w:lang w:val="fr-FR"/>
        </w:rPr>
        <w:t>7.4</w:t>
      </w:r>
      <w:r w:rsidRPr="000B7E91">
        <w:rPr>
          <w:lang w:val="fr-FR"/>
        </w:rPr>
        <w:tab/>
        <w:t>L’auteur a soutenu qu’il a</w:t>
      </w:r>
      <w:r w:rsidR="0025791E">
        <w:rPr>
          <w:lang w:val="fr-FR"/>
        </w:rPr>
        <w:t>vait</w:t>
      </w:r>
      <w:r w:rsidRPr="000B7E91">
        <w:rPr>
          <w:lang w:val="fr-FR"/>
        </w:rPr>
        <w:t xml:space="preserve"> dû compara</w:t>
      </w:r>
      <w:r w:rsidR="0025791E">
        <w:rPr>
          <w:lang w:val="fr-FR"/>
        </w:rPr>
        <w:t>î</w:t>
      </w:r>
      <w:r w:rsidRPr="000B7E91">
        <w:rPr>
          <w:lang w:val="fr-FR"/>
        </w:rPr>
        <w:t>tre devant le tribunal</w:t>
      </w:r>
      <w:r w:rsidR="0025791E">
        <w:rPr>
          <w:lang w:val="fr-FR"/>
        </w:rPr>
        <w:t>,</w:t>
      </w:r>
      <w:r w:rsidRPr="000B7E91">
        <w:rPr>
          <w:lang w:val="fr-FR"/>
        </w:rPr>
        <w:t xml:space="preserve"> le 5</w:t>
      </w:r>
      <w:r w:rsidR="004E6FD0" w:rsidRPr="000B7E91">
        <w:rPr>
          <w:lang w:val="fr-FR"/>
        </w:rPr>
        <w:t> </w:t>
      </w:r>
      <w:r w:rsidRPr="000B7E91">
        <w:rPr>
          <w:lang w:val="fr-FR"/>
        </w:rPr>
        <w:t>septembre 2008</w:t>
      </w:r>
      <w:r w:rsidR="0025791E">
        <w:rPr>
          <w:lang w:val="fr-FR"/>
        </w:rPr>
        <w:t>,</w:t>
      </w:r>
      <w:r w:rsidRPr="000B7E91">
        <w:rPr>
          <w:lang w:val="fr-FR"/>
        </w:rPr>
        <w:t xml:space="preserve"> vêtu d’un gilet portant la mention «Prison civile de Cotonou». Son passage devant le public a</w:t>
      </w:r>
      <w:r w:rsidR="0025791E">
        <w:rPr>
          <w:lang w:val="fr-FR"/>
        </w:rPr>
        <w:t>vait</w:t>
      </w:r>
      <w:r w:rsidRPr="000B7E91">
        <w:rPr>
          <w:lang w:val="fr-FR"/>
        </w:rPr>
        <w:t xml:space="preserve"> occasionné des railleries et de</w:t>
      </w:r>
      <w:r w:rsidR="0025791E">
        <w:rPr>
          <w:lang w:val="fr-FR"/>
        </w:rPr>
        <w:t>s</w:t>
      </w:r>
      <w:r w:rsidRPr="000B7E91">
        <w:rPr>
          <w:lang w:val="fr-FR"/>
        </w:rPr>
        <w:t xml:space="preserve"> moqueries (</w:t>
      </w:r>
      <w:r w:rsidR="0025791E">
        <w:rPr>
          <w:lang w:val="fr-FR"/>
        </w:rPr>
        <w:t xml:space="preserve">voir </w:t>
      </w:r>
      <w:r w:rsidRPr="000B7E91">
        <w:rPr>
          <w:lang w:val="fr-FR"/>
        </w:rPr>
        <w:t>par.</w:t>
      </w:r>
      <w:r w:rsidR="004E6FD0" w:rsidRPr="000B7E91">
        <w:rPr>
          <w:lang w:val="fr-FR"/>
        </w:rPr>
        <w:t> </w:t>
      </w:r>
      <w:r w:rsidRPr="000B7E91">
        <w:rPr>
          <w:lang w:val="fr-FR"/>
        </w:rPr>
        <w:t>2.3). Le Comité observe que bien que l’</w:t>
      </w:r>
      <w:r w:rsidR="00A706B3" w:rsidRPr="000B7E91">
        <w:rPr>
          <w:lang w:val="fr-FR"/>
        </w:rPr>
        <w:t>État</w:t>
      </w:r>
      <w:r w:rsidRPr="000B7E91">
        <w:rPr>
          <w:lang w:val="fr-FR"/>
        </w:rPr>
        <w:t xml:space="preserve"> partie ait affirmé, dans ses observations, que les «camisoles» des détenus </w:t>
      </w:r>
      <w:r w:rsidR="006C2056">
        <w:rPr>
          <w:lang w:val="fr-FR"/>
        </w:rPr>
        <w:t xml:space="preserve">étaient </w:t>
      </w:r>
      <w:r w:rsidRPr="000B7E91">
        <w:rPr>
          <w:lang w:val="fr-FR"/>
        </w:rPr>
        <w:t>enlevées lors de leur présentation devant une autorité judiciaire ou administrative (</w:t>
      </w:r>
      <w:r w:rsidR="0025791E">
        <w:rPr>
          <w:lang w:val="fr-FR"/>
        </w:rPr>
        <w:t xml:space="preserve">voir </w:t>
      </w:r>
      <w:r w:rsidRPr="000B7E91">
        <w:rPr>
          <w:lang w:val="fr-FR"/>
        </w:rPr>
        <w:t>par.</w:t>
      </w:r>
      <w:r w:rsidR="004E6FD0" w:rsidRPr="000B7E91">
        <w:rPr>
          <w:lang w:val="fr-FR"/>
        </w:rPr>
        <w:t> </w:t>
      </w:r>
      <w:r w:rsidRPr="000B7E91">
        <w:rPr>
          <w:lang w:val="fr-FR"/>
        </w:rPr>
        <w:t xml:space="preserve">4.3), il n’a pas apporté d’explication, dans le cas d’espèce, quant à la raison pour laquelle l’auteur </w:t>
      </w:r>
      <w:r w:rsidR="0025791E">
        <w:rPr>
          <w:lang w:val="fr-FR"/>
        </w:rPr>
        <w:t xml:space="preserve">avait dû </w:t>
      </w:r>
      <w:r w:rsidRPr="000B7E91">
        <w:rPr>
          <w:lang w:val="fr-FR"/>
        </w:rPr>
        <w:t>porter un tel gilet durant son audience. Le Comité a également pris note de l’allégation de l’auteur selon laquelle il a</w:t>
      </w:r>
      <w:r w:rsidR="0025791E">
        <w:rPr>
          <w:lang w:val="fr-FR"/>
        </w:rPr>
        <w:t>vait</w:t>
      </w:r>
      <w:r w:rsidRPr="000B7E91">
        <w:rPr>
          <w:lang w:val="fr-FR"/>
        </w:rPr>
        <w:t xml:space="preserve"> été conduit et présenté à son audience menotté, ce que l’</w:t>
      </w:r>
      <w:r w:rsidR="00A706B3" w:rsidRPr="000B7E91">
        <w:rPr>
          <w:lang w:val="fr-FR"/>
        </w:rPr>
        <w:t>État</w:t>
      </w:r>
      <w:r w:rsidRPr="000B7E91">
        <w:rPr>
          <w:lang w:val="fr-FR"/>
        </w:rPr>
        <w:t xml:space="preserve"> partie n’a pas contesté.</w:t>
      </w:r>
    </w:p>
    <w:p w:rsidR="00C00F33" w:rsidRPr="000B7E91" w:rsidRDefault="00C00F33" w:rsidP="005071EF">
      <w:pPr>
        <w:pStyle w:val="SingleTxtG"/>
        <w:rPr>
          <w:lang w:val="fr-FR"/>
        </w:rPr>
      </w:pPr>
      <w:r w:rsidRPr="000B7E91">
        <w:rPr>
          <w:lang w:val="fr-FR"/>
        </w:rPr>
        <w:t>7.5</w:t>
      </w:r>
      <w:r w:rsidRPr="000B7E91">
        <w:rPr>
          <w:lang w:val="fr-FR"/>
        </w:rPr>
        <w:tab/>
        <w:t xml:space="preserve">Le Comité observe que l’État partie s’est contenté de justifier, </w:t>
      </w:r>
      <w:r w:rsidR="005071EF">
        <w:rPr>
          <w:lang w:val="fr-FR"/>
        </w:rPr>
        <w:t xml:space="preserve">de manière </w:t>
      </w:r>
      <w:r w:rsidRPr="000B7E91">
        <w:rPr>
          <w:lang w:val="fr-FR"/>
        </w:rPr>
        <w:t>général</w:t>
      </w:r>
      <w:r w:rsidR="005071EF">
        <w:rPr>
          <w:lang w:val="fr-FR"/>
        </w:rPr>
        <w:t>e</w:t>
      </w:r>
      <w:r w:rsidRPr="000B7E91">
        <w:rPr>
          <w:lang w:val="fr-FR"/>
        </w:rPr>
        <w:t xml:space="preserve">, </w:t>
      </w:r>
      <w:r w:rsidR="005071EF">
        <w:rPr>
          <w:lang w:val="fr-FR"/>
        </w:rPr>
        <w:t xml:space="preserve">sur un plan sécuritaire, </w:t>
      </w:r>
      <w:r w:rsidRPr="000B7E91">
        <w:rPr>
          <w:lang w:val="fr-FR"/>
        </w:rPr>
        <w:t>la nécessité d’une</w:t>
      </w:r>
      <w:r w:rsidR="008614A5" w:rsidRPr="000B7E91">
        <w:rPr>
          <w:lang w:val="fr-FR"/>
        </w:rPr>
        <w:t xml:space="preserve"> </w:t>
      </w:r>
      <w:r w:rsidRPr="000B7E91">
        <w:rPr>
          <w:lang w:val="fr-FR"/>
        </w:rPr>
        <w:t xml:space="preserve">telle mesure, </w:t>
      </w:r>
      <w:r w:rsidR="005071EF">
        <w:rPr>
          <w:lang w:val="fr-FR"/>
        </w:rPr>
        <w:t xml:space="preserve">mais n’a pas </w:t>
      </w:r>
      <w:r w:rsidRPr="000B7E91">
        <w:rPr>
          <w:lang w:val="fr-FR"/>
        </w:rPr>
        <w:t>démontr</w:t>
      </w:r>
      <w:r w:rsidR="005071EF">
        <w:rPr>
          <w:lang w:val="fr-FR"/>
        </w:rPr>
        <w:t xml:space="preserve">é </w:t>
      </w:r>
      <w:r w:rsidRPr="000B7E91">
        <w:rPr>
          <w:lang w:val="fr-FR"/>
        </w:rPr>
        <w:t>que, dans les circonstances, le port d’un tel gilet</w:t>
      </w:r>
      <w:r w:rsidR="005071EF">
        <w:rPr>
          <w:lang w:val="fr-FR"/>
        </w:rPr>
        <w:t xml:space="preserve"> et </w:t>
      </w:r>
      <w:r w:rsidRPr="000B7E91">
        <w:rPr>
          <w:lang w:val="fr-FR"/>
        </w:rPr>
        <w:t>de menottes était nécessaire à la comparution de l’auteur du 5</w:t>
      </w:r>
      <w:r w:rsidR="003B478D">
        <w:rPr>
          <w:lang w:val="fr-FR"/>
        </w:rPr>
        <w:t> </w:t>
      </w:r>
      <w:r w:rsidRPr="000B7E91">
        <w:rPr>
          <w:lang w:val="fr-FR"/>
        </w:rPr>
        <w:t>septembre 2008. Le Comité ne discerne rien dans le dossier qui puisse laisser supposer que l’absence d</w:t>
      </w:r>
      <w:r w:rsidR="005071EF">
        <w:rPr>
          <w:lang w:val="fr-FR"/>
        </w:rPr>
        <w:t xml:space="preserve">e ce gilet </w:t>
      </w:r>
      <w:r w:rsidRPr="000B7E91">
        <w:rPr>
          <w:lang w:val="fr-FR"/>
        </w:rPr>
        <w:t>et de menottes pouvait faire craindre un risque de violence</w:t>
      </w:r>
      <w:r w:rsidR="005071EF">
        <w:rPr>
          <w:lang w:val="fr-FR"/>
        </w:rPr>
        <w:t xml:space="preserve"> ou</w:t>
      </w:r>
      <w:r w:rsidRPr="000B7E91">
        <w:rPr>
          <w:lang w:val="fr-FR"/>
        </w:rPr>
        <w:t xml:space="preserve"> de fuite, ou tout autre danger pour la sécurité du public. Dès lors, et même s’il ne ressort pas des faits que la mesure en cause avait pour </w:t>
      </w:r>
      <w:r w:rsidRPr="009C0F71">
        <w:rPr>
          <w:iCs/>
          <w:lang w:val="fr-FR"/>
        </w:rPr>
        <w:t>but</w:t>
      </w:r>
      <w:r w:rsidRPr="000B7E91">
        <w:rPr>
          <w:lang w:val="fr-FR"/>
        </w:rPr>
        <w:t xml:space="preserve"> d’humilier ou d’avilir l’auteur, le Comité </w:t>
      </w:r>
      <w:r w:rsidRPr="000B7E91">
        <w:rPr>
          <w:iCs/>
          <w:lang w:val="fr-FR"/>
        </w:rPr>
        <w:t>accepte que ce dernier ait pu ressentir, au vu du caractère public de l’audience, un sentiment d’humiliation qui dépasse celui que comporte inévitablement une comparution devant un tribunal.</w:t>
      </w:r>
      <w:r w:rsidRPr="000B7E91">
        <w:rPr>
          <w:i/>
          <w:lang w:val="fr-FR"/>
        </w:rPr>
        <w:t xml:space="preserve"> </w:t>
      </w:r>
      <w:r w:rsidRPr="000B7E91">
        <w:rPr>
          <w:lang w:val="fr-FR"/>
        </w:rPr>
        <w:t>Le Comité en conclut que les mesures imposées à l’auteur ont constitué un traitement incompatible avec l’article</w:t>
      </w:r>
      <w:r w:rsidR="00711E39" w:rsidRPr="000B7E91">
        <w:rPr>
          <w:lang w:val="fr-FR"/>
        </w:rPr>
        <w:t> </w:t>
      </w:r>
      <w:r w:rsidRPr="000B7E91">
        <w:rPr>
          <w:lang w:val="fr-FR"/>
        </w:rPr>
        <w:t>7 du Pacte.</w:t>
      </w:r>
    </w:p>
    <w:p w:rsidR="001F4248" w:rsidRPr="009C0F71" w:rsidRDefault="001F4248" w:rsidP="00FB3B8F">
      <w:pPr>
        <w:pStyle w:val="SingleTxtG"/>
        <w:rPr>
          <w:lang w:val="fr-FR"/>
        </w:rPr>
      </w:pPr>
      <w:r w:rsidRPr="000B7E91">
        <w:rPr>
          <w:lang w:val="fr-FR"/>
        </w:rPr>
        <w:t>8.</w:t>
      </w:r>
      <w:r w:rsidRPr="000B7E91">
        <w:rPr>
          <w:lang w:val="fr-FR"/>
        </w:rPr>
        <w:tab/>
        <w:t>Le Comité des droits de l’homme, agissant en vertu du paragraphe</w:t>
      </w:r>
      <w:r w:rsidR="00711E39" w:rsidRPr="000B7E91">
        <w:rPr>
          <w:lang w:val="fr-FR"/>
        </w:rPr>
        <w:t> </w:t>
      </w:r>
      <w:r w:rsidRPr="000B7E91">
        <w:rPr>
          <w:lang w:val="fr-FR"/>
        </w:rPr>
        <w:t>4 de l’article</w:t>
      </w:r>
      <w:r w:rsidR="00711E39" w:rsidRPr="000B7E91">
        <w:rPr>
          <w:lang w:val="fr-FR"/>
        </w:rPr>
        <w:t> </w:t>
      </w:r>
      <w:r w:rsidRPr="000B7E91">
        <w:rPr>
          <w:lang w:val="fr-FR"/>
        </w:rPr>
        <w:t xml:space="preserve">5 du Protocole facultatif se rapportant au Pacte international relatif aux droits civils et politiques, constate que les </w:t>
      </w:r>
      <w:r w:rsidRPr="00BC46B8">
        <w:rPr>
          <w:lang w:val="fr-FR"/>
        </w:rPr>
        <w:t>faits dont il est saisi font apparaître une violation par l’État partie des articles</w:t>
      </w:r>
      <w:r w:rsidR="00711E39" w:rsidRPr="00BC46B8">
        <w:rPr>
          <w:lang w:val="fr-FR"/>
        </w:rPr>
        <w:t> </w:t>
      </w:r>
      <w:r w:rsidRPr="00BC46B8">
        <w:rPr>
          <w:lang w:val="fr-FR"/>
        </w:rPr>
        <w:t>7, et 14, paragraphe</w:t>
      </w:r>
      <w:r w:rsidR="004D4178" w:rsidRPr="00BC46B8">
        <w:rPr>
          <w:lang w:val="fr-FR"/>
        </w:rPr>
        <w:t> </w:t>
      </w:r>
      <w:r w:rsidRPr="009C0F71">
        <w:rPr>
          <w:lang w:val="fr-FR"/>
        </w:rPr>
        <w:t>2</w:t>
      </w:r>
      <w:r w:rsidR="005071EF" w:rsidRPr="009C0F71">
        <w:rPr>
          <w:lang w:val="fr-FR"/>
        </w:rPr>
        <w:t>,</w:t>
      </w:r>
      <w:r w:rsidR="00711E39" w:rsidRPr="009C0F71">
        <w:rPr>
          <w:lang w:val="fr-FR"/>
        </w:rPr>
        <w:t xml:space="preserve"> </w:t>
      </w:r>
      <w:r w:rsidRPr="009C0F71">
        <w:rPr>
          <w:lang w:val="fr-FR"/>
        </w:rPr>
        <w:t>du Pacte à l’égard de l’auteur.</w:t>
      </w:r>
    </w:p>
    <w:p w:rsidR="001F4248" w:rsidRPr="000B7E91" w:rsidRDefault="001F4248" w:rsidP="001F4248">
      <w:pPr>
        <w:pStyle w:val="SingleTxtG"/>
        <w:rPr>
          <w:lang w:val="fr-FR"/>
        </w:rPr>
      </w:pPr>
      <w:r w:rsidRPr="009C0F71">
        <w:rPr>
          <w:lang w:val="fr-FR"/>
        </w:rPr>
        <w:t>9.</w:t>
      </w:r>
      <w:r w:rsidRPr="009C0F71">
        <w:rPr>
          <w:lang w:val="fr-FR"/>
        </w:rPr>
        <w:tab/>
        <w:t>Conformément au paragraphe 3 de l’article 2 du Pacte, l’État partie est tenu d’assurer à l’auteur un recours utile, consistant notamment à</w:t>
      </w:r>
      <w:r w:rsidR="00B57AFA" w:rsidRPr="009C0F71">
        <w:rPr>
          <w:lang w:val="fr-FR"/>
        </w:rPr>
        <w:t xml:space="preserve"> </w:t>
      </w:r>
      <w:r w:rsidRPr="009C0F71">
        <w:rPr>
          <w:lang w:val="fr-FR"/>
        </w:rPr>
        <w:t>l’indemniser de manière appropriée pour la violation</w:t>
      </w:r>
      <w:r w:rsidRPr="000B7E91">
        <w:rPr>
          <w:lang w:val="fr-FR"/>
        </w:rPr>
        <w:t xml:space="preserve"> subie. L’État partie est en outre tenu de prendre des mesures pour empêcher que des violations analogues ne se reproduisent à l’avenir.</w:t>
      </w:r>
    </w:p>
    <w:p w:rsidR="001F4248" w:rsidRPr="000B7E91" w:rsidRDefault="001F4248" w:rsidP="001F4248">
      <w:pPr>
        <w:pStyle w:val="SingleTxtG"/>
        <w:rPr>
          <w:lang w:val="fr-FR"/>
        </w:rPr>
      </w:pPr>
      <w:r w:rsidRPr="000B7E91">
        <w:rPr>
          <w:lang w:val="fr-FR"/>
        </w:rPr>
        <w:t>10.</w:t>
      </w:r>
      <w:r w:rsidRPr="000B7E91">
        <w:rPr>
          <w:lang w:val="fr-FR"/>
        </w:rPr>
        <w:tab/>
        <w:t>Étant donné qu’en adhérant au Protocole facultatif, l’État partie a reconnu que le Comité avait compétence pour déterminer s’il y avait eu ou non violation du Pacte et que, conformément à l’article</w:t>
      </w:r>
      <w:r w:rsidR="00711E39" w:rsidRPr="000B7E91">
        <w:rPr>
          <w:lang w:val="fr-FR"/>
        </w:rPr>
        <w:t> </w:t>
      </w:r>
      <w:r w:rsidRPr="000B7E91">
        <w:rPr>
          <w:lang w:val="fr-FR"/>
        </w:rPr>
        <w:t xml:space="preserve">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à ses constatations. L’État partie est invité en outre à rendre publiques les présentes constatations et </w:t>
      </w:r>
      <w:r w:rsidR="006F0C02">
        <w:rPr>
          <w:lang w:val="fr-FR"/>
        </w:rPr>
        <w:t xml:space="preserve">à </w:t>
      </w:r>
      <w:r w:rsidRPr="000B7E91">
        <w:rPr>
          <w:lang w:val="fr-FR"/>
        </w:rPr>
        <w:t>les diffuser largement dans les langues officielles.</w:t>
      </w:r>
    </w:p>
    <w:p w:rsidR="00465DC2" w:rsidRPr="000B7E91" w:rsidRDefault="00465DC2" w:rsidP="00465DC2">
      <w:pPr>
        <w:pStyle w:val="HChG"/>
        <w:rPr>
          <w:lang w:val="fr-FR"/>
        </w:rPr>
      </w:pPr>
      <w:r w:rsidRPr="000B7E91">
        <w:rPr>
          <w:u w:val="single"/>
          <w:lang w:val="fr-FR"/>
        </w:rPr>
        <w:br w:type="page"/>
      </w:r>
      <w:r w:rsidRPr="000B7E91">
        <w:rPr>
          <w:lang w:val="fr-FR"/>
        </w:rPr>
        <w:t>Appendice</w:t>
      </w:r>
    </w:p>
    <w:p w:rsidR="00711E39" w:rsidRPr="000B7E91" w:rsidRDefault="00711E39" w:rsidP="000B7E91">
      <w:pPr>
        <w:pStyle w:val="SingleTxtG"/>
        <w:jc w:val="right"/>
        <w:rPr>
          <w:lang w:val="fr-FR"/>
        </w:rPr>
      </w:pPr>
      <w:r w:rsidRPr="00BC46B8">
        <w:rPr>
          <w:lang w:val="fr-FR"/>
        </w:rPr>
        <w:t>[</w:t>
      </w:r>
      <w:r w:rsidRPr="009C0F71">
        <w:rPr>
          <w:lang w:val="fr-FR"/>
        </w:rPr>
        <w:t>Original: anglais</w:t>
      </w:r>
      <w:r w:rsidRPr="00BC46B8">
        <w:rPr>
          <w:lang w:val="fr-FR"/>
        </w:rPr>
        <w:t>]</w:t>
      </w:r>
    </w:p>
    <w:p w:rsidR="00465DC2" w:rsidRPr="000B7E91" w:rsidRDefault="00A67344" w:rsidP="00DE636A">
      <w:pPr>
        <w:pStyle w:val="H1G"/>
        <w:rPr>
          <w:lang w:val="fr-FR"/>
        </w:rPr>
      </w:pPr>
      <w:r w:rsidRPr="000B7E91">
        <w:rPr>
          <w:lang w:val="fr-FR"/>
        </w:rPr>
        <w:tab/>
      </w:r>
      <w:r w:rsidRPr="000B7E91">
        <w:rPr>
          <w:lang w:val="fr-FR"/>
        </w:rPr>
        <w:tab/>
      </w:r>
      <w:r w:rsidR="00465DC2" w:rsidRPr="00BC46B8">
        <w:rPr>
          <w:lang w:val="fr-FR"/>
        </w:rPr>
        <w:t>Opinion individuelle (concordante) de Yuval</w:t>
      </w:r>
      <w:r w:rsidR="00465DC2" w:rsidRPr="000B7E91">
        <w:rPr>
          <w:lang w:val="fr-FR"/>
        </w:rPr>
        <w:t xml:space="preserve"> Shany</w:t>
      </w:r>
      <w:r w:rsidR="0099608D">
        <w:rPr>
          <w:lang w:val="fr-FR"/>
        </w:rPr>
        <w:t xml:space="preserve"> </w:t>
      </w:r>
      <w:r w:rsidR="00465DC2" w:rsidRPr="000B7E91">
        <w:rPr>
          <w:lang w:val="fr-FR"/>
        </w:rPr>
        <w:t>et de Walter Kälin</w:t>
      </w:r>
    </w:p>
    <w:p w:rsidR="00465DC2" w:rsidRPr="000B7E91" w:rsidRDefault="00465DC2" w:rsidP="00465DC2">
      <w:pPr>
        <w:pStyle w:val="SingleTxtG"/>
        <w:rPr>
          <w:lang w:val="fr-FR"/>
        </w:rPr>
      </w:pPr>
      <w:r w:rsidRPr="000B7E91">
        <w:rPr>
          <w:lang w:val="fr-FR"/>
        </w:rPr>
        <w:t>Nous sommes d’accord avec le Comité qui a constaté une violation de l’article 14 du Pacte constituée par le fait d’obliger l’auteur à comparaître à l’audience publique menotté et vêtu d’un gilet indiquant son lieu de détention, mais nous ne pensons pas que l’auteur a étayé le grief de violation de l’article 7 du Pacte, constituée par l’humiliation qu’il a subie à l’audience publique. Au paragraphe 7.5 de ses constatations</w:t>
      </w:r>
      <w:r w:rsidR="006531F5">
        <w:rPr>
          <w:lang w:val="fr-FR"/>
        </w:rPr>
        <w:t>,</w:t>
      </w:r>
      <w:r w:rsidRPr="000B7E91">
        <w:rPr>
          <w:lang w:val="fr-FR"/>
        </w:rPr>
        <w:t xml:space="preserve"> le Comité a accepté qu’il ne ressortait pas des faits que l’</w:t>
      </w:r>
      <w:r w:rsidRPr="000B7E91">
        <w:rPr>
          <w:rFonts w:eastAsia="MS Mincho"/>
          <w:lang w:val="fr-FR"/>
        </w:rPr>
        <w:t>État partie</w:t>
      </w:r>
      <w:r w:rsidRPr="000B7E91">
        <w:rPr>
          <w:lang w:val="fr-FR"/>
        </w:rPr>
        <w:t xml:space="preserve"> avait eu pour but «d’humilier ou d’avilir» l’auteur, et si l’auteur a pu se sentir humilié par la façon dont il avait été traité publiquement, il n’a pas montré qu’il en était résulté une souffrance mentale allant très au-delà de la souffrance inhérente à sa condition de défendeur dans un procès pénal comparaissant en audience publique, souffrance qui était d’une intensité atteignant le niveau minimal nécessaire pour constituer un traitement dégradant. Nous ne sommes donc pas convaincus que l’État partie a commis une violation de l’article 7 du Pacte à l’égard de l’auteur. </w:t>
      </w:r>
    </w:p>
    <w:p w:rsidR="001F4248" w:rsidRPr="000B7E91" w:rsidRDefault="00465DC2" w:rsidP="009C0F71">
      <w:pPr>
        <w:pStyle w:val="SingleTxtG"/>
        <w:spacing w:before="240" w:after="0"/>
        <w:jc w:val="center"/>
        <w:rPr>
          <w:u w:val="single"/>
          <w:lang w:val="fr-FR"/>
        </w:rPr>
      </w:pPr>
      <w:r w:rsidRPr="000B7E91">
        <w:rPr>
          <w:u w:val="single"/>
          <w:lang w:val="fr-FR"/>
        </w:rPr>
        <w:tab/>
      </w:r>
      <w:r w:rsidRPr="000B7E91">
        <w:rPr>
          <w:u w:val="single"/>
          <w:lang w:val="fr-FR"/>
        </w:rPr>
        <w:tab/>
      </w:r>
      <w:r w:rsidRPr="000B7E91">
        <w:rPr>
          <w:u w:val="single"/>
          <w:lang w:val="fr-FR"/>
        </w:rPr>
        <w:tab/>
      </w:r>
    </w:p>
    <w:sectPr w:rsidR="001F4248" w:rsidRPr="000B7E91" w:rsidSect="008614A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4C" w:rsidRDefault="00E3194C"/>
  </w:endnote>
  <w:endnote w:type="continuationSeparator" w:id="0">
    <w:p w:rsidR="00E3194C" w:rsidRDefault="00E3194C"/>
  </w:endnote>
  <w:endnote w:type="continuationNotice" w:id="1">
    <w:p w:rsidR="00E3194C" w:rsidRDefault="00E319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2E" w:rsidRPr="00BD468D" w:rsidRDefault="001D202E" w:rsidP="00BD468D">
    <w:pPr>
      <w:pStyle w:val="Footer"/>
      <w:tabs>
        <w:tab w:val="right" w:pos="9638"/>
      </w:tabs>
    </w:pPr>
    <w:r w:rsidRPr="00BD468D">
      <w:rPr>
        <w:b/>
        <w:sz w:val="18"/>
      </w:rPr>
      <w:fldChar w:fldCharType="begin"/>
    </w:r>
    <w:r w:rsidRPr="00BD468D">
      <w:rPr>
        <w:b/>
        <w:sz w:val="18"/>
      </w:rPr>
      <w:instrText xml:space="preserve"> PAGE  \* MERGEFORMAT </w:instrText>
    </w:r>
    <w:r w:rsidRPr="00BD468D">
      <w:rPr>
        <w:b/>
        <w:sz w:val="18"/>
      </w:rPr>
      <w:fldChar w:fldCharType="separate"/>
    </w:r>
    <w:r w:rsidR="00AD0561">
      <w:rPr>
        <w:b/>
        <w:noProof/>
        <w:sz w:val="18"/>
      </w:rPr>
      <w:t>6</w:t>
    </w:r>
    <w:r w:rsidRPr="00BD468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2E" w:rsidRPr="00BD468D" w:rsidRDefault="001D202E" w:rsidP="00BD468D">
    <w:pPr>
      <w:pStyle w:val="Footer"/>
      <w:tabs>
        <w:tab w:val="right" w:pos="9638"/>
      </w:tabs>
      <w:rPr>
        <w:sz w:val="18"/>
      </w:rPr>
    </w:pPr>
    <w:r>
      <w:rPr>
        <w:b/>
        <w:sz w:val="18"/>
      </w:rPr>
      <w:tab/>
    </w:r>
    <w:r w:rsidRPr="00BD468D">
      <w:rPr>
        <w:sz w:val="18"/>
      </w:rPr>
      <w:fldChar w:fldCharType="begin"/>
    </w:r>
    <w:r w:rsidRPr="00BD468D">
      <w:rPr>
        <w:sz w:val="18"/>
      </w:rPr>
      <w:instrText xml:space="preserve"> PAGE  \* MERGEFORMAT </w:instrText>
    </w:r>
    <w:r w:rsidRPr="00BD468D">
      <w:rPr>
        <w:sz w:val="18"/>
      </w:rPr>
      <w:fldChar w:fldCharType="separate"/>
    </w:r>
    <w:r w:rsidR="00AD0561">
      <w:rPr>
        <w:noProof/>
        <w:sz w:val="18"/>
      </w:rPr>
      <w:t>7</w:t>
    </w:r>
    <w:r w:rsidRPr="00BD468D">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2E" w:rsidRPr="001F4248" w:rsidRDefault="001D202E" w:rsidP="001D202E">
    <w:pPr>
      <w:pStyle w:val="Footer"/>
      <w:spacing w:before="120" w:line="240" w:lineRule="atLeast"/>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GE.14-19197</w:t>
    </w:r>
    <w:r>
      <w:rPr>
        <w:sz w:val="20"/>
      </w:rPr>
      <w:br/>
    </w:r>
    <w:r w:rsidRPr="001D202E">
      <w:rPr>
        <w:rFonts w:ascii="C39T30Lfz" w:hAnsi="C39T30Lfz"/>
        <w:sz w:val="56"/>
      </w:rPr>
      <w:t></w:t>
    </w:r>
    <w:r w:rsidRPr="001D202E">
      <w:rPr>
        <w:rFonts w:ascii="C39T30Lfz" w:hAnsi="C39T30Lfz"/>
        <w:sz w:val="56"/>
      </w:rPr>
      <w:t></w:t>
    </w:r>
    <w:r w:rsidRPr="001D202E">
      <w:rPr>
        <w:rFonts w:ascii="C39T30Lfz" w:hAnsi="C39T30Lfz"/>
        <w:sz w:val="56"/>
      </w:rPr>
      <w:t></w:t>
    </w:r>
    <w:r w:rsidRPr="001D202E">
      <w:rPr>
        <w:rFonts w:ascii="C39T30Lfz" w:hAnsi="C39T30Lfz"/>
        <w:sz w:val="56"/>
      </w:rPr>
      <w:t></w:t>
    </w:r>
    <w:r w:rsidRPr="001D202E">
      <w:rPr>
        <w:rFonts w:ascii="C39T30Lfz" w:hAnsi="C39T30Lfz"/>
        <w:sz w:val="56"/>
      </w:rPr>
      <w:t></w:t>
    </w:r>
    <w:r w:rsidRPr="001D202E">
      <w:rPr>
        <w:rFonts w:ascii="C39T30Lfz" w:hAnsi="C39T30Lfz"/>
        <w:sz w:val="56"/>
      </w:rPr>
      <w:t></w:t>
    </w:r>
    <w:r w:rsidRPr="001D202E">
      <w:rPr>
        <w:rFonts w:ascii="C39T30Lfz" w:hAnsi="C39T30Lfz"/>
        <w:sz w:val="56"/>
      </w:rPr>
      <w:t></w:t>
    </w:r>
    <w:r w:rsidRPr="001D202E">
      <w:rPr>
        <w:rFonts w:ascii="C39T30Lfz" w:hAnsi="C39T30Lfz"/>
        <w:sz w:val="56"/>
      </w:rPr>
      <w:t></w:t>
    </w:r>
    <w:r w:rsidRPr="001D202E">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01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4C" w:rsidRPr="00D27D5E" w:rsidRDefault="00E3194C" w:rsidP="00D27D5E">
      <w:pPr>
        <w:tabs>
          <w:tab w:val="right" w:pos="2155"/>
        </w:tabs>
        <w:spacing w:after="80"/>
        <w:ind w:left="680"/>
        <w:rPr>
          <w:u w:val="single"/>
        </w:rPr>
      </w:pPr>
      <w:r>
        <w:rPr>
          <w:u w:val="single"/>
        </w:rPr>
        <w:tab/>
      </w:r>
    </w:p>
  </w:footnote>
  <w:footnote w:type="continuationSeparator" w:id="0">
    <w:p w:rsidR="00E3194C" w:rsidRPr="00091505" w:rsidRDefault="00E3194C" w:rsidP="00091505">
      <w:pPr>
        <w:tabs>
          <w:tab w:val="right" w:pos="2155"/>
        </w:tabs>
        <w:spacing w:after="80"/>
        <w:ind w:left="680"/>
        <w:rPr>
          <w:u w:val="single"/>
        </w:rPr>
      </w:pPr>
      <w:r w:rsidRPr="00091505">
        <w:rPr>
          <w:u w:val="single"/>
        </w:rPr>
        <w:tab/>
      </w:r>
    </w:p>
  </w:footnote>
  <w:footnote w:type="continuationNotice" w:id="1">
    <w:p w:rsidR="00E3194C" w:rsidRDefault="00E3194C"/>
  </w:footnote>
  <w:footnote w:id="2">
    <w:p w:rsidR="001D202E" w:rsidRPr="009C0F71" w:rsidRDefault="001D202E" w:rsidP="00CF75EB">
      <w:pPr>
        <w:pStyle w:val="FootnoteText"/>
        <w:rPr>
          <w:color w:val="000000"/>
        </w:rPr>
      </w:pPr>
      <w:r>
        <w:rPr>
          <w:rStyle w:val="FootnoteReference"/>
        </w:rPr>
        <w:tab/>
      </w:r>
      <w:r w:rsidRPr="009C0F71">
        <w:rPr>
          <w:rStyle w:val="FootnoteReference"/>
          <w:sz w:val="20"/>
          <w:vertAlign w:val="baseline"/>
        </w:rPr>
        <w:t>*</w:t>
      </w:r>
      <w:r>
        <w:rPr>
          <w:rStyle w:val="FootnoteReference"/>
          <w:sz w:val="20"/>
          <w:vertAlign w:val="baseline"/>
        </w:rPr>
        <w:tab/>
      </w:r>
      <w:r w:rsidRPr="00BC46B8">
        <w:rPr>
          <w:color w:val="000000"/>
          <w:szCs w:val="18"/>
          <w:lang w:val="fr-CA"/>
        </w:rPr>
        <w:t xml:space="preserve">Les membres du Comité dont le nom suit ont participé à l’examen de la communication: </w:t>
      </w:r>
      <w:r w:rsidRPr="00BC46B8">
        <w:rPr>
          <w:color w:val="000000"/>
          <w:szCs w:val="18"/>
        </w:rPr>
        <w:t xml:space="preserve">Yadh Ben Achour, </w:t>
      </w:r>
      <w:r w:rsidRPr="00BC46B8">
        <w:rPr>
          <w:bCs/>
          <w:color w:val="000000"/>
          <w:szCs w:val="18"/>
        </w:rPr>
        <w:t xml:space="preserve">Lazhari Bouzid, </w:t>
      </w:r>
      <w:r w:rsidRPr="009C0F71">
        <w:rPr>
          <w:bCs/>
          <w:color w:val="000000"/>
          <w:szCs w:val="18"/>
        </w:rPr>
        <w:t xml:space="preserve">Christine Chanet, Cornelis Flinterman, Yuji Iwasawa, Walter Kälin, Zonke Zanele Majodina, Gerald L. Neuman, Sir Nigel Rodley, Víctor Manuel Rodríguez Rescia, Fabián Omar Salvioli, </w:t>
      </w:r>
      <w:r w:rsidRPr="009C0F71">
        <w:t>Dheerujlall Seetulsingh</w:t>
      </w:r>
      <w:r w:rsidRPr="009C0F71">
        <w:rPr>
          <w:bCs/>
          <w:color w:val="000000"/>
          <w:szCs w:val="18"/>
        </w:rPr>
        <w:t>, Anja Seibert</w:t>
      </w:r>
      <w:r w:rsidRPr="009C0F71">
        <w:rPr>
          <w:bCs/>
          <w:color w:val="000000"/>
          <w:szCs w:val="18"/>
        </w:rPr>
        <w:noBreakHyphen/>
        <w:t xml:space="preserve">Fohr, Yuval Shany, Konstantine Vardzelashvili, Margo Waterval </w:t>
      </w:r>
      <w:r w:rsidRPr="009C0F71">
        <w:rPr>
          <w:bCs/>
          <w:color w:val="000000"/>
          <w:szCs w:val="18"/>
          <w:lang w:val="fr-CA"/>
        </w:rPr>
        <w:t>et</w:t>
      </w:r>
      <w:r w:rsidRPr="009C0F71">
        <w:rPr>
          <w:bCs/>
          <w:color w:val="000000"/>
          <w:szCs w:val="18"/>
        </w:rPr>
        <w:t xml:space="preserve"> Andrei Paul Zlătescu</w:t>
      </w:r>
      <w:r w:rsidRPr="009C0F71">
        <w:rPr>
          <w:color w:val="000000"/>
        </w:rPr>
        <w:t>.</w:t>
      </w:r>
    </w:p>
    <w:p w:rsidR="001D202E" w:rsidRPr="00103FD5" w:rsidRDefault="001D202E" w:rsidP="00DE636A">
      <w:pPr>
        <w:pStyle w:val="FootnoteText"/>
        <w:rPr>
          <w:lang w:val="fr-CH"/>
        </w:rPr>
      </w:pPr>
      <w:r w:rsidRPr="00103FD5">
        <w:rPr>
          <w:rStyle w:val="FootnoteReference"/>
          <w:sz w:val="20"/>
          <w:vertAlign w:val="baseline"/>
          <w:lang w:val="fr-CH"/>
        </w:rPr>
        <w:tab/>
      </w:r>
      <w:r w:rsidRPr="00103FD5">
        <w:rPr>
          <w:sz w:val="20"/>
          <w:lang w:val="fr-CH"/>
        </w:rPr>
        <w:tab/>
      </w:r>
      <w:r w:rsidRPr="00103FD5">
        <w:rPr>
          <w:lang w:val="fr-CH"/>
        </w:rPr>
        <w:t>Le texte d’une opinion individuelle (concordante) signée de Yuval Shany et de Walter Kälin est joint aux présentes constatations.</w:t>
      </w:r>
    </w:p>
  </w:footnote>
  <w:footnote w:id="3">
    <w:p w:rsidR="001D202E" w:rsidRPr="00BD468D" w:rsidRDefault="001D202E" w:rsidP="00FB3B8F">
      <w:pPr>
        <w:pStyle w:val="FootnoteText"/>
        <w:rPr>
          <w:szCs w:val="18"/>
        </w:rPr>
      </w:pPr>
      <w:r w:rsidRPr="00103FD5">
        <w:rPr>
          <w:szCs w:val="18"/>
          <w:lang w:val="fr-CH"/>
        </w:rPr>
        <w:tab/>
      </w:r>
      <w:r w:rsidRPr="00BD468D">
        <w:rPr>
          <w:rStyle w:val="FootnoteReference"/>
          <w:szCs w:val="18"/>
        </w:rPr>
        <w:footnoteRef/>
      </w:r>
      <w:r>
        <w:rPr>
          <w:szCs w:val="18"/>
        </w:rPr>
        <w:tab/>
      </w:r>
      <w:r w:rsidRPr="00BD468D">
        <w:rPr>
          <w:szCs w:val="18"/>
        </w:rPr>
        <w:t>L’auteur n’en dit pas plus à ce sujet.</w:t>
      </w:r>
    </w:p>
  </w:footnote>
  <w:footnote w:id="4">
    <w:p w:rsidR="001D202E" w:rsidRPr="009C0F71" w:rsidRDefault="001D202E" w:rsidP="00EF56C2">
      <w:pPr>
        <w:pStyle w:val="FootnoteText"/>
        <w:rPr>
          <w:szCs w:val="18"/>
          <w:lang w:val="fr-FR"/>
        </w:rPr>
      </w:pPr>
      <w:r w:rsidRPr="00BD468D">
        <w:rPr>
          <w:szCs w:val="18"/>
          <w:lang w:val="fr-FR"/>
        </w:rPr>
        <w:tab/>
      </w:r>
      <w:r w:rsidRPr="00BD468D">
        <w:rPr>
          <w:rStyle w:val="FootnoteReference"/>
          <w:szCs w:val="18"/>
        </w:rPr>
        <w:footnoteRef/>
      </w:r>
      <w:r>
        <w:rPr>
          <w:szCs w:val="18"/>
          <w:lang w:val="fr-FR"/>
        </w:rPr>
        <w:tab/>
      </w:r>
      <w:r w:rsidRPr="00BC46B8">
        <w:rPr>
          <w:szCs w:val="18"/>
          <w:lang w:val="fr-FR"/>
        </w:rPr>
        <w:t xml:space="preserve">Observations finales du Comité concernant le rapport initial du Bénin, </w:t>
      </w:r>
      <w:r w:rsidRPr="009C0F71">
        <w:rPr>
          <w:szCs w:val="18"/>
          <w:lang w:val="fr-FR"/>
        </w:rPr>
        <w:t>adoptées le 2 novembre 2004</w:t>
      </w:r>
      <w:r w:rsidRPr="00BC46B8">
        <w:rPr>
          <w:szCs w:val="18"/>
          <w:lang w:val="fr-FR"/>
        </w:rPr>
        <w:t xml:space="preserve"> (CCPR/CO/82/BEN), </w:t>
      </w:r>
      <w:r w:rsidRPr="009C0F71">
        <w:rPr>
          <w:szCs w:val="18"/>
          <w:lang w:val="fr-FR"/>
        </w:rPr>
        <w:t>par. 21.</w:t>
      </w:r>
    </w:p>
  </w:footnote>
  <w:footnote w:id="5">
    <w:p w:rsidR="001D202E" w:rsidRPr="00BD468D" w:rsidRDefault="001D202E" w:rsidP="005822A8">
      <w:pPr>
        <w:tabs>
          <w:tab w:val="right" w:pos="1021"/>
        </w:tabs>
        <w:spacing w:line="220" w:lineRule="exact"/>
        <w:ind w:left="1134" w:right="1134" w:hanging="1134"/>
        <w:rPr>
          <w:sz w:val="18"/>
          <w:szCs w:val="18"/>
        </w:rPr>
      </w:pPr>
      <w:r w:rsidRPr="009C0F71">
        <w:rPr>
          <w:sz w:val="18"/>
          <w:szCs w:val="18"/>
        </w:rPr>
        <w:tab/>
      </w:r>
      <w:r w:rsidRPr="00BC46B8">
        <w:rPr>
          <w:rStyle w:val="FootnoteReference"/>
          <w:szCs w:val="18"/>
        </w:rPr>
        <w:footnoteRef/>
      </w:r>
      <w:r w:rsidRPr="00BC46B8">
        <w:rPr>
          <w:sz w:val="18"/>
          <w:szCs w:val="18"/>
        </w:rPr>
        <w:tab/>
        <w:t>Approuvé par le Conseil économique et social des Nations Unies dans ses</w:t>
      </w:r>
      <w:r w:rsidRPr="009C0F71">
        <w:rPr>
          <w:sz w:val="18"/>
          <w:szCs w:val="18"/>
        </w:rPr>
        <w:t xml:space="preserve"> résolutions 663 C (XXIV) du 31 juillet 1957 et 2076 (LXII) du 13 mai 1977.</w:t>
      </w:r>
    </w:p>
  </w:footnote>
  <w:footnote w:id="6">
    <w:p w:rsidR="001D202E" w:rsidRPr="00103FD5" w:rsidRDefault="001D202E" w:rsidP="00DE636A">
      <w:pPr>
        <w:pStyle w:val="FootnoteText"/>
        <w:rPr>
          <w:szCs w:val="18"/>
          <w:lang w:val="fr-CH"/>
        </w:rPr>
      </w:pPr>
      <w:r w:rsidRPr="00103FD5">
        <w:rPr>
          <w:szCs w:val="18"/>
          <w:lang w:val="fr-CH"/>
        </w:rPr>
        <w:tab/>
      </w:r>
      <w:r w:rsidRPr="00BD468D">
        <w:rPr>
          <w:rStyle w:val="FootnoteReference"/>
          <w:szCs w:val="18"/>
        </w:rPr>
        <w:footnoteRef/>
      </w:r>
      <w:r w:rsidRPr="00103FD5">
        <w:rPr>
          <w:szCs w:val="18"/>
          <w:lang w:val="fr-CH"/>
        </w:rPr>
        <w:tab/>
        <w:t>Voir l’observation générale n</w:t>
      </w:r>
      <w:r w:rsidRPr="00103FD5">
        <w:rPr>
          <w:szCs w:val="18"/>
          <w:vertAlign w:val="superscript"/>
          <w:lang w:val="fr-CH"/>
        </w:rPr>
        <w:t>o</w:t>
      </w:r>
      <w:r w:rsidRPr="00103FD5">
        <w:rPr>
          <w:szCs w:val="18"/>
          <w:lang w:val="fr-CH"/>
        </w:rPr>
        <w:t xml:space="preserve"> 32 (2007) du Comité </w:t>
      </w:r>
      <w:r w:rsidRPr="00103FD5">
        <w:rPr>
          <w:snapToGrid w:val="0"/>
          <w:szCs w:val="24"/>
          <w:lang w:val="fr-CH"/>
        </w:rPr>
        <w:t>sur le droit à l’égalité devant les tribunaux et les cours de justice et à un procès équitable</w:t>
      </w:r>
      <w:r w:rsidRPr="00103FD5">
        <w:rPr>
          <w:szCs w:val="18"/>
          <w:lang w:val="fr-CH"/>
        </w:rPr>
        <w:t>, par.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2E" w:rsidRPr="00BD468D" w:rsidRDefault="001D202E" w:rsidP="00BD468D">
    <w:pPr>
      <w:pStyle w:val="Header"/>
    </w:pPr>
    <w:r>
      <w:t>CCPR/C/111/</w:t>
    </w:r>
    <w:r w:rsidRPr="00465DC2">
      <w:rPr>
        <w:szCs w:val="18"/>
      </w:rPr>
      <w:t>D/2055/2011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2E" w:rsidRPr="00BD468D" w:rsidRDefault="001D202E" w:rsidP="00BD468D">
    <w:pPr>
      <w:pStyle w:val="Header"/>
      <w:jc w:val="right"/>
    </w:pPr>
    <w:r>
      <w:t>CCPR/C/111/D/2055/2011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CA"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4248"/>
    <w:rsid w:val="00016AC5"/>
    <w:rsid w:val="0002428E"/>
    <w:rsid w:val="00024B3B"/>
    <w:rsid w:val="00040BE0"/>
    <w:rsid w:val="00083127"/>
    <w:rsid w:val="00091505"/>
    <w:rsid w:val="000A147A"/>
    <w:rsid w:val="000A6F82"/>
    <w:rsid w:val="000B7E91"/>
    <w:rsid w:val="000C441A"/>
    <w:rsid w:val="000D1DE3"/>
    <w:rsid w:val="000E05D0"/>
    <w:rsid w:val="000F41F2"/>
    <w:rsid w:val="001027F8"/>
    <w:rsid w:val="00103FD5"/>
    <w:rsid w:val="00137BED"/>
    <w:rsid w:val="00150769"/>
    <w:rsid w:val="00151D75"/>
    <w:rsid w:val="001563DD"/>
    <w:rsid w:val="00160540"/>
    <w:rsid w:val="00192EEB"/>
    <w:rsid w:val="001A20FB"/>
    <w:rsid w:val="001B102E"/>
    <w:rsid w:val="001B3731"/>
    <w:rsid w:val="001C3080"/>
    <w:rsid w:val="001D202E"/>
    <w:rsid w:val="001D32D8"/>
    <w:rsid w:val="001D3BB7"/>
    <w:rsid w:val="001D7F8A"/>
    <w:rsid w:val="001E3FEB"/>
    <w:rsid w:val="001E4A02"/>
    <w:rsid w:val="001F25C4"/>
    <w:rsid w:val="001F4248"/>
    <w:rsid w:val="001F528E"/>
    <w:rsid w:val="00212FCD"/>
    <w:rsid w:val="00225A8C"/>
    <w:rsid w:val="0025791E"/>
    <w:rsid w:val="002659F1"/>
    <w:rsid w:val="002852AB"/>
    <w:rsid w:val="00287E79"/>
    <w:rsid w:val="002928F9"/>
    <w:rsid w:val="00295228"/>
    <w:rsid w:val="002A5D07"/>
    <w:rsid w:val="002E0222"/>
    <w:rsid w:val="002E1A7F"/>
    <w:rsid w:val="003016B7"/>
    <w:rsid w:val="00314E3C"/>
    <w:rsid w:val="0034405A"/>
    <w:rsid w:val="003515AA"/>
    <w:rsid w:val="00363610"/>
    <w:rsid w:val="00365A84"/>
    <w:rsid w:val="00366F5B"/>
    <w:rsid w:val="00373A4C"/>
    <w:rsid w:val="00374106"/>
    <w:rsid w:val="003976D5"/>
    <w:rsid w:val="003A3615"/>
    <w:rsid w:val="003A37B4"/>
    <w:rsid w:val="003B478D"/>
    <w:rsid w:val="003B63EE"/>
    <w:rsid w:val="003D21D5"/>
    <w:rsid w:val="003D6C68"/>
    <w:rsid w:val="003F2FC1"/>
    <w:rsid w:val="00402695"/>
    <w:rsid w:val="00403A32"/>
    <w:rsid w:val="00407BD3"/>
    <w:rsid w:val="00411E54"/>
    <w:rsid w:val="00413931"/>
    <w:rsid w:val="004159D0"/>
    <w:rsid w:val="00416F55"/>
    <w:rsid w:val="00442FDC"/>
    <w:rsid w:val="00464EEE"/>
    <w:rsid w:val="00465DC2"/>
    <w:rsid w:val="00466441"/>
    <w:rsid w:val="004967E4"/>
    <w:rsid w:val="004A4045"/>
    <w:rsid w:val="004D4178"/>
    <w:rsid w:val="004E6FD0"/>
    <w:rsid w:val="005071EF"/>
    <w:rsid w:val="00513B34"/>
    <w:rsid w:val="00543D5E"/>
    <w:rsid w:val="00571F41"/>
    <w:rsid w:val="005822A8"/>
    <w:rsid w:val="005855BC"/>
    <w:rsid w:val="005A2552"/>
    <w:rsid w:val="005A3AE4"/>
    <w:rsid w:val="005A7883"/>
    <w:rsid w:val="005D1DC1"/>
    <w:rsid w:val="005E5D1F"/>
    <w:rsid w:val="00611D43"/>
    <w:rsid w:val="00612D48"/>
    <w:rsid w:val="00616B45"/>
    <w:rsid w:val="00620504"/>
    <w:rsid w:val="00630D9B"/>
    <w:rsid w:val="00631953"/>
    <w:rsid w:val="006439EC"/>
    <w:rsid w:val="0064711D"/>
    <w:rsid w:val="006531F5"/>
    <w:rsid w:val="00697ACA"/>
    <w:rsid w:val="006A2838"/>
    <w:rsid w:val="006B4590"/>
    <w:rsid w:val="006C2056"/>
    <w:rsid w:val="006C340C"/>
    <w:rsid w:val="006E72A6"/>
    <w:rsid w:val="006F0C02"/>
    <w:rsid w:val="006F60C6"/>
    <w:rsid w:val="0070347C"/>
    <w:rsid w:val="00711E39"/>
    <w:rsid w:val="0071451B"/>
    <w:rsid w:val="007176C1"/>
    <w:rsid w:val="007179F6"/>
    <w:rsid w:val="0072098F"/>
    <w:rsid w:val="00725DC9"/>
    <w:rsid w:val="00737DEE"/>
    <w:rsid w:val="00775D99"/>
    <w:rsid w:val="00796940"/>
    <w:rsid w:val="007A268C"/>
    <w:rsid w:val="007A7E0E"/>
    <w:rsid w:val="007C0943"/>
    <w:rsid w:val="007C7846"/>
    <w:rsid w:val="007F55CB"/>
    <w:rsid w:val="00806928"/>
    <w:rsid w:val="00810194"/>
    <w:rsid w:val="00844750"/>
    <w:rsid w:val="008614A5"/>
    <w:rsid w:val="00873B3C"/>
    <w:rsid w:val="008744D2"/>
    <w:rsid w:val="008920C5"/>
    <w:rsid w:val="00892241"/>
    <w:rsid w:val="008A39ED"/>
    <w:rsid w:val="008A521D"/>
    <w:rsid w:val="008B44C4"/>
    <w:rsid w:val="008E7FAE"/>
    <w:rsid w:val="008F53ED"/>
    <w:rsid w:val="00911BF7"/>
    <w:rsid w:val="00923CBB"/>
    <w:rsid w:val="00943FE1"/>
    <w:rsid w:val="00943FFD"/>
    <w:rsid w:val="00963251"/>
    <w:rsid w:val="00966772"/>
    <w:rsid w:val="00973EEF"/>
    <w:rsid w:val="00977EC8"/>
    <w:rsid w:val="00993DE6"/>
    <w:rsid w:val="0099608D"/>
    <w:rsid w:val="009A4D61"/>
    <w:rsid w:val="009C0F71"/>
    <w:rsid w:val="009D3A8C"/>
    <w:rsid w:val="009D49B6"/>
    <w:rsid w:val="009D6A30"/>
    <w:rsid w:val="009E3AAA"/>
    <w:rsid w:val="009E7956"/>
    <w:rsid w:val="00A228B4"/>
    <w:rsid w:val="00A2492E"/>
    <w:rsid w:val="00A67344"/>
    <w:rsid w:val="00A706B3"/>
    <w:rsid w:val="00A720C2"/>
    <w:rsid w:val="00A8064E"/>
    <w:rsid w:val="00AA3390"/>
    <w:rsid w:val="00AB51C8"/>
    <w:rsid w:val="00AC190E"/>
    <w:rsid w:val="00AC67A1"/>
    <w:rsid w:val="00AC7977"/>
    <w:rsid w:val="00AD0561"/>
    <w:rsid w:val="00AD12B6"/>
    <w:rsid w:val="00AE352C"/>
    <w:rsid w:val="00AF1CE8"/>
    <w:rsid w:val="00B02E95"/>
    <w:rsid w:val="00B13161"/>
    <w:rsid w:val="00B32E2D"/>
    <w:rsid w:val="00B57AFA"/>
    <w:rsid w:val="00B61990"/>
    <w:rsid w:val="00B670A7"/>
    <w:rsid w:val="00B93051"/>
    <w:rsid w:val="00BA7C7C"/>
    <w:rsid w:val="00BB7FA0"/>
    <w:rsid w:val="00BC46B8"/>
    <w:rsid w:val="00BD468D"/>
    <w:rsid w:val="00BD48C3"/>
    <w:rsid w:val="00BF0556"/>
    <w:rsid w:val="00C00F33"/>
    <w:rsid w:val="00C114FA"/>
    <w:rsid w:val="00C261F8"/>
    <w:rsid w:val="00C33100"/>
    <w:rsid w:val="00C33FE1"/>
    <w:rsid w:val="00C4083C"/>
    <w:rsid w:val="00C42F2E"/>
    <w:rsid w:val="00C813C0"/>
    <w:rsid w:val="00CA6A02"/>
    <w:rsid w:val="00CB0657"/>
    <w:rsid w:val="00CB5A09"/>
    <w:rsid w:val="00CC70D6"/>
    <w:rsid w:val="00CD1A71"/>
    <w:rsid w:val="00CD1FBB"/>
    <w:rsid w:val="00CD7C6E"/>
    <w:rsid w:val="00CE1D74"/>
    <w:rsid w:val="00CF5128"/>
    <w:rsid w:val="00CF75EB"/>
    <w:rsid w:val="00D016B5"/>
    <w:rsid w:val="00D034F1"/>
    <w:rsid w:val="00D146B4"/>
    <w:rsid w:val="00D15BAB"/>
    <w:rsid w:val="00D27D5E"/>
    <w:rsid w:val="00D35B2D"/>
    <w:rsid w:val="00D432F8"/>
    <w:rsid w:val="00D86748"/>
    <w:rsid w:val="00DA1775"/>
    <w:rsid w:val="00DA7CE4"/>
    <w:rsid w:val="00DB3BC7"/>
    <w:rsid w:val="00DC54A8"/>
    <w:rsid w:val="00DE20CB"/>
    <w:rsid w:val="00DE636A"/>
    <w:rsid w:val="00DE6D90"/>
    <w:rsid w:val="00DF002F"/>
    <w:rsid w:val="00DF3BF1"/>
    <w:rsid w:val="00E0244D"/>
    <w:rsid w:val="00E144C5"/>
    <w:rsid w:val="00E3194C"/>
    <w:rsid w:val="00E33226"/>
    <w:rsid w:val="00E368FF"/>
    <w:rsid w:val="00E43C0B"/>
    <w:rsid w:val="00E81E94"/>
    <w:rsid w:val="00E82607"/>
    <w:rsid w:val="00E928CF"/>
    <w:rsid w:val="00E97932"/>
    <w:rsid w:val="00EE2E44"/>
    <w:rsid w:val="00EF3AD5"/>
    <w:rsid w:val="00EF56C2"/>
    <w:rsid w:val="00F10289"/>
    <w:rsid w:val="00F33865"/>
    <w:rsid w:val="00F63751"/>
    <w:rsid w:val="00FA0EC9"/>
    <w:rsid w:val="00FA12C9"/>
    <w:rsid w:val="00FA5A79"/>
    <w:rsid w:val="00FB0BFE"/>
    <w:rsid w:val="00FB311A"/>
    <w:rsid w:val="00FB3B8F"/>
    <w:rsid w:val="00FB4C51"/>
    <w:rsid w:val="00FE542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qFormat/>
    <w:rsid w:val="004E6FD0"/>
    <w:rPr>
      <w:rFonts w:ascii="Times New Roman" w:hAnsi="Times New Roman"/>
      <w:sz w:val="18"/>
      <w:vertAlign w:val="superscript"/>
    </w:rPr>
  </w:style>
  <w:style w:type="character" w:styleId="EndnoteReference">
    <w:name w:val="endnote reference"/>
    <w:aliases w:val="1_G"/>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4E6FD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rsid w:val="001F4248"/>
    <w:rPr>
      <w:rFonts w:eastAsia="SimSun"/>
      <w:sz w:val="18"/>
      <w:lang w:val="en-GB"/>
    </w:rPr>
  </w:style>
  <w:style w:type="paragraph" w:styleId="BalloonText">
    <w:name w:val="Balloon Text"/>
    <w:basedOn w:val="Normal"/>
    <w:link w:val="BalloonTextChar"/>
    <w:rsid w:val="001D3BB7"/>
    <w:pPr>
      <w:spacing w:line="240" w:lineRule="auto"/>
    </w:pPr>
    <w:rPr>
      <w:rFonts w:ascii="Tahoma" w:hAnsi="Tahoma"/>
      <w:sz w:val="16"/>
      <w:szCs w:val="16"/>
    </w:rPr>
  </w:style>
  <w:style w:type="character" w:customStyle="1" w:styleId="BalloonTextChar">
    <w:name w:val="Balloon Text Char"/>
    <w:link w:val="BalloonText"/>
    <w:rsid w:val="001D3BB7"/>
    <w:rPr>
      <w:rFonts w:ascii="Tahoma" w:hAnsi="Tahoma" w:cs="Tahoma"/>
      <w:sz w:val="16"/>
      <w:szCs w:val="16"/>
      <w:lang w:val="fr-CH" w:eastAsia="en-US"/>
    </w:rPr>
  </w:style>
  <w:style w:type="paragraph" w:customStyle="1" w:styleId="ParNoG">
    <w:name w:val="_ParNo_G"/>
    <w:basedOn w:val="SingleTxtG"/>
    <w:rsid w:val="00465DC2"/>
    <w:pPr>
      <w:numPr>
        <w:numId w:val="5"/>
      </w:numPr>
    </w:pPr>
  </w:style>
  <w:style w:type="character" w:customStyle="1" w:styleId="SingleTxtGChar">
    <w:name w:val="_ Single Txt_G Char"/>
    <w:link w:val="SingleTxtG"/>
    <w:locked/>
    <w:rsid w:val="00465DC2"/>
    <w:rPr>
      <w:lang w:val="fr-CH" w:eastAsia="en-US"/>
    </w:rPr>
  </w:style>
  <w:style w:type="character" w:styleId="CommentReference">
    <w:name w:val="annotation reference"/>
    <w:rsid w:val="00DE636A"/>
    <w:rPr>
      <w:sz w:val="16"/>
      <w:szCs w:val="16"/>
    </w:rPr>
  </w:style>
  <w:style w:type="paragraph" w:styleId="CommentText">
    <w:name w:val="annotation text"/>
    <w:basedOn w:val="Normal"/>
    <w:link w:val="CommentTextChar"/>
    <w:rsid w:val="00DE636A"/>
  </w:style>
  <w:style w:type="character" w:customStyle="1" w:styleId="CommentTextChar">
    <w:name w:val="Comment Text Char"/>
    <w:link w:val="CommentText"/>
    <w:rsid w:val="00DE636A"/>
    <w:rPr>
      <w:lang w:val="fr-CH" w:eastAsia="en-US"/>
    </w:rPr>
  </w:style>
  <w:style w:type="paragraph" w:styleId="CommentSubject">
    <w:name w:val="annotation subject"/>
    <w:basedOn w:val="CommentText"/>
    <w:next w:val="CommentText"/>
    <w:link w:val="CommentSubjectChar"/>
    <w:rsid w:val="00DE636A"/>
    <w:rPr>
      <w:b/>
      <w:bCs/>
    </w:rPr>
  </w:style>
  <w:style w:type="character" w:customStyle="1" w:styleId="CommentSubjectChar">
    <w:name w:val="Comment Subject Char"/>
    <w:link w:val="CommentSubject"/>
    <w:rsid w:val="00DE636A"/>
    <w:rPr>
      <w:b/>
      <w:bCs/>
      <w:lang w:val="fr-CH" w:eastAsia="en-US"/>
    </w:rPr>
  </w:style>
  <w:style w:type="paragraph" w:styleId="Revision">
    <w:name w:val="Revision"/>
    <w:hidden/>
    <w:uiPriority w:val="99"/>
    <w:semiHidden/>
    <w:rsid w:val="00DE636A"/>
    <w:rPr>
      <w:lang w:val="fr-CH"/>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CCPR_F.dotm</Template>
  <TotalTime>0</TotalTime>
  <Pages>7</Pages>
  <Words>2480</Words>
  <Characters>13643</Characters>
  <Application>Microsoft Office Outlook</Application>
  <DocSecurity>4</DocSecurity>
  <Lines>113</Lines>
  <Paragraphs>32</Paragraphs>
  <ScaleCrop>false</ScaleCrop>
  <HeadingPairs>
    <vt:vector size="2" baseType="variant">
      <vt:variant>
        <vt:lpstr>Titre</vt:lpstr>
      </vt:variant>
      <vt:variant>
        <vt:i4>1</vt:i4>
      </vt:variant>
    </vt:vector>
  </HeadingPairs>
  <TitlesOfParts>
    <vt:vector size="1" baseType="lpstr">
      <vt:lpstr>Nations Unies</vt:lpstr>
    </vt:vector>
  </TitlesOfParts>
  <Company>CSD</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temp Neogi</dc:creator>
  <cp:keywords/>
  <cp:lastModifiedBy>Crelier</cp:lastModifiedBy>
  <cp:revision>2</cp:revision>
  <cp:lastPrinted>2014-10-13T11:05:00Z</cp:lastPrinted>
  <dcterms:created xsi:type="dcterms:W3CDTF">2014-11-03T14:51:00Z</dcterms:created>
  <dcterms:modified xsi:type="dcterms:W3CDTF">2014-11-03T14:51:00Z</dcterms:modified>
</cp:coreProperties>
</file>