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7D3553">
                <w:t>C/111/D/1985/2010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fldSimple w:instr=" FILLIN  &quot;Введите дату документа&quot; \* MERGEFORMAT ">
              <w:r w:rsidR="007D3553">
                <w:rPr>
                  <w:lang w:val="en-US"/>
                </w:rPr>
                <w:t>26 August 2014</w:t>
              </w:r>
            </w:fldSimple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7D3553" w:rsidRPr="007D3553" w:rsidRDefault="007D3553" w:rsidP="007D3553">
      <w:pPr>
        <w:spacing w:before="120"/>
        <w:rPr>
          <w:b/>
          <w:sz w:val="24"/>
          <w:szCs w:val="24"/>
          <w:lang w:val="en-US"/>
        </w:rPr>
      </w:pPr>
      <w:r w:rsidRPr="007D3553">
        <w:rPr>
          <w:b/>
          <w:sz w:val="24"/>
          <w:szCs w:val="24"/>
          <w:lang w:val="en-US"/>
        </w:rPr>
        <w:t>Комитет по правам человека</w:t>
      </w:r>
    </w:p>
    <w:p w:rsidR="007D3553" w:rsidRPr="007D3553" w:rsidRDefault="007D3553" w:rsidP="007D3553">
      <w:pPr>
        <w:pStyle w:val="HChGR"/>
      </w:pPr>
      <w:r w:rsidRPr="007D3553">
        <w:rPr>
          <w:lang w:val="en-US"/>
        </w:rPr>
        <w:tab/>
      </w:r>
      <w:r w:rsidRPr="007D3553">
        <w:rPr>
          <w:lang w:val="en-US"/>
        </w:rPr>
        <w:tab/>
      </w:r>
      <w:r w:rsidRPr="007D3553">
        <w:t>Сообщение № 1985/2010</w:t>
      </w:r>
    </w:p>
    <w:p w:rsidR="007D3553" w:rsidRPr="007D3553" w:rsidRDefault="007D3553" w:rsidP="007D3553">
      <w:pPr>
        <w:pStyle w:val="H1GR"/>
      </w:pPr>
      <w:r w:rsidRPr="007D3553">
        <w:tab/>
      </w:r>
      <w:r w:rsidRPr="007D3553">
        <w:tab/>
        <w:t xml:space="preserve">Соображения, принятые Комитетом на его 111-й сессии </w:t>
      </w:r>
      <w:r w:rsidRPr="007D3553">
        <w:br/>
        <w:t>(7−25 июля 2014 года)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3"/>
        <w:gridCol w:w="3871"/>
      </w:tblGrid>
      <w:tr w:rsidR="007D3553" w:rsidRPr="00001A5A" w:rsidTr="007031B0">
        <w:tc>
          <w:tcPr>
            <w:tcW w:w="2933" w:type="dxa"/>
          </w:tcPr>
          <w:p w:rsidR="007D3553" w:rsidRPr="00CB613D" w:rsidRDefault="007D3553" w:rsidP="007031B0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Представлено:</w:t>
            </w:r>
          </w:p>
        </w:tc>
        <w:tc>
          <w:tcPr>
            <w:tcW w:w="3871" w:type="dxa"/>
          </w:tcPr>
          <w:p w:rsidR="007D3553" w:rsidRPr="00001A5A" w:rsidRDefault="007D3553" w:rsidP="007031B0">
            <w:pPr>
              <w:spacing w:after="120"/>
            </w:pPr>
            <w:r w:rsidRPr="007D3553">
              <w:t>Марина Коктыш (адвокатом не представлена)</w:t>
            </w:r>
          </w:p>
        </w:tc>
      </w:tr>
      <w:tr w:rsidR="007D3553" w:rsidTr="007031B0">
        <w:tc>
          <w:tcPr>
            <w:tcW w:w="2933" w:type="dxa"/>
          </w:tcPr>
          <w:p w:rsidR="007D3553" w:rsidRPr="00CB613D" w:rsidRDefault="007D3553" w:rsidP="007031B0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</w:tcPr>
          <w:p w:rsidR="007D3553" w:rsidRDefault="007D3553" w:rsidP="007031B0">
            <w:pPr>
              <w:spacing w:after="120"/>
            </w:pPr>
            <w:r w:rsidRPr="007D3553">
              <w:t>автор</w:t>
            </w:r>
          </w:p>
        </w:tc>
      </w:tr>
      <w:tr w:rsidR="007D3553" w:rsidTr="007031B0">
        <w:tc>
          <w:tcPr>
            <w:tcW w:w="2933" w:type="dxa"/>
          </w:tcPr>
          <w:p w:rsidR="007D3553" w:rsidRPr="00CB613D" w:rsidRDefault="007D3553" w:rsidP="007031B0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871" w:type="dxa"/>
          </w:tcPr>
          <w:p w:rsidR="007D3553" w:rsidRDefault="007D3553" w:rsidP="007031B0">
            <w:pPr>
              <w:spacing w:after="120"/>
            </w:pPr>
            <w:r w:rsidRPr="007D3553">
              <w:t>Беларусь</w:t>
            </w:r>
          </w:p>
        </w:tc>
      </w:tr>
      <w:tr w:rsidR="007D3553" w:rsidTr="007031B0">
        <w:tc>
          <w:tcPr>
            <w:tcW w:w="2933" w:type="dxa"/>
          </w:tcPr>
          <w:p w:rsidR="007D3553" w:rsidRPr="00CB613D" w:rsidRDefault="007D3553" w:rsidP="007031B0">
            <w:pPr>
              <w:spacing w:after="120"/>
              <w:rPr>
                <w:i/>
              </w:rPr>
            </w:pPr>
            <w:r w:rsidRPr="007D3553">
              <w:rPr>
                <w:i/>
              </w:rPr>
              <w:t>Дата представления сообщения:</w:t>
            </w:r>
          </w:p>
        </w:tc>
        <w:tc>
          <w:tcPr>
            <w:tcW w:w="3871" w:type="dxa"/>
          </w:tcPr>
          <w:p w:rsidR="007D3553" w:rsidRPr="007D3553" w:rsidRDefault="000D14BE" w:rsidP="007031B0">
            <w:pPr>
              <w:spacing w:after="120"/>
            </w:pPr>
            <w:r w:rsidRPr="007D3553">
              <w:t>4 мая 2010 года (первоначальное представление)</w:t>
            </w:r>
          </w:p>
        </w:tc>
      </w:tr>
      <w:tr w:rsidR="007D3553" w:rsidTr="007031B0">
        <w:tc>
          <w:tcPr>
            <w:tcW w:w="2933" w:type="dxa"/>
          </w:tcPr>
          <w:p w:rsidR="007D3553" w:rsidRPr="00CB613D" w:rsidRDefault="000D14BE" w:rsidP="007031B0">
            <w:pPr>
              <w:spacing w:after="120"/>
              <w:rPr>
                <w:i/>
              </w:rPr>
            </w:pPr>
            <w:r w:rsidRPr="000D14BE">
              <w:rPr>
                <w:i/>
              </w:rPr>
              <w:t>Справочные документы:</w:t>
            </w:r>
          </w:p>
        </w:tc>
        <w:tc>
          <w:tcPr>
            <w:tcW w:w="3871" w:type="dxa"/>
          </w:tcPr>
          <w:p w:rsidR="007D3553" w:rsidRDefault="000D14BE" w:rsidP="007031B0">
            <w:pPr>
              <w:spacing w:after="120"/>
            </w:pPr>
            <w:r w:rsidRPr="007D3553">
              <w:t>ре</w:t>
            </w:r>
            <w:r>
              <w:t>шение Специального докладчика в</w:t>
            </w:r>
            <w:r>
              <w:rPr>
                <w:lang w:val="en-US"/>
              </w:rPr>
              <w:t> </w:t>
            </w:r>
            <w:r w:rsidRPr="007D3553">
              <w:t>соответствии с правилом 97 правил процедуры, препровожденное государству-участнику 27 сентября 2010</w:t>
            </w:r>
            <w:r>
              <w:rPr>
                <w:lang w:val="en-US"/>
              </w:rPr>
              <w:t> </w:t>
            </w:r>
            <w:r w:rsidRPr="007D3553">
              <w:t>года (в виде документа не издавалось)</w:t>
            </w:r>
          </w:p>
        </w:tc>
      </w:tr>
      <w:tr w:rsidR="007D3553" w:rsidTr="007031B0">
        <w:tc>
          <w:tcPr>
            <w:tcW w:w="2933" w:type="dxa"/>
          </w:tcPr>
          <w:p w:rsidR="007D3553" w:rsidRPr="00CB613D" w:rsidRDefault="007D3553" w:rsidP="007031B0">
            <w:pPr>
              <w:spacing w:after="120"/>
              <w:rPr>
                <w:i/>
              </w:rPr>
            </w:pPr>
            <w:r>
              <w:rPr>
                <w:i/>
              </w:rPr>
              <w:t>Дата принятия C</w:t>
            </w:r>
            <w:r w:rsidRPr="00CB613D">
              <w:rPr>
                <w:i/>
              </w:rPr>
              <w:t>оображений:</w:t>
            </w:r>
          </w:p>
        </w:tc>
        <w:tc>
          <w:tcPr>
            <w:tcW w:w="3871" w:type="dxa"/>
            <w:vAlign w:val="bottom"/>
          </w:tcPr>
          <w:p w:rsidR="007D3553" w:rsidRDefault="000D14BE" w:rsidP="007031B0">
            <w:pPr>
              <w:spacing w:after="120"/>
            </w:pPr>
            <w:r w:rsidRPr="007D3553">
              <w:t>24 июля 2014 года</w:t>
            </w:r>
          </w:p>
        </w:tc>
      </w:tr>
      <w:tr w:rsidR="000D14BE" w:rsidTr="007031B0">
        <w:tc>
          <w:tcPr>
            <w:tcW w:w="2933" w:type="dxa"/>
          </w:tcPr>
          <w:p w:rsidR="000D14BE" w:rsidRPr="00CB613D" w:rsidRDefault="000D14BE" w:rsidP="007031B0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Вопросы существа:</w:t>
            </w:r>
          </w:p>
        </w:tc>
        <w:tc>
          <w:tcPr>
            <w:tcW w:w="3871" w:type="dxa"/>
          </w:tcPr>
          <w:p w:rsidR="000D14BE" w:rsidRDefault="000D14BE" w:rsidP="007031B0">
            <w:pPr>
              <w:spacing w:after="120"/>
            </w:pPr>
            <w:r w:rsidRPr="007D3553">
              <w:t>сво</w:t>
            </w:r>
            <w:r>
              <w:t>бода выражения мнений; доступ к</w:t>
            </w:r>
            <w:r>
              <w:rPr>
                <w:lang w:val="en-US"/>
              </w:rPr>
              <w:t> </w:t>
            </w:r>
            <w:r w:rsidRPr="007D3553">
              <w:t>суду; равенство перед законом; недискриминация</w:t>
            </w:r>
          </w:p>
        </w:tc>
      </w:tr>
      <w:tr w:rsidR="007D3553" w:rsidTr="007031B0">
        <w:tc>
          <w:tcPr>
            <w:tcW w:w="2933" w:type="dxa"/>
          </w:tcPr>
          <w:p w:rsidR="007D3553" w:rsidRPr="00CB613D" w:rsidRDefault="000D14BE" w:rsidP="007031B0">
            <w:pPr>
              <w:spacing w:after="120"/>
              <w:rPr>
                <w:i/>
                <w:iCs/>
              </w:rPr>
            </w:pPr>
            <w:r w:rsidRPr="000D14BE">
              <w:rPr>
                <w:i/>
                <w:iCs/>
              </w:rPr>
              <w:t>Вопросы процедуры:</w:t>
            </w:r>
          </w:p>
        </w:tc>
        <w:tc>
          <w:tcPr>
            <w:tcW w:w="3871" w:type="dxa"/>
          </w:tcPr>
          <w:p w:rsidR="007D3553" w:rsidRDefault="000D14BE" w:rsidP="007031B0">
            <w:pPr>
              <w:spacing w:after="120"/>
            </w:pPr>
            <w:r w:rsidRPr="007D3553">
              <w:t>исчерпание внутренних средств правовой защиты; обоснованность утвержд</w:t>
            </w:r>
            <w:r w:rsidRPr="007D3553">
              <w:t>е</w:t>
            </w:r>
            <w:r w:rsidRPr="007D3553">
              <w:t>ний</w:t>
            </w:r>
          </w:p>
        </w:tc>
      </w:tr>
      <w:tr w:rsidR="007D3553" w:rsidTr="007031B0">
        <w:tc>
          <w:tcPr>
            <w:tcW w:w="2933" w:type="dxa"/>
          </w:tcPr>
          <w:p w:rsidR="007D3553" w:rsidRPr="00CB613D" w:rsidRDefault="007D3553" w:rsidP="007031B0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Статьи Пакта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7D3553" w:rsidRDefault="000D14BE" w:rsidP="007031B0">
            <w:pPr>
              <w:spacing w:after="120"/>
            </w:pPr>
            <w:r w:rsidRPr="007D3553">
              <w:t>14 (пункт 1), 19, рассматриваемая самостоятельно или в связи с 2 (пункт 3) и 26</w:t>
            </w:r>
          </w:p>
        </w:tc>
      </w:tr>
      <w:tr w:rsidR="007D3553" w:rsidTr="007031B0">
        <w:tc>
          <w:tcPr>
            <w:tcW w:w="2933" w:type="dxa"/>
          </w:tcPr>
          <w:p w:rsidR="007D3553" w:rsidRPr="00CB613D" w:rsidRDefault="007D3553" w:rsidP="007031B0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Ста</w:t>
            </w:r>
            <w:r>
              <w:rPr>
                <w:i/>
                <w:iCs/>
              </w:rPr>
              <w:t>т</w:t>
            </w:r>
            <w:r w:rsidRPr="00CB613D">
              <w:rPr>
                <w:i/>
                <w:iCs/>
              </w:rPr>
              <w:t>ьи Факультативного протокола:</w:t>
            </w:r>
          </w:p>
        </w:tc>
        <w:tc>
          <w:tcPr>
            <w:tcW w:w="3871" w:type="dxa"/>
          </w:tcPr>
          <w:p w:rsidR="007D3553" w:rsidRDefault="000D14BE" w:rsidP="007031B0">
            <w:pPr>
              <w:spacing w:after="120"/>
            </w:pPr>
            <w:r w:rsidRPr="007D3553">
              <w:t xml:space="preserve">2 и 5 (пункт 2 </w:t>
            </w:r>
            <w:r w:rsidRPr="007D3553">
              <w:rPr>
                <w:lang w:val="en-US"/>
              </w:rPr>
              <w:t>b</w:t>
            </w:r>
            <w:r w:rsidRPr="007D3553">
              <w:t>))</w:t>
            </w:r>
          </w:p>
        </w:tc>
      </w:tr>
    </w:tbl>
    <w:p w:rsidR="007D3553" w:rsidRPr="007D3553" w:rsidRDefault="000D14BE" w:rsidP="000D14BE">
      <w:pPr>
        <w:pStyle w:val="HChGR"/>
      </w:pPr>
      <w:r>
        <w:br w:type="page"/>
      </w:r>
      <w:r w:rsidR="007D3553" w:rsidRPr="007D3553">
        <w:t>Приложение</w:t>
      </w:r>
    </w:p>
    <w:p w:rsidR="007D3553" w:rsidRPr="007D3553" w:rsidRDefault="007D3553" w:rsidP="000D14BE">
      <w:pPr>
        <w:pStyle w:val="HChGR"/>
      </w:pPr>
      <w:r w:rsidRPr="007D3553">
        <w:tab/>
      </w:r>
      <w:r w:rsidRPr="007D3553">
        <w:tab/>
        <w:t>Соображени</w:t>
      </w:r>
      <w:r w:rsidR="000D14BE">
        <w:t>я Комитета по правам человека в</w:t>
      </w:r>
      <w:r w:rsidR="000D14BE">
        <w:rPr>
          <w:lang w:val="en-US"/>
        </w:rPr>
        <w:t> </w:t>
      </w:r>
      <w:r w:rsidRPr="007D3553">
        <w:t>соответствии с пунктом 4 статьи 5 Факультативного протокола к Между</w:t>
      </w:r>
      <w:r w:rsidR="000D14BE">
        <w:t>народному пакту о гражданских и</w:t>
      </w:r>
      <w:r w:rsidR="000D14BE">
        <w:rPr>
          <w:lang w:val="en-US"/>
        </w:rPr>
        <w:t> </w:t>
      </w:r>
      <w:r w:rsidRPr="007D3553">
        <w:t>политических правах (111-я сессия)</w:t>
      </w:r>
    </w:p>
    <w:p w:rsidR="007D3553" w:rsidRPr="007D3553" w:rsidRDefault="007D3553" w:rsidP="00CD64AA">
      <w:pPr>
        <w:pStyle w:val="SingleTxtGR"/>
      </w:pPr>
      <w:r w:rsidRPr="007D3553">
        <w:t>относительно</w:t>
      </w:r>
    </w:p>
    <w:p w:rsidR="007D3553" w:rsidRPr="007D3553" w:rsidRDefault="007D3553" w:rsidP="00CD64AA">
      <w:pPr>
        <w:pStyle w:val="H1GR"/>
      </w:pPr>
      <w:r w:rsidRPr="007D3553">
        <w:tab/>
      </w:r>
      <w:r w:rsidRPr="007D3553">
        <w:tab/>
        <w:t>Сообщени</w:t>
      </w:r>
      <w:r w:rsidR="00CD64AA">
        <w:t>я</w:t>
      </w:r>
      <w:r w:rsidRPr="007D3553">
        <w:t xml:space="preserve"> № 1985/2010</w:t>
      </w:r>
      <w:r w:rsidR="00CD64AA" w:rsidRPr="00CD64AA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3"/>
        <w:gridCol w:w="3871"/>
      </w:tblGrid>
      <w:tr w:rsidR="00CD64AA" w:rsidRPr="00001A5A" w:rsidTr="007031B0">
        <w:tc>
          <w:tcPr>
            <w:tcW w:w="2933" w:type="dxa"/>
          </w:tcPr>
          <w:p w:rsidR="00CD64AA" w:rsidRPr="00CB613D" w:rsidRDefault="00CD64AA" w:rsidP="007031B0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Представлено:</w:t>
            </w:r>
          </w:p>
        </w:tc>
        <w:tc>
          <w:tcPr>
            <w:tcW w:w="3871" w:type="dxa"/>
          </w:tcPr>
          <w:p w:rsidR="00CD64AA" w:rsidRPr="00001A5A" w:rsidRDefault="00CD64AA" w:rsidP="007031B0">
            <w:pPr>
              <w:spacing w:after="120"/>
            </w:pPr>
            <w:r w:rsidRPr="007D3553">
              <w:t>Марина Коктыш (адвокатом не представлена)</w:t>
            </w:r>
          </w:p>
        </w:tc>
      </w:tr>
      <w:tr w:rsidR="00CD64AA" w:rsidTr="007031B0">
        <w:tc>
          <w:tcPr>
            <w:tcW w:w="2933" w:type="dxa"/>
          </w:tcPr>
          <w:p w:rsidR="00CD64AA" w:rsidRPr="00CB613D" w:rsidRDefault="00CD64AA" w:rsidP="007031B0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</w:tcPr>
          <w:p w:rsidR="00CD64AA" w:rsidRDefault="00CD64AA" w:rsidP="007031B0">
            <w:pPr>
              <w:spacing w:after="120"/>
            </w:pPr>
            <w:r w:rsidRPr="007D3553">
              <w:t>автор</w:t>
            </w:r>
          </w:p>
        </w:tc>
      </w:tr>
      <w:tr w:rsidR="00CD64AA" w:rsidTr="007031B0">
        <w:tc>
          <w:tcPr>
            <w:tcW w:w="2933" w:type="dxa"/>
          </w:tcPr>
          <w:p w:rsidR="00CD64AA" w:rsidRPr="00CB613D" w:rsidRDefault="00CD64AA" w:rsidP="007031B0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871" w:type="dxa"/>
          </w:tcPr>
          <w:p w:rsidR="00CD64AA" w:rsidRDefault="00CD64AA" w:rsidP="007031B0">
            <w:pPr>
              <w:spacing w:after="120"/>
            </w:pPr>
            <w:r w:rsidRPr="007D3553">
              <w:t>Беларусь</w:t>
            </w:r>
          </w:p>
        </w:tc>
      </w:tr>
      <w:tr w:rsidR="00CD64AA" w:rsidTr="007031B0">
        <w:tc>
          <w:tcPr>
            <w:tcW w:w="2933" w:type="dxa"/>
          </w:tcPr>
          <w:p w:rsidR="00CD64AA" w:rsidRPr="00CB613D" w:rsidRDefault="00CD64AA" w:rsidP="007031B0">
            <w:pPr>
              <w:spacing w:after="120"/>
              <w:rPr>
                <w:i/>
              </w:rPr>
            </w:pPr>
            <w:r w:rsidRPr="007D3553">
              <w:rPr>
                <w:i/>
              </w:rPr>
              <w:t>Дата представления сообщения:</w:t>
            </w:r>
          </w:p>
        </w:tc>
        <w:tc>
          <w:tcPr>
            <w:tcW w:w="3871" w:type="dxa"/>
          </w:tcPr>
          <w:p w:rsidR="00CD64AA" w:rsidRPr="007D3553" w:rsidRDefault="00CD64AA" w:rsidP="007031B0">
            <w:pPr>
              <w:spacing w:after="120"/>
            </w:pPr>
            <w:r w:rsidRPr="007D3553">
              <w:t>4 мая 2010 года (первоначальное представление)</w:t>
            </w:r>
          </w:p>
        </w:tc>
      </w:tr>
    </w:tbl>
    <w:p w:rsidR="007D3553" w:rsidRPr="007D3553" w:rsidRDefault="007D3553" w:rsidP="007D3553">
      <w:pPr>
        <w:pStyle w:val="SingleTxtGR"/>
      </w:pPr>
      <w:r w:rsidRPr="007D3553">
        <w:tab/>
      </w:r>
      <w:r w:rsidRPr="00CD64AA">
        <w:rPr>
          <w:i/>
        </w:rPr>
        <w:t>Комитет по правам человека</w:t>
      </w:r>
      <w:r w:rsidRPr="007D3553">
        <w:t xml:space="preserve">, учрежденный в соответствии со статьей 28 Международного пакта о гражданских и политических правах, </w:t>
      </w:r>
    </w:p>
    <w:p w:rsidR="007D3553" w:rsidRPr="007D3553" w:rsidRDefault="007D3553" w:rsidP="007D3553">
      <w:pPr>
        <w:pStyle w:val="SingleTxtGR"/>
      </w:pPr>
      <w:r w:rsidRPr="007D3553">
        <w:tab/>
      </w:r>
      <w:r w:rsidRPr="00CD64AA">
        <w:rPr>
          <w:i/>
        </w:rPr>
        <w:t>на своем заседании</w:t>
      </w:r>
      <w:r w:rsidRPr="007D3553">
        <w:t xml:space="preserve"> 24 июля 2014 года,</w:t>
      </w:r>
    </w:p>
    <w:p w:rsidR="007D3553" w:rsidRPr="007D3553" w:rsidRDefault="007D3553" w:rsidP="007D3553">
      <w:pPr>
        <w:pStyle w:val="SingleTxtGR"/>
      </w:pPr>
      <w:r w:rsidRPr="007D3553">
        <w:tab/>
      </w:r>
      <w:r w:rsidRPr="00CD64AA">
        <w:rPr>
          <w:i/>
        </w:rPr>
        <w:t>завершив</w:t>
      </w:r>
      <w:r w:rsidRPr="007D3553">
        <w:t xml:space="preserve"> рассмотрение сообщения № 1985/2010, представленного Ком</w:t>
      </w:r>
      <w:r w:rsidRPr="007D3553">
        <w:t>и</w:t>
      </w:r>
      <w:r w:rsidRPr="007D3553">
        <w:t>тету по правам человека Мариной Коктыш в соответствии с Факультативным протоколом к Международному пакту о гражданских и политических правах,</w:t>
      </w:r>
    </w:p>
    <w:p w:rsidR="007D3553" w:rsidRPr="007D3553" w:rsidRDefault="007D3553" w:rsidP="007D3553">
      <w:pPr>
        <w:pStyle w:val="SingleTxtGR"/>
      </w:pPr>
      <w:r w:rsidRPr="007D3553">
        <w:tab/>
      </w:r>
      <w:r w:rsidRPr="00CD64AA">
        <w:rPr>
          <w:i/>
        </w:rPr>
        <w:t>приняв во внимание</w:t>
      </w:r>
      <w:r w:rsidRPr="007D3553">
        <w:t xml:space="preserve"> всю письменную информацию, представленную ему автором сообщения и государством-участником,</w:t>
      </w:r>
    </w:p>
    <w:p w:rsidR="007D3553" w:rsidRPr="007D3553" w:rsidRDefault="007D3553" w:rsidP="007D3553">
      <w:pPr>
        <w:pStyle w:val="SingleTxtGR"/>
      </w:pPr>
      <w:r w:rsidRPr="007D3553">
        <w:tab/>
      </w:r>
      <w:r w:rsidRPr="00CD64AA">
        <w:rPr>
          <w:i/>
        </w:rPr>
        <w:t>принимает</w:t>
      </w:r>
      <w:r w:rsidRPr="007D3553">
        <w:t xml:space="preserve"> следующие:</w:t>
      </w:r>
    </w:p>
    <w:p w:rsidR="007D3553" w:rsidRPr="007D3553" w:rsidRDefault="007D3553" w:rsidP="007031B0">
      <w:pPr>
        <w:pStyle w:val="H1GR"/>
      </w:pPr>
      <w:r w:rsidRPr="007D3553">
        <w:tab/>
      </w:r>
      <w:r w:rsidRPr="007D3553">
        <w:tab/>
      </w:r>
      <w:r w:rsidRPr="007D3553">
        <w:rPr>
          <w:lang w:val="en-US"/>
        </w:rPr>
        <w:t>C</w:t>
      </w:r>
      <w:r w:rsidRPr="007D3553">
        <w:t>оображения в соответствии с пунктом 4 статьи 5 Факультативного протокола</w:t>
      </w:r>
    </w:p>
    <w:p w:rsidR="007D3553" w:rsidRPr="007D3553" w:rsidRDefault="007031B0" w:rsidP="007D3553">
      <w:pPr>
        <w:pStyle w:val="SingleTxtGR"/>
      </w:pPr>
      <w:r>
        <w:t>1.</w:t>
      </w:r>
      <w:r w:rsidR="007D3553" w:rsidRPr="007D3553">
        <w:tab/>
        <w:t>Автором сообщения является Марина Коктыш, гражданка Беларуси, р</w:t>
      </w:r>
      <w:r w:rsidR="007D3553" w:rsidRPr="007D3553">
        <w:t>о</w:t>
      </w:r>
      <w:r w:rsidR="007D3553" w:rsidRPr="007D3553">
        <w:t>дившаяся в 1977 году. Она утверждает, что является жертвой нарушения Бел</w:t>
      </w:r>
      <w:r w:rsidR="007D3553" w:rsidRPr="007D3553">
        <w:t>а</w:t>
      </w:r>
      <w:r w:rsidR="007D3553" w:rsidRPr="007D3553">
        <w:t>русью ее прав, закрепленных в пункте 1 статьи 14; статье 19, рассматриваемой отдельно или в совокупности со статьей 2, пункт 3; и статье 26 Международн</w:t>
      </w:r>
      <w:r w:rsidR="007D3553" w:rsidRPr="007D3553">
        <w:t>о</w:t>
      </w:r>
      <w:r w:rsidR="007D3553" w:rsidRPr="007D3553">
        <w:t>го пакта о гражданских и политических правах</w:t>
      </w:r>
      <w:r>
        <w:rPr>
          <w:rStyle w:val="FootnoteReference"/>
        </w:rPr>
        <w:footnoteReference w:id="2"/>
      </w:r>
      <w:r w:rsidR="007D3553" w:rsidRPr="007D3553">
        <w:t>. Автор не представлен адвок</w:t>
      </w:r>
      <w:r w:rsidR="007D3553" w:rsidRPr="007D3553">
        <w:t>а</w:t>
      </w:r>
      <w:r w:rsidR="007D3553" w:rsidRPr="007D3553">
        <w:t xml:space="preserve">том. </w:t>
      </w:r>
    </w:p>
    <w:p w:rsidR="007D3553" w:rsidRPr="007D3553" w:rsidRDefault="007D3553" w:rsidP="0044158E">
      <w:pPr>
        <w:pStyle w:val="H23GR"/>
      </w:pPr>
      <w:r w:rsidRPr="007D3553">
        <w:tab/>
      </w:r>
      <w:r w:rsidRPr="007D3553">
        <w:tab/>
        <w:t>Факты в изложении автора</w:t>
      </w:r>
    </w:p>
    <w:p w:rsidR="007D3553" w:rsidRPr="007D3553" w:rsidRDefault="007D3553" w:rsidP="007D3553">
      <w:pPr>
        <w:pStyle w:val="SingleTxtGR"/>
      </w:pPr>
      <w:r w:rsidRPr="007D3553">
        <w:t>2.1</w:t>
      </w:r>
      <w:r w:rsidR="007031B0">
        <w:tab/>
      </w:r>
      <w:r w:rsidRPr="007D3553">
        <w:t xml:space="preserve">Автор является журналистом независимой газеты "Народная воля". </w:t>
      </w:r>
      <w:r w:rsidR="007031B0">
        <w:t>26 </w:t>
      </w:r>
      <w:r w:rsidRPr="007D3553">
        <w:t>ноября 2008 года главный редактор издания направил заявку об аккредит</w:t>
      </w:r>
      <w:r w:rsidRPr="007D3553">
        <w:t>а</w:t>
      </w:r>
      <w:r w:rsidRPr="007D3553">
        <w:t>ции автора сообщения при Палате представителей государства-участника, чт</w:t>
      </w:r>
      <w:r w:rsidRPr="007D3553">
        <w:t>о</w:t>
      </w:r>
      <w:r w:rsidRPr="007D3553">
        <w:t>бы позволить ей освещать работу Палаты представителей. 31 декабря 2008 года заместитель начальника Секретариата Палаты представителей проинформир</w:t>
      </w:r>
      <w:r w:rsidRPr="007D3553">
        <w:t>о</w:t>
      </w:r>
      <w:r w:rsidRPr="007D3553">
        <w:t>вал главного редактора, что заявка была направлена в соответствующие службы для получения допуска на территорию административн</w:t>
      </w:r>
      <w:r w:rsidR="007031B0">
        <w:t>ого комплекса "</w:t>
      </w:r>
      <w:r w:rsidRPr="007D3553">
        <w:t>Сове</w:t>
      </w:r>
      <w:r w:rsidRPr="007D3553">
        <w:t>т</w:t>
      </w:r>
      <w:r w:rsidRPr="007D3553">
        <w:t>ская 11</w:t>
      </w:r>
      <w:r w:rsidR="007031B0">
        <w:t>"</w:t>
      </w:r>
      <w:r w:rsidRPr="007D3553">
        <w:t>, где находится Палата представителей Национального собрания, одн</w:t>
      </w:r>
      <w:r w:rsidRPr="007D3553">
        <w:t>а</w:t>
      </w:r>
      <w:r w:rsidRPr="007D3553">
        <w:t>ко автору в таком допуске было отказано. Автор утверждает, что мотивы о</w:t>
      </w:r>
      <w:r w:rsidRPr="007D3553">
        <w:t>т</w:t>
      </w:r>
      <w:r w:rsidRPr="007D3553">
        <w:t>каза не были ук</w:t>
      </w:r>
      <w:r w:rsidRPr="007D3553">
        <w:t>а</w:t>
      </w:r>
      <w:r w:rsidRPr="007D3553">
        <w:t>заны и возможность обжалования в ответе не упоминалось.</w:t>
      </w:r>
    </w:p>
    <w:p w:rsidR="007D3553" w:rsidRPr="007D3553" w:rsidRDefault="007D3553" w:rsidP="007D3553">
      <w:pPr>
        <w:pStyle w:val="SingleTxtGR"/>
      </w:pPr>
      <w:r w:rsidRPr="007D3553">
        <w:t>2.2</w:t>
      </w:r>
      <w:r w:rsidR="007031B0">
        <w:tab/>
      </w:r>
      <w:r w:rsidRPr="007D3553">
        <w:t>9 января 2009 года главный редактор повторно обратился с просьбой об аккредитации автора, на этот раз направив письменное обращение на имя Пре</w:t>
      </w:r>
      <w:r w:rsidRPr="007D3553">
        <w:t>д</w:t>
      </w:r>
      <w:r w:rsidRPr="007D3553">
        <w:t>седателя Палаты представителей. 23 января 2009 года Комитет по правам чел</w:t>
      </w:r>
      <w:r w:rsidRPr="007D3553">
        <w:t>о</w:t>
      </w:r>
      <w:r w:rsidRPr="007D3553">
        <w:t>века, национальным отношениям и средствам массовой информации Палаты представителей ответил, что заявка об аккредитации была рассмотрена в соо</w:t>
      </w:r>
      <w:r w:rsidRPr="007D3553">
        <w:t>т</w:t>
      </w:r>
      <w:r w:rsidRPr="007D3553">
        <w:t>ветствии с Законом о печати и других средствах массовой информации и Пр</w:t>
      </w:r>
      <w:r w:rsidRPr="007D3553">
        <w:t>а</w:t>
      </w:r>
      <w:r w:rsidRPr="007D3553">
        <w:t>вилами аккредитации журналистов средств массовой информации при Палате представителей Беларус</w:t>
      </w:r>
      <w:r w:rsidR="00CD29AD">
        <w:t>и. В соответствии с правилом 11</w:t>
      </w:r>
      <w:r w:rsidRPr="007D3553">
        <w:t xml:space="preserve"> журналист, которому отказано в допус</w:t>
      </w:r>
      <w:r w:rsidR="007031B0">
        <w:t>ке в административный комплекс "Советс</w:t>
      </w:r>
      <w:r w:rsidRPr="007D3553">
        <w:t>кая 11</w:t>
      </w:r>
      <w:r w:rsidR="007031B0">
        <w:t>"</w:t>
      </w:r>
      <w:r w:rsidRPr="007D3553">
        <w:t>, аккредит</w:t>
      </w:r>
      <w:r w:rsidRPr="007D3553">
        <w:t>а</w:t>
      </w:r>
      <w:r w:rsidRPr="007D3553">
        <w:t>ции не подлежит. Главный редактор также был проинформирован о том, что он может отправить заявку об аккредитации другого журналиста газеты и что а</w:t>
      </w:r>
      <w:r w:rsidRPr="007D3553">
        <w:t>в</w:t>
      </w:r>
      <w:r w:rsidRPr="007D3553">
        <w:t xml:space="preserve">тор может просить об аккредитации на мероприятиях Национального собрания, проводящихся вне территории административного комплекса </w:t>
      </w:r>
      <w:r w:rsidR="007031B0">
        <w:t>"</w:t>
      </w:r>
      <w:r w:rsidRPr="007D3553">
        <w:t>Советская 11</w:t>
      </w:r>
      <w:r w:rsidR="007031B0">
        <w:t>"</w:t>
      </w:r>
      <w:r w:rsidRPr="007D3553">
        <w:t>.</w:t>
      </w:r>
    </w:p>
    <w:p w:rsidR="007D3553" w:rsidRPr="007D3553" w:rsidRDefault="007D3553" w:rsidP="007D3553">
      <w:pPr>
        <w:pStyle w:val="SingleTxtGR"/>
      </w:pPr>
      <w:r w:rsidRPr="007D3553">
        <w:t>2.3</w:t>
      </w:r>
      <w:r w:rsidR="007031B0">
        <w:tab/>
      </w:r>
      <w:r w:rsidRPr="007D3553">
        <w:t>10 февраля 2009 года автор и главный редактор газеты обратились в суд Московского района Минска с жалобой на отказ в аккредитации. В жалобе, в</w:t>
      </w:r>
      <w:r w:rsidR="0050773C">
        <w:rPr>
          <w:lang w:val="en-US"/>
        </w:rPr>
        <w:t> </w:t>
      </w:r>
      <w:r w:rsidRPr="007D3553">
        <w:t>ч</w:t>
      </w:r>
      <w:r w:rsidRPr="007D3553">
        <w:t>а</w:t>
      </w:r>
      <w:r w:rsidRPr="007D3553">
        <w:t>стности, была сделана ссылка на часть 1 статьи 34 Конституции Республики Беларусь, которая гарантирует право граждан на получение, хранение и распр</w:t>
      </w:r>
      <w:r w:rsidRPr="007D3553">
        <w:t>о</w:t>
      </w:r>
      <w:r w:rsidRPr="007D3553">
        <w:t>странение полной, достоверной и своевременной информации о деятельности государственных органов. Согласно части 3 этой статьи, пользование информ</w:t>
      </w:r>
      <w:r w:rsidRPr="007D3553">
        <w:t>а</w:t>
      </w:r>
      <w:r w:rsidRPr="007D3553">
        <w:t>цией может быть ограничено законодательством в целях защиты чести и дост</w:t>
      </w:r>
      <w:r w:rsidRPr="007D3553">
        <w:t>о</w:t>
      </w:r>
      <w:r w:rsidRPr="007D3553">
        <w:t>инства, личной и семейной жизни граждан и полного осуществления ими своих прав. Статья 42 Закона о печати и других средствах массовой информации, к</w:t>
      </w:r>
      <w:r w:rsidRPr="007D3553">
        <w:t>о</w:t>
      </w:r>
      <w:r w:rsidRPr="007D3553">
        <w:t>торая определяет порядок аккредитации журналистов при государственных о</w:t>
      </w:r>
      <w:r w:rsidRPr="007D3553">
        <w:t>р</w:t>
      </w:r>
      <w:r w:rsidRPr="007D3553">
        <w:t>ганах, не содержит оснований ограничения доступа журналистов. Автор утве</w:t>
      </w:r>
      <w:r w:rsidRPr="007D3553">
        <w:t>р</w:t>
      </w:r>
      <w:r w:rsidRPr="007D3553">
        <w:t xml:space="preserve">ждала, что отказ в предоставлении ей аккредитации является нарушением ее конституционного права на доступ к информации и нарушением внутреннего законодательства. </w:t>
      </w:r>
    </w:p>
    <w:p w:rsidR="007D3553" w:rsidRPr="007D3553" w:rsidRDefault="007D3553" w:rsidP="007D3553">
      <w:pPr>
        <w:pStyle w:val="SingleTxtGR"/>
      </w:pPr>
      <w:r w:rsidRPr="007D3553">
        <w:t>2.4</w:t>
      </w:r>
      <w:r w:rsidRPr="007D3553">
        <w:tab/>
        <w:t>В своей жалобе автор также отмечала, что Правила аккредитации журн</w:t>
      </w:r>
      <w:r w:rsidRPr="007D3553">
        <w:t>а</w:t>
      </w:r>
      <w:r w:rsidRPr="007D3553">
        <w:t>листов средств массовой информации при Палате представителей Беларуси, и</w:t>
      </w:r>
      <w:r w:rsidRPr="007D3553">
        <w:t>з</w:t>
      </w:r>
      <w:r w:rsidRPr="007D3553">
        <w:t>данные Председателем Палаты, сами себе противоречат. Так, правило 10 гласит, что Палата представителей направляет заявки об аккредитации в Службу без</w:t>
      </w:r>
      <w:r w:rsidRPr="007D3553">
        <w:t>о</w:t>
      </w:r>
      <w:r w:rsidRPr="007D3553">
        <w:t>пасности Президента Республики Беларусь для предоставления допуска; пр</w:t>
      </w:r>
      <w:r w:rsidRPr="007D3553">
        <w:t>а</w:t>
      </w:r>
      <w:r w:rsidRPr="007D3553">
        <w:t>вило 11 гласит, что журналисты, у которых отсутствует допуск</w:t>
      </w:r>
      <w:r w:rsidR="00CD29AD">
        <w:t>,</w:t>
      </w:r>
      <w:r w:rsidRPr="007D3553">
        <w:t xml:space="preserve"> не могут быть аккредитованы; в то время как правило 17 гласит, что аккредитованные журн</w:t>
      </w:r>
      <w:r w:rsidRPr="007D3553">
        <w:t>а</w:t>
      </w:r>
      <w:r w:rsidRPr="007D3553">
        <w:t>листы должны получить пропуск на право посещения в Службе безопасности. Автор утверждает, что фактическое решение по поводу ее аккредитации было принято Службой безопасности, которая в соответствии с законодательством не обладает компетенцией принимать такие решения. Таким образом, отказ в пр</w:t>
      </w:r>
      <w:r w:rsidRPr="007D3553">
        <w:t>е</w:t>
      </w:r>
      <w:r w:rsidRPr="007D3553">
        <w:t>доставлении ей допуска и аккредитации был незаконным, дискриминационным и нарушил интересы независимой прессы и журналистов. Автор сослалась на пункт 1 статьи 14 Пакта и просила суд отменить отказ в предоставлении ей а</w:t>
      </w:r>
      <w:r w:rsidRPr="007D3553">
        <w:t>к</w:t>
      </w:r>
      <w:r w:rsidRPr="007D3553">
        <w:t>кредитации.</w:t>
      </w:r>
    </w:p>
    <w:p w:rsidR="007D3553" w:rsidRPr="007D3553" w:rsidRDefault="007D3553" w:rsidP="007D3553">
      <w:pPr>
        <w:pStyle w:val="SingleTxtGR"/>
      </w:pPr>
      <w:r w:rsidRPr="007D3553">
        <w:t>2.5</w:t>
      </w:r>
      <w:r w:rsidR="007031B0">
        <w:tab/>
      </w:r>
      <w:r w:rsidRPr="007D3553">
        <w:t>13 февраля 2009 года суд Московского района Минска отказал в возбу</w:t>
      </w:r>
      <w:r w:rsidRPr="007D3553">
        <w:t>ж</w:t>
      </w:r>
      <w:r w:rsidRPr="007D3553">
        <w:t>дении дела в связи с отсутствием у заявителя права на обращение в суд.</w:t>
      </w:r>
    </w:p>
    <w:p w:rsidR="007D3553" w:rsidRPr="007D3553" w:rsidRDefault="007D3553" w:rsidP="007D3553">
      <w:pPr>
        <w:pStyle w:val="SingleTxtGR"/>
      </w:pPr>
      <w:r w:rsidRPr="007D3553">
        <w:t>2.6</w:t>
      </w:r>
      <w:r w:rsidRPr="007D3553">
        <w:tab/>
        <w:t>В неуказанную дату автор подала в Минский городской суд частную ж</w:t>
      </w:r>
      <w:r w:rsidRPr="007D3553">
        <w:t>а</w:t>
      </w:r>
      <w:r w:rsidRPr="007D3553">
        <w:t xml:space="preserve">лобу на отказ районного суда рассматривать дело. </w:t>
      </w:r>
      <w:r w:rsidR="007031B0">
        <w:t>Автор сослалась на ст</w:t>
      </w:r>
      <w:r w:rsidR="007031B0">
        <w:t>а</w:t>
      </w:r>
      <w:r w:rsidR="007031B0">
        <w:t>тью </w:t>
      </w:r>
      <w:r w:rsidRPr="007D3553">
        <w:t>112 Конституции, согласно который суды осуществляют правосудие на о</w:t>
      </w:r>
      <w:r w:rsidRPr="007D3553">
        <w:t>с</w:t>
      </w:r>
      <w:r w:rsidRPr="007D3553">
        <w:t>нове Конституции и принятых в соответствии с ней иных нормативных актов. Она также отметила, что Закон от 6 июня 1996 года "Об обращениях граждан" и Указ Президента Республики №</w:t>
      </w:r>
      <w:r w:rsidR="007031B0">
        <w:t> </w:t>
      </w:r>
      <w:r w:rsidRPr="007D3553">
        <w:t>498 от 15 октября 2007 года устанавливают п</w:t>
      </w:r>
      <w:r w:rsidRPr="007D3553">
        <w:t>о</w:t>
      </w:r>
      <w:r w:rsidRPr="007D3553">
        <w:t>рядок по надлежащему рассмотрению обращ</w:t>
      </w:r>
      <w:r w:rsidRPr="007D3553">
        <w:t>е</w:t>
      </w:r>
      <w:r w:rsidRPr="007D3553">
        <w:t>ний граждан, в том числе судом. Она также сослалась на статьи 2 и 14, пункт 1, Пакта. 26 марта 2009 года Ми</w:t>
      </w:r>
      <w:r w:rsidRPr="007D3553">
        <w:t>н</w:t>
      </w:r>
      <w:r w:rsidRPr="007D3553">
        <w:t>ский городской суд отклонил жалобу автора на том основании, что действу</w:t>
      </w:r>
      <w:r w:rsidRPr="007D3553">
        <w:t>ю</w:t>
      </w:r>
      <w:r w:rsidRPr="007D3553">
        <w:t>щим законод</w:t>
      </w:r>
      <w:r w:rsidRPr="007D3553">
        <w:t>а</w:t>
      </w:r>
      <w:r w:rsidRPr="007D3553">
        <w:t>тельством не предусмотрено разрешение судами жалоб на отказ в аккредитации при Палате представ</w:t>
      </w:r>
      <w:r w:rsidRPr="007D3553">
        <w:t>и</w:t>
      </w:r>
      <w:r w:rsidR="007031B0">
        <w:t>телей.</w:t>
      </w:r>
    </w:p>
    <w:p w:rsidR="007D3553" w:rsidRPr="007D3553" w:rsidRDefault="007D3553" w:rsidP="007D3553">
      <w:pPr>
        <w:pStyle w:val="SingleTxtGR"/>
      </w:pPr>
      <w:r w:rsidRPr="007D3553">
        <w:t>2.7</w:t>
      </w:r>
      <w:r w:rsidRPr="007D3553">
        <w:tab/>
        <w:t>В неуказанную дату автор подала надзорную жалобу в Верховный суд, которая была отклонена 26 июня 2009 года на том основании, что действу</w:t>
      </w:r>
      <w:r w:rsidRPr="007D3553">
        <w:t>ю</w:t>
      </w:r>
      <w:r w:rsidRPr="007D3553">
        <w:t>щим законодательством не предусмотрено разрешение судами жалоб на отказ в а</w:t>
      </w:r>
      <w:r w:rsidRPr="007D3553">
        <w:t>к</w:t>
      </w:r>
      <w:r w:rsidRPr="007D3553">
        <w:t>кредитации. Последующие попытки автора обратиться в Верховный суд и Ко</w:t>
      </w:r>
      <w:r w:rsidRPr="007D3553">
        <w:t>н</w:t>
      </w:r>
      <w:r w:rsidRPr="007D3553">
        <w:t>ституционный суд не увенчались успехом.</w:t>
      </w:r>
    </w:p>
    <w:p w:rsidR="007D3553" w:rsidRPr="007D3553" w:rsidRDefault="007D3553" w:rsidP="007031B0">
      <w:pPr>
        <w:pStyle w:val="H23GR"/>
      </w:pPr>
      <w:r w:rsidRPr="007D3553">
        <w:tab/>
      </w:r>
      <w:r w:rsidRPr="007D3553">
        <w:tab/>
        <w:t>Жалоба</w:t>
      </w:r>
    </w:p>
    <w:p w:rsidR="007D3553" w:rsidRPr="007D3553" w:rsidRDefault="007D3553" w:rsidP="007D3553">
      <w:pPr>
        <w:pStyle w:val="SingleTxtGR"/>
      </w:pPr>
      <w:r w:rsidRPr="007D3553">
        <w:t>3.1</w:t>
      </w:r>
      <w:r w:rsidR="007031B0">
        <w:tab/>
      </w:r>
      <w:r w:rsidRPr="007D3553">
        <w:t>Автор утверждает, что отказ в предоставлении ей аккредитации при П</w:t>
      </w:r>
      <w:r w:rsidRPr="007D3553">
        <w:t>а</w:t>
      </w:r>
      <w:r w:rsidRPr="007D3553">
        <w:t>лате представителей равнозначен отказу в доступе к информации, и что власти не обосновали отказ ни на основе защиты прав и репутации других лиц, ни на основе защиты национальной безопасности, общественного порядка, здоровья или нравственности населения. Поэтому она утверждает, что отказ нарушает ее права в соответствии со статьями 19 и 2, пункт 3, Пакта.</w:t>
      </w:r>
    </w:p>
    <w:p w:rsidR="007D3553" w:rsidRPr="007D3553" w:rsidRDefault="007D3553" w:rsidP="007D3553">
      <w:pPr>
        <w:pStyle w:val="SingleTxtGR"/>
      </w:pPr>
      <w:r w:rsidRPr="007D3553">
        <w:t>3.2</w:t>
      </w:r>
      <w:r w:rsidRPr="007D3553">
        <w:tab/>
        <w:t>Автор также утверждает, что отказ судов рассмотреть ее дело представл</w:t>
      </w:r>
      <w:r w:rsidRPr="007D3553">
        <w:t>я</w:t>
      </w:r>
      <w:r w:rsidRPr="007D3553">
        <w:t>ет собой отказ в правосудии в нарушение ее прав, предусмотренных в пункте 1 статьи 14 Пакта.</w:t>
      </w:r>
    </w:p>
    <w:p w:rsidR="007D3553" w:rsidRPr="007D3553" w:rsidRDefault="007D3553" w:rsidP="007D3553">
      <w:pPr>
        <w:pStyle w:val="SingleTxtGR"/>
      </w:pPr>
      <w:r w:rsidRPr="007D3553">
        <w:t>3.3</w:t>
      </w:r>
      <w:r w:rsidRPr="007D3553">
        <w:tab/>
        <w:t>Автор далее утверждает, что представители всех других средств массовой информации получили аккредитацию при Палате представителей и что ей было отказано по причине того, что ее газета является единственным независимым изданием, не принадлежащим государству. Она считает, что отказ является п</w:t>
      </w:r>
      <w:r w:rsidRPr="007D3553">
        <w:t>о</w:t>
      </w:r>
      <w:r w:rsidRPr="007D3553">
        <w:t xml:space="preserve">литически мотивированным и дискриминационным и что он нарушает ее права в соответствии со статьей 26 Пакта. </w:t>
      </w:r>
    </w:p>
    <w:p w:rsidR="007D3553" w:rsidRPr="007D3553" w:rsidRDefault="007D3553" w:rsidP="007D3553">
      <w:pPr>
        <w:pStyle w:val="SingleTxtGR"/>
      </w:pPr>
      <w:r w:rsidRPr="007D3553">
        <w:t>3.4</w:t>
      </w:r>
      <w:r w:rsidRPr="007D3553">
        <w:tab/>
        <w:t>Кроме того, она утверждает, что отказ заслушать дело в суде продиктован дискриминационными мотивами и таким образом представляет собой наруш</w:t>
      </w:r>
      <w:r w:rsidRPr="007D3553">
        <w:t>е</w:t>
      </w:r>
      <w:r w:rsidRPr="007D3553">
        <w:t>ние статьи 26 Пакта.</w:t>
      </w:r>
    </w:p>
    <w:p w:rsidR="007D3553" w:rsidRPr="007D3553" w:rsidRDefault="007D3553" w:rsidP="007031B0">
      <w:pPr>
        <w:pStyle w:val="H23GR"/>
      </w:pPr>
      <w:r w:rsidRPr="007D3553">
        <w:tab/>
      </w:r>
      <w:r w:rsidRPr="007D3553">
        <w:tab/>
        <w:t>Замечания государства-участника по вопросу о приемлемости с</w:t>
      </w:r>
      <w:r w:rsidRPr="007D3553">
        <w:t>о</w:t>
      </w:r>
      <w:r w:rsidRPr="007D3553">
        <w:t>общения</w:t>
      </w:r>
    </w:p>
    <w:p w:rsidR="007D3553" w:rsidRPr="007D3553" w:rsidRDefault="007D3553" w:rsidP="007D3553">
      <w:pPr>
        <w:pStyle w:val="SingleTxtGR"/>
      </w:pPr>
      <w:r w:rsidRPr="007D3553">
        <w:t>4.1</w:t>
      </w:r>
      <w:r w:rsidRPr="007D3553">
        <w:tab/>
        <w:t>В вербальной ноте от 6 января 2011 года государство-участник напомн</w:t>
      </w:r>
      <w:r w:rsidRPr="007D3553">
        <w:t>и</w:t>
      </w:r>
      <w:r w:rsidRPr="007D3553">
        <w:t>ло о том, что оно неоднократно заявляло Комитету о своих правомерных озаб</w:t>
      </w:r>
      <w:r w:rsidRPr="007D3553">
        <w:t>о</w:t>
      </w:r>
      <w:r w:rsidRPr="007D3553">
        <w:t>ченностях в связи с необоснованной регистрацией индивидуальных сообщений. По большей части эти озабоченности касались сообщений лиц, которые созн</w:t>
      </w:r>
      <w:r w:rsidRPr="007D3553">
        <w:t>а</w:t>
      </w:r>
      <w:r w:rsidRPr="007D3553">
        <w:t>тельно не исчерпали все имеющиеся внутренние средства правовой защиты в государстве-участнике, включающие в себя обращение в Генеральную прокур</w:t>
      </w:r>
      <w:r w:rsidRPr="007D3553">
        <w:t>а</w:t>
      </w:r>
      <w:r w:rsidRPr="007D3553">
        <w:t>туру для обжалования вступивших в законную силу решений судов в порядке надзора. Государство-участник добавило, что настоящее сообщение было "зар</w:t>
      </w:r>
      <w:r w:rsidRPr="007D3553">
        <w:t>е</w:t>
      </w:r>
      <w:r w:rsidRPr="007D3553">
        <w:t>гистрировано в нарушение положений Факультативного протокола" и что п</w:t>
      </w:r>
      <w:r w:rsidRPr="007D3553">
        <w:t>о</w:t>
      </w:r>
      <w:r w:rsidRPr="007D3553">
        <w:t>этому "правовые основания для (его) рассмотрения государством-участником отсутствуют".</w:t>
      </w:r>
    </w:p>
    <w:p w:rsidR="007D3553" w:rsidRPr="007D3553" w:rsidRDefault="007D3553" w:rsidP="007D3553">
      <w:pPr>
        <w:pStyle w:val="SingleTxtGR"/>
      </w:pPr>
      <w:r w:rsidRPr="007D3553">
        <w:t>4.2</w:t>
      </w:r>
      <w:r w:rsidRPr="007D3553">
        <w:tab/>
        <w:t>В письме от 19 апреля 2011 года Председатель Комитета проинформир</w:t>
      </w:r>
      <w:r w:rsidRPr="007D3553">
        <w:t>о</w:t>
      </w:r>
      <w:r w:rsidRPr="007D3553">
        <w:t>вал государство-участник о том, что из пункта 2 статьи 4 Факультативного пр</w:t>
      </w:r>
      <w:r w:rsidRPr="007D3553">
        <w:t>о</w:t>
      </w:r>
      <w:r w:rsidRPr="007D3553">
        <w:t>токола к Пакту следует, что оно обязано представить Комитету всю имеющуюся в его распоряжении информацию. Поэтому государству-участнику было пре</w:t>
      </w:r>
      <w:r w:rsidRPr="007D3553">
        <w:t>д</w:t>
      </w:r>
      <w:r w:rsidRPr="007D3553">
        <w:t>ложено представить свои замечания по вопросу о приемлемости и по существу дела. Председатель также проинформировал государство-участник о том, что при отсутствии дополнительной информации Комитет приступит к рассмотр</w:t>
      </w:r>
      <w:r w:rsidRPr="007D3553">
        <w:t>е</w:t>
      </w:r>
      <w:r w:rsidRPr="007D3553">
        <w:t>нию сообщения на основе информации, имеющейся в его распоряжении.</w:t>
      </w:r>
    </w:p>
    <w:p w:rsidR="007D3553" w:rsidRPr="007D3553" w:rsidRDefault="007D3553" w:rsidP="007D3553">
      <w:pPr>
        <w:pStyle w:val="SingleTxtGR"/>
      </w:pPr>
      <w:r w:rsidRPr="007D3553">
        <w:t>4.3</w:t>
      </w:r>
      <w:r w:rsidRPr="007D3553">
        <w:tab/>
        <w:t>30 сентября 2011 года государству-участнику было вновь предложено представить свои замечания по вопросу о приемлемости и по существу дела.</w:t>
      </w:r>
    </w:p>
    <w:p w:rsidR="007D3553" w:rsidRPr="007D3553" w:rsidRDefault="007D3553" w:rsidP="007D3553">
      <w:pPr>
        <w:pStyle w:val="SingleTxtGR"/>
      </w:pPr>
      <w:r w:rsidRPr="007D3553">
        <w:t>4.4</w:t>
      </w:r>
      <w:r w:rsidRPr="007D3553">
        <w:tab/>
        <w:t>5 октября 2011 года государство-участник сообщило, что, по его убежд</w:t>
      </w:r>
      <w:r w:rsidRPr="007D3553">
        <w:t>е</w:t>
      </w:r>
      <w:r w:rsidRPr="007D3553">
        <w:t>нию, правовые основания для рассмотрения настоящего сообщения отсутств</w:t>
      </w:r>
      <w:r w:rsidRPr="007D3553">
        <w:t>у</w:t>
      </w:r>
      <w:r w:rsidRPr="007D3553">
        <w:t>ют, поскольку оно было зарегистрировано в нарушение статьи 1 Факультати</w:t>
      </w:r>
      <w:r w:rsidRPr="007D3553">
        <w:t>в</w:t>
      </w:r>
      <w:r w:rsidRPr="007D3553">
        <w:t>ного протокола. Оно заявило, что все доступные внутренние средства правовой защиты не были исчерпаны, как это требуется в соответствии со статьей 2 Ф</w:t>
      </w:r>
      <w:r w:rsidRPr="007D3553">
        <w:t>а</w:t>
      </w:r>
      <w:r w:rsidRPr="007D3553">
        <w:t>культативного протокола, поскольку не было подано заявления в Генеральную прокуратуру о пересмотре судебного решения в порядке надзора.</w:t>
      </w:r>
    </w:p>
    <w:p w:rsidR="007D3553" w:rsidRPr="007D3553" w:rsidRDefault="007D3553" w:rsidP="007D3553">
      <w:pPr>
        <w:pStyle w:val="SingleTxtGR"/>
      </w:pPr>
      <w:r w:rsidRPr="007D3553">
        <w:t>4.5</w:t>
      </w:r>
      <w:r w:rsidRPr="007D3553">
        <w:tab/>
        <w:t>25 сентября 2011 года государству-участнику было вновь предложено представить свои замечания по вопросу о приемлемости и по существу дела. Его еще раз проинформировали о том, что при отсутствии дополнительной и</w:t>
      </w:r>
      <w:r w:rsidRPr="007D3553">
        <w:t>н</w:t>
      </w:r>
      <w:r w:rsidRPr="007D3553">
        <w:t>формации Комитет приступит к рассмотрению сообщения на основе информ</w:t>
      </w:r>
      <w:r w:rsidRPr="007D3553">
        <w:t>а</w:t>
      </w:r>
      <w:r w:rsidRPr="007D3553">
        <w:t xml:space="preserve">ции, имеющейся в его распоряжении. </w:t>
      </w:r>
    </w:p>
    <w:p w:rsidR="007D3553" w:rsidRPr="007D3553" w:rsidRDefault="007D3553" w:rsidP="007D3553">
      <w:pPr>
        <w:pStyle w:val="SingleTxtGR"/>
      </w:pPr>
      <w:r w:rsidRPr="007D3553">
        <w:t>4.6</w:t>
      </w:r>
      <w:r w:rsidR="00AF7E7D">
        <w:tab/>
      </w:r>
      <w:r w:rsidRPr="007D3553">
        <w:t>Государство-участник 25 января 2012 года в отношении данного сообщ</w:t>
      </w:r>
      <w:r w:rsidRPr="007D3553">
        <w:t>е</w:t>
      </w:r>
      <w:r w:rsidRPr="007D3553">
        <w:t>ния, а также примерно 60 других сообщений заявило о том, что, становясь уч</w:t>
      </w:r>
      <w:r w:rsidRPr="007D3553">
        <w:t>а</w:t>
      </w:r>
      <w:r w:rsidRPr="007D3553">
        <w:t>стником Факультативного протокола, оно признало компетенцию Комитета с</w:t>
      </w:r>
      <w:r w:rsidRPr="007D3553">
        <w:t>о</w:t>
      </w:r>
      <w:r w:rsidRPr="007D3553">
        <w:t>гласно статье 1, но это признание компетенции было произведено в сочетании с другими положениями Факультативного про</w:t>
      </w:r>
      <w:r w:rsidR="00CD29AD">
        <w:t>токола, включая те положения, в </w:t>
      </w:r>
      <w:r w:rsidRPr="007D3553">
        <w:t>которых устанавливаются критерии в отношении заявителей жалоб и прие</w:t>
      </w:r>
      <w:r w:rsidRPr="007D3553">
        <w:t>м</w:t>
      </w:r>
      <w:r w:rsidRPr="007D3553">
        <w:t>лемости их сообщений, в частности статей 2 и 5 Факультативного протокола. Государство-участник утверждало, что согласно Факультативному протоколу государства-участники не несут обязательства признавать правила процедуры Комитета и толкование им положений Протокола, которое "может быть дейс</w:t>
      </w:r>
      <w:r w:rsidRPr="007D3553">
        <w:t>т</w:t>
      </w:r>
      <w:r w:rsidRPr="007D3553">
        <w:t>вительным только тогда, когда оно дается в соответствии с Венской конвенцией о праве международных договоров". Оно указало, что "в отношении процедуры подачи жалоб государства-участники должны руководствоваться прежде всего положениями Факультативного протокола" и что "ссылки на длительную пра</w:t>
      </w:r>
      <w:r w:rsidRPr="007D3553">
        <w:t>к</w:t>
      </w:r>
      <w:r w:rsidRPr="007D3553">
        <w:t>тику Комитета, его методы работы, его решения не являются предметом Ф</w:t>
      </w:r>
      <w:r w:rsidRPr="007D3553">
        <w:t>а</w:t>
      </w:r>
      <w:r w:rsidRPr="007D3553">
        <w:t>культативного протокола". Далее оно заявило, что "любое сообщение, зарегис</w:t>
      </w:r>
      <w:r w:rsidRPr="007D3553">
        <w:t>т</w:t>
      </w:r>
      <w:r w:rsidRPr="007D3553">
        <w:t>рированное в нарушение положений Факультативного протокола к Междун</w:t>
      </w:r>
      <w:r w:rsidRPr="007D3553">
        <w:t>а</w:t>
      </w:r>
      <w:r w:rsidRPr="007D3553">
        <w:t>родному пакту о гражданских и политических правах, будет рассматриваться государс</w:t>
      </w:r>
      <w:r w:rsidRPr="007D3553">
        <w:t>т</w:t>
      </w:r>
      <w:r w:rsidRPr="007D3553">
        <w:t>вом-участником как несовместимое с Протоколом и будет отклоняться без высказывания замечаний в отношении приемлемости сообщения или его существа". Государство-участник заявило далее, что решения, принятые Ком</w:t>
      </w:r>
      <w:r w:rsidRPr="007D3553">
        <w:t>и</w:t>
      </w:r>
      <w:r w:rsidRPr="007D3553">
        <w:t>тетом по таким "отклоненным сообщениям", будут рассматриваться его власт</w:t>
      </w:r>
      <w:r w:rsidRPr="007D3553">
        <w:t>я</w:t>
      </w:r>
      <w:r w:rsidRPr="007D3553">
        <w:t xml:space="preserve">ми как "не имеющие силы". </w:t>
      </w:r>
    </w:p>
    <w:p w:rsidR="007D3553" w:rsidRPr="007D3553" w:rsidRDefault="007D3553" w:rsidP="00AF7E7D">
      <w:pPr>
        <w:pStyle w:val="H23GR"/>
      </w:pPr>
      <w:r w:rsidRPr="007D3553">
        <w:tab/>
      </w:r>
      <w:r w:rsidRPr="007D3553">
        <w:tab/>
        <w:t>Комментарии автора сообщения к замечаниям государства-участника</w:t>
      </w:r>
    </w:p>
    <w:p w:rsidR="007D3553" w:rsidRPr="007D3553" w:rsidRDefault="007D3553" w:rsidP="007D3553">
      <w:pPr>
        <w:pStyle w:val="SingleTxtGR"/>
      </w:pPr>
      <w:r w:rsidRPr="007D3553">
        <w:t>5.1</w:t>
      </w:r>
      <w:r w:rsidR="00AF7E7D">
        <w:tab/>
      </w:r>
      <w:r w:rsidRPr="007D3553">
        <w:t>19 марта 2012 года автор сообщила, что согласно статье 61 Конституции каждый вправе в соответствии с международно-правовыми актами, ратифиц</w:t>
      </w:r>
      <w:r w:rsidRPr="007D3553">
        <w:t>и</w:t>
      </w:r>
      <w:r w:rsidRPr="007D3553">
        <w:t>рованными государством-участником, обращаться в международные организ</w:t>
      </w:r>
      <w:r w:rsidRPr="007D3553">
        <w:t>а</w:t>
      </w:r>
      <w:r w:rsidRPr="007D3553">
        <w:t>ции с целью защиты своих прав и свобод, если исчерпаны все имеющиеся внутригосударственные средства правовой за</w:t>
      </w:r>
      <w:r w:rsidR="00064E19">
        <w:t>щиты. Автор ссылается на ст</w:t>
      </w:r>
      <w:r w:rsidR="00064E19">
        <w:t>а</w:t>
      </w:r>
      <w:r w:rsidR="00064E19">
        <w:t>тью</w:t>
      </w:r>
      <w:r w:rsidR="00064E19">
        <w:rPr>
          <w:lang w:val="en-US"/>
        </w:rPr>
        <w:t> </w:t>
      </w:r>
      <w:r w:rsidRPr="007D3553">
        <w:t>2, пункт 3, Пакта и статью 2 Факультативного протокола и отмечает, что, став участником Факультативного протокола к Пакту, государство-участник признало компетенцию Комитета получать и рассматривать сообщения от о</w:t>
      </w:r>
      <w:r w:rsidRPr="007D3553">
        <w:t>т</w:t>
      </w:r>
      <w:r w:rsidRPr="007D3553">
        <w:t>дельных лиц, подлежащих его юрисдикции, которые утверждают, что они я</w:t>
      </w:r>
      <w:r w:rsidRPr="007D3553">
        <w:t>в</w:t>
      </w:r>
      <w:r w:rsidRPr="007D3553">
        <w:t>ляются жертвами нарушения государством-участником какого-либо из прав, и</w:t>
      </w:r>
      <w:r w:rsidRPr="007D3553">
        <w:t>з</w:t>
      </w:r>
      <w:r w:rsidRPr="007D3553">
        <w:t>ложе</w:t>
      </w:r>
      <w:r w:rsidRPr="007D3553">
        <w:t>н</w:t>
      </w:r>
      <w:r w:rsidRPr="007D3553">
        <w:t>ных в Пакте</w:t>
      </w:r>
      <w:r w:rsidR="00AF7E7D">
        <w:rPr>
          <w:rStyle w:val="FootnoteReference"/>
        </w:rPr>
        <w:footnoteReference w:id="3"/>
      </w:r>
      <w:r w:rsidRPr="007D3553">
        <w:t>.</w:t>
      </w:r>
    </w:p>
    <w:p w:rsidR="007D3553" w:rsidRPr="007D3553" w:rsidRDefault="007D3553" w:rsidP="007D3553">
      <w:pPr>
        <w:pStyle w:val="SingleTxtGR"/>
      </w:pPr>
      <w:r w:rsidRPr="007D3553">
        <w:t>5.2</w:t>
      </w:r>
      <w:r w:rsidRPr="007D3553">
        <w:tab/>
        <w:t>Автор утверждает, что требования исчерпания внутренних средств пр</w:t>
      </w:r>
      <w:r w:rsidRPr="007D3553">
        <w:t>а</w:t>
      </w:r>
      <w:r w:rsidRPr="007D3553">
        <w:t>вовой защиты вытекают из субсидиарного характера механизмов междунаро</w:t>
      </w:r>
      <w:r w:rsidRPr="007D3553">
        <w:t>д</w:t>
      </w:r>
      <w:r w:rsidRPr="007D3553">
        <w:t>но-правовой защиты, которые вступают в действие только в случае, когда гос</w:t>
      </w:r>
      <w:r w:rsidRPr="007D3553">
        <w:t>у</w:t>
      </w:r>
      <w:r w:rsidRPr="007D3553">
        <w:t>дарство-участник внутри своей системы не может защитить жертву от наруш</w:t>
      </w:r>
      <w:r w:rsidRPr="007D3553">
        <w:t>е</w:t>
      </w:r>
      <w:r w:rsidRPr="007D3553">
        <w:t>ния ее прав. Что же касается эффективных внутренних средств правовой защ</w:t>
      </w:r>
      <w:r w:rsidRPr="007D3553">
        <w:t>и</w:t>
      </w:r>
      <w:r w:rsidRPr="007D3553">
        <w:t>ты, то к ним, по мнению автора, следует относить такой порядок рассмотрения споров о нарушенном праве в судах либо административных органах, которым определяются восстановительные (компенсационные) меры, имеющие обяз</w:t>
      </w:r>
      <w:r w:rsidRPr="007D3553">
        <w:t>а</w:t>
      </w:r>
      <w:r w:rsidRPr="007D3553">
        <w:t>тельный характер. В этой связи автор отмечает, что она обжаловала отказ суда Московского района Минска заслушать ее дело в кассационном и надзорном порядках. В свете решений Комитета по другим делам против Беларуси относ</w:t>
      </w:r>
      <w:r w:rsidRPr="007D3553">
        <w:t>и</w:t>
      </w:r>
      <w:r w:rsidRPr="007D3553">
        <w:t>тельно имеющихся внутренних средств правовой защиты в государстве-участнике автор утверждает, что она исчерпала все имеющиеся внутренние средства правовой защиты. Кроме того, она отмечает, что надзорный порядок пересмотра носит дискреционный характер и по этой причине не может ра</w:t>
      </w:r>
      <w:r w:rsidRPr="007D3553">
        <w:t>с</w:t>
      </w:r>
      <w:r w:rsidRPr="007D3553">
        <w:t>сматриваться в качестве эффективного средства правовой защиты. Она доба</w:t>
      </w:r>
      <w:r w:rsidRPr="007D3553">
        <w:t>в</w:t>
      </w:r>
      <w:r w:rsidRPr="007D3553">
        <w:t>ляет, что в практике Комитет отсутствует признание того, что надзорный пор</w:t>
      </w:r>
      <w:r w:rsidRPr="007D3553">
        <w:t>я</w:t>
      </w:r>
      <w:r w:rsidRPr="007D3553">
        <w:t>док пересмотра представляет собой эффективное средство правовой защиты. Кроме того, автор ссылается на ряд решений Европейского суда по правам ч</w:t>
      </w:r>
      <w:r w:rsidRPr="007D3553">
        <w:t>е</w:t>
      </w:r>
      <w:r w:rsidRPr="007D3553">
        <w:t>ловека в отношении других стран и на труды юристов относительно неэффе</w:t>
      </w:r>
      <w:r w:rsidRPr="007D3553">
        <w:t>к</w:t>
      </w:r>
      <w:r w:rsidRPr="007D3553">
        <w:t>тивности процедуры пересмотра решений в надзорном порядке.</w:t>
      </w:r>
    </w:p>
    <w:p w:rsidR="007D3553" w:rsidRPr="007D3553" w:rsidRDefault="007D3553" w:rsidP="007D3553">
      <w:pPr>
        <w:pStyle w:val="SingleTxtGR"/>
      </w:pPr>
      <w:r w:rsidRPr="007D3553">
        <w:t>5.3</w:t>
      </w:r>
      <w:r w:rsidRPr="007D3553">
        <w:tab/>
        <w:t>Автор также отмечает, что государство-участник не доказало, что обр</w:t>
      </w:r>
      <w:r w:rsidRPr="007D3553">
        <w:t>а</w:t>
      </w:r>
      <w:r w:rsidRPr="007D3553">
        <w:t>щение к должностным лицам прокуратуры, уполномоченным на принесение протеста в порядке надзора, является эффективным средством правовой защ</w:t>
      </w:r>
      <w:r w:rsidRPr="007D3553">
        <w:t>и</w:t>
      </w:r>
      <w:r w:rsidRPr="007D3553">
        <w:t>ты. В этой связи она отмечает, что государству-участнику известно о многих случаях, когда прокурорский протест, принесенный в рамках надзорной проц</w:t>
      </w:r>
      <w:r w:rsidRPr="007D3553">
        <w:t>е</w:t>
      </w:r>
      <w:r w:rsidRPr="007D3553">
        <w:t>дуры, отклонялся или оставлялся без удовлетворения судами. Она утверждает, что прокурорский протест в рамках надзорной процедуры не гарантирует пер</w:t>
      </w:r>
      <w:r w:rsidRPr="007D3553">
        <w:t>е</w:t>
      </w:r>
      <w:r w:rsidRPr="007D3553">
        <w:t>смотр дела и</w:t>
      </w:r>
      <w:r w:rsidR="00CD29AD">
        <w:t>,</w:t>
      </w:r>
      <w:r w:rsidRPr="007D3553">
        <w:t xml:space="preserve"> значит</w:t>
      </w:r>
      <w:r w:rsidR="00CD29AD">
        <w:t>,</w:t>
      </w:r>
      <w:r w:rsidRPr="007D3553">
        <w:t xml:space="preserve"> не может признаваться эффективным средством правовой защиты. </w:t>
      </w:r>
    </w:p>
    <w:p w:rsidR="007D3553" w:rsidRPr="007D3553" w:rsidRDefault="007D3553" w:rsidP="007D3553">
      <w:pPr>
        <w:pStyle w:val="SingleTxtGR"/>
      </w:pPr>
      <w:r w:rsidRPr="007D3553">
        <w:t>5.4</w:t>
      </w:r>
      <w:r w:rsidRPr="007D3553">
        <w:tab/>
        <w:t>В свете вышеизложенного автор утверждает, что она выполнила все и</w:t>
      </w:r>
      <w:r w:rsidRPr="007D3553">
        <w:t>з</w:t>
      </w:r>
      <w:r w:rsidRPr="007D3553">
        <w:t>ложенные в Факультативном протоколе к Пакту условия приемлемости до представления сообщения в Комитет и что ее дело может быть рассмотрено по существу. Она отмечает, что государство-участник не привело каких-либо дов</w:t>
      </w:r>
      <w:r w:rsidRPr="007D3553">
        <w:t>о</w:t>
      </w:r>
      <w:r w:rsidRPr="007D3553">
        <w:t>дов об обратном и не доказало правоту своих требований.</w:t>
      </w:r>
    </w:p>
    <w:p w:rsidR="007D3553" w:rsidRPr="007D3553" w:rsidRDefault="007D3553" w:rsidP="00AF7E7D">
      <w:pPr>
        <w:pStyle w:val="H23GR"/>
      </w:pPr>
      <w:r w:rsidRPr="007D3553">
        <w:tab/>
      </w:r>
      <w:r w:rsidRPr="007D3553">
        <w:tab/>
        <w:t>Вопросы и процедура их рассмотрения Комитетом</w:t>
      </w:r>
    </w:p>
    <w:p w:rsidR="007D3553" w:rsidRPr="007D3553" w:rsidRDefault="007D3553" w:rsidP="00AF7E7D">
      <w:pPr>
        <w:pStyle w:val="H4GR"/>
        <w:spacing w:before="240"/>
      </w:pPr>
      <w:r w:rsidRPr="007D3553">
        <w:tab/>
      </w:r>
      <w:r w:rsidRPr="007D3553">
        <w:tab/>
        <w:t xml:space="preserve">Отсутствие сотрудничества со стороны государства-участника </w:t>
      </w:r>
    </w:p>
    <w:p w:rsidR="007D3553" w:rsidRPr="007D3553" w:rsidRDefault="007D3553" w:rsidP="007D3553">
      <w:pPr>
        <w:pStyle w:val="SingleTxtGR"/>
      </w:pPr>
      <w:r w:rsidRPr="007D3553">
        <w:t>6.1</w:t>
      </w:r>
      <w:r w:rsidRPr="007D3553">
        <w:tab/>
        <w:t>Комитет отмечает утверждения государства-участника относительно того, что какие-либо правовые основания для рассмотрения сообщения авторов о</w:t>
      </w:r>
      <w:r w:rsidRPr="007D3553">
        <w:t>т</w:t>
      </w:r>
      <w:r w:rsidRPr="007D3553">
        <w:t>сутствуют, поскольку оно зарегистрировано в нарушение положений Факульт</w:t>
      </w:r>
      <w:r w:rsidRPr="007D3553">
        <w:t>а</w:t>
      </w:r>
      <w:r w:rsidRPr="007D3553">
        <w:t>тивного протокола; что оно не несет обязательств относительно признания пр</w:t>
      </w:r>
      <w:r w:rsidRPr="007D3553">
        <w:t>а</w:t>
      </w:r>
      <w:r w:rsidRPr="007D3553">
        <w:t>вил процедуры Комитета или толкования Комитетом положений Факультати</w:t>
      </w:r>
      <w:r w:rsidRPr="007D3553">
        <w:t>в</w:t>
      </w:r>
      <w:r w:rsidRPr="007D3553">
        <w:t xml:space="preserve">ного протокола; и что решения, принятые Комитетом по данному сообщению, будут рассматриваться его властями как "не имеющие силы". </w:t>
      </w:r>
    </w:p>
    <w:p w:rsidR="007D3553" w:rsidRPr="007D3553" w:rsidRDefault="007D3553" w:rsidP="007D3553">
      <w:pPr>
        <w:pStyle w:val="SingleTxtGR"/>
      </w:pPr>
      <w:r w:rsidRPr="007D3553">
        <w:t>6.2</w:t>
      </w:r>
      <w:r w:rsidRPr="007D3553">
        <w:tab/>
        <w:t>Комитет напоминает, что пункт 2 статьи 39 Пакта уполномочивает его у</w:t>
      </w:r>
      <w:r w:rsidRPr="007D3553">
        <w:t>с</w:t>
      </w:r>
      <w:r w:rsidRPr="007D3553">
        <w:t>танавливать свои собственные правила процедуры, которые государства-участники согласились признавать. Он отмечает далее, что, присоединяясь к Факультативному протоколу, государство-участник Пакта признает компете</w:t>
      </w:r>
      <w:r w:rsidRPr="007D3553">
        <w:t>н</w:t>
      </w:r>
      <w:r w:rsidRPr="007D3553">
        <w:t>цию Комитета по правам человека получать и рассматривать сообщения лиц, утверждающих, что они являются жертвами нарушений прав, изложенных в Пакте (преамбула и статья 1). Из факта присоединения государства к Протоколу вытекает, что государство принимает на себя обязательство добросовестно с</w:t>
      </w:r>
      <w:r w:rsidRPr="007D3553">
        <w:t>о</w:t>
      </w:r>
      <w:r w:rsidRPr="007D3553">
        <w:t>трудничать с Комитетом, с тем чтобы позволить и дать возможность Комитету рассматривать такие сообщения и после рассмотрения направлять соображения государству-участнику и соответствующему лицу (пункты 1 и 4 статьи 5). Л</w:t>
      </w:r>
      <w:r w:rsidRPr="007D3553">
        <w:t>ю</w:t>
      </w:r>
      <w:r w:rsidRPr="007D3553">
        <w:t>бые предпринимаемые государством-участником действия, мешающие Комит</w:t>
      </w:r>
      <w:r w:rsidRPr="007D3553">
        <w:t>е</w:t>
      </w:r>
      <w:r w:rsidRPr="007D3553">
        <w:t>ту в рассмотрении и обсуждении сообщений, а также в сообщении своих соо</w:t>
      </w:r>
      <w:r w:rsidRPr="007D3553">
        <w:t>б</w:t>
      </w:r>
      <w:r w:rsidRPr="007D3553">
        <w:t>ражений или делающие эти действия Комитета тщетными, являются несовме</w:t>
      </w:r>
      <w:r w:rsidRPr="007D3553">
        <w:t>с</w:t>
      </w:r>
      <w:r w:rsidRPr="007D3553">
        <w:t>т</w:t>
      </w:r>
      <w:r w:rsidR="00AF7E7D">
        <w:t>имыми с данными обязательствами</w:t>
      </w:r>
      <w:r w:rsidR="00AF7E7D">
        <w:rPr>
          <w:rStyle w:val="FootnoteReference"/>
        </w:rPr>
        <w:footnoteReference w:id="4"/>
      </w:r>
      <w:r w:rsidRPr="007D3553">
        <w:t>. Комитет сам вправе определять, следует ли ему регистрировать то или иное сообщение. Комитет отмечает, что, не пр</w:t>
      </w:r>
      <w:r w:rsidRPr="007D3553">
        <w:t>и</w:t>
      </w:r>
      <w:r w:rsidRPr="007D3553">
        <w:t>знавая компетенцию Комитета определять, следует ли зарегистрировать соо</w:t>
      </w:r>
      <w:r w:rsidRPr="007D3553">
        <w:t>б</w:t>
      </w:r>
      <w:r w:rsidRPr="007D3553">
        <w:t>щение, и объявляя заранее, что оно не согласится с решением Комитета относ</w:t>
      </w:r>
      <w:r w:rsidRPr="007D3553">
        <w:t>и</w:t>
      </w:r>
      <w:r w:rsidRPr="007D3553">
        <w:t>тельно приемлемости сообщений и их существа, государство-участник наруш</w:t>
      </w:r>
      <w:r w:rsidRPr="007D3553">
        <w:t>а</w:t>
      </w:r>
      <w:r w:rsidRPr="007D3553">
        <w:t>ет свои обязательства по статье 1 Фа</w:t>
      </w:r>
      <w:r w:rsidR="00AF7E7D">
        <w:t>культативного протокола к Пакту</w:t>
      </w:r>
      <w:r w:rsidR="00AF7E7D">
        <w:rPr>
          <w:rStyle w:val="FootnoteReference"/>
        </w:rPr>
        <w:footnoteReference w:id="5"/>
      </w:r>
      <w:r w:rsidRPr="007D3553">
        <w:t>.</w:t>
      </w:r>
    </w:p>
    <w:p w:rsidR="007D3553" w:rsidRPr="002F7FAD" w:rsidRDefault="007D3553" w:rsidP="002F7FAD">
      <w:pPr>
        <w:pStyle w:val="H4GR"/>
        <w:spacing w:before="240"/>
        <w:rPr>
          <w:iCs/>
        </w:rPr>
      </w:pPr>
      <w:r w:rsidRPr="002F7FAD">
        <w:rPr>
          <w:iCs/>
        </w:rPr>
        <w:tab/>
      </w:r>
      <w:r w:rsidRPr="002F7FAD">
        <w:rPr>
          <w:iCs/>
        </w:rPr>
        <w:tab/>
        <w:t>Рассмотрение вопроса о приемлемости</w:t>
      </w:r>
    </w:p>
    <w:p w:rsidR="007D3553" w:rsidRPr="007D3553" w:rsidRDefault="007D3553" w:rsidP="007D3553">
      <w:pPr>
        <w:pStyle w:val="SingleTxtGR"/>
      </w:pPr>
      <w:r w:rsidRPr="007D3553">
        <w:t>7.1</w:t>
      </w:r>
      <w:r w:rsidRPr="007D3553">
        <w:tab/>
        <w:t>Прежде чем рассматривать какое-либо утверждение, содержащееся в том или ином сообщении, Комитет по правам человека должен согласно правилу 93 своих правил процедуры принять решение о том, является ли это сообщение приемлемым в соответствии с Факультативным протоколом к Пакту.</w:t>
      </w:r>
    </w:p>
    <w:p w:rsidR="007D3553" w:rsidRPr="007D3553" w:rsidRDefault="007D3553" w:rsidP="007D3553">
      <w:pPr>
        <w:pStyle w:val="SingleTxtGR"/>
      </w:pPr>
      <w:r w:rsidRPr="007D3553">
        <w:t>7.2</w:t>
      </w:r>
      <w:r w:rsidRPr="007D3553">
        <w:tab/>
        <w:t xml:space="preserve">В соответствии с требованиями пункта 2 а) статьи 5 Факультативного протокола Комитет установил, что этот же вопрос не рассматривается в рамках другой процедуры международного разбирательства или урегулирования. </w:t>
      </w:r>
    </w:p>
    <w:p w:rsidR="007D3553" w:rsidRPr="007D3553" w:rsidRDefault="007D3553" w:rsidP="007D3553">
      <w:pPr>
        <w:pStyle w:val="SingleTxtGR"/>
      </w:pPr>
      <w:r w:rsidRPr="007D3553">
        <w:t>7.3</w:t>
      </w:r>
      <w:r w:rsidRPr="007D3553">
        <w:tab/>
        <w:t>Комитет отмечает утверждения автора в соответствии со статьей 19, трактуемой самостоятельно и в сочетании с пунктом 3 статьи 2 и пунктом 1 статьи 14 Пакта. Он отмечает, что государство-участник оспорило приемл</w:t>
      </w:r>
      <w:r w:rsidRPr="007D3553">
        <w:t>е</w:t>
      </w:r>
      <w:r w:rsidRPr="007D3553">
        <w:t>мость сообщения на основании неисчерпания внутренних средств правовой з</w:t>
      </w:r>
      <w:r w:rsidRPr="007D3553">
        <w:t>а</w:t>
      </w:r>
      <w:r w:rsidRPr="007D3553">
        <w:t xml:space="preserve">щиты в соответствии с пунктом 2 </w:t>
      </w:r>
      <w:r w:rsidRPr="007D3553">
        <w:rPr>
          <w:lang w:val="en-US"/>
        </w:rPr>
        <w:t>b</w:t>
      </w:r>
      <w:r w:rsidRPr="007D3553">
        <w:t>) статьи 5 Факультативного протокола в св</w:t>
      </w:r>
      <w:r w:rsidRPr="007D3553">
        <w:t>я</w:t>
      </w:r>
      <w:r w:rsidRPr="007D3553">
        <w:t>зи с тем, что автор не обратилась в Генеральную прокуратуру с просьбой о ра</w:t>
      </w:r>
      <w:r w:rsidRPr="007D3553">
        <w:t>с</w:t>
      </w:r>
      <w:r w:rsidRPr="007D3553">
        <w:t>смотрении решения по ее делу в надзорном порядке. Комитет напоминает о своей правовой практике, согласно которой направление в прокуратуру обр</w:t>
      </w:r>
      <w:r w:rsidRPr="007D3553">
        <w:t>а</w:t>
      </w:r>
      <w:r w:rsidRPr="007D3553">
        <w:t xml:space="preserve">щений с просьбой о пересмотре вступивших в силу решений суда в надзорном порядке не является средством правовой защиты, требующим исчерпания для целей пункта 2 </w:t>
      </w:r>
      <w:r w:rsidRPr="007D3553">
        <w:rPr>
          <w:lang w:val="en-US"/>
        </w:rPr>
        <w:t>b</w:t>
      </w:r>
      <w:r w:rsidRPr="007D3553">
        <w:t>) статьи 5 Факультативного протокола</w:t>
      </w:r>
      <w:r w:rsidR="002F7FAD">
        <w:rPr>
          <w:rStyle w:val="FootnoteReference"/>
        </w:rPr>
        <w:footnoteReference w:id="6"/>
      </w:r>
      <w:r w:rsidRPr="007D3553">
        <w:t>. В таких обстоятельс</w:t>
      </w:r>
      <w:r w:rsidRPr="007D3553">
        <w:t>т</w:t>
      </w:r>
      <w:r w:rsidRPr="007D3553">
        <w:t xml:space="preserve">вах Комитет считает, что пункт 2 </w:t>
      </w:r>
      <w:r w:rsidRPr="007D3553">
        <w:rPr>
          <w:lang w:val="en-US"/>
        </w:rPr>
        <w:t>b</w:t>
      </w:r>
      <w:r w:rsidRPr="007D3553">
        <w:t>) статьи 5 Факультативного протокола не препятствует рассмотрению им этой части сообщения.</w:t>
      </w:r>
    </w:p>
    <w:p w:rsidR="007D3553" w:rsidRPr="007D3553" w:rsidRDefault="007D3553" w:rsidP="007D3553">
      <w:pPr>
        <w:pStyle w:val="SingleTxtGR"/>
      </w:pPr>
      <w:r w:rsidRPr="007D3553">
        <w:t>7.4</w:t>
      </w:r>
      <w:r w:rsidRPr="007D3553">
        <w:tab/>
        <w:t>Комитет далее отмечает, что, по утверждению автора, ее права в соотве</w:t>
      </w:r>
      <w:r w:rsidRPr="007D3553">
        <w:t>т</w:t>
      </w:r>
      <w:r w:rsidRPr="007D3553">
        <w:t>ствии со статьей 26 Пакта были нарушены тем, что ей было отказано в аккред</w:t>
      </w:r>
      <w:r w:rsidRPr="007D3553">
        <w:t>и</w:t>
      </w:r>
      <w:r w:rsidRPr="007D3553">
        <w:t>тации при Палате представителей, поскольку заявка на аккредитацию была п</w:t>
      </w:r>
      <w:r w:rsidRPr="007D3553">
        <w:t>о</w:t>
      </w:r>
      <w:r w:rsidRPr="007D3553">
        <w:t>дана независимой газетой. Комитет отмечает, что согласно информации, кот</w:t>
      </w:r>
      <w:r w:rsidRPr="007D3553">
        <w:t>о</w:t>
      </w:r>
      <w:r w:rsidRPr="007D3553">
        <w:t>рая имеется в деле, автору было отказано в аккредитации, так как она не пол</w:t>
      </w:r>
      <w:r w:rsidRPr="007D3553">
        <w:t>у</w:t>
      </w:r>
      <w:r w:rsidRPr="007D3553">
        <w:t>чила от службы безопасности допуска на территорию комплекса Национальн</w:t>
      </w:r>
      <w:r w:rsidRPr="007D3553">
        <w:t>о</w:t>
      </w:r>
      <w:r w:rsidRPr="007D3553">
        <w:t>го собрания. Комитет отмечает, что национальные органы не представили ник</w:t>
      </w:r>
      <w:r w:rsidRPr="007D3553">
        <w:t>а</w:t>
      </w:r>
      <w:r w:rsidRPr="007D3553">
        <w:t>ких других оснований для такого отказа. Комитет также отмечает, что автор не препроводила другую относящуюся к делу информацию, например фамилии и количественные данные о получивших аккредитацию журналистах государс</w:t>
      </w:r>
      <w:r w:rsidRPr="007D3553">
        <w:t>т</w:t>
      </w:r>
      <w:r w:rsidRPr="007D3553">
        <w:t>венных средств массовой информации и данные о других представителях час</w:t>
      </w:r>
      <w:r w:rsidRPr="007D3553">
        <w:t>т</w:t>
      </w:r>
      <w:r w:rsidRPr="007D3553">
        <w:t>ных средств массовой информации, которые такой аккредитации не получили. Он далее отмечает, что данная газета издается в Беларуси с 2000 года и что в 2010 году изданию была подтверждена лицензия на право осуществления изд</w:t>
      </w:r>
      <w:r w:rsidRPr="007D3553">
        <w:t>а</w:t>
      </w:r>
      <w:r w:rsidRPr="007D3553">
        <w:t>тельской деятельности. Кроме того, К</w:t>
      </w:r>
      <w:r w:rsidRPr="007D3553">
        <w:t>о</w:t>
      </w:r>
      <w:r w:rsidRPr="007D3553">
        <w:t>митет отмечает, что 23 января 2009 года Палата представителей проинформировала главного редактора о том, что он может обратиться с просьбой об аккредитации другого журналиста из газеты. Кроме того, Комитет отмечает утверждение автора о том, что отказ заслушать ее дело в суде был продиктован дискриминационными мотивами. В этих о</w:t>
      </w:r>
      <w:r w:rsidRPr="007D3553">
        <w:t>б</w:t>
      </w:r>
      <w:r w:rsidRPr="007D3553">
        <w:t>стоятельствах и при отсутствии какой-либо другой соответствующей информ</w:t>
      </w:r>
      <w:r w:rsidRPr="007D3553">
        <w:t>а</w:t>
      </w:r>
      <w:r w:rsidRPr="007D3553">
        <w:t>ции в деле Комитет считает, что данное утверждение недостаточно обосновано для ц</w:t>
      </w:r>
      <w:r w:rsidRPr="007D3553">
        <w:t>е</w:t>
      </w:r>
      <w:r w:rsidRPr="007D3553">
        <w:t>лей приемлемости в части статьи 26 Пакта, и делает вывод, что эта часть сообщения является неприемлемой согласно статье 2 Факультативного прот</w:t>
      </w:r>
      <w:r w:rsidRPr="007D3553">
        <w:t>о</w:t>
      </w:r>
      <w:r w:rsidRPr="007D3553">
        <w:t>кола.</w:t>
      </w:r>
    </w:p>
    <w:p w:rsidR="007D3553" w:rsidRPr="007D3553" w:rsidRDefault="007D3553" w:rsidP="007D3553">
      <w:pPr>
        <w:pStyle w:val="SingleTxtGR"/>
      </w:pPr>
      <w:r w:rsidRPr="007D3553">
        <w:t>7.5</w:t>
      </w:r>
      <w:r w:rsidRPr="007D3553">
        <w:tab/>
        <w:t>Комитет считает, что утверждения автора на основании статьи 19, тра</w:t>
      </w:r>
      <w:r w:rsidRPr="007D3553">
        <w:t>к</w:t>
      </w:r>
      <w:r w:rsidRPr="007D3553">
        <w:t>туемой самостоятельно и в сочетании с пункто</w:t>
      </w:r>
      <w:r w:rsidR="002F7FAD">
        <w:t>м 3 статьи 2 и пунктом 1 ст</w:t>
      </w:r>
      <w:r w:rsidR="002F7FAD">
        <w:t>а</w:t>
      </w:r>
      <w:r w:rsidR="002F7FAD">
        <w:t>тьи </w:t>
      </w:r>
      <w:r w:rsidRPr="007D3553">
        <w:t>14 Пакта</w:t>
      </w:r>
      <w:r w:rsidR="00565EDF">
        <w:t>,</w:t>
      </w:r>
      <w:r w:rsidRPr="007D3553">
        <w:t xml:space="preserve"> в отношении ограничения ее свободы выражения мнений и ее доступа в суд достаточно обоснова</w:t>
      </w:r>
      <w:r w:rsidR="00D57190">
        <w:t>н</w:t>
      </w:r>
      <w:r w:rsidRPr="007D3553">
        <w:t>ы для целей приемлемости, объявляет их приемлемыми и переходит к их рассмотрению по существу.</w:t>
      </w:r>
    </w:p>
    <w:p w:rsidR="007D3553" w:rsidRPr="002F7FAD" w:rsidRDefault="007D3553" w:rsidP="002F7FAD">
      <w:pPr>
        <w:pStyle w:val="H4GR"/>
        <w:spacing w:before="240"/>
        <w:rPr>
          <w:iCs/>
        </w:rPr>
      </w:pPr>
      <w:r w:rsidRPr="002F7FAD">
        <w:rPr>
          <w:iCs/>
        </w:rPr>
        <w:tab/>
      </w:r>
      <w:r w:rsidRPr="002F7FAD">
        <w:rPr>
          <w:iCs/>
        </w:rPr>
        <w:tab/>
        <w:t>Рассмотрение по существу</w:t>
      </w:r>
    </w:p>
    <w:p w:rsidR="007D3553" w:rsidRPr="007D3553" w:rsidRDefault="007D3553" w:rsidP="007D3553">
      <w:pPr>
        <w:pStyle w:val="SingleTxtGR"/>
      </w:pPr>
      <w:r w:rsidRPr="007D3553">
        <w:t>8.1</w:t>
      </w:r>
      <w:r w:rsidRPr="007D3553">
        <w:tab/>
        <w:t>В соответствии с пунктом 1 статьи 5 Факультативного протокола Комитет по правам человека рассмотрел данное сообщение с учетом всей информации, представленной ему сторонами.</w:t>
      </w:r>
    </w:p>
    <w:p w:rsidR="007D3553" w:rsidRPr="007D3553" w:rsidRDefault="007D3553" w:rsidP="007D3553">
      <w:pPr>
        <w:pStyle w:val="SingleTxtGR"/>
      </w:pPr>
      <w:r w:rsidRPr="007D3553">
        <w:t>8.2</w:t>
      </w:r>
      <w:r w:rsidRPr="007D3553">
        <w:tab/>
        <w:t>Комитет должен ответить на вопрос о том, является ли отказ автору в а</w:t>
      </w:r>
      <w:r w:rsidRPr="007D3553">
        <w:t>к</w:t>
      </w:r>
      <w:r w:rsidRPr="007D3553">
        <w:t>кредитации при Национальном собрании государства-участника в целях осв</w:t>
      </w:r>
      <w:r w:rsidRPr="007D3553">
        <w:t>е</w:t>
      </w:r>
      <w:r w:rsidRPr="007D3553">
        <w:t>щения работы Палаты представителей нарушением ее права в соответствии со статьей 19 Пакта искать, получать и распространять информацию.</w:t>
      </w:r>
    </w:p>
    <w:p w:rsidR="007D3553" w:rsidRPr="007D3553" w:rsidRDefault="007D3553" w:rsidP="007D3553">
      <w:pPr>
        <w:pStyle w:val="SingleTxtGR"/>
      </w:pPr>
      <w:r w:rsidRPr="007D3553">
        <w:t>8.3</w:t>
      </w:r>
      <w:r w:rsidRPr="007D3553">
        <w:tab/>
        <w:t>Комитет напоминает, что пункт 2 статьи 19, трактуемый вместе со стат</w:t>
      </w:r>
      <w:r w:rsidRPr="007D3553">
        <w:t>ь</w:t>
      </w:r>
      <w:r w:rsidRPr="007D3553">
        <w:t>ей 25 Пакта, предусматривает право средств массовой информации на доступ к информации о государственных делах. Таким образом, свободная пресса и др</w:t>
      </w:r>
      <w:r w:rsidRPr="007D3553">
        <w:t>у</w:t>
      </w:r>
      <w:r w:rsidRPr="007D3553">
        <w:t>гие средства массовой информации могут иметь доступ к информации о де</w:t>
      </w:r>
      <w:r w:rsidRPr="007D3553">
        <w:t>я</w:t>
      </w:r>
      <w:r w:rsidRPr="007D3553">
        <w:t>тельности выборных органов и их членов и имеют возможность высказывать свои мнения по общественно значимым вопросам без цензуры или ограничений и информировать общественность</w:t>
      </w:r>
      <w:r w:rsidR="002F7FAD">
        <w:rPr>
          <w:rStyle w:val="FootnoteReference"/>
        </w:rPr>
        <w:footnoteReference w:id="7"/>
      </w:r>
      <w:r w:rsidRPr="007D3553">
        <w:t>. Любые ограничения, вводимые государс</w:t>
      </w:r>
      <w:r w:rsidRPr="007D3553">
        <w:t>т</w:t>
      </w:r>
      <w:r w:rsidRPr="007D3553">
        <w:t>вом-участником на осуществление прав, защищаемых пунктом 2 статьи 19, должны быть предусмотрены законом; они могут устанавливаться лишь на о</w:t>
      </w:r>
      <w:r w:rsidRPr="007D3553">
        <w:t>с</w:t>
      </w:r>
      <w:r w:rsidRPr="007D3553">
        <w:t xml:space="preserve">нованиях, предусмотренных в подпунктах </w:t>
      </w:r>
      <w:r w:rsidRPr="007D3553">
        <w:rPr>
          <w:lang w:val="en-US"/>
        </w:rPr>
        <w:t>a</w:t>
      </w:r>
      <w:r w:rsidRPr="007D3553">
        <w:t xml:space="preserve">) и </w:t>
      </w:r>
      <w:r w:rsidRPr="007D3553">
        <w:rPr>
          <w:lang w:val="en-US"/>
        </w:rPr>
        <w:t>b</w:t>
      </w:r>
      <w:r w:rsidRPr="007D3553">
        <w:t>) пункта 3, и должны строго о</w:t>
      </w:r>
      <w:r w:rsidRPr="007D3553">
        <w:t>т</w:t>
      </w:r>
      <w:r w:rsidRPr="007D3553">
        <w:t>вечать требованию необходимости и соразмерности</w:t>
      </w:r>
      <w:r w:rsidR="002F7FAD">
        <w:rPr>
          <w:rStyle w:val="FootnoteReference"/>
        </w:rPr>
        <w:footnoteReference w:id="8"/>
      </w:r>
      <w:r w:rsidRPr="007D3553">
        <w:t>. Комитет напоминает о том, что государство-участник должно продемонстрировать конкретно и пр</w:t>
      </w:r>
      <w:r w:rsidRPr="007D3553">
        <w:t>и</w:t>
      </w:r>
      <w:r w:rsidRPr="007D3553">
        <w:t>менительно к каждому отдельному случаю, почему данные меры были необх</w:t>
      </w:r>
      <w:r w:rsidRPr="007D3553">
        <w:t>о</w:t>
      </w:r>
      <w:r w:rsidR="002F7FAD">
        <w:t>димы и соразмерны</w:t>
      </w:r>
      <w:r w:rsidR="002F7FAD">
        <w:rPr>
          <w:rStyle w:val="FootnoteReference"/>
        </w:rPr>
        <w:footnoteReference w:id="9"/>
      </w:r>
      <w:r w:rsidRPr="007D3553">
        <w:t>. В отношении схем аккредитации для журналистов Ком</w:t>
      </w:r>
      <w:r w:rsidRPr="007D3553">
        <w:t>и</w:t>
      </w:r>
      <w:r w:rsidRPr="007D3553">
        <w:t>тет напоминает о том, что такие схемы допустимы только в ситуациях, когда журналистам необходимо обеспечить привилегированный доступ к определе</w:t>
      </w:r>
      <w:r w:rsidRPr="007D3553">
        <w:t>н</w:t>
      </w:r>
      <w:r w:rsidRPr="007D3553">
        <w:t>ным местам и/или мероприятиям. Такие схемы не должны носить дискримин</w:t>
      </w:r>
      <w:r w:rsidRPr="007D3553">
        <w:t>а</w:t>
      </w:r>
      <w:r w:rsidRPr="007D3553">
        <w:t>ционный характер и должны применяться в соответствии со статьей 19 и др</w:t>
      </w:r>
      <w:r w:rsidRPr="007D3553">
        <w:t>у</w:t>
      </w:r>
      <w:r w:rsidRPr="007D3553">
        <w:t>гими положениями Пакта на основе объективных критериев и с учетом того, что журналистские функции выполняет широкий круг лиц</w:t>
      </w:r>
      <w:r w:rsidR="00525757">
        <w:rPr>
          <w:rStyle w:val="FootnoteReference"/>
        </w:rPr>
        <w:footnoteReference w:id="10"/>
      </w:r>
      <w:r w:rsidRPr="007D3553">
        <w:t>. Соответствующие критерии аккредитации должны быть конкретными, справедливыми и разу</w:t>
      </w:r>
      <w:r w:rsidRPr="007D3553">
        <w:t>м</w:t>
      </w:r>
      <w:r w:rsidRPr="007D3553">
        <w:t>ными, и их примен</w:t>
      </w:r>
      <w:r w:rsidR="00525757">
        <w:t>ение должно быть транспарентным</w:t>
      </w:r>
      <w:r w:rsidR="00525757">
        <w:rPr>
          <w:rStyle w:val="FootnoteReference"/>
        </w:rPr>
        <w:footnoteReference w:id="11"/>
      </w:r>
      <w:r w:rsidRPr="007D3553">
        <w:t>.</w:t>
      </w:r>
    </w:p>
    <w:p w:rsidR="007D3553" w:rsidRPr="007D3553" w:rsidRDefault="007D3553" w:rsidP="007D3553">
      <w:pPr>
        <w:pStyle w:val="SingleTxtGR"/>
      </w:pPr>
      <w:r w:rsidRPr="007D3553">
        <w:t>8.4</w:t>
      </w:r>
      <w:r w:rsidRPr="007D3553">
        <w:tab/>
        <w:t>В данном случае отказ в предоставлении автору аккредитации при Н</w:t>
      </w:r>
      <w:r w:rsidRPr="007D3553">
        <w:t>а</w:t>
      </w:r>
      <w:r w:rsidRPr="007D3553">
        <w:t>циональном собрании государства-участника, который позволил бы ей как жу</w:t>
      </w:r>
      <w:r w:rsidRPr="007D3553">
        <w:t>р</w:t>
      </w:r>
      <w:r w:rsidRPr="007D3553">
        <w:t>налисту получить доступ к информации и затем передавать ее, с тем чтобы и</w:t>
      </w:r>
      <w:r w:rsidRPr="007D3553">
        <w:t>н</w:t>
      </w:r>
      <w:r w:rsidRPr="007D3553">
        <w:t>формировать читателей газеты "Народная воля" о работе Национального собр</w:t>
      </w:r>
      <w:r w:rsidRPr="007D3553">
        <w:t>а</w:t>
      </w:r>
      <w:r w:rsidRPr="007D3553">
        <w:t>ния, представляет собой ограничение на осуществление ею права на свободу выражения мнений. Комитет отмечает, что государство-участник не представ</w:t>
      </w:r>
      <w:r w:rsidRPr="007D3553">
        <w:t>и</w:t>
      </w:r>
      <w:r w:rsidRPr="007D3553">
        <w:t>ло замечаний по существу настоящего сообщения и поэтому не попыталось обосновать отказ в аккредитации действующим законодательством или соо</w:t>
      </w:r>
      <w:r w:rsidRPr="007D3553">
        <w:t>б</w:t>
      </w:r>
      <w:r w:rsidRPr="007D3553">
        <w:t>щить о применимости вышеупомянутых оснований для ограничения прав или их необходимости в данном конкретном случае. Кроме того, Комитет отмечает, что, согласно информации в деле, автору было отказано в аккредитации из-за того, что служба безопасности не дала ей допуска, вследствие чего она не имеет доступа на территорию административного комплекса "Советская 11", где ра</w:t>
      </w:r>
      <w:r w:rsidRPr="007D3553">
        <w:t>с</w:t>
      </w:r>
      <w:r w:rsidRPr="007D3553">
        <w:t>положено Национальное собрание. По имеющейся информации в деле, отказ властей был основан на Законе "О печати и других средствах массовой инфо</w:t>
      </w:r>
      <w:r w:rsidRPr="007D3553">
        <w:t>р</w:t>
      </w:r>
      <w:r w:rsidRPr="007D3553">
        <w:t xml:space="preserve">мации" и Правилах аккредитации журналистов средств массовой информации при Палате представителей Беларуси. </w:t>
      </w:r>
    </w:p>
    <w:p w:rsidR="007D3553" w:rsidRPr="007D3553" w:rsidRDefault="007D3553" w:rsidP="007D3553">
      <w:pPr>
        <w:pStyle w:val="SingleTxtGR"/>
      </w:pPr>
      <w:r w:rsidRPr="007D3553">
        <w:t>8.5</w:t>
      </w:r>
      <w:r w:rsidRPr="007D3553">
        <w:tab/>
        <w:t>Комитет должен рассмотреть вопрос о том, являются ли эти основания достаточно конкретными, чтобы можно было квалифицировать отказ автору в аккредитации как соответствующий закону и необходимый по основаниям, пр</w:t>
      </w:r>
      <w:r w:rsidRPr="007D3553">
        <w:t>е</w:t>
      </w:r>
      <w:r w:rsidRPr="007D3553">
        <w:t xml:space="preserve">дусмотренным в подпунктах </w:t>
      </w:r>
      <w:r w:rsidRPr="007D3553">
        <w:rPr>
          <w:lang w:val="en-US"/>
        </w:rPr>
        <w:t>a</w:t>
      </w:r>
      <w:r w:rsidRPr="007D3553">
        <w:t xml:space="preserve">) и </w:t>
      </w:r>
      <w:r w:rsidRPr="007D3553">
        <w:rPr>
          <w:lang w:val="en-US"/>
        </w:rPr>
        <w:t>b</w:t>
      </w:r>
      <w:r w:rsidRPr="007D3553">
        <w:t>) пункта 3 статьи 19. Комитет отмечает у</w:t>
      </w:r>
      <w:r w:rsidRPr="007D3553">
        <w:t>т</w:t>
      </w:r>
      <w:r w:rsidRPr="007D3553">
        <w:t>верждение автора о том, что статья 42 Закона "О печати и других средствах массовой информации", которая предусматривает аккредитацию журналистов, не содержит каких-либо оснований для лишения аккредитации, в то время как правило 11 Правил аккредитации журналистов средств массовой информации при Палате представителей Беларуси исключает аккредитацию, если журнал</w:t>
      </w:r>
      <w:r w:rsidRPr="007D3553">
        <w:t>и</w:t>
      </w:r>
      <w:r w:rsidRPr="007D3553">
        <w:t>сту отказано в допуске на территорию административного комплекса "Сове</w:t>
      </w:r>
      <w:r w:rsidRPr="007D3553">
        <w:t>т</w:t>
      </w:r>
      <w:r w:rsidRPr="007D3553">
        <w:t>ская 11". Комитет напоминает, что именно государство</w:t>
      </w:r>
      <w:r w:rsidR="00525757">
        <w:t>-</w:t>
      </w:r>
      <w:r w:rsidRPr="007D3553">
        <w:t>участник должно пре</w:t>
      </w:r>
      <w:r w:rsidRPr="007D3553">
        <w:t>д</w:t>
      </w:r>
      <w:r w:rsidRPr="007D3553">
        <w:t>ставлять правовое обоснование любого ограничения, установленного на осущ</w:t>
      </w:r>
      <w:r w:rsidRPr="007D3553">
        <w:t>е</w:t>
      </w:r>
      <w:r w:rsidRPr="007D3553">
        <w:t>ствление права свободного выражения мнений</w:t>
      </w:r>
      <w:r w:rsidR="00525757">
        <w:rPr>
          <w:rStyle w:val="FootnoteReference"/>
        </w:rPr>
        <w:footnoteReference w:id="12"/>
      </w:r>
      <w:r w:rsidRPr="007D3553">
        <w:t>. Для целей пункта 3 статьи 19 норма должна быть сформулирована с достаточной четкостью, чтобы отдел</w:t>
      </w:r>
      <w:r w:rsidRPr="007D3553">
        <w:t>ь</w:t>
      </w:r>
      <w:r w:rsidRPr="007D3553">
        <w:t>ные лица могли соответствующим обр</w:t>
      </w:r>
      <w:r w:rsidR="00525757">
        <w:t>азом выстраивать свое поведение</w:t>
      </w:r>
      <w:r w:rsidR="00525757">
        <w:rPr>
          <w:rStyle w:val="FootnoteReference"/>
        </w:rPr>
        <w:footnoteReference w:id="13"/>
      </w:r>
      <w:r w:rsidRPr="007D3553">
        <w:t>. Закон не должен наделять лиц, которым поручено его осуществление, неограниче</w:t>
      </w:r>
      <w:r w:rsidRPr="007D3553">
        <w:t>н</w:t>
      </w:r>
      <w:r w:rsidRPr="007D3553">
        <w:t>ными дискреционными полномочиями устанавливать ограничения на право свободного выражения мнений, однако должен предоставлять лицам, которым поручено его осуществление, достаточные руководящие указания для того, чт</w:t>
      </w:r>
      <w:r w:rsidRPr="007D3553">
        <w:t>о</w:t>
      </w:r>
      <w:r w:rsidRPr="007D3553">
        <w:t>бы они могли определить основу для ограниче</w:t>
      </w:r>
      <w:r w:rsidR="0063571E">
        <w:t>ния прав, закрепленных в ст</w:t>
      </w:r>
      <w:r w:rsidR="0063571E">
        <w:t>а</w:t>
      </w:r>
      <w:r w:rsidR="0063571E">
        <w:t>тье </w:t>
      </w:r>
      <w:r w:rsidRPr="007D3553">
        <w:t>19</w:t>
      </w:r>
      <w:r w:rsidR="0063571E">
        <w:rPr>
          <w:rStyle w:val="FootnoteReference"/>
        </w:rPr>
        <w:footnoteReference w:id="14"/>
      </w:r>
      <w:r w:rsidRPr="007D3553">
        <w:t>. В данном случае при отсутствии какой-либо дополнительной инфо</w:t>
      </w:r>
      <w:r w:rsidRPr="007D3553">
        <w:t>р</w:t>
      </w:r>
      <w:r w:rsidRPr="007D3553">
        <w:t>мации от государства-участника о правовых основаниях для отказа в допуске на территорию административного комплекса "Советская 11" Комитет делает в</w:t>
      </w:r>
      <w:r w:rsidRPr="007D3553">
        <w:t>ы</w:t>
      </w:r>
      <w:r w:rsidRPr="007D3553">
        <w:t>вод о том, что государство-участник не смогло показать для целей пункта 3 ст</w:t>
      </w:r>
      <w:r w:rsidRPr="007D3553">
        <w:t>а</w:t>
      </w:r>
      <w:r w:rsidRPr="007D3553">
        <w:t>тьи 19 Пакта, что отказ в предоставлении аккредитации автору основан на з</w:t>
      </w:r>
      <w:r w:rsidRPr="007D3553">
        <w:t>а</w:t>
      </w:r>
      <w:r w:rsidRPr="007D3553">
        <w:t>конодательстве и, кроме того, что он необходим для уважения прав и репутации других лиц и для охраны национальной безопасности или общественного п</w:t>
      </w:r>
      <w:r w:rsidRPr="007D3553">
        <w:t>о</w:t>
      </w:r>
      <w:r w:rsidRPr="007D3553">
        <w:t>рядка (</w:t>
      </w:r>
      <w:r w:rsidRPr="007D3553">
        <w:rPr>
          <w:lang w:val="en-US"/>
        </w:rPr>
        <w:t>ordre</w:t>
      </w:r>
      <w:r w:rsidRPr="007D3553">
        <w:t xml:space="preserve"> </w:t>
      </w:r>
      <w:r w:rsidRPr="007D3553">
        <w:rPr>
          <w:lang w:val="en-US"/>
        </w:rPr>
        <w:t>public</w:t>
      </w:r>
      <w:r w:rsidRPr="007D3553">
        <w:t xml:space="preserve">) либо охраны здоровья </w:t>
      </w:r>
      <w:r w:rsidR="0063571E">
        <w:t>или нравственности населения. В </w:t>
      </w:r>
      <w:r w:rsidRPr="007D3553">
        <w:t>этой связи Комитет приходит к выводу о том, что отказ в аккредитации автора при Н</w:t>
      </w:r>
      <w:r w:rsidRPr="007D3553">
        <w:t>а</w:t>
      </w:r>
      <w:r w:rsidRPr="007D3553">
        <w:t>циональном собрании представляет собой нарушение пункта 2 статьи 19 Пакта.</w:t>
      </w:r>
    </w:p>
    <w:p w:rsidR="007D3553" w:rsidRPr="007D3553" w:rsidRDefault="007D3553" w:rsidP="007D3553">
      <w:pPr>
        <w:pStyle w:val="SingleTxtGR"/>
      </w:pPr>
      <w:r w:rsidRPr="007D3553">
        <w:t>8.6</w:t>
      </w:r>
      <w:r w:rsidRPr="007D3553">
        <w:tab/>
        <w:t>Комитет далее отмечает, что национальные суды отказались рассматр</w:t>
      </w:r>
      <w:r w:rsidRPr="007D3553">
        <w:t>и</w:t>
      </w:r>
      <w:r w:rsidRPr="007D3553">
        <w:t>вать жалобу автора на отказ в аккредитации на том основании, что такие жал</w:t>
      </w:r>
      <w:r w:rsidRPr="007D3553">
        <w:t>о</w:t>
      </w:r>
      <w:r w:rsidRPr="007D3553">
        <w:t>бы не подпадают под юрисдикцию судов. В этой связи Комитет отмечает отсу</w:t>
      </w:r>
      <w:r w:rsidRPr="007D3553">
        <w:t>т</w:t>
      </w:r>
      <w:r w:rsidRPr="007D3553">
        <w:t>ствие возможностей для обращения за правовой защитой либо в суды, либо в Национальное собрание для определения правомерности отказа автору в дост</w:t>
      </w:r>
      <w:r w:rsidRPr="007D3553">
        <w:t>у</w:t>
      </w:r>
      <w:r w:rsidRPr="007D3553">
        <w:t>пе или его необходимости для целей, изложенных в статье 19 Пакта. Комитет напоминает, что в соответствии с пунктом 3 статьи 2 Пакта государства-участники обязались обеспечить любому лицу, права которого нарушены, э</w:t>
      </w:r>
      <w:r w:rsidRPr="007D3553">
        <w:t>ф</w:t>
      </w:r>
      <w:r w:rsidRPr="007D3553">
        <w:t>фективное средство правовой защиты и обеспечить, чтобы право на правовую защиту для любого лица, требующего такой защиты, устанавливалось комп</w:t>
      </w:r>
      <w:r w:rsidRPr="007D3553">
        <w:t>е</w:t>
      </w:r>
      <w:r w:rsidRPr="007D3553">
        <w:t>тентными органами. Соответственно, когда право, признанное в Пакте, затраг</w:t>
      </w:r>
      <w:r w:rsidRPr="007D3553">
        <w:t>и</w:t>
      </w:r>
      <w:r w:rsidRPr="007D3553">
        <w:t>вается действиями государственного ведомства, государство должно установить порядок, позволяющий человеку, право которого затрагивается его действиями, требовать восстановления нарушенных прав в компетентном органе</w:t>
      </w:r>
      <w:r w:rsidR="0063571E">
        <w:rPr>
          <w:rStyle w:val="FootnoteReference"/>
        </w:rPr>
        <w:footnoteReference w:id="15"/>
      </w:r>
      <w:r w:rsidRPr="007D3553">
        <w:t xml:space="preserve">. </w:t>
      </w:r>
    </w:p>
    <w:p w:rsidR="007D3553" w:rsidRPr="007D3553" w:rsidRDefault="007D3553" w:rsidP="007D3553">
      <w:pPr>
        <w:pStyle w:val="SingleTxtGR"/>
      </w:pPr>
      <w:r w:rsidRPr="007D3553">
        <w:t>8.7</w:t>
      </w:r>
      <w:r w:rsidRPr="007D3553">
        <w:tab/>
        <w:t xml:space="preserve">С учетом вышеизложенного и при отсутствии какой-либо информации от государства-участника по существу сообщения Комитет делает вывод о том, что права автора в соответствии с пунктом 2 статьи 19, рассматриваемого отдельно и в сочетании с пунктом 3 статьи 2 Пакта, были нарушены. </w:t>
      </w:r>
    </w:p>
    <w:p w:rsidR="007D3553" w:rsidRPr="007D3553" w:rsidRDefault="007D3553" w:rsidP="007D3553">
      <w:pPr>
        <w:pStyle w:val="SingleTxtGR"/>
      </w:pPr>
      <w:r w:rsidRPr="007D3553">
        <w:t>8.8</w:t>
      </w:r>
      <w:r w:rsidRPr="007D3553">
        <w:tab/>
        <w:t>С учетом этого вывода Комитет принимает решение не рассматривать о</w:t>
      </w:r>
      <w:r w:rsidRPr="007D3553">
        <w:t>т</w:t>
      </w:r>
      <w:r w:rsidRPr="007D3553">
        <w:t>дельно утверждения автора со ссылкой на пункт 1 статьи 14 Пакта.</w:t>
      </w:r>
    </w:p>
    <w:p w:rsidR="007D3553" w:rsidRPr="007D3553" w:rsidRDefault="007D3553" w:rsidP="007D3553">
      <w:pPr>
        <w:pStyle w:val="SingleTxtGR"/>
      </w:pPr>
      <w:r w:rsidRPr="007D3553">
        <w:t>9.</w:t>
      </w:r>
      <w:r w:rsidRPr="007D3553">
        <w:tab/>
        <w:t>Комитет по правам человека, действуя в со</w:t>
      </w:r>
      <w:r w:rsidR="0063571E">
        <w:t>ответствии с пунктом 4 ст</w:t>
      </w:r>
      <w:r w:rsidR="0063571E">
        <w:t>а</w:t>
      </w:r>
      <w:r w:rsidR="0063571E">
        <w:t>тьи </w:t>
      </w:r>
      <w:r w:rsidRPr="007D3553">
        <w:t>5 Факультативного протокола</w:t>
      </w:r>
      <w:r w:rsidR="00AA5A0E">
        <w:t xml:space="preserve"> к Международному пакту о гражданских и политических правах</w:t>
      </w:r>
      <w:r w:rsidRPr="007D3553">
        <w:t>, считает, что представленные ему на рассмотрение факты свидетельствуют о нарушении Беларусью пункта 2 статьи 19, рассматриваемого отдельно и в сочетании с пунктом 3 статьи 2 Пакта.</w:t>
      </w:r>
    </w:p>
    <w:p w:rsidR="007D3553" w:rsidRPr="007D3553" w:rsidRDefault="007D3553" w:rsidP="007D3553">
      <w:pPr>
        <w:pStyle w:val="SingleTxtGR"/>
      </w:pPr>
      <w:r w:rsidRPr="007D3553">
        <w:t>10.</w:t>
      </w:r>
      <w:r w:rsidRPr="007D3553">
        <w:tab/>
        <w:t>В соответствии с пунктом 3 а) статьи 2 Пакта государство-участник об</w:t>
      </w:r>
      <w:r w:rsidRPr="007D3553">
        <w:t>я</w:t>
      </w:r>
      <w:r w:rsidRPr="007D3553">
        <w:t>зано обеспечить автору эффективное средство правовой защиты, в том числе независимый пересмотр ее заявки об аккредитации и доступе в Национальное собрание государства-участника с полным соблюдением ее прав в соответствии с пунктом 2 статьи 19. Государство-участник также обязано предотвращать с</w:t>
      </w:r>
      <w:r w:rsidRPr="007D3553">
        <w:t>о</w:t>
      </w:r>
      <w:r w:rsidRPr="007D3553">
        <w:t>вершение подобных нарушений в будущем. С этой целью государству-участ</w:t>
      </w:r>
      <w:r w:rsidR="0063571E">
        <w:t>-</w:t>
      </w:r>
      <w:r w:rsidRPr="007D3553">
        <w:t>нику следует пересмотреть свое законодательство, в частности Правила аккр</w:t>
      </w:r>
      <w:r w:rsidRPr="007D3553">
        <w:t>е</w:t>
      </w:r>
      <w:r w:rsidRPr="007D3553">
        <w:t>дитации журналистов средств массовой информации при Палате представит</w:t>
      </w:r>
      <w:r w:rsidRPr="007D3553">
        <w:t>е</w:t>
      </w:r>
      <w:r w:rsidRPr="007D3553">
        <w:t>лей Беларуси, с тем чтобы обеспечить их совместимость со статьей 19 Па</w:t>
      </w:r>
      <w:r w:rsidRPr="007D3553">
        <w:t>к</w:t>
      </w:r>
      <w:r w:rsidRPr="007D3553">
        <w:t>та.</w:t>
      </w:r>
    </w:p>
    <w:p w:rsidR="006E7AF7" w:rsidRDefault="007D3553" w:rsidP="0063571E">
      <w:pPr>
        <w:pStyle w:val="SingleTxtGR"/>
      </w:pPr>
      <w:r w:rsidRPr="007D3553">
        <w:t>11.</w:t>
      </w:r>
      <w:r w:rsidRPr="007D3553">
        <w:tab/>
        <w:t>Принимая во внимание, что, присоединившись к Факультативному пр</w:t>
      </w:r>
      <w:r w:rsidRPr="007D3553">
        <w:t>о</w:t>
      </w:r>
      <w:r w:rsidRPr="007D3553">
        <w:t>токолу, государство-участник признало компетенцию Комитета определять н</w:t>
      </w:r>
      <w:r w:rsidRPr="007D3553">
        <w:t>а</w:t>
      </w:r>
      <w:r w:rsidRPr="007D3553">
        <w:t>личие или отсутствие нарушений Пакта и что согласно статье 2 Пакта госуда</w:t>
      </w:r>
      <w:r w:rsidRPr="007D3553">
        <w:t>р</w:t>
      </w:r>
      <w:r w:rsidRPr="007D3553">
        <w:t>ство-участник обязалось обеспечивать всем лицам, находящимся в пределах его территории и под его юрисдикцией, права, признаваемые в Пакте, и предоста</w:t>
      </w:r>
      <w:r w:rsidRPr="007D3553">
        <w:t>в</w:t>
      </w:r>
      <w:r w:rsidRPr="007D3553">
        <w:t>лять им эффективно обеспеченное правовой санкцией средство правовой защ</w:t>
      </w:r>
      <w:r w:rsidRPr="007D3553">
        <w:t>и</w:t>
      </w:r>
      <w:r w:rsidRPr="007D3553">
        <w:t>ты в случае установления факта нарушения, Комитет желал бы получить от г</w:t>
      </w:r>
      <w:r w:rsidRPr="007D3553">
        <w:t>о</w:t>
      </w:r>
      <w:r w:rsidRPr="007D3553">
        <w:t>сударства-участника в течение 180 дней информацию о мерах, принятых во и</w:t>
      </w:r>
      <w:r w:rsidRPr="007D3553">
        <w:t>с</w:t>
      </w:r>
      <w:r w:rsidRPr="007D3553">
        <w:t>полнение мер, предусмотренных настоящими Соображениями Комитета. Гос</w:t>
      </w:r>
      <w:r w:rsidRPr="007D3553">
        <w:t>у</w:t>
      </w:r>
      <w:r w:rsidRPr="007D3553">
        <w:t>дарству-участнику также предлагается опубликовать настоящие Соображения и обеспечить их широкое распространение в государстве-участнике на белору</w:t>
      </w:r>
      <w:r w:rsidRPr="007D3553">
        <w:t>с</w:t>
      </w:r>
      <w:r w:rsidRPr="007D3553">
        <w:t>ском и русском языках.</w:t>
      </w:r>
    </w:p>
    <w:p w:rsidR="0063571E" w:rsidRPr="0063571E" w:rsidRDefault="0063571E" w:rsidP="0063571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3571E" w:rsidRPr="0063571E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31D" w:rsidRDefault="00FE131D">
      <w:r>
        <w:rPr>
          <w:lang w:val="en-US"/>
        </w:rPr>
        <w:tab/>
      </w:r>
      <w:r>
        <w:separator/>
      </w:r>
    </w:p>
  </w:endnote>
  <w:endnote w:type="continuationSeparator" w:id="0">
    <w:p w:rsidR="00FE131D" w:rsidRDefault="00FE1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B0" w:rsidRPr="005F0588" w:rsidRDefault="007031B0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00DA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B50A08">
      <w:rPr>
        <w:lang w:val="en-US"/>
      </w:rPr>
      <w:t>4</w:t>
    </w:r>
    <w:r>
      <w:rPr>
        <w:lang w:val="en-US"/>
      </w:rPr>
      <w:t>-</w:t>
    </w:r>
    <w:r w:rsidR="00B50A08">
      <w:rPr>
        <w:lang w:val="en-US"/>
      </w:rPr>
      <w:t>14768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B0" w:rsidRPr="005F0588" w:rsidRDefault="007031B0">
    <w:pPr>
      <w:pStyle w:val="Footer"/>
      <w:rPr>
        <w:lang w:val="en-US"/>
      </w:rPr>
    </w:pPr>
    <w:r>
      <w:rPr>
        <w:lang w:val="en-US"/>
      </w:rPr>
      <w:t>GE.1</w:t>
    </w:r>
    <w:r w:rsidR="00B50A08">
      <w:rPr>
        <w:lang w:val="en-US"/>
      </w:rPr>
      <w:t>4</w:t>
    </w:r>
    <w:r>
      <w:rPr>
        <w:lang w:val="en-US"/>
      </w:rPr>
      <w:t>-</w:t>
    </w:r>
    <w:r w:rsidR="00B50A08">
      <w:rPr>
        <w:lang w:val="en-US"/>
      </w:rPr>
      <w:t>14768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00DA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7031B0" w:rsidTr="00611264">
      <w:trPr>
        <w:trHeight w:val="438"/>
      </w:trPr>
      <w:tc>
        <w:tcPr>
          <w:tcW w:w="4068" w:type="dxa"/>
          <w:vAlign w:val="bottom"/>
        </w:tcPr>
        <w:p w:rsidR="007031B0" w:rsidRPr="00B50A08" w:rsidRDefault="007031B0" w:rsidP="00611264">
          <w:r>
            <w:rPr>
              <w:lang w:val="en-US"/>
            </w:rPr>
            <w:t>GE.1</w:t>
          </w:r>
          <w:r w:rsidR="00645B52">
            <w:t>4</w:t>
          </w:r>
          <w:r>
            <w:rPr>
              <w:lang w:val="en-US"/>
            </w:rPr>
            <w:t>-</w:t>
          </w:r>
          <w:r w:rsidR="00645B52">
            <w:t>14768</w:t>
          </w:r>
          <w:r>
            <w:rPr>
              <w:lang w:val="en-US"/>
            </w:rPr>
            <w:t xml:space="preserve">  (R)</w:t>
          </w:r>
          <w:r w:rsidR="00B50A08">
            <w:t xml:space="preserve">  141014  141014</w:t>
          </w:r>
        </w:p>
      </w:tc>
      <w:tc>
        <w:tcPr>
          <w:tcW w:w="4663" w:type="dxa"/>
          <w:vMerge w:val="restart"/>
          <w:vAlign w:val="bottom"/>
        </w:tcPr>
        <w:p w:rsidR="007031B0" w:rsidRDefault="007031B0" w:rsidP="00611264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7031B0" w:rsidRDefault="009814B6" w:rsidP="00611264">
          <w:pPr>
            <w:jc w:val="right"/>
          </w:pPr>
          <w:r>
            <w:pict>
              <v:shape id="_x0000_i1027" type="#_x0000_t75" style="width:50.25pt;height:50.25pt">
                <v:imagedata r:id="rId2" o:title="2010&amp;Size=2&amp;Lang=R"/>
              </v:shape>
            </w:pict>
          </w:r>
        </w:p>
      </w:tc>
    </w:tr>
    <w:tr w:rsidR="007031B0" w:rsidRPr="00797A78" w:rsidTr="00611264">
      <w:tc>
        <w:tcPr>
          <w:tcW w:w="4068" w:type="dxa"/>
          <w:vAlign w:val="bottom"/>
        </w:tcPr>
        <w:p w:rsidR="007031B0" w:rsidRPr="009814B6" w:rsidRDefault="009814B6" w:rsidP="00611264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814B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814B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814B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9814B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814B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9814B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9814B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814B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9814B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7031B0" w:rsidRDefault="007031B0" w:rsidP="00611264"/>
      </w:tc>
      <w:tc>
        <w:tcPr>
          <w:tcW w:w="1124" w:type="dxa"/>
          <w:vMerge/>
        </w:tcPr>
        <w:p w:rsidR="007031B0" w:rsidRDefault="007031B0" w:rsidP="00611264"/>
      </w:tc>
    </w:tr>
  </w:tbl>
  <w:p w:rsidR="007031B0" w:rsidRDefault="007031B0" w:rsidP="00381289">
    <w:pPr>
      <w:spacing w:line="240" w:lineRule="auto"/>
      <w:rPr>
        <w:sz w:val="2"/>
        <w:szCs w:val="2"/>
        <w:lang w:val="en-US"/>
      </w:rPr>
    </w:pPr>
  </w:p>
  <w:p w:rsidR="007031B0" w:rsidRPr="002D7E3C" w:rsidRDefault="007031B0" w:rsidP="006E7AF7">
    <w:pPr>
      <w:pStyle w:val="Footer"/>
      <w:rPr>
        <w:sz w:val="2"/>
        <w:szCs w:val="2"/>
      </w:rPr>
    </w:pPr>
    <w:r w:rsidRPr="002D7E3C">
      <w:rPr>
        <w:noProof/>
        <w:sz w:val="2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0pt;margin-top:-193.15pt;width:36pt;height:162.95pt;z-index:1" filled="f" stroked="f">
          <v:textbox style="layout-flow:vertical" inset="0,0,0,0">
            <w:txbxContent>
              <w:p w:rsidR="007031B0" w:rsidRDefault="007031B0" w:rsidP="006E7AF7">
                <w:pPr>
                  <w:rPr>
                    <w:lang w:val="en-US"/>
                  </w:rPr>
                </w:pPr>
              </w:p>
              <w:p w:rsidR="007031B0" w:rsidRDefault="007031B0" w:rsidP="006E7AF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9D00DA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31D" w:rsidRPr="00F71F63" w:rsidRDefault="00FE131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FE131D" w:rsidRPr="00F71F63" w:rsidRDefault="00FE131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FE131D" w:rsidRPr="00635E86" w:rsidRDefault="00FE131D" w:rsidP="00635E86">
      <w:pPr>
        <w:pStyle w:val="Footer"/>
      </w:pPr>
    </w:p>
  </w:footnote>
  <w:footnote w:id="1">
    <w:p w:rsidR="007031B0" w:rsidRPr="00CD64AA" w:rsidRDefault="007031B0">
      <w:pPr>
        <w:pStyle w:val="FootnoteText"/>
        <w:rPr>
          <w:sz w:val="20"/>
          <w:lang w:val="ru-RU"/>
        </w:rPr>
      </w:pPr>
      <w:r>
        <w:tab/>
      </w:r>
      <w:r w:rsidRPr="00CD64AA">
        <w:rPr>
          <w:rStyle w:val="FootnoteReference"/>
          <w:sz w:val="20"/>
          <w:vertAlign w:val="baseline"/>
          <w:lang w:val="ru-RU"/>
        </w:rPr>
        <w:t>*</w:t>
      </w:r>
      <w:r w:rsidRPr="00CD64AA">
        <w:rPr>
          <w:lang w:val="ru-RU"/>
        </w:rPr>
        <w:tab/>
        <w:t>В рассмотрении настоящего сообщения участвовал</w:t>
      </w:r>
      <w:r w:rsidR="0050773C">
        <w:rPr>
          <w:lang w:val="ru-RU"/>
        </w:rPr>
        <w:t>и следующие члены Комитета: Ядх</w:t>
      </w:r>
      <w:r w:rsidR="0050773C">
        <w:rPr>
          <w:lang w:val="en-US"/>
        </w:rPr>
        <w:t> </w:t>
      </w:r>
      <w:r w:rsidRPr="00CD64AA">
        <w:rPr>
          <w:lang w:val="ru-RU"/>
        </w:rPr>
        <w:t>Бен Ашур, Лаза</w:t>
      </w:r>
      <w:r w:rsidR="00565EDF">
        <w:rPr>
          <w:lang w:val="ru-RU"/>
        </w:rPr>
        <w:t>х</w:t>
      </w:r>
      <w:r w:rsidRPr="00CD64AA">
        <w:rPr>
          <w:lang w:val="ru-RU"/>
        </w:rPr>
        <w:t xml:space="preserve">ри Бузид, Корнелис Флинтерман, Юдзи Ивасава, Вальтер Келин, Зонке Занеле Майодина, Джеральд Л. Нойман, </w:t>
      </w:r>
      <w:r w:rsidR="00565EDF">
        <w:rPr>
          <w:lang w:val="ru-RU"/>
        </w:rPr>
        <w:t>с</w:t>
      </w:r>
      <w:r w:rsidRPr="00CD64AA">
        <w:rPr>
          <w:lang w:val="ru-RU"/>
        </w:rPr>
        <w:t xml:space="preserve">эр Найджел Родли, </w:t>
      </w:r>
      <w:r w:rsidRPr="00CD64AA">
        <w:rPr>
          <w:color w:val="000000"/>
          <w:lang w:val="ru-RU"/>
        </w:rPr>
        <w:t>Виктор Мануэль Родригес-Ресия</w:t>
      </w:r>
      <w:r w:rsidRPr="00CD64AA">
        <w:rPr>
          <w:lang w:val="ru-RU"/>
        </w:rPr>
        <w:t>, Фабиан Омар Сальвиоли, Дируджлалл Ситулсингх, Ан</w:t>
      </w:r>
      <w:r w:rsidR="00565EDF">
        <w:rPr>
          <w:lang w:val="ru-RU"/>
        </w:rPr>
        <w:t>я</w:t>
      </w:r>
      <w:r w:rsidRPr="00CD64AA">
        <w:rPr>
          <w:lang w:val="ru-RU"/>
        </w:rPr>
        <w:t xml:space="preserve"> Зайберт-Фор, Юваль Шани, Константин Вардзелашвили, Марго Ватервал и Андрей Паул Злэтеску.</w:t>
      </w:r>
    </w:p>
  </w:footnote>
  <w:footnote w:id="2">
    <w:p w:rsidR="007031B0" w:rsidRPr="007031B0" w:rsidRDefault="007031B0">
      <w:pPr>
        <w:pStyle w:val="FootnoteText"/>
        <w:rPr>
          <w:lang w:val="ru-RU"/>
        </w:rPr>
      </w:pPr>
      <w:r w:rsidRPr="00565EDF">
        <w:rPr>
          <w:lang w:val="ru-RU"/>
        </w:rPr>
        <w:tab/>
      </w:r>
      <w:r>
        <w:rPr>
          <w:rStyle w:val="FootnoteReference"/>
        </w:rPr>
        <w:footnoteRef/>
      </w:r>
      <w:r w:rsidRPr="007031B0">
        <w:rPr>
          <w:lang w:val="ru-RU"/>
        </w:rPr>
        <w:tab/>
        <w:t>Факультативный протокол вступил в силу для Беларуси 30 декабря 1992 года.</w:t>
      </w:r>
    </w:p>
  </w:footnote>
  <w:footnote w:id="3">
    <w:p w:rsidR="00AF7E7D" w:rsidRPr="00AF7E7D" w:rsidRDefault="00AF7E7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AF7E7D">
        <w:rPr>
          <w:lang w:val="ru-RU"/>
        </w:rPr>
        <w:tab/>
        <w:t>Автор ссылается на статью 1 Факультативного протокола к Пакту.</w:t>
      </w:r>
    </w:p>
  </w:footnote>
  <w:footnote w:id="4">
    <w:p w:rsidR="00AF7E7D" w:rsidRPr="00AF7E7D" w:rsidRDefault="00AF7E7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AF7E7D">
        <w:rPr>
          <w:lang w:val="ru-RU"/>
        </w:rPr>
        <w:tab/>
      </w:r>
      <w:r>
        <w:t>C</w:t>
      </w:r>
      <w:r w:rsidRPr="00AF7E7D">
        <w:rPr>
          <w:lang w:val="ru-RU"/>
        </w:rPr>
        <w:t xml:space="preserve">м., в частности, сообщение № 869/1999, </w:t>
      </w:r>
      <w:r w:rsidRPr="00AF7E7D">
        <w:rPr>
          <w:i/>
          <w:lang w:val="ru-RU"/>
        </w:rPr>
        <w:t>Пиандионг и др. против Филиппин</w:t>
      </w:r>
      <w:r w:rsidRPr="00AF7E7D">
        <w:rPr>
          <w:lang w:val="ru-RU"/>
        </w:rPr>
        <w:t>, Соображения, принят</w:t>
      </w:r>
      <w:r>
        <w:rPr>
          <w:lang w:val="ru-RU"/>
        </w:rPr>
        <w:t xml:space="preserve">ые 19 октября 2000 года, пункт </w:t>
      </w:r>
      <w:r w:rsidRPr="00AF7E7D">
        <w:rPr>
          <w:lang w:val="ru-RU"/>
        </w:rPr>
        <w:t>5.1.</w:t>
      </w:r>
    </w:p>
  </w:footnote>
  <w:footnote w:id="5">
    <w:p w:rsidR="00AF7E7D" w:rsidRPr="00AF7E7D" w:rsidRDefault="00AF7E7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AF7E7D">
        <w:rPr>
          <w:lang w:val="ru-RU"/>
        </w:rPr>
        <w:tab/>
        <w:t xml:space="preserve">См., например, сообщение № 1226/2003, </w:t>
      </w:r>
      <w:r w:rsidRPr="00AF7E7D">
        <w:rPr>
          <w:i/>
          <w:lang w:val="ru-RU"/>
        </w:rPr>
        <w:t>Корнеенко против Беларуси</w:t>
      </w:r>
      <w:r w:rsidRPr="00AF7E7D">
        <w:rPr>
          <w:lang w:val="ru-RU"/>
        </w:rPr>
        <w:t xml:space="preserve">, Соображения, принятые 20 июля 2012 года, пункт 8.2; № 1948/2010, </w:t>
      </w:r>
      <w:r w:rsidRPr="00AF7E7D">
        <w:rPr>
          <w:i/>
          <w:lang w:val="ru-RU"/>
        </w:rPr>
        <w:t>Турченяк и др. против Беларуси</w:t>
      </w:r>
      <w:r w:rsidRPr="00AF7E7D">
        <w:rPr>
          <w:lang w:val="ru-RU"/>
        </w:rPr>
        <w:t>, Соображения, принятые 24 июля 2013 года, пункт 5.2.</w:t>
      </w:r>
    </w:p>
  </w:footnote>
  <w:footnote w:id="6">
    <w:p w:rsidR="002F7FAD" w:rsidRPr="002F7FAD" w:rsidRDefault="002F7FA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2F7FAD">
        <w:rPr>
          <w:lang w:val="ru-RU"/>
        </w:rPr>
        <w:tab/>
        <w:t xml:space="preserve">Сообщение № 1873/2009, </w:t>
      </w:r>
      <w:r w:rsidRPr="002F7FAD">
        <w:rPr>
          <w:i/>
          <w:lang w:val="ru-RU"/>
        </w:rPr>
        <w:t>Алексеев против Российской Федерации</w:t>
      </w:r>
      <w:r w:rsidRPr="002F7FAD">
        <w:rPr>
          <w:lang w:val="ru-RU"/>
        </w:rPr>
        <w:t>, Соображения, принятые 25 октября 2013 года, пункт 8.4.</w:t>
      </w:r>
    </w:p>
  </w:footnote>
  <w:footnote w:id="7">
    <w:p w:rsidR="002F7FAD" w:rsidRPr="002F7FAD" w:rsidRDefault="002F7FA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2F7FAD">
        <w:rPr>
          <w:lang w:val="ru-RU"/>
        </w:rPr>
        <w:tab/>
      </w:r>
      <w:r w:rsidRPr="002F7FAD">
        <w:rPr>
          <w:rStyle w:val="FootnoteTextChar"/>
          <w:lang w:val="ru-RU"/>
        </w:rPr>
        <w:t>См. сообщение № 633/1995,</w:t>
      </w:r>
      <w:r w:rsidRPr="002F7FAD">
        <w:rPr>
          <w:rStyle w:val="FootnoteTextChar"/>
          <w:i/>
          <w:lang w:val="ru-RU"/>
        </w:rPr>
        <w:t xml:space="preserve"> Готье против Канады</w:t>
      </w:r>
      <w:r w:rsidRPr="002F7FAD">
        <w:rPr>
          <w:rStyle w:val="FootnoteTextChar"/>
          <w:lang w:val="ru-RU"/>
        </w:rPr>
        <w:t>, Соображения, принятые 5 мая 1999 года, пункт 13.4 и замечание общего порядка Комитета 34 (2011) о свободе мнений и их выражения, пункты 18 и 20. См. также замечание общего порядка Комитета № 25 (1996) относительно права принимать участие в ведении государственных дел, голосовать и быть избранным и права на равный доступ к государственной службе, пункт 25.</w:t>
      </w:r>
    </w:p>
  </w:footnote>
  <w:footnote w:id="8">
    <w:p w:rsidR="002F7FAD" w:rsidRPr="002F7FAD" w:rsidRDefault="002F7FA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2F7FAD">
        <w:rPr>
          <w:lang w:val="ru-RU"/>
        </w:rPr>
        <w:tab/>
        <w:t>См. сообщение № 1022/2001,</w:t>
      </w:r>
      <w:r w:rsidRPr="002F7FAD">
        <w:rPr>
          <w:i/>
          <w:lang w:val="ru-RU"/>
        </w:rPr>
        <w:t xml:space="preserve"> Величкин против Беларуси</w:t>
      </w:r>
      <w:r w:rsidRPr="002F7FAD">
        <w:rPr>
          <w:lang w:val="ru-RU"/>
        </w:rPr>
        <w:t>, Соображения, принят</w:t>
      </w:r>
      <w:r>
        <w:rPr>
          <w:lang w:val="ru-RU"/>
        </w:rPr>
        <w:t>ые 20 </w:t>
      </w:r>
      <w:r w:rsidRPr="002F7FAD">
        <w:rPr>
          <w:lang w:val="ru-RU"/>
        </w:rPr>
        <w:t>октября 2005 года, пункт 7.3.</w:t>
      </w:r>
    </w:p>
  </w:footnote>
  <w:footnote w:id="9">
    <w:p w:rsidR="002F7FAD" w:rsidRPr="002F7FAD" w:rsidRDefault="002F7FA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525757">
        <w:rPr>
          <w:lang w:val="ru-RU"/>
        </w:rPr>
        <w:tab/>
      </w:r>
      <w:r w:rsidR="00525757" w:rsidRPr="00525757">
        <w:rPr>
          <w:lang w:val="ru-RU"/>
        </w:rPr>
        <w:t xml:space="preserve">См. сообщение № 926/2000, </w:t>
      </w:r>
      <w:r w:rsidR="00525757" w:rsidRPr="00525757">
        <w:rPr>
          <w:i/>
          <w:lang w:val="ru-RU"/>
        </w:rPr>
        <w:t>Шин против Республики Корея</w:t>
      </w:r>
      <w:r w:rsidR="00525757" w:rsidRPr="00525757">
        <w:rPr>
          <w:lang w:val="ru-RU"/>
        </w:rPr>
        <w:t xml:space="preserve">, Соображения, принятые 16 марта 2004 года, пункт 7.3. </w:t>
      </w:r>
      <w:r w:rsidR="00525757" w:rsidRPr="003F43B0">
        <w:rPr>
          <w:lang w:val="ru-RU"/>
        </w:rPr>
        <w:t xml:space="preserve">См. также замечание общего порядка 34 (примечание </w:t>
      </w:r>
      <w:r w:rsidR="007C3759">
        <w:rPr>
          <w:lang w:val="ru-RU"/>
        </w:rPr>
        <w:t>6</w:t>
      </w:r>
      <w:r w:rsidR="00525757" w:rsidRPr="003F43B0">
        <w:rPr>
          <w:lang w:val="ru-RU"/>
        </w:rPr>
        <w:t xml:space="preserve"> выше), пункт 35.</w:t>
      </w:r>
    </w:p>
  </w:footnote>
  <w:footnote w:id="10">
    <w:p w:rsidR="00525757" w:rsidRPr="00525757" w:rsidRDefault="00525757">
      <w:pPr>
        <w:pStyle w:val="FootnoteText"/>
        <w:rPr>
          <w:lang w:val="ru-RU"/>
        </w:rPr>
      </w:pPr>
      <w:r w:rsidRPr="003F43B0">
        <w:rPr>
          <w:lang w:val="ru-RU"/>
        </w:rPr>
        <w:tab/>
      </w:r>
      <w:r>
        <w:rPr>
          <w:rStyle w:val="FootnoteReference"/>
        </w:rPr>
        <w:footnoteRef/>
      </w:r>
      <w:r w:rsidRPr="00525757">
        <w:rPr>
          <w:lang w:val="ru-RU"/>
        </w:rPr>
        <w:tab/>
        <w:t xml:space="preserve">См. также замечание общего порядка 34 (примечание </w:t>
      </w:r>
      <w:r w:rsidR="007C3759">
        <w:rPr>
          <w:lang w:val="ru-RU"/>
        </w:rPr>
        <w:t>6</w:t>
      </w:r>
      <w:r w:rsidRPr="00525757">
        <w:rPr>
          <w:lang w:val="ru-RU"/>
        </w:rPr>
        <w:t xml:space="preserve"> выше), пункт 44.</w:t>
      </w:r>
    </w:p>
  </w:footnote>
  <w:footnote w:id="11">
    <w:p w:rsidR="00525757" w:rsidRPr="00525757" w:rsidRDefault="00525757">
      <w:pPr>
        <w:pStyle w:val="FootnoteText"/>
        <w:rPr>
          <w:lang w:val="ru-RU"/>
        </w:rPr>
      </w:pPr>
      <w:r w:rsidRPr="003F43B0">
        <w:rPr>
          <w:lang w:val="ru-RU"/>
        </w:rPr>
        <w:tab/>
      </w:r>
      <w:r>
        <w:rPr>
          <w:rStyle w:val="FootnoteReference"/>
        </w:rPr>
        <w:footnoteRef/>
      </w:r>
      <w:r w:rsidRPr="00525757">
        <w:rPr>
          <w:lang w:val="ru-RU"/>
        </w:rPr>
        <w:tab/>
        <w:t xml:space="preserve">См. </w:t>
      </w:r>
      <w:r w:rsidRPr="00525757">
        <w:rPr>
          <w:i/>
          <w:lang w:val="ru-RU"/>
        </w:rPr>
        <w:t>Готье против Канады</w:t>
      </w:r>
      <w:r w:rsidRPr="00525757">
        <w:rPr>
          <w:lang w:val="ru-RU"/>
        </w:rPr>
        <w:t xml:space="preserve"> (примечание </w:t>
      </w:r>
      <w:r w:rsidR="007C3759">
        <w:rPr>
          <w:lang w:val="ru-RU"/>
        </w:rPr>
        <w:t>6</w:t>
      </w:r>
      <w:r w:rsidRPr="00525757">
        <w:rPr>
          <w:lang w:val="ru-RU"/>
        </w:rPr>
        <w:t xml:space="preserve"> выше), пункт 13.6.</w:t>
      </w:r>
    </w:p>
  </w:footnote>
  <w:footnote w:id="12">
    <w:p w:rsidR="00525757" w:rsidRPr="00525757" w:rsidRDefault="00525757">
      <w:pPr>
        <w:pStyle w:val="FootnoteText"/>
        <w:rPr>
          <w:lang w:val="ru-RU"/>
        </w:rPr>
      </w:pPr>
      <w:r w:rsidRPr="003F43B0">
        <w:rPr>
          <w:lang w:val="ru-RU"/>
        </w:rPr>
        <w:tab/>
      </w:r>
      <w:r>
        <w:rPr>
          <w:rStyle w:val="FootnoteReference"/>
        </w:rPr>
        <w:footnoteRef/>
      </w:r>
      <w:r w:rsidRPr="00525757">
        <w:rPr>
          <w:lang w:val="ru-RU"/>
        </w:rPr>
        <w:tab/>
        <w:t>См., например, сообщение № 1553/2007,</w:t>
      </w:r>
      <w:r w:rsidRPr="00525757">
        <w:rPr>
          <w:i/>
          <w:lang w:val="ru-RU"/>
        </w:rPr>
        <w:t xml:space="preserve"> Величкин против Беларуси</w:t>
      </w:r>
      <w:r w:rsidRPr="00525757">
        <w:rPr>
          <w:lang w:val="ru-RU"/>
        </w:rPr>
        <w:t>, Соображения, принятые 20 октября 2005 года, пункт 8.3.</w:t>
      </w:r>
    </w:p>
  </w:footnote>
  <w:footnote w:id="13">
    <w:p w:rsidR="00525757" w:rsidRPr="00525757" w:rsidRDefault="00525757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525757">
        <w:rPr>
          <w:lang w:val="ru-RU"/>
        </w:rPr>
        <w:tab/>
        <w:t xml:space="preserve">См. также замечание общего порядка 34 (примечание </w:t>
      </w:r>
      <w:r w:rsidR="007C3759">
        <w:rPr>
          <w:lang w:val="ru-RU"/>
        </w:rPr>
        <w:t>6</w:t>
      </w:r>
      <w:r w:rsidRPr="00525757">
        <w:rPr>
          <w:lang w:val="ru-RU"/>
        </w:rPr>
        <w:t xml:space="preserve"> выше), пункт</w:t>
      </w:r>
      <w:r>
        <w:t> </w:t>
      </w:r>
      <w:r w:rsidRPr="00525757">
        <w:rPr>
          <w:lang w:val="ru-RU"/>
        </w:rPr>
        <w:t>25.</w:t>
      </w:r>
    </w:p>
  </w:footnote>
  <w:footnote w:id="14">
    <w:p w:rsidR="0063571E" w:rsidRPr="0063571E" w:rsidRDefault="0063571E">
      <w:pPr>
        <w:pStyle w:val="FootnoteText"/>
        <w:rPr>
          <w:lang w:val="ru-RU"/>
        </w:rPr>
      </w:pPr>
      <w:r w:rsidRPr="003F43B0">
        <w:rPr>
          <w:lang w:val="ru-RU"/>
        </w:rPr>
        <w:tab/>
      </w:r>
      <w:r>
        <w:rPr>
          <w:rStyle w:val="FootnoteReference"/>
        </w:rPr>
        <w:footnoteRef/>
      </w:r>
      <w:r>
        <w:tab/>
        <w:t>Там же, пункт 25</w:t>
      </w:r>
      <w:r>
        <w:rPr>
          <w:lang w:val="ru-RU"/>
        </w:rPr>
        <w:t>.</w:t>
      </w:r>
    </w:p>
  </w:footnote>
  <w:footnote w:id="15">
    <w:p w:rsidR="0063571E" w:rsidRPr="0063571E" w:rsidRDefault="0063571E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63571E">
        <w:rPr>
          <w:lang w:val="ru-RU"/>
        </w:rPr>
        <w:tab/>
        <w:t xml:space="preserve">См., например, </w:t>
      </w:r>
      <w:r w:rsidRPr="0063571E">
        <w:rPr>
          <w:i/>
          <w:lang w:val="ru-RU"/>
        </w:rPr>
        <w:t>Готье против Канады</w:t>
      </w:r>
      <w:r w:rsidRPr="0063571E">
        <w:rPr>
          <w:lang w:val="ru-RU"/>
        </w:rPr>
        <w:t xml:space="preserve"> (примечание </w:t>
      </w:r>
      <w:r w:rsidR="007C3759">
        <w:rPr>
          <w:lang w:val="ru-RU"/>
        </w:rPr>
        <w:t>6</w:t>
      </w:r>
      <w:r w:rsidRPr="0063571E">
        <w:rPr>
          <w:lang w:val="ru-RU"/>
        </w:rPr>
        <w:t xml:space="preserve"> выше), пункт 13.7.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B0" w:rsidRPr="00B50A08" w:rsidRDefault="007031B0">
    <w:pPr>
      <w:pStyle w:val="Header"/>
      <w:rPr>
        <w:lang w:val="en-US"/>
      </w:rPr>
    </w:pPr>
    <w:r>
      <w:rPr>
        <w:lang w:val="en-US"/>
      </w:rPr>
      <w:t>CCPR/</w:t>
    </w:r>
    <w:r w:rsidR="00B50A08">
      <w:rPr>
        <w:lang w:val="en-US"/>
      </w:rPr>
      <w:t>C/111/D/1985/2010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B0" w:rsidRPr="005F0588" w:rsidRDefault="007031B0">
    <w:pPr>
      <w:pStyle w:val="Header"/>
      <w:rPr>
        <w:lang w:val="en-US"/>
      </w:rPr>
    </w:pPr>
    <w:r>
      <w:rPr>
        <w:lang w:val="en-US"/>
      </w:rPr>
      <w:tab/>
      <w:t>CCPR/</w:t>
    </w:r>
    <w:r w:rsidR="00B50A08">
      <w:rPr>
        <w:lang w:val="en-US"/>
      </w:rPr>
      <w:t>C/111/D/1985/2010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553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64E19"/>
    <w:rsid w:val="00072C27"/>
    <w:rsid w:val="00086182"/>
    <w:rsid w:val="00090891"/>
    <w:rsid w:val="00092E62"/>
    <w:rsid w:val="00097975"/>
    <w:rsid w:val="000A3DDF"/>
    <w:rsid w:val="000A60A0"/>
    <w:rsid w:val="000C3688"/>
    <w:rsid w:val="000D14BE"/>
    <w:rsid w:val="000D6863"/>
    <w:rsid w:val="000F1B13"/>
    <w:rsid w:val="000F410F"/>
    <w:rsid w:val="00117AEE"/>
    <w:rsid w:val="0013541F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2F7FAD"/>
    <w:rsid w:val="003215F5"/>
    <w:rsid w:val="00332891"/>
    <w:rsid w:val="0034023E"/>
    <w:rsid w:val="00352E97"/>
    <w:rsid w:val="00356BB2"/>
    <w:rsid w:val="00360477"/>
    <w:rsid w:val="00367956"/>
    <w:rsid w:val="00367FC9"/>
    <w:rsid w:val="003711A1"/>
    <w:rsid w:val="00372123"/>
    <w:rsid w:val="00381289"/>
    <w:rsid w:val="00386581"/>
    <w:rsid w:val="00387100"/>
    <w:rsid w:val="003951D3"/>
    <w:rsid w:val="003978C6"/>
    <w:rsid w:val="003A30BA"/>
    <w:rsid w:val="003B40A9"/>
    <w:rsid w:val="003C016E"/>
    <w:rsid w:val="003D5EBD"/>
    <w:rsid w:val="003F43B0"/>
    <w:rsid w:val="00401CE0"/>
    <w:rsid w:val="00403234"/>
    <w:rsid w:val="00407AC3"/>
    <w:rsid w:val="00414586"/>
    <w:rsid w:val="00415059"/>
    <w:rsid w:val="00424FDD"/>
    <w:rsid w:val="0043033D"/>
    <w:rsid w:val="00435FE4"/>
    <w:rsid w:val="0044158E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0773C"/>
    <w:rsid w:val="0051339C"/>
    <w:rsid w:val="0051412F"/>
    <w:rsid w:val="00522B6F"/>
    <w:rsid w:val="0052430E"/>
    <w:rsid w:val="00525757"/>
    <w:rsid w:val="005276AD"/>
    <w:rsid w:val="00534E6D"/>
    <w:rsid w:val="00540A9A"/>
    <w:rsid w:val="00543522"/>
    <w:rsid w:val="00545680"/>
    <w:rsid w:val="00565EDF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264"/>
    <w:rsid w:val="006115AA"/>
    <w:rsid w:val="006120AE"/>
    <w:rsid w:val="0063571E"/>
    <w:rsid w:val="00635E86"/>
    <w:rsid w:val="00636A37"/>
    <w:rsid w:val="00637738"/>
    <w:rsid w:val="00645B52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E7AF7"/>
    <w:rsid w:val="006F5FBF"/>
    <w:rsid w:val="007031B0"/>
    <w:rsid w:val="0070327E"/>
    <w:rsid w:val="00707B5F"/>
    <w:rsid w:val="00735602"/>
    <w:rsid w:val="0075279B"/>
    <w:rsid w:val="00753748"/>
    <w:rsid w:val="00762446"/>
    <w:rsid w:val="00781ACB"/>
    <w:rsid w:val="007A79EB"/>
    <w:rsid w:val="007C3759"/>
    <w:rsid w:val="007D3553"/>
    <w:rsid w:val="007D4CA0"/>
    <w:rsid w:val="007D7A23"/>
    <w:rsid w:val="007E0C40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B56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814B6"/>
    <w:rsid w:val="009B1D9B"/>
    <w:rsid w:val="009B4074"/>
    <w:rsid w:val="009C30BB"/>
    <w:rsid w:val="009C60BE"/>
    <w:rsid w:val="009D00DA"/>
    <w:rsid w:val="009E6279"/>
    <w:rsid w:val="009F00A6"/>
    <w:rsid w:val="009F56A7"/>
    <w:rsid w:val="009F5B05"/>
    <w:rsid w:val="009F779D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A5A0E"/>
    <w:rsid w:val="00AB5BF0"/>
    <w:rsid w:val="00AC1C95"/>
    <w:rsid w:val="00AC2CCB"/>
    <w:rsid w:val="00AC443A"/>
    <w:rsid w:val="00AE60E2"/>
    <w:rsid w:val="00AF7E7D"/>
    <w:rsid w:val="00B0169F"/>
    <w:rsid w:val="00B05F21"/>
    <w:rsid w:val="00B14EA9"/>
    <w:rsid w:val="00B30A3C"/>
    <w:rsid w:val="00B50A08"/>
    <w:rsid w:val="00B81305"/>
    <w:rsid w:val="00BB17DC"/>
    <w:rsid w:val="00BB1AF9"/>
    <w:rsid w:val="00BB4C4A"/>
    <w:rsid w:val="00BC7F12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D29AD"/>
    <w:rsid w:val="00CD64AA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57190"/>
    <w:rsid w:val="00D6236B"/>
    <w:rsid w:val="00D76358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33FC7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C7C03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045A"/>
    <w:rsid w:val="00F87506"/>
    <w:rsid w:val="00F92C41"/>
    <w:rsid w:val="00FA5522"/>
    <w:rsid w:val="00FA6E4A"/>
    <w:rsid w:val="00FB2B35"/>
    <w:rsid w:val="00FC4AE1"/>
    <w:rsid w:val="00FD78A3"/>
    <w:rsid w:val="00FE131D"/>
    <w:rsid w:val="00FF6C8A"/>
    <w:rsid w:val="00FF6D71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,Footnote Text Char Char Char Char Char,Footnote Text Char Char Char Char,Footnote reference,FA Fu,Footnote Text Char Char Char,Footnote Reference1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noteTextChar">
    <w:name w:val="Footnote Text Char"/>
    <w:aliases w:val="5_GR Char,5_G Char,Footnote Text Char Char Char Char Char Char,Footnote Text Char Char Char Char Char1,Footnote reference Char,FA Fu Char,Footnote Text Char Char Char Char1,Footnote Reference1 Char"/>
    <w:link w:val="FootnoteText"/>
    <w:rsid w:val="002F7FAD"/>
    <w:rPr>
      <w:spacing w:val="5"/>
      <w:w w:val="104"/>
      <w:kern w:val="14"/>
      <w:sz w:val="18"/>
      <w:lang w:val="en-GB" w:eastAsia="ru-RU" w:bidi="ar-SA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2</TotalTime>
  <Pages>1</Pages>
  <Words>3941</Words>
  <Characters>26215</Characters>
  <Application>Microsoft Office Outlook</Application>
  <DocSecurity>4</DocSecurity>
  <Lines>494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1414768</vt:lpstr>
    </vt:vector>
  </TitlesOfParts>
  <Company>CSD</Company>
  <LinksUpToDate>false</LinksUpToDate>
  <CharactersWithSpaces>30046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1414768</dc:title>
  <dc:subject>CCPR/C/111/D/1985/2010</dc:subject>
  <dc:creator>Anna Petelina</dc:creator>
  <cp:keywords/>
  <dc:description>Final</dc:description>
  <cp:lastModifiedBy>Anna Petelina</cp:lastModifiedBy>
  <cp:revision>4</cp:revision>
  <cp:lastPrinted>1601-01-01T00:00:00Z</cp:lastPrinted>
  <dcterms:created xsi:type="dcterms:W3CDTF">2014-10-14T13:01:00Z</dcterms:created>
  <dcterms:modified xsi:type="dcterms:W3CDTF">2014-10-14T13:07:00Z</dcterms:modified>
</cp:coreProperties>
</file>