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ED7442" w:rsidRDefault="006B3E27" w:rsidP="00E70E04">
            <w:pPr>
              <w:jc w:val="center"/>
              <w:rPr>
                <w:rFonts w:hint="cs"/>
                <w:sz w:val="56"/>
                <w:szCs w:val="56"/>
              </w:rPr>
            </w:pPr>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C11D20" w:rsidP="00C11D20">
            <w:pPr>
              <w:bidi w:val="0"/>
              <w:spacing w:after="20"/>
              <w:jc w:val="left"/>
              <w:rPr>
                <w:szCs w:val="20"/>
              </w:rPr>
            </w:pPr>
            <w:r w:rsidRPr="00C11D20">
              <w:rPr>
                <w:sz w:val="40"/>
                <w:szCs w:val="20"/>
              </w:rPr>
              <w:t>CCPR</w:t>
            </w:r>
            <w:r>
              <w:rPr>
                <w:szCs w:val="20"/>
              </w:rPr>
              <w:t>/C/112/D/1999/2010</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4CC4C1E4" wp14:editId="334F17B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C11D20" w:rsidP="00C11D20">
            <w:pPr>
              <w:bidi w:val="0"/>
              <w:spacing w:before="240"/>
              <w:jc w:val="left"/>
              <w:rPr>
                <w:szCs w:val="20"/>
              </w:rPr>
            </w:pPr>
            <w:r>
              <w:rPr>
                <w:szCs w:val="20"/>
              </w:rPr>
              <w:t>Distr.: General</w:t>
            </w:r>
          </w:p>
          <w:p w:rsidR="00C11D20" w:rsidRDefault="00C11D20" w:rsidP="00C11D20">
            <w:pPr>
              <w:bidi w:val="0"/>
              <w:jc w:val="left"/>
              <w:rPr>
                <w:szCs w:val="20"/>
              </w:rPr>
            </w:pPr>
            <w:r>
              <w:rPr>
                <w:szCs w:val="20"/>
              </w:rPr>
              <w:t>25 November 2014</w:t>
            </w:r>
          </w:p>
          <w:p w:rsidR="00C11D20" w:rsidRDefault="00C11D20" w:rsidP="00C11D20">
            <w:pPr>
              <w:bidi w:val="0"/>
              <w:jc w:val="left"/>
              <w:rPr>
                <w:szCs w:val="20"/>
              </w:rPr>
            </w:pPr>
            <w:r>
              <w:rPr>
                <w:szCs w:val="20"/>
              </w:rPr>
              <w:t>Arabic</w:t>
            </w:r>
          </w:p>
          <w:p w:rsidR="00C11D20" w:rsidRPr="00CB6622" w:rsidRDefault="00C11D20" w:rsidP="00C11D20">
            <w:pPr>
              <w:bidi w:val="0"/>
              <w:jc w:val="left"/>
              <w:rPr>
                <w:szCs w:val="20"/>
              </w:rPr>
            </w:pPr>
            <w:r>
              <w:rPr>
                <w:szCs w:val="20"/>
              </w:rPr>
              <w:t>Original: English</w:t>
            </w:r>
          </w:p>
        </w:tc>
      </w:tr>
    </w:tbl>
    <w:p w:rsidR="00B54045" w:rsidRPr="003C3338" w:rsidRDefault="003C3338" w:rsidP="00B54045">
      <w:pPr>
        <w:spacing w:before="120" w:line="380" w:lineRule="exact"/>
        <w:jc w:val="left"/>
        <w:rPr>
          <w:b/>
          <w:bCs/>
          <w:sz w:val="36"/>
          <w:szCs w:val="36"/>
          <w:rtl/>
        </w:rPr>
      </w:pPr>
      <w:r w:rsidRPr="003C3338">
        <w:rPr>
          <w:rFonts w:hint="cs"/>
          <w:b/>
          <w:bCs/>
          <w:sz w:val="36"/>
          <w:szCs w:val="36"/>
          <w:rtl/>
        </w:rPr>
        <w:t>اللجنة المعنية بحقوق الإنسان</w:t>
      </w:r>
    </w:p>
    <w:p w:rsidR="00EB7B26" w:rsidRDefault="00EB7B26" w:rsidP="00737B98">
      <w:pPr>
        <w:pStyle w:val="HChGA"/>
        <w:rPr>
          <w:rtl/>
        </w:rPr>
      </w:pPr>
      <w:r>
        <w:rPr>
          <w:rFonts w:hint="cs"/>
          <w:rtl/>
        </w:rPr>
        <w:tab/>
      </w:r>
      <w:r>
        <w:rPr>
          <w:rFonts w:hint="cs"/>
          <w:rtl/>
        </w:rPr>
        <w:tab/>
        <w:t>البلاغ رقم 1999/2010</w:t>
      </w:r>
    </w:p>
    <w:p w:rsidR="00EB7B26" w:rsidRDefault="00EB7B26" w:rsidP="00737B98">
      <w:pPr>
        <w:pStyle w:val="H1GA"/>
        <w:rPr>
          <w:rtl/>
        </w:rPr>
      </w:pPr>
      <w:r>
        <w:rPr>
          <w:rFonts w:hint="cs"/>
          <w:rtl/>
        </w:rPr>
        <w:tab/>
      </w:r>
      <w:r>
        <w:rPr>
          <w:rFonts w:hint="cs"/>
          <w:rtl/>
        </w:rPr>
        <w:tab/>
        <w:t>آراء اعتمدتها اللجنة في دورتها 112 (7-31 تشرين الأول/أكتوبر 2014)</w:t>
      </w:r>
    </w:p>
    <w:p w:rsidR="00EB7B26" w:rsidRDefault="00EB7B26" w:rsidP="00805D3A">
      <w:pPr>
        <w:pStyle w:val="SingleTxtGA"/>
        <w:ind w:left="4649" w:hanging="2723"/>
        <w:rPr>
          <w:rtl/>
        </w:rPr>
      </w:pPr>
      <w:r>
        <w:rPr>
          <w:rFonts w:hint="cs"/>
          <w:i/>
          <w:iCs/>
          <w:rtl/>
        </w:rPr>
        <w:t>المقدم من:</w:t>
      </w:r>
      <w:r>
        <w:rPr>
          <w:rFonts w:hint="cs"/>
          <w:i/>
          <w:iCs/>
          <w:rtl/>
        </w:rPr>
        <w:tab/>
      </w:r>
      <w:r>
        <w:rPr>
          <w:rFonts w:hint="cs"/>
          <w:i/>
          <w:iCs/>
          <w:rtl/>
        </w:rPr>
        <w:tab/>
      </w:r>
      <w:r>
        <w:rPr>
          <w:rFonts w:hint="cs"/>
          <w:i/>
          <w:iCs/>
          <w:rtl/>
        </w:rPr>
        <w:tab/>
      </w:r>
      <w:proofErr w:type="spellStart"/>
      <w:r>
        <w:rPr>
          <w:rFonts w:hint="cs"/>
          <w:rtl/>
        </w:rPr>
        <w:t>فالينتين</w:t>
      </w:r>
      <w:proofErr w:type="spellEnd"/>
      <w:r>
        <w:rPr>
          <w:rFonts w:hint="cs"/>
          <w:rtl/>
        </w:rPr>
        <w:t xml:space="preserve"> </w:t>
      </w:r>
      <w:proofErr w:type="spellStart"/>
      <w:r>
        <w:rPr>
          <w:rFonts w:hint="cs"/>
          <w:rtl/>
        </w:rPr>
        <w:t>إيفريزوف</w:t>
      </w:r>
      <w:proofErr w:type="spellEnd"/>
      <w:r>
        <w:rPr>
          <w:rFonts w:hint="cs"/>
          <w:rtl/>
        </w:rPr>
        <w:t xml:space="preserve"> </w:t>
      </w:r>
      <w:proofErr w:type="spellStart"/>
      <w:r>
        <w:rPr>
          <w:rFonts w:hint="cs"/>
          <w:rtl/>
        </w:rPr>
        <w:t>وفلادمير</w:t>
      </w:r>
      <w:proofErr w:type="spellEnd"/>
      <w:r>
        <w:rPr>
          <w:rFonts w:hint="cs"/>
          <w:rtl/>
        </w:rPr>
        <w:t xml:space="preserve"> </w:t>
      </w:r>
      <w:proofErr w:type="spellStart"/>
      <w:r>
        <w:rPr>
          <w:rFonts w:hint="cs"/>
          <w:rtl/>
        </w:rPr>
        <w:t>نيبومنياسشيك</w:t>
      </w:r>
      <w:proofErr w:type="spellEnd"/>
      <w:r>
        <w:rPr>
          <w:rFonts w:hint="cs"/>
          <w:rtl/>
        </w:rPr>
        <w:t xml:space="preserve"> </w:t>
      </w:r>
      <w:proofErr w:type="spellStart"/>
      <w:r>
        <w:rPr>
          <w:rFonts w:hint="cs"/>
          <w:rtl/>
        </w:rPr>
        <w:t>وفاسلي</w:t>
      </w:r>
      <w:proofErr w:type="spellEnd"/>
      <w:r>
        <w:rPr>
          <w:rFonts w:hint="cs"/>
          <w:rtl/>
        </w:rPr>
        <w:t xml:space="preserve"> </w:t>
      </w:r>
      <w:proofErr w:type="spellStart"/>
      <w:r>
        <w:rPr>
          <w:rFonts w:hint="cs"/>
          <w:rtl/>
        </w:rPr>
        <w:t>بوليياكوف</w:t>
      </w:r>
      <w:proofErr w:type="spellEnd"/>
      <w:r>
        <w:rPr>
          <w:rFonts w:hint="cs"/>
          <w:rtl/>
        </w:rPr>
        <w:t xml:space="preserve"> وفا</w:t>
      </w:r>
      <w:r w:rsidR="00805D3A">
        <w:rPr>
          <w:rFonts w:hint="cs"/>
          <w:rtl/>
        </w:rPr>
        <w:t>لي</w:t>
      </w:r>
      <w:r>
        <w:rPr>
          <w:rFonts w:hint="cs"/>
          <w:rtl/>
        </w:rPr>
        <w:t xml:space="preserve">ري </w:t>
      </w:r>
      <w:proofErr w:type="spellStart"/>
      <w:r>
        <w:rPr>
          <w:rFonts w:hint="cs"/>
          <w:rtl/>
        </w:rPr>
        <w:t>ريبيجينكو</w:t>
      </w:r>
      <w:proofErr w:type="spellEnd"/>
      <w:r w:rsidR="00226A16">
        <w:rPr>
          <w:rFonts w:hint="cs"/>
          <w:rtl/>
        </w:rPr>
        <w:t xml:space="preserve">            </w:t>
      </w:r>
      <w:r>
        <w:rPr>
          <w:rFonts w:hint="cs"/>
          <w:rtl/>
        </w:rPr>
        <w:t>(لا يمثلهم محام)</w:t>
      </w:r>
    </w:p>
    <w:p w:rsidR="00EB7B26" w:rsidRDefault="00EB7B26" w:rsidP="00E15ED0">
      <w:pPr>
        <w:pStyle w:val="SingleTxtGA"/>
        <w:ind w:left="1926"/>
        <w:rPr>
          <w:rtl/>
        </w:rPr>
      </w:pPr>
      <w:r w:rsidRPr="001E21D1">
        <w:rPr>
          <w:rFonts w:hint="cs"/>
          <w:i/>
          <w:iCs/>
          <w:rtl/>
        </w:rPr>
        <w:t>الشخص المدعى أنه ضحية:</w:t>
      </w:r>
      <w:r>
        <w:rPr>
          <w:rFonts w:hint="cs"/>
          <w:rtl/>
        </w:rPr>
        <w:tab/>
        <w:t>أصحاب البلاغ</w:t>
      </w:r>
    </w:p>
    <w:p w:rsidR="00EB7B26" w:rsidRDefault="00EB7B26" w:rsidP="00E15ED0">
      <w:pPr>
        <w:pStyle w:val="SingleTxtGA"/>
        <w:ind w:left="1926"/>
        <w:rPr>
          <w:rtl/>
        </w:rPr>
      </w:pPr>
      <w:r w:rsidRPr="001E21D1">
        <w:rPr>
          <w:rFonts w:hint="cs"/>
          <w:i/>
          <w:iCs/>
          <w:rtl/>
        </w:rPr>
        <w:t>الدولة الطرف:</w:t>
      </w:r>
      <w:r>
        <w:rPr>
          <w:rFonts w:hint="cs"/>
          <w:i/>
          <w:iCs/>
          <w:rtl/>
        </w:rPr>
        <w:tab/>
      </w:r>
      <w:r>
        <w:rPr>
          <w:rFonts w:hint="cs"/>
          <w:i/>
          <w:iCs/>
          <w:rtl/>
        </w:rPr>
        <w:tab/>
      </w:r>
      <w:r>
        <w:rPr>
          <w:rFonts w:hint="cs"/>
          <w:i/>
          <w:iCs/>
          <w:rtl/>
        </w:rPr>
        <w:tab/>
      </w:r>
      <w:r>
        <w:rPr>
          <w:rFonts w:hint="cs"/>
          <w:rtl/>
        </w:rPr>
        <w:t>بيلاروس</w:t>
      </w:r>
    </w:p>
    <w:p w:rsidR="00EB7B26" w:rsidRDefault="00EB7B26" w:rsidP="00E15ED0">
      <w:pPr>
        <w:pStyle w:val="SingleTxtGA"/>
        <w:ind w:left="1926"/>
        <w:rPr>
          <w:rtl/>
        </w:rPr>
      </w:pPr>
      <w:r>
        <w:rPr>
          <w:rFonts w:hint="cs"/>
          <w:i/>
          <w:iCs/>
          <w:rtl/>
        </w:rPr>
        <w:t>تاريخ تقديم البلاغ:</w:t>
      </w:r>
      <w:r>
        <w:rPr>
          <w:rFonts w:hint="cs"/>
          <w:rtl/>
        </w:rPr>
        <w:tab/>
      </w:r>
      <w:r>
        <w:rPr>
          <w:rFonts w:hint="cs"/>
          <w:rtl/>
        </w:rPr>
        <w:tab/>
        <w:t>15 أيار/مايو 2010 (تاريخ الرسالة الأولى)</w:t>
      </w:r>
    </w:p>
    <w:p w:rsidR="00EB7B26" w:rsidRDefault="00EB7B26" w:rsidP="00E15ED0">
      <w:pPr>
        <w:pStyle w:val="SingleTxtGA"/>
        <w:ind w:left="4649" w:hanging="2723"/>
        <w:rPr>
          <w:rtl/>
        </w:rPr>
      </w:pPr>
      <w:r>
        <w:rPr>
          <w:rFonts w:hint="cs"/>
          <w:i/>
          <w:iCs/>
          <w:rtl/>
        </w:rPr>
        <w:t>الوثائق المرجعية:</w:t>
      </w:r>
      <w:r>
        <w:rPr>
          <w:rFonts w:hint="cs"/>
          <w:rtl/>
        </w:rPr>
        <w:tab/>
      </w:r>
      <w:r>
        <w:rPr>
          <w:rFonts w:hint="cs"/>
          <w:rtl/>
        </w:rPr>
        <w:tab/>
      </w:r>
      <w:r>
        <w:rPr>
          <w:rFonts w:hint="cs"/>
          <w:rtl/>
        </w:rPr>
        <w:tab/>
        <w:t>قرار المقرر الخاص بمقتضى المادة 97</w:t>
      </w:r>
      <w:r w:rsidR="00841126">
        <w:rPr>
          <w:rFonts w:hint="cs"/>
          <w:rtl/>
        </w:rPr>
        <w:t>،</w:t>
      </w:r>
      <w:r>
        <w:rPr>
          <w:rFonts w:hint="cs"/>
          <w:rtl/>
        </w:rPr>
        <w:t xml:space="preserve"> الذي أحيل إلى الدولة الطرف في 8 تشرين الثاني/</w:t>
      </w:r>
      <w:r w:rsidR="00E1488D">
        <w:rPr>
          <w:rFonts w:hint="cs"/>
          <w:rtl/>
        </w:rPr>
        <w:t xml:space="preserve">           </w:t>
      </w:r>
      <w:r>
        <w:rPr>
          <w:rFonts w:hint="cs"/>
          <w:rtl/>
        </w:rPr>
        <w:t>نوفمبر 2010 (لم يصدر في شكل وثيقة)</w:t>
      </w:r>
    </w:p>
    <w:p w:rsidR="00EB7B26" w:rsidRDefault="00EB7B26" w:rsidP="00E15ED0">
      <w:pPr>
        <w:pStyle w:val="SingleTxtGA"/>
        <w:ind w:left="1926"/>
        <w:rPr>
          <w:rtl/>
        </w:rPr>
      </w:pPr>
      <w:r>
        <w:rPr>
          <w:rFonts w:hint="cs"/>
          <w:i/>
          <w:iCs/>
          <w:rtl/>
        </w:rPr>
        <w:t>تاريخ اعتماد الآراء:</w:t>
      </w:r>
      <w:r>
        <w:rPr>
          <w:rFonts w:hint="cs"/>
          <w:i/>
          <w:iCs/>
          <w:rtl/>
        </w:rPr>
        <w:tab/>
      </w:r>
      <w:r>
        <w:rPr>
          <w:rFonts w:hint="cs"/>
          <w:i/>
          <w:iCs/>
          <w:rtl/>
        </w:rPr>
        <w:tab/>
      </w:r>
      <w:r>
        <w:rPr>
          <w:rFonts w:hint="cs"/>
          <w:rtl/>
        </w:rPr>
        <w:t>10 تشرين الأول/أكتوبر 2014</w:t>
      </w:r>
    </w:p>
    <w:p w:rsidR="00EB7B26" w:rsidRDefault="00EB7B26" w:rsidP="00E15ED0">
      <w:pPr>
        <w:pStyle w:val="SingleTxtGA"/>
        <w:ind w:left="1926"/>
        <w:rPr>
          <w:rtl/>
        </w:rPr>
      </w:pPr>
      <w:r>
        <w:rPr>
          <w:rFonts w:hint="cs"/>
          <w:i/>
          <w:iCs/>
          <w:rtl/>
        </w:rPr>
        <w:t>الموضوع:</w:t>
      </w:r>
      <w:r>
        <w:rPr>
          <w:rFonts w:hint="cs"/>
          <w:i/>
          <w:iCs/>
          <w:rtl/>
        </w:rPr>
        <w:tab/>
      </w:r>
      <w:r>
        <w:rPr>
          <w:rFonts w:hint="cs"/>
          <w:i/>
          <w:iCs/>
          <w:rtl/>
        </w:rPr>
        <w:tab/>
      </w:r>
      <w:r>
        <w:rPr>
          <w:rFonts w:hint="cs"/>
          <w:i/>
          <w:iCs/>
          <w:rtl/>
        </w:rPr>
        <w:tab/>
      </w:r>
      <w:r>
        <w:rPr>
          <w:rFonts w:hint="cs"/>
          <w:i/>
          <w:iCs/>
          <w:rtl/>
        </w:rPr>
        <w:tab/>
      </w:r>
      <w:r>
        <w:rPr>
          <w:rFonts w:hint="cs"/>
          <w:rtl/>
        </w:rPr>
        <w:t>حري</w:t>
      </w:r>
      <w:bookmarkStart w:id="0" w:name="_GoBack"/>
      <w:bookmarkEnd w:id="0"/>
      <w:r>
        <w:rPr>
          <w:rFonts w:hint="cs"/>
          <w:rtl/>
        </w:rPr>
        <w:t>ة التعبير</w:t>
      </w:r>
    </w:p>
    <w:p w:rsidR="00EB7B26" w:rsidRDefault="00EB7B26" w:rsidP="00E15ED0">
      <w:pPr>
        <w:pStyle w:val="SingleTxtGA"/>
        <w:ind w:left="4649" w:hanging="2723"/>
        <w:rPr>
          <w:rtl/>
        </w:rPr>
      </w:pPr>
      <w:r>
        <w:rPr>
          <w:rFonts w:hint="cs"/>
          <w:i/>
          <w:iCs/>
          <w:rtl/>
        </w:rPr>
        <w:t>المسائل الموضوعية:</w:t>
      </w:r>
      <w:r>
        <w:rPr>
          <w:rFonts w:hint="cs"/>
          <w:i/>
          <w:iCs/>
          <w:rtl/>
        </w:rPr>
        <w:tab/>
      </w:r>
      <w:r>
        <w:rPr>
          <w:rFonts w:hint="cs"/>
          <w:i/>
          <w:iCs/>
          <w:rtl/>
        </w:rPr>
        <w:tab/>
      </w:r>
      <w:r>
        <w:rPr>
          <w:rFonts w:hint="cs"/>
          <w:rtl/>
        </w:rPr>
        <w:t>حرية نشر المعلومات، الحق في التجمع السلمي والحق في محاكمة عادلة وعلنية</w:t>
      </w:r>
    </w:p>
    <w:p w:rsidR="00EB7B26" w:rsidRDefault="00EB7B26" w:rsidP="00E15ED0">
      <w:pPr>
        <w:pStyle w:val="SingleTxtGA"/>
        <w:ind w:left="1926"/>
        <w:rPr>
          <w:rtl/>
        </w:rPr>
      </w:pPr>
      <w:r>
        <w:rPr>
          <w:rFonts w:hint="cs"/>
          <w:i/>
          <w:iCs/>
          <w:rtl/>
        </w:rPr>
        <w:t>المسائل الإجرائية:</w:t>
      </w:r>
      <w:r>
        <w:rPr>
          <w:rFonts w:hint="cs"/>
          <w:i/>
          <w:iCs/>
          <w:rtl/>
        </w:rPr>
        <w:tab/>
      </w:r>
      <w:r>
        <w:rPr>
          <w:rFonts w:hint="cs"/>
          <w:i/>
          <w:iCs/>
          <w:rtl/>
        </w:rPr>
        <w:tab/>
      </w:r>
      <w:r>
        <w:rPr>
          <w:rFonts w:hint="cs"/>
          <w:i/>
          <w:iCs/>
          <w:rtl/>
        </w:rPr>
        <w:tab/>
      </w:r>
      <w:r>
        <w:rPr>
          <w:rFonts w:hint="cs"/>
          <w:rtl/>
        </w:rPr>
        <w:t>استنفاد سبل الانتصاف الداخلية</w:t>
      </w:r>
    </w:p>
    <w:p w:rsidR="00EB7B26" w:rsidRDefault="00EB7B26" w:rsidP="00E15ED0">
      <w:pPr>
        <w:pStyle w:val="SingleTxtGA"/>
        <w:ind w:left="1926"/>
        <w:rPr>
          <w:rtl/>
        </w:rPr>
      </w:pPr>
      <w:r>
        <w:rPr>
          <w:rFonts w:hint="cs"/>
          <w:i/>
          <w:iCs/>
          <w:rtl/>
        </w:rPr>
        <w:t>مواد العهد:</w:t>
      </w:r>
      <w:r>
        <w:rPr>
          <w:rFonts w:hint="cs"/>
          <w:i/>
          <w:iCs/>
          <w:rtl/>
        </w:rPr>
        <w:tab/>
      </w:r>
      <w:r>
        <w:rPr>
          <w:rFonts w:hint="cs"/>
          <w:i/>
          <w:iCs/>
          <w:rtl/>
        </w:rPr>
        <w:tab/>
      </w:r>
      <w:r>
        <w:rPr>
          <w:rFonts w:hint="cs"/>
          <w:i/>
          <w:iCs/>
          <w:rtl/>
        </w:rPr>
        <w:tab/>
      </w:r>
      <w:r>
        <w:rPr>
          <w:rFonts w:hint="cs"/>
          <w:rtl/>
        </w:rPr>
        <w:t>2؛ و14؛ 19؛ و21</w:t>
      </w:r>
    </w:p>
    <w:p w:rsidR="00EB7B26" w:rsidRDefault="00EB7B26" w:rsidP="00E15ED0">
      <w:pPr>
        <w:pStyle w:val="SingleTxtGA"/>
        <w:ind w:left="1926"/>
        <w:rPr>
          <w:rtl/>
        </w:rPr>
      </w:pPr>
      <w:r>
        <w:rPr>
          <w:rFonts w:hint="cs"/>
          <w:i/>
          <w:iCs/>
          <w:rtl/>
        </w:rPr>
        <w:t>مواد البروتوكول الاختياري:</w:t>
      </w:r>
      <w:r>
        <w:rPr>
          <w:rFonts w:hint="cs"/>
          <w:i/>
          <w:iCs/>
          <w:rtl/>
        </w:rPr>
        <w:tab/>
      </w:r>
      <w:r>
        <w:rPr>
          <w:rFonts w:hint="cs"/>
          <w:i/>
          <w:iCs/>
          <w:rtl/>
        </w:rPr>
        <w:tab/>
      </w:r>
      <w:r>
        <w:rPr>
          <w:rFonts w:hint="cs"/>
          <w:rtl/>
        </w:rPr>
        <w:t>2؛ والفقرة 2(ب) من المادة 5</w:t>
      </w:r>
    </w:p>
    <w:p w:rsidR="00EB7B26" w:rsidRDefault="00EB7B26" w:rsidP="00311CF6">
      <w:pPr>
        <w:pStyle w:val="HChGA"/>
        <w:spacing w:before="120"/>
        <w:rPr>
          <w:rtl/>
        </w:rPr>
      </w:pPr>
      <w:r>
        <w:rPr>
          <w:rtl/>
        </w:rPr>
        <w:br w:type="page"/>
      </w:r>
      <w:r>
        <w:rPr>
          <w:rFonts w:hint="cs"/>
          <w:rtl/>
        </w:rPr>
        <w:lastRenderedPageBreak/>
        <w:t>المرفق</w:t>
      </w:r>
    </w:p>
    <w:p w:rsidR="00EB7B26" w:rsidRPr="00A72F10" w:rsidRDefault="00EB7B26" w:rsidP="00311CF6">
      <w:pPr>
        <w:pStyle w:val="HChGA"/>
        <w:rPr>
          <w:b w:val="0"/>
          <w:bCs w:val="0"/>
          <w:rtl/>
        </w:rPr>
      </w:pPr>
      <w:r>
        <w:rPr>
          <w:rFonts w:hint="cs"/>
          <w:rtl/>
        </w:rPr>
        <w:tab/>
      </w:r>
      <w:r>
        <w:rPr>
          <w:rFonts w:hint="cs"/>
          <w:rtl/>
        </w:rPr>
        <w:tab/>
        <w:t xml:space="preserve">آراء اللجنة </w:t>
      </w:r>
      <w:r w:rsidRPr="001E21D1">
        <w:rPr>
          <w:rFonts w:hint="cs"/>
          <w:rtl/>
        </w:rPr>
        <w:t>المعنية</w:t>
      </w:r>
      <w:r>
        <w:rPr>
          <w:rFonts w:hint="cs"/>
          <w:rtl/>
        </w:rPr>
        <w:t xml:space="preserve"> بحقوق الإنسان بموجب الفقرة 4 من المادة 5 من البروتوكول الاختياري الملحق بالعهد الدولي الخاص بالحقوق المدنية والسياسية</w:t>
      </w:r>
      <w:r w:rsidRPr="001E21D1">
        <w:rPr>
          <w:rFonts w:hint="cs"/>
          <w:rtl/>
        </w:rPr>
        <w:t xml:space="preserve"> </w:t>
      </w:r>
      <w:r w:rsidRPr="00A72F10">
        <w:rPr>
          <w:rFonts w:hint="cs"/>
          <w:b w:val="0"/>
          <w:bCs w:val="0"/>
          <w:rtl/>
        </w:rPr>
        <w:t>(الدورة 112)</w:t>
      </w:r>
    </w:p>
    <w:p w:rsidR="00EB7B26" w:rsidRDefault="00EB7B26" w:rsidP="00311CF6">
      <w:pPr>
        <w:pStyle w:val="SingleTxtGA"/>
        <w:rPr>
          <w:rtl/>
        </w:rPr>
      </w:pPr>
      <w:r>
        <w:rPr>
          <w:rFonts w:hint="cs"/>
          <w:rtl/>
        </w:rPr>
        <w:t>بشأن</w:t>
      </w:r>
    </w:p>
    <w:p w:rsidR="00EB7B26" w:rsidRDefault="00EB7B26" w:rsidP="00311CF6">
      <w:pPr>
        <w:pStyle w:val="H1GA"/>
        <w:rPr>
          <w:rtl/>
        </w:rPr>
      </w:pPr>
      <w:r>
        <w:rPr>
          <w:rFonts w:hint="cs"/>
          <w:rtl/>
        </w:rPr>
        <w:tab/>
      </w:r>
      <w:r>
        <w:rPr>
          <w:rFonts w:hint="cs"/>
          <w:rtl/>
        </w:rPr>
        <w:tab/>
        <w:t>البلاغ رقم 1999/2010</w:t>
      </w:r>
      <w:r w:rsidRPr="001E21D1">
        <w:rPr>
          <w:rStyle w:val="FootnoteReference"/>
          <w:sz w:val="20"/>
          <w:vertAlign w:val="baseline"/>
          <w:rtl/>
        </w:rPr>
        <w:footnoteReference w:customMarkFollows="1" w:id="1"/>
        <w:t>*</w:t>
      </w:r>
    </w:p>
    <w:p w:rsidR="00EB7B26" w:rsidRPr="006F79B4" w:rsidRDefault="00EB7B26" w:rsidP="00805D3A">
      <w:pPr>
        <w:pStyle w:val="SingleTxtGA"/>
        <w:ind w:left="4649" w:hanging="2723"/>
        <w:rPr>
          <w:rtl/>
        </w:rPr>
      </w:pPr>
      <w:r>
        <w:rPr>
          <w:rFonts w:hint="cs"/>
          <w:i/>
          <w:iCs/>
          <w:rtl/>
        </w:rPr>
        <w:t>المقدم من:</w:t>
      </w:r>
      <w:r>
        <w:rPr>
          <w:rFonts w:hint="cs"/>
          <w:i/>
          <w:iCs/>
          <w:rtl/>
        </w:rPr>
        <w:tab/>
      </w:r>
      <w:r>
        <w:rPr>
          <w:rFonts w:hint="cs"/>
          <w:i/>
          <w:iCs/>
          <w:rtl/>
        </w:rPr>
        <w:tab/>
      </w:r>
      <w:r>
        <w:rPr>
          <w:rFonts w:hint="cs"/>
          <w:i/>
          <w:iCs/>
          <w:rtl/>
        </w:rPr>
        <w:tab/>
      </w:r>
      <w:proofErr w:type="spellStart"/>
      <w:r w:rsidRPr="006F79B4">
        <w:rPr>
          <w:rFonts w:hint="cs"/>
          <w:rtl/>
        </w:rPr>
        <w:t>فالينتين</w:t>
      </w:r>
      <w:proofErr w:type="spellEnd"/>
      <w:r w:rsidRPr="006F79B4">
        <w:rPr>
          <w:rFonts w:hint="cs"/>
          <w:rtl/>
        </w:rPr>
        <w:t xml:space="preserve"> </w:t>
      </w:r>
      <w:proofErr w:type="spellStart"/>
      <w:r w:rsidRPr="006F79B4">
        <w:rPr>
          <w:rFonts w:hint="cs"/>
          <w:rtl/>
        </w:rPr>
        <w:t>إيفريزوف</w:t>
      </w:r>
      <w:proofErr w:type="spellEnd"/>
      <w:r w:rsidRPr="006F79B4">
        <w:rPr>
          <w:rFonts w:hint="cs"/>
          <w:rtl/>
        </w:rPr>
        <w:t xml:space="preserve"> </w:t>
      </w:r>
      <w:proofErr w:type="spellStart"/>
      <w:r w:rsidRPr="006F79B4">
        <w:rPr>
          <w:rFonts w:hint="cs"/>
          <w:rtl/>
        </w:rPr>
        <w:t>وفلادمير</w:t>
      </w:r>
      <w:proofErr w:type="spellEnd"/>
      <w:r w:rsidRPr="006F79B4">
        <w:rPr>
          <w:rFonts w:hint="cs"/>
          <w:rtl/>
        </w:rPr>
        <w:t xml:space="preserve"> </w:t>
      </w:r>
      <w:proofErr w:type="spellStart"/>
      <w:r w:rsidRPr="006F79B4">
        <w:rPr>
          <w:rFonts w:hint="cs"/>
          <w:rtl/>
        </w:rPr>
        <w:t>نيبومنياسشيك</w:t>
      </w:r>
      <w:proofErr w:type="spellEnd"/>
      <w:r w:rsidRPr="006F79B4">
        <w:rPr>
          <w:rFonts w:hint="cs"/>
          <w:rtl/>
        </w:rPr>
        <w:t xml:space="preserve"> </w:t>
      </w:r>
      <w:proofErr w:type="spellStart"/>
      <w:r w:rsidRPr="006F79B4">
        <w:rPr>
          <w:rFonts w:hint="cs"/>
          <w:rtl/>
        </w:rPr>
        <w:t>وفاسلي</w:t>
      </w:r>
      <w:proofErr w:type="spellEnd"/>
      <w:r w:rsidRPr="006F79B4">
        <w:rPr>
          <w:rFonts w:hint="cs"/>
          <w:rtl/>
        </w:rPr>
        <w:t xml:space="preserve"> </w:t>
      </w:r>
      <w:proofErr w:type="spellStart"/>
      <w:r w:rsidRPr="006F79B4">
        <w:rPr>
          <w:rFonts w:hint="cs"/>
          <w:rtl/>
        </w:rPr>
        <w:t>بوليياكوف</w:t>
      </w:r>
      <w:proofErr w:type="spellEnd"/>
      <w:r w:rsidRPr="006F79B4">
        <w:rPr>
          <w:rFonts w:hint="cs"/>
          <w:rtl/>
        </w:rPr>
        <w:t xml:space="preserve"> </w:t>
      </w:r>
      <w:r w:rsidR="00805D3A">
        <w:rPr>
          <w:rFonts w:hint="cs"/>
          <w:rtl/>
        </w:rPr>
        <w:t xml:space="preserve">وفاليري </w:t>
      </w:r>
      <w:proofErr w:type="spellStart"/>
      <w:r w:rsidRPr="006F79B4">
        <w:rPr>
          <w:rFonts w:hint="cs"/>
          <w:rtl/>
        </w:rPr>
        <w:t>ريبيجينكو</w:t>
      </w:r>
      <w:proofErr w:type="spellEnd"/>
      <w:r w:rsidR="00226A16">
        <w:rPr>
          <w:rFonts w:hint="cs"/>
          <w:rtl/>
        </w:rPr>
        <w:t xml:space="preserve">            </w:t>
      </w:r>
      <w:r w:rsidRPr="006F79B4">
        <w:rPr>
          <w:rFonts w:hint="cs"/>
          <w:rtl/>
        </w:rPr>
        <w:t>(لا يمثلهم محام)</w:t>
      </w:r>
    </w:p>
    <w:p w:rsidR="00EB7B26" w:rsidRPr="006F79B4" w:rsidRDefault="00EB7B26" w:rsidP="00311CF6">
      <w:pPr>
        <w:pStyle w:val="SingleTxtGA"/>
        <w:ind w:left="4649" w:hanging="2723"/>
        <w:rPr>
          <w:rtl/>
        </w:rPr>
      </w:pPr>
      <w:r w:rsidRPr="001E21D1">
        <w:rPr>
          <w:rFonts w:hint="cs"/>
          <w:i/>
          <w:iCs/>
          <w:rtl/>
        </w:rPr>
        <w:t>الشخص المدعى أنه ضحية:</w:t>
      </w:r>
      <w:r w:rsidRPr="00311CF6">
        <w:rPr>
          <w:rFonts w:hint="cs"/>
          <w:i/>
          <w:iCs/>
          <w:rtl/>
        </w:rPr>
        <w:tab/>
      </w:r>
      <w:r w:rsidRPr="006F79B4">
        <w:rPr>
          <w:rFonts w:hint="cs"/>
          <w:rtl/>
        </w:rPr>
        <w:t>أصحاب البلاغ</w:t>
      </w:r>
    </w:p>
    <w:p w:rsidR="00EB7B26" w:rsidRPr="006F79B4" w:rsidRDefault="00EB7B26" w:rsidP="00311CF6">
      <w:pPr>
        <w:pStyle w:val="SingleTxtGA"/>
        <w:ind w:left="4649" w:hanging="2723"/>
        <w:rPr>
          <w:rtl/>
        </w:rPr>
      </w:pPr>
      <w:r w:rsidRPr="001E21D1">
        <w:rPr>
          <w:rFonts w:hint="cs"/>
          <w:i/>
          <w:iCs/>
          <w:rtl/>
        </w:rPr>
        <w:t>الدولة الطرف:</w:t>
      </w:r>
      <w:r>
        <w:rPr>
          <w:rFonts w:hint="cs"/>
          <w:i/>
          <w:iCs/>
          <w:rtl/>
        </w:rPr>
        <w:tab/>
      </w:r>
      <w:r>
        <w:rPr>
          <w:rFonts w:hint="cs"/>
          <w:i/>
          <w:iCs/>
          <w:rtl/>
        </w:rPr>
        <w:tab/>
      </w:r>
      <w:r>
        <w:rPr>
          <w:rFonts w:hint="cs"/>
          <w:i/>
          <w:iCs/>
          <w:rtl/>
        </w:rPr>
        <w:tab/>
      </w:r>
      <w:r w:rsidRPr="006F79B4">
        <w:rPr>
          <w:rFonts w:hint="cs"/>
          <w:rtl/>
        </w:rPr>
        <w:t>بيلاروس</w:t>
      </w:r>
    </w:p>
    <w:p w:rsidR="00EB7B26" w:rsidRPr="006F79B4" w:rsidRDefault="00EB7B26" w:rsidP="00311CF6">
      <w:pPr>
        <w:pStyle w:val="SingleTxtGA"/>
        <w:ind w:left="4649" w:hanging="2723"/>
        <w:rPr>
          <w:rtl/>
        </w:rPr>
      </w:pPr>
      <w:r>
        <w:rPr>
          <w:rFonts w:hint="cs"/>
          <w:i/>
          <w:iCs/>
          <w:rtl/>
        </w:rPr>
        <w:t>تاريخ تقديم البلاغ:</w:t>
      </w:r>
      <w:r w:rsidRPr="00311CF6">
        <w:rPr>
          <w:rFonts w:hint="cs"/>
          <w:i/>
          <w:iCs/>
          <w:rtl/>
        </w:rPr>
        <w:tab/>
      </w:r>
      <w:r w:rsidRPr="00311CF6">
        <w:rPr>
          <w:rFonts w:hint="cs"/>
          <w:i/>
          <w:iCs/>
          <w:rtl/>
        </w:rPr>
        <w:tab/>
      </w:r>
      <w:r w:rsidRPr="006F79B4">
        <w:rPr>
          <w:rFonts w:hint="cs"/>
          <w:rtl/>
        </w:rPr>
        <w:t>15 أيار/مايو 2010 (تاريخ الرسالة الأولى)</w:t>
      </w:r>
    </w:p>
    <w:p w:rsidR="00EB7B26" w:rsidRPr="00493BFF" w:rsidRDefault="00EB7B26" w:rsidP="00737B98">
      <w:pPr>
        <w:pStyle w:val="SingleTxtGA"/>
        <w:rPr>
          <w:rtl/>
        </w:rPr>
      </w:pPr>
      <w:r>
        <w:rPr>
          <w:rFonts w:hint="cs"/>
          <w:rtl/>
        </w:rPr>
        <w:tab/>
      </w:r>
      <w:r>
        <w:rPr>
          <w:rFonts w:hint="cs"/>
          <w:i/>
          <w:iCs/>
          <w:rtl/>
        </w:rPr>
        <w:t>إن اللجنة المعنية بحقوق الإنسان،</w:t>
      </w:r>
      <w:r>
        <w:rPr>
          <w:rFonts w:hint="cs"/>
          <w:rtl/>
        </w:rPr>
        <w:t xml:space="preserve"> المنشأة بموجب المادة 28 من العهد الدولي الخاص بالحقوق المدنية والسياسية، وقد اجتمعت في 10 تشرين الأول/أكتوبر 2014، </w:t>
      </w:r>
    </w:p>
    <w:p w:rsidR="00EB7B26" w:rsidRDefault="00EB7B26" w:rsidP="00E3608B">
      <w:pPr>
        <w:pStyle w:val="SingleTxtGA"/>
        <w:rPr>
          <w:rtl/>
        </w:rPr>
      </w:pPr>
      <w:r>
        <w:rPr>
          <w:rFonts w:hint="cs"/>
          <w:rtl/>
        </w:rPr>
        <w:tab/>
      </w:r>
      <w:r>
        <w:rPr>
          <w:rFonts w:hint="cs"/>
          <w:i/>
          <w:iCs/>
          <w:rtl/>
        </w:rPr>
        <w:t xml:space="preserve">وقد فرغت </w:t>
      </w:r>
      <w:r w:rsidRPr="00611E5F">
        <w:rPr>
          <w:rFonts w:hint="cs"/>
          <w:rtl/>
        </w:rPr>
        <w:t xml:space="preserve">من النظر </w:t>
      </w:r>
      <w:r>
        <w:rPr>
          <w:rFonts w:hint="cs"/>
          <w:rtl/>
        </w:rPr>
        <w:t xml:space="preserve">في البلاغ رقم 1999/2010، </w:t>
      </w:r>
      <w:r w:rsidR="006C6AEC">
        <w:rPr>
          <w:rFonts w:hint="cs"/>
          <w:rtl/>
        </w:rPr>
        <w:t>الذي</w:t>
      </w:r>
      <w:r>
        <w:rPr>
          <w:rFonts w:hint="cs"/>
          <w:rtl/>
        </w:rPr>
        <w:t xml:space="preserve"> قدمه إليها </w:t>
      </w:r>
      <w:proofErr w:type="spellStart"/>
      <w:r>
        <w:rPr>
          <w:rFonts w:hint="cs"/>
          <w:rtl/>
        </w:rPr>
        <w:t>فالينتين</w:t>
      </w:r>
      <w:proofErr w:type="spellEnd"/>
      <w:r>
        <w:rPr>
          <w:rFonts w:hint="cs"/>
          <w:rtl/>
        </w:rPr>
        <w:t xml:space="preserve"> </w:t>
      </w:r>
      <w:proofErr w:type="spellStart"/>
      <w:r>
        <w:rPr>
          <w:rFonts w:hint="cs"/>
          <w:rtl/>
        </w:rPr>
        <w:t>إيفريزوف</w:t>
      </w:r>
      <w:proofErr w:type="spellEnd"/>
      <w:r>
        <w:rPr>
          <w:rFonts w:hint="cs"/>
          <w:rtl/>
        </w:rPr>
        <w:t xml:space="preserve"> </w:t>
      </w:r>
      <w:proofErr w:type="spellStart"/>
      <w:r>
        <w:rPr>
          <w:rFonts w:hint="cs"/>
          <w:rtl/>
        </w:rPr>
        <w:t>وفلادمير</w:t>
      </w:r>
      <w:proofErr w:type="spellEnd"/>
      <w:r>
        <w:rPr>
          <w:rFonts w:hint="cs"/>
          <w:rtl/>
        </w:rPr>
        <w:t xml:space="preserve"> </w:t>
      </w:r>
      <w:proofErr w:type="spellStart"/>
      <w:r w:rsidR="00E3608B" w:rsidRPr="006F79B4">
        <w:rPr>
          <w:rFonts w:hint="cs"/>
          <w:rtl/>
        </w:rPr>
        <w:t>نيبومنياسشيك</w:t>
      </w:r>
      <w:proofErr w:type="spellEnd"/>
      <w:r w:rsidR="00E3608B" w:rsidRPr="006F79B4">
        <w:rPr>
          <w:rFonts w:hint="cs"/>
          <w:rtl/>
        </w:rPr>
        <w:t xml:space="preserve"> </w:t>
      </w:r>
      <w:proofErr w:type="spellStart"/>
      <w:r>
        <w:rPr>
          <w:rFonts w:hint="cs"/>
          <w:rtl/>
        </w:rPr>
        <w:t>وفاسلي</w:t>
      </w:r>
      <w:proofErr w:type="spellEnd"/>
      <w:r>
        <w:rPr>
          <w:rFonts w:hint="cs"/>
          <w:rtl/>
        </w:rPr>
        <w:t xml:space="preserve"> </w:t>
      </w:r>
      <w:proofErr w:type="spellStart"/>
      <w:r>
        <w:rPr>
          <w:rFonts w:hint="cs"/>
          <w:rtl/>
        </w:rPr>
        <w:t>بوليياكوف</w:t>
      </w:r>
      <w:proofErr w:type="spellEnd"/>
      <w:r>
        <w:rPr>
          <w:rFonts w:hint="cs"/>
          <w:rtl/>
        </w:rPr>
        <w:t xml:space="preserve"> و</w:t>
      </w:r>
      <w:r w:rsidR="005E5480">
        <w:rPr>
          <w:rFonts w:hint="cs"/>
          <w:rtl/>
        </w:rPr>
        <w:t>فاليري</w:t>
      </w:r>
      <w:r>
        <w:rPr>
          <w:rFonts w:hint="cs"/>
          <w:rtl/>
        </w:rPr>
        <w:t xml:space="preserve"> </w:t>
      </w:r>
      <w:proofErr w:type="spellStart"/>
      <w:r>
        <w:rPr>
          <w:rFonts w:hint="cs"/>
          <w:rtl/>
        </w:rPr>
        <w:t>ريبيجينكو</w:t>
      </w:r>
      <w:proofErr w:type="spellEnd"/>
      <w:r>
        <w:rPr>
          <w:rFonts w:hint="cs"/>
          <w:rtl/>
        </w:rPr>
        <w:t xml:space="preserve"> بموجب البروتوكول الاختياري الملحق بالعهد الدولي الخاص بالحقوق المدنية والسياسية،</w:t>
      </w:r>
    </w:p>
    <w:p w:rsidR="00EB7B26" w:rsidRDefault="00EB7B26" w:rsidP="005D7B11">
      <w:pPr>
        <w:pStyle w:val="SingleTxtGA"/>
        <w:rPr>
          <w:rtl/>
        </w:rPr>
      </w:pPr>
      <w:r>
        <w:rPr>
          <w:rFonts w:hint="cs"/>
          <w:rtl/>
        </w:rPr>
        <w:tab/>
      </w:r>
      <w:r>
        <w:rPr>
          <w:rFonts w:hint="cs"/>
          <w:i/>
          <w:iCs/>
          <w:rtl/>
        </w:rPr>
        <w:t xml:space="preserve">وقد </w:t>
      </w:r>
      <w:r w:rsidR="0044593C">
        <w:rPr>
          <w:rFonts w:hint="cs"/>
          <w:i/>
          <w:iCs/>
          <w:rtl/>
        </w:rPr>
        <w:t>أخذت</w:t>
      </w:r>
      <w:r>
        <w:rPr>
          <w:rFonts w:hint="cs"/>
          <w:i/>
          <w:iCs/>
          <w:rtl/>
        </w:rPr>
        <w:t xml:space="preserve"> في </w:t>
      </w:r>
      <w:r w:rsidR="005D7B11">
        <w:rPr>
          <w:rFonts w:hint="cs"/>
          <w:i/>
          <w:iCs/>
          <w:rtl/>
        </w:rPr>
        <w:t>الاعتبار</w:t>
      </w:r>
      <w:r>
        <w:rPr>
          <w:rFonts w:hint="cs"/>
          <w:rtl/>
        </w:rPr>
        <w:t xml:space="preserve"> جميع المعلومات الخطية التي أتاحها لها أصحاب البلاغ</w:t>
      </w:r>
      <w:r w:rsidR="00226A16">
        <w:rPr>
          <w:rFonts w:hint="cs"/>
          <w:rtl/>
        </w:rPr>
        <w:t xml:space="preserve"> </w:t>
      </w:r>
      <w:r w:rsidR="001D2A5A">
        <w:rPr>
          <w:rFonts w:hint="cs"/>
          <w:rtl/>
        </w:rPr>
        <w:t xml:space="preserve"> </w:t>
      </w:r>
      <w:r>
        <w:rPr>
          <w:rFonts w:hint="cs"/>
          <w:rtl/>
        </w:rPr>
        <w:t>والدولة الطرف،</w:t>
      </w:r>
    </w:p>
    <w:p w:rsidR="00EB7B26" w:rsidRDefault="00EB7B26" w:rsidP="00737B98">
      <w:pPr>
        <w:pStyle w:val="SingleTxtGA"/>
        <w:rPr>
          <w:rtl/>
        </w:rPr>
      </w:pPr>
      <w:r>
        <w:rPr>
          <w:rFonts w:hint="cs"/>
          <w:rtl/>
        </w:rPr>
        <w:tab/>
      </w:r>
      <w:r>
        <w:rPr>
          <w:rFonts w:hint="cs"/>
          <w:i/>
          <w:iCs/>
          <w:rtl/>
        </w:rPr>
        <w:t>تعتمد</w:t>
      </w:r>
      <w:r>
        <w:rPr>
          <w:rFonts w:hint="cs"/>
          <w:rtl/>
        </w:rPr>
        <w:t xml:space="preserve"> ما يلي:</w:t>
      </w:r>
    </w:p>
    <w:p w:rsidR="00EB7B26" w:rsidRDefault="00EB7B26" w:rsidP="006947A1">
      <w:pPr>
        <w:pStyle w:val="H1GA"/>
        <w:rPr>
          <w:rtl/>
        </w:rPr>
      </w:pPr>
      <w:r>
        <w:rPr>
          <w:rFonts w:hint="cs"/>
          <w:rtl/>
        </w:rPr>
        <w:lastRenderedPageBreak/>
        <w:tab/>
      </w:r>
      <w:r>
        <w:rPr>
          <w:rFonts w:hint="cs"/>
          <w:rtl/>
        </w:rPr>
        <w:tab/>
        <w:t>آراء بموجب الفقرة 4 من المادة 5 من البروتوكول الاختياري</w:t>
      </w:r>
    </w:p>
    <w:p w:rsidR="00EB7B26" w:rsidRDefault="00EB7B26" w:rsidP="00E1488D">
      <w:pPr>
        <w:pStyle w:val="SingleTxtGA"/>
        <w:rPr>
          <w:rtl/>
        </w:rPr>
      </w:pPr>
      <w:r>
        <w:rPr>
          <w:rFonts w:hint="cs"/>
          <w:rtl/>
        </w:rPr>
        <w:t>1-</w:t>
      </w:r>
      <w:r>
        <w:rPr>
          <w:rFonts w:hint="cs"/>
          <w:rtl/>
        </w:rPr>
        <w:tab/>
        <w:t xml:space="preserve">أصحاب البلاغ هم </w:t>
      </w:r>
      <w:proofErr w:type="spellStart"/>
      <w:r>
        <w:rPr>
          <w:rFonts w:hint="cs"/>
          <w:rtl/>
        </w:rPr>
        <w:t>فالينتين</w:t>
      </w:r>
      <w:proofErr w:type="spellEnd"/>
      <w:r>
        <w:rPr>
          <w:rFonts w:hint="cs"/>
          <w:rtl/>
        </w:rPr>
        <w:t xml:space="preserve"> </w:t>
      </w:r>
      <w:proofErr w:type="spellStart"/>
      <w:r>
        <w:rPr>
          <w:rFonts w:hint="cs"/>
          <w:rtl/>
        </w:rPr>
        <w:t>إيفريزوف</w:t>
      </w:r>
      <w:proofErr w:type="spellEnd"/>
      <w:r>
        <w:rPr>
          <w:rFonts w:hint="cs"/>
          <w:rtl/>
        </w:rPr>
        <w:t xml:space="preserve"> المولود في عام 1954؛ </w:t>
      </w:r>
      <w:proofErr w:type="spellStart"/>
      <w:r>
        <w:rPr>
          <w:rFonts w:hint="cs"/>
          <w:rtl/>
        </w:rPr>
        <w:t>وفلادمير</w:t>
      </w:r>
      <w:proofErr w:type="spellEnd"/>
      <w:r>
        <w:rPr>
          <w:rFonts w:hint="cs"/>
          <w:rtl/>
        </w:rPr>
        <w:t xml:space="preserve"> </w:t>
      </w:r>
      <w:proofErr w:type="spellStart"/>
      <w:r w:rsidR="005E5480">
        <w:rPr>
          <w:rFonts w:hint="cs"/>
          <w:rtl/>
        </w:rPr>
        <w:t>نيبومنياسشيك</w:t>
      </w:r>
      <w:proofErr w:type="spellEnd"/>
      <w:r>
        <w:rPr>
          <w:rFonts w:hint="cs"/>
          <w:rtl/>
        </w:rPr>
        <w:t xml:space="preserve"> المولود </w:t>
      </w:r>
      <w:r w:rsidR="008039F0">
        <w:rPr>
          <w:rFonts w:hint="cs"/>
          <w:rtl/>
        </w:rPr>
        <w:t xml:space="preserve">في </w:t>
      </w:r>
      <w:r>
        <w:rPr>
          <w:rFonts w:hint="cs"/>
          <w:rtl/>
        </w:rPr>
        <w:t xml:space="preserve">عام 1952؛ </w:t>
      </w:r>
      <w:proofErr w:type="spellStart"/>
      <w:r>
        <w:rPr>
          <w:rFonts w:hint="cs"/>
          <w:rtl/>
        </w:rPr>
        <w:t>وفاسلي</w:t>
      </w:r>
      <w:proofErr w:type="spellEnd"/>
      <w:r>
        <w:rPr>
          <w:rFonts w:hint="cs"/>
          <w:rtl/>
        </w:rPr>
        <w:t xml:space="preserve"> </w:t>
      </w:r>
      <w:proofErr w:type="spellStart"/>
      <w:r>
        <w:rPr>
          <w:rFonts w:hint="cs"/>
          <w:rtl/>
        </w:rPr>
        <w:t>بوليياكوف</w:t>
      </w:r>
      <w:proofErr w:type="spellEnd"/>
      <w:r>
        <w:rPr>
          <w:rFonts w:hint="cs"/>
          <w:rtl/>
        </w:rPr>
        <w:t xml:space="preserve"> المولود في عام 1969؛ و</w:t>
      </w:r>
      <w:r w:rsidR="005E5480">
        <w:rPr>
          <w:rFonts w:hint="cs"/>
          <w:rtl/>
        </w:rPr>
        <w:t>فاليري</w:t>
      </w:r>
      <w:r>
        <w:rPr>
          <w:rFonts w:hint="cs"/>
          <w:rtl/>
        </w:rPr>
        <w:t xml:space="preserve"> </w:t>
      </w:r>
      <w:proofErr w:type="spellStart"/>
      <w:r>
        <w:rPr>
          <w:rFonts w:hint="cs"/>
          <w:rtl/>
        </w:rPr>
        <w:t>ريبيجينكو</w:t>
      </w:r>
      <w:proofErr w:type="spellEnd"/>
      <w:r>
        <w:rPr>
          <w:rFonts w:hint="cs"/>
          <w:rtl/>
        </w:rPr>
        <w:t xml:space="preserve"> المولود</w:t>
      </w:r>
      <w:r w:rsidR="008039F0">
        <w:rPr>
          <w:rFonts w:hint="cs"/>
          <w:rtl/>
        </w:rPr>
        <w:t>ة</w:t>
      </w:r>
      <w:r>
        <w:rPr>
          <w:rFonts w:hint="cs"/>
          <w:rtl/>
        </w:rPr>
        <w:t xml:space="preserve"> في</w:t>
      </w:r>
      <w:r w:rsidR="008039F0">
        <w:rPr>
          <w:rFonts w:hint="cs"/>
          <w:rtl/>
        </w:rPr>
        <w:t xml:space="preserve"> عام</w:t>
      </w:r>
      <w:r>
        <w:rPr>
          <w:rFonts w:hint="cs"/>
          <w:rtl/>
        </w:rPr>
        <w:t xml:space="preserve"> 1963؛ وجميعهم مواطني</w:t>
      </w:r>
      <w:r>
        <w:rPr>
          <w:rtl/>
        </w:rPr>
        <w:t xml:space="preserve"> </w:t>
      </w:r>
      <w:r>
        <w:rPr>
          <w:rFonts w:hint="cs"/>
          <w:rtl/>
        </w:rPr>
        <w:t xml:space="preserve">بيلاروس. ويدعون أنهم ضحية انتهاكات بيلاروس لحقوقهم بموجب المادتين 19 و21، بالاقتران بالفقرة 2 من المادة 2من العهد الدولي الخاص بالحقوق المدنية والسياسية. ويدعي كل من السيد </w:t>
      </w:r>
      <w:proofErr w:type="spellStart"/>
      <w:r>
        <w:rPr>
          <w:rFonts w:hint="cs"/>
          <w:rtl/>
        </w:rPr>
        <w:t>بوليياكوف</w:t>
      </w:r>
      <w:proofErr w:type="spellEnd"/>
      <w:r>
        <w:rPr>
          <w:rFonts w:hint="cs"/>
          <w:rtl/>
        </w:rPr>
        <w:t xml:space="preserve"> والسيد </w:t>
      </w:r>
      <w:proofErr w:type="spellStart"/>
      <w:r>
        <w:rPr>
          <w:rFonts w:hint="cs"/>
          <w:rtl/>
        </w:rPr>
        <w:t>إيفريزوف</w:t>
      </w:r>
      <w:proofErr w:type="spellEnd"/>
      <w:r>
        <w:rPr>
          <w:rFonts w:hint="cs"/>
          <w:rtl/>
        </w:rPr>
        <w:t xml:space="preserve"> أيضاً أنهما ضحية انتهاكات حقوقهم</w:t>
      </w:r>
      <w:r w:rsidR="00E1488D">
        <w:rPr>
          <w:rFonts w:hint="cs"/>
          <w:rtl/>
        </w:rPr>
        <w:t>ا</w:t>
      </w:r>
      <w:r>
        <w:rPr>
          <w:rFonts w:hint="cs"/>
          <w:rtl/>
        </w:rPr>
        <w:t xml:space="preserve"> بموجب الفقرة 3(أ) و(ب) و(د) و(ه) من المادة 14 من العهد. ولا يمثل أصحاب البلاغ محامٍ. وقد دخل البروتوكول الاختياري حيز النفاذ </w:t>
      </w:r>
      <w:r w:rsidR="00E1488D">
        <w:rPr>
          <w:rFonts w:hint="cs"/>
          <w:rtl/>
        </w:rPr>
        <w:t>بالنسبة إلى</w:t>
      </w:r>
      <w:r>
        <w:rPr>
          <w:rFonts w:hint="cs"/>
          <w:rtl/>
        </w:rPr>
        <w:t xml:space="preserve"> الدولة الطرف في 30 كانون الأول/ديسمبر 1992. </w:t>
      </w:r>
    </w:p>
    <w:p w:rsidR="00EB7B26" w:rsidRDefault="00EB7B26" w:rsidP="00E1488D">
      <w:pPr>
        <w:pStyle w:val="H23GA"/>
        <w:rPr>
          <w:rtl/>
        </w:rPr>
      </w:pPr>
      <w:r>
        <w:rPr>
          <w:rFonts w:hint="cs"/>
          <w:rtl/>
        </w:rPr>
        <w:tab/>
      </w:r>
      <w:r>
        <w:rPr>
          <w:rFonts w:hint="cs"/>
          <w:rtl/>
        </w:rPr>
        <w:tab/>
        <w:t>الوقائع كما عرضها أصحاب البلاغ</w:t>
      </w:r>
    </w:p>
    <w:p w:rsidR="00EB7B26" w:rsidRDefault="00EB7B26" w:rsidP="004954F5">
      <w:pPr>
        <w:pStyle w:val="SingleTxtGA"/>
        <w:rPr>
          <w:rtl/>
        </w:rPr>
      </w:pPr>
      <w:r>
        <w:rPr>
          <w:rFonts w:hint="cs"/>
          <w:rtl/>
        </w:rPr>
        <w:t>2-1</w:t>
      </w:r>
      <w:r>
        <w:rPr>
          <w:rFonts w:hint="cs"/>
          <w:rtl/>
        </w:rPr>
        <w:tab/>
        <w:t xml:space="preserve">يدعي أصحاب البلاغ أنههم كانوا </w:t>
      </w:r>
      <w:r w:rsidRPr="008532E6">
        <w:rPr>
          <w:rFonts w:hint="cs"/>
          <w:rtl/>
        </w:rPr>
        <w:t xml:space="preserve">يتمشون </w:t>
      </w:r>
      <w:r>
        <w:rPr>
          <w:rFonts w:hint="cs"/>
          <w:rtl/>
        </w:rPr>
        <w:t>كمجموعة مؤلفة من</w:t>
      </w:r>
      <w:r w:rsidR="00F5304F">
        <w:rPr>
          <w:rFonts w:hint="cs"/>
          <w:rtl/>
        </w:rPr>
        <w:t xml:space="preserve"> نحو</w:t>
      </w:r>
      <w:r>
        <w:rPr>
          <w:rFonts w:hint="cs"/>
          <w:rtl/>
        </w:rPr>
        <w:t xml:space="preserve"> 16 فرداً </w:t>
      </w:r>
      <w:r w:rsidRPr="008532E6">
        <w:rPr>
          <w:rFonts w:hint="cs"/>
          <w:rtl/>
        </w:rPr>
        <w:t xml:space="preserve">في الساعة </w:t>
      </w:r>
      <w:r>
        <w:rPr>
          <w:rFonts w:hint="cs"/>
          <w:rtl/>
        </w:rPr>
        <w:t>4:45</w:t>
      </w:r>
      <w:r w:rsidR="00226A16">
        <w:rPr>
          <w:rFonts w:hint="cs"/>
          <w:rtl/>
        </w:rPr>
        <w:t xml:space="preserve"> </w:t>
      </w:r>
      <w:r w:rsidR="004954F5">
        <w:rPr>
          <w:rFonts w:hint="cs"/>
          <w:rtl/>
        </w:rPr>
        <w:t>من بعد ظهر</w:t>
      </w:r>
      <w:r w:rsidR="00226A16">
        <w:rPr>
          <w:rFonts w:hint="cs"/>
          <w:rtl/>
        </w:rPr>
        <w:t xml:space="preserve"> </w:t>
      </w:r>
      <w:r>
        <w:rPr>
          <w:rFonts w:hint="cs"/>
          <w:rtl/>
        </w:rPr>
        <w:t>يوم</w:t>
      </w:r>
      <w:r w:rsidRPr="008532E6">
        <w:rPr>
          <w:rFonts w:hint="cs"/>
          <w:rtl/>
        </w:rPr>
        <w:t xml:space="preserve"> 16 أيلول/سبتمبر 2009 </w:t>
      </w:r>
      <w:r>
        <w:rPr>
          <w:rFonts w:hint="cs"/>
          <w:rtl/>
        </w:rPr>
        <w:t xml:space="preserve">في مركز مدينة </w:t>
      </w:r>
      <w:proofErr w:type="spellStart"/>
      <w:r>
        <w:rPr>
          <w:rFonts w:hint="cs"/>
          <w:rtl/>
        </w:rPr>
        <w:t>غوميل</w:t>
      </w:r>
      <w:proofErr w:type="spellEnd"/>
      <w:r>
        <w:rPr>
          <w:rFonts w:hint="cs"/>
          <w:rtl/>
        </w:rPr>
        <w:t xml:space="preserve"> في بيلاروس، متوجهين إلى ساحة </w:t>
      </w:r>
      <w:proofErr w:type="spellStart"/>
      <w:r>
        <w:rPr>
          <w:rFonts w:hint="cs"/>
          <w:rtl/>
        </w:rPr>
        <w:t>ريفولوتسيا</w:t>
      </w:r>
      <w:proofErr w:type="spellEnd"/>
      <w:r>
        <w:rPr>
          <w:rFonts w:hint="cs"/>
          <w:rtl/>
        </w:rPr>
        <w:t xml:space="preserve">، حيث كانوا يعتزمون عقد مظاهرة بمناسبة ذكرى اختفاء قائدي المعارضة فيكتور </w:t>
      </w:r>
      <w:proofErr w:type="spellStart"/>
      <w:r>
        <w:rPr>
          <w:rFonts w:hint="cs"/>
          <w:rtl/>
        </w:rPr>
        <w:t>كونجاروف</w:t>
      </w:r>
      <w:proofErr w:type="spellEnd"/>
      <w:r>
        <w:rPr>
          <w:rFonts w:hint="cs"/>
          <w:rtl/>
        </w:rPr>
        <w:t xml:space="preserve"> </w:t>
      </w:r>
      <w:proofErr w:type="spellStart"/>
      <w:r>
        <w:rPr>
          <w:rFonts w:hint="cs"/>
          <w:rtl/>
        </w:rPr>
        <w:t>وأناتولي</w:t>
      </w:r>
      <w:proofErr w:type="spellEnd"/>
      <w:r>
        <w:rPr>
          <w:rFonts w:hint="cs"/>
          <w:rtl/>
        </w:rPr>
        <w:t xml:space="preserve"> </w:t>
      </w:r>
      <w:proofErr w:type="spellStart"/>
      <w:r>
        <w:rPr>
          <w:rFonts w:hint="cs"/>
          <w:rtl/>
        </w:rPr>
        <w:t>كراسوفسكي</w:t>
      </w:r>
      <w:proofErr w:type="spellEnd"/>
      <w:r>
        <w:rPr>
          <w:rFonts w:hint="cs"/>
          <w:rtl/>
        </w:rPr>
        <w:t xml:space="preserve">. وكان أفراد المجموعة يحملون صوراً للسياسيين المختفين ولافتات أخرى. </w:t>
      </w:r>
    </w:p>
    <w:p w:rsidR="00EB7B26" w:rsidRDefault="00EB7B26" w:rsidP="0025663A">
      <w:pPr>
        <w:pStyle w:val="SingleTxtGA"/>
        <w:rPr>
          <w:rtl/>
        </w:rPr>
      </w:pPr>
      <w:r>
        <w:rPr>
          <w:rFonts w:hint="cs"/>
          <w:rtl/>
        </w:rPr>
        <w:t>2-2</w:t>
      </w:r>
      <w:r>
        <w:rPr>
          <w:rFonts w:hint="cs"/>
          <w:rtl/>
        </w:rPr>
        <w:tab/>
        <w:t xml:space="preserve">وفي طريقهم إلى الساحة، أوقفتهم مجموعة من </w:t>
      </w:r>
      <w:r w:rsidR="00C075C6">
        <w:rPr>
          <w:rFonts w:hint="cs"/>
          <w:rtl/>
        </w:rPr>
        <w:t>ال</w:t>
      </w:r>
      <w:r>
        <w:rPr>
          <w:rFonts w:hint="cs"/>
          <w:rtl/>
        </w:rPr>
        <w:t xml:space="preserve">رجال </w:t>
      </w:r>
      <w:r w:rsidR="00C075C6">
        <w:rPr>
          <w:rFonts w:hint="cs"/>
          <w:rtl/>
        </w:rPr>
        <w:t>الذين</w:t>
      </w:r>
      <w:r w:rsidR="009B467E">
        <w:rPr>
          <w:rFonts w:hint="cs"/>
          <w:rtl/>
        </w:rPr>
        <w:t xml:space="preserve"> </w:t>
      </w:r>
      <w:r>
        <w:rPr>
          <w:rFonts w:hint="cs"/>
          <w:rtl/>
        </w:rPr>
        <w:t>كانوا يرتدون زياً مدنياً وأ</w:t>
      </w:r>
      <w:r w:rsidR="00523833">
        <w:rPr>
          <w:rFonts w:hint="cs"/>
          <w:rtl/>
        </w:rPr>
        <w:t>ُ</w:t>
      </w:r>
      <w:r>
        <w:rPr>
          <w:rFonts w:hint="cs"/>
          <w:rtl/>
        </w:rPr>
        <w:t xml:space="preserve">جبروا على الصعود إلى حافلة. واقتيدوا إلى دائرة شرطة مقاطعة </w:t>
      </w:r>
      <w:proofErr w:type="spellStart"/>
      <w:r>
        <w:rPr>
          <w:rFonts w:hint="cs"/>
          <w:rtl/>
        </w:rPr>
        <w:t>زيليزنودوروزني</w:t>
      </w:r>
      <w:proofErr w:type="spellEnd"/>
      <w:r>
        <w:rPr>
          <w:rFonts w:hint="cs"/>
          <w:rtl/>
        </w:rPr>
        <w:t xml:space="preserve"> حيث </w:t>
      </w:r>
      <w:r w:rsidR="00523833">
        <w:rPr>
          <w:rFonts w:hint="cs"/>
          <w:rtl/>
        </w:rPr>
        <w:t>حررت</w:t>
      </w:r>
      <w:r>
        <w:rPr>
          <w:rFonts w:hint="cs"/>
          <w:rtl/>
        </w:rPr>
        <w:t xml:space="preserve"> الشرطة </w:t>
      </w:r>
      <w:r w:rsidR="00523833">
        <w:rPr>
          <w:rFonts w:hint="cs"/>
          <w:rtl/>
        </w:rPr>
        <w:t>محضراً</w:t>
      </w:r>
      <w:r>
        <w:rPr>
          <w:rFonts w:hint="cs"/>
          <w:rtl/>
        </w:rPr>
        <w:t xml:space="preserve"> رسمياً يتهم كلاً منهم بمخالفة إدارية بسبب مشاركته في المظاهرة، وفقاً للفقرة 1 من المادة</w:t>
      </w:r>
      <w:r>
        <w:rPr>
          <w:rFonts w:hint="eastAsia"/>
          <w:rtl/>
        </w:rPr>
        <w:t> </w:t>
      </w:r>
      <w:r>
        <w:rPr>
          <w:rFonts w:hint="cs"/>
          <w:rtl/>
        </w:rPr>
        <w:t>23</w:t>
      </w:r>
      <w:r w:rsidR="0025663A">
        <w:rPr>
          <w:rFonts w:hint="cs"/>
          <w:rtl/>
        </w:rPr>
        <w:t>-</w:t>
      </w:r>
      <w:r>
        <w:rPr>
          <w:rFonts w:hint="cs"/>
          <w:rtl/>
        </w:rPr>
        <w:t xml:space="preserve">34 من قانون المخالفات الإدارية، </w:t>
      </w:r>
      <w:r w:rsidR="00523833">
        <w:rPr>
          <w:rFonts w:hint="cs"/>
          <w:rtl/>
        </w:rPr>
        <w:t xml:space="preserve">بحجة أنهم </w:t>
      </w:r>
      <w:r>
        <w:rPr>
          <w:rFonts w:hint="cs"/>
          <w:rtl/>
        </w:rPr>
        <w:t>خالفوا</w:t>
      </w:r>
      <w:r w:rsidR="00523833">
        <w:rPr>
          <w:rFonts w:hint="cs"/>
          <w:rtl/>
        </w:rPr>
        <w:t xml:space="preserve"> القواعد السارية المتعلقة بتنظيم التجمعات الجماهيرية</w:t>
      </w:r>
      <w:r>
        <w:rPr>
          <w:rFonts w:hint="cs"/>
          <w:rtl/>
        </w:rPr>
        <w:t>. ويدعي أصحاب البلاغ أنه تم احتجازهم قبل أن تبدأ المظاهرة، بل وقبل أن يقتربوا من مكان انعقاد المظاهرة بوقت طويل.</w:t>
      </w:r>
    </w:p>
    <w:p w:rsidR="00EB7B26" w:rsidRDefault="00EB7B26" w:rsidP="008A58ED">
      <w:pPr>
        <w:pStyle w:val="SingleTxtGA"/>
        <w:rPr>
          <w:rtl/>
        </w:rPr>
      </w:pPr>
      <w:r>
        <w:rPr>
          <w:rFonts w:hint="cs"/>
          <w:rtl/>
        </w:rPr>
        <w:t>2-3</w:t>
      </w:r>
      <w:r>
        <w:rPr>
          <w:rFonts w:hint="cs"/>
          <w:rtl/>
        </w:rPr>
        <w:tab/>
      </w:r>
      <w:r w:rsidR="0057529C">
        <w:rPr>
          <w:rFonts w:hint="cs"/>
          <w:rtl/>
        </w:rPr>
        <w:t>وأصدرت</w:t>
      </w:r>
      <w:r>
        <w:rPr>
          <w:rFonts w:hint="cs"/>
          <w:rtl/>
        </w:rPr>
        <w:t xml:space="preserve"> محكمة مقاطعة </w:t>
      </w:r>
      <w:proofErr w:type="spellStart"/>
      <w:r>
        <w:rPr>
          <w:rFonts w:hint="cs"/>
          <w:rtl/>
        </w:rPr>
        <w:t>زيليزنودوروزني</w:t>
      </w:r>
      <w:proofErr w:type="spellEnd"/>
      <w:r>
        <w:rPr>
          <w:rFonts w:hint="cs"/>
          <w:rtl/>
        </w:rPr>
        <w:t xml:space="preserve"> قرارات </w:t>
      </w:r>
      <w:r w:rsidR="00C037B7">
        <w:rPr>
          <w:rFonts w:hint="cs"/>
          <w:rtl/>
        </w:rPr>
        <w:t xml:space="preserve">فردية </w:t>
      </w:r>
      <w:r>
        <w:rPr>
          <w:rFonts w:hint="cs"/>
          <w:rtl/>
        </w:rPr>
        <w:t>(في 15 تشرين الأول/</w:t>
      </w:r>
      <w:r w:rsidR="00751D47">
        <w:rPr>
          <w:rFonts w:hint="cs"/>
          <w:rtl/>
        </w:rPr>
        <w:t xml:space="preserve">             </w:t>
      </w:r>
      <w:r>
        <w:rPr>
          <w:rFonts w:hint="cs"/>
          <w:rtl/>
        </w:rPr>
        <w:t xml:space="preserve">أكتوبر 2009 بالنسبة للسيد </w:t>
      </w:r>
      <w:proofErr w:type="spellStart"/>
      <w:r>
        <w:rPr>
          <w:rFonts w:hint="cs"/>
          <w:rtl/>
        </w:rPr>
        <w:t>إيفريزوف</w:t>
      </w:r>
      <w:proofErr w:type="spellEnd"/>
      <w:r>
        <w:rPr>
          <w:rFonts w:hint="cs"/>
          <w:rtl/>
        </w:rPr>
        <w:t xml:space="preserve"> وفي 13 تشرين الأول/أكتوبر 2009 بالنسبة للسيدين </w:t>
      </w:r>
      <w:proofErr w:type="spellStart"/>
      <w:r>
        <w:rPr>
          <w:rFonts w:hint="cs"/>
          <w:rtl/>
        </w:rPr>
        <w:t>بوليياكوف</w:t>
      </w:r>
      <w:proofErr w:type="spellEnd"/>
      <w:r>
        <w:rPr>
          <w:rFonts w:hint="cs"/>
          <w:rtl/>
        </w:rPr>
        <w:t xml:space="preserve"> </w:t>
      </w:r>
      <w:proofErr w:type="spellStart"/>
      <w:r>
        <w:rPr>
          <w:rFonts w:hint="cs"/>
          <w:rtl/>
        </w:rPr>
        <w:t>و</w:t>
      </w:r>
      <w:r w:rsidR="00E3608B" w:rsidRPr="006F79B4">
        <w:rPr>
          <w:rFonts w:hint="cs"/>
          <w:rtl/>
        </w:rPr>
        <w:t>نيبومنياسشيك</w:t>
      </w:r>
      <w:proofErr w:type="spellEnd"/>
      <w:r>
        <w:rPr>
          <w:rFonts w:hint="cs"/>
          <w:rtl/>
        </w:rPr>
        <w:t xml:space="preserve"> وفي 19 تشرين الأول/أكتوبر 2009 بالنسبة للسيد </w:t>
      </w:r>
      <w:proofErr w:type="spellStart"/>
      <w:r>
        <w:rPr>
          <w:rFonts w:hint="cs"/>
          <w:rtl/>
        </w:rPr>
        <w:t>ريبجينكو</w:t>
      </w:r>
      <w:proofErr w:type="spellEnd"/>
      <w:r>
        <w:rPr>
          <w:rFonts w:hint="cs"/>
          <w:rtl/>
        </w:rPr>
        <w:t xml:space="preserve">)، بإدانة أصحاب البلاغ لانتهاكهم </w:t>
      </w:r>
      <w:r w:rsidR="00385426">
        <w:rPr>
          <w:rFonts w:hint="cs"/>
          <w:rtl/>
        </w:rPr>
        <w:t xml:space="preserve">القواعد السارية المتعلقة </w:t>
      </w:r>
      <w:r>
        <w:rPr>
          <w:rFonts w:hint="cs"/>
          <w:rtl/>
        </w:rPr>
        <w:t xml:space="preserve">بتنظيم </w:t>
      </w:r>
      <w:r w:rsidR="00385426">
        <w:rPr>
          <w:rFonts w:hint="cs"/>
          <w:rtl/>
        </w:rPr>
        <w:t>التجمعات ال</w:t>
      </w:r>
      <w:r>
        <w:rPr>
          <w:rFonts w:hint="cs"/>
          <w:rtl/>
        </w:rPr>
        <w:t xml:space="preserve">جماهيرية، </w:t>
      </w:r>
      <w:r w:rsidR="002E1370">
        <w:rPr>
          <w:rFonts w:hint="cs"/>
          <w:rtl/>
        </w:rPr>
        <w:t>وحكمت</w:t>
      </w:r>
      <w:r>
        <w:rPr>
          <w:rFonts w:hint="cs"/>
          <w:rtl/>
        </w:rPr>
        <w:t xml:space="preserve"> عليهم بغرامات إدارية (000 875 روبل بيلاروسي بالنسبة للسيد</w:t>
      </w:r>
      <w:r w:rsidR="00B97382">
        <w:rPr>
          <w:rFonts w:hint="cs"/>
          <w:rtl/>
        </w:rPr>
        <w:t>ين</w:t>
      </w:r>
      <w:r>
        <w:rPr>
          <w:rFonts w:hint="cs"/>
          <w:rtl/>
        </w:rPr>
        <w:t xml:space="preserve"> </w:t>
      </w:r>
      <w:proofErr w:type="spellStart"/>
      <w:r>
        <w:rPr>
          <w:rFonts w:hint="cs"/>
          <w:rtl/>
        </w:rPr>
        <w:t>إيفريزوف</w:t>
      </w:r>
      <w:proofErr w:type="spellEnd"/>
      <w:r>
        <w:rPr>
          <w:rFonts w:hint="cs"/>
          <w:rtl/>
        </w:rPr>
        <w:t xml:space="preserve"> </w:t>
      </w:r>
      <w:proofErr w:type="spellStart"/>
      <w:r w:rsidR="00B64AEC">
        <w:rPr>
          <w:rFonts w:hint="cs"/>
          <w:rtl/>
        </w:rPr>
        <w:t>و</w:t>
      </w:r>
      <w:r w:rsidR="005E5480">
        <w:rPr>
          <w:rFonts w:hint="cs"/>
          <w:rtl/>
        </w:rPr>
        <w:t>نيبومنياسشيك</w:t>
      </w:r>
      <w:proofErr w:type="spellEnd"/>
      <w:r>
        <w:rPr>
          <w:rFonts w:hint="cs"/>
          <w:rtl/>
        </w:rPr>
        <w:t xml:space="preserve"> و</w:t>
      </w:r>
      <w:r w:rsidR="00B64AEC">
        <w:rPr>
          <w:rFonts w:hint="cs"/>
          <w:rtl/>
        </w:rPr>
        <w:t xml:space="preserve">000 </w:t>
      </w:r>
      <w:r>
        <w:rPr>
          <w:rFonts w:hint="cs"/>
          <w:rtl/>
        </w:rPr>
        <w:t xml:space="preserve">400 1 روبل بيلاروسي بالنسبة للسيد </w:t>
      </w:r>
      <w:proofErr w:type="spellStart"/>
      <w:r>
        <w:rPr>
          <w:rFonts w:hint="cs"/>
          <w:rtl/>
        </w:rPr>
        <w:t>بوليياكوف</w:t>
      </w:r>
      <w:proofErr w:type="spellEnd"/>
      <w:r>
        <w:rPr>
          <w:rFonts w:hint="cs"/>
          <w:rtl/>
        </w:rPr>
        <w:t xml:space="preserve"> و</w:t>
      </w:r>
      <w:r w:rsidR="00B64AEC">
        <w:rPr>
          <w:rFonts w:hint="cs"/>
          <w:rtl/>
        </w:rPr>
        <w:t xml:space="preserve">000 </w:t>
      </w:r>
      <w:r>
        <w:rPr>
          <w:rFonts w:hint="cs"/>
          <w:rtl/>
        </w:rPr>
        <w:t xml:space="preserve">00 7 روبل بيلاروسي بالنسبة للسيد </w:t>
      </w:r>
      <w:proofErr w:type="spellStart"/>
      <w:r>
        <w:rPr>
          <w:rFonts w:hint="cs"/>
          <w:rtl/>
        </w:rPr>
        <w:t>ريبجينكو</w:t>
      </w:r>
      <w:proofErr w:type="spellEnd"/>
      <w:r>
        <w:rPr>
          <w:rFonts w:hint="cs"/>
          <w:rtl/>
        </w:rPr>
        <w:t xml:space="preserve">). وقدم أحد الشهود إفادة أثناء جلسة الاستماع الإدارية </w:t>
      </w:r>
      <w:r w:rsidR="008C0150">
        <w:rPr>
          <w:rFonts w:hint="cs"/>
          <w:rtl/>
        </w:rPr>
        <w:t>قائلاً إنه لم يكن أحد</w:t>
      </w:r>
      <w:r>
        <w:rPr>
          <w:rFonts w:hint="cs"/>
          <w:rtl/>
        </w:rPr>
        <w:t xml:space="preserve"> من المشاركين في المس</w:t>
      </w:r>
      <w:r w:rsidR="00025E4F">
        <w:rPr>
          <w:rFonts w:hint="cs"/>
          <w:rtl/>
        </w:rPr>
        <w:t>ي</w:t>
      </w:r>
      <w:r>
        <w:rPr>
          <w:rFonts w:hint="cs"/>
          <w:rtl/>
        </w:rPr>
        <w:t>رة يحمل أو يُظهر أي لافتة أو صورة</w:t>
      </w:r>
      <w:r w:rsidR="008E4297">
        <w:rPr>
          <w:rFonts w:hint="cs"/>
          <w:rtl/>
        </w:rPr>
        <w:t>،</w:t>
      </w:r>
      <w:r>
        <w:rPr>
          <w:rFonts w:hint="cs"/>
          <w:rtl/>
        </w:rPr>
        <w:t xml:space="preserve"> لكن المحكمة قررت أن تصدق ضباط الشرطة الذين ادعوا أن أصحاب البلاغ كانوا </w:t>
      </w:r>
      <w:r w:rsidR="0023032B">
        <w:rPr>
          <w:rFonts w:hint="cs"/>
          <w:rtl/>
        </w:rPr>
        <w:t xml:space="preserve">           </w:t>
      </w:r>
      <w:r>
        <w:rPr>
          <w:rFonts w:hint="cs"/>
          <w:rtl/>
        </w:rPr>
        <w:t>يحملون لافتات.</w:t>
      </w:r>
    </w:p>
    <w:p w:rsidR="00EB7B26" w:rsidRDefault="00EB7B26" w:rsidP="00F674FC">
      <w:pPr>
        <w:pStyle w:val="SingleTxtGA"/>
        <w:rPr>
          <w:rtl/>
        </w:rPr>
      </w:pPr>
      <w:r>
        <w:rPr>
          <w:rFonts w:hint="cs"/>
          <w:rtl/>
        </w:rPr>
        <w:lastRenderedPageBreak/>
        <w:t>2-4</w:t>
      </w:r>
      <w:r>
        <w:rPr>
          <w:rFonts w:hint="cs"/>
          <w:rtl/>
        </w:rPr>
        <w:tab/>
        <w:t>وطعن أصحاب البلاغ في قرار</w:t>
      </w:r>
      <w:r w:rsidR="0023032B">
        <w:rPr>
          <w:rFonts w:hint="cs"/>
          <w:rtl/>
        </w:rPr>
        <w:t>ات</w:t>
      </w:r>
      <w:r>
        <w:rPr>
          <w:rFonts w:hint="cs"/>
          <w:rtl/>
        </w:rPr>
        <w:t xml:space="preserve"> محكمة الدرجة الأولى أمام المحكمة الإقليمية </w:t>
      </w:r>
      <w:proofErr w:type="spellStart"/>
      <w:r>
        <w:rPr>
          <w:rFonts w:hint="cs"/>
          <w:rtl/>
        </w:rPr>
        <w:t>لغوميل</w:t>
      </w:r>
      <w:proofErr w:type="spellEnd"/>
      <w:r>
        <w:rPr>
          <w:rFonts w:hint="cs"/>
          <w:rtl/>
        </w:rPr>
        <w:t xml:space="preserve"> </w:t>
      </w:r>
      <w:r w:rsidR="0023032B">
        <w:rPr>
          <w:rFonts w:hint="cs"/>
          <w:rtl/>
        </w:rPr>
        <w:t>ف</w:t>
      </w:r>
      <w:r>
        <w:rPr>
          <w:rFonts w:hint="cs"/>
          <w:rtl/>
        </w:rPr>
        <w:t xml:space="preserve">رفضت </w:t>
      </w:r>
      <w:r w:rsidR="0023032B">
        <w:rPr>
          <w:rFonts w:hint="cs"/>
          <w:rtl/>
        </w:rPr>
        <w:t xml:space="preserve">المحكمة </w:t>
      </w:r>
      <w:r>
        <w:rPr>
          <w:rFonts w:hint="cs"/>
          <w:rtl/>
        </w:rPr>
        <w:t xml:space="preserve">الطعون وأكدت القرارات (في 20 تشرين الثاني/نوفمبر 2009 بالنسبة للسيد </w:t>
      </w:r>
      <w:proofErr w:type="spellStart"/>
      <w:r>
        <w:rPr>
          <w:rFonts w:hint="cs"/>
          <w:rtl/>
        </w:rPr>
        <w:t>إيفريزوف</w:t>
      </w:r>
      <w:proofErr w:type="spellEnd"/>
      <w:r>
        <w:rPr>
          <w:rFonts w:hint="cs"/>
          <w:rtl/>
        </w:rPr>
        <w:t xml:space="preserve"> وفي 11 تشرين الثاني/نوفمبر 2009 بالنسبة للسيدين </w:t>
      </w:r>
      <w:proofErr w:type="spellStart"/>
      <w:r w:rsidR="005E5480">
        <w:rPr>
          <w:rFonts w:hint="cs"/>
          <w:rtl/>
        </w:rPr>
        <w:t>نيبومنياسشيك</w:t>
      </w:r>
      <w:proofErr w:type="spellEnd"/>
      <w:r>
        <w:rPr>
          <w:rFonts w:hint="cs"/>
          <w:rtl/>
        </w:rPr>
        <w:t xml:space="preserve"> </w:t>
      </w:r>
      <w:proofErr w:type="spellStart"/>
      <w:r>
        <w:rPr>
          <w:rFonts w:hint="cs"/>
          <w:rtl/>
        </w:rPr>
        <w:t>وبوليياكوف</w:t>
      </w:r>
      <w:proofErr w:type="spellEnd"/>
      <w:r w:rsidR="00226A16">
        <w:rPr>
          <w:rFonts w:hint="cs"/>
          <w:rtl/>
        </w:rPr>
        <w:t xml:space="preserve"> </w:t>
      </w:r>
      <w:r>
        <w:rPr>
          <w:rFonts w:hint="cs"/>
          <w:rtl/>
        </w:rPr>
        <w:t xml:space="preserve">وفي 18 تشرين الثاني/نوفمبر 2009 بالنسبة للسيد </w:t>
      </w:r>
      <w:proofErr w:type="spellStart"/>
      <w:r>
        <w:rPr>
          <w:rFonts w:hint="cs"/>
          <w:rtl/>
        </w:rPr>
        <w:t>ريبجينكو</w:t>
      </w:r>
      <w:proofErr w:type="spellEnd"/>
      <w:r>
        <w:rPr>
          <w:rFonts w:hint="cs"/>
          <w:rtl/>
        </w:rPr>
        <w:t xml:space="preserve">). واتفقت المحكمة الإقليمية </w:t>
      </w:r>
      <w:proofErr w:type="spellStart"/>
      <w:r>
        <w:rPr>
          <w:rFonts w:hint="cs"/>
          <w:rtl/>
        </w:rPr>
        <w:t>لغوميل</w:t>
      </w:r>
      <w:proofErr w:type="spellEnd"/>
      <w:r>
        <w:rPr>
          <w:rFonts w:hint="cs"/>
          <w:rtl/>
        </w:rPr>
        <w:t xml:space="preserve"> مع محكمة </w:t>
      </w:r>
      <w:r w:rsidR="00F603EA">
        <w:rPr>
          <w:rFonts w:hint="cs"/>
          <w:rtl/>
        </w:rPr>
        <w:t>الدرجة الأولى على ما خلصت إليه الأخيرة من أن</w:t>
      </w:r>
      <w:r>
        <w:rPr>
          <w:rFonts w:hint="cs"/>
          <w:rtl/>
        </w:rPr>
        <w:t xml:space="preserve"> أصحاب البلاغ قد انتهكوا بالفعل قانون </w:t>
      </w:r>
      <w:r w:rsidR="00F674FC">
        <w:rPr>
          <w:rFonts w:hint="cs"/>
          <w:rtl/>
        </w:rPr>
        <w:t>التجمعات</w:t>
      </w:r>
      <w:r>
        <w:rPr>
          <w:rFonts w:hint="cs"/>
          <w:rtl/>
        </w:rPr>
        <w:t xml:space="preserve"> الجماهيرية. وهذا القانون يشمل حظر التجمعات غير المرخص بها، بما في ذلك أي مجموعة من المواطنين تقوم بمسيرة في اتجاه واحد وتحمل لافتات وصور</w:t>
      </w:r>
      <w:r w:rsidR="002249DB">
        <w:rPr>
          <w:rFonts w:hint="cs"/>
          <w:rtl/>
        </w:rPr>
        <w:t>اً</w:t>
      </w:r>
      <w:r>
        <w:rPr>
          <w:rFonts w:hint="cs"/>
          <w:rtl/>
        </w:rPr>
        <w:t>.</w:t>
      </w:r>
    </w:p>
    <w:p w:rsidR="00EB7B26" w:rsidRDefault="00EB7B26" w:rsidP="00737B98">
      <w:pPr>
        <w:pStyle w:val="SingleTxtGA"/>
        <w:rPr>
          <w:rtl/>
        </w:rPr>
      </w:pPr>
      <w:r>
        <w:rPr>
          <w:rFonts w:hint="cs"/>
          <w:rtl/>
        </w:rPr>
        <w:t>2-5</w:t>
      </w:r>
      <w:r>
        <w:rPr>
          <w:rFonts w:hint="cs"/>
          <w:rtl/>
        </w:rPr>
        <w:tab/>
        <w:t>ويدعي أصحاب البلاغ أنهم طعنوا أمام المحكمة العليا في القرارات أعلاه. ورفض رئيس المحكمة العليا طعونهم بموجب إجراءات المراجعة</w:t>
      </w:r>
      <w:r w:rsidR="002F33BC">
        <w:rPr>
          <w:rFonts w:hint="cs"/>
          <w:rtl/>
        </w:rPr>
        <w:t xml:space="preserve"> </w:t>
      </w:r>
      <w:r>
        <w:rPr>
          <w:rFonts w:hint="cs"/>
          <w:rtl/>
        </w:rPr>
        <w:t>القضائية</w:t>
      </w:r>
      <w:r w:rsidR="00B2404F">
        <w:rPr>
          <w:rFonts w:hint="cs"/>
          <w:rtl/>
        </w:rPr>
        <w:t xml:space="preserve"> </w:t>
      </w:r>
      <w:r>
        <w:rPr>
          <w:rFonts w:hint="cs"/>
          <w:rtl/>
        </w:rPr>
        <w:t xml:space="preserve">(في 18 آذار/مارس 2010 بالنسبة للسيد </w:t>
      </w:r>
      <w:proofErr w:type="spellStart"/>
      <w:r>
        <w:rPr>
          <w:rFonts w:hint="cs"/>
          <w:rtl/>
        </w:rPr>
        <w:t>إيفريزف</w:t>
      </w:r>
      <w:proofErr w:type="spellEnd"/>
      <w:r>
        <w:rPr>
          <w:rFonts w:hint="cs"/>
          <w:rtl/>
        </w:rPr>
        <w:t xml:space="preserve"> وفي 29 كانون الثاني/يناير 2010 بالنسبة للسيدين </w:t>
      </w:r>
      <w:proofErr w:type="spellStart"/>
      <w:r w:rsidR="005E5480">
        <w:rPr>
          <w:rFonts w:hint="cs"/>
          <w:rtl/>
        </w:rPr>
        <w:t>نيبومنياسشيك</w:t>
      </w:r>
      <w:proofErr w:type="spellEnd"/>
      <w:r>
        <w:rPr>
          <w:rFonts w:hint="cs"/>
          <w:rtl/>
        </w:rPr>
        <w:t xml:space="preserve"> </w:t>
      </w:r>
      <w:proofErr w:type="spellStart"/>
      <w:r>
        <w:rPr>
          <w:rFonts w:hint="cs"/>
          <w:rtl/>
        </w:rPr>
        <w:t>وبوليياكوف</w:t>
      </w:r>
      <w:proofErr w:type="spellEnd"/>
      <w:r>
        <w:rPr>
          <w:rFonts w:hint="cs"/>
          <w:rtl/>
        </w:rPr>
        <w:t xml:space="preserve"> وفي 16 نيسان/أبريل 2010 بالنسبة للسيد </w:t>
      </w:r>
      <w:proofErr w:type="spellStart"/>
      <w:r>
        <w:rPr>
          <w:rFonts w:hint="cs"/>
          <w:rtl/>
        </w:rPr>
        <w:t>ريبجينكو</w:t>
      </w:r>
      <w:proofErr w:type="spellEnd"/>
      <w:r>
        <w:rPr>
          <w:rFonts w:hint="cs"/>
          <w:rtl/>
        </w:rPr>
        <w:t xml:space="preserve">). وأيدت المحكمة العليا قرارات المحاكم الأدنى وذكرت أن أصحاب البلاغ شاركوا بالفعل في "مناسبة جماهيرية" لأنهم كانوا يسيرون في شكل مجموعة ويحملون صوراً ولافتات. وخلصت المحكمة العليا أيضاً إلى أن أصحاب البلاغ </w:t>
      </w:r>
      <w:r w:rsidR="001B516A">
        <w:rPr>
          <w:rFonts w:hint="cs"/>
          <w:rtl/>
        </w:rPr>
        <w:t xml:space="preserve"> </w:t>
      </w:r>
      <w:r>
        <w:rPr>
          <w:rFonts w:hint="cs"/>
          <w:rtl/>
        </w:rPr>
        <w:t>لم يسعوا إلى الحصول إلى إذن مسبق من السلطات لعقد مناسبة جماهيرية، وفقاً لمتطلبات قانون التظاهرات الجماهيرية.</w:t>
      </w:r>
    </w:p>
    <w:p w:rsidR="00EB7B26" w:rsidRDefault="00EB7B26" w:rsidP="008A58ED">
      <w:pPr>
        <w:pStyle w:val="SingleTxtGA"/>
        <w:rPr>
          <w:rtl/>
        </w:rPr>
      </w:pPr>
      <w:r>
        <w:rPr>
          <w:rFonts w:hint="cs"/>
          <w:rtl/>
        </w:rPr>
        <w:t>2-6</w:t>
      </w:r>
      <w:r>
        <w:rPr>
          <w:rFonts w:hint="cs"/>
          <w:rtl/>
        </w:rPr>
        <w:tab/>
        <w:t xml:space="preserve">ويدعي أصحاب البلاغ أنهم لم يطلبوا من الادعاء العام مراجعة أحكام المحاكم ذات الصلة بموجب إجراءات المراجعة القضائية، لأنهم </w:t>
      </w:r>
      <w:r w:rsidR="000F6799">
        <w:rPr>
          <w:rFonts w:hint="cs"/>
          <w:rtl/>
        </w:rPr>
        <w:t>يرون</w:t>
      </w:r>
      <w:r>
        <w:rPr>
          <w:rFonts w:hint="cs"/>
          <w:rtl/>
        </w:rPr>
        <w:t xml:space="preserve"> أن مثل هذا الطلب لا </w:t>
      </w:r>
      <w:r w:rsidR="008A58ED">
        <w:rPr>
          <w:rFonts w:hint="cs"/>
          <w:rtl/>
        </w:rPr>
        <w:t>يشكل</w:t>
      </w:r>
      <w:r w:rsidR="007B46B6">
        <w:rPr>
          <w:rFonts w:hint="cs"/>
          <w:rtl/>
        </w:rPr>
        <w:t xml:space="preserve"> سبيل انتصاف فعالاً</w:t>
      </w:r>
      <w:r>
        <w:rPr>
          <w:rFonts w:hint="cs"/>
          <w:rtl/>
        </w:rPr>
        <w:t xml:space="preserve">. ويشير أصحاب البلاغ إلى أن القانون الوطني للدولة الطرف لا </w:t>
      </w:r>
      <w:r w:rsidR="007B46B6">
        <w:rPr>
          <w:rFonts w:hint="cs"/>
          <w:rtl/>
        </w:rPr>
        <w:t xml:space="preserve">ينص على جواز </w:t>
      </w:r>
      <w:r>
        <w:rPr>
          <w:rFonts w:hint="cs"/>
          <w:rtl/>
        </w:rPr>
        <w:t xml:space="preserve">تقديم شكاوى إلى المحكمة الدستورية </w:t>
      </w:r>
      <w:r w:rsidR="007B46B6">
        <w:rPr>
          <w:rFonts w:hint="cs"/>
          <w:rtl/>
        </w:rPr>
        <w:t xml:space="preserve">من جانب الأفراد الذين </w:t>
      </w:r>
      <w:r w:rsidR="007B46B6" w:rsidRPr="00872E27">
        <w:rPr>
          <w:rFonts w:hint="cs"/>
          <w:rtl/>
        </w:rPr>
        <w:t>يدعون انتهاك حقوقهم الدستورية</w:t>
      </w:r>
      <w:r>
        <w:rPr>
          <w:rFonts w:hint="cs"/>
          <w:rtl/>
        </w:rPr>
        <w:t>. ولذلك فإنهم يدعون أنهم استنفدوا جميع سبل الانتصاف الداخلية والفعالة</w:t>
      </w:r>
      <w:r w:rsidR="00492331">
        <w:rPr>
          <w:rFonts w:hint="cs"/>
          <w:rtl/>
        </w:rPr>
        <w:t xml:space="preserve">            </w:t>
      </w:r>
      <w:r>
        <w:rPr>
          <w:rFonts w:hint="cs"/>
          <w:rtl/>
        </w:rPr>
        <w:t xml:space="preserve"> </w:t>
      </w:r>
      <w:r w:rsidRPr="004F7422">
        <w:rPr>
          <w:rFonts w:hint="cs"/>
          <w:rtl/>
        </w:rPr>
        <w:t>المتاحة أمامهم</w:t>
      </w:r>
      <w:r>
        <w:rPr>
          <w:rFonts w:hint="cs"/>
          <w:rtl/>
        </w:rPr>
        <w:t>.</w:t>
      </w:r>
    </w:p>
    <w:p w:rsidR="00EB7B26" w:rsidRDefault="00EB7B26" w:rsidP="00492331">
      <w:pPr>
        <w:pStyle w:val="H23GA"/>
        <w:rPr>
          <w:rtl/>
        </w:rPr>
      </w:pPr>
      <w:r>
        <w:rPr>
          <w:rFonts w:hint="cs"/>
          <w:rtl/>
        </w:rPr>
        <w:tab/>
      </w:r>
      <w:r>
        <w:rPr>
          <w:rFonts w:hint="cs"/>
          <w:rtl/>
        </w:rPr>
        <w:tab/>
        <w:t>الشكوى</w:t>
      </w:r>
    </w:p>
    <w:p w:rsidR="00EB7B26" w:rsidRDefault="00EB7B26" w:rsidP="00532EB4">
      <w:pPr>
        <w:pStyle w:val="SingleTxtGA"/>
        <w:rPr>
          <w:rtl/>
        </w:rPr>
      </w:pPr>
      <w:r>
        <w:rPr>
          <w:rFonts w:hint="cs"/>
          <w:rtl/>
        </w:rPr>
        <w:t>3-1</w:t>
      </w:r>
      <w:r>
        <w:rPr>
          <w:rFonts w:hint="cs"/>
          <w:rtl/>
        </w:rPr>
        <w:tab/>
        <w:t>يدعي أصحاب البلاغ أن تقييد حقوقهم في المشاركة في مظاهرة سلمية وحريتهم في التعبير عن آرائهم ينتهك حقوقهم بموجب المادتين 1</w:t>
      </w:r>
      <w:r w:rsidR="00492331">
        <w:rPr>
          <w:rFonts w:hint="cs"/>
          <w:rtl/>
        </w:rPr>
        <w:t>9</w:t>
      </w:r>
      <w:r>
        <w:rPr>
          <w:rFonts w:hint="cs"/>
          <w:rtl/>
        </w:rPr>
        <w:t xml:space="preserve"> و21 من العهد. وفي غياب أي تبرير من جانب السلطات، يعتقد أصحاب البلاغ أن تقييد حقوقهم لم يكن ضرورياً لحماية الأمن القومي أو النظام العام أو الصحة العامة أو الآداب العامة أو </w:t>
      </w:r>
      <w:r w:rsidR="00492331">
        <w:rPr>
          <w:rFonts w:hint="cs"/>
          <w:rtl/>
        </w:rPr>
        <w:t xml:space="preserve">لاحترام حقوق أو </w:t>
      </w:r>
      <w:r>
        <w:rPr>
          <w:rFonts w:hint="cs"/>
          <w:rtl/>
        </w:rPr>
        <w:t>سمعة الآخرين. ويدعون أن الشرط الذي ينص عليه التشريع المحلي (</w:t>
      </w:r>
      <w:r w:rsidR="00396EEE">
        <w:rPr>
          <w:rFonts w:hint="cs"/>
          <w:rtl/>
        </w:rPr>
        <w:t xml:space="preserve">طلب </w:t>
      </w:r>
      <w:r>
        <w:rPr>
          <w:rFonts w:hint="cs"/>
          <w:rtl/>
        </w:rPr>
        <w:t xml:space="preserve">إذن من سلطات البلدية لتنظيم أي تجمع جماهيري قبل 15 يوماً) هو </w:t>
      </w:r>
      <w:r w:rsidR="00532EB4">
        <w:rPr>
          <w:rFonts w:hint="cs"/>
          <w:rtl/>
        </w:rPr>
        <w:t>شرط</w:t>
      </w:r>
      <w:r>
        <w:rPr>
          <w:rFonts w:hint="cs"/>
          <w:rtl/>
        </w:rPr>
        <w:t xml:space="preserve"> تعسفي ولا يمكن تبريره في إطار المادتين 19 و21 </w:t>
      </w:r>
      <w:r w:rsidR="00260106">
        <w:rPr>
          <w:rFonts w:hint="cs"/>
          <w:rtl/>
        </w:rPr>
        <w:t xml:space="preserve">          </w:t>
      </w:r>
      <w:r>
        <w:rPr>
          <w:rFonts w:hint="cs"/>
          <w:rtl/>
        </w:rPr>
        <w:t>من العهد.</w:t>
      </w:r>
    </w:p>
    <w:p w:rsidR="00EB7B26" w:rsidRDefault="00EB7B26" w:rsidP="0012043E">
      <w:pPr>
        <w:pStyle w:val="SingleTxtGA"/>
        <w:rPr>
          <w:rtl/>
        </w:rPr>
      </w:pPr>
      <w:r>
        <w:rPr>
          <w:rFonts w:hint="cs"/>
          <w:rtl/>
        </w:rPr>
        <w:t>3-2</w:t>
      </w:r>
      <w:r>
        <w:rPr>
          <w:rFonts w:hint="cs"/>
          <w:rtl/>
        </w:rPr>
        <w:tab/>
        <w:t xml:space="preserve">ويدعي أصحاب البلاغ أن المحاكم العليا رفضت النظر في انتهاكات أحكام العهد، التي استندوا إليها في طعونهم. وأشاروا إلى أن المادة 33 من قانون المعاهدات الدولية تنص على أن المعاهدات الدولية التي تكون بيلاروس طرفاً فيها والتي دخلت حيز النفاذ بالنسبة لها هي </w:t>
      </w:r>
      <w:r>
        <w:rPr>
          <w:rFonts w:hint="cs"/>
          <w:rtl/>
        </w:rPr>
        <w:lastRenderedPageBreak/>
        <w:t xml:space="preserve">جزء لا يتجزأ من القانون المحلي. ويدعون أن بيلاروس </w:t>
      </w:r>
      <w:r w:rsidR="001C24B4">
        <w:rPr>
          <w:rFonts w:hint="cs"/>
          <w:rtl/>
        </w:rPr>
        <w:t xml:space="preserve">لم تتخذ </w:t>
      </w:r>
      <w:r>
        <w:rPr>
          <w:rFonts w:hint="cs"/>
          <w:rtl/>
        </w:rPr>
        <w:t>التدابير اللازمة لتنفيذ الحقوق المعترف بها في المادتين 19 و21 من العهد. ويشير أصحاب البلاغ إلى</w:t>
      </w:r>
      <w:r w:rsidR="00226A16">
        <w:rPr>
          <w:rFonts w:hint="cs"/>
          <w:rtl/>
        </w:rPr>
        <w:t xml:space="preserve"> </w:t>
      </w:r>
      <w:r>
        <w:rPr>
          <w:rFonts w:hint="cs"/>
          <w:rtl/>
        </w:rPr>
        <w:t>آراء اللجنة</w:t>
      </w:r>
      <w:r>
        <w:rPr>
          <w:vertAlign w:val="superscript"/>
          <w:rtl/>
        </w:rPr>
        <w:t>(</w:t>
      </w:r>
      <w:r>
        <w:rPr>
          <w:rStyle w:val="FootnoteReference"/>
          <w:rtl/>
        </w:rPr>
        <w:footnoteReference w:id="2"/>
      </w:r>
      <w:r>
        <w:rPr>
          <w:vertAlign w:val="superscript"/>
          <w:rtl/>
        </w:rPr>
        <w:t>)</w:t>
      </w:r>
      <w:r>
        <w:rPr>
          <w:rFonts w:hint="cs"/>
          <w:rtl/>
        </w:rPr>
        <w:t xml:space="preserve"> </w:t>
      </w:r>
      <w:r w:rsidR="000F12DB">
        <w:rPr>
          <w:rFonts w:hint="cs"/>
          <w:rtl/>
        </w:rPr>
        <w:t xml:space="preserve">التي ذكرت فيها </w:t>
      </w:r>
      <w:r>
        <w:rPr>
          <w:rFonts w:hint="cs"/>
          <w:rtl/>
        </w:rPr>
        <w:t>أن صاحب البلاغ أدين لا لأن المحكمة المحلية استبعدت عمداً تطبيق العهد، ولكن لأنه كان من الضروري بسبب</w:t>
      </w:r>
      <w:r w:rsidRPr="004F7422">
        <w:rPr>
          <w:rFonts w:hint="cs"/>
          <w:rtl/>
        </w:rPr>
        <w:t xml:space="preserve"> </w:t>
      </w:r>
      <w:r>
        <w:rPr>
          <w:rFonts w:hint="cs"/>
          <w:rtl/>
        </w:rPr>
        <w:t>ا</w:t>
      </w:r>
      <w:r w:rsidRPr="004F7422">
        <w:rPr>
          <w:rFonts w:hint="cs"/>
          <w:rtl/>
        </w:rPr>
        <w:t>لحالة الأمنية في الدولة الطرف</w:t>
      </w:r>
      <w:r>
        <w:rPr>
          <w:rFonts w:hint="cs"/>
          <w:rtl/>
        </w:rPr>
        <w:t xml:space="preserve"> إعطاء أحكام قانون الأمن القومي أولوية على بعض حقوق الأفراد كما يجسدها العهد. وفي </w:t>
      </w:r>
      <w:r w:rsidR="00403D8B">
        <w:rPr>
          <w:rFonts w:hint="cs"/>
          <w:rtl/>
        </w:rPr>
        <w:t>تلك</w:t>
      </w:r>
      <w:r>
        <w:rPr>
          <w:rFonts w:hint="cs"/>
          <w:rtl/>
        </w:rPr>
        <w:t xml:space="preserve"> الحالة، خلصت اللجنة إلى أن إعطاء الدولة الطرف </w:t>
      </w:r>
      <w:r w:rsidR="0012043E">
        <w:rPr>
          <w:rFonts w:hint="cs"/>
          <w:rtl/>
        </w:rPr>
        <w:t>الأولوية</w:t>
      </w:r>
      <w:r>
        <w:rPr>
          <w:rFonts w:hint="cs"/>
          <w:rtl/>
        </w:rPr>
        <w:t xml:space="preserve"> لقانونها الوطني على التزاماتها بموجب العهد لا يتماشى مع العهد. ويدعي أصحاب البلاغ أنه في الحالة الراهنة، تعطي بيلاروس، بموجب المادة 9 من قانونها المتعلق بالمناسبات الجماهيرية، الغلبة لقانونها الداخلي على العهد، لأنها تركت مهمة تحديد الأماكن الإلزامية لعقد </w:t>
      </w:r>
      <w:r w:rsidR="00F47659">
        <w:rPr>
          <w:rFonts w:hint="cs"/>
          <w:rtl/>
        </w:rPr>
        <w:t>ال</w:t>
      </w:r>
      <w:r>
        <w:rPr>
          <w:rFonts w:hint="cs"/>
          <w:rtl/>
        </w:rPr>
        <w:t xml:space="preserve">تجمعات </w:t>
      </w:r>
      <w:r w:rsidR="00F47659">
        <w:rPr>
          <w:rFonts w:hint="cs"/>
          <w:rtl/>
        </w:rPr>
        <w:t>ال</w:t>
      </w:r>
      <w:r>
        <w:rPr>
          <w:rFonts w:hint="cs"/>
          <w:rtl/>
        </w:rPr>
        <w:t>جماهيرية</w:t>
      </w:r>
      <w:r>
        <w:rPr>
          <w:vertAlign w:val="superscript"/>
          <w:rtl/>
        </w:rPr>
        <w:t>(</w:t>
      </w:r>
      <w:r>
        <w:rPr>
          <w:rStyle w:val="FootnoteReference"/>
          <w:rtl/>
        </w:rPr>
        <w:footnoteReference w:id="3"/>
      </w:r>
      <w:r>
        <w:rPr>
          <w:vertAlign w:val="superscript"/>
          <w:rtl/>
        </w:rPr>
        <w:t>)</w:t>
      </w:r>
      <w:r>
        <w:rPr>
          <w:rFonts w:hint="cs"/>
          <w:rtl/>
        </w:rPr>
        <w:t xml:space="preserve"> إلى السلطة التقديرية لموظفي البلدية، ولأنها طلبت من منظمي هذه المناسبات الحصول على تراخيص مسبقة دون تبرير ضرورة مثل هذا الشرط لأغراض المادتين 19 و21 من العهد وبالتالي</w:t>
      </w:r>
      <w:r w:rsidR="00091087">
        <w:rPr>
          <w:rFonts w:hint="cs"/>
          <w:rtl/>
        </w:rPr>
        <w:t>،</w:t>
      </w:r>
      <w:r>
        <w:rPr>
          <w:rFonts w:hint="cs"/>
          <w:rtl/>
        </w:rPr>
        <w:t xml:space="preserve"> فإنها انتهكت هاتين المادتين، وكذلك الفقرة 2 من المادة 2 من العهد. </w:t>
      </w:r>
    </w:p>
    <w:p w:rsidR="00EB7B26" w:rsidRDefault="00EB7B26" w:rsidP="00091087">
      <w:pPr>
        <w:pStyle w:val="SingleTxtGA"/>
        <w:rPr>
          <w:rtl/>
        </w:rPr>
      </w:pPr>
      <w:r>
        <w:rPr>
          <w:rFonts w:hint="cs"/>
          <w:rtl/>
        </w:rPr>
        <w:t>3-3</w:t>
      </w:r>
      <w:r>
        <w:rPr>
          <w:rFonts w:hint="cs"/>
          <w:rtl/>
        </w:rPr>
        <w:tab/>
        <w:t xml:space="preserve">وفضلاً عن ذلك، يدعي </w:t>
      </w:r>
      <w:r w:rsidR="00657F0E">
        <w:rPr>
          <w:rFonts w:hint="cs"/>
          <w:rtl/>
        </w:rPr>
        <w:t xml:space="preserve">اثنان من أصحاب البلاغ، هما </w:t>
      </w:r>
      <w:r>
        <w:rPr>
          <w:rFonts w:hint="cs"/>
          <w:rtl/>
        </w:rPr>
        <w:t xml:space="preserve">السيدان </w:t>
      </w:r>
      <w:proofErr w:type="spellStart"/>
      <w:r>
        <w:rPr>
          <w:rFonts w:hint="cs"/>
          <w:rtl/>
        </w:rPr>
        <w:t>إيفريزوف</w:t>
      </w:r>
      <w:proofErr w:type="spellEnd"/>
      <w:r>
        <w:rPr>
          <w:rFonts w:hint="cs"/>
          <w:rtl/>
        </w:rPr>
        <w:t xml:space="preserve"> </w:t>
      </w:r>
      <w:proofErr w:type="spellStart"/>
      <w:r>
        <w:rPr>
          <w:rFonts w:hint="cs"/>
          <w:rtl/>
        </w:rPr>
        <w:t>وبوليياكوف</w:t>
      </w:r>
      <w:proofErr w:type="spellEnd"/>
      <w:r w:rsidR="00E309AF">
        <w:rPr>
          <w:rFonts w:hint="cs"/>
          <w:rtl/>
        </w:rPr>
        <w:t>،</w:t>
      </w:r>
      <w:r>
        <w:rPr>
          <w:rFonts w:hint="cs"/>
          <w:rtl/>
        </w:rPr>
        <w:t xml:space="preserve"> أن محكمة الدرجة الأولى انتهكت حقوقهما الإجرائية لأنها لم تعلمهم</w:t>
      </w:r>
      <w:r w:rsidR="000D54DB">
        <w:rPr>
          <w:rFonts w:hint="cs"/>
          <w:rtl/>
        </w:rPr>
        <w:t>ا</w:t>
      </w:r>
      <w:r>
        <w:rPr>
          <w:rFonts w:hint="cs"/>
          <w:rtl/>
        </w:rPr>
        <w:t xml:space="preserve"> سريعاً وبالتفصيل، بطبيعة التهمة الموجهة إليهما وأسبابها؛ ولأنها لم تمنحهم</w:t>
      </w:r>
      <w:r w:rsidR="000D54DB">
        <w:rPr>
          <w:rFonts w:hint="cs"/>
          <w:rtl/>
        </w:rPr>
        <w:t>ا</w:t>
      </w:r>
      <w:r>
        <w:rPr>
          <w:rFonts w:hint="cs"/>
          <w:rtl/>
        </w:rPr>
        <w:t xml:space="preserve"> من الوقت ومن التسهيلات ما يكفيهما لإعداد دفاعهما ولا فرصة للاتصال بمحاميهما؛ ولم تستدعيهما إلى المحكمة بل قامت، بدلاً من ذلك،</w:t>
      </w:r>
      <w:r w:rsidR="00091087">
        <w:rPr>
          <w:rFonts w:hint="cs"/>
          <w:rtl/>
        </w:rPr>
        <w:t xml:space="preserve"> </w:t>
      </w:r>
      <w:r w:rsidRPr="009A3EB2">
        <w:rPr>
          <w:rFonts w:hint="cs"/>
          <w:rtl/>
        </w:rPr>
        <w:t>في غيابهم</w:t>
      </w:r>
      <w:r>
        <w:rPr>
          <w:rFonts w:hint="cs"/>
          <w:rtl/>
        </w:rPr>
        <w:t>ا، بمراجعة التهم الموجهة إليهما بارتكاب مخالفات إدارية</w:t>
      </w:r>
      <w:r w:rsidR="00CD462D">
        <w:rPr>
          <w:rFonts w:hint="cs"/>
          <w:rtl/>
        </w:rPr>
        <w:t xml:space="preserve">، </w:t>
      </w:r>
      <w:r>
        <w:rPr>
          <w:rFonts w:hint="cs"/>
          <w:rtl/>
        </w:rPr>
        <w:t>وبالتالي حرمت</w:t>
      </w:r>
      <w:r w:rsidR="000D54DB">
        <w:rPr>
          <w:rFonts w:hint="cs"/>
          <w:rtl/>
        </w:rPr>
        <w:t>هما من الحق في الدفاع عن نفسهما</w:t>
      </w:r>
      <w:r>
        <w:rPr>
          <w:rFonts w:hint="cs"/>
          <w:rtl/>
        </w:rPr>
        <w:t xml:space="preserve"> بشخصهما أو بواسطة محامٍ </w:t>
      </w:r>
      <w:r w:rsidR="000D54DB">
        <w:rPr>
          <w:rFonts w:hint="cs"/>
          <w:rtl/>
        </w:rPr>
        <w:t>يختارانه بنفسهما</w:t>
      </w:r>
      <w:r>
        <w:rPr>
          <w:rFonts w:hint="cs"/>
          <w:rtl/>
        </w:rPr>
        <w:t>؛ وحرمتهما من الحق في تقديم أدلة عن براءتهما واستجواب شهود الشرطة ضدهما واستدعاء شهودهما، وذلك انتهاكاً للفقرة 3(أ)(ب) و(ه) من المادة 14 من العهد.</w:t>
      </w:r>
    </w:p>
    <w:p w:rsidR="00EB7B26" w:rsidRPr="00532871" w:rsidRDefault="00EB7B26" w:rsidP="007A4A96">
      <w:pPr>
        <w:pStyle w:val="H23GA"/>
        <w:rPr>
          <w:rtl/>
        </w:rPr>
      </w:pPr>
      <w:r w:rsidRPr="00532871">
        <w:rPr>
          <w:rFonts w:hint="cs"/>
          <w:rtl/>
        </w:rPr>
        <w:tab/>
      </w:r>
      <w:r w:rsidR="007A4A96">
        <w:rPr>
          <w:rFonts w:hint="cs"/>
          <w:rtl/>
        </w:rPr>
        <w:tab/>
      </w:r>
      <w:r w:rsidRPr="00532871">
        <w:rPr>
          <w:rFonts w:hint="cs"/>
          <w:rtl/>
        </w:rPr>
        <w:t>ملاحظات الدولة الطرف بشأن المقبولية</w:t>
      </w:r>
    </w:p>
    <w:p w:rsidR="00EB7B26" w:rsidRPr="00532871" w:rsidRDefault="00EB7B26" w:rsidP="0062770B">
      <w:pPr>
        <w:pStyle w:val="SingleTxtGA"/>
        <w:rPr>
          <w:rtl/>
        </w:rPr>
      </w:pPr>
      <w:r w:rsidRPr="00532871">
        <w:rPr>
          <w:rFonts w:hint="cs"/>
          <w:rtl/>
        </w:rPr>
        <w:t>4-1</w:t>
      </w:r>
      <w:r w:rsidRPr="00532871">
        <w:rPr>
          <w:rFonts w:hint="cs"/>
          <w:rtl/>
        </w:rPr>
        <w:tab/>
        <w:t>في رسالة شفوية مؤرخة 6 كانون الثاني/يناير 2011، أعربت الدولة الطرف، فيما يتعلق بالبلاغ الحالي وبلاغات عديدة أخرى معرو</w:t>
      </w:r>
      <w:r>
        <w:rPr>
          <w:rFonts w:hint="cs"/>
          <w:rtl/>
        </w:rPr>
        <w:t>ض</w:t>
      </w:r>
      <w:r w:rsidRPr="00532871">
        <w:rPr>
          <w:rFonts w:hint="cs"/>
          <w:rtl/>
        </w:rPr>
        <w:t xml:space="preserve">ة أمام اللجنة، عن قلقها إزاء </w:t>
      </w:r>
      <w:r>
        <w:rPr>
          <w:rFonts w:hint="cs"/>
          <w:rtl/>
        </w:rPr>
        <w:t>ال</w:t>
      </w:r>
      <w:r w:rsidRPr="00532871">
        <w:rPr>
          <w:rFonts w:hint="cs"/>
          <w:rtl/>
        </w:rPr>
        <w:t xml:space="preserve">تسجيل </w:t>
      </w:r>
      <w:r>
        <w:rPr>
          <w:rFonts w:hint="cs"/>
          <w:rtl/>
        </w:rPr>
        <w:t>غير المبرر ل</w:t>
      </w:r>
      <w:r w:rsidRPr="00532871">
        <w:rPr>
          <w:rFonts w:hint="cs"/>
          <w:rtl/>
        </w:rPr>
        <w:t xml:space="preserve">لبلاغات المقدمة من أفراد </w:t>
      </w:r>
      <w:r>
        <w:rPr>
          <w:rFonts w:hint="cs"/>
          <w:rtl/>
        </w:rPr>
        <w:t>مشمولين</w:t>
      </w:r>
      <w:r w:rsidRPr="00532871">
        <w:rPr>
          <w:rFonts w:hint="cs"/>
          <w:rtl/>
        </w:rPr>
        <w:t xml:space="preserve"> </w:t>
      </w:r>
      <w:r>
        <w:rPr>
          <w:rFonts w:hint="cs"/>
          <w:rtl/>
        </w:rPr>
        <w:t>ب</w:t>
      </w:r>
      <w:r w:rsidRPr="00532871">
        <w:rPr>
          <w:rFonts w:hint="cs"/>
          <w:rtl/>
        </w:rPr>
        <w:t>ولايتها القضائية</w:t>
      </w:r>
      <w:r w:rsidR="00226A16">
        <w:rPr>
          <w:rFonts w:hint="cs"/>
          <w:rtl/>
        </w:rPr>
        <w:t xml:space="preserve"> </w:t>
      </w:r>
      <w:r w:rsidR="006877C4">
        <w:rPr>
          <w:rFonts w:hint="cs"/>
          <w:rtl/>
        </w:rPr>
        <w:t>ترى</w:t>
      </w:r>
      <w:r w:rsidRPr="00532871">
        <w:rPr>
          <w:rFonts w:hint="cs"/>
          <w:rtl/>
        </w:rPr>
        <w:t xml:space="preserve"> أنهم لم يستنفدوا جميع</w:t>
      </w:r>
      <w:r w:rsidR="00226A16">
        <w:rPr>
          <w:rFonts w:hint="cs"/>
          <w:rtl/>
        </w:rPr>
        <w:t xml:space="preserve"> </w:t>
      </w:r>
      <w:r w:rsidRPr="00532871">
        <w:rPr>
          <w:rFonts w:hint="cs"/>
          <w:rtl/>
        </w:rPr>
        <w:t>سبل الانتصاف الداخلية المتاحة في</w:t>
      </w:r>
      <w:r>
        <w:rPr>
          <w:rFonts w:hint="cs"/>
          <w:rtl/>
        </w:rPr>
        <w:t>ها</w:t>
      </w:r>
      <w:r w:rsidRPr="00532871">
        <w:rPr>
          <w:rFonts w:hint="cs"/>
          <w:rtl/>
        </w:rPr>
        <w:t xml:space="preserve">، بما في ذلك الاستئناف </w:t>
      </w:r>
      <w:r>
        <w:rPr>
          <w:rFonts w:hint="cs"/>
          <w:rtl/>
        </w:rPr>
        <w:t>لدى</w:t>
      </w:r>
      <w:r w:rsidRPr="00532871">
        <w:rPr>
          <w:rFonts w:hint="cs"/>
          <w:rtl/>
        </w:rPr>
        <w:t xml:space="preserve"> مكتب الادعاء العام للشروع في مراجعة </w:t>
      </w:r>
      <w:r>
        <w:rPr>
          <w:rFonts w:hint="cs"/>
          <w:rtl/>
        </w:rPr>
        <w:t>قضائية</w:t>
      </w:r>
      <w:r w:rsidRPr="00532871">
        <w:rPr>
          <w:rFonts w:hint="cs"/>
          <w:rtl/>
        </w:rPr>
        <w:t xml:space="preserve"> لحكم </w:t>
      </w:r>
      <w:r w:rsidR="000927AF">
        <w:rPr>
          <w:rFonts w:hint="cs"/>
          <w:rtl/>
        </w:rPr>
        <w:t>له</w:t>
      </w:r>
      <w:r w:rsidR="00DB58E0">
        <w:rPr>
          <w:rFonts w:hint="cs"/>
          <w:rtl/>
        </w:rPr>
        <w:t xml:space="preserve"> </w:t>
      </w:r>
      <w:r w:rsidRPr="00532871">
        <w:rPr>
          <w:rFonts w:hint="cs"/>
          <w:rtl/>
        </w:rPr>
        <w:t>قوة الأمر المقضي، انتهاكاً للمادة 2 من البروتوكول الاختياري. وتدعي الدولة الطرف أن تسجيل البلاغات المقدم</w:t>
      </w:r>
      <w:r>
        <w:rPr>
          <w:rFonts w:hint="cs"/>
          <w:rtl/>
        </w:rPr>
        <w:t>ة</w:t>
      </w:r>
      <w:r w:rsidRPr="00532871">
        <w:rPr>
          <w:rFonts w:hint="cs"/>
          <w:rtl/>
        </w:rPr>
        <w:t xml:space="preserve"> من طرف ثالث مثل المدافعين أو المحامين أو غيره</w:t>
      </w:r>
      <w:r w:rsidR="00F53DD4">
        <w:rPr>
          <w:rFonts w:hint="cs"/>
          <w:rtl/>
        </w:rPr>
        <w:t>م</w:t>
      </w:r>
      <w:r w:rsidRPr="00532871">
        <w:rPr>
          <w:rFonts w:hint="cs"/>
          <w:rtl/>
        </w:rPr>
        <w:t xml:space="preserve"> </w:t>
      </w:r>
      <w:r w:rsidRPr="00532871">
        <w:rPr>
          <w:rFonts w:hint="cs"/>
          <w:rtl/>
        </w:rPr>
        <w:lastRenderedPageBreak/>
        <w:t xml:space="preserve">من الأشخاص بالنيابة عن أفراد يدعون حدوث انتهاك لحقوقهم يعتبر سوء استغلال لولاية اللجنة وللحق في تقديم بلاغ وينتهك المادة 3 من البروتوكول الاختياري. </w:t>
      </w:r>
      <w:r w:rsidR="00632ADE">
        <w:rPr>
          <w:rFonts w:hint="cs"/>
          <w:rtl/>
        </w:rPr>
        <w:t>وتقو</w:t>
      </w:r>
      <w:r w:rsidR="00B40322">
        <w:rPr>
          <w:rFonts w:hint="cs"/>
          <w:rtl/>
        </w:rPr>
        <w:t>ل</w:t>
      </w:r>
      <w:r w:rsidRPr="00532871">
        <w:rPr>
          <w:rFonts w:hint="cs"/>
          <w:rtl/>
        </w:rPr>
        <w:t xml:space="preserve"> </w:t>
      </w:r>
      <w:r w:rsidR="00632ADE">
        <w:rPr>
          <w:rFonts w:hint="cs"/>
          <w:rtl/>
        </w:rPr>
        <w:t>إ</w:t>
      </w:r>
      <w:r w:rsidRPr="00532871">
        <w:rPr>
          <w:rFonts w:hint="cs"/>
          <w:rtl/>
        </w:rPr>
        <w:t xml:space="preserve">نها بانضمامها إلى البروتوكول الاختياري، </w:t>
      </w:r>
      <w:r>
        <w:rPr>
          <w:rFonts w:hint="cs"/>
          <w:rtl/>
        </w:rPr>
        <w:t>ا</w:t>
      </w:r>
      <w:r w:rsidRPr="00532871">
        <w:rPr>
          <w:rFonts w:hint="cs"/>
          <w:rtl/>
        </w:rPr>
        <w:t>عترف</w:t>
      </w:r>
      <w:r>
        <w:rPr>
          <w:rFonts w:hint="cs"/>
          <w:rtl/>
        </w:rPr>
        <w:t>ت</w:t>
      </w:r>
      <w:r w:rsidRPr="00532871">
        <w:rPr>
          <w:rFonts w:hint="cs"/>
          <w:rtl/>
        </w:rPr>
        <w:t xml:space="preserve"> باختصاص اللجنة بموجب المادة 1 لكنها لم توافق على تمديد ولاية اللجنة، ولا سيما فيما يتعلق بتفسير </w:t>
      </w:r>
      <w:r w:rsidR="00D52071">
        <w:rPr>
          <w:rFonts w:hint="cs"/>
          <w:rtl/>
        </w:rPr>
        <w:t>اللجنة لأ</w:t>
      </w:r>
      <w:r w:rsidRPr="00532871">
        <w:rPr>
          <w:rFonts w:hint="cs"/>
          <w:rtl/>
        </w:rPr>
        <w:t>حكام الاتفاقية والبروتوكول الاختياري (الديباجة والمادة</w:t>
      </w:r>
      <w:r>
        <w:rPr>
          <w:rFonts w:hint="cs"/>
          <w:rtl/>
        </w:rPr>
        <w:t>1</w:t>
      </w:r>
      <w:r w:rsidRPr="00532871">
        <w:rPr>
          <w:rFonts w:hint="cs"/>
          <w:rtl/>
        </w:rPr>
        <w:t xml:space="preserve"> </w:t>
      </w:r>
      <w:r>
        <w:rPr>
          <w:rFonts w:hint="cs"/>
          <w:rtl/>
        </w:rPr>
        <w:t>)</w:t>
      </w:r>
      <w:r w:rsidRPr="00532871">
        <w:rPr>
          <w:rFonts w:hint="cs"/>
          <w:rtl/>
        </w:rPr>
        <w:t xml:space="preserve">، وتلاحظ أن مثل هذا التفسير ينبغي أن يتم بصورة </w:t>
      </w:r>
      <w:r w:rsidR="000E4944">
        <w:rPr>
          <w:rFonts w:hint="cs"/>
          <w:rtl/>
        </w:rPr>
        <w:t>حصرية</w:t>
      </w:r>
      <w:r w:rsidRPr="00532871">
        <w:rPr>
          <w:rFonts w:hint="cs"/>
          <w:rtl/>
        </w:rPr>
        <w:t xml:space="preserve"> وفقاً </w:t>
      </w:r>
      <w:r w:rsidR="00663F22">
        <w:rPr>
          <w:rFonts w:hint="cs"/>
          <w:rtl/>
        </w:rPr>
        <w:t xml:space="preserve">              </w:t>
      </w:r>
      <w:r w:rsidRPr="00532871">
        <w:rPr>
          <w:rFonts w:hint="cs"/>
          <w:rtl/>
        </w:rPr>
        <w:t xml:space="preserve">للمواد 31 و32 و33 من اتفاقية فيينا لقانون المعاهدات. وتدعي أن البلاغ الحالي وبلاغات أخرى عديدة سُجلت بشكل يخالف أحكام البروتوكول الاختياري، وأنه لا توجد أسس قانونية لكي </w:t>
      </w:r>
      <w:r>
        <w:rPr>
          <w:rFonts w:hint="cs"/>
          <w:rtl/>
        </w:rPr>
        <w:t xml:space="preserve">تنظر </w:t>
      </w:r>
      <w:r w:rsidRPr="00532871">
        <w:rPr>
          <w:rFonts w:hint="cs"/>
          <w:rtl/>
        </w:rPr>
        <w:t xml:space="preserve">الدولة الطرف </w:t>
      </w:r>
      <w:r>
        <w:rPr>
          <w:rFonts w:hint="cs"/>
          <w:rtl/>
        </w:rPr>
        <w:t>في</w:t>
      </w:r>
      <w:r w:rsidRPr="00532871">
        <w:rPr>
          <w:rFonts w:hint="cs"/>
          <w:rtl/>
        </w:rPr>
        <w:t xml:space="preserve"> هذه البلاغات و</w:t>
      </w:r>
      <w:r>
        <w:rPr>
          <w:rFonts w:hint="cs"/>
          <w:rtl/>
        </w:rPr>
        <w:t xml:space="preserve">أنها ستعتبر </w:t>
      </w:r>
      <w:r w:rsidRPr="00532871">
        <w:rPr>
          <w:rFonts w:hint="cs"/>
          <w:rtl/>
        </w:rPr>
        <w:t>أي</w:t>
      </w:r>
      <w:r>
        <w:rPr>
          <w:rFonts w:hint="cs"/>
          <w:rtl/>
        </w:rPr>
        <w:t>ة</w:t>
      </w:r>
      <w:r w:rsidRPr="00532871">
        <w:rPr>
          <w:rFonts w:hint="cs"/>
          <w:rtl/>
        </w:rPr>
        <w:t xml:space="preserve"> قرارات تتخذها اللجنة بشأن مثل هذه البلاغات قرار</w:t>
      </w:r>
      <w:r>
        <w:rPr>
          <w:rFonts w:hint="cs"/>
          <w:rtl/>
        </w:rPr>
        <w:t>ات</w:t>
      </w:r>
      <w:r w:rsidRPr="00532871">
        <w:rPr>
          <w:rFonts w:hint="cs"/>
          <w:rtl/>
        </w:rPr>
        <w:t xml:space="preserve"> غير نافذ</w:t>
      </w:r>
      <w:r>
        <w:rPr>
          <w:rFonts w:hint="cs"/>
          <w:rtl/>
        </w:rPr>
        <w:t>ة</w:t>
      </w:r>
      <w:r w:rsidRPr="00532871">
        <w:rPr>
          <w:rFonts w:hint="cs"/>
          <w:rtl/>
        </w:rPr>
        <w:t xml:space="preserve"> من الناحية القانونية. وتشير أيضاً إلى أن أية إشارات في هذا الصدد إلى ممارسة اللجنة </w:t>
      </w:r>
      <w:r w:rsidR="0062770B">
        <w:rPr>
          <w:rFonts w:hint="cs"/>
          <w:rtl/>
        </w:rPr>
        <w:t xml:space="preserve">القديمة العهد </w:t>
      </w:r>
      <w:r w:rsidRPr="00532871">
        <w:rPr>
          <w:rFonts w:hint="cs"/>
          <w:rtl/>
        </w:rPr>
        <w:t xml:space="preserve">تكون </w:t>
      </w:r>
      <w:r>
        <w:rPr>
          <w:rFonts w:hint="cs"/>
          <w:rtl/>
        </w:rPr>
        <w:t xml:space="preserve">غير </w:t>
      </w:r>
      <w:r w:rsidRPr="00532871">
        <w:rPr>
          <w:rFonts w:hint="cs"/>
          <w:rtl/>
        </w:rPr>
        <w:t>ملزمة قانوناً بالنسبة لها.</w:t>
      </w:r>
    </w:p>
    <w:p w:rsidR="00EB7B26" w:rsidRPr="00532871" w:rsidRDefault="00EB7B26" w:rsidP="00737B98">
      <w:pPr>
        <w:pStyle w:val="SingleTxtGA"/>
        <w:rPr>
          <w:rtl/>
        </w:rPr>
      </w:pPr>
      <w:r w:rsidRPr="00532871">
        <w:rPr>
          <w:rFonts w:hint="cs"/>
          <w:rtl/>
        </w:rPr>
        <w:t>4-2</w:t>
      </w:r>
      <w:r w:rsidRPr="00532871">
        <w:rPr>
          <w:rFonts w:hint="cs"/>
          <w:rtl/>
        </w:rPr>
        <w:tab/>
        <w:t xml:space="preserve">وفي 5 تشرين الأول/أكتوبر 2011، اعترضت الدولة الطرف على مقبولية البلاغ وأكدت من جديد أن أصحاب البلاغ لم يستنفدوا جميع سبل الانتصاف الداخلية المتاحة، وأنهم لم يطلبوا من مكتب الادعاء العام الشروع في إجراءات للمراجعة </w:t>
      </w:r>
      <w:r>
        <w:rPr>
          <w:rFonts w:hint="cs"/>
          <w:rtl/>
        </w:rPr>
        <w:t>القضائية</w:t>
      </w:r>
      <w:r w:rsidRPr="00532871">
        <w:rPr>
          <w:rFonts w:hint="cs"/>
          <w:rtl/>
        </w:rPr>
        <w:t xml:space="preserve"> فيما يتعلق بقرارات دخلت حيز النفاذ.</w:t>
      </w:r>
    </w:p>
    <w:p w:rsidR="00EB7B26" w:rsidRPr="00532871" w:rsidRDefault="00EB7B26" w:rsidP="00BA04B9">
      <w:pPr>
        <w:pStyle w:val="SingleTxtGA"/>
        <w:rPr>
          <w:rtl/>
        </w:rPr>
      </w:pPr>
      <w:r w:rsidRPr="00532871">
        <w:rPr>
          <w:rFonts w:hint="cs"/>
          <w:rtl/>
        </w:rPr>
        <w:t>4-3</w:t>
      </w:r>
      <w:r w:rsidRPr="00532871">
        <w:rPr>
          <w:rFonts w:hint="cs"/>
          <w:rtl/>
        </w:rPr>
        <w:tab/>
        <w:t xml:space="preserve">وفي مذكرة شفوية مؤرخة 25 كانون الثاني/يناير 2012، ادعت الدولة الطرف أنها عندما أصبحت طرفاً في البروتوكول الاختياري، وافقت بموجب المادة 1 منه على الاعتراف باختصاص اللجنة في تلقي </w:t>
      </w:r>
      <w:r w:rsidR="002237BD">
        <w:rPr>
          <w:rFonts w:hint="cs"/>
          <w:rtl/>
        </w:rPr>
        <w:t>ودراسة</w:t>
      </w:r>
      <w:r w:rsidRPr="00532871">
        <w:rPr>
          <w:rFonts w:hint="cs"/>
          <w:rtl/>
        </w:rPr>
        <w:t xml:space="preserve"> البلاغات </w:t>
      </w:r>
      <w:r w:rsidR="002237BD">
        <w:rPr>
          <w:rFonts w:hint="cs"/>
          <w:rtl/>
        </w:rPr>
        <w:t xml:space="preserve">التي </w:t>
      </w:r>
      <w:r w:rsidRPr="00532871">
        <w:rPr>
          <w:rFonts w:hint="cs"/>
          <w:rtl/>
        </w:rPr>
        <w:t xml:space="preserve">ترد من أفراد </w:t>
      </w:r>
      <w:r>
        <w:rPr>
          <w:rFonts w:hint="cs"/>
          <w:rtl/>
        </w:rPr>
        <w:t>مشمولين</w:t>
      </w:r>
      <w:r w:rsidRPr="00532871">
        <w:rPr>
          <w:rFonts w:hint="cs"/>
          <w:rtl/>
        </w:rPr>
        <w:t xml:space="preserve"> </w:t>
      </w:r>
      <w:r>
        <w:rPr>
          <w:rFonts w:hint="cs"/>
          <w:rtl/>
        </w:rPr>
        <w:t>ب</w:t>
      </w:r>
      <w:r w:rsidR="00591C10">
        <w:rPr>
          <w:rFonts w:hint="cs"/>
          <w:rtl/>
        </w:rPr>
        <w:t xml:space="preserve">ولايتها القضائية يدعون </w:t>
      </w:r>
      <w:r w:rsidRPr="00532871">
        <w:rPr>
          <w:rFonts w:hint="cs"/>
          <w:rtl/>
        </w:rPr>
        <w:t xml:space="preserve">أنهم ضحايا انتهاك الدولة الطرف لأي حقوق يحميها العهد. </w:t>
      </w:r>
      <w:r w:rsidR="00591C10">
        <w:rPr>
          <w:rFonts w:hint="cs"/>
          <w:rtl/>
        </w:rPr>
        <w:t>إلا أن</w:t>
      </w:r>
      <w:r w:rsidRPr="00532871">
        <w:rPr>
          <w:rFonts w:hint="cs"/>
          <w:rtl/>
        </w:rPr>
        <w:t xml:space="preserve"> الاعتراف بالاختصاص كان مشروطاً باحترام أحكام أخرى من البروتوكول الاختياري، من بينها تلك التي تُحدد المعايير المتعلقة بمقدمي البلاغ</w:t>
      </w:r>
      <w:r w:rsidR="00E31DC1">
        <w:rPr>
          <w:rFonts w:hint="cs"/>
          <w:rtl/>
        </w:rPr>
        <w:t>ات</w:t>
      </w:r>
      <w:r w:rsidRPr="00532871">
        <w:rPr>
          <w:rFonts w:hint="cs"/>
          <w:rtl/>
        </w:rPr>
        <w:t xml:space="preserve"> ومقبولية بلاغاتهم، ولا سيما المادتين 2 و5. وتدفع الدولة </w:t>
      </w:r>
      <w:r>
        <w:rPr>
          <w:rFonts w:hint="cs"/>
          <w:rtl/>
        </w:rPr>
        <w:t xml:space="preserve">الطرف </w:t>
      </w:r>
      <w:r w:rsidRPr="00532871">
        <w:rPr>
          <w:rFonts w:hint="cs"/>
          <w:rtl/>
        </w:rPr>
        <w:t xml:space="preserve">بأن الدول الأطراف غير ملزمة بموجب البروتوكول الاختياري </w:t>
      </w:r>
      <w:r w:rsidR="000C12D0">
        <w:rPr>
          <w:rFonts w:hint="cs"/>
          <w:rtl/>
        </w:rPr>
        <w:t>ب</w:t>
      </w:r>
      <w:r w:rsidRPr="00532871">
        <w:rPr>
          <w:rFonts w:hint="cs"/>
          <w:rtl/>
        </w:rPr>
        <w:t xml:space="preserve">الاعتراف بالنظام </w:t>
      </w:r>
      <w:r w:rsidR="000C12D0">
        <w:rPr>
          <w:rFonts w:hint="cs"/>
          <w:rtl/>
        </w:rPr>
        <w:t>الداخلي</w:t>
      </w:r>
      <w:r w:rsidRPr="00532871">
        <w:rPr>
          <w:rFonts w:hint="cs"/>
          <w:rtl/>
        </w:rPr>
        <w:t xml:space="preserve"> للجنة ولا بتفسير</w:t>
      </w:r>
      <w:r w:rsidR="00DC5550">
        <w:rPr>
          <w:rFonts w:hint="cs"/>
          <w:rtl/>
        </w:rPr>
        <w:t>ها</w:t>
      </w:r>
      <w:r w:rsidRPr="00532871">
        <w:rPr>
          <w:rFonts w:hint="cs"/>
          <w:rtl/>
        </w:rPr>
        <w:t xml:space="preserve"> أحكام البروتوكول الاختياري، </w:t>
      </w:r>
      <w:r w:rsidR="00DC5550">
        <w:rPr>
          <w:rFonts w:hint="cs"/>
          <w:rtl/>
        </w:rPr>
        <w:t>وهو تفسير لا يكون وجيهاً إلا إذا  تم وفقاً لا</w:t>
      </w:r>
      <w:r w:rsidRPr="00532871">
        <w:rPr>
          <w:rFonts w:hint="cs"/>
          <w:rtl/>
        </w:rPr>
        <w:t>تفاقية فيينا لقانون المعاهدات. وتدفع بأنه فيما يتعلق بإجراءات الشكوى، ينبغي أن تسترشد الدول أولاً وقبل كل شيء بأحكام البروتوكول الاختيار</w:t>
      </w:r>
      <w:r>
        <w:rPr>
          <w:rFonts w:hint="cs"/>
          <w:rtl/>
        </w:rPr>
        <w:t>ي</w:t>
      </w:r>
      <w:r w:rsidRPr="00532871">
        <w:rPr>
          <w:rFonts w:hint="cs"/>
          <w:rtl/>
        </w:rPr>
        <w:t xml:space="preserve"> وأن الإحالات إلى الممارسات الراسخة</w:t>
      </w:r>
      <w:r>
        <w:rPr>
          <w:rFonts w:hint="cs"/>
          <w:rtl/>
        </w:rPr>
        <w:t xml:space="preserve"> للجنة</w:t>
      </w:r>
      <w:r w:rsidRPr="00532871">
        <w:rPr>
          <w:rFonts w:hint="cs"/>
          <w:rtl/>
        </w:rPr>
        <w:t xml:space="preserve"> وأساليب عمل</w:t>
      </w:r>
      <w:r>
        <w:rPr>
          <w:rFonts w:hint="cs"/>
          <w:rtl/>
        </w:rPr>
        <w:t>ها</w:t>
      </w:r>
      <w:r w:rsidRPr="00532871">
        <w:rPr>
          <w:rFonts w:hint="cs"/>
          <w:rtl/>
        </w:rPr>
        <w:t xml:space="preserve"> وسوابق</w:t>
      </w:r>
      <w:r>
        <w:rPr>
          <w:rFonts w:hint="cs"/>
          <w:rtl/>
        </w:rPr>
        <w:t>ها</w:t>
      </w:r>
      <w:r w:rsidRPr="00532871">
        <w:rPr>
          <w:rFonts w:hint="cs"/>
          <w:rtl/>
        </w:rPr>
        <w:t xml:space="preserve"> القضائية لا تشكل جزءاً من البروتوكول الاختياري. ودفعت كذلك بأن أي بلاغ يُسجل دون التقيد بأحكام البروتوكول الاختياري الملحق بالعهد الدولي الخاص بالحقوق المدنية والسياسية ستعتبره الدولة الطرف لا يتماشى مع البروتوكول الاختياري </w:t>
      </w:r>
      <w:r>
        <w:rPr>
          <w:rFonts w:hint="cs"/>
          <w:rtl/>
        </w:rPr>
        <w:t>و</w:t>
      </w:r>
      <w:r w:rsidRPr="00532871">
        <w:rPr>
          <w:rFonts w:hint="cs"/>
          <w:rtl/>
        </w:rPr>
        <w:t>سترفضه دون التعليق على المقبولية والأسس الموضوعية</w:t>
      </w:r>
      <w:r>
        <w:rPr>
          <w:rFonts w:hint="cs"/>
          <w:rtl/>
        </w:rPr>
        <w:t xml:space="preserve">، </w:t>
      </w:r>
      <w:r w:rsidRPr="00532871">
        <w:rPr>
          <w:rFonts w:hint="cs"/>
          <w:rtl/>
        </w:rPr>
        <w:t>وأ</w:t>
      </w:r>
      <w:r>
        <w:rPr>
          <w:rFonts w:hint="cs"/>
          <w:rtl/>
        </w:rPr>
        <w:t>ن سلطاتها ستعتبر أ</w:t>
      </w:r>
      <w:r w:rsidRPr="00532871">
        <w:rPr>
          <w:rFonts w:hint="cs"/>
          <w:rtl/>
        </w:rPr>
        <w:t xml:space="preserve">ي قرار تتخذه اللجنة بشأن مثل هذه البلاغات المرفوضة، </w:t>
      </w:r>
      <w:proofErr w:type="spellStart"/>
      <w:r w:rsidRPr="00532871">
        <w:rPr>
          <w:rFonts w:hint="cs"/>
          <w:rtl/>
        </w:rPr>
        <w:t>لاغياً</w:t>
      </w:r>
      <w:proofErr w:type="spellEnd"/>
      <w:r w:rsidRPr="00532871">
        <w:rPr>
          <w:rFonts w:hint="cs"/>
          <w:rtl/>
        </w:rPr>
        <w:t xml:space="preserve">. </w:t>
      </w:r>
      <w:r w:rsidR="00BA04B9">
        <w:rPr>
          <w:rFonts w:hint="cs"/>
          <w:rtl/>
        </w:rPr>
        <w:t>وترى</w:t>
      </w:r>
      <w:r w:rsidRPr="00532871">
        <w:rPr>
          <w:rFonts w:hint="cs"/>
          <w:rtl/>
        </w:rPr>
        <w:t xml:space="preserve"> الدولة الطرف أن</w:t>
      </w:r>
      <w:r w:rsidR="001D2A5A">
        <w:rPr>
          <w:rFonts w:hint="cs"/>
          <w:rtl/>
        </w:rPr>
        <w:t xml:space="preserve">              </w:t>
      </w:r>
      <w:r w:rsidRPr="00532871">
        <w:rPr>
          <w:rFonts w:hint="cs"/>
          <w:rtl/>
        </w:rPr>
        <w:t xml:space="preserve"> البلاغ الحالي وكذلك بلاغات عديدة أخرى معروضة على اللجنة، سُجلت بشكل يخالف البروتوكول الاختياري.</w:t>
      </w:r>
    </w:p>
    <w:p w:rsidR="00EB7B26" w:rsidRPr="00532871" w:rsidRDefault="00EB7B26" w:rsidP="00737B98">
      <w:pPr>
        <w:pStyle w:val="SingleTxtGA"/>
        <w:rPr>
          <w:rtl/>
        </w:rPr>
      </w:pPr>
      <w:r w:rsidRPr="00532871">
        <w:rPr>
          <w:rFonts w:hint="cs"/>
          <w:rtl/>
        </w:rPr>
        <w:lastRenderedPageBreak/>
        <w:t>4-4</w:t>
      </w:r>
      <w:r w:rsidRPr="00532871">
        <w:rPr>
          <w:rFonts w:hint="cs"/>
          <w:rtl/>
        </w:rPr>
        <w:tab/>
        <w:t xml:space="preserve">وفي 19 تموز/يوليه 2012، </w:t>
      </w:r>
      <w:r>
        <w:rPr>
          <w:rFonts w:hint="cs"/>
          <w:rtl/>
        </w:rPr>
        <w:t>ذكرت</w:t>
      </w:r>
      <w:r w:rsidRPr="00532871">
        <w:rPr>
          <w:rFonts w:hint="cs"/>
          <w:rtl/>
        </w:rPr>
        <w:t xml:space="preserve"> الدولة الطرف أنها توقفت عن مواصلة الإجراءات فيما يتعلق بالبلاغ الحالي وأنها تتبرأ من أي آراء قد تعتمدها اللجنة.</w:t>
      </w:r>
    </w:p>
    <w:p w:rsidR="00EB7B26" w:rsidRPr="00532871" w:rsidRDefault="00EB7B26" w:rsidP="00A2139D">
      <w:pPr>
        <w:pStyle w:val="H23GA"/>
        <w:rPr>
          <w:rtl/>
        </w:rPr>
      </w:pPr>
      <w:r w:rsidRPr="00532871">
        <w:rPr>
          <w:rFonts w:hint="cs"/>
          <w:rtl/>
        </w:rPr>
        <w:tab/>
      </w:r>
      <w:r w:rsidRPr="00532871">
        <w:rPr>
          <w:rFonts w:hint="cs"/>
          <w:rtl/>
        </w:rPr>
        <w:tab/>
        <w:t>ملاحظات أصحاب البلاغ بشأن المقبولية</w:t>
      </w:r>
    </w:p>
    <w:p w:rsidR="00EB7B26" w:rsidRPr="00532871" w:rsidRDefault="00EB7B26" w:rsidP="00A2139D">
      <w:pPr>
        <w:pStyle w:val="SingleTxtGA"/>
        <w:rPr>
          <w:rtl/>
        </w:rPr>
      </w:pPr>
      <w:r w:rsidRPr="00532871">
        <w:rPr>
          <w:rFonts w:hint="cs"/>
          <w:rtl/>
        </w:rPr>
        <w:t>5-1</w:t>
      </w:r>
      <w:r w:rsidRPr="00532871">
        <w:rPr>
          <w:rFonts w:hint="cs"/>
          <w:rtl/>
        </w:rPr>
        <w:tab/>
        <w:t xml:space="preserve">في 30 تشرين الثاني/نوفمبر 2011 و21 آذار/مارس 2012، قدم السيد </w:t>
      </w:r>
      <w:proofErr w:type="spellStart"/>
      <w:r>
        <w:rPr>
          <w:rFonts w:hint="cs"/>
          <w:rtl/>
        </w:rPr>
        <w:t>إي</w:t>
      </w:r>
      <w:r w:rsidRPr="00532871">
        <w:rPr>
          <w:rFonts w:hint="cs"/>
          <w:rtl/>
        </w:rPr>
        <w:t>فريزوف</w:t>
      </w:r>
      <w:proofErr w:type="spellEnd"/>
      <w:r w:rsidRPr="00532871">
        <w:rPr>
          <w:vertAlign w:val="superscript"/>
          <w:rtl/>
        </w:rPr>
        <w:t>(</w:t>
      </w:r>
      <w:r w:rsidRPr="00532871">
        <w:rPr>
          <w:b/>
          <w:vertAlign w:val="superscript"/>
          <w:rtl/>
        </w:rPr>
        <w:footnoteReference w:id="4"/>
      </w:r>
      <w:r w:rsidRPr="00532871">
        <w:rPr>
          <w:vertAlign w:val="superscript"/>
          <w:rtl/>
        </w:rPr>
        <w:t>)</w:t>
      </w:r>
      <w:r w:rsidRPr="00532871">
        <w:rPr>
          <w:rFonts w:hint="cs"/>
          <w:rtl/>
        </w:rPr>
        <w:t xml:space="preserve"> تعليقاته بشأن المقبولية. وأكد من جديد موقفه الوارد في رسالته الأولى بأن إجراءات المراجعة </w:t>
      </w:r>
      <w:r>
        <w:rPr>
          <w:rFonts w:hint="cs"/>
          <w:rtl/>
        </w:rPr>
        <w:t xml:space="preserve">القضائية اتخذت بموجب ممارسة سلطة </w:t>
      </w:r>
      <w:r w:rsidRPr="00532871">
        <w:rPr>
          <w:rFonts w:hint="cs"/>
          <w:rtl/>
        </w:rPr>
        <w:t>تقديرية وأن القرار بالشروع في مثل هذه الإجراءات يقتصر على موظفي الدولة، مثل المدعي العام، ورئيس المحكمة العليا، وأن مثل هذه الإجراءات لا يمكن اعتبارها سبيل انتصاف محلي فعال</w:t>
      </w:r>
      <w:r w:rsidRPr="00532871">
        <w:rPr>
          <w:vertAlign w:val="superscript"/>
          <w:rtl/>
        </w:rPr>
        <w:t>(</w:t>
      </w:r>
      <w:r w:rsidRPr="00532871">
        <w:rPr>
          <w:b/>
          <w:vertAlign w:val="superscript"/>
          <w:rtl/>
        </w:rPr>
        <w:footnoteReference w:id="5"/>
      </w:r>
      <w:r w:rsidRPr="00532871">
        <w:rPr>
          <w:vertAlign w:val="superscript"/>
          <w:rtl/>
        </w:rPr>
        <w:t>)</w:t>
      </w:r>
      <w:r w:rsidRPr="00532871">
        <w:rPr>
          <w:rFonts w:hint="cs"/>
          <w:rtl/>
        </w:rPr>
        <w:t>.</w:t>
      </w:r>
    </w:p>
    <w:p w:rsidR="00EB7B26" w:rsidRPr="00532871" w:rsidRDefault="00EB7B26" w:rsidP="00A30D75">
      <w:pPr>
        <w:pStyle w:val="SingleTxtGA"/>
        <w:rPr>
          <w:rtl/>
        </w:rPr>
      </w:pPr>
      <w:r w:rsidRPr="00532871">
        <w:rPr>
          <w:rFonts w:hint="cs"/>
          <w:rtl/>
        </w:rPr>
        <w:t>5-2</w:t>
      </w:r>
      <w:r w:rsidRPr="00532871">
        <w:rPr>
          <w:rFonts w:hint="cs"/>
          <w:rtl/>
        </w:rPr>
        <w:tab/>
        <w:t xml:space="preserve">ودفع السيد </w:t>
      </w:r>
      <w:proofErr w:type="spellStart"/>
      <w:r>
        <w:rPr>
          <w:rFonts w:hint="cs"/>
          <w:rtl/>
        </w:rPr>
        <w:t>إي</w:t>
      </w:r>
      <w:r w:rsidRPr="00532871">
        <w:rPr>
          <w:rFonts w:hint="cs"/>
          <w:rtl/>
        </w:rPr>
        <w:t>فريزوف</w:t>
      </w:r>
      <w:proofErr w:type="spellEnd"/>
      <w:r w:rsidRPr="00532871">
        <w:rPr>
          <w:rFonts w:hint="cs"/>
          <w:rtl/>
        </w:rPr>
        <w:t xml:space="preserve"> أيضاً بأن الدولة الطرف</w:t>
      </w:r>
      <w:r w:rsidR="00A30D75">
        <w:rPr>
          <w:rFonts w:hint="cs"/>
          <w:rtl/>
        </w:rPr>
        <w:t>،</w:t>
      </w:r>
      <w:r w:rsidRPr="00532871">
        <w:rPr>
          <w:rFonts w:hint="cs"/>
          <w:rtl/>
        </w:rPr>
        <w:t xml:space="preserve"> عند قبولها اختصاص اللجنة في النظر في البلاغات </w:t>
      </w:r>
      <w:r w:rsidR="00AA398B">
        <w:rPr>
          <w:rFonts w:hint="cs"/>
          <w:rtl/>
        </w:rPr>
        <w:t>الفردية</w:t>
      </w:r>
      <w:r w:rsidRPr="00532871">
        <w:rPr>
          <w:rFonts w:hint="cs"/>
          <w:rtl/>
        </w:rPr>
        <w:t>، تعهدت أيضاً بالتزامات توفير سبيل انتصاف فعال في حالة انتهاك الحقوق المنصوص عليها في العهد، والامتثال لا لأحكام العهد فحسب بل أيضاً لأحكام البروتوكول الاختياري والتعليقات العامة للجنة</w:t>
      </w:r>
      <w:r w:rsidRPr="00532871">
        <w:rPr>
          <w:vertAlign w:val="superscript"/>
          <w:rtl/>
        </w:rPr>
        <w:t>(</w:t>
      </w:r>
      <w:r w:rsidRPr="00532871">
        <w:rPr>
          <w:b/>
          <w:vertAlign w:val="superscript"/>
          <w:rtl/>
        </w:rPr>
        <w:footnoteReference w:id="6"/>
      </w:r>
      <w:r w:rsidRPr="00532871">
        <w:rPr>
          <w:vertAlign w:val="superscript"/>
          <w:rtl/>
        </w:rPr>
        <w:t>)</w:t>
      </w:r>
      <w:r w:rsidRPr="00532871">
        <w:rPr>
          <w:rFonts w:hint="cs"/>
          <w:rtl/>
        </w:rPr>
        <w:t>.</w:t>
      </w:r>
    </w:p>
    <w:p w:rsidR="00EB7B26" w:rsidRPr="00532871" w:rsidRDefault="00EB7B26" w:rsidP="00773B24">
      <w:pPr>
        <w:pStyle w:val="H23GA"/>
        <w:rPr>
          <w:rtl/>
        </w:rPr>
      </w:pPr>
      <w:r w:rsidRPr="00532871">
        <w:rPr>
          <w:rFonts w:hint="cs"/>
          <w:rtl/>
        </w:rPr>
        <w:tab/>
      </w:r>
      <w:r w:rsidRPr="00532871">
        <w:rPr>
          <w:rFonts w:hint="cs"/>
          <w:rtl/>
        </w:rPr>
        <w:tab/>
        <w:t>المسائل والإجراءات المعروضة على اللجنة</w:t>
      </w:r>
    </w:p>
    <w:p w:rsidR="00EB7B26" w:rsidRPr="00532871" w:rsidRDefault="00EB7B26" w:rsidP="00773B24">
      <w:pPr>
        <w:pStyle w:val="H4GA"/>
        <w:rPr>
          <w:rtl/>
        </w:rPr>
      </w:pPr>
      <w:r w:rsidRPr="00532871">
        <w:rPr>
          <w:rFonts w:hint="cs"/>
          <w:rtl/>
        </w:rPr>
        <w:tab/>
      </w:r>
      <w:r w:rsidRPr="00532871">
        <w:rPr>
          <w:rFonts w:hint="cs"/>
          <w:rtl/>
        </w:rPr>
        <w:tab/>
        <w:t>عدم تعاون الدولة الطرف</w:t>
      </w:r>
    </w:p>
    <w:p w:rsidR="00EB7B26" w:rsidRPr="00532871" w:rsidRDefault="00EB7B26" w:rsidP="00B833C2">
      <w:pPr>
        <w:pStyle w:val="SingleTxtGA"/>
        <w:rPr>
          <w:rtl/>
        </w:rPr>
      </w:pPr>
      <w:r w:rsidRPr="00532871">
        <w:rPr>
          <w:rFonts w:hint="cs"/>
          <w:rtl/>
        </w:rPr>
        <w:t>6-1</w:t>
      </w:r>
      <w:r w:rsidRPr="00532871">
        <w:rPr>
          <w:rFonts w:hint="cs"/>
          <w:rtl/>
        </w:rPr>
        <w:tab/>
        <w:t xml:space="preserve">تحيط اللجنة علماً بتأكيد الدولة الطرف </w:t>
      </w:r>
      <w:r w:rsidR="00B833C2">
        <w:rPr>
          <w:rFonts w:hint="cs"/>
          <w:rtl/>
        </w:rPr>
        <w:t>ع</w:t>
      </w:r>
      <w:r w:rsidRPr="00532871">
        <w:rPr>
          <w:rFonts w:hint="cs"/>
          <w:rtl/>
        </w:rPr>
        <w:t>دم وجود أسس قانونية للنظر في البلاغ، لأنه سُجل بشكل يخالف أحكام البروتوكول الاختياري؛ وأنها غير مُلزمة بالاعتراف بالنظام الداخلي للجنة وبتفسيرها لأحكام البروتوكول؛ وأنه إذا</w:t>
      </w:r>
      <w:r w:rsidR="00226A16">
        <w:rPr>
          <w:rFonts w:hint="cs"/>
          <w:rtl/>
        </w:rPr>
        <w:t xml:space="preserve"> </w:t>
      </w:r>
      <w:r w:rsidRPr="00532871">
        <w:rPr>
          <w:rFonts w:hint="cs"/>
          <w:rtl/>
        </w:rPr>
        <w:t>اتخذت اللجنة قراراً في هذه القضية، فإن سلطات</w:t>
      </w:r>
      <w:r>
        <w:rPr>
          <w:rFonts w:hint="cs"/>
          <w:rtl/>
        </w:rPr>
        <w:t>ها</w:t>
      </w:r>
      <w:r w:rsidRPr="00532871">
        <w:rPr>
          <w:rFonts w:hint="cs"/>
          <w:rtl/>
        </w:rPr>
        <w:t xml:space="preserve"> ستتجاهله وستعتبره باطلاً.</w:t>
      </w:r>
    </w:p>
    <w:p w:rsidR="00EB7B26" w:rsidRPr="00532871" w:rsidRDefault="00EB7B26" w:rsidP="00AF07CC">
      <w:pPr>
        <w:pStyle w:val="SingleTxtGA"/>
        <w:rPr>
          <w:rtl/>
        </w:rPr>
      </w:pPr>
      <w:r w:rsidRPr="00532871">
        <w:rPr>
          <w:rFonts w:hint="cs"/>
          <w:rtl/>
        </w:rPr>
        <w:t>6-2</w:t>
      </w:r>
      <w:r w:rsidRPr="00532871">
        <w:rPr>
          <w:rFonts w:hint="cs"/>
          <w:rtl/>
        </w:rPr>
        <w:tab/>
        <w:t xml:space="preserve">وتذكِّر اللجنة بأن الفقرة 2 من المادة 39 من العهد الدولي الخاص بالحقوق المدنية والسياسية </w:t>
      </w:r>
      <w:r>
        <w:rPr>
          <w:rFonts w:hint="cs"/>
          <w:rtl/>
        </w:rPr>
        <w:t>ت</w:t>
      </w:r>
      <w:r w:rsidR="00B833C2">
        <w:rPr>
          <w:rFonts w:hint="cs"/>
          <w:rtl/>
        </w:rPr>
        <w:t xml:space="preserve">خولها </w:t>
      </w:r>
      <w:r w:rsidRPr="00532871">
        <w:rPr>
          <w:rFonts w:hint="cs"/>
          <w:rtl/>
        </w:rPr>
        <w:t xml:space="preserve">وضع نظامها الداخلي </w:t>
      </w:r>
      <w:r w:rsidR="00B833C2">
        <w:rPr>
          <w:rFonts w:hint="cs"/>
          <w:rtl/>
        </w:rPr>
        <w:t xml:space="preserve">الخاص بها، </w:t>
      </w:r>
      <w:r w:rsidRPr="00532871">
        <w:rPr>
          <w:rFonts w:hint="cs"/>
          <w:rtl/>
        </w:rPr>
        <w:t>الذي وافقت الدول الأطراف على الاعتراف به</w:t>
      </w:r>
      <w:r w:rsidR="00E722E1">
        <w:rPr>
          <w:rFonts w:hint="cs"/>
          <w:rtl/>
        </w:rPr>
        <w:t>،</w:t>
      </w:r>
      <w:r w:rsidRPr="00532871">
        <w:rPr>
          <w:rFonts w:hint="cs"/>
          <w:rtl/>
        </w:rPr>
        <w:t xml:space="preserve"> وان الدولة الطرف في العهد</w:t>
      </w:r>
      <w:r w:rsidR="001155B4">
        <w:rPr>
          <w:rFonts w:hint="cs"/>
          <w:rtl/>
        </w:rPr>
        <w:t>،</w:t>
      </w:r>
      <w:r w:rsidRPr="00532871">
        <w:rPr>
          <w:rFonts w:hint="cs"/>
          <w:rtl/>
        </w:rPr>
        <w:t xml:space="preserve"> </w:t>
      </w:r>
      <w:r w:rsidR="001155B4">
        <w:rPr>
          <w:rFonts w:hint="cs"/>
          <w:rtl/>
        </w:rPr>
        <w:t>ب</w:t>
      </w:r>
      <w:r w:rsidRPr="00532871">
        <w:rPr>
          <w:rFonts w:hint="cs"/>
          <w:rtl/>
        </w:rPr>
        <w:t>انضمامها إلى البروتوكول الاختياري</w:t>
      </w:r>
      <w:r w:rsidR="001155B4">
        <w:rPr>
          <w:rFonts w:hint="cs"/>
          <w:rtl/>
        </w:rPr>
        <w:t>،</w:t>
      </w:r>
      <w:r w:rsidRPr="00532871">
        <w:rPr>
          <w:rFonts w:hint="cs"/>
          <w:rtl/>
        </w:rPr>
        <w:t xml:space="preserve"> </w:t>
      </w:r>
      <w:r w:rsidR="001155B4">
        <w:rPr>
          <w:rFonts w:hint="cs"/>
          <w:rtl/>
        </w:rPr>
        <w:t xml:space="preserve">تعترف </w:t>
      </w:r>
      <w:r w:rsidRPr="00532871">
        <w:rPr>
          <w:rFonts w:hint="cs"/>
          <w:rtl/>
        </w:rPr>
        <w:t>باختصاص اللجنة في تلقي البلاغات الواردة من الأفراد الذين يدعون انهم ضحايا انتهاك أي من الحقوق المنصوص عليها في العهد (الديباجة والمادة 1) والنظر فيها. ويعني</w:t>
      </w:r>
      <w:r>
        <w:rPr>
          <w:rFonts w:hint="cs"/>
          <w:rtl/>
        </w:rPr>
        <w:t xml:space="preserve"> </w:t>
      </w:r>
      <w:r w:rsidRPr="00532871">
        <w:rPr>
          <w:rFonts w:hint="cs"/>
          <w:rtl/>
        </w:rPr>
        <w:t xml:space="preserve">انضمام دولة من الدول إلى البروتوكول الاختياري </w:t>
      </w:r>
      <w:r>
        <w:rPr>
          <w:rFonts w:hint="cs"/>
          <w:rtl/>
        </w:rPr>
        <w:t xml:space="preserve">ضمناً تعهدها بالتعاون </w:t>
      </w:r>
      <w:r w:rsidRPr="00532871">
        <w:rPr>
          <w:rFonts w:hint="cs"/>
          <w:rtl/>
        </w:rPr>
        <w:t>مع اللجنة بحسن نية للسماح لها بالنظر في تلك البلاغات</w:t>
      </w:r>
      <w:r w:rsidRPr="00532871">
        <w:rPr>
          <w:vertAlign w:val="superscript"/>
          <w:rtl/>
        </w:rPr>
        <w:t>(</w:t>
      </w:r>
      <w:r w:rsidRPr="00532871">
        <w:rPr>
          <w:b/>
          <w:vertAlign w:val="superscript"/>
          <w:rtl/>
        </w:rPr>
        <w:footnoteReference w:id="7"/>
      </w:r>
      <w:r w:rsidRPr="00532871">
        <w:rPr>
          <w:vertAlign w:val="superscript"/>
          <w:rtl/>
        </w:rPr>
        <w:t>)</w:t>
      </w:r>
      <w:r w:rsidRPr="00532871">
        <w:rPr>
          <w:rFonts w:hint="cs"/>
          <w:rtl/>
        </w:rPr>
        <w:t xml:space="preserve"> وتمكينها من ذلك، وبعد النظر فيها تُرسل اللجنة الآراء التي انتهت إليها </w:t>
      </w:r>
      <w:r w:rsidRPr="00532871">
        <w:rPr>
          <w:rFonts w:hint="cs"/>
          <w:rtl/>
        </w:rPr>
        <w:lastRenderedPageBreak/>
        <w:t>إلى الدولة الطرف وإلى الأطراف المعنيين</w:t>
      </w:r>
      <w:r w:rsidR="006C4A6C">
        <w:rPr>
          <w:rFonts w:hint="cs"/>
          <w:rtl/>
        </w:rPr>
        <w:t xml:space="preserve"> (الفقرتان 1 و4 من المادة 5). وي</w:t>
      </w:r>
      <w:r w:rsidRPr="00532871">
        <w:rPr>
          <w:rFonts w:hint="cs"/>
          <w:rtl/>
        </w:rPr>
        <w:t>عود إلى اللجنة أمر البت فيما إذا</w:t>
      </w:r>
      <w:r w:rsidR="00226A16">
        <w:rPr>
          <w:rFonts w:hint="cs"/>
          <w:rtl/>
        </w:rPr>
        <w:t xml:space="preserve"> </w:t>
      </w:r>
      <w:r w:rsidRPr="00532871">
        <w:rPr>
          <w:rFonts w:hint="cs"/>
          <w:rtl/>
        </w:rPr>
        <w:t>كان ينبغي تسجيل بلاغ من البلاغات أو لا. وتلاحظ اللجنة أن الدولة الطرف، بعدم قبولها اختصاص اللجنة في البت فيما إذا</w:t>
      </w:r>
      <w:r w:rsidR="00226A16">
        <w:rPr>
          <w:rFonts w:hint="cs"/>
          <w:rtl/>
        </w:rPr>
        <w:t xml:space="preserve"> </w:t>
      </w:r>
      <w:r w:rsidRPr="00532871">
        <w:rPr>
          <w:rFonts w:hint="cs"/>
          <w:rtl/>
        </w:rPr>
        <w:t>كان يتعين تسجيل بلاغ من البلاغات أو لا وبإعلانها سلفاً أنها لا تق</w:t>
      </w:r>
      <w:r>
        <w:rPr>
          <w:rFonts w:hint="cs"/>
          <w:rtl/>
        </w:rPr>
        <w:t>ب</w:t>
      </w:r>
      <w:r w:rsidRPr="00532871">
        <w:rPr>
          <w:rFonts w:hint="cs"/>
          <w:rtl/>
        </w:rPr>
        <w:t>ل ما تقرره اللجنة بشأن مقبولية البلاغ وأسسه الموضوعية، تخل بالتزاماتها بموجب المادة 1 من البروتوكول الاختياري الملحق بالعهد</w:t>
      </w:r>
      <w:r w:rsidRPr="00532871">
        <w:rPr>
          <w:vertAlign w:val="superscript"/>
          <w:rtl/>
        </w:rPr>
        <w:t>(</w:t>
      </w:r>
      <w:r w:rsidRPr="00532871">
        <w:rPr>
          <w:b/>
          <w:vertAlign w:val="superscript"/>
          <w:rtl/>
        </w:rPr>
        <w:footnoteReference w:id="8"/>
      </w:r>
      <w:r w:rsidRPr="00532871">
        <w:rPr>
          <w:vertAlign w:val="superscript"/>
          <w:rtl/>
        </w:rPr>
        <w:t>)</w:t>
      </w:r>
      <w:r w:rsidRPr="00532871">
        <w:rPr>
          <w:rFonts w:hint="cs"/>
          <w:rtl/>
        </w:rPr>
        <w:t>.</w:t>
      </w:r>
    </w:p>
    <w:p w:rsidR="00EB7B26" w:rsidRPr="00532871" w:rsidRDefault="00EB7B26" w:rsidP="006C4A6C">
      <w:pPr>
        <w:pStyle w:val="H4GA"/>
        <w:rPr>
          <w:rtl/>
        </w:rPr>
      </w:pPr>
      <w:r w:rsidRPr="00532871">
        <w:rPr>
          <w:rFonts w:hint="cs"/>
          <w:rtl/>
        </w:rPr>
        <w:tab/>
      </w:r>
      <w:r w:rsidRPr="00532871">
        <w:rPr>
          <w:rFonts w:hint="cs"/>
          <w:rtl/>
        </w:rPr>
        <w:tab/>
        <w:t>النظر في مقبولية البلاغ</w:t>
      </w:r>
    </w:p>
    <w:p w:rsidR="00EB7B26" w:rsidRPr="00532871" w:rsidRDefault="00EB7B26" w:rsidP="00737B98">
      <w:pPr>
        <w:pStyle w:val="SingleTxtGA"/>
        <w:rPr>
          <w:rtl/>
        </w:rPr>
      </w:pPr>
      <w:r w:rsidRPr="00532871">
        <w:rPr>
          <w:rFonts w:hint="cs"/>
          <w:rtl/>
        </w:rPr>
        <w:t>7-1</w:t>
      </w:r>
      <w:r w:rsidRPr="00532871">
        <w:rPr>
          <w:rFonts w:hint="cs"/>
          <w:rtl/>
        </w:rPr>
        <w:tab/>
        <w:t>قبل النظر في أي ادعاء يرد في بلاغ ما من البلاغات، يتعين على اللجنة المعني</w:t>
      </w:r>
      <w:r>
        <w:rPr>
          <w:rFonts w:hint="cs"/>
          <w:rtl/>
        </w:rPr>
        <w:t>ة</w:t>
      </w:r>
      <w:r w:rsidRPr="00532871">
        <w:rPr>
          <w:rFonts w:hint="cs"/>
          <w:rtl/>
        </w:rPr>
        <w:t xml:space="preserve"> بحقوق الإنسان، وفقاً للمادة 93 من نظامها الداخلي، أن تقرر ما إذا كان البلاغ مقبولاً أم غير مقبول بموجب البروتوكول الاختياري الملحق بالعهد.</w:t>
      </w:r>
    </w:p>
    <w:p w:rsidR="00EB7B26" w:rsidRPr="00532871" w:rsidRDefault="00EB7B26" w:rsidP="00737B98">
      <w:pPr>
        <w:pStyle w:val="SingleTxtGA"/>
        <w:rPr>
          <w:rtl/>
        </w:rPr>
      </w:pPr>
      <w:r w:rsidRPr="00532871">
        <w:rPr>
          <w:rFonts w:hint="cs"/>
          <w:rtl/>
        </w:rPr>
        <w:t>7-2</w:t>
      </w:r>
      <w:r w:rsidRPr="00532871">
        <w:rPr>
          <w:rFonts w:hint="cs"/>
          <w:rtl/>
        </w:rPr>
        <w:tab/>
        <w:t xml:space="preserve">وقد تأكدت اللجنة، وفقاً لما </w:t>
      </w:r>
      <w:proofErr w:type="spellStart"/>
      <w:r w:rsidRPr="00532871">
        <w:rPr>
          <w:rFonts w:hint="cs"/>
          <w:rtl/>
        </w:rPr>
        <w:t>ت</w:t>
      </w:r>
      <w:r>
        <w:rPr>
          <w:rFonts w:hint="cs"/>
          <w:rtl/>
        </w:rPr>
        <w:t>ق</w:t>
      </w:r>
      <w:r w:rsidRPr="00532871">
        <w:rPr>
          <w:rFonts w:hint="cs"/>
          <w:rtl/>
        </w:rPr>
        <w:t>تضيه</w:t>
      </w:r>
      <w:proofErr w:type="spellEnd"/>
      <w:r w:rsidRPr="00532871">
        <w:rPr>
          <w:rFonts w:hint="cs"/>
          <w:rtl/>
        </w:rPr>
        <w:t xml:space="preserve"> الفقرة 2(أ) من المادة 5 من البروتوكول الاختياري، من أن المسألة نفسها ليست قيد البحث في إطار إجراء آخر من إجراءات التحقيق الدولي أو التسوية الدولية.</w:t>
      </w:r>
    </w:p>
    <w:p w:rsidR="00EB7B26" w:rsidRPr="00532871" w:rsidRDefault="00EB7B26" w:rsidP="00AF07CC">
      <w:pPr>
        <w:pStyle w:val="SingleTxtGA"/>
        <w:rPr>
          <w:rtl/>
        </w:rPr>
      </w:pPr>
      <w:r w:rsidRPr="00532871">
        <w:rPr>
          <w:rFonts w:hint="cs"/>
          <w:rtl/>
        </w:rPr>
        <w:t>7-3</w:t>
      </w:r>
      <w:r w:rsidRPr="00532871">
        <w:rPr>
          <w:rFonts w:hint="cs"/>
          <w:rtl/>
        </w:rPr>
        <w:tab/>
        <w:t>وتلاحظ اللجنة أن الدولة الطرف اعترضت على مقبولية البلاغ بسبب عدم استنفاد سبل الانتصاف المحلية بموجب الفقرة 2(ب) من المادة 5 من البروتوكول الاختياري بناء على عدم تقديم أصحاب البلاغ طلباً إلى مكتب المدعي العام للنظر في قضيتهم في إطار إجراءات المراجعة القضائية. وتذكِّر اللجنة بسوابقها القضائية التي تفيد بأن تقديم التماس إلى مكتب الم</w:t>
      </w:r>
      <w:r w:rsidR="00AF07CC">
        <w:rPr>
          <w:rFonts w:hint="cs"/>
          <w:rtl/>
        </w:rPr>
        <w:t>دعي العام لإجراء مراجعة قضائية ت</w:t>
      </w:r>
      <w:r w:rsidRPr="00532871">
        <w:rPr>
          <w:rFonts w:hint="cs"/>
          <w:rtl/>
        </w:rPr>
        <w:t>سمح بمراجعة قرارات المحكمة التي نُفذت ليس سبيل انتصاف يتعين استنفاده بموجب الفقرة 2(ب) من المادة 5 من البروتوكول الاختياري</w:t>
      </w:r>
      <w:r w:rsidRPr="00532871">
        <w:rPr>
          <w:vertAlign w:val="superscript"/>
          <w:rtl/>
        </w:rPr>
        <w:t>(</w:t>
      </w:r>
      <w:r w:rsidRPr="00532871">
        <w:rPr>
          <w:b/>
          <w:vertAlign w:val="superscript"/>
          <w:rtl/>
        </w:rPr>
        <w:footnoteReference w:id="9"/>
      </w:r>
      <w:r w:rsidRPr="00532871">
        <w:rPr>
          <w:vertAlign w:val="superscript"/>
          <w:rtl/>
        </w:rPr>
        <w:t>)</w:t>
      </w:r>
      <w:r w:rsidRPr="00532871">
        <w:rPr>
          <w:rFonts w:hint="cs"/>
          <w:rtl/>
        </w:rPr>
        <w:t>. وبناءً عليه، ترى اللجنة أن لا شيء يمنعها من النظر في هذا الجزء من البلاغ بموجب الفقرة 2(ب) من المادة 5 من البروتوكول الاختياري.</w:t>
      </w:r>
    </w:p>
    <w:p w:rsidR="00EB7B26" w:rsidRPr="00532871" w:rsidRDefault="00EB7B26" w:rsidP="0053535C">
      <w:pPr>
        <w:pStyle w:val="SingleTxtGA"/>
        <w:rPr>
          <w:rtl/>
        </w:rPr>
      </w:pPr>
      <w:r w:rsidRPr="00532871">
        <w:rPr>
          <w:rFonts w:hint="cs"/>
          <w:rtl/>
        </w:rPr>
        <w:t>7-4</w:t>
      </w:r>
      <w:r w:rsidRPr="00532871">
        <w:rPr>
          <w:rFonts w:hint="cs"/>
          <w:rtl/>
        </w:rPr>
        <w:tab/>
        <w:t>وت</w:t>
      </w:r>
      <w:r>
        <w:rPr>
          <w:rFonts w:hint="cs"/>
          <w:rtl/>
        </w:rPr>
        <w:t>أخذ اللجنة علما</w:t>
      </w:r>
      <w:r w:rsidR="006C4A6C">
        <w:rPr>
          <w:rFonts w:hint="cs"/>
          <w:rtl/>
        </w:rPr>
        <w:t>ً</w:t>
      </w:r>
      <w:r w:rsidRPr="00532871">
        <w:rPr>
          <w:rFonts w:hint="cs"/>
          <w:rtl/>
        </w:rPr>
        <w:t xml:space="preserve"> </w:t>
      </w:r>
      <w:r>
        <w:rPr>
          <w:rFonts w:hint="cs"/>
          <w:rtl/>
        </w:rPr>
        <w:t>ب</w:t>
      </w:r>
      <w:r w:rsidRPr="00532871">
        <w:rPr>
          <w:rFonts w:hint="cs"/>
          <w:rtl/>
        </w:rPr>
        <w:t xml:space="preserve">ادعاء أصحاب البلاغ أن الدولة الطرف انتهكت التزاماتها بموجب الفقرة 2 من المادة 2 من العهد، </w:t>
      </w:r>
      <w:r>
        <w:rPr>
          <w:rFonts w:hint="cs"/>
          <w:rtl/>
        </w:rPr>
        <w:t>بال</w:t>
      </w:r>
      <w:r w:rsidRPr="00532871">
        <w:rPr>
          <w:rFonts w:hint="cs"/>
          <w:rtl/>
        </w:rPr>
        <w:t xml:space="preserve">اقتران بالمادتين 19 و21 </w:t>
      </w:r>
      <w:r>
        <w:rPr>
          <w:rFonts w:hint="cs"/>
          <w:rtl/>
        </w:rPr>
        <w:t>لأنها</w:t>
      </w:r>
      <w:r w:rsidRPr="00532871">
        <w:rPr>
          <w:rFonts w:hint="cs"/>
          <w:rtl/>
        </w:rPr>
        <w:t xml:space="preserve"> </w:t>
      </w:r>
      <w:r w:rsidR="00AF07CC">
        <w:rPr>
          <w:rFonts w:hint="cs"/>
          <w:rtl/>
        </w:rPr>
        <w:t xml:space="preserve">لم تعط العهد أسبقية </w:t>
      </w:r>
      <w:r w:rsidRPr="00532871">
        <w:rPr>
          <w:rFonts w:hint="cs"/>
          <w:rtl/>
        </w:rPr>
        <w:t>على التشريع الداخلي، الذي يفرض قيوداً لا مبرر لها على الحقوق المنصوص عليها في المادتين 1</w:t>
      </w:r>
      <w:r>
        <w:rPr>
          <w:rFonts w:hint="cs"/>
          <w:rtl/>
        </w:rPr>
        <w:t>9</w:t>
      </w:r>
      <w:r w:rsidRPr="00532871">
        <w:rPr>
          <w:rFonts w:hint="cs"/>
          <w:rtl/>
        </w:rPr>
        <w:t xml:space="preserve"> و21. وتذ</w:t>
      </w:r>
      <w:r>
        <w:rPr>
          <w:rFonts w:hint="cs"/>
          <w:rtl/>
        </w:rPr>
        <w:t>ّ</w:t>
      </w:r>
      <w:r w:rsidRPr="00532871">
        <w:rPr>
          <w:rFonts w:hint="cs"/>
          <w:rtl/>
        </w:rPr>
        <w:t>كر اللجنة</w:t>
      </w:r>
      <w:r>
        <w:rPr>
          <w:rFonts w:hint="cs"/>
          <w:rtl/>
        </w:rPr>
        <w:t>،</w:t>
      </w:r>
      <w:r w:rsidRPr="00532871">
        <w:rPr>
          <w:rFonts w:hint="cs"/>
          <w:rtl/>
        </w:rPr>
        <w:t xml:space="preserve"> في هذا الصدد، مع ذلك، بتعليقها العام رقم 31، الذ</w:t>
      </w:r>
      <w:r>
        <w:rPr>
          <w:rFonts w:hint="cs"/>
          <w:rtl/>
        </w:rPr>
        <w:t>ي</w:t>
      </w:r>
      <w:r w:rsidRPr="00532871">
        <w:rPr>
          <w:rFonts w:hint="cs"/>
          <w:rtl/>
        </w:rPr>
        <w:t xml:space="preserve"> يشير إلى أن المادة 2 تسمح للدولة الطرف بتفعيل حقوق العهد وفقاً لهيكلها الدستوري الداخلي ولا </w:t>
      </w:r>
      <w:r>
        <w:rPr>
          <w:rFonts w:hint="cs"/>
          <w:rtl/>
        </w:rPr>
        <w:t>تش</w:t>
      </w:r>
      <w:r w:rsidRPr="00532871">
        <w:rPr>
          <w:rFonts w:hint="cs"/>
          <w:rtl/>
        </w:rPr>
        <w:t>ترط تطبيق العهد مباشرة في المحاكم، من خلال إدماج العهد في القانون الداخلي</w:t>
      </w:r>
      <w:r>
        <w:rPr>
          <w:rFonts w:hint="cs"/>
          <w:rtl/>
        </w:rPr>
        <w:t>.</w:t>
      </w:r>
      <w:r w:rsidRPr="00532871">
        <w:rPr>
          <w:rFonts w:hint="cs"/>
          <w:rtl/>
        </w:rPr>
        <w:t xml:space="preserve"> ولذلك تعتبر اللجنة أن ادعاءات أصحاب البلاغ أن الدولة الطرف يجب أن تعطي</w:t>
      </w:r>
      <w:r w:rsidR="00226A16">
        <w:rPr>
          <w:rFonts w:hint="cs"/>
          <w:rtl/>
        </w:rPr>
        <w:t xml:space="preserve"> </w:t>
      </w:r>
      <w:r w:rsidR="00B36262">
        <w:rPr>
          <w:rFonts w:hint="cs"/>
          <w:rtl/>
        </w:rPr>
        <w:lastRenderedPageBreak/>
        <w:t>ا</w:t>
      </w:r>
      <w:r>
        <w:rPr>
          <w:rFonts w:hint="cs"/>
          <w:rtl/>
        </w:rPr>
        <w:t xml:space="preserve">لعهد </w:t>
      </w:r>
      <w:r w:rsidR="00B36262">
        <w:rPr>
          <w:rFonts w:hint="cs"/>
          <w:rtl/>
        </w:rPr>
        <w:t xml:space="preserve">أسبقية </w:t>
      </w:r>
      <w:r>
        <w:rPr>
          <w:rFonts w:hint="cs"/>
          <w:rtl/>
        </w:rPr>
        <w:t>على القانون الداخلي تخالف</w:t>
      </w:r>
      <w:r w:rsidRPr="00532871">
        <w:rPr>
          <w:rFonts w:hint="cs"/>
          <w:rtl/>
        </w:rPr>
        <w:t xml:space="preserve"> </w:t>
      </w:r>
      <w:r>
        <w:rPr>
          <w:rFonts w:hint="cs"/>
          <w:rtl/>
        </w:rPr>
        <w:t>أحكام</w:t>
      </w:r>
      <w:r w:rsidRPr="00532871">
        <w:rPr>
          <w:rFonts w:hint="cs"/>
          <w:rtl/>
        </w:rPr>
        <w:t xml:space="preserve"> المادة 2 من العهد وغير مقبول</w:t>
      </w:r>
      <w:r>
        <w:rPr>
          <w:rFonts w:hint="cs"/>
          <w:rtl/>
        </w:rPr>
        <w:t>ة</w:t>
      </w:r>
      <w:r w:rsidRPr="00532871">
        <w:rPr>
          <w:rFonts w:hint="cs"/>
          <w:rtl/>
        </w:rPr>
        <w:t xml:space="preserve"> بموجب</w:t>
      </w:r>
      <w:r w:rsidR="0053535C">
        <w:rPr>
          <w:rFonts w:hint="cs"/>
          <w:rtl/>
        </w:rPr>
        <w:t xml:space="preserve">               </w:t>
      </w:r>
      <w:r w:rsidRPr="00532871">
        <w:rPr>
          <w:rFonts w:hint="cs"/>
          <w:rtl/>
        </w:rPr>
        <w:t>المادة 3 من البروتوكول الاختياري.</w:t>
      </w:r>
    </w:p>
    <w:p w:rsidR="00EB7B26" w:rsidRPr="00532871" w:rsidRDefault="00EB7B26" w:rsidP="00440C14">
      <w:pPr>
        <w:pStyle w:val="SingleTxtGA"/>
        <w:rPr>
          <w:rtl/>
        </w:rPr>
      </w:pPr>
      <w:r w:rsidRPr="00532871">
        <w:rPr>
          <w:rFonts w:hint="cs"/>
          <w:rtl/>
        </w:rPr>
        <w:t>7-5</w:t>
      </w:r>
      <w:r w:rsidRPr="00532871">
        <w:rPr>
          <w:rFonts w:hint="cs"/>
          <w:rtl/>
        </w:rPr>
        <w:tab/>
      </w:r>
      <w:r w:rsidR="00440C14">
        <w:rPr>
          <w:rFonts w:hint="cs"/>
          <w:rtl/>
        </w:rPr>
        <w:t>وترى</w:t>
      </w:r>
      <w:r w:rsidRPr="00532871">
        <w:rPr>
          <w:rFonts w:hint="cs"/>
          <w:rtl/>
        </w:rPr>
        <w:t xml:space="preserve"> اللجنة أن أصحاب البلاغ قدموا أدلة كافية لدعم ادعاءاتهم بموجب المادتين 19 و21 وبموجب الفقرة 3(أ) و(ب) و(د) و(ه) من المادة 14 من العهد، فيما يتعلق بالسيدين </w:t>
      </w:r>
      <w:proofErr w:type="spellStart"/>
      <w:r w:rsidRPr="00532871">
        <w:rPr>
          <w:rFonts w:hint="cs"/>
          <w:rtl/>
        </w:rPr>
        <w:t>ا</w:t>
      </w:r>
      <w:r>
        <w:rPr>
          <w:rFonts w:hint="cs"/>
          <w:rtl/>
        </w:rPr>
        <w:t>ي</w:t>
      </w:r>
      <w:r w:rsidRPr="00532871">
        <w:rPr>
          <w:rFonts w:hint="cs"/>
          <w:rtl/>
        </w:rPr>
        <w:t>فري</w:t>
      </w:r>
      <w:r>
        <w:rPr>
          <w:rFonts w:hint="cs"/>
          <w:rtl/>
        </w:rPr>
        <w:t>ز</w:t>
      </w:r>
      <w:r w:rsidRPr="00532871">
        <w:rPr>
          <w:rFonts w:hint="cs"/>
          <w:rtl/>
        </w:rPr>
        <w:t>وف</w:t>
      </w:r>
      <w:proofErr w:type="spellEnd"/>
      <w:r w:rsidRPr="00532871">
        <w:rPr>
          <w:rFonts w:hint="cs"/>
          <w:rtl/>
        </w:rPr>
        <w:t xml:space="preserve"> </w:t>
      </w:r>
      <w:proofErr w:type="spellStart"/>
      <w:r w:rsidRPr="00532871">
        <w:rPr>
          <w:rFonts w:hint="cs"/>
          <w:rtl/>
        </w:rPr>
        <w:t>وبولي</w:t>
      </w:r>
      <w:r>
        <w:rPr>
          <w:rFonts w:hint="cs"/>
          <w:rtl/>
        </w:rPr>
        <w:t>ي</w:t>
      </w:r>
      <w:r w:rsidRPr="00532871">
        <w:rPr>
          <w:rFonts w:hint="cs"/>
          <w:rtl/>
        </w:rPr>
        <w:t>اكو</w:t>
      </w:r>
      <w:r>
        <w:rPr>
          <w:rFonts w:hint="cs"/>
          <w:rtl/>
        </w:rPr>
        <w:t>ف</w:t>
      </w:r>
      <w:proofErr w:type="spellEnd"/>
      <w:r w:rsidRPr="00532871">
        <w:rPr>
          <w:rFonts w:hint="cs"/>
          <w:rtl/>
        </w:rPr>
        <w:t xml:space="preserve"> بالنسبة لأغراض المقبولية. ولذلك، تُعلن أنها مقبولة وتنتقل إلى النظر في الأسس الموضوعية.</w:t>
      </w:r>
    </w:p>
    <w:p w:rsidR="00EB7B26" w:rsidRPr="00532871" w:rsidRDefault="00EB7B26" w:rsidP="00803A98">
      <w:pPr>
        <w:pStyle w:val="H4GA"/>
        <w:rPr>
          <w:rtl/>
        </w:rPr>
      </w:pPr>
      <w:r w:rsidRPr="00532871">
        <w:rPr>
          <w:rFonts w:hint="cs"/>
          <w:rtl/>
        </w:rPr>
        <w:tab/>
      </w:r>
      <w:r w:rsidRPr="00532871">
        <w:rPr>
          <w:rFonts w:hint="cs"/>
          <w:rtl/>
        </w:rPr>
        <w:tab/>
        <w:t>النظر في الأسس الموضوعية</w:t>
      </w:r>
    </w:p>
    <w:p w:rsidR="00EB7B26" w:rsidRPr="00532871" w:rsidRDefault="00EB7B26" w:rsidP="00737B98">
      <w:pPr>
        <w:pStyle w:val="SingleTxtGA"/>
        <w:rPr>
          <w:rtl/>
        </w:rPr>
      </w:pPr>
      <w:r w:rsidRPr="00532871">
        <w:rPr>
          <w:rFonts w:hint="cs"/>
          <w:rtl/>
        </w:rPr>
        <w:t>8-1</w:t>
      </w:r>
      <w:r w:rsidRPr="00532871">
        <w:rPr>
          <w:rFonts w:hint="cs"/>
          <w:rtl/>
        </w:rPr>
        <w:tab/>
        <w:t>نظرت اللجنة المعنية بحقوق الإنسان في هذا البلاغ في ضوء جميع المعلومات التي أتاحها لها الطرفان، بموجب الفقرة 1 من المادة 5 من البروتوكول الاختياري.</w:t>
      </w:r>
    </w:p>
    <w:p w:rsidR="00EB7B26" w:rsidRPr="00532871" w:rsidRDefault="00EB7B26" w:rsidP="00737B98">
      <w:pPr>
        <w:pStyle w:val="SingleTxtGA"/>
        <w:rPr>
          <w:rtl/>
        </w:rPr>
      </w:pPr>
      <w:r w:rsidRPr="00532871">
        <w:rPr>
          <w:rFonts w:hint="cs"/>
          <w:rtl/>
        </w:rPr>
        <w:t>8-2</w:t>
      </w:r>
      <w:r w:rsidRPr="00532871">
        <w:rPr>
          <w:rFonts w:hint="cs"/>
          <w:rtl/>
        </w:rPr>
        <w:tab/>
      </w:r>
      <w:r w:rsidR="00803A98">
        <w:rPr>
          <w:rFonts w:hint="cs"/>
          <w:rtl/>
        </w:rPr>
        <w:t>و</w:t>
      </w:r>
      <w:r w:rsidRPr="00532871">
        <w:rPr>
          <w:rFonts w:hint="cs"/>
          <w:rtl/>
        </w:rPr>
        <w:t xml:space="preserve">المسألة الأولى </w:t>
      </w:r>
      <w:r>
        <w:rPr>
          <w:rFonts w:hint="cs"/>
          <w:rtl/>
        </w:rPr>
        <w:t xml:space="preserve">المعروضة </w:t>
      </w:r>
      <w:r w:rsidRPr="00532871">
        <w:rPr>
          <w:rFonts w:hint="cs"/>
          <w:rtl/>
        </w:rPr>
        <w:t>أمام اللجنة ه</w:t>
      </w:r>
      <w:r>
        <w:rPr>
          <w:rFonts w:hint="cs"/>
          <w:rtl/>
        </w:rPr>
        <w:t>ي</w:t>
      </w:r>
      <w:r w:rsidRPr="00532871">
        <w:rPr>
          <w:rFonts w:hint="cs"/>
          <w:rtl/>
        </w:rPr>
        <w:t xml:space="preserve"> تحديد ما إذا</w:t>
      </w:r>
      <w:r w:rsidR="00226A16">
        <w:rPr>
          <w:rFonts w:hint="cs"/>
          <w:rtl/>
        </w:rPr>
        <w:t xml:space="preserve"> </w:t>
      </w:r>
      <w:r w:rsidRPr="00532871">
        <w:rPr>
          <w:rFonts w:hint="cs"/>
          <w:rtl/>
        </w:rPr>
        <w:t>كان من</w:t>
      </w:r>
      <w:r>
        <w:rPr>
          <w:rFonts w:hint="cs"/>
          <w:rtl/>
        </w:rPr>
        <w:t>ع</w:t>
      </w:r>
      <w:r w:rsidRPr="00532871">
        <w:rPr>
          <w:rFonts w:hint="cs"/>
          <w:rtl/>
        </w:rPr>
        <w:t xml:space="preserve"> أصحاب البلاغ من </w:t>
      </w:r>
      <w:r>
        <w:rPr>
          <w:rFonts w:hint="cs"/>
          <w:rtl/>
        </w:rPr>
        <w:t>تنظيم</w:t>
      </w:r>
      <w:r w:rsidRPr="00532871">
        <w:rPr>
          <w:rFonts w:hint="cs"/>
          <w:rtl/>
        </w:rPr>
        <w:t xml:space="preserve"> مظاهرة لإحياء ذكرى شخصيات بيلاروسية معارضة</w:t>
      </w:r>
      <w:r>
        <w:rPr>
          <w:rFonts w:hint="cs"/>
          <w:rtl/>
        </w:rPr>
        <w:t>،</w:t>
      </w:r>
      <w:r w:rsidRPr="00532871">
        <w:rPr>
          <w:rFonts w:hint="cs"/>
          <w:rtl/>
        </w:rPr>
        <w:t xml:space="preserve"> وإلقاء القبض عليهم فيما بعد ومحاكمتهم بغرامة إدارية يشكل انتهاكاً لحقوق أصحاب البلاغ التي يكفلها العهد </w:t>
      </w:r>
      <w:r>
        <w:rPr>
          <w:rFonts w:hint="cs"/>
          <w:rtl/>
        </w:rPr>
        <w:t>بموجب</w:t>
      </w:r>
      <w:r w:rsidRPr="00532871">
        <w:rPr>
          <w:rFonts w:hint="cs"/>
          <w:rtl/>
        </w:rPr>
        <w:t xml:space="preserve"> المادتين 19 و21.</w:t>
      </w:r>
      <w:r w:rsidR="00803A98">
        <w:rPr>
          <w:rFonts w:hint="cs"/>
          <w:rtl/>
        </w:rPr>
        <w:t xml:space="preserve"> </w:t>
      </w:r>
    </w:p>
    <w:p w:rsidR="00EB7B26" w:rsidRPr="00532871" w:rsidRDefault="00EB7B26" w:rsidP="00D10229">
      <w:pPr>
        <w:pStyle w:val="SingleTxtGA"/>
        <w:rPr>
          <w:rtl/>
        </w:rPr>
      </w:pPr>
      <w:r w:rsidRPr="00532871">
        <w:rPr>
          <w:rFonts w:hint="cs"/>
          <w:rtl/>
        </w:rPr>
        <w:t>8-3</w:t>
      </w:r>
      <w:r w:rsidRPr="00532871">
        <w:rPr>
          <w:rFonts w:hint="cs"/>
          <w:rtl/>
        </w:rPr>
        <w:tab/>
      </w:r>
      <w:r w:rsidR="00FE35AE">
        <w:rPr>
          <w:rFonts w:hint="cs"/>
          <w:rtl/>
        </w:rPr>
        <w:t>و</w:t>
      </w:r>
      <w:r w:rsidRPr="00532871">
        <w:rPr>
          <w:rFonts w:hint="cs"/>
          <w:rtl/>
        </w:rPr>
        <w:t>تذ</w:t>
      </w:r>
      <w:r>
        <w:rPr>
          <w:rFonts w:hint="cs"/>
          <w:rtl/>
        </w:rPr>
        <w:t>ّ</w:t>
      </w:r>
      <w:r w:rsidRPr="00532871">
        <w:rPr>
          <w:rFonts w:hint="cs"/>
          <w:rtl/>
        </w:rPr>
        <w:t>كر اللجنة بأن الفقرة 2 من المادة 19 من العهد تُلزم الدول</w:t>
      </w:r>
      <w:r>
        <w:rPr>
          <w:rFonts w:hint="cs"/>
          <w:rtl/>
        </w:rPr>
        <w:t xml:space="preserve"> الأطراف</w:t>
      </w:r>
      <w:r w:rsidRPr="00532871">
        <w:rPr>
          <w:rFonts w:hint="cs"/>
          <w:rtl/>
        </w:rPr>
        <w:t xml:space="preserve"> بضمان الحق في حرية التعبير، بما يشمل حرية التماس وتلقي ونقل المعلومات والأفكار </w:t>
      </w:r>
      <w:r w:rsidR="00FE35AE">
        <w:rPr>
          <w:rFonts w:hint="cs"/>
          <w:rtl/>
        </w:rPr>
        <w:t xml:space="preserve">أياً كان نوعها، </w:t>
      </w:r>
      <w:r w:rsidRPr="00532871">
        <w:rPr>
          <w:rFonts w:hint="cs"/>
          <w:rtl/>
        </w:rPr>
        <w:t xml:space="preserve">دونما اعتبار للحدود، </w:t>
      </w:r>
      <w:r w:rsidR="00FE35AE">
        <w:rPr>
          <w:rFonts w:hint="cs"/>
          <w:rtl/>
        </w:rPr>
        <w:t xml:space="preserve">سواء </w:t>
      </w:r>
      <w:r w:rsidRPr="00532871">
        <w:rPr>
          <w:rFonts w:hint="cs"/>
          <w:rtl/>
        </w:rPr>
        <w:t>بشكل شفوي، أو مكتوب أو مطبوع. وتذكِّر اللجنة بأن حرية الرأي و</w:t>
      </w:r>
      <w:r w:rsidR="00FE35AE">
        <w:rPr>
          <w:rFonts w:hint="cs"/>
          <w:rtl/>
        </w:rPr>
        <w:t xml:space="preserve">حرية </w:t>
      </w:r>
      <w:r w:rsidRPr="00532871">
        <w:rPr>
          <w:rFonts w:hint="cs"/>
          <w:rtl/>
        </w:rPr>
        <w:t xml:space="preserve">التعبير شرطان لا غنى عنهما لتحقيق النماء الكامل للفرد؛ وهما عنصران أساسيان من عناصر أي مجتمع، </w:t>
      </w:r>
      <w:r w:rsidR="00D10229">
        <w:rPr>
          <w:rFonts w:hint="cs"/>
          <w:rtl/>
        </w:rPr>
        <w:t>و</w:t>
      </w:r>
      <w:r w:rsidRPr="00532871">
        <w:rPr>
          <w:rFonts w:hint="cs"/>
          <w:rtl/>
        </w:rPr>
        <w:t xml:space="preserve">يشكلان حجر الزاوية لكل مجتمع </w:t>
      </w:r>
      <w:r w:rsidR="00FE35AE">
        <w:rPr>
          <w:rFonts w:hint="cs"/>
          <w:rtl/>
        </w:rPr>
        <w:t>حر وديمقراطي</w:t>
      </w:r>
      <w:r w:rsidRPr="00532871">
        <w:rPr>
          <w:vertAlign w:val="superscript"/>
          <w:rtl/>
        </w:rPr>
        <w:t>(</w:t>
      </w:r>
      <w:r w:rsidRPr="00532871">
        <w:rPr>
          <w:b/>
          <w:vertAlign w:val="superscript"/>
          <w:rtl/>
        </w:rPr>
        <w:footnoteReference w:id="10"/>
      </w:r>
      <w:r w:rsidRPr="00532871">
        <w:rPr>
          <w:vertAlign w:val="superscript"/>
          <w:rtl/>
        </w:rPr>
        <w:t>)</w:t>
      </w:r>
      <w:r w:rsidRPr="00532871">
        <w:rPr>
          <w:rFonts w:hint="cs"/>
          <w:rtl/>
        </w:rPr>
        <w:t>.</w:t>
      </w:r>
    </w:p>
    <w:p w:rsidR="00EB7B26" w:rsidRPr="00532871" w:rsidRDefault="00EB7B26" w:rsidP="0057722D">
      <w:pPr>
        <w:pStyle w:val="SingleTxtGA"/>
        <w:rPr>
          <w:rtl/>
        </w:rPr>
      </w:pPr>
      <w:r w:rsidRPr="00532871">
        <w:rPr>
          <w:rFonts w:hint="cs"/>
          <w:rtl/>
        </w:rPr>
        <w:t>8-4</w:t>
      </w:r>
      <w:r w:rsidRPr="00532871">
        <w:rPr>
          <w:rFonts w:hint="cs"/>
          <w:rtl/>
        </w:rPr>
        <w:tab/>
      </w:r>
      <w:r w:rsidR="00885E76">
        <w:rPr>
          <w:rFonts w:hint="cs"/>
          <w:rtl/>
        </w:rPr>
        <w:t xml:space="preserve">وتشير </w:t>
      </w:r>
      <w:r w:rsidRPr="00532871">
        <w:rPr>
          <w:rFonts w:hint="cs"/>
          <w:rtl/>
        </w:rPr>
        <w:t xml:space="preserve">اللجنة </w:t>
      </w:r>
      <w:r w:rsidR="00885E76">
        <w:rPr>
          <w:rFonts w:hint="cs"/>
          <w:rtl/>
        </w:rPr>
        <w:t xml:space="preserve">إلى </w:t>
      </w:r>
      <w:r w:rsidRPr="00532871">
        <w:rPr>
          <w:rFonts w:hint="cs"/>
          <w:rtl/>
        </w:rPr>
        <w:t xml:space="preserve">أن حق التجمع السلمي، الذي تضمنه المادة 21 من العهد، هو من حقوق الإنسان الأساسية، وأنه يُعد حقاً مهماً لتعبير المرء عن </w:t>
      </w:r>
      <w:r w:rsidR="0057722D">
        <w:rPr>
          <w:rFonts w:hint="cs"/>
          <w:rtl/>
        </w:rPr>
        <w:t xml:space="preserve">آرائه وأفكاره </w:t>
      </w:r>
      <w:r w:rsidRPr="00532871">
        <w:rPr>
          <w:rFonts w:hint="cs"/>
          <w:rtl/>
        </w:rPr>
        <w:t xml:space="preserve">بطريقة علنية، </w:t>
      </w:r>
      <w:r w:rsidR="0057722D">
        <w:rPr>
          <w:rFonts w:hint="cs"/>
          <w:rtl/>
        </w:rPr>
        <w:t xml:space="preserve">         </w:t>
      </w:r>
      <w:r w:rsidRPr="00532871">
        <w:rPr>
          <w:rFonts w:hint="cs"/>
          <w:rtl/>
        </w:rPr>
        <w:t>ولا غنى عنه في أي مجتمع ديمقراطي</w:t>
      </w:r>
      <w:r w:rsidRPr="00532871">
        <w:rPr>
          <w:vertAlign w:val="superscript"/>
          <w:rtl/>
        </w:rPr>
        <w:t>(</w:t>
      </w:r>
      <w:r w:rsidRPr="00532871">
        <w:rPr>
          <w:b/>
          <w:vertAlign w:val="superscript"/>
          <w:rtl/>
        </w:rPr>
        <w:footnoteReference w:id="11"/>
      </w:r>
      <w:r w:rsidRPr="00532871">
        <w:rPr>
          <w:vertAlign w:val="superscript"/>
          <w:rtl/>
        </w:rPr>
        <w:t>)</w:t>
      </w:r>
      <w:r w:rsidRPr="00532871">
        <w:rPr>
          <w:rFonts w:hint="cs"/>
          <w:rtl/>
        </w:rPr>
        <w:t xml:space="preserve">. ويستتبع هذا الحق إمكانية تنظيم </w:t>
      </w:r>
      <w:r w:rsidR="0057722D">
        <w:rPr>
          <w:rFonts w:hint="cs"/>
          <w:rtl/>
        </w:rPr>
        <w:t xml:space="preserve">تجمعات </w:t>
      </w:r>
      <w:r w:rsidRPr="00532871">
        <w:rPr>
          <w:rFonts w:hint="cs"/>
          <w:rtl/>
        </w:rPr>
        <w:t xml:space="preserve">وتظاهرات سلمية </w:t>
      </w:r>
      <w:r w:rsidR="0057722D">
        <w:rPr>
          <w:rFonts w:hint="cs"/>
          <w:rtl/>
        </w:rPr>
        <w:t xml:space="preserve">والمشاركة فيها </w:t>
      </w:r>
      <w:r w:rsidRPr="00532871">
        <w:rPr>
          <w:rFonts w:hint="cs"/>
          <w:rtl/>
        </w:rPr>
        <w:t>بنية دعم قضية واحدة محددة أو غيرها</w:t>
      </w:r>
      <w:r w:rsidR="0057722D">
        <w:rPr>
          <w:rFonts w:hint="cs"/>
          <w:rtl/>
        </w:rPr>
        <w:t xml:space="preserve"> أو الاعتراض عليها</w:t>
      </w:r>
      <w:r w:rsidRPr="00532871">
        <w:rPr>
          <w:rFonts w:hint="cs"/>
          <w:rtl/>
        </w:rPr>
        <w:t>.</w:t>
      </w:r>
    </w:p>
    <w:p w:rsidR="00EB7B26" w:rsidRPr="00532871" w:rsidRDefault="00EB7B26" w:rsidP="00737B98">
      <w:pPr>
        <w:pStyle w:val="SingleTxtGA"/>
        <w:rPr>
          <w:rtl/>
        </w:rPr>
      </w:pPr>
      <w:r w:rsidRPr="00532871">
        <w:rPr>
          <w:rFonts w:hint="cs"/>
          <w:rtl/>
        </w:rPr>
        <w:t>8-5</w:t>
      </w:r>
      <w:r w:rsidRPr="00532871">
        <w:rPr>
          <w:rFonts w:hint="cs"/>
          <w:rtl/>
        </w:rPr>
        <w:tab/>
        <w:t xml:space="preserve">وتحيط اللجنة علماً بادعاءات أصحاب البلاغ بأنه تم احتجازهم وهم في طريقهم إلى مكان انعقاد المظاهرة واتهامهم بارتكاب مخالفة إدارية. وتلاحظ أيضاً أن المحكمة العليا أيدت قرارات المحكمة الأدنى بأن أصحاب البلاغ انتهكوا قانون التجمعات الجماهيرية لأنهم كانوا يتمشون في </w:t>
      </w:r>
      <w:r>
        <w:rPr>
          <w:rFonts w:hint="cs"/>
          <w:rtl/>
        </w:rPr>
        <w:t xml:space="preserve">شكل </w:t>
      </w:r>
      <w:r w:rsidRPr="00532871">
        <w:rPr>
          <w:rFonts w:hint="cs"/>
          <w:rtl/>
        </w:rPr>
        <w:t>مجموعة وهم يحملون صوراً و</w:t>
      </w:r>
      <w:r>
        <w:rPr>
          <w:rFonts w:hint="cs"/>
          <w:rtl/>
        </w:rPr>
        <w:t>لافتات</w:t>
      </w:r>
      <w:r w:rsidRPr="00532871">
        <w:rPr>
          <w:rFonts w:hint="cs"/>
          <w:rtl/>
        </w:rPr>
        <w:t xml:space="preserve"> دون الحصول على إذن مسبق من السلطات </w:t>
      </w:r>
      <w:r>
        <w:rPr>
          <w:rFonts w:hint="cs"/>
          <w:rtl/>
        </w:rPr>
        <w:t>ل</w:t>
      </w:r>
      <w:r w:rsidRPr="00532871">
        <w:rPr>
          <w:rFonts w:hint="cs"/>
          <w:rtl/>
        </w:rPr>
        <w:t xml:space="preserve">عقد مثل هذه المناسبة </w:t>
      </w:r>
      <w:r>
        <w:rPr>
          <w:rFonts w:hint="cs"/>
          <w:rtl/>
        </w:rPr>
        <w:t>الجماهيرية</w:t>
      </w:r>
      <w:r w:rsidRPr="00532871">
        <w:rPr>
          <w:rFonts w:hint="cs"/>
          <w:rtl/>
        </w:rPr>
        <w:t>.</w:t>
      </w:r>
    </w:p>
    <w:p w:rsidR="00EB7B26" w:rsidRPr="00532871" w:rsidRDefault="00EB7B26" w:rsidP="000A7C44">
      <w:pPr>
        <w:pStyle w:val="SingleTxtGA"/>
        <w:rPr>
          <w:rtl/>
        </w:rPr>
      </w:pPr>
      <w:r w:rsidRPr="00532871">
        <w:rPr>
          <w:rFonts w:hint="cs"/>
          <w:rtl/>
        </w:rPr>
        <w:lastRenderedPageBreak/>
        <w:t>8-6</w:t>
      </w:r>
      <w:r w:rsidRPr="00532871">
        <w:rPr>
          <w:rFonts w:hint="cs"/>
          <w:rtl/>
        </w:rPr>
        <w:tab/>
        <w:t xml:space="preserve">وتلاحظ اللجنة أن أي </w:t>
      </w:r>
      <w:r w:rsidR="000A7C44">
        <w:rPr>
          <w:rFonts w:hint="cs"/>
          <w:rtl/>
        </w:rPr>
        <w:t xml:space="preserve">قيود على </w:t>
      </w:r>
      <w:r w:rsidRPr="00532871">
        <w:rPr>
          <w:rFonts w:hint="cs"/>
          <w:rtl/>
        </w:rPr>
        <w:t>ممارسة الحقوق التي تكفلها المادت</w:t>
      </w:r>
      <w:r w:rsidR="000A7C44">
        <w:rPr>
          <w:rFonts w:hint="cs"/>
          <w:rtl/>
        </w:rPr>
        <w:t>ا</w:t>
      </w:r>
      <w:r w:rsidRPr="00532871">
        <w:rPr>
          <w:rFonts w:hint="cs"/>
          <w:rtl/>
        </w:rPr>
        <w:t>ن 19</w:t>
      </w:r>
      <w:r w:rsidR="00162E52">
        <w:rPr>
          <w:rFonts w:hint="cs"/>
          <w:rtl/>
        </w:rPr>
        <w:t xml:space="preserve"> و21 يجب أن تكون متلائمة مع اختب</w:t>
      </w:r>
      <w:r w:rsidRPr="00532871">
        <w:rPr>
          <w:rFonts w:hint="cs"/>
          <w:rtl/>
        </w:rPr>
        <w:t>ارات صارمة تتعلق بالضرورة والتناسب ولا يجوز تطبيقها إلا للأغراض التي وُضعت من أجلها كما يجب أن تتعلق مباشرة بالغرض المحدد الذي تأسست عليه</w:t>
      </w:r>
      <w:r w:rsidRPr="00532871">
        <w:rPr>
          <w:vertAlign w:val="superscript"/>
          <w:rtl/>
        </w:rPr>
        <w:t>(</w:t>
      </w:r>
      <w:r w:rsidRPr="00532871">
        <w:rPr>
          <w:b/>
          <w:vertAlign w:val="superscript"/>
          <w:rtl/>
        </w:rPr>
        <w:footnoteReference w:id="12"/>
      </w:r>
      <w:r w:rsidRPr="00532871">
        <w:rPr>
          <w:vertAlign w:val="superscript"/>
          <w:rtl/>
        </w:rPr>
        <w:t>)</w:t>
      </w:r>
      <w:r w:rsidRPr="00532871">
        <w:rPr>
          <w:rFonts w:hint="cs"/>
          <w:rtl/>
        </w:rPr>
        <w:t>. ومنع أصحاب البلاغ من عقد مظاهرة، ومن ثم إلقاء القبض عليهم ومعاقبتهم بغرامة إدارية لمجرد أنهم كانوا يتمشون في شكل مجموعة من الأفراد يحملون صوراً و</w:t>
      </w:r>
      <w:r>
        <w:rPr>
          <w:rFonts w:hint="cs"/>
          <w:rtl/>
        </w:rPr>
        <w:t>لافتات</w:t>
      </w:r>
      <w:r w:rsidRPr="00532871">
        <w:rPr>
          <w:rFonts w:hint="cs"/>
          <w:rtl/>
        </w:rPr>
        <w:t xml:space="preserve"> يشكل بوضوح انته</w:t>
      </w:r>
      <w:r w:rsidR="00BB35F6">
        <w:rPr>
          <w:rFonts w:hint="cs"/>
          <w:rtl/>
        </w:rPr>
        <w:t>اكاً لحقوقهم التي تكفلها المادتا</w:t>
      </w:r>
      <w:r w:rsidRPr="00532871">
        <w:rPr>
          <w:rFonts w:hint="cs"/>
          <w:rtl/>
        </w:rPr>
        <w:t>ن 19 و21 من العهد. ولذلك فإنه يعود إلى الدولة الطرف أن تُثبت أن القيود المفروضة كانت ضرورية في الحالة الراهنة.</w:t>
      </w:r>
    </w:p>
    <w:p w:rsidR="00EB7B26" w:rsidRPr="00532871" w:rsidRDefault="00EB7B26" w:rsidP="00737B98">
      <w:pPr>
        <w:pStyle w:val="SingleTxtGA"/>
        <w:rPr>
          <w:rtl/>
        </w:rPr>
      </w:pPr>
      <w:r w:rsidRPr="00532871">
        <w:rPr>
          <w:rFonts w:hint="cs"/>
          <w:rtl/>
        </w:rPr>
        <w:t>8-7</w:t>
      </w:r>
      <w:r w:rsidRPr="00532871">
        <w:rPr>
          <w:rFonts w:hint="cs"/>
          <w:rtl/>
        </w:rPr>
        <w:tab/>
        <w:t xml:space="preserve">وتذكِّر اللجنة </w:t>
      </w:r>
      <w:r w:rsidR="00D10229">
        <w:rPr>
          <w:rFonts w:hint="cs"/>
          <w:rtl/>
        </w:rPr>
        <w:t>ب</w:t>
      </w:r>
      <w:r w:rsidRPr="00532871">
        <w:rPr>
          <w:rFonts w:hint="cs"/>
          <w:rtl/>
        </w:rPr>
        <w:t xml:space="preserve">أن الفقرة 3 من المادة 19 من العهد تنص على أنه يجوز فرض بعض القيود لكن شريطة أن تكون محددة بنص القانون وأن تكون ضرورية: (أ) لاحترام حقوق الآخرين أو سمعتهم؛ أو (ب) لحماية الأمن القومي أو النظام العام أو الصحة العامة والآداب العامة. وتلاحظ اللجنة أنه لا يجوز أن يوضع من القيود على ممارسة الحق الذي تكفله </w:t>
      </w:r>
      <w:r w:rsidR="00EA4582">
        <w:rPr>
          <w:rFonts w:hint="cs"/>
          <w:rtl/>
        </w:rPr>
        <w:t xml:space="preserve">             </w:t>
      </w:r>
      <w:r w:rsidRPr="00532871">
        <w:rPr>
          <w:rFonts w:hint="cs"/>
          <w:rtl/>
        </w:rPr>
        <w:t xml:space="preserve">المادة 21 إلا تلك التي تُفرض طبقاً للقانون وتشكل تدابير ضرورية، في مجتمع ديمقراطي، لصيانة الأمن القومي أو السلامة العامة أو النظام العام أو حماية الصحة العامة أو </w:t>
      </w:r>
      <w:r>
        <w:rPr>
          <w:rFonts w:hint="cs"/>
          <w:rtl/>
        </w:rPr>
        <w:t xml:space="preserve">الأخلاق العامة </w:t>
      </w:r>
      <w:r w:rsidR="00EA4582">
        <w:rPr>
          <w:rFonts w:hint="cs"/>
          <w:rtl/>
        </w:rPr>
        <w:t xml:space="preserve">             </w:t>
      </w:r>
      <w:r>
        <w:rPr>
          <w:rFonts w:hint="cs"/>
          <w:rtl/>
        </w:rPr>
        <w:t xml:space="preserve">أو </w:t>
      </w:r>
      <w:r w:rsidRPr="00532871">
        <w:rPr>
          <w:rFonts w:hint="cs"/>
          <w:rtl/>
        </w:rPr>
        <w:t>حماية حقوق الآخرين وحرياتهم.</w:t>
      </w:r>
    </w:p>
    <w:p w:rsidR="00EB7B26" w:rsidRPr="00532871" w:rsidRDefault="00EB7B26" w:rsidP="003357A8">
      <w:pPr>
        <w:pStyle w:val="SingleTxtGA"/>
        <w:rPr>
          <w:rtl/>
        </w:rPr>
      </w:pPr>
      <w:r w:rsidRPr="00532871">
        <w:rPr>
          <w:rFonts w:hint="cs"/>
          <w:rtl/>
        </w:rPr>
        <w:t>8-8</w:t>
      </w:r>
      <w:r w:rsidRPr="00532871">
        <w:rPr>
          <w:rFonts w:hint="cs"/>
          <w:rtl/>
        </w:rPr>
        <w:tab/>
        <w:t>وفي الظروف التي وُصفت أعلاه، ونظراً لأن الدولة الطرف لم تقدم أية معلومات لتبرير القيود للأغراض المشار إليها في الفقرة 3 من المادة 19 والمادة 21، تخلص اللجنة إلى أن حقوق أصحاب البلاغ بموجب الفقرة 2 من المادة 19 والمادة 21 من العهد قد انتُهكت.</w:t>
      </w:r>
    </w:p>
    <w:p w:rsidR="00EB7B26" w:rsidRPr="00532871" w:rsidRDefault="00EB7B26" w:rsidP="00D10229">
      <w:pPr>
        <w:pStyle w:val="SingleTxtGA"/>
        <w:rPr>
          <w:rtl/>
        </w:rPr>
      </w:pPr>
      <w:r w:rsidRPr="00532871">
        <w:rPr>
          <w:rFonts w:hint="cs"/>
          <w:rtl/>
        </w:rPr>
        <w:t>8-9</w:t>
      </w:r>
      <w:r w:rsidRPr="00532871">
        <w:rPr>
          <w:rFonts w:hint="cs"/>
          <w:rtl/>
        </w:rPr>
        <w:tab/>
        <w:t xml:space="preserve">وفيما يتعلق بالادعاءات المقدمة من </w:t>
      </w:r>
      <w:r w:rsidR="002E0681">
        <w:rPr>
          <w:rFonts w:hint="cs"/>
          <w:rtl/>
        </w:rPr>
        <w:t xml:space="preserve">اثنين </w:t>
      </w:r>
      <w:r w:rsidRPr="00532871">
        <w:rPr>
          <w:rFonts w:hint="cs"/>
          <w:rtl/>
        </w:rPr>
        <w:t xml:space="preserve">من أصحاب البلاغ هما السيد </w:t>
      </w:r>
      <w:proofErr w:type="spellStart"/>
      <w:r>
        <w:rPr>
          <w:rFonts w:hint="cs"/>
          <w:rtl/>
        </w:rPr>
        <w:t>إي</w:t>
      </w:r>
      <w:r w:rsidRPr="00532871">
        <w:rPr>
          <w:rFonts w:hint="cs"/>
          <w:rtl/>
        </w:rPr>
        <w:t>فري</w:t>
      </w:r>
      <w:r>
        <w:rPr>
          <w:rFonts w:hint="cs"/>
          <w:rtl/>
        </w:rPr>
        <w:t>ز</w:t>
      </w:r>
      <w:r w:rsidRPr="00532871">
        <w:rPr>
          <w:rFonts w:hint="cs"/>
          <w:rtl/>
        </w:rPr>
        <w:t>و</w:t>
      </w:r>
      <w:r w:rsidRPr="002E0681">
        <w:rPr>
          <w:rFonts w:hint="cs"/>
          <w:rtl/>
        </w:rPr>
        <w:t>ف</w:t>
      </w:r>
      <w:proofErr w:type="spellEnd"/>
      <w:r w:rsidRPr="00532871">
        <w:rPr>
          <w:rFonts w:hint="cs"/>
          <w:rtl/>
        </w:rPr>
        <w:t xml:space="preserve"> والسيد </w:t>
      </w:r>
      <w:proofErr w:type="spellStart"/>
      <w:r w:rsidRPr="00532871">
        <w:rPr>
          <w:rFonts w:hint="cs"/>
          <w:rtl/>
        </w:rPr>
        <w:t>بولي</w:t>
      </w:r>
      <w:r>
        <w:rPr>
          <w:rFonts w:hint="cs"/>
          <w:rtl/>
        </w:rPr>
        <w:t>ي</w:t>
      </w:r>
      <w:r w:rsidRPr="00532871">
        <w:rPr>
          <w:rFonts w:hint="cs"/>
          <w:rtl/>
        </w:rPr>
        <w:t>اكو</w:t>
      </w:r>
      <w:r>
        <w:rPr>
          <w:rFonts w:hint="cs"/>
          <w:rtl/>
        </w:rPr>
        <w:t>ف</w:t>
      </w:r>
      <w:proofErr w:type="spellEnd"/>
      <w:r w:rsidR="009E6DEC">
        <w:rPr>
          <w:rFonts w:hint="cs"/>
          <w:rtl/>
        </w:rPr>
        <w:t>،</w:t>
      </w:r>
      <w:r w:rsidRPr="00532871">
        <w:rPr>
          <w:rFonts w:hint="cs"/>
          <w:rtl/>
        </w:rPr>
        <w:t xml:space="preserve"> بموجب الفقرة 3(أ)(ب)(د)(ه) من المادة 14 من العهد، تذكر اللجنة بسوابقها القضائية بأن هذه الأحكام تنص على ضمانات تتعلق بمحاكمات جنائية وطعون جنائية</w:t>
      </w:r>
      <w:r w:rsidRPr="00532871">
        <w:rPr>
          <w:vertAlign w:val="superscript"/>
          <w:rtl/>
        </w:rPr>
        <w:t>(</w:t>
      </w:r>
      <w:r w:rsidRPr="00532871">
        <w:rPr>
          <w:b/>
          <w:vertAlign w:val="superscript"/>
          <w:rtl/>
        </w:rPr>
        <w:footnoteReference w:id="13"/>
      </w:r>
      <w:r w:rsidRPr="00532871">
        <w:rPr>
          <w:vertAlign w:val="superscript"/>
          <w:rtl/>
        </w:rPr>
        <w:t>)</w:t>
      </w:r>
      <w:r w:rsidRPr="00532871">
        <w:rPr>
          <w:rFonts w:hint="cs"/>
          <w:rtl/>
        </w:rPr>
        <w:t xml:space="preserve">. ومع ذلك فإن أحكام الفقرة 1 من المادة 14 تبين سلسلة من الحقوق اللازمة لكل من الإجراءات المدنية والجنائية. وتلاحظ اللجنة ادعاءات السيد </w:t>
      </w:r>
      <w:proofErr w:type="spellStart"/>
      <w:r w:rsidRPr="00532871">
        <w:rPr>
          <w:rFonts w:hint="cs"/>
          <w:rtl/>
        </w:rPr>
        <w:t>بولي</w:t>
      </w:r>
      <w:r>
        <w:rPr>
          <w:rFonts w:hint="cs"/>
          <w:rtl/>
        </w:rPr>
        <w:t>ي</w:t>
      </w:r>
      <w:r w:rsidRPr="00532871">
        <w:rPr>
          <w:rFonts w:hint="cs"/>
          <w:rtl/>
        </w:rPr>
        <w:t>اكو</w:t>
      </w:r>
      <w:r>
        <w:rPr>
          <w:rFonts w:hint="cs"/>
          <w:rtl/>
        </w:rPr>
        <w:t>ف</w:t>
      </w:r>
      <w:proofErr w:type="spellEnd"/>
      <w:r>
        <w:rPr>
          <w:rFonts w:hint="cs"/>
          <w:rtl/>
        </w:rPr>
        <w:t xml:space="preserve"> </w:t>
      </w:r>
      <w:r w:rsidRPr="00532871">
        <w:rPr>
          <w:rFonts w:hint="cs"/>
          <w:rtl/>
        </w:rPr>
        <w:t>والسيد</w:t>
      </w:r>
      <w:r w:rsidR="00226A16">
        <w:rPr>
          <w:rFonts w:hint="cs"/>
          <w:rtl/>
        </w:rPr>
        <w:t xml:space="preserve"> </w:t>
      </w:r>
      <w:proofErr w:type="spellStart"/>
      <w:r>
        <w:rPr>
          <w:rFonts w:hint="cs"/>
          <w:rtl/>
        </w:rPr>
        <w:t>إيفريزوف</w:t>
      </w:r>
      <w:proofErr w:type="spellEnd"/>
      <w:r>
        <w:rPr>
          <w:rFonts w:hint="cs"/>
          <w:rtl/>
        </w:rPr>
        <w:t xml:space="preserve"> بأنه لم يتم إعلامهما لا </w:t>
      </w:r>
      <w:r w:rsidRPr="00532871">
        <w:rPr>
          <w:rFonts w:hint="cs"/>
          <w:rtl/>
        </w:rPr>
        <w:t>بوقت و</w:t>
      </w:r>
      <w:r>
        <w:rPr>
          <w:rFonts w:hint="cs"/>
          <w:rtl/>
        </w:rPr>
        <w:t>لا ب</w:t>
      </w:r>
      <w:r w:rsidRPr="00532871">
        <w:rPr>
          <w:rFonts w:hint="cs"/>
          <w:rtl/>
        </w:rPr>
        <w:t xml:space="preserve">تاريخ </w:t>
      </w:r>
      <w:r>
        <w:rPr>
          <w:rFonts w:hint="cs"/>
          <w:rtl/>
        </w:rPr>
        <w:t xml:space="preserve">انعقاد </w:t>
      </w:r>
      <w:r w:rsidRPr="00532871">
        <w:rPr>
          <w:rFonts w:hint="cs"/>
          <w:rtl/>
        </w:rPr>
        <w:t xml:space="preserve">جلسات الاستماع </w:t>
      </w:r>
      <w:r>
        <w:rPr>
          <w:rFonts w:hint="cs"/>
          <w:rtl/>
        </w:rPr>
        <w:t xml:space="preserve">للدعاوى </w:t>
      </w:r>
      <w:r w:rsidRPr="00532871">
        <w:rPr>
          <w:rFonts w:hint="cs"/>
          <w:rtl/>
        </w:rPr>
        <w:t>الإدارية على التوالي وبالتالي</w:t>
      </w:r>
      <w:r w:rsidR="009B06C5">
        <w:rPr>
          <w:rFonts w:hint="cs"/>
          <w:rtl/>
        </w:rPr>
        <w:t>،</w:t>
      </w:r>
      <w:r w:rsidRPr="00532871">
        <w:rPr>
          <w:rFonts w:hint="cs"/>
          <w:rtl/>
        </w:rPr>
        <w:t xml:space="preserve"> لم يتمكن</w:t>
      </w:r>
      <w:r>
        <w:rPr>
          <w:rFonts w:hint="cs"/>
          <w:rtl/>
        </w:rPr>
        <w:t>ا</w:t>
      </w:r>
      <w:r w:rsidRPr="00532871">
        <w:rPr>
          <w:rFonts w:hint="cs"/>
          <w:rtl/>
        </w:rPr>
        <w:t xml:space="preserve"> من الدفاع عن نفسهم</w:t>
      </w:r>
      <w:r>
        <w:rPr>
          <w:rFonts w:hint="cs"/>
          <w:rtl/>
        </w:rPr>
        <w:t>ا</w:t>
      </w:r>
      <w:r w:rsidRPr="00532871">
        <w:rPr>
          <w:rFonts w:hint="cs"/>
          <w:rtl/>
        </w:rPr>
        <w:t xml:space="preserve"> شخصياً أو من خلال محام. ويدعيان أيضاً </w:t>
      </w:r>
      <w:r w:rsidR="009B06C5">
        <w:rPr>
          <w:rFonts w:hint="cs"/>
          <w:rtl/>
        </w:rPr>
        <w:t xml:space="preserve">أنهما </w:t>
      </w:r>
      <w:r w:rsidRPr="00532871">
        <w:rPr>
          <w:rFonts w:hint="cs"/>
          <w:rtl/>
        </w:rPr>
        <w:t>لم يُعلما بطبيعة التهم الموجهة ضدهم</w:t>
      </w:r>
      <w:r>
        <w:rPr>
          <w:rFonts w:hint="cs"/>
          <w:rtl/>
        </w:rPr>
        <w:t>ا</w:t>
      </w:r>
      <w:r w:rsidRPr="00532871">
        <w:rPr>
          <w:rFonts w:hint="cs"/>
          <w:rtl/>
        </w:rPr>
        <w:t xml:space="preserve"> </w:t>
      </w:r>
      <w:r w:rsidR="00D10229">
        <w:rPr>
          <w:rFonts w:hint="cs"/>
          <w:rtl/>
        </w:rPr>
        <w:t xml:space="preserve">ولم يسمح </w:t>
      </w:r>
      <w:r w:rsidRPr="00532871">
        <w:rPr>
          <w:rFonts w:hint="cs"/>
          <w:rtl/>
        </w:rPr>
        <w:t>لهم</w:t>
      </w:r>
      <w:r>
        <w:rPr>
          <w:rFonts w:hint="cs"/>
          <w:rtl/>
        </w:rPr>
        <w:t>ا</w:t>
      </w:r>
      <w:r w:rsidRPr="00532871">
        <w:rPr>
          <w:rFonts w:hint="cs"/>
          <w:rtl/>
        </w:rPr>
        <w:t xml:space="preserve"> بوقت كافٍ لإعداد دفاعهم</w:t>
      </w:r>
      <w:r>
        <w:rPr>
          <w:rFonts w:hint="cs"/>
          <w:rtl/>
        </w:rPr>
        <w:t>ا</w:t>
      </w:r>
      <w:r w:rsidRPr="00532871">
        <w:rPr>
          <w:rFonts w:hint="cs"/>
          <w:rtl/>
        </w:rPr>
        <w:t xml:space="preserve">. وتلاحظ اللجنة أيضاً ادعاءات السيد </w:t>
      </w:r>
      <w:proofErr w:type="spellStart"/>
      <w:r>
        <w:rPr>
          <w:rFonts w:hint="cs"/>
          <w:rtl/>
        </w:rPr>
        <w:t>إي</w:t>
      </w:r>
      <w:r w:rsidRPr="00532871">
        <w:rPr>
          <w:rFonts w:hint="cs"/>
          <w:rtl/>
        </w:rPr>
        <w:t>فري</w:t>
      </w:r>
      <w:r>
        <w:rPr>
          <w:rFonts w:hint="cs"/>
          <w:rtl/>
        </w:rPr>
        <w:t>ز</w:t>
      </w:r>
      <w:r w:rsidRPr="00532871">
        <w:rPr>
          <w:rFonts w:hint="cs"/>
          <w:rtl/>
        </w:rPr>
        <w:t>وف</w:t>
      </w:r>
      <w:proofErr w:type="spellEnd"/>
      <w:r w:rsidRPr="00532871">
        <w:rPr>
          <w:rFonts w:hint="cs"/>
          <w:rtl/>
        </w:rPr>
        <w:t xml:space="preserve"> والسيد </w:t>
      </w:r>
      <w:proofErr w:type="spellStart"/>
      <w:r w:rsidRPr="00532871">
        <w:rPr>
          <w:rFonts w:hint="cs"/>
          <w:rtl/>
        </w:rPr>
        <w:t>بولي</w:t>
      </w:r>
      <w:r>
        <w:rPr>
          <w:rFonts w:hint="cs"/>
          <w:rtl/>
        </w:rPr>
        <w:t>ي</w:t>
      </w:r>
      <w:r w:rsidRPr="00532871">
        <w:rPr>
          <w:rFonts w:hint="cs"/>
          <w:rtl/>
        </w:rPr>
        <w:t>اكو</w:t>
      </w:r>
      <w:r>
        <w:rPr>
          <w:rFonts w:hint="cs"/>
          <w:rtl/>
        </w:rPr>
        <w:t>ف</w:t>
      </w:r>
      <w:proofErr w:type="spellEnd"/>
      <w:r w:rsidRPr="00532871">
        <w:rPr>
          <w:rFonts w:hint="cs"/>
          <w:rtl/>
        </w:rPr>
        <w:t xml:space="preserve"> بأنهم</w:t>
      </w:r>
      <w:r>
        <w:rPr>
          <w:rFonts w:hint="cs"/>
          <w:rtl/>
        </w:rPr>
        <w:t>ا</w:t>
      </w:r>
      <w:r w:rsidRPr="00532871">
        <w:rPr>
          <w:rFonts w:hint="cs"/>
          <w:rtl/>
        </w:rPr>
        <w:t xml:space="preserve"> لم يتمكنا من استدعاء أي شاهد من </w:t>
      </w:r>
      <w:r>
        <w:rPr>
          <w:rFonts w:hint="cs"/>
          <w:rtl/>
        </w:rPr>
        <w:t>الشهود</w:t>
      </w:r>
      <w:r w:rsidR="004477B7">
        <w:rPr>
          <w:rFonts w:hint="cs"/>
          <w:rtl/>
        </w:rPr>
        <w:t>،</w:t>
      </w:r>
      <w:r>
        <w:rPr>
          <w:rFonts w:hint="cs"/>
          <w:rtl/>
        </w:rPr>
        <w:t xml:space="preserve"> </w:t>
      </w:r>
      <w:r w:rsidRPr="00532871">
        <w:rPr>
          <w:rFonts w:hint="cs"/>
          <w:rtl/>
        </w:rPr>
        <w:t>البالغ عددهم 16 شاهداً</w:t>
      </w:r>
      <w:r w:rsidR="00E03E5C">
        <w:rPr>
          <w:rFonts w:hint="cs"/>
          <w:rtl/>
        </w:rPr>
        <w:t>،</w:t>
      </w:r>
      <w:r w:rsidRPr="00532871">
        <w:rPr>
          <w:rFonts w:hint="cs"/>
          <w:rtl/>
        </w:rPr>
        <w:t xml:space="preserve"> للدفاع. وتذكر اللجنة بأن العهد </w:t>
      </w:r>
      <w:r w:rsidRPr="00532871">
        <w:rPr>
          <w:rFonts w:hint="cs"/>
          <w:rtl/>
        </w:rPr>
        <w:lastRenderedPageBreak/>
        <w:t>يمنح كل فرد الحق في محاكمة عادلة وعلنية تقوم بها محكمة مختصة ومستقلة وحيادية منشأة بحكم القانون، وأن المساواة في وسائل الدفاع هو جانب لا يمكن الاستغناء عنه في إطار مبدأ المحاكمة العادلة</w:t>
      </w:r>
      <w:r w:rsidRPr="00532871">
        <w:rPr>
          <w:vertAlign w:val="superscript"/>
          <w:rtl/>
        </w:rPr>
        <w:t>(</w:t>
      </w:r>
      <w:r w:rsidRPr="00532871">
        <w:rPr>
          <w:b/>
          <w:vertAlign w:val="superscript"/>
          <w:rtl/>
        </w:rPr>
        <w:footnoteReference w:id="14"/>
      </w:r>
      <w:r w:rsidRPr="00532871">
        <w:rPr>
          <w:vertAlign w:val="superscript"/>
          <w:rtl/>
        </w:rPr>
        <w:t>)</w:t>
      </w:r>
      <w:r w:rsidRPr="00532871">
        <w:rPr>
          <w:rFonts w:hint="cs"/>
          <w:rtl/>
        </w:rPr>
        <w:t xml:space="preserve">. </w:t>
      </w:r>
      <w:r w:rsidR="00AA2D35">
        <w:rPr>
          <w:rFonts w:hint="cs"/>
          <w:rtl/>
        </w:rPr>
        <w:t>ويقتضي مبدأ المساواة في الدفاع أيضاً أن يمنح كل طرف الفرصة لتفنيد جميع الحجج والأدلة التي يقدمها الطرف الآخر</w:t>
      </w:r>
      <w:r w:rsidR="008B5AB5">
        <w:rPr>
          <w:vertAlign w:val="superscript"/>
          <w:rtl/>
        </w:rPr>
        <w:t>(</w:t>
      </w:r>
      <w:r w:rsidR="008B5AB5">
        <w:rPr>
          <w:rStyle w:val="FootnoteReference"/>
          <w:rtl/>
        </w:rPr>
        <w:footnoteReference w:id="15"/>
      </w:r>
      <w:r w:rsidR="008B5AB5">
        <w:rPr>
          <w:vertAlign w:val="superscript"/>
          <w:rtl/>
        </w:rPr>
        <w:t>)</w:t>
      </w:r>
      <w:r w:rsidR="00AA2D35">
        <w:rPr>
          <w:rFonts w:hint="cs"/>
          <w:rtl/>
        </w:rPr>
        <w:t xml:space="preserve">. </w:t>
      </w:r>
      <w:r w:rsidRPr="00532871">
        <w:rPr>
          <w:rFonts w:hint="cs"/>
          <w:rtl/>
        </w:rPr>
        <w:t xml:space="preserve">وتشير اللجنة إلى تعليقها العام رقم 32 الذي يشير إلى ضرورة أن تتيح المحاكم </w:t>
      </w:r>
      <w:r w:rsidR="00A12FE1">
        <w:rPr>
          <w:rFonts w:hint="cs"/>
          <w:rtl/>
        </w:rPr>
        <w:t xml:space="preserve">المعلومات </w:t>
      </w:r>
      <w:r w:rsidRPr="00532871">
        <w:rPr>
          <w:rFonts w:hint="cs"/>
          <w:rtl/>
        </w:rPr>
        <w:t xml:space="preserve">المتعلقة بموعد ومكان انعقاد جلسات الاستماع الشفوية. وفي ظل هذه الظروف، ونظراً إلى أن الدولة الطرف لم تقدم أية ملاحظات بشأن هذه الادعاءات على وجه التحديد، تقرر اللجنة أنه ينبغي إيلاء الاعتبار الواجب لادعاء السيدين </w:t>
      </w:r>
      <w:proofErr w:type="spellStart"/>
      <w:r>
        <w:rPr>
          <w:rFonts w:hint="cs"/>
          <w:rtl/>
        </w:rPr>
        <w:t>إي</w:t>
      </w:r>
      <w:r w:rsidRPr="00532871">
        <w:rPr>
          <w:rFonts w:hint="cs"/>
          <w:rtl/>
        </w:rPr>
        <w:t>فري</w:t>
      </w:r>
      <w:r>
        <w:rPr>
          <w:rFonts w:hint="cs"/>
          <w:rtl/>
        </w:rPr>
        <w:t>ز</w:t>
      </w:r>
      <w:r w:rsidRPr="00532871">
        <w:rPr>
          <w:rFonts w:hint="cs"/>
          <w:rtl/>
        </w:rPr>
        <w:t>وف</w:t>
      </w:r>
      <w:proofErr w:type="spellEnd"/>
      <w:r w:rsidRPr="00532871">
        <w:rPr>
          <w:rFonts w:hint="cs"/>
          <w:rtl/>
        </w:rPr>
        <w:t xml:space="preserve"> </w:t>
      </w:r>
      <w:proofErr w:type="spellStart"/>
      <w:r w:rsidRPr="00532871">
        <w:rPr>
          <w:rFonts w:hint="cs"/>
          <w:rtl/>
        </w:rPr>
        <w:t>وبولي</w:t>
      </w:r>
      <w:r>
        <w:rPr>
          <w:rFonts w:hint="cs"/>
          <w:rtl/>
        </w:rPr>
        <w:t>ي</w:t>
      </w:r>
      <w:r w:rsidRPr="00532871">
        <w:rPr>
          <w:rFonts w:hint="cs"/>
          <w:rtl/>
        </w:rPr>
        <w:t>اكو</w:t>
      </w:r>
      <w:r>
        <w:rPr>
          <w:rFonts w:hint="cs"/>
          <w:rtl/>
        </w:rPr>
        <w:t>ف</w:t>
      </w:r>
      <w:proofErr w:type="spellEnd"/>
      <w:r w:rsidRPr="00532871">
        <w:rPr>
          <w:rFonts w:hint="cs"/>
          <w:rtl/>
        </w:rPr>
        <w:t>، وعليه تخلص إلى أنه تم انتهاك حقهما بموجب الفقرة 1 من المادة 14 من العهد.</w:t>
      </w:r>
    </w:p>
    <w:p w:rsidR="00EB7B26" w:rsidRPr="00532871" w:rsidRDefault="00EB7B26" w:rsidP="00737B98">
      <w:pPr>
        <w:pStyle w:val="SingleTxtGA"/>
        <w:rPr>
          <w:rtl/>
        </w:rPr>
      </w:pPr>
      <w:r w:rsidRPr="00532871">
        <w:rPr>
          <w:rFonts w:hint="cs"/>
          <w:rtl/>
        </w:rPr>
        <w:t>9-</w:t>
      </w:r>
      <w:r w:rsidRPr="00532871">
        <w:rPr>
          <w:rFonts w:hint="cs"/>
          <w:rtl/>
        </w:rPr>
        <w:tab/>
        <w:t xml:space="preserve">إن اللجنة المعنية بحقوق الإنسان، إذ تتصرف وفقاً للفقرة 4 من المادة 5 من البروتوكول الاختياري الملحق بالعهد الدولي الخاص بالحقوق المدنية والسياسية، ترى أن الدولة الطرف انتهكت حقوق أصحاب البلاغ بموجب الفقرة 2 من المادة 19 والمادة 21 والفقرة 1 من </w:t>
      </w:r>
      <w:r w:rsidR="00A12FE1">
        <w:rPr>
          <w:rFonts w:hint="cs"/>
          <w:rtl/>
        </w:rPr>
        <w:t xml:space="preserve">    </w:t>
      </w:r>
      <w:r w:rsidRPr="00532871">
        <w:rPr>
          <w:rFonts w:hint="cs"/>
          <w:rtl/>
        </w:rPr>
        <w:t>المادة 14 من العهد.</w:t>
      </w:r>
    </w:p>
    <w:p w:rsidR="00EB7B26" w:rsidRPr="00532871" w:rsidRDefault="00EB7B26" w:rsidP="00AC33C3">
      <w:pPr>
        <w:pStyle w:val="SingleTxtGA"/>
        <w:rPr>
          <w:rtl/>
        </w:rPr>
      </w:pPr>
      <w:r w:rsidRPr="00532871">
        <w:rPr>
          <w:rFonts w:hint="cs"/>
          <w:rtl/>
        </w:rPr>
        <w:t>10-</w:t>
      </w:r>
      <w:r w:rsidRPr="00532871">
        <w:rPr>
          <w:rFonts w:hint="cs"/>
          <w:rtl/>
        </w:rPr>
        <w:tab/>
        <w:t>ووفقاً للفقرة 3(أ) من المادة 2 من العهد، فإن الدولة الطرف مُلزمة بأن تتيح لأصحاب البلاغ سبيل انتصاف فعا</w:t>
      </w:r>
      <w:r>
        <w:rPr>
          <w:rFonts w:hint="cs"/>
          <w:rtl/>
        </w:rPr>
        <w:t>لاً</w:t>
      </w:r>
      <w:r w:rsidRPr="00532871">
        <w:rPr>
          <w:rFonts w:hint="cs"/>
          <w:rtl/>
        </w:rPr>
        <w:t xml:space="preserve"> يشمل سداد أية تكاليف قانونية </w:t>
      </w:r>
      <w:r>
        <w:rPr>
          <w:rFonts w:hint="cs"/>
          <w:rtl/>
        </w:rPr>
        <w:t xml:space="preserve">تم </w:t>
      </w:r>
      <w:r w:rsidRPr="00532871">
        <w:rPr>
          <w:rFonts w:hint="cs"/>
          <w:rtl/>
        </w:rPr>
        <w:t>تكبدها فضلاً عن تعويض، بهدف تمتع أصحاب البلاغ بالكامل بالحقوق المنصوص عليها في المادتين 19 و21. والدولة الطرف ملزمة أيضاً باتخاذ خطوات لمنع حدوث انتهاكات مماثلة في المستقبل.</w:t>
      </w:r>
    </w:p>
    <w:p w:rsidR="00EB7B26" w:rsidRDefault="00EB7B26" w:rsidP="00A35322">
      <w:pPr>
        <w:pStyle w:val="SingleTxtGA"/>
        <w:rPr>
          <w:rtl/>
        </w:rPr>
      </w:pPr>
      <w:r w:rsidRPr="00532871">
        <w:rPr>
          <w:rFonts w:hint="cs"/>
          <w:rtl/>
        </w:rPr>
        <w:t>11-</w:t>
      </w:r>
      <w:r w:rsidRPr="00532871">
        <w:rPr>
          <w:rFonts w:hint="cs"/>
          <w:rtl/>
        </w:rPr>
        <w:tab/>
        <w:t xml:space="preserve">والدولة الطرف، بانضمامها إلى البروتوكول الاختياري، </w:t>
      </w:r>
      <w:r w:rsidR="00AC33C3">
        <w:rPr>
          <w:rFonts w:hint="cs"/>
          <w:rtl/>
        </w:rPr>
        <w:t xml:space="preserve">قد اعترفت </w:t>
      </w:r>
      <w:r w:rsidRPr="00532871">
        <w:rPr>
          <w:rFonts w:hint="cs"/>
          <w:rtl/>
        </w:rPr>
        <w:t>باختصاص اللجنة في تحديد ما إذا كان هناك انتهاك للعهد. وتعهدت</w:t>
      </w:r>
      <w:r w:rsidR="00DB2974">
        <w:rPr>
          <w:rFonts w:hint="cs"/>
          <w:rtl/>
        </w:rPr>
        <w:t>،</w:t>
      </w:r>
      <w:r w:rsidRPr="00532871">
        <w:rPr>
          <w:rFonts w:hint="cs"/>
          <w:rtl/>
        </w:rPr>
        <w:t xml:space="preserve"> بموجب المادة 2 من العهد، بأن تكفل لجميع الأفراد الموجودين </w:t>
      </w:r>
      <w:r w:rsidR="00CC1533">
        <w:rPr>
          <w:rFonts w:hint="cs"/>
          <w:rtl/>
        </w:rPr>
        <w:t>داخل</w:t>
      </w:r>
      <w:r w:rsidRPr="00532871">
        <w:rPr>
          <w:rFonts w:hint="cs"/>
          <w:rtl/>
        </w:rPr>
        <w:t xml:space="preserve"> إقليمها و</w:t>
      </w:r>
      <w:r w:rsidR="00CC1533">
        <w:rPr>
          <w:rFonts w:hint="cs"/>
          <w:rtl/>
        </w:rPr>
        <w:t>الخاضعين</w:t>
      </w:r>
      <w:r w:rsidRPr="00532871">
        <w:rPr>
          <w:rFonts w:hint="cs"/>
          <w:rtl/>
        </w:rPr>
        <w:t xml:space="preserve"> ولايتها الحقوق المعترف بها في العهد وبأن تضمن لهم سبل انتصاف فعا</w:t>
      </w:r>
      <w:r>
        <w:rPr>
          <w:rFonts w:hint="cs"/>
          <w:rtl/>
        </w:rPr>
        <w:t>لة</w:t>
      </w:r>
      <w:r w:rsidRPr="00532871">
        <w:rPr>
          <w:rFonts w:hint="cs"/>
          <w:rtl/>
        </w:rPr>
        <w:t xml:space="preserve"> وقابل</w:t>
      </w:r>
      <w:r>
        <w:rPr>
          <w:rFonts w:hint="cs"/>
          <w:rtl/>
        </w:rPr>
        <w:t>ة</w:t>
      </w:r>
      <w:r w:rsidRPr="00532871">
        <w:rPr>
          <w:rFonts w:hint="cs"/>
          <w:rtl/>
        </w:rPr>
        <w:t xml:space="preserve"> </w:t>
      </w:r>
      <w:r w:rsidR="00A35322">
        <w:rPr>
          <w:rFonts w:hint="cs"/>
          <w:rtl/>
        </w:rPr>
        <w:t>ل</w:t>
      </w:r>
      <w:r w:rsidRPr="00532871">
        <w:rPr>
          <w:rFonts w:hint="cs"/>
          <w:rtl/>
        </w:rPr>
        <w:t xml:space="preserve">لتنفيذ في حالة ثبوت وقوع انتهاك. ولذلك تدعو اللجنة الدولة الطرف إلى تقديم معلومات في غضون 180 يوماً عما اتخذته من تدابير لوضع آراء اللجنة موضع التنفيذ. وتطلب اللجنة إلى الدولة الطرف أيضاً أن تقوم بنشر هذه </w:t>
      </w:r>
      <w:r>
        <w:rPr>
          <w:rFonts w:hint="cs"/>
          <w:rtl/>
        </w:rPr>
        <w:t xml:space="preserve">الآراء </w:t>
      </w:r>
      <w:r w:rsidRPr="00532871">
        <w:rPr>
          <w:rFonts w:hint="cs"/>
          <w:rtl/>
        </w:rPr>
        <w:t>وتوزيعها على نطاق واسع باللغتين البيلاروسية والروسية في الدولة الطرف.</w:t>
      </w:r>
    </w:p>
    <w:p w:rsidR="0076629C" w:rsidRPr="0076629C" w:rsidRDefault="0076629C" w:rsidP="0076629C">
      <w:pPr>
        <w:spacing w:before="120"/>
        <w:jc w:val="center"/>
        <w:rPr>
          <w:u w:val="single"/>
          <w:rtl/>
        </w:rPr>
      </w:pPr>
      <w:r>
        <w:rPr>
          <w:u w:val="single"/>
          <w:rtl/>
        </w:rPr>
        <w:tab/>
      </w:r>
      <w:r>
        <w:rPr>
          <w:u w:val="single"/>
          <w:rtl/>
        </w:rPr>
        <w:tab/>
      </w:r>
      <w:r>
        <w:rPr>
          <w:u w:val="single"/>
          <w:rtl/>
        </w:rPr>
        <w:tab/>
      </w:r>
    </w:p>
    <w:sectPr w:rsidR="0076629C" w:rsidRPr="0076629C" w:rsidSect="00420D7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4E" w:rsidRPr="002901D9" w:rsidRDefault="0014264E" w:rsidP="002901D9">
      <w:pPr>
        <w:spacing w:after="60" w:line="240" w:lineRule="auto"/>
        <w:rPr>
          <w:i/>
          <w:iCs/>
        </w:rPr>
      </w:pPr>
      <w:r>
        <w:rPr>
          <w:rFonts w:hint="cs"/>
          <w:i/>
          <w:iCs/>
          <w:rtl/>
        </w:rPr>
        <w:t>الحواشي</w:t>
      </w:r>
    </w:p>
  </w:endnote>
  <w:endnote w:type="continuationSeparator" w:id="0">
    <w:p w:rsidR="0014264E" w:rsidRDefault="0014264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20" w:rsidRPr="00C11D20" w:rsidRDefault="00C11D20" w:rsidP="00C11D20">
    <w:pPr>
      <w:pStyle w:val="Footer"/>
      <w:tabs>
        <w:tab w:val="right" w:pos="9598"/>
      </w:tabs>
    </w:pPr>
    <w:r>
      <w:t>GE.14-22847</w:t>
    </w:r>
    <w:r>
      <w:tab/>
    </w:r>
    <w:r w:rsidRPr="00C11D20">
      <w:rPr>
        <w:b/>
        <w:sz w:val="18"/>
      </w:rPr>
      <w:fldChar w:fldCharType="begin"/>
    </w:r>
    <w:r w:rsidRPr="00C11D20">
      <w:rPr>
        <w:b/>
        <w:sz w:val="18"/>
      </w:rPr>
      <w:instrText xml:space="preserve"> PAGE  \* MERGEFORMAT </w:instrText>
    </w:r>
    <w:r w:rsidRPr="00C11D20">
      <w:rPr>
        <w:b/>
        <w:sz w:val="18"/>
      </w:rPr>
      <w:fldChar w:fldCharType="separate"/>
    </w:r>
    <w:r w:rsidR="00186EBF">
      <w:rPr>
        <w:b/>
        <w:noProof/>
        <w:sz w:val="18"/>
      </w:rPr>
      <w:t>2</w:t>
    </w:r>
    <w:r w:rsidRPr="00C11D2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C11D20" w:rsidRDefault="00C11D20" w:rsidP="006959B0">
    <w:pPr>
      <w:pStyle w:val="Footer"/>
      <w:tabs>
        <w:tab w:val="right" w:pos="9599"/>
      </w:tabs>
      <w:jc w:val="left"/>
      <w:rPr>
        <w:b/>
        <w:sz w:val="18"/>
        <w:lang w:val="en-US"/>
      </w:rPr>
    </w:pPr>
    <w:r w:rsidRPr="00C11D20">
      <w:rPr>
        <w:b/>
        <w:sz w:val="18"/>
        <w:lang w:val="en-US"/>
      </w:rPr>
      <w:fldChar w:fldCharType="begin"/>
    </w:r>
    <w:r w:rsidRPr="00C11D20">
      <w:rPr>
        <w:b/>
        <w:sz w:val="18"/>
        <w:lang w:val="en-US"/>
      </w:rPr>
      <w:instrText xml:space="preserve"> PAGE  \* MERGEFORMAT </w:instrText>
    </w:r>
    <w:r w:rsidRPr="00C11D20">
      <w:rPr>
        <w:b/>
        <w:sz w:val="18"/>
        <w:lang w:val="en-US"/>
      </w:rPr>
      <w:fldChar w:fldCharType="separate"/>
    </w:r>
    <w:r w:rsidR="00186EBF">
      <w:rPr>
        <w:b/>
        <w:noProof/>
        <w:sz w:val="18"/>
        <w:lang w:val="en-US"/>
      </w:rPr>
      <w:t>11</w:t>
    </w:r>
    <w:r w:rsidRPr="00C11D20">
      <w:rPr>
        <w:b/>
        <w:sz w:val="18"/>
        <w:lang w:val="en-US"/>
      </w:rPr>
      <w:fldChar w:fldCharType="end"/>
    </w:r>
    <w:r>
      <w:rPr>
        <w:b/>
        <w:sz w:val="18"/>
        <w:lang w:val="en-US"/>
      </w:rPr>
      <w:tab/>
    </w:r>
    <w:r>
      <w:rPr>
        <w:lang w:val="en-US"/>
      </w:rPr>
      <w:t>GE.14-22847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E1488D" w:rsidP="00C632DC">
    <w:pPr>
      <w:pStyle w:val="Footer"/>
      <w:numPr>
        <w:ilvl w:val="0"/>
        <w:numId w:val="12"/>
      </w:numPr>
      <w:jc w:val="right"/>
    </w:pPr>
    <w:r>
      <w:rPr>
        <w:sz w:val="20"/>
      </w:rPr>
      <w:t xml:space="preserve">   </w:t>
    </w:r>
    <w:r w:rsidR="00C11D20">
      <w:rPr>
        <w:sz w:val="20"/>
      </w:rPr>
      <w:t>GE.14-2284</w:t>
    </w:r>
    <w:r w:rsidR="00311CF6">
      <w:rPr>
        <w:sz w:val="20"/>
      </w:rPr>
      <w:t>7</w:t>
    </w:r>
    <w:r w:rsidR="00226A16">
      <w:rPr>
        <w:sz w:val="20"/>
      </w:rPr>
      <w:t xml:space="preserve"> </w:t>
    </w:r>
    <w:r w:rsidR="00C632DC">
      <w:rPr>
        <w:sz w:val="20"/>
      </w:rPr>
      <w:t xml:space="preserve">   </w:t>
    </w:r>
    <w:r w:rsidR="00311CF6">
      <w:rPr>
        <w:sz w:val="20"/>
      </w:rPr>
      <w:t>080415</w:t>
    </w:r>
    <w:r w:rsidR="00C632DC">
      <w:rPr>
        <w:sz w:val="20"/>
      </w:rPr>
      <w:t xml:space="preserve">   </w:t>
    </w:r>
    <w:r w:rsidR="00226A16">
      <w:rPr>
        <w:sz w:val="20"/>
      </w:rPr>
      <w:t xml:space="preserve"> </w:t>
    </w:r>
    <w:r w:rsidR="00311CF6">
      <w:rPr>
        <w:sz w:val="20"/>
      </w:rPr>
      <w:t>090415</w:t>
    </w:r>
    <w:r w:rsidR="00D914A7">
      <w:rPr>
        <w:noProof/>
        <w:lang w:val="en-US"/>
      </w:rPr>
      <w:drawing>
        <wp:anchor distT="0" distB="0" distL="114300" distR="114300" simplePos="0" relativeHeight="251658240" behindDoc="1" locked="1" layoutInCell="0" allowOverlap="1" wp14:anchorId="692FBC16" wp14:editId="674F8B9B">
          <wp:simplePos x="0" y="0"/>
          <wp:positionH relativeFrom="margin">
            <wp:posOffset>706755</wp:posOffset>
          </wp:positionH>
          <wp:positionV relativeFrom="margin">
            <wp:posOffset>8213725</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EBF">
      <w:rPr>
        <w:sz w:val="20"/>
        <w:lang w:val="fr-CH"/>
      </w:rPr>
      <w:br/>
    </w:r>
    <w:r w:rsidR="00186EBF" w:rsidRPr="00186EBF">
      <w:rPr>
        <w:rFonts w:ascii="C39T30Lfz" w:hAnsi="C39T30Lfz"/>
        <w:sz w:val="56"/>
      </w:rPr>
      <w:t></w:t>
    </w:r>
    <w:r w:rsidR="00186EBF" w:rsidRPr="00186EBF">
      <w:rPr>
        <w:rFonts w:ascii="C39T30Lfz" w:hAnsi="C39T30Lfz"/>
        <w:sz w:val="56"/>
      </w:rPr>
      <w:t></w:t>
    </w:r>
    <w:r w:rsidR="00186EBF" w:rsidRPr="00186EBF">
      <w:rPr>
        <w:rFonts w:ascii="C39T30Lfz" w:hAnsi="C39T30Lfz"/>
        <w:sz w:val="56"/>
      </w:rPr>
      <w:t></w:t>
    </w:r>
    <w:r w:rsidR="00186EBF" w:rsidRPr="00186EBF">
      <w:rPr>
        <w:rFonts w:ascii="C39T30Lfz" w:hAnsi="C39T30Lfz"/>
        <w:sz w:val="56"/>
      </w:rPr>
      <w:t></w:t>
    </w:r>
    <w:r w:rsidR="00186EBF" w:rsidRPr="00186EBF">
      <w:rPr>
        <w:rFonts w:ascii="C39T30Lfz" w:hAnsi="C39T30Lfz"/>
        <w:sz w:val="56"/>
      </w:rPr>
      <w:t></w:t>
    </w:r>
    <w:r w:rsidR="00186EBF" w:rsidRPr="00186EBF">
      <w:rPr>
        <w:rFonts w:ascii="C39T30Lfz" w:hAnsi="C39T30Lfz"/>
        <w:sz w:val="56"/>
      </w:rPr>
      <w:t></w:t>
    </w:r>
    <w:r w:rsidR="00186EBF" w:rsidRPr="00186EBF">
      <w:rPr>
        <w:rFonts w:ascii="C39T30Lfz" w:hAnsi="C39T30Lfz"/>
        <w:sz w:val="56"/>
      </w:rPr>
      <w:t></w:t>
    </w:r>
    <w:r w:rsidR="00186EBF" w:rsidRPr="00186EBF">
      <w:rPr>
        <w:rFonts w:ascii="C39T30Lfz" w:hAnsi="C39T30Lfz"/>
        <w:sz w:val="56"/>
      </w:rPr>
      <w:t></w:t>
    </w:r>
    <w:r w:rsidR="00186EBF" w:rsidRPr="00186EBF">
      <w:rPr>
        <w:rFonts w:ascii="C39T30Lfz" w:hAnsi="C39T30Lfz"/>
        <w:sz w:val="56"/>
      </w:rPr>
      <w:t></w:t>
    </w:r>
    <w:r w:rsidR="00186EBF">
      <w:rPr>
        <w:noProof/>
        <w:lang w:val="en-US"/>
      </w:rPr>
      <w:drawing>
        <wp:anchor distT="0" distB="0" distL="114300" distR="114300" simplePos="0" relativeHeight="251659264" behindDoc="0" locked="0" layoutInCell="1" allowOverlap="1" wp14:anchorId="3799830B" wp14:editId="174510FE">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112/D/1999/2010&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2/D/1999/2010&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4E" w:rsidRDefault="0014264E" w:rsidP="000437B8">
      <w:pPr>
        <w:pStyle w:val="Footer"/>
        <w:bidi/>
        <w:spacing w:after="80" w:line="200" w:lineRule="exact"/>
        <w:ind w:left="680"/>
      </w:pPr>
      <w:r>
        <w:rPr>
          <w:rtl/>
        </w:rPr>
        <w:t>__________</w:t>
      </w:r>
    </w:p>
  </w:footnote>
  <w:footnote w:type="continuationSeparator" w:id="0">
    <w:p w:rsidR="0014264E" w:rsidRDefault="0014264E" w:rsidP="00656392">
      <w:pPr>
        <w:spacing w:line="240" w:lineRule="auto"/>
      </w:pPr>
      <w:r>
        <w:continuationSeparator/>
      </w:r>
    </w:p>
  </w:footnote>
  <w:footnote w:id="1">
    <w:p w:rsidR="00EB7B26" w:rsidRPr="001E21D1" w:rsidRDefault="00EB7B26" w:rsidP="00384E64">
      <w:pPr>
        <w:pStyle w:val="FootnoteText1"/>
        <w:ind w:hanging="399"/>
        <w:rPr>
          <w:rtl/>
        </w:rPr>
      </w:pPr>
      <w:r>
        <w:rPr>
          <w:rtl/>
        </w:rPr>
        <w:t>*</w:t>
      </w:r>
      <w:r>
        <w:rPr>
          <w:rtl/>
        </w:rPr>
        <w:tab/>
      </w:r>
      <w:r>
        <w:rPr>
          <w:rFonts w:hint="cs"/>
          <w:rtl/>
        </w:rPr>
        <w:t xml:space="preserve">شارك في دراسة هذا البلاغ أعضاء اللجنة التالية أسماؤهم: السيد عياض بن عاشور، </w:t>
      </w:r>
      <w:r w:rsidRPr="00C50E35">
        <w:rPr>
          <w:rtl/>
        </w:rPr>
        <w:t>والسيد</w:t>
      </w:r>
      <w:r>
        <w:rPr>
          <w:rFonts w:hint="cs"/>
          <w:rtl/>
        </w:rPr>
        <w:t>ة كريستين شانيه</w:t>
      </w:r>
      <w:r w:rsidRPr="00C50E35">
        <w:rPr>
          <w:rtl/>
        </w:rPr>
        <w:t>،</w:t>
      </w:r>
      <w:r w:rsidR="00226A16">
        <w:rPr>
          <w:rtl/>
        </w:rPr>
        <w:t xml:space="preserve"> </w:t>
      </w:r>
      <w:r>
        <w:rPr>
          <w:rFonts w:hint="cs"/>
          <w:rtl/>
        </w:rPr>
        <w:t xml:space="preserve">والسيد </w:t>
      </w:r>
      <w:proofErr w:type="spellStart"/>
      <w:r>
        <w:rPr>
          <w:rFonts w:hint="cs"/>
          <w:rtl/>
        </w:rPr>
        <w:t>كور</w:t>
      </w:r>
      <w:r w:rsidR="001B516A">
        <w:rPr>
          <w:rFonts w:hint="cs"/>
          <w:rtl/>
        </w:rPr>
        <w:t>ن</w:t>
      </w:r>
      <w:r>
        <w:rPr>
          <w:rFonts w:hint="cs"/>
          <w:rtl/>
        </w:rPr>
        <w:t>يليس</w:t>
      </w:r>
      <w:proofErr w:type="spellEnd"/>
      <w:r>
        <w:rPr>
          <w:rFonts w:hint="cs"/>
          <w:rtl/>
        </w:rPr>
        <w:t xml:space="preserve"> </w:t>
      </w:r>
      <w:proofErr w:type="spellStart"/>
      <w:r>
        <w:rPr>
          <w:rFonts w:hint="cs"/>
          <w:rtl/>
        </w:rPr>
        <w:t>فلينترمان</w:t>
      </w:r>
      <w:proofErr w:type="spellEnd"/>
      <w:r>
        <w:rPr>
          <w:rFonts w:hint="cs"/>
          <w:rtl/>
        </w:rPr>
        <w:t xml:space="preserve">، والسيد يوجي </w:t>
      </w:r>
      <w:proofErr w:type="spellStart"/>
      <w:r>
        <w:rPr>
          <w:rFonts w:hint="cs"/>
          <w:rtl/>
        </w:rPr>
        <w:t>إوساوا</w:t>
      </w:r>
      <w:proofErr w:type="spellEnd"/>
      <w:r>
        <w:rPr>
          <w:rFonts w:hint="cs"/>
          <w:rtl/>
        </w:rPr>
        <w:t xml:space="preserve">، والسيد فالتر كالين، والسيدة </w:t>
      </w:r>
      <w:proofErr w:type="spellStart"/>
      <w:r>
        <w:rPr>
          <w:rFonts w:hint="cs"/>
          <w:rtl/>
        </w:rPr>
        <w:t>زونكي</w:t>
      </w:r>
      <w:proofErr w:type="spellEnd"/>
      <w:r>
        <w:rPr>
          <w:rFonts w:hint="cs"/>
          <w:rtl/>
        </w:rPr>
        <w:t xml:space="preserve"> </w:t>
      </w:r>
      <w:proofErr w:type="spellStart"/>
      <w:r>
        <w:rPr>
          <w:rFonts w:hint="cs"/>
          <w:rtl/>
        </w:rPr>
        <w:t>زانيلي</w:t>
      </w:r>
      <w:proofErr w:type="spellEnd"/>
      <w:r>
        <w:rPr>
          <w:rFonts w:hint="cs"/>
          <w:rtl/>
        </w:rPr>
        <w:t xml:space="preserve"> </w:t>
      </w:r>
      <w:proofErr w:type="spellStart"/>
      <w:r>
        <w:rPr>
          <w:rFonts w:hint="cs"/>
          <w:rtl/>
        </w:rPr>
        <w:t>ماجودينا</w:t>
      </w:r>
      <w:proofErr w:type="spellEnd"/>
      <w:r w:rsidR="001B516A">
        <w:rPr>
          <w:rFonts w:hint="cs"/>
          <w:rtl/>
        </w:rPr>
        <w:t>، والسيد جيرالد ل. نومان، والسير</w:t>
      </w:r>
      <w:r>
        <w:rPr>
          <w:rFonts w:hint="cs"/>
          <w:rtl/>
        </w:rPr>
        <w:t xml:space="preserve"> </w:t>
      </w:r>
      <w:proofErr w:type="spellStart"/>
      <w:r>
        <w:rPr>
          <w:rFonts w:hint="cs"/>
          <w:rtl/>
        </w:rPr>
        <w:t>نايجل</w:t>
      </w:r>
      <w:proofErr w:type="spellEnd"/>
      <w:r>
        <w:rPr>
          <w:rFonts w:hint="cs"/>
          <w:rtl/>
        </w:rPr>
        <w:t xml:space="preserve"> </w:t>
      </w:r>
      <w:proofErr w:type="spellStart"/>
      <w:r>
        <w:rPr>
          <w:rFonts w:hint="cs"/>
          <w:rtl/>
        </w:rPr>
        <w:t>رودلي</w:t>
      </w:r>
      <w:proofErr w:type="spellEnd"/>
      <w:r>
        <w:rPr>
          <w:rFonts w:hint="cs"/>
          <w:rtl/>
        </w:rPr>
        <w:t xml:space="preserve">، والسيد فيكتور مانويل </w:t>
      </w:r>
      <w:proofErr w:type="spellStart"/>
      <w:r>
        <w:rPr>
          <w:rFonts w:hint="cs"/>
          <w:rtl/>
        </w:rPr>
        <w:t>رودريغيس</w:t>
      </w:r>
      <w:proofErr w:type="spellEnd"/>
      <w:r>
        <w:rPr>
          <w:rFonts w:hint="cs"/>
          <w:rtl/>
        </w:rPr>
        <w:t xml:space="preserve"> - </w:t>
      </w:r>
      <w:proofErr w:type="spellStart"/>
      <w:r>
        <w:rPr>
          <w:rFonts w:hint="cs"/>
          <w:rtl/>
        </w:rPr>
        <w:t>ريسيا</w:t>
      </w:r>
      <w:proofErr w:type="spellEnd"/>
      <w:r>
        <w:rPr>
          <w:rFonts w:hint="cs"/>
          <w:rtl/>
        </w:rPr>
        <w:t xml:space="preserve">، والسيد فابيان عمر </w:t>
      </w:r>
      <w:proofErr w:type="spellStart"/>
      <w:r>
        <w:rPr>
          <w:rFonts w:hint="cs"/>
          <w:rtl/>
        </w:rPr>
        <w:t>سالفيولي</w:t>
      </w:r>
      <w:proofErr w:type="spellEnd"/>
      <w:r>
        <w:rPr>
          <w:rFonts w:hint="cs"/>
          <w:rtl/>
        </w:rPr>
        <w:t xml:space="preserve">، والسيد </w:t>
      </w:r>
      <w:proofErr w:type="spellStart"/>
      <w:r>
        <w:rPr>
          <w:rFonts w:hint="cs"/>
          <w:rtl/>
        </w:rPr>
        <w:t>ديروجلال</w:t>
      </w:r>
      <w:proofErr w:type="spellEnd"/>
      <w:r>
        <w:rPr>
          <w:rFonts w:hint="cs"/>
          <w:rtl/>
        </w:rPr>
        <w:t xml:space="preserve"> </w:t>
      </w:r>
      <w:proofErr w:type="spellStart"/>
      <w:r>
        <w:rPr>
          <w:rFonts w:hint="cs"/>
          <w:rtl/>
        </w:rPr>
        <w:t>سيتولسينغ</w:t>
      </w:r>
      <w:proofErr w:type="spellEnd"/>
      <w:r>
        <w:rPr>
          <w:rFonts w:hint="cs"/>
          <w:rtl/>
        </w:rPr>
        <w:t xml:space="preserve">، والسيد يوفال </w:t>
      </w:r>
      <w:proofErr w:type="spellStart"/>
      <w:r>
        <w:rPr>
          <w:rFonts w:hint="cs"/>
          <w:rtl/>
        </w:rPr>
        <w:t>شاني</w:t>
      </w:r>
      <w:proofErr w:type="spellEnd"/>
      <w:r>
        <w:rPr>
          <w:rFonts w:hint="cs"/>
          <w:rtl/>
        </w:rPr>
        <w:t xml:space="preserve">، والسيد </w:t>
      </w:r>
      <w:proofErr w:type="spellStart"/>
      <w:r w:rsidR="00384E64" w:rsidRPr="006C1800">
        <w:rPr>
          <w:rtl/>
        </w:rPr>
        <w:t>كونست</w:t>
      </w:r>
      <w:r w:rsidR="00384E64" w:rsidRPr="006C1800">
        <w:rPr>
          <w:rFonts w:hint="cs"/>
          <w:rtl/>
        </w:rPr>
        <w:t>و</w:t>
      </w:r>
      <w:r w:rsidR="00384E64" w:rsidRPr="006C1800">
        <w:rPr>
          <w:rtl/>
        </w:rPr>
        <w:t>نتين</w:t>
      </w:r>
      <w:proofErr w:type="spellEnd"/>
      <w:r w:rsidR="00384E64" w:rsidRPr="006C1800">
        <w:rPr>
          <w:rtl/>
        </w:rPr>
        <w:t xml:space="preserve"> </w:t>
      </w:r>
      <w:proofErr w:type="spellStart"/>
      <w:r w:rsidR="00384E64" w:rsidRPr="006C1800">
        <w:rPr>
          <w:rtl/>
        </w:rPr>
        <w:t>فاردزيلاشفيلي</w:t>
      </w:r>
      <w:proofErr w:type="spellEnd"/>
      <w:r>
        <w:rPr>
          <w:rFonts w:hint="cs"/>
          <w:rtl/>
        </w:rPr>
        <w:t xml:space="preserve">، والسيدة مارغو </w:t>
      </w:r>
      <w:proofErr w:type="spellStart"/>
      <w:r>
        <w:rPr>
          <w:rFonts w:hint="cs"/>
          <w:rtl/>
        </w:rPr>
        <w:t>واترفال</w:t>
      </w:r>
      <w:proofErr w:type="spellEnd"/>
      <w:r>
        <w:rPr>
          <w:rFonts w:hint="cs"/>
          <w:rtl/>
        </w:rPr>
        <w:t xml:space="preserve">، والسيد أندري بول </w:t>
      </w:r>
      <w:proofErr w:type="spellStart"/>
      <w:r>
        <w:rPr>
          <w:rFonts w:hint="cs"/>
          <w:rtl/>
        </w:rPr>
        <w:t>زلات</w:t>
      </w:r>
      <w:r w:rsidR="00E2795D">
        <w:rPr>
          <w:rFonts w:hint="cs"/>
          <w:rtl/>
        </w:rPr>
        <w:t>ي</w:t>
      </w:r>
      <w:r>
        <w:rPr>
          <w:rFonts w:hint="cs"/>
          <w:rtl/>
        </w:rPr>
        <w:t>سكو</w:t>
      </w:r>
      <w:proofErr w:type="spellEnd"/>
      <w:r>
        <w:rPr>
          <w:rFonts w:hint="cs"/>
          <w:rtl/>
        </w:rPr>
        <w:t>.</w:t>
      </w:r>
    </w:p>
  </w:footnote>
  <w:footnote w:id="2">
    <w:p w:rsidR="00EB7B26" w:rsidRPr="007468EE" w:rsidRDefault="00EB7B26" w:rsidP="00697A60">
      <w:pPr>
        <w:pStyle w:val="FootnoteText1"/>
      </w:pPr>
      <w:r w:rsidRPr="007468EE">
        <w:rPr>
          <w:rtl/>
        </w:rPr>
        <w:t>(</w:t>
      </w:r>
      <w:r w:rsidRPr="007468EE">
        <w:rPr>
          <w:rStyle w:val="FootnoteReference"/>
          <w:vertAlign w:val="baseline"/>
        </w:rPr>
        <w:footnoteRef/>
      </w:r>
      <w:r>
        <w:rPr>
          <w:sz w:val="26"/>
          <w:rtl/>
        </w:rPr>
        <w:t>)</w:t>
      </w:r>
      <w:r>
        <w:rPr>
          <w:sz w:val="26"/>
          <w:rtl/>
        </w:rPr>
        <w:tab/>
      </w:r>
      <w:r>
        <w:rPr>
          <w:rFonts w:hint="cs"/>
          <w:sz w:val="26"/>
          <w:rtl/>
        </w:rPr>
        <w:t xml:space="preserve">البلاغ رقم 628/1995، </w:t>
      </w:r>
      <w:proofErr w:type="spellStart"/>
      <w:r>
        <w:rPr>
          <w:rFonts w:hint="cs"/>
          <w:i/>
          <w:iCs/>
          <w:sz w:val="26"/>
          <w:rtl/>
        </w:rPr>
        <w:t>تاي</w:t>
      </w:r>
      <w:proofErr w:type="spellEnd"/>
      <w:r>
        <w:rPr>
          <w:rFonts w:hint="cs"/>
          <w:i/>
          <w:iCs/>
          <w:sz w:val="26"/>
          <w:rtl/>
        </w:rPr>
        <w:t xml:space="preserve"> هون بارك ضد جمهورية كوريا</w:t>
      </w:r>
      <w:r>
        <w:rPr>
          <w:rFonts w:hint="cs"/>
          <w:sz w:val="26"/>
          <w:rtl/>
        </w:rPr>
        <w:t>، الآراء المعتمدة في 20 تشرين الأول/أكتوبر 1998، الفقرة 10-4.</w:t>
      </w:r>
      <w:r w:rsidRPr="007468EE">
        <w:rPr>
          <w:rtl/>
        </w:rPr>
        <w:t xml:space="preserve"> </w:t>
      </w:r>
    </w:p>
  </w:footnote>
  <w:footnote w:id="3">
    <w:p w:rsidR="00EB7B26" w:rsidRPr="007468EE" w:rsidRDefault="00EB7B26" w:rsidP="00697A60">
      <w:pPr>
        <w:pStyle w:val="FootnoteText1"/>
      </w:pPr>
      <w:r w:rsidRPr="007468EE">
        <w:rPr>
          <w:rtl/>
        </w:rPr>
        <w:t>(</w:t>
      </w:r>
      <w:r w:rsidRPr="007468EE">
        <w:rPr>
          <w:rStyle w:val="FootnoteReference"/>
          <w:vertAlign w:val="baseline"/>
        </w:rPr>
        <w:footnoteRef/>
      </w:r>
      <w:r>
        <w:rPr>
          <w:sz w:val="26"/>
          <w:rtl/>
        </w:rPr>
        <w:t>)</w:t>
      </w:r>
      <w:r>
        <w:rPr>
          <w:sz w:val="26"/>
          <w:rtl/>
        </w:rPr>
        <w:tab/>
      </w:r>
      <w:r>
        <w:rPr>
          <w:rFonts w:hint="cs"/>
          <w:sz w:val="26"/>
          <w:rtl/>
        </w:rPr>
        <w:t xml:space="preserve">المقرر رقم 299 المؤرخ 2 نيسان/أبريل 2008، الصادر عن اللجنة التنفيذية في مدينة </w:t>
      </w:r>
      <w:proofErr w:type="spellStart"/>
      <w:r>
        <w:rPr>
          <w:rFonts w:hint="cs"/>
          <w:sz w:val="26"/>
          <w:rtl/>
        </w:rPr>
        <w:t>غوميل</w:t>
      </w:r>
      <w:proofErr w:type="spellEnd"/>
      <w:r>
        <w:rPr>
          <w:rFonts w:hint="cs"/>
          <w:sz w:val="26"/>
          <w:rtl/>
        </w:rPr>
        <w:t xml:space="preserve"> بشأن التجمعات العامة في مدينة </w:t>
      </w:r>
      <w:proofErr w:type="spellStart"/>
      <w:r>
        <w:rPr>
          <w:rFonts w:hint="cs"/>
          <w:sz w:val="26"/>
          <w:rtl/>
        </w:rPr>
        <w:t>غوميل</w:t>
      </w:r>
      <w:proofErr w:type="spellEnd"/>
      <w:r>
        <w:rPr>
          <w:rFonts w:hint="cs"/>
          <w:sz w:val="26"/>
          <w:rtl/>
        </w:rPr>
        <w:t xml:space="preserve">، بيلاروس، الذي يحدد مكاناً واحداً لتنظيم التجمعات العامة يقع في ضواحي مدينة </w:t>
      </w:r>
      <w:proofErr w:type="spellStart"/>
      <w:r>
        <w:rPr>
          <w:rFonts w:hint="cs"/>
          <w:sz w:val="26"/>
          <w:rtl/>
        </w:rPr>
        <w:t>غوميل</w:t>
      </w:r>
      <w:proofErr w:type="spellEnd"/>
      <w:r>
        <w:rPr>
          <w:rFonts w:hint="cs"/>
          <w:sz w:val="26"/>
          <w:rtl/>
        </w:rPr>
        <w:t xml:space="preserve">. </w:t>
      </w:r>
    </w:p>
  </w:footnote>
  <w:footnote w:id="4">
    <w:p w:rsidR="00EB7B26" w:rsidRPr="00EF3F19" w:rsidRDefault="00EB7B26" w:rsidP="00582DAA">
      <w:pPr>
        <w:pStyle w:val="FootnoteText1"/>
      </w:pPr>
      <w:r w:rsidRPr="00EF3F19">
        <w:rPr>
          <w:rtl/>
        </w:rPr>
        <w:t>(</w:t>
      </w:r>
      <w:r w:rsidRPr="00582DAA">
        <w:rPr>
          <w:b/>
        </w:rPr>
        <w:footnoteRef/>
      </w:r>
      <w:r w:rsidRPr="00582DAA">
        <w:rPr>
          <w:rtl/>
        </w:rPr>
        <w:t>)</w:t>
      </w:r>
      <w:r w:rsidRPr="00582DAA">
        <w:rPr>
          <w:rtl/>
        </w:rPr>
        <w:tab/>
      </w:r>
      <w:r>
        <w:rPr>
          <w:rFonts w:hint="cs"/>
          <w:rtl/>
        </w:rPr>
        <w:t>لم يقدم أصحاب البلاغ الآخر</w:t>
      </w:r>
      <w:r w:rsidR="00A30D75">
        <w:rPr>
          <w:rFonts w:hint="cs"/>
          <w:rtl/>
        </w:rPr>
        <w:t>و</w:t>
      </w:r>
      <w:r>
        <w:rPr>
          <w:rFonts w:hint="cs"/>
          <w:rtl/>
        </w:rPr>
        <w:t>ن أي تعليقات بشأن موقف الدولة الطرف.</w:t>
      </w:r>
    </w:p>
  </w:footnote>
  <w:footnote w:id="5">
    <w:p w:rsidR="00EB7B26" w:rsidRPr="001372D6" w:rsidRDefault="00EB7B26" w:rsidP="00582DAA">
      <w:pPr>
        <w:pStyle w:val="FootnoteText1"/>
      </w:pPr>
      <w:r w:rsidRPr="00A80B58">
        <w:rPr>
          <w:rtl/>
        </w:rPr>
        <w:t>(</w:t>
      </w:r>
      <w:r w:rsidRPr="00582DAA">
        <w:rPr>
          <w:b/>
        </w:rPr>
        <w:footnoteRef/>
      </w:r>
      <w:r w:rsidRPr="00582DAA">
        <w:rPr>
          <w:rtl/>
        </w:rPr>
        <w:t>)</w:t>
      </w:r>
      <w:r w:rsidRPr="00582DAA">
        <w:rPr>
          <w:rtl/>
        </w:rPr>
        <w:tab/>
      </w:r>
      <w:r>
        <w:rPr>
          <w:rFonts w:hint="cs"/>
          <w:rtl/>
        </w:rPr>
        <w:t>انظر البلاغ</w:t>
      </w:r>
      <w:r w:rsidR="00091087">
        <w:rPr>
          <w:rFonts w:hint="cs"/>
          <w:rtl/>
        </w:rPr>
        <w:t xml:space="preserve"> رقم</w:t>
      </w:r>
      <w:r>
        <w:rPr>
          <w:rFonts w:hint="cs"/>
          <w:rtl/>
        </w:rPr>
        <w:t xml:space="preserve"> 1</w:t>
      </w:r>
      <w:r w:rsidR="00A30D75">
        <w:rPr>
          <w:rFonts w:hint="cs"/>
          <w:rtl/>
        </w:rPr>
        <w:t>8</w:t>
      </w:r>
      <w:r>
        <w:rPr>
          <w:rFonts w:hint="cs"/>
          <w:rtl/>
        </w:rPr>
        <w:t xml:space="preserve">12/2008، </w:t>
      </w:r>
      <w:proofErr w:type="spellStart"/>
      <w:r w:rsidRPr="00C37440">
        <w:rPr>
          <w:rFonts w:hint="cs"/>
          <w:i/>
          <w:iCs/>
          <w:rtl/>
        </w:rPr>
        <w:t>ليفينوف</w:t>
      </w:r>
      <w:proofErr w:type="spellEnd"/>
      <w:r w:rsidRPr="00C37440">
        <w:rPr>
          <w:rFonts w:hint="cs"/>
          <w:i/>
          <w:iCs/>
          <w:rtl/>
        </w:rPr>
        <w:t xml:space="preserve"> ضد بيلاروس</w:t>
      </w:r>
      <w:r>
        <w:rPr>
          <w:rFonts w:hint="cs"/>
          <w:rtl/>
        </w:rPr>
        <w:t>، آراء اعتُمدت في 26 تموز/يوليه 2011.</w:t>
      </w:r>
    </w:p>
  </w:footnote>
  <w:footnote w:id="6">
    <w:p w:rsidR="00EB7B26" w:rsidRPr="00771CA4" w:rsidRDefault="00EB7B26" w:rsidP="00091087">
      <w:pPr>
        <w:pStyle w:val="FootnoteText1"/>
      </w:pPr>
      <w:r w:rsidRPr="00771CA4">
        <w:rPr>
          <w:rtl/>
        </w:rPr>
        <w:t>(</w:t>
      </w:r>
      <w:r w:rsidRPr="00582DAA">
        <w:rPr>
          <w:b/>
        </w:rPr>
        <w:footnoteRef/>
      </w:r>
      <w:r w:rsidRPr="00582DAA">
        <w:rPr>
          <w:rtl/>
        </w:rPr>
        <w:t>)</w:t>
      </w:r>
      <w:r w:rsidRPr="00582DAA">
        <w:rPr>
          <w:rtl/>
        </w:rPr>
        <w:tab/>
      </w:r>
      <w:r>
        <w:rPr>
          <w:rFonts w:hint="cs"/>
          <w:rtl/>
        </w:rPr>
        <w:t xml:space="preserve">على الرغم من تذكيرين مؤرخين </w:t>
      </w:r>
      <w:r w:rsidR="00091087">
        <w:rPr>
          <w:rFonts w:hint="cs"/>
          <w:rtl/>
        </w:rPr>
        <w:t>30</w:t>
      </w:r>
      <w:r>
        <w:rPr>
          <w:rFonts w:hint="cs"/>
          <w:rtl/>
        </w:rPr>
        <w:t xml:space="preserve"> أيلول/سبتمبر 2011 و25 تشرين الأول/أكتوبر 2011، لم تقدم الدولة الطرف ملاحظاتها بشأن الأسس الموضوعية للبلاغ.</w:t>
      </w:r>
    </w:p>
  </w:footnote>
  <w:footnote w:id="7">
    <w:p w:rsidR="00EB7B26" w:rsidRPr="001D31C7" w:rsidRDefault="00EB7B26" w:rsidP="00582DAA">
      <w:pPr>
        <w:pStyle w:val="FootnoteText1"/>
      </w:pPr>
      <w:r w:rsidRPr="001D31C7">
        <w:rPr>
          <w:rtl/>
        </w:rPr>
        <w:t>(</w:t>
      </w:r>
      <w:r w:rsidRPr="00582DAA">
        <w:rPr>
          <w:b/>
        </w:rPr>
        <w:footnoteRef/>
      </w:r>
      <w:r w:rsidRPr="00582DAA">
        <w:rPr>
          <w:rtl/>
        </w:rPr>
        <w:t>)</w:t>
      </w:r>
      <w:r w:rsidRPr="00582DAA">
        <w:rPr>
          <w:rtl/>
        </w:rPr>
        <w:tab/>
      </w:r>
      <w:r>
        <w:rPr>
          <w:rFonts w:hint="cs"/>
          <w:rtl/>
        </w:rPr>
        <w:t xml:space="preserve">انظر، على سبيل المثال، البلاغ رقم 869/1999، </w:t>
      </w:r>
      <w:proofErr w:type="spellStart"/>
      <w:r w:rsidRPr="00C37440">
        <w:rPr>
          <w:rFonts w:hint="cs"/>
          <w:i/>
          <w:iCs/>
          <w:rtl/>
        </w:rPr>
        <w:t>بينديونغ</w:t>
      </w:r>
      <w:proofErr w:type="spellEnd"/>
      <w:r w:rsidRPr="00C37440">
        <w:rPr>
          <w:rFonts w:hint="cs"/>
          <w:i/>
          <w:iCs/>
          <w:rtl/>
        </w:rPr>
        <w:t xml:space="preserve"> وآخرون ضد الفلبين</w:t>
      </w:r>
      <w:r>
        <w:rPr>
          <w:rFonts w:hint="cs"/>
          <w:rtl/>
        </w:rPr>
        <w:t xml:space="preserve">، الآراء المعتمدة في 19 تشرين الأول/أكتوبر 2000، الفقرة 5-1. </w:t>
      </w:r>
    </w:p>
  </w:footnote>
  <w:footnote w:id="8">
    <w:p w:rsidR="00EB7B26" w:rsidRPr="001D31C7" w:rsidRDefault="00EB7B26" w:rsidP="00633404">
      <w:pPr>
        <w:pStyle w:val="FootnoteText1"/>
        <w:rPr>
          <w:rtl/>
        </w:rPr>
      </w:pPr>
      <w:r w:rsidRPr="001D31C7">
        <w:rPr>
          <w:rtl/>
        </w:rPr>
        <w:t>(</w:t>
      </w:r>
      <w:r w:rsidRPr="00582DAA">
        <w:rPr>
          <w:b/>
        </w:rPr>
        <w:footnoteRef/>
      </w:r>
      <w:r w:rsidRPr="00582DAA">
        <w:rPr>
          <w:rtl/>
        </w:rPr>
        <w:t>)</w:t>
      </w:r>
      <w:r w:rsidRPr="00582DAA">
        <w:rPr>
          <w:rtl/>
        </w:rPr>
        <w:tab/>
      </w:r>
      <w:r>
        <w:rPr>
          <w:rFonts w:hint="cs"/>
          <w:rtl/>
        </w:rPr>
        <w:t xml:space="preserve">انظر، على سبيل المثال، البلاغ رقم 1226/2003، </w:t>
      </w:r>
      <w:proofErr w:type="spellStart"/>
      <w:r w:rsidRPr="00C37440">
        <w:rPr>
          <w:rFonts w:hint="cs"/>
          <w:i/>
          <w:iCs/>
          <w:rtl/>
        </w:rPr>
        <w:t>كورنينكو</w:t>
      </w:r>
      <w:proofErr w:type="spellEnd"/>
      <w:r w:rsidRPr="00C37440">
        <w:rPr>
          <w:rFonts w:hint="cs"/>
          <w:i/>
          <w:iCs/>
          <w:rtl/>
        </w:rPr>
        <w:t xml:space="preserve"> ضد بيلاروس</w:t>
      </w:r>
      <w:r>
        <w:rPr>
          <w:rFonts w:hint="cs"/>
          <w:rtl/>
        </w:rPr>
        <w:t xml:space="preserve">، آراء اعتُمدت في 20 تموز/يوليه 2012، الفقرة 8-2، ورقم 1948/2010، </w:t>
      </w:r>
      <w:proofErr w:type="spellStart"/>
      <w:r w:rsidRPr="00C37440">
        <w:rPr>
          <w:rFonts w:hint="cs"/>
          <w:i/>
          <w:iCs/>
          <w:rtl/>
        </w:rPr>
        <w:t>تورتشينياك</w:t>
      </w:r>
      <w:proofErr w:type="spellEnd"/>
      <w:r w:rsidRPr="00C37440">
        <w:rPr>
          <w:rFonts w:hint="cs"/>
          <w:i/>
          <w:iCs/>
          <w:rtl/>
        </w:rPr>
        <w:t xml:space="preserve"> وآخرون ضد بيلاروس</w:t>
      </w:r>
      <w:r>
        <w:rPr>
          <w:rFonts w:hint="cs"/>
          <w:rtl/>
        </w:rPr>
        <w:t>، آراء اعتُمدت في 24 تموز/يوليه 2013، الفقرة 5-</w:t>
      </w:r>
      <w:r w:rsidR="00633404">
        <w:rPr>
          <w:rFonts w:hint="cs"/>
          <w:rtl/>
        </w:rPr>
        <w:t>2</w:t>
      </w:r>
      <w:r>
        <w:rPr>
          <w:rFonts w:hint="cs"/>
          <w:rtl/>
        </w:rPr>
        <w:t>.</w:t>
      </w:r>
    </w:p>
  </w:footnote>
  <w:footnote w:id="9">
    <w:p w:rsidR="00EB7B26" w:rsidRPr="00B9610F" w:rsidRDefault="00EB7B26" w:rsidP="00582DAA">
      <w:pPr>
        <w:pStyle w:val="FootnoteText1"/>
      </w:pPr>
      <w:r w:rsidRPr="00B9610F">
        <w:rPr>
          <w:rtl/>
        </w:rPr>
        <w:t>(</w:t>
      </w:r>
      <w:r w:rsidRPr="00582DAA">
        <w:rPr>
          <w:b/>
        </w:rPr>
        <w:footnoteRef/>
      </w:r>
      <w:r w:rsidRPr="00582DAA">
        <w:rPr>
          <w:rtl/>
        </w:rPr>
        <w:t>)</w:t>
      </w:r>
      <w:r w:rsidRPr="00582DAA">
        <w:rPr>
          <w:rtl/>
        </w:rPr>
        <w:tab/>
      </w:r>
      <w:r>
        <w:rPr>
          <w:rFonts w:hint="cs"/>
          <w:rtl/>
        </w:rPr>
        <w:t xml:space="preserve">انظر، البلاغ رقم 1873/2009، </w:t>
      </w:r>
      <w:proofErr w:type="spellStart"/>
      <w:r w:rsidRPr="00C37440">
        <w:rPr>
          <w:rFonts w:hint="cs"/>
          <w:i/>
          <w:iCs/>
          <w:rtl/>
        </w:rPr>
        <w:t>ألكسيف</w:t>
      </w:r>
      <w:proofErr w:type="spellEnd"/>
      <w:r w:rsidRPr="00C37440">
        <w:rPr>
          <w:rFonts w:hint="cs"/>
          <w:i/>
          <w:iCs/>
          <w:rtl/>
        </w:rPr>
        <w:t xml:space="preserve"> ضد الاتحاد الروسي</w:t>
      </w:r>
      <w:r>
        <w:rPr>
          <w:rFonts w:hint="cs"/>
          <w:rtl/>
        </w:rPr>
        <w:t>، آراء اعتُمدت في 25 تشرين الأول/</w:t>
      </w:r>
      <w:r w:rsidR="00C37440">
        <w:rPr>
          <w:rFonts w:hint="cs"/>
          <w:rtl/>
        </w:rPr>
        <w:t xml:space="preserve">  </w:t>
      </w:r>
      <w:r>
        <w:rPr>
          <w:rFonts w:hint="cs"/>
          <w:rtl/>
        </w:rPr>
        <w:t>أكتوبر 2013، الفقرة 8-4.</w:t>
      </w:r>
    </w:p>
  </w:footnote>
  <w:footnote w:id="10">
    <w:p w:rsidR="00EB7B26" w:rsidRPr="00073661" w:rsidRDefault="00EB7B26" w:rsidP="00582DAA">
      <w:pPr>
        <w:pStyle w:val="FootnoteText1"/>
      </w:pPr>
      <w:r w:rsidRPr="00073661">
        <w:rPr>
          <w:rtl/>
        </w:rPr>
        <w:t>(</w:t>
      </w:r>
      <w:r w:rsidRPr="00582DAA">
        <w:rPr>
          <w:b/>
        </w:rPr>
        <w:footnoteRef/>
      </w:r>
      <w:r w:rsidRPr="00582DAA">
        <w:rPr>
          <w:rtl/>
        </w:rPr>
        <w:t>)</w:t>
      </w:r>
      <w:r w:rsidRPr="00582DAA">
        <w:rPr>
          <w:rtl/>
        </w:rPr>
        <w:tab/>
      </w:r>
      <w:r w:rsidRPr="00582DAA">
        <w:rPr>
          <w:rFonts w:hint="cs"/>
          <w:rtl/>
        </w:rPr>
        <w:t>انظر تعليق اللجنة العام رقم 34(2011) بشأن حرية الرأي والتعبير، الفقرة 2.</w:t>
      </w:r>
    </w:p>
  </w:footnote>
  <w:footnote w:id="11">
    <w:p w:rsidR="00EB7B26" w:rsidRPr="00041105" w:rsidRDefault="00EB7B26" w:rsidP="00582DAA">
      <w:pPr>
        <w:pStyle w:val="FootnoteText1"/>
        <w:rPr>
          <w:rtl/>
        </w:rPr>
      </w:pPr>
      <w:r w:rsidRPr="00041105">
        <w:rPr>
          <w:rtl/>
        </w:rPr>
        <w:t>(</w:t>
      </w:r>
      <w:r w:rsidRPr="00582DAA">
        <w:rPr>
          <w:b/>
        </w:rPr>
        <w:footnoteRef/>
      </w:r>
      <w:r w:rsidRPr="00582DAA">
        <w:rPr>
          <w:rtl/>
        </w:rPr>
        <w:t>)</w:t>
      </w:r>
      <w:r w:rsidRPr="00582DAA">
        <w:rPr>
          <w:rtl/>
        </w:rPr>
        <w:tab/>
      </w:r>
      <w:r>
        <w:rPr>
          <w:rFonts w:hint="cs"/>
          <w:rtl/>
        </w:rPr>
        <w:t xml:space="preserve">انظر، البلاغ رقم 1948/2010، </w:t>
      </w:r>
      <w:proofErr w:type="spellStart"/>
      <w:r w:rsidRPr="00AA0DCE">
        <w:rPr>
          <w:rFonts w:hint="cs"/>
          <w:i/>
          <w:iCs/>
          <w:rtl/>
        </w:rPr>
        <w:t>تورش</w:t>
      </w:r>
      <w:r w:rsidR="001B516A">
        <w:rPr>
          <w:rFonts w:hint="cs"/>
          <w:i/>
          <w:iCs/>
          <w:rtl/>
        </w:rPr>
        <w:t>ي</w:t>
      </w:r>
      <w:r w:rsidRPr="00AA0DCE">
        <w:rPr>
          <w:rFonts w:hint="cs"/>
          <w:i/>
          <w:iCs/>
          <w:rtl/>
        </w:rPr>
        <w:t>نياك</w:t>
      </w:r>
      <w:proofErr w:type="spellEnd"/>
      <w:r w:rsidRPr="00AA0DCE">
        <w:rPr>
          <w:rFonts w:hint="cs"/>
          <w:i/>
          <w:iCs/>
          <w:rtl/>
        </w:rPr>
        <w:t xml:space="preserve"> وآخرون ضد بيلاروس</w:t>
      </w:r>
      <w:r>
        <w:rPr>
          <w:rFonts w:hint="cs"/>
          <w:rtl/>
        </w:rPr>
        <w:t>، آراء اعتُمدت في 24</w:t>
      </w:r>
      <w:r w:rsidR="00226A16">
        <w:rPr>
          <w:rFonts w:hint="cs"/>
          <w:rtl/>
        </w:rPr>
        <w:t xml:space="preserve"> </w:t>
      </w:r>
      <w:r>
        <w:rPr>
          <w:rFonts w:hint="cs"/>
          <w:rtl/>
        </w:rPr>
        <w:t>تموز/</w:t>
      </w:r>
      <w:r w:rsidR="00EE367E">
        <w:rPr>
          <w:rFonts w:hint="cs"/>
          <w:rtl/>
        </w:rPr>
        <w:t xml:space="preserve">           </w:t>
      </w:r>
      <w:r>
        <w:rPr>
          <w:rFonts w:hint="cs"/>
          <w:rtl/>
        </w:rPr>
        <w:t>يوليه 2013.</w:t>
      </w:r>
    </w:p>
  </w:footnote>
  <w:footnote w:id="12">
    <w:p w:rsidR="00EB7B26" w:rsidRPr="00DD1668" w:rsidRDefault="00EB7B26" w:rsidP="00582DAA">
      <w:pPr>
        <w:pStyle w:val="FootnoteText1"/>
        <w:rPr>
          <w:rtl/>
        </w:rPr>
      </w:pPr>
      <w:r w:rsidRPr="00DD1668">
        <w:rPr>
          <w:rtl/>
        </w:rPr>
        <w:t>(</w:t>
      </w:r>
      <w:r w:rsidRPr="00582DAA">
        <w:rPr>
          <w:b/>
        </w:rPr>
        <w:footnoteRef/>
      </w:r>
      <w:r w:rsidRPr="00582DAA">
        <w:rPr>
          <w:rtl/>
        </w:rPr>
        <w:t>)</w:t>
      </w:r>
      <w:r w:rsidRPr="00582DAA">
        <w:rPr>
          <w:rtl/>
        </w:rPr>
        <w:tab/>
      </w:r>
      <w:r>
        <w:rPr>
          <w:rFonts w:hint="cs"/>
          <w:rtl/>
        </w:rPr>
        <w:t>انظر، تعليق اللجنة رقم 34(2011) بشأن حريتي الرأي والتعبير</w:t>
      </w:r>
      <w:r w:rsidR="00BB35F6">
        <w:rPr>
          <w:rFonts w:hint="cs"/>
          <w:rtl/>
        </w:rPr>
        <w:t>،</w:t>
      </w:r>
      <w:r>
        <w:rPr>
          <w:rFonts w:hint="cs"/>
          <w:rtl/>
        </w:rPr>
        <w:t xml:space="preserve"> الفقرة 22. انظر أيضاً، على سبيل المثال، البلاغ رقم 1948/2010، </w:t>
      </w:r>
      <w:proofErr w:type="spellStart"/>
      <w:r w:rsidRPr="00627012">
        <w:rPr>
          <w:rFonts w:hint="cs"/>
          <w:i/>
          <w:iCs/>
          <w:rtl/>
        </w:rPr>
        <w:t>تورتشينياك</w:t>
      </w:r>
      <w:proofErr w:type="spellEnd"/>
      <w:r w:rsidRPr="00627012">
        <w:rPr>
          <w:rFonts w:hint="cs"/>
          <w:i/>
          <w:iCs/>
          <w:rtl/>
        </w:rPr>
        <w:t xml:space="preserve"> وآخرون ضد بيلاروس</w:t>
      </w:r>
      <w:r>
        <w:rPr>
          <w:rFonts w:hint="cs"/>
          <w:rtl/>
        </w:rPr>
        <w:t>، آراء اعتُمدت في 24 تموز/يوليه 2013، الفقرة 7-7.</w:t>
      </w:r>
    </w:p>
  </w:footnote>
  <w:footnote w:id="13">
    <w:p w:rsidR="00EB7B26" w:rsidRPr="004B332F" w:rsidRDefault="00EB7B26" w:rsidP="00706AF4">
      <w:pPr>
        <w:pStyle w:val="FootnoteText1"/>
        <w:rPr>
          <w:rtl/>
        </w:rPr>
      </w:pPr>
      <w:r w:rsidRPr="004B332F">
        <w:rPr>
          <w:rtl/>
        </w:rPr>
        <w:t>(</w:t>
      </w:r>
      <w:r w:rsidRPr="00582DAA">
        <w:rPr>
          <w:b/>
        </w:rPr>
        <w:footnoteRef/>
      </w:r>
      <w:r w:rsidRPr="00582DAA">
        <w:rPr>
          <w:rtl/>
        </w:rPr>
        <w:t>)</w:t>
      </w:r>
      <w:r w:rsidRPr="00582DAA">
        <w:rPr>
          <w:rtl/>
        </w:rPr>
        <w:tab/>
      </w:r>
      <w:r>
        <w:rPr>
          <w:rFonts w:hint="cs"/>
          <w:rtl/>
        </w:rPr>
        <w:t xml:space="preserve">انظر، على سبيل المثال، البلاغ رقم 1001/2001، </w:t>
      </w:r>
      <w:r w:rsidR="00706AF4">
        <w:rPr>
          <w:rFonts w:hint="cs"/>
          <w:i/>
          <w:iCs/>
          <w:rtl/>
        </w:rPr>
        <w:t>ستريك ضد هولندا</w:t>
      </w:r>
      <w:r>
        <w:rPr>
          <w:rFonts w:hint="cs"/>
          <w:rtl/>
        </w:rPr>
        <w:t>، قرار اعتُمد في 1 تشرين الثاني/نوفمبر 2002، الفقرة 7-3.</w:t>
      </w:r>
    </w:p>
  </w:footnote>
  <w:footnote w:id="14">
    <w:p w:rsidR="00EB7B26" w:rsidRPr="00F06B3A" w:rsidRDefault="00EB7B26" w:rsidP="00582DAA">
      <w:pPr>
        <w:pStyle w:val="FootnoteText1"/>
        <w:rPr>
          <w:rtl/>
        </w:rPr>
      </w:pPr>
      <w:r w:rsidRPr="00F06B3A">
        <w:rPr>
          <w:rtl/>
        </w:rPr>
        <w:t>(</w:t>
      </w:r>
      <w:r w:rsidRPr="00582DAA">
        <w:rPr>
          <w:b/>
        </w:rPr>
        <w:footnoteRef/>
      </w:r>
      <w:r w:rsidRPr="00582DAA">
        <w:rPr>
          <w:rtl/>
        </w:rPr>
        <w:t>)</w:t>
      </w:r>
      <w:r w:rsidRPr="00582DAA">
        <w:rPr>
          <w:rtl/>
        </w:rPr>
        <w:tab/>
      </w:r>
      <w:r>
        <w:rPr>
          <w:rFonts w:hint="cs"/>
          <w:rtl/>
        </w:rPr>
        <w:t xml:space="preserve">انظر، على سبيل المثال، البلاغ رقم 307/1988، </w:t>
      </w:r>
      <w:r w:rsidRPr="00706AF4">
        <w:rPr>
          <w:rFonts w:hint="cs"/>
          <w:i/>
          <w:iCs/>
          <w:rtl/>
        </w:rPr>
        <w:t>كامبل ضد جامايكا</w:t>
      </w:r>
      <w:r w:rsidRPr="00582DAA">
        <w:rPr>
          <w:rFonts w:hint="cs"/>
          <w:rtl/>
        </w:rPr>
        <w:t>،</w:t>
      </w:r>
      <w:r w:rsidR="00226A16" w:rsidRPr="00582DAA">
        <w:rPr>
          <w:rFonts w:hint="cs"/>
          <w:rtl/>
        </w:rPr>
        <w:t xml:space="preserve"> </w:t>
      </w:r>
      <w:r>
        <w:rPr>
          <w:rFonts w:hint="cs"/>
          <w:rtl/>
        </w:rPr>
        <w:t>آراء اعتُمدت في 24 آذار/</w:t>
      </w:r>
      <w:r w:rsidR="006C51A8">
        <w:rPr>
          <w:rFonts w:hint="cs"/>
          <w:rtl/>
        </w:rPr>
        <w:t xml:space="preserve">                 </w:t>
      </w:r>
      <w:r>
        <w:rPr>
          <w:rFonts w:hint="cs"/>
          <w:rtl/>
        </w:rPr>
        <w:t>مارس 1993، الفقرة 6-4.</w:t>
      </w:r>
    </w:p>
  </w:footnote>
  <w:footnote w:id="15">
    <w:p w:rsidR="008B5AB5" w:rsidRPr="008B5AB5" w:rsidRDefault="008B5AB5" w:rsidP="00CB054E">
      <w:pPr>
        <w:pStyle w:val="FootnoteText1"/>
      </w:pPr>
      <w:r w:rsidRPr="008B5AB5">
        <w:rPr>
          <w:rtl/>
        </w:rPr>
        <w:t>(</w:t>
      </w:r>
      <w:r w:rsidRPr="008B5AB5">
        <w:rPr>
          <w:rStyle w:val="FootnoteReference"/>
          <w:vertAlign w:val="baseline"/>
        </w:rPr>
        <w:footnoteRef/>
      </w:r>
      <w:r>
        <w:rPr>
          <w:sz w:val="26"/>
          <w:rtl/>
        </w:rPr>
        <w:t>)</w:t>
      </w:r>
      <w:r>
        <w:rPr>
          <w:sz w:val="26"/>
          <w:rtl/>
        </w:rPr>
        <w:tab/>
      </w:r>
      <w:r>
        <w:rPr>
          <w:rFonts w:hint="cs"/>
          <w:rtl/>
        </w:rPr>
        <w:t xml:space="preserve">انظر التعليق العام رقم 32(2007) بشأن الحق في المساواة أمام المحاكم والهيئات القضائية وفي محاكمة عادلة، الفقرة 13. وانظر أيضاً البلاغ رقم 846/1999، </w:t>
      </w:r>
      <w:proofErr w:type="spellStart"/>
      <w:r>
        <w:rPr>
          <w:rFonts w:hint="cs"/>
          <w:i/>
          <w:iCs/>
          <w:rtl/>
        </w:rPr>
        <w:t>يانسن</w:t>
      </w:r>
      <w:proofErr w:type="spellEnd"/>
      <w:r w:rsidR="00CB054E">
        <w:rPr>
          <w:rFonts w:hint="cs"/>
          <w:i/>
          <w:iCs/>
          <w:rtl/>
        </w:rPr>
        <w:t xml:space="preserve"> - </w:t>
      </w:r>
      <w:proofErr w:type="spellStart"/>
      <w:r>
        <w:rPr>
          <w:rFonts w:hint="cs"/>
          <w:i/>
          <w:iCs/>
          <w:rtl/>
        </w:rPr>
        <w:t>جيلن</w:t>
      </w:r>
      <w:proofErr w:type="spellEnd"/>
      <w:r>
        <w:rPr>
          <w:rFonts w:hint="cs"/>
          <w:i/>
          <w:iCs/>
          <w:rtl/>
        </w:rPr>
        <w:t xml:space="preserve"> ضد هولندا</w:t>
      </w:r>
      <w:r>
        <w:rPr>
          <w:rFonts w:hint="cs"/>
          <w:rtl/>
        </w:rPr>
        <w:t>، آراء اعتُمدت في 3 نيسان/أبريل 2001، الفقرة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20" w:rsidRPr="00C11D20" w:rsidRDefault="00C11D20" w:rsidP="00C11D20">
    <w:pPr>
      <w:pStyle w:val="Header"/>
      <w:jc w:val="right"/>
    </w:pPr>
    <w:r w:rsidRPr="00C11D20">
      <w:t>CCPR/C/112/D/1999/2010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20" w:rsidRPr="00C11D20" w:rsidRDefault="00C11D20" w:rsidP="00C11D20">
    <w:pPr>
      <w:pStyle w:val="Header"/>
      <w:jc w:val="left"/>
    </w:pPr>
    <w:r w:rsidRPr="00C11D20">
      <w:t>CCPR/C/112/D/1999/2010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522788"/>
    <w:multiLevelType w:val="hybridMultilevel"/>
    <w:tmpl w:val="5C905C30"/>
    <w:lvl w:ilvl="0" w:tplc="AECAEB52">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7"/>
  </w:num>
  <w:num w:numId="8">
    <w:abstractNumId w:val="0"/>
  </w:num>
  <w:num w:numId="9">
    <w:abstractNumId w:val="3"/>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4264E"/>
    <w:rsid w:val="000076D5"/>
    <w:rsid w:val="00025E4F"/>
    <w:rsid w:val="00043663"/>
    <w:rsid w:val="000437B8"/>
    <w:rsid w:val="000505CF"/>
    <w:rsid w:val="00091087"/>
    <w:rsid w:val="000927AF"/>
    <w:rsid w:val="000A7C44"/>
    <w:rsid w:val="000C12D0"/>
    <w:rsid w:val="000C309B"/>
    <w:rsid w:val="000C481F"/>
    <w:rsid w:val="000D54DB"/>
    <w:rsid w:val="000D701C"/>
    <w:rsid w:val="000E2A71"/>
    <w:rsid w:val="000E2C02"/>
    <w:rsid w:val="000E4944"/>
    <w:rsid w:val="000F12DB"/>
    <w:rsid w:val="000F6799"/>
    <w:rsid w:val="001155B4"/>
    <w:rsid w:val="0012043E"/>
    <w:rsid w:val="0014264E"/>
    <w:rsid w:val="00160263"/>
    <w:rsid w:val="00162E52"/>
    <w:rsid w:val="00181F96"/>
    <w:rsid w:val="00186EBF"/>
    <w:rsid w:val="001A1371"/>
    <w:rsid w:val="001B346A"/>
    <w:rsid w:val="001B516A"/>
    <w:rsid w:val="001C24B4"/>
    <w:rsid w:val="001D2A5A"/>
    <w:rsid w:val="001E1CAD"/>
    <w:rsid w:val="001E290D"/>
    <w:rsid w:val="002144FA"/>
    <w:rsid w:val="002237BD"/>
    <w:rsid w:val="002249DB"/>
    <w:rsid w:val="00226A16"/>
    <w:rsid w:val="00227F5E"/>
    <w:rsid w:val="0023032B"/>
    <w:rsid w:val="0023469A"/>
    <w:rsid w:val="00243C8A"/>
    <w:rsid w:val="0025663A"/>
    <w:rsid w:val="00260106"/>
    <w:rsid w:val="00267A0E"/>
    <w:rsid w:val="002901D9"/>
    <w:rsid w:val="002976C2"/>
    <w:rsid w:val="002E0681"/>
    <w:rsid w:val="002E1370"/>
    <w:rsid w:val="002F33BC"/>
    <w:rsid w:val="00311CF6"/>
    <w:rsid w:val="003260FF"/>
    <w:rsid w:val="003357A8"/>
    <w:rsid w:val="00343D95"/>
    <w:rsid w:val="00374341"/>
    <w:rsid w:val="00384E64"/>
    <w:rsid w:val="00385426"/>
    <w:rsid w:val="00396EEE"/>
    <w:rsid w:val="003C3338"/>
    <w:rsid w:val="003D1062"/>
    <w:rsid w:val="00403D8B"/>
    <w:rsid w:val="00420D7B"/>
    <w:rsid w:val="00440C14"/>
    <w:rsid w:val="0044593C"/>
    <w:rsid w:val="004477B7"/>
    <w:rsid w:val="00450B21"/>
    <w:rsid w:val="00453B63"/>
    <w:rsid w:val="00455780"/>
    <w:rsid w:val="00492331"/>
    <w:rsid w:val="004954F5"/>
    <w:rsid w:val="004B0A1C"/>
    <w:rsid w:val="004D298E"/>
    <w:rsid w:val="00517BC9"/>
    <w:rsid w:val="00523833"/>
    <w:rsid w:val="00532EB4"/>
    <w:rsid w:val="0053535C"/>
    <w:rsid w:val="0054472E"/>
    <w:rsid w:val="00544CF6"/>
    <w:rsid w:val="005662A9"/>
    <w:rsid w:val="0057529C"/>
    <w:rsid w:val="0057722D"/>
    <w:rsid w:val="005827D4"/>
    <w:rsid w:val="00582DAA"/>
    <w:rsid w:val="00591C10"/>
    <w:rsid w:val="0059622A"/>
    <w:rsid w:val="005C5878"/>
    <w:rsid w:val="005C7CEA"/>
    <w:rsid w:val="005D3C0B"/>
    <w:rsid w:val="005D7B11"/>
    <w:rsid w:val="005E4EB5"/>
    <w:rsid w:val="005E5217"/>
    <w:rsid w:val="005E5480"/>
    <w:rsid w:val="005F0FA4"/>
    <w:rsid w:val="005F30CC"/>
    <w:rsid w:val="005F30EE"/>
    <w:rsid w:val="0060473A"/>
    <w:rsid w:val="00611E5F"/>
    <w:rsid w:val="00627012"/>
    <w:rsid w:val="0062770B"/>
    <w:rsid w:val="00632ADE"/>
    <w:rsid w:val="00633404"/>
    <w:rsid w:val="00656392"/>
    <w:rsid w:val="00657F0E"/>
    <w:rsid w:val="00663F22"/>
    <w:rsid w:val="00686112"/>
    <w:rsid w:val="006877C4"/>
    <w:rsid w:val="0068781D"/>
    <w:rsid w:val="006947A1"/>
    <w:rsid w:val="006959B0"/>
    <w:rsid w:val="00697A60"/>
    <w:rsid w:val="006B3E27"/>
    <w:rsid w:val="006B6507"/>
    <w:rsid w:val="006C104C"/>
    <w:rsid w:val="006C4A6C"/>
    <w:rsid w:val="006C51A8"/>
    <w:rsid w:val="006C6AEC"/>
    <w:rsid w:val="006E5387"/>
    <w:rsid w:val="006F79B4"/>
    <w:rsid w:val="00706AF4"/>
    <w:rsid w:val="00733704"/>
    <w:rsid w:val="00737B98"/>
    <w:rsid w:val="00751D47"/>
    <w:rsid w:val="0076629C"/>
    <w:rsid w:val="00773B24"/>
    <w:rsid w:val="0078071A"/>
    <w:rsid w:val="00787E1E"/>
    <w:rsid w:val="007A4A96"/>
    <w:rsid w:val="007B46B6"/>
    <w:rsid w:val="008039F0"/>
    <w:rsid w:val="00803A98"/>
    <w:rsid w:val="00805D3A"/>
    <w:rsid w:val="00841126"/>
    <w:rsid w:val="00852A9A"/>
    <w:rsid w:val="00871A39"/>
    <w:rsid w:val="00885E76"/>
    <w:rsid w:val="008A58ED"/>
    <w:rsid w:val="008B5AB5"/>
    <w:rsid w:val="008C0150"/>
    <w:rsid w:val="008E4297"/>
    <w:rsid w:val="008F49E1"/>
    <w:rsid w:val="0090370F"/>
    <w:rsid w:val="009269D2"/>
    <w:rsid w:val="00942135"/>
    <w:rsid w:val="009521B0"/>
    <w:rsid w:val="0099185F"/>
    <w:rsid w:val="009A7E9F"/>
    <w:rsid w:val="009B06C5"/>
    <w:rsid w:val="009B467E"/>
    <w:rsid w:val="009E5018"/>
    <w:rsid w:val="009E6DEC"/>
    <w:rsid w:val="00A12B37"/>
    <w:rsid w:val="00A12FE1"/>
    <w:rsid w:val="00A13587"/>
    <w:rsid w:val="00A2139D"/>
    <w:rsid w:val="00A30D75"/>
    <w:rsid w:val="00A35322"/>
    <w:rsid w:val="00A72F10"/>
    <w:rsid w:val="00AA0DCE"/>
    <w:rsid w:val="00AA2D35"/>
    <w:rsid w:val="00AA398B"/>
    <w:rsid w:val="00AB6758"/>
    <w:rsid w:val="00AC33C3"/>
    <w:rsid w:val="00AF07CC"/>
    <w:rsid w:val="00B13763"/>
    <w:rsid w:val="00B2404F"/>
    <w:rsid w:val="00B36262"/>
    <w:rsid w:val="00B40322"/>
    <w:rsid w:val="00B477A4"/>
    <w:rsid w:val="00B54045"/>
    <w:rsid w:val="00B64AEC"/>
    <w:rsid w:val="00B833C2"/>
    <w:rsid w:val="00B97382"/>
    <w:rsid w:val="00BA04B9"/>
    <w:rsid w:val="00BB35F6"/>
    <w:rsid w:val="00C037B7"/>
    <w:rsid w:val="00C075C6"/>
    <w:rsid w:val="00C11D20"/>
    <w:rsid w:val="00C37440"/>
    <w:rsid w:val="00C438D7"/>
    <w:rsid w:val="00C632DC"/>
    <w:rsid w:val="00C81B50"/>
    <w:rsid w:val="00CB054E"/>
    <w:rsid w:val="00CB6622"/>
    <w:rsid w:val="00CC1533"/>
    <w:rsid w:val="00CD1801"/>
    <w:rsid w:val="00CD462D"/>
    <w:rsid w:val="00D10229"/>
    <w:rsid w:val="00D10EF1"/>
    <w:rsid w:val="00D42810"/>
    <w:rsid w:val="00D52071"/>
    <w:rsid w:val="00D914A7"/>
    <w:rsid w:val="00DB2974"/>
    <w:rsid w:val="00DB58E0"/>
    <w:rsid w:val="00DC5550"/>
    <w:rsid w:val="00DD13C3"/>
    <w:rsid w:val="00DD596E"/>
    <w:rsid w:val="00DD621E"/>
    <w:rsid w:val="00DF0575"/>
    <w:rsid w:val="00E03E5C"/>
    <w:rsid w:val="00E1488D"/>
    <w:rsid w:val="00E15ED0"/>
    <w:rsid w:val="00E2795D"/>
    <w:rsid w:val="00E309AF"/>
    <w:rsid w:val="00E31DC1"/>
    <w:rsid w:val="00E3608B"/>
    <w:rsid w:val="00E70E04"/>
    <w:rsid w:val="00E722E1"/>
    <w:rsid w:val="00EA4582"/>
    <w:rsid w:val="00EB7B26"/>
    <w:rsid w:val="00EC05A7"/>
    <w:rsid w:val="00EC4B6B"/>
    <w:rsid w:val="00ED7442"/>
    <w:rsid w:val="00EE367E"/>
    <w:rsid w:val="00EF1EE5"/>
    <w:rsid w:val="00F02A8C"/>
    <w:rsid w:val="00F47659"/>
    <w:rsid w:val="00F5304F"/>
    <w:rsid w:val="00F53DD4"/>
    <w:rsid w:val="00F603EA"/>
    <w:rsid w:val="00F674FC"/>
    <w:rsid w:val="00F763B4"/>
    <w:rsid w:val="00F900C3"/>
    <w:rsid w:val="00FE35AE"/>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AFA3-8DE7-4032-8321-9D725B3A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99</TotalTime>
  <Pages>11</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CCPR/C/112/D/1999/2010</vt:lpstr>
    </vt:vector>
  </TitlesOfParts>
  <Company>DCM</Company>
  <LinksUpToDate>false</LinksUpToDate>
  <CharactersWithSpaces>20908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CCPR/C/112/D/1999/2010</dc:title>
  <dc:subject>Boorane-zidane</dc:subject>
  <dc:creator>Morcos M.</dc:creator>
  <cp:keywords/>
  <dc:description/>
  <cp:lastModifiedBy>BALAN</cp:lastModifiedBy>
  <cp:revision>142</cp:revision>
  <cp:lastPrinted>2015-04-09T07:06:00Z</cp:lastPrinted>
  <dcterms:created xsi:type="dcterms:W3CDTF">2015-04-09T05:33:00Z</dcterms:created>
  <dcterms:modified xsi:type="dcterms:W3CDTF">2015-04-09T14:15:00Z</dcterms:modified>
</cp:coreProperties>
</file>