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5A0EF0" w:rsidRPr="00233D47" w:rsidTr="00233846">
        <w:trPr>
          <w:trHeight w:hRule="exact" w:val="851"/>
        </w:trPr>
        <w:tc>
          <w:tcPr>
            <w:tcW w:w="1276" w:type="dxa"/>
            <w:tcBorders>
              <w:bottom w:val="single" w:sz="4" w:space="0" w:color="auto"/>
            </w:tcBorders>
          </w:tcPr>
          <w:p w:rsidR="005A0EF0" w:rsidRPr="00233D47" w:rsidRDefault="005A0EF0" w:rsidP="00233846"/>
        </w:tc>
        <w:tc>
          <w:tcPr>
            <w:tcW w:w="2268" w:type="dxa"/>
            <w:tcBorders>
              <w:bottom w:val="single" w:sz="4" w:space="0" w:color="auto"/>
            </w:tcBorders>
            <w:vAlign w:val="bottom"/>
          </w:tcPr>
          <w:p w:rsidR="005A0EF0" w:rsidRPr="00233D47" w:rsidRDefault="005A0EF0" w:rsidP="00233846">
            <w:pPr>
              <w:spacing w:after="80" w:line="300" w:lineRule="exact"/>
              <w:rPr>
                <w:sz w:val="28"/>
              </w:rPr>
            </w:pPr>
            <w:r w:rsidRPr="00233D47">
              <w:rPr>
                <w:sz w:val="28"/>
              </w:rPr>
              <w:t>Nations Unies</w:t>
            </w:r>
          </w:p>
        </w:tc>
        <w:tc>
          <w:tcPr>
            <w:tcW w:w="6095" w:type="dxa"/>
            <w:gridSpan w:val="2"/>
            <w:tcBorders>
              <w:bottom w:val="single" w:sz="4" w:space="0" w:color="auto"/>
            </w:tcBorders>
            <w:vAlign w:val="bottom"/>
          </w:tcPr>
          <w:p w:rsidR="005A0EF0" w:rsidRPr="00233D47" w:rsidRDefault="005C1870" w:rsidP="005C1870">
            <w:pPr>
              <w:jc w:val="right"/>
            </w:pPr>
            <w:r w:rsidRPr="005C1870">
              <w:rPr>
                <w:sz w:val="40"/>
              </w:rPr>
              <w:t>CCPR</w:t>
            </w:r>
            <w:r>
              <w:t>/C/111/D/1942/2010</w:t>
            </w:r>
          </w:p>
        </w:tc>
      </w:tr>
      <w:tr w:rsidR="005A0EF0" w:rsidRPr="00233D47" w:rsidTr="00233846">
        <w:trPr>
          <w:trHeight w:hRule="exact" w:val="2835"/>
        </w:trPr>
        <w:tc>
          <w:tcPr>
            <w:tcW w:w="1276" w:type="dxa"/>
            <w:tcBorders>
              <w:top w:val="single" w:sz="4" w:space="0" w:color="auto"/>
              <w:bottom w:val="single" w:sz="12" w:space="0" w:color="auto"/>
            </w:tcBorders>
          </w:tcPr>
          <w:p w:rsidR="005A0EF0" w:rsidRPr="00233D47" w:rsidRDefault="005A0EF0" w:rsidP="00233846">
            <w:pPr>
              <w:spacing w:before="120"/>
              <w:jc w:val="center"/>
            </w:pPr>
            <w:r w:rsidRPr="00233D4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5A0EF0" w:rsidRPr="00233D47" w:rsidRDefault="005A0EF0" w:rsidP="00233846">
            <w:pPr>
              <w:spacing w:before="120" w:line="380" w:lineRule="exact"/>
              <w:rPr>
                <w:b/>
                <w:sz w:val="34"/>
                <w:szCs w:val="34"/>
              </w:rPr>
            </w:pPr>
            <w:r w:rsidRPr="00233D47">
              <w:rPr>
                <w:b/>
                <w:sz w:val="34"/>
                <w:szCs w:val="34"/>
              </w:rPr>
              <w:t>Pacte international relatif</w:t>
            </w:r>
            <w:r w:rsidRPr="00233D47">
              <w:rPr>
                <w:b/>
                <w:sz w:val="34"/>
                <w:szCs w:val="34"/>
              </w:rPr>
              <w:br/>
              <w:t>aux droits civils et politiques</w:t>
            </w:r>
          </w:p>
        </w:tc>
        <w:tc>
          <w:tcPr>
            <w:tcW w:w="2835" w:type="dxa"/>
            <w:tcBorders>
              <w:top w:val="single" w:sz="4" w:space="0" w:color="auto"/>
              <w:bottom w:val="single" w:sz="12" w:space="0" w:color="auto"/>
            </w:tcBorders>
          </w:tcPr>
          <w:p w:rsidR="005C1870" w:rsidRDefault="005A0EF0" w:rsidP="00233846">
            <w:pPr>
              <w:spacing w:before="240"/>
            </w:pPr>
            <w:r w:rsidRPr="00233D47">
              <w:t xml:space="preserve">Distr. </w:t>
            </w:r>
            <w:r>
              <w:t>générale</w:t>
            </w:r>
          </w:p>
          <w:p w:rsidR="005C1870" w:rsidRDefault="005C1870" w:rsidP="005C1870">
            <w:pPr>
              <w:spacing w:line="240" w:lineRule="exact"/>
            </w:pPr>
            <w:r>
              <w:t>25 août 2014</w:t>
            </w:r>
          </w:p>
          <w:p w:rsidR="005C1870" w:rsidRDefault="005C1870" w:rsidP="005C1870">
            <w:pPr>
              <w:spacing w:line="240" w:lineRule="exact"/>
            </w:pPr>
            <w:r>
              <w:t>Français</w:t>
            </w:r>
          </w:p>
          <w:p w:rsidR="005A0EF0" w:rsidRPr="00233D47" w:rsidRDefault="005C1870" w:rsidP="005C1870">
            <w:pPr>
              <w:spacing w:line="240" w:lineRule="exact"/>
            </w:pPr>
            <w:r>
              <w:t>Original: anglais</w:t>
            </w:r>
          </w:p>
        </w:tc>
      </w:tr>
    </w:tbl>
    <w:p w:rsidR="00642728" w:rsidRPr="005B01E9" w:rsidRDefault="00642728" w:rsidP="00FD511F">
      <w:pPr>
        <w:spacing w:before="120" w:line="240" w:lineRule="exact"/>
        <w:rPr>
          <w:b/>
          <w:sz w:val="24"/>
          <w:szCs w:val="24"/>
        </w:rPr>
      </w:pPr>
      <w:r w:rsidRPr="005B01E9">
        <w:rPr>
          <w:b/>
          <w:sz w:val="24"/>
          <w:szCs w:val="24"/>
        </w:rPr>
        <w:t>C</w:t>
      </w:r>
      <w:r w:rsidR="00FD511F" w:rsidRPr="005B01E9">
        <w:rPr>
          <w:b/>
          <w:sz w:val="24"/>
          <w:szCs w:val="24"/>
        </w:rPr>
        <w:t>omité des droits de l</w:t>
      </w:r>
      <w:r w:rsidR="00467A6D">
        <w:rPr>
          <w:b/>
          <w:sz w:val="24"/>
          <w:szCs w:val="24"/>
        </w:rPr>
        <w:t>’</w:t>
      </w:r>
      <w:r w:rsidR="00FD511F" w:rsidRPr="005B01E9">
        <w:rPr>
          <w:b/>
          <w:sz w:val="24"/>
          <w:szCs w:val="24"/>
        </w:rPr>
        <w:t>homme</w:t>
      </w:r>
    </w:p>
    <w:p w:rsidR="00BA1175" w:rsidRPr="005B01E9" w:rsidRDefault="00BA1175" w:rsidP="00BA1175">
      <w:pPr>
        <w:pStyle w:val="HChG"/>
      </w:pPr>
      <w:r w:rsidRPr="005B01E9">
        <w:tab/>
      </w:r>
      <w:r w:rsidRPr="005B01E9">
        <w:tab/>
        <w:t>Communication n</w:t>
      </w:r>
      <w:r w:rsidRPr="005B01E9">
        <w:rPr>
          <w:vertAlign w:val="superscript"/>
        </w:rPr>
        <w:t>o</w:t>
      </w:r>
      <w:r w:rsidRPr="005B01E9">
        <w:t> </w:t>
      </w:r>
      <w:r w:rsidR="005C1870">
        <w:t>1942/2010</w:t>
      </w:r>
    </w:p>
    <w:p w:rsidR="00642728" w:rsidRPr="005B01E9" w:rsidRDefault="00FD511F" w:rsidP="00BA1175">
      <w:pPr>
        <w:pStyle w:val="H1G"/>
      </w:pPr>
      <w:r w:rsidRPr="005B01E9">
        <w:tab/>
      </w:r>
      <w:r w:rsidRPr="005B01E9">
        <w:tab/>
      </w:r>
      <w:r w:rsidR="0092636E" w:rsidRPr="005B01E9">
        <w:rPr>
          <w:szCs w:val="24"/>
        </w:rPr>
        <w:t xml:space="preserve">Constatations adoptées par le Comité à sa </w:t>
      </w:r>
      <w:r w:rsidR="005C1870">
        <w:rPr>
          <w:szCs w:val="24"/>
        </w:rPr>
        <w:t>111</w:t>
      </w:r>
      <w:r w:rsidR="005C1870" w:rsidRPr="005C1870">
        <w:rPr>
          <w:szCs w:val="24"/>
          <w:vertAlign w:val="superscript"/>
        </w:rPr>
        <w:t>e</w:t>
      </w:r>
      <w:r w:rsidR="005C1870">
        <w:rPr>
          <w:szCs w:val="24"/>
        </w:rPr>
        <w:t> </w:t>
      </w:r>
      <w:r w:rsidR="0092636E" w:rsidRPr="005B01E9">
        <w:rPr>
          <w:szCs w:val="24"/>
        </w:rPr>
        <w:t>session</w:t>
      </w:r>
      <w:r w:rsidR="0092636E" w:rsidRPr="005B01E9">
        <w:rPr>
          <w:szCs w:val="24"/>
        </w:rPr>
        <w:br/>
      </w:r>
      <w:r w:rsidR="00BA1175" w:rsidRPr="005B01E9">
        <w:rPr>
          <w:szCs w:val="24"/>
        </w:rPr>
        <w:t>(</w:t>
      </w:r>
      <w:r w:rsidR="005C1870">
        <w:rPr>
          <w:szCs w:val="24"/>
        </w:rPr>
        <w:t>7</w:t>
      </w:r>
      <w:r w:rsidR="005C1870">
        <w:rPr>
          <w:szCs w:val="24"/>
        </w:rPr>
        <w:noBreakHyphen/>
        <w:t>25 juillet 2014)</w:t>
      </w:r>
    </w:p>
    <w:tbl>
      <w:tblPr>
        <w:tblW w:w="0" w:type="auto"/>
        <w:tblInd w:w="1701" w:type="dxa"/>
        <w:tblLayout w:type="fixed"/>
        <w:tblCellMar>
          <w:left w:w="0" w:type="dxa"/>
          <w:right w:w="0" w:type="dxa"/>
        </w:tblCellMar>
        <w:tblLook w:val="01E0"/>
      </w:tblPr>
      <w:tblGrid>
        <w:gridCol w:w="2835"/>
        <w:gridCol w:w="3969"/>
      </w:tblGrid>
      <w:tr w:rsidR="0092636E" w:rsidRPr="00814A49" w:rsidTr="00814A49">
        <w:tc>
          <w:tcPr>
            <w:tcW w:w="2835" w:type="dxa"/>
            <w:shd w:val="clear" w:color="auto" w:fill="auto"/>
          </w:tcPr>
          <w:p w:rsidR="0092636E" w:rsidRPr="00814A49" w:rsidRDefault="0092636E" w:rsidP="003B6A72">
            <w:pPr>
              <w:rPr>
                <w:i/>
              </w:rPr>
            </w:pPr>
            <w:r w:rsidRPr="00814A49">
              <w:rPr>
                <w:i/>
              </w:rPr>
              <w:t>Communication présentée par</w:t>
            </w:r>
            <w:r w:rsidR="003B6A72" w:rsidRPr="005B01E9">
              <w:t>:</w:t>
            </w:r>
          </w:p>
        </w:tc>
        <w:tc>
          <w:tcPr>
            <w:tcW w:w="3969" w:type="dxa"/>
            <w:shd w:val="clear" w:color="auto" w:fill="auto"/>
          </w:tcPr>
          <w:p w:rsidR="0092636E" w:rsidRPr="005B01E9" w:rsidRDefault="005C1870" w:rsidP="00814A49">
            <w:pPr>
              <w:spacing w:after="120"/>
            </w:pPr>
            <w:r>
              <w:t>T.L.N.</w:t>
            </w:r>
            <w:r w:rsidRPr="00387A13">
              <w:t xml:space="preserve"> </w:t>
            </w:r>
            <w:r>
              <w:t>(</w:t>
            </w:r>
            <w:r w:rsidRPr="000D2778">
              <w:t>représenté par un conseil</w:t>
            </w:r>
            <w:r>
              <w:t>, Steinar </w:t>
            </w:r>
            <w:r w:rsidRPr="00387A13">
              <w:t>Thomassen</w:t>
            </w:r>
            <w:r w:rsidRPr="000D2778">
              <w:t>)</w:t>
            </w:r>
          </w:p>
        </w:tc>
      </w:tr>
      <w:tr w:rsidR="0092636E" w:rsidRPr="00814A49" w:rsidTr="00814A49">
        <w:tc>
          <w:tcPr>
            <w:tcW w:w="2835" w:type="dxa"/>
            <w:shd w:val="clear" w:color="auto" w:fill="auto"/>
          </w:tcPr>
          <w:p w:rsidR="0092636E" w:rsidRPr="00814A49" w:rsidRDefault="0092636E" w:rsidP="003B6A72">
            <w:pPr>
              <w:rPr>
                <w:i/>
              </w:rPr>
            </w:pPr>
            <w:r w:rsidRPr="00814A49">
              <w:rPr>
                <w:i/>
              </w:rPr>
              <w:t>Au nom de</w:t>
            </w:r>
            <w:r w:rsidR="003B6A72" w:rsidRPr="005B01E9">
              <w:t>:</w:t>
            </w:r>
          </w:p>
        </w:tc>
        <w:tc>
          <w:tcPr>
            <w:tcW w:w="3969" w:type="dxa"/>
            <w:shd w:val="clear" w:color="auto" w:fill="auto"/>
          </w:tcPr>
          <w:p w:rsidR="0092636E" w:rsidRPr="005B01E9" w:rsidRDefault="005C1870" w:rsidP="00814A49">
            <w:pPr>
              <w:spacing w:after="120"/>
            </w:pPr>
            <w:r w:rsidRPr="000D2778">
              <w:t>L</w:t>
            </w:r>
            <w:r w:rsidR="00467A6D">
              <w:t>’</w:t>
            </w:r>
            <w:r w:rsidRPr="000D2778">
              <w:t>auteur</w:t>
            </w:r>
          </w:p>
        </w:tc>
      </w:tr>
      <w:tr w:rsidR="0092636E" w:rsidRPr="00814A49" w:rsidTr="00814A49">
        <w:tc>
          <w:tcPr>
            <w:tcW w:w="2835" w:type="dxa"/>
            <w:shd w:val="clear" w:color="auto" w:fill="auto"/>
          </w:tcPr>
          <w:p w:rsidR="0092636E" w:rsidRPr="00814A49" w:rsidRDefault="0092636E" w:rsidP="003B6A72">
            <w:pPr>
              <w:rPr>
                <w:i/>
              </w:rPr>
            </w:pPr>
            <w:r w:rsidRPr="00814A49">
              <w:rPr>
                <w:i/>
              </w:rPr>
              <w:t>État partie</w:t>
            </w:r>
            <w:r w:rsidR="003B6A72" w:rsidRPr="005B01E9">
              <w:t>:</w:t>
            </w:r>
          </w:p>
        </w:tc>
        <w:tc>
          <w:tcPr>
            <w:tcW w:w="3969" w:type="dxa"/>
            <w:shd w:val="clear" w:color="auto" w:fill="auto"/>
          </w:tcPr>
          <w:p w:rsidR="0092636E" w:rsidRPr="005B01E9" w:rsidRDefault="005C1870" w:rsidP="00814A49">
            <w:pPr>
              <w:spacing w:after="120"/>
            </w:pPr>
            <w:r>
              <w:t>Norvège</w:t>
            </w:r>
          </w:p>
        </w:tc>
      </w:tr>
      <w:tr w:rsidR="0092636E" w:rsidRPr="00814A49" w:rsidTr="00814A49">
        <w:tc>
          <w:tcPr>
            <w:tcW w:w="2835" w:type="dxa"/>
            <w:shd w:val="clear" w:color="auto" w:fill="auto"/>
          </w:tcPr>
          <w:p w:rsidR="0092636E" w:rsidRPr="00814A49" w:rsidRDefault="0092636E" w:rsidP="003B6A72">
            <w:pPr>
              <w:rPr>
                <w:i/>
              </w:rPr>
            </w:pPr>
            <w:r w:rsidRPr="00814A49">
              <w:rPr>
                <w:i/>
              </w:rPr>
              <w:t>Date de la communication</w:t>
            </w:r>
            <w:r w:rsidR="003B6A72" w:rsidRPr="005B01E9">
              <w:t>:</w:t>
            </w:r>
          </w:p>
        </w:tc>
        <w:tc>
          <w:tcPr>
            <w:tcW w:w="3969" w:type="dxa"/>
            <w:shd w:val="clear" w:color="auto" w:fill="auto"/>
          </w:tcPr>
          <w:p w:rsidR="0092636E" w:rsidRPr="005B01E9" w:rsidRDefault="005C1870" w:rsidP="00814A49">
            <w:pPr>
              <w:spacing w:after="120"/>
            </w:pPr>
            <w:r>
              <w:t>11 décembre 2009</w:t>
            </w:r>
            <w:r w:rsidR="005B01E9" w:rsidRPr="005B01E9">
              <w:t xml:space="preserve"> </w:t>
            </w:r>
            <w:r w:rsidR="0092636E" w:rsidRPr="005B01E9">
              <w:t>(date de la lettre initiale)</w:t>
            </w:r>
          </w:p>
        </w:tc>
      </w:tr>
      <w:tr w:rsidR="0092636E" w:rsidRPr="00814A49" w:rsidTr="00814A49">
        <w:tc>
          <w:tcPr>
            <w:tcW w:w="2835" w:type="dxa"/>
            <w:shd w:val="clear" w:color="auto" w:fill="auto"/>
          </w:tcPr>
          <w:p w:rsidR="0092636E" w:rsidRPr="00814A49" w:rsidRDefault="0092636E" w:rsidP="003B6A72">
            <w:pPr>
              <w:rPr>
                <w:i/>
              </w:rPr>
            </w:pPr>
            <w:r w:rsidRPr="00814A49">
              <w:rPr>
                <w:i/>
              </w:rPr>
              <w:t>Références</w:t>
            </w:r>
            <w:r w:rsidR="003B6A72" w:rsidRPr="005B01E9">
              <w:t>:</w:t>
            </w:r>
          </w:p>
        </w:tc>
        <w:tc>
          <w:tcPr>
            <w:tcW w:w="3969" w:type="dxa"/>
            <w:shd w:val="clear" w:color="auto" w:fill="auto"/>
          </w:tcPr>
          <w:p w:rsidR="0092636E" w:rsidRPr="005B01E9" w:rsidRDefault="005C1870" w:rsidP="00814A49">
            <w:pPr>
              <w:spacing w:after="120"/>
            </w:pPr>
            <w:r w:rsidRPr="000D2778">
              <w:t>Décision prise par le Rapporteur spécial en application de l</w:t>
            </w:r>
            <w:r w:rsidR="00467A6D">
              <w:t>’</w:t>
            </w:r>
            <w:r w:rsidRPr="000D2778">
              <w:t>article</w:t>
            </w:r>
            <w:r>
              <w:t> </w:t>
            </w:r>
            <w:r w:rsidRPr="000D2778">
              <w:t>97 du règlement intérieur, communiquée à l</w:t>
            </w:r>
            <w:r w:rsidR="00467A6D">
              <w:t>’</w:t>
            </w:r>
            <w:r w:rsidRPr="000D2778">
              <w:t xml:space="preserve">État partie le </w:t>
            </w:r>
            <w:r>
              <w:t xml:space="preserve">14 mai 2010 (non publiée sous forme de </w:t>
            </w:r>
            <w:r w:rsidRPr="000D2778">
              <w:t>document)</w:t>
            </w:r>
          </w:p>
        </w:tc>
      </w:tr>
      <w:tr w:rsidR="0092636E" w:rsidRPr="00814A49" w:rsidTr="00814A49">
        <w:tc>
          <w:tcPr>
            <w:tcW w:w="2835" w:type="dxa"/>
            <w:shd w:val="clear" w:color="auto" w:fill="auto"/>
          </w:tcPr>
          <w:p w:rsidR="0092636E" w:rsidRPr="00814A49" w:rsidRDefault="0092636E" w:rsidP="003B6A72">
            <w:pPr>
              <w:rPr>
                <w:i/>
              </w:rPr>
            </w:pPr>
            <w:r w:rsidRPr="00814A49">
              <w:rPr>
                <w:i/>
              </w:rPr>
              <w:t>Date des constatations</w:t>
            </w:r>
            <w:r w:rsidR="00497C34" w:rsidRPr="005B01E9">
              <w:t>:</w:t>
            </w:r>
          </w:p>
        </w:tc>
        <w:tc>
          <w:tcPr>
            <w:tcW w:w="3969" w:type="dxa"/>
            <w:shd w:val="clear" w:color="auto" w:fill="auto"/>
            <w:vAlign w:val="bottom"/>
          </w:tcPr>
          <w:p w:rsidR="0092636E" w:rsidRPr="005B01E9" w:rsidRDefault="008A43DC" w:rsidP="00814A49">
            <w:pPr>
              <w:spacing w:after="120"/>
            </w:pPr>
            <w:r>
              <w:t>16 </w:t>
            </w:r>
            <w:r w:rsidRPr="000D2778">
              <w:t>juillet 2014</w:t>
            </w:r>
          </w:p>
        </w:tc>
      </w:tr>
      <w:tr w:rsidR="0092636E" w:rsidRPr="00814A49" w:rsidTr="00814A49">
        <w:tc>
          <w:tcPr>
            <w:tcW w:w="2835" w:type="dxa"/>
            <w:shd w:val="clear" w:color="auto" w:fill="auto"/>
          </w:tcPr>
          <w:p w:rsidR="0092636E" w:rsidRPr="00814A49" w:rsidRDefault="0092636E" w:rsidP="003B6A72">
            <w:pPr>
              <w:rPr>
                <w:i/>
              </w:rPr>
            </w:pPr>
            <w:r w:rsidRPr="00814A49">
              <w:rPr>
                <w:i/>
              </w:rPr>
              <w:t>Objet</w:t>
            </w:r>
            <w:r w:rsidR="003B6A72" w:rsidRPr="005B01E9">
              <w:t>:</w:t>
            </w:r>
          </w:p>
        </w:tc>
        <w:tc>
          <w:tcPr>
            <w:tcW w:w="3969" w:type="dxa"/>
            <w:shd w:val="clear" w:color="auto" w:fill="auto"/>
          </w:tcPr>
          <w:p w:rsidR="0092636E" w:rsidRPr="005B01E9" w:rsidRDefault="008A43DC" w:rsidP="00814A49">
            <w:pPr>
              <w:spacing w:after="120"/>
            </w:pPr>
            <w:r>
              <w:t>Défaut de motivation d</w:t>
            </w:r>
            <w:r w:rsidR="00467A6D">
              <w:t>’</w:t>
            </w:r>
            <w:r>
              <w:t>un jugement rendu en appel par un jury à la suite du recours exercé par l</w:t>
            </w:r>
            <w:r w:rsidR="00467A6D">
              <w:t>’</w:t>
            </w:r>
            <w:r>
              <w:t>auteur contre sa condamnation au pénal</w:t>
            </w:r>
          </w:p>
        </w:tc>
      </w:tr>
      <w:tr w:rsidR="008433B5" w:rsidRPr="00814A49" w:rsidTr="00814A49">
        <w:tc>
          <w:tcPr>
            <w:tcW w:w="2835" w:type="dxa"/>
            <w:shd w:val="clear" w:color="auto" w:fill="auto"/>
          </w:tcPr>
          <w:p w:rsidR="008433B5" w:rsidRPr="00814A49" w:rsidRDefault="008433B5" w:rsidP="003B6A72">
            <w:pPr>
              <w:rPr>
                <w:i/>
              </w:rPr>
            </w:pPr>
            <w:r w:rsidRPr="00814A49">
              <w:rPr>
                <w:i/>
              </w:rPr>
              <w:t>Question</w:t>
            </w:r>
            <w:r w:rsidR="004E6FFF" w:rsidRPr="00814A49">
              <w:rPr>
                <w:i/>
              </w:rPr>
              <w:t>(</w:t>
            </w:r>
            <w:r w:rsidRPr="00814A49">
              <w:rPr>
                <w:i/>
              </w:rPr>
              <w:t>s</w:t>
            </w:r>
            <w:r w:rsidR="004E6FFF" w:rsidRPr="00814A49">
              <w:rPr>
                <w:i/>
              </w:rPr>
              <w:t>)</w:t>
            </w:r>
            <w:r w:rsidRPr="00814A49">
              <w:rPr>
                <w:i/>
              </w:rPr>
              <w:t xml:space="preserve"> de fond</w:t>
            </w:r>
            <w:r w:rsidR="003B6A72" w:rsidRPr="005B01E9">
              <w:t>:</w:t>
            </w:r>
          </w:p>
        </w:tc>
        <w:tc>
          <w:tcPr>
            <w:tcW w:w="3969" w:type="dxa"/>
            <w:shd w:val="clear" w:color="auto" w:fill="auto"/>
            <w:vAlign w:val="bottom"/>
          </w:tcPr>
          <w:p w:rsidR="008433B5" w:rsidRPr="005B01E9" w:rsidRDefault="008A43DC" w:rsidP="00814A49">
            <w:pPr>
              <w:spacing w:after="120"/>
            </w:pPr>
            <w:r>
              <w:t>Droit de faire examiner par une juridiction supérieure la déclaration de culpabilité et la condamnation</w:t>
            </w:r>
          </w:p>
        </w:tc>
      </w:tr>
      <w:tr w:rsidR="00E13C48" w:rsidRPr="00814A49" w:rsidTr="00814A49">
        <w:tc>
          <w:tcPr>
            <w:tcW w:w="2835" w:type="dxa"/>
            <w:shd w:val="clear" w:color="auto" w:fill="auto"/>
          </w:tcPr>
          <w:p w:rsidR="00E13C48" w:rsidRPr="00814A49" w:rsidRDefault="00E13C48" w:rsidP="00814A49">
            <w:pPr>
              <w:rPr>
                <w:i/>
              </w:rPr>
            </w:pPr>
            <w:r w:rsidRPr="00814A49">
              <w:rPr>
                <w:i/>
              </w:rPr>
              <w:t>Question(s) de procédure</w:t>
            </w:r>
            <w:r w:rsidRPr="005B01E9">
              <w:t>:</w:t>
            </w:r>
          </w:p>
        </w:tc>
        <w:tc>
          <w:tcPr>
            <w:tcW w:w="3969" w:type="dxa"/>
            <w:shd w:val="clear" w:color="auto" w:fill="auto"/>
          </w:tcPr>
          <w:p w:rsidR="00E13C48" w:rsidRPr="005B01E9" w:rsidRDefault="00E13C48" w:rsidP="00814A49">
            <w:pPr>
              <w:spacing w:after="120"/>
            </w:pPr>
            <w:r>
              <w:t>Néant</w:t>
            </w:r>
          </w:p>
        </w:tc>
      </w:tr>
      <w:tr w:rsidR="008433B5" w:rsidRPr="00814A49" w:rsidTr="00814A49">
        <w:tc>
          <w:tcPr>
            <w:tcW w:w="2835" w:type="dxa"/>
            <w:shd w:val="clear" w:color="auto" w:fill="auto"/>
          </w:tcPr>
          <w:p w:rsidR="008433B5" w:rsidRPr="00814A49" w:rsidRDefault="008433B5" w:rsidP="003B6A72">
            <w:pPr>
              <w:rPr>
                <w:i/>
              </w:rPr>
            </w:pPr>
            <w:r w:rsidRPr="00814A49">
              <w:rPr>
                <w:i/>
              </w:rPr>
              <w:t>Article(s) du Pacte</w:t>
            </w:r>
            <w:r w:rsidR="003B6A72" w:rsidRPr="005B01E9">
              <w:t>:</w:t>
            </w:r>
          </w:p>
        </w:tc>
        <w:tc>
          <w:tcPr>
            <w:tcW w:w="3969" w:type="dxa"/>
            <w:shd w:val="clear" w:color="auto" w:fill="auto"/>
            <w:vAlign w:val="bottom"/>
          </w:tcPr>
          <w:p w:rsidR="008433B5" w:rsidRPr="005B01E9" w:rsidRDefault="008A43DC" w:rsidP="00814A49">
            <w:pPr>
              <w:spacing w:after="120"/>
            </w:pPr>
            <w:r>
              <w:t>14 (par. 5)</w:t>
            </w:r>
          </w:p>
        </w:tc>
      </w:tr>
      <w:tr w:rsidR="008433B5" w:rsidRPr="00814A49" w:rsidTr="00814A49">
        <w:tc>
          <w:tcPr>
            <w:tcW w:w="2835" w:type="dxa"/>
            <w:shd w:val="clear" w:color="auto" w:fill="auto"/>
          </w:tcPr>
          <w:p w:rsidR="008433B5" w:rsidRPr="00814A49" w:rsidRDefault="008433B5" w:rsidP="003B6A72">
            <w:pPr>
              <w:rPr>
                <w:i/>
              </w:rPr>
            </w:pPr>
            <w:r w:rsidRPr="00814A49">
              <w:rPr>
                <w:i/>
              </w:rPr>
              <w:t>Article(s) du Protocole facultatif</w:t>
            </w:r>
            <w:r w:rsidR="003B6A72" w:rsidRPr="005B01E9">
              <w:t>:</w:t>
            </w:r>
          </w:p>
        </w:tc>
        <w:tc>
          <w:tcPr>
            <w:tcW w:w="3969" w:type="dxa"/>
            <w:shd w:val="clear" w:color="auto" w:fill="auto"/>
            <w:vAlign w:val="bottom"/>
          </w:tcPr>
          <w:p w:rsidR="008433B5" w:rsidRPr="005B01E9" w:rsidRDefault="008A43DC" w:rsidP="00814A49">
            <w:pPr>
              <w:spacing w:after="120"/>
            </w:pPr>
            <w:r>
              <w:noBreakHyphen/>
            </w:r>
          </w:p>
        </w:tc>
      </w:tr>
    </w:tbl>
    <w:p w:rsidR="00642728" w:rsidRPr="005B01E9" w:rsidRDefault="007B0586" w:rsidP="007B0586">
      <w:pPr>
        <w:pStyle w:val="HChG"/>
      </w:pPr>
      <w:r w:rsidRPr="005B01E9">
        <w:br w:type="page"/>
      </w:r>
      <w:r w:rsidR="00642728" w:rsidRPr="005B01E9">
        <w:t>A</w:t>
      </w:r>
      <w:r w:rsidR="00B57784" w:rsidRPr="005B01E9">
        <w:t>nnexe</w:t>
      </w:r>
    </w:p>
    <w:p w:rsidR="00642728" w:rsidRPr="005B01E9" w:rsidRDefault="00B57784" w:rsidP="008433B5">
      <w:pPr>
        <w:pStyle w:val="HChG"/>
      </w:pPr>
      <w:r w:rsidRPr="005B01E9">
        <w:tab/>
      </w:r>
      <w:r w:rsidRPr="005B01E9">
        <w:tab/>
      </w:r>
      <w:r w:rsidR="008433B5" w:rsidRPr="005B01E9">
        <w:t>Constatations du Comité des droits de l</w:t>
      </w:r>
      <w:r w:rsidR="00467A6D">
        <w:t>’</w:t>
      </w:r>
      <w:r w:rsidR="008433B5" w:rsidRPr="005B01E9">
        <w:t>homme au titre</w:t>
      </w:r>
      <w:r w:rsidR="008433B5" w:rsidRPr="005B01E9">
        <w:br/>
        <w:t>du paragraphe 4 de l</w:t>
      </w:r>
      <w:r w:rsidR="00467A6D">
        <w:t>’</w:t>
      </w:r>
      <w:r w:rsidR="00F62F68">
        <w:t>article </w:t>
      </w:r>
      <w:r w:rsidR="008433B5" w:rsidRPr="005B01E9">
        <w:t>5 du Protocole facultatif</w:t>
      </w:r>
      <w:r w:rsidR="008433B5" w:rsidRPr="005B01E9">
        <w:br/>
        <w:t>se rapportant au Pacte international relatif aux droits</w:t>
      </w:r>
      <w:r w:rsidR="008433B5" w:rsidRPr="005B01E9">
        <w:br/>
        <w:t>civils et politiques (</w:t>
      </w:r>
      <w:r w:rsidR="00F62F68">
        <w:t>111</w:t>
      </w:r>
      <w:r w:rsidR="00F62F68" w:rsidRPr="00F62F68">
        <w:rPr>
          <w:vertAlign w:val="superscript"/>
        </w:rPr>
        <w:t>e</w:t>
      </w:r>
      <w:r w:rsidR="00F62F68">
        <w:t> </w:t>
      </w:r>
      <w:r w:rsidR="008433B5" w:rsidRPr="005B01E9">
        <w:t>session)</w:t>
      </w:r>
    </w:p>
    <w:p w:rsidR="00642728" w:rsidRPr="005B01E9" w:rsidRDefault="00642728" w:rsidP="00BA405E">
      <w:pPr>
        <w:pStyle w:val="SingleTxtG"/>
      </w:pPr>
      <w:r w:rsidRPr="005B01E9">
        <w:t>concernant la</w:t>
      </w:r>
    </w:p>
    <w:p w:rsidR="00642728" w:rsidRPr="005B01E9" w:rsidRDefault="00B57784" w:rsidP="00757D82">
      <w:pPr>
        <w:pStyle w:val="H1G"/>
      </w:pPr>
      <w:r w:rsidRPr="005B01E9">
        <w:tab/>
      </w:r>
      <w:r w:rsidRPr="005B01E9">
        <w:tab/>
      </w:r>
      <w:r w:rsidR="00642728" w:rsidRPr="005B01E9">
        <w:t xml:space="preserve">Communication </w:t>
      </w:r>
      <w:r w:rsidR="00642728" w:rsidRPr="005B01E9">
        <w:rPr>
          <w:rFonts w:eastAsia="MS Mincho"/>
        </w:rPr>
        <w:t>n</w:t>
      </w:r>
      <w:r w:rsidR="00642728" w:rsidRPr="005B01E9">
        <w:rPr>
          <w:rFonts w:eastAsia="MS Mincho"/>
          <w:vertAlign w:val="superscript"/>
        </w:rPr>
        <w:t>o</w:t>
      </w:r>
      <w:r w:rsidR="00F62F68">
        <w:t> 1942/2010</w:t>
      </w:r>
      <w:r w:rsidR="008433B5" w:rsidRPr="00F62F68">
        <w:rPr>
          <w:rStyle w:val="FootnoteReference"/>
          <w:rFonts w:eastAsia="MS Mincho"/>
          <w:b w:val="0"/>
          <w:bCs/>
          <w:sz w:val="20"/>
          <w:vertAlign w:val="baseline"/>
        </w:rPr>
        <w:footnoteReference w:customMarkFollows="1" w:id="2"/>
        <w:t>*</w:t>
      </w:r>
    </w:p>
    <w:tbl>
      <w:tblPr>
        <w:tblW w:w="6804" w:type="dxa"/>
        <w:tblInd w:w="1701" w:type="dxa"/>
        <w:tblLayout w:type="fixed"/>
        <w:tblCellMar>
          <w:left w:w="0" w:type="dxa"/>
          <w:right w:w="0" w:type="dxa"/>
        </w:tblCellMar>
        <w:tblLook w:val="01E0"/>
      </w:tblPr>
      <w:tblGrid>
        <w:gridCol w:w="2410"/>
        <w:gridCol w:w="4394"/>
      </w:tblGrid>
      <w:tr w:rsidR="008433B5" w:rsidRPr="005B01E9" w:rsidTr="00814A49">
        <w:tc>
          <w:tcPr>
            <w:tcW w:w="2410" w:type="dxa"/>
            <w:shd w:val="clear" w:color="auto" w:fill="auto"/>
          </w:tcPr>
          <w:p w:rsidR="008433B5" w:rsidRPr="00814A49" w:rsidRDefault="008433B5" w:rsidP="00814A49">
            <w:pPr>
              <w:spacing w:after="120"/>
              <w:rPr>
                <w:i/>
              </w:rPr>
            </w:pPr>
            <w:r w:rsidRPr="00814A49">
              <w:rPr>
                <w:i/>
              </w:rPr>
              <w:t>Présentée par</w:t>
            </w:r>
            <w:r w:rsidRPr="005B01E9">
              <w:t>:</w:t>
            </w:r>
          </w:p>
        </w:tc>
        <w:tc>
          <w:tcPr>
            <w:tcW w:w="4394" w:type="dxa"/>
            <w:shd w:val="clear" w:color="auto" w:fill="auto"/>
          </w:tcPr>
          <w:p w:rsidR="008433B5" w:rsidRPr="005B01E9" w:rsidRDefault="00554CC1" w:rsidP="00814A49">
            <w:pPr>
              <w:spacing w:after="120"/>
            </w:pPr>
            <w:r>
              <w:t>T.L.N. (représenté par un conseil, Steinar Thomassen)</w:t>
            </w:r>
          </w:p>
        </w:tc>
      </w:tr>
      <w:tr w:rsidR="008433B5" w:rsidRPr="005B01E9" w:rsidTr="00814A49">
        <w:tc>
          <w:tcPr>
            <w:tcW w:w="2410" w:type="dxa"/>
            <w:shd w:val="clear" w:color="auto" w:fill="auto"/>
          </w:tcPr>
          <w:p w:rsidR="008433B5" w:rsidRPr="00814A49" w:rsidRDefault="008433B5" w:rsidP="00814A49">
            <w:pPr>
              <w:spacing w:after="120"/>
              <w:rPr>
                <w:i/>
              </w:rPr>
            </w:pPr>
            <w:r w:rsidRPr="00814A49">
              <w:rPr>
                <w:i/>
              </w:rPr>
              <w:t>Au nom de</w:t>
            </w:r>
            <w:r w:rsidRPr="005B01E9">
              <w:t>:</w:t>
            </w:r>
          </w:p>
        </w:tc>
        <w:tc>
          <w:tcPr>
            <w:tcW w:w="4394" w:type="dxa"/>
            <w:shd w:val="clear" w:color="auto" w:fill="auto"/>
          </w:tcPr>
          <w:p w:rsidR="008433B5" w:rsidRPr="005B01E9" w:rsidRDefault="00554CC1" w:rsidP="00814A49">
            <w:pPr>
              <w:spacing w:after="120"/>
            </w:pPr>
            <w:r>
              <w:t>L</w:t>
            </w:r>
            <w:r w:rsidR="00467A6D">
              <w:t>’</w:t>
            </w:r>
            <w:r>
              <w:t>auteur</w:t>
            </w:r>
          </w:p>
        </w:tc>
      </w:tr>
      <w:tr w:rsidR="008433B5" w:rsidRPr="005B01E9" w:rsidTr="00814A49">
        <w:tc>
          <w:tcPr>
            <w:tcW w:w="2410" w:type="dxa"/>
            <w:shd w:val="clear" w:color="auto" w:fill="auto"/>
          </w:tcPr>
          <w:p w:rsidR="008433B5" w:rsidRPr="00814A49" w:rsidRDefault="008433B5" w:rsidP="00814A49">
            <w:pPr>
              <w:spacing w:after="120"/>
              <w:rPr>
                <w:i/>
              </w:rPr>
            </w:pPr>
            <w:r w:rsidRPr="00814A49">
              <w:rPr>
                <w:i/>
              </w:rPr>
              <w:t>État partie</w:t>
            </w:r>
            <w:r w:rsidRPr="005B01E9">
              <w:t>:</w:t>
            </w:r>
          </w:p>
        </w:tc>
        <w:tc>
          <w:tcPr>
            <w:tcW w:w="4394" w:type="dxa"/>
            <w:shd w:val="clear" w:color="auto" w:fill="auto"/>
          </w:tcPr>
          <w:p w:rsidR="008433B5" w:rsidRPr="005B01E9" w:rsidRDefault="00554CC1" w:rsidP="00814A49">
            <w:pPr>
              <w:spacing w:after="120"/>
            </w:pPr>
            <w:r>
              <w:t>Norvège</w:t>
            </w:r>
          </w:p>
        </w:tc>
      </w:tr>
      <w:tr w:rsidR="008433B5" w:rsidRPr="005B01E9" w:rsidTr="00814A49">
        <w:tc>
          <w:tcPr>
            <w:tcW w:w="2410" w:type="dxa"/>
            <w:shd w:val="clear" w:color="auto" w:fill="auto"/>
          </w:tcPr>
          <w:p w:rsidR="008433B5" w:rsidRPr="00814A49" w:rsidRDefault="008433B5" w:rsidP="00814A49">
            <w:pPr>
              <w:spacing w:after="240"/>
              <w:rPr>
                <w:i/>
              </w:rPr>
            </w:pPr>
            <w:r w:rsidRPr="00814A49">
              <w:rPr>
                <w:i/>
              </w:rPr>
              <w:t>Date de la communication</w:t>
            </w:r>
            <w:r w:rsidRPr="005B01E9">
              <w:t>:</w:t>
            </w:r>
          </w:p>
        </w:tc>
        <w:tc>
          <w:tcPr>
            <w:tcW w:w="4394" w:type="dxa"/>
            <w:shd w:val="clear" w:color="auto" w:fill="auto"/>
          </w:tcPr>
          <w:p w:rsidR="008433B5" w:rsidRPr="005B01E9" w:rsidRDefault="00554CC1" w:rsidP="00814A49">
            <w:pPr>
              <w:spacing w:after="120"/>
            </w:pPr>
            <w:r>
              <w:t>11 décembre 2009</w:t>
            </w:r>
            <w:r w:rsidR="005B01E9" w:rsidRPr="005B01E9">
              <w:t xml:space="preserve"> </w:t>
            </w:r>
            <w:r w:rsidR="008433B5" w:rsidRPr="005B01E9">
              <w:t>(date de la lettre initiale)</w:t>
            </w:r>
          </w:p>
        </w:tc>
      </w:tr>
    </w:tbl>
    <w:p w:rsidR="008433B5" w:rsidRPr="005B01E9" w:rsidRDefault="008433B5" w:rsidP="008433B5">
      <w:pPr>
        <w:pStyle w:val="SingleTxtG"/>
        <w:ind w:firstLine="567"/>
      </w:pPr>
      <w:r w:rsidRPr="005B01E9">
        <w:rPr>
          <w:i/>
          <w:iCs/>
        </w:rPr>
        <w:t>Le Comité des droits de l</w:t>
      </w:r>
      <w:r w:rsidR="00467A6D">
        <w:rPr>
          <w:i/>
          <w:iCs/>
        </w:rPr>
        <w:t>’</w:t>
      </w:r>
      <w:r w:rsidRPr="005B01E9">
        <w:rPr>
          <w:i/>
          <w:iCs/>
        </w:rPr>
        <w:t>homme</w:t>
      </w:r>
      <w:r w:rsidRPr="005B01E9">
        <w:t>, institué en vertu de l</w:t>
      </w:r>
      <w:r w:rsidR="00467A6D">
        <w:t>’</w:t>
      </w:r>
      <w:r w:rsidR="00C9549A">
        <w:t>article </w:t>
      </w:r>
      <w:r w:rsidRPr="005B01E9">
        <w:t>28 du Pacte international relatif aux droits civils et politiques,</w:t>
      </w:r>
    </w:p>
    <w:p w:rsidR="008433B5" w:rsidRPr="005B01E9" w:rsidRDefault="008433B5" w:rsidP="008433B5">
      <w:pPr>
        <w:pStyle w:val="SingleTxtG"/>
        <w:ind w:firstLine="567"/>
      </w:pPr>
      <w:r w:rsidRPr="005B01E9">
        <w:rPr>
          <w:i/>
          <w:iCs/>
        </w:rPr>
        <w:t xml:space="preserve">Réuni le </w:t>
      </w:r>
      <w:r w:rsidR="00C9549A">
        <w:t>16 juillet 2014</w:t>
      </w:r>
      <w:r w:rsidRPr="005B01E9">
        <w:t>,</w:t>
      </w:r>
    </w:p>
    <w:p w:rsidR="008433B5" w:rsidRPr="005B01E9" w:rsidRDefault="008433B5" w:rsidP="008433B5">
      <w:pPr>
        <w:pStyle w:val="SingleTxtG"/>
        <w:ind w:firstLine="567"/>
      </w:pPr>
      <w:r w:rsidRPr="005B01E9">
        <w:rPr>
          <w:i/>
          <w:iCs/>
        </w:rPr>
        <w:t>Ayant achevé</w:t>
      </w:r>
      <w:r w:rsidRPr="005B01E9">
        <w:t xml:space="preserve"> l</w:t>
      </w:r>
      <w:r w:rsidR="00467A6D">
        <w:t>’</w:t>
      </w:r>
      <w:r w:rsidRPr="005B01E9">
        <w:t>examen de la communication n°</w:t>
      </w:r>
      <w:r w:rsidR="00C9549A">
        <w:t> 1942/2010</w:t>
      </w:r>
      <w:r w:rsidR="005B01E9" w:rsidRPr="005B01E9">
        <w:rPr>
          <w:b/>
        </w:rPr>
        <w:t xml:space="preserve"> </w:t>
      </w:r>
      <w:r w:rsidRPr="005B01E9">
        <w:t xml:space="preserve">présentée </w:t>
      </w:r>
      <w:r w:rsidR="00C9549A">
        <w:t>par T.L.N.</w:t>
      </w:r>
      <w:r w:rsidR="005B01E9" w:rsidRPr="005B01E9">
        <w:t xml:space="preserve"> </w:t>
      </w:r>
      <w:r w:rsidR="00C9549A">
        <w:t>en </w:t>
      </w:r>
      <w:r w:rsidRPr="005B01E9">
        <w:t>vertu du Protocole facultatif se rapportant au Pacte international relatif aux droits civils et politiques,</w:t>
      </w:r>
    </w:p>
    <w:p w:rsidR="008433B5" w:rsidRPr="005B01E9" w:rsidRDefault="008433B5" w:rsidP="008433B5">
      <w:pPr>
        <w:pStyle w:val="SingleTxtG"/>
        <w:ind w:firstLine="567"/>
      </w:pPr>
      <w:r w:rsidRPr="005B01E9">
        <w:rPr>
          <w:i/>
          <w:iCs/>
        </w:rPr>
        <w:t>Ayant tenu compte</w:t>
      </w:r>
      <w:r w:rsidRPr="005B01E9">
        <w:t xml:space="preserve"> de toutes les informations écrites q</w:t>
      </w:r>
      <w:r w:rsidR="00C9549A">
        <w:t>ui lui ont été communiquées par l</w:t>
      </w:r>
      <w:r w:rsidR="00467A6D">
        <w:t>’</w:t>
      </w:r>
      <w:r w:rsidR="00C9549A">
        <w:t>auteur de</w:t>
      </w:r>
      <w:r w:rsidRPr="005B01E9">
        <w:t xml:space="preserve"> la communication et l</w:t>
      </w:r>
      <w:r w:rsidR="00467A6D">
        <w:t>’</w:t>
      </w:r>
      <w:r w:rsidRPr="005B01E9">
        <w:t>État partie,</w:t>
      </w:r>
    </w:p>
    <w:p w:rsidR="00E24896" w:rsidRPr="005B01E9" w:rsidRDefault="008433B5" w:rsidP="008433B5">
      <w:pPr>
        <w:pStyle w:val="SingleTxtG"/>
        <w:ind w:firstLine="567"/>
      </w:pPr>
      <w:r w:rsidRPr="005B01E9">
        <w:rPr>
          <w:i/>
          <w:iCs/>
        </w:rPr>
        <w:t>Adopte</w:t>
      </w:r>
      <w:r w:rsidRPr="005B01E9">
        <w:t xml:space="preserve"> ce qui suit:</w:t>
      </w:r>
    </w:p>
    <w:p w:rsidR="00642728" w:rsidRDefault="00E24896" w:rsidP="00455974">
      <w:pPr>
        <w:pStyle w:val="H1G"/>
      </w:pPr>
      <w:r w:rsidRPr="005B01E9">
        <w:tab/>
      </w:r>
      <w:r w:rsidRPr="005B01E9">
        <w:tab/>
      </w:r>
      <w:r w:rsidR="00C9549A">
        <w:t>Constatations au titre du paragraphe 4 de l</w:t>
      </w:r>
      <w:r w:rsidR="00467A6D">
        <w:t>’</w:t>
      </w:r>
      <w:r w:rsidR="00C9549A">
        <w:t xml:space="preserve">article 5 </w:t>
      </w:r>
      <w:r w:rsidR="00467A6D">
        <w:br/>
      </w:r>
      <w:r w:rsidR="00C9549A">
        <w:t>du Protocole facultatif</w:t>
      </w:r>
    </w:p>
    <w:p w:rsidR="00C9549A" w:rsidRPr="00B149CC" w:rsidRDefault="00C9549A" w:rsidP="00467A6D">
      <w:pPr>
        <w:pStyle w:val="ParNoG"/>
        <w:tabs>
          <w:tab w:val="clear" w:pos="1701"/>
        </w:tabs>
      </w:pPr>
      <w:r w:rsidRPr="00B149CC">
        <w:t>L</w:t>
      </w:r>
      <w:r w:rsidR="00467A6D">
        <w:t>’</w:t>
      </w:r>
      <w:r w:rsidRPr="00B149CC">
        <w:t>auteur de la communication est</w:t>
      </w:r>
      <w:r>
        <w:t xml:space="preserve"> T.L.N.</w:t>
      </w:r>
      <w:r w:rsidRPr="00B149CC">
        <w:t>, né en 1974</w:t>
      </w:r>
      <w:r>
        <w:t xml:space="preserve"> au Viet Nam</w:t>
      </w:r>
      <w:r w:rsidRPr="00B149CC">
        <w:t>. Il affirme être victime d</w:t>
      </w:r>
      <w:r w:rsidR="00467A6D">
        <w:t>’</w:t>
      </w:r>
      <w:r w:rsidRPr="00B149CC">
        <w:t>une violation par l</w:t>
      </w:r>
      <w:r>
        <w:t>a</w:t>
      </w:r>
      <w:r w:rsidRPr="00B149CC">
        <w:t xml:space="preserve"> Norvège des droits qu</w:t>
      </w:r>
      <w:r w:rsidR="00467A6D">
        <w:t>’</w:t>
      </w:r>
      <w:r w:rsidRPr="00B149CC">
        <w:t>il tient du paragraphe</w:t>
      </w:r>
      <w:r>
        <w:t> </w:t>
      </w:r>
      <w:r w:rsidR="00467A6D">
        <w:t xml:space="preserve">5 de </w:t>
      </w:r>
      <w:r w:rsidRPr="00B149CC">
        <w:t>l</w:t>
      </w:r>
      <w:r w:rsidR="00467A6D">
        <w:t>’</w:t>
      </w:r>
      <w:r w:rsidRPr="00B149CC">
        <w:t>article</w:t>
      </w:r>
      <w:r>
        <w:t> </w:t>
      </w:r>
      <w:r w:rsidRPr="00B149CC">
        <w:t>14 du Pacte</w:t>
      </w:r>
      <w:r w:rsidR="00A95067">
        <w:rPr>
          <w:rStyle w:val="FootnoteReference"/>
        </w:rPr>
        <w:footnoteReference w:id="3"/>
      </w:r>
      <w:r w:rsidRPr="00B149CC">
        <w:t>. L</w:t>
      </w:r>
      <w:r w:rsidR="00467A6D">
        <w:t>’</w:t>
      </w:r>
      <w:r w:rsidRPr="00B149CC">
        <w:t>auteur est représenté par un conseil.</w:t>
      </w:r>
    </w:p>
    <w:p w:rsidR="00C9549A" w:rsidRPr="00B149CC" w:rsidRDefault="00C9549A" w:rsidP="00467A6D">
      <w:pPr>
        <w:pStyle w:val="H23G"/>
      </w:pPr>
      <w:r>
        <w:tab/>
      </w:r>
      <w:r>
        <w:tab/>
      </w:r>
      <w:r w:rsidRPr="00B149CC">
        <w:t>Rappel des faits présentés par l</w:t>
      </w:r>
      <w:r w:rsidR="00467A6D">
        <w:t>’</w:t>
      </w:r>
      <w:r w:rsidRPr="00B149CC">
        <w:t>auteur</w:t>
      </w:r>
    </w:p>
    <w:p w:rsidR="00C9549A" w:rsidRPr="00B149CC" w:rsidRDefault="00C9549A" w:rsidP="00467A6D">
      <w:pPr>
        <w:pStyle w:val="SingleTxtG"/>
      </w:pPr>
      <w:r>
        <w:t>2.1</w:t>
      </w:r>
      <w:r>
        <w:tab/>
      </w:r>
      <w:r w:rsidRPr="00B149CC">
        <w:t>Le 9</w:t>
      </w:r>
      <w:r>
        <w:t> </w:t>
      </w:r>
      <w:r w:rsidRPr="00B149CC">
        <w:t>mai 2008, le parquet des comtés de Vestfold et de Telemark a engagé des poursuites pénales contre l</w:t>
      </w:r>
      <w:r w:rsidR="00467A6D">
        <w:t>’</w:t>
      </w:r>
      <w:r w:rsidRPr="00B149CC">
        <w:t>auteur devant le tribunal de district de Sandefjor</w:t>
      </w:r>
      <w:r>
        <w:t>d pour infractions aux articles </w:t>
      </w:r>
      <w:r w:rsidRPr="00B149CC">
        <w:t>192, 195, 199, 201 et 219 du Code civil et pénal général norvégien. Le chef d</w:t>
      </w:r>
      <w:r w:rsidR="00467A6D">
        <w:t>’</w:t>
      </w:r>
      <w:r w:rsidRPr="00B149CC">
        <w:t>accusation le plus grave concernait une infraction à l</w:t>
      </w:r>
      <w:r w:rsidR="00467A6D">
        <w:t>’</w:t>
      </w:r>
      <w:r w:rsidRPr="00B149CC">
        <w:t>article</w:t>
      </w:r>
      <w:r>
        <w:t> </w:t>
      </w:r>
      <w:r w:rsidRPr="00B149CC">
        <w:t>192 du Code pénal, à savoir le viol par l</w:t>
      </w:r>
      <w:r w:rsidR="00467A6D">
        <w:t>’</w:t>
      </w:r>
      <w:r w:rsidRPr="00B149CC">
        <w:t>auteur de son beau-fils pendant la période comprise entre 2004 et 2006, alors que l</w:t>
      </w:r>
      <w:r>
        <w:t>a victime était âgée de 11 à 13 </w:t>
      </w:r>
      <w:r w:rsidRPr="00B149CC">
        <w:t xml:space="preserve">ans. </w:t>
      </w:r>
    </w:p>
    <w:p w:rsidR="00C9549A" w:rsidRPr="00B149CC" w:rsidRDefault="00C9549A" w:rsidP="00467A6D">
      <w:pPr>
        <w:pStyle w:val="SingleTxtG"/>
      </w:pPr>
      <w:r w:rsidRPr="00B149CC">
        <w:t>2.2</w:t>
      </w:r>
      <w:r w:rsidRPr="00B149CC">
        <w:tab/>
        <w:t>L</w:t>
      </w:r>
      <w:r w:rsidR="00467A6D">
        <w:t>’</w:t>
      </w:r>
      <w:r w:rsidRPr="00B149CC">
        <w:t>affaire a été entendue sur le fond en première instance par le tribunal de district de S</w:t>
      </w:r>
      <w:r>
        <w:t>andefjord, entre le 17 et le 19 </w:t>
      </w:r>
      <w:r w:rsidRPr="00B149CC">
        <w:t>septembre 200</w:t>
      </w:r>
      <w:r>
        <w:t>8. Par un jugement rendu le 19 </w:t>
      </w:r>
      <w:r w:rsidRPr="00B149CC">
        <w:t>septembre 2008, l</w:t>
      </w:r>
      <w:r w:rsidR="00467A6D">
        <w:t>’</w:t>
      </w:r>
      <w:r w:rsidRPr="00B149CC">
        <w:t>auteur a été reconnu coupable de tous les chefs d</w:t>
      </w:r>
      <w:r w:rsidR="00467A6D">
        <w:t>’</w:t>
      </w:r>
      <w:r w:rsidRPr="00B149CC">
        <w:t>accusation retenus contre lui et condamné à une peine d</w:t>
      </w:r>
      <w:r w:rsidR="00467A6D">
        <w:t>’</w:t>
      </w:r>
      <w:r w:rsidRPr="00B149CC">
        <w:t xml:space="preserve">emprisonnement de trois ans. Il </w:t>
      </w:r>
      <w:r>
        <w:t xml:space="preserve">lui a </w:t>
      </w:r>
      <w:r w:rsidRPr="00B149CC">
        <w:t xml:space="preserve">également </w:t>
      </w:r>
      <w:r>
        <w:t>été ordonné</w:t>
      </w:r>
      <w:r w:rsidRPr="00B149CC">
        <w:t xml:space="preserve"> de </w:t>
      </w:r>
      <w:r w:rsidRPr="00A142AF">
        <w:rPr>
          <w:spacing w:val="-2"/>
        </w:rPr>
        <w:t>verser à la partie lésée une indemnisation</w:t>
      </w:r>
      <w:r>
        <w:t xml:space="preserve"> d</w:t>
      </w:r>
      <w:r w:rsidR="00467A6D">
        <w:t>’</w:t>
      </w:r>
      <w:r>
        <w:t>un montant de 200 000 </w:t>
      </w:r>
      <w:r w:rsidRPr="00B149CC">
        <w:t>couronnes norvégiennes.</w:t>
      </w:r>
    </w:p>
    <w:p w:rsidR="00C9549A" w:rsidRPr="00B149CC" w:rsidRDefault="00C9549A" w:rsidP="00467A6D">
      <w:pPr>
        <w:pStyle w:val="SingleTxtG"/>
      </w:pPr>
      <w:r>
        <w:t>2.3</w:t>
      </w:r>
      <w:r>
        <w:tab/>
        <w:t>Le 26 </w:t>
      </w:r>
      <w:r w:rsidRPr="00B149CC">
        <w:t>septembre 2008, l</w:t>
      </w:r>
      <w:r w:rsidR="00467A6D">
        <w:t>’</w:t>
      </w:r>
      <w:r w:rsidRPr="00B149CC">
        <w:t xml:space="preserve">auteur a </w:t>
      </w:r>
      <w:r>
        <w:t xml:space="preserve">interjeté appel de </w:t>
      </w:r>
      <w:r w:rsidRPr="00B149CC">
        <w:t xml:space="preserve">ce jugement devant la </w:t>
      </w:r>
      <w:r>
        <w:t>c</w:t>
      </w:r>
      <w:r w:rsidRPr="00B149CC">
        <w:t>our d</w:t>
      </w:r>
      <w:r w:rsidR="00467A6D">
        <w:t>’</w:t>
      </w:r>
      <w:r w:rsidRPr="00B149CC">
        <w:t>appel d</w:t>
      </w:r>
      <w:r w:rsidR="00467A6D">
        <w:t>’</w:t>
      </w:r>
      <w:r w:rsidRPr="00B149CC">
        <w:t>Agder</w:t>
      </w:r>
      <w:r>
        <w:t>.</w:t>
      </w:r>
      <w:r w:rsidRPr="00B149CC">
        <w:t xml:space="preserve"> </w:t>
      </w:r>
      <w:r>
        <w:t>Son recours a</w:t>
      </w:r>
      <w:r w:rsidRPr="00B149CC">
        <w:t xml:space="preserve"> été examiné à Tønsberg entre le 12 et le 15</w:t>
      </w:r>
      <w:r>
        <w:t> </w:t>
      </w:r>
      <w:r w:rsidR="00647DA5">
        <w:t>janvier 2009. La </w:t>
      </w:r>
      <w:r>
        <w:t>c</w:t>
      </w:r>
      <w:r w:rsidRPr="00B149CC">
        <w:t>our d</w:t>
      </w:r>
      <w:r w:rsidR="00467A6D">
        <w:t>’</w:t>
      </w:r>
      <w:r w:rsidRPr="00B149CC">
        <w:t>appel siégeait avec un jury, qui a répondu par l</w:t>
      </w:r>
      <w:r w:rsidR="00467A6D">
        <w:t>’</w:t>
      </w:r>
      <w:r w:rsidRPr="00B149CC">
        <w:t xml:space="preserve">affirmative à toutes les questions qui lui avaient été posées, </w:t>
      </w:r>
      <w:r>
        <w:t xml:space="preserve">et elle a confirmé ce </w:t>
      </w:r>
      <w:r w:rsidRPr="00B149CC">
        <w:t>verdict. Par sa décision, rendue le 16</w:t>
      </w:r>
      <w:r>
        <w:t> </w:t>
      </w:r>
      <w:r w:rsidRPr="00B149CC">
        <w:t xml:space="preserve">janvier 2009, la </w:t>
      </w:r>
      <w:r>
        <w:t xml:space="preserve">cour </w:t>
      </w:r>
      <w:r w:rsidRPr="00B149CC">
        <w:t>a reconnu l</w:t>
      </w:r>
      <w:r w:rsidR="00467A6D">
        <w:t>’</w:t>
      </w:r>
      <w:r w:rsidRPr="00B149CC">
        <w:t>auteur coupable de tous les chefs</w:t>
      </w:r>
      <w:r>
        <w:t xml:space="preserve"> d</w:t>
      </w:r>
      <w:r w:rsidR="00467A6D">
        <w:t>’</w:t>
      </w:r>
      <w:r>
        <w:t>accusation</w:t>
      </w:r>
      <w:r w:rsidRPr="00B149CC">
        <w:t xml:space="preserve"> et l</w:t>
      </w:r>
      <w:r w:rsidR="00467A6D">
        <w:t>’</w:t>
      </w:r>
      <w:r w:rsidRPr="00B149CC">
        <w:t>a condamné à</w:t>
      </w:r>
      <w:r>
        <w:t xml:space="preserve"> une peine de</w:t>
      </w:r>
      <w:r w:rsidRPr="00B149CC">
        <w:t xml:space="preserve"> cinq an</w:t>
      </w:r>
      <w:r>
        <w:t>née</w:t>
      </w:r>
      <w:r w:rsidRPr="00B149CC">
        <w:t>s d</w:t>
      </w:r>
      <w:r w:rsidR="00467A6D">
        <w:t>’</w:t>
      </w:r>
      <w:r w:rsidRPr="00B149CC">
        <w:t>emprisonnement. L</w:t>
      </w:r>
      <w:r w:rsidR="00467A6D">
        <w:t>’</w:t>
      </w:r>
      <w:r w:rsidRPr="00B149CC">
        <w:t>auteur s</w:t>
      </w:r>
      <w:r w:rsidR="00467A6D">
        <w:t>’</w:t>
      </w:r>
      <w:r w:rsidRPr="00B149CC">
        <w:t>est en outre vu ordonner de verser 225 000</w:t>
      </w:r>
      <w:r>
        <w:t> </w:t>
      </w:r>
      <w:r w:rsidRPr="00B149CC">
        <w:t>couronnes norvégiennes à la partie lésée à titr</w:t>
      </w:r>
      <w:r>
        <w:t>e d</w:t>
      </w:r>
      <w:r w:rsidR="00467A6D">
        <w:t>’</w:t>
      </w:r>
      <w:r>
        <w:t>indemnisation.</w:t>
      </w:r>
    </w:p>
    <w:p w:rsidR="00C9549A" w:rsidRPr="00B149CC" w:rsidRDefault="00C9549A" w:rsidP="00467A6D">
      <w:pPr>
        <w:pStyle w:val="SingleTxtG"/>
      </w:pPr>
      <w:r>
        <w:t>2.4</w:t>
      </w:r>
      <w:r>
        <w:tab/>
        <w:t>Le 19 </w:t>
      </w:r>
      <w:r w:rsidRPr="00B149CC">
        <w:t>janvier 2009, l</w:t>
      </w:r>
      <w:r w:rsidR="00467A6D">
        <w:t>’</w:t>
      </w:r>
      <w:r w:rsidRPr="00B149CC">
        <w:t xml:space="preserve">auteur a </w:t>
      </w:r>
      <w:r>
        <w:t>introduit</w:t>
      </w:r>
      <w:r w:rsidRPr="00B149CC">
        <w:t xml:space="preserve"> </w:t>
      </w:r>
      <w:r>
        <w:t xml:space="preserve">un recours </w:t>
      </w:r>
      <w:r w:rsidRPr="00B149CC">
        <w:t>auprès de la Cour suprême</w:t>
      </w:r>
      <w:r>
        <w:t xml:space="preserve"> par lequel il invoquait </w:t>
      </w:r>
      <w:r w:rsidRPr="00B149CC">
        <w:t xml:space="preserve">des </w:t>
      </w:r>
      <w:r>
        <w:t>vices</w:t>
      </w:r>
      <w:r w:rsidRPr="00B149CC">
        <w:t xml:space="preserve"> de procédure et contestait sa peine. Il </w:t>
      </w:r>
      <w:r>
        <w:t>invoquait</w:t>
      </w:r>
      <w:r w:rsidRPr="00B149CC">
        <w:t xml:space="preserve">, </w:t>
      </w:r>
      <w:r>
        <w:t>parmi d</w:t>
      </w:r>
      <w:r w:rsidR="00467A6D">
        <w:t>’</w:t>
      </w:r>
      <w:r>
        <w:t>autres moyens</w:t>
      </w:r>
      <w:r w:rsidRPr="00B149CC">
        <w:t>, le fait que le jury n</w:t>
      </w:r>
      <w:r w:rsidR="00467A6D">
        <w:t>’</w:t>
      </w:r>
      <w:r w:rsidRPr="00B149CC">
        <w:t>ait pas motivé son verdict, en violation du paragraphe</w:t>
      </w:r>
      <w:r>
        <w:t> </w:t>
      </w:r>
      <w:r w:rsidRPr="00B149CC">
        <w:t>5 de l</w:t>
      </w:r>
      <w:r w:rsidR="00467A6D">
        <w:t>’</w:t>
      </w:r>
      <w:r w:rsidRPr="00B149CC">
        <w:t>article</w:t>
      </w:r>
      <w:r>
        <w:t> </w:t>
      </w:r>
      <w:r w:rsidRPr="00B149CC">
        <w:t>14 du Pacte. La Cour suprême a décidé d</w:t>
      </w:r>
      <w:r w:rsidR="00467A6D">
        <w:t>’</w:t>
      </w:r>
      <w:r w:rsidRPr="00B149CC">
        <w:t>examiner l</w:t>
      </w:r>
      <w:r w:rsidR="00467A6D">
        <w:t>’</w:t>
      </w:r>
      <w:r w:rsidRPr="00B149CC">
        <w:t>affaire dans le cadre d</w:t>
      </w:r>
      <w:r w:rsidR="00467A6D">
        <w:t>’</w:t>
      </w:r>
      <w:r w:rsidRPr="00B149CC">
        <w:t>une audience plénière réunissant 17</w:t>
      </w:r>
      <w:r>
        <w:t> </w:t>
      </w:r>
      <w:r w:rsidRPr="00B149CC">
        <w:t xml:space="preserve">juges, et </w:t>
      </w:r>
      <w:r>
        <w:t>de la joindre à</w:t>
      </w:r>
      <w:r w:rsidRPr="00B149CC">
        <w:t xml:space="preserve"> une autre affaire qui soulevait des questions similaires</w:t>
      </w:r>
      <w:r w:rsidRPr="00A142AF">
        <w:rPr>
          <w:rStyle w:val="FootnoteReference"/>
        </w:rPr>
        <w:footnoteReference w:id="4"/>
      </w:r>
      <w:r w:rsidRPr="00B149CC">
        <w:t xml:space="preserve">. Le recours a été </w:t>
      </w:r>
      <w:r>
        <w:t>examiné</w:t>
      </w:r>
      <w:r w:rsidRPr="00B149CC">
        <w:t xml:space="preserve"> à Oslo, en mai 2009. Le 12</w:t>
      </w:r>
      <w:r>
        <w:t> </w:t>
      </w:r>
      <w:r w:rsidRPr="00B149CC">
        <w:t>juin</w:t>
      </w:r>
      <w:r>
        <w:t xml:space="preserve"> 2009</w:t>
      </w:r>
      <w:r w:rsidR="00647DA5">
        <w:t>, la </w:t>
      </w:r>
      <w:r w:rsidRPr="00B149CC">
        <w:t xml:space="preserve">Cour suprême a rendu sa décision dans les deux affaires. Elle a conclu </w:t>
      </w:r>
      <w:r>
        <w:t>à</w:t>
      </w:r>
      <w:r w:rsidRPr="00B149CC">
        <w:t xml:space="preserve"> l</w:t>
      </w:r>
      <w:r w:rsidR="00467A6D">
        <w:t>’</w:t>
      </w:r>
      <w:r w:rsidRPr="00B149CC">
        <w:t xml:space="preserve">unanimité que </w:t>
      </w:r>
      <w:r>
        <w:t>l</w:t>
      </w:r>
      <w:r w:rsidR="00467A6D">
        <w:t>’</w:t>
      </w:r>
      <w:r>
        <w:t xml:space="preserve">absence de </w:t>
      </w:r>
      <w:r w:rsidRPr="00B149CC">
        <w:t>motivation</w:t>
      </w:r>
      <w:r>
        <w:t xml:space="preserve"> de sa décision</w:t>
      </w:r>
      <w:r w:rsidRPr="00B149CC">
        <w:t xml:space="preserve"> par le jury ne constituait pas une violation du paragraphe</w:t>
      </w:r>
      <w:r>
        <w:t> </w:t>
      </w:r>
      <w:r w:rsidRPr="00B149CC">
        <w:t>5 de l</w:t>
      </w:r>
      <w:r w:rsidR="00467A6D">
        <w:t>’</w:t>
      </w:r>
      <w:r w:rsidRPr="00B149CC">
        <w:t>article</w:t>
      </w:r>
      <w:r>
        <w:t> </w:t>
      </w:r>
      <w:r w:rsidRPr="00B149CC">
        <w:t>14 du Pacte, ni une violation de l</w:t>
      </w:r>
      <w:r w:rsidR="00467A6D">
        <w:t>’</w:t>
      </w:r>
      <w:r w:rsidRPr="00B149CC">
        <w:t>article</w:t>
      </w:r>
      <w:r>
        <w:t> </w:t>
      </w:r>
      <w:r w:rsidRPr="00B149CC">
        <w:t>6 de</w:t>
      </w:r>
      <w:r>
        <w:t> </w:t>
      </w:r>
      <w:r w:rsidRPr="00B149CC">
        <w:t>la</w:t>
      </w:r>
      <w:r>
        <w:t> </w:t>
      </w:r>
      <w:r w:rsidRPr="00B149CC">
        <w:t>Convention eu</w:t>
      </w:r>
      <w:r>
        <w:t>ropéenne des droits de l</w:t>
      </w:r>
      <w:r w:rsidR="00467A6D">
        <w:t>’</w:t>
      </w:r>
      <w:r>
        <w:t>homme.</w:t>
      </w:r>
    </w:p>
    <w:p w:rsidR="00C9549A" w:rsidRPr="00467A6D" w:rsidRDefault="00C9549A" w:rsidP="00467A6D">
      <w:pPr>
        <w:pStyle w:val="H23G"/>
      </w:pPr>
      <w:r>
        <w:tab/>
      </w:r>
      <w:r>
        <w:tab/>
      </w:r>
      <w:r w:rsidRPr="00B149CC">
        <w:t>Teneur de la plainte</w:t>
      </w:r>
    </w:p>
    <w:p w:rsidR="00C9549A" w:rsidRPr="00B149CC" w:rsidRDefault="00C9549A" w:rsidP="00467A6D">
      <w:pPr>
        <w:pStyle w:val="SingleTxtG"/>
      </w:pPr>
      <w:r w:rsidRPr="00B149CC">
        <w:t>3.1</w:t>
      </w:r>
      <w:r w:rsidRPr="00B149CC">
        <w:tab/>
        <w:t>L</w:t>
      </w:r>
      <w:r w:rsidR="00467A6D">
        <w:t>’</w:t>
      </w:r>
      <w:r w:rsidRPr="00B149CC">
        <w:t>auteur affirme être victime d</w:t>
      </w:r>
      <w:r w:rsidR="00467A6D">
        <w:t>’</w:t>
      </w:r>
      <w:r w:rsidRPr="00B149CC">
        <w:t>une violation du paragraphe</w:t>
      </w:r>
      <w:r>
        <w:t> </w:t>
      </w:r>
      <w:r w:rsidRPr="00B149CC">
        <w:t>5 de l</w:t>
      </w:r>
      <w:r w:rsidR="00467A6D">
        <w:t>’</w:t>
      </w:r>
      <w:r w:rsidRPr="00B149CC">
        <w:t>article</w:t>
      </w:r>
      <w:r>
        <w:t> </w:t>
      </w:r>
      <w:r w:rsidRPr="00B149CC">
        <w:t>14 du</w:t>
      </w:r>
      <w:r>
        <w:t> </w:t>
      </w:r>
      <w:r w:rsidRPr="00B149CC">
        <w:t xml:space="preserve">Pacte, </w:t>
      </w:r>
      <w:r>
        <w:t>l</w:t>
      </w:r>
      <w:r w:rsidR="00467A6D">
        <w:t>’</w:t>
      </w:r>
      <w:r>
        <w:t xml:space="preserve">absence de motivation </w:t>
      </w:r>
      <w:r w:rsidRPr="00B149CC">
        <w:t xml:space="preserve">par le jury de sa décision </w:t>
      </w:r>
      <w:r>
        <w:t>dans l</w:t>
      </w:r>
      <w:r w:rsidR="00467A6D">
        <w:t>’</w:t>
      </w:r>
      <w:r>
        <w:t>arrêt de la Cour d</w:t>
      </w:r>
      <w:r w:rsidR="00467A6D">
        <w:t>’</w:t>
      </w:r>
      <w:r>
        <w:t xml:space="preserve">appel </w:t>
      </w:r>
      <w:r w:rsidRPr="00B149CC">
        <w:t>l</w:t>
      </w:r>
      <w:r w:rsidR="00467A6D">
        <w:t>’</w:t>
      </w:r>
      <w:r w:rsidRPr="00B149CC">
        <w:t>ayant privé d</w:t>
      </w:r>
      <w:r w:rsidR="00467A6D">
        <w:t>’</w:t>
      </w:r>
      <w:r w:rsidRPr="00B149CC">
        <w:t>un jugement écrit dûment motivé</w:t>
      </w:r>
      <w:r w:rsidR="001D4D86">
        <w:rPr>
          <w:rStyle w:val="FootnoteReference"/>
        </w:rPr>
        <w:footnoteReference w:id="5"/>
      </w:r>
      <w:r w:rsidRPr="00B149CC">
        <w:t>.</w:t>
      </w:r>
    </w:p>
    <w:p w:rsidR="00C9549A" w:rsidRPr="00B149CC" w:rsidRDefault="00C9549A" w:rsidP="00467A6D">
      <w:pPr>
        <w:pStyle w:val="SingleTxtG"/>
      </w:pPr>
      <w:r w:rsidRPr="00B149CC">
        <w:t>3.2</w:t>
      </w:r>
      <w:r w:rsidRPr="00B149CC">
        <w:tab/>
      </w:r>
      <w:r>
        <w:t>Il</w:t>
      </w:r>
      <w:r w:rsidRPr="00B149CC">
        <w:t xml:space="preserve"> explique que le Code de procédure pénale prévoit que les affaires </w:t>
      </w:r>
      <w:r>
        <w:t xml:space="preserve">dont </w:t>
      </w:r>
      <w:r w:rsidRPr="00B149CC">
        <w:t>la cour d</w:t>
      </w:r>
      <w:r w:rsidR="00467A6D">
        <w:t>’</w:t>
      </w:r>
      <w:r w:rsidRPr="00B149CC">
        <w:t xml:space="preserve">appel </w:t>
      </w:r>
      <w:r>
        <w:t xml:space="preserve">est saisie </w:t>
      </w:r>
      <w:r w:rsidRPr="00B149CC">
        <w:t xml:space="preserve">sont jugées par un jury lorsque le recours </w:t>
      </w:r>
      <w:r>
        <w:t>vise à</w:t>
      </w:r>
      <w:r w:rsidRPr="00B149CC">
        <w:t xml:space="preserve"> contester l</w:t>
      </w:r>
      <w:r w:rsidR="00467A6D">
        <w:t>’</w:t>
      </w:r>
      <w:r w:rsidRPr="00B149CC">
        <w:t xml:space="preserve">appréciation des preuves </w:t>
      </w:r>
      <w:r>
        <w:t>relatives à</w:t>
      </w:r>
      <w:r w:rsidRPr="00B149CC">
        <w:t xml:space="preserve"> la culpabilité et qu</w:t>
      </w:r>
      <w:r w:rsidR="00467A6D">
        <w:t>’</w:t>
      </w:r>
      <w:r w:rsidRPr="00B149CC">
        <w:t xml:space="preserve">il porte sur la peine </w:t>
      </w:r>
      <w:r w:rsidRPr="00A142AF">
        <w:rPr>
          <w:spacing w:val="-2"/>
        </w:rPr>
        <w:t xml:space="preserve">prononcée </w:t>
      </w:r>
      <w:r>
        <w:rPr>
          <w:spacing w:val="-2"/>
        </w:rPr>
        <w:t>au titre d</w:t>
      </w:r>
      <w:r w:rsidR="00467A6D">
        <w:rPr>
          <w:spacing w:val="-2"/>
        </w:rPr>
        <w:t>’</w:t>
      </w:r>
      <w:r w:rsidRPr="00A142AF">
        <w:rPr>
          <w:spacing w:val="-2"/>
        </w:rPr>
        <w:t xml:space="preserve">une infraction </w:t>
      </w:r>
      <w:r>
        <w:rPr>
          <w:spacing w:val="-2"/>
        </w:rPr>
        <w:t>pouvant donner lieu en vertu de la loi</w:t>
      </w:r>
      <w:r w:rsidRPr="00A142AF">
        <w:rPr>
          <w:spacing w:val="-2"/>
        </w:rPr>
        <w:t xml:space="preserve"> </w:t>
      </w:r>
      <w:r>
        <w:rPr>
          <w:spacing w:val="-2"/>
        </w:rPr>
        <w:t xml:space="preserve">à </w:t>
      </w:r>
      <w:r w:rsidRPr="00A142AF">
        <w:rPr>
          <w:spacing w:val="-2"/>
        </w:rPr>
        <w:t>un</w:t>
      </w:r>
      <w:r>
        <w:rPr>
          <w:spacing w:val="-2"/>
        </w:rPr>
        <w:t>e peine</w:t>
      </w:r>
      <w:r w:rsidRPr="00A142AF">
        <w:rPr>
          <w:spacing w:val="-2"/>
        </w:rPr>
        <w:t xml:space="preserve"> </w:t>
      </w:r>
      <w:r>
        <w:rPr>
          <w:spacing w:val="-2"/>
        </w:rPr>
        <w:t>d</w:t>
      </w:r>
      <w:r w:rsidR="00467A6D">
        <w:rPr>
          <w:spacing w:val="-2"/>
        </w:rPr>
        <w:t>’</w:t>
      </w:r>
      <w:r w:rsidRPr="00A142AF">
        <w:t>emprisonnement</w:t>
      </w:r>
      <w:r w:rsidRPr="00B149CC">
        <w:t xml:space="preserve"> </w:t>
      </w:r>
      <w:r>
        <w:t>supérieure à</w:t>
      </w:r>
      <w:r w:rsidR="00647DA5">
        <w:t> </w:t>
      </w:r>
      <w:r w:rsidRPr="00B149CC">
        <w:t>six ans (art</w:t>
      </w:r>
      <w:r>
        <w:t>. </w:t>
      </w:r>
      <w:r w:rsidRPr="00B149CC">
        <w:t>352).</w:t>
      </w:r>
    </w:p>
    <w:p w:rsidR="00C9549A" w:rsidRPr="00B149CC" w:rsidRDefault="00C9549A" w:rsidP="00467A6D">
      <w:pPr>
        <w:pStyle w:val="SingleTxtG"/>
      </w:pPr>
      <w:r w:rsidRPr="00B149CC">
        <w:t>3.3</w:t>
      </w:r>
      <w:r w:rsidRPr="00B149CC">
        <w:tab/>
        <w:t>Le jury est composé de 10</w:t>
      </w:r>
      <w:r>
        <w:t> </w:t>
      </w:r>
      <w:r w:rsidRPr="00B149CC">
        <w:t xml:space="preserve">membres (élus). </w:t>
      </w:r>
      <w:r>
        <w:t>À l</w:t>
      </w:r>
      <w:r w:rsidR="00467A6D">
        <w:t>’</w:t>
      </w:r>
      <w:r>
        <w:t>issue de</w:t>
      </w:r>
      <w:r w:rsidRPr="00B149CC">
        <w:t xml:space="preserve"> la présentation des preuves </w:t>
      </w:r>
      <w:r>
        <w:t>relatives à la culpabilité</w:t>
      </w:r>
      <w:r w:rsidRPr="00B149CC">
        <w:t xml:space="preserve">, le </w:t>
      </w:r>
      <w:r>
        <w:t>P</w:t>
      </w:r>
      <w:r w:rsidRPr="00B149CC">
        <w:t xml:space="preserve">résident de la </w:t>
      </w:r>
      <w:r>
        <w:t>c</w:t>
      </w:r>
      <w:r w:rsidRPr="00B149CC">
        <w:t>our d</w:t>
      </w:r>
      <w:r w:rsidR="00467A6D">
        <w:t>’</w:t>
      </w:r>
      <w:r w:rsidRPr="00B149CC">
        <w:t>appel formule les questions qui seront posées au jury et les soumet aux parties. Les questions portent sur les points auxquels se</w:t>
      </w:r>
      <w:r w:rsidR="00647DA5">
        <w:t> </w:t>
      </w:r>
      <w:r w:rsidRPr="00B149CC">
        <w:t>rapporte l</w:t>
      </w:r>
      <w:r w:rsidR="00467A6D">
        <w:t>’</w:t>
      </w:r>
      <w:r w:rsidRPr="00B149CC">
        <w:t>acte d</w:t>
      </w:r>
      <w:r w:rsidR="00467A6D">
        <w:t>’</w:t>
      </w:r>
      <w:r w:rsidRPr="00B149CC">
        <w:t xml:space="preserve">accusation. Une question donnée ne doit porter que sur un seul accusé, et, dans la mesure du possible, sur un seul </w:t>
      </w:r>
      <w:r>
        <w:t>point de l</w:t>
      </w:r>
      <w:r w:rsidR="00467A6D">
        <w:t>’</w:t>
      </w:r>
      <w:r>
        <w:t>acte d</w:t>
      </w:r>
      <w:r w:rsidR="00467A6D">
        <w:t>’</w:t>
      </w:r>
      <w:r>
        <w:t>accusation</w:t>
      </w:r>
      <w:r w:rsidRPr="00B149CC">
        <w:t xml:space="preserve"> et</w:t>
      </w:r>
      <w:r>
        <w:t xml:space="preserve"> ne viser</w:t>
      </w:r>
      <w:r w:rsidRPr="00B149CC">
        <w:t xml:space="preserve"> </w:t>
      </w:r>
      <w:r>
        <w:t>qu</w:t>
      </w:r>
      <w:r w:rsidR="00467A6D">
        <w:t>’</w:t>
      </w:r>
      <w:r w:rsidRPr="00B149CC">
        <w:t xml:space="preserve">une seule </w:t>
      </w:r>
      <w:r w:rsidRPr="00A142AF">
        <w:t>disposition pénale. Les questions sont formulées de manière à ce que le jury puisse y</w:t>
      </w:r>
      <w:r>
        <w:t> </w:t>
      </w:r>
      <w:r w:rsidRPr="00B149CC">
        <w:t xml:space="preserve">répondre par </w:t>
      </w:r>
      <w:r>
        <w:t>«</w:t>
      </w:r>
      <w:r w:rsidRPr="00B149CC">
        <w:t>oui</w:t>
      </w:r>
      <w:r>
        <w:t>»</w:t>
      </w:r>
      <w:r w:rsidRPr="00B149CC">
        <w:t xml:space="preserve"> ou par </w:t>
      </w:r>
      <w:r>
        <w:t>«</w:t>
      </w:r>
      <w:r w:rsidRPr="00B149CC">
        <w:t>non</w:t>
      </w:r>
      <w:r>
        <w:t>»</w:t>
      </w:r>
      <w:r w:rsidRPr="00B149CC">
        <w:t>.</w:t>
      </w:r>
    </w:p>
    <w:p w:rsidR="00C9549A" w:rsidRPr="00B149CC" w:rsidRDefault="00C9549A" w:rsidP="00467A6D">
      <w:pPr>
        <w:pStyle w:val="SingleTxtG"/>
      </w:pPr>
      <w:r w:rsidRPr="00B149CC">
        <w:t>3.4</w:t>
      </w:r>
      <w:r w:rsidRPr="00B149CC">
        <w:tab/>
        <w:t xml:space="preserve">Une fois que les parties ont présenté leurs conclusions concernant la culpabilité, le Président de la </w:t>
      </w:r>
      <w:r>
        <w:t>C</w:t>
      </w:r>
      <w:r w:rsidRPr="00B149CC">
        <w:t>our donne des instructions au jury, lesquelles comprennent une présentation générale des règles de fond et de procédure applicables. C</w:t>
      </w:r>
      <w:r w:rsidR="00467A6D">
        <w:t>’</w:t>
      </w:r>
      <w:r w:rsidRPr="00B149CC">
        <w:t>est au Président de décider s</w:t>
      </w:r>
      <w:r w:rsidR="00467A6D">
        <w:t>’</w:t>
      </w:r>
      <w:r w:rsidRPr="00B149CC">
        <w:t>il souhaite faire des observations sur les éléments de preuve. Après avoir pris connaissance des instructions du Président, le jury se retire pour délibérer. Sept voix au moins sont nécessaires pour que l</w:t>
      </w:r>
      <w:r w:rsidR="00467A6D">
        <w:t>’</w:t>
      </w:r>
      <w:r w:rsidRPr="00B149CC">
        <w:t>accusé soit reconnu coupable. Si le jury rend un verdict de culpabilité, la</w:t>
      </w:r>
      <w:r>
        <w:t xml:space="preserve"> détermination de la</w:t>
      </w:r>
      <w:r w:rsidRPr="00B149CC">
        <w:t xml:space="preserve"> peine </w:t>
      </w:r>
      <w:r>
        <w:t>se</w:t>
      </w:r>
      <w:r w:rsidRPr="00B149CC">
        <w:t xml:space="preserve"> fonde sur ledit verdict (art</w:t>
      </w:r>
      <w:r>
        <w:t>. 376 </w:t>
      </w:r>
      <w:r w:rsidRPr="00B149CC">
        <w:t>b) du Code de procédure pénale). S</w:t>
      </w:r>
      <w:r w:rsidR="00467A6D">
        <w:t>’</w:t>
      </w:r>
      <w:r w:rsidRPr="00B149CC">
        <w:t xml:space="preserve">engagent alors des négociations pour déterminer quelle est la peine appropriée, laquelle est fixée par les trois juges dûment qualifiés de la </w:t>
      </w:r>
      <w:r>
        <w:t>c</w:t>
      </w:r>
      <w:r w:rsidRPr="00B149CC">
        <w:t>our d</w:t>
      </w:r>
      <w:r w:rsidR="00467A6D">
        <w:t>’</w:t>
      </w:r>
      <w:r w:rsidR="00647DA5">
        <w:t>appel, le </w:t>
      </w:r>
      <w:r>
        <w:t>président du jury</w:t>
      </w:r>
      <w:r w:rsidRPr="00B149CC">
        <w:t xml:space="preserve"> et trois jurés désignés par tirage au sort. Si la </w:t>
      </w:r>
      <w:r>
        <w:t>c</w:t>
      </w:r>
      <w:r w:rsidRPr="00B149CC">
        <w:t>our d</w:t>
      </w:r>
      <w:r w:rsidR="00467A6D">
        <w:t>’</w:t>
      </w:r>
      <w:r w:rsidRPr="00B149CC">
        <w:t>appel estime que les preuves sont insuffisantes pour établir la culpabilité de l</w:t>
      </w:r>
      <w:r w:rsidR="00467A6D">
        <w:t>’</w:t>
      </w:r>
      <w:r w:rsidRPr="00B149CC">
        <w:t>accusé, elle rejette le verdict du</w:t>
      </w:r>
      <w:r>
        <w:t> </w:t>
      </w:r>
      <w:r w:rsidRPr="00B149CC">
        <w:t>jury (art</w:t>
      </w:r>
      <w:r>
        <w:t>. </w:t>
      </w:r>
      <w:r w:rsidRPr="00B149CC">
        <w:t>376</w:t>
      </w:r>
      <w:r>
        <w:t> </w:t>
      </w:r>
      <w:r w:rsidRPr="00B149CC">
        <w:t>c)).</w:t>
      </w:r>
    </w:p>
    <w:p w:rsidR="00C9549A" w:rsidRPr="00B149CC" w:rsidRDefault="00C9549A" w:rsidP="00467A6D">
      <w:pPr>
        <w:pStyle w:val="SingleTxtG"/>
      </w:pPr>
      <w:r w:rsidRPr="00B149CC">
        <w:t>3.5</w:t>
      </w:r>
      <w:r w:rsidRPr="00B149CC">
        <w:tab/>
        <w:t>L</w:t>
      </w:r>
      <w:r w:rsidR="00467A6D">
        <w:t>’</w:t>
      </w:r>
      <w:r w:rsidRPr="00B149CC">
        <w:t>auteur fait valoir que les garanties prévues au paragraphe</w:t>
      </w:r>
      <w:r>
        <w:t> </w:t>
      </w:r>
      <w:r w:rsidRPr="00B149CC">
        <w:t>5 de l</w:t>
      </w:r>
      <w:r w:rsidR="00467A6D">
        <w:t>’</w:t>
      </w:r>
      <w:r w:rsidRPr="00B149CC">
        <w:t>article</w:t>
      </w:r>
      <w:r>
        <w:t> </w:t>
      </w:r>
      <w:r w:rsidRPr="00B149CC">
        <w:t>14 du Pacte comprennent l</w:t>
      </w:r>
      <w:r w:rsidR="00467A6D">
        <w:t>’</w:t>
      </w:r>
      <w:r w:rsidRPr="00B149CC">
        <w:t>obligation d</w:t>
      </w:r>
      <w:r w:rsidR="00467A6D">
        <w:t>’</w:t>
      </w:r>
      <w:r w:rsidRPr="00B149CC">
        <w:t xml:space="preserve">indiquer les motifs de la décision </w:t>
      </w:r>
      <w:r>
        <w:t>de manière à pouvoir</w:t>
      </w:r>
      <w:r w:rsidRPr="00B149CC">
        <w:t xml:space="preserve"> s</w:t>
      </w:r>
      <w:r w:rsidR="00467A6D">
        <w:t>’</w:t>
      </w:r>
      <w:r w:rsidRPr="00B149CC">
        <w:t>assurer qu</w:t>
      </w:r>
      <w:r w:rsidR="00467A6D">
        <w:t>’</w:t>
      </w:r>
      <w:r w:rsidRPr="00B149CC">
        <w:t>il a été procédé à un examen complet. Il s</w:t>
      </w:r>
      <w:r w:rsidR="00467A6D">
        <w:t>’</w:t>
      </w:r>
      <w:r w:rsidRPr="00B149CC">
        <w:t>ensuit que</w:t>
      </w:r>
      <w:r>
        <w:t>,</w:t>
      </w:r>
      <w:r w:rsidRPr="00B149CC">
        <w:t xml:space="preserve"> le jury n</w:t>
      </w:r>
      <w:r w:rsidR="00467A6D">
        <w:t>’</w:t>
      </w:r>
      <w:r w:rsidRPr="00B149CC">
        <w:t>ayant pas motivé sa décision, l</w:t>
      </w:r>
      <w:r w:rsidR="00467A6D">
        <w:t>’</w:t>
      </w:r>
      <w:r w:rsidRPr="00B149CC">
        <w:t>auteur n</w:t>
      </w:r>
      <w:r w:rsidR="00467A6D">
        <w:t>’</w:t>
      </w:r>
      <w:r w:rsidRPr="00B149CC">
        <w:t>a pas bénéficié d</w:t>
      </w:r>
      <w:r w:rsidR="00467A6D">
        <w:t>’</w:t>
      </w:r>
      <w:r w:rsidRPr="00B149CC">
        <w:t>un examen</w:t>
      </w:r>
      <w:r>
        <w:t xml:space="preserve"> de sa cause</w:t>
      </w:r>
      <w:r w:rsidRPr="00B149CC">
        <w:t xml:space="preserve"> dans les règles</w:t>
      </w:r>
      <w:r>
        <w:t>,</w:t>
      </w:r>
      <w:r w:rsidRPr="00B149CC">
        <w:t xml:space="preserve"> car le fait que la réponse aux questions posées se limite à un s</w:t>
      </w:r>
      <w:r>
        <w:t>imple</w:t>
      </w:r>
      <w:r w:rsidRPr="00B149CC">
        <w:t xml:space="preserve"> </w:t>
      </w:r>
      <w:r>
        <w:t>«</w:t>
      </w:r>
      <w:r w:rsidRPr="00B149CC">
        <w:t>oui</w:t>
      </w:r>
      <w:r>
        <w:t>»</w:t>
      </w:r>
      <w:r w:rsidRPr="00B149CC">
        <w:t xml:space="preserve"> l</w:t>
      </w:r>
      <w:r w:rsidR="00467A6D">
        <w:t>’</w:t>
      </w:r>
      <w:r w:rsidRPr="00B149CC">
        <w:t>a privé de la possibilité de s</w:t>
      </w:r>
      <w:r w:rsidR="00467A6D">
        <w:t>’</w:t>
      </w:r>
      <w:r w:rsidRPr="00B149CC">
        <w:t>assurer qu</w:t>
      </w:r>
      <w:r w:rsidR="00467A6D">
        <w:t>’</w:t>
      </w:r>
      <w:r w:rsidRPr="00B149CC">
        <w:t xml:space="preserve">il avait été entendu, à savoir que ses arguments avaient été pris en considération et que les </w:t>
      </w:r>
      <w:r>
        <w:t>moyens</w:t>
      </w:r>
      <w:r w:rsidRPr="00B149CC">
        <w:t xml:space="preserve"> soulevés dans ses conclusions avaient été dûment examinés. Les réponses aux questions posées au jury </w:t>
      </w:r>
      <w:r>
        <w:t xml:space="preserve">ne permettaient </w:t>
      </w:r>
      <w:r w:rsidRPr="00B149CC">
        <w:t>pas non plus</w:t>
      </w:r>
      <w:r>
        <w:t xml:space="preserve"> d</w:t>
      </w:r>
      <w:r w:rsidR="00467A6D">
        <w:t>’</w:t>
      </w:r>
      <w:r>
        <w:t>assurer l</w:t>
      </w:r>
      <w:r w:rsidR="00467A6D">
        <w:t>’</w:t>
      </w:r>
      <w:r>
        <w:t>exercice</w:t>
      </w:r>
      <w:r w:rsidRPr="00B149CC">
        <w:t xml:space="preserve"> </w:t>
      </w:r>
      <w:r>
        <w:t>par le public d</w:t>
      </w:r>
      <w:r w:rsidR="00467A6D">
        <w:t>’</w:t>
      </w:r>
      <w:r>
        <w:t xml:space="preserve">un contrôle </w:t>
      </w:r>
      <w:r w:rsidRPr="00B149CC">
        <w:t>de l</w:t>
      </w:r>
      <w:r w:rsidR="00467A6D">
        <w:t>’</w:t>
      </w:r>
      <w:r w:rsidRPr="00B149CC">
        <w:t>administration de la justice.</w:t>
      </w:r>
    </w:p>
    <w:p w:rsidR="00C9549A" w:rsidRPr="00B149CC" w:rsidRDefault="00C9549A" w:rsidP="00467A6D">
      <w:pPr>
        <w:pStyle w:val="SingleTxtG"/>
      </w:pPr>
      <w:r w:rsidRPr="00B149CC">
        <w:t>3.6</w:t>
      </w:r>
      <w:r w:rsidRPr="00B149CC">
        <w:tab/>
        <w:t>L</w:t>
      </w:r>
      <w:r w:rsidR="00467A6D">
        <w:t>’</w:t>
      </w:r>
      <w:r w:rsidRPr="00B149CC">
        <w:t>auteur affirme en outre que ni les questions posées au jury, ni les réponses données par celui-ci ne lui ont permis de contester la manière dont la loi avait été appliquée</w:t>
      </w:r>
      <w:r>
        <w:t>,</w:t>
      </w:r>
      <w:r w:rsidRPr="00B149CC">
        <w:t xml:space="preserve"> car les instructions données au jury n</w:t>
      </w:r>
      <w:r w:rsidR="00467A6D">
        <w:t>’</w:t>
      </w:r>
      <w:r w:rsidRPr="00B149CC">
        <w:t>ont pas été consignées. Il lui a donc été impossible de s</w:t>
      </w:r>
      <w:r w:rsidR="00467A6D">
        <w:t>’</w:t>
      </w:r>
      <w:r w:rsidRPr="00B149CC">
        <w:t>assurer qu</w:t>
      </w:r>
      <w:r w:rsidR="00467A6D">
        <w:t>’</w:t>
      </w:r>
      <w:r w:rsidRPr="00B149CC">
        <w:t xml:space="preserve">il avait été fait une application </w:t>
      </w:r>
      <w:r>
        <w:t xml:space="preserve">correcte </w:t>
      </w:r>
      <w:r w:rsidRPr="00B149CC">
        <w:t xml:space="preserve">de la loi. En conséquence, il a été privé du droit </w:t>
      </w:r>
      <w:r>
        <w:t>d</w:t>
      </w:r>
      <w:r w:rsidR="00467A6D">
        <w:t>’</w:t>
      </w:r>
      <w:r>
        <w:t>avoir un accès effectif</w:t>
      </w:r>
      <w:r w:rsidRPr="00B149CC">
        <w:t xml:space="preserve"> à la Cour suprême, qui, en vertu de l</w:t>
      </w:r>
      <w:r w:rsidR="00467A6D">
        <w:t>’</w:t>
      </w:r>
      <w:r w:rsidRPr="00B149CC">
        <w:t>article</w:t>
      </w:r>
      <w:r>
        <w:t> </w:t>
      </w:r>
      <w:r w:rsidRPr="00B149CC">
        <w:t>306 du Code</w:t>
      </w:r>
      <w:r>
        <w:t xml:space="preserve"> de procédure</w:t>
      </w:r>
      <w:r w:rsidRPr="00B149CC">
        <w:t xml:space="preserve"> pénal</w:t>
      </w:r>
      <w:r>
        <w:t>e</w:t>
      </w:r>
      <w:r w:rsidRPr="00B149CC">
        <w:t>, n</w:t>
      </w:r>
      <w:r w:rsidR="00467A6D">
        <w:t>’</w:t>
      </w:r>
      <w:r w:rsidRPr="00B149CC">
        <w:t xml:space="preserve">examine que les recours portant sur </w:t>
      </w:r>
      <w:r>
        <w:t xml:space="preserve">un vice </w:t>
      </w:r>
      <w:r w:rsidRPr="00B149CC">
        <w:t>de procédure, l</w:t>
      </w:r>
      <w:r w:rsidR="00467A6D">
        <w:t>’</w:t>
      </w:r>
      <w:r w:rsidRPr="00B149CC">
        <w:t xml:space="preserve">application faite de la loi ou la condamnation prononcée, sauf si le recours est </w:t>
      </w:r>
      <w:r>
        <w:t>fondé sur le caractère erroné de</w:t>
      </w:r>
      <w:r w:rsidRPr="00B149CC">
        <w:t xml:space="preserve"> l</w:t>
      </w:r>
      <w:r w:rsidR="00467A6D">
        <w:t>’</w:t>
      </w:r>
      <w:r w:rsidRPr="00B149CC">
        <w:t>explication par le</w:t>
      </w:r>
      <w:r w:rsidR="00647DA5">
        <w:t xml:space="preserve"> </w:t>
      </w:r>
      <w:r w:rsidRPr="00B149CC">
        <w:t>Président des principes juridiques applicables</w:t>
      </w:r>
      <w:r>
        <w:t>, laquelle</w:t>
      </w:r>
      <w:r w:rsidRPr="00B149CC">
        <w:t xml:space="preserve"> a été consignée.</w:t>
      </w:r>
    </w:p>
    <w:p w:rsidR="00C9549A" w:rsidRPr="00B149CC" w:rsidRDefault="00C9549A" w:rsidP="00467A6D">
      <w:pPr>
        <w:pStyle w:val="SingleTxtG"/>
      </w:pPr>
      <w:r w:rsidRPr="00B149CC">
        <w:t>3.7</w:t>
      </w:r>
      <w:r w:rsidRPr="00B149CC">
        <w:tab/>
        <w:t>L</w:t>
      </w:r>
      <w:r w:rsidR="00467A6D">
        <w:t>’</w:t>
      </w:r>
      <w:r w:rsidRPr="00B149CC">
        <w:t>auteur fait également valoir que le droit à un examen de l</w:t>
      </w:r>
      <w:r w:rsidR="00467A6D">
        <w:t>’</w:t>
      </w:r>
      <w:r w:rsidRPr="00B149CC">
        <w:t>appréciation des éléments de preuve, de questions de procédure et de la manière dont la loi a été appliquée est inhérent au droit de faire examiner la déclaration de culpabilité. Il soutient que</w:t>
      </w:r>
      <w:r>
        <w:t>,</w:t>
      </w:r>
      <w:r w:rsidRPr="00B149CC">
        <w:t xml:space="preserve"> même si des dispositions du droit interne prévoient que la portée du droit de recours est limitée aux questions de procédure et d</w:t>
      </w:r>
      <w:r w:rsidR="00467A6D">
        <w:t>’</w:t>
      </w:r>
      <w:r w:rsidRPr="00B149CC">
        <w:t>application de la loi, une telle restriction ne saurait avoir pour conséquence qu</w:t>
      </w:r>
      <w:r w:rsidR="00467A6D">
        <w:t>’</w:t>
      </w:r>
      <w:r w:rsidRPr="00B149CC">
        <w:t>une personne condamnée se voit privée du droit à un examen effectif de</w:t>
      </w:r>
      <w:r>
        <w:t> </w:t>
      </w:r>
      <w:r w:rsidRPr="00B149CC">
        <w:t xml:space="preserve">ces </w:t>
      </w:r>
      <w:r>
        <w:t>deux moyens</w:t>
      </w:r>
      <w:r w:rsidRPr="00B149CC">
        <w:t xml:space="preserve"> dans le cadre d</w:t>
      </w:r>
      <w:r w:rsidR="00467A6D">
        <w:t>’</w:t>
      </w:r>
      <w:r w:rsidRPr="00B149CC">
        <w:t>un</w:t>
      </w:r>
      <w:r>
        <w:t xml:space="preserve"> recours.</w:t>
      </w:r>
    </w:p>
    <w:p w:rsidR="00C9549A" w:rsidRPr="00B149CC" w:rsidRDefault="00C9549A" w:rsidP="00467A6D">
      <w:pPr>
        <w:pStyle w:val="SingleTxtG"/>
      </w:pPr>
      <w:r w:rsidRPr="00B149CC">
        <w:t>3.8</w:t>
      </w:r>
      <w:r w:rsidRPr="00B149CC">
        <w:tab/>
        <w:t>L</w:t>
      </w:r>
      <w:r w:rsidR="00467A6D">
        <w:t>’</w:t>
      </w:r>
      <w:r w:rsidRPr="00B149CC">
        <w:t>auteur fait valoir qu</w:t>
      </w:r>
      <w:r w:rsidR="00467A6D">
        <w:t>’</w:t>
      </w:r>
      <w:r w:rsidRPr="00B149CC">
        <w:t>il a épuisé tous les recours internes disponibles, la Cour suprême ayant statué sur son affaire.</w:t>
      </w:r>
    </w:p>
    <w:p w:rsidR="00C9549A" w:rsidRPr="00467A6D" w:rsidRDefault="00C9549A" w:rsidP="00467A6D">
      <w:pPr>
        <w:pStyle w:val="H23G"/>
      </w:pPr>
      <w:r>
        <w:tab/>
      </w:r>
      <w:r>
        <w:tab/>
      </w:r>
      <w:r w:rsidRPr="00B149CC">
        <w:t>Observations de l</w:t>
      </w:r>
      <w:r w:rsidR="00467A6D">
        <w:t>’</w:t>
      </w:r>
      <w:r w:rsidRPr="00B149CC">
        <w:t>État partie sur la recevabilité</w:t>
      </w:r>
      <w:r>
        <w:t xml:space="preserve"> </w:t>
      </w:r>
      <w:r w:rsidRPr="00B149CC">
        <w:t>et sur le fond</w:t>
      </w:r>
    </w:p>
    <w:p w:rsidR="00C9549A" w:rsidRPr="00B149CC" w:rsidRDefault="00C9549A" w:rsidP="00467A6D">
      <w:pPr>
        <w:pStyle w:val="SingleTxtG"/>
      </w:pPr>
      <w:r w:rsidRPr="00B149CC">
        <w:t>4.1</w:t>
      </w:r>
      <w:r w:rsidRPr="00B149CC">
        <w:tab/>
        <w:t>Dans une note en date du 15</w:t>
      </w:r>
      <w:r>
        <w:t> </w:t>
      </w:r>
      <w:r w:rsidRPr="00B149CC">
        <w:t>novembre 2010, l</w:t>
      </w:r>
      <w:r w:rsidR="00467A6D">
        <w:t>’</w:t>
      </w:r>
      <w:r w:rsidRPr="00B149CC">
        <w:t>État partie a fait part de ses</w:t>
      </w:r>
      <w:r w:rsidR="00CF5B12">
        <w:t xml:space="preserve"> </w:t>
      </w:r>
      <w:r w:rsidRPr="00B149CC">
        <w:t>observations sur la recevabilité et le fond.</w:t>
      </w:r>
    </w:p>
    <w:p w:rsidR="00C9549A" w:rsidRPr="00B149CC" w:rsidRDefault="00C9549A" w:rsidP="00467A6D">
      <w:pPr>
        <w:pStyle w:val="SingleTxtG"/>
      </w:pPr>
      <w:r w:rsidRPr="00B149CC">
        <w:t>4.2</w:t>
      </w:r>
      <w:r w:rsidRPr="00B149CC">
        <w:tab/>
        <w:t>L</w:t>
      </w:r>
      <w:r w:rsidR="00467A6D">
        <w:t>’</w:t>
      </w:r>
      <w:r w:rsidRPr="00B149CC">
        <w:t>État partie indique qu</w:t>
      </w:r>
      <w:r w:rsidR="00467A6D">
        <w:t>’</w:t>
      </w:r>
      <w:r w:rsidRPr="00B149CC">
        <w:t xml:space="preserve">il ne voit aucune raison de </w:t>
      </w:r>
      <w:r w:rsidR="008B3896">
        <w:t>contester la recevabilité de la </w:t>
      </w:r>
      <w:r w:rsidRPr="00B149CC">
        <w:t>communication. En ce qui concerne le fond, il affirme qu</w:t>
      </w:r>
      <w:r w:rsidR="00467A6D">
        <w:t>’</w:t>
      </w:r>
      <w:r w:rsidRPr="00B149CC">
        <w:t>il n</w:t>
      </w:r>
      <w:r w:rsidR="00467A6D">
        <w:t>’</w:t>
      </w:r>
      <w:r w:rsidRPr="00B149CC">
        <w:t>y a eu aucune violation des droits de l</w:t>
      </w:r>
      <w:r w:rsidR="00467A6D">
        <w:t>’</w:t>
      </w:r>
      <w:r w:rsidRPr="00B149CC">
        <w:t>auteur car il ne découle nullement du paragraphe</w:t>
      </w:r>
      <w:r>
        <w:t> </w:t>
      </w:r>
      <w:r w:rsidRPr="00B149CC">
        <w:t>5 de l</w:t>
      </w:r>
      <w:r w:rsidR="00467A6D">
        <w:t>’</w:t>
      </w:r>
      <w:r w:rsidRPr="00B149CC">
        <w:t>article</w:t>
      </w:r>
      <w:r>
        <w:t> </w:t>
      </w:r>
      <w:r w:rsidRPr="00B149CC">
        <w:t>14 du Pacte que le</w:t>
      </w:r>
      <w:r w:rsidR="008B3896">
        <w:t> </w:t>
      </w:r>
      <w:r w:rsidRPr="00B149CC">
        <w:t>jury avait l</w:t>
      </w:r>
      <w:r w:rsidR="00467A6D">
        <w:t>’</w:t>
      </w:r>
      <w:r w:rsidRPr="00B149CC">
        <w:t>obligation de motiver ses réponses</w:t>
      </w:r>
      <w:r w:rsidR="008E6499">
        <w:rPr>
          <w:rStyle w:val="FootnoteReference"/>
        </w:rPr>
        <w:footnoteReference w:id="6"/>
      </w:r>
      <w:r w:rsidRPr="00B149CC">
        <w:t>. En outre, les faits ne font pas apparaître de</w:t>
      </w:r>
      <w:r>
        <w:t> </w:t>
      </w:r>
      <w:r w:rsidRPr="00B149CC">
        <w:t>violation du paragra</w:t>
      </w:r>
      <w:r>
        <w:t>phe 5 de l</w:t>
      </w:r>
      <w:r w:rsidR="00467A6D">
        <w:t>’</w:t>
      </w:r>
      <w:r>
        <w:t>article 14 du Pacte.</w:t>
      </w:r>
    </w:p>
    <w:p w:rsidR="00C9549A" w:rsidRPr="00B149CC" w:rsidRDefault="00C9549A" w:rsidP="00467A6D">
      <w:pPr>
        <w:pStyle w:val="SingleTxtG"/>
      </w:pPr>
      <w:r w:rsidRPr="00B149CC">
        <w:t>4.3</w:t>
      </w:r>
      <w:r w:rsidRPr="00B149CC">
        <w:tab/>
        <w:t>L</w:t>
      </w:r>
      <w:r w:rsidR="00467A6D">
        <w:t>’</w:t>
      </w:r>
      <w:r w:rsidRPr="00B149CC">
        <w:t xml:space="preserve">État partie rappelle que le procès </w:t>
      </w:r>
      <w:r>
        <w:t>avec</w:t>
      </w:r>
      <w:r w:rsidRPr="00B149CC">
        <w:t xml:space="preserve"> jury est une institution importante, prévue de longue date par les règles de procédure pénale applicables dans de nombreu</w:t>
      </w:r>
      <w:r>
        <w:t>x</w:t>
      </w:r>
      <w:r w:rsidRPr="00B149CC">
        <w:t xml:space="preserve"> </w:t>
      </w:r>
      <w:r>
        <w:t>pays</w:t>
      </w:r>
      <w:r w:rsidRPr="00B149CC">
        <w:t>, dans la plupart desquels le jury est chargé d</w:t>
      </w:r>
      <w:r w:rsidR="00467A6D">
        <w:t>’</w:t>
      </w:r>
      <w:r w:rsidRPr="00B149CC">
        <w:t>établir les faits de la cause, tandis que le juge détermine quelles sont les dispositions applicables et fixe la peine. En</w:t>
      </w:r>
      <w:r w:rsidR="008B3896">
        <w:t xml:space="preserve"> </w:t>
      </w:r>
      <w:r w:rsidRPr="00B149CC">
        <w:t xml:space="preserve">général, le jury ne motive pas son verdict et se borne à répondre par </w:t>
      </w:r>
      <w:r>
        <w:t>«</w:t>
      </w:r>
      <w:r w:rsidRPr="00B149CC">
        <w:t>oui</w:t>
      </w:r>
      <w:r>
        <w:t>»</w:t>
      </w:r>
      <w:r w:rsidRPr="00B149CC">
        <w:t xml:space="preserve"> ou</w:t>
      </w:r>
      <w:r>
        <w:t xml:space="preserve"> </w:t>
      </w:r>
      <w:r w:rsidRPr="00B149CC">
        <w:t xml:space="preserve">par </w:t>
      </w:r>
      <w:r>
        <w:t>«</w:t>
      </w:r>
      <w:r w:rsidRPr="00B149CC">
        <w:t>non</w:t>
      </w:r>
      <w:r>
        <w:t>»</w:t>
      </w:r>
      <w:r w:rsidRPr="00B149CC">
        <w:t xml:space="preserve"> aux questions qui lui ont été soumises.</w:t>
      </w:r>
    </w:p>
    <w:p w:rsidR="00C9549A" w:rsidRPr="00B149CC" w:rsidRDefault="00C9549A" w:rsidP="00467A6D">
      <w:pPr>
        <w:pStyle w:val="SingleTxtG"/>
      </w:pPr>
      <w:r w:rsidRPr="00B149CC">
        <w:t>4.4</w:t>
      </w:r>
      <w:r w:rsidRPr="00B149CC">
        <w:tab/>
        <w:t>L</w:t>
      </w:r>
      <w:r w:rsidR="00467A6D">
        <w:t>’</w:t>
      </w:r>
      <w:r w:rsidRPr="00B149CC">
        <w:t>État partie ajoute que</w:t>
      </w:r>
      <w:r>
        <w:t>,</w:t>
      </w:r>
      <w:r w:rsidRPr="00B149CC">
        <w:t xml:space="preserve"> compte tenu de ce que le procès </w:t>
      </w:r>
      <w:r>
        <w:t>avec</w:t>
      </w:r>
      <w:r w:rsidRPr="00B149CC">
        <w:t xml:space="preserve"> jury est un élément essentiel de la procédure pénale de plusieurs États parties au Pacte, le fait qu</w:t>
      </w:r>
      <w:r w:rsidR="00467A6D">
        <w:t>’</w:t>
      </w:r>
      <w:r w:rsidRPr="00B149CC">
        <w:t>il n</w:t>
      </w:r>
      <w:r w:rsidR="00467A6D">
        <w:t>’</w:t>
      </w:r>
      <w:r w:rsidRPr="00B149CC">
        <w:t>y soit pas fait référence dans le paragraphe</w:t>
      </w:r>
      <w:r>
        <w:t> </w:t>
      </w:r>
      <w:r w:rsidRPr="00B149CC">
        <w:t>5 de l</w:t>
      </w:r>
      <w:r w:rsidR="00467A6D">
        <w:t>’</w:t>
      </w:r>
      <w:r w:rsidRPr="00B149CC">
        <w:t>article</w:t>
      </w:r>
      <w:r>
        <w:t> </w:t>
      </w:r>
      <w:r w:rsidRPr="00B149CC">
        <w:t>14 constitue en soi une réfutation convaincante de l</w:t>
      </w:r>
      <w:r w:rsidR="00467A6D">
        <w:t>’</w:t>
      </w:r>
      <w:r w:rsidRPr="00B149CC">
        <w:t>affirmation de l</w:t>
      </w:r>
      <w:r w:rsidR="00467A6D">
        <w:t>’</w:t>
      </w:r>
      <w:r w:rsidRPr="00B149CC">
        <w:t>auteur</w:t>
      </w:r>
      <w:r>
        <w:t>, qui dit avoir</w:t>
      </w:r>
      <w:r w:rsidRPr="00B149CC">
        <w:t xml:space="preserve"> été victime d</w:t>
      </w:r>
      <w:r w:rsidR="00467A6D">
        <w:t>’</w:t>
      </w:r>
      <w:r w:rsidRPr="00B149CC">
        <w:t>une violation d</w:t>
      </w:r>
      <w:r>
        <w:t>e cette disposition</w:t>
      </w:r>
      <w:r w:rsidRPr="00B149CC">
        <w:t>. L</w:t>
      </w:r>
      <w:r w:rsidR="00467A6D">
        <w:t>’</w:t>
      </w:r>
      <w:r w:rsidRPr="00B149CC">
        <w:t>État partie souligne également qu</w:t>
      </w:r>
      <w:r w:rsidR="00467A6D">
        <w:t>’</w:t>
      </w:r>
      <w:r w:rsidRPr="00B149CC">
        <w:t>il ressort de la jurisprudence du Comité que celui-ci n</w:t>
      </w:r>
      <w:r w:rsidR="00467A6D">
        <w:t>’</w:t>
      </w:r>
      <w:r w:rsidRPr="00B149CC">
        <w:t xml:space="preserve">a jamais conclu que la procédure du procès </w:t>
      </w:r>
      <w:r>
        <w:t>avec</w:t>
      </w:r>
      <w:r w:rsidRPr="00B149CC">
        <w:t xml:space="preserve"> jury était contraire au paragraphe</w:t>
      </w:r>
      <w:r>
        <w:t> </w:t>
      </w:r>
      <w:r w:rsidRPr="00B149CC">
        <w:t>5 de l</w:t>
      </w:r>
      <w:r w:rsidR="00467A6D">
        <w:t>’</w:t>
      </w:r>
      <w:r>
        <w:t>article </w:t>
      </w:r>
      <w:r w:rsidRPr="00B149CC">
        <w:t>14 du Pacte.</w:t>
      </w:r>
    </w:p>
    <w:p w:rsidR="00C9549A" w:rsidRPr="00B149CC" w:rsidRDefault="00C9549A" w:rsidP="00467A6D">
      <w:pPr>
        <w:pStyle w:val="SingleTxtG"/>
      </w:pPr>
      <w:r w:rsidRPr="00B149CC">
        <w:t>4.5</w:t>
      </w:r>
      <w:r w:rsidRPr="00B149CC">
        <w:tab/>
        <w:t>L</w:t>
      </w:r>
      <w:r w:rsidR="00467A6D">
        <w:t>’</w:t>
      </w:r>
      <w:r w:rsidRPr="00B149CC">
        <w:t>État partie affirme</w:t>
      </w:r>
      <w:r>
        <w:t xml:space="preserve"> de surcroît</w:t>
      </w:r>
      <w:r w:rsidRPr="00B149CC">
        <w:t xml:space="preserve"> que la procédure pénale norvégienne est pleinement conforme au paragraphe</w:t>
      </w:r>
      <w:r>
        <w:t> </w:t>
      </w:r>
      <w:r w:rsidRPr="00B149CC">
        <w:t>5 de l</w:t>
      </w:r>
      <w:r w:rsidR="00467A6D">
        <w:t>’</w:t>
      </w:r>
      <w:r w:rsidRPr="00B149CC">
        <w:t>article</w:t>
      </w:r>
      <w:r>
        <w:t> </w:t>
      </w:r>
      <w:r w:rsidRPr="00B149CC">
        <w:t>14 du Pacte et indique, en particulier, qu</w:t>
      </w:r>
      <w:r w:rsidR="00467A6D">
        <w:t>’</w:t>
      </w:r>
      <w:r w:rsidRPr="00B149CC">
        <w:t>il existe divers mécanismes permettant de garantir la possibilité de contrôler l</w:t>
      </w:r>
      <w:r w:rsidR="00467A6D">
        <w:t>’</w:t>
      </w:r>
      <w:r w:rsidRPr="00B149CC">
        <w:t>appréciation à laquelle s</w:t>
      </w:r>
      <w:r w:rsidR="00467A6D">
        <w:t>’</w:t>
      </w:r>
      <w:r w:rsidRPr="00B149CC">
        <w:t>est livré le jury. Dans le cadre de l</w:t>
      </w:r>
      <w:r w:rsidR="00467A6D">
        <w:t>’</w:t>
      </w:r>
      <w:r w:rsidRPr="00B149CC">
        <w:t xml:space="preserve">affaire </w:t>
      </w:r>
      <w:r w:rsidRPr="00B149CC">
        <w:rPr>
          <w:i/>
        </w:rPr>
        <w:t>Bhatti</w:t>
      </w:r>
      <w:r w:rsidRPr="004472F2">
        <w:rPr>
          <w:rStyle w:val="FootnoteReference"/>
        </w:rPr>
        <w:footnoteReference w:id="7"/>
      </w:r>
      <w:r w:rsidRPr="00B149CC">
        <w:t xml:space="preserve">, la Cour suprême a expliqué en détail comment le Code de procédure pénale garantissait la possibilité pour le défendeur comme pour le </w:t>
      </w:r>
      <w:r>
        <w:t xml:space="preserve">grand </w:t>
      </w:r>
      <w:r w:rsidRPr="00B149CC">
        <w:t>public de contrôler l</w:t>
      </w:r>
      <w:r w:rsidR="00467A6D">
        <w:t>’</w:t>
      </w:r>
      <w:r w:rsidRPr="00B149CC">
        <w:t>examen auquel il avait été procédé, rappelant que le paragraphe</w:t>
      </w:r>
      <w:r>
        <w:t> </w:t>
      </w:r>
      <w:r w:rsidRPr="00B149CC">
        <w:t>1 de l</w:t>
      </w:r>
      <w:r w:rsidR="00467A6D">
        <w:t>’</w:t>
      </w:r>
      <w:r w:rsidRPr="00B149CC">
        <w:t>article</w:t>
      </w:r>
      <w:r>
        <w:t> </w:t>
      </w:r>
      <w:r w:rsidRPr="00B149CC">
        <w:t>40 du Code de procédure pénale disposait qu</w:t>
      </w:r>
      <w:r w:rsidR="00467A6D">
        <w:t>’</w:t>
      </w:r>
      <w:r w:rsidRPr="00B149CC">
        <w:t xml:space="preserve">un jugement de la </w:t>
      </w:r>
      <w:r>
        <w:t>c</w:t>
      </w:r>
      <w:r w:rsidRPr="00B149CC">
        <w:t>our d</w:t>
      </w:r>
      <w:r w:rsidR="00467A6D">
        <w:t>’</w:t>
      </w:r>
      <w:r w:rsidRPr="00B149CC">
        <w:t xml:space="preserve">appel fondé sur un verdict rendu par un jury </w:t>
      </w:r>
      <w:r>
        <w:t>«</w:t>
      </w:r>
      <w:r w:rsidRPr="00B149CC">
        <w:t>ne consiste, en ce qui concerne la question de la culpabilité, qu</w:t>
      </w:r>
      <w:r w:rsidR="00467A6D">
        <w:t>’</w:t>
      </w:r>
      <w:r w:rsidRPr="00B149CC">
        <w:t xml:space="preserve">en une </w:t>
      </w:r>
      <w:r>
        <w:t>référence au</w:t>
      </w:r>
      <w:r w:rsidRPr="00B149CC">
        <w:t>dit verdict</w:t>
      </w:r>
      <w:r>
        <w:t>»</w:t>
      </w:r>
      <w:r w:rsidRPr="00B149CC">
        <w:t>. Les questions posées au jury doivent comporter des renseignements sur les faits. Les principales questions posée</w:t>
      </w:r>
      <w:r w:rsidR="006935D7">
        <w:t>s</w:t>
      </w:r>
      <w:r w:rsidRPr="00B149CC">
        <w:t xml:space="preserve"> commence</w:t>
      </w:r>
      <w:r>
        <w:t>nt</w:t>
      </w:r>
      <w:r w:rsidRPr="00B149CC">
        <w:t xml:space="preserve"> par les mots </w:t>
      </w:r>
      <w:r>
        <w:t>«</w:t>
      </w:r>
      <w:r w:rsidRPr="00B149CC">
        <w:t>Le prévenu est-il coupable</w:t>
      </w:r>
      <w:r>
        <w:t>?»</w:t>
      </w:r>
      <w:r w:rsidRPr="00B149CC">
        <w:t>. Il n</w:t>
      </w:r>
      <w:r w:rsidR="00467A6D">
        <w:t>’</w:t>
      </w:r>
      <w:r w:rsidRPr="00B149CC">
        <w:t>est pas demandé au jury si les diverses conditions</w:t>
      </w:r>
      <w:r>
        <w:t xml:space="preserve"> particulières</w:t>
      </w:r>
      <w:r w:rsidRPr="00B149CC">
        <w:t xml:space="preserve"> d</w:t>
      </w:r>
      <w:r w:rsidR="00467A6D">
        <w:t>’</w:t>
      </w:r>
      <w:r w:rsidRPr="00B149CC">
        <w:t>engagement de la responsa</w:t>
      </w:r>
      <w:r w:rsidR="008B3896">
        <w:t>bilité pénale sont remplies. Le </w:t>
      </w:r>
      <w:r w:rsidRPr="00B149CC">
        <w:t>fait qu</w:t>
      </w:r>
      <w:r w:rsidR="00467A6D">
        <w:t>’</w:t>
      </w:r>
      <w:r w:rsidRPr="00B149CC">
        <w:t>un jury rende un verdict de culpabilité signifie qu</w:t>
      </w:r>
      <w:r w:rsidR="00467A6D">
        <w:t>’</w:t>
      </w:r>
      <w:r w:rsidRPr="00B149CC">
        <w:t>il a conclu que toutes les conditions nécessaires pour déclarer le défendeur coupable étaient remplies. Le cas échéant, certaines questions non encore tranchées (portée de l</w:t>
      </w:r>
      <w:r w:rsidR="00467A6D">
        <w:t>’</w:t>
      </w:r>
      <w:r w:rsidRPr="00B149CC">
        <w:t>infraction, degré de culpabilité, par exemple) sont traitées lors de la détermination de la peine.</w:t>
      </w:r>
    </w:p>
    <w:p w:rsidR="00C9549A" w:rsidRDefault="00C9549A" w:rsidP="00467A6D">
      <w:pPr>
        <w:pStyle w:val="SingleTxtG"/>
      </w:pPr>
      <w:r w:rsidRPr="00B149CC">
        <w:t>4.6</w:t>
      </w:r>
      <w:r w:rsidRPr="00B149CC">
        <w:tab/>
        <w:t xml:space="preserve">La peine est fixée par trois juges professionnels et quatre jurés, à savoir le président </w:t>
      </w:r>
      <w:r>
        <w:t>du jury</w:t>
      </w:r>
      <w:r w:rsidRPr="00B149CC">
        <w:t xml:space="preserve"> et trois autres jurés (art</w:t>
      </w:r>
      <w:r>
        <w:t>. </w:t>
      </w:r>
      <w:r w:rsidRPr="00B149CC">
        <w:t>376</w:t>
      </w:r>
      <w:r>
        <w:t> </w:t>
      </w:r>
      <w:r w:rsidRPr="00B149CC">
        <w:t>e</w:t>
      </w:r>
      <w:r>
        <w:t>)</w:t>
      </w:r>
      <w:r w:rsidRPr="00B149CC">
        <w:t xml:space="preserve"> du Code de procédure </w:t>
      </w:r>
      <w:r>
        <w:t>pénale</w:t>
      </w:r>
      <w:r w:rsidRPr="00B149CC">
        <w:t xml:space="preserve">). La peine doit être motivée, et la pratique établie veut que les juges </w:t>
      </w:r>
      <w:r>
        <w:t xml:space="preserve">professionnels </w:t>
      </w:r>
      <w:r w:rsidRPr="00B149CC">
        <w:t>et les jurés qualifient conjointement l</w:t>
      </w:r>
      <w:r w:rsidR="00467A6D">
        <w:t>’</w:t>
      </w:r>
      <w:r w:rsidRPr="00B149CC">
        <w:t xml:space="preserve">acte duquel le défendeur est reconnu coupable, cette qualification constituant la base sur laquelle est </w:t>
      </w:r>
      <w:r>
        <w:t>déterminée</w:t>
      </w:r>
      <w:r w:rsidRPr="00B149CC">
        <w:t xml:space="preserve"> la peine. Cette qualification de l</w:t>
      </w:r>
      <w:r w:rsidR="00467A6D">
        <w:t>’</w:t>
      </w:r>
      <w:r w:rsidRPr="00B149CC">
        <w:t>acte criminel doit, notamment, préciser quels éléments ont été considérés comme prouvés aux fins de l</w:t>
      </w:r>
      <w:r w:rsidR="00467A6D">
        <w:t>’</w:t>
      </w:r>
      <w:r w:rsidRPr="00B149CC">
        <w:t xml:space="preserve">établissement de la culpabilité subjective, et si les questions posées au jury comportaient deux propositions introduites par les mots </w:t>
      </w:r>
      <w:r>
        <w:t>«</w:t>
      </w:r>
      <w:r w:rsidRPr="00B149CC">
        <w:t>et/ou</w:t>
      </w:r>
      <w:r>
        <w:t>»</w:t>
      </w:r>
      <w:r w:rsidRPr="00B149CC">
        <w:t xml:space="preserve">, </w:t>
      </w:r>
      <w:r>
        <w:t>elle</w:t>
      </w:r>
      <w:r w:rsidRPr="00B149CC">
        <w:t xml:space="preserve"> doit également indiqu</w:t>
      </w:r>
      <w:r>
        <w:t>er</w:t>
      </w:r>
      <w:r w:rsidRPr="00B149CC">
        <w:t xml:space="preserve"> laquelle de ces deux propositions est considérée comme ayant ét</w:t>
      </w:r>
      <w:r>
        <w:t>é</w:t>
      </w:r>
      <w:r w:rsidRPr="00B149CC">
        <w:t xml:space="preserve"> prouvée. Ainsi, les motifs donnés pour justifier la peine fixée comportent des renseignements détaillés sur les faits que les quatre jurés et les trois juges professionnels </w:t>
      </w:r>
      <w:r>
        <w:t xml:space="preserve">ont </w:t>
      </w:r>
      <w:r w:rsidRPr="00B149CC">
        <w:t>consid</w:t>
      </w:r>
      <w:r>
        <w:t>érés</w:t>
      </w:r>
      <w:r w:rsidRPr="00B149CC">
        <w:t xml:space="preserve"> comme prouvés. En principe, ces motifs</w:t>
      </w:r>
      <w:r>
        <w:t xml:space="preserve"> sont</w:t>
      </w:r>
      <w:r w:rsidRPr="00B149CC">
        <w:t xml:space="preserve"> </w:t>
      </w:r>
      <w:r>
        <w:t>également</w:t>
      </w:r>
      <w:r w:rsidRPr="00B149CC">
        <w:t xml:space="preserve"> </w:t>
      </w:r>
      <w:r>
        <w:t>réputés</w:t>
      </w:r>
      <w:r w:rsidRPr="00B149CC">
        <w:t xml:space="preserve"> reflét</w:t>
      </w:r>
      <w:r>
        <w:t>er</w:t>
      </w:r>
      <w:r w:rsidRPr="00B149CC">
        <w:t xml:space="preserve"> l</w:t>
      </w:r>
      <w:r w:rsidR="00467A6D">
        <w:t>’</w:t>
      </w:r>
      <w:r w:rsidRPr="00B149CC">
        <w:t>opinion du jury.</w:t>
      </w:r>
    </w:p>
    <w:p w:rsidR="00C9549A" w:rsidRDefault="00C9549A" w:rsidP="00467A6D">
      <w:pPr>
        <w:pStyle w:val="SingleTxtG"/>
      </w:pPr>
      <w:r w:rsidRPr="00B149CC">
        <w:t>4.7</w:t>
      </w:r>
      <w:r w:rsidRPr="00B149CC">
        <w:tab/>
        <w:t>Renvoyant à la jurisprudence du Comité</w:t>
      </w:r>
      <w:r w:rsidR="008B3896">
        <w:rPr>
          <w:rStyle w:val="FootnoteReference"/>
        </w:rPr>
        <w:footnoteReference w:id="8"/>
      </w:r>
      <w:r w:rsidRPr="00B149CC">
        <w:t>, l</w:t>
      </w:r>
      <w:r w:rsidR="00467A6D">
        <w:t>’</w:t>
      </w:r>
      <w:r w:rsidRPr="00B149CC">
        <w:t>État partie affirme qu</w:t>
      </w:r>
      <w:r w:rsidR="00467A6D">
        <w:t>’</w:t>
      </w:r>
      <w:r w:rsidRPr="00B149CC">
        <w:t>il a été procédé à un examen au fond de la déclaration de culpabilité de l</w:t>
      </w:r>
      <w:r w:rsidR="00467A6D">
        <w:t>’</w:t>
      </w:r>
      <w:r w:rsidRPr="00B149CC">
        <w:t>aut</w:t>
      </w:r>
      <w:r>
        <w:t>eur et de sa condamnation. La </w:t>
      </w:r>
      <w:r w:rsidRPr="00B149CC">
        <w:t xml:space="preserve">déclaration de sa culpabilité et sa condamnation par le tribunal de district de Sandefjord ont été examinées par la </w:t>
      </w:r>
      <w:r>
        <w:t>c</w:t>
      </w:r>
      <w:r w:rsidRPr="00B149CC">
        <w:t>our d</w:t>
      </w:r>
      <w:r w:rsidR="00467A6D">
        <w:t>’</w:t>
      </w:r>
      <w:r w:rsidRPr="00B149CC">
        <w:t>appel d</w:t>
      </w:r>
      <w:r w:rsidR="00467A6D">
        <w:t>’</w:t>
      </w:r>
      <w:r w:rsidRPr="00B149CC">
        <w:t>Agder, conformément à l</w:t>
      </w:r>
      <w:r w:rsidR="00467A6D">
        <w:t>’</w:t>
      </w:r>
      <w:r w:rsidRPr="00B149CC">
        <w:t>article</w:t>
      </w:r>
      <w:r>
        <w:t> </w:t>
      </w:r>
      <w:r w:rsidRPr="00B149CC">
        <w:t>352 (par.</w:t>
      </w:r>
      <w:r>
        <w:t> </w:t>
      </w:r>
      <w:r w:rsidRPr="00B149CC">
        <w:t>3.2) du Code de procédure pénale. Cette cour d</w:t>
      </w:r>
      <w:r w:rsidR="00467A6D">
        <w:t>’</w:t>
      </w:r>
      <w:r w:rsidRPr="00B149CC">
        <w:t xml:space="preserve">appel est sans conteste une </w:t>
      </w:r>
      <w:r>
        <w:t>«</w:t>
      </w:r>
      <w:r w:rsidRPr="00B149CC">
        <w:t>juridiction supérieure</w:t>
      </w:r>
      <w:r>
        <w:t>»</w:t>
      </w:r>
      <w:r w:rsidRPr="00B149CC">
        <w:t xml:space="preserve"> au sens du paragraphe</w:t>
      </w:r>
      <w:r>
        <w:t> </w:t>
      </w:r>
      <w:r w:rsidRPr="00B149CC">
        <w:t>5 de l</w:t>
      </w:r>
      <w:r w:rsidR="00467A6D">
        <w:t>’</w:t>
      </w:r>
      <w:r w:rsidRPr="00B149CC">
        <w:t>article</w:t>
      </w:r>
      <w:r>
        <w:t> </w:t>
      </w:r>
      <w:r w:rsidRPr="00B149CC">
        <w:t>14 du Pacte. La procédu</w:t>
      </w:r>
      <w:r>
        <w:t>re qu</w:t>
      </w:r>
      <w:r w:rsidR="00467A6D">
        <w:t>’</w:t>
      </w:r>
      <w:r>
        <w:t>elle doit suivre</w:t>
      </w:r>
      <w:r w:rsidRPr="00B149CC">
        <w:t xml:space="preserve"> est énoncée dans le Code de procédure pénale, de sorte qu</w:t>
      </w:r>
      <w:r w:rsidR="00467A6D">
        <w:t>’</w:t>
      </w:r>
      <w:r w:rsidRPr="00B149CC">
        <w:t>il a été satisfait à la prescription du paragraphe</w:t>
      </w:r>
      <w:r>
        <w:t> </w:t>
      </w:r>
      <w:r w:rsidRPr="00B149CC">
        <w:t>5 de l</w:t>
      </w:r>
      <w:r w:rsidR="00467A6D">
        <w:t>’</w:t>
      </w:r>
      <w:r w:rsidRPr="00B149CC">
        <w:t>article</w:t>
      </w:r>
      <w:r>
        <w:t> </w:t>
      </w:r>
      <w:r w:rsidRPr="00B149CC">
        <w:t>14 voulant qu</w:t>
      </w:r>
      <w:r w:rsidR="00467A6D">
        <w:t>’</w:t>
      </w:r>
      <w:r w:rsidRPr="00B149CC">
        <w:t>il soit procédé à</w:t>
      </w:r>
      <w:r>
        <w:t xml:space="preserve"> </w:t>
      </w:r>
      <w:r w:rsidRPr="00B149CC">
        <w:t>l</w:t>
      </w:r>
      <w:r w:rsidR="00467A6D">
        <w:t>’</w:t>
      </w:r>
      <w:r w:rsidRPr="00B149CC">
        <w:t xml:space="preserve">examen </w:t>
      </w:r>
      <w:r>
        <w:t>«</w:t>
      </w:r>
      <w:r w:rsidRPr="00B149CC">
        <w:t>conformément à la loi</w:t>
      </w:r>
      <w:r>
        <w:t>»</w:t>
      </w:r>
      <w:r w:rsidRPr="00B149CC">
        <w:t>.</w:t>
      </w:r>
    </w:p>
    <w:p w:rsidR="00C9549A" w:rsidRDefault="00C9549A" w:rsidP="00467A6D">
      <w:pPr>
        <w:pStyle w:val="SingleTxtG"/>
      </w:pPr>
      <w:r w:rsidRPr="00B149CC">
        <w:t>4.8</w:t>
      </w:r>
      <w:r w:rsidRPr="00B149CC">
        <w:tab/>
        <w:t>L</w:t>
      </w:r>
      <w:r w:rsidR="00467A6D">
        <w:t>’</w:t>
      </w:r>
      <w:r w:rsidRPr="00B149CC">
        <w:t xml:space="preserve">État partie </w:t>
      </w:r>
      <w:r>
        <w:t>renvoie</w:t>
      </w:r>
      <w:r w:rsidRPr="00B149CC">
        <w:t xml:space="preserve"> à l</w:t>
      </w:r>
      <w:r w:rsidR="00467A6D">
        <w:t>’</w:t>
      </w:r>
      <w:r>
        <w:t>article </w:t>
      </w:r>
      <w:r w:rsidRPr="00B149CC">
        <w:t>331 du Code de procé</w:t>
      </w:r>
      <w:r w:rsidR="008B3896">
        <w:t>dure pénale, qui prévoit que la </w:t>
      </w:r>
      <w:r w:rsidRPr="00B149CC">
        <w:t>cour d</w:t>
      </w:r>
      <w:r w:rsidR="00467A6D">
        <w:t>’</w:t>
      </w:r>
      <w:r w:rsidRPr="00B149CC">
        <w:t xml:space="preserve">appel </w:t>
      </w:r>
      <w:r>
        <w:t>rejuge intégralement l</w:t>
      </w:r>
      <w:r w:rsidR="00467A6D">
        <w:t>’</w:t>
      </w:r>
      <w:r>
        <w:t>affaire</w:t>
      </w:r>
      <w:r w:rsidRPr="00B149CC">
        <w:t xml:space="preserve"> si le procès en appel doit donner lieu à une appréciation des preuves relatives à la culpabilité. Confo</w:t>
      </w:r>
      <w:r w:rsidR="008B3896">
        <w:t>rmément à cette disposition, ce </w:t>
      </w:r>
      <w:r w:rsidRPr="00B149CC">
        <w:t>n</w:t>
      </w:r>
      <w:r w:rsidR="00467A6D">
        <w:t>’</w:t>
      </w:r>
      <w:r w:rsidRPr="00B149CC">
        <w:t>est qu</w:t>
      </w:r>
      <w:r w:rsidR="00467A6D">
        <w:t>’</w:t>
      </w:r>
      <w:r w:rsidRPr="00B149CC">
        <w:t>après avoir tenu un nouveau procès, dans le cadre duquel tous les aspects de l</w:t>
      </w:r>
      <w:r w:rsidR="00467A6D">
        <w:t>’</w:t>
      </w:r>
      <w:r w:rsidRPr="00B149CC">
        <w:t xml:space="preserve">affaire touchant à la procédure pénale ont été examinés à nouveau </w:t>
      </w:r>
      <w:r>
        <w:t xml:space="preserve">tant </w:t>
      </w:r>
      <w:r w:rsidRPr="00B149CC">
        <w:t xml:space="preserve">par le jury </w:t>
      </w:r>
      <w:r>
        <w:t>que</w:t>
      </w:r>
      <w:r w:rsidRPr="00B149CC">
        <w:t xml:space="preserve"> par la Cour, que la </w:t>
      </w:r>
      <w:r>
        <w:t>c</w:t>
      </w:r>
      <w:r w:rsidRPr="00B149CC">
        <w:t>our d</w:t>
      </w:r>
      <w:r w:rsidR="00467A6D">
        <w:t>’</w:t>
      </w:r>
      <w:r w:rsidRPr="00B149CC">
        <w:t>appel d</w:t>
      </w:r>
      <w:r w:rsidR="00467A6D">
        <w:t>’</w:t>
      </w:r>
      <w:r w:rsidRPr="00B149CC">
        <w:t>Agder a rejeté l</w:t>
      </w:r>
      <w:r w:rsidR="00467A6D">
        <w:t>’</w:t>
      </w:r>
      <w:r w:rsidRPr="00B149CC">
        <w:t>appel de l</w:t>
      </w:r>
      <w:r w:rsidR="00467A6D">
        <w:t>’</w:t>
      </w:r>
      <w:r w:rsidRPr="00B149CC">
        <w:t>auteur. L</w:t>
      </w:r>
      <w:r w:rsidR="00467A6D">
        <w:t>’</w:t>
      </w:r>
      <w:r w:rsidRPr="00B149CC">
        <w:t xml:space="preserve">État partie </w:t>
      </w:r>
      <w:r>
        <w:t>renvoie</w:t>
      </w:r>
      <w:r w:rsidRPr="00B149CC">
        <w:t xml:space="preserve"> également à l</w:t>
      </w:r>
      <w:r w:rsidR="00467A6D">
        <w:t>’</w:t>
      </w:r>
      <w:r>
        <w:t>article </w:t>
      </w:r>
      <w:r w:rsidRPr="00B149CC">
        <w:t xml:space="preserve">362 </w:t>
      </w:r>
      <w:r w:rsidRPr="00386F72">
        <w:rPr>
          <w:i/>
        </w:rPr>
        <w:t>in fine</w:t>
      </w:r>
      <w:r>
        <w:t xml:space="preserve"> </w:t>
      </w:r>
      <w:r w:rsidRPr="00B149CC">
        <w:t xml:space="preserve">du Code de procédure pénale, qui dispose que les </w:t>
      </w:r>
      <w:r>
        <w:t>arrêt</w:t>
      </w:r>
      <w:r w:rsidRPr="00B149CC">
        <w:t>s de la cour d</w:t>
      </w:r>
      <w:r w:rsidR="00467A6D">
        <w:t>’</w:t>
      </w:r>
      <w:r w:rsidRPr="00B149CC">
        <w:t>appel sont fondés exclusivement sur les faits examinés pendant l</w:t>
      </w:r>
      <w:r w:rsidR="00467A6D">
        <w:t>’</w:t>
      </w:r>
      <w:r w:rsidRPr="00B149CC">
        <w:t>audi</w:t>
      </w:r>
      <w:r w:rsidR="008B3896">
        <w:t>ence sur le </w:t>
      </w:r>
      <w:r w:rsidRPr="00B149CC">
        <w:t>fond tenue par cette juridiction, et que tant que le jury n</w:t>
      </w:r>
      <w:r w:rsidR="00467A6D">
        <w:t>’</w:t>
      </w:r>
      <w:r w:rsidRPr="00B149CC">
        <w:t>a pas rendu son verdict il n</w:t>
      </w:r>
      <w:r w:rsidR="00467A6D">
        <w:t>’</w:t>
      </w:r>
      <w:r w:rsidRPr="00B149CC">
        <w:t>est donné lecture que des seules conclusions du jugement rendu en première instance.</w:t>
      </w:r>
    </w:p>
    <w:p w:rsidR="00C9549A" w:rsidRDefault="00C9549A" w:rsidP="00467A6D">
      <w:pPr>
        <w:pStyle w:val="SingleTxtG"/>
      </w:pPr>
      <w:r w:rsidRPr="00B149CC">
        <w:t>4.9</w:t>
      </w:r>
      <w:r w:rsidRPr="00B149CC">
        <w:tab/>
        <w:t>L</w:t>
      </w:r>
      <w:r w:rsidR="00467A6D">
        <w:t>’</w:t>
      </w:r>
      <w:r w:rsidRPr="00B149CC">
        <w:t>État partie établit une distinction entre l</w:t>
      </w:r>
      <w:r w:rsidR="00467A6D">
        <w:t>’</w:t>
      </w:r>
      <w:r w:rsidRPr="00B149CC">
        <w:t xml:space="preserve">affaire </w:t>
      </w:r>
      <w:r w:rsidRPr="00B149CC">
        <w:rPr>
          <w:i/>
        </w:rPr>
        <w:t>Aboushanif</w:t>
      </w:r>
      <w:r w:rsidRPr="00B149CC">
        <w:t>, où la décision contestée ne comportait</w:t>
      </w:r>
      <w:r>
        <w:t xml:space="preserve"> absolument</w:t>
      </w:r>
      <w:r w:rsidRPr="00B149CC">
        <w:t xml:space="preserve"> aucune </w:t>
      </w:r>
      <w:r>
        <w:t>raison de fond</w:t>
      </w:r>
      <w:r w:rsidRPr="00B149CC">
        <w:t xml:space="preserve"> la motivant</w:t>
      </w:r>
      <w:r w:rsidR="008B3896">
        <w:rPr>
          <w:rStyle w:val="FootnoteReference"/>
        </w:rPr>
        <w:footnoteReference w:id="9"/>
      </w:r>
      <w:r w:rsidRPr="00B149CC">
        <w:t>, et l</w:t>
      </w:r>
      <w:r w:rsidR="00467A6D">
        <w:t>’</w:t>
      </w:r>
      <w:r w:rsidRPr="00B149CC">
        <w:t>affaire de l</w:t>
      </w:r>
      <w:r w:rsidR="00467A6D">
        <w:t>’</w:t>
      </w:r>
      <w:r w:rsidRPr="00B149CC">
        <w:t>auteur, où, au contraire, les faits ont été rejugés. Il souligne que l</w:t>
      </w:r>
      <w:r w:rsidR="00467A6D">
        <w:t>’</w:t>
      </w:r>
      <w:r w:rsidRPr="00B149CC">
        <w:t>article</w:t>
      </w:r>
      <w:r>
        <w:t> </w:t>
      </w:r>
      <w:r w:rsidRPr="00B149CC">
        <w:t xml:space="preserve">306 du Code de procédure pénale prévoit que les </w:t>
      </w:r>
      <w:r>
        <w:t>arrêts</w:t>
      </w:r>
      <w:r w:rsidRPr="00B149CC">
        <w:t xml:space="preserve"> de la cour d</w:t>
      </w:r>
      <w:r w:rsidR="00467A6D">
        <w:t>’</w:t>
      </w:r>
      <w:r w:rsidRPr="00B149CC">
        <w:t>appel peuvent faire l</w:t>
      </w:r>
      <w:r w:rsidR="00467A6D">
        <w:t>’</w:t>
      </w:r>
      <w:r w:rsidRPr="00B149CC">
        <w:t>objet d</w:t>
      </w:r>
      <w:r w:rsidR="00467A6D">
        <w:t>’</w:t>
      </w:r>
      <w:r w:rsidRPr="00B149CC">
        <w:t>un nouveau recours devant la Cour suprême, le paragraphe</w:t>
      </w:r>
      <w:r>
        <w:t> </w:t>
      </w:r>
      <w:r w:rsidRPr="00B149CC">
        <w:t xml:space="preserve">2 de ce même article </w:t>
      </w:r>
      <w:r>
        <w:t>précisant</w:t>
      </w:r>
      <w:r w:rsidRPr="00B149CC">
        <w:t xml:space="preserve"> qu</w:t>
      </w:r>
      <w:r w:rsidR="00467A6D">
        <w:t>’</w:t>
      </w:r>
      <w:r w:rsidRPr="00B149CC">
        <w:t>une erreur d</w:t>
      </w:r>
      <w:r w:rsidR="00467A6D">
        <w:t>’</w:t>
      </w:r>
      <w:r w:rsidRPr="00B149CC">
        <w:t>appréciation des preuves relatives à la culpabilité ne peut pas être invoqué</w:t>
      </w:r>
      <w:r>
        <w:t>e</w:t>
      </w:r>
      <w:r w:rsidRPr="00B149CC">
        <w:t xml:space="preserve"> pour motiver un</w:t>
      </w:r>
      <w:r>
        <w:t xml:space="preserve"> tel</w:t>
      </w:r>
      <w:r w:rsidRPr="00B149CC">
        <w:t xml:space="preserve"> recours. Le recours formé par l</w:t>
      </w:r>
      <w:r w:rsidR="00467A6D">
        <w:t>’</w:t>
      </w:r>
      <w:r w:rsidRPr="00B149CC">
        <w:t>auteur auprès de la Cour suprême portait sur la procédure et su</w:t>
      </w:r>
      <w:r>
        <w:t>r la détermination de la peine.</w:t>
      </w:r>
    </w:p>
    <w:p w:rsidR="00C9549A" w:rsidRDefault="00C9549A" w:rsidP="00467A6D">
      <w:pPr>
        <w:pStyle w:val="SingleTxtG"/>
      </w:pPr>
      <w:r w:rsidRPr="00B149CC">
        <w:t>4.10</w:t>
      </w:r>
      <w:r w:rsidRPr="00B149CC">
        <w:tab/>
        <w:t>Renvoyant à la jurisprudence du Comité, l</w:t>
      </w:r>
      <w:r w:rsidR="00467A6D">
        <w:t>’</w:t>
      </w:r>
      <w:r w:rsidRPr="00B149CC">
        <w:t>État partie fait valoir que</w:t>
      </w:r>
      <w:r>
        <w:t>,</w:t>
      </w:r>
      <w:r w:rsidRPr="00B149CC">
        <w:t xml:space="preserve"> dans les affaires ayant donné lieu à un examen complet par la première juridiction d</w:t>
      </w:r>
      <w:r w:rsidR="00467A6D">
        <w:t>’</w:t>
      </w:r>
      <w:r w:rsidRPr="00B149CC">
        <w:t xml:space="preserve">appel, un jugement doit être considéré comme étant </w:t>
      </w:r>
      <w:r>
        <w:t>«</w:t>
      </w:r>
      <w:r w:rsidRPr="00B149CC">
        <w:t>dûment motivé</w:t>
      </w:r>
      <w:r>
        <w:t>»</w:t>
      </w:r>
      <w:r w:rsidRPr="00B149CC">
        <w:t xml:space="preserve"> s</w:t>
      </w:r>
      <w:r w:rsidR="00467A6D">
        <w:t>’</w:t>
      </w:r>
      <w:r w:rsidRPr="00B149CC">
        <w:t>il est suffisant pour servir de fondement à un nouveau recours, à savoir, si la personne condamnée dispose des éléments juridiques nécessaires pour former un tel recours</w:t>
      </w:r>
      <w:r w:rsidR="008B3896">
        <w:rPr>
          <w:rStyle w:val="FootnoteReference"/>
        </w:rPr>
        <w:footnoteReference w:id="10"/>
      </w:r>
      <w:r w:rsidRPr="00B149CC">
        <w:t>. En l</w:t>
      </w:r>
      <w:r w:rsidR="00467A6D">
        <w:t>’</w:t>
      </w:r>
      <w:r w:rsidRPr="00B149CC">
        <w:t>espèce, l</w:t>
      </w:r>
      <w:r w:rsidR="00467A6D">
        <w:t>’</w:t>
      </w:r>
      <w:r w:rsidRPr="00B149CC">
        <w:t>auteur disposait du texte écrit des jugements du tribunal de district et de la cour d</w:t>
      </w:r>
      <w:r w:rsidR="00467A6D">
        <w:t>’</w:t>
      </w:r>
      <w:r w:rsidRPr="00B149CC">
        <w:t xml:space="preserve">appel, lesquels étaient dûment motivés. Son recours devant la Cour suprême ne </w:t>
      </w:r>
      <w:r>
        <w:t>visait</w:t>
      </w:r>
      <w:r w:rsidRPr="00B149CC">
        <w:t xml:space="preserve"> que la procédure et la détermination de la peine, et il ne prétend pas que ces </w:t>
      </w:r>
      <w:r>
        <w:t>moyens</w:t>
      </w:r>
      <w:r w:rsidRPr="00B149CC">
        <w:t xml:space="preserve"> n</w:t>
      </w:r>
      <w:r w:rsidR="00467A6D">
        <w:t>’</w:t>
      </w:r>
      <w:r w:rsidRPr="00B149CC">
        <w:t>ont pas fait l</w:t>
      </w:r>
      <w:r w:rsidR="00467A6D">
        <w:t>’</w:t>
      </w:r>
      <w:r w:rsidRPr="00B149CC">
        <w:t>objet d</w:t>
      </w:r>
      <w:r w:rsidR="00467A6D">
        <w:t>’</w:t>
      </w:r>
      <w:r w:rsidRPr="00B149CC">
        <w:t>un examen approfondi par cette juridiction. Aussi, l</w:t>
      </w:r>
      <w:r w:rsidR="00467A6D">
        <w:t>’</w:t>
      </w:r>
      <w:r w:rsidRPr="00B149CC">
        <w:t>État partie rappelle les conclusions de la Cour suprême, qui a estimé que la procédure d</w:t>
      </w:r>
      <w:r w:rsidR="00467A6D">
        <w:t>’</w:t>
      </w:r>
      <w:r w:rsidRPr="00B149CC">
        <w:t>appel qui s</w:t>
      </w:r>
      <w:r w:rsidR="00467A6D">
        <w:t>’</w:t>
      </w:r>
      <w:r w:rsidRPr="00B149CC">
        <w:t xml:space="preserve">était déroulée devant la </w:t>
      </w:r>
      <w:r>
        <w:t>c</w:t>
      </w:r>
      <w:r w:rsidRPr="00B149CC">
        <w:t>our d</w:t>
      </w:r>
      <w:r w:rsidR="00467A6D">
        <w:t>’</w:t>
      </w:r>
      <w:r w:rsidRPr="00B149CC">
        <w:t>appel d</w:t>
      </w:r>
      <w:r w:rsidR="00467A6D">
        <w:t>’</w:t>
      </w:r>
      <w:r w:rsidRPr="00B149CC">
        <w:t>Agder constituait un examen complet de la déclaration de culpabilité de l</w:t>
      </w:r>
      <w:r w:rsidR="00467A6D">
        <w:t>’</w:t>
      </w:r>
      <w:r w:rsidRPr="00B149CC">
        <w:t>auteur et de sa</w:t>
      </w:r>
      <w:r>
        <w:t> </w:t>
      </w:r>
      <w:r w:rsidRPr="00B149CC">
        <w:t>condamnation au sens du paragraphe</w:t>
      </w:r>
      <w:r>
        <w:t> </w:t>
      </w:r>
      <w:r w:rsidRPr="00B149CC">
        <w:t>5 de l</w:t>
      </w:r>
      <w:r w:rsidR="00467A6D">
        <w:t>’</w:t>
      </w:r>
      <w:r w:rsidRPr="00B149CC">
        <w:t>article</w:t>
      </w:r>
      <w:r>
        <w:t> </w:t>
      </w:r>
      <w:r w:rsidRPr="00B149CC">
        <w:t>14 du Pacte.</w:t>
      </w:r>
    </w:p>
    <w:p w:rsidR="00C9549A" w:rsidRPr="00467A6D" w:rsidRDefault="00C9549A" w:rsidP="00467A6D">
      <w:pPr>
        <w:pStyle w:val="H23G"/>
      </w:pPr>
      <w:r>
        <w:tab/>
      </w:r>
      <w:r>
        <w:tab/>
      </w:r>
      <w:r w:rsidRPr="00B149CC">
        <w:t>Commentaires de l</w:t>
      </w:r>
      <w:r w:rsidR="00467A6D">
        <w:t>’</w:t>
      </w:r>
      <w:r w:rsidRPr="00B149CC">
        <w:t>auteur sur les observations de l</w:t>
      </w:r>
      <w:r w:rsidR="00467A6D">
        <w:t>’</w:t>
      </w:r>
      <w:r w:rsidRPr="00B149CC">
        <w:t>État partie</w:t>
      </w:r>
    </w:p>
    <w:p w:rsidR="00C9549A" w:rsidRDefault="00C9549A" w:rsidP="00467A6D">
      <w:pPr>
        <w:pStyle w:val="SingleTxtG"/>
      </w:pPr>
      <w:r w:rsidRPr="00B149CC">
        <w:t>5.1</w:t>
      </w:r>
      <w:r w:rsidRPr="00B149CC">
        <w:tab/>
        <w:t>Dans une note en date du 31</w:t>
      </w:r>
      <w:r>
        <w:t> </w:t>
      </w:r>
      <w:r w:rsidRPr="00B149CC">
        <w:t>janvier 2011, l</w:t>
      </w:r>
      <w:r w:rsidR="00467A6D">
        <w:t>’</w:t>
      </w:r>
      <w:r w:rsidRPr="00B149CC">
        <w:t>auteur a fait part de ses commentaires sur les observations de l</w:t>
      </w:r>
      <w:r w:rsidR="00467A6D">
        <w:t>’</w:t>
      </w:r>
      <w:r w:rsidRPr="00B149CC">
        <w:t xml:space="preserve">État partie. </w:t>
      </w:r>
      <w:r>
        <w:t>Il</w:t>
      </w:r>
      <w:r w:rsidRPr="00B149CC">
        <w:t xml:space="preserve"> y reprend la plupart de ses allégations, soulignant qu</w:t>
      </w:r>
      <w:r w:rsidR="00467A6D">
        <w:t>’</w:t>
      </w:r>
      <w:r w:rsidRPr="00B149CC">
        <w:t xml:space="preserve">il a été privé de la possibilité de se prévaloir utilement de la </w:t>
      </w:r>
      <w:r>
        <w:t>faculté</w:t>
      </w:r>
      <w:r w:rsidRPr="00B149CC">
        <w:t xml:space="preserve"> de former un recours devant la Cour suprême car, le jugement dont il a fait l</w:t>
      </w:r>
      <w:r w:rsidR="00467A6D">
        <w:t>’</w:t>
      </w:r>
      <w:r w:rsidRPr="00B149CC">
        <w:t>objet n</w:t>
      </w:r>
      <w:r w:rsidR="00467A6D">
        <w:t>’</w:t>
      </w:r>
      <w:r w:rsidRPr="00B149CC">
        <w:t>ayant pas été dûment motivé, il n</w:t>
      </w:r>
      <w:r w:rsidR="00467A6D">
        <w:t>’</w:t>
      </w:r>
      <w:r w:rsidRPr="00B149CC">
        <w:t>a pas été en mesure de présenter des contr</w:t>
      </w:r>
      <w:r w:rsidR="00353D07">
        <w:t>e-arguments dans le cadre de ce </w:t>
      </w:r>
      <w:r>
        <w:t>recours.</w:t>
      </w:r>
    </w:p>
    <w:p w:rsidR="00C9549A" w:rsidRDefault="00C9549A" w:rsidP="00467A6D">
      <w:pPr>
        <w:pStyle w:val="SingleTxtG"/>
      </w:pPr>
      <w:r w:rsidRPr="00B149CC">
        <w:t>5.2</w:t>
      </w:r>
      <w:r w:rsidRPr="00B149CC">
        <w:tab/>
        <w:t>L</w:t>
      </w:r>
      <w:r w:rsidR="00467A6D">
        <w:t>’</w:t>
      </w:r>
      <w:r w:rsidRPr="00B149CC">
        <w:t>auteur ajoute que le jury a répondu par l</w:t>
      </w:r>
      <w:r w:rsidR="00467A6D">
        <w:t>’</w:t>
      </w:r>
      <w:r w:rsidRPr="00B149CC">
        <w:t>affirmativ</w:t>
      </w:r>
      <w:r w:rsidR="00353D07">
        <w:t>e aux cinq questions posées, et </w:t>
      </w:r>
      <w:r w:rsidRPr="00B149CC">
        <w:t xml:space="preserve">que la </w:t>
      </w:r>
      <w:r>
        <w:t>c</w:t>
      </w:r>
      <w:r w:rsidRPr="00B149CC">
        <w:t>our d</w:t>
      </w:r>
      <w:r w:rsidR="00467A6D">
        <w:t>’</w:t>
      </w:r>
      <w:r w:rsidRPr="00B149CC">
        <w:t>appel a accepté ces réponses. Aucun autre raisonnement n</w:t>
      </w:r>
      <w:r w:rsidR="00467A6D">
        <w:t>’</w:t>
      </w:r>
      <w:r w:rsidR="00353D07">
        <w:t>a été exposé. Si </w:t>
      </w:r>
      <w:r w:rsidRPr="00B149CC">
        <w:t xml:space="preserve">la </w:t>
      </w:r>
      <w:r>
        <w:t>c</w:t>
      </w:r>
      <w:r w:rsidRPr="00B149CC">
        <w:t>our d</w:t>
      </w:r>
      <w:r w:rsidR="00467A6D">
        <w:t>’</w:t>
      </w:r>
      <w:r w:rsidRPr="00B149CC">
        <w:t xml:space="preserve">appel, dans son </w:t>
      </w:r>
      <w:r>
        <w:t>arrêt ultérieur</w:t>
      </w:r>
      <w:r w:rsidRPr="00B149CC">
        <w:t xml:space="preserve">, a fourni un motif pour justifier la </w:t>
      </w:r>
      <w:r>
        <w:t>peine</w:t>
      </w:r>
      <w:r w:rsidRPr="00B149CC">
        <w:t>, elle n</w:t>
      </w:r>
      <w:r w:rsidR="00467A6D">
        <w:t>’</w:t>
      </w:r>
      <w:r w:rsidRPr="00B149CC">
        <w:t>a pas précisé comment la loi avait été appliquée ni les faits sur lesquels le jury avait fondé ses conclusions. L</w:t>
      </w:r>
      <w:r w:rsidR="00467A6D">
        <w:t>’</w:t>
      </w:r>
      <w:r w:rsidRPr="00B149CC">
        <w:t>auteur fait donc à nouveau valoir qu</w:t>
      </w:r>
      <w:r w:rsidR="00467A6D">
        <w:t>’</w:t>
      </w:r>
      <w:r w:rsidRPr="00B149CC">
        <w:t>il n</w:t>
      </w:r>
      <w:r w:rsidR="00467A6D">
        <w:t>’</w:t>
      </w:r>
      <w:r w:rsidRPr="00B149CC">
        <w:t>avait plus aucune possibilité de former un recours car il ne disposait d</w:t>
      </w:r>
      <w:r w:rsidR="00467A6D">
        <w:t>’</w:t>
      </w:r>
      <w:r w:rsidRPr="00B149CC">
        <w:t xml:space="preserve">aucun élément sur lequel </w:t>
      </w:r>
      <w:r>
        <w:t>fonder son pourvoi</w:t>
      </w:r>
      <w:r w:rsidRPr="00B149CC">
        <w:t>, ce qui a amené la Cour suprême à</w:t>
      </w:r>
      <w:r>
        <w:t xml:space="preserve"> le</w:t>
      </w:r>
      <w:r w:rsidRPr="00B149CC">
        <w:t xml:space="preserve"> rejeter. </w:t>
      </w:r>
      <w:r>
        <w:t>Il</w:t>
      </w:r>
      <w:r w:rsidRPr="00B149CC">
        <w:t xml:space="preserve"> réaffirme également que, de ce fait, l</w:t>
      </w:r>
      <w:r w:rsidR="00467A6D">
        <w:t>’</w:t>
      </w:r>
      <w:r w:rsidRPr="00B149CC">
        <w:t>Ét</w:t>
      </w:r>
      <w:r>
        <w:t>a</w:t>
      </w:r>
      <w:r w:rsidR="00353D07">
        <w:t>t partie a </w:t>
      </w:r>
      <w:r>
        <w:t>violé le paragraphe </w:t>
      </w:r>
      <w:r w:rsidRPr="00B149CC">
        <w:t>5 de l</w:t>
      </w:r>
      <w:r w:rsidR="00467A6D">
        <w:t>’</w:t>
      </w:r>
      <w:r>
        <w:t>article </w:t>
      </w:r>
      <w:r w:rsidRPr="00B149CC">
        <w:t>14 ou, subsidiairement, le paragraphe</w:t>
      </w:r>
      <w:r>
        <w:t> </w:t>
      </w:r>
      <w:r w:rsidRPr="00B149CC">
        <w:t>1 de l</w:t>
      </w:r>
      <w:r w:rsidR="00467A6D">
        <w:t>’</w:t>
      </w:r>
      <w:r w:rsidRPr="00B149CC">
        <w:t>article</w:t>
      </w:r>
      <w:r>
        <w:t> </w:t>
      </w:r>
      <w:r w:rsidRPr="00B149CC">
        <w:t>14</w:t>
      </w:r>
      <w:r w:rsidRPr="004504A0">
        <w:t xml:space="preserve"> </w:t>
      </w:r>
      <w:r w:rsidR="00353D07">
        <w:t>du </w:t>
      </w:r>
      <w:r w:rsidRPr="00B149CC">
        <w:t>Pacte.</w:t>
      </w:r>
    </w:p>
    <w:p w:rsidR="00C9549A" w:rsidRPr="00467A6D" w:rsidRDefault="00C9549A" w:rsidP="00467A6D">
      <w:pPr>
        <w:pStyle w:val="H23G"/>
      </w:pPr>
      <w:r>
        <w:tab/>
      </w:r>
      <w:r>
        <w:tab/>
      </w:r>
      <w:r w:rsidRPr="00B149CC">
        <w:t>Observations complémentaires de l</w:t>
      </w:r>
      <w:r w:rsidR="00467A6D">
        <w:t>’</w:t>
      </w:r>
      <w:r w:rsidRPr="00B149CC">
        <w:t>État partie</w:t>
      </w:r>
    </w:p>
    <w:p w:rsidR="00C9549A" w:rsidRDefault="00C9549A" w:rsidP="00467A6D">
      <w:pPr>
        <w:pStyle w:val="SingleTxtG"/>
      </w:pPr>
      <w:r w:rsidRPr="00B149CC">
        <w:t>6.1</w:t>
      </w:r>
      <w:r w:rsidRPr="00B149CC">
        <w:tab/>
        <w:t>Le 9</w:t>
      </w:r>
      <w:r>
        <w:t> </w:t>
      </w:r>
      <w:r w:rsidRPr="00B149CC">
        <w:t>mars 2011, l</w:t>
      </w:r>
      <w:r w:rsidR="00467A6D">
        <w:t>’</w:t>
      </w:r>
      <w:r w:rsidRPr="00B149CC">
        <w:t>État partie a communiqué une copie de l</w:t>
      </w:r>
      <w:r w:rsidR="00467A6D">
        <w:t>’</w:t>
      </w:r>
      <w:r w:rsidRPr="00B149CC">
        <w:t>arrêt rendu par la Cour européenne des droits de l</w:t>
      </w:r>
      <w:r w:rsidR="00467A6D">
        <w:t>’</w:t>
      </w:r>
      <w:r w:rsidRPr="00B149CC">
        <w:t xml:space="preserve">homme </w:t>
      </w:r>
      <w:r>
        <w:t>en</w:t>
      </w:r>
      <w:r w:rsidRPr="00B149CC">
        <w:t xml:space="preserve"> l</w:t>
      </w:r>
      <w:r w:rsidR="00467A6D">
        <w:t>’</w:t>
      </w:r>
      <w:r w:rsidRPr="00B149CC">
        <w:t xml:space="preserve">affaire </w:t>
      </w:r>
      <w:r w:rsidRPr="00B149CC">
        <w:rPr>
          <w:i/>
        </w:rPr>
        <w:t>Taxquet</w:t>
      </w:r>
      <w:r w:rsidRPr="00B149CC">
        <w:t xml:space="preserve"> c. </w:t>
      </w:r>
      <w:r w:rsidRPr="00B149CC">
        <w:rPr>
          <w:i/>
        </w:rPr>
        <w:t>Belgique</w:t>
      </w:r>
      <w:r w:rsidR="00D90AD7" w:rsidRPr="00664BB0">
        <w:rPr>
          <w:rStyle w:val="FootnoteReference"/>
        </w:rPr>
        <w:footnoteReference w:id="11"/>
      </w:r>
      <w:r w:rsidRPr="00B149CC">
        <w:t>, qui portait sur l</w:t>
      </w:r>
      <w:r w:rsidR="00467A6D">
        <w:t>’</w:t>
      </w:r>
      <w:r w:rsidRPr="00B149CC">
        <w:t>interprétation du paragraphe</w:t>
      </w:r>
      <w:r>
        <w:t> </w:t>
      </w:r>
      <w:r w:rsidRPr="00B149CC">
        <w:t>1 de l</w:t>
      </w:r>
      <w:r w:rsidR="00467A6D">
        <w:t>’</w:t>
      </w:r>
      <w:r w:rsidRPr="00B149CC">
        <w:t>article</w:t>
      </w:r>
      <w:r>
        <w:t> </w:t>
      </w:r>
      <w:r w:rsidRPr="00B149CC">
        <w:t>6 de la Convention européenne des droits de l</w:t>
      </w:r>
      <w:r w:rsidR="00467A6D">
        <w:t>’</w:t>
      </w:r>
      <w:r w:rsidRPr="00B149CC">
        <w:t>homme</w:t>
      </w:r>
      <w:r w:rsidR="00664BB0">
        <w:rPr>
          <w:rStyle w:val="FootnoteReference"/>
        </w:rPr>
        <w:footnoteReference w:id="12"/>
      </w:r>
      <w:r w:rsidRPr="00B149CC">
        <w:t>. L</w:t>
      </w:r>
      <w:r w:rsidR="00467A6D">
        <w:t>’</w:t>
      </w:r>
      <w:r w:rsidRPr="00B149CC">
        <w:t>État partie a souligné que ses observations sur le fond de l</w:t>
      </w:r>
      <w:r w:rsidR="00467A6D">
        <w:t>’</w:t>
      </w:r>
      <w:r w:rsidRPr="00B149CC">
        <w:t>affaire en date du 15</w:t>
      </w:r>
      <w:r>
        <w:t> </w:t>
      </w:r>
      <w:r w:rsidRPr="00B149CC">
        <w:t xml:space="preserve">novembre 2010 précédaient cette décision, </w:t>
      </w:r>
      <w:r>
        <w:t>laquelle</w:t>
      </w:r>
      <w:r w:rsidRPr="00B149CC">
        <w:t xml:space="preserve"> confirmait sa position. L</w:t>
      </w:r>
      <w:r w:rsidR="00467A6D">
        <w:t>’</w:t>
      </w:r>
      <w:r w:rsidRPr="00B149CC">
        <w:t xml:space="preserve">État partie renvoie à </w:t>
      </w:r>
      <w:r>
        <w:t>l</w:t>
      </w:r>
      <w:r w:rsidR="00467A6D">
        <w:t>’</w:t>
      </w:r>
      <w:r w:rsidRPr="00B149CC">
        <w:t>enquête sur les pratiques des États membres du Conseil de l</w:t>
      </w:r>
      <w:r w:rsidR="00467A6D">
        <w:t>’</w:t>
      </w:r>
      <w:r w:rsidRPr="00B149CC">
        <w:t>Europe réalisée par la Cour européenne des droits de l</w:t>
      </w:r>
      <w:r w:rsidR="00467A6D">
        <w:t>’</w:t>
      </w:r>
      <w:r w:rsidRPr="00B149CC">
        <w:t>homme, évoquée dans l</w:t>
      </w:r>
      <w:r w:rsidR="00467A6D">
        <w:t>’</w:t>
      </w:r>
      <w:r w:rsidRPr="00B149CC">
        <w:t xml:space="preserve">arrêt </w:t>
      </w:r>
      <w:r w:rsidRPr="00B149CC">
        <w:rPr>
          <w:i/>
        </w:rPr>
        <w:t>Taxquet</w:t>
      </w:r>
      <w:r w:rsidRPr="00B149CC">
        <w:t xml:space="preserve">, dont il ressort que </w:t>
      </w:r>
      <w:r>
        <w:t>«</w:t>
      </w:r>
      <w:r w:rsidRPr="00B149CC">
        <w:t>[l]a non-motivation des verdicts rendus par les jurys traditionnels semble être la règle générale. Elle s</w:t>
      </w:r>
      <w:r w:rsidR="00467A6D">
        <w:t>’</w:t>
      </w:r>
      <w:r w:rsidRPr="00B149CC">
        <w:t>applique dans tous les pays, à l</w:t>
      </w:r>
      <w:r w:rsidR="00467A6D">
        <w:t>’</w:t>
      </w:r>
      <w:r w:rsidRPr="00B149CC">
        <w:t>exception de l</w:t>
      </w:r>
      <w:r w:rsidR="00467A6D">
        <w:t>’</w:t>
      </w:r>
      <w:r w:rsidRPr="00B149CC">
        <w:t>Espagne et de la Suisse (canton de Genève)</w:t>
      </w:r>
      <w:r>
        <w:t>»</w:t>
      </w:r>
      <w:r w:rsidR="00D90AD7">
        <w:rPr>
          <w:rStyle w:val="FootnoteReference"/>
        </w:rPr>
        <w:footnoteReference w:id="13"/>
      </w:r>
      <w:r w:rsidRPr="00B149CC">
        <w:t>.</w:t>
      </w:r>
    </w:p>
    <w:p w:rsidR="00C9549A" w:rsidRDefault="00C9549A" w:rsidP="00467A6D">
      <w:pPr>
        <w:pStyle w:val="SingleTxtG"/>
      </w:pPr>
      <w:r w:rsidRPr="00B149CC">
        <w:t>6.2</w:t>
      </w:r>
      <w:r w:rsidRPr="00B149CC">
        <w:tab/>
        <w:t>L</w:t>
      </w:r>
      <w:r w:rsidR="00467A6D">
        <w:t>’</w:t>
      </w:r>
      <w:r w:rsidRPr="00B149CC">
        <w:t>État partie indique en outre que la Cour européenne des droits de l</w:t>
      </w:r>
      <w:r w:rsidR="00467A6D">
        <w:t>’</w:t>
      </w:r>
      <w:r w:rsidRPr="00B149CC">
        <w:t>homme, dans ce même arrêt, souligne que la Convention européenne des droits de l</w:t>
      </w:r>
      <w:r w:rsidR="00467A6D">
        <w:t>’</w:t>
      </w:r>
      <w:r w:rsidRPr="00B149CC">
        <w:t xml:space="preserve">homme </w:t>
      </w:r>
      <w:r>
        <w:t>«</w:t>
      </w:r>
      <w:r w:rsidRPr="00B149CC">
        <w:t xml:space="preserve">[…] ne requiert pas que les jurés donnent les raisons de leur décision et </w:t>
      </w:r>
      <w:r>
        <w:t>que</w:t>
      </w:r>
      <w:r w:rsidRPr="00B149CC">
        <w:t xml:space="preserve"> l</w:t>
      </w:r>
      <w:r w:rsidR="00467A6D">
        <w:t>’article </w:t>
      </w:r>
      <w:r w:rsidRPr="00B149CC">
        <w:t>6 ne s</w:t>
      </w:r>
      <w:r w:rsidR="00467A6D">
        <w:t>’</w:t>
      </w:r>
      <w:r w:rsidRPr="00B149CC">
        <w:t>oppose pas à ce qu</w:t>
      </w:r>
      <w:r w:rsidR="00467A6D">
        <w:t>’</w:t>
      </w:r>
      <w:r w:rsidRPr="00B149CC">
        <w:t>un accusé soit jugé par un jury populaire même dans le cas où son verdict n</w:t>
      </w:r>
      <w:r w:rsidR="00467A6D">
        <w:t>’</w:t>
      </w:r>
      <w:r w:rsidRPr="00B149CC">
        <w:t>est pas motivé. Il n</w:t>
      </w:r>
      <w:r w:rsidR="00467A6D">
        <w:t>’</w:t>
      </w:r>
      <w:r w:rsidRPr="00B149CC">
        <w:t>en demeure pas moins que pour que les exigences d</w:t>
      </w:r>
      <w:r w:rsidR="00467A6D">
        <w:t>’</w:t>
      </w:r>
      <w:r w:rsidRPr="00B149CC">
        <w:t>un procès équitable soient respectées, le public, et au premier chef l</w:t>
      </w:r>
      <w:r w:rsidR="00467A6D">
        <w:t>’</w:t>
      </w:r>
      <w:r w:rsidRPr="00B149CC">
        <w:t>accusé, do</w:t>
      </w:r>
      <w:r w:rsidR="00A91D35">
        <w:t>it être à même de comprendre le </w:t>
      </w:r>
      <w:r w:rsidRPr="00B149CC">
        <w:t>verdict qui a été rendu</w:t>
      </w:r>
      <w:r>
        <w:t>»</w:t>
      </w:r>
      <w:r w:rsidR="00A91D35">
        <w:rPr>
          <w:rStyle w:val="FootnoteReference"/>
        </w:rPr>
        <w:footnoteReference w:id="14"/>
      </w:r>
      <w:r w:rsidRPr="00B149CC">
        <w:t xml:space="preserve">. La Cour a également </w:t>
      </w:r>
      <w:r>
        <w:t>relevé</w:t>
      </w:r>
      <w:r w:rsidRPr="00B149CC">
        <w:t xml:space="preserve"> que l</w:t>
      </w:r>
      <w:r w:rsidR="00467A6D">
        <w:t>’</w:t>
      </w:r>
      <w:r w:rsidRPr="00B149CC">
        <w:t>article</w:t>
      </w:r>
      <w:r>
        <w:t> </w:t>
      </w:r>
      <w:r w:rsidRPr="00B149CC">
        <w:t>6 de la Convention européenne des droits de l</w:t>
      </w:r>
      <w:r w:rsidR="00467A6D">
        <w:t>’</w:t>
      </w:r>
      <w:r w:rsidRPr="00B149CC">
        <w:t xml:space="preserve">homme exigeait </w:t>
      </w:r>
      <w:r>
        <w:t>«</w:t>
      </w:r>
      <w:r w:rsidRPr="00B149CC">
        <w:t>de rechercher si l</w:t>
      </w:r>
      <w:r w:rsidR="00467A6D">
        <w:t>’</w:t>
      </w:r>
      <w:r w:rsidRPr="00B149CC">
        <w:t>accusé a pu bénéficier des garanties suffisantes de nature à écarter tout risque d</w:t>
      </w:r>
      <w:r w:rsidR="00467A6D">
        <w:t>’</w:t>
      </w:r>
      <w:r w:rsidRPr="00B149CC">
        <w:t xml:space="preserve">arbitraire et à lui permettre de comprendre les raisons de sa condamnation […], [telles que] des instructions ou éclaircissements donnés par le </w:t>
      </w:r>
      <w:r>
        <w:t>P</w:t>
      </w:r>
      <w:r w:rsidRPr="00B149CC">
        <w:t>résident de la cour d</w:t>
      </w:r>
      <w:r w:rsidR="00467A6D">
        <w:t>’</w:t>
      </w:r>
      <w:r w:rsidRPr="00B149CC">
        <w:t>assises aux jurés quant aux problèmes juridiques posés</w:t>
      </w:r>
      <w:r>
        <w:t xml:space="preserve"> ou aux éléments de preuve produits</w:t>
      </w:r>
      <w:r w:rsidRPr="00B149CC">
        <w:t xml:space="preserve"> […] et […] des questions précises, non équivoques, soumises au jury par ce magistrat, de nature à former une trame apte à servir de fondement au verdict ou à compenser adéquatement l</w:t>
      </w:r>
      <w:r w:rsidR="00467A6D">
        <w:t>’</w:t>
      </w:r>
      <w:r w:rsidRPr="00B149CC">
        <w:t>absence de motivation des réponses du jury […]. Enfin, doit être prise en compte, lorsqu</w:t>
      </w:r>
      <w:r w:rsidR="00467A6D">
        <w:t>’</w:t>
      </w:r>
      <w:r w:rsidRPr="00B149CC">
        <w:t>elle existe, la possibilité pour l</w:t>
      </w:r>
      <w:r w:rsidR="00467A6D">
        <w:t>’</w:t>
      </w:r>
      <w:r w:rsidRPr="00B149CC">
        <w:t>accusé d</w:t>
      </w:r>
      <w:r w:rsidR="00467A6D">
        <w:t>’</w:t>
      </w:r>
      <w:r w:rsidRPr="00B149CC">
        <w:t>exercer des voies de recours</w:t>
      </w:r>
      <w:r>
        <w:t>»</w:t>
      </w:r>
      <w:r w:rsidR="00A91D35">
        <w:rPr>
          <w:rStyle w:val="FootnoteReference"/>
        </w:rPr>
        <w:footnoteReference w:id="15"/>
      </w:r>
      <w:r w:rsidRPr="00B149CC">
        <w:t>.</w:t>
      </w:r>
    </w:p>
    <w:p w:rsidR="00C9549A" w:rsidRDefault="00C9549A" w:rsidP="00467A6D">
      <w:pPr>
        <w:pStyle w:val="SingleTxtG"/>
      </w:pPr>
      <w:r w:rsidRPr="00B149CC">
        <w:t>6.3</w:t>
      </w:r>
      <w:r w:rsidRPr="00B149CC">
        <w:tab/>
        <w:t>L</w:t>
      </w:r>
      <w:r w:rsidR="00467A6D">
        <w:t>’</w:t>
      </w:r>
      <w:r w:rsidRPr="00B149CC">
        <w:t>État partie estime</w:t>
      </w:r>
      <w:r>
        <w:t xml:space="preserve"> donc</w:t>
      </w:r>
      <w:r w:rsidRPr="00B149CC">
        <w:t xml:space="preserve"> que ces conclusions renforcent sa positi</w:t>
      </w:r>
      <w:r w:rsidR="008F56C2">
        <w:t>on selon laquelle le paragraphe </w:t>
      </w:r>
      <w:r w:rsidRPr="00B149CC">
        <w:t>5 de l</w:t>
      </w:r>
      <w:r w:rsidR="00467A6D">
        <w:t>’</w:t>
      </w:r>
      <w:r w:rsidR="008F56C2">
        <w:t>article </w:t>
      </w:r>
      <w:r w:rsidRPr="00B149CC">
        <w:t xml:space="preserve">14 du Pacte ne fait pas obligation aux États parties de garantir que les verdicts des jurys soient motivés. Il ajoute que </w:t>
      </w:r>
      <w:r>
        <w:t>cette disposition</w:t>
      </w:r>
      <w:r w:rsidRPr="00B149CC">
        <w:t xml:space="preserve"> peut aussi</w:t>
      </w:r>
      <w:r>
        <w:t xml:space="preserve"> </w:t>
      </w:r>
      <w:r w:rsidRPr="00B149CC">
        <w:t>être interprété</w:t>
      </w:r>
      <w:r>
        <w:t>e</w:t>
      </w:r>
      <w:r w:rsidRPr="00B149CC">
        <w:t xml:space="preserve"> comme </w:t>
      </w:r>
      <w:r>
        <w:t xml:space="preserve">comportant </w:t>
      </w:r>
      <w:r w:rsidRPr="00B149CC">
        <w:t xml:space="preserve">des garanties de procédure </w:t>
      </w:r>
      <w:r>
        <w:t>similaires à</w:t>
      </w:r>
      <w:r w:rsidRPr="00B149CC">
        <w:t xml:space="preserve"> celles exigées par l</w:t>
      </w:r>
      <w:r w:rsidR="00467A6D">
        <w:t>’</w:t>
      </w:r>
      <w:r w:rsidRPr="00B149CC">
        <w:t>article</w:t>
      </w:r>
      <w:r>
        <w:t> </w:t>
      </w:r>
      <w:r w:rsidRPr="00B149CC">
        <w:t>6 de la Convention européenne des droits de l</w:t>
      </w:r>
      <w:r w:rsidR="00467A6D">
        <w:t>’</w:t>
      </w:r>
      <w:r w:rsidRPr="00B149CC">
        <w:t>homme. En tout état de cause, l</w:t>
      </w:r>
      <w:r w:rsidR="00467A6D">
        <w:t>’</w:t>
      </w:r>
      <w:r w:rsidRPr="00B149CC">
        <w:t>auteur a pleinement bénéficié de telles garanties dans le cadre de l</w:t>
      </w:r>
      <w:r w:rsidR="00467A6D">
        <w:t>’</w:t>
      </w:r>
      <w:r>
        <w:t>affaire le concernant.</w:t>
      </w:r>
    </w:p>
    <w:p w:rsidR="00C9549A" w:rsidRPr="00467A6D" w:rsidRDefault="00C9549A" w:rsidP="00467A6D">
      <w:pPr>
        <w:pStyle w:val="H23G"/>
      </w:pPr>
      <w:r>
        <w:tab/>
      </w:r>
      <w:r>
        <w:tab/>
      </w:r>
      <w:r w:rsidRPr="00B149CC">
        <w:t>Nouvelles observations de l</w:t>
      </w:r>
      <w:r w:rsidR="00467A6D">
        <w:t>’</w:t>
      </w:r>
      <w:r w:rsidRPr="00B149CC">
        <w:t>État partie</w:t>
      </w:r>
    </w:p>
    <w:p w:rsidR="00C9549A" w:rsidRDefault="00C9549A" w:rsidP="00467A6D">
      <w:pPr>
        <w:pStyle w:val="SingleTxtG"/>
      </w:pPr>
      <w:r w:rsidRPr="00B149CC">
        <w:t>7.</w:t>
      </w:r>
      <w:r w:rsidRPr="00B149CC">
        <w:tab/>
      </w:r>
      <w:r w:rsidRPr="0005161E">
        <w:rPr>
          <w:spacing w:val="-2"/>
        </w:rPr>
        <w:t>Dans une note en date du 16 août 2012, l</w:t>
      </w:r>
      <w:r w:rsidR="00467A6D" w:rsidRPr="0005161E">
        <w:rPr>
          <w:spacing w:val="-2"/>
        </w:rPr>
        <w:t>’</w:t>
      </w:r>
      <w:r w:rsidRPr="0005161E">
        <w:rPr>
          <w:spacing w:val="-2"/>
        </w:rPr>
        <w:t>État partie a renvoyé le Comité à l</w:t>
      </w:r>
      <w:r w:rsidR="00467A6D" w:rsidRPr="0005161E">
        <w:rPr>
          <w:spacing w:val="-2"/>
        </w:rPr>
        <w:t>’</w:t>
      </w:r>
      <w:r w:rsidRPr="0005161E">
        <w:rPr>
          <w:spacing w:val="-2"/>
        </w:rPr>
        <w:t>arrêt rendu par la Cour européenne des droits de l</w:t>
      </w:r>
      <w:r w:rsidR="00467A6D" w:rsidRPr="0005161E">
        <w:rPr>
          <w:spacing w:val="-2"/>
        </w:rPr>
        <w:t>’</w:t>
      </w:r>
      <w:r w:rsidRPr="0005161E">
        <w:rPr>
          <w:spacing w:val="-2"/>
        </w:rPr>
        <w:t>homme en l</w:t>
      </w:r>
      <w:r w:rsidR="00467A6D" w:rsidRPr="0005161E">
        <w:rPr>
          <w:spacing w:val="-2"/>
        </w:rPr>
        <w:t>’</w:t>
      </w:r>
      <w:r w:rsidRPr="0005161E">
        <w:rPr>
          <w:spacing w:val="-2"/>
        </w:rPr>
        <w:t xml:space="preserve">affaire </w:t>
      </w:r>
      <w:r w:rsidRPr="0005161E">
        <w:rPr>
          <w:i/>
          <w:spacing w:val="-2"/>
        </w:rPr>
        <w:t>Shala</w:t>
      </w:r>
      <w:r w:rsidRPr="0005161E">
        <w:rPr>
          <w:spacing w:val="-2"/>
        </w:rPr>
        <w:t xml:space="preserve"> c. </w:t>
      </w:r>
      <w:r w:rsidRPr="0005161E">
        <w:rPr>
          <w:i/>
          <w:spacing w:val="-2"/>
        </w:rPr>
        <w:t>Norvège</w:t>
      </w:r>
      <w:r w:rsidR="008F56C2" w:rsidRPr="0005161E">
        <w:rPr>
          <w:rStyle w:val="FootnoteReference"/>
          <w:spacing w:val="-2"/>
        </w:rPr>
        <w:footnoteReference w:id="16"/>
      </w:r>
      <w:r w:rsidRPr="0005161E">
        <w:rPr>
          <w:spacing w:val="-2"/>
        </w:rPr>
        <w:t>, dans lequel la Cour, dans le cadre d</w:t>
      </w:r>
      <w:r w:rsidR="00467A6D" w:rsidRPr="0005161E">
        <w:rPr>
          <w:spacing w:val="-2"/>
        </w:rPr>
        <w:t>’</w:t>
      </w:r>
      <w:r w:rsidRPr="0005161E">
        <w:rPr>
          <w:spacing w:val="-2"/>
        </w:rPr>
        <w:t>un examen spécifique d</w:t>
      </w:r>
      <w:r w:rsidR="00666E7D" w:rsidRPr="0005161E">
        <w:rPr>
          <w:spacing w:val="-2"/>
        </w:rPr>
        <w:t>u système du jury en Norvège, a</w:t>
      </w:r>
      <w:r w:rsidR="0005161E" w:rsidRPr="0005161E">
        <w:rPr>
          <w:spacing w:val="-2"/>
        </w:rPr>
        <w:t xml:space="preserve"> </w:t>
      </w:r>
      <w:r w:rsidRPr="0005161E">
        <w:rPr>
          <w:spacing w:val="-2"/>
        </w:rPr>
        <w:t>repris le raisonnement suivi dans l</w:t>
      </w:r>
      <w:r w:rsidR="00467A6D" w:rsidRPr="0005161E">
        <w:rPr>
          <w:spacing w:val="-2"/>
        </w:rPr>
        <w:t>’</w:t>
      </w:r>
      <w:r w:rsidRPr="0005161E">
        <w:rPr>
          <w:spacing w:val="-2"/>
        </w:rPr>
        <w:t xml:space="preserve">affaire </w:t>
      </w:r>
      <w:r w:rsidRPr="0005161E">
        <w:rPr>
          <w:i/>
          <w:spacing w:val="-2"/>
        </w:rPr>
        <w:t>Taxquet</w:t>
      </w:r>
      <w:r w:rsidRPr="0005161E">
        <w:rPr>
          <w:spacing w:val="-2"/>
        </w:rPr>
        <w:t>. Elle a conclu que le fait que le jury n</w:t>
      </w:r>
      <w:r w:rsidR="00467A6D" w:rsidRPr="0005161E">
        <w:rPr>
          <w:spacing w:val="-2"/>
        </w:rPr>
        <w:t>’</w:t>
      </w:r>
      <w:r w:rsidRPr="0005161E">
        <w:rPr>
          <w:spacing w:val="-2"/>
        </w:rPr>
        <w:t>avait pas exposé le raisonnement suivi pour rendre son verdict ne rendait pas le procès inéquitable aux fins du paragraphe 1 de l</w:t>
      </w:r>
      <w:r w:rsidR="00467A6D" w:rsidRPr="0005161E">
        <w:rPr>
          <w:spacing w:val="-2"/>
        </w:rPr>
        <w:t>’</w:t>
      </w:r>
      <w:r w:rsidRPr="0005161E">
        <w:rPr>
          <w:spacing w:val="-2"/>
        </w:rPr>
        <w:t>article 6 de la Convention européenne des droits de l</w:t>
      </w:r>
      <w:r w:rsidR="00467A6D" w:rsidRPr="0005161E">
        <w:rPr>
          <w:spacing w:val="-2"/>
        </w:rPr>
        <w:t>’</w:t>
      </w:r>
      <w:r w:rsidRPr="0005161E">
        <w:rPr>
          <w:spacing w:val="-2"/>
        </w:rPr>
        <w:t>homme.</w:t>
      </w:r>
    </w:p>
    <w:p w:rsidR="00C9549A" w:rsidRPr="00467A6D" w:rsidRDefault="00C9549A" w:rsidP="00467A6D">
      <w:pPr>
        <w:pStyle w:val="H23G"/>
      </w:pPr>
      <w:r>
        <w:tab/>
      </w:r>
      <w:r>
        <w:tab/>
      </w:r>
      <w:r w:rsidRPr="00B149CC">
        <w:t>Délibérations du Comité</w:t>
      </w:r>
    </w:p>
    <w:p w:rsidR="00C9549A" w:rsidRPr="00467A6D" w:rsidRDefault="00C9549A" w:rsidP="00467A6D">
      <w:pPr>
        <w:pStyle w:val="H4G"/>
      </w:pPr>
      <w:r>
        <w:tab/>
      </w:r>
      <w:r>
        <w:tab/>
      </w:r>
      <w:r w:rsidRPr="00B149CC">
        <w:t>Examen de la recevabilité</w:t>
      </w:r>
    </w:p>
    <w:p w:rsidR="00C9549A" w:rsidRDefault="00C9549A" w:rsidP="00467A6D">
      <w:pPr>
        <w:pStyle w:val="SingleTxtG"/>
      </w:pPr>
      <w:r w:rsidRPr="00B149CC">
        <w:t>8.1</w:t>
      </w:r>
      <w:r w:rsidRPr="00B149CC">
        <w:tab/>
        <w:t>Avant d</w:t>
      </w:r>
      <w:r w:rsidR="00467A6D">
        <w:t>’</w:t>
      </w:r>
      <w:r w:rsidRPr="00B149CC">
        <w:t>examiner toute plainte soumise dans une communication, le Comité des droits de l</w:t>
      </w:r>
      <w:r w:rsidR="00467A6D">
        <w:t>’</w:t>
      </w:r>
      <w:r w:rsidRPr="00B149CC">
        <w:t>homme doit, conformément à l</w:t>
      </w:r>
      <w:r w:rsidR="00467A6D">
        <w:t>’</w:t>
      </w:r>
      <w:r w:rsidRPr="00B149CC">
        <w:t>article</w:t>
      </w:r>
      <w:r>
        <w:t> </w:t>
      </w:r>
      <w:r w:rsidRPr="00B149CC">
        <w:t>93 de son règlement intérieur, déterminer si la communication est recevable en vertu du Protocole facultatif se rapportant au Pacte.</w:t>
      </w:r>
    </w:p>
    <w:p w:rsidR="00C9549A" w:rsidRDefault="00C9549A" w:rsidP="00467A6D">
      <w:pPr>
        <w:pStyle w:val="SingleTxtG"/>
      </w:pPr>
      <w:r w:rsidRPr="00B149CC">
        <w:t>8.2</w:t>
      </w:r>
      <w:r w:rsidRPr="00B149CC">
        <w:tab/>
        <w:t>Le Comité s</w:t>
      </w:r>
      <w:r w:rsidR="00467A6D">
        <w:t>’</w:t>
      </w:r>
      <w:r w:rsidRPr="00B149CC">
        <w:t>est assuré, comme il est tenu de le faire conformément au paragraphe</w:t>
      </w:r>
      <w:r>
        <w:t> </w:t>
      </w:r>
      <w:r w:rsidRPr="00B149CC">
        <w:t>2</w:t>
      </w:r>
      <w:r>
        <w:t> </w:t>
      </w:r>
      <w:r w:rsidRPr="00B149CC">
        <w:t>a) de l</w:t>
      </w:r>
      <w:r w:rsidR="00467A6D">
        <w:t>’</w:t>
      </w:r>
      <w:r w:rsidRPr="00B149CC">
        <w:t>article</w:t>
      </w:r>
      <w:r>
        <w:t> </w:t>
      </w:r>
      <w:r w:rsidRPr="00B149CC">
        <w:t>5 du Protocole facultatif, que la même question n</w:t>
      </w:r>
      <w:r w:rsidR="00467A6D">
        <w:t>’</w:t>
      </w:r>
      <w:r w:rsidRPr="00B149CC">
        <w:t>était pas déjà en cours d</w:t>
      </w:r>
      <w:r w:rsidR="00467A6D">
        <w:t>’</w:t>
      </w:r>
      <w:r w:rsidRPr="00B149CC">
        <w:t>examen devant une autre instance internationale d</w:t>
      </w:r>
      <w:r w:rsidR="00467A6D">
        <w:t>’</w:t>
      </w:r>
      <w:r w:rsidRPr="00B149CC">
        <w:t>enquête ou de règlement.</w:t>
      </w:r>
    </w:p>
    <w:p w:rsidR="00C9549A" w:rsidRDefault="00C9549A" w:rsidP="00467A6D">
      <w:pPr>
        <w:pStyle w:val="SingleTxtG"/>
      </w:pPr>
      <w:r w:rsidRPr="00B149CC">
        <w:t>8.3</w:t>
      </w:r>
      <w:r w:rsidRPr="00B149CC">
        <w:tab/>
        <w:t>Le Comité constate que l</w:t>
      </w:r>
      <w:r w:rsidR="00467A6D">
        <w:t>’</w:t>
      </w:r>
      <w:r w:rsidRPr="00B149CC">
        <w:t>État partie n</w:t>
      </w:r>
      <w:r w:rsidR="00467A6D">
        <w:t>’</w:t>
      </w:r>
      <w:r w:rsidRPr="00B149CC">
        <w:t>a pas contesté la recevabilité de la communication. Il constate également que tous les critères de recevabilité sont remplis et décide donc de procéder à l</w:t>
      </w:r>
      <w:r w:rsidR="00467A6D">
        <w:t>’</w:t>
      </w:r>
      <w:r w:rsidRPr="00B149CC">
        <w:t>examen de la communication au fond, laquelle semble soulever des questions au titre du paragraphe</w:t>
      </w:r>
      <w:r>
        <w:t> </w:t>
      </w:r>
      <w:r w:rsidRPr="00B149CC">
        <w:t>5 de l</w:t>
      </w:r>
      <w:r w:rsidR="00467A6D">
        <w:t>’</w:t>
      </w:r>
      <w:r w:rsidRPr="00B149CC">
        <w:t>article</w:t>
      </w:r>
      <w:r>
        <w:t> </w:t>
      </w:r>
      <w:r w:rsidRPr="00B149CC">
        <w:t>14 du Pacte.</w:t>
      </w:r>
    </w:p>
    <w:p w:rsidR="00C9549A" w:rsidRPr="00467A6D" w:rsidRDefault="00C9549A" w:rsidP="00467A6D">
      <w:pPr>
        <w:pStyle w:val="H4G"/>
      </w:pPr>
      <w:r>
        <w:tab/>
      </w:r>
      <w:r>
        <w:tab/>
      </w:r>
      <w:r w:rsidRPr="00B149CC">
        <w:t>Examen au fond</w:t>
      </w:r>
    </w:p>
    <w:p w:rsidR="00C9549A" w:rsidRDefault="00C9549A" w:rsidP="00467A6D">
      <w:pPr>
        <w:pStyle w:val="SingleTxtG"/>
      </w:pPr>
      <w:r w:rsidRPr="00B149CC">
        <w:t>9.1</w:t>
      </w:r>
      <w:r w:rsidRPr="00B149CC">
        <w:tab/>
        <w:t>Conformément au paragraphe</w:t>
      </w:r>
      <w:r>
        <w:t> </w:t>
      </w:r>
      <w:r w:rsidRPr="00B149CC">
        <w:t>1 de l</w:t>
      </w:r>
      <w:r w:rsidR="00467A6D">
        <w:t>’</w:t>
      </w:r>
      <w:r w:rsidRPr="00B149CC">
        <w:t>article</w:t>
      </w:r>
      <w:r>
        <w:t> </w:t>
      </w:r>
      <w:r w:rsidRPr="00B149CC">
        <w:t>5 du Protocole facultatif, le Comité des droits de l</w:t>
      </w:r>
      <w:r w:rsidR="00467A6D">
        <w:t>’</w:t>
      </w:r>
      <w:r w:rsidRPr="00B149CC">
        <w:t>homme a examiné la présente communication</w:t>
      </w:r>
      <w:r w:rsidR="00666E7D">
        <w:t xml:space="preserve"> en tenant compte de toutes les </w:t>
      </w:r>
      <w:r w:rsidRPr="00B149CC">
        <w:t>informations qui lui ont été communiquées par les parties.</w:t>
      </w:r>
    </w:p>
    <w:p w:rsidR="00C9549A" w:rsidRDefault="00C9549A" w:rsidP="00467A6D">
      <w:pPr>
        <w:pStyle w:val="SingleTxtG"/>
      </w:pPr>
      <w:r w:rsidRPr="00B149CC">
        <w:t>9.2</w:t>
      </w:r>
      <w:r w:rsidRPr="00B149CC">
        <w:tab/>
      </w:r>
      <w:r w:rsidRPr="001F4927">
        <w:t>Le Comité note que l</w:t>
      </w:r>
      <w:r w:rsidR="00467A6D" w:rsidRPr="001F4927">
        <w:t>’</w:t>
      </w:r>
      <w:r w:rsidRPr="001F4927">
        <w:t>auteur affirme que les droits qu</w:t>
      </w:r>
      <w:r w:rsidR="00467A6D" w:rsidRPr="001F4927">
        <w:t>’</w:t>
      </w:r>
      <w:r w:rsidRPr="001F4927">
        <w:t>il tient du paragraphe </w:t>
      </w:r>
      <w:r w:rsidR="00666E7D" w:rsidRPr="001F4927">
        <w:t xml:space="preserve">5 de </w:t>
      </w:r>
      <w:r w:rsidRPr="001F4927">
        <w:t>l</w:t>
      </w:r>
      <w:r w:rsidR="00467A6D" w:rsidRPr="001F4927">
        <w:t>’</w:t>
      </w:r>
      <w:r w:rsidRPr="001F4927">
        <w:t>article 14 du Pacte ont été violés car le jury n</w:t>
      </w:r>
      <w:r w:rsidR="00467A6D" w:rsidRPr="001F4927">
        <w:t>’</w:t>
      </w:r>
      <w:r w:rsidRPr="001F4927">
        <w:t>a pas motivé sa décision dans le cadre de l</w:t>
      </w:r>
      <w:r w:rsidR="00467A6D" w:rsidRPr="001F4927">
        <w:t>’</w:t>
      </w:r>
      <w:r w:rsidRPr="001F4927">
        <w:t>arrêt rendu par la cour d</w:t>
      </w:r>
      <w:r w:rsidR="00467A6D" w:rsidRPr="001F4927">
        <w:t>’</w:t>
      </w:r>
      <w:r w:rsidRPr="001F4927">
        <w:t>appel d</w:t>
      </w:r>
      <w:r w:rsidR="00467A6D" w:rsidRPr="001F4927">
        <w:t>’</w:t>
      </w:r>
      <w:r w:rsidRPr="001F4927">
        <w:t>Agder le 16 janvier 2009. L</w:t>
      </w:r>
      <w:r w:rsidR="00467A6D" w:rsidRPr="001F4927">
        <w:t>’</w:t>
      </w:r>
      <w:r w:rsidRPr="001F4927">
        <w:t>auteur fait valoir</w:t>
      </w:r>
      <w:r w:rsidR="00666E7D" w:rsidRPr="001F4927">
        <w:t xml:space="preserve"> que, de ce </w:t>
      </w:r>
      <w:r w:rsidRPr="001F4927">
        <w:t>fait, il a été privé d</w:t>
      </w:r>
      <w:r w:rsidR="00467A6D" w:rsidRPr="001F4927">
        <w:t>’</w:t>
      </w:r>
      <w:r w:rsidRPr="001F4927">
        <w:t>un jugement écrit dûment motivé. Le Comité rappelle que le droit de faire examiner par une juridiction supérieure la d</w:t>
      </w:r>
      <w:r w:rsidR="00666E7D" w:rsidRPr="001F4927">
        <w:t xml:space="preserve">éclaration de culpabilité et la </w:t>
      </w:r>
      <w:r w:rsidRPr="001F4927">
        <w:t>condamnation fait obligation à l</w:t>
      </w:r>
      <w:r w:rsidR="00467A6D" w:rsidRPr="001F4927">
        <w:t>’</w:t>
      </w:r>
      <w:r w:rsidRPr="001F4927">
        <w:t>État partie de faire examiner quant au fond, en vérifiant si les éléments de preuve sont suffisants et à la lumière des dispositions législatives applicables, la déclaration de culpabilité et la condamnation de manière que la procédure permette un examen approprié de la nature de l</w:t>
      </w:r>
      <w:r w:rsidR="00467A6D" w:rsidRPr="001F4927">
        <w:t>’</w:t>
      </w:r>
      <w:r w:rsidRPr="001F4927">
        <w:t>affaire</w:t>
      </w:r>
      <w:r w:rsidR="00666E7D" w:rsidRPr="001F4927">
        <w:rPr>
          <w:rStyle w:val="FootnoteReference"/>
        </w:rPr>
        <w:footnoteReference w:id="17"/>
      </w:r>
      <w:r w:rsidRPr="001F4927">
        <w:t>. Les États parties peuvent choisir les modalités de ce réexamen par une juridiction supérieure, compte tenu de la tradition juridique à laquelle ils se rattachent et de la législation applicable, pour autant qu</w:t>
      </w:r>
      <w:r w:rsidR="00467A6D" w:rsidRPr="001F4927">
        <w:t>’</w:t>
      </w:r>
      <w:r w:rsidRPr="001F4927">
        <w:t>un examen sur le fond soit effectué</w:t>
      </w:r>
      <w:r w:rsidR="001F4927">
        <w:rPr>
          <w:rStyle w:val="FootnoteReference"/>
        </w:rPr>
        <w:footnoteReference w:id="18"/>
      </w:r>
      <w:r w:rsidRPr="001F4927">
        <w:t>.</w:t>
      </w:r>
    </w:p>
    <w:p w:rsidR="00C9549A" w:rsidRDefault="00C9549A" w:rsidP="00467A6D">
      <w:pPr>
        <w:pStyle w:val="SingleTxtG"/>
      </w:pPr>
      <w:r w:rsidRPr="00B149CC">
        <w:t>9.3</w:t>
      </w:r>
      <w:r w:rsidRPr="00B149CC">
        <w:tab/>
        <w:t>En l</w:t>
      </w:r>
      <w:r w:rsidR="00467A6D">
        <w:t>’</w:t>
      </w:r>
      <w:r w:rsidRPr="00B149CC">
        <w:t xml:space="preserve">espèce, le Comité </w:t>
      </w:r>
      <w:r>
        <w:t>doit déterminer si la procédure tenue devant la cour d</w:t>
      </w:r>
      <w:r w:rsidR="00467A6D">
        <w:t>’</w:t>
      </w:r>
      <w:r>
        <w:t>appel d</w:t>
      </w:r>
      <w:r w:rsidR="00467A6D">
        <w:t>’</w:t>
      </w:r>
      <w:r>
        <w:t>Agder le 16</w:t>
      </w:r>
      <w:r w:rsidR="00F944AA">
        <w:t> </w:t>
      </w:r>
      <w:r>
        <w:t>janvier 2009 et l</w:t>
      </w:r>
      <w:r w:rsidR="00467A6D">
        <w:t>’</w:t>
      </w:r>
      <w:r>
        <w:t>arrêt qu</w:t>
      </w:r>
      <w:r w:rsidR="00467A6D">
        <w:t>’</w:t>
      </w:r>
      <w:r>
        <w:t>elle a rendu sont conformes aux exigences du paragraphe 5 de l</w:t>
      </w:r>
      <w:r w:rsidR="00467A6D">
        <w:t>’</w:t>
      </w:r>
      <w:r>
        <w:t xml:space="preserve">article 14 du Pacte. Il </w:t>
      </w:r>
      <w:r w:rsidRPr="00B149CC">
        <w:t>constate que</w:t>
      </w:r>
      <w:r>
        <w:t xml:space="preserve"> le tribunal de district de Sandefjord a reconnu </w:t>
      </w:r>
      <w:r w:rsidRPr="00B149CC">
        <w:t>l</w:t>
      </w:r>
      <w:r w:rsidR="00467A6D">
        <w:t>’</w:t>
      </w:r>
      <w:r w:rsidRPr="00B149CC">
        <w:t>auteur coupable de plusieurs infractions au Code pénal</w:t>
      </w:r>
      <w:r>
        <w:t xml:space="preserve"> (</w:t>
      </w:r>
      <w:r w:rsidRPr="00386F72">
        <w:rPr>
          <w:i/>
        </w:rPr>
        <w:t>straffeloven</w:t>
      </w:r>
      <w:r>
        <w:t>)</w:t>
      </w:r>
      <w:r w:rsidRPr="00B149CC">
        <w:t xml:space="preserve"> </w:t>
      </w:r>
      <w:r>
        <w:t>et a rendu, le 19 septembre 2008, une décision écrite dûment motivée sur laquelle l</w:t>
      </w:r>
      <w:r w:rsidR="00467A6D">
        <w:t>’</w:t>
      </w:r>
      <w:r>
        <w:t>auteur a fondé le recours qu</w:t>
      </w:r>
      <w:r w:rsidR="00467A6D">
        <w:t>’</w:t>
      </w:r>
      <w:r>
        <w:t>il a formé auprès de la cour d</w:t>
      </w:r>
      <w:r w:rsidR="00467A6D">
        <w:t>’</w:t>
      </w:r>
      <w:r>
        <w:t>appel d</w:t>
      </w:r>
      <w:r w:rsidR="00467A6D">
        <w:t>’</w:t>
      </w:r>
      <w:r>
        <w:t>Agder. E</w:t>
      </w:r>
      <w:r w:rsidRPr="00B149CC">
        <w:t>n vertu de l</w:t>
      </w:r>
      <w:r w:rsidR="00467A6D">
        <w:t>’</w:t>
      </w:r>
      <w:r w:rsidRPr="00B149CC">
        <w:t>article</w:t>
      </w:r>
      <w:r>
        <w:t> </w:t>
      </w:r>
      <w:r w:rsidRPr="00B149CC">
        <w:t xml:space="preserve">331 du Code de procédure pénale, </w:t>
      </w:r>
      <w:r>
        <w:t>l</w:t>
      </w:r>
      <w:r w:rsidR="00467A6D">
        <w:t>’</w:t>
      </w:r>
      <w:r>
        <w:t>auteur</w:t>
      </w:r>
      <w:r w:rsidRPr="00B149CC">
        <w:t xml:space="preserve"> </w:t>
      </w:r>
      <w:r>
        <w:t xml:space="preserve">a </w:t>
      </w:r>
      <w:r w:rsidRPr="00B149CC">
        <w:t xml:space="preserve">vu </w:t>
      </w:r>
      <w:r>
        <w:t>son affaire intégralement rejugée</w:t>
      </w:r>
      <w:r w:rsidRPr="00B149CC">
        <w:t xml:space="preserve"> </w:t>
      </w:r>
      <w:r>
        <w:t>par</w:t>
      </w:r>
      <w:r w:rsidRPr="00B149CC">
        <w:t xml:space="preserve"> la </w:t>
      </w:r>
      <w:r>
        <w:t>c</w:t>
      </w:r>
      <w:r w:rsidRPr="00B149CC">
        <w:t>our d</w:t>
      </w:r>
      <w:r w:rsidR="00467A6D">
        <w:t>’</w:t>
      </w:r>
      <w:r w:rsidRPr="00B149CC">
        <w:t>appel d</w:t>
      </w:r>
      <w:r w:rsidR="00467A6D">
        <w:t>’</w:t>
      </w:r>
      <w:r w:rsidRPr="00B149CC">
        <w:t xml:space="preserve">Agder, tous </w:t>
      </w:r>
      <w:r>
        <w:t>s</w:t>
      </w:r>
      <w:r w:rsidRPr="00B149CC">
        <w:t xml:space="preserve">es éléments </w:t>
      </w:r>
      <w:r>
        <w:t>ayant</w:t>
      </w:r>
      <w:r w:rsidRPr="00B149CC">
        <w:t xml:space="preserve"> été </w:t>
      </w:r>
      <w:r>
        <w:t>ré</w:t>
      </w:r>
      <w:r w:rsidRPr="00B149CC">
        <w:t>examinés</w:t>
      </w:r>
      <w:r>
        <w:t xml:space="preserve"> dans le cadre de ce nouveau procès</w:t>
      </w:r>
      <w:r w:rsidR="00E115BB">
        <w:t>, y </w:t>
      </w:r>
      <w:r w:rsidRPr="00B149CC">
        <w:t>compris les faits et le droit applicable. Il ressort des éléments d</w:t>
      </w:r>
      <w:r w:rsidR="00467A6D">
        <w:t>’</w:t>
      </w:r>
      <w:r w:rsidRPr="00B149CC">
        <w:t>information dont le Comité est saisi</w:t>
      </w:r>
      <w:r>
        <w:t xml:space="preserve"> que:</w:t>
      </w:r>
      <w:r w:rsidRPr="00B149CC">
        <w:t xml:space="preserve"> la </w:t>
      </w:r>
      <w:r>
        <w:t>c</w:t>
      </w:r>
      <w:r w:rsidRPr="00B149CC">
        <w:t>our d</w:t>
      </w:r>
      <w:r w:rsidR="00467A6D">
        <w:t>’</w:t>
      </w:r>
      <w:r w:rsidRPr="00B149CC">
        <w:t xml:space="preserve">appel était composée de trois juges professionnels; le jury a été constitué conformément aux règles pertinentes du Code de procédure pénale, et il a reçu des instructions du Président de la </w:t>
      </w:r>
      <w:r>
        <w:t>c</w:t>
      </w:r>
      <w:r w:rsidRPr="00B149CC">
        <w:t>our d</w:t>
      </w:r>
      <w:r w:rsidR="00467A6D">
        <w:t>’</w:t>
      </w:r>
      <w:r w:rsidRPr="00B149CC">
        <w:t xml:space="preserve">appel; les questions posées au jury </w:t>
      </w:r>
      <w:r w:rsidR="00F944AA">
        <w:t>− </w:t>
      </w:r>
      <w:r>
        <w:t xml:space="preserve">qui </w:t>
      </w:r>
      <w:r w:rsidRPr="00B149CC">
        <w:t>ont été formulées conformément à la loi</w:t>
      </w:r>
      <w:r>
        <w:t xml:space="preserve"> et</w:t>
      </w:r>
      <w:r w:rsidRPr="00B149CC">
        <w:t xml:space="preserve"> </w:t>
      </w:r>
      <w:r>
        <w:t xml:space="preserve">dont </w:t>
      </w:r>
      <w:r w:rsidRPr="00B149CC">
        <w:t xml:space="preserve">il </w:t>
      </w:r>
      <w:r w:rsidR="00F944AA">
        <w:t xml:space="preserve">a été donné lecture en audience − </w:t>
      </w:r>
      <w:r w:rsidRPr="00B149CC">
        <w:t>étaient précises et détaillées sur le plan des faits; la</w:t>
      </w:r>
      <w:r>
        <w:t xml:space="preserve"> cour</w:t>
      </w:r>
      <w:r w:rsidRPr="00B149CC">
        <w:t xml:space="preserve"> d</w:t>
      </w:r>
      <w:r w:rsidR="00467A6D">
        <w:t>’</w:t>
      </w:r>
      <w:r w:rsidRPr="00B149CC">
        <w:t>appel, en se fondant sur les conclusions du jury, qui a répondu aux questions par l</w:t>
      </w:r>
      <w:r w:rsidR="00467A6D">
        <w:t>’</w:t>
      </w:r>
      <w:r w:rsidRPr="00B149CC">
        <w:t>affirmative, a reconnu l</w:t>
      </w:r>
      <w:r w:rsidR="00467A6D">
        <w:t>’</w:t>
      </w:r>
      <w:r w:rsidRPr="00B149CC">
        <w:t xml:space="preserve">auteur coupable de diverses infractions visées par le Code pénal; comme suite au verdict de culpabilité rendu par le jury, et eu égard aux réponses données par celui-ci, la </w:t>
      </w:r>
      <w:r>
        <w:t>cour</w:t>
      </w:r>
      <w:r w:rsidRPr="00B149CC">
        <w:t xml:space="preserve"> d</w:t>
      </w:r>
      <w:r w:rsidR="00467A6D">
        <w:t>’</w:t>
      </w:r>
      <w:r w:rsidRPr="00B149CC">
        <w:t xml:space="preserve">appel a qualifié les faits et les infractions pénales visées par la législation applicable; la </w:t>
      </w:r>
      <w:r>
        <w:t>peine</w:t>
      </w:r>
      <w:r w:rsidRPr="00B149CC">
        <w:t xml:space="preserve"> a été expliquée dans le jugement, en se fondant sur la législation applicable, et l</w:t>
      </w:r>
      <w:r w:rsidR="00467A6D">
        <w:t>’</w:t>
      </w:r>
      <w:r w:rsidRPr="00B149CC">
        <w:t>ordonnance d</w:t>
      </w:r>
      <w:r w:rsidR="00467A6D">
        <w:t>’</w:t>
      </w:r>
      <w:r w:rsidRPr="00B149CC">
        <w:t>indemnisation comportait une description des circonstances aggravantes retenues et de la législation applicable. Le Comité constate en outre que</w:t>
      </w:r>
      <w:r>
        <w:t xml:space="preserve"> rien dans les éléments dont il est saisi n</w:t>
      </w:r>
      <w:r w:rsidR="00467A6D">
        <w:t>’</w:t>
      </w:r>
      <w:r>
        <w:t>indique que l</w:t>
      </w:r>
      <w:r w:rsidR="00467A6D">
        <w:t>’</w:t>
      </w:r>
      <w:r>
        <w:t>auteur n</w:t>
      </w:r>
      <w:r w:rsidR="00467A6D">
        <w:t>’</w:t>
      </w:r>
      <w:r>
        <w:t>était pas en mesure de former un recours dûment motivé auprès de la Cour suprême norvégienne, qui a examiné l</w:t>
      </w:r>
      <w:r w:rsidR="00467A6D">
        <w:t>’</w:t>
      </w:r>
      <w:r>
        <w:t>arrêt</w:t>
      </w:r>
      <w:r w:rsidRPr="00B149CC">
        <w:t xml:space="preserve"> de la </w:t>
      </w:r>
      <w:r>
        <w:t>cour</w:t>
      </w:r>
      <w:r w:rsidRPr="00B149CC">
        <w:t xml:space="preserve"> d</w:t>
      </w:r>
      <w:r w:rsidR="00467A6D">
        <w:t>’</w:t>
      </w:r>
      <w:r w:rsidRPr="00B149CC">
        <w:t>appel d</w:t>
      </w:r>
      <w:r w:rsidR="00467A6D">
        <w:t>’</w:t>
      </w:r>
      <w:r w:rsidRPr="00B149CC">
        <w:t>Agder</w:t>
      </w:r>
      <w:r>
        <w:t xml:space="preserve"> conformément à l</w:t>
      </w:r>
      <w:r w:rsidR="00467A6D">
        <w:t>’</w:t>
      </w:r>
      <w:r>
        <w:t>article 306 du Code de procédure pénale</w:t>
      </w:r>
      <w:r w:rsidRPr="00B149CC">
        <w:t xml:space="preserve"> </w:t>
      </w:r>
      <w:r>
        <w:t>quant à des</w:t>
      </w:r>
      <w:r w:rsidR="00F944AA">
        <w:t xml:space="preserve"> questions de </w:t>
      </w:r>
      <w:r w:rsidRPr="00B149CC">
        <w:t xml:space="preserve">procédure et </w:t>
      </w:r>
      <w:r>
        <w:t>à</w:t>
      </w:r>
      <w:r w:rsidRPr="00B149CC">
        <w:t xml:space="preserve"> la condamnation. Dans ces conditions, le Comité ne peut </w:t>
      </w:r>
      <w:r>
        <w:t>accueillir</w:t>
      </w:r>
      <w:r w:rsidRPr="00B149CC">
        <w:t xml:space="preserve"> l</w:t>
      </w:r>
      <w:r w:rsidR="00467A6D">
        <w:t>’</w:t>
      </w:r>
      <w:r w:rsidRPr="00B149CC">
        <w:t>argument de l</w:t>
      </w:r>
      <w:r w:rsidR="00467A6D">
        <w:t>’</w:t>
      </w:r>
      <w:r w:rsidRPr="00B149CC">
        <w:t xml:space="preserve">auteur selon lequel il a été privé de la possibilité </w:t>
      </w:r>
      <w:r>
        <w:t xml:space="preserve">de </w:t>
      </w:r>
      <w:r w:rsidR="00F944AA">
        <w:t>faire examiner la </w:t>
      </w:r>
      <w:r w:rsidRPr="00B149CC">
        <w:t>déclaration de sa culpabilité et sa condamnation par une</w:t>
      </w:r>
      <w:r>
        <w:t> </w:t>
      </w:r>
      <w:r w:rsidRPr="00B149CC">
        <w:t>juridiction supérieure.</w:t>
      </w:r>
    </w:p>
    <w:p w:rsidR="00C9549A" w:rsidRDefault="00C9549A" w:rsidP="00467A6D">
      <w:pPr>
        <w:pStyle w:val="SingleTxtG"/>
      </w:pPr>
      <w:r w:rsidRPr="00B149CC">
        <w:t>10.</w:t>
      </w:r>
      <w:r w:rsidRPr="00B149CC">
        <w:tab/>
        <w:t>En conséquence, le Comité conclut que les faits dont il est saisi ne font pas apparaître de violation du paragraphe</w:t>
      </w:r>
      <w:r>
        <w:t> </w:t>
      </w:r>
      <w:r w:rsidRPr="00B149CC">
        <w:t>5 de l</w:t>
      </w:r>
      <w:r w:rsidR="00467A6D">
        <w:t>’</w:t>
      </w:r>
      <w:r w:rsidRPr="00B149CC">
        <w:t>article</w:t>
      </w:r>
      <w:r>
        <w:t> </w:t>
      </w:r>
      <w:r w:rsidRPr="00B149CC">
        <w:t>14 du Pacte.</w:t>
      </w:r>
    </w:p>
    <w:p w:rsidR="00C9549A" w:rsidRDefault="00C9549A" w:rsidP="00467A6D">
      <w:pPr>
        <w:pStyle w:val="SingleTxtG"/>
      </w:pPr>
      <w:r w:rsidRPr="00B149CC">
        <w:t>11.</w:t>
      </w:r>
      <w:r w:rsidRPr="00B149CC">
        <w:tab/>
        <w:t>Le Comité des droits de l</w:t>
      </w:r>
      <w:r w:rsidR="00467A6D">
        <w:t>’</w:t>
      </w:r>
      <w:r w:rsidRPr="00B149CC">
        <w:t>homme, agissant en vertu du paragraphe 4 de l</w:t>
      </w:r>
      <w:r w:rsidR="00467A6D">
        <w:t>’</w:t>
      </w:r>
      <w:r w:rsidR="00F944AA">
        <w:t xml:space="preserve">article 5 du </w:t>
      </w:r>
      <w:r w:rsidRPr="00B149CC">
        <w:t>Protocole facultatif se rapportant au Pacte international relatif aux droits civils et politiques, constate que les faits dont il est saisi ne font pas apparaître d</w:t>
      </w:r>
      <w:r>
        <w:t>e violation des dispositions du </w:t>
      </w:r>
      <w:r w:rsidRPr="00B149CC">
        <w:t>Pacte.</w:t>
      </w:r>
    </w:p>
    <w:p w:rsidR="00C9549A" w:rsidRPr="00C9549A" w:rsidRDefault="00C9549A" w:rsidP="00C9549A">
      <w:pPr>
        <w:pStyle w:val="SingleTxtG"/>
        <w:spacing w:before="240" w:after="0"/>
        <w:jc w:val="center"/>
        <w:rPr>
          <w:u w:val="single"/>
        </w:rPr>
      </w:pPr>
      <w:r>
        <w:rPr>
          <w:u w:val="single"/>
        </w:rPr>
        <w:tab/>
      </w:r>
      <w:r>
        <w:rPr>
          <w:u w:val="single"/>
        </w:rPr>
        <w:tab/>
      </w:r>
      <w:r>
        <w:rPr>
          <w:u w:val="single"/>
        </w:rPr>
        <w:tab/>
      </w:r>
    </w:p>
    <w:sectPr w:rsidR="00C9549A" w:rsidRPr="00C9549A" w:rsidSect="005C187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A49" w:rsidRDefault="00814A49"/>
  </w:endnote>
  <w:endnote w:type="continuationSeparator" w:id="0">
    <w:p w:rsidR="00814A49" w:rsidRDefault="00814A49"/>
  </w:endnote>
  <w:endnote w:type="continuationNotice" w:id="1">
    <w:p w:rsidR="00814A49" w:rsidRPr="00AE2643" w:rsidRDefault="00814A49" w:rsidP="00AE2643">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A6D" w:rsidRPr="005C1870" w:rsidRDefault="00467A6D" w:rsidP="005C1870">
    <w:pPr>
      <w:pStyle w:val="Footer"/>
      <w:tabs>
        <w:tab w:val="right" w:pos="9638"/>
      </w:tabs>
    </w:pPr>
    <w:r w:rsidRPr="005C1870">
      <w:rPr>
        <w:b/>
        <w:sz w:val="18"/>
      </w:rPr>
      <w:fldChar w:fldCharType="begin"/>
    </w:r>
    <w:r w:rsidRPr="005C1870">
      <w:rPr>
        <w:b/>
        <w:sz w:val="18"/>
      </w:rPr>
      <w:instrText xml:space="preserve"> PAGE  \* MERGEFORMAT </w:instrText>
    </w:r>
    <w:r w:rsidRPr="005C1870">
      <w:rPr>
        <w:b/>
        <w:sz w:val="18"/>
      </w:rPr>
      <w:fldChar w:fldCharType="separate"/>
    </w:r>
    <w:r w:rsidR="004517ED">
      <w:rPr>
        <w:b/>
        <w:noProof/>
        <w:sz w:val="18"/>
      </w:rPr>
      <w:t>8</w:t>
    </w:r>
    <w:r w:rsidRPr="005C1870">
      <w:rPr>
        <w:b/>
        <w:sz w:val="18"/>
      </w:rPr>
      <w:fldChar w:fldCharType="end"/>
    </w:r>
    <w:r>
      <w:rPr>
        <w:b/>
        <w:sz w:val="18"/>
      </w:rPr>
      <w:tab/>
    </w:r>
    <w:r>
      <w:t>GE.14-14518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A6D" w:rsidRPr="005C1870" w:rsidRDefault="00467A6D" w:rsidP="005C1870">
    <w:pPr>
      <w:pStyle w:val="Footer"/>
      <w:tabs>
        <w:tab w:val="right" w:pos="9638"/>
      </w:tabs>
      <w:rPr>
        <w:b/>
        <w:sz w:val="18"/>
      </w:rPr>
    </w:pPr>
    <w:r>
      <w:t>GE.14-14518</w:t>
    </w:r>
    <w:r>
      <w:tab/>
    </w:r>
    <w:r w:rsidRPr="005C1870">
      <w:rPr>
        <w:b/>
        <w:sz w:val="18"/>
      </w:rPr>
      <w:fldChar w:fldCharType="begin"/>
    </w:r>
    <w:r w:rsidRPr="005C1870">
      <w:rPr>
        <w:b/>
        <w:sz w:val="18"/>
      </w:rPr>
      <w:instrText xml:space="preserve"> PAGE  \* MERGEFORMAT </w:instrText>
    </w:r>
    <w:r w:rsidRPr="005C1870">
      <w:rPr>
        <w:b/>
        <w:sz w:val="18"/>
      </w:rPr>
      <w:fldChar w:fldCharType="separate"/>
    </w:r>
    <w:r w:rsidR="004517ED">
      <w:rPr>
        <w:b/>
        <w:noProof/>
        <w:sz w:val="18"/>
      </w:rPr>
      <w:t>9</w:t>
    </w:r>
    <w:r w:rsidRPr="005C1870">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A6D" w:rsidRDefault="00467A6D" w:rsidP="005C1870">
    <w:pPr>
      <w:pStyle w:val="Footer"/>
      <w:spacing w:before="120"/>
    </w:pPr>
    <w:r>
      <w:rPr>
        <w:sz w:val="20"/>
      </w:rPr>
      <w:t>GE.14-14518</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 xml:space="preserve">  (F)    151014    </w:t>
    </w:r>
    <w:r w:rsidR="005878ED">
      <w:rPr>
        <w:sz w:val="20"/>
      </w:rPr>
      <w:t>161014</w:t>
    </w:r>
    <w:r>
      <w:rPr>
        <w:sz w:val="20"/>
      </w:rPr>
      <w:br/>
    </w:r>
    <w:r w:rsidRPr="005C1870">
      <w:rPr>
        <w:rFonts w:ascii="C39T30Lfz" w:hAnsi="C39T30Lfz"/>
        <w:sz w:val="56"/>
      </w:rPr>
      <w:t></w:t>
    </w:r>
    <w:r w:rsidRPr="005C1870">
      <w:rPr>
        <w:rFonts w:ascii="C39T30Lfz" w:hAnsi="C39T30Lfz"/>
        <w:sz w:val="56"/>
      </w:rPr>
      <w:t></w:t>
    </w:r>
    <w:r w:rsidRPr="005C1870">
      <w:rPr>
        <w:rFonts w:ascii="C39T30Lfz" w:hAnsi="C39T30Lfz"/>
        <w:sz w:val="56"/>
      </w:rPr>
      <w:t></w:t>
    </w:r>
    <w:r w:rsidRPr="005C1870">
      <w:rPr>
        <w:rFonts w:ascii="C39T30Lfz" w:hAnsi="C39T30Lfz"/>
        <w:sz w:val="56"/>
      </w:rPr>
      <w:t></w:t>
    </w:r>
    <w:r w:rsidRPr="005C1870">
      <w:rPr>
        <w:rFonts w:ascii="C39T30Lfz" w:hAnsi="C39T30Lfz"/>
        <w:sz w:val="56"/>
      </w:rPr>
      <w:t></w:t>
    </w:r>
    <w:r w:rsidRPr="005C1870">
      <w:rPr>
        <w:rFonts w:ascii="C39T30Lfz" w:hAnsi="C39T30Lfz"/>
        <w:sz w:val="56"/>
      </w:rPr>
      <w:t></w:t>
    </w:r>
    <w:r w:rsidRPr="005C1870">
      <w:rPr>
        <w:rFonts w:ascii="C39T30Lfz" w:hAnsi="C39T30Lfz"/>
        <w:sz w:val="56"/>
      </w:rPr>
      <w:t></w:t>
    </w:r>
    <w:r w:rsidRPr="005C1870">
      <w:rPr>
        <w:rFonts w:ascii="C39T30Lfz" w:hAnsi="C39T30Lfz"/>
        <w:sz w:val="56"/>
      </w:rPr>
      <w:t></w:t>
    </w:r>
    <w:r w:rsidRPr="005C1870">
      <w:rPr>
        <w:rFonts w:ascii="C39T30Lfz" w:hAnsi="C39T30Lfz"/>
        <w:sz w:val="56"/>
      </w:rPr>
      <w:t></w:t>
    </w:r>
    <w:r>
      <w:rPr>
        <w:noProof/>
        <w:lang w:val="fr-FR" w:eastAsia="fr-FR"/>
      </w:rPr>
      <w:pict>
        <v:shape id="_x0000_s2052" type="#_x0000_t75" style="position:absolute;margin-left:432.25pt;margin-top:632.1pt;width:50.25pt;height:50.25pt;z-index:2;mso-position-horizontal-relative:margin;mso-position-vertical-relative:margin">
          <v:imagedata r:id="rId2" o:title="2010&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A49" w:rsidRPr="00D27D5E" w:rsidRDefault="00814A49" w:rsidP="00D27D5E">
      <w:pPr>
        <w:tabs>
          <w:tab w:val="right" w:pos="2155"/>
        </w:tabs>
        <w:spacing w:after="80"/>
        <w:ind w:left="680"/>
        <w:rPr>
          <w:u w:val="single"/>
        </w:rPr>
      </w:pPr>
      <w:r>
        <w:rPr>
          <w:u w:val="single"/>
        </w:rPr>
        <w:tab/>
      </w:r>
    </w:p>
  </w:footnote>
  <w:footnote w:type="continuationSeparator" w:id="0">
    <w:p w:rsidR="00814A49" w:rsidRPr="00A821B8" w:rsidRDefault="00814A49" w:rsidP="00A821B8">
      <w:pPr>
        <w:tabs>
          <w:tab w:val="right" w:pos="2155"/>
        </w:tabs>
        <w:spacing w:after="80"/>
        <w:ind w:left="680"/>
        <w:rPr>
          <w:u w:val="single"/>
        </w:rPr>
      </w:pPr>
      <w:r w:rsidRPr="00A821B8">
        <w:rPr>
          <w:u w:val="single"/>
        </w:rPr>
        <w:tab/>
      </w:r>
    </w:p>
  </w:footnote>
  <w:footnote w:type="continuationNotice" w:id="1">
    <w:p w:rsidR="00814A49" w:rsidRPr="00AE2643" w:rsidRDefault="00814A49" w:rsidP="00AE2643">
      <w:pPr>
        <w:spacing w:line="240" w:lineRule="auto"/>
        <w:rPr>
          <w:sz w:val="2"/>
          <w:szCs w:val="2"/>
        </w:rPr>
      </w:pPr>
    </w:p>
  </w:footnote>
  <w:footnote w:id="2">
    <w:p w:rsidR="00467A6D" w:rsidRPr="00D85C0F" w:rsidRDefault="00467A6D" w:rsidP="00A95067">
      <w:pPr>
        <w:pStyle w:val="FootnoteText"/>
      </w:pPr>
      <w:r>
        <w:tab/>
      </w:r>
      <w:r w:rsidRPr="00D85C0F">
        <w:rPr>
          <w:rStyle w:val="FootnoteReference"/>
          <w:vertAlign w:val="baseline"/>
        </w:rPr>
        <w:t>*</w:t>
      </w:r>
      <w:r w:rsidRPr="00D85C0F">
        <w:tab/>
        <w:t xml:space="preserve">Les membres du Comité dont le nom suit ont participé à l’examen de la communication: </w:t>
      </w:r>
      <w:r>
        <w:t>M. Yadh </w:t>
      </w:r>
      <w:r w:rsidRPr="00D85C0F">
        <w:t xml:space="preserve">Ben Achour, M. Lazhari Bouzid, M. Ahmad Amin Fathalla, M. Cornelis Flinterman, M. Yuji Iwasawa, M. Walter Kälin, </w:t>
      </w:r>
      <w:r>
        <w:t>M</w:t>
      </w:r>
      <w:r w:rsidRPr="00D91DA2">
        <w:rPr>
          <w:vertAlign w:val="superscript"/>
        </w:rPr>
        <w:t>me</w:t>
      </w:r>
      <w:r w:rsidRPr="00D85C0F">
        <w:rPr>
          <w:szCs w:val="24"/>
        </w:rPr>
        <w:t> Zonke Zanele Majodina,</w:t>
      </w:r>
      <w:r w:rsidRPr="00D85C0F">
        <w:t xml:space="preserve"> M. Gerald L. Neuman, </w:t>
      </w:r>
      <w:r w:rsidRPr="00D85C0F">
        <w:rPr>
          <w:szCs w:val="24"/>
        </w:rPr>
        <w:t xml:space="preserve">Sir Nigel Rodley, </w:t>
      </w:r>
      <w:r w:rsidRPr="00D85C0F">
        <w:t>M. Victor Manuel Rodríguez</w:t>
      </w:r>
      <w:r w:rsidRPr="00D85C0F">
        <w:noBreakHyphen/>
        <w:t>Rescia, M. Fabiá</w:t>
      </w:r>
      <w:r>
        <w:t xml:space="preserve">n Omar Salvioli, </w:t>
      </w:r>
      <w:r w:rsidRPr="00D85C0F">
        <w:t>M. </w:t>
      </w:r>
      <w:r>
        <w:t>Dheerujlall </w:t>
      </w:r>
      <w:r w:rsidRPr="00D85C0F">
        <w:t xml:space="preserve">Seetulsingh, </w:t>
      </w:r>
      <w:r>
        <w:t>M</w:t>
      </w:r>
      <w:r w:rsidRPr="00D91DA2">
        <w:rPr>
          <w:vertAlign w:val="superscript"/>
        </w:rPr>
        <w:t>me</w:t>
      </w:r>
      <w:r>
        <w:t> </w:t>
      </w:r>
      <w:r w:rsidRPr="00D85C0F">
        <w:t>Anja Seibert-Fohr, M. Yuval Shany, M. Konstantine Vardzelashvili,</w:t>
      </w:r>
      <w:r>
        <w:t> M</w:t>
      </w:r>
      <w:r w:rsidRPr="00D91DA2">
        <w:rPr>
          <w:vertAlign w:val="superscript"/>
        </w:rPr>
        <w:t>me</w:t>
      </w:r>
      <w:r>
        <w:t> Margo </w:t>
      </w:r>
      <w:r w:rsidRPr="00D85C0F">
        <w:t>Waterval et M. Andrei Paul Zl</w:t>
      </w:r>
      <w:r w:rsidR="00023A5A" w:rsidRPr="00B017FC">
        <w:t>ă</w:t>
      </w:r>
      <w:r w:rsidRPr="00D85C0F">
        <w:t>tescu.</w:t>
      </w:r>
    </w:p>
  </w:footnote>
  <w:footnote w:id="3">
    <w:p w:rsidR="00A95067" w:rsidRDefault="00A95067">
      <w:pPr>
        <w:pStyle w:val="FootnoteText"/>
      </w:pPr>
      <w:r>
        <w:tab/>
      </w:r>
      <w:r>
        <w:rPr>
          <w:rStyle w:val="FootnoteReference"/>
        </w:rPr>
        <w:footnoteRef/>
      </w:r>
      <w:r>
        <w:tab/>
      </w:r>
      <w:r w:rsidRPr="00A95067">
        <w:rPr>
          <w:rStyle w:val="FootnoteTextChar"/>
        </w:rPr>
        <w:t>La Norvège a fait la déclaration suivante concernant le paragraphe 5 de l’article 14 du Pacte: «[Le Gouvernement norvégien] déclare qu’à la suite de l’entré</w:t>
      </w:r>
      <w:r>
        <w:rPr>
          <w:rStyle w:val="FootnoteTextChar"/>
        </w:rPr>
        <w:t>e en vigueur d’un amendement au </w:t>
      </w:r>
      <w:r w:rsidRPr="00A95067">
        <w:rPr>
          <w:rStyle w:val="FootnoteTextChar"/>
        </w:rPr>
        <w:t>Code de procédure pénale concernant le droit de faire appel d</w:t>
      </w:r>
      <w:r>
        <w:rPr>
          <w:rStyle w:val="FootnoteTextChar"/>
        </w:rPr>
        <w:t>e toute condamnation devant une </w:t>
      </w:r>
      <w:r w:rsidRPr="00A95067">
        <w:rPr>
          <w:rStyle w:val="FootnoteTextChar"/>
        </w:rPr>
        <w:t xml:space="preserve">juridiction supérieure, la </w:t>
      </w:r>
      <w:bookmarkStart w:id="0" w:name="hit1"/>
      <w:bookmarkEnd w:id="0"/>
      <w:r w:rsidRPr="00A95067">
        <w:rPr>
          <w:rStyle w:val="FootnoteTextChar"/>
        </w:rPr>
        <w:t xml:space="preserve">réserve </w:t>
      </w:r>
      <w:bookmarkStart w:id="1" w:name="hit2"/>
      <w:bookmarkEnd w:id="1"/>
      <w:r w:rsidRPr="00A95067">
        <w:rPr>
          <w:rStyle w:val="FootnoteTextChar"/>
        </w:rPr>
        <w:t xml:space="preserve">faite </w:t>
      </w:r>
      <w:bookmarkStart w:id="2" w:name="hit3"/>
      <w:bookmarkEnd w:id="2"/>
      <w:r w:rsidRPr="00A95067">
        <w:rPr>
          <w:rStyle w:val="FootnoteTextChar"/>
        </w:rPr>
        <w:t xml:space="preserve">par </w:t>
      </w:r>
      <w:bookmarkStart w:id="3" w:name="hit4"/>
      <w:bookmarkEnd w:id="3"/>
      <w:r w:rsidRPr="00A95067">
        <w:rPr>
          <w:rStyle w:val="FootnoteTextChar"/>
        </w:rPr>
        <w:t xml:space="preserve">le </w:t>
      </w:r>
      <w:bookmarkStart w:id="4" w:name="hit5"/>
      <w:bookmarkEnd w:id="4"/>
      <w:r w:rsidRPr="00A95067">
        <w:rPr>
          <w:rStyle w:val="FootnoteTextChar"/>
        </w:rPr>
        <w:t xml:space="preserve">Royaume </w:t>
      </w:r>
      <w:bookmarkStart w:id="5" w:name="hit6"/>
      <w:bookmarkEnd w:id="5"/>
      <w:r w:rsidRPr="00A95067">
        <w:rPr>
          <w:rStyle w:val="FootnoteTextChar"/>
        </w:rPr>
        <w:t xml:space="preserve">de </w:t>
      </w:r>
      <w:bookmarkStart w:id="6" w:name="hit_last"/>
      <w:bookmarkEnd w:id="6"/>
      <w:r w:rsidRPr="00A95067">
        <w:rPr>
          <w:rStyle w:val="FootnoteTextChar"/>
        </w:rPr>
        <w:t>Norvège sur le paragraphe 5 de l’article 14 du Pacte continuera de s’appliquer uniquement dans les cas exceptionnels suivants: […] Condamnation par une juridiction d’appel. Dans le cas où l’inculpé a été acquitté en première instance mais condamné par une juridiction d’appel, il ne peut faire appel de cette condamnation pour erreur</w:t>
      </w:r>
      <w:r>
        <w:t xml:space="preserve"> dans l’appréciation des faits concernant sa culpabilité. Si la juridiction d’appel est la Cour suprême, il ne peut être fait appel de la condamnation pour aucun motif.».</w:t>
      </w:r>
    </w:p>
  </w:footnote>
  <w:footnote w:id="4">
    <w:p w:rsidR="00467A6D" w:rsidRPr="001D4D86" w:rsidRDefault="00467A6D" w:rsidP="001D4D86">
      <w:pPr>
        <w:pStyle w:val="FootnoteText"/>
        <w:rPr>
          <w:rStyle w:val="FootnoteTextChar"/>
        </w:rPr>
      </w:pPr>
      <w:r>
        <w:tab/>
      </w:r>
      <w:r>
        <w:rPr>
          <w:rStyle w:val="FootnoteReference"/>
        </w:rPr>
        <w:footnoteRef/>
      </w:r>
      <w:r>
        <w:tab/>
      </w:r>
      <w:r w:rsidRPr="001D4D86">
        <w:rPr>
          <w:rStyle w:val="FootnoteTextChar"/>
        </w:rPr>
        <w:t xml:space="preserve">Affaire no 2009/397, </w:t>
      </w:r>
      <w:r w:rsidRPr="001D4D86">
        <w:rPr>
          <w:rStyle w:val="FootnoteTextChar"/>
          <w:i/>
        </w:rPr>
        <w:t>Arfan Qadeer Bhatti</w:t>
      </w:r>
      <w:r w:rsidRPr="001D4D86">
        <w:rPr>
          <w:rStyle w:val="FootnoteTextChar"/>
        </w:rPr>
        <w:t xml:space="preserve"> c. </w:t>
      </w:r>
      <w:r w:rsidRPr="001D4D86">
        <w:rPr>
          <w:rStyle w:val="FootnoteTextChar"/>
          <w:i/>
        </w:rPr>
        <w:t>Ministère public</w:t>
      </w:r>
      <w:r w:rsidRPr="001D4D86">
        <w:rPr>
          <w:rStyle w:val="FootnoteTextChar"/>
        </w:rPr>
        <w:t>, Cour suprême, 12 juin 2009.</w:t>
      </w:r>
    </w:p>
  </w:footnote>
  <w:footnote w:id="5">
    <w:p w:rsidR="001D4D86" w:rsidRDefault="001D4D86">
      <w:pPr>
        <w:pStyle w:val="FootnoteText"/>
      </w:pPr>
      <w:r>
        <w:tab/>
      </w:r>
      <w:r>
        <w:rPr>
          <w:rStyle w:val="FootnoteReference"/>
        </w:rPr>
        <w:footnoteRef/>
      </w:r>
      <w:r>
        <w:tab/>
      </w:r>
      <w:r w:rsidRPr="001D4D86">
        <w:rPr>
          <w:rStyle w:val="FootnoteTextChar"/>
        </w:rPr>
        <w:t>L’auteur renvoie notamment aux communications</w:t>
      </w:r>
      <w:r>
        <w:rPr>
          <w:rStyle w:val="FootnoteTextChar"/>
        </w:rPr>
        <w:t xml:space="preserve"> </w:t>
      </w:r>
      <w:r w:rsidRPr="001D4D86">
        <w:rPr>
          <w:rStyle w:val="FootnoteTextChar"/>
          <w:rFonts w:eastAsia="MS Mincho"/>
        </w:rPr>
        <w:t>n</w:t>
      </w:r>
      <w:r w:rsidRPr="001D4D86">
        <w:rPr>
          <w:rStyle w:val="FootnoteTextChar"/>
          <w:rFonts w:eastAsia="MS Mincho"/>
          <w:vertAlign w:val="superscript"/>
        </w:rPr>
        <w:t>o</w:t>
      </w:r>
      <w:r>
        <w:rPr>
          <w:rStyle w:val="FootnoteTextChar"/>
        </w:rPr>
        <w:t> </w:t>
      </w:r>
      <w:r w:rsidRPr="001D4D86">
        <w:rPr>
          <w:rStyle w:val="FootnoteTextChar"/>
        </w:rPr>
        <w:t xml:space="preserve">230/1987, </w:t>
      </w:r>
      <w:r w:rsidRPr="001D4D86">
        <w:rPr>
          <w:rStyle w:val="FootnoteTextChar"/>
          <w:i/>
        </w:rPr>
        <w:t>Henry</w:t>
      </w:r>
      <w:r w:rsidRPr="001D4D86">
        <w:rPr>
          <w:rStyle w:val="FootnoteTextChar"/>
        </w:rPr>
        <w:t xml:space="preserve"> c. </w:t>
      </w:r>
      <w:r w:rsidRPr="001D4D86">
        <w:rPr>
          <w:rStyle w:val="FootnoteTextChar"/>
          <w:i/>
        </w:rPr>
        <w:t>Jamaïque</w:t>
      </w:r>
      <w:r w:rsidR="00CF5B12">
        <w:rPr>
          <w:rStyle w:val="FootnoteTextChar"/>
        </w:rPr>
        <w:t>, constatations </w:t>
      </w:r>
      <w:r>
        <w:rPr>
          <w:rStyle w:val="FootnoteTextChar"/>
        </w:rPr>
        <w:t xml:space="preserve">adoptées le 15 mars 1990, par. 10.5, et </w:t>
      </w:r>
      <w:r w:rsidRPr="001D4D86">
        <w:rPr>
          <w:rStyle w:val="FootnoteTextChar"/>
        </w:rPr>
        <w:t xml:space="preserve">no 355/1989, </w:t>
      </w:r>
      <w:r w:rsidRPr="001D4D86">
        <w:rPr>
          <w:rStyle w:val="FootnoteTextChar"/>
          <w:i/>
        </w:rPr>
        <w:t>Reid</w:t>
      </w:r>
      <w:r w:rsidRPr="001D4D86">
        <w:rPr>
          <w:rStyle w:val="FootnoteTextChar"/>
        </w:rPr>
        <w:t xml:space="preserve"> c. </w:t>
      </w:r>
      <w:r w:rsidRPr="001D4D86">
        <w:rPr>
          <w:rStyle w:val="FootnoteTextChar"/>
          <w:i/>
        </w:rPr>
        <w:t>Jamaïque</w:t>
      </w:r>
      <w:r w:rsidRPr="001D4D86">
        <w:rPr>
          <w:rStyle w:val="FootnoteTextChar"/>
        </w:rPr>
        <w:t xml:space="preserve">, </w:t>
      </w:r>
      <w:r w:rsidR="00CF5B12">
        <w:rPr>
          <w:rStyle w:val="FootnoteTextChar"/>
        </w:rPr>
        <w:t>constatations adoptées le </w:t>
      </w:r>
      <w:r>
        <w:rPr>
          <w:rStyle w:val="FootnoteTextChar"/>
        </w:rPr>
        <w:t>8 j</w:t>
      </w:r>
      <w:r w:rsidRPr="001D4D86">
        <w:rPr>
          <w:rStyle w:val="FootnoteTextChar"/>
        </w:rPr>
        <w:t>uillet 1994, par. 14.4.</w:t>
      </w:r>
    </w:p>
  </w:footnote>
  <w:footnote w:id="6">
    <w:p w:rsidR="008E6499" w:rsidRDefault="008E6499">
      <w:pPr>
        <w:pStyle w:val="FootnoteText"/>
      </w:pPr>
      <w:r>
        <w:tab/>
      </w:r>
      <w:r>
        <w:rPr>
          <w:rStyle w:val="FootnoteReference"/>
        </w:rPr>
        <w:footnoteRef/>
      </w:r>
      <w:r>
        <w:tab/>
      </w:r>
      <w:r w:rsidRPr="008E6499">
        <w:rPr>
          <w:rStyle w:val="FootnoteTextChar"/>
        </w:rPr>
        <w:t>L’État partie renvoie au paragraphe 1 de l’article 31 de la Conven</w:t>
      </w:r>
      <w:r w:rsidR="009363D3">
        <w:rPr>
          <w:rStyle w:val="FootnoteTextChar"/>
        </w:rPr>
        <w:t>tion de Vienne sur le droit des </w:t>
      </w:r>
      <w:r w:rsidRPr="008E6499">
        <w:rPr>
          <w:rStyle w:val="FootnoteTextChar"/>
        </w:rPr>
        <w:t>traités («Un traité doit être interprété de bonne foi suivant le sens o</w:t>
      </w:r>
      <w:r w:rsidR="009363D3">
        <w:rPr>
          <w:rStyle w:val="FootnoteTextChar"/>
        </w:rPr>
        <w:t>rdinaire à attribuer aux termes </w:t>
      </w:r>
      <w:r w:rsidRPr="008E6499">
        <w:rPr>
          <w:rStyle w:val="FootnoteTextChar"/>
        </w:rPr>
        <w:t>du</w:t>
      </w:r>
      <w:r w:rsidR="009363D3">
        <w:rPr>
          <w:rStyle w:val="FootnoteTextChar"/>
        </w:rPr>
        <w:t xml:space="preserve"> </w:t>
      </w:r>
      <w:r w:rsidRPr="008E6499">
        <w:rPr>
          <w:rStyle w:val="FootnoteTextChar"/>
        </w:rPr>
        <w:t>traité dans leur contexte et à la lumière de son objet et de son but.»).</w:t>
      </w:r>
    </w:p>
  </w:footnote>
  <w:footnote w:id="7">
    <w:p w:rsidR="00467A6D" w:rsidRDefault="00467A6D" w:rsidP="008E6499">
      <w:pPr>
        <w:pStyle w:val="FootnoteText"/>
      </w:pPr>
      <w:r>
        <w:tab/>
      </w:r>
      <w:r>
        <w:rPr>
          <w:rStyle w:val="FootnoteReference"/>
        </w:rPr>
        <w:footnoteRef/>
      </w:r>
      <w:r>
        <w:tab/>
        <w:t xml:space="preserve">Voir la note 2 </w:t>
      </w:r>
      <w:r w:rsidRPr="00386F72">
        <w:rPr>
          <w:i/>
        </w:rPr>
        <w:t>supra</w:t>
      </w:r>
      <w:r w:rsidR="0034342E">
        <w:t>.</w:t>
      </w:r>
    </w:p>
  </w:footnote>
  <w:footnote w:id="8">
    <w:p w:rsidR="008B3896" w:rsidRPr="008B3896" w:rsidRDefault="008B3896" w:rsidP="008B3896">
      <w:pPr>
        <w:pStyle w:val="FootnoteText"/>
      </w:pPr>
      <w:r>
        <w:tab/>
      </w:r>
      <w:r>
        <w:rPr>
          <w:rStyle w:val="FootnoteReference"/>
        </w:rPr>
        <w:footnoteRef/>
      </w:r>
      <w:r>
        <w:tab/>
      </w:r>
      <w:r w:rsidRPr="008B3896">
        <w:t xml:space="preserve">Communications no 842/1998, </w:t>
      </w:r>
      <w:r w:rsidRPr="008B3896">
        <w:rPr>
          <w:i/>
        </w:rPr>
        <w:t>Romanov</w:t>
      </w:r>
      <w:r w:rsidRPr="008B3896">
        <w:t xml:space="preserve"> c. </w:t>
      </w:r>
      <w:r w:rsidRPr="008B3896">
        <w:rPr>
          <w:i/>
        </w:rPr>
        <w:t>Ukraine</w:t>
      </w:r>
      <w:r w:rsidRPr="008B3896">
        <w:t>, décision concernan</w:t>
      </w:r>
      <w:r w:rsidR="00CF5B12">
        <w:t>t la recevabilité adoptée le </w:t>
      </w:r>
      <w:r>
        <w:t>30 </w:t>
      </w:r>
      <w:r w:rsidRPr="008B3896">
        <w:t>octobre 2003, par. 6.5, et</w:t>
      </w:r>
      <w:r>
        <w:t xml:space="preserve"> </w:t>
      </w:r>
      <w:r>
        <w:rPr>
          <w:rFonts w:eastAsia="MS Mincho"/>
        </w:rPr>
        <w:t>n</w:t>
      </w:r>
      <w:r>
        <w:rPr>
          <w:rFonts w:eastAsia="MS Mincho"/>
          <w:vertAlign w:val="superscript"/>
        </w:rPr>
        <w:t>o</w:t>
      </w:r>
      <w:r>
        <w:t> </w:t>
      </w:r>
      <w:r w:rsidRPr="008B3896">
        <w:t xml:space="preserve">355/1989, </w:t>
      </w:r>
      <w:r w:rsidRPr="008B3896">
        <w:rPr>
          <w:i/>
        </w:rPr>
        <w:t>Reid</w:t>
      </w:r>
      <w:r w:rsidRPr="008B3896">
        <w:t xml:space="preserve"> c. </w:t>
      </w:r>
      <w:r w:rsidRPr="008B3896">
        <w:rPr>
          <w:i/>
        </w:rPr>
        <w:t>Jamaïque</w:t>
      </w:r>
      <w:r w:rsidRPr="008B3896">
        <w:t>, constatations adoptées le 8</w:t>
      </w:r>
      <w:r>
        <w:t> </w:t>
      </w:r>
      <w:r w:rsidRPr="008B3896">
        <w:t>juillet 1994, par. 14.3. L’État partie renvoie également à l’Observation générale</w:t>
      </w:r>
      <w:r>
        <w:t xml:space="preserve"> </w:t>
      </w:r>
      <w:r>
        <w:rPr>
          <w:rFonts w:eastAsia="MS Mincho"/>
        </w:rPr>
        <w:t>n</w:t>
      </w:r>
      <w:r>
        <w:rPr>
          <w:rFonts w:eastAsia="MS Mincho"/>
          <w:vertAlign w:val="superscript"/>
        </w:rPr>
        <w:t>o</w:t>
      </w:r>
      <w:r>
        <w:t xml:space="preserve"> 32 </w:t>
      </w:r>
      <w:r w:rsidRPr="008B3896">
        <w:t>[quatre</w:t>
      </w:r>
      <w:r w:rsidRPr="008B3896">
        <w:noBreakHyphen/>
        <w:t>vingt</w:t>
      </w:r>
      <w:r w:rsidRPr="008B3896">
        <w:noBreakHyphen/>
        <w:t>dixième session] du Comité relative à l’article 14, par. 48.</w:t>
      </w:r>
    </w:p>
  </w:footnote>
  <w:footnote w:id="9">
    <w:p w:rsidR="008B3896" w:rsidRDefault="008B3896" w:rsidP="008B3896">
      <w:pPr>
        <w:pStyle w:val="FootnoteText"/>
      </w:pPr>
      <w:r>
        <w:tab/>
      </w:r>
      <w:r>
        <w:rPr>
          <w:rStyle w:val="FootnoteReference"/>
        </w:rPr>
        <w:footnoteRef/>
      </w:r>
      <w:r>
        <w:tab/>
      </w:r>
      <w:r w:rsidRPr="008B3896">
        <w:t xml:space="preserve">Communication </w:t>
      </w:r>
      <w:r w:rsidR="00342175">
        <w:rPr>
          <w:rFonts w:eastAsia="MS Mincho"/>
        </w:rPr>
        <w:t>n</w:t>
      </w:r>
      <w:r w:rsidR="00342175">
        <w:rPr>
          <w:rFonts w:eastAsia="MS Mincho"/>
          <w:vertAlign w:val="superscript"/>
        </w:rPr>
        <w:t>o</w:t>
      </w:r>
      <w:r w:rsidR="00342175">
        <w:t> </w:t>
      </w:r>
      <w:r w:rsidRPr="008B3896">
        <w:t xml:space="preserve">1542/2007, </w:t>
      </w:r>
      <w:r w:rsidRPr="00342175">
        <w:rPr>
          <w:i/>
        </w:rPr>
        <w:t>Aboushanif</w:t>
      </w:r>
      <w:r w:rsidRPr="008B3896">
        <w:t xml:space="preserve"> c. </w:t>
      </w:r>
      <w:r w:rsidRPr="00342175">
        <w:rPr>
          <w:i/>
        </w:rPr>
        <w:t>Norvège</w:t>
      </w:r>
      <w:r w:rsidRPr="008B3896">
        <w:t>, constatatio</w:t>
      </w:r>
      <w:r w:rsidR="005A5A23">
        <w:t xml:space="preserve">ns adoptées le 17 juillet 2008, </w:t>
      </w:r>
      <w:r w:rsidRPr="008B3896">
        <w:t>par. 7.</w:t>
      </w:r>
    </w:p>
  </w:footnote>
  <w:footnote w:id="10">
    <w:p w:rsidR="008B3896" w:rsidRDefault="008B3896">
      <w:pPr>
        <w:pStyle w:val="FootnoteText"/>
      </w:pPr>
      <w:r>
        <w:tab/>
      </w:r>
      <w:r>
        <w:rPr>
          <w:rStyle w:val="FootnoteReference"/>
        </w:rPr>
        <w:footnoteRef/>
      </w:r>
      <w:r>
        <w:tab/>
        <w:t xml:space="preserve">L’État partie renvoie aux communications </w:t>
      </w:r>
      <w:r w:rsidRPr="00C14D2A">
        <w:t>n</w:t>
      </w:r>
      <w:r w:rsidRPr="00C14D2A">
        <w:rPr>
          <w:vertAlign w:val="superscript"/>
        </w:rPr>
        <w:t>o</w:t>
      </w:r>
      <w:r>
        <w:t xml:space="preserve"> 230/1987, </w:t>
      </w:r>
      <w:r>
        <w:rPr>
          <w:i/>
        </w:rPr>
        <w:t xml:space="preserve">Henry </w:t>
      </w:r>
      <w:r>
        <w:t xml:space="preserve">c. </w:t>
      </w:r>
      <w:r>
        <w:rPr>
          <w:i/>
        </w:rPr>
        <w:t>Jamaïque</w:t>
      </w:r>
      <w:r>
        <w:t>, constatations adoptées le 1</w:t>
      </w:r>
      <w:r w:rsidRPr="00386F72">
        <w:rPr>
          <w:vertAlign w:val="superscript"/>
        </w:rPr>
        <w:t>er</w:t>
      </w:r>
      <w:r>
        <w:t xml:space="preserve"> novembre 1991, par. 8.4; </w:t>
      </w:r>
      <w:r w:rsidRPr="00C14D2A">
        <w:t>n</w:t>
      </w:r>
      <w:r w:rsidRPr="00C14D2A">
        <w:rPr>
          <w:vertAlign w:val="superscript"/>
        </w:rPr>
        <w:t>o</w:t>
      </w:r>
      <w:r>
        <w:t xml:space="preserve"> 352/1989, </w:t>
      </w:r>
      <w:r>
        <w:rPr>
          <w:i/>
        </w:rPr>
        <w:t xml:space="preserve">Douglas, Gentles et </w:t>
      </w:r>
      <w:r w:rsidRPr="00E0196F">
        <w:rPr>
          <w:i/>
        </w:rPr>
        <w:t xml:space="preserve">Kerr </w:t>
      </w:r>
      <w:r>
        <w:t>c</w:t>
      </w:r>
      <w:r w:rsidRPr="00E0196F">
        <w:t>.</w:t>
      </w:r>
      <w:r w:rsidRPr="00E0196F">
        <w:rPr>
          <w:i/>
        </w:rPr>
        <w:t xml:space="preserve"> Jamaïque</w:t>
      </w:r>
      <w:r>
        <w:t xml:space="preserve">, constatations adoptées le 19 octobre 1993, par. 11.2; </w:t>
      </w:r>
      <w:r w:rsidRPr="00C14D2A">
        <w:t>n</w:t>
      </w:r>
      <w:r w:rsidRPr="00C14D2A">
        <w:rPr>
          <w:vertAlign w:val="superscript"/>
        </w:rPr>
        <w:t>o</w:t>
      </w:r>
      <w:r>
        <w:t xml:space="preserve"> 709/1996, </w:t>
      </w:r>
      <w:r>
        <w:rPr>
          <w:i/>
        </w:rPr>
        <w:t xml:space="preserve">Bailey </w:t>
      </w:r>
      <w:r>
        <w:t xml:space="preserve">c. </w:t>
      </w:r>
      <w:r>
        <w:rPr>
          <w:i/>
        </w:rPr>
        <w:t xml:space="preserve">Jamaïque, </w:t>
      </w:r>
      <w:r>
        <w:t>constatations adoptées le 21 juillet 1999, par. 7.4.</w:t>
      </w:r>
    </w:p>
  </w:footnote>
  <w:footnote w:id="11">
    <w:p w:rsidR="00D90AD7" w:rsidRDefault="00D90AD7">
      <w:pPr>
        <w:pStyle w:val="FootnoteText"/>
      </w:pPr>
      <w:r>
        <w:tab/>
      </w:r>
      <w:r>
        <w:rPr>
          <w:rStyle w:val="FootnoteReference"/>
        </w:rPr>
        <w:footnoteRef/>
      </w:r>
      <w:r>
        <w:tab/>
      </w:r>
      <w:r w:rsidRPr="000700DF">
        <w:t>Cour européenne des droits de l</w:t>
      </w:r>
      <w:r>
        <w:t>’</w:t>
      </w:r>
      <w:r w:rsidRPr="000700DF">
        <w:t>homme, requête n</w:t>
      </w:r>
      <w:r w:rsidRPr="000700DF">
        <w:rPr>
          <w:vertAlign w:val="superscript"/>
        </w:rPr>
        <w:t>o</w:t>
      </w:r>
      <w:r w:rsidRPr="000700DF">
        <w:t> 926/05 (arrêt de la Grand</w:t>
      </w:r>
      <w:r>
        <w:t>e</w:t>
      </w:r>
      <w:r w:rsidRPr="000700DF">
        <w:t xml:space="preserve"> Chambre), 16 novembre 2010.</w:t>
      </w:r>
    </w:p>
  </w:footnote>
  <w:footnote w:id="12">
    <w:p w:rsidR="00664BB0" w:rsidRDefault="00664BB0">
      <w:pPr>
        <w:pStyle w:val="FootnoteText"/>
      </w:pPr>
      <w:r>
        <w:tab/>
      </w:r>
      <w:r>
        <w:rPr>
          <w:rStyle w:val="FootnoteReference"/>
        </w:rPr>
        <w:footnoteRef/>
      </w:r>
      <w:r>
        <w:tab/>
        <w:t>Qui concerne le droit à un procès équitable.</w:t>
      </w:r>
    </w:p>
  </w:footnote>
  <w:footnote w:id="13">
    <w:p w:rsidR="00D90AD7" w:rsidRDefault="00D90AD7">
      <w:pPr>
        <w:pStyle w:val="FootnoteText"/>
      </w:pPr>
      <w:r>
        <w:tab/>
      </w:r>
      <w:r>
        <w:rPr>
          <w:rStyle w:val="FootnoteReference"/>
        </w:rPr>
        <w:footnoteRef/>
      </w:r>
      <w:r>
        <w:tab/>
      </w:r>
      <w:r>
        <w:rPr>
          <w:i/>
        </w:rPr>
        <w:t xml:space="preserve">Taxquet </w:t>
      </w:r>
      <w:r>
        <w:t xml:space="preserve">c. </w:t>
      </w:r>
      <w:r>
        <w:rPr>
          <w:i/>
        </w:rPr>
        <w:t>Belgique</w:t>
      </w:r>
      <w:r>
        <w:t>, par. 56, voir la</w:t>
      </w:r>
      <w:r w:rsidRPr="00EA57D9">
        <w:t xml:space="preserve"> note</w:t>
      </w:r>
      <w:r>
        <w:t xml:space="preserve"> de bas de page </w:t>
      </w:r>
      <w:r w:rsidRPr="00C14D2A">
        <w:t>n</w:t>
      </w:r>
      <w:r w:rsidRPr="00C14D2A">
        <w:rPr>
          <w:vertAlign w:val="superscript"/>
        </w:rPr>
        <w:t>o</w:t>
      </w:r>
      <w:r>
        <w:t> 9</w:t>
      </w:r>
      <w:r w:rsidRPr="00EA57D9">
        <w:t>.</w:t>
      </w:r>
    </w:p>
  </w:footnote>
  <w:footnote w:id="14">
    <w:p w:rsidR="00A91D35" w:rsidRDefault="00A91D35">
      <w:pPr>
        <w:pStyle w:val="FootnoteText"/>
      </w:pPr>
      <w:r>
        <w:tab/>
      </w:r>
      <w:r>
        <w:rPr>
          <w:rStyle w:val="FootnoteReference"/>
        </w:rPr>
        <w:footnoteRef/>
      </w:r>
      <w:r>
        <w:tab/>
        <w:t>Idem, par. 90.</w:t>
      </w:r>
    </w:p>
  </w:footnote>
  <w:footnote w:id="15">
    <w:p w:rsidR="00A91D35" w:rsidRDefault="00A91D35">
      <w:pPr>
        <w:pStyle w:val="FootnoteText"/>
      </w:pPr>
      <w:r>
        <w:tab/>
      </w:r>
      <w:r>
        <w:rPr>
          <w:rStyle w:val="FootnoteReference"/>
        </w:rPr>
        <w:footnoteRef/>
      </w:r>
      <w:r>
        <w:tab/>
        <w:t>Idem, par. 92.</w:t>
      </w:r>
    </w:p>
  </w:footnote>
  <w:footnote w:id="16">
    <w:p w:rsidR="008F56C2" w:rsidRDefault="008F56C2">
      <w:pPr>
        <w:pStyle w:val="FootnoteText"/>
      </w:pPr>
      <w:r>
        <w:tab/>
      </w:r>
      <w:r>
        <w:rPr>
          <w:rStyle w:val="FootnoteReference"/>
        </w:rPr>
        <w:footnoteRef/>
      </w:r>
      <w:r>
        <w:tab/>
        <w:t xml:space="preserve">Requête </w:t>
      </w:r>
      <w:r w:rsidRPr="00C14D2A">
        <w:t>n</w:t>
      </w:r>
      <w:r w:rsidRPr="00C14D2A">
        <w:rPr>
          <w:vertAlign w:val="superscript"/>
        </w:rPr>
        <w:t>o</w:t>
      </w:r>
      <w:r>
        <w:t> 1195/2010, 10 juillet 2012.</w:t>
      </w:r>
    </w:p>
  </w:footnote>
  <w:footnote w:id="17">
    <w:p w:rsidR="00666E7D" w:rsidRDefault="00666E7D">
      <w:pPr>
        <w:pStyle w:val="FootnoteText"/>
      </w:pPr>
      <w:r>
        <w:tab/>
      </w:r>
      <w:r>
        <w:rPr>
          <w:rStyle w:val="FootnoteReference"/>
        </w:rPr>
        <w:footnoteRef/>
      </w:r>
      <w:r>
        <w:tab/>
        <w:t xml:space="preserve">Voir l’Observation générale </w:t>
      </w:r>
      <w:r w:rsidRPr="00C14D2A">
        <w:t>n</w:t>
      </w:r>
      <w:r w:rsidRPr="00C14D2A">
        <w:rPr>
          <w:vertAlign w:val="superscript"/>
        </w:rPr>
        <w:t>o</w:t>
      </w:r>
      <w:r>
        <w:t> 32 [quatre-vingt-dixième session] du Comité, note 6</w:t>
      </w:r>
      <w:r w:rsidRPr="00486A23">
        <w:rPr>
          <w:i/>
        </w:rPr>
        <w:t xml:space="preserve"> </w:t>
      </w:r>
      <w:r w:rsidRPr="003E6B26">
        <w:rPr>
          <w:i/>
        </w:rPr>
        <w:t>supra</w:t>
      </w:r>
      <w:r>
        <w:t xml:space="preserve">, par. 48, et, notamment, la communication </w:t>
      </w:r>
      <w:r w:rsidRPr="00C14D2A">
        <w:t>n</w:t>
      </w:r>
      <w:r w:rsidRPr="00C14D2A">
        <w:rPr>
          <w:vertAlign w:val="superscript"/>
        </w:rPr>
        <w:t>o</w:t>
      </w:r>
      <w:r>
        <w:t> </w:t>
      </w:r>
      <w:r w:rsidRPr="00A86BD7">
        <w:t xml:space="preserve">1542/2007, </w:t>
      </w:r>
      <w:r>
        <w:rPr>
          <w:i/>
        </w:rPr>
        <w:t xml:space="preserve">Aboushanif </w:t>
      </w:r>
      <w:r>
        <w:t xml:space="preserve">c. </w:t>
      </w:r>
      <w:r>
        <w:rPr>
          <w:i/>
        </w:rPr>
        <w:t xml:space="preserve">Norvège, </w:t>
      </w:r>
      <w:r>
        <w:t>note 7</w:t>
      </w:r>
      <w:r w:rsidRPr="00486A23">
        <w:rPr>
          <w:i/>
        </w:rPr>
        <w:t xml:space="preserve"> </w:t>
      </w:r>
      <w:r w:rsidRPr="003E6B26">
        <w:rPr>
          <w:i/>
        </w:rPr>
        <w:t>supra</w:t>
      </w:r>
      <w:r>
        <w:t>, par. 7.2.</w:t>
      </w:r>
    </w:p>
  </w:footnote>
  <w:footnote w:id="18">
    <w:p w:rsidR="001F4927" w:rsidRDefault="001F4927">
      <w:pPr>
        <w:pStyle w:val="FootnoteText"/>
      </w:pPr>
      <w:r>
        <w:tab/>
      </w:r>
      <w:r>
        <w:rPr>
          <w:rStyle w:val="FootnoteReference"/>
        </w:rPr>
        <w:footnoteRef/>
      </w:r>
      <w:r>
        <w:tab/>
        <w:t xml:space="preserve">Observation générale </w:t>
      </w:r>
      <w:r w:rsidRPr="00C14D2A">
        <w:t>n</w:t>
      </w:r>
      <w:r w:rsidRPr="00C14D2A">
        <w:rPr>
          <w:vertAlign w:val="superscript"/>
        </w:rPr>
        <w:t>o</w:t>
      </w:r>
      <w:r>
        <w:t> 32, ibid., par. 45.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A6D" w:rsidRPr="005C1870" w:rsidRDefault="00467A6D">
    <w:pPr>
      <w:pStyle w:val="Header"/>
    </w:pPr>
    <w:r>
      <w:t>CCPR/C/111/D/1942/2010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A6D" w:rsidRPr="005C1870" w:rsidRDefault="00467A6D" w:rsidP="005C1870">
    <w:pPr>
      <w:pStyle w:val="Header"/>
      <w:jc w:val="right"/>
    </w:pPr>
    <w:r>
      <w:t>CCPR/C/111/D/1942/2010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01ABA70"/>
    <w:lvl w:ilvl="0">
      <w:start w:val="1"/>
      <w:numFmt w:val="decimal"/>
      <w:lvlText w:val="%1."/>
      <w:lvlJc w:val="left"/>
      <w:pPr>
        <w:tabs>
          <w:tab w:val="num" w:pos="1492"/>
        </w:tabs>
        <w:ind w:left="1492" w:hanging="360"/>
      </w:pPr>
    </w:lvl>
  </w:abstractNum>
  <w:abstractNum w:abstractNumId="1">
    <w:nsid w:val="FFFFFF7D"/>
    <w:multiLevelType w:val="singleLevel"/>
    <w:tmpl w:val="EC4A8802"/>
    <w:lvl w:ilvl="0">
      <w:start w:val="1"/>
      <w:numFmt w:val="decimal"/>
      <w:lvlText w:val="%1."/>
      <w:lvlJc w:val="left"/>
      <w:pPr>
        <w:tabs>
          <w:tab w:val="num" w:pos="1209"/>
        </w:tabs>
        <w:ind w:left="1209" w:hanging="360"/>
      </w:pPr>
    </w:lvl>
  </w:abstractNum>
  <w:abstractNum w:abstractNumId="2">
    <w:nsid w:val="FFFFFF7E"/>
    <w:multiLevelType w:val="singleLevel"/>
    <w:tmpl w:val="B2E8F836"/>
    <w:lvl w:ilvl="0">
      <w:start w:val="1"/>
      <w:numFmt w:val="decimal"/>
      <w:lvlText w:val="%1."/>
      <w:lvlJc w:val="left"/>
      <w:pPr>
        <w:tabs>
          <w:tab w:val="num" w:pos="926"/>
        </w:tabs>
        <w:ind w:left="926" w:hanging="360"/>
      </w:pPr>
    </w:lvl>
  </w:abstractNum>
  <w:abstractNum w:abstractNumId="3">
    <w:nsid w:val="FFFFFF7F"/>
    <w:multiLevelType w:val="singleLevel"/>
    <w:tmpl w:val="168C4E0C"/>
    <w:lvl w:ilvl="0">
      <w:start w:val="1"/>
      <w:numFmt w:val="decimal"/>
      <w:lvlText w:val="%1."/>
      <w:lvlJc w:val="left"/>
      <w:pPr>
        <w:tabs>
          <w:tab w:val="num" w:pos="643"/>
        </w:tabs>
        <w:ind w:left="643" w:hanging="360"/>
      </w:pPr>
    </w:lvl>
  </w:abstractNum>
  <w:abstractNum w:abstractNumId="4">
    <w:nsid w:val="FFFFFF88"/>
    <w:multiLevelType w:val="singleLevel"/>
    <w:tmpl w:val="3CC6C676"/>
    <w:lvl w:ilvl="0">
      <w:start w:val="1"/>
      <w:numFmt w:val="decimal"/>
      <w:lvlText w:val="%1."/>
      <w:lvlJc w:val="left"/>
      <w:pPr>
        <w:tabs>
          <w:tab w:val="num" w:pos="360"/>
        </w:tabs>
        <w:ind w:left="360" w:hanging="360"/>
      </w:pPr>
    </w:lvl>
  </w:abstractNum>
  <w:abstractNum w:abstractNumId="5">
    <w:nsid w:val="FFFFFF89"/>
    <w:multiLevelType w:val="singleLevel"/>
    <w:tmpl w:val="EFDC5A04"/>
    <w:lvl w:ilvl="0">
      <w:start w:val="1"/>
      <w:numFmt w:val="bullet"/>
      <w:lvlText w:val=""/>
      <w:lvlJc w:val="left"/>
      <w:pPr>
        <w:tabs>
          <w:tab w:val="num" w:pos="360"/>
        </w:tabs>
        <w:ind w:left="360" w:hanging="360"/>
      </w:pPr>
      <w:rPr>
        <w:rFonts w:ascii="Symbol" w:hAnsi="Symbol" w:hint="default"/>
      </w:rPr>
    </w:lvl>
  </w:abstractNum>
  <w:abstractNum w:abstractNumId="6">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8">
    <w:nsid w:val="51294A2C"/>
    <w:multiLevelType w:val="multilevel"/>
    <w:tmpl w:val="5A48E46A"/>
    <w:lvl w:ilvl="0">
      <w:start w:val="1"/>
      <w:numFmt w:val="decimal"/>
      <w:lvlText w:val="%1."/>
      <w:lvlJc w:val="left"/>
      <w:pPr>
        <w:tabs>
          <w:tab w:val="num" w:pos="1701"/>
        </w:tabs>
        <w:ind w:left="1134" w:firstLine="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9"/>
  </w:num>
  <w:num w:numId="2">
    <w:abstractNumId w:val="7"/>
  </w:num>
  <w:num w:numId="3">
    <w:abstractNumId w:val="9"/>
  </w:num>
  <w:num w:numId="4">
    <w:abstractNumId w:val="7"/>
  </w:num>
  <w:num w:numId="5">
    <w:abstractNumId w:val="9"/>
  </w:num>
  <w:num w:numId="6">
    <w:abstractNumId w:val="7"/>
  </w:num>
  <w:num w:numId="7">
    <w:abstractNumId w:val="4"/>
  </w:num>
  <w:num w:numId="8">
    <w:abstractNumId w:val="3"/>
  </w:num>
  <w:num w:numId="9">
    <w:abstractNumId w:val="2"/>
  </w:num>
  <w:num w:numId="10">
    <w:abstractNumId w:val="1"/>
  </w:num>
  <w:num w:numId="11">
    <w:abstractNumId w:val="0"/>
  </w:num>
  <w:num w:numId="12">
    <w:abstractNumId w:val="5"/>
  </w:num>
  <w:num w:numId="13">
    <w:abstractNumId w:val="9"/>
  </w:num>
  <w:num w:numId="14">
    <w:abstractNumId w:val="7"/>
  </w:num>
  <w:num w:numId="15">
    <w:abstractNumId w:val="6"/>
  </w:num>
  <w:num w:numId="16">
    <w:abstractNumId w:val="9"/>
  </w:num>
  <w:num w:numId="17">
    <w:abstractNumId w:val="7"/>
  </w:num>
  <w:num w:numId="18">
    <w:abstractNumId w:val="6"/>
  </w:num>
  <w:num w:numId="19">
    <w:abstractNumId w:val="9"/>
  </w:num>
  <w:num w:numId="20">
    <w:abstractNumId w:val="7"/>
  </w:num>
  <w:num w:numId="21">
    <w:abstractNumId w:val="6"/>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GB" w:vendorID="64" w:dllVersion="131077" w:nlCheck="1" w:checkStyle="1"/>
  <w:activeWritingStyle w:appName="MSWord" w:lang="fr-CH" w:vendorID="64" w:dllVersion="131078" w:nlCheck="1" w:checkStyle="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2728"/>
    <w:rsid w:val="00016AC5"/>
    <w:rsid w:val="00023A5A"/>
    <w:rsid w:val="0005161E"/>
    <w:rsid w:val="00051BAD"/>
    <w:rsid w:val="00054EE9"/>
    <w:rsid w:val="00065ECB"/>
    <w:rsid w:val="0007545B"/>
    <w:rsid w:val="000B5A1B"/>
    <w:rsid w:val="000C461C"/>
    <w:rsid w:val="000D680E"/>
    <w:rsid w:val="000F41F2"/>
    <w:rsid w:val="0010040D"/>
    <w:rsid w:val="00103C1A"/>
    <w:rsid w:val="00124721"/>
    <w:rsid w:val="00143AF1"/>
    <w:rsid w:val="00160540"/>
    <w:rsid w:val="00192EEB"/>
    <w:rsid w:val="001A20FB"/>
    <w:rsid w:val="001A51A8"/>
    <w:rsid w:val="001A723B"/>
    <w:rsid w:val="001B5C19"/>
    <w:rsid w:val="001C53E1"/>
    <w:rsid w:val="001D4D86"/>
    <w:rsid w:val="001E3FEB"/>
    <w:rsid w:val="001E4A02"/>
    <w:rsid w:val="001F4675"/>
    <w:rsid w:val="001F4927"/>
    <w:rsid w:val="0023102D"/>
    <w:rsid w:val="00233846"/>
    <w:rsid w:val="00237961"/>
    <w:rsid w:val="002659F1"/>
    <w:rsid w:val="00287E79"/>
    <w:rsid w:val="002928F9"/>
    <w:rsid w:val="002A5D07"/>
    <w:rsid w:val="002A7B15"/>
    <w:rsid w:val="002E6F8C"/>
    <w:rsid w:val="003016B7"/>
    <w:rsid w:val="00304A75"/>
    <w:rsid w:val="0034214E"/>
    <w:rsid w:val="00342175"/>
    <w:rsid w:val="0034342E"/>
    <w:rsid w:val="003515AA"/>
    <w:rsid w:val="00353D07"/>
    <w:rsid w:val="0036726B"/>
    <w:rsid w:val="00374106"/>
    <w:rsid w:val="003976D5"/>
    <w:rsid w:val="003A14F1"/>
    <w:rsid w:val="003B4CBD"/>
    <w:rsid w:val="003B6A72"/>
    <w:rsid w:val="003C6783"/>
    <w:rsid w:val="003C77CF"/>
    <w:rsid w:val="003D6C68"/>
    <w:rsid w:val="003E5291"/>
    <w:rsid w:val="003F2D41"/>
    <w:rsid w:val="003F3055"/>
    <w:rsid w:val="00414794"/>
    <w:rsid w:val="004159D0"/>
    <w:rsid w:val="004460A3"/>
    <w:rsid w:val="004517ED"/>
    <w:rsid w:val="00455974"/>
    <w:rsid w:val="00457435"/>
    <w:rsid w:val="00467A6D"/>
    <w:rsid w:val="00481EC5"/>
    <w:rsid w:val="00497C34"/>
    <w:rsid w:val="004E0267"/>
    <w:rsid w:val="004E6FFF"/>
    <w:rsid w:val="004F2C80"/>
    <w:rsid w:val="005373B2"/>
    <w:rsid w:val="005474B9"/>
    <w:rsid w:val="00554CC1"/>
    <w:rsid w:val="00571F41"/>
    <w:rsid w:val="00572B3F"/>
    <w:rsid w:val="005753C4"/>
    <w:rsid w:val="005757D2"/>
    <w:rsid w:val="005878ED"/>
    <w:rsid w:val="005A0AF5"/>
    <w:rsid w:val="005A0EF0"/>
    <w:rsid w:val="005A3ACA"/>
    <w:rsid w:val="005A5A23"/>
    <w:rsid w:val="005B01E9"/>
    <w:rsid w:val="005C1870"/>
    <w:rsid w:val="005D29C8"/>
    <w:rsid w:val="005E5D1F"/>
    <w:rsid w:val="00612D48"/>
    <w:rsid w:val="00616B45"/>
    <w:rsid w:val="006312C9"/>
    <w:rsid w:val="00631953"/>
    <w:rsid w:val="00642728"/>
    <w:rsid w:val="006439EC"/>
    <w:rsid w:val="00644659"/>
    <w:rsid w:val="00647DA5"/>
    <w:rsid w:val="00650E01"/>
    <w:rsid w:val="00663CB6"/>
    <w:rsid w:val="00664BB0"/>
    <w:rsid w:val="00666E7D"/>
    <w:rsid w:val="00666EDB"/>
    <w:rsid w:val="00675ACB"/>
    <w:rsid w:val="00676F17"/>
    <w:rsid w:val="006923B4"/>
    <w:rsid w:val="006935D7"/>
    <w:rsid w:val="006959F5"/>
    <w:rsid w:val="006B1379"/>
    <w:rsid w:val="006B4590"/>
    <w:rsid w:val="006B4804"/>
    <w:rsid w:val="006C340C"/>
    <w:rsid w:val="006D4E6F"/>
    <w:rsid w:val="006D69DF"/>
    <w:rsid w:val="0070347C"/>
    <w:rsid w:val="00735076"/>
    <w:rsid w:val="007558FF"/>
    <w:rsid w:val="00757D82"/>
    <w:rsid w:val="0076401E"/>
    <w:rsid w:val="007829EA"/>
    <w:rsid w:val="007A6548"/>
    <w:rsid w:val="007B0185"/>
    <w:rsid w:val="007B0586"/>
    <w:rsid w:val="007C59BA"/>
    <w:rsid w:val="007D66A3"/>
    <w:rsid w:val="00814A49"/>
    <w:rsid w:val="00817A26"/>
    <w:rsid w:val="008433B5"/>
    <w:rsid w:val="00844750"/>
    <w:rsid w:val="00862CCC"/>
    <w:rsid w:val="00880372"/>
    <w:rsid w:val="00882085"/>
    <w:rsid w:val="00886128"/>
    <w:rsid w:val="00886D12"/>
    <w:rsid w:val="008A43DC"/>
    <w:rsid w:val="008B3896"/>
    <w:rsid w:val="008B7F10"/>
    <w:rsid w:val="008E1B41"/>
    <w:rsid w:val="008E6499"/>
    <w:rsid w:val="008E7FAE"/>
    <w:rsid w:val="008F07A0"/>
    <w:rsid w:val="008F56C2"/>
    <w:rsid w:val="009033FB"/>
    <w:rsid w:val="00911BF7"/>
    <w:rsid w:val="0092636E"/>
    <w:rsid w:val="0093109B"/>
    <w:rsid w:val="009363D3"/>
    <w:rsid w:val="0096598A"/>
    <w:rsid w:val="009717AD"/>
    <w:rsid w:val="00977EC8"/>
    <w:rsid w:val="009C3909"/>
    <w:rsid w:val="009D3A8C"/>
    <w:rsid w:val="009E7956"/>
    <w:rsid w:val="009F7F79"/>
    <w:rsid w:val="00A23B55"/>
    <w:rsid w:val="00A2492E"/>
    <w:rsid w:val="00A73631"/>
    <w:rsid w:val="00A821B8"/>
    <w:rsid w:val="00A85799"/>
    <w:rsid w:val="00A91D35"/>
    <w:rsid w:val="00A95067"/>
    <w:rsid w:val="00AC2A67"/>
    <w:rsid w:val="00AC7977"/>
    <w:rsid w:val="00AD41FE"/>
    <w:rsid w:val="00AE2643"/>
    <w:rsid w:val="00AE352C"/>
    <w:rsid w:val="00B00515"/>
    <w:rsid w:val="00B0649A"/>
    <w:rsid w:val="00B22B0B"/>
    <w:rsid w:val="00B32E2D"/>
    <w:rsid w:val="00B37D92"/>
    <w:rsid w:val="00B510C0"/>
    <w:rsid w:val="00B57784"/>
    <w:rsid w:val="00B61990"/>
    <w:rsid w:val="00B63526"/>
    <w:rsid w:val="00B955CB"/>
    <w:rsid w:val="00B95D70"/>
    <w:rsid w:val="00BA1175"/>
    <w:rsid w:val="00BA29A2"/>
    <w:rsid w:val="00BA405E"/>
    <w:rsid w:val="00BB3246"/>
    <w:rsid w:val="00BB3FF8"/>
    <w:rsid w:val="00BB46FB"/>
    <w:rsid w:val="00BB6E96"/>
    <w:rsid w:val="00BE0659"/>
    <w:rsid w:val="00BF0556"/>
    <w:rsid w:val="00C261F8"/>
    <w:rsid w:val="00C266C2"/>
    <w:rsid w:val="00C9549A"/>
    <w:rsid w:val="00CB2BAF"/>
    <w:rsid w:val="00CB6686"/>
    <w:rsid w:val="00CB6C7A"/>
    <w:rsid w:val="00CC207F"/>
    <w:rsid w:val="00CD1A71"/>
    <w:rsid w:val="00CD1FBB"/>
    <w:rsid w:val="00CE601A"/>
    <w:rsid w:val="00CF23AC"/>
    <w:rsid w:val="00CF5B12"/>
    <w:rsid w:val="00D0026F"/>
    <w:rsid w:val="00D016B5"/>
    <w:rsid w:val="00D034F1"/>
    <w:rsid w:val="00D20FA9"/>
    <w:rsid w:val="00D27D5E"/>
    <w:rsid w:val="00D41315"/>
    <w:rsid w:val="00D61D26"/>
    <w:rsid w:val="00D652C8"/>
    <w:rsid w:val="00D71692"/>
    <w:rsid w:val="00D77E85"/>
    <w:rsid w:val="00D80BC5"/>
    <w:rsid w:val="00D85C0F"/>
    <w:rsid w:val="00D90AD7"/>
    <w:rsid w:val="00DB3741"/>
    <w:rsid w:val="00DB681C"/>
    <w:rsid w:val="00DC2F07"/>
    <w:rsid w:val="00DC75BA"/>
    <w:rsid w:val="00DE6D90"/>
    <w:rsid w:val="00DF002F"/>
    <w:rsid w:val="00DF5248"/>
    <w:rsid w:val="00DF5D80"/>
    <w:rsid w:val="00E0244D"/>
    <w:rsid w:val="00E10B1F"/>
    <w:rsid w:val="00E115BB"/>
    <w:rsid w:val="00E13C48"/>
    <w:rsid w:val="00E24896"/>
    <w:rsid w:val="00E5485D"/>
    <w:rsid w:val="00E66657"/>
    <w:rsid w:val="00E81E94"/>
    <w:rsid w:val="00E82607"/>
    <w:rsid w:val="00E849E1"/>
    <w:rsid w:val="00EA5BC9"/>
    <w:rsid w:val="00EB3164"/>
    <w:rsid w:val="00EC181F"/>
    <w:rsid w:val="00F27514"/>
    <w:rsid w:val="00F62F68"/>
    <w:rsid w:val="00F944AA"/>
    <w:rsid w:val="00FA5A79"/>
    <w:rsid w:val="00FB0BFE"/>
    <w:rsid w:val="00FB33B3"/>
    <w:rsid w:val="00FB4C51"/>
    <w:rsid w:val="00FB4F81"/>
    <w:rsid w:val="00FB6A89"/>
    <w:rsid w:val="00FB7502"/>
    <w:rsid w:val="00FD13A9"/>
    <w:rsid w:val="00FD511F"/>
    <w:rsid w:val="00FE1C57"/>
    <w:rsid w:val="00FE6EBB"/>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040D"/>
    <w:pPr>
      <w:suppressAutoHyphens/>
      <w:spacing w:line="240" w:lineRule="atLeast"/>
    </w:pPr>
    <w:rPr>
      <w:lang w:val="fr-CH"/>
    </w:rPr>
  </w:style>
  <w:style w:type="paragraph" w:styleId="Heading1">
    <w:name w:val="heading 1"/>
    <w:aliases w:val="Table_G"/>
    <w:basedOn w:val="SingleTxtG"/>
    <w:next w:val="SingleTxtG"/>
    <w:qFormat/>
    <w:rsid w:val="0010040D"/>
    <w:pPr>
      <w:keepNext/>
      <w:keepLines/>
      <w:spacing w:after="0" w:line="240" w:lineRule="auto"/>
      <w:ind w:right="0"/>
      <w:jc w:val="left"/>
      <w:outlineLvl w:val="0"/>
    </w:pPr>
  </w:style>
  <w:style w:type="paragraph" w:styleId="Heading2">
    <w:name w:val="heading 2"/>
    <w:basedOn w:val="Normal"/>
    <w:next w:val="Normal"/>
    <w:qFormat/>
    <w:rsid w:val="0010040D"/>
    <w:pPr>
      <w:outlineLvl w:val="1"/>
    </w:pPr>
  </w:style>
  <w:style w:type="paragraph" w:styleId="Heading3">
    <w:name w:val="heading 3"/>
    <w:basedOn w:val="Normal"/>
    <w:next w:val="Normal"/>
    <w:qFormat/>
    <w:rsid w:val="0010040D"/>
    <w:pPr>
      <w:outlineLvl w:val="2"/>
    </w:pPr>
  </w:style>
  <w:style w:type="paragraph" w:styleId="Heading4">
    <w:name w:val="heading 4"/>
    <w:basedOn w:val="Normal"/>
    <w:next w:val="Normal"/>
    <w:qFormat/>
    <w:rsid w:val="0010040D"/>
    <w:pPr>
      <w:outlineLvl w:val="3"/>
    </w:pPr>
  </w:style>
  <w:style w:type="paragraph" w:styleId="Heading5">
    <w:name w:val="heading 5"/>
    <w:basedOn w:val="Normal"/>
    <w:next w:val="Normal"/>
    <w:qFormat/>
    <w:rsid w:val="0010040D"/>
    <w:pPr>
      <w:outlineLvl w:val="4"/>
    </w:pPr>
  </w:style>
  <w:style w:type="paragraph" w:styleId="Heading6">
    <w:name w:val="heading 6"/>
    <w:basedOn w:val="Normal"/>
    <w:next w:val="Normal"/>
    <w:qFormat/>
    <w:rsid w:val="0010040D"/>
    <w:pPr>
      <w:outlineLvl w:val="5"/>
    </w:pPr>
  </w:style>
  <w:style w:type="paragraph" w:styleId="Heading7">
    <w:name w:val="heading 7"/>
    <w:basedOn w:val="Normal"/>
    <w:next w:val="Normal"/>
    <w:qFormat/>
    <w:rsid w:val="0010040D"/>
    <w:pPr>
      <w:outlineLvl w:val="6"/>
    </w:pPr>
  </w:style>
  <w:style w:type="paragraph" w:styleId="Heading8">
    <w:name w:val="heading 8"/>
    <w:basedOn w:val="Normal"/>
    <w:next w:val="Normal"/>
    <w:qFormat/>
    <w:rsid w:val="0010040D"/>
    <w:pPr>
      <w:outlineLvl w:val="7"/>
    </w:pPr>
  </w:style>
  <w:style w:type="paragraph" w:styleId="Heading9">
    <w:name w:val="heading 9"/>
    <w:basedOn w:val="Normal"/>
    <w:next w:val="Normal"/>
    <w:qFormat/>
    <w:rsid w:val="0010040D"/>
    <w:pPr>
      <w:outlineLvl w:val="8"/>
    </w:pPr>
  </w:style>
  <w:style w:type="character" w:default="1" w:styleId="DefaultParagraphFont">
    <w:name w:val="Default Paragraph Font"/>
    <w:semiHidden/>
    <w:rsid w:val="0010040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0040D"/>
  </w:style>
  <w:style w:type="paragraph" w:customStyle="1" w:styleId="HMG">
    <w:name w:val="_ H __M_G"/>
    <w:basedOn w:val="Normal"/>
    <w:next w:val="Normal"/>
    <w:rsid w:val="0010040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10040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10040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10040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10040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10040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10040D"/>
    <w:pPr>
      <w:spacing w:after="120"/>
      <w:ind w:left="1134" w:right="1134"/>
      <w:jc w:val="both"/>
    </w:pPr>
  </w:style>
  <w:style w:type="paragraph" w:customStyle="1" w:styleId="SLG">
    <w:name w:val="__S_L_G"/>
    <w:basedOn w:val="Normal"/>
    <w:next w:val="Normal"/>
    <w:rsid w:val="0010040D"/>
    <w:pPr>
      <w:keepNext/>
      <w:keepLines/>
      <w:spacing w:before="240" w:after="240" w:line="580" w:lineRule="exact"/>
      <w:ind w:left="1134" w:right="1134"/>
    </w:pPr>
    <w:rPr>
      <w:b/>
      <w:sz w:val="56"/>
    </w:rPr>
  </w:style>
  <w:style w:type="paragraph" w:customStyle="1" w:styleId="SMG">
    <w:name w:val="__S_M_G"/>
    <w:basedOn w:val="Normal"/>
    <w:next w:val="Normal"/>
    <w:rsid w:val="0010040D"/>
    <w:pPr>
      <w:keepNext/>
      <w:keepLines/>
      <w:spacing w:before="240" w:after="240" w:line="420" w:lineRule="exact"/>
      <w:ind w:left="1134" w:right="1134"/>
    </w:pPr>
    <w:rPr>
      <w:b/>
      <w:sz w:val="40"/>
    </w:rPr>
  </w:style>
  <w:style w:type="paragraph" w:customStyle="1" w:styleId="SSG">
    <w:name w:val="__S_S_G"/>
    <w:basedOn w:val="Normal"/>
    <w:next w:val="Normal"/>
    <w:rsid w:val="0010040D"/>
    <w:pPr>
      <w:keepNext/>
      <w:keepLines/>
      <w:spacing w:before="240" w:after="240" w:line="300" w:lineRule="exact"/>
      <w:ind w:left="1134" w:right="1134"/>
    </w:pPr>
    <w:rPr>
      <w:b/>
      <w:sz w:val="28"/>
    </w:rPr>
  </w:style>
  <w:style w:type="paragraph" w:customStyle="1" w:styleId="XLargeG">
    <w:name w:val="__XLarge_G"/>
    <w:basedOn w:val="Normal"/>
    <w:next w:val="Normal"/>
    <w:rsid w:val="0010040D"/>
    <w:pPr>
      <w:keepNext/>
      <w:keepLines/>
      <w:spacing w:before="240" w:after="240" w:line="420" w:lineRule="exact"/>
      <w:ind w:left="1134" w:right="1134"/>
    </w:pPr>
    <w:rPr>
      <w:b/>
      <w:sz w:val="40"/>
    </w:rPr>
  </w:style>
  <w:style w:type="paragraph" w:customStyle="1" w:styleId="Bullet1G">
    <w:name w:val="_Bullet 1_G"/>
    <w:basedOn w:val="Normal"/>
    <w:rsid w:val="0010040D"/>
    <w:pPr>
      <w:numPr>
        <w:numId w:val="19"/>
      </w:numPr>
      <w:spacing w:after="120"/>
      <w:ind w:right="1134"/>
      <w:jc w:val="both"/>
    </w:pPr>
  </w:style>
  <w:style w:type="paragraph" w:customStyle="1" w:styleId="Bullet2G">
    <w:name w:val="_Bullet 2_G"/>
    <w:basedOn w:val="Normal"/>
    <w:rsid w:val="0010040D"/>
    <w:pPr>
      <w:numPr>
        <w:numId w:val="20"/>
      </w:numPr>
      <w:spacing w:after="120"/>
      <w:ind w:right="1134"/>
      <w:jc w:val="both"/>
    </w:pPr>
  </w:style>
  <w:style w:type="character" w:styleId="FootnoteReference">
    <w:name w:val="footnote reference"/>
    <w:aliases w:val="4_G"/>
    <w:rsid w:val="0010040D"/>
    <w:rPr>
      <w:rFonts w:ascii="Times New Roman" w:hAnsi="Times New Roman"/>
      <w:sz w:val="18"/>
      <w:vertAlign w:val="superscript"/>
      <w:lang w:val="fr-CH"/>
    </w:rPr>
  </w:style>
  <w:style w:type="character" w:styleId="EndnoteReference">
    <w:name w:val="endnote reference"/>
    <w:aliases w:val="1_G"/>
    <w:basedOn w:val="FootnoteReference"/>
    <w:rsid w:val="0010040D"/>
  </w:style>
  <w:style w:type="paragraph" w:styleId="FootnoteText">
    <w:name w:val="footnote text"/>
    <w:aliases w:val="5_G"/>
    <w:basedOn w:val="Normal"/>
    <w:link w:val="FootnoteTextChar"/>
    <w:rsid w:val="0010040D"/>
    <w:pPr>
      <w:tabs>
        <w:tab w:val="right" w:pos="1021"/>
      </w:tabs>
      <w:spacing w:line="220" w:lineRule="exact"/>
      <w:ind w:left="1134" w:right="1134" w:hanging="1134"/>
    </w:pPr>
    <w:rPr>
      <w:sz w:val="18"/>
    </w:rPr>
  </w:style>
  <w:style w:type="paragraph" w:styleId="EndnoteText">
    <w:name w:val="endnote text"/>
    <w:aliases w:val="2_G"/>
    <w:basedOn w:val="FootnoteText"/>
    <w:rsid w:val="0010040D"/>
  </w:style>
  <w:style w:type="character" w:styleId="PageNumber">
    <w:name w:val="page number"/>
    <w:aliases w:val="7_G"/>
    <w:rsid w:val="0010040D"/>
    <w:rPr>
      <w:rFonts w:ascii="Times New Roman" w:hAnsi="Times New Roman"/>
      <w:b/>
      <w:sz w:val="18"/>
      <w:lang w:val="fr-CH"/>
    </w:rPr>
  </w:style>
  <w:style w:type="paragraph" w:styleId="Footer">
    <w:name w:val="footer"/>
    <w:aliases w:val="3_G"/>
    <w:basedOn w:val="Normal"/>
    <w:next w:val="Normal"/>
    <w:rsid w:val="0010040D"/>
    <w:pPr>
      <w:spacing w:line="240" w:lineRule="auto"/>
    </w:pPr>
    <w:rPr>
      <w:sz w:val="16"/>
    </w:rPr>
  </w:style>
  <w:style w:type="paragraph" w:customStyle="1" w:styleId="ParNoG">
    <w:name w:val="_ParNo_G"/>
    <w:basedOn w:val="SingleTxtG"/>
    <w:rsid w:val="0010040D"/>
    <w:pPr>
      <w:numPr>
        <w:numId w:val="21"/>
      </w:numPr>
    </w:pPr>
  </w:style>
  <w:style w:type="paragraph" w:styleId="Header">
    <w:name w:val="header"/>
    <w:aliases w:val="6_G"/>
    <w:basedOn w:val="Normal"/>
    <w:next w:val="Normal"/>
    <w:rsid w:val="0010040D"/>
    <w:pPr>
      <w:pBdr>
        <w:bottom w:val="single" w:sz="4" w:space="4" w:color="auto"/>
      </w:pBdr>
      <w:spacing w:line="240" w:lineRule="auto"/>
    </w:pPr>
    <w:rPr>
      <w:b/>
      <w:sz w:val="18"/>
    </w:rPr>
  </w:style>
  <w:style w:type="table" w:styleId="TableGrid">
    <w:name w:val="Table Grid"/>
    <w:basedOn w:val="TableNormal"/>
    <w:semiHidden/>
    <w:rsid w:val="001004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10040D"/>
    <w:rPr>
      <w:color w:val="0000FF"/>
      <w:u w:val="none"/>
    </w:rPr>
  </w:style>
  <w:style w:type="character" w:styleId="FollowedHyperlink">
    <w:name w:val="FollowedHyperlink"/>
    <w:semiHidden/>
    <w:rsid w:val="0010040D"/>
    <w:rPr>
      <w:color w:val="0000FF"/>
      <w:u w:val="none"/>
    </w:rPr>
  </w:style>
  <w:style w:type="character" w:customStyle="1" w:styleId="FootnoteTextChar">
    <w:name w:val="Footnote Text Char"/>
    <w:aliases w:val="5_G Char"/>
    <w:link w:val="FootnoteText"/>
    <w:rsid w:val="00A95067"/>
    <w:rPr>
      <w:sz w:val="18"/>
      <w:lang w:val="fr-CH"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4089</Words>
  <Characters>22330</Characters>
  <Application>Microsoft Office Outlook</Application>
  <DocSecurity>4</DocSecurity>
  <Lines>343</Lines>
  <Paragraphs>61</Paragraphs>
  <ScaleCrop>false</ScaleCrop>
  <HeadingPairs>
    <vt:vector size="2" baseType="variant">
      <vt:variant>
        <vt:lpstr>Titre</vt:lpstr>
      </vt:variant>
      <vt:variant>
        <vt:i4>1</vt:i4>
      </vt:variant>
    </vt:vector>
  </HeadingPairs>
  <TitlesOfParts>
    <vt:vector size="1" baseType="lpstr">
      <vt:lpstr>CCPR/C/111/D/1942/2010</vt:lpstr>
    </vt:vector>
  </TitlesOfParts>
  <Company>CSD</Company>
  <LinksUpToDate>false</LinksUpToDate>
  <CharactersWithSpaces>26358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CCPR/C/111/D/1942/2010</dc:title>
  <dc:subject>final</dc:subject>
  <dc:creator>Marie Deschamps</dc:creator>
  <cp:keywords/>
  <dc:description/>
  <cp:lastModifiedBy>Deschamps</cp:lastModifiedBy>
  <cp:revision>2</cp:revision>
  <cp:lastPrinted>2014-10-16T11:25:00Z</cp:lastPrinted>
  <dcterms:created xsi:type="dcterms:W3CDTF">2014-10-16T12:41:00Z</dcterms:created>
  <dcterms:modified xsi:type="dcterms:W3CDTF">2014-10-16T12:41:00Z</dcterms:modified>
</cp:coreProperties>
</file>