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8D0081" w:rsidTr="008E0725">
        <w:trPr>
          <w:trHeight w:hRule="exact" w:val="851"/>
        </w:trPr>
        <w:tc>
          <w:tcPr>
            <w:tcW w:w="1276" w:type="dxa"/>
            <w:tcBorders>
              <w:bottom w:val="single" w:sz="4" w:space="0" w:color="auto"/>
            </w:tcBorders>
          </w:tcPr>
          <w:p w:rsidR="00AF1CE8" w:rsidRPr="008D0081" w:rsidRDefault="00AF1CE8" w:rsidP="00464EEE">
            <w:pPr>
              <w:rPr>
                <w:lang w:val="fr-FR"/>
              </w:rPr>
            </w:pPr>
          </w:p>
        </w:tc>
        <w:tc>
          <w:tcPr>
            <w:tcW w:w="2268" w:type="dxa"/>
            <w:tcBorders>
              <w:bottom w:val="single" w:sz="4" w:space="0" w:color="auto"/>
            </w:tcBorders>
            <w:vAlign w:val="bottom"/>
          </w:tcPr>
          <w:p w:rsidR="00AF1CE8" w:rsidRPr="008D0081" w:rsidRDefault="00AF1CE8" w:rsidP="00464EEE">
            <w:pPr>
              <w:spacing w:after="80" w:line="300" w:lineRule="exact"/>
              <w:rPr>
                <w:sz w:val="28"/>
                <w:lang w:val="fr-FR"/>
              </w:rPr>
            </w:pPr>
            <w:r w:rsidRPr="008D0081">
              <w:rPr>
                <w:sz w:val="28"/>
                <w:lang w:val="fr-FR"/>
              </w:rPr>
              <w:t>Nations Unies</w:t>
            </w:r>
          </w:p>
        </w:tc>
        <w:tc>
          <w:tcPr>
            <w:tcW w:w="6095" w:type="dxa"/>
            <w:gridSpan w:val="2"/>
            <w:tcBorders>
              <w:bottom w:val="single" w:sz="4" w:space="0" w:color="auto"/>
            </w:tcBorders>
            <w:vAlign w:val="bottom"/>
          </w:tcPr>
          <w:p w:rsidR="00AF1CE8" w:rsidRPr="00880CA8" w:rsidRDefault="00880CA8" w:rsidP="00880CA8">
            <w:pPr>
              <w:jc w:val="right"/>
              <w:rPr>
                <w:lang w:val="fr-FR"/>
              </w:rPr>
            </w:pPr>
            <w:r w:rsidRPr="00880CA8">
              <w:rPr>
                <w:sz w:val="40"/>
                <w:lang w:val="fr-FR"/>
              </w:rPr>
              <w:t>CCPR</w:t>
            </w:r>
            <w:r>
              <w:rPr>
                <w:lang w:val="fr-FR"/>
              </w:rPr>
              <w:t>/C/111/D/1882/2009</w:t>
            </w:r>
          </w:p>
        </w:tc>
      </w:tr>
      <w:tr w:rsidR="00AF1CE8" w:rsidRPr="008D0081" w:rsidTr="00464EEE">
        <w:trPr>
          <w:trHeight w:hRule="exact" w:val="2835"/>
        </w:trPr>
        <w:tc>
          <w:tcPr>
            <w:tcW w:w="1276" w:type="dxa"/>
            <w:tcBorders>
              <w:top w:val="single" w:sz="4" w:space="0" w:color="auto"/>
              <w:bottom w:val="single" w:sz="12" w:space="0" w:color="auto"/>
            </w:tcBorders>
          </w:tcPr>
          <w:p w:rsidR="00AF1CE8" w:rsidRPr="008D0081" w:rsidRDefault="00195244" w:rsidP="00464EEE">
            <w:pPr>
              <w:spacing w:before="120"/>
              <w:jc w:val="center"/>
              <w:rPr>
                <w:lang w:val="fr-FR"/>
              </w:rPr>
            </w:pPr>
            <w:r w:rsidRPr="008D0081">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8D0081" w:rsidRDefault="00AF1CE8" w:rsidP="00464EEE">
            <w:pPr>
              <w:spacing w:before="120" w:line="380" w:lineRule="exact"/>
              <w:rPr>
                <w:b/>
                <w:sz w:val="34"/>
                <w:szCs w:val="34"/>
                <w:lang w:val="fr-FR"/>
              </w:rPr>
            </w:pPr>
            <w:r w:rsidRPr="008D0081">
              <w:rPr>
                <w:b/>
                <w:sz w:val="34"/>
                <w:szCs w:val="34"/>
                <w:lang w:val="fr-FR"/>
              </w:rPr>
              <w:t>Pacte international relatif</w:t>
            </w:r>
            <w:r w:rsidRPr="008D0081">
              <w:rPr>
                <w:b/>
                <w:sz w:val="34"/>
                <w:szCs w:val="34"/>
                <w:lang w:val="fr-FR"/>
              </w:rPr>
              <w:br/>
              <w:t>aux droits civils et politiques</w:t>
            </w:r>
          </w:p>
        </w:tc>
        <w:tc>
          <w:tcPr>
            <w:tcW w:w="2835" w:type="dxa"/>
            <w:tcBorders>
              <w:top w:val="single" w:sz="4" w:space="0" w:color="auto"/>
              <w:bottom w:val="single" w:sz="12" w:space="0" w:color="auto"/>
            </w:tcBorders>
          </w:tcPr>
          <w:p w:rsidR="00AF1CE8" w:rsidRPr="008D0081" w:rsidRDefault="008E0725" w:rsidP="00464EEE">
            <w:pPr>
              <w:spacing w:before="240"/>
              <w:rPr>
                <w:lang w:val="fr-FR"/>
              </w:rPr>
            </w:pPr>
            <w:r w:rsidRPr="008D0081">
              <w:rPr>
                <w:lang w:val="fr-FR"/>
              </w:rPr>
              <w:t xml:space="preserve">Distr. </w:t>
            </w:r>
            <w:r w:rsidR="003E7161" w:rsidRPr="008D0081">
              <w:rPr>
                <w:lang w:val="fr-FR"/>
              </w:rPr>
              <w:t>générale</w:t>
            </w:r>
          </w:p>
          <w:p w:rsidR="00EF0E44" w:rsidRDefault="00C96507" w:rsidP="008E0725">
            <w:pPr>
              <w:spacing w:line="240" w:lineRule="exact"/>
              <w:rPr>
                <w:lang w:val="fr-FR"/>
              </w:rPr>
            </w:pPr>
            <w:r w:rsidRPr="00EF0E44">
              <w:rPr>
                <w:lang w:val="fr-FR"/>
              </w:rPr>
              <w:t>2</w:t>
            </w:r>
            <w:r w:rsidR="00E12A96" w:rsidRPr="00EF0E44">
              <w:rPr>
                <w:lang w:val="fr-FR"/>
              </w:rPr>
              <w:t>6</w:t>
            </w:r>
            <w:r w:rsidR="00487267" w:rsidRPr="004E2EB3">
              <w:rPr>
                <w:lang w:val="fr-FR"/>
              </w:rPr>
              <w:t xml:space="preserve"> août</w:t>
            </w:r>
            <w:r w:rsidR="003E7161" w:rsidRPr="008D0081">
              <w:rPr>
                <w:lang w:val="fr-FR"/>
              </w:rPr>
              <w:t xml:space="preserve"> 2014</w:t>
            </w:r>
          </w:p>
          <w:p w:rsidR="00EF0E44" w:rsidRDefault="00EF0E44" w:rsidP="008E0725">
            <w:pPr>
              <w:spacing w:line="240" w:lineRule="exact"/>
              <w:rPr>
                <w:lang w:val="fr-FR"/>
              </w:rPr>
            </w:pPr>
          </w:p>
          <w:p w:rsidR="008E0725" w:rsidRPr="008D0081" w:rsidRDefault="008E0725" w:rsidP="008E0725">
            <w:pPr>
              <w:spacing w:line="240" w:lineRule="exact"/>
              <w:rPr>
                <w:lang w:val="fr-FR"/>
              </w:rPr>
            </w:pPr>
            <w:r w:rsidRPr="008D0081">
              <w:rPr>
                <w:lang w:val="fr-FR"/>
              </w:rPr>
              <w:t xml:space="preserve">Original: français </w:t>
            </w:r>
          </w:p>
        </w:tc>
      </w:tr>
    </w:tbl>
    <w:p w:rsidR="008E0725" w:rsidRPr="008D0081" w:rsidRDefault="008E0725" w:rsidP="008E0725">
      <w:pPr>
        <w:spacing w:before="120"/>
        <w:rPr>
          <w:b/>
          <w:sz w:val="24"/>
          <w:szCs w:val="24"/>
          <w:lang w:val="fr-FR"/>
        </w:rPr>
      </w:pPr>
      <w:r w:rsidRPr="008D0081">
        <w:rPr>
          <w:b/>
          <w:sz w:val="24"/>
          <w:szCs w:val="24"/>
          <w:lang w:val="fr-FR"/>
        </w:rPr>
        <w:t>Comité des droits de l’homme</w:t>
      </w:r>
    </w:p>
    <w:p w:rsidR="008E0725" w:rsidRPr="008D0081" w:rsidRDefault="008E0725" w:rsidP="008E0725">
      <w:pPr>
        <w:pStyle w:val="HChG"/>
        <w:rPr>
          <w:lang w:val="fr-FR"/>
        </w:rPr>
      </w:pPr>
      <w:r w:rsidRPr="008D0081">
        <w:rPr>
          <w:lang w:val="fr-FR"/>
        </w:rPr>
        <w:tab/>
      </w:r>
      <w:r w:rsidRPr="008D0081">
        <w:rPr>
          <w:lang w:val="fr-FR"/>
        </w:rPr>
        <w:tab/>
        <w:t>Communication n</w:t>
      </w:r>
      <w:r w:rsidRPr="008D0081">
        <w:rPr>
          <w:vertAlign w:val="superscript"/>
          <w:lang w:val="fr-FR"/>
        </w:rPr>
        <w:t>o</w:t>
      </w:r>
      <w:r w:rsidRPr="008D0081">
        <w:rPr>
          <w:lang w:val="fr-FR"/>
        </w:rPr>
        <w:t> 1882/2009</w:t>
      </w:r>
    </w:p>
    <w:p w:rsidR="00476899" w:rsidRPr="008D0081" w:rsidRDefault="008E0725" w:rsidP="00FC204A">
      <w:pPr>
        <w:pStyle w:val="H1G"/>
        <w:rPr>
          <w:szCs w:val="24"/>
          <w:lang w:val="fr-FR"/>
        </w:rPr>
      </w:pPr>
      <w:r w:rsidRPr="008D0081">
        <w:rPr>
          <w:lang w:val="fr-FR"/>
        </w:rPr>
        <w:tab/>
      </w:r>
      <w:r w:rsidRPr="008D0081">
        <w:rPr>
          <w:lang w:val="fr-FR"/>
        </w:rPr>
        <w:tab/>
      </w:r>
      <w:r w:rsidR="00476899" w:rsidRPr="008D0081">
        <w:rPr>
          <w:szCs w:val="24"/>
          <w:lang w:val="fr-FR"/>
        </w:rPr>
        <w:t xml:space="preserve">Constatations adoptées par le Comité à sa </w:t>
      </w:r>
      <w:r w:rsidR="00476899" w:rsidRPr="00FC204A">
        <w:rPr>
          <w:szCs w:val="24"/>
          <w:lang w:val="fr-FR"/>
        </w:rPr>
        <w:t>1</w:t>
      </w:r>
      <w:r w:rsidR="00176A4D" w:rsidRPr="00FC204A">
        <w:rPr>
          <w:bCs/>
          <w:szCs w:val="24"/>
          <w:lang w:val="fr-FR"/>
        </w:rPr>
        <w:t>1</w:t>
      </w:r>
      <w:r w:rsidR="00476899" w:rsidRPr="00FC204A">
        <w:rPr>
          <w:szCs w:val="24"/>
          <w:lang w:val="fr-FR"/>
        </w:rPr>
        <w:t>1</w:t>
      </w:r>
      <w:r w:rsidR="00476899" w:rsidRPr="00EF0E44">
        <w:rPr>
          <w:szCs w:val="24"/>
          <w:vertAlign w:val="superscript"/>
          <w:lang w:val="fr-FR"/>
        </w:rPr>
        <w:t>e</w:t>
      </w:r>
      <w:r w:rsidR="00476899" w:rsidRPr="008D0081">
        <w:rPr>
          <w:szCs w:val="24"/>
          <w:lang w:val="fr-FR"/>
        </w:rPr>
        <w:t xml:space="preserve"> session</w:t>
      </w:r>
      <w:r w:rsidR="00176A4D" w:rsidRPr="008D0081">
        <w:rPr>
          <w:b w:val="0"/>
          <w:szCs w:val="24"/>
          <w:lang w:val="fr-FR"/>
        </w:rPr>
        <w:br/>
      </w:r>
      <w:r w:rsidR="00476899" w:rsidRPr="008D0081">
        <w:rPr>
          <w:szCs w:val="24"/>
          <w:lang w:val="fr-FR"/>
        </w:rPr>
        <w:t>(</w:t>
      </w:r>
      <w:r w:rsidR="00476899" w:rsidRPr="00EF0E44">
        <w:rPr>
          <w:szCs w:val="24"/>
          <w:lang w:val="fr-FR"/>
        </w:rPr>
        <w:t>7-25</w:t>
      </w:r>
      <w:r w:rsidR="00476899" w:rsidRPr="008D0081">
        <w:rPr>
          <w:szCs w:val="24"/>
          <w:lang w:val="fr-FR"/>
        </w:rPr>
        <w:t xml:space="preserve"> juillet 2014)</w:t>
      </w:r>
    </w:p>
    <w:p w:rsidR="008E0725" w:rsidRPr="008D0081" w:rsidRDefault="008E0725" w:rsidP="008E0725">
      <w:pPr>
        <w:pStyle w:val="SingleTxtG"/>
        <w:ind w:left="4536" w:hanging="3402"/>
        <w:rPr>
          <w:lang w:val="fr-FR"/>
        </w:rPr>
      </w:pPr>
      <w:r w:rsidRPr="008D0081">
        <w:rPr>
          <w:i/>
          <w:lang w:val="fr-FR"/>
        </w:rPr>
        <w:t>Communication présentée par</w:t>
      </w:r>
      <w:r w:rsidRPr="008D0081">
        <w:rPr>
          <w:lang w:val="fr-FR"/>
        </w:rPr>
        <w:t>:</w:t>
      </w:r>
      <w:r w:rsidRPr="008D0081">
        <w:rPr>
          <w:lang w:val="fr-FR"/>
        </w:rPr>
        <w:tab/>
        <w:t xml:space="preserve">Al Jilani Mohamed M’hamed Al </w:t>
      </w:r>
      <w:proofErr w:type="spellStart"/>
      <w:r w:rsidRPr="008D0081">
        <w:rPr>
          <w:lang w:val="fr-FR"/>
        </w:rPr>
        <w:t>Daquel</w:t>
      </w:r>
      <w:proofErr w:type="spellEnd"/>
      <w:r w:rsidRPr="008D0081">
        <w:rPr>
          <w:lang w:val="fr-FR"/>
        </w:rPr>
        <w:t xml:space="preserve"> (représenté par </w:t>
      </w:r>
      <w:proofErr w:type="spellStart"/>
      <w:r w:rsidRPr="004E2EB3">
        <w:rPr>
          <w:lang w:val="fr-FR"/>
        </w:rPr>
        <w:t>Al</w:t>
      </w:r>
      <w:r w:rsidR="002970AF" w:rsidRPr="004E2EB3">
        <w:rPr>
          <w:lang w:val="fr-FR"/>
        </w:rPr>
        <w:t>k</w:t>
      </w:r>
      <w:r w:rsidRPr="004E2EB3">
        <w:rPr>
          <w:lang w:val="fr-FR"/>
        </w:rPr>
        <w:t>arama</w:t>
      </w:r>
      <w:proofErr w:type="spellEnd"/>
      <w:r w:rsidRPr="008D0081">
        <w:rPr>
          <w:lang w:val="fr-FR"/>
        </w:rPr>
        <w:t xml:space="preserve"> for </w:t>
      </w:r>
      <w:proofErr w:type="spellStart"/>
      <w:r w:rsidRPr="008D0081">
        <w:rPr>
          <w:lang w:val="fr-FR"/>
        </w:rPr>
        <w:t>Human</w:t>
      </w:r>
      <w:proofErr w:type="spellEnd"/>
      <w:r w:rsidRPr="008D0081">
        <w:rPr>
          <w:lang w:val="fr-FR"/>
        </w:rPr>
        <w:t xml:space="preserve"> </w:t>
      </w:r>
      <w:proofErr w:type="spellStart"/>
      <w:r w:rsidRPr="008D0081">
        <w:rPr>
          <w:lang w:val="fr-FR"/>
        </w:rPr>
        <w:t>Rights</w:t>
      </w:r>
      <w:proofErr w:type="spellEnd"/>
      <w:r w:rsidRPr="008D0081">
        <w:rPr>
          <w:lang w:val="fr-FR"/>
        </w:rPr>
        <w:t>)</w:t>
      </w:r>
    </w:p>
    <w:p w:rsidR="008E0725" w:rsidRPr="008D0081" w:rsidRDefault="008E0725" w:rsidP="008E0725">
      <w:pPr>
        <w:pStyle w:val="SingleTxtG"/>
        <w:ind w:left="4536" w:hanging="3402"/>
        <w:rPr>
          <w:lang w:val="fr-FR"/>
        </w:rPr>
      </w:pPr>
      <w:r w:rsidRPr="008D0081">
        <w:rPr>
          <w:i/>
          <w:lang w:val="fr-FR"/>
        </w:rPr>
        <w:t>Au nom de</w:t>
      </w:r>
      <w:r w:rsidRPr="008D0081">
        <w:rPr>
          <w:lang w:val="fr-FR"/>
        </w:rPr>
        <w:t>:</w:t>
      </w:r>
      <w:r w:rsidRPr="008D0081">
        <w:rPr>
          <w:lang w:val="fr-FR"/>
        </w:rPr>
        <w:tab/>
        <w:t>Abdelhamid Al Jilani Mohamed Al Daquel (fils de l’auteur)</w:t>
      </w:r>
      <w:r w:rsidR="007D663E">
        <w:rPr>
          <w:lang w:val="fr-FR"/>
        </w:rPr>
        <w:t>;</w:t>
      </w:r>
      <w:r w:rsidRPr="008D0081">
        <w:rPr>
          <w:lang w:val="fr-FR"/>
        </w:rPr>
        <w:t xml:space="preserve"> Rabiia Mhamed Fredj (mère de la victime)</w:t>
      </w:r>
      <w:r w:rsidR="007D663E">
        <w:rPr>
          <w:lang w:val="fr-FR"/>
        </w:rPr>
        <w:t>;</w:t>
      </w:r>
      <w:r w:rsidRPr="008D0081">
        <w:rPr>
          <w:lang w:val="fr-FR"/>
        </w:rPr>
        <w:t xml:space="preserve"> Hamza Jilani Mohamed Al Daquel (frère de la victime)</w:t>
      </w:r>
      <w:r w:rsidR="007D663E">
        <w:rPr>
          <w:lang w:val="fr-FR"/>
        </w:rPr>
        <w:t>;</w:t>
      </w:r>
      <w:r w:rsidRPr="008D0081">
        <w:rPr>
          <w:lang w:val="fr-FR"/>
        </w:rPr>
        <w:t xml:space="preserve"> Abdelmoutaleb Jilani Mohamed Al Daquel (frère de la victime)</w:t>
      </w:r>
      <w:r w:rsidR="007D663E">
        <w:rPr>
          <w:lang w:val="fr-FR"/>
        </w:rPr>
        <w:t>;</w:t>
      </w:r>
      <w:r w:rsidRPr="008D0081">
        <w:rPr>
          <w:lang w:val="fr-FR"/>
        </w:rPr>
        <w:t xml:space="preserve"> Saghira Jilani Mohamed Al Daquel (sœur de la victime)</w:t>
      </w:r>
      <w:r w:rsidR="007D663E">
        <w:rPr>
          <w:lang w:val="fr-FR"/>
        </w:rPr>
        <w:t>;</w:t>
      </w:r>
      <w:r w:rsidRPr="008D0081">
        <w:rPr>
          <w:lang w:val="fr-FR"/>
        </w:rPr>
        <w:t xml:space="preserve"> Ousama Jilani Mohamed Al Daquel (frère de la victime)</w:t>
      </w:r>
      <w:r w:rsidR="007D663E">
        <w:rPr>
          <w:lang w:val="fr-FR"/>
        </w:rPr>
        <w:t>;</w:t>
      </w:r>
      <w:r w:rsidRPr="008D0081">
        <w:rPr>
          <w:lang w:val="fr-FR"/>
        </w:rPr>
        <w:t xml:space="preserve"> Khaoula Jilani Mohamed Al Daquel (sœur de la victime)</w:t>
      </w:r>
      <w:r w:rsidR="007D663E">
        <w:rPr>
          <w:lang w:val="fr-FR"/>
        </w:rPr>
        <w:t>;</w:t>
      </w:r>
      <w:r w:rsidRPr="008D0081">
        <w:rPr>
          <w:lang w:val="fr-FR"/>
        </w:rPr>
        <w:t xml:space="preserve"> Mohamed Jilani Mohamed Al Daquel (frère de la victime)</w:t>
      </w:r>
      <w:r w:rsidR="007D663E">
        <w:rPr>
          <w:lang w:val="fr-FR"/>
        </w:rPr>
        <w:t>;</w:t>
      </w:r>
      <w:r w:rsidRPr="008D0081">
        <w:rPr>
          <w:lang w:val="fr-FR"/>
        </w:rPr>
        <w:t xml:space="preserve"> et en son nom propre (en tant que père de la victime)</w:t>
      </w:r>
    </w:p>
    <w:p w:rsidR="008E0725" w:rsidRPr="008D0081" w:rsidRDefault="008E0725" w:rsidP="008E0725">
      <w:pPr>
        <w:pStyle w:val="SingleTxtG"/>
        <w:ind w:left="4536" w:hanging="3402"/>
        <w:rPr>
          <w:lang w:val="fr-FR"/>
        </w:rPr>
      </w:pPr>
      <w:r w:rsidRPr="008D0081">
        <w:rPr>
          <w:i/>
          <w:lang w:val="fr-FR"/>
        </w:rPr>
        <w:t>État partie</w:t>
      </w:r>
      <w:r w:rsidRPr="008D0081">
        <w:rPr>
          <w:lang w:val="fr-FR"/>
        </w:rPr>
        <w:t>:</w:t>
      </w:r>
      <w:r w:rsidRPr="008D0081">
        <w:rPr>
          <w:lang w:val="fr-FR"/>
        </w:rPr>
        <w:tab/>
        <w:t>Libye</w:t>
      </w:r>
    </w:p>
    <w:p w:rsidR="008E0725" w:rsidRPr="008D0081" w:rsidRDefault="008E0725" w:rsidP="008E0725">
      <w:pPr>
        <w:pStyle w:val="SingleTxtG"/>
        <w:ind w:left="4536" w:hanging="3402"/>
        <w:rPr>
          <w:lang w:val="fr-FR"/>
        </w:rPr>
      </w:pPr>
      <w:r w:rsidRPr="008D0081">
        <w:rPr>
          <w:i/>
          <w:lang w:val="fr-FR"/>
        </w:rPr>
        <w:t>Date de la communication</w:t>
      </w:r>
      <w:r w:rsidRPr="008D0081">
        <w:rPr>
          <w:lang w:val="fr-FR"/>
        </w:rPr>
        <w:t>:</w:t>
      </w:r>
      <w:r w:rsidRPr="008D0081">
        <w:rPr>
          <w:lang w:val="fr-FR"/>
        </w:rPr>
        <w:tab/>
        <w:t>5 mai 2009 (date de la lettre initiale)</w:t>
      </w:r>
    </w:p>
    <w:p w:rsidR="008E0725" w:rsidRPr="008D0081" w:rsidRDefault="008E0725" w:rsidP="00590CE3">
      <w:pPr>
        <w:pStyle w:val="SingleTxtG"/>
        <w:ind w:left="4536" w:hanging="3402"/>
        <w:rPr>
          <w:lang w:val="fr-FR"/>
        </w:rPr>
      </w:pPr>
      <w:r w:rsidRPr="008D0081">
        <w:rPr>
          <w:i/>
          <w:lang w:val="fr-FR"/>
        </w:rPr>
        <w:t>Références</w:t>
      </w:r>
      <w:r w:rsidRPr="008D0081">
        <w:rPr>
          <w:lang w:val="fr-FR"/>
        </w:rPr>
        <w:t>:</w:t>
      </w:r>
      <w:r w:rsidRPr="008D0081">
        <w:rPr>
          <w:lang w:val="fr-FR"/>
        </w:rPr>
        <w:tab/>
        <w:t>Décision prise par le Rapporteur spécial en</w:t>
      </w:r>
      <w:r w:rsidR="00590CE3">
        <w:rPr>
          <w:lang w:val="fr-FR"/>
        </w:rPr>
        <w:t xml:space="preserve"> </w:t>
      </w:r>
      <w:r w:rsidRPr="008D0081">
        <w:rPr>
          <w:lang w:val="fr-FR"/>
        </w:rPr>
        <w:t>application de l’article</w:t>
      </w:r>
      <w:r w:rsidR="00590CE3">
        <w:rPr>
          <w:lang w:val="fr-FR"/>
        </w:rPr>
        <w:t> </w:t>
      </w:r>
      <w:r w:rsidRPr="008D0081">
        <w:rPr>
          <w:lang w:val="fr-FR"/>
        </w:rPr>
        <w:t xml:space="preserve">97 du </w:t>
      </w:r>
      <w:r w:rsidR="00066DFC">
        <w:rPr>
          <w:lang w:val="fr-FR"/>
        </w:rPr>
        <w:t>r</w:t>
      </w:r>
      <w:r w:rsidRPr="008D0081">
        <w:rPr>
          <w:lang w:val="fr-FR"/>
        </w:rPr>
        <w:t>èglement intérieur, communiquée à l’État partie le 25</w:t>
      </w:r>
      <w:r w:rsidR="00590CE3">
        <w:rPr>
          <w:lang w:val="fr-FR"/>
        </w:rPr>
        <w:t> </w:t>
      </w:r>
      <w:r w:rsidRPr="008D0081">
        <w:rPr>
          <w:lang w:val="fr-FR"/>
        </w:rPr>
        <w:t>juin 2009 (non publiée sous forme de document)</w:t>
      </w:r>
    </w:p>
    <w:p w:rsidR="008E0725" w:rsidRPr="008D0081" w:rsidRDefault="008E0725" w:rsidP="008E0725">
      <w:pPr>
        <w:pStyle w:val="SingleTxtG"/>
        <w:ind w:left="4536" w:hanging="3402"/>
        <w:rPr>
          <w:lang w:val="fr-FR"/>
        </w:rPr>
      </w:pPr>
      <w:r w:rsidRPr="008D0081">
        <w:rPr>
          <w:i/>
          <w:lang w:val="fr-FR"/>
        </w:rPr>
        <w:t>Date de l’adoption des</w:t>
      </w:r>
      <w:r w:rsidR="00746A4E">
        <w:rPr>
          <w:i/>
          <w:lang w:val="fr-FR"/>
        </w:rPr>
        <w:t xml:space="preserve"> </w:t>
      </w:r>
      <w:r w:rsidRPr="008D0081">
        <w:rPr>
          <w:i/>
          <w:lang w:val="fr-FR"/>
        </w:rPr>
        <w:t>constatations</w:t>
      </w:r>
      <w:r w:rsidRPr="008D0081">
        <w:rPr>
          <w:lang w:val="fr-FR"/>
        </w:rPr>
        <w:t>:</w:t>
      </w:r>
      <w:r w:rsidRPr="008D0081">
        <w:rPr>
          <w:lang w:val="fr-FR"/>
        </w:rPr>
        <w:tab/>
      </w:r>
      <w:r w:rsidR="00476899" w:rsidRPr="008D0081">
        <w:rPr>
          <w:lang w:val="fr-FR"/>
        </w:rPr>
        <w:t xml:space="preserve">21 </w:t>
      </w:r>
      <w:r w:rsidRPr="008D0081">
        <w:rPr>
          <w:lang w:val="fr-FR"/>
        </w:rPr>
        <w:t>juillet 2014</w:t>
      </w:r>
    </w:p>
    <w:p w:rsidR="008E0725" w:rsidRPr="008D0081" w:rsidRDefault="008E0725" w:rsidP="00746A4E">
      <w:pPr>
        <w:pStyle w:val="SingleTxtG"/>
        <w:tabs>
          <w:tab w:val="right" w:pos="4536"/>
        </w:tabs>
        <w:ind w:left="4536" w:hanging="3402"/>
        <w:rPr>
          <w:lang w:val="fr-FR"/>
        </w:rPr>
      </w:pPr>
      <w:r w:rsidRPr="008D0081">
        <w:rPr>
          <w:i/>
          <w:iCs/>
          <w:lang w:val="fr-FR"/>
        </w:rPr>
        <w:t>Objet</w:t>
      </w:r>
      <w:r w:rsidRPr="008D0081">
        <w:rPr>
          <w:lang w:val="fr-FR"/>
        </w:rPr>
        <w:t>:</w:t>
      </w:r>
      <w:r w:rsidRPr="008D0081">
        <w:rPr>
          <w:lang w:val="fr-FR"/>
        </w:rPr>
        <w:tab/>
      </w:r>
      <w:r w:rsidR="00746A4E">
        <w:rPr>
          <w:lang w:val="fr-FR"/>
        </w:rPr>
        <w:tab/>
      </w:r>
      <w:r w:rsidRPr="008D0081">
        <w:rPr>
          <w:lang w:val="fr-FR"/>
        </w:rPr>
        <w:t>Disparition forcée</w:t>
      </w:r>
      <w:r w:rsidR="007D663E">
        <w:rPr>
          <w:lang w:val="fr-FR"/>
        </w:rPr>
        <w:t>;</w:t>
      </w:r>
      <w:r w:rsidRPr="008D0081">
        <w:rPr>
          <w:lang w:val="fr-FR"/>
        </w:rPr>
        <w:t xml:space="preserve"> décès survenu durant une détention au secret</w:t>
      </w:r>
    </w:p>
    <w:p w:rsidR="008E0725" w:rsidRPr="008D0081" w:rsidRDefault="008E0725" w:rsidP="0087051C">
      <w:pPr>
        <w:pStyle w:val="SingleTxtG"/>
        <w:ind w:left="4536" w:hanging="3402"/>
        <w:rPr>
          <w:lang w:val="fr-FR"/>
        </w:rPr>
      </w:pPr>
      <w:r w:rsidRPr="008D0081">
        <w:rPr>
          <w:i/>
          <w:iCs/>
          <w:lang w:val="fr-FR"/>
        </w:rPr>
        <w:t>Questions de fond</w:t>
      </w:r>
      <w:r w:rsidRPr="008D0081">
        <w:rPr>
          <w:lang w:val="fr-FR"/>
        </w:rPr>
        <w:t>:</w:t>
      </w:r>
      <w:r w:rsidRPr="008D0081">
        <w:rPr>
          <w:lang w:val="fr-FR"/>
        </w:rPr>
        <w:tab/>
        <w:t xml:space="preserve">Droit à la vie; interdiction de la torture et des traitements cruels et inhumains; droit à la liberté et à la sécurité de la personne; </w:t>
      </w:r>
      <w:r w:rsidRPr="004E2EB3">
        <w:rPr>
          <w:lang w:val="fr-FR"/>
        </w:rPr>
        <w:t xml:space="preserve">droit de toute </w:t>
      </w:r>
      <w:r w:rsidRPr="001229CC">
        <w:rPr>
          <w:lang w:val="fr-FR"/>
        </w:rPr>
        <w:t>personne</w:t>
      </w:r>
      <w:r w:rsidRPr="00EF0E44">
        <w:rPr>
          <w:lang w:val="fr-FR"/>
        </w:rPr>
        <w:t xml:space="preserve"> privée de liberté d’être traitée avec humanité </w:t>
      </w:r>
      <w:r w:rsidR="0087051C" w:rsidRPr="00EF0E44">
        <w:rPr>
          <w:lang w:val="fr-FR"/>
        </w:rPr>
        <w:t xml:space="preserve">et avec </w:t>
      </w:r>
      <w:r w:rsidRPr="00EF0E44">
        <w:rPr>
          <w:lang w:val="fr-FR"/>
        </w:rPr>
        <w:t xml:space="preserve">le respect de </w:t>
      </w:r>
      <w:r w:rsidR="0087051C" w:rsidRPr="00EF0E44">
        <w:rPr>
          <w:lang w:val="fr-FR"/>
        </w:rPr>
        <w:t xml:space="preserve">la </w:t>
      </w:r>
      <w:r w:rsidRPr="00EF0E44">
        <w:rPr>
          <w:lang w:val="fr-FR"/>
        </w:rPr>
        <w:t>dignité</w:t>
      </w:r>
      <w:r w:rsidR="0087051C" w:rsidRPr="00EF0E44">
        <w:rPr>
          <w:lang w:val="fr-FR"/>
        </w:rPr>
        <w:t xml:space="preserve"> inhérente à la personne humaine</w:t>
      </w:r>
      <w:r w:rsidRPr="008D0081">
        <w:rPr>
          <w:lang w:val="fr-FR"/>
        </w:rPr>
        <w:t xml:space="preserve">; reconnaissance de la personnalité juridique; droit à un recours </w:t>
      </w:r>
      <w:r w:rsidR="0087051C" w:rsidRPr="004E2EB3">
        <w:rPr>
          <w:lang w:val="fr-FR"/>
        </w:rPr>
        <w:t>utile</w:t>
      </w:r>
    </w:p>
    <w:p w:rsidR="008E0725" w:rsidRPr="008D0081" w:rsidRDefault="008E0725" w:rsidP="008E0725">
      <w:pPr>
        <w:pStyle w:val="SingleTxtG"/>
        <w:ind w:left="4536" w:hanging="3402"/>
        <w:rPr>
          <w:lang w:val="fr-FR"/>
        </w:rPr>
      </w:pPr>
      <w:r w:rsidRPr="008D0081">
        <w:rPr>
          <w:i/>
          <w:iCs/>
          <w:lang w:val="fr-FR"/>
        </w:rPr>
        <w:t>Questions de procédure</w:t>
      </w:r>
      <w:r w:rsidRPr="008D0081">
        <w:rPr>
          <w:lang w:val="fr-FR"/>
        </w:rPr>
        <w:t>:</w:t>
      </w:r>
      <w:r w:rsidRPr="008D0081">
        <w:rPr>
          <w:lang w:val="fr-FR"/>
        </w:rPr>
        <w:tab/>
        <w:t>Absence de coopération de l’État partie</w:t>
      </w:r>
      <w:r w:rsidR="007D663E">
        <w:rPr>
          <w:lang w:val="fr-FR"/>
        </w:rPr>
        <w:t>;</w:t>
      </w:r>
      <w:r w:rsidRPr="008D0081">
        <w:rPr>
          <w:lang w:val="fr-FR"/>
        </w:rPr>
        <w:t xml:space="preserve"> examen de la même question devant une autre instance internationale d’enquête ou de règlement</w:t>
      </w:r>
    </w:p>
    <w:p w:rsidR="008E0725" w:rsidRPr="008D0081" w:rsidRDefault="008E0725" w:rsidP="008E0725">
      <w:pPr>
        <w:pStyle w:val="SingleTxtG"/>
        <w:ind w:left="4536" w:hanging="3402"/>
        <w:rPr>
          <w:lang w:val="fr-FR"/>
        </w:rPr>
      </w:pPr>
      <w:r w:rsidRPr="008D0081">
        <w:rPr>
          <w:i/>
          <w:iCs/>
          <w:lang w:val="fr-FR"/>
        </w:rPr>
        <w:t>Articles du Pacte</w:t>
      </w:r>
      <w:r w:rsidRPr="008D0081">
        <w:rPr>
          <w:lang w:val="fr-FR"/>
        </w:rPr>
        <w:t>:</w:t>
      </w:r>
      <w:r w:rsidRPr="008D0081">
        <w:rPr>
          <w:lang w:val="fr-FR"/>
        </w:rPr>
        <w:tab/>
        <w:t>2 (par.</w:t>
      </w:r>
      <w:r w:rsidR="00490D86">
        <w:rPr>
          <w:lang w:val="fr-FR"/>
        </w:rPr>
        <w:t> </w:t>
      </w:r>
      <w:r w:rsidRPr="008D0081">
        <w:rPr>
          <w:lang w:val="fr-FR"/>
        </w:rPr>
        <w:t>3), 6 (par.</w:t>
      </w:r>
      <w:r w:rsidR="00490D86">
        <w:rPr>
          <w:lang w:val="fr-FR"/>
        </w:rPr>
        <w:t> </w:t>
      </w:r>
      <w:r w:rsidRPr="008D0081">
        <w:rPr>
          <w:lang w:val="fr-FR"/>
        </w:rPr>
        <w:t>1), 7, 9 (par.</w:t>
      </w:r>
      <w:r w:rsidR="00490D86">
        <w:rPr>
          <w:lang w:val="fr-FR"/>
        </w:rPr>
        <w:t> </w:t>
      </w:r>
      <w:r w:rsidRPr="008D0081">
        <w:rPr>
          <w:lang w:val="fr-FR"/>
        </w:rPr>
        <w:t>1 à 4), 10 (par. 1) et 16</w:t>
      </w:r>
    </w:p>
    <w:p w:rsidR="008E0725" w:rsidRPr="008D0081" w:rsidRDefault="008E0725" w:rsidP="008E0725">
      <w:pPr>
        <w:pStyle w:val="SingleTxtG"/>
        <w:ind w:left="4536" w:hanging="3402"/>
        <w:rPr>
          <w:lang w:val="fr-FR"/>
        </w:rPr>
      </w:pPr>
      <w:r w:rsidRPr="008D0081">
        <w:rPr>
          <w:i/>
          <w:iCs/>
          <w:lang w:val="fr-FR"/>
        </w:rPr>
        <w:t>Article du Protocole facultatif</w:t>
      </w:r>
      <w:r w:rsidRPr="008D0081">
        <w:rPr>
          <w:lang w:val="fr-FR"/>
        </w:rPr>
        <w:t>:</w:t>
      </w:r>
      <w:r w:rsidRPr="008D0081">
        <w:rPr>
          <w:lang w:val="fr-FR"/>
        </w:rPr>
        <w:tab/>
        <w:t>5 (par.</w:t>
      </w:r>
      <w:r w:rsidR="00C61156">
        <w:rPr>
          <w:lang w:val="fr-FR"/>
        </w:rPr>
        <w:t> </w:t>
      </w:r>
      <w:r w:rsidRPr="008D0081">
        <w:rPr>
          <w:lang w:val="fr-FR"/>
        </w:rPr>
        <w:t>2</w:t>
      </w:r>
      <w:r w:rsidR="00C61156">
        <w:rPr>
          <w:lang w:val="fr-FR"/>
        </w:rPr>
        <w:t> </w:t>
      </w:r>
      <w:r w:rsidRPr="008D0081">
        <w:rPr>
          <w:lang w:val="fr-FR"/>
        </w:rPr>
        <w:t>a)</w:t>
      </w:r>
    </w:p>
    <w:p w:rsidR="008E0725" w:rsidRPr="008D0081" w:rsidRDefault="00476899" w:rsidP="008E0725">
      <w:pPr>
        <w:pStyle w:val="HChG"/>
        <w:rPr>
          <w:lang w:val="fr-FR"/>
        </w:rPr>
      </w:pPr>
      <w:r w:rsidRPr="008D0081" w:rsidDel="00476899">
        <w:rPr>
          <w:lang w:val="fr-FR"/>
        </w:rPr>
        <w:t xml:space="preserve"> </w:t>
      </w:r>
      <w:r w:rsidR="008E0725" w:rsidRPr="008D0081">
        <w:rPr>
          <w:lang w:val="fr-FR"/>
        </w:rPr>
        <w:br w:type="page"/>
        <w:t>Annexe</w:t>
      </w:r>
    </w:p>
    <w:p w:rsidR="008E0725" w:rsidRPr="008D0081" w:rsidRDefault="008E0725" w:rsidP="008E0725">
      <w:pPr>
        <w:pStyle w:val="HChG"/>
        <w:rPr>
          <w:lang w:val="fr-FR"/>
        </w:rPr>
      </w:pPr>
      <w:r w:rsidRPr="008D0081">
        <w:rPr>
          <w:lang w:val="fr-FR"/>
        </w:rPr>
        <w:tab/>
      </w:r>
      <w:r w:rsidRPr="008D0081">
        <w:rPr>
          <w:lang w:val="fr-FR"/>
        </w:rPr>
        <w:tab/>
        <w:t>Constatations du Comité des droits de l’homme au titre du paragraphe 4 de l’article 5 du Protocole facultatif</w:t>
      </w:r>
      <w:r w:rsidRPr="008D0081">
        <w:rPr>
          <w:lang w:val="fr-FR"/>
        </w:rPr>
        <w:br/>
        <w:t>se rapportant au Pacte international relatif aux droits</w:t>
      </w:r>
      <w:r w:rsidRPr="008D0081">
        <w:rPr>
          <w:lang w:val="fr-FR"/>
        </w:rPr>
        <w:br/>
        <w:t>civils et politiques (111</w:t>
      </w:r>
      <w:r w:rsidRPr="008D0081">
        <w:rPr>
          <w:vertAlign w:val="superscript"/>
          <w:lang w:val="fr-FR"/>
        </w:rPr>
        <w:t>e</w:t>
      </w:r>
      <w:r w:rsidRPr="008D0081">
        <w:rPr>
          <w:lang w:val="fr-FR"/>
        </w:rPr>
        <w:t xml:space="preserve"> session)</w:t>
      </w:r>
    </w:p>
    <w:p w:rsidR="008E0725" w:rsidRPr="008D0081" w:rsidRDefault="008E0725" w:rsidP="008E0725">
      <w:pPr>
        <w:pStyle w:val="SingleTxtG"/>
        <w:rPr>
          <w:lang w:val="fr-FR"/>
        </w:rPr>
      </w:pPr>
      <w:r w:rsidRPr="008D0081">
        <w:rPr>
          <w:lang w:val="fr-FR"/>
        </w:rPr>
        <w:t>concernant la</w:t>
      </w:r>
    </w:p>
    <w:p w:rsidR="008E0725" w:rsidRPr="008D0081" w:rsidRDefault="008E0725" w:rsidP="00490D86">
      <w:pPr>
        <w:pStyle w:val="H1G"/>
        <w:rPr>
          <w:lang w:val="fr-FR"/>
        </w:rPr>
      </w:pPr>
      <w:r w:rsidRPr="008D0081">
        <w:rPr>
          <w:lang w:val="fr-FR"/>
        </w:rPr>
        <w:tab/>
      </w:r>
      <w:r w:rsidRPr="008D0081">
        <w:rPr>
          <w:lang w:val="fr-FR"/>
        </w:rPr>
        <w:tab/>
        <w:t xml:space="preserve">Communication </w:t>
      </w:r>
      <w:r w:rsidR="00490D86">
        <w:rPr>
          <w:lang w:val="fr-FR"/>
        </w:rPr>
        <w:t>n</w:t>
      </w:r>
      <w:r w:rsidR="00490D86" w:rsidRPr="00490D86">
        <w:rPr>
          <w:vertAlign w:val="superscript"/>
          <w:lang w:val="fr-FR"/>
        </w:rPr>
        <w:t>o</w:t>
      </w:r>
      <w:r w:rsidR="00490D86">
        <w:rPr>
          <w:lang w:val="fr-FR"/>
        </w:rPr>
        <w:t> </w:t>
      </w:r>
      <w:r w:rsidRPr="008D0081">
        <w:rPr>
          <w:lang w:val="fr-FR"/>
        </w:rPr>
        <w:t>1882/2009</w:t>
      </w:r>
      <w:r w:rsidR="003E7161" w:rsidRPr="00042A1A">
        <w:rPr>
          <w:rStyle w:val="FootnoteReference"/>
          <w:b w:val="0"/>
          <w:bCs/>
          <w:sz w:val="20"/>
          <w:vertAlign w:val="baseline"/>
          <w:lang w:val="fr-FR"/>
        </w:rPr>
        <w:footnoteReference w:customMarkFollows="1" w:id="2"/>
        <w:t>*</w:t>
      </w:r>
    </w:p>
    <w:p w:rsidR="008E0725" w:rsidRPr="008D0081" w:rsidRDefault="008E0725" w:rsidP="008E0725">
      <w:pPr>
        <w:pStyle w:val="SingleTxtG"/>
        <w:ind w:left="4536" w:hanging="3402"/>
        <w:rPr>
          <w:lang w:val="fr-FR"/>
        </w:rPr>
      </w:pPr>
      <w:r w:rsidRPr="008D0081">
        <w:rPr>
          <w:i/>
          <w:lang w:val="fr-FR"/>
        </w:rPr>
        <w:t>Présentée par</w:t>
      </w:r>
      <w:r w:rsidRPr="008D0081">
        <w:rPr>
          <w:lang w:val="fr-FR"/>
        </w:rPr>
        <w:t>:</w:t>
      </w:r>
      <w:r w:rsidRPr="008D0081">
        <w:rPr>
          <w:i/>
          <w:lang w:val="fr-FR"/>
        </w:rPr>
        <w:tab/>
      </w:r>
      <w:r w:rsidRPr="008D0081">
        <w:rPr>
          <w:lang w:val="fr-FR"/>
        </w:rPr>
        <w:t xml:space="preserve">Al Jilani Mohamed M’hamed Al </w:t>
      </w:r>
      <w:proofErr w:type="spellStart"/>
      <w:r w:rsidRPr="008D0081">
        <w:rPr>
          <w:lang w:val="fr-FR"/>
        </w:rPr>
        <w:t>Daquel</w:t>
      </w:r>
      <w:proofErr w:type="spellEnd"/>
      <w:r w:rsidRPr="008D0081">
        <w:rPr>
          <w:lang w:val="fr-FR"/>
        </w:rPr>
        <w:t xml:space="preserve"> (représenté par </w:t>
      </w:r>
      <w:proofErr w:type="spellStart"/>
      <w:r w:rsidRPr="004E2EB3">
        <w:rPr>
          <w:lang w:val="fr-FR"/>
        </w:rPr>
        <w:t>Al</w:t>
      </w:r>
      <w:r w:rsidR="001A36A7" w:rsidRPr="004E2EB3">
        <w:rPr>
          <w:lang w:val="fr-FR"/>
        </w:rPr>
        <w:t>k</w:t>
      </w:r>
      <w:r w:rsidRPr="004E2EB3">
        <w:rPr>
          <w:lang w:val="fr-FR"/>
        </w:rPr>
        <w:t>arama</w:t>
      </w:r>
      <w:proofErr w:type="spellEnd"/>
      <w:r w:rsidRPr="008D0081">
        <w:rPr>
          <w:lang w:val="fr-FR"/>
        </w:rPr>
        <w:t xml:space="preserve"> for </w:t>
      </w:r>
      <w:proofErr w:type="spellStart"/>
      <w:r w:rsidRPr="008D0081">
        <w:rPr>
          <w:lang w:val="fr-FR"/>
        </w:rPr>
        <w:t>Human</w:t>
      </w:r>
      <w:proofErr w:type="spellEnd"/>
      <w:r w:rsidRPr="008D0081">
        <w:rPr>
          <w:lang w:val="fr-FR"/>
        </w:rPr>
        <w:t xml:space="preserve"> </w:t>
      </w:r>
      <w:proofErr w:type="spellStart"/>
      <w:r w:rsidRPr="008D0081">
        <w:rPr>
          <w:lang w:val="fr-FR"/>
        </w:rPr>
        <w:t>Rights</w:t>
      </w:r>
      <w:proofErr w:type="spellEnd"/>
      <w:r w:rsidRPr="008D0081">
        <w:rPr>
          <w:lang w:val="fr-FR"/>
        </w:rPr>
        <w:t>)</w:t>
      </w:r>
    </w:p>
    <w:p w:rsidR="008E0725" w:rsidRPr="008D0081" w:rsidRDefault="008E0725" w:rsidP="008E0725">
      <w:pPr>
        <w:pStyle w:val="SingleTxtG"/>
        <w:ind w:left="4536" w:hanging="3402"/>
        <w:rPr>
          <w:lang w:val="fr-FR"/>
        </w:rPr>
      </w:pPr>
      <w:r w:rsidRPr="008D0081">
        <w:rPr>
          <w:i/>
          <w:lang w:val="fr-FR"/>
        </w:rPr>
        <w:t>Au nom de</w:t>
      </w:r>
      <w:r w:rsidRPr="008D0081">
        <w:rPr>
          <w:lang w:val="fr-FR"/>
        </w:rPr>
        <w:t>:</w:t>
      </w:r>
      <w:r w:rsidRPr="008D0081">
        <w:rPr>
          <w:i/>
          <w:lang w:val="fr-FR"/>
        </w:rPr>
        <w:tab/>
      </w:r>
      <w:r w:rsidRPr="008D0081">
        <w:rPr>
          <w:lang w:val="fr-FR"/>
        </w:rPr>
        <w:t>Abdelhamid Al Jilani Mohamed Al Daquel (fils de l’auteur)</w:t>
      </w:r>
      <w:r w:rsidR="007D663E">
        <w:rPr>
          <w:lang w:val="fr-FR"/>
        </w:rPr>
        <w:t>;</w:t>
      </w:r>
      <w:r w:rsidRPr="008D0081">
        <w:rPr>
          <w:lang w:val="fr-FR"/>
        </w:rPr>
        <w:t xml:space="preserve"> Rabiia Mhamed Fredj (mère de la victime)</w:t>
      </w:r>
      <w:r w:rsidR="007D663E">
        <w:rPr>
          <w:lang w:val="fr-FR"/>
        </w:rPr>
        <w:t>;</w:t>
      </w:r>
      <w:r w:rsidRPr="008D0081">
        <w:rPr>
          <w:lang w:val="fr-FR"/>
        </w:rPr>
        <w:t xml:space="preserve"> Hamza Jilani Mohamed Al Daquel (frère de la victime)</w:t>
      </w:r>
      <w:r w:rsidR="007D663E">
        <w:rPr>
          <w:lang w:val="fr-FR"/>
        </w:rPr>
        <w:t>;</w:t>
      </w:r>
      <w:r w:rsidRPr="008D0081">
        <w:rPr>
          <w:lang w:val="fr-FR"/>
        </w:rPr>
        <w:t xml:space="preserve"> Abdelmoutaleb Jilani Mohamed Al Daquel (frère de la victime)</w:t>
      </w:r>
      <w:r w:rsidR="007D663E">
        <w:rPr>
          <w:lang w:val="fr-FR"/>
        </w:rPr>
        <w:t>;</w:t>
      </w:r>
      <w:r w:rsidRPr="008D0081">
        <w:rPr>
          <w:lang w:val="fr-FR"/>
        </w:rPr>
        <w:t xml:space="preserve"> Saghira Jilani Mohamed Al Daquel (sœur de la victime)</w:t>
      </w:r>
      <w:r w:rsidR="007D663E">
        <w:rPr>
          <w:lang w:val="fr-FR"/>
        </w:rPr>
        <w:t>;</w:t>
      </w:r>
      <w:r w:rsidRPr="008D0081">
        <w:rPr>
          <w:lang w:val="fr-FR"/>
        </w:rPr>
        <w:t xml:space="preserve"> Ousama Jilani Mohamed Al Daquel (frère de la victime)</w:t>
      </w:r>
      <w:r w:rsidR="007D663E">
        <w:rPr>
          <w:lang w:val="fr-FR"/>
        </w:rPr>
        <w:t>;</w:t>
      </w:r>
      <w:r w:rsidRPr="008D0081">
        <w:rPr>
          <w:lang w:val="fr-FR"/>
        </w:rPr>
        <w:t xml:space="preserve"> Khaoula Jilani Mohamed Al Daquel (sœur de la victime)</w:t>
      </w:r>
      <w:r w:rsidR="007D663E">
        <w:rPr>
          <w:lang w:val="fr-FR"/>
        </w:rPr>
        <w:t>;</w:t>
      </w:r>
      <w:r w:rsidRPr="008D0081">
        <w:rPr>
          <w:lang w:val="fr-FR"/>
        </w:rPr>
        <w:t xml:space="preserve"> Mohamed Jilani Mohamed Al Daquel (frère de la victime)</w:t>
      </w:r>
      <w:r w:rsidR="007D663E">
        <w:rPr>
          <w:lang w:val="fr-FR"/>
        </w:rPr>
        <w:t>;</w:t>
      </w:r>
      <w:r w:rsidRPr="008D0081">
        <w:rPr>
          <w:lang w:val="fr-FR"/>
        </w:rPr>
        <w:t xml:space="preserve"> et en son nom propre (en tant que père de la victime)</w:t>
      </w:r>
    </w:p>
    <w:p w:rsidR="008E0725" w:rsidRPr="008D0081" w:rsidRDefault="008E0725" w:rsidP="008E0725">
      <w:pPr>
        <w:pStyle w:val="SingleTxtG"/>
        <w:ind w:left="4536" w:hanging="3402"/>
        <w:rPr>
          <w:lang w:val="fr-FR"/>
        </w:rPr>
      </w:pPr>
      <w:r w:rsidRPr="008D0081">
        <w:rPr>
          <w:i/>
          <w:lang w:val="fr-FR"/>
        </w:rPr>
        <w:t>État partie</w:t>
      </w:r>
      <w:r w:rsidRPr="008D0081">
        <w:rPr>
          <w:lang w:val="fr-FR"/>
        </w:rPr>
        <w:t>:</w:t>
      </w:r>
      <w:r w:rsidRPr="008D0081">
        <w:rPr>
          <w:i/>
          <w:lang w:val="fr-FR"/>
        </w:rPr>
        <w:tab/>
      </w:r>
      <w:r w:rsidRPr="008D0081">
        <w:rPr>
          <w:lang w:val="fr-FR"/>
        </w:rPr>
        <w:t>Libye</w:t>
      </w:r>
    </w:p>
    <w:p w:rsidR="008E0725" w:rsidRPr="008D0081" w:rsidRDefault="008E0725" w:rsidP="00FA0201">
      <w:pPr>
        <w:pStyle w:val="SingleTxtG"/>
        <w:ind w:left="4536" w:hanging="3402"/>
        <w:rPr>
          <w:lang w:val="fr-FR"/>
        </w:rPr>
      </w:pPr>
      <w:r w:rsidRPr="008D0081">
        <w:rPr>
          <w:i/>
          <w:lang w:val="fr-FR"/>
        </w:rPr>
        <w:t>Date de la communication</w:t>
      </w:r>
      <w:r w:rsidRPr="008D0081">
        <w:rPr>
          <w:lang w:val="fr-FR"/>
        </w:rPr>
        <w:t>:</w:t>
      </w:r>
      <w:r w:rsidRPr="008D0081">
        <w:rPr>
          <w:i/>
          <w:lang w:val="fr-FR"/>
        </w:rPr>
        <w:tab/>
      </w:r>
      <w:r w:rsidRPr="008D0081">
        <w:rPr>
          <w:lang w:val="fr-FR"/>
        </w:rPr>
        <w:t>5</w:t>
      </w:r>
      <w:r w:rsidR="00FA0201">
        <w:rPr>
          <w:lang w:val="fr-FR"/>
        </w:rPr>
        <w:t> </w:t>
      </w:r>
      <w:r w:rsidRPr="008D0081">
        <w:rPr>
          <w:lang w:val="fr-FR"/>
        </w:rPr>
        <w:t>mai 2009 (date de la lettre initiale)</w:t>
      </w:r>
    </w:p>
    <w:p w:rsidR="008E0725" w:rsidRPr="008D0081" w:rsidRDefault="008E0725" w:rsidP="008E0725">
      <w:pPr>
        <w:pStyle w:val="SingleTxtG"/>
        <w:ind w:firstLine="567"/>
        <w:rPr>
          <w:lang w:val="fr-FR"/>
        </w:rPr>
      </w:pPr>
      <w:r w:rsidRPr="008D0081">
        <w:rPr>
          <w:i/>
          <w:lang w:val="fr-FR"/>
        </w:rPr>
        <w:t>Le Comité des droits de l’homme</w:t>
      </w:r>
      <w:r w:rsidRPr="008D0081">
        <w:rPr>
          <w:lang w:val="fr-FR"/>
        </w:rPr>
        <w:t>, institué en vertu de l’article 28 du Pacte international relatif aux droits civils et politiques,</w:t>
      </w:r>
    </w:p>
    <w:p w:rsidR="008E0725" w:rsidRPr="008D0081" w:rsidRDefault="008E0725" w:rsidP="008E0725">
      <w:pPr>
        <w:pStyle w:val="SingleTxtG"/>
        <w:ind w:firstLine="567"/>
        <w:rPr>
          <w:lang w:val="fr-FR"/>
        </w:rPr>
      </w:pPr>
      <w:r w:rsidRPr="008D0081">
        <w:rPr>
          <w:i/>
          <w:lang w:val="fr-FR"/>
        </w:rPr>
        <w:t>Réuni</w:t>
      </w:r>
      <w:r w:rsidRPr="008D0081">
        <w:rPr>
          <w:i/>
          <w:iCs/>
          <w:lang w:val="fr-FR"/>
        </w:rPr>
        <w:t xml:space="preserve"> le</w:t>
      </w:r>
      <w:r w:rsidR="00590CE3">
        <w:rPr>
          <w:lang w:val="fr-FR"/>
        </w:rPr>
        <w:t xml:space="preserve"> </w:t>
      </w:r>
      <w:r w:rsidR="00476899" w:rsidRPr="008D0081">
        <w:rPr>
          <w:lang w:val="fr-FR"/>
        </w:rPr>
        <w:t xml:space="preserve">21 </w:t>
      </w:r>
      <w:r w:rsidRPr="008D0081">
        <w:rPr>
          <w:lang w:val="fr-FR"/>
        </w:rPr>
        <w:t>juillet 2014,</w:t>
      </w:r>
    </w:p>
    <w:p w:rsidR="008E0725" w:rsidRPr="008D0081" w:rsidRDefault="008E0725" w:rsidP="00042A1A">
      <w:pPr>
        <w:pStyle w:val="SingleTxtG"/>
        <w:ind w:firstLine="567"/>
        <w:rPr>
          <w:lang w:val="fr-FR"/>
        </w:rPr>
      </w:pPr>
      <w:r w:rsidRPr="008D0081">
        <w:rPr>
          <w:i/>
          <w:lang w:val="fr-FR"/>
        </w:rPr>
        <w:t>Ayant achevé</w:t>
      </w:r>
      <w:r w:rsidRPr="008D0081">
        <w:rPr>
          <w:lang w:val="fr-FR"/>
        </w:rPr>
        <w:t xml:space="preserve"> l’examen de la communication </w:t>
      </w:r>
      <w:r w:rsidR="00042A1A">
        <w:rPr>
          <w:lang w:val="fr-FR"/>
        </w:rPr>
        <w:t>n</w:t>
      </w:r>
      <w:r w:rsidR="00042A1A" w:rsidRPr="00042A1A">
        <w:rPr>
          <w:vertAlign w:val="superscript"/>
          <w:lang w:val="fr-FR"/>
        </w:rPr>
        <w:t>o</w:t>
      </w:r>
      <w:r w:rsidRPr="008D0081">
        <w:rPr>
          <w:lang w:val="fr-FR"/>
        </w:rPr>
        <w:t> 1882/2009 présentée au nom d</w:t>
      </w:r>
      <w:r w:rsidR="00820543">
        <w:rPr>
          <w:lang w:val="fr-FR"/>
        </w:rPr>
        <w:t>’</w:t>
      </w:r>
      <w:r w:rsidRPr="008D0081">
        <w:rPr>
          <w:lang w:val="fr-FR"/>
        </w:rPr>
        <w:t xml:space="preserve">Abdelhamid Al </w:t>
      </w:r>
      <w:proofErr w:type="spellStart"/>
      <w:r w:rsidRPr="008D0081">
        <w:rPr>
          <w:lang w:val="fr-FR"/>
        </w:rPr>
        <w:t>Jilani</w:t>
      </w:r>
      <w:proofErr w:type="spellEnd"/>
      <w:r w:rsidRPr="008D0081">
        <w:rPr>
          <w:lang w:val="fr-FR"/>
        </w:rPr>
        <w:t xml:space="preserve"> Mohamed Al Daquel en vertu du Protocole facultatif se rapportant au Pacte international relatif aux droits civils et politiques,</w:t>
      </w:r>
    </w:p>
    <w:p w:rsidR="008E0725" w:rsidRPr="008D0081" w:rsidRDefault="008E0725" w:rsidP="008E0725">
      <w:pPr>
        <w:pStyle w:val="SingleTxtG"/>
        <w:ind w:firstLine="567"/>
        <w:rPr>
          <w:lang w:val="fr-FR"/>
        </w:rPr>
      </w:pPr>
      <w:r w:rsidRPr="008D0081">
        <w:rPr>
          <w:i/>
          <w:lang w:val="fr-FR"/>
        </w:rPr>
        <w:t>Ayant tenu compte</w:t>
      </w:r>
      <w:r w:rsidRPr="008D0081">
        <w:rPr>
          <w:lang w:val="fr-FR"/>
        </w:rPr>
        <w:t xml:space="preserve"> de toutes les informations écrites qui lui ont été communiquées par l’auteur de la communication et l’État partie,</w:t>
      </w:r>
    </w:p>
    <w:p w:rsidR="008E0725" w:rsidRPr="008D0081" w:rsidRDefault="008E0725" w:rsidP="008E0725">
      <w:pPr>
        <w:pStyle w:val="SingleTxtG"/>
        <w:ind w:firstLine="567"/>
        <w:rPr>
          <w:lang w:val="fr-FR"/>
        </w:rPr>
      </w:pPr>
      <w:r w:rsidRPr="008D0081">
        <w:rPr>
          <w:i/>
          <w:lang w:val="fr-FR"/>
        </w:rPr>
        <w:t>Adopte</w:t>
      </w:r>
      <w:r w:rsidRPr="008D0081">
        <w:rPr>
          <w:lang w:val="fr-FR"/>
        </w:rPr>
        <w:t xml:space="preserve"> ce qui suit:</w:t>
      </w:r>
    </w:p>
    <w:p w:rsidR="008E0725" w:rsidRPr="008D0081" w:rsidRDefault="008E0725" w:rsidP="008E0725">
      <w:pPr>
        <w:pStyle w:val="H1G"/>
        <w:rPr>
          <w:lang w:val="fr-FR"/>
        </w:rPr>
      </w:pPr>
      <w:r w:rsidRPr="008D0081">
        <w:rPr>
          <w:lang w:val="fr-FR"/>
        </w:rPr>
        <w:tab/>
      </w:r>
      <w:r w:rsidRPr="008D0081">
        <w:rPr>
          <w:lang w:val="fr-FR"/>
        </w:rPr>
        <w:tab/>
        <w:t>Constatations au titre du paragraphe 4 de l’article 5 du Protocole facultatif</w:t>
      </w:r>
    </w:p>
    <w:p w:rsidR="008E0725" w:rsidRPr="008D0081" w:rsidRDefault="008E0725" w:rsidP="00E355E2">
      <w:pPr>
        <w:pStyle w:val="SingleTxtG"/>
        <w:rPr>
          <w:lang w:val="fr-FR"/>
        </w:rPr>
      </w:pPr>
      <w:r w:rsidRPr="008D0081">
        <w:rPr>
          <w:lang w:val="fr-FR"/>
        </w:rPr>
        <w:t>1.</w:t>
      </w:r>
      <w:r w:rsidRPr="008D0081">
        <w:rPr>
          <w:lang w:val="fr-FR"/>
        </w:rPr>
        <w:tab/>
        <w:t>L’auteur de la communication datée du 5</w:t>
      </w:r>
      <w:r w:rsidR="007479C2">
        <w:rPr>
          <w:lang w:val="fr-FR"/>
        </w:rPr>
        <w:t> </w:t>
      </w:r>
      <w:r w:rsidRPr="008D0081">
        <w:rPr>
          <w:lang w:val="fr-FR"/>
        </w:rPr>
        <w:t>mai 2009 est Al Jilani Mohamed M’hamed Al Daquel, né à Beni Walid</w:t>
      </w:r>
      <w:r w:rsidR="00E355E2">
        <w:rPr>
          <w:lang w:val="fr-FR"/>
        </w:rPr>
        <w:t xml:space="preserve"> </w:t>
      </w:r>
      <w:r w:rsidR="00E355E2" w:rsidRPr="004E2EB3">
        <w:rPr>
          <w:lang w:val="fr-FR"/>
        </w:rPr>
        <w:t>(</w:t>
      </w:r>
      <w:r w:rsidRPr="004E2EB3">
        <w:rPr>
          <w:lang w:val="fr-FR"/>
        </w:rPr>
        <w:t>Libye</w:t>
      </w:r>
      <w:r w:rsidR="00E355E2" w:rsidRPr="004E2EB3">
        <w:rPr>
          <w:lang w:val="fr-FR"/>
        </w:rPr>
        <w:t>)</w:t>
      </w:r>
      <w:r w:rsidRPr="008D0081">
        <w:rPr>
          <w:lang w:val="fr-FR"/>
        </w:rPr>
        <w:t xml:space="preserve"> en 1940. Il allègue que son fils, Abdelhamid Al Jilani Mohamed Al Daquel (ci-après «Abdelhamid Al Daquel»), né le 22</w:t>
      </w:r>
      <w:r w:rsidR="007479C2">
        <w:rPr>
          <w:lang w:val="fr-FR"/>
        </w:rPr>
        <w:t> </w:t>
      </w:r>
      <w:r w:rsidRPr="008D0081">
        <w:rPr>
          <w:lang w:val="fr-FR"/>
        </w:rPr>
        <w:t>mars 1963, a été victime d’une violation des articles</w:t>
      </w:r>
      <w:r w:rsidR="007479C2">
        <w:rPr>
          <w:lang w:val="fr-FR"/>
        </w:rPr>
        <w:t> </w:t>
      </w:r>
      <w:r w:rsidRPr="008D0081">
        <w:rPr>
          <w:lang w:val="fr-FR"/>
        </w:rPr>
        <w:t>2, paragraphe</w:t>
      </w:r>
      <w:r w:rsidR="007479C2">
        <w:rPr>
          <w:lang w:val="fr-FR"/>
        </w:rPr>
        <w:t> </w:t>
      </w:r>
      <w:r w:rsidRPr="008D0081">
        <w:rPr>
          <w:lang w:val="fr-FR"/>
        </w:rPr>
        <w:t>3</w:t>
      </w:r>
      <w:r w:rsidR="007D663E">
        <w:rPr>
          <w:lang w:val="fr-FR"/>
        </w:rPr>
        <w:t>;</w:t>
      </w:r>
      <w:r w:rsidRPr="008D0081">
        <w:rPr>
          <w:lang w:val="fr-FR"/>
        </w:rPr>
        <w:t xml:space="preserve"> 6</w:t>
      </w:r>
      <w:r w:rsidR="00E53687">
        <w:rPr>
          <w:lang w:val="fr-FR"/>
        </w:rPr>
        <w:t>,</w:t>
      </w:r>
      <w:r w:rsidRPr="008D0081">
        <w:rPr>
          <w:lang w:val="fr-FR"/>
        </w:rPr>
        <w:t xml:space="preserve"> paragraphe</w:t>
      </w:r>
      <w:r w:rsidR="007479C2">
        <w:rPr>
          <w:lang w:val="fr-FR"/>
        </w:rPr>
        <w:t> </w:t>
      </w:r>
      <w:r w:rsidRPr="008D0081">
        <w:rPr>
          <w:lang w:val="fr-FR"/>
        </w:rPr>
        <w:t>1</w:t>
      </w:r>
      <w:r w:rsidR="007D663E">
        <w:rPr>
          <w:lang w:val="fr-FR"/>
        </w:rPr>
        <w:t>;</w:t>
      </w:r>
      <w:r w:rsidRPr="008D0081">
        <w:rPr>
          <w:lang w:val="fr-FR"/>
        </w:rPr>
        <w:t xml:space="preserve"> 7</w:t>
      </w:r>
      <w:r w:rsidR="007D663E">
        <w:rPr>
          <w:lang w:val="fr-FR"/>
        </w:rPr>
        <w:t>;</w:t>
      </w:r>
      <w:r w:rsidRPr="008D0081">
        <w:rPr>
          <w:lang w:val="fr-FR"/>
        </w:rPr>
        <w:t xml:space="preserve"> 9</w:t>
      </w:r>
      <w:r w:rsidR="00E53687">
        <w:rPr>
          <w:lang w:val="fr-FR"/>
        </w:rPr>
        <w:t>,</w:t>
      </w:r>
      <w:r w:rsidRPr="008D0081">
        <w:rPr>
          <w:lang w:val="fr-FR"/>
        </w:rPr>
        <w:t xml:space="preserve"> paragraphes</w:t>
      </w:r>
      <w:r w:rsidR="007479C2">
        <w:rPr>
          <w:lang w:val="fr-FR"/>
        </w:rPr>
        <w:t> </w:t>
      </w:r>
      <w:r w:rsidRPr="008D0081">
        <w:rPr>
          <w:lang w:val="fr-FR"/>
        </w:rPr>
        <w:t>1</w:t>
      </w:r>
      <w:r w:rsidR="00E53687">
        <w:rPr>
          <w:lang w:val="fr-FR"/>
        </w:rPr>
        <w:t xml:space="preserve"> à </w:t>
      </w:r>
      <w:r w:rsidRPr="008D0081">
        <w:rPr>
          <w:lang w:val="fr-FR"/>
        </w:rPr>
        <w:t>4</w:t>
      </w:r>
      <w:r w:rsidR="007D663E">
        <w:rPr>
          <w:lang w:val="fr-FR"/>
        </w:rPr>
        <w:t>;</w:t>
      </w:r>
      <w:r w:rsidRPr="008D0081">
        <w:rPr>
          <w:lang w:val="fr-FR"/>
        </w:rPr>
        <w:t xml:space="preserve"> 10, paragraphe</w:t>
      </w:r>
      <w:r w:rsidR="007479C2">
        <w:rPr>
          <w:lang w:val="fr-FR"/>
        </w:rPr>
        <w:t> </w:t>
      </w:r>
      <w:r w:rsidRPr="008D0081">
        <w:rPr>
          <w:lang w:val="fr-FR"/>
        </w:rPr>
        <w:t>1</w:t>
      </w:r>
      <w:r w:rsidR="007D663E">
        <w:rPr>
          <w:lang w:val="fr-FR"/>
        </w:rPr>
        <w:t>;</w:t>
      </w:r>
      <w:r w:rsidR="00590CE3">
        <w:rPr>
          <w:lang w:val="fr-FR"/>
        </w:rPr>
        <w:t xml:space="preserve"> </w:t>
      </w:r>
      <w:r w:rsidRPr="008D0081">
        <w:rPr>
          <w:lang w:val="fr-FR"/>
        </w:rPr>
        <w:t>et 16 du Pacte par la Libye. Il soutient en outre que sa femme, Rabiia Mhamed Fredj, née en 1947, ses six autres enfants</w:t>
      </w:r>
      <w:r w:rsidRPr="00496581">
        <w:rPr>
          <w:rStyle w:val="FootnoteReference"/>
        </w:rPr>
        <w:footnoteReference w:id="3"/>
      </w:r>
      <w:r w:rsidR="007479C2">
        <w:rPr>
          <w:lang w:val="fr-FR"/>
        </w:rPr>
        <w:t>,</w:t>
      </w:r>
      <w:r w:rsidRPr="008D0081">
        <w:rPr>
          <w:lang w:val="fr-FR"/>
        </w:rPr>
        <w:t xml:space="preserve"> ainsi que lui-même ont été victimes de violations des articles</w:t>
      </w:r>
      <w:r w:rsidR="007479C2">
        <w:rPr>
          <w:lang w:val="fr-FR"/>
        </w:rPr>
        <w:t> </w:t>
      </w:r>
      <w:r w:rsidRPr="008D0081">
        <w:rPr>
          <w:lang w:val="fr-FR"/>
        </w:rPr>
        <w:t>2, paragraphe</w:t>
      </w:r>
      <w:r w:rsidR="007479C2">
        <w:rPr>
          <w:lang w:val="fr-FR"/>
        </w:rPr>
        <w:t> </w:t>
      </w:r>
      <w:r w:rsidRPr="008D0081">
        <w:rPr>
          <w:lang w:val="fr-FR"/>
        </w:rPr>
        <w:t>3</w:t>
      </w:r>
      <w:r w:rsidR="00E81424">
        <w:rPr>
          <w:lang w:val="fr-FR"/>
        </w:rPr>
        <w:t>,</w:t>
      </w:r>
      <w:r w:rsidRPr="008D0081">
        <w:rPr>
          <w:lang w:val="fr-FR"/>
        </w:rPr>
        <w:t xml:space="preserve"> et 7 du Pacte.</w:t>
      </w:r>
    </w:p>
    <w:p w:rsidR="008E0725" w:rsidRPr="008D0081" w:rsidRDefault="008E0725" w:rsidP="008E0725">
      <w:pPr>
        <w:pStyle w:val="H23G"/>
        <w:rPr>
          <w:lang w:val="fr-FR"/>
        </w:rPr>
      </w:pPr>
      <w:r w:rsidRPr="008D0081">
        <w:rPr>
          <w:lang w:val="fr-FR"/>
        </w:rPr>
        <w:tab/>
      </w:r>
      <w:r w:rsidRPr="008D0081">
        <w:rPr>
          <w:lang w:val="fr-FR"/>
        </w:rPr>
        <w:tab/>
        <w:t>Rappel des faits présentés par l’auteur</w:t>
      </w:r>
    </w:p>
    <w:p w:rsidR="008E0725" w:rsidRPr="008D0081" w:rsidRDefault="008E0725" w:rsidP="001229CC">
      <w:pPr>
        <w:pStyle w:val="SingleTxtG"/>
        <w:rPr>
          <w:lang w:val="fr-FR"/>
        </w:rPr>
      </w:pPr>
      <w:r w:rsidRPr="008D0081">
        <w:rPr>
          <w:lang w:val="fr-FR"/>
        </w:rPr>
        <w:t>2.1</w:t>
      </w:r>
      <w:r w:rsidRPr="008D0081">
        <w:rPr>
          <w:lang w:val="fr-FR"/>
        </w:rPr>
        <w:tab/>
        <w:t>Abdelhamid Al Daquel est un ancien pilote de l’armée de l’air libyenne, né le 22</w:t>
      </w:r>
      <w:r w:rsidR="007479C2">
        <w:rPr>
          <w:lang w:val="fr-FR"/>
        </w:rPr>
        <w:t> </w:t>
      </w:r>
      <w:r w:rsidRPr="008D0081">
        <w:rPr>
          <w:lang w:val="fr-FR"/>
        </w:rPr>
        <w:t>mars 1963 à Beni Walid. Le 26</w:t>
      </w:r>
      <w:r w:rsidR="007479C2">
        <w:rPr>
          <w:lang w:val="fr-FR"/>
        </w:rPr>
        <w:t> </w:t>
      </w:r>
      <w:r w:rsidRPr="008D0081">
        <w:rPr>
          <w:lang w:val="fr-FR"/>
        </w:rPr>
        <w:t xml:space="preserve">janvier 1989, il a été arrêté à Foum Molghat, près de Tarhouna, par plusieurs agents de la </w:t>
      </w:r>
      <w:r w:rsidR="004E2EB3">
        <w:rPr>
          <w:lang w:val="fr-FR"/>
        </w:rPr>
        <w:t xml:space="preserve">sécurité </w:t>
      </w:r>
      <w:r w:rsidRPr="008D0081">
        <w:rPr>
          <w:lang w:val="fr-FR"/>
        </w:rPr>
        <w:t>intérieure libyenne (</w:t>
      </w:r>
      <w:r w:rsidRPr="008D0081">
        <w:rPr>
          <w:i/>
          <w:lang w:val="fr-FR"/>
        </w:rPr>
        <w:t>al amn addakhili</w:t>
      </w:r>
      <w:r w:rsidRPr="008D0081">
        <w:rPr>
          <w:lang w:val="fr-FR"/>
        </w:rPr>
        <w:t>). Lors de son arrestation, il se trouvait dans un véhicule en compagnie de trois autres personnes</w:t>
      </w:r>
      <w:r w:rsidR="007D663E">
        <w:rPr>
          <w:lang w:val="fr-FR"/>
        </w:rPr>
        <w:t>:</w:t>
      </w:r>
      <w:r w:rsidRPr="008D0081">
        <w:rPr>
          <w:lang w:val="fr-FR"/>
        </w:rPr>
        <w:t xml:space="preserve"> </w:t>
      </w:r>
      <w:r w:rsidR="00707A58">
        <w:rPr>
          <w:lang w:val="fr-FR"/>
        </w:rPr>
        <w:t>l</w:t>
      </w:r>
      <w:r w:rsidRPr="008D0081">
        <w:rPr>
          <w:lang w:val="fr-FR"/>
        </w:rPr>
        <w:t>e chauffeur du véhicule, un instituteur à Beni Walid et un lieutenant pilote de</w:t>
      </w:r>
      <w:r w:rsidR="00590CE3">
        <w:rPr>
          <w:lang w:val="fr-FR"/>
        </w:rPr>
        <w:t xml:space="preserve"> </w:t>
      </w:r>
      <w:r w:rsidRPr="008D0081">
        <w:rPr>
          <w:lang w:val="fr-FR"/>
        </w:rPr>
        <w:t xml:space="preserve">la même unité de l’armée de l’air que lui. Ces trois personnes ont été arrêtées en même temps que la victime. Les deux premières ont été détenues au secret pendant </w:t>
      </w:r>
      <w:r w:rsidR="001472BF" w:rsidRPr="004E2EB3">
        <w:rPr>
          <w:lang w:val="fr-FR"/>
        </w:rPr>
        <w:t>quinze</w:t>
      </w:r>
      <w:r w:rsidR="001472BF">
        <w:rPr>
          <w:lang w:val="fr-FR"/>
        </w:rPr>
        <w:t> </w:t>
      </w:r>
      <w:r w:rsidRPr="008D0081">
        <w:rPr>
          <w:lang w:val="fr-FR"/>
        </w:rPr>
        <w:t xml:space="preserve">jours dans les locaux de la </w:t>
      </w:r>
      <w:r w:rsidR="004E2EB3">
        <w:rPr>
          <w:lang w:val="fr-FR"/>
        </w:rPr>
        <w:t>sécurité</w:t>
      </w:r>
      <w:r w:rsidR="004E2EB3" w:rsidRPr="008D0081">
        <w:rPr>
          <w:lang w:val="fr-FR"/>
        </w:rPr>
        <w:t xml:space="preserve"> </w:t>
      </w:r>
      <w:r w:rsidRPr="008D0081">
        <w:rPr>
          <w:lang w:val="fr-FR"/>
        </w:rPr>
        <w:t>intérieure à Tripoli, puis finalement libérées. Quant à la troisième personne (le lieutenant pilote), elle a été détenue au secret plusieurs années avant d’être libérée de la prison d’Abou Salim, près de Tripoli, en mars 1995.</w:t>
      </w:r>
    </w:p>
    <w:p w:rsidR="008E0725" w:rsidRPr="008D0081" w:rsidRDefault="008E0725" w:rsidP="007479C2">
      <w:pPr>
        <w:pStyle w:val="SingleTxtG"/>
        <w:rPr>
          <w:lang w:val="fr-FR"/>
        </w:rPr>
      </w:pPr>
      <w:r w:rsidRPr="008D0081">
        <w:rPr>
          <w:lang w:val="fr-FR"/>
        </w:rPr>
        <w:t>2.2</w:t>
      </w:r>
      <w:r w:rsidRPr="008D0081">
        <w:rPr>
          <w:lang w:val="fr-FR"/>
        </w:rPr>
        <w:tab/>
        <w:t>Malgré les nombreuses démarches de l’auteur auprès de différentes autorités pénitentiaires, politiques et judiciaires, celles-ci n’ont jamais reconnu la détention de son fils. Dès l’arrestation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l’auteur s’est rendu à la caserne militaire où son fils était affecté, pour tenter d’obtenir des informations de la part de ses collègues. Aucun d’entre eux n’a accepté de l’informer ou de l’orienter, ce dont l’auteur a déduit que l’arrestation de son fils était motivée par des considérations politiques</w:t>
      </w:r>
      <w:r w:rsidRPr="00496581">
        <w:rPr>
          <w:rStyle w:val="FootnoteReference"/>
        </w:rPr>
        <w:footnoteReference w:id="4"/>
      </w:r>
      <w:r w:rsidR="007479C2">
        <w:rPr>
          <w:lang w:val="fr-FR"/>
        </w:rPr>
        <w:t>.</w:t>
      </w:r>
      <w:r w:rsidRPr="008D0081">
        <w:rPr>
          <w:lang w:val="fr-FR"/>
        </w:rPr>
        <w:t xml:space="preserve"> </w:t>
      </w:r>
    </w:p>
    <w:p w:rsidR="008E0725" w:rsidRPr="008D0081" w:rsidRDefault="008E0725" w:rsidP="00B63096">
      <w:pPr>
        <w:pStyle w:val="SingleTxtG"/>
        <w:rPr>
          <w:lang w:val="fr-FR"/>
        </w:rPr>
      </w:pPr>
      <w:r w:rsidRPr="008D0081">
        <w:rPr>
          <w:lang w:val="fr-FR"/>
        </w:rPr>
        <w:t>2.3</w:t>
      </w:r>
      <w:r w:rsidRPr="008D0081">
        <w:rPr>
          <w:lang w:val="fr-FR"/>
        </w:rPr>
        <w:tab/>
        <w:t>Ce n’est qu’en 1995, suite à la libération du pilote de l’air qui avait été arrêté en même temps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que la famille de la victime, qui n’avait plus de nouvelles de lui depuis son arrestation six années auparavant, a </w:t>
      </w:r>
      <w:r w:rsidR="00D5211C" w:rsidRPr="004E2EB3">
        <w:rPr>
          <w:lang w:val="fr-FR"/>
        </w:rPr>
        <w:t>appris</w:t>
      </w:r>
      <w:r w:rsidR="00D5211C" w:rsidRPr="008D0081">
        <w:rPr>
          <w:lang w:val="fr-FR"/>
        </w:rPr>
        <w:t xml:space="preserve"> </w:t>
      </w:r>
      <w:r w:rsidRPr="008D0081">
        <w:rPr>
          <w:lang w:val="fr-FR"/>
        </w:rPr>
        <w:t xml:space="preserve">pour la première fois que ce dernier était vivant et se trouvait détenu au secret dans la prison d’Abou Salim. La famille </w:t>
      </w:r>
      <w:r w:rsidR="00B63096" w:rsidRPr="004E2EB3">
        <w:rPr>
          <w:lang w:val="fr-FR"/>
        </w:rPr>
        <w:t>apprit</w:t>
      </w:r>
      <w:r w:rsidR="00B63096" w:rsidRPr="008D0081">
        <w:rPr>
          <w:lang w:val="fr-FR"/>
        </w:rPr>
        <w:t xml:space="preserve"> </w:t>
      </w:r>
      <w:r w:rsidRPr="008D0081">
        <w:rPr>
          <w:lang w:val="fr-FR"/>
        </w:rPr>
        <w:t>également que la victime n’avait jamais fait l’objet d’une procédure judiciaire</w:t>
      </w:r>
      <w:r w:rsidR="00B63096">
        <w:rPr>
          <w:lang w:val="fr-FR"/>
        </w:rPr>
        <w:t>;</w:t>
      </w:r>
      <w:r w:rsidRPr="008D0081">
        <w:rPr>
          <w:lang w:val="fr-FR"/>
        </w:rPr>
        <w:t xml:space="preserve"> </w:t>
      </w:r>
      <w:r w:rsidR="00B63096" w:rsidRPr="004E2EB3">
        <w:rPr>
          <w:lang w:val="fr-FR"/>
        </w:rPr>
        <w:t>l’auteur</w:t>
      </w:r>
      <w:r w:rsidRPr="008D0081">
        <w:rPr>
          <w:lang w:val="fr-FR"/>
        </w:rPr>
        <w:t xml:space="preserve"> obtint par la suite quelques autres informations indirectes, </w:t>
      </w:r>
      <w:r w:rsidR="00B63096" w:rsidRPr="004E2EB3">
        <w:rPr>
          <w:lang w:val="fr-FR"/>
        </w:rPr>
        <w:t>lui</w:t>
      </w:r>
      <w:r w:rsidR="00B63096" w:rsidRPr="008D0081">
        <w:rPr>
          <w:lang w:val="fr-FR"/>
        </w:rPr>
        <w:t xml:space="preserve"> </w:t>
      </w:r>
      <w:r w:rsidRPr="008D0081">
        <w:rPr>
          <w:lang w:val="fr-FR"/>
        </w:rPr>
        <w:t xml:space="preserve">confirmant que </w:t>
      </w:r>
      <w:r w:rsidR="00B63096" w:rsidRPr="004E2EB3">
        <w:rPr>
          <w:lang w:val="fr-FR"/>
        </w:rPr>
        <w:t>son</w:t>
      </w:r>
      <w:r w:rsidR="00B63096" w:rsidRPr="008D0081">
        <w:rPr>
          <w:lang w:val="fr-FR"/>
        </w:rPr>
        <w:t xml:space="preserve"> </w:t>
      </w:r>
      <w:r w:rsidRPr="008D0081">
        <w:rPr>
          <w:lang w:val="fr-FR"/>
        </w:rPr>
        <w:t xml:space="preserve">fils se trouvait toujours dans la prison d’Abou Salim, mais sans jamais cependant en avoir une confirmation officielle, </w:t>
      </w:r>
      <w:r w:rsidR="00B63096" w:rsidRPr="001229CC">
        <w:rPr>
          <w:lang w:val="fr-FR"/>
        </w:rPr>
        <w:t>ni</w:t>
      </w:r>
      <w:r w:rsidR="00B63096" w:rsidRPr="008D0081">
        <w:rPr>
          <w:lang w:val="fr-FR"/>
        </w:rPr>
        <w:t xml:space="preserve"> </w:t>
      </w:r>
      <w:r w:rsidRPr="008D0081">
        <w:rPr>
          <w:lang w:val="fr-FR"/>
        </w:rPr>
        <w:t>obtenir l’autorisation de lui rendre visite.</w:t>
      </w:r>
      <w:r w:rsidR="00590CE3">
        <w:rPr>
          <w:lang w:val="fr-FR"/>
        </w:rPr>
        <w:t xml:space="preserve"> </w:t>
      </w:r>
    </w:p>
    <w:p w:rsidR="008E0725" w:rsidRPr="008D0081" w:rsidRDefault="008E0725" w:rsidP="001229CC">
      <w:pPr>
        <w:pStyle w:val="SingleTxtG"/>
        <w:rPr>
          <w:lang w:val="fr-FR"/>
        </w:rPr>
      </w:pPr>
      <w:r w:rsidRPr="008D0081">
        <w:rPr>
          <w:lang w:val="fr-FR"/>
        </w:rPr>
        <w:t>2.4</w:t>
      </w:r>
      <w:r w:rsidRPr="008D0081">
        <w:rPr>
          <w:lang w:val="fr-FR"/>
        </w:rPr>
        <w:tab/>
        <w:t>Le 8</w:t>
      </w:r>
      <w:r w:rsidR="007479C2">
        <w:rPr>
          <w:lang w:val="fr-FR"/>
        </w:rPr>
        <w:t> </w:t>
      </w:r>
      <w:r w:rsidRPr="008D0081">
        <w:rPr>
          <w:lang w:val="fr-FR"/>
        </w:rPr>
        <w:t xml:space="preserve">novembre 2008, soit près de </w:t>
      </w:r>
      <w:r w:rsidR="00F8085D" w:rsidRPr="004E2EB3">
        <w:rPr>
          <w:lang w:val="fr-FR"/>
        </w:rPr>
        <w:t>vingt</w:t>
      </w:r>
      <w:r w:rsidR="00F8085D">
        <w:rPr>
          <w:lang w:val="fr-FR"/>
        </w:rPr>
        <w:t> </w:t>
      </w:r>
      <w:r w:rsidRPr="008D0081">
        <w:rPr>
          <w:lang w:val="fr-FR"/>
        </w:rPr>
        <w:t>ans après son arrestation, la famille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w:t>
      </w:r>
      <w:r w:rsidR="00590CE3">
        <w:rPr>
          <w:lang w:val="fr-FR"/>
        </w:rPr>
        <w:t xml:space="preserve"> </w:t>
      </w:r>
      <w:r w:rsidRPr="008D0081">
        <w:rPr>
          <w:lang w:val="fr-FR"/>
        </w:rPr>
        <w:t xml:space="preserve">reçu la visite d’agents de la </w:t>
      </w:r>
      <w:r w:rsidR="004E2EB3">
        <w:rPr>
          <w:lang w:val="fr-FR"/>
        </w:rPr>
        <w:t>sécurité</w:t>
      </w:r>
      <w:r w:rsidR="00542720" w:rsidRPr="008D0081">
        <w:rPr>
          <w:lang w:val="fr-FR"/>
        </w:rPr>
        <w:t xml:space="preserve"> </w:t>
      </w:r>
      <w:r w:rsidRPr="008D0081">
        <w:rPr>
          <w:lang w:val="fr-FR"/>
        </w:rPr>
        <w:t xml:space="preserve">intérieure de Beni Walid, qui </w:t>
      </w:r>
      <w:r w:rsidR="004E2EB3" w:rsidRPr="008D0081">
        <w:rPr>
          <w:lang w:val="fr-FR"/>
        </w:rPr>
        <w:t>l’</w:t>
      </w:r>
      <w:r w:rsidR="004E2EB3">
        <w:rPr>
          <w:lang w:val="fr-FR"/>
        </w:rPr>
        <w:t>ont</w:t>
      </w:r>
      <w:r w:rsidR="004E2EB3" w:rsidRPr="008D0081">
        <w:rPr>
          <w:lang w:val="fr-FR"/>
        </w:rPr>
        <w:t xml:space="preserve"> </w:t>
      </w:r>
      <w:r w:rsidRPr="008D0081">
        <w:rPr>
          <w:lang w:val="fr-FR"/>
        </w:rPr>
        <w:t xml:space="preserve">informée du décès de la victime. Ces agents ont refusé de communiquer à la famille tout détail </w:t>
      </w:r>
      <w:r w:rsidR="00CC53A9" w:rsidRPr="004E2EB3">
        <w:rPr>
          <w:lang w:val="fr-FR"/>
        </w:rPr>
        <w:t>concernant</w:t>
      </w:r>
      <w:r w:rsidRPr="008D0081">
        <w:rPr>
          <w:lang w:val="fr-FR"/>
        </w:rPr>
        <w:t xml:space="preserve"> la date et les circonstances du décès. Ils se sont contentés de demander à </w:t>
      </w:r>
      <w:r w:rsidR="005D14D9">
        <w:rPr>
          <w:lang w:val="fr-FR"/>
        </w:rPr>
        <w:t>l</w:t>
      </w:r>
      <w:r w:rsidRPr="008D0081">
        <w:rPr>
          <w:lang w:val="fr-FR"/>
        </w:rPr>
        <w:t xml:space="preserve">a famille d’«annoncer publiquement ce décès», en ajoutant qu’ils </w:t>
      </w:r>
      <w:r w:rsidR="00A22CEC" w:rsidRPr="004E2EB3">
        <w:rPr>
          <w:lang w:val="fr-FR"/>
        </w:rPr>
        <w:t>lui</w:t>
      </w:r>
      <w:r w:rsidR="00A22CEC" w:rsidRPr="008D0081">
        <w:rPr>
          <w:lang w:val="fr-FR"/>
        </w:rPr>
        <w:t xml:space="preserve"> </w:t>
      </w:r>
      <w:r w:rsidRPr="008D0081">
        <w:rPr>
          <w:lang w:val="fr-FR"/>
        </w:rPr>
        <w:t>délivreraient prochainement un certificat officiel y</w:t>
      </w:r>
      <w:r w:rsidR="00B52C07">
        <w:rPr>
          <w:lang w:val="fr-FR"/>
        </w:rPr>
        <w:t xml:space="preserve"> </w:t>
      </w:r>
      <w:r w:rsidRPr="008D0081">
        <w:rPr>
          <w:lang w:val="fr-FR"/>
        </w:rPr>
        <w:t>relatif.</w:t>
      </w:r>
    </w:p>
    <w:p w:rsidR="008E0725" w:rsidRPr="008D0081" w:rsidRDefault="008E0725" w:rsidP="00EF0E44">
      <w:pPr>
        <w:pStyle w:val="SingleTxtG"/>
        <w:rPr>
          <w:lang w:val="fr-FR"/>
        </w:rPr>
      </w:pPr>
      <w:r w:rsidRPr="008D0081">
        <w:rPr>
          <w:lang w:val="fr-FR"/>
        </w:rPr>
        <w:t>2.5</w:t>
      </w:r>
      <w:r w:rsidRPr="008D0081">
        <w:rPr>
          <w:lang w:val="fr-FR"/>
        </w:rPr>
        <w:tab/>
        <w:t>Quelques jours plus tard, les mêmes agents se sont effectivement présentés de nouveau au domicile familial et ont remis à la famille une attestation datée du 6</w:t>
      </w:r>
      <w:r w:rsidR="00496581">
        <w:rPr>
          <w:lang w:val="fr-FR"/>
        </w:rPr>
        <w:t> </w:t>
      </w:r>
      <w:r w:rsidRPr="008D0081">
        <w:rPr>
          <w:lang w:val="fr-FR"/>
        </w:rPr>
        <w:t>novembre 2008, établissant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était décédé à Tripoli le 23</w:t>
      </w:r>
      <w:r w:rsidR="00496581">
        <w:rPr>
          <w:lang w:val="fr-FR"/>
        </w:rPr>
        <w:t> </w:t>
      </w:r>
      <w:r w:rsidRPr="008D0081">
        <w:rPr>
          <w:lang w:val="fr-FR"/>
        </w:rPr>
        <w:t>juin 1996, décès enregistré sur les registres de l’état civil de l’année 2008 sous le numéro 200/2008</w:t>
      </w:r>
      <w:r w:rsidRPr="00496581">
        <w:rPr>
          <w:rStyle w:val="FootnoteReference"/>
        </w:rPr>
        <w:footnoteReference w:id="5"/>
      </w:r>
      <w:r w:rsidR="00496581">
        <w:rPr>
          <w:lang w:val="fr-FR"/>
        </w:rPr>
        <w:t>.</w:t>
      </w:r>
      <w:r w:rsidRPr="008D0081">
        <w:rPr>
          <w:lang w:val="fr-FR"/>
        </w:rPr>
        <w:t xml:space="preserve"> Les agents de </w:t>
      </w:r>
      <w:r w:rsidR="00B52C07">
        <w:rPr>
          <w:lang w:val="fr-FR"/>
        </w:rPr>
        <w:t xml:space="preserve">la </w:t>
      </w:r>
      <w:r w:rsidR="004E2EB3">
        <w:rPr>
          <w:lang w:val="fr-FR"/>
        </w:rPr>
        <w:t>sécurité</w:t>
      </w:r>
      <w:r w:rsidR="00542720" w:rsidRPr="008D0081">
        <w:rPr>
          <w:lang w:val="fr-FR"/>
        </w:rPr>
        <w:t xml:space="preserve"> </w:t>
      </w:r>
      <w:r w:rsidRPr="008D0081">
        <w:rPr>
          <w:lang w:val="fr-FR"/>
        </w:rPr>
        <w:t xml:space="preserve">ont de nouveau refusé de donner à </w:t>
      </w:r>
      <w:r w:rsidR="00C84797" w:rsidRPr="004E2EB3">
        <w:rPr>
          <w:lang w:val="fr-FR"/>
        </w:rPr>
        <w:t>l’auteur</w:t>
      </w:r>
      <w:r w:rsidRPr="008D0081">
        <w:rPr>
          <w:lang w:val="fr-FR"/>
        </w:rPr>
        <w:t xml:space="preserve"> des précisions sur les circonstances du décès de </w:t>
      </w:r>
      <w:r w:rsidR="00C84797" w:rsidRPr="004E2EB3">
        <w:rPr>
          <w:lang w:val="fr-FR"/>
        </w:rPr>
        <w:t>son</w:t>
      </w:r>
      <w:r w:rsidR="00C84797" w:rsidRPr="008D0081">
        <w:rPr>
          <w:lang w:val="fr-FR"/>
        </w:rPr>
        <w:t xml:space="preserve"> </w:t>
      </w:r>
      <w:r w:rsidRPr="008D0081">
        <w:rPr>
          <w:lang w:val="fr-FR"/>
        </w:rPr>
        <w:t xml:space="preserve">fils, </w:t>
      </w:r>
      <w:r w:rsidR="00261D2E">
        <w:rPr>
          <w:lang w:val="fr-FR"/>
        </w:rPr>
        <w:t>et</w:t>
      </w:r>
      <w:r w:rsidR="00261D2E" w:rsidRPr="008D0081">
        <w:rPr>
          <w:lang w:val="fr-FR"/>
        </w:rPr>
        <w:t xml:space="preserve"> </w:t>
      </w:r>
      <w:r w:rsidRPr="008D0081">
        <w:rPr>
          <w:lang w:val="fr-FR"/>
        </w:rPr>
        <w:t xml:space="preserve">même de lui dire où celui-ci </w:t>
      </w:r>
      <w:r w:rsidR="00261D2E">
        <w:rPr>
          <w:lang w:val="fr-FR"/>
        </w:rPr>
        <w:t>était</w:t>
      </w:r>
      <w:r w:rsidR="00261D2E" w:rsidRPr="008D0081">
        <w:rPr>
          <w:lang w:val="fr-FR"/>
        </w:rPr>
        <w:t xml:space="preserve"> </w:t>
      </w:r>
      <w:r w:rsidRPr="008D0081">
        <w:rPr>
          <w:lang w:val="fr-FR"/>
        </w:rPr>
        <w:t xml:space="preserve">inhumé. C’est pourquoi l’auteur a fait part aux autorités de son refus d’annoncer publiquement le décès de son fils, tant que ces dernières ne restituaient pas à la famille la dépouille de la victime et ne </w:t>
      </w:r>
      <w:r w:rsidR="00DB44D4" w:rsidRPr="008D0081">
        <w:rPr>
          <w:lang w:val="fr-FR"/>
        </w:rPr>
        <w:t>l</w:t>
      </w:r>
      <w:r w:rsidR="00DB44D4">
        <w:rPr>
          <w:lang w:val="fr-FR"/>
        </w:rPr>
        <w:t>ui</w:t>
      </w:r>
      <w:r w:rsidR="00DB44D4" w:rsidRPr="008D0081">
        <w:rPr>
          <w:lang w:val="fr-FR"/>
        </w:rPr>
        <w:t xml:space="preserve"> </w:t>
      </w:r>
      <w:r w:rsidRPr="008D0081">
        <w:rPr>
          <w:lang w:val="fr-FR"/>
        </w:rPr>
        <w:t xml:space="preserve">communiquaient pas les causes exactes du décès, après qu’une autopsie ait été effectuée. </w:t>
      </w:r>
    </w:p>
    <w:p w:rsidR="008E0725" w:rsidRPr="008D0081" w:rsidRDefault="008E0725" w:rsidP="00496581">
      <w:pPr>
        <w:pStyle w:val="SingleTxtG"/>
        <w:rPr>
          <w:lang w:val="fr-FR"/>
        </w:rPr>
      </w:pPr>
      <w:r w:rsidRPr="008D0081">
        <w:rPr>
          <w:lang w:val="fr-FR"/>
        </w:rPr>
        <w:t>2.6</w:t>
      </w:r>
      <w:r w:rsidRPr="008D0081">
        <w:rPr>
          <w:lang w:val="fr-FR"/>
        </w:rPr>
        <w:tab/>
        <w:t>L’auteur note que la date alléguée du décès, soit le 23</w:t>
      </w:r>
      <w:r w:rsidR="00496581">
        <w:rPr>
          <w:lang w:val="fr-FR"/>
        </w:rPr>
        <w:t> </w:t>
      </w:r>
      <w:r w:rsidRPr="008D0081">
        <w:rPr>
          <w:lang w:val="fr-FR"/>
        </w:rPr>
        <w:t>juin 1996, correspond au massacre d’Abou Salim, l’un des plus grands massacres de prisonniers de l’histoire contemporaine, au cours duquel au moins un millier de détenus ont été tués à l’intérieur de la prison par les services de sécurité libyens. Après ces événements, les autorités n’ont jamais publié de listes de victimes, et ont laissé les familles des victimes dans l’angoisse et l’incertitude quant au sort de leurs proches.</w:t>
      </w:r>
    </w:p>
    <w:p w:rsidR="008E0725" w:rsidRPr="008D0081" w:rsidRDefault="008E0725" w:rsidP="001229CC">
      <w:pPr>
        <w:pStyle w:val="SingleTxtG"/>
        <w:rPr>
          <w:lang w:val="fr-FR"/>
        </w:rPr>
      </w:pPr>
      <w:r w:rsidRPr="008D0081">
        <w:rPr>
          <w:lang w:val="fr-FR"/>
        </w:rPr>
        <w:t>2.7</w:t>
      </w:r>
      <w:r w:rsidRPr="008D0081">
        <w:rPr>
          <w:lang w:val="fr-FR"/>
        </w:rPr>
        <w:tab/>
        <w:t>L’auteur soutient qu’il a entrepris toutes les démarches possibles auprès des autorités compétentes afin de connaître le sort de son fils. Après la libération des deux premières personnes qui avaient été arrêtées en même temps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et libérées </w:t>
      </w:r>
      <w:r w:rsidR="001472BF" w:rsidRPr="004E2EB3">
        <w:rPr>
          <w:lang w:val="fr-FR"/>
        </w:rPr>
        <w:t>quinze</w:t>
      </w:r>
      <w:r w:rsidR="001472BF">
        <w:rPr>
          <w:lang w:val="fr-FR"/>
        </w:rPr>
        <w:t> </w:t>
      </w:r>
      <w:r w:rsidRPr="008D0081">
        <w:rPr>
          <w:lang w:val="fr-FR"/>
        </w:rPr>
        <w:t xml:space="preserve">jours plus tard </w:t>
      </w:r>
      <w:r w:rsidR="00496581">
        <w:rPr>
          <w:lang w:val="fr-FR"/>
        </w:rPr>
        <w:t xml:space="preserve">– </w:t>
      </w:r>
      <w:r w:rsidRPr="008D0081">
        <w:rPr>
          <w:lang w:val="fr-FR"/>
        </w:rPr>
        <w:t xml:space="preserve">ce qui lui a permis de déduire que ce dernier était probablement détenu dans les locaux de la </w:t>
      </w:r>
      <w:r w:rsidR="004E2EB3">
        <w:rPr>
          <w:lang w:val="fr-FR"/>
        </w:rPr>
        <w:t>sécurité</w:t>
      </w:r>
      <w:r w:rsidR="00542720" w:rsidRPr="008D0081">
        <w:rPr>
          <w:lang w:val="fr-FR"/>
        </w:rPr>
        <w:t xml:space="preserve"> </w:t>
      </w:r>
      <w:r w:rsidRPr="008D0081">
        <w:rPr>
          <w:lang w:val="fr-FR"/>
        </w:rPr>
        <w:t>intérieure</w:t>
      </w:r>
      <w:r w:rsidR="00302E2C">
        <w:rPr>
          <w:lang w:val="fr-FR"/>
        </w:rPr>
        <w:t xml:space="preserve"> </w:t>
      </w:r>
      <w:r w:rsidR="00496581">
        <w:rPr>
          <w:lang w:val="fr-FR"/>
        </w:rPr>
        <w:t>–</w:t>
      </w:r>
      <w:r w:rsidRPr="008D0081">
        <w:rPr>
          <w:lang w:val="fr-FR"/>
        </w:rPr>
        <w:t>, il s’est rendu à Tripoli pour tenter d’obtenir des renseignements de la part de ces services, en vain. Ces autorités n’ont pas reconnu détenir la victime. L’auteur s’est alors adressé à plusieurs reprises aux comités populaires locaux pour leur demander d’intervenir auprès des autorités supérieures, toujours sans résultat. Après avoir appris en 1995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était encore en vie et qu’il était détenu à la prison d’Abou Salim (</w:t>
      </w:r>
      <w:r w:rsidR="00FB0DF1" w:rsidRPr="004E2EB3">
        <w:rPr>
          <w:lang w:val="fr-FR"/>
        </w:rPr>
        <w:t>voir</w:t>
      </w:r>
      <w:r w:rsidR="00FB0DF1">
        <w:rPr>
          <w:lang w:val="fr-FR"/>
        </w:rPr>
        <w:t xml:space="preserve"> </w:t>
      </w:r>
      <w:r w:rsidRPr="008D0081">
        <w:rPr>
          <w:lang w:val="fr-FR"/>
        </w:rPr>
        <w:t>par.</w:t>
      </w:r>
      <w:r w:rsidR="00496581">
        <w:rPr>
          <w:lang w:val="fr-FR"/>
        </w:rPr>
        <w:t> </w:t>
      </w:r>
      <w:r w:rsidRPr="008D0081">
        <w:rPr>
          <w:lang w:val="fr-FR"/>
        </w:rPr>
        <w:t xml:space="preserve">2.3), l’auteur s’est rendu en ce lieu pour tenter de </w:t>
      </w:r>
      <w:r w:rsidR="00D76222">
        <w:rPr>
          <w:lang w:val="fr-FR"/>
        </w:rPr>
        <w:t xml:space="preserve">rendre </w:t>
      </w:r>
      <w:r w:rsidRPr="008D0081">
        <w:rPr>
          <w:lang w:val="fr-FR"/>
        </w:rPr>
        <w:t>visite</w:t>
      </w:r>
      <w:r w:rsidR="00D76222">
        <w:rPr>
          <w:lang w:val="fr-FR"/>
        </w:rPr>
        <w:t xml:space="preserve"> à</w:t>
      </w:r>
      <w:r w:rsidRPr="008D0081">
        <w:rPr>
          <w:lang w:val="fr-FR"/>
        </w:rPr>
        <w:t xml:space="preserve"> son fils, mais les autorités l’ont renvoyé, en niant que celui-ci était détenu dans cet établissement. </w:t>
      </w:r>
    </w:p>
    <w:p w:rsidR="008E0725" w:rsidRPr="008D0081" w:rsidRDefault="008E0725" w:rsidP="008E0725">
      <w:pPr>
        <w:pStyle w:val="SingleTxtG"/>
        <w:rPr>
          <w:lang w:val="fr-FR"/>
        </w:rPr>
      </w:pPr>
      <w:r w:rsidRPr="008D0081">
        <w:rPr>
          <w:lang w:val="fr-FR"/>
        </w:rPr>
        <w:t>2.8</w:t>
      </w:r>
      <w:r w:rsidRPr="008D0081">
        <w:rPr>
          <w:lang w:val="fr-FR"/>
        </w:rPr>
        <w:tab/>
        <w:t xml:space="preserve">L’auteur a également tenté de se </w:t>
      </w:r>
      <w:r w:rsidR="00F14EC7" w:rsidRPr="008D0081">
        <w:rPr>
          <w:lang w:val="fr-FR"/>
        </w:rPr>
        <w:t>faire assister</w:t>
      </w:r>
      <w:r w:rsidR="00590CE3">
        <w:rPr>
          <w:lang w:val="fr-FR"/>
        </w:rPr>
        <w:t xml:space="preserve"> </w:t>
      </w:r>
      <w:r w:rsidRPr="008D0081">
        <w:rPr>
          <w:lang w:val="fr-FR"/>
        </w:rPr>
        <w:t>d’un avocat pour introduire une procédure judiciaire de plainte pour la disparition de son fils, mais aucun des avocats sollicités n’a accepté d’engager une telle procédure contre l’</w:t>
      </w:r>
      <w:r w:rsidR="007D663E">
        <w:rPr>
          <w:lang w:val="fr-FR"/>
        </w:rPr>
        <w:t>État</w:t>
      </w:r>
      <w:r w:rsidRPr="008D0081">
        <w:rPr>
          <w:lang w:val="fr-FR"/>
        </w:rPr>
        <w:t>. Pendant de longues années, l’auteur a continué inlassablement ses démarches auprès de différentes autorités, mais elles sont toujours restées sans réponse.</w:t>
      </w:r>
    </w:p>
    <w:p w:rsidR="008E0725" w:rsidRPr="008D0081" w:rsidRDefault="008E0725" w:rsidP="008E0725">
      <w:pPr>
        <w:pStyle w:val="SingleTxtG"/>
        <w:rPr>
          <w:lang w:val="fr-FR"/>
        </w:rPr>
      </w:pPr>
      <w:r w:rsidRPr="008D0081">
        <w:rPr>
          <w:lang w:val="fr-FR"/>
        </w:rPr>
        <w:t>2.9</w:t>
      </w:r>
      <w:r w:rsidRPr="008D0081">
        <w:rPr>
          <w:lang w:val="fr-FR"/>
        </w:rPr>
        <w:tab/>
        <w:t>L’auteur ajoute qu’il lui a été matériellement impossible d’engager une procédure judiciaire devant une juridiction nationale pour tenter de faire ouvrir une enquête sur la disparition de son fils, vu le refus de tous les avocats sollicités de l’assister dans une procédure en tout état de cause vouée, selon lui, à un échec certain. En l’espèce, selon l’auteur, les recours internes dans l’</w:t>
      </w:r>
      <w:r w:rsidR="007D663E">
        <w:rPr>
          <w:lang w:val="fr-FR"/>
        </w:rPr>
        <w:t>État</w:t>
      </w:r>
      <w:r w:rsidRPr="008D0081">
        <w:rPr>
          <w:lang w:val="fr-FR"/>
        </w:rPr>
        <w:t xml:space="preserve"> partie sont à la fois non disponibles et inefficaces, et il ne devrait par conséquent pas être tenu de poursuivre plus longtemps ses démarches et </w:t>
      </w:r>
      <w:r w:rsidR="00D47EE5" w:rsidRPr="004E2EB3">
        <w:rPr>
          <w:lang w:val="fr-FR"/>
        </w:rPr>
        <w:t>les</w:t>
      </w:r>
      <w:r w:rsidR="00D47EE5">
        <w:rPr>
          <w:lang w:val="fr-FR"/>
        </w:rPr>
        <w:t xml:space="preserve"> </w:t>
      </w:r>
      <w:r w:rsidRPr="008D0081">
        <w:rPr>
          <w:lang w:val="fr-FR"/>
        </w:rPr>
        <w:t>procédures internes pour que sa communication soit recevable devant le Comité.</w:t>
      </w:r>
    </w:p>
    <w:p w:rsidR="008E0725" w:rsidRPr="008D0081" w:rsidRDefault="008E0725" w:rsidP="00D76222">
      <w:pPr>
        <w:pStyle w:val="SingleTxtG"/>
        <w:rPr>
          <w:lang w:val="fr-FR"/>
        </w:rPr>
      </w:pPr>
      <w:r w:rsidRPr="008D0081">
        <w:rPr>
          <w:lang w:val="fr-FR"/>
        </w:rPr>
        <w:t>2.10</w:t>
      </w:r>
      <w:r w:rsidRPr="008D0081">
        <w:rPr>
          <w:lang w:val="fr-FR"/>
        </w:rPr>
        <w:tab/>
        <w:t xml:space="preserve">L’auteur a soumis le cas de son fils </w:t>
      </w:r>
      <w:r w:rsidR="00D76222">
        <w:rPr>
          <w:lang w:val="fr-FR"/>
        </w:rPr>
        <w:t>au</w:t>
      </w:r>
      <w:r w:rsidRPr="008D0081">
        <w:rPr>
          <w:lang w:val="fr-FR"/>
        </w:rPr>
        <w:t xml:space="preserve"> Groupe de travail sur les disparitions forcées</w:t>
      </w:r>
      <w:r w:rsidR="00D76222">
        <w:rPr>
          <w:lang w:val="fr-FR"/>
        </w:rPr>
        <w:t xml:space="preserve"> ou involontaires</w:t>
      </w:r>
      <w:r w:rsidRPr="008D0081">
        <w:rPr>
          <w:lang w:val="fr-FR"/>
        </w:rPr>
        <w:t xml:space="preserve">, </w:t>
      </w:r>
      <w:r w:rsidR="00D76222">
        <w:rPr>
          <w:lang w:val="fr-FR"/>
        </w:rPr>
        <w:t>au</w:t>
      </w:r>
      <w:r w:rsidR="00D76222" w:rsidRPr="008D0081">
        <w:rPr>
          <w:lang w:val="fr-FR"/>
        </w:rPr>
        <w:t xml:space="preserve"> </w:t>
      </w:r>
      <w:r w:rsidRPr="008D0081">
        <w:rPr>
          <w:lang w:val="fr-FR"/>
        </w:rPr>
        <w:t>Rapporteur spécial sur les exécutions extrajudiciaires</w:t>
      </w:r>
      <w:r w:rsidR="00D76222">
        <w:rPr>
          <w:lang w:val="fr-FR"/>
        </w:rPr>
        <w:t>, sommaires ou arbitraires</w:t>
      </w:r>
      <w:r w:rsidRPr="008D0081">
        <w:rPr>
          <w:lang w:val="fr-FR"/>
        </w:rPr>
        <w:t xml:space="preserve"> et </w:t>
      </w:r>
      <w:r w:rsidR="00D76222">
        <w:rPr>
          <w:lang w:val="fr-FR"/>
        </w:rPr>
        <w:t>au</w:t>
      </w:r>
      <w:r w:rsidR="00D76222" w:rsidRPr="008D0081">
        <w:rPr>
          <w:lang w:val="fr-FR"/>
        </w:rPr>
        <w:t xml:space="preserve"> </w:t>
      </w:r>
      <w:r w:rsidRPr="008D0081">
        <w:rPr>
          <w:lang w:val="fr-FR"/>
        </w:rPr>
        <w:t xml:space="preserve">Rapporteur spécial sur la </w:t>
      </w:r>
      <w:r w:rsidR="001D469C">
        <w:rPr>
          <w:lang w:val="fr-FR"/>
        </w:rPr>
        <w:t xml:space="preserve">question de la </w:t>
      </w:r>
      <w:r w:rsidRPr="008D0081">
        <w:rPr>
          <w:lang w:val="fr-FR"/>
        </w:rPr>
        <w:t xml:space="preserve">torture. Cependant, le </w:t>
      </w:r>
      <w:r w:rsidR="00745172">
        <w:rPr>
          <w:lang w:val="fr-FR"/>
        </w:rPr>
        <w:t>G</w:t>
      </w:r>
      <w:r w:rsidRPr="008D0081">
        <w:rPr>
          <w:lang w:val="fr-FR"/>
        </w:rPr>
        <w:t>ouvernement libyen n’a jamais apporté d’information susceptible d’éclaircir le sort de la victime.</w:t>
      </w:r>
    </w:p>
    <w:p w:rsidR="008E0725" w:rsidRPr="008D0081" w:rsidRDefault="008E0725" w:rsidP="008E0725">
      <w:pPr>
        <w:pStyle w:val="H23G"/>
        <w:rPr>
          <w:lang w:val="fr-FR"/>
        </w:rPr>
      </w:pPr>
      <w:r w:rsidRPr="008D0081">
        <w:rPr>
          <w:lang w:val="fr-FR"/>
        </w:rPr>
        <w:tab/>
      </w:r>
      <w:r w:rsidRPr="008D0081">
        <w:rPr>
          <w:lang w:val="fr-FR"/>
        </w:rPr>
        <w:tab/>
        <w:t>Teneur de la plainte</w:t>
      </w:r>
    </w:p>
    <w:p w:rsidR="008E0725" w:rsidRPr="008D0081" w:rsidRDefault="008E0725" w:rsidP="001229CC">
      <w:pPr>
        <w:pStyle w:val="SingleTxtG"/>
        <w:rPr>
          <w:lang w:val="fr-FR"/>
        </w:rPr>
      </w:pPr>
      <w:r w:rsidRPr="008D0081">
        <w:rPr>
          <w:lang w:val="fr-FR"/>
        </w:rPr>
        <w:t>3.1</w:t>
      </w:r>
      <w:r w:rsidRPr="008D0081">
        <w:rPr>
          <w:lang w:val="fr-FR"/>
        </w:rPr>
        <w:tab/>
      </w:r>
      <w:bookmarkStart w:id="0" w:name="OLE_LINK1"/>
      <w:bookmarkStart w:id="1" w:name="OLE_LINK2"/>
      <w:r w:rsidRPr="008D0081">
        <w:rPr>
          <w:lang w:val="fr-FR"/>
        </w:rPr>
        <w:t>Il est soutenu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 été victime d’une disparition forcée à la suite de son arrestation le 26</w:t>
      </w:r>
      <w:r w:rsidR="00496581">
        <w:rPr>
          <w:lang w:val="fr-FR"/>
        </w:rPr>
        <w:t> </w:t>
      </w:r>
      <w:r w:rsidRPr="008D0081">
        <w:rPr>
          <w:lang w:val="fr-FR"/>
        </w:rPr>
        <w:t xml:space="preserve">janvier 1989 par des agents de la </w:t>
      </w:r>
      <w:r w:rsidR="004E2EB3">
        <w:rPr>
          <w:lang w:val="fr-FR"/>
        </w:rPr>
        <w:t>sécurité</w:t>
      </w:r>
      <w:r w:rsidR="004E2EB3" w:rsidRPr="008D0081">
        <w:rPr>
          <w:lang w:val="fr-FR"/>
        </w:rPr>
        <w:t xml:space="preserve"> </w:t>
      </w:r>
      <w:r w:rsidRPr="008D0081">
        <w:rPr>
          <w:lang w:val="fr-FR"/>
        </w:rPr>
        <w:t xml:space="preserve">intérieure libyenne, son arrestation ayant été suivie d’un déni de reconnaissance de sa privation de liberté et de la dissimulation du sort qui lui était réservé. </w:t>
      </w:r>
      <w:bookmarkEnd w:id="0"/>
      <w:bookmarkEnd w:id="1"/>
      <w:r w:rsidRPr="008D0081">
        <w:rPr>
          <w:lang w:val="fr-FR"/>
        </w:rPr>
        <w:t xml:space="preserve">En tant que victime de disparition forcée, Abdelhamid Al Daquel était de facto empêché d’exercer son droit à recourir pour contester la légalité de la détention qui lui </w:t>
      </w:r>
      <w:r w:rsidR="000F5911" w:rsidRPr="001229CC">
        <w:rPr>
          <w:lang w:val="fr-FR"/>
        </w:rPr>
        <w:t>était</w:t>
      </w:r>
      <w:r w:rsidRPr="008D0081">
        <w:rPr>
          <w:lang w:val="fr-FR"/>
        </w:rPr>
        <w:t xml:space="preserve"> imposée, en violation de l’article</w:t>
      </w:r>
      <w:r w:rsidR="00496581">
        <w:rPr>
          <w:lang w:val="fr-FR"/>
        </w:rPr>
        <w:t> </w:t>
      </w:r>
      <w:r w:rsidRPr="008D0081">
        <w:rPr>
          <w:lang w:val="fr-FR"/>
        </w:rPr>
        <w:t>2, paragraphe</w:t>
      </w:r>
      <w:r w:rsidR="00496581">
        <w:rPr>
          <w:lang w:val="fr-FR"/>
        </w:rPr>
        <w:t> </w:t>
      </w:r>
      <w:r w:rsidRPr="008D0081">
        <w:rPr>
          <w:lang w:val="fr-FR"/>
        </w:rPr>
        <w:t>3</w:t>
      </w:r>
      <w:r w:rsidR="00492102">
        <w:rPr>
          <w:lang w:val="fr-FR"/>
        </w:rPr>
        <w:t>,</w:t>
      </w:r>
      <w:r w:rsidRPr="008D0081">
        <w:rPr>
          <w:lang w:val="fr-FR"/>
        </w:rPr>
        <w:t xml:space="preserve"> du Pacte. Ses proches ont utilisé tous les moyens légaux pour connaître la vérité sur son sort, mais aucune suite ne fut donnée à leurs démarches par l’</w:t>
      </w:r>
      <w:r w:rsidR="007D663E">
        <w:rPr>
          <w:lang w:val="fr-FR"/>
        </w:rPr>
        <w:t>État</w:t>
      </w:r>
      <w:r w:rsidRPr="008D0081">
        <w:rPr>
          <w:lang w:val="fr-FR"/>
        </w:rPr>
        <w:t xml:space="preserve"> partie, pourtant tenu d’assurer un recours utile </w:t>
      </w:r>
      <w:r w:rsidR="00492102">
        <w:rPr>
          <w:lang w:val="fr-FR"/>
        </w:rPr>
        <w:t xml:space="preserve">et qui a </w:t>
      </w:r>
      <w:r w:rsidRPr="008D0081">
        <w:rPr>
          <w:lang w:val="fr-FR"/>
        </w:rPr>
        <w:t>notamment le devoir de mener une enquête approfondie et diligente.</w:t>
      </w:r>
    </w:p>
    <w:p w:rsidR="008E0725" w:rsidRPr="008D0081" w:rsidRDefault="008E0725" w:rsidP="00BF072F">
      <w:pPr>
        <w:pStyle w:val="SingleTxtG"/>
        <w:rPr>
          <w:lang w:val="fr-FR"/>
        </w:rPr>
      </w:pPr>
      <w:r w:rsidRPr="008D0081">
        <w:rPr>
          <w:lang w:val="fr-FR"/>
        </w:rPr>
        <w:t>3.2</w:t>
      </w:r>
      <w:r w:rsidRPr="008D0081">
        <w:rPr>
          <w:lang w:val="fr-FR"/>
        </w:rPr>
        <w:tab/>
        <w:t>L’auteur ajoute que la disparition forcée et la détention au secret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constituaient une grave menace </w:t>
      </w:r>
      <w:r w:rsidR="002F41C1">
        <w:rPr>
          <w:lang w:val="fr-FR"/>
        </w:rPr>
        <w:t>pour</w:t>
      </w:r>
      <w:r w:rsidR="002F41C1" w:rsidRPr="008D0081">
        <w:rPr>
          <w:lang w:val="fr-FR"/>
        </w:rPr>
        <w:t xml:space="preserve"> </w:t>
      </w:r>
      <w:r w:rsidRPr="008D0081">
        <w:rPr>
          <w:lang w:val="fr-FR"/>
        </w:rPr>
        <w:t>son droit à la vie, constitutive d’une violation de l’article</w:t>
      </w:r>
      <w:r w:rsidR="00496581">
        <w:rPr>
          <w:lang w:val="fr-FR"/>
        </w:rPr>
        <w:t> </w:t>
      </w:r>
      <w:r w:rsidRPr="008D0081">
        <w:rPr>
          <w:lang w:val="fr-FR"/>
        </w:rPr>
        <w:t>6, paragraphe</w:t>
      </w:r>
      <w:r w:rsidR="00496581">
        <w:rPr>
          <w:lang w:val="fr-FR"/>
        </w:rPr>
        <w:t> </w:t>
      </w:r>
      <w:r w:rsidRPr="008D0081">
        <w:rPr>
          <w:lang w:val="fr-FR"/>
        </w:rPr>
        <w:t>1, dans la mesure où l’</w:t>
      </w:r>
      <w:r w:rsidR="007D663E">
        <w:rPr>
          <w:lang w:val="fr-FR"/>
        </w:rPr>
        <w:t>État</w:t>
      </w:r>
      <w:r w:rsidRPr="008D0081">
        <w:rPr>
          <w:lang w:val="fr-FR"/>
        </w:rPr>
        <w:t xml:space="preserve"> partie ne s’est pas acquitté de son devoir de protéger le droit fondamental à la vie</w:t>
      </w:r>
      <w:r w:rsidRPr="00496581">
        <w:rPr>
          <w:rStyle w:val="FootnoteReference"/>
        </w:rPr>
        <w:footnoteReference w:id="6"/>
      </w:r>
      <w:r w:rsidR="00496581">
        <w:rPr>
          <w:lang w:val="fr-FR"/>
        </w:rPr>
        <w:t>.</w:t>
      </w:r>
      <w:r w:rsidRPr="008D0081">
        <w:rPr>
          <w:lang w:val="fr-FR"/>
        </w:rPr>
        <w:t xml:space="preserve"> </w:t>
      </w:r>
      <w:r w:rsidR="00BF072F" w:rsidRPr="001229CC">
        <w:rPr>
          <w:lang w:val="fr-FR"/>
        </w:rPr>
        <w:t>Cela</w:t>
      </w:r>
      <w:r w:rsidR="00BF072F" w:rsidRPr="008D0081">
        <w:rPr>
          <w:lang w:val="fr-FR"/>
        </w:rPr>
        <w:t xml:space="preserve"> </w:t>
      </w:r>
      <w:r w:rsidRPr="008D0081">
        <w:rPr>
          <w:lang w:val="fr-FR"/>
        </w:rPr>
        <w:t>est d’autant plus vrai que l’</w:t>
      </w:r>
      <w:r w:rsidR="007D663E">
        <w:rPr>
          <w:lang w:val="fr-FR"/>
        </w:rPr>
        <w:t>État</w:t>
      </w:r>
      <w:r w:rsidRPr="008D0081">
        <w:rPr>
          <w:lang w:val="fr-FR"/>
        </w:rPr>
        <w:t xml:space="preserve"> partie n’a déployé aucun effort pour enquêter sur ce qui est en fait arrivé à Abdelhamid Al Daquel.</w:t>
      </w:r>
      <w:r w:rsidR="00590CE3">
        <w:rPr>
          <w:lang w:val="fr-FR"/>
        </w:rPr>
        <w:t xml:space="preserve"> </w:t>
      </w:r>
      <w:r w:rsidRPr="008D0081">
        <w:rPr>
          <w:lang w:val="fr-FR"/>
        </w:rPr>
        <w:t>L’auteur ajoute que l’annonce du décès à la famille par les autorités le 8</w:t>
      </w:r>
      <w:r w:rsidR="00496581">
        <w:rPr>
          <w:lang w:val="fr-FR"/>
        </w:rPr>
        <w:t> </w:t>
      </w:r>
      <w:r w:rsidRPr="008D0081">
        <w:rPr>
          <w:lang w:val="fr-FR"/>
        </w:rPr>
        <w:t>novembre 2008 équiva</w:t>
      </w:r>
      <w:r w:rsidR="00764961">
        <w:rPr>
          <w:lang w:val="fr-FR"/>
        </w:rPr>
        <w:t>lait</w:t>
      </w:r>
      <w:r w:rsidRPr="008D0081">
        <w:rPr>
          <w:lang w:val="fr-FR"/>
        </w:rPr>
        <w:t xml:space="preserve"> à une reconnaissance explicite de ce que la victime était bien disparue du fait d’actions d’agents de l’</w:t>
      </w:r>
      <w:r w:rsidR="007D663E">
        <w:rPr>
          <w:lang w:val="fr-FR"/>
        </w:rPr>
        <w:t>État</w:t>
      </w:r>
      <w:r w:rsidRPr="008D0081">
        <w:rPr>
          <w:lang w:val="fr-FR"/>
        </w:rPr>
        <w:t>, et établi</w:t>
      </w:r>
      <w:r w:rsidR="00764961">
        <w:rPr>
          <w:lang w:val="fr-FR"/>
        </w:rPr>
        <w:t>ssai</w:t>
      </w:r>
      <w:r w:rsidRPr="008D0081">
        <w:rPr>
          <w:lang w:val="fr-FR"/>
        </w:rPr>
        <w:t>t que son droit à la vie n’a</w:t>
      </w:r>
      <w:r w:rsidR="00764961">
        <w:rPr>
          <w:lang w:val="fr-FR"/>
        </w:rPr>
        <w:t>vait</w:t>
      </w:r>
      <w:r w:rsidR="00590CE3">
        <w:rPr>
          <w:lang w:val="fr-FR"/>
        </w:rPr>
        <w:t xml:space="preserve"> </w:t>
      </w:r>
      <w:r w:rsidRPr="008D0081">
        <w:rPr>
          <w:lang w:val="fr-FR"/>
        </w:rPr>
        <w:t>pas été protégé par les autorités de l’</w:t>
      </w:r>
      <w:r w:rsidR="007D663E">
        <w:rPr>
          <w:lang w:val="fr-FR"/>
        </w:rPr>
        <w:t>État</w:t>
      </w:r>
      <w:r w:rsidRPr="008D0081">
        <w:rPr>
          <w:lang w:val="fr-FR"/>
        </w:rPr>
        <w:t xml:space="preserve"> partie. Son décès annoncé, intervenu dans des circonstances non déterminées et qui continuent d’être cachées par l’</w:t>
      </w:r>
      <w:r w:rsidR="007D663E">
        <w:rPr>
          <w:lang w:val="fr-FR"/>
        </w:rPr>
        <w:t>État</w:t>
      </w:r>
      <w:r w:rsidRPr="008D0081">
        <w:rPr>
          <w:lang w:val="fr-FR"/>
        </w:rPr>
        <w:t xml:space="preserve"> partie, constitue une violation par celui-ci de l’article</w:t>
      </w:r>
      <w:r w:rsidR="00496581">
        <w:rPr>
          <w:lang w:val="fr-FR"/>
        </w:rPr>
        <w:t> </w:t>
      </w:r>
      <w:r w:rsidRPr="008D0081">
        <w:rPr>
          <w:lang w:val="fr-FR"/>
        </w:rPr>
        <w:t>6, paragraphe</w:t>
      </w:r>
      <w:r w:rsidR="00496581">
        <w:rPr>
          <w:lang w:val="fr-FR"/>
        </w:rPr>
        <w:t> </w:t>
      </w:r>
      <w:r w:rsidRPr="008D0081">
        <w:rPr>
          <w:lang w:val="fr-FR"/>
        </w:rPr>
        <w:t>1</w:t>
      </w:r>
      <w:r w:rsidR="00AA7AC6">
        <w:rPr>
          <w:lang w:val="fr-FR"/>
        </w:rPr>
        <w:t>,</w:t>
      </w:r>
      <w:r w:rsidRPr="008D0081">
        <w:rPr>
          <w:lang w:val="fr-FR"/>
        </w:rPr>
        <w:t xml:space="preserve"> du Pacte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w:t>
      </w:r>
    </w:p>
    <w:p w:rsidR="008E0725" w:rsidRPr="008D0081" w:rsidRDefault="008E0725" w:rsidP="00496581">
      <w:pPr>
        <w:pStyle w:val="SingleTxtG"/>
        <w:rPr>
          <w:lang w:val="fr-FR"/>
        </w:rPr>
      </w:pPr>
      <w:r w:rsidRPr="008D0081">
        <w:rPr>
          <w:lang w:val="fr-FR"/>
        </w:rPr>
        <w:t>3.3</w:t>
      </w:r>
      <w:r w:rsidRPr="008D0081">
        <w:rPr>
          <w:lang w:val="fr-FR"/>
        </w:rPr>
        <w:tab/>
        <w:t>Au titre de l’article</w:t>
      </w:r>
      <w:r w:rsidR="00496581">
        <w:rPr>
          <w:lang w:val="fr-FR"/>
        </w:rPr>
        <w:t> </w:t>
      </w:r>
      <w:r w:rsidRPr="008D0081">
        <w:rPr>
          <w:lang w:val="fr-FR"/>
        </w:rPr>
        <w:t>7 du Pacte, l’auteur fait valoir que le seul fait d’être soumis à une disparition forcée est constitutif de traitement inhumain ou dégradant</w:t>
      </w:r>
      <w:r w:rsidRPr="00496581">
        <w:rPr>
          <w:rStyle w:val="FootnoteReference"/>
        </w:rPr>
        <w:footnoteReference w:id="7"/>
      </w:r>
      <w:r w:rsidR="00496581">
        <w:rPr>
          <w:lang w:val="fr-FR"/>
        </w:rPr>
        <w:t>.</w:t>
      </w:r>
      <w:r w:rsidR="00590CE3">
        <w:rPr>
          <w:vertAlign w:val="superscript"/>
          <w:lang w:val="fr-FR"/>
        </w:rPr>
        <w:t xml:space="preserve"> </w:t>
      </w:r>
      <w:r w:rsidRPr="008D0081">
        <w:rPr>
          <w:lang w:val="fr-FR"/>
        </w:rPr>
        <w:t>L’auteur exprime de plus des doutes quant à la date réelle du décès de son fils, qui a été enregistré en 2008 sur les registres de l’état civil de Tripoli, alors que l’attestation indique que le décès est survenu le 23</w:t>
      </w:r>
      <w:r w:rsidR="00496581">
        <w:rPr>
          <w:lang w:val="fr-FR"/>
        </w:rPr>
        <w:t> </w:t>
      </w:r>
      <w:r w:rsidRPr="008D0081">
        <w:rPr>
          <w:lang w:val="fr-FR"/>
        </w:rPr>
        <w:t>juin 1996. L’auteur craint que le décès soit plus récent que la date figurant sur l’acte de décès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et que les autorités utilisent le prétexte des événements de la prison d’Abou Salim (</w:t>
      </w:r>
      <w:r w:rsidR="00FB0DF1" w:rsidRPr="004E2EB3">
        <w:rPr>
          <w:lang w:val="fr-FR"/>
        </w:rPr>
        <w:t>v</w:t>
      </w:r>
      <w:r w:rsidR="00FB0DF1" w:rsidRPr="001229CC">
        <w:rPr>
          <w:lang w:val="fr-FR"/>
        </w:rPr>
        <w:t>oir</w:t>
      </w:r>
      <w:r w:rsidR="00FB0DF1">
        <w:rPr>
          <w:lang w:val="fr-FR"/>
        </w:rPr>
        <w:t xml:space="preserve"> </w:t>
      </w:r>
      <w:r w:rsidRPr="008D0081">
        <w:rPr>
          <w:lang w:val="fr-FR"/>
        </w:rPr>
        <w:t>par.</w:t>
      </w:r>
      <w:r w:rsidR="00496581">
        <w:rPr>
          <w:lang w:val="fr-FR"/>
        </w:rPr>
        <w:t> </w:t>
      </w:r>
      <w:r w:rsidRPr="008D0081">
        <w:rPr>
          <w:lang w:val="fr-FR"/>
        </w:rPr>
        <w:t>2.6) pour faire croire au décès de son fils lors de ces événements, alors que ce dernier est probablement décédé suite à des tortures et/ou des mauvais traitements durant sa détention au secret. Le refus des autorités de faire droit à sa demande d’investigation le conforte dans cette certitude. L’auteur en conclut qu’il est probable que la victime ait subi des tortures physiques dès son arrestation, cette pratique étant connue et particulièrement répandue dans l’</w:t>
      </w:r>
      <w:r w:rsidR="007D663E">
        <w:rPr>
          <w:lang w:val="fr-FR"/>
        </w:rPr>
        <w:t>État</w:t>
      </w:r>
      <w:r w:rsidRPr="008D0081">
        <w:rPr>
          <w:lang w:val="fr-FR"/>
        </w:rPr>
        <w:t xml:space="preserve"> partie.</w:t>
      </w:r>
    </w:p>
    <w:p w:rsidR="008E0725" w:rsidRPr="008D0081" w:rsidRDefault="008E0725" w:rsidP="004F6B04">
      <w:pPr>
        <w:pStyle w:val="SingleTxtG"/>
        <w:rPr>
          <w:lang w:val="fr-FR"/>
        </w:rPr>
      </w:pPr>
      <w:r w:rsidRPr="008D0081">
        <w:rPr>
          <w:lang w:val="fr-FR"/>
        </w:rPr>
        <w:t>3.4</w:t>
      </w:r>
      <w:r w:rsidRPr="008D0081">
        <w:rPr>
          <w:lang w:val="fr-FR"/>
        </w:rPr>
        <w:tab/>
      </w:r>
      <w:r w:rsidR="00BF072F" w:rsidRPr="001229CC">
        <w:rPr>
          <w:lang w:val="fr-FR"/>
        </w:rPr>
        <w:t>Pour</w:t>
      </w:r>
      <w:r w:rsidRPr="008D0081">
        <w:rPr>
          <w:lang w:val="fr-FR"/>
        </w:rPr>
        <w:t xml:space="preserve"> la famille de la victime, sa disparition a constitué, et continue d’être une épreuve paralysante, douloureuse et angoissante, dans la mesure où ses proches ont tout ignoré de son sort pendant </w:t>
      </w:r>
      <w:r w:rsidR="004F6B04" w:rsidRPr="00EF0E44">
        <w:rPr>
          <w:lang w:val="fr-FR"/>
        </w:rPr>
        <w:t>dix-neuf</w:t>
      </w:r>
      <w:r w:rsidR="004F6B04">
        <w:rPr>
          <w:lang w:val="fr-FR"/>
        </w:rPr>
        <w:t> </w:t>
      </w:r>
      <w:r w:rsidRPr="008D0081">
        <w:rPr>
          <w:lang w:val="fr-FR"/>
        </w:rPr>
        <w:t>ans, et continuent d’être maintenus dans l’ignorance des circonstances de son décès</w:t>
      </w:r>
      <w:r w:rsidRPr="008D0081">
        <w:rPr>
          <w:vertAlign w:val="superscript"/>
          <w:lang w:val="fr-FR"/>
        </w:rPr>
        <w:footnoteReference w:id="8"/>
      </w:r>
      <w:r w:rsidR="00496581">
        <w:rPr>
          <w:lang w:val="fr-FR"/>
        </w:rPr>
        <w:t>.</w:t>
      </w:r>
      <w:r w:rsidRPr="008D0081">
        <w:rPr>
          <w:vertAlign w:val="superscript"/>
          <w:lang w:val="fr-FR"/>
        </w:rPr>
        <w:t xml:space="preserve"> </w:t>
      </w:r>
      <w:r w:rsidRPr="008D0081">
        <w:rPr>
          <w:lang w:val="fr-FR"/>
        </w:rPr>
        <w:t>L’auteur allègue par conséquent que le traitement subi par Abdelhamid Al Daquel constitue une violation de l’article</w:t>
      </w:r>
      <w:r w:rsidR="00496581">
        <w:rPr>
          <w:lang w:val="fr-FR"/>
        </w:rPr>
        <w:t> </w:t>
      </w:r>
      <w:r w:rsidRPr="008D0081">
        <w:rPr>
          <w:lang w:val="fr-FR"/>
        </w:rPr>
        <w:t>7 à son propre égard, ainsi qu’à l’égard de tous les membres de sa famille.</w:t>
      </w:r>
    </w:p>
    <w:p w:rsidR="008E0725" w:rsidRPr="008D0081" w:rsidRDefault="008E0725" w:rsidP="001229CC">
      <w:pPr>
        <w:pStyle w:val="SingleTxtG"/>
        <w:rPr>
          <w:lang w:val="fr-FR"/>
        </w:rPr>
      </w:pPr>
      <w:r w:rsidRPr="008D0081">
        <w:rPr>
          <w:lang w:val="fr-FR"/>
        </w:rPr>
        <w:t>3.5</w:t>
      </w:r>
      <w:r w:rsidRPr="008D0081">
        <w:rPr>
          <w:lang w:val="fr-FR"/>
        </w:rPr>
        <w:tab/>
        <w:t>Concernant l’article</w:t>
      </w:r>
      <w:r w:rsidR="00496581">
        <w:rPr>
          <w:lang w:val="fr-FR"/>
        </w:rPr>
        <w:t> </w:t>
      </w:r>
      <w:r w:rsidRPr="008D0081">
        <w:rPr>
          <w:lang w:val="fr-FR"/>
        </w:rPr>
        <w:t>9, l’auteur rappelle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 été arrêté par les services de </w:t>
      </w:r>
      <w:r w:rsidR="004E2EB3">
        <w:rPr>
          <w:lang w:val="fr-FR"/>
        </w:rPr>
        <w:t>sécurité</w:t>
      </w:r>
      <w:r w:rsidR="00542720" w:rsidRPr="008D0081">
        <w:rPr>
          <w:lang w:val="fr-FR"/>
        </w:rPr>
        <w:t xml:space="preserve"> </w:t>
      </w:r>
      <w:r w:rsidRPr="008D0081">
        <w:rPr>
          <w:lang w:val="fr-FR"/>
        </w:rPr>
        <w:t>intérieure sans mandat de justice, et sans qu’il ne soit informé des raisons de son arrestation, en violation du paragraphe</w:t>
      </w:r>
      <w:r w:rsidR="00496581">
        <w:rPr>
          <w:lang w:val="fr-FR"/>
        </w:rPr>
        <w:t> </w:t>
      </w:r>
      <w:r w:rsidRPr="008D0081">
        <w:rPr>
          <w:lang w:val="fr-FR"/>
        </w:rPr>
        <w:t>1 de l’article</w:t>
      </w:r>
      <w:r w:rsidR="00496581">
        <w:rPr>
          <w:lang w:val="fr-FR"/>
        </w:rPr>
        <w:t> </w:t>
      </w:r>
      <w:r w:rsidRPr="008D0081">
        <w:rPr>
          <w:lang w:val="fr-FR"/>
        </w:rPr>
        <w:t>9 du Pacte. Il a ensuite été détenu arbitrairement et au secret depuis son arrestation jusqu’au jour de son décès</w:t>
      </w:r>
      <w:r w:rsidRPr="008D0081">
        <w:rPr>
          <w:vertAlign w:val="superscript"/>
          <w:lang w:val="fr-FR"/>
        </w:rPr>
        <w:footnoteReference w:id="9"/>
      </w:r>
      <w:r w:rsidR="00496581">
        <w:rPr>
          <w:lang w:val="fr-FR"/>
        </w:rPr>
        <w:t>.</w:t>
      </w:r>
      <w:r w:rsidR="00590CE3">
        <w:rPr>
          <w:lang w:val="fr-FR"/>
        </w:rPr>
        <w:t xml:space="preserve"> </w:t>
      </w:r>
      <w:r w:rsidRPr="008D0081">
        <w:rPr>
          <w:lang w:val="fr-FR"/>
        </w:rPr>
        <w:t>En violation du paragraphe</w:t>
      </w:r>
      <w:r w:rsidR="00987955">
        <w:rPr>
          <w:lang w:val="fr-FR"/>
        </w:rPr>
        <w:t> </w:t>
      </w:r>
      <w:r w:rsidRPr="008D0081">
        <w:rPr>
          <w:lang w:val="fr-FR"/>
        </w:rPr>
        <w:t>2 de l’article</w:t>
      </w:r>
      <w:r w:rsidR="00987955">
        <w:rPr>
          <w:lang w:val="fr-FR"/>
        </w:rPr>
        <w:t> </w:t>
      </w:r>
      <w:r w:rsidRPr="008D0081">
        <w:rPr>
          <w:lang w:val="fr-FR"/>
        </w:rPr>
        <w:t xml:space="preserve">9, on ne lui a jamais communiqué les motifs de son arrestation, ni notifié </w:t>
      </w:r>
      <w:r w:rsidR="0045090C">
        <w:rPr>
          <w:lang w:val="fr-FR"/>
        </w:rPr>
        <w:t xml:space="preserve">une </w:t>
      </w:r>
      <w:r w:rsidRPr="008D0081">
        <w:rPr>
          <w:lang w:val="fr-FR"/>
        </w:rPr>
        <w:t>quelconque charge pénale contre lui. Abdelhamid Al Daquel n’a jamais été présenté devant un juge ou une autre autorité habilitée par la loi à exercer des fonctions judiciaires, en violation du paragraphe</w:t>
      </w:r>
      <w:r w:rsidR="004F7B2A">
        <w:rPr>
          <w:lang w:val="fr-FR"/>
        </w:rPr>
        <w:t> </w:t>
      </w:r>
      <w:r w:rsidRPr="008D0081">
        <w:rPr>
          <w:lang w:val="fr-FR"/>
        </w:rPr>
        <w:t>3 de l’article</w:t>
      </w:r>
      <w:r w:rsidR="004F7B2A">
        <w:rPr>
          <w:lang w:val="fr-FR"/>
        </w:rPr>
        <w:t> </w:t>
      </w:r>
      <w:r w:rsidRPr="008D0081">
        <w:rPr>
          <w:lang w:val="fr-FR"/>
        </w:rPr>
        <w:t>9. Par ailleurs, l’auteur rappelle que selon la jurisprudence du Comité,</w:t>
      </w:r>
      <w:r w:rsidR="00590CE3">
        <w:rPr>
          <w:lang w:val="fr-FR"/>
        </w:rPr>
        <w:t xml:space="preserve"> </w:t>
      </w:r>
      <w:r w:rsidRPr="008D0081">
        <w:rPr>
          <w:lang w:val="fr-FR"/>
        </w:rPr>
        <w:t xml:space="preserve">la détention au secret peut </w:t>
      </w:r>
      <w:r w:rsidR="007E5F0A">
        <w:rPr>
          <w:lang w:val="fr-FR"/>
        </w:rPr>
        <w:t>en soi</w:t>
      </w:r>
      <w:r w:rsidRPr="008D0081">
        <w:rPr>
          <w:lang w:val="fr-FR"/>
        </w:rPr>
        <w:t xml:space="preserve"> entra</w:t>
      </w:r>
      <w:r w:rsidR="00FD481E">
        <w:rPr>
          <w:lang w:val="fr-FR"/>
        </w:rPr>
        <w:t>î</w:t>
      </w:r>
      <w:r w:rsidRPr="008D0081">
        <w:rPr>
          <w:lang w:val="fr-FR"/>
        </w:rPr>
        <w:t>ner une violation de l’article</w:t>
      </w:r>
      <w:r w:rsidR="004F7B2A">
        <w:rPr>
          <w:lang w:val="fr-FR"/>
        </w:rPr>
        <w:t> </w:t>
      </w:r>
      <w:r w:rsidRPr="008D0081">
        <w:rPr>
          <w:lang w:val="fr-FR"/>
        </w:rPr>
        <w:t>9</w:t>
      </w:r>
      <w:r w:rsidRPr="008D0081">
        <w:rPr>
          <w:vertAlign w:val="superscript"/>
          <w:lang w:val="fr-FR"/>
        </w:rPr>
        <w:footnoteReference w:id="10"/>
      </w:r>
      <w:r w:rsidR="004F7B2A">
        <w:rPr>
          <w:lang w:val="fr-FR"/>
        </w:rPr>
        <w:t>.</w:t>
      </w:r>
      <w:r w:rsidRPr="008D0081">
        <w:rPr>
          <w:vertAlign w:val="superscript"/>
          <w:lang w:val="fr-FR"/>
        </w:rPr>
        <w:t xml:space="preserve"> </w:t>
      </w:r>
      <w:r w:rsidRPr="008D0081">
        <w:rPr>
          <w:lang w:val="fr-FR"/>
        </w:rPr>
        <w:t>D’autre part, en tant que victime d’une disparition forcée, Abdelhamid Al Daquel ne pouvait matériellement pas introduire un recours pour contester la légalité de sa détention, ni demander à un juge sa libération. En conséquence, l’auteur soutient que le paragraphe</w:t>
      </w:r>
      <w:r w:rsidR="004F7B2A">
        <w:rPr>
          <w:lang w:val="fr-FR"/>
        </w:rPr>
        <w:t> </w:t>
      </w:r>
      <w:r w:rsidRPr="008D0081">
        <w:rPr>
          <w:lang w:val="fr-FR"/>
        </w:rPr>
        <w:t>4 de l’article</w:t>
      </w:r>
      <w:r w:rsidR="004F7B2A">
        <w:rPr>
          <w:lang w:val="fr-FR"/>
        </w:rPr>
        <w:t> </w:t>
      </w:r>
      <w:r w:rsidRPr="008D0081">
        <w:rPr>
          <w:lang w:val="fr-FR"/>
        </w:rPr>
        <w:t>9 a également été violé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w:t>
      </w:r>
    </w:p>
    <w:p w:rsidR="008E0725" w:rsidRPr="008D0081" w:rsidRDefault="008E0725" w:rsidP="005E5E89">
      <w:pPr>
        <w:pStyle w:val="SingleTxtG"/>
        <w:rPr>
          <w:lang w:val="fr-FR"/>
        </w:rPr>
      </w:pPr>
      <w:r w:rsidRPr="008D0081">
        <w:rPr>
          <w:lang w:val="fr-FR"/>
        </w:rPr>
        <w:t>3.6</w:t>
      </w:r>
      <w:r w:rsidRPr="008D0081">
        <w:rPr>
          <w:lang w:val="fr-FR"/>
        </w:rPr>
        <w:tab/>
        <w:t>Au titre de l’article</w:t>
      </w:r>
      <w:r w:rsidR="004F7B2A">
        <w:rPr>
          <w:lang w:val="fr-FR"/>
        </w:rPr>
        <w:t> </w:t>
      </w:r>
      <w:r w:rsidRPr="008D0081">
        <w:rPr>
          <w:lang w:val="fr-FR"/>
        </w:rPr>
        <w:t>10 du Pacte, l’auteur fait valoir que dès lors qu’il a été établi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w:t>
      </w:r>
      <w:r w:rsidR="007E5F0A">
        <w:rPr>
          <w:lang w:val="fr-FR"/>
        </w:rPr>
        <w:t>vait</w:t>
      </w:r>
      <w:r w:rsidRPr="008D0081">
        <w:rPr>
          <w:lang w:val="fr-FR"/>
        </w:rPr>
        <w:t xml:space="preserve"> fait l’objet d’une violation de l’article</w:t>
      </w:r>
      <w:r w:rsidR="004F7B2A">
        <w:rPr>
          <w:lang w:val="fr-FR"/>
        </w:rPr>
        <w:t> </w:t>
      </w:r>
      <w:r w:rsidRPr="008D0081">
        <w:rPr>
          <w:lang w:val="fr-FR"/>
        </w:rPr>
        <w:t>7, on ne saurait soutenir qu’il a bénéficié d’un traitement humain et respectueux de la dignité due à toute personne humaine. En conséquence, l’auteur soutient que l’</w:t>
      </w:r>
      <w:r w:rsidR="007D663E">
        <w:rPr>
          <w:lang w:val="fr-FR"/>
        </w:rPr>
        <w:t>État</w:t>
      </w:r>
      <w:r w:rsidRPr="008D0081">
        <w:rPr>
          <w:lang w:val="fr-FR"/>
        </w:rPr>
        <w:t xml:space="preserve"> partie a également violé l’article</w:t>
      </w:r>
      <w:r w:rsidR="004F7B2A">
        <w:rPr>
          <w:lang w:val="fr-FR"/>
        </w:rPr>
        <w:t> </w:t>
      </w:r>
      <w:r w:rsidRPr="008D0081">
        <w:rPr>
          <w:lang w:val="fr-FR"/>
        </w:rPr>
        <w:t>10, paragraphe</w:t>
      </w:r>
      <w:r w:rsidR="004F7B2A">
        <w:rPr>
          <w:lang w:val="fr-FR"/>
        </w:rPr>
        <w:t> </w:t>
      </w:r>
      <w:r w:rsidRPr="008D0081">
        <w:rPr>
          <w:lang w:val="fr-FR"/>
        </w:rPr>
        <w:t>1</w:t>
      </w:r>
      <w:r w:rsidR="00AA7AC6">
        <w:rPr>
          <w:lang w:val="fr-FR"/>
        </w:rPr>
        <w:t>,</w:t>
      </w:r>
      <w:r w:rsidRPr="008D0081">
        <w:rPr>
          <w:lang w:val="fr-FR"/>
        </w:rPr>
        <w:t xml:space="preserve">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w:t>
      </w:r>
    </w:p>
    <w:p w:rsidR="008E0725" w:rsidRPr="008D0081" w:rsidRDefault="008E0725" w:rsidP="009B19F5">
      <w:pPr>
        <w:pStyle w:val="SingleTxtG"/>
        <w:rPr>
          <w:lang w:val="fr-FR"/>
        </w:rPr>
      </w:pPr>
      <w:r w:rsidRPr="008D0081">
        <w:rPr>
          <w:lang w:val="fr-FR"/>
        </w:rPr>
        <w:t>3.7</w:t>
      </w:r>
      <w:r w:rsidRPr="008D0081">
        <w:rPr>
          <w:lang w:val="fr-FR"/>
        </w:rPr>
        <w:tab/>
      </w:r>
      <w:r w:rsidR="007E5F0A">
        <w:rPr>
          <w:lang w:val="fr-FR"/>
        </w:rPr>
        <w:t>É</w:t>
      </w:r>
      <w:r w:rsidRPr="008D0081">
        <w:rPr>
          <w:lang w:val="fr-FR"/>
        </w:rPr>
        <w:t>tant victime d’une détention non reconnue</w:t>
      </w:r>
      <w:r w:rsidR="00590CE3">
        <w:rPr>
          <w:lang w:val="fr-FR"/>
        </w:rPr>
        <w:t xml:space="preserve"> </w:t>
      </w:r>
      <w:r w:rsidRPr="008D0081">
        <w:rPr>
          <w:lang w:val="fr-FR"/>
        </w:rPr>
        <w:t>et</w:t>
      </w:r>
      <w:r w:rsidR="009B19F5">
        <w:rPr>
          <w:lang w:val="fr-FR"/>
        </w:rPr>
        <w:t>,</w:t>
      </w:r>
      <w:r w:rsidRPr="008D0081">
        <w:rPr>
          <w:lang w:val="fr-FR"/>
        </w:rPr>
        <w:t xml:space="preserve"> à ce titre</w:t>
      </w:r>
      <w:r w:rsidR="009B19F5">
        <w:rPr>
          <w:lang w:val="fr-FR"/>
        </w:rPr>
        <w:t>,</w:t>
      </w:r>
      <w:r w:rsidRPr="008D0081">
        <w:rPr>
          <w:lang w:val="fr-FR"/>
        </w:rPr>
        <w:t xml:space="preserve"> soustrait de la protection de la loi, Abdelhamid Al Daquel a, selon l’auteur, également été réduit à l’état de non personne</w:t>
      </w:r>
      <w:r w:rsidRPr="008D0081">
        <w:rPr>
          <w:vertAlign w:val="superscript"/>
          <w:lang w:val="fr-FR"/>
        </w:rPr>
        <w:footnoteReference w:id="11"/>
      </w:r>
      <w:r w:rsidR="004F7B2A">
        <w:rPr>
          <w:lang w:val="fr-FR"/>
        </w:rPr>
        <w:t>,</w:t>
      </w:r>
      <w:r w:rsidRPr="008D0081">
        <w:rPr>
          <w:lang w:val="fr-FR"/>
        </w:rPr>
        <w:t xml:space="preserve"> et par conséquent privé de la capacité d’exercer ses droits garantis par le Pacte, en violation de l’article</w:t>
      </w:r>
      <w:r w:rsidR="00F90577">
        <w:rPr>
          <w:lang w:val="fr-FR"/>
        </w:rPr>
        <w:t> </w:t>
      </w:r>
      <w:r w:rsidRPr="008D0081">
        <w:rPr>
          <w:lang w:val="fr-FR"/>
        </w:rPr>
        <w:t>16 du Pacte.</w:t>
      </w:r>
    </w:p>
    <w:p w:rsidR="008E0725" w:rsidRPr="008D0081" w:rsidRDefault="008E0725" w:rsidP="008E0725">
      <w:pPr>
        <w:pStyle w:val="H23G"/>
        <w:rPr>
          <w:lang w:val="fr-FR"/>
        </w:rPr>
      </w:pPr>
      <w:r w:rsidRPr="008D0081">
        <w:rPr>
          <w:lang w:val="fr-FR"/>
        </w:rPr>
        <w:tab/>
      </w:r>
      <w:r w:rsidRPr="008D0081">
        <w:rPr>
          <w:lang w:val="fr-FR"/>
        </w:rPr>
        <w:tab/>
        <w:t>Défaut de coopération de l’État partie</w:t>
      </w:r>
    </w:p>
    <w:p w:rsidR="008E0725" w:rsidRPr="008D0081" w:rsidRDefault="008E0725" w:rsidP="004F7B2A">
      <w:pPr>
        <w:pStyle w:val="SingleTxtG"/>
        <w:rPr>
          <w:lang w:val="fr-FR"/>
        </w:rPr>
      </w:pPr>
      <w:r w:rsidRPr="008D0081">
        <w:rPr>
          <w:lang w:val="fr-FR"/>
        </w:rPr>
        <w:t>4.</w:t>
      </w:r>
      <w:r w:rsidRPr="008D0081">
        <w:rPr>
          <w:lang w:val="fr-FR"/>
        </w:rPr>
        <w:tab/>
        <w:t>Les 25 juin 2009, 6 mai 2010, 24 janvier 2011 et 7</w:t>
      </w:r>
      <w:r w:rsidR="004F7B2A">
        <w:rPr>
          <w:lang w:val="fr-FR"/>
        </w:rPr>
        <w:t> </w:t>
      </w:r>
      <w:r w:rsidRPr="008D0081">
        <w:rPr>
          <w:lang w:val="fr-FR"/>
        </w:rPr>
        <w:t xml:space="preserve">mars 2011, l’État partie a été invité à soumettre ses observations sur la recevabilité et sur le fond de la communication. Le Comité note que ces informations n’ont pas été reçues. Il regrette que l’État partie n’ait donné aucune information sur la recevabilité ou sur le fond des griefs soulevés par l’auteur. Le Comité rappelle que, conformément au paragraphe 2 de l’article 4 du Protocole facultatif, l’État partie concerné est tenu de soumettre par écrit au Comité des explications ou déclarations éclaircissant la question et d’indiquer les éventuelles mesures prises pour remédier à la situation. </w:t>
      </w:r>
      <w:r w:rsidRPr="00EF0E44">
        <w:rPr>
          <w:lang w:val="fr-FR"/>
        </w:rPr>
        <w:t>En l’absence de réponse de l’État partie, le Comité doit accorder le crédit voulu aux allégations des auteurs qui sont suffisamment étayées</w:t>
      </w:r>
      <w:r w:rsidRPr="008D0081">
        <w:rPr>
          <w:vertAlign w:val="superscript"/>
          <w:lang w:val="fr-FR"/>
        </w:rPr>
        <w:footnoteReference w:id="12"/>
      </w:r>
      <w:r w:rsidR="004F7B2A">
        <w:rPr>
          <w:lang w:val="fr-FR"/>
        </w:rPr>
        <w:t>.</w:t>
      </w:r>
    </w:p>
    <w:p w:rsidR="008E0725" w:rsidRPr="008D0081" w:rsidRDefault="008E0725" w:rsidP="008E0725">
      <w:pPr>
        <w:pStyle w:val="H23G"/>
        <w:rPr>
          <w:lang w:val="fr-FR"/>
        </w:rPr>
      </w:pPr>
      <w:r w:rsidRPr="008D0081">
        <w:rPr>
          <w:lang w:val="fr-FR"/>
        </w:rPr>
        <w:tab/>
      </w:r>
      <w:r w:rsidRPr="008D0081">
        <w:rPr>
          <w:lang w:val="fr-FR"/>
        </w:rPr>
        <w:tab/>
        <w:t>Délibérations du Comité</w:t>
      </w:r>
    </w:p>
    <w:p w:rsidR="008E0725" w:rsidRPr="008D0081" w:rsidRDefault="008E0725" w:rsidP="008E0725">
      <w:pPr>
        <w:pStyle w:val="H4G"/>
        <w:rPr>
          <w:lang w:val="fr-FR"/>
        </w:rPr>
      </w:pPr>
      <w:r w:rsidRPr="008D0081">
        <w:rPr>
          <w:lang w:val="fr-FR"/>
        </w:rPr>
        <w:tab/>
      </w:r>
      <w:r w:rsidRPr="008D0081">
        <w:rPr>
          <w:lang w:val="fr-FR"/>
        </w:rPr>
        <w:tab/>
        <w:t>Examen de la recevabilité</w:t>
      </w:r>
    </w:p>
    <w:p w:rsidR="008E0725" w:rsidRPr="008D0081" w:rsidRDefault="008E0725" w:rsidP="008E0725">
      <w:pPr>
        <w:pStyle w:val="SingleTxtG"/>
        <w:rPr>
          <w:lang w:val="fr-FR"/>
        </w:rPr>
      </w:pPr>
      <w:r w:rsidRPr="008D0081">
        <w:rPr>
          <w:lang w:val="fr-FR"/>
        </w:rPr>
        <w:t>5.1</w:t>
      </w:r>
      <w:r w:rsidRPr="008D0081">
        <w:rPr>
          <w:lang w:val="fr-FR"/>
        </w:rP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8E0725" w:rsidRPr="008D0081" w:rsidRDefault="008E0725" w:rsidP="00C1341D">
      <w:pPr>
        <w:pStyle w:val="SingleTxtG"/>
        <w:rPr>
          <w:lang w:val="fr-FR"/>
        </w:rPr>
      </w:pPr>
      <w:r w:rsidRPr="008D0081">
        <w:rPr>
          <w:lang w:val="fr-FR"/>
        </w:rPr>
        <w:t>5.2</w:t>
      </w:r>
      <w:r w:rsidRPr="008D0081">
        <w:rPr>
          <w:lang w:val="fr-FR"/>
        </w:rPr>
        <w:tab/>
        <w:t>Le Comité s’est assuré, comme il est tenu de le faire conformément aux dispositions du paragraphe 2 a) de l’article 5 du Protocole facultatif, que la même affaire n’était pas en cours d’examen devant une autre instance internationale d’enquête ou de règlement. Le Comité note que le cas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 été porté à la connaissance du Groupe de travail sur les disparitions forcées</w:t>
      </w:r>
      <w:r w:rsidR="006072AB">
        <w:rPr>
          <w:lang w:val="fr-FR"/>
        </w:rPr>
        <w:t xml:space="preserve"> ou involontaires</w:t>
      </w:r>
      <w:r w:rsidRPr="008D0081">
        <w:rPr>
          <w:lang w:val="fr-FR"/>
        </w:rPr>
        <w:t xml:space="preserve">, du Rapporteur spécial sur les exécutions extrajudiciaires, </w:t>
      </w:r>
      <w:r w:rsidR="006072AB">
        <w:rPr>
          <w:lang w:val="fr-FR"/>
        </w:rPr>
        <w:t xml:space="preserve">sommaires ou arbitraires </w:t>
      </w:r>
      <w:r w:rsidRPr="008D0081">
        <w:rPr>
          <w:lang w:val="fr-FR"/>
        </w:rPr>
        <w:t xml:space="preserve">et du Rapporteur spécial sur </w:t>
      </w:r>
      <w:r w:rsidR="00781A42">
        <w:rPr>
          <w:lang w:val="fr-FR"/>
        </w:rPr>
        <w:t xml:space="preserve">la </w:t>
      </w:r>
      <w:r w:rsidR="006072AB">
        <w:rPr>
          <w:lang w:val="fr-FR"/>
        </w:rPr>
        <w:t xml:space="preserve">question de </w:t>
      </w:r>
      <w:r w:rsidRPr="008D0081">
        <w:rPr>
          <w:lang w:val="fr-FR"/>
        </w:rPr>
        <w:t>la torture. Toutefois, le Comité rappelle que les procédures ou les mécanismes extraconventionnels mis en place par la Commission des droits de l’homme ou le Conseil des droits de l’homme, et qui ont pour mandat d’examiner la situation des droits de l’homme dans des pays ou territoires déterminés ou des cas de violations généralisé</w:t>
      </w:r>
      <w:r w:rsidR="007920BA">
        <w:rPr>
          <w:lang w:val="fr-FR"/>
        </w:rPr>
        <w:t>e</w:t>
      </w:r>
      <w:r w:rsidRPr="008D0081">
        <w:rPr>
          <w:lang w:val="fr-FR"/>
        </w:rPr>
        <w:t>s des droits de l’homme dans le monde, et de faire rapport publiquement sur ces situations, ne constituent pas en règle générale une procédure internationale d’enquête ou de règlement au sens du paragraphe 2 a) de l’article 5 du Protocole facultatif</w:t>
      </w:r>
      <w:r w:rsidRPr="008D0081">
        <w:rPr>
          <w:vertAlign w:val="superscript"/>
          <w:lang w:val="fr-FR"/>
        </w:rPr>
        <w:footnoteReference w:id="13"/>
      </w:r>
      <w:r w:rsidR="00C1341D">
        <w:rPr>
          <w:lang w:val="fr-FR"/>
        </w:rPr>
        <w:t>.</w:t>
      </w:r>
      <w:r w:rsidRPr="008D0081">
        <w:rPr>
          <w:lang w:val="fr-FR"/>
        </w:rPr>
        <w:t xml:space="preserve"> Par conséquent le Comité considère qu’il n’est pas empêché par cette disposition d’examiner la communication.</w:t>
      </w:r>
    </w:p>
    <w:p w:rsidR="008E0725" w:rsidRPr="008D0081" w:rsidRDefault="008E0725" w:rsidP="008E0725">
      <w:pPr>
        <w:pStyle w:val="SingleTxtG"/>
        <w:rPr>
          <w:lang w:val="fr-FR"/>
        </w:rPr>
      </w:pPr>
      <w:r w:rsidRPr="008D0081">
        <w:rPr>
          <w:lang w:val="fr-FR"/>
        </w:rPr>
        <w:t>5.3</w:t>
      </w:r>
      <w:r w:rsidRPr="008D0081">
        <w:rPr>
          <w:lang w:val="fr-FR"/>
        </w:rPr>
        <w:tab/>
        <w:t>En ce qui concerne l’épuisement des recours internes, le Comité se déclare de nouveau préoccupé par le fait que, malgré les trois rappels qui lui ont été envoyés, l’État partie ne lui a adressé aucune information ou observation sur la recevabilité ou le fond de la communication. Le Comité estime que rien ne s’oppose à ce qu’il examine la communication conformément au paragraphe 2 b) de l’article 5 du Protocole facultatif.</w:t>
      </w:r>
    </w:p>
    <w:p w:rsidR="008E0725" w:rsidRPr="008D0081" w:rsidRDefault="008E0725" w:rsidP="00C865FB">
      <w:pPr>
        <w:pStyle w:val="SingleTxtG"/>
        <w:rPr>
          <w:lang w:val="fr-FR"/>
        </w:rPr>
      </w:pPr>
      <w:r w:rsidRPr="008D0081">
        <w:rPr>
          <w:lang w:val="fr-FR"/>
        </w:rPr>
        <w:t>5.4</w:t>
      </w:r>
      <w:r w:rsidRPr="008D0081">
        <w:rPr>
          <w:lang w:val="fr-FR"/>
        </w:rPr>
        <w:tab/>
        <w:t>Le Comité considère que l’auteur a suffisamment étayé ses allégations aux fins de la recevabilité et procède à l’examen quant au fond des griefs formulés au nom d</w:t>
      </w:r>
      <w:r w:rsidR="00F000B0">
        <w:rPr>
          <w:lang w:val="fr-FR"/>
        </w:rPr>
        <w:t>’</w:t>
      </w:r>
      <w:r w:rsidRPr="008D0081">
        <w:rPr>
          <w:lang w:val="fr-FR"/>
        </w:rPr>
        <w:t>Ab</w:t>
      </w:r>
      <w:r w:rsidR="00F000B0">
        <w:rPr>
          <w:lang w:val="fr-FR"/>
        </w:rPr>
        <w:t>d</w:t>
      </w:r>
      <w:r w:rsidRPr="008D0081">
        <w:rPr>
          <w:lang w:val="fr-FR"/>
        </w:rPr>
        <w:t xml:space="preserve">elhamid Al </w:t>
      </w:r>
      <w:proofErr w:type="spellStart"/>
      <w:r w:rsidRPr="008D0081">
        <w:rPr>
          <w:lang w:val="fr-FR"/>
        </w:rPr>
        <w:t>Daquel</w:t>
      </w:r>
      <w:proofErr w:type="spellEnd"/>
      <w:r w:rsidRPr="008D0081">
        <w:rPr>
          <w:lang w:val="fr-FR"/>
        </w:rPr>
        <w:t xml:space="preserve"> au titre du paragraphe 3 de l’article 2, du paragraphe 1 de l’article 6, de l’article 7, des paragraphes 1 à 4 de l’article 9, du paragraphe 1 de l’article 10 et de l’article 16 du Pacte, et au nom de l’auteur lui-même, de sa femme</w:t>
      </w:r>
      <w:r w:rsidR="009B4DD6">
        <w:rPr>
          <w:lang w:val="fr-FR"/>
        </w:rPr>
        <w:t>,</w:t>
      </w:r>
      <w:r w:rsidRPr="008D0081">
        <w:rPr>
          <w:lang w:val="fr-FR"/>
        </w:rPr>
        <w:t xml:space="preserve"> Rabiia Mhamed Fredj (mère de la victime), et de leurs six autres enfants</w:t>
      </w:r>
      <w:r w:rsidRPr="008D0081">
        <w:rPr>
          <w:vertAlign w:val="superscript"/>
          <w:lang w:val="fr-FR"/>
        </w:rPr>
        <w:footnoteReference w:id="14"/>
      </w:r>
      <w:r w:rsidRPr="008D0081">
        <w:rPr>
          <w:lang w:val="fr-FR"/>
        </w:rPr>
        <w:t xml:space="preserve"> au titre de l’article 7 et du paragraphe 3 de l’article 2 du Pacte.</w:t>
      </w:r>
    </w:p>
    <w:p w:rsidR="008E0725" w:rsidRPr="008D0081" w:rsidRDefault="008E0725" w:rsidP="008E0725">
      <w:pPr>
        <w:pStyle w:val="H4G"/>
        <w:rPr>
          <w:lang w:val="fr-FR"/>
        </w:rPr>
      </w:pPr>
      <w:r w:rsidRPr="008D0081">
        <w:rPr>
          <w:lang w:val="fr-FR"/>
        </w:rPr>
        <w:tab/>
      </w:r>
      <w:r w:rsidRPr="008D0081">
        <w:rPr>
          <w:lang w:val="fr-FR"/>
        </w:rPr>
        <w:tab/>
        <w:t>Examen au fond</w:t>
      </w:r>
    </w:p>
    <w:p w:rsidR="008E0725" w:rsidRPr="008D0081" w:rsidRDefault="008E0725" w:rsidP="008E0725">
      <w:pPr>
        <w:pStyle w:val="SingleTxtG"/>
        <w:rPr>
          <w:lang w:val="fr-FR"/>
        </w:rPr>
      </w:pPr>
      <w:r w:rsidRPr="008D0081">
        <w:rPr>
          <w:lang w:val="fr-FR"/>
        </w:rPr>
        <w:t>6.1</w:t>
      </w:r>
      <w:r w:rsidRPr="008D0081">
        <w:rPr>
          <w:lang w:val="fr-FR"/>
        </w:rPr>
        <w:tab/>
        <w:t>Conformément au paragraphe 1 de l’article 5 du Protocole facultatif, le Comité des droits de l’homme a examiné la présente communication en tenant compte de toutes les informations qui lui ont été communiquées. L’État partie n’ayant pas répondu aux allégations de l’auteur,</w:t>
      </w:r>
      <w:r w:rsidR="00590CE3">
        <w:rPr>
          <w:lang w:val="fr-FR"/>
        </w:rPr>
        <w:t xml:space="preserve"> </w:t>
      </w:r>
      <w:r w:rsidRPr="008D0081">
        <w:rPr>
          <w:lang w:val="fr-FR"/>
        </w:rPr>
        <w:t>il convient d’accorder le crédit voulu aux allégations de ce dernier, dans la mesure où elles sont suffisamment étayées.</w:t>
      </w:r>
    </w:p>
    <w:p w:rsidR="008E0725" w:rsidRPr="008D0081" w:rsidRDefault="008E0725" w:rsidP="001229CC">
      <w:pPr>
        <w:pStyle w:val="SingleTxtG"/>
        <w:rPr>
          <w:lang w:val="fr-FR"/>
        </w:rPr>
      </w:pPr>
      <w:r w:rsidRPr="008D0081">
        <w:rPr>
          <w:lang w:val="fr-FR"/>
        </w:rPr>
        <w:t>6.2</w:t>
      </w:r>
      <w:r w:rsidRPr="008D0081">
        <w:rPr>
          <w:lang w:val="fr-FR"/>
        </w:rPr>
        <w:tab/>
        <w:t>Le Comité prend note de l’affirmation de l’auteur, qui n’a pas été contestée, qui indique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 été arrêté le 26</w:t>
      </w:r>
      <w:r w:rsidR="00C865FB">
        <w:rPr>
          <w:lang w:val="fr-FR"/>
        </w:rPr>
        <w:t> </w:t>
      </w:r>
      <w:r w:rsidRPr="008D0081">
        <w:rPr>
          <w:lang w:val="fr-FR"/>
        </w:rPr>
        <w:t xml:space="preserve">janvier 1989 à Foum Molghat par des membres des forces de la </w:t>
      </w:r>
      <w:r w:rsidR="004E2EB3">
        <w:rPr>
          <w:lang w:val="fr-FR"/>
        </w:rPr>
        <w:t>sécurité</w:t>
      </w:r>
      <w:r w:rsidR="004E2EB3" w:rsidRPr="008D0081">
        <w:rPr>
          <w:lang w:val="fr-FR"/>
        </w:rPr>
        <w:t xml:space="preserve"> </w:t>
      </w:r>
      <w:r w:rsidRPr="008D0081">
        <w:rPr>
          <w:lang w:val="fr-FR"/>
        </w:rPr>
        <w:t xml:space="preserve">intérieure, et emmené vers une destination inconnue, en présence </w:t>
      </w:r>
      <w:r w:rsidR="00600C6F">
        <w:rPr>
          <w:lang w:val="fr-FR"/>
        </w:rPr>
        <w:t xml:space="preserve">de </w:t>
      </w:r>
      <w:r w:rsidRPr="008D0081">
        <w:rPr>
          <w:lang w:val="fr-FR"/>
        </w:rPr>
        <w:t xml:space="preserve">trois autres individus appréhendés en même temps que lui. Bien </w:t>
      </w:r>
      <w:r w:rsidR="000B5212" w:rsidRPr="008D0081">
        <w:rPr>
          <w:lang w:val="fr-FR"/>
        </w:rPr>
        <w:t>qu</w:t>
      </w:r>
      <w:r w:rsidR="000B5212">
        <w:rPr>
          <w:lang w:val="fr-FR"/>
        </w:rPr>
        <w:t>e la famille</w:t>
      </w:r>
      <w:r w:rsidR="000B5212" w:rsidRPr="008D0081">
        <w:rPr>
          <w:lang w:val="fr-FR"/>
        </w:rPr>
        <w:t xml:space="preserve"> </w:t>
      </w:r>
      <w:r w:rsidRPr="008D0081">
        <w:rPr>
          <w:lang w:val="fr-FR"/>
        </w:rPr>
        <w:t>ait pu apprendre en 1995, de source non officielle, qu</w:t>
      </w:r>
      <w:r w:rsidR="00820543">
        <w:rPr>
          <w:lang w:val="fr-FR"/>
        </w:rPr>
        <w:t>’</w:t>
      </w:r>
      <w:r w:rsidRPr="008D0081">
        <w:rPr>
          <w:lang w:val="fr-FR"/>
        </w:rPr>
        <w:t xml:space="preserve">Abdelhamid Al </w:t>
      </w:r>
      <w:proofErr w:type="spellStart"/>
      <w:r w:rsidRPr="008D0081">
        <w:rPr>
          <w:lang w:val="fr-FR"/>
        </w:rPr>
        <w:t>Daquel</w:t>
      </w:r>
      <w:proofErr w:type="spellEnd"/>
      <w:r w:rsidR="00590CE3">
        <w:rPr>
          <w:lang w:val="fr-FR"/>
        </w:rPr>
        <w:t xml:space="preserve"> </w:t>
      </w:r>
      <w:r w:rsidRPr="008D0081">
        <w:rPr>
          <w:lang w:val="fr-FR"/>
        </w:rPr>
        <w:t xml:space="preserve">était toujours en vie et détenu à la prison d’Abou Salim, ce n’est qu’en novembre 2008, soit près de </w:t>
      </w:r>
      <w:r w:rsidR="00F8085D" w:rsidRPr="00EF0E44">
        <w:rPr>
          <w:lang w:val="fr-FR"/>
        </w:rPr>
        <w:t>vingt</w:t>
      </w:r>
      <w:r w:rsidR="00F8085D">
        <w:rPr>
          <w:lang w:val="fr-FR"/>
        </w:rPr>
        <w:t> </w:t>
      </w:r>
      <w:r w:rsidRPr="008D0081">
        <w:rPr>
          <w:lang w:val="fr-FR"/>
        </w:rPr>
        <w:t>ans après sa disparition, que les autorités de l’</w:t>
      </w:r>
      <w:r w:rsidR="007D663E">
        <w:rPr>
          <w:lang w:val="fr-FR"/>
        </w:rPr>
        <w:t>État</w:t>
      </w:r>
      <w:r w:rsidRPr="008D0081">
        <w:rPr>
          <w:lang w:val="fr-FR"/>
        </w:rPr>
        <w:t xml:space="preserve"> partie ont informé la famille du décès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qui serait survenu le 23</w:t>
      </w:r>
      <w:r w:rsidR="00C865FB">
        <w:rPr>
          <w:lang w:val="fr-FR"/>
        </w:rPr>
        <w:t> </w:t>
      </w:r>
      <w:r w:rsidRPr="008D0081">
        <w:rPr>
          <w:lang w:val="fr-FR"/>
        </w:rPr>
        <w:t xml:space="preserve">juin 1996 à Tripoli. </w:t>
      </w:r>
    </w:p>
    <w:p w:rsidR="008E0725" w:rsidRPr="008D0081" w:rsidRDefault="008E0725" w:rsidP="00C865FB">
      <w:pPr>
        <w:pStyle w:val="SingleTxtG"/>
        <w:rPr>
          <w:lang w:val="fr-FR"/>
        </w:rPr>
      </w:pPr>
      <w:r w:rsidRPr="008D0081">
        <w:rPr>
          <w:lang w:val="fr-FR"/>
        </w:rPr>
        <w:t>6.3</w:t>
      </w:r>
      <w:r w:rsidRPr="008D0081">
        <w:rPr>
          <w:lang w:val="fr-FR"/>
        </w:rPr>
        <w:tab/>
        <w:t>Le Comité note que l’État partie n’a fourni aucune réponse aux allégations de l’auteur concernant la disparition forcée de son fils, et rappelle que, d’après sa jurisprudence, la charge de la preuve ne peut pas incomber seulement aux auteurs de la communication, en particulier lorsque les auteurs et l’État partie n’ont pas les mêmes possibilités d’accès aux éléments de preuve et que, fréquemment, l’État partie est seul à détenir les informations pertinentes, telles que celles concernant la détention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et les circonstances ayant entouré son décès</w:t>
      </w:r>
      <w:r w:rsidRPr="008D0081">
        <w:rPr>
          <w:vertAlign w:val="superscript"/>
          <w:lang w:val="fr-FR"/>
        </w:rPr>
        <w:footnoteReference w:id="15"/>
      </w:r>
      <w:r w:rsidR="00C865FB">
        <w:rPr>
          <w:lang w:val="fr-FR"/>
        </w:rPr>
        <w:t>.</w:t>
      </w:r>
      <w:r w:rsidRPr="008D0081">
        <w:rPr>
          <w:lang w:val="fr-FR"/>
        </w:rPr>
        <w:t xml:space="preserve"> </w:t>
      </w:r>
    </w:p>
    <w:p w:rsidR="008E0725" w:rsidRPr="008D0081" w:rsidRDefault="008E0725" w:rsidP="003E2E40">
      <w:pPr>
        <w:pStyle w:val="SingleTxtG"/>
        <w:rPr>
          <w:lang w:val="fr-FR"/>
        </w:rPr>
      </w:pPr>
      <w:r w:rsidRPr="008D0081">
        <w:rPr>
          <w:lang w:val="fr-FR"/>
        </w:rPr>
        <w:t>6.4</w:t>
      </w:r>
      <w:r w:rsidRPr="008D0081">
        <w:rPr>
          <w:lang w:val="fr-FR"/>
        </w:rPr>
        <w:tab/>
        <w:t>Le Comité rappelle en outre que</w:t>
      </w:r>
      <w:r w:rsidR="003E2E40">
        <w:rPr>
          <w:lang w:val="fr-FR"/>
        </w:rPr>
        <w:t>,</w:t>
      </w:r>
      <w:r w:rsidRPr="008D0081">
        <w:rPr>
          <w:lang w:val="fr-FR"/>
        </w:rPr>
        <w:t xml:space="preserve"> dans les affaires de disparition forcée, la privation de liberté suivie du refus de reconnaître la privation de liberté ou de donner des informations sur le sort de la personne disparue soustrait la personne à la protection de la loi et fait peser un risque constant et sérieux sur sa vie, ce dont l’État doit rendre compte</w:t>
      </w:r>
      <w:r w:rsidRPr="008D0081">
        <w:rPr>
          <w:vertAlign w:val="superscript"/>
          <w:lang w:val="fr-FR"/>
        </w:rPr>
        <w:footnoteReference w:id="16"/>
      </w:r>
      <w:r w:rsidR="00827C80">
        <w:rPr>
          <w:lang w:val="fr-FR"/>
        </w:rPr>
        <w:t>.</w:t>
      </w:r>
      <w:r w:rsidRPr="008D0081">
        <w:rPr>
          <w:lang w:val="fr-FR"/>
        </w:rPr>
        <w:t xml:space="preserve"> En outre, au vu du décès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durant sa détention prolongée au secret, alors qu’il était en tout temps entre les mains de l’</w:t>
      </w:r>
      <w:r w:rsidR="007D663E">
        <w:rPr>
          <w:lang w:val="fr-FR"/>
        </w:rPr>
        <w:t>État</w:t>
      </w:r>
      <w:r w:rsidRPr="008D0081">
        <w:rPr>
          <w:lang w:val="fr-FR"/>
        </w:rPr>
        <w:t xml:space="preserve"> partie, dans des circonstances qui restent à éclairci</w:t>
      </w:r>
      <w:r w:rsidR="003E2E40">
        <w:rPr>
          <w:lang w:val="fr-FR"/>
        </w:rPr>
        <w:t>r</w:t>
      </w:r>
      <w:r w:rsidRPr="008D0081">
        <w:rPr>
          <w:lang w:val="fr-FR"/>
        </w:rPr>
        <w:t>, le Comité ne peut que conclure que l’État partie a violé le droit à la vie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en violation du paragraphe 1 de l’article 6 du Pacte.</w:t>
      </w:r>
    </w:p>
    <w:p w:rsidR="008E0725" w:rsidRPr="008D0081" w:rsidRDefault="008E0725" w:rsidP="00530E64">
      <w:pPr>
        <w:pStyle w:val="SingleTxtG"/>
        <w:rPr>
          <w:lang w:val="fr-FR"/>
        </w:rPr>
      </w:pPr>
      <w:r w:rsidRPr="008D0081">
        <w:rPr>
          <w:lang w:val="fr-FR"/>
        </w:rPr>
        <w:t>6.5</w:t>
      </w:r>
      <w:r w:rsidRPr="008D0081">
        <w:rPr>
          <w:lang w:val="fr-FR"/>
        </w:rPr>
        <w:tab/>
        <w:t>Concernant l’article</w:t>
      </w:r>
      <w:r w:rsidR="00827C80">
        <w:rPr>
          <w:lang w:val="fr-FR"/>
        </w:rPr>
        <w:t> </w:t>
      </w:r>
      <w:r w:rsidRPr="008D0081">
        <w:rPr>
          <w:lang w:val="fr-FR"/>
        </w:rPr>
        <w:t xml:space="preserve">7, le Comité reconnaît le degré de souffrance causé par le fait d’être privé indéfiniment de contact avec le monde extérieur. Il rappelle son </w:t>
      </w:r>
      <w:r w:rsidR="001F4B03" w:rsidRPr="00EF0E44">
        <w:rPr>
          <w:lang w:val="fr-FR"/>
        </w:rPr>
        <w:t>o</w:t>
      </w:r>
      <w:r w:rsidRPr="00EF0E44">
        <w:rPr>
          <w:lang w:val="fr-FR"/>
        </w:rPr>
        <w:t>bservation générale</w:t>
      </w:r>
      <w:r w:rsidRPr="008D0081">
        <w:rPr>
          <w:lang w:val="fr-FR"/>
        </w:rPr>
        <w:t xml:space="preserve"> </w:t>
      </w:r>
      <w:r w:rsidR="00827C80">
        <w:rPr>
          <w:lang w:val="fr-FR"/>
        </w:rPr>
        <w:t>n</w:t>
      </w:r>
      <w:r w:rsidR="00827C80" w:rsidRPr="00F8084D">
        <w:rPr>
          <w:vertAlign w:val="superscript"/>
          <w:lang w:val="fr-FR"/>
        </w:rPr>
        <w:t>o</w:t>
      </w:r>
      <w:r w:rsidR="00827C80">
        <w:rPr>
          <w:lang w:val="fr-FR"/>
        </w:rPr>
        <w:t> </w:t>
      </w:r>
      <w:r w:rsidRPr="008D0081">
        <w:rPr>
          <w:lang w:val="fr-FR"/>
        </w:rPr>
        <w:t xml:space="preserve">20 (1992) sur </w:t>
      </w:r>
      <w:r w:rsidR="00B914B5">
        <w:rPr>
          <w:lang w:val="fr-FR"/>
        </w:rPr>
        <w:t>l’interdiction de la torture et des peines ou traitements cruels, inhumains ou dégradants</w:t>
      </w:r>
      <w:r w:rsidR="004A7D13" w:rsidRPr="008D0081">
        <w:rPr>
          <w:lang w:val="fr-FR"/>
        </w:rPr>
        <w:t>,</w:t>
      </w:r>
      <w:r w:rsidR="004A7D13" w:rsidRPr="00EF0E44">
        <w:rPr>
          <w:lang w:val="fr-FR"/>
        </w:rPr>
        <w:t xml:space="preserve"> </w:t>
      </w:r>
      <w:r w:rsidR="004A7D13" w:rsidRPr="008D0081">
        <w:rPr>
          <w:lang w:val="fr-FR"/>
        </w:rPr>
        <w:t>dans laquelle il recommande aux États parties de prendre des dispositions interdisant la détention au secret</w:t>
      </w:r>
      <w:r w:rsidR="004A7D13">
        <w:rPr>
          <w:lang w:val="fr-FR"/>
        </w:rPr>
        <w:t>.</w:t>
      </w:r>
      <w:r w:rsidR="00590CE3" w:rsidRPr="00827C80">
        <w:rPr>
          <w:lang w:val="fr-FR"/>
        </w:rPr>
        <w:t xml:space="preserve"> </w:t>
      </w:r>
      <w:r w:rsidRPr="008D0081">
        <w:rPr>
          <w:lang w:val="fr-FR"/>
        </w:rPr>
        <w:t>Il rappelle en l’espèce qu</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 été arrêté le 26</w:t>
      </w:r>
      <w:r w:rsidR="0062628D">
        <w:rPr>
          <w:lang w:val="fr-FR"/>
        </w:rPr>
        <w:t> </w:t>
      </w:r>
      <w:r w:rsidRPr="008D0081">
        <w:rPr>
          <w:lang w:val="fr-FR"/>
        </w:rPr>
        <w:t>janvier 1989 et emmené vers un lieu tenu secret par des agents de la sécurité de l’État</w:t>
      </w:r>
      <w:r w:rsidR="007D663E">
        <w:rPr>
          <w:lang w:val="fr-FR"/>
        </w:rPr>
        <w:t>;</w:t>
      </w:r>
      <w:r w:rsidRPr="008D0081">
        <w:rPr>
          <w:lang w:val="fr-FR"/>
        </w:rPr>
        <w:t xml:space="preserve"> qu’il a ensuite été privé de toute communication avec sa famille</w:t>
      </w:r>
      <w:r w:rsidR="007D663E">
        <w:rPr>
          <w:lang w:val="fr-FR"/>
        </w:rPr>
        <w:t>;</w:t>
      </w:r>
      <w:r w:rsidRPr="008D0081">
        <w:rPr>
          <w:lang w:val="fr-FR"/>
        </w:rPr>
        <w:t xml:space="preserve"> que malgré de nombreuses tentatives, sa famille n’a pas pu obtenir d’informations sur le lieu où il se trouvait</w:t>
      </w:r>
      <w:r w:rsidR="007D663E">
        <w:rPr>
          <w:lang w:val="fr-FR"/>
        </w:rPr>
        <w:t>;</w:t>
      </w:r>
      <w:r w:rsidRPr="008D0081">
        <w:rPr>
          <w:lang w:val="fr-FR"/>
        </w:rPr>
        <w:t xml:space="preserve"> que la famille de la victime a été informée de son décès près de </w:t>
      </w:r>
      <w:r w:rsidR="00530E64" w:rsidRPr="00EF0E44">
        <w:rPr>
          <w:lang w:val="fr-FR"/>
        </w:rPr>
        <w:t>vingt</w:t>
      </w:r>
      <w:r w:rsidR="00530E64">
        <w:rPr>
          <w:lang w:val="fr-FR"/>
        </w:rPr>
        <w:t> </w:t>
      </w:r>
      <w:r w:rsidRPr="008D0081">
        <w:rPr>
          <w:lang w:val="fr-FR"/>
        </w:rPr>
        <w:t>ans après son arrestation, sans qu’on lui remette la dépouille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ni qu’on lui fournisse d’information sur les circonstances de son décès, ni sur le lieu de son inhumation.</w:t>
      </w:r>
      <w:r w:rsidR="00590CE3">
        <w:rPr>
          <w:lang w:val="fr-FR"/>
        </w:rPr>
        <w:t xml:space="preserve"> </w:t>
      </w:r>
      <w:r w:rsidRPr="008D0081">
        <w:rPr>
          <w:lang w:val="fr-FR"/>
        </w:rPr>
        <w:t>En l’absence d’explication satisfaisante de la part de l’État partie, le Comité considère que ce dernier a violé l’article 7 du Pacte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vertAlign w:val="superscript"/>
          <w:lang w:val="fr-FR"/>
        </w:rPr>
        <w:footnoteReference w:id="17"/>
      </w:r>
      <w:r w:rsidR="0062628D">
        <w:rPr>
          <w:lang w:val="fr-FR"/>
        </w:rPr>
        <w:t>.</w:t>
      </w:r>
    </w:p>
    <w:p w:rsidR="008E0725" w:rsidRPr="008D0081" w:rsidRDefault="008E0725" w:rsidP="008E0725">
      <w:pPr>
        <w:pStyle w:val="SingleTxtG"/>
        <w:rPr>
          <w:lang w:val="fr-FR"/>
        </w:rPr>
      </w:pPr>
      <w:r w:rsidRPr="008D0081">
        <w:rPr>
          <w:lang w:val="fr-FR"/>
        </w:rPr>
        <w:t>6.6</w:t>
      </w:r>
      <w:r w:rsidRPr="008D0081">
        <w:rPr>
          <w:lang w:val="fr-FR"/>
        </w:rPr>
        <w:tab/>
        <w:t>Ayant abouti à cette conclusion, le Comité n’estime pas nécessaire d’examiner les griefs de l’auteur tirés de l’article 10 du Pacte.</w:t>
      </w:r>
    </w:p>
    <w:p w:rsidR="008E0725" w:rsidRPr="008D0081" w:rsidRDefault="008E0725" w:rsidP="0007792E">
      <w:pPr>
        <w:pStyle w:val="SingleTxtG"/>
        <w:rPr>
          <w:lang w:val="fr-FR"/>
        </w:rPr>
      </w:pPr>
      <w:r w:rsidRPr="008D0081">
        <w:rPr>
          <w:lang w:val="fr-FR"/>
        </w:rPr>
        <w:t>6.7</w:t>
      </w:r>
      <w:r w:rsidRPr="008D0081">
        <w:rPr>
          <w:lang w:val="fr-FR"/>
        </w:rPr>
        <w:tab/>
        <w:t>Le Comité note également l’angoisse et la détresse qu’ont causées à l’auteur et à sa famille la disparition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puis la confirmation de son décès, qu’ils n’ont reçue que près de </w:t>
      </w:r>
      <w:r w:rsidR="0007792E" w:rsidRPr="00EF0E44">
        <w:rPr>
          <w:lang w:val="fr-FR"/>
        </w:rPr>
        <w:t>vingt</w:t>
      </w:r>
      <w:r w:rsidR="0007792E">
        <w:rPr>
          <w:lang w:val="fr-FR"/>
        </w:rPr>
        <w:t> </w:t>
      </w:r>
      <w:r w:rsidRPr="008D0081">
        <w:rPr>
          <w:lang w:val="fr-FR"/>
        </w:rPr>
        <w:t xml:space="preserve">ans plus tard, sans pour autant qu’on leur remette la dépouille de leur fils, ni </w:t>
      </w:r>
      <w:r w:rsidR="004B7F18">
        <w:rPr>
          <w:lang w:val="fr-FR"/>
        </w:rPr>
        <w:t xml:space="preserve">qu’on </w:t>
      </w:r>
      <w:r w:rsidRPr="008D0081">
        <w:rPr>
          <w:lang w:val="fr-FR"/>
        </w:rPr>
        <w:t>leur apporte des clarifications sur les circonstances ayant entouré son décès, alors qu’il se trouvait en tout temps entre les mains des autorités de l’</w:t>
      </w:r>
      <w:r w:rsidR="007D663E">
        <w:rPr>
          <w:lang w:val="fr-FR"/>
        </w:rPr>
        <w:t>État</w:t>
      </w:r>
      <w:r w:rsidRPr="008D0081">
        <w:rPr>
          <w:lang w:val="fr-FR"/>
        </w:rPr>
        <w:t xml:space="preserve"> partie, sans contact avec le monde extérieur. Au lieu d’informer immédiatement l’auteur et sa famille du décès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qui serait survenu le 23</w:t>
      </w:r>
      <w:r w:rsidR="0062628D">
        <w:rPr>
          <w:lang w:val="fr-FR"/>
        </w:rPr>
        <w:t> </w:t>
      </w:r>
      <w:r w:rsidRPr="008D0081">
        <w:rPr>
          <w:lang w:val="fr-FR"/>
        </w:rPr>
        <w:t xml:space="preserve">juin 1996, et d’ouvrir une enquête approfondie dans le but de poursuivre les responsables, les autorités de l’État partie ont laissé sa famille dans l’ignorance de ce qu’il était advenu de leur proche durant </w:t>
      </w:r>
      <w:r w:rsidR="0007792E" w:rsidRPr="001229CC">
        <w:rPr>
          <w:lang w:val="fr-FR"/>
        </w:rPr>
        <w:t>douze</w:t>
      </w:r>
      <w:r w:rsidR="0007792E" w:rsidRPr="008D0081">
        <w:rPr>
          <w:lang w:val="fr-FR"/>
        </w:rPr>
        <w:t> </w:t>
      </w:r>
      <w:r w:rsidRPr="008D0081">
        <w:rPr>
          <w:lang w:val="fr-FR"/>
        </w:rPr>
        <w:t>années supplémentaires, alors qu’elles ne pouvaient que savoir qu’il était décédé en détention, dans des circonstances qui restent à éclaircir. Le Comité considère que les faits dont il est saisi font apparaître une violation de l’article 7 du Pacte à l’égard de l’auteur, de sa femme</w:t>
      </w:r>
      <w:r w:rsidR="009B4DD6">
        <w:rPr>
          <w:lang w:val="fr-FR"/>
        </w:rPr>
        <w:t>,</w:t>
      </w:r>
      <w:r w:rsidRPr="008D0081">
        <w:rPr>
          <w:lang w:val="fr-FR"/>
        </w:rPr>
        <w:t xml:space="preserve"> Rabiia Mhamed Fredj (mère de la victime), et de leurs six autres enfants</w:t>
      </w:r>
      <w:r w:rsidRPr="008D0081">
        <w:rPr>
          <w:vertAlign w:val="superscript"/>
          <w:lang w:val="fr-FR"/>
        </w:rPr>
        <w:footnoteReference w:id="18"/>
      </w:r>
      <w:r w:rsidR="0062628D">
        <w:rPr>
          <w:lang w:val="fr-FR"/>
        </w:rPr>
        <w:t>.</w:t>
      </w:r>
    </w:p>
    <w:p w:rsidR="008E0725" w:rsidRPr="008D0081" w:rsidRDefault="008E0725" w:rsidP="001229CC">
      <w:pPr>
        <w:pStyle w:val="SingleTxtG"/>
        <w:rPr>
          <w:lang w:val="fr-FR"/>
        </w:rPr>
      </w:pPr>
      <w:r w:rsidRPr="008D0081">
        <w:rPr>
          <w:lang w:val="fr-FR"/>
        </w:rPr>
        <w:t>6.8</w:t>
      </w:r>
      <w:r w:rsidRPr="008D0081">
        <w:rPr>
          <w:lang w:val="fr-FR"/>
        </w:rPr>
        <w:tab/>
        <w:t xml:space="preserve">En ce qui concerne l’allégation de violation de l’article 9, le Comité prend note de l’affirmation de l’auteur selon laquelle Abdelhamid Al Daquel a été arrêté sans mandat par des membres des forces de </w:t>
      </w:r>
      <w:r w:rsidR="00B368FB">
        <w:rPr>
          <w:lang w:val="fr-FR"/>
        </w:rPr>
        <w:t xml:space="preserve">la </w:t>
      </w:r>
      <w:r w:rsidR="004E2EB3">
        <w:rPr>
          <w:lang w:val="fr-FR"/>
        </w:rPr>
        <w:t>sécurité</w:t>
      </w:r>
      <w:r w:rsidR="00542720" w:rsidRPr="008D0081">
        <w:rPr>
          <w:lang w:val="fr-FR"/>
        </w:rPr>
        <w:t xml:space="preserve"> </w:t>
      </w:r>
      <w:r w:rsidRPr="008D0081">
        <w:rPr>
          <w:lang w:val="fr-FR"/>
        </w:rPr>
        <w:t>intérieure</w:t>
      </w:r>
      <w:r w:rsidR="004B7F18">
        <w:rPr>
          <w:lang w:val="fr-FR"/>
        </w:rPr>
        <w:t>,</w:t>
      </w:r>
      <w:r w:rsidRPr="008D0081">
        <w:rPr>
          <w:lang w:val="fr-FR"/>
        </w:rPr>
        <w:t xml:space="preserve"> n’a pas été informé des motifs de son arrestation</w:t>
      </w:r>
      <w:r w:rsidR="004B7F18">
        <w:rPr>
          <w:lang w:val="fr-FR"/>
        </w:rPr>
        <w:t xml:space="preserve"> et</w:t>
      </w:r>
      <w:r w:rsidRPr="008D0081">
        <w:rPr>
          <w:lang w:val="fr-FR"/>
        </w:rPr>
        <w:t xml:space="preserve"> a ensuite été maintenu en détention au secret, depuis son arrestation jusqu’à son décès</w:t>
      </w:r>
      <w:r w:rsidR="00744F7E" w:rsidRPr="008D0081">
        <w:rPr>
          <w:lang w:val="fr-FR"/>
        </w:rPr>
        <w:t xml:space="preserve"> présumé. </w:t>
      </w:r>
      <w:r w:rsidRPr="008D0081">
        <w:rPr>
          <w:lang w:val="fr-FR"/>
        </w:rPr>
        <w:t xml:space="preserve">Abdelhamid Al Daquel n’a pas été présenté à une autorité judiciaire, ce qui lui aurait permis de contester la légalité de sa détention, et aucune information officielle n’a été donnée à sa famille sur son lieu de détention ou sur son sort. </w:t>
      </w:r>
      <w:r w:rsidR="00744F7E" w:rsidRPr="008D0081">
        <w:rPr>
          <w:lang w:val="fr-FR"/>
        </w:rPr>
        <w:t xml:space="preserve">Compte tenu de ce qui précède, et en </w:t>
      </w:r>
      <w:r w:rsidRPr="008D0081">
        <w:rPr>
          <w:lang w:val="fr-FR"/>
        </w:rPr>
        <w:t>l’absence de toute explication de l’État partie, le Comité conclut qu’il y a eu violation de l’article 9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vertAlign w:val="superscript"/>
          <w:lang w:val="fr-FR"/>
        </w:rPr>
        <w:footnoteReference w:id="19"/>
      </w:r>
      <w:r w:rsidR="00200D6B">
        <w:rPr>
          <w:lang w:val="fr-FR"/>
        </w:rPr>
        <w:t>.</w:t>
      </w:r>
    </w:p>
    <w:p w:rsidR="008E0725" w:rsidRPr="008D0081" w:rsidRDefault="008E0725" w:rsidP="00200D6B">
      <w:pPr>
        <w:pStyle w:val="SingleTxtG"/>
        <w:rPr>
          <w:lang w:val="fr-FR"/>
        </w:rPr>
      </w:pPr>
      <w:r w:rsidRPr="008D0081">
        <w:rPr>
          <w:lang w:val="fr-FR"/>
        </w:rPr>
        <w:t>6.9</w:t>
      </w:r>
      <w:r w:rsidRPr="008D0081">
        <w:rPr>
          <w:lang w:val="fr-FR"/>
        </w:rPr>
        <w:tab/>
        <w:t>En ce qui concerne l’allégation de violation de l’article 16, le Comité rappelle sa jurisprudence constante et réaffirme que soustraire intentionnellement une personne à la protection de la loi pour une période prolongée peut constituer un déni de reconnaissance de la personnalité juridique si la victime était entre les mains des autorités de l’État quand elle a été vue pour la dernière fois et si les efforts de ses proches pour avoir accès à des recours potentiellement utiles, y compris devant les tribunaux, sont systématiquement entravés</w:t>
      </w:r>
      <w:r w:rsidRPr="008D0081">
        <w:rPr>
          <w:vertAlign w:val="superscript"/>
          <w:lang w:val="fr-FR"/>
        </w:rPr>
        <w:footnoteReference w:id="20"/>
      </w:r>
      <w:r w:rsidR="00200D6B">
        <w:rPr>
          <w:lang w:val="fr-FR"/>
        </w:rPr>
        <w:t>.</w:t>
      </w:r>
      <w:r w:rsidRPr="008D0081">
        <w:rPr>
          <w:lang w:val="fr-FR"/>
        </w:rPr>
        <w:t xml:space="preserve"> Le Comité rappelle que</w:t>
      </w:r>
      <w:r w:rsidR="005A4D87">
        <w:rPr>
          <w:lang w:val="fr-FR"/>
        </w:rPr>
        <w:t>,</w:t>
      </w:r>
      <w:r w:rsidRPr="008D0081">
        <w:rPr>
          <w:lang w:val="fr-FR"/>
        </w:rPr>
        <w:t xml:space="preserve"> dès son arrestation, Abdelhamid Al Daquel a fait l’objet d’une détention que le Comité a jugée arbitraire compte tenu des circonstances. Il a ensuite été soumis à une disparition forcée, qui s’est poursuivie jusqu’à son décès, qui serait survenu le 23</w:t>
      </w:r>
      <w:r w:rsidR="00200D6B">
        <w:rPr>
          <w:lang w:val="fr-FR"/>
        </w:rPr>
        <w:t> </w:t>
      </w:r>
      <w:r w:rsidRPr="008D0081">
        <w:rPr>
          <w:lang w:val="fr-FR"/>
        </w:rPr>
        <w:t xml:space="preserve">juin 1996. Aucune enquête officielle n’a été conduite sur les circonstances de sa disparition et de son décès, ni aucune poursuite engagée. Le Comité estime que, dans ces circonstances, le droit à la reconnaissance de la </w:t>
      </w:r>
      <w:r w:rsidRPr="00EF0E44">
        <w:rPr>
          <w:lang w:val="fr-FR"/>
        </w:rPr>
        <w:t>personnalité juridique</w:t>
      </w:r>
      <w:r w:rsidRPr="008D0081">
        <w:rPr>
          <w:lang w:val="fr-FR"/>
        </w:rPr>
        <w:t xml:space="preserve"> </w:t>
      </w:r>
      <w:r w:rsidR="00140795">
        <w:rPr>
          <w:lang w:val="fr-FR"/>
        </w:rPr>
        <w:t>d’</w:t>
      </w:r>
      <w:r w:rsidRPr="008D0081">
        <w:rPr>
          <w:lang w:val="fr-FR"/>
        </w:rPr>
        <w:t>Abdelhamid Al Daquel a été violé du fait qu’il a été intentionnellement soustrait à la protection de la loi, en violation de l’article 16 du Pacte.</w:t>
      </w:r>
    </w:p>
    <w:p w:rsidR="008E0725" w:rsidRPr="008D0081" w:rsidRDefault="008E0725" w:rsidP="00986B89">
      <w:pPr>
        <w:pStyle w:val="SingleTxtG"/>
        <w:rPr>
          <w:lang w:val="fr-FR"/>
        </w:rPr>
      </w:pPr>
      <w:r w:rsidRPr="008D0081">
        <w:rPr>
          <w:lang w:val="fr-FR"/>
        </w:rPr>
        <w:t>6.10</w:t>
      </w:r>
      <w:r w:rsidRPr="008D0081">
        <w:rPr>
          <w:lang w:val="fr-FR"/>
        </w:rPr>
        <w:tab/>
        <w:t xml:space="preserve">L’auteur invoque le paragraphe 3 de l’article 2 du Pacte, en vertu duquel les États parties ont l’obligation de garantir un recours utile à toutes les personnes dont les droits reconnus dans le Pacte auraient été violés. Le Comité attache de l’importance à la mise en place par les États parties de mécanismes juridictionnels et administratifs appropriés pour examiner les plaintes faisant état de violations des droits. Il rappelle son </w:t>
      </w:r>
      <w:r w:rsidR="001F4B03" w:rsidRPr="00EF0E44">
        <w:rPr>
          <w:lang w:val="fr-FR"/>
        </w:rPr>
        <w:t>o</w:t>
      </w:r>
      <w:r w:rsidRPr="00EF0E44">
        <w:rPr>
          <w:lang w:val="fr-FR"/>
        </w:rPr>
        <w:t>bservation générale</w:t>
      </w:r>
      <w:r w:rsidRPr="008D0081">
        <w:rPr>
          <w:lang w:val="fr-FR"/>
        </w:rPr>
        <w:t xml:space="preserve"> n</w:t>
      </w:r>
      <w:r w:rsidRPr="008D0081">
        <w:rPr>
          <w:vertAlign w:val="superscript"/>
          <w:lang w:val="fr-FR"/>
        </w:rPr>
        <w:t>o</w:t>
      </w:r>
      <w:r w:rsidRPr="008D0081">
        <w:rPr>
          <w:lang w:val="fr-FR"/>
        </w:rPr>
        <w:t> 31 (2004) sur la nature de l’obligation juridique générale imposée aux États parties au Pacte</w:t>
      </w:r>
      <w:r w:rsidR="003E59D4">
        <w:rPr>
          <w:lang w:val="fr-FR"/>
        </w:rPr>
        <w:t>,</w:t>
      </w:r>
      <w:r w:rsidRPr="008D0081">
        <w:rPr>
          <w:lang w:val="fr-FR"/>
        </w:rPr>
        <w:t xml:space="preserve"> qui indique que le fait pour un État partie de ne pas mener d’enquête sur des violations présumées pourrait en soi donner lieu à une violation distincte du Pacte. En l’espèce, l’auteur s’est adressé aux autorités pénitentiaires d’Abou Salim, où son fils aurait pu être détenu, à divers </w:t>
      </w:r>
      <w:r w:rsidR="00CE3055" w:rsidRPr="004E2EB3">
        <w:rPr>
          <w:lang w:val="fr-FR"/>
        </w:rPr>
        <w:t>c</w:t>
      </w:r>
      <w:r w:rsidRPr="001229CC">
        <w:rPr>
          <w:lang w:val="fr-FR"/>
        </w:rPr>
        <w:t>omité</w:t>
      </w:r>
      <w:r w:rsidR="007D67EB" w:rsidRPr="001229CC">
        <w:rPr>
          <w:lang w:val="fr-FR"/>
        </w:rPr>
        <w:t>s</w:t>
      </w:r>
      <w:r w:rsidRPr="008D0081">
        <w:rPr>
          <w:lang w:val="fr-FR"/>
        </w:rPr>
        <w:t xml:space="preserve"> populaires locaux et à des avocats, dans le but d’engager une procédure judiciaire, mais tous ses efforts se sont avérés vains. Bien que le décès en détention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ait été formellement consigné dans les registres de l’état civil,</w:t>
      </w:r>
      <w:r w:rsidR="00590CE3">
        <w:rPr>
          <w:lang w:val="fr-FR"/>
        </w:rPr>
        <w:t xml:space="preserve"> </w:t>
      </w:r>
      <w:r w:rsidRPr="008D0081">
        <w:rPr>
          <w:lang w:val="fr-FR"/>
        </w:rPr>
        <w:t>l’État partie n’a procédé à aucune enquête et n’a pas poursuivi les responsables. Le Comité conclut que les faits dont il est saisi font apparaître une violation du paragraphe 3 de l’article 2, lu conjointement avec le paragraphe 1 de l’article 6, l’article 7, l’article 9 et l’article 16 du Pacte</w:t>
      </w:r>
      <w:r w:rsidR="001D7DCE">
        <w:rPr>
          <w:lang w:val="fr-FR"/>
        </w:rPr>
        <w:t>,</w:t>
      </w:r>
      <w:r w:rsidRPr="008D0081">
        <w:rPr>
          <w:lang w:val="fr-FR"/>
        </w:rPr>
        <w:t xml:space="preserve">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et une violation du paragraphe 3 de l’article 2, lu conjointement avec l’article 7 du Pacte, à l’égard de l’auteur, de sa femme</w:t>
      </w:r>
      <w:r w:rsidR="009B4DD6">
        <w:rPr>
          <w:lang w:val="fr-FR"/>
        </w:rPr>
        <w:t>,</w:t>
      </w:r>
      <w:r w:rsidRPr="008D0081">
        <w:rPr>
          <w:lang w:val="fr-FR"/>
        </w:rPr>
        <w:t xml:space="preserve"> Rabiia Mhamed Fredj (mère de la victime), et de leurs six autres enfants.</w:t>
      </w:r>
    </w:p>
    <w:p w:rsidR="008E0725" w:rsidRPr="008D0081" w:rsidRDefault="008E0725" w:rsidP="008E0725">
      <w:pPr>
        <w:pStyle w:val="SingleTxtG"/>
        <w:rPr>
          <w:lang w:val="fr-FR"/>
        </w:rPr>
      </w:pPr>
      <w:r w:rsidRPr="008D0081">
        <w:rPr>
          <w:lang w:val="fr-FR"/>
        </w:rPr>
        <w:t>7.</w:t>
      </w:r>
      <w:r w:rsidRPr="008D0081">
        <w:rPr>
          <w:lang w:val="fr-FR"/>
        </w:rPr>
        <w:tab/>
        <w:t>Le Comité des droits de l’homme, agissant en vertu du paragraphe 4 de l’article 5 du Protocole facultatif se rapportant au Pacte</w:t>
      </w:r>
      <w:r w:rsidR="00BC67B3">
        <w:rPr>
          <w:lang w:val="fr-FR"/>
        </w:rPr>
        <w:t xml:space="preserve"> </w:t>
      </w:r>
      <w:r w:rsidR="00BC67B3" w:rsidRPr="004E2EB3">
        <w:rPr>
          <w:lang w:val="fr-FR"/>
        </w:rPr>
        <w:t>internatio</w:t>
      </w:r>
      <w:r w:rsidR="00442D97" w:rsidRPr="00EF0E44">
        <w:rPr>
          <w:lang w:val="fr-FR"/>
        </w:rPr>
        <w:t>nal relatif aux droits civils et</w:t>
      </w:r>
      <w:r w:rsidR="00BC67B3" w:rsidRPr="004E2EB3">
        <w:rPr>
          <w:lang w:val="fr-FR"/>
        </w:rPr>
        <w:t xml:space="preserve"> politiques</w:t>
      </w:r>
      <w:r w:rsidRPr="008D0081">
        <w:rPr>
          <w:lang w:val="fr-FR"/>
        </w:rPr>
        <w:t>, constate que les faits dont il est saisi font apparaître des violations par l’État partie du paragraphe 1 de l’article 6, de l’article 7, de l’article 9 et de l’article 16, et du paragraphe 3 de l’article 2, lu conjointement avec le paragraphe 1 de l’article 6, l’article 7, l’article 9 et l’article 16 du Pacte, à l’égard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et de l’article 7, lu seul et conjointement avec le paragraphe 3 de l’article 2 du Pacte, à l’égard de l’auteur, de sa femme</w:t>
      </w:r>
      <w:r w:rsidR="009B4DD6">
        <w:rPr>
          <w:lang w:val="fr-FR"/>
        </w:rPr>
        <w:t>,</w:t>
      </w:r>
      <w:r w:rsidRPr="008D0081">
        <w:rPr>
          <w:lang w:val="fr-FR"/>
        </w:rPr>
        <w:t xml:space="preserve"> Rabiia Mhamed Fredj (mère de la victime), et de leurs six autres enfants.</w:t>
      </w:r>
    </w:p>
    <w:p w:rsidR="008E0725" w:rsidRPr="008D0081" w:rsidRDefault="008E0725" w:rsidP="00FC51E3">
      <w:pPr>
        <w:pStyle w:val="SingleTxtG"/>
        <w:rPr>
          <w:lang w:val="fr-FR"/>
        </w:rPr>
      </w:pPr>
      <w:r w:rsidRPr="008D0081">
        <w:rPr>
          <w:lang w:val="fr-FR"/>
        </w:rPr>
        <w:t>8.</w:t>
      </w:r>
      <w:r w:rsidRPr="008D0081">
        <w:rPr>
          <w:lang w:val="fr-FR"/>
        </w:rPr>
        <w:tab/>
        <w:t>Conformément au paragraphe </w:t>
      </w:r>
      <w:r w:rsidRPr="004E2EB3">
        <w:rPr>
          <w:lang w:val="fr-FR"/>
        </w:rPr>
        <w:t xml:space="preserve">3 </w:t>
      </w:r>
      <w:r w:rsidR="00A009D9" w:rsidRPr="001229CC">
        <w:rPr>
          <w:lang w:val="fr-FR"/>
        </w:rPr>
        <w:t>a)</w:t>
      </w:r>
      <w:r w:rsidR="00A009D9">
        <w:rPr>
          <w:lang w:val="fr-FR"/>
        </w:rPr>
        <w:t xml:space="preserve"> </w:t>
      </w:r>
      <w:r w:rsidRPr="008D0081">
        <w:rPr>
          <w:lang w:val="fr-FR"/>
        </w:rPr>
        <w:t>de l’article 2 du Pacte, l’État partie est tenu d’assurer aux auteurs un recours utile consistant notamment: a) à mener sans délai une enquête approfondie et impartiale sur la disparition et la mort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b) à fournir à sa famille des informations détaillées sur les résultats de l’enquête; c) à</w:t>
      </w:r>
      <w:r w:rsidR="00FC51E3">
        <w:rPr>
          <w:lang w:val="fr-FR"/>
        </w:rPr>
        <w:t> </w:t>
      </w:r>
      <w:r w:rsidRPr="008D0081">
        <w:rPr>
          <w:lang w:val="fr-FR"/>
        </w:rPr>
        <w:t>remettre la dépouille d</w:t>
      </w:r>
      <w:r w:rsidR="00820543">
        <w:rPr>
          <w:lang w:val="fr-FR"/>
        </w:rPr>
        <w:t>’</w:t>
      </w:r>
      <w:r w:rsidRPr="008D0081">
        <w:rPr>
          <w:lang w:val="fr-FR"/>
        </w:rPr>
        <w:t xml:space="preserve">Abdelhamid Al </w:t>
      </w:r>
      <w:proofErr w:type="spellStart"/>
      <w:r w:rsidRPr="008D0081">
        <w:rPr>
          <w:lang w:val="fr-FR"/>
        </w:rPr>
        <w:t>Daquel</w:t>
      </w:r>
      <w:proofErr w:type="spellEnd"/>
      <w:r w:rsidRPr="008D0081">
        <w:rPr>
          <w:lang w:val="fr-FR"/>
        </w:rPr>
        <w:t xml:space="preserve"> à sa famille; d) à poursuivre, juger et punir les responsables des violations commises; </w:t>
      </w:r>
      <w:r w:rsidR="006A3548">
        <w:rPr>
          <w:lang w:val="fr-FR"/>
        </w:rPr>
        <w:t xml:space="preserve">et </w:t>
      </w:r>
      <w:r w:rsidRPr="008D0081">
        <w:rPr>
          <w:lang w:val="fr-FR"/>
        </w:rPr>
        <w:t>e) à assurer aux auteurs une indemnisation à la mesure de la gravité des violations commises. L’État partie est en outre tenu de prendre des mesures pour que des violations analogues ne se reproduisent pas à l’avenir.</w:t>
      </w:r>
    </w:p>
    <w:p w:rsidR="008E0725" w:rsidRPr="008D0081" w:rsidRDefault="008E0725" w:rsidP="00A009D9">
      <w:pPr>
        <w:pStyle w:val="SingleTxtG"/>
        <w:rPr>
          <w:lang w:val="fr-FR"/>
        </w:rPr>
      </w:pPr>
      <w:r w:rsidRPr="008D0081">
        <w:rPr>
          <w:lang w:val="fr-FR"/>
        </w:rPr>
        <w:t>9.</w:t>
      </w:r>
      <w:r w:rsidRPr="008D0081">
        <w:rPr>
          <w:lang w:val="fr-FR"/>
        </w:rPr>
        <w:tab/>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par le Pacte et à assurer un recours utile et exécutoire lorsqu’une violation a été établie, le Comité souhaite recevoir de l’État partie, dans un délai de cent quatre-vingts jours, des renseignements sur les mesures prises pour donner effet </w:t>
      </w:r>
      <w:r w:rsidR="00A009D9" w:rsidRPr="001229CC">
        <w:rPr>
          <w:lang w:val="fr-FR"/>
        </w:rPr>
        <w:t>aux présentes</w:t>
      </w:r>
      <w:r w:rsidRPr="008D0081">
        <w:rPr>
          <w:lang w:val="fr-FR"/>
        </w:rPr>
        <w:t xml:space="preserve"> constatations. L’État partie est invité en outre à rendre publiques les présentes constatations et à les diffuser largement dans les langues officielles de l’</w:t>
      </w:r>
      <w:r w:rsidR="007D663E">
        <w:rPr>
          <w:lang w:val="fr-FR"/>
        </w:rPr>
        <w:t>État</w:t>
      </w:r>
      <w:r w:rsidRPr="008D0081">
        <w:rPr>
          <w:lang w:val="fr-FR"/>
        </w:rPr>
        <w:t xml:space="preserve"> partie.</w:t>
      </w:r>
    </w:p>
    <w:p w:rsidR="008E0725" w:rsidRPr="008D0081" w:rsidRDefault="008E0725" w:rsidP="008E0725">
      <w:pPr>
        <w:pStyle w:val="SingleTxtG"/>
        <w:spacing w:before="240" w:after="0"/>
        <w:jc w:val="center"/>
        <w:rPr>
          <w:u w:val="single"/>
          <w:lang w:val="fr-FR"/>
        </w:rPr>
      </w:pPr>
      <w:r w:rsidRPr="008D0081">
        <w:rPr>
          <w:u w:val="single"/>
          <w:lang w:val="fr-FR"/>
        </w:rPr>
        <w:tab/>
      </w:r>
      <w:r w:rsidRPr="008D0081">
        <w:rPr>
          <w:u w:val="single"/>
          <w:lang w:val="fr-FR"/>
        </w:rPr>
        <w:tab/>
      </w:r>
      <w:r w:rsidRPr="008D0081">
        <w:rPr>
          <w:u w:val="single"/>
          <w:lang w:val="fr-FR"/>
        </w:rPr>
        <w:tab/>
      </w:r>
    </w:p>
    <w:p w:rsidR="00DF3BF1" w:rsidRPr="008D0081" w:rsidRDefault="00DF3BF1" w:rsidP="007D663E">
      <w:pPr>
        <w:spacing w:before="120"/>
        <w:rPr>
          <w:lang w:val="fr-FR"/>
        </w:rPr>
      </w:pPr>
    </w:p>
    <w:sectPr w:rsidR="00DF3BF1" w:rsidRPr="008D0081" w:rsidSect="008E072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53" w:rsidRDefault="00900153"/>
  </w:endnote>
  <w:endnote w:type="continuationSeparator" w:id="0">
    <w:p w:rsidR="00900153" w:rsidRDefault="00900153"/>
  </w:endnote>
  <w:endnote w:type="continuationNotice" w:id="1">
    <w:p w:rsidR="00900153" w:rsidRDefault="009001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53" w:rsidRPr="008E0725" w:rsidRDefault="00900153" w:rsidP="008E0725">
    <w:pPr>
      <w:pStyle w:val="Footer"/>
      <w:tabs>
        <w:tab w:val="right" w:pos="9638"/>
      </w:tabs>
    </w:pPr>
    <w:r w:rsidRPr="008E0725">
      <w:rPr>
        <w:b/>
        <w:sz w:val="18"/>
      </w:rPr>
      <w:fldChar w:fldCharType="begin"/>
    </w:r>
    <w:r w:rsidRPr="008E0725">
      <w:rPr>
        <w:b/>
        <w:sz w:val="18"/>
      </w:rPr>
      <w:instrText xml:space="preserve"> PAGE  \* MERGEFORMAT </w:instrText>
    </w:r>
    <w:r w:rsidRPr="008E0725">
      <w:rPr>
        <w:b/>
        <w:sz w:val="18"/>
      </w:rPr>
      <w:fldChar w:fldCharType="separate"/>
    </w:r>
    <w:r>
      <w:rPr>
        <w:b/>
        <w:noProof/>
        <w:sz w:val="18"/>
      </w:rPr>
      <w:t>10</w:t>
    </w:r>
    <w:r w:rsidRPr="008E072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53" w:rsidRPr="008E0725" w:rsidRDefault="00900153" w:rsidP="008E0725">
    <w:pPr>
      <w:pStyle w:val="Footer"/>
      <w:tabs>
        <w:tab w:val="right" w:pos="9638"/>
      </w:tabs>
      <w:rPr>
        <w:b/>
        <w:sz w:val="18"/>
      </w:rPr>
    </w:pPr>
    <w:r>
      <w:tab/>
    </w:r>
    <w:r w:rsidRPr="008E0725">
      <w:rPr>
        <w:b/>
        <w:sz w:val="18"/>
      </w:rPr>
      <w:fldChar w:fldCharType="begin"/>
    </w:r>
    <w:r w:rsidRPr="008E0725">
      <w:rPr>
        <w:b/>
        <w:sz w:val="18"/>
      </w:rPr>
      <w:instrText xml:space="preserve"> PAGE  \* MERGEFORMAT </w:instrText>
    </w:r>
    <w:r w:rsidRPr="008E0725">
      <w:rPr>
        <w:b/>
        <w:sz w:val="18"/>
      </w:rPr>
      <w:fldChar w:fldCharType="separate"/>
    </w:r>
    <w:r>
      <w:rPr>
        <w:b/>
        <w:noProof/>
        <w:sz w:val="18"/>
      </w:rPr>
      <w:t>11</w:t>
    </w:r>
    <w:r w:rsidRPr="008E072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53" w:rsidRPr="008E0725" w:rsidRDefault="00900153" w:rsidP="00880CA8">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GE.14-14745</w:t>
    </w:r>
    <w:r>
      <w:rPr>
        <w:sz w:val="20"/>
      </w:rPr>
      <w:br/>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sidRPr="00880CA8">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53" w:rsidRPr="00D27D5E" w:rsidRDefault="00900153" w:rsidP="00D27D5E">
      <w:pPr>
        <w:tabs>
          <w:tab w:val="right" w:pos="2155"/>
        </w:tabs>
        <w:spacing w:after="80"/>
        <w:ind w:left="680"/>
        <w:rPr>
          <w:u w:val="single"/>
        </w:rPr>
      </w:pPr>
      <w:r>
        <w:rPr>
          <w:u w:val="single"/>
        </w:rPr>
        <w:tab/>
      </w:r>
    </w:p>
  </w:footnote>
  <w:footnote w:type="continuationSeparator" w:id="0">
    <w:p w:rsidR="00900153" w:rsidRPr="00091505" w:rsidRDefault="00900153" w:rsidP="00091505">
      <w:pPr>
        <w:tabs>
          <w:tab w:val="right" w:pos="2155"/>
        </w:tabs>
        <w:spacing w:after="80"/>
        <w:ind w:left="680"/>
        <w:rPr>
          <w:u w:val="single"/>
        </w:rPr>
      </w:pPr>
      <w:r w:rsidRPr="00091505">
        <w:rPr>
          <w:u w:val="single"/>
        </w:rPr>
        <w:tab/>
      </w:r>
    </w:p>
  </w:footnote>
  <w:footnote w:type="continuationNotice" w:id="1">
    <w:p w:rsidR="00900153" w:rsidRDefault="00900153"/>
  </w:footnote>
  <w:footnote w:id="2">
    <w:p w:rsidR="00900153" w:rsidRPr="00EF0E44" w:rsidRDefault="00900153" w:rsidP="00476899">
      <w:pPr>
        <w:pStyle w:val="FootnoteText"/>
        <w:rPr>
          <w:color w:val="000000"/>
          <w:szCs w:val="18"/>
        </w:rPr>
      </w:pPr>
      <w:r>
        <w:tab/>
      </w:r>
      <w:r w:rsidRPr="00EF0E44">
        <w:rPr>
          <w:rStyle w:val="FootnoteReference"/>
          <w:sz w:val="20"/>
          <w:vertAlign w:val="baseline"/>
          <w:lang w:val="en-GB"/>
        </w:rPr>
        <w:t>*</w:t>
      </w:r>
      <w:r w:rsidRPr="00EB07F7">
        <w:rPr>
          <w:rStyle w:val="FootnoteReference"/>
          <w:lang w:val="en-GB"/>
        </w:rPr>
        <w:tab/>
      </w:r>
      <w:r w:rsidRPr="00EF0E44">
        <w:rPr>
          <w:color w:val="000000"/>
          <w:szCs w:val="18"/>
        </w:rPr>
        <w:t xml:space="preserve">Les membres du Comité dont le nom suit ont participé à l’examen de la communication: </w:t>
      </w:r>
      <w:r w:rsidRPr="00EB07F7">
        <w:rPr>
          <w:color w:val="000000"/>
          <w:szCs w:val="18"/>
        </w:rPr>
        <w:t xml:space="preserve">Yadh Ben Achour, </w:t>
      </w:r>
      <w:r w:rsidRPr="00EB07F7">
        <w:rPr>
          <w:bCs/>
          <w:color w:val="000000"/>
          <w:szCs w:val="18"/>
        </w:rPr>
        <w:t xml:space="preserve">Lazhari Bouzid, Christine Chanet, </w:t>
      </w:r>
      <w:r w:rsidRPr="00EB07F7">
        <w:rPr>
          <w:bCs/>
        </w:rPr>
        <w:t xml:space="preserve">Ahmad Amin Fathalla, </w:t>
      </w:r>
      <w:r w:rsidRPr="00EB07F7">
        <w:rPr>
          <w:bCs/>
          <w:color w:val="000000"/>
          <w:szCs w:val="18"/>
        </w:rPr>
        <w:t xml:space="preserve">Cornelis Flinterman, Yuji Iwasawa, </w:t>
      </w:r>
      <w:r>
        <w:rPr>
          <w:bCs/>
          <w:color w:val="000000"/>
          <w:szCs w:val="18"/>
        </w:rPr>
        <w:t xml:space="preserve">Walter Kälin, </w:t>
      </w:r>
      <w:r w:rsidRPr="0029518D">
        <w:rPr>
          <w:bCs/>
          <w:color w:val="000000"/>
          <w:szCs w:val="18"/>
        </w:rPr>
        <w:t>Zonke Zanele Majodina, Gerald L.</w:t>
      </w:r>
      <w:r>
        <w:rPr>
          <w:bCs/>
          <w:color w:val="000000"/>
          <w:szCs w:val="18"/>
        </w:rPr>
        <w:t> </w:t>
      </w:r>
      <w:r w:rsidRPr="0029518D">
        <w:rPr>
          <w:bCs/>
          <w:color w:val="000000"/>
          <w:szCs w:val="18"/>
        </w:rPr>
        <w:t>Neuman, Sir</w:t>
      </w:r>
      <w:r>
        <w:rPr>
          <w:bCs/>
          <w:color w:val="000000"/>
          <w:szCs w:val="18"/>
        </w:rPr>
        <w:t> </w:t>
      </w:r>
      <w:r w:rsidRPr="0029518D">
        <w:rPr>
          <w:bCs/>
          <w:color w:val="000000"/>
          <w:szCs w:val="18"/>
        </w:rPr>
        <w:t xml:space="preserve">Nigel Rodley, Víctor Manuel </w:t>
      </w:r>
      <w:r w:rsidRPr="000B4D7E">
        <w:rPr>
          <w:bCs/>
          <w:color w:val="000000"/>
          <w:szCs w:val="18"/>
        </w:rPr>
        <w:t>Rodríguez</w:t>
      </w:r>
      <w:r w:rsidRPr="00EF0E44">
        <w:rPr>
          <w:bCs/>
          <w:color w:val="000000"/>
          <w:szCs w:val="18"/>
        </w:rPr>
        <w:t>-</w:t>
      </w:r>
      <w:r w:rsidRPr="000B4D7E">
        <w:rPr>
          <w:bCs/>
          <w:color w:val="000000"/>
          <w:szCs w:val="18"/>
        </w:rPr>
        <w:t>Rescia</w:t>
      </w:r>
      <w:r w:rsidRPr="0029518D">
        <w:rPr>
          <w:bCs/>
          <w:color w:val="000000"/>
          <w:szCs w:val="18"/>
        </w:rPr>
        <w:t xml:space="preserve">, </w:t>
      </w:r>
      <w:r w:rsidRPr="003A65A9">
        <w:rPr>
          <w:bCs/>
          <w:color w:val="000000"/>
          <w:szCs w:val="18"/>
        </w:rPr>
        <w:t xml:space="preserve">Fabián Omar Salvioli, </w:t>
      </w:r>
      <w:r w:rsidRPr="008F3711">
        <w:t>Dheerujlall Seetulsingh</w:t>
      </w:r>
      <w:r>
        <w:rPr>
          <w:bCs/>
          <w:color w:val="000000"/>
          <w:szCs w:val="18"/>
        </w:rPr>
        <w:t xml:space="preserve">, </w:t>
      </w:r>
      <w:r w:rsidRPr="003A65A9">
        <w:rPr>
          <w:bCs/>
          <w:color w:val="000000"/>
          <w:szCs w:val="18"/>
        </w:rPr>
        <w:t>Anja Seibert</w:t>
      </w:r>
      <w:r w:rsidRPr="003A65A9">
        <w:rPr>
          <w:bCs/>
          <w:color w:val="000000"/>
          <w:szCs w:val="18"/>
        </w:rPr>
        <w:noBreakHyphen/>
        <w:t xml:space="preserve">Fohr, Yuval Shany, Konstantine Vardzelashvili, </w:t>
      </w:r>
      <w:r w:rsidRPr="0029518D">
        <w:rPr>
          <w:bCs/>
          <w:color w:val="000000"/>
          <w:szCs w:val="18"/>
        </w:rPr>
        <w:t xml:space="preserve">Margo Waterval </w:t>
      </w:r>
      <w:r w:rsidRPr="00EF0E44">
        <w:rPr>
          <w:bCs/>
          <w:color w:val="000000"/>
          <w:szCs w:val="18"/>
        </w:rPr>
        <w:t>et</w:t>
      </w:r>
      <w:r w:rsidRPr="0029518D">
        <w:rPr>
          <w:bCs/>
          <w:color w:val="000000"/>
          <w:szCs w:val="18"/>
        </w:rPr>
        <w:t xml:space="preserve"> </w:t>
      </w:r>
      <w:r w:rsidRPr="003A65A9">
        <w:rPr>
          <w:bCs/>
          <w:color w:val="000000"/>
          <w:szCs w:val="18"/>
        </w:rPr>
        <w:t>Andrei Paul Zlătescu</w:t>
      </w:r>
      <w:r w:rsidRPr="003A65A9">
        <w:rPr>
          <w:color w:val="000000"/>
        </w:rPr>
        <w:t>.</w:t>
      </w:r>
    </w:p>
    <w:p w:rsidR="00900153" w:rsidRPr="00762C21" w:rsidRDefault="00900153" w:rsidP="00744F7E">
      <w:pPr>
        <w:pStyle w:val="FootnoteText"/>
        <w:rPr>
          <w:szCs w:val="18"/>
        </w:rPr>
      </w:pPr>
    </w:p>
  </w:footnote>
  <w:footnote w:id="3">
    <w:p w:rsidR="00900153" w:rsidRPr="00EF0E44" w:rsidRDefault="00900153" w:rsidP="00FC065E">
      <w:pPr>
        <w:pStyle w:val="FootnoteText"/>
        <w:rPr>
          <w:lang w:val="fr-FR"/>
        </w:rPr>
      </w:pPr>
      <w:r>
        <w:tab/>
      </w:r>
      <w:r>
        <w:rPr>
          <w:rStyle w:val="FootnoteReference"/>
        </w:rPr>
        <w:footnoteRef/>
      </w:r>
      <w:r w:rsidRPr="00EF0E44">
        <w:rPr>
          <w:lang w:val="fr-FR"/>
        </w:rPr>
        <w:tab/>
        <w:t>Hamza Jilani Mohamed Al Daquel (frère de la victime), né le 28 avril 1967; Abdelmoutaleb Jilani Mohamed Al Daquel (frère de la victime), né le 14 juin 1969; Saghira Jilani Mohamed Al Daquel (sœur de la victime), née le 5 mai 1977; Ousama Jilani Mohamed Al Daquel (frère de la victime), né le 7 avril 1980; Khaoula Jilani Mohamed Al Daquel (sœur de la victime), née le 23 novembre 1983; et Mohamed Jilani Mohamed Al Daquel (frère de la victime), né le 20 décembre 1990.</w:t>
      </w:r>
    </w:p>
  </w:footnote>
  <w:footnote w:id="4">
    <w:p w:rsidR="00900153" w:rsidRPr="00DA780E" w:rsidRDefault="00900153" w:rsidP="009736E5">
      <w:pPr>
        <w:pStyle w:val="FootnoteText"/>
        <w:rPr>
          <w:lang w:val="fr-FR"/>
        </w:rPr>
      </w:pPr>
      <w:r>
        <w:rPr>
          <w:lang w:val="fr-FR"/>
        </w:rPr>
        <w:tab/>
      </w:r>
      <w:r>
        <w:rPr>
          <w:rStyle w:val="FootnoteReference"/>
        </w:rPr>
        <w:footnoteRef/>
      </w:r>
      <w:r>
        <w:rPr>
          <w:lang w:val="fr-FR"/>
        </w:rPr>
        <w:tab/>
        <w:t>L’auteur n’élabore pas plus à ce sujet.</w:t>
      </w:r>
    </w:p>
  </w:footnote>
  <w:footnote w:id="5">
    <w:p w:rsidR="00900153" w:rsidRDefault="00900153" w:rsidP="009736E5">
      <w:pPr>
        <w:pStyle w:val="FootnoteText"/>
      </w:pPr>
      <w:r>
        <w:rPr>
          <w:lang w:val="fr-FR"/>
        </w:rPr>
        <w:tab/>
      </w:r>
      <w:r>
        <w:rPr>
          <w:rStyle w:val="FootnoteReference"/>
        </w:rPr>
        <w:footnoteRef/>
      </w:r>
      <w:r>
        <w:tab/>
        <w:t>Le certificat de décès est joint au dossier.</w:t>
      </w:r>
    </w:p>
  </w:footnote>
  <w:footnote w:id="6">
    <w:p w:rsidR="00900153" w:rsidRPr="00EA3034" w:rsidRDefault="00900153" w:rsidP="00F8084D">
      <w:pPr>
        <w:pStyle w:val="FootnoteText"/>
        <w:rPr>
          <w:lang w:val="fr-FR"/>
        </w:rPr>
      </w:pPr>
      <w:r>
        <w:rPr>
          <w:lang w:val="fr-FR"/>
        </w:rPr>
        <w:tab/>
      </w:r>
      <w:r w:rsidRPr="00EA3034">
        <w:rPr>
          <w:rStyle w:val="FootnoteReference"/>
        </w:rPr>
        <w:footnoteRef/>
      </w:r>
      <w:r>
        <w:rPr>
          <w:lang w:val="fr-FR"/>
        </w:rPr>
        <w:tab/>
        <w:t>L’auteur</w:t>
      </w:r>
      <w:r w:rsidRPr="00EA3034">
        <w:rPr>
          <w:lang w:val="fr-FR"/>
        </w:rPr>
        <w:t xml:space="preserve"> se réfère à la communication </w:t>
      </w:r>
      <w:r>
        <w:rPr>
          <w:lang w:val="fr-FR"/>
        </w:rPr>
        <w:t>n</w:t>
      </w:r>
      <w:r w:rsidRPr="00F8084D">
        <w:rPr>
          <w:vertAlign w:val="superscript"/>
          <w:lang w:val="fr-FR"/>
        </w:rPr>
        <w:t>o</w:t>
      </w:r>
      <w:r>
        <w:rPr>
          <w:lang w:val="fr-FR"/>
        </w:rPr>
        <w:t> </w:t>
      </w:r>
      <w:r w:rsidRPr="004E2EB3">
        <w:rPr>
          <w:lang w:val="fr-FR"/>
        </w:rPr>
        <w:t>84/1981</w:t>
      </w:r>
      <w:r w:rsidRPr="00EA3034">
        <w:rPr>
          <w:lang w:val="fr-FR"/>
        </w:rPr>
        <w:t xml:space="preserve">, </w:t>
      </w:r>
      <w:r>
        <w:rPr>
          <w:i/>
          <w:iCs/>
          <w:lang w:val="fr-FR"/>
        </w:rPr>
        <w:t>Dermit B</w:t>
      </w:r>
      <w:r w:rsidRPr="00EA3034">
        <w:rPr>
          <w:i/>
          <w:iCs/>
          <w:lang w:val="fr-FR"/>
        </w:rPr>
        <w:t xml:space="preserve">arbato </w:t>
      </w:r>
      <w:r w:rsidRPr="00EA3034">
        <w:rPr>
          <w:lang w:val="fr-FR"/>
        </w:rPr>
        <w:t xml:space="preserve">c. </w:t>
      </w:r>
      <w:r w:rsidRPr="00EA3034">
        <w:rPr>
          <w:i/>
          <w:iCs/>
          <w:lang w:val="fr-FR"/>
        </w:rPr>
        <w:t>Uruguay</w:t>
      </w:r>
      <w:r>
        <w:rPr>
          <w:lang w:val="fr-FR"/>
        </w:rPr>
        <w:t>, constatations adoptées le 21 octobre 1982, par. 10.</w:t>
      </w:r>
    </w:p>
  </w:footnote>
  <w:footnote w:id="7">
    <w:p w:rsidR="00900153" w:rsidRPr="00D11C7A" w:rsidRDefault="00900153" w:rsidP="00ED4CDE">
      <w:pPr>
        <w:pStyle w:val="FootnoteText"/>
        <w:rPr>
          <w:iCs/>
          <w:lang w:val="fr-FR"/>
        </w:rPr>
      </w:pPr>
      <w:r>
        <w:rPr>
          <w:lang w:val="fr-FR"/>
        </w:rPr>
        <w:tab/>
      </w:r>
      <w:r w:rsidRPr="00EA3034">
        <w:rPr>
          <w:rStyle w:val="FootnoteReference"/>
        </w:rPr>
        <w:footnoteRef/>
      </w:r>
      <w:r>
        <w:rPr>
          <w:lang w:val="fr-FR"/>
        </w:rPr>
        <w:tab/>
      </w:r>
      <w:r w:rsidRPr="00E65D41">
        <w:rPr>
          <w:lang w:val="fr-FR"/>
        </w:rPr>
        <w:t>L’auteur se réfère</w:t>
      </w:r>
      <w:r>
        <w:rPr>
          <w:lang w:val="fr-FR"/>
        </w:rPr>
        <w:t>,</w:t>
      </w:r>
      <w:r w:rsidRPr="00ED4CDE">
        <w:rPr>
          <w:lang w:val="fr-FR"/>
        </w:rPr>
        <w:t xml:space="preserve"> </w:t>
      </w:r>
      <w:r w:rsidRPr="001229CC">
        <w:rPr>
          <w:lang w:val="fr-FR"/>
        </w:rPr>
        <w:t>entre autres</w:t>
      </w:r>
      <w:r w:rsidRPr="00ED4CDE">
        <w:rPr>
          <w:lang w:val="fr-FR"/>
        </w:rPr>
        <w:t>,</w:t>
      </w:r>
      <w:r w:rsidRPr="00E65D41">
        <w:rPr>
          <w:lang w:val="fr-FR"/>
        </w:rPr>
        <w:t xml:space="preserve"> aux communications </w:t>
      </w:r>
      <w:r>
        <w:rPr>
          <w:lang w:val="fr-FR"/>
        </w:rPr>
        <w:t>n</w:t>
      </w:r>
      <w:r w:rsidRPr="00F8084D">
        <w:rPr>
          <w:vertAlign w:val="superscript"/>
          <w:lang w:val="fr-FR"/>
        </w:rPr>
        <w:t>o</w:t>
      </w:r>
      <w:r>
        <w:rPr>
          <w:lang w:val="fr-FR"/>
        </w:rPr>
        <w:t> </w:t>
      </w:r>
      <w:r w:rsidRPr="004E2EB3">
        <w:rPr>
          <w:lang w:val="fr-FR"/>
        </w:rPr>
        <w:t>449/1991</w:t>
      </w:r>
      <w:r w:rsidRPr="00E65D41">
        <w:rPr>
          <w:lang w:val="fr-FR"/>
        </w:rPr>
        <w:t xml:space="preserve">, </w:t>
      </w:r>
      <w:r w:rsidRPr="00E65D41">
        <w:rPr>
          <w:i/>
          <w:iCs/>
          <w:lang w:val="fr-FR"/>
        </w:rPr>
        <w:t xml:space="preserve">Mojica </w:t>
      </w:r>
      <w:r w:rsidRPr="00E65D41">
        <w:rPr>
          <w:lang w:val="fr-FR"/>
        </w:rPr>
        <w:t xml:space="preserve">c. </w:t>
      </w:r>
      <w:r w:rsidRPr="00E65D41">
        <w:rPr>
          <w:i/>
          <w:iCs/>
          <w:lang w:val="fr-FR"/>
        </w:rPr>
        <w:t>République</w:t>
      </w:r>
      <w:r w:rsidRPr="00E65D41">
        <w:rPr>
          <w:lang w:val="fr-FR"/>
        </w:rPr>
        <w:t xml:space="preserve"> </w:t>
      </w:r>
      <w:r w:rsidRPr="00E65D41">
        <w:rPr>
          <w:i/>
          <w:iCs/>
          <w:lang w:val="fr-FR"/>
        </w:rPr>
        <w:t>dominicaine</w:t>
      </w:r>
      <w:r w:rsidRPr="00E65D41">
        <w:rPr>
          <w:lang w:val="fr-FR"/>
        </w:rPr>
        <w:t>,</w:t>
      </w:r>
      <w:r>
        <w:rPr>
          <w:lang w:val="fr-FR"/>
        </w:rPr>
        <w:t xml:space="preserve"> </w:t>
      </w:r>
      <w:r w:rsidRPr="00E65D41">
        <w:rPr>
          <w:lang w:val="fr-FR"/>
        </w:rPr>
        <w:t>constations adoptées le 15</w:t>
      </w:r>
      <w:r>
        <w:rPr>
          <w:lang w:val="fr-FR"/>
        </w:rPr>
        <w:t> </w:t>
      </w:r>
      <w:r w:rsidRPr="00E65D41">
        <w:rPr>
          <w:lang w:val="fr-FR"/>
        </w:rPr>
        <w:t>juillet 1994,</w:t>
      </w:r>
      <w:r>
        <w:rPr>
          <w:lang w:val="fr-FR"/>
        </w:rPr>
        <w:t xml:space="preserve"> </w:t>
      </w:r>
      <w:r w:rsidRPr="00E65D41">
        <w:rPr>
          <w:lang w:val="fr-FR"/>
        </w:rPr>
        <w:t>par.</w:t>
      </w:r>
      <w:r>
        <w:rPr>
          <w:lang w:val="fr-FR"/>
        </w:rPr>
        <w:t> </w:t>
      </w:r>
      <w:r w:rsidRPr="00E65D41">
        <w:rPr>
          <w:lang w:val="fr-FR"/>
        </w:rPr>
        <w:t>5.7</w:t>
      </w:r>
      <w:r>
        <w:rPr>
          <w:lang w:val="fr-FR"/>
        </w:rPr>
        <w:t>; et</w:t>
      </w:r>
      <w:r w:rsidRPr="00E65D41">
        <w:rPr>
          <w:lang w:val="fr-FR"/>
        </w:rPr>
        <w:t xml:space="preserve"> </w:t>
      </w:r>
      <w:r>
        <w:rPr>
          <w:lang w:val="fr-FR"/>
        </w:rPr>
        <w:t>n</w:t>
      </w:r>
      <w:r w:rsidRPr="00F8084D">
        <w:rPr>
          <w:vertAlign w:val="superscript"/>
          <w:lang w:val="fr-FR"/>
        </w:rPr>
        <w:t>o</w:t>
      </w:r>
      <w:r>
        <w:rPr>
          <w:lang w:val="fr-FR"/>
        </w:rPr>
        <w:t> </w:t>
      </w:r>
      <w:r w:rsidRPr="004E2EB3">
        <w:rPr>
          <w:lang w:val="fr-FR"/>
        </w:rPr>
        <w:t>540/1993</w:t>
      </w:r>
      <w:r w:rsidRPr="00E65D41">
        <w:rPr>
          <w:lang w:val="fr-FR"/>
        </w:rPr>
        <w:t xml:space="preserve">, </w:t>
      </w:r>
      <w:r w:rsidRPr="00E65D41">
        <w:rPr>
          <w:i/>
          <w:iCs/>
          <w:lang w:val="fr-FR"/>
        </w:rPr>
        <w:t xml:space="preserve">Laureano </w:t>
      </w:r>
      <w:r>
        <w:rPr>
          <w:i/>
          <w:iCs/>
          <w:lang w:val="fr-FR"/>
        </w:rPr>
        <w:t xml:space="preserve">Atachahua </w:t>
      </w:r>
      <w:r w:rsidRPr="00E65D41">
        <w:rPr>
          <w:lang w:val="fr-FR"/>
        </w:rPr>
        <w:t xml:space="preserve">c. </w:t>
      </w:r>
      <w:r w:rsidRPr="00E65D41">
        <w:rPr>
          <w:i/>
          <w:iCs/>
          <w:lang w:val="fr-FR"/>
        </w:rPr>
        <w:t>Pérou</w:t>
      </w:r>
      <w:r w:rsidRPr="00E65D41">
        <w:rPr>
          <w:lang w:val="fr-FR"/>
        </w:rPr>
        <w:t>, constatations adoptées le 25</w:t>
      </w:r>
      <w:r>
        <w:rPr>
          <w:lang w:val="fr-FR"/>
        </w:rPr>
        <w:t> </w:t>
      </w:r>
      <w:r w:rsidRPr="00E65D41">
        <w:rPr>
          <w:lang w:val="fr-FR"/>
        </w:rPr>
        <w:t>mars 1996,</w:t>
      </w:r>
      <w:r>
        <w:rPr>
          <w:lang w:val="fr-FR"/>
        </w:rPr>
        <w:t xml:space="preserve"> </w:t>
      </w:r>
      <w:r w:rsidRPr="00E65D41">
        <w:rPr>
          <w:lang w:val="fr-FR"/>
        </w:rPr>
        <w:t>par.</w:t>
      </w:r>
      <w:r>
        <w:rPr>
          <w:lang w:val="fr-FR"/>
        </w:rPr>
        <w:t> </w:t>
      </w:r>
      <w:r w:rsidRPr="00E65D41">
        <w:rPr>
          <w:lang w:val="fr-FR"/>
        </w:rPr>
        <w:t>8.5</w:t>
      </w:r>
      <w:r w:rsidRPr="00E65D41">
        <w:rPr>
          <w:iCs/>
          <w:lang w:val="fr-FR"/>
        </w:rPr>
        <w:t>.</w:t>
      </w:r>
    </w:p>
  </w:footnote>
  <w:footnote w:id="8">
    <w:p w:rsidR="00900153" w:rsidRPr="00AC1049" w:rsidRDefault="00900153" w:rsidP="0012598B">
      <w:pPr>
        <w:pStyle w:val="FootnoteText"/>
        <w:rPr>
          <w:highlight w:val="yellow"/>
          <w:lang w:val="fr-FR"/>
        </w:rPr>
      </w:pPr>
      <w:r>
        <w:rPr>
          <w:lang w:val="fr-FR"/>
        </w:rPr>
        <w:tab/>
      </w:r>
      <w:r w:rsidRPr="00E65D41">
        <w:rPr>
          <w:rStyle w:val="FootnoteReference"/>
        </w:rPr>
        <w:footnoteRef/>
      </w:r>
      <w:r>
        <w:rPr>
          <w:lang w:val="fr-FR"/>
        </w:rPr>
        <w:tab/>
      </w:r>
      <w:r w:rsidRPr="00E65D41">
        <w:rPr>
          <w:lang w:val="fr-FR"/>
        </w:rPr>
        <w:t xml:space="preserve">L’auteur se réfère, </w:t>
      </w:r>
      <w:r w:rsidRPr="001229CC">
        <w:rPr>
          <w:iCs/>
          <w:lang w:val="fr-FR"/>
        </w:rPr>
        <w:t>entre autres</w:t>
      </w:r>
      <w:r w:rsidRPr="00EF0E44">
        <w:rPr>
          <w:iCs/>
          <w:lang w:val="fr-FR"/>
        </w:rPr>
        <w:t>,</w:t>
      </w:r>
      <w:r w:rsidRPr="00E65D41">
        <w:rPr>
          <w:lang w:val="fr-FR"/>
        </w:rPr>
        <w:t xml:space="preserve"> à la communication </w:t>
      </w:r>
      <w:r>
        <w:rPr>
          <w:lang w:val="fr-FR"/>
        </w:rPr>
        <w:t>n</w:t>
      </w:r>
      <w:r w:rsidRPr="00F8084D">
        <w:rPr>
          <w:vertAlign w:val="superscript"/>
          <w:lang w:val="fr-FR"/>
        </w:rPr>
        <w:t>o</w:t>
      </w:r>
      <w:r>
        <w:rPr>
          <w:lang w:val="fr-FR"/>
        </w:rPr>
        <w:t> </w:t>
      </w:r>
      <w:r w:rsidRPr="004E2EB3">
        <w:rPr>
          <w:lang w:val="fr-FR"/>
        </w:rPr>
        <w:t>107/1981</w:t>
      </w:r>
      <w:r w:rsidRPr="00E65D41">
        <w:rPr>
          <w:lang w:val="fr-FR"/>
        </w:rPr>
        <w:t xml:space="preserve">, </w:t>
      </w:r>
      <w:r w:rsidRPr="00E65D41">
        <w:rPr>
          <w:i/>
          <w:iCs/>
          <w:lang w:val="fr-FR"/>
        </w:rPr>
        <w:t>Quinteros</w:t>
      </w:r>
      <w:r w:rsidRPr="00E65D41">
        <w:rPr>
          <w:lang w:val="fr-FR"/>
        </w:rPr>
        <w:t xml:space="preserve"> c. </w:t>
      </w:r>
      <w:r w:rsidRPr="00B80DFB">
        <w:rPr>
          <w:i/>
          <w:iCs/>
          <w:lang w:val="fr-FR"/>
        </w:rPr>
        <w:t>Urugua</w:t>
      </w:r>
      <w:r w:rsidRPr="00EF0E44">
        <w:rPr>
          <w:i/>
          <w:iCs/>
          <w:lang w:val="fr-FR"/>
        </w:rPr>
        <w:t>y</w:t>
      </w:r>
      <w:r>
        <w:rPr>
          <w:lang w:val="fr-FR"/>
        </w:rPr>
        <w:t>, constatations adoptées le 21 juillet 1983, par. 14</w:t>
      </w:r>
      <w:r w:rsidRPr="00E65D41">
        <w:rPr>
          <w:lang w:val="fr-FR"/>
        </w:rPr>
        <w:t>.</w:t>
      </w:r>
    </w:p>
  </w:footnote>
  <w:footnote w:id="9">
    <w:p w:rsidR="00900153" w:rsidRPr="007B6E4E" w:rsidRDefault="00900153" w:rsidP="00F8084D">
      <w:pPr>
        <w:pStyle w:val="FootnoteText"/>
        <w:rPr>
          <w:iCs/>
          <w:lang w:val="fr-FR"/>
        </w:rPr>
      </w:pPr>
      <w:r w:rsidRPr="00A95810">
        <w:rPr>
          <w:lang w:val="fr-FR"/>
        </w:rPr>
        <w:tab/>
      </w:r>
      <w:r w:rsidRPr="00A95810">
        <w:rPr>
          <w:rStyle w:val="FootnoteReference"/>
        </w:rPr>
        <w:footnoteRef/>
      </w:r>
      <w:r>
        <w:rPr>
          <w:lang w:val="fr-FR"/>
        </w:rPr>
        <w:tab/>
      </w:r>
      <w:r w:rsidRPr="00A95810">
        <w:rPr>
          <w:lang w:val="fr-FR"/>
        </w:rPr>
        <w:t>L’auteur se réfère</w:t>
      </w:r>
      <w:r>
        <w:rPr>
          <w:lang w:val="fr-FR"/>
        </w:rPr>
        <w:t>, entre autres,</w:t>
      </w:r>
      <w:r w:rsidRPr="00A95810">
        <w:rPr>
          <w:lang w:val="fr-FR"/>
        </w:rPr>
        <w:t xml:space="preserve"> à la communication </w:t>
      </w:r>
      <w:r>
        <w:rPr>
          <w:lang w:val="fr-FR"/>
        </w:rPr>
        <w:t>n</w:t>
      </w:r>
      <w:r w:rsidRPr="00F8084D">
        <w:rPr>
          <w:vertAlign w:val="superscript"/>
          <w:lang w:val="fr-FR"/>
        </w:rPr>
        <w:t>o</w:t>
      </w:r>
      <w:r>
        <w:rPr>
          <w:lang w:val="fr-FR"/>
        </w:rPr>
        <w:t> </w:t>
      </w:r>
      <w:r w:rsidRPr="004E2EB3">
        <w:rPr>
          <w:lang w:val="fr-FR"/>
        </w:rPr>
        <w:t>1297/2004</w:t>
      </w:r>
      <w:r w:rsidRPr="00A95810">
        <w:rPr>
          <w:lang w:val="fr-FR"/>
        </w:rPr>
        <w:t xml:space="preserve">, </w:t>
      </w:r>
      <w:r w:rsidRPr="00A95810">
        <w:rPr>
          <w:i/>
          <w:iCs/>
          <w:lang w:val="fr-FR"/>
        </w:rPr>
        <w:t xml:space="preserve">Medjnoune </w:t>
      </w:r>
      <w:r w:rsidRPr="00A95810">
        <w:rPr>
          <w:lang w:val="fr-FR"/>
        </w:rPr>
        <w:t xml:space="preserve">c. </w:t>
      </w:r>
      <w:r w:rsidRPr="00A95810">
        <w:rPr>
          <w:i/>
          <w:iCs/>
          <w:lang w:val="fr-FR"/>
        </w:rPr>
        <w:t>Algérie</w:t>
      </w:r>
      <w:r w:rsidRPr="00F90577">
        <w:rPr>
          <w:lang w:val="fr-FR"/>
        </w:rPr>
        <w:t xml:space="preserve">, </w:t>
      </w:r>
      <w:r>
        <w:rPr>
          <w:iCs/>
          <w:lang w:val="fr-FR"/>
        </w:rPr>
        <w:t>constatations adoptées le 14 juillet 2006, par. 8.7.</w:t>
      </w:r>
    </w:p>
  </w:footnote>
  <w:footnote w:id="10">
    <w:p w:rsidR="00900153" w:rsidRPr="0056698A" w:rsidRDefault="00900153" w:rsidP="00C410FE">
      <w:pPr>
        <w:pStyle w:val="FootnoteText"/>
        <w:rPr>
          <w:i/>
          <w:iCs/>
          <w:lang w:val="fr-FR"/>
        </w:rPr>
      </w:pPr>
      <w:r w:rsidRPr="00A95810">
        <w:rPr>
          <w:lang w:val="fr-FR"/>
        </w:rPr>
        <w:tab/>
      </w:r>
      <w:r w:rsidRPr="00A95810">
        <w:rPr>
          <w:rStyle w:val="FootnoteReference"/>
        </w:rPr>
        <w:footnoteRef/>
      </w:r>
      <w:r>
        <w:rPr>
          <w:lang w:val="fr-FR"/>
        </w:rPr>
        <w:tab/>
      </w:r>
      <w:r w:rsidRPr="00A95810">
        <w:rPr>
          <w:lang w:val="fr-FR"/>
        </w:rPr>
        <w:t>L’auteur</w:t>
      </w:r>
      <w:r>
        <w:rPr>
          <w:lang w:val="fr-FR"/>
        </w:rPr>
        <w:t xml:space="preserve"> se</w:t>
      </w:r>
      <w:r w:rsidRPr="00A95810">
        <w:rPr>
          <w:lang w:val="fr-FR"/>
        </w:rPr>
        <w:t xml:space="preserve"> réfère</w:t>
      </w:r>
      <w:r>
        <w:rPr>
          <w:lang w:val="fr-FR"/>
        </w:rPr>
        <w:t>,</w:t>
      </w:r>
      <w:r w:rsidRPr="00A95810">
        <w:rPr>
          <w:lang w:val="fr-FR"/>
        </w:rPr>
        <w:t xml:space="preserve"> </w:t>
      </w:r>
      <w:r>
        <w:rPr>
          <w:lang w:val="fr-FR"/>
        </w:rPr>
        <w:t xml:space="preserve">entre autres, </w:t>
      </w:r>
      <w:r w:rsidRPr="001229CC">
        <w:rPr>
          <w:lang w:val="fr-FR"/>
        </w:rPr>
        <w:t>aux</w:t>
      </w:r>
      <w:r w:rsidRPr="00EF0E44">
        <w:rPr>
          <w:lang w:val="fr-FR"/>
        </w:rPr>
        <w:t xml:space="preserve"> communications</w:t>
      </w:r>
      <w:r w:rsidRPr="00A95810">
        <w:rPr>
          <w:lang w:val="fr-FR"/>
        </w:rPr>
        <w:t xml:space="preserve"> </w:t>
      </w:r>
      <w:r w:rsidRPr="00C825ED">
        <w:rPr>
          <w:lang w:val="fr-FR"/>
        </w:rPr>
        <w:t>n</w:t>
      </w:r>
      <w:r w:rsidRPr="00C825ED">
        <w:rPr>
          <w:vertAlign w:val="superscript"/>
          <w:lang w:val="fr-FR"/>
        </w:rPr>
        <w:t>o</w:t>
      </w:r>
      <w:r w:rsidRPr="00C825ED">
        <w:rPr>
          <w:lang w:val="fr-FR"/>
        </w:rPr>
        <w:t> </w:t>
      </w:r>
      <w:r w:rsidRPr="004E2EB3">
        <w:rPr>
          <w:lang w:val="fr-FR"/>
        </w:rPr>
        <w:t>992/2001</w:t>
      </w:r>
      <w:r w:rsidRPr="00A95810">
        <w:rPr>
          <w:lang w:val="fr-FR"/>
        </w:rPr>
        <w:t>,</w:t>
      </w:r>
      <w:r>
        <w:rPr>
          <w:lang w:val="fr-FR"/>
        </w:rPr>
        <w:t xml:space="preserve"> </w:t>
      </w:r>
      <w:r>
        <w:rPr>
          <w:i/>
          <w:lang w:val="fr-FR"/>
        </w:rPr>
        <w:t xml:space="preserve">Bousroual </w:t>
      </w:r>
      <w:r>
        <w:rPr>
          <w:lang w:val="fr-FR"/>
        </w:rPr>
        <w:t xml:space="preserve">c. </w:t>
      </w:r>
      <w:r>
        <w:rPr>
          <w:i/>
          <w:lang w:val="fr-FR"/>
        </w:rPr>
        <w:t>Algérie</w:t>
      </w:r>
      <w:r w:rsidRPr="00EA2206">
        <w:rPr>
          <w:iCs/>
          <w:lang w:val="fr-FR"/>
        </w:rPr>
        <w:t xml:space="preserve">, </w:t>
      </w:r>
      <w:r>
        <w:rPr>
          <w:lang w:val="fr-FR"/>
        </w:rPr>
        <w:t>constatations adoptées le 30 mars 2006, par. 9.6; et n</w:t>
      </w:r>
      <w:r w:rsidRPr="00F8084D">
        <w:rPr>
          <w:vertAlign w:val="superscript"/>
          <w:lang w:val="fr-FR"/>
        </w:rPr>
        <w:t>o</w:t>
      </w:r>
      <w:r>
        <w:rPr>
          <w:lang w:val="fr-FR"/>
        </w:rPr>
        <w:t> </w:t>
      </w:r>
      <w:r w:rsidRPr="004E2EB3">
        <w:rPr>
          <w:lang w:val="fr-FR"/>
        </w:rPr>
        <w:t>1196/2003</w:t>
      </w:r>
      <w:r>
        <w:rPr>
          <w:lang w:val="fr-FR"/>
        </w:rPr>
        <w:t xml:space="preserve">, </w:t>
      </w:r>
      <w:r w:rsidRPr="00A95810">
        <w:rPr>
          <w:i/>
          <w:lang w:val="fr-FR"/>
        </w:rPr>
        <w:t>Bou</w:t>
      </w:r>
      <w:r w:rsidRPr="00A95810">
        <w:rPr>
          <w:i/>
          <w:iCs/>
          <w:lang w:val="fr-FR"/>
        </w:rPr>
        <w:t xml:space="preserve">cherf </w:t>
      </w:r>
      <w:r w:rsidRPr="00A95810">
        <w:rPr>
          <w:lang w:val="fr-FR"/>
        </w:rPr>
        <w:t xml:space="preserve">c. </w:t>
      </w:r>
      <w:r w:rsidRPr="00A95810">
        <w:rPr>
          <w:i/>
          <w:iCs/>
          <w:lang w:val="fr-FR"/>
        </w:rPr>
        <w:t>Algérie</w:t>
      </w:r>
      <w:r w:rsidRPr="00A95810">
        <w:rPr>
          <w:lang w:val="fr-FR"/>
        </w:rPr>
        <w:t xml:space="preserve">, </w:t>
      </w:r>
      <w:r>
        <w:rPr>
          <w:lang w:val="fr-FR"/>
        </w:rPr>
        <w:t>constatations adoptées le 30 mars 2006, par. 9.5.</w:t>
      </w:r>
    </w:p>
  </w:footnote>
  <w:footnote w:id="11">
    <w:p w:rsidR="00900153" w:rsidRPr="00454AA8" w:rsidRDefault="00900153" w:rsidP="00E7083D">
      <w:pPr>
        <w:pStyle w:val="FootnoteText"/>
        <w:rPr>
          <w:i/>
          <w:iCs/>
          <w:lang w:val="fr-FR"/>
        </w:rPr>
      </w:pPr>
      <w:r>
        <w:rPr>
          <w:lang w:val="fr-FR"/>
        </w:rPr>
        <w:tab/>
      </w:r>
      <w:r>
        <w:rPr>
          <w:rStyle w:val="FootnoteReference"/>
        </w:rPr>
        <w:footnoteRef/>
      </w:r>
      <w:r>
        <w:rPr>
          <w:lang w:val="fr-FR"/>
        </w:rPr>
        <w:tab/>
        <w:t>L’auteur se</w:t>
      </w:r>
      <w:r w:rsidRPr="00454AA8">
        <w:rPr>
          <w:lang w:val="fr-FR"/>
        </w:rPr>
        <w:t xml:space="preserve"> réfère à la communication </w:t>
      </w:r>
      <w:r>
        <w:rPr>
          <w:lang w:val="fr-FR"/>
        </w:rPr>
        <w:t>n</w:t>
      </w:r>
      <w:r w:rsidRPr="00F8084D">
        <w:rPr>
          <w:vertAlign w:val="superscript"/>
          <w:lang w:val="fr-FR"/>
        </w:rPr>
        <w:t>o</w:t>
      </w:r>
      <w:r>
        <w:rPr>
          <w:lang w:val="fr-FR"/>
        </w:rPr>
        <w:t> </w:t>
      </w:r>
      <w:r w:rsidRPr="004E2EB3">
        <w:rPr>
          <w:lang w:val="fr-FR"/>
        </w:rPr>
        <w:t>1327/2004</w:t>
      </w:r>
      <w:r w:rsidRPr="00454AA8">
        <w:rPr>
          <w:lang w:val="fr-FR"/>
        </w:rPr>
        <w:t xml:space="preserve">, </w:t>
      </w:r>
      <w:r w:rsidRPr="001229CC">
        <w:rPr>
          <w:i/>
          <w:iCs/>
          <w:lang w:val="fr-FR"/>
        </w:rPr>
        <w:t>Atamna</w:t>
      </w:r>
      <w:r>
        <w:rPr>
          <w:i/>
          <w:iCs/>
          <w:lang w:val="fr-FR"/>
        </w:rPr>
        <w:t xml:space="preserve"> </w:t>
      </w:r>
      <w:r>
        <w:rPr>
          <w:lang w:val="fr-FR"/>
        </w:rPr>
        <w:t xml:space="preserve">c. </w:t>
      </w:r>
      <w:r>
        <w:rPr>
          <w:i/>
          <w:iCs/>
          <w:lang w:val="fr-FR"/>
        </w:rPr>
        <w:t>Algérie</w:t>
      </w:r>
      <w:r>
        <w:rPr>
          <w:lang w:val="fr-FR"/>
        </w:rPr>
        <w:t>, constatations adoptées le 10 juillet 2007.</w:t>
      </w:r>
    </w:p>
  </w:footnote>
  <w:footnote w:id="12">
    <w:p w:rsidR="00900153" w:rsidRPr="00EF0E44" w:rsidRDefault="00900153" w:rsidP="00DD3473">
      <w:pPr>
        <w:pStyle w:val="FootnoteText"/>
        <w:rPr>
          <w:spacing w:val="-2"/>
          <w:lang w:val="fr-FR"/>
        </w:rPr>
      </w:pPr>
      <w:r w:rsidRPr="00EF0E44">
        <w:rPr>
          <w:lang w:val="fr-FR"/>
        </w:rPr>
        <w:tab/>
      </w:r>
      <w:r w:rsidRPr="008D1762">
        <w:rPr>
          <w:rStyle w:val="FootnoteReference"/>
        </w:rPr>
        <w:footnoteRef/>
      </w:r>
      <w:r w:rsidRPr="00EF0E44">
        <w:rPr>
          <w:lang w:val="fr-FR"/>
        </w:rPr>
        <w:tab/>
      </w:r>
      <w:r w:rsidRPr="00EF0E44">
        <w:rPr>
          <w:spacing w:val="-2"/>
          <w:lang w:val="fr-FR"/>
        </w:rPr>
        <w:t xml:space="preserve">Voir, par exemple, </w:t>
      </w:r>
      <w:r w:rsidRPr="004E2EB3">
        <w:rPr>
          <w:spacing w:val="-2"/>
          <w:lang w:val="fr-FR"/>
        </w:rPr>
        <w:t xml:space="preserve">les </w:t>
      </w:r>
      <w:r w:rsidRPr="00EF0E44">
        <w:rPr>
          <w:spacing w:val="-2"/>
          <w:lang w:val="fr-FR"/>
        </w:rPr>
        <w:t>communication</w:t>
      </w:r>
      <w:r w:rsidRPr="004E2EB3">
        <w:rPr>
          <w:spacing w:val="-2"/>
          <w:lang w:val="fr-FR"/>
        </w:rPr>
        <w:t>s</w:t>
      </w:r>
      <w:r w:rsidRPr="00EF0E44">
        <w:rPr>
          <w:spacing w:val="-2"/>
          <w:lang w:val="fr-FR"/>
        </w:rPr>
        <w:t xml:space="preserve"> </w:t>
      </w:r>
      <w:r>
        <w:rPr>
          <w:lang w:val="fr-FR"/>
        </w:rPr>
        <w:t>n</w:t>
      </w:r>
      <w:r w:rsidRPr="00F8084D">
        <w:rPr>
          <w:vertAlign w:val="superscript"/>
          <w:lang w:val="fr-FR"/>
        </w:rPr>
        <w:t>o</w:t>
      </w:r>
      <w:r>
        <w:rPr>
          <w:lang w:val="fr-FR"/>
        </w:rPr>
        <w:t> </w:t>
      </w:r>
      <w:r w:rsidRPr="00EF0E44">
        <w:rPr>
          <w:spacing w:val="-2"/>
          <w:lang w:val="fr-FR"/>
        </w:rPr>
        <w:t xml:space="preserve">1422/2005, </w:t>
      </w:r>
      <w:r w:rsidRPr="00EF0E44">
        <w:rPr>
          <w:i/>
          <w:spacing w:val="-2"/>
          <w:lang w:val="fr-FR"/>
        </w:rPr>
        <w:t>El Hassy</w:t>
      </w:r>
      <w:r w:rsidRPr="00EF0E44">
        <w:rPr>
          <w:spacing w:val="-2"/>
          <w:lang w:val="fr-FR"/>
        </w:rPr>
        <w:t xml:space="preserve"> c. </w:t>
      </w:r>
      <w:r w:rsidRPr="00EF0E44">
        <w:rPr>
          <w:rFonts w:eastAsia="MS Mincho"/>
          <w:i/>
          <w:spacing w:val="-2"/>
          <w:lang w:val="fr-FR"/>
        </w:rPr>
        <w:t>Jamahiriya arabe libyenne</w:t>
      </w:r>
      <w:r w:rsidRPr="00EF0E44">
        <w:rPr>
          <w:rFonts w:eastAsia="MS Mincho"/>
          <w:spacing w:val="-2"/>
          <w:lang w:val="fr-FR"/>
        </w:rPr>
        <w:t xml:space="preserve">, constatations adoptées le 24 octobre 2007, par. 4; </w:t>
      </w:r>
      <w:r w:rsidRPr="004E2EB3">
        <w:rPr>
          <w:lang w:val="fr-FR"/>
        </w:rPr>
        <w:t>n</w:t>
      </w:r>
      <w:r w:rsidRPr="001229CC">
        <w:rPr>
          <w:vertAlign w:val="superscript"/>
          <w:lang w:val="fr-FR"/>
        </w:rPr>
        <w:t>o</w:t>
      </w:r>
      <w:r w:rsidRPr="00EF0E44">
        <w:rPr>
          <w:lang w:val="fr-FR"/>
        </w:rPr>
        <w:t> </w:t>
      </w:r>
      <w:r w:rsidRPr="00EF0E44">
        <w:rPr>
          <w:rFonts w:eastAsia="MS Mincho"/>
          <w:spacing w:val="-2"/>
          <w:lang w:val="fr-FR"/>
        </w:rPr>
        <w:t xml:space="preserve">1295/2004, </w:t>
      </w:r>
      <w:r w:rsidRPr="00EF0E44">
        <w:rPr>
          <w:rFonts w:eastAsia="MS Mincho"/>
          <w:i/>
          <w:spacing w:val="-2"/>
          <w:lang w:val="fr-FR"/>
        </w:rPr>
        <w:t>El Alwani</w:t>
      </w:r>
      <w:r w:rsidRPr="00EF0E44">
        <w:rPr>
          <w:rFonts w:eastAsia="MS Mincho"/>
          <w:spacing w:val="-2"/>
          <w:lang w:val="fr-FR"/>
        </w:rPr>
        <w:t xml:space="preserve"> c. </w:t>
      </w:r>
      <w:r w:rsidRPr="00EF0E44">
        <w:rPr>
          <w:rFonts w:eastAsia="MS Mincho"/>
          <w:i/>
          <w:spacing w:val="-2"/>
          <w:lang w:val="fr-FR"/>
        </w:rPr>
        <w:t>Jamahiriya arabe libyenne</w:t>
      </w:r>
      <w:r w:rsidRPr="00EF0E44">
        <w:rPr>
          <w:rFonts w:eastAsia="MS Mincho"/>
          <w:spacing w:val="-2"/>
          <w:lang w:val="fr-FR"/>
        </w:rPr>
        <w:t xml:space="preserve">, constatations adoptées le 11 juillet 2007, par. 4; </w:t>
      </w:r>
      <w:r w:rsidRPr="004E2EB3">
        <w:rPr>
          <w:lang w:val="fr-FR"/>
        </w:rPr>
        <w:t>n</w:t>
      </w:r>
      <w:r w:rsidRPr="001229CC">
        <w:rPr>
          <w:vertAlign w:val="superscript"/>
          <w:lang w:val="fr-FR"/>
        </w:rPr>
        <w:t>o</w:t>
      </w:r>
      <w:r w:rsidRPr="00EF0E44">
        <w:rPr>
          <w:lang w:val="fr-FR"/>
        </w:rPr>
        <w:t> </w:t>
      </w:r>
      <w:r w:rsidRPr="00EF0E44">
        <w:rPr>
          <w:rFonts w:eastAsia="MS Mincho"/>
          <w:spacing w:val="-2"/>
          <w:lang w:val="fr-FR"/>
        </w:rPr>
        <w:t xml:space="preserve">1208/2003, </w:t>
      </w:r>
      <w:r w:rsidRPr="00EF0E44">
        <w:rPr>
          <w:rFonts w:eastAsia="MS Mincho"/>
          <w:i/>
          <w:spacing w:val="-2"/>
          <w:lang w:val="fr-FR"/>
        </w:rPr>
        <w:t>K</w:t>
      </w:r>
      <w:r>
        <w:rPr>
          <w:rFonts w:eastAsia="MS Mincho"/>
          <w:i/>
          <w:spacing w:val="-2"/>
          <w:lang w:val="fr-FR"/>
        </w:rPr>
        <w:t>o</w:t>
      </w:r>
      <w:r w:rsidRPr="00EF0E44">
        <w:rPr>
          <w:rFonts w:eastAsia="MS Mincho"/>
          <w:i/>
          <w:spacing w:val="-2"/>
          <w:lang w:val="fr-FR"/>
        </w:rPr>
        <w:t>urbonov</w:t>
      </w:r>
      <w:r w:rsidRPr="00EF0E44">
        <w:rPr>
          <w:rFonts w:eastAsia="MS Mincho"/>
          <w:spacing w:val="-2"/>
          <w:lang w:val="fr-FR"/>
        </w:rPr>
        <w:t xml:space="preserve"> c. </w:t>
      </w:r>
      <w:r w:rsidRPr="00EF0E44">
        <w:rPr>
          <w:rFonts w:eastAsia="MS Mincho"/>
          <w:i/>
          <w:spacing w:val="-2"/>
          <w:lang w:val="fr-FR"/>
        </w:rPr>
        <w:t>Tadjikistan</w:t>
      </w:r>
      <w:r w:rsidRPr="00EF0E44">
        <w:rPr>
          <w:rFonts w:eastAsia="MS Mincho"/>
          <w:spacing w:val="-2"/>
          <w:lang w:val="fr-FR"/>
        </w:rPr>
        <w:t xml:space="preserve">, constatations adoptées le 16 mars 2006, par. 4; et </w:t>
      </w:r>
      <w:r w:rsidRPr="004E2EB3">
        <w:rPr>
          <w:lang w:val="fr-FR"/>
        </w:rPr>
        <w:t>n</w:t>
      </w:r>
      <w:r w:rsidRPr="001229CC">
        <w:rPr>
          <w:vertAlign w:val="superscript"/>
          <w:lang w:val="fr-FR"/>
        </w:rPr>
        <w:t>o</w:t>
      </w:r>
      <w:r w:rsidRPr="00EF0E44">
        <w:rPr>
          <w:lang w:val="fr-FR"/>
        </w:rPr>
        <w:t> </w:t>
      </w:r>
      <w:r w:rsidRPr="00EF0E44">
        <w:rPr>
          <w:rFonts w:eastAsia="MS Mincho"/>
          <w:spacing w:val="-2"/>
          <w:lang w:val="fr-FR"/>
        </w:rPr>
        <w:t xml:space="preserve">760/1997, </w:t>
      </w:r>
      <w:r w:rsidRPr="00EF0E44">
        <w:rPr>
          <w:rFonts w:eastAsia="MS Mincho"/>
          <w:i/>
          <w:spacing w:val="-2"/>
          <w:lang w:val="fr-FR"/>
        </w:rPr>
        <w:t xml:space="preserve">Diergaardt </w:t>
      </w:r>
      <w:r w:rsidRPr="00EF0E44">
        <w:rPr>
          <w:rFonts w:eastAsia="MS Mincho"/>
          <w:i/>
          <w:lang w:val="fr-FR"/>
        </w:rPr>
        <w:t>et consorts</w:t>
      </w:r>
      <w:r w:rsidRPr="00EF0E44">
        <w:rPr>
          <w:rFonts w:eastAsia="MS Mincho"/>
          <w:spacing w:val="-2"/>
          <w:lang w:val="fr-FR"/>
        </w:rPr>
        <w:t xml:space="preserve"> c. </w:t>
      </w:r>
      <w:r w:rsidRPr="00EF0E44">
        <w:rPr>
          <w:rFonts w:eastAsia="MS Mincho"/>
          <w:i/>
          <w:spacing w:val="-2"/>
          <w:lang w:val="fr-FR"/>
        </w:rPr>
        <w:t>Namibie</w:t>
      </w:r>
      <w:r w:rsidRPr="00EF0E44">
        <w:rPr>
          <w:rFonts w:eastAsia="MS Mincho"/>
          <w:spacing w:val="-2"/>
          <w:lang w:val="fr-FR"/>
        </w:rPr>
        <w:t>, constatations adoptées le 25 juillet 2000, par. 10.2.</w:t>
      </w:r>
    </w:p>
  </w:footnote>
  <w:footnote w:id="13">
    <w:p w:rsidR="00900153" w:rsidRPr="00EF0E44" w:rsidRDefault="00900153" w:rsidP="00C865FB">
      <w:pPr>
        <w:pStyle w:val="FootnoteText"/>
        <w:rPr>
          <w:spacing w:val="-2"/>
          <w:lang w:val="fr-FR"/>
        </w:rPr>
      </w:pPr>
      <w:r w:rsidRPr="00EF0E44">
        <w:rPr>
          <w:lang w:val="fr-FR"/>
        </w:rPr>
        <w:tab/>
      </w:r>
      <w:r w:rsidRPr="008D1762">
        <w:rPr>
          <w:rStyle w:val="FootnoteReference"/>
        </w:rPr>
        <w:footnoteRef/>
      </w:r>
      <w:r w:rsidRPr="00EF0E44">
        <w:rPr>
          <w:lang w:val="fr-FR"/>
        </w:rPr>
        <w:tab/>
      </w:r>
      <w:r w:rsidRPr="00EF0E44">
        <w:rPr>
          <w:spacing w:val="-2"/>
          <w:lang w:val="fr-FR"/>
        </w:rPr>
        <w:t xml:space="preserve">Voir, par exemple, </w:t>
      </w:r>
      <w:r w:rsidRPr="004E2EB3">
        <w:rPr>
          <w:spacing w:val="-2"/>
          <w:lang w:val="fr-FR"/>
        </w:rPr>
        <w:t>la</w:t>
      </w:r>
      <w:r>
        <w:rPr>
          <w:spacing w:val="-2"/>
          <w:lang w:val="fr-FR"/>
        </w:rPr>
        <w:t xml:space="preserve"> </w:t>
      </w:r>
      <w:r w:rsidRPr="00EF0E44">
        <w:rPr>
          <w:spacing w:val="-2"/>
          <w:lang w:val="fr-FR"/>
        </w:rPr>
        <w:t xml:space="preserve">communication </w:t>
      </w:r>
      <w:r>
        <w:rPr>
          <w:lang w:val="fr-FR"/>
        </w:rPr>
        <w:t>n</w:t>
      </w:r>
      <w:r w:rsidRPr="00F8084D">
        <w:rPr>
          <w:vertAlign w:val="superscript"/>
          <w:lang w:val="fr-FR"/>
        </w:rPr>
        <w:t>o</w:t>
      </w:r>
      <w:r>
        <w:rPr>
          <w:lang w:val="fr-FR"/>
        </w:rPr>
        <w:t> </w:t>
      </w:r>
      <w:r w:rsidRPr="00EF0E44">
        <w:rPr>
          <w:spacing w:val="-2"/>
          <w:lang w:val="fr-FR"/>
        </w:rPr>
        <w:t xml:space="preserve">1874/2009, </w:t>
      </w:r>
      <w:r w:rsidRPr="00EF0E44">
        <w:rPr>
          <w:i/>
          <w:spacing w:val="-2"/>
          <w:lang w:val="fr-FR"/>
        </w:rPr>
        <w:t>Mihoubi</w:t>
      </w:r>
      <w:r w:rsidRPr="00EF0E44">
        <w:rPr>
          <w:spacing w:val="-2"/>
          <w:lang w:val="fr-FR"/>
        </w:rPr>
        <w:t xml:space="preserve"> c. </w:t>
      </w:r>
      <w:r w:rsidRPr="00EF0E44">
        <w:rPr>
          <w:i/>
          <w:spacing w:val="-2"/>
          <w:lang w:val="fr-FR"/>
        </w:rPr>
        <w:t>Algérie</w:t>
      </w:r>
      <w:r w:rsidRPr="00EF0E44">
        <w:rPr>
          <w:iCs/>
          <w:spacing w:val="-2"/>
          <w:lang w:val="fr-FR"/>
        </w:rPr>
        <w:t>,</w:t>
      </w:r>
      <w:r w:rsidRPr="00EF0E44">
        <w:rPr>
          <w:spacing w:val="-2"/>
          <w:lang w:val="fr-FR"/>
        </w:rPr>
        <w:t xml:space="preserve"> constatations adoptées le </w:t>
      </w:r>
      <w:r w:rsidRPr="00EF0E44">
        <w:rPr>
          <w:lang w:val="fr-FR"/>
        </w:rPr>
        <w:t>18 octobre 2013</w:t>
      </w:r>
      <w:r w:rsidRPr="00EF0E44">
        <w:rPr>
          <w:spacing w:val="-2"/>
          <w:lang w:val="fr-FR"/>
        </w:rPr>
        <w:t>, par. 6.2.</w:t>
      </w:r>
    </w:p>
  </w:footnote>
  <w:footnote w:id="14">
    <w:p w:rsidR="00900153" w:rsidRPr="00EF0E44" w:rsidRDefault="00900153" w:rsidP="00C50A95">
      <w:pPr>
        <w:pStyle w:val="FootnoteText"/>
        <w:rPr>
          <w:lang w:val="fr-FR"/>
        </w:rPr>
      </w:pPr>
      <w:r w:rsidRPr="00EF0E44">
        <w:rPr>
          <w:lang w:val="fr-FR"/>
        </w:rPr>
        <w:tab/>
      </w:r>
      <w:r>
        <w:rPr>
          <w:rStyle w:val="FootnoteReference"/>
        </w:rPr>
        <w:footnoteRef/>
      </w:r>
      <w:r w:rsidRPr="00EF0E44">
        <w:rPr>
          <w:lang w:val="fr-FR"/>
        </w:rPr>
        <w:tab/>
        <w:t xml:space="preserve">Voir </w:t>
      </w:r>
      <w:r w:rsidRPr="004E2EB3">
        <w:rPr>
          <w:lang w:val="fr-FR"/>
        </w:rPr>
        <w:t xml:space="preserve">la </w:t>
      </w:r>
      <w:r w:rsidRPr="00EF0E44">
        <w:rPr>
          <w:lang w:val="fr-FR"/>
        </w:rPr>
        <w:t>note 1.</w:t>
      </w:r>
    </w:p>
  </w:footnote>
  <w:footnote w:id="15">
    <w:p w:rsidR="00900153" w:rsidRPr="00EF0E44" w:rsidRDefault="00900153" w:rsidP="00C865FB">
      <w:pPr>
        <w:pStyle w:val="FootnoteText"/>
        <w:rPr>
          <w:lang w:val="fr-FR"/>
        </w:rPr>
      </w:pPr>
      <w:r w:rsidRPr="00EF0E44">
        <w:rPr>
          <w:lang w:val="fr-FR"/>
        </w:rPr>
        <w:tab/>
      </w:r>
      <w:r w:rsidRPr="008D1762">
        <w:rPr>
          <w:rStyle w:val="FootnoteReference"/>
        </w:rPr>
        <w:footnoteRef/>
      </w:r>
      <w:r w:rsidRPr="00EF0E44">
        <w:rPr>
          <w:lang w:val="fr-FR"/>
        </w:rPr>
        <w:tab/>
        <w:t xml:space="preserve">Voir, par exemple, </w:t>
      </w:r>
      <w:r w:rsidRPr="004E2EB3">
        <w:rPr>
          <w:lang w:val="fr-FR"/>
        </w:rPr>
        <w:t xml:space="preserve">les </w:t>
      </w:r>
      <w:r w:rsidRPr="00EF0E44">
        <w:rPr>
          <w:lang w:val="fr-FR"/>
        </w:rPr>
        <w:t>communication</w:t>
      </w:r>
      <w:r w:rsidRPr="004E2EB3">
        <w:rPr>
          <w:lang w:val="fr-FR"/>
        </w:rPr>
        <w:t>s</w:t>
      </w:r>
      <w:r w:rsidRPr="00EF0E44">
        <w:rPr>
          <w:lang w:val="fr-FR"/>
        </w:rPr>
        <w:t xml:space="preserve"> </w:t>
      </w:r>
      <w:r w:rsidRPr="004E2EB3">
        <w:rPr>
          <w:lang w:val="fr-FR"/>
        </w:rPr>
        <w:t>n</w:t>
      </w:r>
      <w:r w:rsidRPr="001229CC">
        <w:rPr>
          <w:vertAlign w:val="superscript"/>
          <w:lang w:val="fr-FR"/>
        </w:rPr>
        <w:t>o</w:t>
      </w:r>
      <w:r w:rsidRPr="00EF0E44">
        <w:rPr>
          <w:lang w:val="fr-FR"/>
        </w:rPr>
        <w:t xml:space="preserve"> 888/1999, </w:t>
      </w:r>
      <w:r w:rsidRPr="00EF0E44">
        <w:rPr>
          <w:i/>
          <w:lang w:val="fr-FR"/>
        </w:rPr>
        <w:t>Telitsin</w:t>
      </w:r>
      <w:r>
        <w:rPr>
          <w:i/>
          <w:lang w:val="fr-FR"/>
        </w:rPr>
        <w:t>a</w:t>
      </w:r>
      <w:r w:rsidRPr="00EF0E44">
        <w:rPr>
          <w:lang w:val="fr-FR"/>
        </w:rPr>
        <w:t xml:space="preserve"> c. </w:t>
      </w:r>
      <w:r w:rsidRPr="00EF0E44">
        <w:rPr>
          <w:i/>
          <w:lang w:val="fr-FR"/>
        </w:rPr>
        <w:t>Fédération de Russie</w:t>
      </w:r>
      <w:r w:rsidRPr="00EF0E44">
        <w:rPr>
          <w:iCs/>
          <w:lang w:val="fr-FR"/>
        </w:rPr>
        <w:t>,</w:t>
      </w:r>
      <w:r w:rsidRPr="00EF0E44">
        <w:rPr>
          <w:lang w:val="fr-FR"/>
        </w:rPr>
        <w:t xml:space="preserve"> constatations adoptées le 29 mars 2004, par. 7.5 et 7.6; et </w:t>
      </w:r>
      <w:r>
        <w:rPr>
          <w:lang w:val="fr-FR"/>
        </w:rPr>
        <w:t>n</w:t>
      </w:r>
      <w:r w:rsidRPr="00F8084D">
        <w:rPr>
          <w:vertAlign w:val="superscript"/>
          <w:lang w:val="fr-FR"/>
        </w:rPr>
        <w:t>o</w:t>
      </w:r>
      <w:r>
        <w:rPr>
          <w:lang w:val="fr-FR"/>
        </w:rPr>
        <w:t> </w:t>
      </w:r>
      <w:r w:rsidRPr="00EF0E44">
        <w:rPr>
          <w:lang w:val="fr-FR"/>
        </w:rPr>
        <w:t xml:space="preserve">1832/2008, </w:t>
      </w:r>
      <w:r w:rsidRPr="00EF0E44">
        <w:rPr>
          <w:i/>
          <w:lang w:val="fr-FR"/>
        </w:rPr>
        <w:t xml:space="preserve">Al Khazmi </w:t>
      </w:r>
      <w:r w:rsidRPr="00EF0E44">
        <w:rPr>
          <w:lang w:val="fr-FR"/>
        </w:rPr>
        <w:t xml:space="preserve">c. </w:t>
      </w:r>
      <w:r w:rsidRPr="00EF0E44">
        <w:rPr>
          <w:i/>
          <w:lang w:val="fr-FR"/>
        </w:rPr>
        <w:t>Libye</w:t>
      </w:r>
      <w:r w:rsidRPr="00EF0E44">
        <w:rPr>
          <w:iCs/>
          <w:lang w:val="fr-FR"/>
        </w:rPr>
        <w:t xml:space="preserve">, </w:t>
      </w:r>
      <w:r w:rsidRPr="00EF0E44">
        <w:rPr>
          <w:lang w:val="fr-FR"/>
        </w:rPr>
        <w:t>constatations adoptées le 18 juillet 2013, par. 8.2.</w:t>
      </w:r>
    </w:p>
  </w:footnote>
  <w:footnote w:id="16">
    <w:p w:rsidR="00900153" w:rsidRPr="00EF0E44" w:rsidRDefault="00900153" w:rsidP="004D52D6">
      <w:pPr>
        <w:pStyle w:val="FootnoteText"/>
        <w:rPr>
          <w:lang w:val="fr-FR"/>
        </w:rPr>
      </w:pPr>
      <w:r w:rsidRPr="00EF0E44">
        <w:rPr>
          <w:lang w:val="fr-FR"/>
        </w:rPr>
        <w:tab/>
      </w:r>
      <w:r w:rsidRPr="008D1762">
        <w:rPr>
          <w:rStyle w:val="FootnoteReference"/>
        </w:rPr>
        <w:footnoteRef/>
      </w:r>
      <w:r w:rsidRPr="00EF0E44">
        <w:rPr>
          <w:lang w:val="fr-FR"/>
        </w:rPr>
        <w:tab/>
        <w:t xml:space="preserve">Voir, par exemple, </w:t>
      </w:r>
      <w:r w:rsidRPr="004E2EB3">
        <w:rPr>
          <w:lang w:val="fr-FR"/>
        </w:rPr>
        <w:t>la</w:t>
      </w:r>
      <w:r>
        <w:rPr>
          <w:lang w:val="fr-FR"/>
        </w:rPr>
        <w:t xml:space="preserve"> </w:t>
      </w:r>
      <w:r w:rsidRPr="00EF0E44">
        <w:rPr>
          <w:lang w:val="fr-FR"/>
        </w:rPr>
        <w:t xml:space="preserve">communication </w:t>
      </w:r>
      <w:r>
        <w:rPr>
          <w:lang w:val="fr-FR"/>
        </w:rPr>
        <w:t>n</w:t>
      </w:r>
      <w:r w:rsidRPr="00F8084D">
        <w:rPr>
          <w:vertAlign w:val="superscript"/>
          <w:lang w:val="fr-FR"/>
        </w:rPr>
        <w:t>o</w:t>
      </w:r>
      <w:r>
        <w:rPr>
          <w:lang w:val="fr-FR"/>
        </w:rPr>
        <w:t> </w:t>
      </w:r>
      <w:r w:rsidRPr="00EF0E44">
        <w:rPr>
          <w:lang w:val="fr-FR"/>
        </w:rPr>
        <w:t xml:space="preserve">1884/2009, </w:t>
      </w:r>
      <w:r>
        <w:rPr>
          <w:i/>
          <w:lang w:val="fr-FR"/>
        </w:rPr>
        <w:t xml:space="preserve">Aouali </w:t>
      </w:r>
      <w:r w:rsidRPr="00487267">
        <w:rPr>
          <w:rFonts w:eastAsia="MS Mincho"/>
          <w:i/>
          <w:lang w:val="fr-FR"/>
        </w:rPr>
        <w:t>et consorts</w:t>
      </w:r>
      <w:r w:rsidRPr="00EF0E44">
        <w:rPr>
          <w:lang w:val="fr-FR"/>
        </w:rPr>
        <w:t xml:space="preserve"> c. </w:t>
      </w:r>
      <w:r w:rsidRPr="00EF0E44">
        <w:rPr>
          <w:i/>
          <w:lang w:val="fr-FR"/>
        </w:rPr>
        <w:t>Algérie</w:t>
      </w:r>
      <w:r w:rsidRPr="00EF0E44">
        <w:rPr>
          <w:lang w:val="fr-FR"/>
        </w:rPr>
        <w:t xml:space="preserve">, constatations adoptées le </w:t>
      </w:r>
      <w:r w:rsidRPr="00EF0E44">
        <w:rPr>
          <w:iCs/>
          <w:lang w:val="fr-FR"/>
        </w:rPr>
        <w:t>18</w:t>
      </w:r>
      <w:r w:rsidRPr="00EF0E44">
        <w:rPr>
          <w:lang w:val="fr-FR"/>
        </w:rPr>
        <w:t> octobre 2013, par. 7.4.</w:t>
      </w:r>
    </w:p>
  </w:footnote>
  <w:footnote w:id="17">
    <w:p w:rsidR="00900153" w:rsidRPr="00EF0E44" w:rsidRDefault="00900153" w:rsidP="003C742B">
      <w:pPr>
        <w:pStyle w:val="FootnoteText"/>
        <w:rPr>
          <w:i/>
          <w:lang w:val="fr-FR"/>
        </w:rPr>
      </w:pPr>
      <w:r w:rsidRPr="00EF0E44">
        <w:rPr>
          <w:lang w:val="fr-FR"/>
        </w:rPr>
        <w:tab/>
      </w:r>
      <w:r>
        <w:rPr>
          <w:rStyle w:val="FootnoteReference"/>
        </w:rPr>
        <w:footnoteRef/>
      </w:r>
      <w:r w:rsidRPr="00EF0E44">
        <w:rPr>
          <w:lang w:val="fr-FR"/>
        </w:rPr>
        <w:tab/>
        <w:t xml:space="preserve">Voir, </w:t>
      </w:r>
      <w:r w:rsidRPr="004E2EB3">
        <w:rPr>
          <w:lang w:val="fr-FR"/>
        </w:rPr>
        <w:t>entre autres</w:t>
      </w:r>
      <w:r w:rsidRPr="00EF0E44">
        <w:rPr>
          <w:lang w:val="fr-FR"/>
        </w:rPr>
        <w:t xml:space="preserve">, </w:t>
      </w:r>
      <w:r w:rsidRPr="004E2EB3">
        <w:rPr>
          <w:lang w:val="fr-FR"/>
        </w:rPr>
        <w:t>la</w:t>
      </w:r>
      <w:r>
        <w:rPr>
          <w:lang w:val="fr-FR"/>
        </w:rPr>
        <w:t xml:space="preserve"> </w:t>
      </w:r>
      <w:r w:rsidRPr="00EF0E44">
        <w:rPr>
          <w:lang w:val="fr-FR"/>
        </w:rPr>
        <w:t xml:space="preserve">communication </w:t>
      </w:r>
      <w:r>
        <w:rPr>
          <w:lang w:val="fr-FR"/>
        </w:rPr>
        <w:t>n</w:t>
      </w:r>
      <w:r w:rsidRPr="00F8084D">
        <w:rPr>
          <w:vertAlign w:val="superscript"/>
          <w:lang w:val="fr-FR"/>
        </w:rPr>
        <w:t>o</w:t>
      </w:r>
      <w:r>
        <w:rPr>
          <w:lang w:val="fr-FR"/>
        </w:rPr>
        <w:t> </w:t>
      </w:r>
      <w:r w:rsidRPr="00EF0E44">
        <w:rPr>
          <w:lang w:val="fr-FR"/>
        </w:rPr>
        <w:t xml:space="preserve">1791/2008, </w:t>
      </w:r>
      <w:r w:rsidRPr="00EF0E44">
        <w:rPr>
          <w:i/>
          <w:lang w:val="fr-FR"/>
        </w:rPr>
        <w:t xml:space="preserve">Boudjemai </w:t>
      </w:r>
      <w:r w:rsidRPr="00EF0E44">
        <w:rPr>
          <w:iCs/>
          <w:lang w:val="fr-FR"/>
        </w:rPr>
        <w:t>c.</w:t>
      </w:r>
      <w:r w:rsidRPr="00EF0E44">
        <w:rPr>
          <w:i/>
          <w:lang w:val="fr-FR"/>
        </w:rPr>
        <w:t xml:space="preserve"> Algérie</w:t>
      </w:r>
      <w:r w:rsidRPr="00EF0E44">
        <w:rPr>
          <w:lang w:val="fr-FR"/>
        </w:rPr>
        <w:t xml:space="preserve">, constatations adoptées le </w:t>
      </w:r>
      <w:r>
        <w:rPr>
          <w:lang w:val="fr-FR"/>
        </w:rPr>
        <w:t>22</w:t>
      </w:r>
      <w:r w:rsidRPr="00EF0E44">
        <w:rPr>
          <w:lang w:val="fr-FR"/>
        </w:rPr>
        <w:t> mars 2013, par. 8.5.</w:t>
      </w:r>
    </w:p>
  </w:footnote>
  <w:footnote w:id="18">
    <w:p w:rsidR="00900153" w:rsidRPr="00EF0E44" w:rsidRDefault="00900153" w:rsidP="00C67BC9">
      <w:pPr>
        <w:pStyle w:val="FootnoteText"/>
        <w:rPr>
          <w:spacing w:val="-2"/>
          <w:lang w:val="fr-FR"/>
        </w:rPr>
      </w:pPr>
      <w:r w:rsidRPr="00EF0E44">
        <w:rPr>
          <w:lang w:val="fr-FR"/>
        </w:rPr>
        <w:tab/>
      </w:r>
      <w:r w:rsidRPr="008D1762">
        <w:rPr>
          <w:rStyle w:val="FootnoteReference"/>
        </w:rPr>
        <w:footnoteRef/>
      </w:r>
      <w:r w:rsidRPr="00EF0E44">
        <w:rPr>
          <w:lang w:val="fr-FR"/>
        </w:rPr>
        <w:tab/>
        <w:t xml:space="preserve">Voir, par exemple, </w:t>
      </w:r>
      <w:r w:rsidRPr="004E2EB3">
        <w:rPr>
          <w:i/>
          <w:lang w:val="fr-FR"/>
        </w:rPr>
        <w:t xml:space="preserve">Aouali </w:t>
      </w:r>
      <w:r w:rsidRPr="001229CC">
        <w:rPr>
          <w:rFonts w:eastAsia="MS Mincho"/>
          <w:i/>
          <w:lang w:val="fr-FR"/>
        </w:rPr>
        <w:t>et consorts</w:t>
      </w:r>
      <w:r w:rsidRPr="00EF0E44">
        <w:rPr>
          <w:lang w:val="fr-FR"/>
        </w:rPr>
        <w:t xml:space="preserve"> c. </w:t>
      </w:r>
      <w:r w:rsidRPr="00EF0E44">
        <w:rPr>
          <w:i/>
          <w:lang w:val="fr-FR"/>
        </w:rPr>
        <w:t>Algérie</w:t>
      </w:r>
      <w:r w:rsidRPr="00EF0E44">
        <w:rPr>
          <w:lang w:val="fr-FR"/>
        </w:rPr>
        <w:t xml:space="preserve">, </w:t>
      </w:r>
      <w:r w:rsidRPr="00EF0E44">
        <w:rPr>
          <w:spacing w:val="-2"/>
          <w:lang w:val="fr-FR"/>
        </w:rPr>
        <w:t>par. 7.6.</w:t>
      </w:r>
    </w:p>
  </w:footnote>
  <w:footnote w:id="19">
    <w:p w:rsidR="00900153" w:rsidRPr="00EF0E44" w:rsidRDefault="00900153" w:rsidP="00722834">
      <w:pPr>
        <w:pStyle w:val="FootnoteText"/>
        <w:rPr>
          <w:spacing w:val="-2"/>
          <w:lang w:val="fr-FR"/>
        </w:rPr>
      </w:pPr>
      <w:r w:rsidRPr="00EF0E44">
        <w:rPr>
          <w:lang w:val="fr-FR"/>
        </w:rPr>
        <w:tab/>
      </w:r>
      <w:r w:rsidRPr="008D1762">
        <w:rPr>
          <w:rStyle w:val="FootnoteReference"/>
        </w:rPr>
        <w:footnoteRef/>
      </w:r>
      <w:r w:rsidRPr="00EF0E44">
        <w:rPr>
          <w:lang w:val="fr-FR"/>
        </w:rPr>
        <w:tab/>
      </w:r>
      <w:r w:rsidRPr="00EF0E44">
        <w:rPr>
          <w:spacing w:val="-2"/>
          <w:lang w:val="fr-FR"/>
        </w:rPr>
        <w:t>Voir notamment l</w:t>
      </w:r>
      <w:r w:rsidRPr="004E2EB3">
        <w:rPr>
          <w:spacing w:val="-2"/>
          <w:lang w:val="fr-FR"/>
        </w:rPr>
        <w:t>es</w:t>
      </w:r>
      <w:r w:rsidRPr="00EF0E44">
        <w:rPr>
          <w:spacing w:val="-2"/>
          <w:lang w:val="fr-FR"/>
        </w:rPr>
        <w:t xml:space="preserve"> communication</w:t>
      </w:r>
      <w:r w:rsidRPr="004E2EB3">
        <w:rPr>
          <w:spacing w:val="-2"/>
          <w:lang w:val="fr-FR"/>
        </w:rPr>
        <w:t>s</w:t>
      </w:r>
      <w:r w:rsidRPr="00EF0E44">
        <w:rPr>
          <w:spacing w:val="-2"/>
          <w:lang w:val="fr-FR"/>
        </w:rPr>
        <w:t xml:space="preserve"> </w:t>
      </w:r>
      <w:r w:rsidRPr="004E2EB3">
        <w:rPr>
          <w:lang w:val="fr-FR"/>
        </w:rPr>
        <w:t>n</w:t>
      </w:r>
      <w:r w:rsidRPr="001229CC">
        <w:rPr>
          <w:vertAlign w:val="superscript"/>
          <w:lang w:val="fr-FR"/>
        </w:rPr>
        <w:t>o</w:t>
      </w:r>
      <w:r w:rsidRPr="001229CC">
        <w:rPr>
          <w:lang w:val="fr-FR"/>
        </w:rPr>
        <w:t> </w:t>
      </w:r>
      <w:r w:rsidRPr="00EF0E44">
        <w:rPr>
          <w:spacing w:val="-2"/>
          <w:lang w:val="fr-FR"/>
        </w:rPr>
        <w:t xml:space="preserve">1913/2009, </w:t>
      </w:r>
      <w:r w:rsidRPr="00EF0E44">
        <w:rPr>
          <w:i/>
          <w:spacing w:val="-2"/>
          <w:lang w:val="fr-FR"/>
        </w:rPr>
        <w:t>Abushaala</w:t>
      </w:r>
      <w:r w:rsidRPr="00EF0E44">
        <w:rPr>
          <w:spacing w:val="-2"/>
          <w:lang w:val="fr-FR"/>
        </w:rPr>
        <w:t xml:space="preserve"> c. </w:t>
      </w:r>
      <w:r w:rsidRPr="00EF0E44">
        <w:rPr>
          <w:i/>
          <w:spacing w:val="-2"/>
          <w:lang w:val="fr-FR"/>
        </w:rPr>
        <w:t>Libye</w:t>
      </w:r>
      <w:r w:rsidRPr="00EF0E44">
        <w:rPr>
          <w:spacing w:val="-2"/>
          <w:lang w:val="fr-FR"/>
        </w:rPr>
        <w:t xml:space="preserve">, constatations adoptées le 18 mars 2013, par. 6.5; et </w:t>
      </w:r>
      <w:r>
        <w:rPr>
          <w:i/>
          <w:lang w:val="fr-FR"/>
        </w:rPr>
        <w:t xml:space="preserve">Aouali </w:t>
      </w:r>
      <w:r w:rsidRPr="00487267">
        <w:rPr>
          <w:rFonts w:eastAsia="MS Mincho"/>
          <w:i/>
          <w:lang w:val="fr-FR"/>
        </w:rPr>
        <w:t>et consorts</w:t>
      </w:r>
      <w:r w:rsidRPr="00EF0E44">
        <w:rPr>
          <w:i/>
          <w:spacing w:val="-2"/>
          <w:lang w:val="fr-FR"/>
        </w:rPr>
        <w:t xml:space="preserve"> </w:t>
      </w:r>
      <w:r w:rsidRPr="00EF0E44">
        <w:rPr>
          <w:spacing w:val="-2"/>
          <w:lang w:val="fr-FR"/>
        </w:rPr>
        <w:t xml:space="preserve">c. </w:t>
      </w:r>
      <w:r w:rsidRPr="00EF0E44">
        <w:rPr>
          <w:i/>
          <w:spacing w:val="-2"/>
          <w:lang w:val="fr-FR"/>
        </w:rPr>
        <w:t>Algérie</w:t>
      </w:r>
      <w:r w:rsidRPr="00EF0E44">
        <w:rPr>
          <w:iCs/>
          <w:spacing w:val="-2"/>
          <w:lang w:val="fr-FR"/>
        </w:rPr>
        <w:t xml:space="preserve">, </w:t>
      </w:r>
      <w:r w:rsidRPr="00EF0E44">
        <w:rPr>
          <w:spacing w:val="-2"/>
          <w:lang w:val="fr-FR"/>
        </w:rPr>
        <w:t>par. 7.9.</w:t>
      </w:r>
    </w:p>
  </w:footnote>
  <w:footnote w:id="20">
    <w:p w:rsidR="00900153" w:rsidRPr="00EF0E44" w:rsidRDefault="00900153" w:rsidP="00017F0D">
      <w:pPr>
        <w:pStyle w:val="FootnoteText"/>
        <w:rPr>
          <w:lang w:val="fr-FR"/>
        </w:rPr>
      </w:pPr>
      <w:r w:rsidRPr="00EF0E44">
        <w:rPr>
          <w:lang w:val="fr-FR"/>
        </w:rPr>
        <w:tab/>
      </w:r>
      <w:r w:rsidRPr="008D1762">
        <w:rPr>
          <w:rStyle w:val="FootnoteReference"/>
        </w:rPr>
        <w:footnoteRef/>
      </w:r>
      <w:r w:rsidRPr="00EF0E44">
        <w:rPr>
          <w:lang w:val="fr-FR"/>
        </w:rPr>
        <w:tab/>
      </w:r>
      <w:r w:rsidRPr="00EF0E44">
        <w:rPr>
          <w:szCs w:val="18"/>
          <w:lang w:val="fr-FR"/>
        </w:rPr>
        <w:t xml:space="preserve">Voir, par exemple, </w:t>
      </w:r>
      <w:r w:rsidRPr="00EF0E44">
        <w:rPr>
          <w:i/>
          <w:szCs w:val="18"/>
          <w:lang w:val="fr-FR"/>
        </w:rPr>
        <w:t xml:space="preserve">Boudjemai </w:t>
      </w:r>
      <w:r w:rsidRPr="00EF0E44">
        <w:rPr>
          <w:iCs/>
          <w:szCs w:val="18"/>
          <w:lang w:val="fr-FR"/>
        </w:rPr>
        <w:t>c.</w:t>
      </w:r>
      <w:r w:rsidRPr="00EF0E44">
        <w:rPr>
          <w:i/>
          <w:szCs w:val="18"/>
          <w:lang w:val="fr-FR"/>
        </w:rPr>
        <w:t xml:space="preserve"> Algérie</w:t>
      </w:r>
      <w:r w:rsidRPr="00EF0E44">
        <w:rPr>
          <w:szCs w:val="18"/>
          <w:lang w:val="fr-FR"/>
        </w:rPr>
        <w:t>, par.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53" w:rsidRPr="008E0725" w:rsidRDefault="00900153">
    <w:pPr>
      <w:pStyle w:val="Header"/>
    </w:pPr>
    <w:r>
      <w:t>CCPR/C/111/D/1882/2009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53" w:rsidRPr="008E0725" w:rsidRDefault="00900153" w:rsidP="008E0725">
    <w:pPr>
      <w:pStyle w:val="Header"/>
      <w:jc w:val="right"/>
    </w:pPr>
    <w:r>
      <w:t>CCPR/C/111/D/1882/2009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fr-CA"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725"/>
    <w:rsid w:val="00016AC5"/>
    <w:rsid w:val="00017F0D"/>
    <w:rsid w:val="000218EA"/>
    <w:rsid w:val="0002252D"/>
    <w:rsid w:val="00024B3B"/>
    <w:rsid w:val="00036018"/>
    <w:rsid w:val="00042A1A"/>
    <w:rsid w:val="00042C73"/>
    <w:rsid w:val="00051E26"/>
    <w:rsid w:val="000668C2"/>
    <w:rsid w:val="00066DFC"/>
    <w:rsid w:val="0007792E"/>
    <w:rsid w:val="00081961"/>
    <w:rsid w:val="00091505"/>
    <w:rsid w:val="0009473B"/>
    <w:rsid w:val="000A147A"/>
    <w:rsid w:val="000B013A"/>
    <w:rsid w:val="000B4D7E"/>
    <w:rsid w:val="000B5212"/>
    <w:rsid w:val="000C3027"/>
    <w:rsid w:val="000D1B66"/>
    <w:rsid w:val="000D2D02"/>
    <w:rsid w:val="000D75D5"/>
    <w:rsid w:val="000F24C8"/>
    <w:rsid w:val="000F2B98"/>
    <w:rsid w:val="000F31EA"/>
    <w:rsid w:val="000F41F2"/>
    <w:rsid w:val="000F5911"/>
    <w:rsid w:val="0010183E"/>
    <w:rsid w:val="00104486"/>
    <w:rsid w:val="001120EA"/>
    <w:rsid w:val="001146D2"/>
    <w:rsid w:val="00114BE2"/>
    <w:rsid w:val="001229CC"/>
    <w:rsid w:val="0012598B"/>
    <w:rsid w:val="001327F3"/>
    <w:rsid w:val="00140795"/>
    <w:rsid w:val="00145936"/>
    <w:rsid w:val="001472BF"/>
    <w:rsid w:val="001506EB"/>
    <w:rsid w:val="00160540"/>
    <w:rsid w:val="00165F8D"/>
    <w:rsid w:val="00176A4D"/>
    <w:rsid w:val="00192EEB"/>
    <w:rsid w:val="00195244"/>
    <w:rsid w:val="001A20FB"/>
    <w:rsid w:val="001A36A7"/>
    <w:rsid w:val="001B102E"/>
    <w:rsid w:val="001C04B7"/>
    <w:rsid w:val="001C3080"/>
    <w:rsid w:val="001C3DEB"/>
    <w:rsid w:val="001D469C"/>
    <w:rsid w:val="001D7DCE"/>
    <w:rsid w:val="001D7F8A"/>
    <w:rsid w:val="001E1D0E"/>
    <w:rsid w:val="001E3FEB"/>
    <w:rsid w:val="001E4A02"/>
    <w:rsid w:val="001E4A5B"/>
    <w:rsid w:val="001F25C4"/>
    <w:rsid w:val="001F4B03"/>
    <w:rsid w:val="00200D6B"/>
    <w:rsid w:val="002046ED"/>
    <w:rsid w:val="00212430"/>
    <w:rsid w:val="002138EA"/>
    <w:rsid w:val="00225A8C"/>
    <w:rsid w:val="00231B84"/>
    <w:rsid w:val="00237335"/>
    <w:rsid w:val="00244347"/>
    <w:rsid w:val="00253A4B"/>
    <w:rsid w:val="00261D2E"/>
    <w:rsid w:val="002659F1"/>
    <w:rsid w:val="00283334"/>
    <w:rsid w:val="00283448"/>
    <w:rsid w:val="002860D6"/>
    <w:rsid w:val="00287E79"/>
    <w:rsid w:val="00291850"/>
    <w:rsid w:val="002928F9"/>
    <w:rsid w:val="002970AF"/>
    <w:rsid w:val="002A5D07"/>
    <w:rsid w:val="002B11CC"/>
    <w:rsid w:val="002B7FBE"/>
    <w:rsid w:val="002C76DC"/>
    <w:rsid w:val="002D1C1C"/>
    <w:rsid w:val="002E0222"/>
    <w:rsid w:val="002E1A7F"/>
    <w:rsid w:val="002E65B3"/>
    <w:rsid w:val="002F41C1"/>
    <w:rsid w:val="003016B7"/>
    <w:rsid w:val="00302766"/>
    <w:rsid w:val="00302E2C"/>
    <w:rsid w:val="00312151"/>
    <w:rsid w:val="00315EA2"/>
    <w:rsid w:val="00337565"/>
    <w:rsid w:val="003515AA"/>
    <w:rsid w:val="00356050"/>
    <w:rsid w:val="00366CD7"/>
    <w:rsid w:val="00366F5B"/>
    <w:rsid w:val="00374106"/>
    <w:rsid w:val="003910DE"/>
    <w:rsid w:val="003976D5"/>
    <w:rsid w:val="003C742B"/>
    <w:rsid w:val="003D0050"/>
    <w:rsid w:val="003D6C68"/>
    <w:rsid w:val="003E2E40"/>
    <w:rsid w:val="003E59D4"/>
    <w:rsid w:val="003E7161"/>
    <w:rsid w:val="003F0653"/>
    <w:rsid w:val="003F277E"/>
    <w:rsid w:val="003F7128"/>
    <w:rsid w:val="00413931"/>
    <w:rsid w:val="004159D0"/>
    <w:rsid w:val="00427B81"/>
    <w:rsid w:val="00435F8A"/>
    <w:rsid w:val="00442D97"/>
    <w:rsid w:val="00444166"/>
    <w:rsid w:val="0045090C"/>
    <w:rsid w:val="00460CE7"/>
    <w:rsid w:val="00464EEE"/>
    <w:rsid w:val="00470110"/>
    <w:rsid w:val="00476899"/>
    <w:rsid w:val="00477F37"/>
    <w:rsid w:val="00487267"/>
    <w:rsid w:val="00490D86"/>
    <w:rsid w:val="00492102"/>
    <w:rsid w:val="00496581"/>
    <w:rsid w:val="004A1184"/>
    <w:rsid w:val="004A1993"/>
    <w:rsid w:val="004A7D13"/>
    <w:rsid w:val="004B54AD"/>
    <w:rsid w:val="004B7F18"/>
    <w:rsid w:val="004C2A1A"/>
    <w:rsid w:val="004D4981"/>
    <w:rsid w:val="004D4E37"/>
    <w:rsid w:val="004D52D6"/>
    <w:rsid w:val="004E2EB3"/>
    <w:rsid w:val="004F6B04"/>
    <w:rsid w:val="004F7B2A"/>
    <w:rsid w:val="00517BD4"/>
    <w:rsid w:val="00524583"/>
    <w:rsid w:val="00530E64"/>
    <w:rsid w:val="00530EE2"/>
    <w:rsid w:val="00536119"/>
    <w:rsid w:val="00542720"/>
    <w:rsid w:val="00543D5E"/>
    <w:rsid w:val="005521A6"/>
    <w:rsid w:val="00560FCA"/>
    <w:rsid w:val="005653D6"/>
    <w:rsid w:val="00571F41"/>
    <w:rsid w:val="00573D7F"/>
    <w:rsid w:val="00590CE3"/>
    <w:rsid w:val="005A4D87"/>
    <w:rsid w:val="005C1ABA"/>
    <w:rsid w:val="005C58F0"/>
    <w:rsid w:val="005D14D9"/>
    <w:rsid w:val="005E4384"/>
    <w:rsid w:val="005E5D1F"/>
    <w:rsid w:val="005E5E89"/>
    <w:rsid w:val="005F6D76"/>
    <w:rsid w:val="00600C6F"/>
    <w:rsid w:val="006072AB"/>
    <w:rsid w:val="00611D43"/>
    <w:rsid w:val="00612D48"/>
    <w:rsid w:val="00616B45"/>
    <w:rsid w:val="006246FF"/>
    <w:rsid w:val="0062628D"/>
    <w:rsid w:val="00630D9B"/>
    <w:rsid w:val="00631953"/>
    <w:rsid w:val="00642222"/>
    <w:rsid w:val="006439EC"/>
    <w:rsid w:val="006750AD"/>
    <w:rsid w:val="00684E17"/>
    <w:rsid w:val="00687D71"/>
    <w:rsid w:val="00697ACA"/>
    <w:rsid w:val="006A3548"/>
    <w:rsid w:val="006B4590"/>
    <w:rsid w:val="006C340C"/>
    <w:rsid w:val="006C7762"/>
    <w:rsid w:val="006D29E1"/>
    <w:rsid w:val="006D5D30"/>
    <w:rsid w:val="006D6377"/>
    <w:rsid w:val="006D7A4B"/>
    <w:rsid w:val="006E6B9D"/>
    <w:rsid w:val="006F6DE3"/>
    <w:rsid w:val="0070347C"/>
    <w:rsid w:val="00703FFA"/>
    <w:rsid w:val="00707A58"/>
    <w:rsid w:val="00712092"/>
    <w:rsid w:val="0071451B"/>
    <w:rsid w:val="0071738F"/>
    <w:rsid w:val="007176C1"/>
    <w:rsid w:val="00722834"/>
    <w:rsid w:val="00725DC9"/>
    <w:rsid w:val="00737DEE"/>
    <w:rsid w:val="00744F7E"/>
    <w:rsid w:val="00745011"/>
    <w:rsid w:val="00745172"/>
    <w:rsid w:val="00746A4E"/>
    <w:rsid w:val="00747397"/>
    <w:rsid w:val="007479C2"/>
    <w:rsid w:val="00747A90"/>
    <w:rsid w:val="00764961"/>
    <w:rsid w:val="00775D99"/>
    <w:rsid w:val="007779B0"/>
    <w:rsid w:val="0078182C"/>
    <w:rsid w:val="00781A42"/>
    <w:rsid w:val="007920BA"/>
    <w:rsid w:val="0079532A"/>
    <w:rsid w:val="00796940"/>
    <w:rsid w:val="007A0764"/>
    <w:rsid w:val="007A642A"/>
    <w:rsid w:val="007C1025"/>
    <w:rsid w:val="007C3057"/>
    <w:rsid w:val="007C7846"/>
    <w:rsid w:val="007D0C3B"/>
    <w:rsid w:val="007D3E55"/>
    <w:rsid w:val="007D663E"/>
    <w:rsid w:val="007D67EB"/>
    <w:rsid w:val="007E5F0A"/>
    <w:rsid w:val="007E702C"/>
    <w:rsid w:val="007F2C9D"/>
    <w:rsid w:val="007F55CB"/>
    <w:rsid w:val="007F5E12"/>
    <w:rsid w:val="00803772"/>
    <w:rsid w:val="00806615"/>
    <w:rsid w:val="00820543"/>
    <w:rsid w:val="008249AD"/>
    <w:rsid w:val="00826E45"/>
    <w:rsid w:val="00827C80"/>
    <w:rsid w:val="00834573"/>
    <w:rsid w:val="00844750"/>
    <w:rsid w:val="008658E0"/>
    <w:rsid w:val="008659F5"/>
    <w:rsid w:val="0087051C"/>
    <w:rsid w:val="00873B3C"/>
    <w:rsid w:val="00880CA8"/>
    <w:rsid w:val="008819D8"/>
    <w:rsid w:val="008914F1"/>
    <w:rsid w:val="008917E6"/>
    <w:rsid w:val="00892241"/>
    <w:rsid w:val="00897177"/>
    <w:rsid w:val="008A39ED"/>
    <w:rsid w:val="008A4CEC"/>
    <w:rsid w:val="008B422B"/>
    <w:rsid w:val="008B44C4"/>
    <w:rsid w:val="008C1B3A"/>
    <w:rsid w:val="008C4BDC"/>
    <w:rsid w:val="008C60EC"/>
    <w:rsid w:val="008C65B6"/>
    <w:rsid w:val="008D0081"/>
    <w:rsid w:val="008D4F0A"/>
    <w:rsid w:val="008E0725"/>
    <w:rsid w:val="008E7FAE"/>
    <w:rsid w:val="008F53ED"/>
    <w:rsid w:val="008F7CFC"/>
    <w:rsid w:val="00900153"/>
    <w:rsid w:val="00904198"/>
    <w:rsid w:val="00906B4A"/>
    <w:rsid w:val="00911BF7"/>
    <w:rsid w:val="0093679E"/>
    <w:rsid w:val="00936CDB"/>
    <w:rsid w:val="00943FFD"/>
    <w:rsid w:val="00947446"/>
    <w:rsid w:val="00953B91"/>
    <w:rsid w:val="009736E5"/>
    <w:rsid w:val="009739F7"/>
    <w:rsid w:val="00977EC8"/>
    <w:rsid w:val="00986B89"/>
    <w:rsid w:val="00987527"/>
    <w:rsid w:val="00987955"/>
    <w:rsid w:val="00993DE6"/>
    <w:rsid w:val="009A4820"/>
    <w:rsid w:val="009A70C7"/>
    <w:rsid w:val="009A7B90"/>
    <w:rsid w:val="009B06E3"/>
    <w:rsid w:val="009B19F5"/>
    <w:rsid w:val="009B4DD6"/>
    <w:rsid w:val="009C0397"/>
    <w:rsid w:val="009C66D9"/>
    <w:rsid w:val="009D3A8C"/>
    <w:rsid w:val="009D4D89"/>
    <w:rsid w:val="009D6A30"/>
    <w:rsid w:val="009E6A3F"/>
    <w:rsid w:val="009E7956"/>
    <w:rsid w:val="009E7E0A"/>
    <w:rsid w:val="00A009D9"/>
    <w:rsid w:val="00A05EEC"/>
    <w:rsid w:val="00A0601C"/>
    <w:rsid w:val="00A07052"/>
    <w:rsid w:val="00A16216"/>
    <w:rsid w:val="00A228B4"/>
    <w:rsid w:val="00A22CEC"/>
    <w:rsid w:val="00A2492E"/>
    <w:rsid w:val="00A252B1"/>
    <w:rsid w:val="00A269B8"/>
    <w:rsid w:val="00A34097"/>
    <w:rsid w:val="00A4494D"/>
    <w:rsid w:val="00A505E5"/>
    <w:rsid w:val="00A52056"/>
    <w:rsid w:val="00A53F8D"/>
    <w:rsid w:val="00A612B1"/>
    <w:rsid w:val="00A720C2"/>
    <w:rsid w:val="00A732EF"/>
    <w:rsid w:val="00A74CD4"/>
    <w:rsid w:val="00A75CEC"/>
    <w:rsid w:val="00A867EE"/>
    <w:rsid w:val="00AA3390"/>
    <w:rsid w:val="00AA7AC6"/>
    <w:rsid w:val="00AB1441"/>
    <w:rsid w:val="00AB51C8"/>
    <w:rsid w:val="00AC5322"/>
    <w:rsid w:val="00AC5F6C"/>
    <w:rsid w:val="00AC67A1"/>
    <w:rsid w:val="00AC7977"/>
    <w:rsid w:val="00AD6671"/>
    <w:rsid w:val="00AE352C"/>
    <w:rsid w:val="00AE5413"/>
    <w:rsid w:val="00AF1CE8"/>
    <w:rsid w:val="00B04E2E"/>
    <w:rsid w:val="00B1181D"/>
    <w:rsid w:val="00B3264D"/>
    <w:rsid w:val="00B32E2D"/>
    <w:rsid w:val="00B34D39"/>
    <w:rsid w:val="00B35F4C"/>
    <w:rsid w:val="00B368FB"/>
    <w:rsid w:val="00B4552C"/>
    <w:rsid w:val="00B50F64"/>
    <w:rsid w:val="00B52C07"/>
    <w:rsid w:val="00B538D4"/>
    <w:rsid w:val="00B56AE2"/>
    <w:rsid w:val="00B61990"/>
    <w:rsid w:val="00B63096"/>
    <w:rsid w:val="00B778AE"/>
    <w:rsid w:val="00B80DFB"/>
    <w:rsid w:val="00B85D23"/>
    <w:rsid w:val="00B86A81"/>
    <w:rsid w:val="00B914B5"/>
    <w:rsid w:val="00B93051"/>
    <w:rsid w:val="00B95169"/>
    <w:rsid w:val="00B9610C"/>
    <w:rsid w:val="00B96D3F"/>
    <w:rsid w:val="00BC67B3"/>
    <w:rsid w:val="00BC774E"/>
    <w:rsid w:val="00BC7ACE"/>
    <w:rsid w:val="00BE4183"/>
    <w:rsid w:val="00BE6E88"/>
    <w:rsid w:val="00BF0556"/>
    <w:rsid w:val="00BF072F"/>
    <w:rsid w:val="00BF5AAB"/>
    <w:rsid w:val="00BF6D8A"/>
    <w:rsid w:val="00C1341D"/>
    <w:rsid w:val="00C216B4"/>
    <w:rsid w:val="00C23698"/>
    <w:rsid w:val="00C24447"/>
    <w:rsid w:val="00C261F8"/>
    <w:rsid w:val="00C33100"/>
    <w:rsid w:val="00C4083C"/>
    <w:rsid w:val="00C408ED"/>
    <w:rsid w:val="00C410FE"/>
    <w:rsid w:val="00C44576"/>
    <w:rsid w:val="00C50A95"/>
    <w:rsid w:val="00C532F5"/>
    <w:rsid w:val="00C61156"/>
    <w:rsid w:val="00C63AE5"/>
    <w:rsid w:val="00C65132"/>
    <w:rsid w:val="00C67BC9"/>
    <w:rsid w:val="00C825ED"/>
    <w:rsid w:val="00C84797"/>
    <w:rsid w:val="00C85A5C"/>
    <w:rsid w:val="00C865FB"/>
    <w:rsid w:val="00C93DE5"/>
    <w:rsid w:val="00C95F53"/>
    <w:rsid w:val="00C96507"/>
    <w:rsid w:val="00CA6A02"/>
    <w:rsid w:val="00CB1518"/>
    <w:rsid w:val="00CB5A09"/>
    <w:rsid w:val="00CC53A9"/>
    <w:rsid w:val="00CD1A71"/>
    <w:rsid w:val="00CD1FBB"/>
    <w:rsid w:val="00CD345C"/>
    <w:rsid w:val="00CE0A77"/>
    <w:rsid w:val="00CE3055"/>
    <w:rsid w:val="00CE36E9"/>
    <w:rsid w:val="00CF29D8"/>
    <w:rsid w:val="00CF4164"/>
    <w:rsid w:val="00CF5128"/>
    <w:rsid w:val="00D00F48"/>
    <w:rsid w:val="00D016B5"/>
    <w:rsid w:val="00D034F1"/>
    <w:rsid w:val="00D0498A"/>
    <w:rsid w:val="00D12C96"/>
    <w:rsid w:val="00D14645"/>
    <w:rsid w:val="00D16D4D"/>
    <w:rsid w:val="00D27D5E"/>
    <w:rsid w:val="00D35B2D"/>
    <w:rsid w:val="00D47EE5"/>
    <w:rsid w:val="00D5211C"/>
    <w:rsid w:val="00D76222"/>
    <w:rsid w:val="00D85122"/>
    <w:rsid w:val="00D9575C"/>
    <w:rsid w:val="00DA6858"/>
    <w:rsid w:val="00DB44D4"/>
    <w:rsid w:val="00DD3473"/>
    <w:rsid w:val="00DD3537"/>
    <w:rsid w:val="00DD79F1"/>
    <w:rsid w:val="00DE0768"/>
    <w:rsid w:val="00DE3508"/>
    <w:rsid w:val="00DE6D90"/>
    <w:rsid w:val="00DF002F"/>
    <w:rsid w:val="00DF36FC"/>
    <w:rsid w:val="00DF3BF1"/>
    <w:rsid w:val="00DF5697"/>
    <w:rsid w:val="00DF5FC3"/>
    <w:rsid w:val="00E0244D"/>
    <w:rsid w:val="00E02782"/>
    <w:rsid w:val="00E02ECB"/>
    <w:rsid w:val="00E05179"/>
    <w:rsid w:val="00E12306"/>
    <w:rsid w:val="00E12A96"/>
    <w:rsid w:val="00E144C5"/>
    <w:rsid w:val="00E158B9"/>
    <w:rsid w:val="00E355E2"/>
    <w:rsid w:val="00E368FF"/>
    <w:rsid w:val="00E53687"/>
    <w:rsid w:val="00E6772F"/>
    <w:rsid w:val="00E7083D"/>
    <w:rsid w:val="00E729E0"/>
    <w:rsid w:val="00E81424"/>
    <w:rsid w:val="00E81E94"/>
    <w:rsid w:val="00E82607"/>
    <w:rsid w:val="00E928CF"/>
    <w:rsid w:val="00EA2206"/>
    <w:rsid w:val="00EA6C1D"/>
    <w:rsid w:val="00EA6E32"/>
    <w:rsid w:val="00EA6EF9"/>
    <w:rsid w:val="00EB07F7"/>
    <w:rsid w:val="00EC5AFF"/>
    <w:rsid w:val="00ED240A"/>
    <w:rsid w:val="00ED3804"/>
    <w:rsid w:val="00ED4CDE"/>
    <w:rsid w:val="00EF0E44"/>
    <w:rsid w:val="00EF11BE"/>
    <w:rsid w:val="00F000B0"/>
    <w:rsid w:val="00F0237A"/>
    <w:rsid w:val="00F11096"/>
    <w:rsid w:val="00F11948"/>
    <w:rsid w:val="00F14EC7"/>
    <w:rsid w:val="00F15D1C"/>
    <w:rsid w:val="00F161B4"/>
    <w:rsid w:val="00F22317"/>
    <w:rsid w:val="00F255A5"/>
    <w:rsid w:val="00F33865"/>
    <w:rsid w:val="00F72882"/>
    <w:rsid w:val="00F8084D"/>
    <w:rsid w:val="00F8085D"/>
    <w:rsid w:val="00F82333"/>
    <w:rsid w:val="00F835DF"/>
    <w:rsid w:val="00F84FB1"/>
    <w:rsid w:val="00F90577"/>
    <w:rsid w:val="00F920EE"/>
    <w:rsid w:val="00F965AF"/>
    <w:rsid w:val="00FA0201"/>
    <w:rsid w:val="00FA5A79"/>
    <w:rsid w:val="00FB0719"/>
    <w:rsid w:val="00FB0BFE"/>
    <w:rsid w:val="00FB0DF1"/>
    <w:rsid w:val="00FB4545"/>
    <w:rsid w:val="00FB4C51"/>
    <w:rsid w:val="00FC065E"/>
    <w:rsid w:val="00FC204A"/>
    <w:rsid w:val="00FC51E3"/>
    <w:rsid w:val="00FC5B29"/>
    <w:rsid w:val="00FC6BEF"/>
    <w:rsid w:val="00FD0F10"/>
    <w:rsid w:val="00FD46BF"/>
    <w:rsid w:val="00FD481E"/>
    <w:rsid w:val="00FE7A5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496581"/>
    <w:pPr>
      <w:tabs>
        <w:tab w:val="right" w:pos="1021"/>
      </w:tabs>
      <w:spacing w:line="220" w:lineRule="exact"/>
      <w:ind w:left="1134" w:right="1134" w:hanging="1134"/>
    </w:pPr>
    <w:rPr>
      <w:rFonts w:eastAsia="SimSun"/>
      <w:sz w:val="18"/>
      <w:lang w:val="en-GB" w:eastAsia="zh-CN"/>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8E0725"/>
    <w:rPr>
      <w:rFonts w:eastAsia="SimSun"/>
      <w:sz w:val="18"/>
      <w:lang w:val="en-GB" w:eastAsia="zh-CN" w:bidi="ar-SA"/>
    </w:rPr>
  </w:style>
  <w:style w:type="character" w:customStyle="1" w:styleId="SingleTxtGChar">
    <w:name w:val="_ Single Txt_G Char"/>
    <w:link w:val="SingleTxtG"/>
    <w:locked/>
    <w:rsid w:val="008E0725"/>
    <w:rPr>
      <w:lang w:val="fr-CH" w:eastAsia="en-US"/>
    </w:rPr>
  </w:style>
  <w:style w:type="paragraph" w:styleId="BalloonText">
    <w:name w:val="Balloon Text"/>
    <w:basedOn w:val="Normal"/>
    <w:link w:val="BalloonTextChar"/>
    <w:rsid w:val="00744F7E"/>
    <w:pPr>
      <w:spacing w:line="240" w:lineRule="auto"/>
    </w:pPr>
    <w:rPr>
      <w:rFonts w:ascii="Tahoma" w:hAnsi="Tahoma"/>
      <w:sz w:val="16"/>
      <w:szCs w:val="16"/>
    </w:rPr>
  </w:style>
  <w:style w:type="character" w:customStyle="1" w:styleId="BalloonTextChar">
    <w:name w:val="Balloon Text Char"/>
    <w:link w:val="BalloonText"/>
    <w:rsid w:val="00744F7E"/>
    <w:rPr>
      <w:rFonts w:ascii="Tahoma" w:hAnsi="Tahoma" w:cs="Tahoma"/>
      <w:sz w:val="16"/>
      <w:szCs w:val="16"/>
      <w:lang w:val="fr-CH"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1</TotalTime>
  <Pages>11</Pages>
  <Words>4932</Words>
  <Characters>25034</Characters>
  <Application>Microsoft Office Outlook</Application>
  <DocSecurity>4</DocSecurity>
  <Lines>396</Lines>
  <Paragraphs>76</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29910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temp Neogi</dc:creator>
  <cp:keywords/>
  <cp:lastModifiedBy>CHAUTAGNAT</cp:lastModifiedBy>
  <cp:revision>2</cp:revision>
  <cp:lastPrinted>2014-08-26T14:28:00Z</cp:lastPrinted>
  <dcterms:created xsi:type="dcterms:W3CDTF">2014-08-27T08:57:00Z</dcterms:created>
  <dcterms:modified xsi:type="dcterms:W3CDTF">2014-08-27T08:57:00Z</dcterms:modified>
</cp:coreProperties>
</file>