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C23FF" w:rsidP="00BC23FF">
            <w:pPr>
              <w:bidi w:val="0"/>
              <w:spacing w:after="20"/>
              <w:jc w:val="left"/>
              <w:rPr>
                <w:szCs w:val="20"/>
              </w:rPr>
            </w:pPr>
            <w:r w:rsidRPr="00BC23FF">
              <w:rPr>
                <w:sz w:val="40"/>
                <w:szCs w:val="20"/>
              </w:rPr>
              <w:t>CCPR</w:t>
            </w:r>
            <w:r>
              <w:rPr>
                <w:szCs w:val="20"/>
              </w:rPr>
              <w:t>/C/110/D/2197/2012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C23FF" w:rsidRDefault="00BC23FF" w:rsidP="00BC23FF">
            <w:pPr>
              <w:bidi w:val="0"/>
              <w:spacing w:before="240"/>
              <w:jc w:val="left"/>
            </w:pPr>
            <w:r>
              <w:t>Distr.: General</w:t>
            </w:r>
          </w:p>
          <w:p w:rsidR="00BC23FF" w:rsidRDefault="00BC23FF" w:rsidP="00BC23FF">
            <w:pPr>
              <w:bidi w:val="0"/>
              <w:jc w:val="left"/>
            </w:pPr>
            <w:r>
              <w:t>29 April 2014</w:t>
            </w:r>
          </w:p>
          <w:p w:rsidR="00BC23FF" w:rsidRDefault="00BC23FF" w:rsidP="00BC23FF">
            <w:pPr>
              <w:bidi w:val="0"/>
              <w:jc w:val="left"/>
            </w:pPr>
            <w:r>
              <w:t>Arabic</w:t>
            </w:r>
          </w:p>
          <w:p w:rsidR="00257225" w:rsidRPr="008B4BC6" w:rsidRDefault="00BC23FF" w:rsidP="00BC23FF">
            <w:pPr>
              <w:bidi w:val="0"/>
              <w:jc w:val="left"/>
            </w:pPr>
            <w:r>
              <w:t>Original: English</w:t>
            </w:r>
          </w:p>
        </w:tc>
      </w:tr>
    </w:tbl>
    <w:p w:rsidR="00BC23FF" w:rsidRDefault="00BC23FF" w:rsidP="00BC23FF">
      <w:pPr>
        <w:spacing w:before="120" w:line="380" w:lineRule="exact"/>
        <w:rPr>
          <w:rFonts w:hint="cs"/>
          <w:b/>
          <w:bCs/>
          <w:rtl/>
        </w:rPr>
      </w:pPr>
      <w:r w:rsidRPr="00BD0578">
        <w:rPr>
          <w:rFonts w:hint="cs"/>
          <w:b/>
          <w:bCs/>
          <w:sz w:val="26"/>
          <w:szCs w:val="36"/>
          <w:rtl/>
        </w:rPr>
        <w:t>اللجنة المعنية بحقوق الإنسان</w:t>
      </w:r>
    </w:p>
    <w:p w:rsidR="00BC23FF" w:rsidRDefault="00BC23FF" w:rsidP="00BC23FF">
      <w:pPr>
        <w:pStyle w:val="HChGA"/>
        <w:rPr>
          <w:rFonts w:hint="cs"/>
          <w:rtl/>
        </w:rPr>
      </w:pPr>
      <w:r>
        <w:rPr>
          <w:rFonts w:hint="cs"/>
          <w:rtl/>
        </w:rPr>
        <w:tab/>
      </w:r>
      <w:r>
        <w:rPr>
          <w:rFonts w:hint="cs"/>
          <w:rtl/>
        </w:rPr>
        <w:tab/>
      </w:r>
      <w:r w:rsidRPr="00C35340">
        <w:rPr>
          <w:rtl/>
        </w:rPr>
        <w:t xml:space="preserve">البلاغ </w:t>
      </w:r>
      <w:r>
        <w:rPr>
          <w:rFonts w:hint="cs"/>
          <w:rtl/>
        </w:rPr>
        <w:t>رقم 2197</w:t>
      </w:r>
      <w:r w:rsidRPr="00C35340">
        <w:rPr>
          <w:rtl/>
        </w:rPr>
        <w:t>/</w:t>
      </w:r>
      <w:r>
        <w:rPr>
          <w:rFonts w:hint="cs"/>
          <w:rtl/>
        </w:rPr>
        <w:t>2012</w:t>
      </w:r>
    </w:p>
    <w:p w:rsidR="00BC23FF" w:rsidRPr="00BA3F6E" w:rsidRDefault="00BC23FF" w:rsidP="00BC23FF">
      <w:pPr>
        <w:pStyle w:val="H1GA"/>
        <w:rPr>
          <w:rFonts w:hint="cs"/>
          <w:rtl/>
        </w:rPr>
      </w:pPr>
      <w:r>
        <w:rPr>
          <w:rFonts w:hint="cs"/>
          <w:rtl/>
        </w:rPr>
        <w:tab/>
      </w:r>
      <w:r>
        <w:rPr>
          <w:rFonts w:hint="cs"/>
          <w:rtl/>
        </w:rPr>
        <w:tab/>
        <w:t>قرار اعتمدته اللجنة في دورتها 110 (10-</w:t>
      </w:r>
      <w:r w:rsidRPr="00031F1E">
        <w:rPr>
          <w:rFonts w:hint="cs"/>
          <w:sz w:val="34"/>
          <w:rtl/>
        </w:rPr>
        <w:t>28 آذار/مارس</w:t>
      </w:r>
      <w:r w:rsidRPr="00421DE1">
        <w:rPr>
          <w:rFonts w:hint="cs"/>
          <w:sz w:val="30"/>
          <w:szCs w:val="30"/>
          <w:rtl/>
        </w:rPr>
        <w:t xml:space="preserve"> </w:t>
      </w:r>
      <w:r>
        <w:rPr>
          <w:rFonts w:hint="cs"/>
          <w:rtl/>
        </w:rPr>
        <w:t>2014)</w:t>
      </w:r>
    </w:p>
    <w:p w:rsidR="00BC23FF" w:rsidRDefault="00BC23FF" w:rsidP="005A21F5">
      <w:pPr>
        <w:pStyle w:val="SingleTxtGA"/>
        <w:tabs>
          <w:tab w:val="clear" w:pos="1928"/>
          <w:tab w:val="clear" w:pos="2608"/>
          <w:tab w:val="clear" w:pos="3289"/>
          <w:tab w:val="clear" w:pos="3969"/>
          <w:tab w:val="clear" w:pos="4649"/>
          <w:tab w:val="clear" w:pos="5330"/>
        </w:tabs>
        <w:spacing w:line="360" w:lineRule="exact"/>
        <w:ind w:left="4760" w:hanging="2862"/>
        <w:rPr>
          <w:rFonts w:hint="cs"/>
          <w:rtl/>
        </w:rPr>
      </w:pPr>
      <w:r>
        <w:rPr>
          <w:rFonts w:hint="cs"/>
          <w:i/>
          <w:iCs/>
          <w:rtl/>
        </w:rPr>
        <w:t>ال</w:t>
      </w:r>
      <w:r w:rsidRPr="00B74338">
        <w:rPr>
          <w:i/>
          <w:iCs/>
          <w:rtl/>
        </w:rPr>
        <w:t>مقدم من</w:t>
      </w:r>
      <w:r w:rsidRPr="00437B44">
        <w:rPr>
          <w:i/>
          <w:iCs/>
          <w:rtl/>
        </w:rPr>
        <w:t>:</w:t>
      </w:r>
      <w:r w:rsidRPr="00437B44">
        <w:rPr>
          <w:rFonts w:hint="cs"/>
          <w:i/>
          <w:iCs/>
          <w:rtl/>
        </w:rPr>
        <w:t xml:space="preserve"> </w:t>
      </w:r>
      <w:r>
        <w:rPr>
          <w:rFonts w:hint="cs"/>
          <w:i/>
          <w:iCs/>
          <w:rtl/>
        </w:rPr>
        <w:tab/>
      </w:r>
      <w:r>
        <w:rPr>
          <w:rFonts w:hint="cs"/>
          <w:rtl/>
        </w:rPr>
        <w:t xml:space="preserve">اكس. كيو. </w:t>
      </w:r>
      <w:r>
        <w:rPr>
          <w:rFonts w:hint="cs"/>
          <w:sz w:val="30"/>
          <w:rtl/>
        </w:rPr>
        <w:t>ايتش (</w:t>
      </w:r>
      <w:r w:rsidRPr="00FC449E">
        <w:t>X</w:t>
      </w:r>
      <w:r>
        <w:t>.</w:t>
      </w:r>
      <w:r w:rsidRPr="00FC449E">
        <w:t xml:space="preserve"> Q</w:t>
      </w:r>
      <w:r>
        <w:t>.</w:t>
      </w:r>
      <w:r w:rsidRPr="00FC449E">
        <w:t xml:space="preserve"> H</w:t>
      </w:r>
      <w:r w:rsidR="00452BD0">
        <w:t>.</w:t>
      </w:r>
      <w:r>
        <w:rPr>
          <w:rFonts w:hint="cs"/>
          <w:sz w:val="30"/>
          <w:rtl/>
        </w:rPr>
        <w:t xml:space="preserve">) </w:t>
      </w:r>
      <w:r>
        <w:rPr>
          <w:rFonts w:hint="cs"/>
          <w:rtl/>
        </w:rPr>
        <w:t>(يمثلها المحامي فرانك ديليو)</w:t>
      </w:r>
    </w:p>
    <w:p w:rsidR="00BC23FF" w:rsidRDefault="00BC23FF" w:rsidP="005A21F5">
      <w:pPr>
        <w:pStyle w:val="SingleTxtGA"/>
        <w:tabs>
          <w:tab w:val="clear" w:pos="1928"/>
          <w:tab w:val="clear" w:pos="2608"/>
          <w:tab w:val="clear" w:pos="3289"/>
          <w:tab w:val="clear" w:pos="3969"/>
          <w:tab w:val="clear" w:pos="4649"/>
          <w:tab w:val="clear" w:pos="5330"/>
        </w:tabs>
        <w:spacing w:line="360" w:lineRule="exact"/>
        <w:ind w:left="4514" w:hanging="2616"/>
        <w:rPr>
          <w:rFonts w:hint="cs"/>
          <w:rtl/>
        </w:rPr>
      </w:pPr>
      <w:r w:rsidRPr="00416001">
        <w:rPr>
          <w:i/>
          <w:iCs/>
          <w:rtl/>
        </w:rPr>
        <w:t>الشخص</w:t>
      </w:r>
      <w:r>
        <w:rPr>
          <w:rFonts w:hint="cs"/>
          <w:i/>
          <w:iCs/>
          <w:rtl/>
        </w:rPr>
        <w:t>ان المدعان أنهما ضحيتان:</w:t>
      </w:r>
      <w:r w:rsidR="00452BD0">
        <w:rPr>
          <w:rFonts w:hint="cs"/>
          <w:i/>
          <w:iCs/>
          <w:rtl/>
        </w:rPr>
        <w:tab/>
      </w:r>
      <w:r w:rsidR="00046D12">
        <w:rPr>
          <w:rFonts w:hint="cs"/>
          <w:rtl/>
        </w:rPr>
        <w:tab/>
      </w:r>
      <w:r>
        <w:rPr>
          <w:rFonts w:hint="cs"/>
          <w:rtl/>
        </w:rPr>
        <w:t>صاحبة البلاغ وابنها</w:t>
      </w:r>
    </w:p>
    <w:p w:rsidR="00BC23FF" w:rsidRDefault="00BC23FF" w:rsidP="005A21F5">
      <w:pPr>
        <w:pStyle w:val="SingleTxtGA"/>
        <w:tabs>
          <w:tab w:val="clear" w:pos="1928"/>
          <w:tab w:val="clear" w:pos="2608"/>
          <w:tab w:val="clear" w:pos="3289"/>
          <w:tab w:val="clear" w:pos="3969"/>
          <w:tab w:val="clear" w:pos="4649"/>
          <w:tab w:val="clear" w:pos="5330"/>
        </w:tabs>
        <w:spacing w:line="360" w:lineRule="exact"/>
        <w:ind w:left="4514" w:hanging="2616"/>
        <w:rPr>
          <w:rFonts w:hint="cs"/>
          <w:rtl/>
        </w:rPr>
      </w:pPr>
      <w:r w:rsidRPr="00C35340">
        <w:rPr>
          <w:i/>
          <w:iCs/>
          <w:rtl/>
        </w:rPr>
        <w:t>الدولة الطرف</w:t>
      </w:r>
      <w:r w:rsidRPr="00437B44">
        <w:rPr>
          <w:i/>
          <w:iCs/>
          <w:rtl/>
        </w:rPr>
        <w:t>:</w:t>
      </w:r>
      <w:r>
        <w:rPr>
          <w:rFonts w:hint="cs"/>
          <w:rtl/>
        </w:rPr>
        <w:tab/>
      </w:r>
      <w:r w:rsidR="00046D12">
        <w:rPr>
          <w:rFonts w:hint="cs"/>
          <w:rtl/>
        </w:rPr>
        <w:tab/>
      </w:r>
      <w:r>
        <w:rPr>
          <w:rFonts w:hint="cs"/>
          <w:rtl/>
        </w:rPr>
        <w:t>نيوزيلندا</w:t>
      </w:r>
    </w:p>
    <w:p w:rsidR="00BC23FF" w:rsidRPr="00A915D7" w:rsidRDefault="00BC23FF" w:rsidP="005A21F5">
      <w:pPr>
        <w:pStyle w:val="SingleTxtGA"/>
        <w:tabs>
          <w:tab w:val="clear" w:pos="1928"/>
          <w:tab w:val="clear" w:pos="2608"/>
          <w:tab w:val="clear" w:pos="3289"/>
          <w:tab w:val="clear" w:pos="3969"/>
          <w:tab w:val="clear" w:pos="4649"/>
          <w:tab w:val="clear" w:pos="5330"/>
        </w:tabs>
        <w:spacing w:line="360" w:lineRule="exact"/>
        <w:ind w:left="4514" w:hanging="2616"/>
        <w:rPr>
          <w:rFonts w:hAnsi="SimSun" w:hint="cs"/>
          <w:spacing w:val="6"/>
          <w:rtl/>
          <w:lang w:bidi="ar-MA"/>
        </w:rPr>
      </w:pPr>
      <w:r w:rsidRPr="00C35340">
        <w:rPr>
          <w:i/>
          <w:iCs/>
          <w:rtl/>
        </w:rPr>
        <w:t>تاريخ تقديم البلاغ</w:t>
      </w:r>
      <w:r w:rsidRPr="00C35340">
        <w:rPr>
          <w:rtl/>
        </w:rPr>
        <w:t>:</w:t>
      </w:r>
      <w:r w:rsidR="00046D12">
        <w:rPr>
          <w:rFonts w:hint="cs"/>
          <w:spacing w:val="-2"/>
          <w:rtl/>
        </w:rPr>
        <w:tab/>
      </w:r>
      <w:r w:rsidR="00046D12">
        <w:rPr>
          <w:rFonts w:hint="cs"/>
          <w:spacing w:val="-2"/>
          <w:rtl/>
        </w:rPr>
        <w:tab/>
      </w:r>
      <w:r>
        <w:rPr>
          <w:rFonts w:hint="cs"/>
          <w:spacing w:val="-2"/>
          <w:rtl/>
        </w:rPr>
        <w:t>22</w:t>
      </w:r>
      <w:r w:rsidRPr="00437B44">
        <w:rPr>
          <w:rFonts w:ascii="SimSun" w:hAnsi="SimSun"/>
          <w:spacing w:val="-2"/>
          <w:sz w:val="30"/>
          <w:rtl/>
          <w:lang w:bidi="ar-MA"/>
        </w:rPr>
        <w:t xml:space="preserve"> </w:t>
      </w:r>
      <w:r w:rsidRPr="000838DF">
        <w:rPr>
          <w:rFonts w:ascii="SimSun" w:hAnsi="SimSun" w:hint="cs"/>
          <w:spacing w:val="-2"/>
          <w:sz w:val="30"/>
          <w:rtl/>
          <w:lang w:bidi="ar-MA"/>
        </w:rPr>
        <w:t xml:space="preserve">آذار/مارس </w:t>
      </w:r>
      <w:r>
        <w:rPr>
          <w:rFonts w:ascii="SimSun" w:hAnsi="SimSun" w:hint="cs"/>
          <w:spacing w:val="-2"/>
          <w:sz w:val="30"/>
          <w:rtl/>
          <w:lang w:bidi="ar-MA"/>
        </w:rPr>
        <w:t xml:space="preserve">2012 </w:t>
      </w:r>
      <w:r w:rsidRPr="00437B44">
        <w:rPr>
          <w:rFonts w:ascii="SimSun" w:hAnsi="SimSun"/>
          <w:spacing w:val="-2"/>
          <w:sz w:val="30"/>
          <w:rtl/>
          <w:lang w:bidi="ar-MA"/>
        </w:rPr>
        <w:t>(</w:t>
      </w:r>
      <w:r w:rsidRPr="00437B44">
        <w:rPr>
          <w:rFonts w:ascii="SimSun" w:hAnsi="SimSun" w:hint="eastAsia"/>
          <w:spacing w:val="-2"/>
          <w:sz w:val="30"/>
          <w:rtl/>
          <w:lang w:bidi="ar-MA"/>
        </w:rPr>
        <w:t>تاريخ</w:t>
      </w:r>
      <w:r w:rsidRPr="00437B44">
        <w:rPr>
          <w:rFonts w:ascii="SimSun" w:hAnsi="SimSun" w:hint="cs"/>
          <w:spacing w:val="-2"/>
          <w:sz w:val="30"/>
          <w:rtl/>
          <w:lang w:bidi="ar-MA"/>
        </w:rPr>
        <w:t xml:space="preserve"> </w:t>
      </w:r>
      <w:r w:rsidRPr="00437B44">
        <w:rPr>
          <w:rFonts w:ascii="SimSun" w:hAnsi="SimSun" w:hint="eastAsia"/>
          <w:spacing w:val="-2"/>
          <w:sz w:val="30"/>
          <w:rtl/>
          <w:lang w:bidi="ar-MA"/>
        </w:rPr>
        <w:t>الرسالة</w:t>
      </w:r>
      <w:r w:rsidRPr="00437B44">
        <w:rPr>
          <w:rFonts w:ascii="SimSun" w:hAnsi="SimSun"/>
          <w:spacing w:val="-2"/>
          <w:sz w:val="30"/>
          <w:rtl/>
          <w:lang w:bidi="ar-MA"/>
        </w:rPr>
        <w:t xml:space="preserve"> </w:t>
      </w:r>
      <w:r w:rsidRPr="00437B44">
        <w:rPr>
          <w:rFonts w:ascii="SimSun" w:hAnsi="SimSun" w:hint="eastAsia"/>
          <w:spacing w:val="-2"/>
          <w:sz w:val="30"/>
          <w:rtl/>
          <w:lang w:bidi="ar-MA"/>
        </w:rPr>
        <w:t>الأولى</w:t>
      </w:r>
      <w:r w:rsidRPr="00437B44">
        <w:rPr>
          <w:rFonts w:ascii="SimSun" w:hAnsi="SimSun"/>
          <w:spacing w:val="-2"/>
          <w:sz w:val="30"/>
          <w:rtl/>
          <w:lang w:bidi="ar-MA"/>
        </w:rPr>
        <w:t>)</w:t>
      </w:r>
    </w:p>
    <w:p w:rsidR="00BC23FF" w:rsidRPr="00437B44" w:rsidRDefault="00BC23FF" w:rsidP="005A21F5">
      <w:pPr>
        <w:pStyle w:val="SingleTxtGA"/>
        <w:tabs>
          <w:tab w:val="clear" w:pos="1928"/>
          <w:tab w:val="clear" w:pos="2608"/>
          <w:tab w:val="clear" w:pos="3289"/>
          <w:tab w:val="clear" w:pos="3969"/>
          <w:tab w:val="clear" w:pos="4649"/>
          <w:tab w:val="clear" w:pos="5330"/>
        </w:tabs>
        <w:spacing w:line="360" w:lineRule="exact"/>
        <w:ind w:left="4760" w:hanging="2862"/>
        <w:rPr>
          <w:rFonts w:hint="cs"/>
          <w:rtl/>
        </w:rPr>
      </w:pPr>
      <w:r w:rsidRPr="00437B44">
        <w:rPr>
          <w:i/>
          <w:iCs/>
          <w:rtl/>
        </w:rPr>
        <w:t>الوثائق المرجعية:</w:t>
      </w:r>
      <w:r w:rsidRPr="00437B44">
        <w:rPr>
          <w:i/>
          <w:iCs/>
          <w:rtl/>
        </w:rPr>
        <w:tab/>
      </w:r>
      <w:r>
        <w:rPr>
          <w:rFonts w:hint="cs"/>
          <w:rtl/>
        </w:rPr>
        <w:t xml:space="preserve">القرار الذي اتخذه المقرر الخاص بموجب المادة 97، المحال إلى الدولة الطرف في 1 </w:t>
      </w:r>
      <w:r w:rsidRPr="000838DF">
        <w:rPr>
          <w:rFonts w:hint="cs"/>
          <w:sz w:val="30"/>
          <w:rtl/>
        </w:rPr>
        <w:t xml:space="preserve">تشرين الأول/أكتوبر </w:t>
      </w:r>
      <w:r>
        <w:rPr>
          <w:rFonts w:hint="cs"/>
          <w:rtl/>
        </w:rPr>
        <w:t xml:space="preserve">2012 </w:t>
      </w:r>
    </w:p>
    <w:p w:rsidR="00BC23FF" w:rsidRDefault="00BC23FF" w:rsidP="005A21F5">
      <w:pPr>
        <w:pStyle w:val="SingleTxtGA"/>
        <w:tabs>
          <w:tab w:val="clear" w:pos="1928"/>
          <w:tab w:val="clear" w:pos="2608"/>
          <w:tab w:val="clear" w:pos="3289"/>
          <w:tab w:val="clear" w:pos="3969"/>
          <w:tab w:val="clear" w:pos="4649"/>
          <w:tab w:val="clear" w:pos="5330"/>
        </w:tabs>
        <w:spacing w:line="360" w:lineRule="exact"/>
        <w:ind w:left="4514" w:hanging="2616"/>
        <w:rPr>
          <w:rFonts w:hint="cs"/>
          <w:rtl/>
        </w:rPr>
      </w:pPr>
      <w:r w:rsidRPr="00C35340">
        <w:rPr>
          <w:i/>
          <w:iCs/>
          <w:rtl/>
        </w:rPr>
        <w:t xml:space="preserve">تاريخ اعتماد </w:t>
      </w:r>
      <w:r>
        <w:rPr>
          <w:rFonts w:hint="cs"/>
          <w:i/>
          <w:iCs/>
          <w:rtl/>
        </w:rPr>
        <w:t>القرار</w:t>
      </w:r>
      <w:r w:rsidRPr="00437B44">
        <w:rPr>
          <w:i/>
          <w:iCs/>
          <w:rtl/>
        </w:rPr>
        <w:t>:</w:t>
      </w:r>
      <w:r w:rsidRPr="00C35340">
        <w:rPr>
          <w:rFonts w:hint="cs"/>
          <w:rtl/>
        </w:rPr>
        <w:tab/>
      </w:r>
      <w:r w:rsidR="00046D12">
        <w:rPr>
          <w:rFonts w:hint="cs"/>
          <w:rtl/>
        </w:rPr>
        <w:tab/>
      </w:r>
      <w:r>
        <w:rPr>
          <w:rFonts w:hint="cs"/>
          <w:rtl/>
        </w:rPr>
        <w:t xml:space="preserve">25 </w:t>
      </w:r>
      <w:r w:rsidRPr="008F006F">
        <w:rPr>
          <w:rFonts w:hint="cs"/>
          <w:sz w:val="30"/>
          <w:rtl/>
        </w:rPr>
        <w:t xml:space="preserve">آذار/مارس </w:t>
      </w:r>
      <w:r>
        <w:rPr>
          <w:rFonts w:hint="cs"/>
          <w:rtl/>
        </w:rPr>
        <w:t>2014</w:t>
      </w:r>
    </w:p>
    <w:p w:rsidR="00BC23FF" w:rsidRDefault="00BC23FF" w:rsidP="005A21F5">
      <w:pPr>
        <w:pStyle w:val="SingleTxtGA"/>
        <w:tabs>
          <w:tab w:val="clear" w:pos="1928"/>
          <w:tab w:val="clear" w:pos="2608"/>
          <w:tab w:val="clear" w:pos="3289"/>
          <w:tab w:val="clear" w:pos="3969"/>
          <w:tab w:val="clear" w:pos="4649"/>
          <w:tab w:val="clear" w:pos="5330"/>
        </w:tabs>
        <w:spacing w:line="360" w:lineRule="exact"/>
        <w:ind w:left="4514" w:hanging="2616"/>
        <w:rPr>
          <w:rFonts w:hint="cs"/>
          <w:rtl/>
        </w:rPr>
      </w:pPr>
      <w:r w:rsidRPr="00C35340">
        <w:rPr>
          <w:i/>
          <w:iCs/>
          <w:rtl/>
        </w:rPr>
        <w:t>الموضوع</w:t>
      </w:r>
      <w:r w:rsidRPr="00437B44">
        <w:rPr>
          <w:i/>
          <w:iCs/>
          <w:rtl/>
        </w:rPr>
        <w:t>:</w:t>
      </w:r>
      <w:r w:rsidRPr="00C35340">
        <w:rPr>
          <w:rFonts w:hint="cs"/>
          <w:rtl/>
        </w:rPr>
        <w:tab/>
      </w:r>
      <w:r w:rsidR="00046D12">
        <w:rPr>
          <w:rFonts w:hint="cs"/>
          <w:rtl/>
        </w:rPr>
        <w:tab/>
      </w:r>
      <w:r>
        <w:rPr>
          <w:rFonts w:hint="cs"/>
          <w:rtl/>
        </w:rPr>
        <w:t>الترحيل إلى الصين</w:t>
      </w:r>
    </w:p>
    <w:p w:rsidR="00BC23FF" w:rsidRDefault="00BC23FF" w:rsidP="005A21F5">
      <w:pPr>
        <w:pStyle w:val="SingleTxtGA"/>
        <w:tabs>
          <w:tab w:val="clear" w:pos="1928"/>
          <w:tab w:val="clear" w:pos="2608"/>
          <w:tab w:val="clear" w:pos="3289"/>
          <w:tab w:val="clear" w:pos="3969"/>
          <w:tab w:val="clear" w:pos="4649"/>
          <w:tab w:val="clear" w:pos="5330"/>
        </w:tabs>
        <w:spacing w:line="360" w:lineRule="exact"/>
        <w:ind w:left="4514" w:hanging="2616"/>
        <w:rPr>
          <w:rFonts w:hint="cs"/>
          <w:rtl/>
        </w:rPr>
      </w:pPr>
      <w:r w:rsidRPr="00C35340">
        <w:rPr>
          <w:i/>
          <w:iCs/>
          <w:rtl/>
        </w:rPr>
        <w:t>المسائل</w:t>
      </w:r>
      <w:r w:rsidRPr="00416001">
        <w:rPr>
          <w:rFonts w:hint="cs"/>
          <w:i/>
          <w:iCs/>
          <w:rtl/>
        </w:rPr>
        <w:t xml:space="preserve"> الموضوعية</w:t>
      </w:r>
      <w:r w:rsidRPr="00437B44">
        <w:rPr>
          <w:i/>
          <w:iCs/>
          <w:rtl/>
        </w:rPr>
        <w:t>:</w:t>
      </w:r>
      <w:r>
        <w:rPr>
          <w:rFonts w:hint="cs"/>
          <w:rtl/>
        </w:rPr>
        <w:tab/>
      </w:r>
      <w:r w:rsidR="00046D12">
        <w:rPr>
          <w:rFonts w:hint="cs"/>
          <w:rtl/>
        </w:rPr>
        <w:tab/>
      </w:r>
      <w:r>
        <w:rPr>
          <w:rFonts w:hint="cs"/>
          <w:rtl/>
        </w:rPr>
        <w:t>-</w:t>
      </w:r>
    </w:p>
    <w:p w:rsidR="00BC23FF" w:rsidRPr="008F006F" w:rsidRDefault="00BC23FF" w:rsidP="005A21F5">
      <w:pPr>
        <w:pStyle w:val="SingleTxtGA"/>
        <w:tabs>
          <w:tab w:val="clear" w:pos="1928"/>
          <w:tab w:val="clear" w:pos="2608"/>
          <w:tab w:val="clear" w:pos="3289"/>
          <w:tab w:val="clear" w:pos="3969"/>
          <w:tab w:val="clear" w:pos="4649"/>
          <w:tab w:val="clear" w:pos="5330"/>
        </w:tabs>
        <w:spacing w:line="360" w:lineRule="exact"/>
        <w:ind w:left="4760" w:hanging="2862"/>
        <w:rPr>
          <w:rFonts w:hint="cs"/>
          <w:rtl/>
        </w:rPr>
      </w:pPr>
      <w:r w:rsidRPr="008F006F">
        <w:rPr>
          <w:rFonts w:hint="cs"/>
          <w:i/>
          <w:iCs/>
          <w:rtl/>
        </w:rPr>
        <w:t>المسائل الإجرائية:</w:t>
      </w:r>
      <w:r w:rsidRPr="008F006F">
        <w:rPr>
          <w:rFonts w:hint="cs"/>
          <w:i/>
          <w:iCs/>
          <w:rtl/>
        </w:rPr>
        <w:tab/>
      </w:r>
      <w:r>
        <w:rPr>
          <w:rFonts w:hint="cs"/>
          <w:rtl/>
        </w:rPr>
        <w:t>حالة الضحية؛ استنفاد سبل الانتصاف المحلية؛ عدم كفاية الأدلة لدعم الانتهاكات المزعومة</w:t>
      </w:r>
    </w:p>
    <w:p w:rsidR="00BC23FF" w:rsidRPr="00535CB0" w:rsidRDefault="00BC23FF" w:rsidP="005A21F5">
      <w:pPr>
        <w:pStyle w:val="SingleTxtGA"/>
        <w:tabs>
          <w:tab w:val="clear" w:pos="1928"/>
          <w:tab w:val="clear" w:pos="2608"/>
          <w:tab w:val="clear" w:pos="3289"/>
          <w:tab w:val="clear" w:pos="3969"/>
          <w:tab w:val="clear" w:pos="4649"/>
          <w:tab w:val="clear" w:pos="5330"/>
        </w:tabs>
        <w:spacing w:line="360" w:lineRule="exact"/>
        <w:ind w:left="4760" w:hanging="2862"/>
        <w:rPr>
          <w:rFonts w:hint="cs"/>
          <w:rtl/>
        </w:rPr>
      </w:pPr>
      <w:r w:rsidRPr="00C35340">
        <w:rPr>
          <w:i/>
          <w:iCs/>
          <w:rtl/>
        </w:rPr>
        <w:t>مواد العهد</w:t>
      </w:r>
      <w:r w:rsidRPr="00B110AE">
        <w:rPr>
          <w:i/>
          <w:iCs/>
          <w:rtl/>
        </w:rPr>
        <w:t>:</w:t>
      </w:r>
      <w:r w:rsidRPr="00B110AE">
        <w:rPr>
          <w:rFonts w:hint="cs"/>
          <w:i/>
          <w:iCs/>
          <w:rtl/>
        </w:rPr>
        <w:tab/>
      </w:r>
      <w:r>
        <w:rPr>
          <w:rFonts w:hint="cs"/>
          <w:rtl/>
        </w:rPr>
        <w:t>الفقرة 1 من المادة 17؛ الفقرة 1 من المادة 23؛ الفقرة 1 من المادة 24؛ الفقرة 1 من المادة 14؛ الفقرة 3(أ) من المادة 2</w:t>
      </w:r>
    </w:p>
    <w:p w:rsidR="00BC23FF" w:rsidRDefault="00BC23FF" w:rsidP="00046D12">
      <w:pPr>
        <w:pStyle w:val="SingleTxtGA"/>
        <w:tabs>
          <w:tab w:val="clear" w:pos="1928"/>
          <w:tab w:val="clear" w:pos="2608"/>
          <w:tab w:val="clear" w:pos="3289"/>
          <w:tab w:val="clear" w:pos="3969"/>
          <w:tab w:val="clear" w:pos="4649"/>
          <w:tab w:val="clear" w:pos="5330"/>
        </w:tabs>
        <w:ind w:left="4514" w:hanging="2616"/>
        <w:rPr>
          <w:rFonts w:hint="cs"/>
          <w:rtl/>
        </w:rPr>
      </w:pPr>
      <w:r w:rsidRPr="00C35340">
        <w:rPr>
          <w:i/>
          <w:iCs/>
          <w:rtl/>
        </w:rPr>
        <w:t>مواد البروتوكول الاختياري</w:t>
      </w:r>
      <w:r w:rsidRPr="00C35340">
        <w:rPr>
          <w:rtl/>
        </w:rPr>
        <w:t>:</w:t>
      </w:r>
      <w:r w:rsidRPr="00C35340">
        <w:rPr>
          <w:rFonts w:hint="cs"/>
          <w:rtl/>
        </w:rPr>
        <w:tab/>
      </w:r>
      <w:r w:rsidR="00046D12">
        <w:rPr>
          <w:rFonts w:hint="cs"/>
          <w:rtl/>
        </w:rPr>
        <w:tab/>
      </w:r>
      <w:r>
        <w:rPr>
          <w:rFonts w:hint="cs"/>
          <w:rtl/>
        </w:rPr>
        <w:t>1 و2 و3 والفقرة 2(ب) من المادة 5</w:t>
      </w:r>
    </w:p>
    <w:p w:rsidR="00BC23FF" w:rsidRDefault="00BC23FF" w:rsidP="00BC23FF">
      <w:pPr>
        <w:pStyle w:val="HChGA"/>
        <w:spacing w:before="120"/>
        <w:rPr>
          <w:rFonts w:hint="cs"/>
          <w:rtl/>
          <w:lang w:val="fr-CH"/>
        </w:rPr>
      </w:pPr>
      <w:r>
        <w:rPr>
          <w:rtl/>
          <w:lang w:val="fr-CH"/>
        </w:rPr>
        <w:br w:type="page"/>
      </w:r>
      <w:r>
        <w:rPr>
          <w:rFonts w:hint="cs"/>
          <w:rtl/>
          <w:lang w:val="fr-CH"/>
        </w:rPr>
        <w:t>المرفق</w:t>
      </w:r>
    </w:p>
    <w:p w:rsidR="00BC23FF" w:rsidRPr="00C35340" w:rsidRDefault="00BC23FF" w:rsidP="00BC23FF">
      <w:pPr>
        <w:pStyle w:val="HChGA"/>
        <w:spacing w:line="420" w:lineRule="exact"/>
        <w:ind w:right="1440"/>
        <w:rPr>
          <w:rtl/>
        </w:rPr>
      </w:pPr>
      <w:r>
        <w:rPr>
          <w:rFonts w:hint="cs"/>
          <w:rtl/>
        </w:rPr>
        <w:tab/>
      </w:r>
      <w:r>
        <w:rPr>
          <w:rFonts w:hint="cs"/>
          <w:rtl/>
        </w:rPr>
        <w:tab/>
        <w:t xml:space="preserve">قرار اللجنـة المعنيـة </w:t>
      </w:r>
      <w:r w:rsidRPr="00C35340">
        <w:rPr>
          <w:rtl/>
        </w:rPr>
        <w:t>بحقوق الإنسان بموجب البروتوكول</w:t>
      </w:r>
      <w:r>
        <w:rPr>
          <w:rFonts w:hint="cs"/>
          <w:rtl/>
        </w:rPr>
        <w:t xml:space="preserve"> </w:t>
      </w:r>
      <w:r w:rsidRPr="00C35340">
        <w:rPr>
          <w:rtl/>
        </w:rPr>
        <w:t xml:space="preserve">الاختياري </w:t>
      </w:r>
      <w:r>
        <w:rPr>
          <w:rFonts w:hint="cs"/>
          <w:rtl/>
        </w:rPr>
        <w:t>الملحق با</w:t>
      </w:r>
      <w:r w:rsidRPr="00C35340">
        <w:rPr>
          <w:rtl/>
        </w:rPr>
        <w:t>لعهد الدولي الخاص بالحقوق المدنية والسياسية</w:t>
      </w:r>
      <w:r w:rsidRPr="005D67FF">
        <w:rPr>
          <w:rFonts w:hint="cs"/>
          <w:b w:val="0"/>
          <w:bCs w:val="0"/>
          <w:rtl/>
        </w:rPr>
        <w:t xml:space="preserve"> (</w:t>
      </w:r>
      <w:r w:rsidRPr="005D67FF">
        <w:rPr>
          <w:b w:val="0"/>
          <w:bCs w:val="0"/>
          <w:rtl/>
        </w:rPr>
        <w:t xml:space="preserve">الدورة </w:t>
      </w:r>
      <w:r>
        <w:rPr>
          <w:rFonts w:hint="cs"/>
          <w:b w:val="0"/>
          <w:bCs w:val="0"/>
          <w:rtl/>
        </w:rPr>
        <w:t>110</w:t>
      </w:r>
      <w:r w:rsidRPr="005D67FF">
        <w:rPr>
          <w:rFonts w:hint="cs"/>
          <w:b w:val="0"/>
          <w:bCs w:val="0"/>
          <w:rtl/>
        </w:rPr>
        <w:t>)</w:t>
      </w:r>
    </w:p>
    <w:p w:rsidR="00BC23FF" w:rsidRPr="00C35340" w:rsidRDefault="00BC23FF" w:rsidP="00BC23FF">
      <w:pPr>
        <w:pStyle w:val="SingleTxtGA"/>
        <w:rPr>
          <w:rtl/>
        </w:rPr>
      </w:pPr>
      <w:r w:rsidRPr="00C35340">
        <w:rPr>
          <w:rtl/>
        </w:rPr>
        <w:t>بشأن</w:t>
      </w:r>
    </w:p>
    <w:p w:rsidR="00BC23FF" w:rsidRPr="00C35340" w:rsidRDefault="00BC23FF" w:rsidP="00BC23FF">
      <w:pPr>
        <w:pStyle w:val="H1GA"/>
        <w:rPr>
          <w:rFonts w:hint="cs"/>
          <w:rtl/>
        </w:rPr>
      </w:pPr>
      <w:r>
        <w:rPr>
          <w:rFonts w:hint="cs"/>
          <w:rtl/>
        </w:rPr>
        <w:tab/>
      </w:r>
      <w:r>
        <w:rPr>
          <w:rFonts w:hint="cs"/>
          <w:rtl/>
        </w:rPr>
        <w:tab/>
      </w:r>
      <w:r w:rsidRPr="00C35340">
        <w:rPr>
          <w:rtl/>
        </w:rPr>
        <w:t xml:space="preserve">البلاغ رقم </w:t>
      </w:r>
      <w:r>
        <w:rPr>
          <w:rFonts w:hint="cs"/>
          <w:rtl/>
        </w:rPr>
        <w:t>2197</w:t>
      </w:r>
      <w:r w:rsidRPr="00C35340">
        <w:rPr>
          <w:rtl/>
        </w:rPr>
        <w:t>/</w:t>
      </w:r>
      <w:r>
        <w:rPr>
          <w:rFonts w:hint="cs"/>
          <w:rtl/>
        </w:rPr>
        <w:t>2012</w:t>
      </w:r>
      <w:r w:rsidRPr="00C81E39">
        <w:rPr>
          <w:rStyle w:val="FootnoteReference"/>
          <w:sz w:val="20"/>
          <w:vertAlign w:val="baseline"/>
          <w:rtl/>
        </w:rPr>
        <w:footnoteReference w:customMarkFollows="1" w:id="1"/>
        <w:t>*</w:t>
      </w:r>
    </w:p>
    <w:p w:rsidR="00BC23FF" w:rsidRDefault="00BC23FF" w:rsidP="004D6BA4">
      <w:pPr>
        <w:pStyle w:val="SingleTxtGA"/>
        <w:tabs>
          <w:tab w:val="clear" w:pos="1928"/>
          <w:tab w:val="clear" w:pos="2608"/>
          <w:tab w:val="clear" w:pos="3289"/>
          <w:tab w:val="clear" w:pos="3969"/>
          <w:tab w:val="clear" w:pos="4649"/>
          <w:tab w:val="clear" w:pos="5330"/>
        </w:tabs>
        <w:ind w:left="4760" w:hanging="2862"/>
        <w:rPr>
          <w:rFonts w:hint="cs"/>
          <w:rtl/>
        </w:rPr>
      </w:pPr>
      <w:r>
        <w:rPr>
          <w:rFonts w:hint="cs"/>
          <w:i/>
          <w:iCs/>
          <w:rtl/>
        </w:rPr>
        <w:t>ال</w:t>
      </w:r>
      <w:r w:rsidRPr="00B74338">
        <w:rPr>
          <w:i/>
          <w:iCs/>
          <w:rtl/>
        </w:rPr>
        <w:t>مقدم من</w:t>
      </w:r>
      <w:r w:rsidRPr="00437B44">
        <w:rPr>
          <w:i/>
          <w:iCs/>
          <w:rtl/>
        </w:rPr>
        <w:t>:</w:t>
      </w:r>
      <w:r w:rsidRPr="00437B44">
        <w:rPr>
          <w:rFonts w:hint="cs"/>
          <w:i/>
          <w:iCs/>
          <w:rtl/>
        </w:rPr>
        <w:t xml:space="preserve"> </w:t>
      </w:r>
      <w:r>
        <w:rPr>
          <w:rFonts w:hint="cs"/>
          <w:i/>
          <w:iCs/>
          <w:rtl/>
        </w:rPr>
        <w:tab/>
      </w:r>
      <w:r>
        <w:rPr>
          <w:rFonts w:hint="cs"/>
          <w:rtl/>
        </w:rPr>
        <w:t xml:space="preserve">أكس. كيو. </w:t>
      </w:r>
      <w:r>
        <w:rPr>
          <w:rFonts w:hint="cs"/>
          <w:sz w:val="30"/>
          <w:rtl/>
        </w:rPr>
        <w:t>ايتش (</w:t>
      </w:r>
      <w:r w:rsidRPr="00FC449E">
        <w:t>X</w:t>
      </w:r>
      <w:r>
        <w:t>.</w:t>
      </w:r>
      <w:r w:rsidRPr="00FC449E">
        <w:t xml:space="preserve"> Q</w:t>
      </w:r>
      <w:r>
        <w:t>.</w:t>
      </w:r>
      <w:r w:rsidRPr="00FC449E">
        <w:t xml:space="preserve"> H</w:t>
      </w:r>
      <w:r w:rsidR="00452BD0">
        <w:t>.</w:t>
      </w:r>
      <w:r>
        <w:rPr>
          <w:rFonts w:hint="cs"/>
          <w:sz w:val="30"/>
          <w:rtl/>
        </w:rPr>
        <w:t xml:space="preserve">) </w:t>
      </w:r>
      <w:r>
        <w:rPr>
          <w:rFonts w:hint="cs"/>
          <w:rtl/>
        </w:rPr>
        <w:t>(يمثلها المحامي فرانك ديليو)</w:t>
      </w:r>
    </w:p>
    <w:p w:rsidR="00BC23FF" w:rsidRDefault="00BC23FF" w:rsidP="004D6BA4">
      <w:pPr>
        <w:pStyle w:val="SingleTxtGA"/>
        <w:tabs>
          <w:tab w:val="clear" w:pos="1928"/>
          <w:tab w:val="clear" w:pos="2608"/>
          <w:tab w:val="clear" w:pos="3289"/>
          <w:tab w:val="clear" w:pos="3969"/>
          <w:tab w:val="clear" w:pos="4649"/>
          <w:tab w:val="clear" w:pos="5330"/>
        </w:tabs>
        <w:ind w:left="4514" w:hanging="2616"/>
        <w:rPr>
          <w:rFonts w:hint="cs"/>
          <w:rtl/>
        </w:rPr>
      </w:pPr>
      <w:r w:rsidRPr="00416001">
        <w:rPr>
          <w:i/>
          <w:iCs/>
          <w:rtl/>
        </w:rPr>
        <w:t>الشخص</w:t>
      </w:r>
      <w:r>
        <w:rPr>
          <w:rFonts w:hint="cs"/>
          <w:i/>
          <w:iCs/>
          <w:rtl/>
        </w:rPr>
        <w:t>ان المدعان أنهما ضحيتان</w:t>
      </w:r>
      <w:r w:rsidRPr="00437B44">
        <w:rPr>
          <w:i/>
          <w:iCs/>
          <w:rtl/>
        </w:rPr>
        <w:t>:</w:t>
      </w:r>
      <w:r w:rsidRPr="00C35340">
        <w:rPr>
          <w:rtl/>
        </w:rPr>
        <w:tab/>
      </w:r>
      <w:r>
        <w:rPr>
          <w:rFonts w:hint="cs"/>
          <w:rtl/>
        </w:rPr>
        <w:tab/>
        <w:t>صاحبة البلاغ وابنها</w:t>
      </w:r>
    </w:p>
    <w:p w:rsidR="00BC23FF" w:rsidRDefault="00BC23FF" w:rsidP="004D6BA4">
      <w:pPr>
        <w:pStyle w:val="SingleTxtGA"/>
        <w:tabs>
          <w:tab w:val="clear" w:pos="1928"/>
          <w:tab w:val="clear" w:pos="2608"/>
          <w:tab w:val="clear" w:pos="3289"/>
          <w:tab w:val="clear" w:pos="3969"/>
          <w:tab w:val="clear" w:pos="4649"/>
          <w:tab w:val="clear" w:pos="5330"/>
        </w:tabs>
        <w:ind w:left="4514" w:hanging="2616"/>
        <w:rPr>
          <w:rFonts w:hint="cs"/>
          <w:rtl/>
        </w:rPr>
      </w:pPr>
      <w:r w:rsidRPr="00C35340">
        <w:rPr>
          <w:i/>
          <w:iCs/>
          <w:rtl/>
        </w:rPr>
        <w:t>الدولة الطرف</w:t>
      </w:r>
      <w:r w:rsidRPr="00437B44">
        <w:rPr>
          <w:i/>
          <w:iCs/>
          <w:rtl/>
        </w:rPr>
        <w:t>:</w:t>
      </w:r>
      <w:r>
        <w:rPr>
          <w:rFonts w:hint="cs"/>
          <w:rtl/>
        </w:rPr>
        <w:tab/>
      </w:r>
      <w:r w:rsidR="00997BC1">
        <w:rPr>
          <w:rFonts w:hint="cs"/>
          <w:rtl/>
        </w:rPr>
        <w:tab/>
        <w:t>ن</w:t>
      </w:r>
      <w:r>
        <w:rPr>
          <w:rFonts w:hint="cs"/>
          <w:rtl/>
        </w:rPr>
        <w:t>يوزيلندا</w:t>
      </w:r>
    </w:p>
    <w:p w:rsidR="00BC23FF" w:rsidRDefault="00BC23FF" w:rsidP="004D6BA4">
      <w:pPr>
        <w:pStyle w:val="SingleTxtGA"/>
        <w:tabs>
          <w:tab w:val="clear" w:pos="1928"/>
          <w:tab w:val="clear" w:pos="2608"/>
          <w:tab w:val="clear" w:pos="3289"/>
          <w:tab w:val="clear" w:pos="3969"/>
          <w:tab w:val="clear" w:pos="4649"/>
          <w:tab w:val="clear" w:pos="5330"/>
        </w:tabs>
        <w:ind w:left="4760" w:hanging="2862"/>
        <w:rPr>
          <w:rFonts w:ascii="SimSun" w:hAnsi="SimSun" w:hint="cs"/>
          <w:spacing w:val="-2"/>
          <w:sz w:val="30"/>
          <w:rtl/>
          <w:lang w:bidi="ar-MA"/>
        </w:rPr>
      </w:pPr>
      <w:r w:rsidRPr="00C35340">
        <w:rPr>
          <w:i/>
          <w:iCs/>
          <w:rtl/>
        </w:rPr>
        <w:t>تاريخ تقديم البلاغ</w:t>
      </w:r>
      <w:r w:rsidRPr="00031F1E">
        <w:rPr>
          <w:i/>
          <w:iCs/>
          <w:rtl/>
        </w:rPr>
        <w:t>:</w:t>
      </w:r>
      <w:r w:rsidRPr="00C35340">
        <w:rPr>
          <w:rtl/>
        </w:rPr>
        <w:tab/>
      </w:r>
      <w:r>
        <w:rPr>
          <w:rFonts w:hint="cs"/>
          <w:spacing w:val="-2"/>
          <w:rtl/>
        </w:rPr>
        <w:t>22</w:t>
      </w:r>
      <w:r w:rsidRPr="00437B44">
        <w:rPr>
          <w:rFonts w:ascii="SimSun" w:hAnsi="SimSun"/>
          <w:spacing w:val="-2"/>
          <w:sz w:val="30"/>
          <w:rtl/>
          <w:lang w:bidi="ar-MA"/>
        </w:rPr>
        <w:t xml:space="preserve"> </w:t>
      </w:r>
      <w:r w:rsidRPr="000838DF">
        <w:rPr>
          <w:rFonts w:ascii="SimSun" w:hAnsi="SimSun" w:hint="cs"/>
          <w:spacing w:val="-2"/>
          <w:sz w:val="30"/>
          <w:rtl/>
          <w:lang w:bidi="ar-MA"/>
        </w:rPr>
        <w:t xml:space="preserve">آذار/مارس </w:t>
      </w:r>
      <w:r>
        <w:rPr>
          <w:rFonts w:ascii="SimSun" w:hAnsi="SimSun" w:hint="cs"/>
          <w:spacing w:val="-2"/>
          <w:sz w:val="30"/>
          <w:rtl/>
          <w:lang w:bidi="ar-MA"/>
        </w:rPr>
        <w:t xml:space="preserve">2012 </w:t>
      </w:r>
      <w:r w:rsidRPr="00437B44">
        <w:rPr>
          <w:rFonts w:ascii="SimSun" w:hAnsi="SimSun"/>
          <w:spacing w:val="-2"/>
          <w:sz w:val="30"/>
          <w:rtl/>
          <w:lang w:bidi="ar-MA"/>
        </w:rPr>
        <w:t>(</w:t>
      </w:r>
      <w:r w:rsidRPr="00437B44">
        <w:rPr>
          <w:rFonts w:ascii="SimSun" w:hAnsi="SimSun" w:hint="eastAsia"/>
          <w:spacing w:val="-2"/>
          <w:sz w:val="30"/>
          <w:rtl/>
          <w:lang w:bidi="ar-MA"/>
        </w:rPr>
        <w:t>تاريخ</w:t>
      </w:r>
      <w:r w:rsidRPr="00437B44">
        <w:rPr>
          <w:rFonts w:ascii="SimSun" w:hAnsi="SimSun" w:hint="cs"/>
          <w:spacing w:val="-2"/>
          <w:sz w:val="30"/>
          <w:rtl/>
          <w:lang w:bidi="ar-MA"/>
        </w:rPr>
        <w:t xml:space="preserve"> </w:t>
      </w:r>
      <w:r w:rsidRPr="00437B44">
        <w:rPr>
          <w:rFonts w:ascii="SimSun" w:hAnsi="SimSun" w:hint="eastAsia"/>
          <w:spacing w:val="-2"/>
          <w:sz w:val="30"/>
          <w:rtl/>
          <w:lang w:bidi="ar-MA"/>
        </w:rPr>
        <w:t>الرسالة</w:t>
      </w:r>
      <w:r w:rsidRPr="00437B44">
        <w:rPr>
          <w:rFonts w:ascii="SimSun" w:hAnsi="SimSun"/>
          <w:spacing w:val="-2"/>
          <w:sz w:val="30"/>
          <w:rtl/>
          <w:lang w:bidi="ar-MA"/>
        </w:rPr>
        <w:t xml:space="preserve"> </w:t>
      </w:r>
      <w:r w:rsidRPr="00437B44">
        <w:rPr>
          <w:rFonts w:ascii="SimSun" w:hAnsi="SimSun" w:hint="eastAsia"/>
          <w:spacing w:val="-2"/>
          <w:sz w:val="30"/>
          <w:rtl/>
          <w:lang w:bidi="ar-MA"/>
        </w:rPr>
        <w:t>الأولى</w:t>
      </w:r>
      <w:r w:rsidRPr="00437B44">
        <w:rPr>
          <w:rFonts w:ascii="SimSun" w:hAnsi="SimSun"/>
          <w:spacing w:val="-2"/>
          <w:sz w:val="30"/>
          <w:rtl/>
          <w:lang w:bidi="ar-MA"/>
        </w:rPr>
        <w:t>)</w:t>
      </w:r>
    </w:p>
    <w:p w:rsidR="00BC23FF" w:rsidRDefault="00BC23FF" w:rsidP="00BC23FF">
      <w:pPr>
        <w:pStyle w:val="SingleTxtGA"/>
        <w:rPr>
          <w:rFonts w:hint="cs"/>
          <w:rtl/>
        </w:rPr>
      </w:pPr>
      <w:r>
        <w:rPr>
          <w:rFonts w:hint="cs"/>
          <w:rtl/>
        </w:rPr>
        <w:tab/>
      </w:r>
      <w:r>
        <w:rPr>
          <w:rFonts w:hint="cs"/>
          <w:i/>
          <w:iCs/>
          <w:rtl/>
        </w:rPr>
        <w:t xml:space="preserve">إن اللجنة المعنية بحقوق الإنسان، </w:t>
      </w:r>
      <w:r>
        <w:rPr>
          <w:rFonts w:hint="cs"/>
          <w:rtl/>
        </w:rPr>
        <w:t>المنشأة بموجب المادة 28 من العهد الدولي الخاص بالحقوق المدنية والسياسية،</w:t>
      </w:r>
    </w:p>
    <w:p w:rsidR="00BC23FF" w:rsidRDefault="00BC23FF" w:rsidP="00BC23FF">
      <w:pPr>
        <w:pStyle w:val="SingleTxtGA"/>
        <w:rPr>
          <w:rFonts w:hint="cs"/>
          <w:rtl/>
        </w:rPr>
      </w:pPr>
      <w:r>
        <w:rPr>
          <w:rFonts w:hint="cs"/>
          <w:rtl/>
        </w:rPr>
        <w:tab/>
      </w:r>
      <w:r>
        <w:rPr>
          <w:rFonts w:hint="cs"/>
          <w:i/>
          <w:iCs/>
          <w:rtl/>
        </w:rPr>
        <w:t>وقد اجتمعت</w:t>
      </w:r>
      <w:r>
        <w:rPr>
          <w:rFonts w:hint="cs"/>
          <w:rtl/>
        </w:rPr>
        <w:t xml:space="preserve"> في 25 </w:t>
      </w:r>
      <w:r w:rsidRPr="00346529">
        <w:rPr>
          <w:rFonts w:hint="cs"/>
          <w:sz w:val="30"/>
          <w:rtl/>
        </w:rPr>
        <w:t>آذار/مارس</w:t>
      </w:r>
      <w:r w:rsidR="00997BC1">
        <w:rPr>
          <w:rFonts w:hint="cs"/>
          <w:sz w:val="30"/>
          <w:rtl/>
        </w:rPr>
        <w:t xml:space="preserve"> </w:t>
      </w:r>
      <w:r>
        <w:rPr>
          <w:rFonts w:hint="cs"/>
          <w:rtl/>
        </w:rPr>
        <w:t>2014،</w:t>
      </w:r>
    </w:p>
    <w:p w:rsidR="00BC23FF" w:rsidRPr="00A91D7C" w:rsidRDefault="00BC23FF" w:rsidP="00BC23FF">
      <w:pPr>
        <w:pStyle w:val="SingleTxtGA"/>
        <w:rPr>
          <w:rFonts w:hint="cs"/>
          <w:rtl/>
        </w:rPr>
      </w:pPr>
      <w:r>
        <w:rPr>
          <w:rFonts w:hint="cs"/>
          <w:rtl/>
        </w:rPr>
        <w:tab/>
      </w:r>
      <w:r>
        <w:rPr>
          <w:rFonts w:hint="cs"/>
          <w:i/>
          <w:iCs/>
          <w:rtl/>
        </w:rPr>
        <w:t>تعتمد</w:t>
      </w:r>
      <w:r>
        <w:rPr>
          <w:rFonts w:hint="cs"/>
          <w:rtl/>
        </w:rPr>
        <w:t xml:space="preserve"> ما يلي:</w:t>
      </w:r>
    </w:p>
    <w:p w:rsidR="00BC23FF" w:rsidRDefault="00BC23FF" w:rsidP="00BC23FF">
      <w:pPr>
        <w:pStyle w:val="H1GA"/>
        <w:rPr>
          <w:rFonts w:hint="cs"/>
          <w:rtl/>
        </w:rPr>
      </w:pPr>
      <w:r>
        <w:rPr>
          <w:rFonts w:hint="cs"/>
          <w:rtl/>
        </w:rPr>
        <w:tab/>
      </w:r>
      <w:r>
        <w:rPr>
          <w:rFonts w:hint="cs"/>
          <w:rtl/>
        </w:rPr>
        <w:tab/>
        <w:t>القرار بشأن المقبولية</w:t>
      </w:r>
    </w:p>
    <w:p w:rsidR="00BC23FF" w:rsidRPr="00FA5B9D" w:rsidRDefault="00BC23FF" w:rsidP="00BC23FF">
      <w:pPr>
        <w:pStyle w:val="SingleTxtGA"/>
        <w:rPr>
          <w:rFonts w:hint="cs"/>
          <w:rtl/>
        </w:rPr>
      </w:pPr>
      <w:r w:rsidRPr="00BC23FF">
        <w:rPr>
          <w:rFonts w:hint="cs"/>
          <w:spacing w:val="-2"/>
          <w:rtl/>
        </w:rPr>
        <w:t>1-1</w:t>
      </w:r>
      <w:r w:rsidRPr="00BC23FF">
        <w:rPr>
          <w:rFonts w:hint="cs"/>
          <w:spacing w:val="-2"/>
          <w:rtl/>
        </w:rPr>
        <w:tab/>
        <w:t xml:space="preserve">صاحبة الشكوى المؤرخة 22 </w:t>
      </w:r>
      <w:r w:rsidRPr="00BC23FF">
        <w:rPr>
          <w:rFonts w:hint="cs"/>
          <w:spacing w:val="-2"/>
          <w:sz w:val="30"/>
          <w:rtl/>
        </w:rPr>
        <w:t xml:space="preserve">آذار/مارس </w:t>
      </w:r>
      <w:r w:rsidRPr="00BC23FF">
        <w:rPr>
          <w:rFonts w:hint="cs"/>
          <w:spacing w:val="-2"/>
          <w:rtl/>
        </w:rPr>
        <w:t>2012، التي تلتها رسالة أخرى مؤرخة</w:t>
      </w:r>
      <w:r>
        <w:rPr>
          <w:rFonts w:hint="cs"/>
          <w:rtl/>
        </w:rPr>
        <w:t xml:space="preserve"> 2 </w:t>
      </w:r>
      <w:r w:rsidRPr="0023447F">
        <w:rPr>
          <w:rFonts w:hint="cs"/>
          <w:sz w:val="30"/>
          <w:rtl/>
        </w:rPr>
        <w:t xml:space="preserve">أيار/مايو </w:t>
      </w:r>
      <w:r>
        <w:rPr>
          <w:rFonts w:hint="cs"/>
          <w:rtl/>
        </w:rPr>
        <w:t xml:space="preserve">2012، هي السيدة أكس. كيو. </w:t>
      </w:r>
      <w:r>
        <w:rPr>
          <w:rFonts w:hint="cs"/>
          <w:sz w:val="30"/>
          <w:rtl/>
        </w:rPr>
        <w:t>ايتش (</w:t>
      </w:r>
      <w:r w:rsidRPr="00FC449E">
        <w:t>X</w:t>
      </w:r>
      <w:r>
        <w:t>.</w:t>
      </w:r>
      <w:r w:rsidRPr="00FC449E">
        <w:t xml:space="preserve"> Q</w:t>
      </w:r>
      <w:r>
        <w:t>.</w:t>
      </w:r>
      <w:r w:rsidRPr="00FC449E">
        <w:t xml:space="preserve"> H</w:t>
      </w:r>
      <w:r w:rsidR="00452BD0">
        <w:t>.</w:t>
      </w:r>
      <w:r>
        <w:rPr>
          <w:rFonts w:hint="cs"/>
          <w:sz w:val="30"/>
          <w:rtl/>
        </w:rPr>
        <w:t xml:space="preserve">)، </w:t>
      </w:r>
      <w:r>
        <w:rPr>
          <w:rFonts w:hint="cs"/>
          <w:rtl/>
        </w:rPr>
        <w:t xml:space="preserve">وهي مواطنة صينية. وتقدم بلاغها أصالة عن نفسها وكذلك نيابة عن ابنها، وهو مواطن نيوزيلندي وُلِدّ في 20 </w:t>
      </w:r>
      <w:r w:rsidRPr="00C86303">
        <w:rPr>
          <w:rFonts w:hint="cs"/>
          <w:sz w:val="30"/>
          <w:rtl/>
        </w:rPr>
        <w:t>تشرين الثاني/نوفمبر</w:t>
      </w:r>
      <w:r w:rsidRPr="006C312A">
        <w:rPr>
          <w:rFonts w:hint="cs"/>
          <w:rtl/>
        </w:rPr>
        <w:t xml:space="preserve"> </w:t>
      </w:r>
      <w:r>
        <w:rPr>
          <w:rFonts w:hint="cs"/>
          <w:rtl/>
        </w:rPr>
        <w:t>2000. وتدعي أن نيوزيلندا انتهكت حقوقها وكذلك حقوق ابنها، المنصوص عليها في الفقرة 1 من المادة 17؛ والفقرة 1 من المادة 23؛ والفقرة 1 من المادة 24؛ والفقرة</w:t>
      </w:r>
      <w:r>
        <w:rPr>
          <w:rFonts w:hint="eastAsia"/>
          <w:rtl/>
        </w:rPr>
        <w:t> </w:t>
      </w:r>
      <w:r>
        <w:rPr>
          <w:rFonts w:hint="cs"/>
          <w:rtl/>
        </w:rPr>
        <w:t>1 من المادة 14؛ والفقرة 3(أ) من المادة 2 من العهد. ويمثلها فرانك ديليو من "</w:t>
      </w:r>
      <w:r w:rsidRPr="00DE7470">
        <w:t>Amicus Barristers Chambers</w:t>
      </w:r>
      <w:r>
        <w:rPr>
          <w:rFonts w:hint="cs"/>
          <w:rtl/>
        </w:rPr>
        <w:t>"(غرف</w:t>
      </w:r>
      <w:r w:rsidR="00031F1E">
        <w:rPr>
          <w:rFonts w:hint="cs"/>
          <w:rtl/>
        </w:rPr>
        <w:t>ة</w:t>
      </w:r>
      <w:r>
        <w:rPr>
          <w:rFonts w:hint="cs"/>
          <w:rtl/>
        </w:rPr>
        <w:t xml:space="preserve"> المحامين أصدقاء المحكمة)</w:t>
      </w:r>
      <w:r>
        <w:rPr>
          <w:vertAlign w:val="superscript"/>
          <w:rtl/>
        </w:rPr>
        <w:t>(</w:t>
      </w:r>
      <w:r>
        <w:rPr>
          <w:rStyle w:val="FootnoteReference"/>
          <w:rtl/>
        </w:rPr>
        <w:footnoteReference w:id="2"/>
      </w:r>
      <w:r>
        <w:rPr>
          <w:vertAlign w:val="superscript"/>
          <w:rtl/>
        </w:rPr>
        <w:t>)</w:t>
      </w:r>
      <w:r>
        <w:rPr>
          <w:rFonts w:hint="cs"/>
          <w:rtl/>
        </w:rPr>
        <w:t>.</w:t>
      </w:r>
    </w:p>
    <w:p w:rsidR="00BC23FF" w:rsidRDefault="00BC23FF" w:rsidP="00BC23FF">
      <w:pPr>
        <w:pStyle w:val="SingleTxtGA"/>
        <w:rPr>
          <w:rFonts w:hint="cs"/>
          <w:rtl/>
        </w:rPr>
      </w:pPr>
      <w:r>
        <w:rPr>
          <w:rFonts w:hint="cs"/>
          <w:rtl/>
        </w:rPr>
        <w:t>1-2</w:t>
      </w:r>
      <w:r>
        <w:rPr>
          <w:rFonts w:hint="cs"/>
          <w:rtl/>
        </w:rPr>
        <w:tab/>
        <w:t xml:space="preserve">في 8 </w:t>
      </w:r>
      <w:r w:rsidRPr="009F35DA">
        <w:rPr>
          <w:rFonts w:hint="cs"/>
          <w:sz w:val="30"/>
          <w:rtl/>
        </w:rPr>
        <w:t xml:space="preserve">آذار/مارس </w:t>
      </w:r>
      <w:r>
        <w:rPr>
          <w:rFonts w:hint="cs"/>
          <w:rtl/>
        </w:rPr>
        <w:t>2013، قرر المقرر الخاص المعني بالبلاغات الجديدة والتدابير المؤقتة، وهو يتصرف بالنيابة عن اللجنة، البت في مقبولية البلاغ بصورة مستقلة عن أسسه الموضوعية.</w:t>
      </w:r>
    </w:p>
    <w:p w:rsidR="00BC23FF" w:rsidRDefault="00BC23FF" w:rsidP="00AC1914">
      <w:pPr>
        <w:pStyle w:val="H23GA"/>
        <w:rPr>
          <w:rFonts w:hint="cs"/>
          <w:rtl/>
        </w:rPr>
      </w:pPr>
      <w:r>
        <w:rPr>
          <w:rFonts w:hint="cs"/>
          <w:rtl/>
        </w:rPr>
        <w:tab/>
      </w:r>
      <w:r>
        <w:rPr>
          <w:rFonts w:hint="cs"/>
          <w:rtl/>
        </w:rPr>
        <w:tab/>
        <w:t>الوقائع كما عرضتها صاحبة البلاغ</w:t>
      </w:r>
    </w:p>
    <w:p w:rsidR="00BC23FF" w:rsidRPr="00AC1914" w:rsidRDefault="00BC23FF" w:rsidP="00AC1914">
      <w:pPr>
        <w:pStyle w:val="SingleTxtGA"/>
        <w:rPr>
          <w:rFonts w:hint="cs"/>
          <w:rtl/>
        </w:rPr>
      </w:pPr>
      <w:r>
        <w:rPr>
          <w:rFonts w:hint="cs"/>
          <w:rtl/>
        </w:rPr>
        <w:t>2-1</w:t>
      </w:r>
      <w:r>
        <w:rPr>
          <w:rFonts w:hint="cs"/>
          <w:rtl/>
        </w:rPr>
        <w:tab/>
        <w:t xml:space="preserve">تدعي صاحبة البلاغ أنها وصلت إلى نيوزيلندا في 27 </w:t>
      </w:r>
      <w:r w:rsidRPr="00925600">
        <w:rPr>
          <w:rFonts w:hint="cs"/>
          <w:sz w:val="30"/>
          <w:rtl/>
        </w:rPr>
        <w:t xml:space="preserve">نيسان/أبريل </w:t>
      </w:r>
      <w:r>
        <w:rPr>
          <w:rFonts w:hint="cs"/>
          <w:rtl/>
        </w:rPr>
        <w:t xml:space="preserve">1996، بعد أن تعرضت لانتهاك حقوقها من جانب السلطات الصينية. وفي </w:t>
      </w:r>
      <w:r w:rsidRPr="00925600">
        <w:rPr>
          <w:rFonts w:hint="cs"/>
          <w:sz w:val="30"/>
          <w:rtl/>
        </w:rPr>
        <w:t xml:space="preserve">آذار/مارس </w:t>
      </w:r>
      <w:r>
        <w:rPr>
          <w:rFonts w:hint="cs"/>
          <w:rtl/>
        </w:rPr>
        <w:t>1990، أجبرها طبيبها على وقف حملها، بعد أن أعلم لجنة الشارع</w:t>
      </w:r>
      <w:r>
        <w:rPr>
          <w:vertAlign w:val="superscript"/>
          <w:rtl/>
        </w:rPr>
        <w:t>(</w:t>
      </w:r>
      <w:r>
        <w:rPr>
          <w:rStyle w:val="FootnoteReference"/>
          <w:rtl/>
        </w:rPr>
        <w:footnoteReference w:id="3"/>
      </w:r>
      <w:r>
        <w:rPr>
          <w:vertAlign w:val="superscript"/>
          <w:rtl/>
        </w:rPr>
        <w:t>)</w:t>
      </w:r>
      <w:r>
        <w:rPr>
          <w:rtl/>
        </w:rPr>
        <w:t xml:space="preserve"> </w:t>
      </w:r>
      <w:r>
        <w:rPr>
          <w:rFonts w:hint="cs"/>
          <w:rtl/>
        </w:rPr>
        <w:t>بأنها حامل لطفلها الثاني، وهو ما</w:t>
      </w:r>
      <w:r w:rsidR="00997BC1">
        <w:rPr>
          <w:rFonts w:hint="eastAsia"/>
          <w:rtl/>
        </w:rPr>
        <w:t> </w:t>
      </w:r>
      <w:r>
        <w:rPr>
          <w:rFonts w:hint="cs"/>
          <w:rtl/>
        </w:rPr>
        <w:t xml:space="preserve">يخالف سياسة الطفل الواحد المتبعة في الصين. وفي </w:t>
      </w:r>
      <w:r w:rsidRPr="009B696A">
        <w:rPr>
          <w:rFonts w:hint="cs"/>
          <w:sz w:val="30"/>
          <w:rtl/>
        </w:rPr>
        <w:t xml:space="preserve">آب/أغسطس </w:t>
      </w:r>
      <w:r>
        <w:rPr>
          <w:rFonts w:hint="cs"/>
          <w:rtl/>
        </w:rPr>
        <w:t xml:space="preserve">1994، حملت مرة أخرى. وبغية حماية نفسها </w:t>
      </w:r>
      <w:r w:rsidR="00031F1E">
        <w:rPr>
          <w:rFonts w:hint="cs"/>
          <w:rtl/>
        </w:rPr>
        <w:t>و</w:t>
      </w:r>
      <w:r>
        <w:rPr>
          <w:rFonts w:hint="cs"/>
          <w:rtl/>
        </w:rPr>
        <w:t>جنينها، فرّت من غوانجو متوجهة إلى الريف وبقيت هناك. ومع ذلك، أعلم الطبيب لجنة الشارع بحمل صاحبة البلاغ وبدؤوا بالبحث عنها وتهديدها واحتجاز أفراد من أسرتها لإجبارهم على إعلام السلطات بمكان وجودها. وعندما كُشِفَ عن مكان وجود صاحبة البلاغ كانت قد بلغت الشهر السادس تقريباً من حملها. وأعادت لجنة الشارع صاحبة البلاغ إلى غوانجو وأُجبرتها على الإجهاض دون موافقتها. ونتيجةً لذلك فقدت كمية كبيرة من الدم واضطرت إلى البقاء في المستشفى لمدة أسبوع.</w:t>
      </w:r>
      <w:r w:rsidR="00AC1914">
        <w:rPr>
          <w:rtl/>
        </w:rPr>
        <w:t xml:space="preserve"> </w:t>
      </w:r>
    </w:p>
    <w:p w:rsidR="00BC23FF" w:rsidRDefault="00BC23FF" w:rsidP="00031F1E">
      <w:pPr>
        <w:pStyle w:val="SingleTxtGA"/>
        <w:rPr>
          <w:rFonts w:hint="cs"/>
          <w:rtl/>
        </w:rPr>
      </w:pPr>
      <w:r>
        <w:rPr>
          <w:rFonts w:hint="cs"/>
          <w:rtl/>
        </w:rPr>
        <w:t>2-2</w:t>
      </w:r>
      <w:r>
        <w:rPr>
          <w:rFonts w:hint="cs"/>
          <w:rtl/>
        </w:rPr>
        <w:tab/>
        <w:t xml:space="preserve">وكانت صاحبة البلاغ وعشيرها آنذاك قد وصلا إلى نيوزيلندا في 27 </w:t>
      </w:r>
      <w:r w:rsidRPr="0003150A">
        <w:rPr>
          <w:rFonts w:hint="cs"/>
          <w:sz w:val="30"/>
          <w:rtl/>
        </w:rPr>
        <w:t>نيسان/</w:t>
      </w:r>
      <w:r w:rsidR="00997BC1">
        <w:rPr>
          <w:rFonts w:hint="cs"/>
          <w:sz w:val="30"/>
          <w:rtl/>
        </w:rPr>
        <w:t xml:space="preserve"> </w:t>
      </w:r>
      <w:r>
        <w:rPr>
          <w:rFonts w:hint="cs"/>
          <w:sz w:val="30"/>
          <w:rtl/>
        </w:rPr>
        <w:t xml:space="preserve">  </w:t>
      </w:r>
      <w:r w:rsidRPr="0003150A">
        <w:rPr>
          <w:rFonts w:hint="cs"/>
          <w:sz w:val="30"/>
          <w:rtl/>
        </w:rPr>
        <w:t xml:space="preserve">أبريل </w:t>
      </w:r>
      <w:r>
        <w:rPr>
          <w:rFonts w:hint="cs"/>
          <w:rtl/>
        </w:rPr>
        <w:t xml:space="preserve">1996 وفي 10 </w:t>
      </w:r>
      <w:r w:rsidRPr="0003150A">
        <w:rPr>
          <w:rFonts w:hint="cs"/>
          <w:sz w:val="30"/>
          <w:rtl/>
        </w:rPr>
        <w:t xml:space="preserve">كانون الأول/ديسمبر </w:t>
      </w:r>
      <w:r>
        <w:rPr>
          <w:rFonts w:hint="cs"/>
          <w:rtl/>
        </w:rPr>
        <w:t xml:space="preserve">1996 على التوالي. وحصل كل منهما لدى وصولهما إلى نيوزيلندا على تصريح لزيارة قصيرة الأجل تنتهي مدتها في التاريخ المحدد. وبعد ثمانية أيام من وصول صاحبة البلاغ إلى نيوزيلندا، قدمت طلباً للحصول على مركز اللاجئ. وفي 24 </w:t>
      </w:r>
      <w:r w:rsidRPr="00B75841">
        <w:rPr>
          <w:rFonts w:hint="cs"/>
          <w:sz w:val="30"/>
          <w:rtl/>
        </w:rPr>
        <w:t xml:space="preserve">تشرين الثاني/نوفمبر </w:t>
      </w:r>
      <w:r>
        <w:rPr>
          <w:rFonts w:hint="cs"/>
          <w:rtl/>
        </w:rPr>
        <w:t xml:space="preserve">1997، رفض مجلس مركز اللاجئ طلبها. وطعنت صاحبة البلاغ في قرار مجلس مركز اللاجئ أمام سلطة مراجعة أوضاع اللاجئين ولكن طعنها رُفض في 3 </w:t>
      </w:r>
      <w:r w:rsidRPr="00693481">
        <w:rPr>
          <w:rFonts w:hint="cs"/>
          <w:sz w:val="30"/>
          <w:rtl/>
        </w:rPr>
        <w:t xml:space="preserve">نيسان/أبريل </w:t>
      </w:r>
      <w:r>
        <w:rPr>
          <w:rFonts w:hint="cs"/>
          <w:rtl/>
        </w:rPr>
        <w:t xml:space="preserve">1998. وفي 16 </w:t>
      </w:r>
      <w:r w:rsidRPr="00E42693">
        <w:rPr>
          <w:rFonts w:hint="cs"/>
          <w:sz w:val="30"/>
          <w:rtl/>
        </w:rPr>
        <w:t xml:space="preserve">تشرين الثاني/نوفمبر </w:t>
      </w:r>
      <w:r>
        <w:rPr>
          <w:rFonts w:hint="cs"/>
          <w:rtl/>
        </w:rPr>
        <w:t xml:space="preserve">1998، تم تحديد مكان وجود صاحبة البلاغ وصدر بحقها أمر بالطرد. وفي 22 </w:t>
      </w:r>
      <w:r w:rsidRPr="00A175D2">
        <w:rPr>
          <w:rFonts w:hint="cs"/>
          <w:sz w:val="30"/>
          <w:rtl/>
        </w:rPr>
        <w:t xml:space="preserve">كانون الأول/ديسمبر </w:t>
      </w:r>
      <w:r>
        <w:rPr>
          <w:rFonts w:hint="cs"/>
          <w:rtl/>
        </w:rPr>
        <w:t xml:space="preserve">1998، طعنت في هذا الأمر أمام سلطة مراجعة قرارات الطرد. وفي 13 </w:t>
      </w:r>
      <w:r w:rsidRPr="00A175D2">
        <w:rPr>
          <w:rFonts w:hint="cs"/>
          <w:sz w:val="30"/>
          <w:rtl/>
        </w:rPr>
        <w:t xml:space="preserve">كانون الأول/ديسمبر </w:t>
      </w:r>
      <w:r>
        <w:rPr>
          <w:rFonts w:hint="cs"/>
          <w:rtl/>
        </w:rPr>
        <w:t>1998، قدمت طلباً لكي تعقد سلطة مراجعة أوضاع اللاجئين، مرة أخرى، جلسة استماع لقضيتها بالاستناد إلى وجود سوء فهم بينها وبين محاميها السابقين. وق</w:t>
      </w:r>
      <w:r w:rsidR="00031F1E">
        <w:rPr>
          <w:rFonts w:hint="cs"/>
          <w:rtl/>
        </w:rPr>
        <w:t>ُ</w:t>
      </w:r>
      <w:r>
        <w:rPr>
          <w:rFonts w:hint="cs"/>
          <w:rtl/>
        </w:rPr>
        <w:t xml:space="preserve">بل طلبها وتم النظر في استئنافها في 29 </w:t>
      </w:r>
      <w:r w:rsidRPr="00342B49">
        <w:rPr>
          <w:rFonts w:hint="cs"/>
          <w:sz w:val="30"/>
          <w:rtl/>
        </w:rPr>
        <w:t xml:space="preserve">آذار/مارس </w:t>
      </w:r>
      <w:r>
        <w:rPr>
          <w:rFonts w:hint="cs"/>
          <w:rtl/>
        </w:rPr>
        <w:t xml:space="preserve">1999. وفي 17 </w:t>
      </w:r>
      <w:r w:rsidRPr="00342B49">
        <w:rPr>
          <w:rFonts w:hint="cs"/>
          <w:sz w:val="30"/>
          <w:rtl/>
        </w:rPr>
        <w:t xml:space="preserve">حزيران/يونيه </w:t>
      </w:r>
      <w:r>
        <w:rPr>
          <w:rFonts w:hint="cs"/>
          <w:rtl/>
        </w:rPr>
        <w:t>1999، رفضت سلطة مراجعة أوضاع اللاجئين استئنافها.</w:t>
      </w:r>
    </w:p>
    <w:p w:rsidR="00BC23FF" w:rsidRDefault="00BC23FF" w:rsidP="00BC23FF">
      <w:pPr>
        <w:pStyle w:val="SingleTxtGA"/>
        <w:rPr>
          <w:rFonts w:hint="cs"/>
          <w:rtl/>
        </w:rPr>
      </w:pPr>
      <w:r>
        <w:rPr>
          <w:rFonts w:hint="cs"/>
          <w:rtl/>
        </w:rPr>
        <w:t>2-3</w:t>
      </w:r>
      <w:r>
        <w:rPr>
          <w:rFonts w:hint="cs"/>
          <w:rtl/>
        </w:rPr>
        <w:tab/>
        <w:t xml:space="preserve">وفي 2 </w:t>
      </w:r>
      <w:r w:rsidRPr="00A133C0">
        <w:rPr>
          <w:rFonts w:hint="cs"/>
          <w:sz w:val="30"/>
          <w:rtl/>
        </w:rPr>
        <w:t xml:space="preserve">آب/أغسطس </w:t>
      </w:r>
      <w:r>
        <w:rPr>
          <w:rFonts w:hint="cs"/>
          <w:rtl/>
        </w:rPr>
        <w:t xml:space="preserve">2000، أصدرت سلطة مراجعة قرارات الطرد قرارها المتعلق باستئناف صاحبة البلاغ، في 22 </w:t>
      </w:r>
      <w:r w:rsidRPr="00A133C0">
        <w:rPr>
          <w:rFonts w:hint="cs"/>
          <w:sz w:val="30"/>
          <w:rtl/>
        </w:rPr>
        <w:t xml:space="preserve">كانون الأول/ديسمبر </w:t>
      </w:r>
      <w:r>
        <w:rPr>
          <w:rFonts w:hint="cs"/>
          <w:rtl/>
        </w:rPr>
        <w:t xml:space="preserve">1998. وفي ذلك الوقت، كانت صاحبة البلاغ حاملاً. وبما أن صاحبة البلاغ كانت قد أُجبرت على الإجهاض مرتين عندما كانت مقيمة في الصين، فإن سلطة مراجعة قرارات الطرد رأت وجود ظروف استثنائية ذات طبيعة إنسانية تجعل من "عودتها إلى الصين وهي حامل أمراً غير عادل أو شاق بدون سبب". وأمرت سلطة مراجعة قرارات الطرد بإلغاء أمر طردها ورأت أنه ينبغي السماح لصاحبة </w:t>
      </w:r>
      <w:r w:rsidRPr="00BC23FF">
        <w:rPr>
          <w:rFonts w:hint="cs"/>
          <w:spacing w:val="-2"/>
          <w:rtl/>
        </w:rPr>
        <w:t xml:space="preserve">البلاغ البقاء في نيوزيلندا حتى موعد الولادة واستعادة صحتها بالكامل، ومنحت صاحبة البلاغ ترخيصاً كزائرة سارياً حتى 28 </w:t>
      </w:r>
      <w:r w:rsidRPr="00BC23FF">
        <w:rPr>
          <w:rFonts w:hint="cs"/>
          <w:spacing w:val="-2"/>
          <w:sz w:val="30"/>
          <w:rtl/>
        </w:rPr>
        <w:t xml:space="preserve">شباط/فبراير </w:t>
      </w:r>
      <w:r w:rsidRPr="00BC23FF">
        <w:rPr>
          <w:rFonts w:hint="cs"/>
          <w:spacing w:val="-2"/>
          <w:rtl/>
        </w:rPr>
        <w:t xml:space="preserve">2001. وفي </w:t>
      </w:r>
      <w:r w:rsidRPr="00BC23FF">
        <w:rPr>
          <w:rFonts w:hint="cs"/>
          <w:spacing w:val="-2"/>
          <w:sz w:val="30"/>
          <w:rtl/>
        </w:rPr>
        <w:t>تشرين الثاني/نوفمبر</w:t>
      </w:r>
      <w:r w:rsidRPr="00705A05">
        <w:rPr>
          <w:rFonts w:hint="cs"/>
          <w:sz w:val="30"/>
          <w:rtl/>
        </w:rPr>
        <w:t xml:space="preserve"> </w:t>
      </w:r>
      <w:r>
        <w:rPr>
          <w:rFonts w:hint="cs"/>
          <w:rtl/>
        </w:rPr>
        <w:t>2000، تزوجت صاحبة البلاغ من عشيرها وولد ابنهما في نيوزلندا وبذلك حصل على الجنسية النيوزيلندية.</w:t>
      </w:r>
    </w:p>
    <w:p w:rsidR="00BC23FF" w:rsidRPr="00D932BC" w:rsidRDefault="00BC23FF" w:rsidP="00BC23FF">
      <w:pPr>
        <w:pStyle w:val="SingleTxtGA"/>
        <w:rPr>
          <w:rFonts w:hint="cs"/>
          <w:sz w:val="30"/>
          <w:rtl/>
        </w:rPr>
      </w:pPr>
      <w:r>
        <w:rPr>
          <w:rFonts w:hint="cs"/>
          <w:rtl/>
        </w:rPr>
        <w:t>2-4</w:t>
      </w:r>
      <w:r>
        <w:rPr>
          <w:rFonts w:hint="cs"/>
          <w:rtl/>
        </w:rPr>
        <w:tab/>
        <w:t xml:space="preserve">وفي 17 </w:t>
      </w:r>
      <w:r w:rsidRPr="0050144C">
        <w:rPr>
          <w:rFonts w:hint="cs"/>
          <w:sz w:val="30"/>
          <w:rtl/>
        </w:rPr>
        <w:t xml:space="preserve">نيسان/أبريل </w:t>
      </w:r>
      <w:r>
        <w:rPr>
          <w:rFonts w:hint="cs"/>
          <w:rtl/>
        </w:rPr>
        <w:t xml:space="preserve">2001، كُتبت رسالة بالنيابة عن صاحبة البلاغ إلى وزيرة الهجرة لالتماس الحصول على ترخيص خاص لتقديم طلب بالإقامة في إطار الفئة الإنسانية. وفي 29 </w:t>
      </w:r>
      <w:r w:rsidRPr="008F650A">
        <w:rPr>
          <w:rFonts w:hint="cs"/>
          <w:sz w:val="30"/>
          <w:rtl/>
        </w:rPr>
        <w:t xml:space="preserve">أيار/مايو </w:t>
      </w:r>
      <w:r>
        <w:rPr>
          <w:rFonts w:hint="cs"/>
          <w:rtl/>
        </w:rPr>
        <w:t xml:space="preserve">2001، أجابت الوزيرة بأنها غير مستعدة للتدخل للموافقة على طلب الحصول على الإقامة. وفي 1 </w:t>
      </w:r>
      <w:r w:rsidRPr="008F650A">
        <w:rPr>
          <w:rFonts w:hint="cs"/>
          <w:sz w:val="30"/>
          <w:rtl/>
        </w:rPr>
        <w:t xml:space="preserve">تموز/يوليه </w:t>
      </w:r>
      <w:r>
        <w:rPr>
          <w:rFonts w:hint="cs"/>
          <w:rtl/>
        </w:rPr>
        <w:t xml:space="preserve">2001، انتهت مدة سريان ترخيص الإقامة المؤقتة بالنسبة لها ولزوجها آنذاك. وفي 2 </w:t>
      </w:r>
      <w:r w:rsidRPr="00116900">
        <w:rPr>
          <w:rFonts w:hint="cs"/>
          <w:sz w:val="30"/>
          <w:rtl/>
        </w:rPr>
        <w:t xml:space="preserve">تشرين الأول/أكتوبر </w:t>
      </w:r>
      <w:r>
        <w:rPr>
          <w:rFonts w:hint="cs"/>
          <w:rtl/>
        </w:rPr>
        <w:t xml:space="preserve">2001، قدمت صاحبة البلاغ طلباً آخر للحصول على مركز اللاجئ. وأجريت معها مقابلة في 14 </w:t>
      </w:r>
      <w:r w:rsidRPr="00116900">
        <w:rPr>
          <w:rFonts w:hint="cs"/>
          <w:sz w:val="30"/>
          <w:rtl/>
        </w:rPr>
        <w:t>كانون الأول/</w:t>
      </w:r>
      <w:r>
        <w:rPr>
          <w:rFonts w:hint="cs"/>
          <w:sz w:val="30"/>
          <w:rtl/>
        </w:rPr>
        <w:t xml:space="preserve">    </w:t>
      </w:r>
      <w:r w:rsidRPr="00116900">
        <w:rPr>
          <w:rFonts w:hint="cs"/>
          <w:sz w:val="30"/>
          <w:rtl/>
        </w:rPr>
        <w:t xml:space="preserve">ديسمبر </w:t>
      </w:r>
      <w:r>
        <w:rPr>
          <w:rFonts w:hint="cs"/>
          <w:rtl/>
        </w:rPr>
        <w:t xml:space="preserve">2001. ورفض مجلس مركز اللاجئ طلبها في 18 </w:t>
      </w:r>
      <w:r w:rsidRPr="00DD51BE">
        <w:rPr>
          <w:rFonts w:hint="cs"/>
          <w:sz w:val="30"/>
          <w:rtl/>
        </w:rPr>
        <w:t xml:space="preserve">شباط/فبراير </w:t>
      </w:r>
      <w:r>
        <w:rPr>
          <w:rFonts w:hint="cs"/>
          <w:rtl/>
        </w:rPr>
        <w:t xml:space="preserve">2002. وفي 25 </w:t>
      </w:r>
      <w:r w:rsidRPr="00DD51BE">
        <w:rPr>
          <w:rFonts w:hint="cs"/>
          <w:sz w:val="30"/>
          <w:rtl/>
        </w:rPr>
        <w:t xml:space="preserve">شباط/فبراير </w:t>
      </w:r>
      <w:r>
        <w:rPr>
          <w:rFonts w:hint="cs"/>
          <w:rtl/>
        </w:rPr>
        <w:t xml:space="preserve">2002، طعنت صاحبة البلاغ في قرار مجلس مركز اللاجئ أمام سلطة مراجعة أوضاع اللاجئين. وسُحِبَ هذا الاستئناف في 3 </w:t>
      </w:r>
      <w:r w:rsidRPr="005823B3">
        <w:rPr>
          <w:rFonts w:hint="cs"/>
          <w:sz w:val="30"/>
          <w:rtl/>
        </w:rPr>
        <w:t xml:space="preserve">كانون الأول/ديسمبر </w:t>
      </w:r>
      <w:r>
        <w:rPr>
          <w:rFonts w:hint="cs"/>
          <w:rtl/>
        </w:rPr>
        <w:t>2002</w:t>
      </w:r>
      <w:r w:rsidRPr="00D932BC">
        <w:rPr>
          <w:sz w:val="30"/>
          <w:vertAlign w:val="superscript"/>
          <w:rtl/>
        </w:rPr>
        <w:t>(</w:t>
      </w:r>
      <w:r w:rsidRPr="00D932BC">
        <w:rPr>
          <w:rStyle w:val="FootnoteReference"/>
          <w:sz w:val="30"/>
          <w:szCs w:val="30"/>
          <w:rtl/>
        </w:rPr>
        <w:footnoteReference w:id="4"/>
      </w:r>
      <w:r w:rsidRPr="00D932BC">
        <w:rPr>
          <w:sz w:val="30"/>
          <w:vertAlign w:val="superscript"/>
          <w:rtl/>
        </w:rPr>
        <w:t>)</w:t>
      </w:r>
      <w:r w:rsidRPr="00D932BC">
        <w:rPr>
          <w:rFonts w:hint="cs"/>
          <w:sz w:val="30"/>
          <w:rtl/>
        </w:rPr>
        <w:t>. وكانت صاحبة البلاغ قد رفعت أيضاً دعوى استئناف إلى سلطة مراجعة قرارات الطرد في 10 آب/أغسطس 2001. ورفضت سلطة مراجعة قرارات الطرد هذا الاستئناف في 27 حزيران/يونيه 2003. وقُدمت عرائض أخرى إلى نائب وزيرة الهجرة. وفي 15 حزيران/يونيه 2004، أعلن نائب الوزيرة بأنه غير مستعد للتدخل.</w:t>
      </w:r>
    </w:p>
    <w:p w:rsidR="00BC23FF" w:rsidRDefault="00BC23FF" w:rsidP="00D932BC">
      <w:pPr>
        <w:pStyle w:val="SingleTxtGA"/>
        <w:rPr>
          <w:rFonts w:hint="cs"/>
          <w:rtl/>
        </w:rPr>
      </w:pPr>
      <w:r>
        <w:rPr>
          <w:rFonts w:hint="cs"/>
          <w:rtl/>
        </w:rPr>
        <w:t>2-5</w:t>
      </w:r>
      <w:r>
        <w:rPr>
          <w:rFonts w:hint="cs"/>
          <w:rtl/>
        </w:rPr>
        <w:tab/>
        <w:t xml:space="preserve">وتم تطبيق أوامر الطرد بشأن صاحبة البلاغ وزوجها في 19 </w:t>
      </w:r>
      <w:r w:rsidRPr="00452EB5">
        <w:rPr>
          <w:rFonts w:hint="cs"/>
          <w:sz w:val="30"/>
          <w:rtl/>
        </w:rPr>
        <w:t xml:space="preserve">أيلول/سبتمبر </w:t>
      </w:r>
      <w:r>
        <w:rPr>
          <w:rFonts w:hint="cs"/>
          <w:rtl/>
        </w:rPr>
        <w:t xml:space="preserve">2005 وفي 12 </w:t>
      </w:r>
      <w:r w:rsidRPr="00452EB5">
        <w:rPr>
          <w:rFonts w:hint="cs"/>
          <w:sz w:val="30"/>
          <w:rtl/>
        </w:rPr>
        <w:t xml:space="preserve">أيلول/سبتمبر </w:t>
      </w:r>
      <w:r>
        <w:rPr>
          <w:rFonts w:hint="cs"/>
          <w:sz w:val="30"/>
          <w:rtl/>
        </w:rPr>
        <w:t xml:space="preserve">2005 على التوالي. وطُرد زوجها من نيوزيلندا وهو الآن في الصين. أما صاحبة البلاغ </w:t>
      </w:r>
      <w:r w:rsidR="00D932BC">
        <w:rPr>
          <w:rFonts w:hint="cs"/>
          <w:sz w:val="30"/>
          <w:rtl/>
        </w:rPr>
        <w:t>ف</w:t>
      </w:r>
      <w:r>
        <w:rPr>
          <w:rFonts w:hint="cs"/>
          <w:sz w:val="30"/>
          <w:rtl/>
        </w:rPr>
        <w:t>لا تزال تعيش في نيوزيلندا. وقد تم النظر في الطلب المقدَّم إلى المحكمة العليا لإجراء مراجعة قضائية لقرار طرد صاحبة البلاغ وحكم قاضي المحكمة</w:t>
      </w:r>
      <w:r>
        <w:rPr>
          <w:sz w:val="30"/>
          <w:vertAlign w:val="superscript"/>
          <w:rtl/>
        </w:rPr>
        <w:t>(</w:t>
      </w:r>
      <w:r>
        <w:rPr>
          <w:rStyle w:val="FootnoteReference"/>
          <w:rtl/>
        </w:rPr>
        <w:footnoteReference w:id="5"/>
      </w:r>
      <w:r>
        <w:rPr>
          <w:sz w:val="30"/>
          <w:vertAlign w:val="superscript"/>
          <w:rtl/>
        </w:rPr>
        <w:t>)</w:t>
      </w:r>
      <w:r>
        <w:rPr>
          <w:sz w:val="30"/>
          <w:rtl/>
        </w:rPr>
        <w:t xml:space="preserve"> </w:t>
      </w:r>
      <w:r>
        <w:rPr>
          <w:rFonts w:hint="cs"/>
          <w:rtl/>
        </w:rPr>
        <w:t xml:space="preserve">بأن قرارات </w:t>
      </w:r>
      <w:r w:rsidRPr="00AC1914">
        <w:rPr>
          <w:rFonts w:hint="cs"/>
          <w:spacing w:val="-4"/>
          <w:rtl/>
        </w:rPr>
        <w:t>طرد صاحبة البلاغ هي قرارات معقولة من ناحية القانون الإداري. ولم تكن طلبات الأوامر المؤقت</w:t>
      </w:r>
      <w:r w:rsidR="00D932BC" w:rsidRPr="00AC1914">
        <w:rPr>
          <w:rFonts w:hint="cs"/>
          <w:spacing w:val="-4"/>
          <w:rtl/>
        </w:rPr>
        <w:t>ة</w:t>
      </w:r>
      <w:r w:rsidRPr="00AC1914">
        <w:rPr>
          <w:rFonts w:hint="cs"/>
          <w:spacing w:val="-4"/>
          <w:rtl/>
        </w:rPr>
        <w:t xml:space="preserve">، وكذلك الطعون التي قدمتها فيما بعد صاحبة البلاغ، </w:t>
      </w:r>
      <w:r w:rsidR="00D932BC" w:rsidRPr="00AC1914">
        <w:rPr>
          <w:rFonts w:hint="cs"/>
          <w:spacing w:val="-4"/>
          <w:rtl/>
        </w:rPr>
        <w:t>موفَّقة</w:t>
      </w:r>
      <w:r w:rsidRPr="00AC1914">
        <w:rPr>
          <w:spacing w:val="-4"/>
          <w:vertAlign w:val="superscript"/>
          <w:rtl/>
        </w:rPr>
        <w:t>(</w:t>
      </w:r>
      <w:r w:rsidRPr="00AC1914">
        <w:rPr>
          <w:rStyle w:val="FootnoteReference"/>
          <w:spacing w:val="-4"/>
          <w:rtl/>
        </w:rPr>
        <w:footnoteReference w:id="6"/>
      </w:r>
      <w:r w:rsidRPr="00AC1914">
        <w:rPr>
          <w:spacing w:val="-4"/>
          <w:vertAlign w:val="superscript"/>
          <w:rtl/>
        </w:rPr>
        <w:t>)</w:t>
      </w:r>
      <w:r w:rsidRPr="00AC1914">
        <w:rPr>
          <w:rFonts w:hint="cs"/>
          <w:spacing w:val="-4"/>
          <w:rtl/>
        </w:rPr>
        <w:t>. وفي آذار/مارس</w:t>
      </w:r>
      <w:r>
        <w:rPr>
          <w:rFonts w:hint="cs"/>
          <w:rtl/>
        </w:rPr>
        <w:t xml:space="preserve"> 2010 طلقت صاحبة البلاغ زوجها. وفي تشرين الثاني/نوفمبر 2011 تزوجت من مواطن نيوزيلندي.</w:t>
      </w:r>
    </w:p>
    <w:p w:rsidR="00BC23FF" w:rsidRDefault="00BC23FF" w:rsidP="00AC1914">
      <w:pPr>
        <w:pStyle w:val="H23GA"/>
        <w:rPr>
          <w:rFonts w:hint="cs"/>
          <w:rtl/>
        </w:rPr>
      </w:pPr>
      <w:r>
        <w:rPr>
          <w:rFonts w:hint="cs"/>
          <w:rtl/>
        </w:rPr>
        <w:tab/>
      </w:r>
      <w:r>
        <w:rPr>
          <w:rFonts w:hint="cs"/>
          <w:rtl/>
        </w:rPr>
        <w:tab/>
        <w:t>الشكوى</w:t>
      </w:r>
    </w:p>
    <w:p w:rsidR="00BC23FF" w:rsidRDefault="00BC23FF" w:rsidP="00D932BC">
      <w:pPr>
        <w:pStyle w:val="SingleTxtGA"/>
        <w:rPr>
          <w:rFonts w:hint="cs"/>
          <w:rtl/>
        </w:rPr>
      </w:pPr>
      <w:r>
        <w:rPr>
          <w:rFonts w:hint="cs"/>
          <w:rtl/>
        </w:rPr>
        <w:t>3-1</w:t>
      </w:r>
      <w:r>
        <w:rPr>
          <w:rFonts w:hint="cs"/>
          <w:rtl/>
        </w:rPr>
        <w:tab/>
        <w:t>تعتبر صاحبة البلاغ أن كونها أم</w:t>
      </w:r>
      <w:r w:rsidR="00D932BC">
        <w:rPr>
          <w:rFonts w:hint="cs"/>
          <w:rtl/>
        </w:rPr>
        <w:t>ا</w:t>
      </w:r>
      <w:r>
        <w:rPr>
          <w:rFonts w:hint="cs"/>
          <w:rtl/>
        </w:rPr>
        <w:t xml:space="preserve"> لطفل يحمل الجنسية النيوزيلندية وكونها متزوجة من مواطن نيوزيلندي حالياً، </w:t>
      </w:r>
      <w:r w:rsidR="00D932BC">
        <w:rPr>
          <w:rFonts w:hint="cs"/>
          <w:rtl/>
        </w:rPr>
        <w:t xml:space="preserve">يجعلان بقاءها </w:t>
      </w:r>
      <w:r>
        <w:rPr>
          <w:rFonts w:hint="cs"/>
          <w:rtl/>
        </w:rPr>
        <w:t>في نيوزيلندا من المصلحة الفضلى للأسرة الموسعة. وترى أن طردها إلى الصين يعني انتهاك الدولة الطرف لحقوقها وكذلك حقوق طفلها بموجب المواد 14 و17 و23 و24 والفقرة 3 من المادة 2 من العهد.</w:t>
      </w:r>
    </w:p>
    <w:p w:rsidR="00BC23FF" w:rsidRDefault="00BC23FF" w:rsidP="00D932BC">
      <w:pPr>
        <w:pStyle w:val="SingleTxtGA"/>
        <w:rPr>
          <w:rFonts w:hint="cs"/>
          <w:rtl/>
        </w:rPr>
      </w:pPr>
      <w:r>
        <w:rPr>
          <w:rFonts w:hint="cs"/>
          <w:rtl/>
        </w:rPr>
        <w:t>3-2</w:t>
      </w:r>
      <w:r>
        <w:rPr>
          <w:rFonts w:hint="cs"/>
          <w:rtl/>
        </w:rPr>
        <w:tab/>
        <w:t>وتعتبر صاحبة البلاغ أن طردها سينتهك حق ولدها، الذي هو نيوزيلندي والذي عاش طوال حياته في نيوزيلندا. وتشير بالتحديد إلى أن ابنها لا يستطيع اكتساب الجنسية الصينية دون أن يتنازل عن جنسيته النيوزي</w:t>
      </w:r>
      <w:r w:rsidR="00D932BC">
        <w:rPr>
          <w:rFonts w:hint="cs"/>
          <w:rtl/>
        </w:rPr>
        <w:t xml:space="preserve">لندية. وفضلاً عن ذلك، فإنه ليس </w:t>
      </w:r>
      <w:r>
        <w:rPr>
          <w:rFonts w:hint="cs"/>
          <w:rtl/>
        </w:rPr>
        <w:t xml:space="preserve">طفل صاحبة البلاغ </w:t>
      </w:r>
      <w:r w:rsidR="00D932BC">
        <w:rPr>
          <w:rFonts w:hint="cs"/>
          <w:rtl/>
        </w:rPr>
        <w:t>الأول ولذلك فإنه يعتبر "طفلاً أسود</w:t>
      </w:r>
      <w:r>
        <w:rPr>
          <w:rFonts w:hint="cs"/>
          <w:rtl/>
        </w:rPr>
        <w:t xml:space="preserve">" في الصين. لذلك لا يمكن تسجيله كفرد من أفراد أسرتها، وفي حالة عودته إلى الصين، فإنه لن يحصل على الرعاية الصحية </w:t>
      </w:r>
      <w:r w:rsidR="00D932BC">
        <w:rPr>
          <w:rFonts w:hint="cs"/>
          <w:rtl/>
        </w:rPr>
        <w:t>أ</w:t>
      </w:r>
      <w:r>
        <w:rPr>
          <w:rFonts w:hint="cs"/>
          <w:rtl/>
        </w:rPr>
        <w:t>و</w:t>
      </w:r>
      <w:r w:rsidR="00D932BC">
        <w:rPr>
          <w:rFonts w:hint="cs"/>
          <w:rtl/>
        </w:rPr>
        <w:t xml:space="preserve"> </w:t>
      </w:r>
      <w:r>
        <w:rPr>
          <w:rFonts w:hint="cs"/>
          <w:rtl/>
        </w:rPr>
        <w:t xml:space="preserve">التعليم أو العمل ما لم تكن صاحبة البلاغ قادرة على دفع غرامة بمبلغ كبير عقاباً على انتهاك لائحة </w:t>
      </w:r>
      <w:r w:rsidR="00D932BC">
        <w:rPr>
          <w:rFonts w:hint="cs"/>
          <w:rtl/>
        </w:rPr>
        <w:t xml:space="preserve">تنظيم </w:t>
      </w:r>
      <w:r>
        <w:rPr>
          <w:rFonts w:hint="cs"/>
          <w:rtl/>
        </w:rPr>
        <w:t>الأسرة. وتدعي صاحبة البلاغ أيضاً أن ولدها مصاب بالربو منذ ولادته، وهو بحاجة إلى تلقي العلاج بواسطة جهاز الاستنشاق بانتظام، وأن صحته ستتأثر في حال عودته إلى الصين بسبب التلوث والرطوبة.</w:t>
      </w:r>
    </w:p>
    <w:p w:rsidR="00BC23FF" w:rsidRDefault="00BC23FF" w:rsidP="00497F4B">
      <w:pPr>
        <w:pStyle w:val="SingleTxtGA"/>
        <w:rPr>
          <w:rFonts w:hint="cs"/>
          <w:rtl/>
        </w:rPr>
      </w:pPr>
      <w:r>
        <w:rPr>
          <w:rFonts w:hint="cs"/>
          <w:rtl/>
        </w:rPr>
        <w:t>3-3</w:t>
      </w:r>
      <w:r>
        <w:rPr>
          <w:rFonts w:hint="cs"/>
          <w:rtl/>
        </w:rPr>
        <w:tab/>
        <w:t xml:space="preserve">وتشير صاحبة البلاغ إلى الاجتهاد الصادر عن اللجنة، وترى أن ظروف قضيتها تقع ضمن "ظروف استثنائية" مشابهة لقضية </w:t>
      </w:r>
      <w:r w:rsidR="00D932BC">
        <w:rPr>
          <w:rFonts w:hint="cs"/>
          <w:rtl/>
        </w:rPr>
        <w:t>و</w:t>
      </w:r>
      <w:r>
        <w:rPr>
          <w:rFonts w:hint="cs"/>
          <w:i/>
          <w:iCs/>
          <w:rtl/>
        </w:rPr>
        <w:t>يناتا ضد أستراليا</w:t>
      </w:r>
      <w:r w:rsidRPr="00326391">
        <w:rPr>
          <w:vertAlign w:val="superscript"/>
          <w:rtl/>
        </w:rPr>
        <w:t>(</w:t>
      </w:r>
      <w:r w:rsidRPr="00326391">
        <w:rPr>
          <w:rStyle w:val="FootnoteReference"/>
          <w:rtl/>
        </w:rPr>
        <w:footnoteReference w:id="7"/>
      </w:r>
      <w:r w:rsidRPr="00326391">
        <w:rPr>
          <w:vertAlign w:val="superscript"/>
          <w:rtl/>
        </w:rPr>
        <w:t>)</w:t>
      </w:r>
      <w:r w:rsidR="00997BC1">
        <w:rPr>
          <w:rFonts w:hint="cs"/>
          <w:rtl/>
        </w:rPr>
        <w:t xml:space="preserve"> </w:t>
      </w:r>
      <w:r>
        <w:rPr>
          <w:rFonts w:hint="cs"/>
          <w:rtl/>
        </w:rPr>
        <w:t xml:space="preserve">حيث </w:t>
      </w:r>
      <w:r>
        <w:rPr>
          <w:rFonts w:hint="cs"/>
          <w:rtl/>
          <w:lang w:val="fr-CH"/>
        </w:rPr>
        <w:t>اعتبرت اللجنة أن رفض الدولة الطرف السم</w:t>
      </w:r>
      <w:r w:rsidR="00D932BC">
        <w:rPr>
          <w:rFonts w:hint="cs"/>
          <w:rtl/>
          <w:lang w:val="fr-CH"/>
        </w:rPr>
        <w:t xml:space="preserve">اح لأحد أفراد الأسرة بالبقاء على ترابها </w:t>
      </w:r>
      <w:r>
        <w:rPr>
          <w:rFonts w:hint="cs"/>
          <w:rtl/>
          <w:lang w:val="fr-CH"/>
        </w:rPr>
        <w:t>يمكن أن يرقى إلى مستوى التدخل في الحياة الأسرية للشخص</w:t>
      </w:r>
      <w:r w:rsidR="00997BC1">
        <w:rPr>
          <w:rFonts w:hint="cs"/>
          <w:rtl/>
        </w:rPr>
        <w:t xml:space="preserve">. </w:t>
      </w:r>
      <w:r>
        <w:rPr>
          <w:rFonts w:hint="cs"/>
          <w:rtl/>
        </w:rPr>
        <w:t>وفي الحالة الراهنة، كان ابنها يبلغ من العمر 12 عاماً وقت تقديم الشكوى، وإنه لم يعرف إلا نيوزيلندا بلداً له. وترى صاحبة البلاغ إنه في حال نفذت الدولة الطرف قرار الترحيل، فإن ذلك يعني أن كلا الوالدين الطبيعيين ل</w:t>
      </w:r>
      <w:r w:rsidR="00497F4B">
        <w:rPr>
          <w:rFonts w:hint="cs"/>
          <w:rtl/>
        </w:rPr>
        <w:t>ا</w:t>
      </w:r>
      <w:r>
        <w:rPr>
          <w:rFonts w:hint="cs"/>
          <w:rtl/>
        </w:rPr>
        <w:t xml:space="preserve">بنها يكونان في الصين وتصبح الأسرة مضطرة إلى الاختيار بين مغادرة صاحبة البلاغ نيوزيلندا وترك </w:t>
      </w:r>
      <w:r w:rsidR="00031F1E">
        <w:rPr>
          <w:rFonts w:hint="cs"/>
          <w:rtl/>
        </w:rPr>
        <w:t>ا</w:t>
      </w:r>
      <w:r>
        <w:rPr>
          <w:rFonts w:hint="cs"/>
          <w:rtl/>
        </w:rPr>
        <w:t>بنها فيها دون أمه، أو ذهابه معها إلى الصين وهو مكان لم يكن قد شاهده مطلقاً من قبل. لذلك فإن صاحبة البلاغ ترى أن قرار الدولة الطرف بترحيلها يشكل "تدخلاً" في حياتها الأسرية. وفضلاً عن ذلك، وبما أنه تم طرد والد ابنها الطبيعي و</w:t>
      </w:r>
      <w:r w:rsidR="00D932BC">
        <w:rPr>
          <w:rFonts w:hint="cs"/>
          <w:rtl/>
        </w:rPr>
        <w:t>ف</w:t>
      </w:r>
      <w:r>
        <w:rPr>
          <w:rFonts w:hint="cs"/>
          <w:rtl/>
        </w:rPr>
        <w:t xml:space="preserve">رض حظر على دخوله إلى نيوزيلندا لمدة </w:t>
      </w:r>
      <w:r w:rsidR="00D932BC">
        <w:rPr>
          <w:rFonts w:hint="cs"/>
          <w:rtl/>
        </w:rPr>
        <w:t xml:space="preserve">خمس </w:t>
      </w:r>
      <w:r>
        <w:rPr>
          <w:rFonts w:hint="cs"/>
          <w:rtl/>
        </w:rPr>
        <w:t>سنوات، فإن صاحبة البلاغ ترى أن هناك احتمال</w:t>
      </w:r>
      <w:r w:rsidR="00D932BC">
        <w:rPr>
          <w:rFonts w:hint="cs"/>
          <w:rtl/>
        </w:rPr>
        <w:t xml:space="preserve">اً كبيراً لتعرضها </w:t>
      </w:r>
      <w:r>
        <w:rPr>
          <w:rFonts w:hint="cs"/>
          <w:rtl/>
        </w:rPr>
        <w:t xml:space="preserve">لمعاملة مشابهة. وفي هذا الصدد، تشير صاحبة البلاغ إلى الاجتهاد الصادر عن اللجنة في حالة </w:t>
      </w:r>
      <w:r>
        <w:rPr>
          <w:rFonts w:hint="cs"/>
          <w:i/>
          <w:iCs/>
          <w:rtl/>
        </w:rPr>
        <w:t>سعيد ضد نيوزيلندا</w:t>
      </w:r>
      <w:r>
        <w:rPr>
          <w:vertAlign w:val="superscript"/>
          <w:rtl/>
        </w:rPr>
        <w:t>(</w:t>
      </w:r>
      <w:r>
        <w:rPr>
          <w:rStyle w:val="FootnoteReference"/>
          <w:rtl/>
        </w:rPr>
        <w:footnoteReference w:id="8"/>
      </w:r>
      <w:r>
        <w:rPr>
          <w:vertAlign w:val="superscript"/>
          <w:rtl/>
        </w:rPr>
        <w:t>)</w:t>
      </w:r>
      <w:r w:rsidR="00D932BC">
        <w:rPr>
          <w:rFonts w:hint="cs"/>
          <w:rtl/>
        </w:rPr>
        <w:t>: وفي هذه القضي</w:t>
      </w:r>
      <w:r>
        <w:rPr>
          <w:rFonts w:hint="cs"/>
          <w:rtl/>
        </w:rPr>
        <w:t xml:space="preserve">ة، تم رفض الشكوى "لأن إبعاد صاحب البلاغ </w:t>
      </w:r>
      <w:r w:rsidR="00D932BC">
        <w:rPr>
          <w:rFonts w:hint="cs"/>
          <w:rtl/>
        </w:rPr>
        <w:t xml:space="preserve">كان </w:t>
      </w:r>
      <w:r>
        <w:rPr>
          <w:rFonts w:hint="cs"/>
          <w:rtl/>
        </w:rPr>
        <w:t>يعني ترك الحفيد مع أمه وزوجها في نيوزلندا". وتدعي صاحبة البلاغ أن ابنها لا يملك أقارب من الدرجة الأولى في نيوزيلندا، وأن فصل ابنها عن كلا والديه الطبيعيين يرقى إلى انتهاك صارخ لأحكام المادتين 17 و23 من العهد بالنسبة لصاحبة البلاغ و</w:t>
      </w:r>
      <w:r w:rsidR="00497F4B">
        <w:rPr>
          <w:rFonts w:hint="cs"/>
          <w:rtl/>
        </w:rPr>
        <w:t>ا</w:t>
      </w:r>
      <w:r>
        <w:rPr>
          <w:rFonts w:hint="cs"/>
          <w:rtl/>
        </w:rPr>
        <w:t>بنها وللمادة 24 بالنسبة ل</w:t>
      </w:r>
      <w:r w:rsidR="00497F4B">
        <w:rPr>
          <w:rFonts w:hint="cs"/>
          <w:rtl/>
        </w:rPr>
        <w:t>ا</w:t>
      </w:r>
      <w:r>
        <w:rPr>
          <w:rFonts w:hint="cs"/>
          <w:rtl/>
        </w:rPr>
        <w:t>بنها وحده.</w:t>
      </w:r>
    </w:p>
    <w:p w:rsidR="00BC23FF" w:rsidRDefault="00BC23FF" w:rsidP="00D932BC">
      <w:pPr>
        <w:pStyle w:val="SingleTxtGA"/>
        <w:rPr>
          <w:rFonts w:hint="cs"/>
          <w:rtl/>
        </w:rPr>
      </w:pPr>
      <w:r>
        <w:rPr>
          <w:rFonts w:hint="cs"/>
          <w:rtl/>
        </w:rPr>
        <w:t>3-4</w:t>
      </w:r>
      <w:r>
        <w:rPr>
          <w:rFonts w:hint="cs"/>
          <w:rtl/>
        </w:rPr>
        <w:tab/>
        <w:t xml:space="preserve">وفيما يتعلق بادعاءاتها بموجب المادتين 2 و14، </w:t>
      </w:r>
      <w:r w:rsidR="00D932BC">
        <w:rPr>
          <w:rFonts w:hint="cs"/>
          <w:rtl/>
        </w:rPr>
        <w:t xml:space="preserve">تحتج </w:t>
      </w:r>
      <w:r>
        <w:rPr>
          <w:rFonts w:hint="cs"/>
          <w:rtl/>
        </w:rPr>
        <w:t xml:space="preserve">صاحبة البلاغ </w:t>
      </w:r>
      <w:r w:rsidR="00D932BC">
        <w:rPr>
          <w:rFonts w:hint="cs"/>
          <w:rtl/>
        </w:rPr>
        <w:t>ب</w:t>
      </w:r>
      <w:r>
        <w:rPr>
          <w:rFonts w:hint="cs"/>
          <w:rtl/>
        </w:rPr>
        <w:t>أن الدولة الطرف لم تطبق "الاختبار القانوني الصحيح" خلال عملية التماس اللجوء بالنسبة ل</w:t>
      </w:r>
      <w:r w:rsidR="00D932BC">
        <w:rPr>
          <w:rFonts w:hint="cs"/>
          <w:rtl/>
        </w:rPr>
        <w:t>عشيرها</w:t>
      </w:r>
      <w:r>
        <w:rPr>
          <w:rFonts w:hint="cs"/>
          <w:rtl/>
        </w:rPr>
        <w:t xml:space="preserve">، ولأنه تم رفض </w:t>
      </w:r>
      <w:r w:rsidR="00D932BC">
        <w:rPr>
          <w:rFonts w:hint="cs"/>
          <w:rtl/>
        </w:rPr>
        <w:t xml:space="preserve">الإنصاف </w:t>
      </w:r>
      <w:r>
        <w:rPr>
          <w:rFonts w:hint="cs"/>
          <w:rtl/>
        </w:rPr>
        <w:t>الذي كانت تعتقد أن أسرتها تستحقه، دون</w:t>
      </w:r>
      <w:r w:rsidR="00D932BC">
        <w:rPr>
          <w:rFonts w:hint="cs"/>
          <w:rtl/>
        </w:rPr>
        <w:t xml:space="preserve"> منحها </w:t>
      </w:r>
      <w:r>
        <w:rPr>
          <w:rFonts w:hint="cs"/>
          <w:rtl/>
        </w:rPr>
        <w:t xml:space="preserve">فرصة </w:t>
      </w:r>
      <w:r w:rsidR="00D932BC">
        <w:rPr>
          <w:rFonts w:hint="cs"/>
          <w:rtl/>
        </w:rPr>
        <w:t>ا</w:t>
      </w:r>
      <w:r>
        <w:rPr>
          <w:rFonts w:hint="cs"/>
          <w:rtl/>
        </w:rPr>
        <w:t xml:space="preserve">لاستماع إليها بشأن هذا الموضوع. وتدعي صاحبة البلاغ أيضاً أن المحكمة العليا لم تجر تحليلاً صحيحاً لطلبها </w:t>
      </w:r>
      <w:r w:rsidR="00D932BC">
        <w:rPr>
          <w:rFonts w:hint="cs"/>
          <w:rtl/>
        </w:rPr>
        <w:t xml:space="preserve">الإنصاف </w:t>
      </w:r>
      <w:r>
        <w:rPr>
          <w:rFonts w:hint="cs"/>
          <w:rtl/>
        </w:rPr>
        <w:t>حتى أن المحكمة لم تُعلم مطلقاً محامي صاحبة البلاغ بأنه سيتم اعتماد قرار بشأن هذا الطلب.</w:t>
      </w:r>
    </w:p>
    <w:p w:rsidR="00BC23FF" w:rsidRDefault="00D932BC" w:rsidP="00D932BC">
      <w:pPr>
        <w:pStyle w:val="SingleTxtGA"/>
        <w:rPr>
          <w:rFonts w:hint="cs"/>
          <w:rtl/>
        </w:rPr>
      </w:pPr>
      <w:r>
        <w:rPr>
          <w:rFonts w:hint="cs"/>
          <w:rtl/>
        </w:rPr>
        <w:t>3-5</w:t>
      </w:r>
      <w:r>
        <w:rPr>
          <w:rFonts w:hint="cs"/>
          <w:rtl/>
        </w:rPr>
        <w:tab/>
      </w:r>
      <w:r w:rsidR="00BC23FF">
        <w:rPr>
          <w:rFonts w:hint="cs"/>
          <w:rtl/>
        </w:rPr>
        <w:t>وتدعي صاحبة البلاغ أنها لم تقدم بلاغها قبل ذلك لأنها حاولت باستمرار التماس الجبر على المستوى المحلي، وذلك حتى بعد صدور قرار المحكمة العليا. وقد صدر أمر إب</w:t>
      </w:r>
      <w:r w:rsidR="00031F1E">
        <w:rPr>
          <w:rFonts w:hint="cs"/>
          <w:rtl/>
        </w:rPr>
        <w:t xml:space="preserve">عادها في 19 أيلول/سبتمبر 2005، </w:t>
      </w:r>
      <w:r>
        <w:rPr>
          <w:rFonts w:hint="cs"/>
          <w:rtl/>
        </w:rPr>
        <w:t xml:space="preserve">عملاً بالمادة </w:t>
      </w:r>
      <w:r w:rsidR="00BC23FF">
        <w:rPr>
          <w:rFonts w:hint="cs"/>
          <w:rtl/>
        </w:rPr>
        <w:t>54 من قانون الهجرة لعام 1987، وكان سارياً وقت تقديم الشكوى. وترى صاحبة البلاغ أيضاً أنه على الرغم من تقديم طلب جديد للحصول على ترخيص إقامة بعد زواجها من نيوزيلندي، فإنها تظل معرضة للإبعاد في أي وقت لأن سلطات الهجرة النيوزلندية غير ملزمة بموجب الفقرة 11 من قانون الهجرة لعام</w:t>
      </w:r>
      <w:r>
        <w:rPr>
          <w:rFonts w:hint="eastAsia"/>
          <w:rtl/>
        </w:rPr>
        <w:t> </w:t>
      </w:r>
      <w:r w:rsidR="00BC23FF">
        <w:rPr>
          <w:rFonts w:hint="cs"/>
          <w:rtl/>
        </w:rPr>
        <w:t>2009 بالنظر في أي طلب جديد للحصول على تأشير</w:t>
      </w:r>
      <w:r w:rsidR="00BC23FF">
        <w:rPr>
          <w:rFonts w:hint="eastAsia"/>
          <w:rtl/>
        </w:rPr>
        <w:t>ة</w:t>
      </w:r>
      <w:r w:rsidR="00BC23FF">
        <w:rPr>
          <w:rFonts w:hint="cs"/>
          <w:rtl/>
        </w:rPr>
        <w:t xml:space="preserve"> للبقاء في نيوزيلندا. وفي وقت تقديم الشكوى كانت صاحبة البلاغ مختبئة خوفاً من الإبعاد.ولم تتخذ اللجنة أي إجراء مؤقت مراعاة لهذا الوضع.</w:t>
      </w:r>
    </w:p>
    <w:p w:rsidR="00BC23FF" w:rsidRPr="00AC1914" w:rsidRDefault="00AC1914" w:rsidP="00AC1914">
      <w:pPr>
        <w:pStyle w:val="H23GA"/>
        <w:rPr>
          <w:rFonts w:hint="cs"/>
          <w:rtl/>
        </w:rPr>
      </w:pPr>
      <w:r>
        <w:rPr>
          <w:rFonts w:hint="cs"/>
          <w:rtl/>
        </w:rPr>
        <w:tab/>
      </w:r>
      <w:r>
        <w:rPr>
          <w:rFonts w:hint="cs"/>
          <w:rtl/>
        </w:rPr>
        <w:tab/>
      </w:r>
      <w:r w:rsidR="00BC23FF" w:rsidRPr="00AC1914">
        <w:rPr>
          <w:rFonts w:hint="cs"/>
          <w:rtl/>
        </w:rPr>
        <w:t>ملاحظات الدولة الطرف بشأن مقبولية البلاغ</w:t>
      </w:r>
    </w:p>
    <w:p w:rsidR="00BC23FF" w:rsidRDefault="00BC23FF" w:rsidP="00D932BC">
      <w:pPr>
        <w:pStyle w:val="SingleTxtGA"/>
        <w:rPr>
          <w:rFonts w:hint="cs"/>
          <w:rtl/>
          <w:lang w:val="fr-CH"/>
        </w:rPr>
      </w:pPr>
      <w:r>
        <w:rPr>
          <w:rFonts w:hint="cs"/>
          <w:rtl/>
          <w:lang w:val="fr-CH"/>
        </w:rPr>
        <w:t>4-1</w:t>
      </w:r>
      <w:r>
        <w:rPr>
          <w:rFonts w:hint="cs"/>
          <w:rtl/>
          <w:lang w:val="fr-CH"/>
        </w:rPr>
        <w:tab/>
        <w:t xml:space="preserve">طلبت الدولة الطرف، في رسالة مؤرخة 3 كانون الأول/ديسمبر 2012 من اللجنة أن تعلن عدم مقبولية البلاغ. </w:t>
      </w:r>
    </w:p>
    <w:p w:rsidR="00BC23FF" w:rsidRDefault="00BC23FF" w:rsidP="00D932BC">
      <w:pPr>
        <w:pStyle w:val="SingleTxtGA"/>
        <w:rPr>
          <w:rFonts w:hint="cs"/>
          <w:rtl/>
          <w:lang w:val="fr-CH"/>
        </w:rPr>
      </w:pPr>
      <w:r>
        <w:rPr>
          <w:rFonts w:hint="cs"/>
          <w:rtl/>
          <w:lang w:val="fr-CH"/>
        </w:rPr>
        <w:t>4-2</w:t>
      </w:r>
      <w:r>
        <w:rPr>
          <w:rFonts w:hint="cs"/>
          <w:rtl/>
          <w:lang w:val="fr-CH"/>
        </w:rPr>
        <w:tab/>
        <w:t xml:space="preserve">وتشير الدولة الطرف </w:t>
      </w:r>
      <w:r w:rsidR="00D932BC">
        <w:rPr>
          <w:rFonts w:hint="cs"/>
          <w:rtl/>
          <w:lang w:val="fr-CH"/>
        </w:rPr>
        <w:t xml:space="preserve">إلى </w:t>
      </w:r>
      <w:r>
        <w:rPr>
          <w:rFonts w:hint="cs"/>
          <w:rtl/>
          <w:lang w:val="fr-CH"/>
        </w:rPr>
        <w:t>أنه قبل</w:t>
      </w:r>
      <w:r>
        <w:rPr>
          <w:vertAlign w:val="superscript"/>
          <w:rtl/>
        </w:rPr>
        <w:t>(</w:t>
      </w:r>
      <w:r>
        <w:rPr>
          <w:rStyle w:val="FootnoteReference"/>
          <w:rtl/>
        </w:rPr>
        <w:footnoteReference w:id="9"/>
      </w:r>
      <w:r>
        <w:rPr>
          <w:vertAlign w:val="superscript"/>
          <w:rtl/>
        </w:rPr>
        <w:t>)</w:t>
      </w:r>
      <w:r>
        <w:rPr>
          <w:rFonts w:hint="cs"/>
          <w:rtl/>
          <w:lang w:val="fr-CH"/>
        </w:rPr>
        <w:t xml:space="preserve"> أن تقدم صاحبة البلاغ رسالتها إلى اللجنة المعنية بحقوق الإنسان، نصحتها سلطات الهجرة بتقديم طلب للحصول على تأشيرة عمل. وتدعي أنها قامت بذلك في 6 تشرين الثاني/نوفمبر 2012، ومُنحت تأشيرة عمل في 21 تشرين الثاني/نوفمبر 2012. و</w:t>
      </w:r>
      <w:r w:rsidR="00D932BC">
        <w:rPr>
          <w:rFonts w:hint="cs"/>
          <w:rtl/>
          <w:lang w:val="fr-CH"/>
        </w:rPr>
        <w:t xml:space="preserve">بالتالي </w:t>
      </w:r>
      <w:r>
        <w:rPr>
          <w:rFonts w:hint="cs"/>
          <w:rtl/>
          <w:lang w:val="fr-CH"/>
        </w:rPr>
        <w:t xml:space="preserve">فإن صاحبة البلاغ لم تعد في وضع غير قانوني وهي لا تخضع للطرد من نيوزيلندا. وتشير الدولة الطرف أيضاً </w:t>
      </w:r>
      <w:r w:rsidR="00D932BC">
        <w:rPr>
          <w:rFonts w:hint="cs"/>
          <w:rtl/>
          <w:lang w:val="fr-CH"/>
        </w:rPr>
        <w:t xml:space="preserve">إلى </w:t>
      </w:r>
      <w:r>
        <w:rPr>
          <w:rFonts w:hint="cs"/>
          <w:rtl/>
          <w:lang w:val="fr-CH"/>
        </w:rPr>
        <w:t xml:space="preserve">أن تأشيرة العمل مُنحت لفترة أولية مدتها </w:t>
      </w:r>
      <w:r w:rsidR="00D932BC">
        <w:rPr>
          <w:rFonts w:hint="cs"/>
          <w:rtl/>
          <w:lang w:val="fr-CH"/>
        </w:rPr>
        <w:t xml:space="preserve">سنتان قابلة للتجديد و/أو يمكن </w:t>
      </w:r>
      <w:r w:rsidR="00031F1E">
        <w:rPr>
          <w:rFonts w:hint="cs"/>
          <w:rtl/>
          <w:lang w:val="fr-CH"/>
        </w:rPr>
        <w:t xml:space="preserve">أن </w:t>
      </w:r>
      <w:r w:rsidR="00D932BC">
        <w:rPr>
          <w:rFonts w:hint="cs"/>
          <w:rtl/>
          <w:lang w:val="fr-CH"/>
        </w:rPr>
        <w:t xml:space="preserve">يليها تقديم طلب لاحق </w:t>
      </w:r>
      <w:r>
        <w:rPr>
          <w:rFonts w:hint="cs"/>
          <w:rtl/>
          <w:lang w:val="fr-CH"/>
        </w:rPr>
        <w:t xml:space="preserve">للحصول على ترخيص بالإقامة الدائمة. </w:t>
      </w:r>
    </w:p>
    <w:p w:rsidR="00BC23FF" w:rsidRDefault="00497F4B" w:rsidP="000C6CDC">
      <w:pPr>
        <w:pStyle w:val="SingleTxtGA"/>
        <w:rPr>
          <w:rFonts w:hint="cs"/>
          <w:rtl/>
          <w:lang w:val="fr-CH"/>
        </w:rPr>
      </w:pPr>
      <w:r>
        <w:rPr>
          <w:rFonts w:hint="cs"/>
          <w:rtl/>
          <w:lang w:val="fr-CH"/>
        </w:rPr>
        <w:t>4-3</w:t>
      </w:r>
      <w:r>
        <w:rPr>
          <w:rFonts w:hint="cs"/>
          <w:rtl/>
          <w:lang w:val="fr-CH"/>
        </w:rPr>
        <w:tab/>
        <w:t>أما فيما يتعلق با</w:t>
      </w:r>
      <w:r w:rsidR="00BC23FF">
        <w:rPr>
          <w:rFonts w:hint="cs"/>
          <w:rtl/>
          <w:lang w:val="fr-CH"/>
        </w:rPr>
        <w:t>بن صاحبة البلاغ، فإن الدولة الطرف تعتبر أنه حصل على الجنسية النيوزيلندية منذ ولادته وبالتالي فإنه لا</w:t>
      </w:r>
      <w:r w:rsidR="00BC23FF">
        <w:rPr>
          <w:rFonts w:hint="eastAsia"/>
          <w:rtl/>
          <w:lang w:val="fr-CH"/>
        </w:rPr>
        <w:t xml:space="preserve"> يحتاج إلى ترخيص </w:t>
      </w:r>
      <w:r w:rsidR="00BC23FF">
        <w:rPr>
          <w:rFonts w:hint="cs"/>
          <w:rtl/>
          <w:lang w:val="fr-CH"/>
        </w:rPr>
        <w:t>هجرة للبقاء في البلد. وبما أن البلاغ يتعلق برمته بالحرمان من ترخيص للهجرة و</w:t>
      </w:r>
      <w:r w:rsidR="000C6CDC">
        <w:rPr>
          <w:rFonts w:hint="cs"/>
          <w:rtl/>
          <w:lang w:val="fr-CH"/>
        </w:rPr>
        <w:t>ال</w:t>
      </w:r>
      <w:r w:rsidR="00BC23FF">
        <w:rPr>
          <w:rFonts w:hint="cs"/>
          <w:rtl/>
          <w:lang w:val="fr-CH"/>
        </w:rPr>
        <w:t xml:space="preserve">إجراءات القضائية ذات الصلة، فإن الدولة الطرف تدعي أن هذا الأساس لم يعد قائماًَ، وبالتالي فإن البلاغ غير مقبول بموجب المادة 1 من البروتوكول الاختياري. </w:t>
      </w:r>
    </w:p>
    <w:p w:rsidR="00BC23FF" w:rsidRDefault="00BC23FF" w:rsidP="000C6CDC">
      <w:pPr>
        <w:pStyle w:val="SingleTxtGA"/>
        <w:rPr>
          <w:rFonts w:hint="cs"/>
          <w:rtl/>
          <w:lang w:val="fr-CH"/>
        </w:rPr>
      </w:pPr>
      <w:r>
        <w:rPr>
          <w:rFonts w:hint="cs"/>
          <w:rtl/>
          <w:lang w:val="fr-CH"/>
        </w:rPr>
        <w:t>4-4</w:t>
      </w:r>
      <w:r>
        <w:rPr>
          <w:rFonts w:hint="cs"/>
          <w:rtl/>
          <w:lang w:val="fr-CH"/>
        </w:rPr>
        <w:tab/>
        <w:t>وترى الدولة الطرف أن</w:t>
      </w:r>
      <w:r w:rsidRPr="001C0803">
        <w:rPr>
          <w:rFonts w:hint="cs"/>
          <w:rtl/>
          <w:lang w:val="fr-CH"/>
        </w:rPr>
        <w:t xml:space="preserve"> </w:t>
      </w:r>
      <w:r>
        <w:rPr>
          <w:rFonts w:hint="cs"/>
          <w:rtl/>
          <w:lang w:val="fr-CH"/>
        </w:rPr>
        <w:t>سلطات الهجرة والمحاكم درست بصورة شاملة إدعاءات صاحبة البلاغ بموجب الفقرة 3 من المادة 2</w:t>
      </w:r>
      <w:r w:rsidR="000C6CDC">
        <w:rPr>
          <w:rFonts w:hint="cs"/>
          <w:rtl/>
          <w:lang w:val="fr-CH"/>
        </w:rPr>
        <w:t>؛</w:t>
      </w:r>
      <w:r>
        <w:rPr>
          <w:rFonts w:hint="cs"/>
          <w:rtl/>
          <w:lang w:val="fr-CH"/>
        </w:rPr>
        <w:t xml:space="preserve"> والفقرة 1 من المادة 14</w:t>
      </w:r>
      <w:r w:rsidR="000C6CDC">
        <w:rPr>
          <w:rFonts w:hint="cs"/>
          <w:rtl/>
          <w:lang w:val="fr-CH"/>
        </w:rPr>
        <w:t>؛</w:t>
      </w:r>
      <w:r>
        <w:rPr>
          <w:rFonts w:hint="cs"/>
          <w:rtl/>
          <w:lang w:val="fr-CH"/>
        </w:rPr>
        <w:t xml:space="preserve"> والفقرة 1 من المادة</w:t>
      </w:r>
      <w:r w:rsidR="000C6CDC">
        <w:rPr>
          <w:rFonts w:hint="eastAsia"/>
          <w:rtl/>
          <w:lang w:val="fr-CH"/>
        </w:rPr>
        <w:t> </w:t>
      </w:r>
      <w:r>
        <w:rPr>
          <w:rFonts w:hint="cs"/>
          <w:rtl/>
          <w:lang w:val="fr-CH"/>
        </w:rPr>
        <w:t>17</w:t>
      </w:r>
      <w:r w:rsidR="000C6CDC">
        <w:rPr>
          <w:rFonts w:hint="cs"/>
          <w:rtl/>
          <w:lang w:val="fr-CH"/>
        </w:rPr>
        <w:t>؛</w:t>
      </w:r>
      <w:r>
        <w:rPr>
          <w:rFonts w:hint="cs"/>
          <w:rtl/>
          <w:lang w:val="fr-CH"/>
        </w:rPr>
        <w:t xml:space="preserve"> والفقرة 1 من المادة 23</w:t>
      </w:r>
      <w:r w:rsidR="000C6CDC">
        <w:rPr>
          <w:rFonts w:hint="cs"/>
          <w:rtl/>
          <w:lang w:val="fr-CH"/>
        </w:rPr>
        <w:t>؛</w:t>
      </w:r>
      <w:r>
        <w:rPr>
          <w:rFonts w:hint="cs"/>
          <w:rtl/>
          <w:lang w:val="fr-CH"/>
        </w:rPr>
        <w:t xml:space="preserve"> والمادة 24</w:t>
      </w:r>
      <w:r w:rsidR="000C6CDC">
        <w:rPr>
          <w:rFonts w:hint="cs"/>
          <w:rtl/>
          <w:lang w:val="fr-CH"/>
        </w:rPr>
        <w:t>؛</w:t>
      </w:r>
      <w:r>
        <w:rPr>
          <w:rFonts w:hint="cs"/>
          <w:rtl/>
          <w:lang w:val="fr-CH"/>
        </w:rPr>
        <w:t xml:space="preserve"> ووفقاً للحقوق المنصوص عليها في هذه المواد. وترى أيضاً أن البلاغ لا يوجه أية ادعاءات بالتعسف أو بوجود ظلم واضح أو غير ذلك</w:t>
      </w:r>
      <w:r w:rsidR="00997BC1">
        <w:rPr>
          <w:rFonts w:hint="cs"/>
          <w:rtl/>
          <w:lang w:val="fr-CH"/>
        </w:rPr>
        <w:t xml:space="preserve"> </w:t>
      </w:r>
      <w:r>
        <w:rPr>
          <w:rFonts w:hint="cs"/>
          <w:rtl/>
          <w:lang w:val="fr-CH"/>
        </w:rPr>
        <w:t>من الأسس المقبولة لإعادة النظر في هذه الاستنتاجات. ولذلك تعتبر الدولة الطرف أن البلاغ غير مقبول بموجب المادتين 2 و3 من البروتوكول.</w:t>
      </w:r>
    </w:p>
    <w:p w:rsidR="00BC23FF" w:rsidRDefault="00BC23FF" w:rsidP="00FE392F">
      <w:pPr>
        <w:pStyle w:val="SingleTxtGA"/>
        <w:rPr>
          <w:rFonts w:hint="cs"/>
          <w:rtl/>
          <w:lang w:val="fr-CH"/>
        </w:rPr>
      </w:pPr>
      <w:r>
        <w:rPr>
          <w:rFonts w:hint="cs"/>
          <w:rtl/>
          <w:lang w:val="fr-CH"/>
        </w:rPr>
        <w:t>4-5</w:t>
      </w:r>
      <w:r>
        <w:rPr>
          <w:rFonts w:hint="cs"/>
          <w:rtl/>
          <w:lang w:val="fr-CH"/>
        </w:rPr>
        <w:tab/>
        <w:t>وفيما يتعلق بادعاءات صاحبة البلاغ المرتبطة بحياتها الأسرية، ترى الدولة الطرف أن ذلك حدث لأن صاحبة البلاغ اتبعت إجراءات قانونية معقدة مباشرة بعد وصولها إلى نيوزيلندا في عام 1996. وتشير الدولة الطرف إلى الاجتهاد الذي توصلت إليه ال</w:t>
      </w:r>
      <w:r w:rsidR="00031F1E">
        <w:rPr>
          <w:rFonts w:hint="cs"/>
          <w:rtl/>
          <w:lang w:val="fr-CH"/>
        </w:rPr>
        <w:t>ل</w:t>
      </w:r>
      <w:r>
        <w:rPr>
          <w:rFonts w:hint="cs"/>
          <w:rtl/>
          <w:lang w:val="fr-CH"/>
        </w:rPr>
        <w:t xml:space="preserve">جنة </w:t>
      </w:r>
      <w:r w:rsidR="00FE392F">
        <w:rPr>
          <w:rFonts w:hint="cs"/>
          <w:rtl/>
          <w:lang w:val="fr-CH"/>
        </w:rPr>
        <w:t xml:space="preserve">في قضية </w:t>
      </w:r>
      <w:r w:rsidRPr="00FE392F">
        <w:rPr>
          <w:rFonts w:hint="cs"/>
          <w:i/>
          <w:iCs/>
          <w:rtl/>
          <w:lang w:val="fr-CH"/>
        </w:rPr>
        <w:t>راجان ضد نيوزيلندا</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xml:space="preserve"> حيث اعتبرت أن السلطات المحلية فكرت في حماية الطفلين والأسرة خلال كل مرحلة من مراحل الإجراءات، وأن الوقت اللاحق الذي </w:t>
      </w:r>
      <w:r w:rsidR="00FE392F">
        <w:rPr>
          <w:rFonts w:hint="cs"/>
          <w:rtl/>
          <w:lang w:val="fr-CH"/>
        </w:rPr>
        <w:t>قضاه صاحب البلاغ في نيوزيلندا "</w:t>
      </w:r>
      <w:r w:rsidR="00031F1E">
        <w:rPr>
          <w:rFonts w:hint="cs"/>
          <w:rtl/>
          <w:lang w:val="fr-CH"/>
        </w:rPr>
        <w:t xml:space="preserve">قد </w:t>
      </w:r>
      <w:r w:rsidR="00FE392F">
        <w:rPr>
          <w:rFonts w:hint="cs"/>
          <w:rtl/>
          <w:lang w:val="fr-CH"/>
        </w:rPr>
        <w:t xml:space="preserve">أمضاه إما سعياً </w:t>
      </w:r>
      <w:r>
        <w:rPr>
          <w:rFonts w:hint="cs"/>
          <w:rtl/>
          <w:lang w:val="fr-CH"/>
        </w:rPr>
        <w:t xml:space="preserve">للحصول على سبل الانتصاف المتاحة أو </w:t>
      </w:r>
      <w:r w:rsidR="00FE392F">
        <w:rPr>
          <w:rFonts w:hint="cs"/>
          <w:rtl/>
          <w:lang w:val="fr-CH"/>
        </w:rPr>
        <w:t>مختبئاً</w:t>
      </w:r>
      <w:r>
        <w:rPr>
          <w:rFonts w:hint="cs"/>
          <w:rtl/>
          <w:lang w:val="fr-CH"/>
        </w:rPr>
        <w:t>"، وبالتالي فإن ادعاءات صاحبة البلاغ بموجب المواد 17 و23 و24 ليست مشفوعة بأدلة كافية، وفقاً لأحكام المادة 2 من البروتوكول الاختياري. لذلك</w:t>
      </w:r>
      <w:r w:rsidR="00FE392F">
        <w:rPr>
          <w:rFonts w:hint="cs"/>
          <w:rtl/>
          <w:lang w:val="fr-CH"/>
        </w:rPr>
        <w:t>،</w:t>
      </w:r>
      <w:r>
        <w:rPr>
          <w:rFonts w:hint="cs"/>
          <w:rtl/>
          <w:lang w:val="fr-CH"/>
        </w:rPr>
        <w:t xml:space="preserve"> ترى الدولة الطرف أن ادعاءات صاحبة البلاغ بموجب المواد 17 و23 و24 غير مقبولة لعدم كفاية الأدلة. </w:t>
      </w:r>
    </w:p>
    <w:p w:rsidR="00BC23FF" w:rsidRDefault="00BC23FF" w:rsidP="00FE392F">
      <w:pPr>
        <w:pStyle w:val="SingleTxtGA"/>
        <w:rPr>
          <w:rFonts w:hint="cs"/>
          <w:rtl/>
          <w:lang w:val="fr-CH"/>
        </w:rPr>
      </w:pPr>
      <w:r w:rsidRPr="00031F1E">
        <w:rPr>
          <w:rFonts w:hint="cs"/>
          <w:spacing w:val="-2"/>
          <w:rtl/>
          <w:lang w:val="fr-CH"/>
        </w:rPr>
        <w:t>4-6</w:t>
      </w:r>
      <w:r w:rsidRPr="00031F1E">
        <w:rPr>
          <w:rFonts w:hint="cs"/>
          <w:spacing w:val="-2"/>
          <w:rtl/>
          <w:lang w:val="fr-CH"/>
        </w:rPr>
        <w:tab/>
        <w:t>وتدعي الدولة الطرف أيضاً أن ادعاءات صاحبة البلاغ بموجب الفقرة 3 من المادة</w:t>
      </w:r>
      <w:r>
        <w:rPr>
          <w:rFonts w:hint="cs"/>
          <w:rtl/>
          <w:lang w:val="fr-CH"/>
        </w:rPr>
        <w:t xml:space="preserve"> 2 والفقرة 1 من المادة 14؛ فيما يتعلق بجلسة الاستماع وبالقرار الذي اتخذته المحكمة العليا بشأن استئناف صاحبة البلاغ، في أيار/مايو وتموز/يوليه 2009، غير مقبولة لعدم دعمها بأدلة كافي</w:t>
      </w:r>
      <w:r w:rsidR="00FE392F">
        <w:rPr>
          <w:rFonts w:hint="cs"/>
          <w:rtl/>
          <w:lang w:val="fr-CH"/>
        </w:rPr>
        <w:t>ة ولعدم استنفاذ سبل الانتصاف المحلية</w:t>
      </w:r>
      <w:r>
        <w:rPr>
          <w:rFonts w:hint="cs"/>
          <w:rtl/>
          <w:lang w:val="fr-CH"/>
        </w:rPr>
        <w:t>. وترى الدولة الطرف أولاً أن قرار المحكمة العليا رفض طلب صاحبة البلاغ للمراجعة القضائية كان له ما يبرره. فمنذ عام 1994، وسلطات الهجرة تجري مراجعة للنهج الذي تتبعه إزاء ملتمسي اللجوء بهدف إدماج الالتزامات الدولية للدولة الطرف في القانون الداخلي. والتشريع المعدل يمنح الأولوية للمصلحة الفضلى للطفل وللأسرة. وفي ثلاث حالات منفصلة، رأت المحكمة العليا أن سلطات الهجرة لم تطبق المعيار المناسب في إجراءات اللجوء. ومع ذلك، رأت المحكمة</w:t>
      </w:r>
      <w:r w:rsidR="00FE392F">
        <w:rPr>
          <w:rFonts w:hint="cs"/>
          <w:rtl/>
          <w:lang w:val="fr-CH"/>
        </w:rPr>
        <w:t>،</w:t>
      </w:r>
      <w:r>
        <w:rPr>
          <w:rFonts w:hint="cs"/>
          <w:rtl/>
          <w:lang w:val="fr-CH"/>
        </w:rPr>
        <w:t xml:space="preserve"> فيما يتعلق </w:t>
      </w:r>
      <w:r w:rsidR="00FE392F">
        <w:rPr>
          <w:rFonts w:hint="cs"/>
          <w:rtl/>
          <w:lang w:val="fr-CH"/>
        </w:rPr>
        <w:t xml:space="preserve">بقضية </w:t>
      </w:r>
      <w:r>
        <w:rPr>
          <w:rFonts w:hint="cs"/>
          <w:rtl/>
          <w:lang w:val="fr-CH"/>
        </w:rPr>
        <w:t>صاحبة البلاغ</w:t>
      </w:r>
      <w:r w:rsidR="00FE392F">
        <w:rPr>
          <w:rFonts w:hint="cs"/>
          <w:rtl/>
          <w:lang w:val="fr-CH"/>
        </w:rPr>
        <w:t>،</w:t>
      </w:r>
      <w:r>
        <w:rPr>
          <w:rFonts w:hint="cs"/>
          <w:rtl/>
          <w:lang w:val="fr-CH"/>
        </w:rPr>
        <w:t xml:space="preserve"> أنه تم مؤخراً إجراء تقييم مقارن لظروف صاحبة البلاغ، وأن محاميها لم يقدم أي معلومة جديدة نسبياً لم تكن سلطات الهجرة</w:t>
      </w:r>
      <w:r w:rsidRPr="002D4013">
        <w:rPr>
          <w:rFonts w:hint="cs"/>
          <w:rtl/>
          <w:lang w:val="fr-CH"/>
        </w:rPr>
        <w:t xml:space="preserve"> </w:t>
      </w:r>
      <w:r>
        <w:rPr>
          <w:rFonts w:hint="cs"/>
          <w:rtl/>
          <w:lang w:val="fr-CH"/>
        </w:rPr>
        <w:t xml:space="preserve">قد نظرت فيها. وترى الدولة الطرف أنه حتى إذا كان هناك </w:t>
      </w:r>
      <w:r w:rsidR="00FE392F">
        <w:rPr>
          <w:rFonts w:hint="cs"/>
          <w:rtl/>
          <w:lang w:val="fr-CH"/>
        </w:rPr>
        <w:t>أ</w:t>
      </w:r>
      <w:r>
        <w:rPr>
          <w:rFonts w:hint="cs"/>
          <w:rtl/>
          <w:lang w:val="fr-CH"/>
        </w:rPr>
        <w:t xml:space="preserve">ي خطأ ارتكبته السلطات، فإن ذلك لن يكون له أي تأثير على نتيجة قضية صاحبة البلاغ وأن ادعاء صاحبة البلاغ بشأن هذه النقطة غير مدعم بأدلة كافية. </w:t>
      </w:r>
    </w:p>
    <w:p w:rsidR="00BC23FF" w:rsidRDefault="00BC23FF" w:rsidP="00FE392F">
      <w:pPr>
        <w:pStyle w:val="SingleTxtGA"/>
        <w:rPr>
          <w:rFonts w:hint="cs"/>
          <w:rtl/>
          <w:lang w:val="fr-CH"/>
        </w:rPr>
      </w:pPr>
      <w:r>
        <w:rPr>
          <w:rFonts w:hint="cs"/>
          <w:rtl/>
          <w:lang w:val="fr-CH"/>
        </w:rPr>
        <w:t>4-7</w:t>
      </w:r>
      <w:r>
        <w:rPr>
          <w:rFonts w:hint="cs"/>
          <w:rtl/>
          <w:lang w:val="fr-CH"/>
        </w:rPr>
        <w:tab/>
        <w:t xml:space="preserve">وفضلاً عن ذلك، ترى الدولة الطرف أن صاحبة البلاغ لم تستنفد سبل الانتصاف </w:t>
      </w:r>
      <w:r w:rsidR="00FE392F">
        <w:rPr>
          <w:rFonts w:hint="cs"/>
          <w:rtl/>
          <w:lang w:val="fr-CH"/>
        </w:rPr>
        <w:t xml:space="preserve">المحلية </w:t>
      </w:r>
      <w:r>
        <w:rPr>
          <w:rFonts w:hint="cs"/>
          <w:rtl/>
          <w:lang w:val="fr-CH"/>
        </w:rPr>
        <w:t>فيما يتعلق بالفقرة 3 من المادة 2 والفقرة 1 من المادة 14 بقدر ما يسمح النظام في نيوزيلندا للأطراف في الإجراءات أمام المحا</w:t>
      </w:r>
      <w:r w:rsidR="00FE392F">
        <w:rPr>
          <w:rFonts w:hint="cs"/>
          <w:rtl/>
          <w:lang w:val="fr-CH"/>
        </w:rPr>
        <w:t xml:space="preserve">كم التماس إعادة النظر في حكم يعتريه </w:t>
      </w:r>
      <w:r>
        <w:rPr>
          <w:rFonts w:hint="cs"/>
          <w:rtl/>
          <w:lang w:val="fr-CH"/>
        </w:rPr>
        <w:t xml:space="preserve">خطأ استثنائي. وصاحبة البلاغ التي استعانت بمحام، لم تستفد من هذه الفرصة ولذلك فإن طلبها المتعلق بهذه النقطة يُعتبر غير مقبول بموجب الفقرة 2(ب) من المادة 5 من البروتوكول الاختياري. </w:t>
      </w:r>
    </w:p>
    <w:p w:rsidR="00BC23FF" w:rsidRPr="00AC1914" w:rsidRDefault="00AC1914" w:rsidP="00AC1914">
      <w:pPr>
        <w:pStyle w:val="H23GA"/>
        <w:rPr>
          <w:rFonts w:hint="cs"/>
          <w:rtl/>
        </w:rPr>
      </w:pPr>
      <w:r>
        <w:rPr>
          <w:rFonts w:hint="cs"/>
          <w:rtl/>
        </w:rPr>
        <w:tab/>
      </w:r>
      <w:r>
        <w:rPr>
          <w:rFonts w:hint="cs"/>
          <w:rtl/>
        </w:rPr>
        <w:tab/>
      </w:r>
      <w:r w:rsidR="00BC23FF" w:rsidRPr="00AC1914">
        <w:rPr>
          <w:rFonts w:hint="cs"/>
          <w:rtl/>
        </w:rPr>
        <w:t>تعليقات صاحبة البلاغ على رسالة الدولة الطرف</w:t>
      </w:r>
    </w:p>
    <w:p w:rsidR="00BC23FF" w:rsidRPr="00B96528" w:rsidRDefault="00BC23FF" w:rsidP="00FE392F">
      <w:pPr>
        <w:pStyle w:val="SingleTxtGA"/>
        <w:rPr>
          <w:rFonts w:hint="cs"/>
          <w:rtl/>
          <w:lang w:val="fr-CH"/>
        </w:rPr>
      </w:pPr>
      <w:r>
        <w:rPr>
          <w:rFonts w:hint="cs"/>
          <w:rtl/>
          <w:lang w:val="fr-CH"/>
        </w:rPr>
        <w:t>5-1</w:t>
      </w:r>
      <w:r>
        <w:rPr>
          <w:rFonts w:hint="cs"/>
          <w:rtl/>
          <w:lang w:val="fr-CH"/>
        </w:rPr>
        <w:tab/>
        <w:t xml:space="preserve">في رسالة مؤرخة 28 شباط/فبراير 2013، تدعي صاحبة البلاغ أن كونها حصلت على تصريح عمل لا يعني جبر ضررها المترتب على انتهاك الدولة الطرف للعهد. فإنها لو لم تكن قد تزوجت بشخص نيوزيلندي، لما حصلت مطلقاً على تصريح </w:t>
      </w:r>
      <w:r w:rsidRPr="00B96528">
        <w:rPr>
          <w:rFonts w:hint="cs"/>
          <w:rtl/>
          <w:lang w:val="fr-CH"/>
        </w:rPr>
        <w:t>عمل و</w:t>
      </w:r>
      <w:r>
        <w:rPr>
          <w:rFonts w:hint="cs"/>
          <w:rtl/>
          <w:lang w:val="fr-CH"/>
        </w:rPr>
        <w:t>لتعين</w:t>
      </w:r>
      <w:r w:rsidRPr="00B96528">
        <w:rPr>
          <w:rFonts w:hint="cs"/>
          <w:rtl/>
          <w:lang w:val="fr-CH"/>
        </w:rPr>
        <w:t xml:space="preserve"> عليها العودة إلى الصين. لذلك فإن الدولة الطرف مسؤولة عن انتهاك المواد 17 و23 و24 من العهد. </w:t>
      </w:r>
    </w:p>
    <w:p w:rsidR="00BC23FF" w:rsidRDefault="00BC23FF" w:rsidP="00031F1E">
      <w:pPr>
        <w:pStyle w:val="SingleTxtGA"/>
        <w:rPr>
          <w:rFonts w:hint="cs"/>
          <w:rtl/>
          <w:lang w:val="fr-CH"/>
        </w:rPr>
      </w:pPr>
      <w:r w:rsidRPr="00B96528">
        <w:rPr>
          <w:rFonts w:hint="cs"/>
          <w:rtl/>
          <w:lang w:val="fr-CH"/>
        </w:rPr>
        <w:t>5-2</w:t>
      </w:r>
      <w:r w:rsidRPr="00B96528">
        <w:rPr>
          <w:rFonts w:hint="cs"/>
          <w:rtl/>
          <w:lang w:val="fr-CH"/>
        </w:rPr>
        <w:tab/>
      </w:r>
      <w:r>
        <w:rPr>
          <w:rFonts w:hint="cs"/>
          <w:rtl/>
          <w:lang w:val="fr-CH"/>
        </w:rPr>
        <w:t>وفيما يتعلق بالحكم الصادر عن المحكمة العليا، تشير صاحبة البلاغ أنه على الرغم من الاعتراف بأن المس</w:t>
      </w:r>
      <w:r w:rsidR="00031F1E">
        <w:rPr>
          <w:rFonts w:hint="cs"/>
          <w:rtl/>
          <w:lang w:val="fr-CH"/>
        </w:rPr>
        <w:t>ؤ</w:t>
      </w:r>
      <w:r>
        <w:rPr>
          <w:rFonts w:hint="cs"/>
          <w:rtl/>
          <w:lang w:val="fr-CH"/>
        </w:rPr>
        <w:t>ولين في دائرة الهجرة قد أخط</w:t>
      </w:r>
      <w:r w:rsidR="00FE392F">
        <w:rPr>
          <w:rFonts w:hint="cs"/>
          <w:rtl/>
          <w:lang w:val="fr-CH"/>
        </w:rPr>
        <w:t xml:space="preserve">ؤوا </w:t>
      </w:r>
      <w:r>
        <w:rPr>
          <w:rFonts w:hint="cs"/>
          <w:rtl/>
          <w:lang w:val="fr-CH"/>
        </w:rPr>
        <w:t xml:space="preserve">من منظور القانون، فإنها حُرمت من الانتصاف لأنه لم يحدث أي تغيير في الظروف الفعلية للقضية. وترى صاحبة البلاغ أن الخطأ القانوني فيما يتعلق بأسرتها هو خطأ لا يزال ينبغي تعويضه. وتعترض صاحبة البلاغ أيضاً على الإشارة إلى قضية </w:t>
      </w:r>
      <w:r w:rsidRPr="00326FFD">
        <w:rPr>
          <w:rFonts w:hint="cs"/>
          <w:i/>
          <w:iCs/>
          <w:rtl/>
          <w:lang w:val="fr-CH"/>
        </w:rPr>
        <w:t>ر</w:t>
      </w:r>
      <w:r w:rsidR="00031F1E">
        <w:rPr>
          <w:rFonts w:hint="cs"/>
          <w:i/>
          <w:iCs/>
          <w:rtl/>
          <w:lang w:val="fr-CH"/>
        </w:rPr>
        <w:t>اجان</w:t>
      </w:r>
      <w:r w:rsidRPr="00326FFD">
        <w:rPr>
          <w:rFonts w:hint="cs"/>
          <w:i/>
          <w:iCs/>
          <w:rtl/>
          <w:lang w:val="fr-CH"/>
        </w:rPr>
        <w:t xml:space="preserve"> ضد نيوزيلندا</w:t>
      </w:r>
      <w:r>
        <w:rPr>
          <w:vertAlign w:val="superscript"/>
          <w:rtl/>
          <w:lang w:val="fr-CH"/>
        </w:rPr>
        <w:t>(</w:t>
      </w:r>
      <w:r>
        <w:rPr>
          <w:rStyle w:val="FootnoteReference"/>
          <w:rtl/>
          <w:lang w:val="fr-CH"/>
        </w:rPr>
        <w:footnoteReference w:id="11"/>
      </w:r>
      <w:r>
        <w:rPr>
          <w:vertAlign w:val="superscript"/>
          <w:rtl/>
          <w:lang w:val="fr-CH"/>
        </w:rPr>
        <w:t>)</w:t>
      </w:r>
      <w:r>
        <w:rPr>
          <w:rtl/>
          <w:lang w:val="fr-CH"/>
        </w:rPr>
        <w:t xml:space="preserve"> </w:t>
      </w:r>
      <w:r>
        <w:rPr>
          <w:rFonts w:hint="cs"/>
          <w:rtl/>
          <w:lang w:val="fr-CH"/>
        </w:rPr>
        <w:t>لأن</w:t>
      </w:r>
      <w:r w:rsidR="00FE392F">
        <w:rPr>
          <w:rFonts w:hint="cs"/>
          <w:rtl/>
          <w:lang w:val="fr-CH"/>
        </w:rPr>
        <w:t xml:space="preserve">ها، </w:t>
      </w:r>
      <w:r>
        <w:rPr>
          <w:rFonts w:hint="cs"/>
          <w:rtl/>
          <w:lang w:val="fr-CH"/>
        </w:rPr>
        <w:t>في حالتها</w:t>
      </w:r>
      <w:r w:rsidR="00FE392F">
        <w:rPr>
          <w:rFonts w:hint="cs"/>
          <w:rtl/>
          <w:lang w:val="fr-CH"/>
        </w:rPr>
        <w:t>،</w:t>
      </w:r>
      <w:r>
        <w:rPr>
          <w:rFonts w:hint="cs"/>
          <w:rtl/>
          <w:lang w:val="fr-CH"/>
        </w:rPr>
        <w:t xml:space="preserve"> مهددة بالترحيل طوال وجودها في نيوزيلندا ولأن ابنها معرض</w:t>
      </w:r>
      <w:r w:rsidRPr="00612268">
        <w:rPr>
          <w:rFonts w:hint="cs"/>
          <w:rtl/>
          <w:lang w:val="fr-CH"/>
        </w:rPr>
        <w:t xml:space="preserve"> </w:t>
      </w:r>
      <w:r>
        <w:rPr>
          <w:rFonts w:hint="cs"/>
          <w:rtl/>
          <w:lang w:val="fr-CH"/>
        </w:rPr>
        <w:t xml:space="preserve">بشكل دائم لخطر فصله عن أمه. </w:t>
      </w:r>
    </w:p>
    <w:p w:rsidR="00BC23FF" w:rsidRDefault="00BC23FF" w:rsidP="00FE392F">
      <w:pPr>
        <w:pStyle w:val="SingleTxtGA"/>
        <w:rPr>
          <w:rFonts w:hint="cs"/>
          <w:rtl/>
          <w:lang w:val="fr-CH"/>
        </w:rPr>
      </w:pPr>
      <w:r>
        <w:rPr>
          <w:rFonts w:hint="cs"/>
          <w:rtl/>
          <w:lang w:val="fr-CH"/>
        </w:rPr>
        <w:t>5-3</w:t>
      </w:r>
      <w:r>
        <w:rPr>
          <w:rFonts w:hint="cs"/>
          <w:rtl/>
          <w:lang w:val="fr-CH"/>
        </w:rPr>
        <w:tab/>
        <w:t xml:space="preserve">وفيما يتعلق </w:t>
      </w:r>
      <w:r w:rsidR="00FE392F">
        <w:rPr>
          <w:rFonts w:hint="cs"/>
          <w:rtl/>
          <w:lang w:val="fr-CH"/>
        </w:rPr>
        <w:t xml:space="preserve">بالطابع الصوري للشكوى، </w:t>
      </w:r>
      <w:r>
        <w:rPr>
          <w:rFonts w:hint="cs"/>
          <w:rtl/>
          <w:lang w:val="fr-CH"/>
        </w:rPr>
        <w:t xml:space="preserve">فإن صاحبة البلاغ ترى أن تأشيرتها مؤقتة وأنه في حال إنهاء علاقتها مع رجل نيوزيلندي، فإنها ستصبح من جديد معرضة لخطر الإبعاد. لذلك ترى صاحبة البلاغ أن </w:t>
      </w:r>
      <w:r w:rsidR="00FE392F">
        <w:rPr>
          <w:rFonts w:hint="cs"/>
          <w:rtl/>
          <w:lang w:val="fr-CH"/>
        </w:rPr>
        <w:t xml:space="preserve">وضعها </w:t>
      </w:r>
      <w:r>
        <w:rPr>
          <w:rFonts w:hint="cs"/>
          <w:rtl/>
          <w:lang w:val="fr-CH"/>
        </w:rPr>
        <w:t xml:space="preserve">بالنسبة للهجرة لم </w:t>
      </w:r>
      <w:r w:rsidR="00FE392F">
        <w:rPr>
          <w:rFonts w:hint="cs"/>
          <w:rtl/>
          <w:lang w:val="fr-CH"/>
        </w:rPr>
        <w:t>ي</w:t>
      </w:r>
      <w:r w:rsidR="00031F1E">
        <w:rPr>
          <w:rFonts w:hint="cs"/>
          <w:rtl/>
          <w:lang w:val="fr-CH"/>
        </w:rPr>
        <w:t>ُ</w:t>
      </w:r>
      <w:r>
        <w:rPr>
          <w:rFonts w:hint="cs"/>
          <w:rtl/>
          <w:lang w:val="fr-CH"/>
        </w:rPr>
        <w:t>حسم.</w:t>
      </w:r>
    </w:p>
    <w:p w:rsidR="00BC23FF" w:rsidRDefault="00BC23FF" w:rsidP="00BC23FF">
      <w:pPr>
        <w:pStyle w:val="SingleTxtGA"/>
        <w:rPr>
          <w:rFonts w:hint="cs"/>
          <w:rtl/>
          <w:lang w:val="fr-CH"/>
        </w:rPr>
      </w:pPr>
      <w:r>
        <w:rPr>
          <w:rFonts w:hint="cs"/>
          <w:rtl/>
          <w:lang w:val="fr-CH"/>
        </w:rPr>
        <w:t>5-4</w:t>
      </w:r>
      <w:r>
        <w:rPr>
          <w:rFonts w:hint="cs"/>
          <w:rtl/>
          <w:lang w:val="fr-CH"/>
        </w:rPr>
        <w:tab/>
        <w:t>وفي ضوء ما جاء أعلاه، تطلب صاحبة البلاغ الإعلان عن مقبولية البلاغ والنظر في أُسسه الموضوعية.</w:t>
      </w:r>
    </w:p>
    <w:p w:rsidR="00BC23FF" w:rsidRPr="00AC1914" w:rsidRDefault="00AC1914" w:rsidP="00AC1914">
      <w:pPr>
        <w:pStyle w:val="H23GA"/>
        <w:rPr>
          <w:rFonts w:hint="cs"/>
          <w:rtl/>
        </w:rPr>
      </w:pPr>
      <w:r>
        <w:rPr>
          <w:rFonts w:hint="cs"/>
          <w:rtl/>
        </w:rPr>
        <w:tab/>
      </w:r>
      <w:r>
        <w:rPr>
          <w:rFonts w:hint="cs"/>
          <w:rtl/>
        </w:rPr>
        <w:tab/>
      </w:r>
      <w:r w:rsidR="00BC23FF" w:rsidRPr="00AC1914">
        <w:rPr>
          <w:rFonts w:hint="cs"/>
          <w:rtl/>
        </w:rPr>
        <w:t>المسائل والإجراءات المعروضة على اللجنة</w:t>
      </w:r>
    </w:p>
    <w:p w:rsidR="00BC23FF" w:rsidRDefault="00AC1914" w:rsidP="00AC1914">
      <w:pPr>
        <w:pStyle w:val="H4GA"/>
        <w:rPr>
          <w:rFonts w:hint="cs"/>
          <w:rtl/>
          <w:lang w:val="fr-CH"/>
        </w:rPr>
      </w:pPr>
      <w:r>
        <w:rPr>
          <w:rFonts w:hint="cs"/>
          <w:rtl/>
          <w:lang w:val="fr-CH"/>
        </w:rPr>
        <w:tab/>
      </w:r>
      <w:r>
        <w:rPr>
          <w:rFonts w:hint="cs"/>
          <w:rtl/>
          <w:lang w:val="fr-CH"/>
        </w:rPr>
        <w:tab/>
      </w:r>
      <w:r w:rsidR="00BC23FF">
        <w:rPr>
          <w:rFonts w:hint="cs"/>
          <w:rtl/>
          <w:lang w:val="fr-CH"/>
        </w:rPr>
        <w:t>النظر في المقبولية</w:t>
      </w:r>
    </w:p>
    <w:p w:rsidR="00BC23FF" w:rsidRDefault="00BC23FF" w:rsidP="00BC23FF">
      <w:pPr>
        <w:pStyle w:val="SingleTxtGA"/>
        <w:rPr>
          <w:rFonts w:hint="cs"/>
          <w:rtl/>
          <w:lang w:val="fr-CH"/>
        </w:rPr>
      </w:pPr>
      <w:r>
        <w:rPr>
          <w:rFonts w:hint="cs"/>
          <w:rtl/>
          <w:lang w:val="fr-CH"/>
        </w:rPr>
        <w:t>6-1</w:t>
      </w:r>
      <w:r>
        <w:rPr>
          <w:rFonts w:hint="cs"/>
          <w:rtl/>
          <w:lang w:val="fr-CH"/>
        </w:rPr>
        <w:tab/>
        <w:t>قبل النظر في أي ادعاء يرد في بلاغ ما، يتعين على اللجنة المعنية بحقوق الإنسان، وفقاً للمادة 93 من نظامها الداخلي، أن تبت فيما إذا كان البلاغ مقبولاً أم غير مقبول بموجب البروتوكول الاختياري الملحق بالعهد.</w:t>
      </w:r>
    </w:p>
    <w:p w:rsidR="00BC23FF" w:rsidRDefault="00BC23FF" w:rsidP="001C7F96">
      <w:pPr>
        <w:pStyle w:val="SingleTxtGA"/>
        <w:rPr>
          <w:rFonts w:hint="cs"/>
          <w:rtl/>
          <w:lang w:val="fr-CH"/>
        </w:rPr>
      </w:pPr>
      <w:r>
        <w:rPr>
          <w:rFonts w:hint="cs"/>
          <w:rtl/>
          <w:lang w:val="fr-CH"/>
        </w:rPr>
        <w:t>6-2</w:t>
      </w:r>
      <w:r>
        <w:rPr>
          <w:rFonts w:hint="cs"/>
          <w:rtl/>
          <w:lang w:val="fr-CH"/>
        </w:rPr>
        <w:tab/>
        <w:t xml:space="preserve">وتلاحظ اللجنة أن الحجج التي قدمتها صاحبة البلاغ بأنه في حال ترحيلها إلى الصين، </w:t>
      </w:r>
      <w:r w:rsidR="00031F1E">
        <w:rPr>
          <w:rFonts w:hint="cs"/>
          <w:rtl/>
          <w:lang w:val="fr-CH"/>
        </w:rPr>
        <w:t>ست</w:t>
      </w:r>
      <w:r w:rsidR="00FE392F">
        <w:rPr>
          <w:rFonts w:hint="cs"/>
          <w:rtl/>
          <w:lang w:val="fr-CH"/>
        </w:rPr>
        <w:t>تعرض ح</w:t>
      </w:r>
      <w:r>
        <w:rPr>
          <w:rFonts w:hint="cs"/>
          <w:rtl/>
          <w:lang w:val="fr-CH"/>
        </w:rPr>
        <w:t xml:space="preserve">ياة أسرتها وحياة </w:t>
      </w:r>
      <w:r w:rsidR="00497F4B">
        <w:rPr>
          <w:rFonts w:hint="cs"/>
          <w:rtl/>
          <w:lang w:val="fr-CH"/>
        </w:rPr>
        <w:t>ا</w:t>
      </w:r>
      <w:r>
        <w:rPr>
          <w:rFonts w:hint="cs"/>
          <w:rtl/>
          <w:lang w:val="fr-CH"/>
        </w:rPr>
        <w:t>بنها للخطر</w:t>
      </w:r>
      <w:r w:rsidR="00FE392F">
        <w:rPr>
          <w:rFonts w:hint="cs"/>
          <w:rtl/>
          <w:lang w:val="fr-CH"/>
        </w:rPr>
        <w:t xml:space="preserve">، </w:t>
      </w:r>
      <w:r>
        <w:rPr>
          <w:rFonts w:hint="cs"/>
          <w:rtl/>
          <w:lang w:val="fr-CH"/>
        </w:rPr>
        <w:t xml:space="preserve">إما </w:t>
      </w:r>
      <w:r w:rsidR="00497F4B">
        <w:rPr>
          <w:rFonts w:hint="cs"/>
          <w:rtl/>
          <w:lang w:val="fr-CH"/>
        </w:rPr>
        <w:t>يظل ا</w:t>
      </w:r>
      <w:r>
        <w:rPr>
          <w:rFonts w:hint="cs"/>
          <w:rtl/>
          <w:lang w:val="fr-CH"/>
        </w:rPr>
        <w:t xml:space="preserve">بنها دون والديه الطبيعيين في نيوزيلندا؛ </w:t>
      </w:r>
      <w:r w:rsidR="00FE392F">
        <w:rPr>
          <w:rFonts w:hint="cs"/>
          <w:rtl/>
          <w:lang w:val="fr-CH"/>
        </w:rPr>
        <w:t xml:space="preserve">وإمّا يضطر إلى </w:t>
      </w:r>
      <w:r>
        <w:rPr>
          <w:rFonts w:hint="cs"/>
          <w:rtl/>
          <w:lang w:val="fr-CH"/>
        </w:rPr>
        <w:t>الذهاب معها إلى الصين، حيث سيعتبر "طفل</w:t>
      </w:r>
      <w:r w:rsidR="001C7F96">
        <w:rPr>
          <w:rFonts w:hint="cs"/>
          <w:rtl/>
          <w:lang w:val="fr-CH"/>
        </w:rPr>
        <w:t>اَ</w:t>
      </w:r>
      <w:r>
        <w:rPr>
          <w:rFonts w:hint="cs"/>
          <w:rtl/>
          <w:lang w:val="fr-CH"/>
        </w:rPr>
        <w:t xml:space="preserve"> أسود" وبالتالي </w:t>
      </w:r>
      <w:r w:rsidR="00FE392F">
        <w:rPr>
          <w:rFonts w:hint="cs"/>
          <w:rtl/>
          <w:lang w:val="fr-CH"/>
        </w:rPr>
        <w:t>س</w:t>
      </w:r>
      <w:r>
        <w:rPr>
          <w:rFonts w:hint="cs"/>
          <w:rtl/>
          <w:lang w:val="fr-CH"/>
        </w:rPr>
        <w:t>يتعرض للمعاناة من جميع الظروف المدنية والاقتصادية والاجتماعية لسياسة الابن الواحد المتبعة في الصين. وتلاحظ اللجنة أيضاً أن ابن صاحبة البلاغ الذي يحمل الجنسية النيوزيلندية منذ ولادته، لا يحتاج إلى تصريح هجرة. وحُجج صاحبة البلاغ المتعلقة بالانتهاك المزعوم للمادتين 17 و23 من العهد بالنسبة لها ولابنها، والمادة 24 بالنسبة لابنها وحده تتوقف وفقاً لذلك على وضعها هي نفسها بالنسبة للهجرة. وفي هذا الصدد، تلاحظ اللجنة أن الدولة الطرف نصحت صاحبة البلاغ بتقديم طلب للحصول على تصريح عمل قبل أن تقدم بلاغها إلى اللجنة، ولكنها لم تفعل ذلك إلا بعد أن قدمت الطلب. وتلاحظ أيضاً أن صاحبة البلاغ مُنحت تصريح عمل في 21 تشرين الثاني/نوفمبر 2012 وأنها لم تعد معرضة للإبعاد من نيوزيلندا.</w:t>
      </w:r>
    </w:p>
    <w:p w:rsidR="00BC23FF" w:rsidRDefault="00BC23FF" w:rsidP="00997BC1">
      <w:pPr>
        <w:pStyle w:val="SingleTxtGA"/>
        <w:rPr>
          <w:rFonts w:hint="cs"/>
          <w:rtl/>
          <w:lang w:val="fr-CH"/>
        </w:rPr>
      </w:pPr>
      <w:r>
        <w:rPr>
          <w:rFonts w:hint="cs"/>
          <w:rtl/>
          <w:lang w:val="fr-CH"/>
        </w:rPr>
        <w:t>6-3</w:t>
      </w:r>
      <w:r>
        <w:rPr>
          <w:rFonts w:hint="cs"/>
          <w:rtl/>
          <w:lang w:val="fr-CH"/>
        </w:rPr>
        <w:tab/>
        <w:t xml:space="preserve">وتلاحظ اللجنة أيضاً أن صاحبة البلاغ </w:t>
      </w:r>
      <w:r w:rsidR="001C7F96">
        <w:rPr>
          <w:rFonts w:hint="cs"/>
          <w:rtl/>
          <w:lang w:val="fr-CH"/>
        </w:rPr>
        <w:t xml:space="preserve">ذكرت </w:t>
      </w:r>
      <w:r>
        <w:rPr>
          <w:rFonts w:hint="cs"/>
          <w:rtl/>
          <w:lang w:val="fr-CH"/>
        </w:rPr>
        <w:t>بالاستناد إلى فرضية محضة ‘1‘</w:t>
      </w:r>
      <w:r>
        <w:rPr>
          <w:rFonts w:hint="eastAsia"/>
          <w:rtl/>
          <w:lang w:val="fr-CH"/>
        </w:rPr>
        <w:t> </w:t>
      </w:r>
      <w:r>
        <w:rPr>
          <w:rFonts w:hint="cs"/>
          <w:rtl/>
          <w:lang w:val="fr-CH"/>
        </w:rPr>
        <w:t>أنها لو لم تكن قد تزوجت</w:t>
      </w:r>
      <w:r>
        <w:rPr>
          <w:rFonts w:hint="eastAsia"/>
          <w:rtl/>
          <w:lang w:val="fr-CH"/>
        </w:rPr>
        <w:t xml:space="preserve"> </w:t>
      </w:r>
      <w:r>
        <w:rPr>
          <w:rFonts w:hint="cs"/>
          <w:rtl/>
          <w:lang w:val="fr-CH"/>
        </w:rPr>
        <w:t>من زوجها الحال</w:t>
      </w:r>
      <w:r w:rsidR="001C7F96">
        <w:rPr>
          <w:rFonts w:hint="cs"/>
          <w:rtl/>
          <w:lang w:val="fr-CH"/>
        </w:rPr>
        <w:t xml:space="preserve">ي، لما حصلت على تأشيرة عمل و‘2‘ </w:t>
      </w:r>
      <w:r>
        <w:rPr>
          <w:rFonts w:hint="cs"/>
          <w:rtl/>
          <w:lang w:val="fr-CH"/>
        </w:rPr>
        <w:t xml:space="preserve">أنها </w:t>
      </w:r>
      <w:r w:rsidR="001C7F96">
        <w:rPr>
          <w:rFonts w:hint="cs"/>
          <w:rtl/>
          <w:lang w:val="fr-CH"/>
        </w:rPr>
        <w:t>لو</w:t>
      </w:r>
      <w:r w:rsidR="00997BC1">
        <w:rPr>
          <w:rFonts w:hint="eastAsia"/>
          <w:rtl/>
          <w:lang w:val="fr-CH"/>
        </w:rPr>
        <w:t> </w:t>
      </w:r>
      <w:r>
        <w:rPr>
          <w:rFonts w:hint="cs"/>
          <w:rtl/>
          <w:lang w:val="fr-CH"/>
        </w:rPr>
        <w:t xml:space="preserve">انفصلت عن زوجها الحالي فإنها </w:t>
      </w:r>
      <w:r w:rsidR="001C7F96">
        <w:rPr>
          <w:rFonts w:hint="cs"/>
          <w:rtl/>
          <w:lang w:val="fr-CH"/>
        </w:rPr>
        <w:t>س</w:t>
      </w:r>
      <w:r>
        <w:rPr>
          <w:rFonts w:hint="cs"/>
          <w:rtl/>
          <w:lang w:val="fr-CH"/>
        </w:rPr>
        <w:t xml:space="preserve">تتعرض من جديد </w:t>
      </w:r>
      <w:r w:rsidR="001C7F96">
        <w:rPr>
          <w:rFonts w:hint="cs"/>
          <w:rtl/>
          <w:lang w:val="fr-CH"/>
        </w:rPr>
        <w:t xml:space="preserve">لخطر </w:t>
      </w:r>
      <w:r>
        <w:rPr>
          <w:rFonts w:hint="cs"/>
          <w:rtl/>
          <w:lang w:val="fr-CH"/>
        </w:rPr>
        <w:t>الإبعاد، وذلك بسبب الطبيعة المؤقتة لتأشيرتها. وترى اللجنة أن الحجج الأخيرة المتعلقة بوضعها الزوجي الحالي والمقبل لا</w:t>
      </w:r>
      <w:r w:rsidR="001C7F96">
        <w:rPr>
          <w:rFonts w:hint="eastAsia"/>
          <w:rtl/>
          <w:lang w:val="fr-CH"/>
        </w:rPr>
        <w:t> </w:t>
      </w:r>
      <w:r w:rsidR="001C7F96">
        <w:rPr>
          <w:rFonts w:hint="cs"/>
          <w:rtl/>
          <w:lang w:val="fr-CH"/>
        </w:rPr>
        <w:t>تتجاوز حدود الاحتمال والافتراض</w:t>
      </w:r>
      <w:r>
        <w:rPr>
          <w:vertAlign w:val="superscript"/>
          <w:rtl/>
          <w:lang w:val="fr-CH"/>
        </w:rPr>
        <w:t>(</w:t>
      </w:r>
      <w:r>
        <w:rPr>
          <w:rStyle w:val="FootnoteReference"/>
          <w:rtl/>
          <w:lang w:val="fr-CH"/>
        </w:rPr>
        <w:footnoteReference w:id="12"/>
      </w:r>
      <w:r>
        <w:rPr>
          <w:vertAlign w:val="superscript"/>
          <w:rtl/>
          <w:lang w:val="fr-CH"/>
        </w:rPr>
        <w:t>)</w:t>
      </w:r>
      <w:r>
        <w:rPr>
          <w:rFonts w:hint="cs"/>
          <w:rtl/>
          <w:lang w:val="fr-CH"/>
        </w:rPr>
        <w:t xml:space="preserve">. وبالتالي فإن صاحبة البلاغ ليست حالياً في وضع يسمح لها بالادعاء بأنها ضحية وفقاً لمفهوم المادة 1 من البروتوكول الاختياري. </w:t>
      </w:r>
    </w:p>
    <w:p w:rsidR="00BC23FF" w:rsidRDefault="00BC23FF" w:rsidP="00D5336D">
      <w:pPr>
        <w:pStyle w:val="SingleTxtGA"/>
        <w:rPr>
          <w:rFonts w:hint="cs"/>
          <w:rtl/>
          <w:lang w:val="fr-CH"/>
        </w:rPr>
      </w:pPr>
      <w:r w:rsidRPr="002354B3">
        <w:rPr>
          <w:rFonts w:hint="cs"/>
          <w:spacing w:val="-2"/>
          <w:rtl/>
          <w:lang w:val="fr-CH"/>
        </w:rPr>
        <w:t>6-4</w:t>
      </w:r>
      <w:r w:rsidRPr="002354B3">
        <w:rPr>
          <w:rFonts w:hint="cs"/>
          <w:spacing w:val="-2"/>
          <w:rtl/>
          <w:lang w:val="fr-CH"/>
        </w:rPr>
        <w:tab/>
        <w:t>وفيما يتعلق با</w:t>
      </w:r>
      <w:r w:rsidR="001C7F96" w:rsidRPr="002354B3">
        <w:rPr>
          <w:rFonts w:hint="cs"/>
          <w:spacing w:val="-2"/>
          <w:rtl/>
          <w:lang w:val="fr-CH"/>
        </w:rPr>
        <w:t>دعاء ال</w:t>
      </w:r>
      <w:r w:rsidRPr="002354B3">
        <w:rPr>
          <w:rFonts w:hint="cs"/>
          <w:spacing w:val="-2"/>
          <w:rtl/>
          <w:lang w:val="fr-CH"/>
        </w:rPr>
        <w:t>انتهاك المزعوم للفقرة 3 من المادة 2 والفقرة 1 من المادة 14</w:t>
      </w:r>
      <w:r>
        <w:rPr>
          <w:rFonts w:hint="cs"/>
          <w:rtl/>
          <w:lang w:val="fr-CH"/>
        </w:rPr>
        <w:t xml:space="preserve"> من </w:t>
      </w:r>
      <w:r w:rsidRPr="00D5336D">
        <w:rPr>
          <w:rFonts w:hint="cs"/>
          <w:rtl/>
          <w:lang w:val="fr-CH"/>
        </w:rPr>
        <w:t>العهد، تلاحظ اللجنة أن صاحبة البلاغ لم تقدم ادعاءات بأنه</w:t>
      </w:r>
      <w:r w:rsidR="001C7F96" w:rsidRPr="00D5336D">
        <w:rPr>
          <w:rFonts w:hint="cs"/>
          <w:rtl/>
          <w:lang w:val="fr-CH"/>
        </w:rPr>
        <w:t>ا</w:t>
      </w:r>
      <w:r w:rsidRPr="00D5336D">
        <w:rPr>
          <w:rFonts w:hint="cs"/>
          <w:rtl/>
          <w:lang w:val="fr-CH"/>
        </w:rPr>
        <w:t xml:space="preserve"> عوملت بشكل تعسفي أو</w:t>
      </w:r>
      <w:r w:rsidR="002354B3" w:rsidRPr="00D5336D">
        <w:rPr>
          <w:rFonts w:hint="eastAsia"/>
          <w:rtl/>
          <w:lang w:val="fr-CH"/>
        </w:rPr>
        <w:t> </w:t>
      </w:r>
      <w:r w:rsidRPr="00D5336D">
        <w:rPr>
          <w:rFonts w:hint="cs"/>
          <w:rtl/>
          <w:lang w:val="fr-CH"/>
        </w:rPr>
        <w:t>تعرضت لظلم واضح أو غيرهما من الأسس المسموح بها لمراجعة القرارات القضائية ذات الصلة والإجراءات، لكنها اكتفت بالإش</w:t>
      </w:r>
      <w:r w:rsidR="001C7F96" w:rsidRPr="00D5336D">
        <w:rPr>
          <w:rFonts w:hint="cs"/>
          <w:rtl/>
          <w:lang w:val="fr-CH"/>
        </w:rPr>
        <w:t xml:space="preserve">ارة إلى حقوق زوجها السابق الذي </w:t>
      </w:r>
      <w:r w:rsidRPr="00D5336D">
        <w:rPr>
          <w:rFonts w:hint="cs"/>
          <w:rtl/>
          <w:lang w:val="fr-CH"/>
        </w:rPr>
        <w:t>ليس طرفاً في البلاغ الحالي. و</w:t>
      </w:r>
      <w:r w:rsidR="001C7F96" w:rsidRPr="00D5336D">
        <w:rPr>
          <w:rFonts w:hint="cs"/>
          <w:rtl/>
          <w:lang w:val="fr-CH"/>
        </w:rPr>
        <w:t xml:space="preserve">بالتالي، </w:t>
      </w:r>
      <w:r w:rsidRPr="00D5336D">
        <w:rPr>
          <w:rFonts w:hint="cs"/>
          <w:rtl/>
          <w:lang w:val="fr-CH"/>
        </w:rPr>
        <w:t>فإن اللجنة ترى أن الادعاءات المتعلقة بالفقرة 3 من المادة 2 والفقرة</w:t>
      </w:r>
      <w:r w:rsidR="00D5336D">
        <w:rPr>
          <w:rFonts w:hint="eastAsia"/>
          <w:rtl/>
          <w:lang w:val="fr-CH"/>
        </w:rPr>
        <w:t> </w:t>
      </w:r>
      <w:r w:rsidRPr="00D5336D">
        <w:rPr>
          <w:rFonts w:hint="cs"/>
          <w:rtl/>
          <w:lang w:val="fr-CH"/>
        </w:rPr>
        <w:t>1 من المادة</w:t>
      </w:r>
      <w:r>
        <w:rPr>
          <w:rFonts w:hint="cs"/>
          <w:rtl/>
          <w:lang w:val="fr-CH"/>
        </w:rPr>
        <w:t xml:space="preserve"> 14 من العهد لم تشفع بأدلة كافية لأغراض المقبولية وتخلص إلى أنها غير مقبولة بموجب المادة 2 من البروتوكول الاختياري. </w:t>
      </w:r>
    </w:p>
    <w:p w:rsidR="00BC23FF" w:rsidRDefault="001C7F96" w:rsidP="00BC23FF">
      <w:pPr>
        <w:pStyle w:val="SingleTxtGA"/>
        <w:rPr>
          <w:rFonts w:hint="cs"/>
          <w:rtl/>
          <w:lang w:val="fr-CH"/>
        </w:rPr>
      </w:pPr>
      <w:r>
        <w:rPr>
          <w:rFonts w:hint="cs"/>
          <w:rtl/>
          <w:lang w:val="fr-CH"/>
        </w:rPr>
        <w:t>7-</w:t>
      </w:r>
      <w:r>
        <w:rPr>
          <w:rFonts w:hint="cs"/>
          <w:rtl/>
          <w:lang w:val="fr-CH"/>
        </w:rPr>
        <w:tab/>
      </w:r>
      <w:r w:rsidR="00BC23FF">
        <w:rPr>
          <w:rFonts w:hint="cs"/>
          <w:rtl/>
          <w:lang w:val="fr-CH"/>
        </w:rPr>
        <w:t>لذلك تقرر اللجنة المعنية بحقوق الإنسان ما يلي:</w:t>
      </w:r>
    </w:p>
    <w:p w:rsidR="00BC23FF" w:rsidRDefault="00BC23FF" w:rsidP="00BC23FF">
      <w:pPr>
        <w:pStyle w:val="SingleTxtGA"/>
        <w:rPr>
          <w:rFonts w:hint="cs"/>
          <w:rtl/>
          <w:lang w:val="fr-CH"/>
        </w:rPr>
      </w:pPr>
      <w:r>
        <w:rPr>
          <w:rFonts w:hint="cs"/>
          <w:rtl/>
          <w:lang w:val="fr-CH"/>
        </w:rPr>
        <w:tab/>
        <w:t>(أ)</w:t>
      </w:r>
      <w:r>
        <w:rPr>
          <w:rFonts w:hint="cs"/>
          <w:rtl/>
          <w:lang w:val="fr-CH"/>
        </w:rPr>
        <w:tab/>
        <w:t>أن البلاغ غير مقبول بموجب المادتين 1 و2 من البروتوكول الاختياري؛</w:t>
      </w:r>
    </w:p>
    <w:p w:rsidR="00BC23FF" w:rsidRDefault="00BC23FF" w:rsidP="00BC23FF">
      <w:pPr>
        <w:pStyle w:val="SingleTxtGA"/>
        <w:rPr>
          <w:rFonts w:hint="cs"/>
          <w:rtl/>
          <w:lang w:val="fr-CH"/>
        </w:rPr>
      </w:pPr>
      <w:r>
        <w:rPr>
          <w:rFonts w:hint="cs"/>
          <w:rtl/>
          <w:lang w:val="fr-CH"/>
        </w:rPr>
        <w:tab/>
        <w:t>(ب)</w:t>
      </w:r>
      <w:r>
        <w:rPr>
          <w:rFonts w:hint="cs"/>
          <w:rtl/>
          <w:lang w:val="fr-CH"/>
        </w:rPr>
        <w:tab/>
        <w:t xml:space="preserve">أن هذا القرار سيُبلغ إلى الدولة الطرف وصاحبة البلاغ. </w:t>
      </w:r>
    </w:p>
    <w:p w:rsidR="00BC23FF" w:rsidRPr="002C539D" w:rsidRDefault="00BC23FF" w:rsidP="001C7F96">
      <w:pPr>
        <w:pStyle w:val="SingleTxtGA"/>
        <w:rPr>
          <w:rFonts w:hint="cs"/>
          <w:rtl/>
          <w:lang w:val="fr-CH"/>
        </w:rPr>
      </w:pPr>
      <w:r>
        <w:rPr>
          <w:rFonts w:hint="cs"/>
          <w:rtl/>
          <w:lang w:val="fr-CH"/>
        </w:rPr>
        <w:t>[اعتُمد بالإسبانية والإنكليزية والفرنسية، علماً بأن النص الإنكليزي هو النص الأصلي. وسيصدر لاحقاً بالروسية والصينية والعربية كجزء من تقرير</w:t>
      </w:r>
      <w:r w:rsidR="001C7F96">
        <w:rPr>
          <w:rFonts w:hint="cs"/>
          <w:rtl/>
          <w:lang w:val="fr-CH"/>
        </w:rPr>
        <w:t xml:space="preserve"> اللجنة</w:t>
      </w:r>
      <w:r>
        <w:rPr>
          <w:rFonts w:hint="cs"/>
          <w:rtl/>
          <w:lang w:val="fr-CH"/>
        </w:rPr>
        <w:t xml:space="preserve"> السنوي المقدم إلى الجمعية العامة.]</w:t>
      </w:r>
    </w:p>
    <w:p w:rsidR="00BC23FF" w:rsidRPr="00154A9E" w:rsidRDefault="00154A9E" w:rsidP="00154A9E">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BC23FF" w:rsidRPr="00D2343E" w:rsidRDefault="00BC23FF" w:rsidP="00BC23FF">
      <w:pPr>
        <w:pStyle w:val="SingleTxtGA"/>
        <w:rPr>
          <w:rFonts w:hint="cs"/>
          <w:rtl/>
        </w:rPr>
      </w:pPr>
    </w:p>
    <w:sectPr w:rsidR="00BC23FF" w:rsidRPr="00D2343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1A" w:rsidRPr="00FE6865" w:rsidRDefault="00746A1A" w:rsidP="00FE6865">
      <w:pPr>
        <w:pStyle w:val="Footer"/>
      </w:pPr>
    </w:p>
  </w:endnote>
  <w:endnote w:type="continuationSeparator" w:id="0">
    <w:p w:rsidR="00746A1A" w:rsidRDefault="00746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52" w:rsidRPr="00BC23FF" w:rsidRDefault="00842A52" w:rsidP="00BC23FF">
    <w:pPr>
      <w:pStyle w:val="Footer"/>
      <w:tabs>
        <w:tab w:val="right" w:pos="9598"/>
      </w:tabs>
    </w:pPr>
    <w:r>
      <w:t>GE.14-42899</w:t>
    </w:r>
    <w:r>
      <w:tab/>
    </w:r>
    <w:r w:rsidRPr="00BC23FF">
      <w:rPr>
        <w:b/>
        <w:sz w:val="18"/>
      </w:rPr>
      <w:fldChar w:fldCharType="begin"/>
    </w:r>
    <w:r w:rsidRPr="00BC23FF">
      <w:rPr>
        <w:b/>
        <w:sz w:val="18"/>
      </w:rPr>
      <w:instrText xml:space="preserve"> PAGE  \* MERGEFORMAT </w:instrText>
    </w:r>
    <w:r w:rsidRPr="00BC23FF">
      <w:rPr>
        <w:b/>
        <w:sz w:val="18"/>
      </w:rPr>
      <w:fldChar w:fldCharType="separate"/>
    </w:r>
    <w:r w:rsidR="00A5770A">
      <w:rPr>
        <w:b/>
        <w:noProof/>
        <w:sz w:val="18"/>
      </w:rPr>
      <w:t>10</w:t>
    </w:r>
    <w:r w:rsidRPr="00BC23F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52" w:rsidRPr="00BC23FF" w:rsidRDefault="00842A52" w:rsidP="00BC23FF">
    <w:pPr>
      <w:pStyle w:val="Footer"/>
      <w:tabs>
        <w:tab w:val="right" w:pos="9598"/>
      </w:tabs>
      <w:rPr>
        <w:b/>
        <w:sz w:val="18"/>
      </w:rPr>
    </w:pPr>
    <w:r w:rsidRPr="00BC23FF">
      <w:rPr>
        <w:b/>
        <w:sz w:val="18"/>
      </w:rPr>
      <w:fldChar w:fldCharType="begin"/>
    </w:r>
    <w:r w:rsidRPr="00BC23FF">
      <w:rPr>
        <w:b/>
        <w:sz w:val="18"/>
      </w:rPr>
      <w:instrText xml:space="preserve"> PAGE  \* MERGEFORMAT </w:instrText>
    </w:r>
    <w:r w:rsidRPr="00BC23FF">
      <w:rPr>
        <w:b/>
        <w:sz w:val="18"/>
      </w:rPr>
      <w:fldChar w:fldCharType="separate"/>
    </w:r>
    <w:r w:rsidR="00A5770A">
      <w:rPr>
        <w:b/>
        <w:noProof/>
        <w:sz w:val="18"/>
      </w:rPr>
      <w:t>9</w:t>
    </w:r>
    <w:r w:rsidRPr="00BC23FF">
      <w:rPr>
        <w:b/>
        <w:sz w:val="18"/>
      </w:rPr>
      <w:fldChar w:fldCharType="end"/>
    </w:r>
    <w:r>
      <w:rPr>
        <w:b/>
        <w:sz w:val="18"/>
      </w:rPr>
      <w:tab/>
    </w:r>
    <w:r>
      <w:t>GE.14-42899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52" w:rsidRDefault="00842A52" w:rsidP="00031F1E">
    <w:pPr>
      <w:pStyle w:val="Footer"/>
      <w:jc w:val="right"/>
      <w:rPr>
        <w:rFonts w:hint="cs"/>
      </w:rPr>
    </w:pPr>
    <w:r>
      <w:rPr>
        <w:sz w:val="20"/>
      </w:rPr>
      <w:t>(A)   GE.14-42899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040714    070714</w:t>
    </w:r>
    <w:r>
      <w:br/>
    </w:r>
    <w:r w:rsidRPr="005A21F5">
      <w:rPr>
        <w:rFonts w:ascii="C39T30Lfz" w:hAnsi="C39T30Lfz"/>
        <w:sz w:val="56"/>
      </w:rPr>
      <w:t></w:t>
    </w:r>
    <w:r w:rsidRPr="005A21F5">
      <w:rPr>
        <w:rFonts w:ascii="C39T30Lfz" w:hAnsi="C39T30Lfz"/>
        <w:sz w:val="56"/>
      </w:rPr>
      <w:t></w:t>
    </w:r>
    <w:r w:rsidRPr="005A21F5">
      <w:rPr>
        <w:rFonts w:ascii="C39T30Lfz" w:hAnsi="C39T30Lfz"/>
        <w:sz w:val="56"/>
      </w:rPr>
      <w:t></w:t>
    </w:r>
    <w:r w:rsidRPr="005A21F5">
      <w:rPr>
        <w:rFonts w:ascii="C39T30Lfz" w:hAnsi="C39T30Lfz"/>
        <w:sz w:val="56"/>
      </w:rPr>
      <w:t></w:t>
    </w:r>
    <w:r w:rsidRPr="005A21F5">
      <w:rPr>
        <w:rFonts w:ascii="C39T30Lfz" w:hAnsi="C39T30Lfz"/>
        <w:sz w:val="56"/>
      </w:rPr>
      <w:t></w:t>
    </w:r>
    <w:r w:rsidRPr="005A21F5">
      <w:rPr>
        <w:rFonts w:ascii="C39T30Lfz" w:hAnsi="C39T30Lfz"/>
        <w:sz w:val="56"/>
      </w:rPr>
      <w:t></w:t>
    </w:r>
    <w:r w:rsidRPr="005A21F5">
      <w:rPr>
        <w:rFonts w:ascii="C39T30Lfz" w:hAnsi="C39T30Lfz"/>
        <w:sz w:val="56"/>
      </w:rPr>
      <w:t></w:t>
    </w:r>
    <w:r w:rsidRPr="005A21F5">
      <w:rPr>
        <w:rFonts w:ascii="C39T30Lfz" w:hAnsi="C39T30Lfz"/>
        <w:sz w:val="56"/>
      </w:rPr>
      <w:t></w:t>
    </w:r>
    <w:r w:rsidRPr="005A21F5">
      <w:rPr>
        <w:rFonts w:ascii="C39T30Lfz" w:hAnsi="C39T30Lfz"/>
        <w:sz w:val="56"/>
      </w:rPr>
      <w:t></w:t>
    </w:r>
    <w:r>
      <w:rPr>
        <w:noProof/>
        <w:lang w:val="en-US"/>
      </w:rPr>
      <w:pict>
        <v:shape id="_x0000_s2054" type="#_x0000_t75" style="position:absolute;left:0;text-align:left;margin-left:.05pt;margin-top:0;width:50.25pt;height:50.25pt;z-index:3;mso-position-horizontal-relative:text;mso-position-vertical-relative:text" o:allowincell="f">
          <v:imagedata r:id="rId2" o:title="2012&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1A" w:rsidRDefault="00746A1A" w:rsidP="007E4686">
      <w:pPr>
        <w:pStyle w:val="Footer"/>
        <w:bidi/>
        <w:spacing w:after="80" w:line="200" w:lineRule="exact"/>
        <w:ind w:left="680"/>
      </w:pPr>
      <w:r>
        <w:rPr>
          <w:rFonts w:hint="cs"/>
          <w:rtl/>
        </w:rPr>
        <w:t>__________</w:t>
      </w:r>
    </w:p>
  </w:footnote>
  <w:footnote w:type="continuationSeparator" w:id="0">
    <w:p w:rsidR="00746A1A" w:rsidRDefault="00746A1A" w:rsidP="007E4686">
      <w:pPr>
        <w:pStyle w:val="Footer"/>
        <w:bidi/>
        <w:spacing w:after="80" w:line="200" w:lineRule="exact"/>
        <w:ind w:left="680"/>
      </w:pPr>
      <w:r>
        <w:rPr>
          <w:rFonts w:hint="cs"/>
          <w:rtl/>
        </w:rPr>
        <w:t>__________</w:t>
      </w:r>
    </w:p>
  </w:footnote>
  <w:footnote w:id="1">
    <w:p w:rsidR="00842A52" w:rsidRPr="0094776A" w:rsidRDefault="00842A52" w:rsidP="00BC23FF">
      <w:pPr>
        <w:pStyle w:val="footnoteText0"/>
        <w:rPr>
          <w:rFonts w:hint="cs"/>
          <w:rtl/>
        </w:rPr>
      </w:pPr>
      <w:r w:rsidRPr="0094776A">
        <w:rPr>
          <w:rtl/>
        </w:rPr>
        <w:tab/>
      </w:r>
      <w:r w:rsidRPr="0094776A">
        <w:rPr>
          <w:rStyle w:val="FootnoteReference"/>
          <w:szCs w:val="26"/>
          <w:vertAlign w:val="baseline"/>
          <w:rtl/>
        </w:rPr>
        <w:t>*</w:t>
      </w:r>
      <w:r w:rsidRPr="0094776A">
        <w:rPr>
          <w:rtl/>
        </w:rPr>
        <w:tab/>
      </w:r>
      <w:r w:rsidRPr="0094776A">
        <w:rPr>
          <w:rFonts w:hint="cs"/>
          <w:rtl/>
        </w:rPr>
        <w:t xml:space="preserve">شارك في دراسة هذا البلاغ أعضاء اللجنة التالية أسماؤهم: السيد </w:t>
      </w:r>
      <w:r>
        <w:rPr>
          <w:rFonts w:hint="cs"/>
          <w:rtl/>
        </w:rPr>
        <w:t xml:space="preserve">عياض بن </w:t>
      </w:r>
      <w:r w:rsidRPr="0094776A">
        <w:rPr>
          <w:rFonts w:hint="cs"/>
          <w:rtl/>
        </w:rPr>
        <w:t xml:space="preserve">عاشور، والسيد </w:t>
      </w:r>
      <w:r>
        <w:rPr>
          <w:rFonts w:hint="cs"/>
          <w:rtl/>
        </w:rPr>
        <w:t>ل</w:t>
      </w:r>
      <w:r w:rsidRPr="0094776A">
        <w:rPr>
          <w:rtl/>
        </w:rPr>
        <w:t>زه</w:t>
      </w:r>
      <w:r>
        <w:rPr>
          <w:rFonts w:hint="cs"/>
          <w:rtl/>
        </w:rPr>
        <w:t>ا</w:t>
      </w:r>
      <w:r w:rsidRPr="0094776A">
        <w:rPr>
          <w:rtl/>
        </w:rPr>
        <w:t xml:space="preserve">ري بوزيد، والسيدة كريستين شانيه، والسيد أحمد أمين فتح الله، </w:t>
      </w:r>
      <w:r w:rsidRPr="0094776A">
        <w:rPr>
          <w:rFonts w:hint="cs"/>
          <w:rtl/>
        </w:rPr>
        <w:t xml:space="preserve">والسيد كورنيليس فلينترمان، </w:t>
      </w:r>
      <w:r w:rsidRPr="0094776A">
        <w:rPr>
          <w:rtl/>
        </w:rPr>
        <w:t>والسيد يو</w:t>
      </w:r>
      <w:r>
        <w:rPr>
          <w:rFonts w:hint="cs"/>
          <w:rtl/>
        </w:rPr>
        <w:t>جي</w:t>
      </w:r>
      <w:r w:rsidRPr="0094776A">
        <w:rPr>
          <w:rtl/>
        </w:rPr>
        <w:t xml:space="preserve"> إواساوا، والسيد </w:t>
      </w:r>
      <w:r>
        <w:rPr>
          <w:rFonts w:hint="cs"/>
          <w:rtl/>
        </w:rPr>
        <w:t>ف</w:t>
      </w:r>
      <w:r w:rsidRPr="0094776A">
        <w:rPr>
          <w:rFonts w:hint="cs"/>
          <w:rtl/>
        </w:rPr>
        <w:t>التر</w:t>
      </w:r>
      <w:r>
        <w:rPr>
          <w:rFonts w:hint="cs"/>
          <w:rtl/>
        </w:rPr>
        <w:t xml:space="preserve"> </w:t>
      </w:r>
      <w:r w:rsidRPr="0094776A">
        <w:rPr>
          <w:rFonts w:hint="cs"/>
          <w:rtl/>
        </w:rPr>
        <w:t>كالين</w:t>
      </w:r>
      <w:r w:rsidRPr="0094776A">
        <w:rPr>
          <w:rtl/>
        </w:rPr>
        <w:t>، والسيدة زونك</w:t>
      </w:r>
      <w:r>
        <w:rPr>
          <w:rFonts w:hint="cs"/>
          <w:rtl/>
        </w:rPr>
        <w:t>ي</w:t>
      </w:r>
      <w:r w:rsidRPr="0094776A">
        <w:rPr>
          <w:rtl/>
        </w:rPr>
        <w:t xml:space="preserve"> زانيلي ماجودينا، </w:t>
      </w:r>
      <w:r w:rsidRPr="0094776A">
        <w:rPr>
          <w:rFonts w:hint="cs"/>
          <w:rtl/>
        </w:rPr>
        <w:t>والسيد جيرالد ل. نومان، والسير نايجل رودلي، والسيد فيكتور مانويل رودريغيس - ري</w:t>
      </w:r>
      <w:r>
        <w:rPr>
          <w:rFonts w:hint="cs"/>
          <w:rtl/>
        </w:rPr>
        <w:t>ّس</w:t>
      </w:r>
      <w:r w:rsidRPr="0094776A">
        <w:rPr>
          <w:rFonts w:hint="cs"/>
          <w:rtl/>
        </w:rPr>
        <w:t xml:space="preserve">يا، </w:t>
      </w:r>
      <w:r w:rsidRPr="0094776A">
        <w:rPr>
          <w:rtl/>
        </w:rPr>
        <w:t xml:space="preserve">والسيد فابيان عمر سالفيولي، </w:t>
      </w:r>
      <w:r w:rsidRPr="0094776A">
        <w:rPr>
          <w:rFonts w:hint="cs"/>
          <w:rtl/>
        </w:rPr>
        <w:t xml:space="preserve">والسيد </w:t>
      </w:r>
      <w:r>
        <w:rPr>
          <w:rFonts w:hint="cs"/>
          <w:rtl/>
        </w:rPr>
        <w:t>أ</w:t>
      </w:r>
      <w:r w:rsidRPr="0094776A">
        <w:rPr>
          <w:rFonts w:hint="cs"/>
          <w:rtl/>
        </w:rPr>
        <w:t xml:space="preserve">نيا </w:t>
      </w:r>
      <w:r>
        <w:rPr>
          <w:rFonts w:hint="cs"/>
          <w:rtl/>
        </w:rPr>
        <w:t>زا</w:t>
      </w:r>
      <w:r w:rsidRPr="0094776A">
        <w:rPr>
          <w:rFonts w:hint="cs"/>
          <w:rtl/>
        </w:rPr>
        <w:t>يبرت - فور، والسيد يوفال شاني، والسيد</w:t>
      </w:r>
      <w:r>
        <w:rPr>
          <w:rFonts w:hint="cs"/>
          <w:rtl/>
        </w:rPr>
        <w:t>ة</w:t>
      </w:r>
      <w:r w:rsidRPr="0094776A">
        <w:rPr>
          <w:rFonts w:hint="cs"/>
          <w:rtl/>
        </w:rPr>
        <w:t xml:space="preserve"> مارغو واترفال، والسيد أندري بول </w:t>
      </w:r>
      <w:r>
        <w:rPr>
          <w:rFonts w:hint="cs"/>
          <w:rtl/>
        </w:rPr>
        <w:t>ز</w:t>
      </w:r>
      <w:r w:rsidRPr="0094776A">
        <w:rPr>
          <w:rFonts w:hint="cs"/>
          <w:rtl/>
        </w:rPr>
        <w:t>لاتيسكو.</w:t>
      </w:r>
    </w:p>
  </w:footnote>
  <w:footnote w:id="2">
    <w:p w:rsidR="00842A52" w:rsidRPr="0094776A" w:rsidRDefault="00842A52" w:rsidP="00BC23FF">
      <w:pPr>
        <w:pStyle w:val="FootnoteText"/>
        <w:numPr>
          <w:ilvl w:val="0"/>
          <w:numId w:val="40"/>
        </w:numPr>
        <w:tabs>
          <w:tab w:val="clear" w:pos="1293"/>
        </w:tabs>
        <w:spacing w:after="60" w:line="300" w:lineRule="exact"/>
        <w:ind w:left="1247" w:right="1247"/>
        <w:rPr>
          <w:rFonts w:hint="cs"/>
          <w:sz w:val="18"/>
          <w:szCs w:val="26"/>
        </w:rPr>
      </w:pPr>
      <w:r w:rsidRPr="0094776A">
        <w:rPr>
          <w:rFonts w:hint="cs"/>
          <w:sz w:val="18"/>
          <w:szCs w:val="26"/>
          <w:rtl/>
        </w:rPr>
        <w:t xml:space="preserve">دخل البروتوكول الاختياري حيز النفاذ بالنسبة للدولة الطرف في 26 </w:t>
      </w:r>
      <w:r>
        <w:rPr>
          <w:rFonts w:hint="cs"/>
          <w:sz w:val="18"/>
          <w:szCs w:val="26"/>
          <w:rtl/>
        </w:rPr>
        <w:t>أيار/مايو</w:t>
      </w:r>
      <w:r w:rsidRPr="0094776A">
        <w:rPr>
          <w:rFonts w:hint="cs"/>
          <w:sz w:val="18"/>
          <w:szCs w:val="26"/>
          <w:rtl/>
        </w:rPr>
        <w:t xml:space="preserve"> 1989.</w:t>
      </w:r>
    </w:p>
  </w:footnote>
  <w:footnote w:id="3">
    <w:p w:rsidR="00842A52" w:rsidRPr="0094776A" w:rsidRDefault="00842A52" w:rsidP="00031F1E">
      <w:pPr>
        <w:pStyle w:val="FootnoteText"/>
        <w:numPr>
          <w:ilvl w:val="0"/>
          <w:numId w:val="40"/>
        </w:numPr>
        <w:tabs>
          <w:tab w:val="clear" w:pos="1293"/>
        </w:tabs>
        <w:spacing w:after="60" w:line="300" w:lineRule="exact"/>
        <w:ind w:left="1247" w:right="1247"/>
        <w:rPr>
          <w:rFonts w:hint="cs"/>
          <w:sz w:val="18"/>
          <w:szCs w:val="26"/>
        </w:rPr>
      </w:pPr>
      <w:r w:rsidRPr="0094776A">
        <w:rPr>
          <w:rFonts w:hint="cs"/>
          <w:sz w:val="18"/>
          <w:szCs w:val="26"/>
          <w:rtl/>
        </w:rPr>
        <w:t xml:space="preserve">في الثمانينات والتسعينات </w:t>
      </w:r>
      <w:r>
        <w:rPr>
          <w:rFonts w:hint="cs"/>
          <w:sz w:val="18"/>
          <w:szCs w:val="26"/>
          <w:rtl/>
        </w:rPr>
        <w:t xml:space="preserve">من القرن الماضي، </w:t>
      </w:r>
      <w:r w:rsidRPr="0094776A">
        <w:rPr>
          <w:rFonts w:hint="cs"/>
          <w:sz w:val="18"/>
          <w:szCs w:val="26"/>
          <w:rtl/>
        </w:rPr>
        <w:t xml:space="preserve">شاركت لجان </w:t>
      </w:r>
      <w:r>
        <w:rPr>
          <w:rFonts w:hint="cs"/>
          <w:sz w:val="18"/>
          <w:szCs w:val="26"/>
          <w:rtl/>
        </w:rPr>
        <w:t>الجيرة</w:t>
      </w:r>
      <w:r w:rsidRPr="0094776A">
        <w:rPr>
          <w:rFonts w:hint="cs"/>
          <w:sz w:val="18"/>
          <w:szCs w:val="26"/>
          <w:rtl/>
        </w:rPr>
        <w:t xml:space="preserve">/الشوارع بصورة </w:t>
      </w:r>
      <w:r>
        <w:rPr>
          <w:rFonts w:hint="cs"/>
          <w:sz w:val="18"/>
          <w:szCs w:val="26"/>
          <w:rtl/>
        </w:rPr>
        <w:t xml:space="preserve">مكثفة </w:t>
      </w:r>
      <w:r w:rsidRPr="0094776A">
        <w:rPr>
          <w:rFonts w:hint="cs"/>
          <w:sz w:val="18"/>
          <w:szCs w:val="26"/>
          <w:rtl/>
        </w:rPr>
        <w:t xml:space="preserve">في إنفاذ القوانين </w:t>
      </w:r>
      <w:r>
        <w:rPr>
          <w:rFonts w:hint="cs"/>
          <w:sz w:val="18"/>
          <w:szCs w:val="26"/>
          <w:rtl/>
        </w:rPr>
        <w:t xml:space="preserve">والوساطة </w:t>
      </w:r>
      <w:r w:rsidRPr="0094776A">
        <w:rPr>
          <w:rFonts w:hint="cs"/>
          <w:sz w:val="18"/>
          <w:szCs w:val="26"/>
          <w:rtl/>
        </w:rPr>
        <w:t>لحل المنازعات، على المستوى المحلي.</w:t>
      </w:r>
    </w:p>
  </w:footnote>
  <w:footnote w:id="4">
    <w:p w:rsidR="00842A52" w:rsidRPr="0094776A" w:rsidRDefault="00842A52" w:rsidP="00BC23FF">
      <w:pPr>
        <w:pStyle w:val="FootnoteText"/>
        <w:numPr>
          <w:ilvl w:val="0"/>
          <w:numId w:val="40"/>
        </w:numPr>
        <w:tabs>
          <w:tab w:val="clear" w:pos="1293"/>
        </w:tabs>
        <w:spacing w:after="60" w:line="300" w:lineRule="exact"/>
        <w:ind w:left="1247" w:right="1247"/>
        <w:rPr>
          <w:rFonts w:hint="cs"/>
          <w:sz w:val="18"/>
          <w:szCs w:val="26"/>
        </w:rPr>
      </w:pPr>
      <w:r>
        <w:rPr>
          <w:rFonts w:hint="cs"/>
          <w:sz w:val="18"/>
          <w:szCs w:val="26"/>
          <w:rtl/>
        </w:rPr>
        <w:t xml:space="preserve">لم تقدم صاحبة البلاغ شرحاً </w:t>
      </w:r>
      <w:r w:rsidRPr="0094776A">
        <w:rPr>
          <w:rFonts w:hint="cs"/>
          <w:sz w:val="18"/>
          <w:szCs w:val="26"/>
          <w:rtl/>
        </w:rPr>
        <w:t>لسبب سحب الاستئناف.</w:t>
      </w:r>
    </w:p>
  </w:footnote>
  <w:footnote w:id="5">
    <w:p w:rsidR="00842A52" w:rsidRPr="0094776A" w:rsidRDefault="00842A52" w:rsidP="00D932BC">
      <w:pPr>
        <w:pStyle w:val="FootnoteText"/>
        <w:numPr>
          <w:ilvl w:val="0"/>
          <w:numId w:val="40"/>
        </w:numPr>
        <w:tabs>
          <w:tab w:val="clear" w:pos="1293"/>
        </w:tabs>
        <w:spacing w:after="60" w:line="300" w:lineRule="exact"/>
        <w:ind w:left="1247" w:right="1247"/>
        <w:rPr>
          <w:rFonts w:hint="cs"/>
          <w:sz w:val="18"/>
          <w:szCs w:val="26"/>
        </w:rPr>
      </w:pPr>
      <w:r w:rsidRPr="0094776A">
        <w:rPr>
          <w:sz w:val="18"/>
          <w:szCs w:val="26"/>
        </w:rPr>
        <w:t>HC Auckland CIV-2005-404-5202</w:t>
      </w:r>
      <w:r w:rsidRPr="0094776A">
        <w:rPr>
          <w:rFonts w:hint="cs"/>
          <w:sz w:val="18"/>
          <w:szCs w:val="26"/>
          <w:rtl/>
        </w:rPr>
        <w:t>،</w:t>
      </w:r>
      <w:r>
        <w:rPr>
          <w:rFonts w:hint="cs"/>
          <w:sz w:val="18"/>
          <w:szCs w:val="26"/>
          <w:rtl/>
        </w:rPr>
        <w:t xml:space="preserve"> بتاريخ </w:t>
      </w:r>
      <w:r w:rsidRPr="0094776A">
        <w:rPr>
          <w:rFonts w:hint="cs"/>
          <w:sz w:val="18"/>
          <w:szCs w:val="26"/>
          <w:rtl/>
        </w:rPr>
        <w:t>29 كانون الأول/ديسمبر 2006، انظر المرفق باء.</w:t>
      </w:r>
    </w:p>
  </w:footnote>
  <w:footnote w:id="6">
    <w:p w:rsidR="00842A52" w:rsidRPr="0094776A" w:rsidRDefault="00842A52" w:rsidP="00D932BC">
      <w:pPr>
        <w:pStyle w:val="FootnoteText"/>
        <w:numPr>
          <w:ilvl w:val="0"/>
          <w:numId w:val="40"/>
        </w:numPr>
        <w:tabs>
          <w:tab w:val="clear" w:pos="1293"/>
        </w:tabs>
        <w:spacing w:after="60" w:line="300" w:lineRule="exact"/>
        <w:ind w:left="1247" w:right="1247"/>
        <w:rPr>
          <w:rFonts w:hint="cs"/>
          <w:sz w:val="18"/>
          <w:szCs w:val="26"/>
        </w:rPr>
      </w:pPr>
      <w:r w:rsidRPr="00D932BC">
        <w:rPr>
          <w:rFonts w:hint="cs"/>
          <w:i/>
          <w:iCs/>
          <w:sz w:val="18"/>
          <w:szCs w:val="26"/>
          <w:rtl/>
        </w:rPr>
        <w:t>اكس. كيو. ايتش. ضد وزيرة الهجرة</w:t>
      </w:r>
      <w:r w:rsidRPr="0094776A">
        <w:rPr>
          <w:rFonts w:hint="cs"/>
          <w:sz w:val="18"/>
          <w:szCs w:val="26"/>
          <w:rtl/>
        </w:rPr>
        <w:t xml:space="preserve">، </w:t>
      </w:r>
      <w:r w:rsidRPr="0094776A">
        <w:rPr>
          <w:sz w:val="18"/>
          <w:szCs w:val="26"/>
        </w:rPr>
        <w:t>CA 236/06</w:t>
      </w:r>
      <w:r w:rsidRPr="0094776A">
        <w:rPr>
          <w:rFonts w:hint="cs"/>
          <w:sz w:val="18"/>
          <w:szCs w:val="26"/>
          <w:rtl/>
        </w:rPr>
        <w:t xml:space="preserve">، المؤرخ 18 كانون الأول/ديسمبر 2006؛ </w:t>
      </w:r>
      <w:r w:rsidRPr="00D932BC">
        <w:rPr>
          <w:rFonts w:hint="cs"/>
          <w:i/>
          <w:iCs/>
          <w:sz w:val="18"/>
          <w:szCs w:val="26"/>
          <w:rtl/>
        </w:rPr>
        <w:t>واكس. كيو. ايتش ضد وزيرة الهجرة</w:t>
      </w:r>
      <w:r w:rsidRPr="0094776A">
        <w:rPr>
          <w:rFonts w:hint="cs"/>
          <w:sz w:val="18"/>
          <w:szCs w:val="26"/>
          <w:rtl/>
        </w:rPr>
        <w:t xml:space="preserve"> (2009) </w:t>
      </w:r>
      <w:r w:rsidRPr="0094776A">
        <w:rPr>
          <w:sz w:val="18"/>
          <w:szCs w:val="26"/>
        </w:rPr>
        <w:t>2 NZLR 700 (CA)</w:t>
      </w:r>
      <w:r w:rsidRPr="0094776A">
        <w:rPr>
          <w:rFonts w:hint="cs"/>
          <w:sz w:val="18"/>
          <w:szCs w:val="26"/>
          <w:rtl/>
        </w:rPr>
        <w:t>، المرفقان جيم ودال.</w:t>
      </w:r>
    </w:p>
  </w:footnote>
  <w:footnote w:id="7">
    <w:p w:rsidR="00842A52" w:rsidRPr="0094776A" w:rsidRDefault="00842A52" w:rsidP="000C6CDC">
      <w:pPr>
        <w:pStyle w:val="FootnoteText"/>
        <w:numPr>
          <w:ilvl w:val="0"/>
          <w:numId w:val="40"/>
        </w:numPr>
        <w:tabs>
          <w:tab w:val="clear" w:pos="1293"/>
        </w:tabs>
        <w:spacing w:after="60" w:line="300" w:lineRule="exact"/>
        <w:ind w:left="1247" w:right="1247"/>
        <w:rPr>
          <w:rFonts w:hint="cs"/>
          <w:sz w:val="18"/>
          <w:szCs w:val="26"/>
        </w:rPr>
      </w:pPr>
      <w:r w:rsidRPr="0094776A">
        <w:rPr>
          <w:rFonts w:hint="cs"/>
          <w:sz w:val="18"/>
          <w:szCs w:val="26"/>
          <w:rtl/>
        </w:rPr>
        <w:t xml:space="preserve">البلاغ رقم 930/2000، </w:t>
      </w:r>
      <w:r w:rsidRPr="00031F1E">
        <w:rPr>
          <w:rFonts w:hint="cs"/>
          <w:i/>
          <w:iCs/>
          <w:sz w:val="18"/>
          <w:szCs w:val="26"/>
          <w:rtl/>
        </w:rPr>
        <w:t>و</w:t>
      </w:r>
      <w:r w:rsidRPr="0094776A">
        <w:rPr>
          <w:rFonts w:hint="cs"/>
          <w:i/>
          <w:iCs/>
          <w:sz w:val="18"/>
          <w:szCs w:val="26"/>
          <w:rtl/>
        </w:rPr>
        <w:t>يناتا ضد أستراليا</w:t>
      </w:r>
      <w:r w:rsidRPr="0094776A">
        <w:rPr>
          <w:rFonts w:hint="cs"/>
          <w:sz w:val="18"/>
          <w:szCs w:val="26"/>
          <w:rtl/>
        </w:rPr>
        <w:t xml:space="preserve">، </w:t>
      </w:r>
      <w:r>
        <w:rPr>
          <w:rFonts w:hint="cs"/>
          <w:sz w:val="18"/>
          <w:szCs w:val="26"/>
          <w:rtl/>
        </w:rPr>
        <w:t>ال</w:t>
      </w:r>
      <w:r w:rsidRPr="0094776A">
        <w:rPr>
          <w:rFonts w:hint="cs"/>
          <w:sz w:val="18"/>
          <w:szCs w:val="26"/>
          <w:rtl/>
        </w:rPr>
        <w:t xml:space="preserve">آراء </w:t>
      </w:r>
      <w:r>
        <w:rPr>
          <w:rFonts w:hint="cs"/>
          <w:sz w:val="18"/>
          <w:szCs w:val="26"/>
          <w:rtl/>
        </w:rPr>
        <w:t xml:space="preserve">المعتمدة </w:t>
      </w:r>
      <w:r w:rsidRPr="0094776A">
        <w:rPr>
          <w:rFonts w:hint="cs"/>
          <w:sz w:val="18"/>
          <w:szCs w:val="26"/>
          <w:rtl/>
        </w:rPr>
        <w:t>في 26 تموز/يوليه 2001.</w:t>
      </w:r>
    </w:p>
  </w:footnote>
  <w:footnote w:id="8">
    <w:p w:rsidR="00842A52" w:rsidRPr="0094776A" w:rsidRDefault="00842A52" w:rsidP="000C6CDC">
      <w:pPr>
        <w:pStyle w:val="FootnoteText"/>
        <w:numPr>
          <w:ilvl w:val="0"/>
          <w:numId w:val="40"/>
        </w:numPr>
        <w:tabs>
          <w:tab w:val="clear" w:pos="1293"/>
        </w:tabs>
        <w:spacing w:after="60" w:line="300" w:lineRule="exact"/>
        <w:ind w:left="1247" w:right="1247"/>
        <w:rPr>
          <w:rFonts w:hint="cs"/>
          <w:sz w:val="18"/>
          <w:szCs w:val="26"/>
        </w:rPr>
      </w:pPr>
      <w:r w:rsidRPr="0094776A">
        <w:rPr>
          <w:rFonts w:hint="cs"/>
          <w:sz w:val="18"/>
          <w:szCs w:val="26"/>
          <w:rtl/>
        </w:rPr>
        <w:t xml:space="preserve">البلاغ رقم 893/1999، </w:t>
      </w:r>
      <w:r w:rsidRPr="0094776A">
        <w:rPr>
          <w:rFonts w:hint="cs"/>
          <w:i/>
          <w:iCs/>
          <w:sz w:val="18"/>
          <w:szCs w:val="26"/>
          <w:rtl/>
        </w:rPr>
        <w:t>س</w:t>
      </w:r>
      <w:r>
        <w:rPr>
          <w:rFonts w:hint="cs"/>
          <w:i/>
          <w:iCs/>
          <w:sz w:val="18"/>
          <w:szCs w:val="26"/>
          <w:rtl/>
        </w:rPr>
        <w:t>ع</w:t>
      </w:r>
      <w:r w:rsidRPr="0094776A">
        <w:rPr>
          <w:rFonts w:hint="cs"/>
          <w:i/>
          <w:iCs/>
          <w:sz w:val="18"/>
          <w:szCs w:val="26"/>
          <w:rtl/>
        </w:rPr>
        <w:t>يد ضد نيوزيلندا</w:t>
      </w:r>
      <w:r w:rsidRPr="0094776A">
        <w:rPr>
          <w:rFonts w:hint="cs"/>
          <w:sz w:val="18"/>
          <w:szCs w:val="26"/>
          <w:rtl/>
        </w:rPr>
        <w:t xml:space="preserve">، </w:t>
      </w:r>
      <w:r>
        <w:rPr>
          <w:rFonts w:hint="cs"/>
          <w:sz w:val="18"/>
          <w:szCs w:val="26"/>
          <w:rtl/>
        </w:rPr>
        <w:t>ال</w:t>
      </w:r>
      <w:r w:rsidRPr="0094776A">
        <w:rPr>
          <w:rFonts w:hint="cs"/>
          <w:sz w:val="18"/>
          <w:szCs w:val="26"/>
          <w:rtl/>
        </w:rPr>
        <w:t xml:space="preserve">آراء </w:t>
      </w:r>
      <w:r>
        <w:rPr>
          <w:rFonts w:hint="cs"/>
          <w:sz w:val="18"/>
          <w:szCs w:val="26"/>
          <w:rtl/>
        </w:rPr>
        <w:t xml:space="preserve">المعتمدة </w:t>
      </w:r>
      <w:r w:rsidRPr="0094776A">
        <w:rPr>
          <w:rFonts w:hint="cs"/>
          <w:sz w:val="18"/>
          <w:szCs w:val="26"/>
          <w:rtl/>
        </w:rPr>
        <w:t>في 28 آذار/مارس 2003.</w:t>
      </w:r>
    </w:p>
  </w:footnote>
  <w:footnote w:id="9">
    <w:p w:rsidR="00842A52" w:rsidRPr="00326FFD" w:rsidRDefault="00842A52" w:rsidP="00BC23FF">
      <w:pPr>
        <w:pStyle w:val="FootnoteText"/>
        <w:numPr>
          <w:ilvl w:val="0"/>
          <w:numId w:val="40"/>
        </w:numPr>
        <w:tabs>
          <w:tab w:val="clear" w:pos="1293"/>
        </w:tabs>
        <w:spacing w:after="60" w:line="300" w:lineRule="exact"/>
        <w:ind w:left="1247" w:right="1247"/>
        <w:rPr>
          <w:rFonts w:hint="cs"/>
          <w:sz w:val="24"/>
          <w:szCs w:val="32"/>
        </w:rPr>
      </w:pPr>
      <w:r w:rsidRPr="00326FFD">
        <w:rPr>
          <w:rFonts w:hint="cs"/>
          <w:sz w:val="26"/>
          <w:szCs w:val="26"/>
          <w:rtl/>
        </w:rPr>
        <w:t>لم يقدم أي تاريخ محدد</w:t>
      </w:r>
      <w:r w:rsidRPr="00326FFD">
        <w:rPr>
          <w:rFonts w:hint="cs"/>
          <w:sz w:val="24"/>
          <w:szCs w:val="32"/>
          <w:rtl/>
        </w:rPr>
        <w:t>.</w:t>
      </w:r>
    </w:p>
  </w:footnote>
  <w:footnote w:id="10">
    <w:p w:rsidR="00842A52" w:rsidRDefault="00842A52" w:rsidP="00FE392F">
      <w:pPr>
        <w:pStyle w:val="FootnoteText"/>
        <w:numPr>
          <w:ilvl w:val="0"/>
          <w:numId w:val="40"/>
        </w:numPr>
        <w:spacing w:after="60" w:line="300" w:lineRule="exact"/>
        <w:ind w:left="1247" w:right="1247"/>
        <w:rPr>
          <w:rFonts w:hint="cs"/>
        </w:rPr>
      </w:pPr>
      <w:r>
        <w:rPr>
          <w:rFonts w:hint="cs"/>
          <w:sz w:val="18"/>
          <w:szCs w:val="26"/>
          <w:rtl/>
        </w:rPr>
        <w:t xml:space="preserve">البلاغ رقم 820/998، </w:t>
      </w:r>
      <w:r w:rsidRPr="00997BC1">
        <w:rPr>
          <w:rFonts w:hint="cs"/>
          <w:i/>
          <w:iCs/>
          <w:sz w:val="18"/>
          <w:szCs w:val="26"/>
          <w:rtl/>
        </w:rPr>
        <w:t>راجان ضد نيوزيلندا</w:t>
      </w:r>
      <w:r>
        <w:rPr>
          <w:rFonts w:hint="cs"/>
          <w:sz w:val="18"/>
          <w:szCs w:val="26"/>
          <w:rtl/>
        </w:rPr>
        <w:t xml:space="preserve">، القرار المعتمد في 6 آب/أغسطس 2003، الفقرة 7-3. </w:t>
      </w:r>
    </w:p>
  </w:footnote>
  <w:footnote w:id="11">
    <w:p w:rsidR="00842A52" w:rsidRDefault="00842A52" w:rsidP="00BC23FF">
      <w:pPr>
        <w:pStyle w:val="FootnoteText"/>
        <w:numPr>
          <w:ilvl w:val="0"/>
          <w:numId w:val="40"/>
        </w:numPr>
        <w:spacing w:after="60" w:line="300" w:lineRule="exact"/>
        <w:ind w:left="1247" w:right="1247"/>
        <w:rPr>
          <w:rFonts w:hint="cs"/>
        </w:rPr>
      </w:pPr>
      <w:r>
        <w:rPr>
          <w:rFonts w:hint="cs"/>
          <w:sz w:val="18"/>
          <w:szCs w:val="26"/>
          <w:rtl/>
        </w:rPr>
        <w:t>انظر الحاشية 12.</w:t>
      </w:r>
    </w:p>
  </w:footnote>
  <w:footnote w:id="12">
    <w:p w:rsidR="00842A52" w:rsidRDefault="00842A52" w:rsidP="00031F1E">
      <w:pPr>
        <w:pStyle w:val="FootnoteText"/>
        <w:numPr>
          <w:ilvl w:val="0"/>
          <w:numId w:val="41"/>
        </w:numPr>
        <w:spacing w:after="60" w:line="300" w:lineRule="exact"/>
        <w:ind w:right="1247"/>
        <w:rPr>
          <w:rFonts w:hint="cs"/>
        </w:rPr>
      </w:pPr>
      <w:r>
        <w:rPr>
          <w:rFonts w:hint="cs"/>
          <w:sz w:val="18"/>
          <w:szCs w:val="26"/>
          <w:rtl/>
        </w:rPr>
        <w:t xml:space="preserve">انظر أموراً منها: البلاغ رقم 932/2000، </w:t>
      </w:r>
      <w:r>
        <w:rPr>
          <w:rFonts w:hint="cs"/>
          <w:i/>
          <w:iCs/>
          <w:sz w:val="18"/>
          <w:szCs w:val="26"/>
          <w:rtl/>
        </w:rPr>
        <w:t>جيلو وآخرون ضد فرنسا</w:t>
      </w:r>
      <w:r>
        <w:rPr>
          <w:rFonts w:hint="cs"/>
          <w:sz w:val="18"/>
          <w:szCs w:val="26"/>
          <w:rtl/>
        </w:rPr>
        <w:t xml:space="preserve">، الآراء المعتمدة في 15 تموز/    يوليه 2002، الفقرة 10-5.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52" w:rsidRPr="00BC23FF" w:rsidRDefault="00842A52" w:rsidP="00BC23FF">
    <w:pPr>
      <w:pStyle w:val="Header"/>
      <w:jc w:val="right"/>
    </w:pPr>
    <w:r w:rsidRPr="00BC23FF">
      <w:t>CCPR/C/110/D/2197/2012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52" w:rsidRPr="00BC23FF" w:rsidRDefault="00842A52" w:rsidP="00BC23FF">
    <w:pPr>
      <w:pStyle w:val="Header"/>
      <w:jc w:val="left"/>
    </w:pPr>
    <w:r w:rsidRPr="00BC23FF">
      <w:t>CCPR/C/110/D/2197/2012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52" w:rsidRDefault="00842A5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842A52" w:rsidRPr="008F6743" w:rsidRDefault="00842A5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AF53FEA"/>
    <w:multiLevelType w:val="hybridMultilevel"/>
    <w:tmpl w:val="FCE20102"/>
    <w:lvl w:ilvl="0" w:tplc="EBEA1DC8">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717418"/>
    <w:multiLevelType w:val="hybridMultilevel"/>
    <w:tmpl w:val="824E878E"/>
    <w:lvl w:ilvl="0" w:tplc="0CE4FB6A">
      <w:start w:val="1"/>
      <w:numFmt w:val="decimal"/>
      <w:lvlRestart w:val="0"/>
      <w:lvlText w:val="(%1)"/>
      <w:lvlJc w:val="right"/>
      <w:pPr>
        <w:tabs>
          <w:tab w:val="num" w:pos="1293"/>
        </w:tabs>
        <w:ind w:left="1293" w:hanging="227"/>
      </w:pPr>
      <w:rPr>
        <w:rFonts w:ascii="Traditional Arabic" w:hAnsi="Traditional Arabic" w:cs="Traditional Arabic" w:hint="default"/>
        <w:i w:val="0"/>
        <w:iCs w:val="0"/>
        <w:position w:val="6"/>
        <w:sz w:val="26"/>
        <w:szCs w:val="26"/>
      </w:rPr>
    </w:lvl>
    <w:lvl w:ilvl="1" w:tplc="4170C048">
      <w:start w:val="1"/>
      <w:numFmt w:val="decimal"/>
      <w:lvlRestart w:val="0"/>
      <w:lvlText w:val="(%2)"/>
      <w:lvlJc w:val="right"/>
      <w:pPr>
        <w:tabs>
          <w:tab w:val="num" w:pos="1353"/>
        </w:tabs>
        <w:ind w:left="1353" w:hanging="227"/>
      </w:pPr>
      <w:rPr>
        <w:rFonts w:ascii="Traditional Arabic" w:hAnsi="Traditional Arabic" w:cs="Traditional Arabic" w:hint="default"/>
        <w:i w:val="0"/>
        <w:iCs w:val="0"/>
        <w:position w:val="6"/>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E82B52"/>
    <w:multiLevelType w:val="hybridMultilevel"/>
    <w:tmpl w:val="A11AE838"/>
    <w:lvl w:ilvl="0" w:tplc="6D9A35BE">
      <w:start w:val="11"/>
      <w:numFmt w:val="decimal"/>
      <w:lvlRestart w:val="0"/>
      <w:lvlText w:val="(%1)"/>
      <w:lvlJc w:val="right"/>
      <w:pPr>
        <w:tabs>
          <w:tab w:val="num" w:pos="1247"/>
        </w:tabs>
        <w:ind w:left="1247" w:hanging="226"/>
      </w:pPr>
      <w:rPr>
        <w:rFonts w:ascii="Traditional Arabic" w:hAnsi="Traditional Arabic" w:cs="Traditional Arabic" w:hint="default"/>
        <w:sz w:val="26"/>
        <w:szCs w:val="26"/>
      </w:rPr>
    </w:lvl>
    <w:lvl w:ilvl="1" w:tplc="A114E9FA">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2"/>
  </w:num>
  <w:num w:numId="2">
    <w:abstractNumId w:val="1"/>
  </w:num>
  <w:num w:numId="3">
    <w:abstractNumId w:val="15"/>
  </w:num>
  <w:num w:numId="4">
    <w:abstractNumId w:val="12"/>
  </w:num>
  <w:num w:numId="5">
    <w:abstractNumId w:val="8"/>
  </w:num>
  <w:num w:numId="6">
    <w:abstractNumId w:val="22"/>
  </w:num>
  <w:num w:numId="7">
    <w:abstractNumId w:val="11"/>
  </w:num>
  <w:num w:numId="8">
    <w:abstractNumId w:val="9"/>
  </w:num>
  <w:num w:numId="9">
    <w:abstractNumId w:val="14"/>
  </w:num>
  <w:num w:numId="10">
    <w:abstractNumId w:val="21"/>
  </w:num>
  <w:num w:numId="11">
    <w:abstractNumId w:val="1"/>
  </w:num>
  <w:num w:numId="12">
    <w:abstractNumId w:val="15"/>
  </w:num>
  <w:num w:numId="13">
    <w:abstractNumId w:val="12"/>
  </w:num>
  <w:num w:numId="14">
    <w:abstractNumId w:val="8"/>
  </w:num>
  <w:num w:numId="15">
    <w:abstractNumId w:val="22"/>
  </w:num>
  <w:num w:numId="16">
    <w:abstractNumId w:val="1"/>
  </w:num>
  <w:num w:numId="17">
    <w:abstractNumId w:val="15"/>
  </w:num>
  <w:num w:numId="18">
    <w:abstractNumId w:val="12"/>
  </w:num>
  <w:num w:numId="19">
    <w:abstractNumId w:val="8"/>
  </w:num>
  <w:num w:numId="20">
    <w:abstractNumId w:val="22"/>
  </w:num>
  <w:num w:numId="21">
    <w:abstractNumId w:val="1"/>
  </w:num>
  <w:num w:numId="22">
    <w:abstractNumId w:val="15"/>
  </w:num>
  <w:num w:numId="23">
    <w:abstractNumId w:val="8"/>
  </w:num>
  <w:num w:numId="24">
    <w:abstractNumId w:val="22"/>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7"/>
  </w:num>
  <w:num w:numId="32">
    <w:abstractNumId w:val="16"/>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3"/>
  </w:num>
  <w:num w:numId="41">
    <w:abstractNumId w:val="24"/>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2DD"/>
    <w:rsid w:val="00031F1E"/>
    <w:rsid w:val="00040E25"/>
    <w:rsid w:val="00042149"/>
    <w:rsid w:val="00046D12"/>
    <w:rsid w:val="000648EA"/>
    <w:rsid w:val="000957C8"/>
    <w:rsid w:val="00097049"/>
    <w:rsid w:val="000A04D5"/>
    <w:rsid w:val="000B52F2"/>
    <w:rsid w:val="000C6CDC"/>
    <w:rsid w:val="000D0EAE"/>
    <w:rsid w:val="000D5380"/>
    <w:rsid w:val="000D6654"/>
    <w:rsid w:val="000E103D"/>
    <w:rsid w:val="000F0264"/>
    <w:rsid w:val="000F2EBF"/>
    <w:rsid w:val="000F3A9F"/>
    <w:rsid w:val="000F5FF6"/>
    <w:rsid w:val="001022B5"/>
    <w:rsid w:val="00113FA5"/>
    <w:rsid w:val="001455A0"/>
    <w:rsid w:val="00154A9E"/>
    <w:rsid w:val="001602A3"/>
    <w:rsid w:val="001A5161"/>
    <w:rsid w:val="001A60BD"/>
    <w:rsid w:val="001C6D53"/>
    <w:rsid w:val="001C7F96"/>
    <w:rsid w:val="00232277"/>
    <w:rsid w:val="002354B3"/>
    <w:rsid w:val="0023736D"/>
    <w:rsid w:val="002444C1"/>
    <w:rsid w:val="00257225"/>
    <w:rsid w:val="00262568"/>
    <w:rsid w:val="00310160"/>
    <w:rsid w:val="00341A8C"/>
    <w:rsid w:val="003519E6"/>
    <w:rsid w:val="00355F81"/>
    <w:rsid w:val="003B4356"/>
    <w:rsid w:val="003F08A8"/>
    <w:rsid w:val="0040676D"/>
    <w:rsid w:val="004250E3"/>
    <w:rsid w:val="0044376D"/>
    <w:rsid w:val="00452BD0"/>
    <w:rsid w:val="00472A81"/>
    <w:rsid w:val="00497F4B"/>
    <w:rsid w:val="004A20A6"/>
    <w:rsid w:val="004B2C92"/>
    <w:rsid w:val="004D6A3A"/>
    <w:rsid w:val="004D6BA4"/>
    <w:rsid w:val="004F4AD7"/>
    <w:rsid w:val="00557CD3"/>
    <w:rsid w:val="00571432"/>
    <w:rsid w:val="005732A2"/>
    <w:rsid w:val="005762A5"/>
    <w:rsid w:val="00590BA3"/>
    <w:rsid w:val="005A21F5"/>
    <w:rsid w:val="005B46D9"/>
    <w:rsid w:val="005B7AE0"/>
    <w:rsid w:val="005E23F5"/>
    <w:rsid w:val="005F146F"/>
    <w:rsid w:val="005F71B6"/>
    <w:rsid w:val="006101DA"/>
    <w:rsid w:val="00654786"/>
    <w:rsid w:val="00660FD4"/>
    <w:rsid w:val="00665BE4"/>
    <w:rsid w:val="006903EA"/>
    <w:rsid w:val="006A4425"/>
    <w:rsid w:val="006B00A4"/>
    <w:rsid w:val="006B4669"/>
    <w:rsid w:val="006D3CFA"/>
    <w:rsid w:val="006F6BF8"/>
    <w:rsid w:val="00707BDF"/>
    <w:rsid w:val="00710727"/>
    <w:rsid w:val="00715F45"/>
    <w:rsid w:val="0072608F"/>
    <w:rsid w:val="00731815"/>
    <w:rsid w:val="00731B84"/>
    <w:rsid w:val="00734AE7"/>
    <w:rsid w:val="00746A1A"/>
    <w:rsid w:val="0079344E"/>
    <w:rsid w:val="007E197F"/>
    <w:rsid w:val="007E2786"/>
    <w:rsid w:val="007E4686"/>
    <w:rsid w:val="007F68C4"/>
    <w:rsid w:val="008153DE"/>
    <w:rsid w:val="00842A52"/>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038B"/>
    <w:rsid w:val="00996BBE"/>
    <w:rsid w:val="00997BC1"/>
    <w:rsid w:val="009B2C03"/>
    <w:rsid w:val="009D17B9"/>
    <w:rsid w:val="009D1DD5"/>
    <w:rsid w:val="009F722C"/>
    <w:rsid w:val="00A26157"/>
    <w:rsid w:val="00A265C3"/>
    <w:rsid w:val="00A43F9A"/>
    <w:rsid w:val="00A53F38"/>
    <w:rsid w:val="00A543D4"/>
    <w:rsid w:val="00A5770A"/>
    <w:rsid w:val="00A83F55"/>
    <w:rsid w:val="00AC1914"/>
    <w:rsid w:val="00AD0014"/>
    <w:rsid w:val="00AD4CF2"/>
    <w:rsid w:val="00AF0BBA"/>
    <w:rsid w:val="00B23234"/>
    <w:rsid w:val="00B25159"/>
    <w:rsid w:val="00B30468"/>
    <w:rsid w:val="00B44E31"/>
    <w:rsid w:val="00BA4F7E"/>
    <w:rsid w:val="00BB2C41"/>
    <w:rsid w:val="00BC23FF"/>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5336D"/>
    <w:rsid w:val="00D75657"/>
    <w:rsid w:val="00D932BC"/>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042DD"/>
    <w:rsid w:val="00F1727A"/>
    <w:rsid w:val="00F34764"/>
    <w:rsid w:val="00F54E3C"/>
    <w:rsid w:val="00F874BD"/>
    <w:rsid w:val="00FB1D0B"/>
    <w:rsid w:val="00FE392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BC23FF"/>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2531</Words>
  <Characters>14427</Characters>
  <Application>Microsoft Office Outlook</Application>
  <DocSecurity>4</DocSecurity>
  <Lines>120</Lines>
  <Paragraphs>33</Paragraphs>
  <ScaleCrop>false</ScaleCrop>
  <HeadingPairs>
    <vt:vector size="2" baseType="variant">
      <vt:variant>
        <vt:lpstr>العنوان</vt:lpstr>
      </vt:variant>
      <vt:variant>
        <vt:i4>1</vt:i4>
      </vt:variant>
    </vt:vector>
  </HeadingPairs>
  <TitlesOfParts>
    <vt:vector size="1" baseType="lpstr">
      <vt:lpstr>CCPR/C/110/D/2197/2012</vt:lpstr>
    </vt:vector>
  </TitlesOfParts>
  <Company>CSD</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CCPR/C/110/D/2197/2012</dc:title>
  <dc:subject>AL-KHUDAIRI- BEN HAMIDANE</dc:subject>
  <dc:creator>BUHNAM</dc:creator>
  <cp:keywords/>
  <dc:description/>
  <cp:lastModifiedBy>TPS</cp:lastModifiedBy>
  <cp:revision>3</cp:revision>
  <cp:lastPrinted>2014-07-07T08:55:00Z</cp:lastPrinted>
  <dcterms:created xsi:type="dcterms:W3CDTF">2014-07-07T08:55:00Z</dcterms:created>
  <dcterms:modified xsi:type="dcterms:W3CDTF">2014-07-07T08:56:00Z</dcterms:modified>
</cp:coreProperties>
</file>