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ED7442" w:rsidRDefault="006B3E27" w:rsidP="00E70E04">
            <w:pPr>
              <w:jc w:val="center"/>
              <w:rPr>
                <w:rFonts w:hint="cs"/>
                <w:sz w:val="56"/>
                <w:szCs w:val="56"/>
              </w:rPr>
            </w:pPr>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4F510A" w:rsidP="004F510A">
            <w:pPr>
              <w:bidi w:val="0"/>
              <w:spacing w:after="20"/>
              <w:jc w:val="left"/>
              <w:rPr>
                <w:szCs w:val="20"/>
              </w:rPr>
            </w:pPr>
            <w:r w:rsidRPr="004F510A">
              <w:rPr>
                <w:sz w:val="40"/>
                <w:szCs w:val="20"/>
              </w:rPr>
              <w:t>CCPR</w:t>
            </w:r>
            <w:r>
              <w:rPr>
                <w:szCs w:val="20"/>
              </w:rPr>
              <w:t>/C/112/D/1965/2010</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774667A2" wp14:editId="63029EA5">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4F510A" w:rsidP="004F510A">
            <w:pPr>
              <w:bidi w:val="0"/>
              <w:spacing w:before="240"/>
              <w:jc w:val="left"/>
              <w:rPr>
                <w:szCs w:val="20"/>
              </w:rPr>
            </w:pPr>
            <w:r>
              <w:rPr>
                <w:szCs w:val="20"/>
              </w:rPr>
              <w:t>Distr.: General</w:t>
            </w:r>
          </w:p>
          <w:p w:rsidR="004F510A" w:rsidRDefault="004F510A" w:rsidP="004F510A">
            <w:pPr>
              <w:bidi w:val="0"/>
              <w:jc w:val="left"/>
              <w:rPr>
                <w:szCs w:val="20"/>
              </w:rPr>
            </w:pPr>
            <w:r>
              <w:rPr>
                <w:szCs w:val="20"/>
              </w:rPr>
              <w:t>19 January 2015</w:t>
            </w:r>
          </w:p>
          <w:p w:rsidR="004F510A" w:rsidRDefault="004F510A" w:rsidP="004F510A">
            <w:pPr>
              <w:bidi w:val="0"/>
              <w:jc w:val="left"/>
              <w:rPr>
                <w:szCs w:val="20"/>
              </w:rPr>
            </w:pPr>
            <w:r>
              <w:rPr>
                <w:szCs w:val="20"/>
              </w:rPr>
              <w:t>Arabic</w:t>
            </w:r>
          </w:p>
          <w:p w:rsidR="004F510A" w:rsidRPr="00CB6622" w:rsidRDefault="004F510A" w:rsidP="004F510A">
            <w:pPr>
              <w:bidi w:val="0"/>
              <w:jc w:val="left"/>
              <w:rPr>
                <w:szCs w:val="20"/>
              </w:rPr>
            </w:pPr>
            <w:r>
              <w:rPr>
                <w:szCs w:val="20"/>
              </w:rPr>
              <w:t>Original: English</w:t>
            </w:r>
          </w:p>
        </w:tc>
      </w:tr>
    </w:tbl>
    <w:p w:rsidR="004F510A" w:rsidRPr="00B07920" w:rsidRDefault="004F510A" w:rsidP="00B07920">
      <w:pPr>
        <w:pStyle w:val="SingleTxtGA"/>
        <w:spacing w:before="120"/>
        <w:ind w:left="0"/>
        <w:rPr>
          <w:b/>
          <w:bCs/>
          <w:sz w:val="26"/>
          <w:szCs w:val="36"/>
          <w:rtl/>
        </w:rPr>
      </w:pPr>
      <w:r w:rsidRPr="00B07920">
        <w:rPr>
          <w:rFonts w:hint="cs"/>
          <w:b/>
          <w:bCs/>
          <w:sz w:val="26"/>
          <w:szCs w:val="36"/>
          <w:rtl/>
        </w:rPr>
        <w:t>اللجنة المعنية بحقوق الإنسان</w:t>
      </w:r>
    </w:p>
    <w:p w:rsidR="004F510A" w:rsidRDefault="00B07920" w:rsidP="001802CD">
      <w:pPr>
        <w:pStyle w:val="HChGA"/>
        <w:spacing w:before="300" w:after="180"/>
        <w:rPr>
          <w:rtl/>
        </w:rPr>
      </w:pPr>
      <w:r>
        <w:rPr>
          <w:rFonts w:hint="cs"/>
          <w:rtl/>
        </w:rPr>
        <w:tab/>
      </w:r>
      <w:r>
        <w:rPr>
          <w:rFonts w:hint="cs"/>
          <w:rtl/>
        </w:rPr>
        <w:tab/>
      </w:r>
      <w:r w:rsidR="004F510A">
        <w:rPr>
          <w:rFonts w:hint="cs"/>
          <w:rtl/>
        </w:rPr>
        <w:t>البلاغ رقم 1965/2010</w:t>
      </w:r>
    </w:p>
    <w:p w:rsidR="004F510A" w:rsidRPr="00063F3F" w:rsidRDefault="00B07920" w:rsidP="00B07920">
      <w:pPr>
        <w:pStyle w:val="H1GA"/>
        <w:rPr>
          <w:sz w:val="36"/>
          <w:szCs w:val="36"/>
          <w:rtl/>
        </w:rPr>
      </w:pPr>
      <w:r>
        <w:rPr>
          <w:rFonts w:hint="cs"/>
          <w:rtl/>
        </w:rPr>
        <w:tab/>
      </w:r>
      <w:r>
        <w:rPr>
          <w:rFonts w:hint="cs"/>
          <w:rtl/>
        </w:rPr>
        <w:tab/>
      </w:r>
      <w:r w:rsidR="004F510A">
        <w:rPr>
          <w:rFonts w:hint="cs"/>
          <w:rtl/>
        </w:rPr>
        <w:t>الآراء التي اعتمدتها اللجنة في دورتها 112 (7-31 تشرين الأول/</w:t>
      </w:r>
      <w:r w:rsidR="001314CF">
        <w:rPr>
          <w:rFonts w:hint="cs"/>
          <w:rtl/>
        </w:rPr>
        <w:t xml:space="preserve">       </w:t>
      </w:r>
      <w:r w:rsidR="004F510A">
        <w:rPr>
          <w:rFonts w:hint="cs"/>
          <w:rtl/>
        </w:rPr>
        <w:t>أكتوبر 2014)</w:t>
      </w:r>
    </w:p>
    <w:p w:rsidR="004F510A" w:rsidRPr="004F510A" w:rsidRDefault="004F510A" w:rsidP="001802CD">
      <w:pPr>
        <w:pStyle w:val="SingleTxtGA"/>
        <w:tabs>
          <w:tab w:val="clear" w:pos="3289"/>
          <w:tab w:val="clear" w:pos="3969"/>
        </w:tabs>
        <w:spacing w:line="340" w:lineRule="exact"/>
        <w:ind w:left="4650" w:hanging="2722"/>
      </w:pPr>
      <w:r w:rsidRPr="004F510A">
        <w:rPr>
          <w:iCs/>
          <w:rtl/>
        </w:rPr>
        <w:t>المقدم من:</w:t>
      </w:r>
      <w:r w:rsidR="00B07920">
        <w:rPr>
          <w:rFonts w:hint="cs"/>
          <w:rtl/>
        </w:rPr>
        <w:tab/>
      </w:r>
      <w:r w:rsidRPr="004F510A">
        <w:rPr>
          <w:rFonts w:hint="cs"/>
          <w:rtl/>
        </w:rPr>
        <w:t xml:space="preserve">جون نجي مونيكا </w:t>
      </w:r>
      <w:r w:rsidRPr="004F510A">
        <w:rPr>
          <w:rtl/>
        </w:rPr>
        <w:t xml:space="preserve">(يمثله المحامي </w:t>
      </w:r>
      <w:r w:rsidRPr="004F510A">
        <w:rPr>
          <w:rFonts w:hint="cs"/>
          <w:rtl/>
        </w:rPr>
        <w:t xml:space="preserve">مارتين </w:t>
      </w:r>
      <w:proofErr w:type="spellStart"/>
      <w:r w:rsidRPr="004F510A">
        <w:rPr>
          <w:rFonts w:hint="cs"/>
          <w:rtl/>
        </w:rPr>
        <w:t>ديكانجو</w:t>
      </w:r>
      <w:proofErr w:type="spellEnd"/>
      <w:r w:rsidRPr="004F510A">
        <w:rPr>
          <w:rFonts w:hint="cs"/>
          <w:rtl/>
        </w:rPr>
        <w:t xml:space="preserve"> </w:t>
      </w:r>
      <w:proofErr w:type="spellStart"/>
      <w:r w:rsidRPr="004F510A">
        <w:rPr>
          <w:rFonts w:hint="cs"/>
          <w:rtl/>
        </w:rPr>
        <w:t>إسينجيلا</w:t>
      </w:r>
      <w:proofErr w:type="spellEnd"/>
      <w:r w:rsidRPr="004F510A">
        <w:rPr>
          <w:rtl/>
        </w:rPr>
        <w:t>)</w:t>
      </w:r>
    </w:p>
    <w:p w:rsidR="004F510A" w:rsidRPr="004F510A" w:rsidRDefault="00D21B2D" w:rsidP="00B07920">
      <w:pPr>
        <w:pStyle w:val="SingleTxtGA"/>
        <w:tabs>
          <w:tab w:val="clear" w:pos="2608"/>
          <w:tab w:val="clear" w:pos="3289"/>
          <w:tab w:val="clear" w:pos="3969"/>
        </w:tabs>
        <w:spacing w:line="366" w:lineRule="exact"/>
        <w:ind w:left="4650" w:hanging="2722"/>
      </w:pPr>
      <w:dir w:val="rtl">
        <w:r w:rsidR="004F510A" w:rsidRPr="004F510A">
          <w:rPr>
            <w:rFonts w:hint="cs"/>
            <w:iCs/>
            <w:rtl/>
          </w:rPr>
          <w:t>الشخص</w:t>
        </w:r>
        <w:r w:rsidR="004F510A" w:rsidRPr="004F510A">
          <w:rPr>
            <w:iCs/>
            <w:rtl/>
          </w:rPr>
          <w:t xml:space="preserve"> </w:t>
        </w:r>
        <w:r w:rsidR="004F510A" w:rsidRPr="004F510A">
          <w:rPr>
            <w:rFonts w:hint="cs"/>
            <w:iCs/>
            <w:rtl/>
          </w:rPr>
          <w:t>المدعى</w:t>
        </w:r>
        <w:r w:rsidR="004F510A" w:rsidRPr="004F510A">
          <w:rPr>
            <w:iCs/>
            <w:rtl/>
          </w:rPr>
          <w:t xml:space="preserve"> </w:t>
        </w:r>
        <w:r w:rsidR="004F510A" w:rsidRPr="004F510A">
          <w:rPr>
            <w:rFonts w:hint="cs"/>
            <w:iCs/>
            <w:rtl/>
          </w:rPr>
          <w:t>أنه</w:t>
        </w:r>
        <w:r w:rsidR="004F510A" w:rsidRPr="004F510A">
          <w:rPr>
            <w:iCs/>
            <w:rtl/>
          </w:rPr>
          <w:t xml:space="preserve"> </w:t>
        </w:r>
        <w:r w:rsidR="004F510A" w:rsidRPr="004F510A">
          <w:rPr>
            <w:rFonts w:hint="cs"/>
            <w:iCs/>
            <w:rtl/>
          </w:rPr>
          <w:t>ضحية</w:t>
        </w:r>
        <w:r w:rsidR="004F510A" w:rsidRPr="004F510A">
          <w:rPr>
            <w:iCs/>
            <w:rtl/>
          </w:rPr>
          <w:t>:</w:t>
        </w:r>
        <w:r w:rsidR="004F510A" w:rsidRPr="004F510A">
          <w:rPr>
            <w:rFonts w:cs="Times New Roman" w:hint="cs"/>
            <w:rtl/>
          </w:rPr>
          <w:t>‬</w:t>
        </w:r>
        <w:r w:rsidR="004F510A" w:rsidRPr="004F510A">
          <w:rPr>
            <w:rFonts w:cs="Times New Roman" w:hint="cs"/>
            <w:rtl/>
          </w:rPr>
          <w:t>‬</w:t>
        </w:r>
        <w:r w:rsidR="004F510A" w:rsidRPr="004F510A">
          <w:rPr>
            <w:rFonts w:cs="Times New Roman" w:hint="cs"/>
            <w:rtl/>
          </w:rPr>
          <w:t>‬</w:t>
        </w:r>
        <w:r w:rsidR="004F510A" w:rsidRPr="004F510A">
          <w:rPr>
            <w:rFonts w:cs="Times New Roman" w:hint="cs"/>
            <w:rtl/>
          </w:rPr>
          <w:t>‬</w:t>
        </w:r>
        <w:r w:rsidR="004F510A" w:rsidRPr="004F510A">
          <w:rPr>
            <w:rtl/>
          </w:rPr>
          <w:tab/>
        </w:r>
        <w:r w:rsidR="004F510A" w:rsidRPr="004F510A">
          <w:rPr>
            <w:rFonts w:hint="cs"/>
            <w:rtl/>
          </w:rPr>
          <w:t>صاحب البلاغ</w:t>
        </w:r>
        <w:r w:rsidR="004F510A" w:rsidRPr="004F510A">
          <w:t>‬</w:t>
        </w:r>
        <w:r w:rsidR="004F510A" w:rsidRPr="004F510A">
          <w:t>‬</w:t>
        </w:r>
        <w:r w:rsidR="004F510A" w:rsidRPr="004F510A">
          <w:t>‬</w:t>
        </w:r>
        <w:r w:rsidR="004F510A" w:rsidRPr="004F510A">
          <w:t>‬</w:t>
        </w:r>
        <w:r w:rsidR="004F510A" w:rsidRPr="004F510A">
          <w:t>‬</w:t>
        </w:r>
        <w:r w:rsidR="004F510A" w:rsidRPr="004F510A">
          <w:t>‬</w:t>
        </w:r>
        <w:r w:rsidR="004F510A" w:rsidRPr="004F510A">
          <w:t>‬</w:t>
        </w:r>
        <w:r w:rsidR="00C11032">
          <w:t>‬</w:t>
        </w:r>
        <w:r w:rsidR="00F059BD">
          <w:t>‬</w:t>
        </w:r>
        <w:r>
          <w:t>‬</w:t>
        </w:r>
      </w:dir>
    </w:p>
    <w:p w:rsidR="004F510A" w:rsidRPr="004F510A" w:rsidRDefault="004F510A" w:rsidP="00B07920">
      <w:pPr>
        <w:pStyle w:val="SingleTxtGA"/>
        <w:tabs>
          <w:tab w:val="clear" w:pos="2608"/>
          <w:tab w:val="clear" w:pos="3289"/>
          <w:tab w:val="clear" w:pos="3969"/>
        </w:tabs>
        <w:spacing w:line="366" w:lineRule="exact"/>
        <w:ind w:left="4650" w:hanging="2722"/>
      </w:pPr>
      <w:r w:rsidRPr="004F510A">
        <w:rPr>
          <w:iCs/>
          <w:rtl/>
        </w:rPr>
        <w:t>الدولة الطرف:</w:t>
      </w:r>
      <w:r w:rsidR="00B07920">
        <w:rPr>
          <w:rFonts w:hint="cs"/>
          <w:iCs/>
          <w:rtl/>
        </w:rPr>
        <w:tab/>
      </w:r>
      <w:r w:rsidRPr="004F510A">
        <w:rPr>
          <w:rFonts w:hint="cs"/>
          <w:rtl/>
        </w:rPr>
        <w:t>الكاميرون</w:t>
      </w:r>
    </w:p>
    <w:p w:rsidR="004F510A" w:rsidRPr="00B07920" w:rsidRDefault="004F510A" w:rsidP="001802CD">
      <w:pPr>
        <w:pStyle w:val="SingleTxtGA"/>
        <w:tabs>
          <w:tab w:val="clear" w:pos="2608"/>
          <w:tab w:val="clear" w:pos="3289"/>
          <w:tab w:val="clear" w:pos="3969"/>
        </w:tabs>
        <w:spacing w:line="340" w:lineRule="exact"/>
        <w:ind w:left="4650" w:hanging="2722"/>
        <w:rPr>
          <w:spacing w:val="-5"/>
          <w:rtl/>
        </w:rPr>
      </w:pPr>
      <w:r w:rsidRPr="00B07920">
        <w:rPr>
          <w:iCs/>
          <w:spacing w:val="-5"/>
          <w:rtl/>
        </w:rPr>
        <w:t>تاريخ تقديم الشكوى:</w:t>
      </w:r>
      <w:r w:rsidRPr="00B07920">
        <w:rPr>
          <w:iCs/>
          <w:spacing w:val="-5"/>
          <w:rtl/>
        </w:rPr>
        <w:tab/>
      </w:r>
      <w:r w:rsidRPr="00B07920">
        <w:rPr>
          <w:rFonts w:hint="cs"/>
          <w:spacing w:val="-5"/>
          <w:rtl/>
        </w:rPr>
        <w:t xml:space="preserve">11 كانون الثاني/يناير 2010 </w:t>
      </w:r>
      <w:dir w:val="rtl">
        <w:r w:rsidRPr="00B07920">
          <w:rPr>
            <w:spacing w:val="-5"/>
            <w:rtl/>
          </w:rPr>
          <w:t>(</w:t>
        </w:r>
        <w:r w:rsidRPr="00B07920">
          <w:rPr>
            <w:rFonts w:hint="cs"/>
            <w:spacing w:val="-5"/>
            <w:rtl/>
          </w:rPr>
          <w:t>تاريخ</w:t>
        </w:r>
        <w:r w:rsidRPr="00B07920">
          <w:rPr>
            <w:spacing w:val="-5"/>
            <w:rtl/>
          </w:rPr>
          <w:t xml:space="preserve"> </w:t>
        </w:r>
        <w:r w:rsidRPr="00B07920">
          <w:rPr>
            <w:rFonts w:hint="cs"/>
            <w:spacing w:val="-5"/>
            <w:rtl/>
          </w:rPr>
          <w:t>الرسالة</w:t>
        </w:r>
        <w:r w:rsidRPr="00B07920">
          <w:rPr>
            <w:spacing w:val="-5"/>
            <w:rtl/>
          </w:rPr>
          <w:t xml:space="preserve"> </w:t>
        </w:r>
        <w:r w:rsidRPr="00B07920">
          <w:rPr>
            <w:rFonts w:hint="cs"/>
            <w:spacing w:val="-5"/>
            <w:rtl/>
          </w:rPr>
          <w:t>الأولى</w:t>
        </w:r>
        <w:r w:rsidRPr="00B07920">
          <w:rPr>
            <w:spacing w:val="-5"/>
            <w:rtl/>
          </w:rPr>
          <w:t>)</w:t>
        </w:r>
        <w:r w:rsidRPr="00B07920">
          <w:rPr>
            <w:spacing w:val="-5"/>
          </w:rPr>
          <w:t>‬</w:t>
        </w:r>
        <w:r w:rsidRPr="00B07920">
          <w:rPr>
            <w:spacing w:val="-5"/>
          </w:rPr>
          <w:t>‬</w:t>
        </w:r>
        <w:r w:rsidRPr="00B07920">
          <w:rPr>
            <w:spacing w:val="-5"/>
          </w:rPr>
          <w:t>‬</w:t>
        </w:r>
        <w:r w:rsidRPr="00B07920">
          <w:rPr>
            <w:spacing w:val="-5"/>
          </w:rPr>
          <w:t>‬</w:t>
        </w:r>
        <w:r w:rsidR="00C11032" w:rsidRPr="00B07920">
          <w:rPr>
            <w:spacing w:val="-5"/>
          </w:rPr>
          <w:t>‬</w:t>
        </w:r>
        <w:r w:rsidR="00F059BD">
          <w:t>‬</w:t>
        </w:r>
        <w:r w:rsidR="00D21B2D">
          <w:t>‬</w:t>
        </w:r>
      </w:dir>
    </w:p>
    <w:p w:rsidR="004F510A" w:rsidRPr="004F510A" w:rsidRDefault="004F510A" w:rsidP="001802CD">
      <w:pPr>
        <w:pStyle w:val="SingleTxtGA"/>
        <w:tabs>
          <w:tab w:val="clear" w:pos="2608"/>
          <w:tab w:val="clear" w:pos="3289"/>
          <w:tab w:val="clear" w:pos="3969"/>
        </w:tabs>
        <w:spacing w:line="340" w:lineRule="exact"/>
        <w:ind w:left="4650" w:hanging="2722"/>
      </w:pPr>
      <w:r w:rsidRPr="004F510A">
        <w:rPr>
          <w:rFonts w:hint="cs"/>
          <w:rtl/>
        </w:rPr>
        <w:t>الوثائق المرجعية:</w:t>
      </w:r>
      <w:r w:rsidRPr="004F510A">
        <w:rPr>
          <w:rFonts w:hint="cs"/>
          <w:rtl/>
        </w:rPr>
        <w:tab/>
        <w:t>قرار المقرر الخاص بموجب المادة 97 من النظام الداخلي، المحال إلى الدولة الطرف في 10 آب/</w:t>
      </w:r>
      <w:r w:rsidR="001314CF">
        <w:rPr>
          <w:rFonts w:hint="cs"/>
          <w:rtl/>
        </w:rPr>
        <w:t xml:space="preserve"> </w:t>
      </w:r>
      <w:r w:rsidRPr="004F510A">
        <w:rPr>
          <w:rFonts w:hint="cs"/>
          <w:rtl/>
        </w:rPr>
        <w:t>أغسطس (لم يصدر في شكل وثيقة)</w:t>
      </w:r>
    </w:p>
    <w:p w:rsidR="004F510A" w:rsidRPr="004F510A" w:rsidRDefault="004F510A" w:rsidP="00B07920">
      <w:pPr>
        <w:pStyle w:val="SingleTxtGA"/>
        <w:tabs>
          <w:tab w:val="clear" w:pos="2608"/>
          <w:tab w:val="clear" w:pos="3289"/>
          <w:tab w:val="clear" w:pos="3969"/>
        </w:tabs>
        <w:spacing w:line="366" w:lineRule="exact"/>
        <w:ind w:left="4650" w:hanging="2722"/>
      </w:pPr>
      <w:r w:rsidRPr="004F510A">
        <w:rPr>
          <w:iCs/>
          <w:rtl/>
        </w:rPr>
        <w:t xml:space="preserve">تاريخ </w:t>
      </w:r>
      <w:r w:rsidRPr="004F510A">
        <w:rPr>
          <w:rFonts w:hint="cs"/>
          <w:iCs/>
          <w:rtl/>
        </w:rPr>
        <w:t>اعتماد الآراء</w:t>
      </w:r>
      <w:r w:rsidRPr="004F510A">
        <w:rPr>
          <w:iCs/>
          <w:rtl/>
        </w:rPr>
        <w:t>:</w:t>
      </w:r>
      <w:r w:rsidRPr="004F510A">
        <w:rPr>
          <w:iCs/>
          <w:rtl/>
        </w:rPr>
        <w:tab/>
      </w:r>
      <w:r w:rsidRPr="004F510A">
        <w:rPr>
          <w:rFonts w:hint="cs"/>
          <w:rtl/>
        </w:rPr>
        <w:t xml:space="preserve">21 تشرين الأول/أكتوبر </w:t>
      </w:r>
      <w:r w:rsidRPr="004F510A">
        <w:rPr>
          <w:rtl/>
        </w:rPr>
        <w:t xml:space="preserve">٢٠١٤ </w:t>
      </w:r>
    </w:p>
    <w:p w:rsidR="004F510A" w:rsidRPr="004F510A" w:rsidRDefault="00D21B2D" w:rsidP="001802CD">
      <w:pPr>
        <w:pStyle w:val="SingleTxtGA"/>
        <w:tabs>
          <w:tab w:val="clear" w:pos="2608"/>
          <w:tab w:val="clear" w:pos="3289"/>
          <w:tab w:val="clear" w:pos="3969"/>
        </w:tabs>
        <w:spacing w:line="340" w:lineRule="exact"/>
        <w:ind w:left="4650" w:hanging="2722"/>
      </w:pPr>
      <w:dir w:val="rtl">
        <w:r w:rsidR="004F510A" w:rsidRPr="004F510A">
          <w:rPr>
            <w:rFonts w:hint="cs"/>
            <w:iCs/>
            <w:rtl/>
          </w:rPr>
          <w:t>الموضوع</w:t>
        </w:r>
        <w:r w:rsidR="004F510A" w:rsidRPr="004F510A">
          <w:rPr>
            <w:iCs/>
            <w:rtl/>
          </w:rPr>
          <w:t>:</w:t>
        </w:r>
        <w:r w:rsidR="004F510A" w:rsidRPr="004F510A">
          <w:rPr>
            <w:rFonts w:cs="Times New Roman" w:hint="cs"/>
            <w:iCs/>
            <w:rtl/>
          </w:rPr>
          <w:t>‬</w:t>
        </w:r>
        <w:r w:rsidR="004F510A" w:rsidRPr="004F510A">
          <w:rPr>
            <w:rFonts w:hint="cs"/>
            <w:iCs/>
            <w:rtl/>
          </w:rPr>
          <w:tab/>
        </w:r>
        <w:r w:rsidR="004F510A" w:rsidRPr="004F510A">
          <w:rPr>
            <w:rFonts w:hint="cs"/>
            <w:rtl/>
          </w:rPr>
          <w:t>التعرض ل</w:t>
        </w:r>
        <w:r w:rsidR="00664752">
          <w:rPr>
            <w:rFonts w:hint="cs"/>
            <w:rtl/>
          </w:rPr>
          <w:t xml:space="preserve">اعتداء </w:t>
        </w:r>
        <w:r w:rsidR="004F510A" w:rsidRPr="004F510A">
          <w:rPr>
            <w:rFonts w:hint="cs"/>
            <w:rtl/>
          </w:rPr>
          <w:t>من جانب م</w:t>
        </w:r>
        <w:r w:rsidR="00664752">
          <w:rPr>
            <w:rFonts w:hint="cs"/>
            <w:rtl/>
          </w:rPr>
          <w:t>مثل للحكومة</w:t>
        </w:r>
        <w:r w:rsidR="004F510A" w:rsidRPr="004F510A">
          <w:rPr>
            <w:rFonts w:hint="cs"/>
            <w:rtl/>
          </w:rPr>
          <w:t xml:space="preserve">، </w:t>
        </w:r>
        <w:r w:rsidR="00664752">
          <w:rPr>
            <w:rFonts w:hint="cs"/>
            <w:rtl/>
          </w:rPr>
          <w:t xml:space="preserve">دون أن </w:t>
        </w:r>
        <w:r w:rsidR="004F510A" w:rsidRPr="004F510A">
          <w:rPr>
            <w:rFonts w:hint="cs"/>
            <w:rtl/>
          </w:rPr>
          <w:t>يتبع ذلك تحقيق أو محاكمة</w:t>
        </w:r>
        <w:r w:rsidR="004F510A" w:rsidRPr="004F510A">
          <w:t>‬</w:t>
        </w:r>
        <w:r w:rsidR="004F510A" w:rsidRPr="004F510A">
          <w:t>‬</w:t>
        </w:r>
        <w:r w:rsidR="004F510A" w:rsidRPr="004F510A">
          <w:t>‬</w:t>
        </w:r>
        <w:r w:rsidR="004F510A" w:rsidRPr="004F510A">
          <w:t>‬</w:t>
        </w:r>
        <w:r w:rsidR="00C11032">
          <w:t>‬</w:t>
        </w:r>
        <w:r w:rsidR="00F059BD">
          <w:t>‬</w:t>
        </w:r>
        <w:r>
          <w:t>‬</w:t>
        </w:r>
      </w:dir>
    </w:p>
    <w:p w:rsidR="004F510A" w:rsidRPr="004F510A" w:rsidRDefault="00D21B2D" w:rsidP="001802CD">
      <w:pPr>
        <w:pStyle w:val="SingleTxtGA"/>
        <w:tabs>
          <w:tab w:val="clear" w:pos="2608"/>
          <w:tab w:val="clear" w:pos="3289"/>
          <w:tab w:val="clear" w:pos="3969"/>
        </w:tabs>
        <w:spacing w:line="340" w:lineRule="exact"/>
        <w:ind w:left="4650" w:hanging="2722"/>
      </w:pPr>
      <w:dir w:val="rtl">
        <w:r w:rsidR="004F510A" w:rsidRPr="004F510A">
          <w:rPr>
            <w:rFonts w:hint="cs"/>
            <w:iCs/>
            <w:rtl/>
          </w:rPr>
          <w:t>المسائل</w:t>
        </w:r>
        <w:r w:rsidR="004F510A" w:rsidRPr="004F510A">
          <w:rPr>
            <w:iCs/>
            <w:rtl/>
          </w:rPr>
          <w:t xml:space="preserve"> </w:t>
        </w:r>
        <w:r w:rsidR="004F510A" w:rsidRPr="004F510A">
          <w:rPr>
            <w:rFonts w:hint="cs"/>
            <w:iCs/>
            <w:rtl/>
          </w:rPr>
          <w:t>الإجرائية</w:t>
        </w:r>
        <w:r w:rsidR="004F510A" w:rsidRPr="004F510A">
          <w:rPr>
            <w:iCs/>
            <w:rtl/>
          </w:rPr>
          <w:t>:</w:t>
        </w:r>
        <w:r w:rsidR="004F510A" w:rsidRPr="004F510A">
          <w:rPr>
            <w:rFonts w:cs="Times New Roman" w:hint="cs"/>
            <w:iCs/>
            <w:rtl/>
          </w:rPr>
          <w:t>‬</w:t>
        </w:r>
        <w:r w:rsidR="004F510A" w:rsidRPr="004F510A">
          <w:rPr>
            <w:iCs/>
            <w:rtl/>
          </w:rPr>
          <w:tab/>
        </w:r>
        <w:r w:rsidR="004F510A" w:rsidRPr="004F510A">
          <w:rPr>
            <w:rFonts w:hint="cs"/>
            <w:rtl/>
          </w:rPr>
          <w:t xml:space="preserve">استنفاد سبل الانتصاف </w:t>
        </w:r>
        <w:r w:rsidR="00664752">
          <w:rPr>
            <w:rFonts w:hint="cs"/>
            <w:rtl/>
          </w:rPr>
          <w:t>المحلية</w:t>
        </w:r>
        <w:r w:rsidR="004F510A" w:rsidRPr="004F510A">
          <w:rPr>
            <w:rFonts w:hint="cs"/>
            <w:rtl/>
          </w:rPr>
          <w:t>، عدم كفاية الأدلة التي تثبت الادعاءات</w:t>
        </w:r>
        <w:r w:rsidR="004F510A" w:rsidRPr="004F510A">
          <w:t>‬</w:t>
        </w:r>
        <w:r w:rsidR="004F510A" w:rsidRPr="004F510A">
          <w:t>‬</w:t>
        </w:r>
        <w:r>
          <w:t>‬</w:t>
        </w:r>
      </w:dir>
    </w:p>
    <w:p w:rsidR="004F510A" w:rsidRPr="00B07920" w:rsidRDefault="00D21B2D" w:rsidP="001802CD">
      <w:pPr>
        <w:pStyle w:val="SingleTxtGA"/>
        <w:tabs>
          <w:tab w:val="clear" w:pos="2608"/>
          <w:tab w:val="clear" w:pos="3289"/>
          <w:tab w:val="clear" w:pos="3969"/>
        </w:tabs>
        <w:spacing w:line="340" w:lineRule="exact"/>
        <w:ind w:left="4650" w:hanging="2722"/>
        <w:rPr>
          <w:spacing w:val="-4"/>
        </w:rPr>
      </w:pPr>
      <w:dir w:val="rtl">
        <w:r w:rsidR="004F510A" w:rsidRPr="00B07920">
          <w:rPr>
            <w:rFonts w:hint="cs"/>
            <w:iCs/>
            <w:spacing w:val="-4"/>
            <w:rtl/>
          </w:rPr>
          <w:t>المسائل</w:t>
        </w:r>
        <w:r w:rsidR="004F510A" w:rsidRPr="00B07920">
          <w:rPr>
            <w:iCs/>
            <w:spacing w:val="-4"/>
            <w:rtl/>
          </w:rPr>
          <w:t xml:space="preserve"> </w:t>
        </w:r>
        <w:r w:rsidR="004F510A" w:rsidRPr="00B07920">
          <w:rPr>
            <w:rFonts w:hint="cs"/>
            <w:iCs/>
            <w:spacing w:val="-4"/>
            <w:rtl/>
          </w:rPr>
          <w:t>الموضوعية</w:t>
        </w:r>
        <w:r w:rsidR="004F510A" w:rsidRPr="00B07920">
          <w:rPr>
            <w:iCs/>
            <w:spacing w:val="-4"/>
            <w:rtl/>
          </w:rPr>
          <w:t>:</w:t>
        </w:r>
        <w:r w:rsidR="004F510A" w:rsidRPr="00B07920">
          <w:rPr>
            <w:rFonts w:cs="Times New Roman" w:hint="cs"/>
            <w:iCs/>
            <w:spacing w:val="-4"/>
            <w:rtl/>
          </w:rPr>
          <w:t>‬</w:t>
        </w:r>
        <w:r w:rsidR="004F510A" w:rsidRPr="00B07920">
          <w:rPr>
            <w:rFonts w:hint="cs"/>
            <w:iCs/>
            <w:spacing w:val="-4"/>
            <w:rtl/>
          </w:rPr>
          <w:tab/>
        </w:r>
        <w:r w:rsidR="004F510A" w:rsidRPr="00B07920">
          <w:rPr>
            <w:rFonts w:hint="cs"/>
            <w:spacing w:val="-4"/>
            <w:rtl/>
          </w:rPr>
          <w:t>الحق في الحياة؛ وحظر التعذيب والمعاملة القاسية واللاإنسانية؛ والحق في الحرية؛ والحق في الحماية من المعاملة اللاإنسانية؛ والحق في الحياة الأسرية؛ وحق الأطفال في الحماية؛ والحق في سبيل انتصاف فعال؛ التمييز والمساواة</w:t>
        </w:r>
        <w:bookmarkStart w:id="0" w:name="_GoBack"/>
        <w:bookmarkEnd w:id="0"/>
        <w:r w:rsidR="004F510A" w:rsidRPr="00B07920">
          <w:rPr>
            <w:rFonts w:hint="cs"/>
            <w:spacing w:val="-4"/>
            <w:rtl/>
          </w:rPr>
          <w:t xml:space="preserve"> في الحماية </w:t>
        </w:r>
        <w:r w:rsidR="00E3438B" w:rsidRPr="00B07920">
          <w:rPr>
            <w:rFonts w:hint="cs"/>
            <w:spacing w:val="-4"/>
            <w:rtl/>
          </w:rPr>
          <w:t>التي يبسطها</w:t>
        </w:r>
        <w:r w:rsidR="004F510A" w:rsidRPr="00B07920">
          <w:rPr>
            <w:rFonts w:hint="cs"/>
            <w:spacing w:val="-4"/>
            <w:rtl/>
          </w:rPr>
          <w:t xml:space="preserve"> القانون</w:t>
        </w:r>
        <w:r w:rsidR="004F510A" w:rsidRPr="00B07920">
          <w:rPr>
            <w:spacing w:val="-4"/>
          </w:rPr>
          <w:t>‬</w:t>
        </w:r>
        <w:r w:rsidR="004F510A" w:rsidRPr="00B07920">
          <w:rPr>
            <w:spacing w:val="-4"/>
          </w:rPr>
          <w:t>‬</w:t>
        </w:r>
        <w:r w:rsidR="004F510A" w:rsidRPr="00B07920">
          <w:rPr>
            <w:spacing w:val="-4"/>
          </w:rPr>
          <w:t>‬</w:t>
        </w:r>
        <w:r w:rsidR="004F510A" w:rsidRPr="00B07920">
          <w:rPr>
            <w:spacing w:val="-4"/>
          </w:rPr>
          <w:t>‬</w:t>
        </w:r>
        <w:r w:rsidR="00C11032" w:rsidRPr="00B07920">
          <w:rPr>
            <w:spacing w:val="-4"/>
          </w:rPr>
          <w:t>‬</w:t>
        </w:r>
        <w:r w:rsidR="00F059BD">
          <w:t>‬</w:t>
        </w:r>
        <w:r>
          <w:t>‬</w:t>
        </w:r>
      </w:dir>
    </w:p>
    <w:p w:rsidR="004F510A" w:rsidRPr="004F510A" w:rsidRDefault="004F510A" w:rsidP="00B07920">
      <w:pPr>
        <w:pStyle w:val="SingleTxtGA"/>
        <w:tabs>
          <w:tab w:val="clear" w:pos="2608"/>
          <w:tab w:val="clear" w:pos="3289"/>
          <w:tab w:val="clear" w:pos="3969"/>
        </w:tabs>
        <w:ind w:left="4649" w:hanging="2721"/>
        <w:rPr>
          <w:rtl/>
        </w:rPr>
      </w:pPr>
      <w:r w:rsidRPr="004F510A">
        <w:rPr>
          <w:rFonts w:hint="cs"/>
          <w:iCs/>
          <w:rtl/>
        </w:rPr>
        <w:lastRenderedPageBreak/>
        <w:t>مواد العهد</w:t>
      </w:r>
      <w:r w:rsidRPr="004F510A">
        <w:rPr>
          <w:iCs/>
          <w:rtl/>
        </w:rPr>
        <w:t>:</w:t>
      </w:r>
      <w:r w:rsidRPr="004F510A">
        <w:rPr>
          <w:iCs/>
          <w:rtl/>
        </w:rPr>
        <w:tab/>
      </w:r>
      <w:r w:rsidRPr="004F510A">
        <w:rPr>
          <w:rFonts w:hint="cs"/>
          <w:rtl/>
        </w:rPr>
        <w:t>المادة 2 (الفقرتان 1 و3)؛ والمادة 6 (الفقرة 1)؛ و</w:t>
      </w:r>
      <w:r w:rsidR="00E3438B">
        <w:rPr>
          <w:rFonts w:hint="cs"/>
          <w:rtl/>
        </w:rPr>
        <w:t xml:space="preserve">المادتان </w:t>
      </w:r>
      <w:r w:rsidRPr="004F510A">
        <w:rPr>
          <w:rFonts w:hint="cs"/>
          <w:rtl/>
        </w:rPr>
        <w:t>7 و9 (الفقرتان 1 و2)؛ والمادة 26</w:t>
      </w:r>
    </w:p>
    <w:p w:rsidR="004F510A" w:rsidRPr="004F510A" w:rsidRDefault="00B07920" w:rsidP="00B07920">
      <w:pPr>
        <w:pStyle w:val="SingleTxtGA"/>
        <w:tabs>
          <w:tab w:val="clear" w:pos="2608"/>
          <w:tab w:val="clear" w:pos="3289"/>
          <w:tab w:val="clear" w:pos="3969"/>
        </w:tabs>
        <w:ind w:left="4649" w:hanging="2721"/>
        <w:rPr>
          <w:rtl/>
        </w:rPr>
      </w:pPr>
      <w:r>
        <w:rPr>
          <w:rFonts w:hint="cs"/>
          <w:rtl/>
        </w:rPr>
        <w:t>مواد البروتوكول الاختياري</w:t>
      </w:r>
      <w:r w:rsidRPr="00997E99">
        <w:rPr>
          <w:rFonts w:hint="cs"/>
          <w:i/>
          <w:iCs/>
          <w:rtl/>
        </w:rPr>
        <w:t>:</w:t>
      </w:r>
      <w:r w:rsidR="004F510A" w:rsidRPr="004F510A">
        <w:rPr>
          <w:rFonts w:hint="cs"/>
          <w:rtl/>
        </w:rPr>
        <w:tab/>
        <w:t>المادتان 2 و5 (الفقرة 2(ب))</w:t>
      </w:r>
    </w:p>
    <w:p w:rsidR="004F510A" w:rsidRDefault="004F510A" w:rsidP="00E3438B">
      <w:pPr>
        <w:pStyle w:val="HChGA"/>
        <w:spacing w:before="120"/>
        <w:rPr>
          <w:rtl/>
        </w:rPr>
      </w:pPr>
      <w:r>
        <w:rPr>
          <w:rtl/>
        </w:rPr>
        <w:br w:type="page"/>
      </w:r>
      <w:r>
        <w:rPr>
          <w:rFonts w:hint="cs"/>
          <w:rtl/>
        </w:rPr>
        <w:lastRenderedPageBreak/>
        <w:t>المرفق</w:t>
      </w:r>
    </w:p>
    <w:p w:rsidR="004F510A" w:rsidRPr="00E3438B" w:rsidRDefault="00E3438B" w:rsidP="00E3438B">
      <w:pPr>
        <w:pStyle w:val="HChGA"/>
        <w:rPr>
          <w:b w:val="0"/>
          <w:bCs w:val="0"/>
          <w:rtl/>
        </w:rPr>
      </w:pPr>
      <w:r>
        <w:rPr>
          <w:rFonts w:hint="cs"/>
          <w:rtl/>
        </w:rPr>
        <w:tab/>
      </w:r>
      <w:r>
        <w:rPr>
          <w:rFonts w:hint="cs"/>
          <w:rtl/>
        </w:rPr>
        <w:tab/>
      </w:r>
      <w:r w:rsidR="004F510A">
        <w:rPr>
          <w:rFonts w:hint="cs"/>
          <w:rtl/>
        </w:rPr>
        <w:t xml:space="preserve">آراء اللجنة المعنية بحقوق الإنسان بموجب الفقرة 4 من المادة 5 من البروتوكول الاختياري الملحق بالعهد الدولي الخاص بالحقوق المدنية والسياسية </w:t>
      </w:r>
      <w:r w:rsidR="004F510A" w:rsidRPr="00E3438B">
        <w:rPr>
          <w:rFonts w:hint="cs"/>
          <w:b w:val="0"/>
          <w:bCs w:val="0"/>
          <w:rtl/>
        </w:rPr>
        <w:t>(الدورة 112)</w:t>
      </w:r>
    </w:p>
    <w:p w:rsidR="004F510A" w:rsidRDefault="004F510A" w:rsidP="004F510A">
      <w:pPr>
        <w:pStyle w:val="SingleTxtGA"/>
        <w:spacing w:line="360" w:lineRule="auto"/>
        <w:rPr>
          <w:rtl/>
        </w:rPr>
      </w:pPr>
      <w:r>
        <w:rPr>
          <w:rFonts w:hint="cs"/>
          <w:rtl/>
        </w:rPr>
        <w:t>بشأن</w:t>
      </w:r>
    </w:p>
    <w:p w:rsidR="004F510A" w:rsidRDefault="00B07920" w:rsidP="00B07920">
      <w:pPr>
        <w:pStyle w:val="H1GA"/>
        <w:rPr>
          <w:rtl/>
        </w:rPr>
      </w:pPr>
      <w:r>
        <w:rPr>
          <w:rFonts w:hint="cs"/>
          <w:rtl/>
        </w:rPr>
        <w:tab/>
      </w:r>
      <w:r>
        <w:rPr>
          <w:rFonts w:hint="cs"/>
          <w:rtl/>
        </w:rPr>
        <w:tab/>
      </w:r>
      <w:r w:rsidR="004F510A">
        <w:rPr>
          <w:rFonts w:hint="cs"/>
          <w:rtl/>
        </w:rPr>
        <w:t>البلاغ رقم 1965/2010</w:t>
      </w:r>
      <w:r w:rsidRPr="00B07920">
        <w:rPr>
          <w:rStyle w:val="FootnoteReference"/>
          <w:sz w:val="20"/>
          <w:vertAlign w:val="baseline"/>
          <w:rtl/>
        </w:rPr>
        <w:footnoteReference w:customMarkFollows="1" w:id="1"/>
        <w:t>*</w:t>
      </w:r>
    </w:p>
    <w:p w:rsidR="004F510A" w:rsidRPr="00EC55E1" w:rsidRDefault="004F510A" w:rsidP="004F510A">
      <w:pPr>
        <w:pStyle w:val="SingleTxtGA"/>
        <w:ind w:left="4649" w:hanging="2721"/>
      </w:pPr>
      <w:r w:rsidRPr="002B140B">
        <w:rPr>
          <w:iCs/>
          <w:rtl/>
        </w:rPr>
        <w:t>المقدم من:</w:t>
      </w:r>
      <w:r w:rsidRPr="002B140B">
        <w:rPr>
          <w:rFonts w:hint="cs"/>
          <w:iCs/>
          <w:rtl/>
        </w:rPr>
        <w:tab/>
      </w:r>
      <w:r w:rsidRPr="002B140B">
        <w:rPr>
          <w:iCs/>
          <w:rtl/>
        </w:rPr>
        <w:tab/>
      </w:r>
      <w:r w:rsidRPr="002B140B">
        <w:rPr>
          <w:iCs/>
          <w:rtl/>
        </w:rPr>
        <w:tab/>
      </w:r>
      <w:r>
        <w:rPr>
          <w:rFonts w:hint="cs"/>
          <w:rtl/>
        </w:rPr>
        <w:t xml:space="preserve">جون نجي مونيكا </w:t>
      </w:r>
      <w:r w:rsidRPr="00EC55E1">
        <w:rPr>
          <w:rtl/>
        </w:rPr>
        <w:t xml:space="preserve">(يمثله المحامي </w:t>
      </w:r>
      <w:r>
        <w:rPr>
          <w:rFonts w:hint="cs"/>
          <w:rtl/>
        </w:rPr>
        <w:t xml:space="preserve">مارتين </w:t>
      </w:r>
      <w:proofErr w:type="spellStart"/>
      <w:r>
        <w:rPr>
          <w:rFonts w:hint="cs"/>
          <w:rtl/>
        </w:rPr>
        <w:t>ديكانجو</w:t>
      </w:r>
      <w:proofErr w:type="spellEnd"/>
      <w:r>
        <w:rPr>
          <w:rFonts w:hint="cs"/>
          <w:rtl/>
        </w:rPr>
        <w:t xml:space="preserve"> </w:t>
      </w:r>
      <w:proofErr w:type="spellStart"/>
      <w:r>
        <w:rPr>
          <w:rFonts w:hint="cs"/>
          <w:rtl/>
        </w:rPr>
        <w:t>إسينجيلا</w:t>
      </w:r>
      <w:proofErr w:type="spellEnd"/>
      <w:r w:rsidRPr="00EC55E1">
        <w:rPr>
          <w:rtl/>
        </w:rPr>
        <w:t>)</w:t>
      </w:r>
    </w:p>
    <w:p w:rsidR="004F510A" w:rsidRPr="00EC55E1" w:rsidRDefault="00D21B2D" w:rsidP="004F510A">
      <w:pPr>
        <w:pStyle w:val="SingleTxtGA"/>
        <w:ind w:left="4649" w:hanging="2721"/>
      </w:pPr>
      <w:dir w:val="rtl">
        <w:r w:rsidR="004F510A" w:rsidRPr="002B140B">
          <w:rPr>
            <w:rFonts w:ascii="Traditional Arabic" w:hAnsi="Traditional Arabic" w:hint="cs"/>
            <w:iCs/>
            <w:rtl/>
          </w:rPr>
          <w:t>الشخص</w:t>
        </w:r>
        <w:r w:rsidR="004F510A" w:rsidRPr="002B140B">
          <w:rPr>
            <w:iCs/>
            <w:rtl/>
          </w:rPr>
          <w:t xml:space="preserve"> </w:t>
        </w:r>
        <w:r w:rsidR="004F510A" w:rsidRPr="002B140B">
          <w:rPr>
            <w:rFonts w:ascii="Traditional Arabic" w:hAnsi="Traditional Arabic" w:hint="cs"/>
            <w:iCs/>
            <w:rtl/>
          </w:rPr>
          <w:t>المدع</w:t>
        </w:r>
        <w:r w:rsidR="004F510A">
          <w:rPr>
            <w:rFonts w:hint="cs"/>
            <w:iCs/>
            <w:rtl/>
          </w:rPr>
          <w:t>ى</w:t>
        </w:r>
        <w:r w:rsidR="004F510A" w:rsidRPr="002B140B">
          <w:rPr>
            <w:iCs/>
            <w:rtl/>
          </w:rPr>
          <w:t xml:space="preserve"> </w:t>
        </w:r>
        <w:r w:rsidR="004F510A" w:rsidRPr="002B140B">
          <w:rPr>
            <w:rFonts w:ascii="Traditional Arabic" w:hAnsi="Traditional Arabic" w:hint="cs"/>
            <w:iCs/>
            <w:rtl/>
          </w:rPr>
          <w:t>أنه</w:t>
        </w:r>
        <w:r w:rsidR="004F510A" w:rsidRPr="002B140B">
          <w:rPr>
            <w:iCs/>
            <w:rtl/>
          </w:rPr>
          <w:t xml:space="preserve"> </w:t>
        </w:r>
        <w:r w:rsidR="004F510A" w:rsidRPr="002B140B">
          <w:rPr>
            <w:rFonts w:ascii="Traditional Arabic" w:hAnsi="Traditional Arabic" w:hint="cs"/>
            <w:iCs/>
            <w:rtl/>
          </w:rPr>
          <w:t>ضحية</w:t>
        </w:r>
        <w:r w:rsidR="004F510A" w:rsidRPr="002B140B">
          <w:rPr>
            <w:iCs/>
            <w:rtl/>
          </w:rPr>
          <w:t>:</w:t>
        </w:r>
        <w:r w:rsidR="004F510A" w:rsidRPr="00EC55E1">
          <w:rPr>
            <w:rFonts w:cs="Times New Roman" w:hint="cs"/>
            <w:rtl/>
          </w:rPr>
          <w:t>‬</w:t>
        </w:r>
        <w:r w:rsidR="004F510A" w:rsidRPr="00EC55E1">
          <w:rPr>
            <w:rFonts w:cs="Times New Roman" w:hint="cs"/>
            <w:rtl/>
          </w:rPr>
          <w:t>‬</w:t>
        </w:r>
        <w:r w:rsidR="004F510A" w:rsidRPr="00EC55E1">
          <w:rPr>
            <w:rFonts w:cs="Times New Roman" w:hint="cs"/>
            <w:rtl/>
          </w:rPr>
          <w:t>‬</w:t>
        </w:r>
        <w:r w:rsidR="004F510A" w:rsidRPr="00EC55E1">
          <w:rPr>
            <w:rFonts w:cs="Times New Roman" w:hint="cs"/>
            <w:rtl/>
          </w:rPr>
          <w:t>‬</w:t>
        </w:r>
        <w:r w:rsidR="004F510A" w:rsidRPr="00EC55E1">
          <w:rPr>
            <w:rtl/>
          </w:rPr>
          <w:tab/>
        </w:r>
        <w:r w:rsidR="004F510A">
          <w:rPr>
            <w:rFonts w:hint="cs"/>
            <w:rtl/>
          </w:rPr>
          <w:t>صاحب البلاغ</w:t>
        </w:r>
        <w:r w:rsidR="004F510A">
          <w:t>‬</w:t>
        </w:r>
        <w:r w:rsidR="004F510A">
          <w:t>‬</w:t>
        </w:r>
        <w:r w:rsidR="004F510A">
          <w:t>‬</w:t>
        </w:r>
        <w:r w:rsidR="004F510A">
          <w:t>‬</w:t>
        </w:r>
        <w:r w:rsidR="004F510A">
          <w:t>‬</w:t>
        </w:r>
        <w:r w:rsidR="004F510A">
          <w:t>‬</w:t>
        </w:r>
        <w:r w:rsidR="004F510A">
          <w:t>‬</w:t>
        </w:r>
        <w:r w:rsidR="00C11032">
          <w:t>‬</w:t>
        </w:r>
        <w:r w:rsidR="00F059BD">
          <w:t>‬</w:t>
        </w:r>
        <w:r>
          <w:t>‬</w:t>
        </w:r>
      </w:dir>
    </w:p>
    <w:p w:rsidR="004F510A" w:rsidRPr="00EC55E1" w:rsidRDefault="004F510A" w:rsidP="004F510A">
      <w:pPr>
        <w:pStyle w:val="SingleTxtGA"/>
        <w:ind w:left="4649" w:hanging="2721"/>
      </w:pPr>
      <w:r w:rsidRPr="002B140B">
        <w:rPr>
          <w:iCs/>
          <w:rtl/>
        </w:rPr>
        <w:t>الدولة الطرف:</w:t>
      </w:r>
      <w:r w:rsidRPr="002B140B">
        <w:rPr>
          <w:iCs/>
          <w:rtl/>
        </w:rPr>
        <w:tab/>
      </w:r>
      <w:r w:rsidRPr="002B140B">
        <w:rPr>
          <w:rFonts w:hint="cs"/>
          <w:iCs/>
          <w:rtl/>
        </w:rPr>
        <w:tab/>
      </w:r>
      <w:r w:rsidRPr="002B140B">
        <w:rPr>
          <w:iCs/>
          <w:rtl/>
        </w:rPr>
        <w:tab/>
      </w:r>
      <w:r>
        <w:rPr>
          <w:rFonts w:hint="cs"/>
          <w:rtl/>
        </w:rPr>
        <w:t>الكاميرون</w:t>
      </w:r>
    </w:p>
    <w:p w:rsidR="004F510A" w:rsidRDefault="004F510A" w:rsidP="004F510A">
      <w:pPr>
        <w:pStyle w:val="SingleTxtGA"/>
        <w:ind w:left="4649" w:hanging="2721"/>
        <w:rPr>
          <w:rtl/>
        </w:rPr>
      </w:pPr>
      <w:r w:rsidRPr="002B140B">
        <w:rPr>
          <w:iCs/>
          <w:rtl/>
        </w:rPr>
        <w:t>تاريخ تقديم الشكوى:</w:t>
      </w:r>
      <w:r w:rsidRPr="002B140B">
        <w:rPr>
          <w:rFonts w:hint="cs"/>
          <w:iCs/>
          <w:rtl/>
        </w:rPr>
        <w:tab/>
      </w:r>
      <w:r w:rsidRPr="002B140B">
        <w:rPr>
          <w:iCs/>
          <w:rtl/>
        </w:rPr>
        <w:tab/>
      </w:r>
      <w:r>
        <w:rPr>
          <w:rFonts w:hint="cs"/>
          <w:rtl/>
        </w:rPr>
        <w:t xml:space="preserve">11 كانون الثاني/يناير 2010 </w:t>
      </w:r>
      <w:dir w:val="rtl">
        <w:r w:rsidRPr="00EC55E1">
          <w:rPr>
            <w:rtl/>
          </w:rPr>
          <w:t>(</w:t>
        </w:r>
        <w:r w:rsidRPr="00EC55E1">
          <w:rPr>
            <w:rFonts w:ascii="Traditional Arabic" w:hAnsi="Traditional Arabic" w:hint="cs"/>
            <w:rtl/>
          </w:rPr>
          <w:t>تاريخ</w:t>
        </w:r>
        <w:r w:rsidRPr="00EC55E1">
          <w:rPr>
            <w:rtl/>
          </w:rPr>
          <w:t xml:space="preserve"> </w:t>
        </w:r>
        <w:r w:rsidRPr="00EC55E1">
          <w:rPr>
            <w:rFonts w:ascii="Traditional Arabic" w:hAnsi="Traditional Arabic" w:hint="cs"/>
            <w:rtl/>
          </w:rPr>
          <w:t>الرسالة</w:t>
        </w:r>
        <w:r w:rsidRPr="00EC55E1">
          <w:rPr>
            <w:rtl/>
          </w:rPr>
          <w:t xml:space="preserve"> </w:t>
        </w:r>
        <w:r w:rsidRPr="00EC55E1">
          <w:rPr>
            <w:rFonts w:ascii="Traditional Arabic" w:hAnsi="Traditional Arabic" w:hint="cs"/>
            <w:rtl/>
          </w:rPr>
          <w:t>الأولى</w:t>
        </w:r>
        <w:r>
          <w:rPr>
            <w:rtl/>
          </w:rPr>
          <w:t>)</w:t>
        </w:r>
        <w:r>
          <w:t>‬</w:t>
        </w:r>
        <w:r>
          <w:t>‬</w:t>
        </w:r>
        <w:r>
          <w:t>‬</w:t>
        </w:r>
        <w:r>
          <w:t>‬</w:t>
        </w:r>
        <w:r w:rsidR="00C11032">
          <w:t>‬</w:t>
        </w:r>
        <w:r w:rsidR="00F059BD">
          <w:t>‬</w:t>
        </w:r>
        <w:r w:rsidR="00D21B2D">
          <w:t>‬</w:t>
        </w:r>
      </w:dir>
    </w:p>
    <w:p w:rsidR="004F510A" w:rsidRDefault="004F510A" w:rsidP="00E3438B">
      <w:pPr>
        <w:pStyle w:val="SingleTxtGA"/>
        <w:rPr>
          <w:rtl/>
        </w:rPr>
      </w:pPr>
      <w:r>
        <w:rPr>
          <w:rFonts w:hint="cs"/>
          <w:rtl/>
        </w:rPr>
        <w:tab/>
      </w:r>
      <w:r w:rsidRPr="00E3438B">
        <w:rPr>
          <w:rFonts w:hint="cs"/>
          <w:i/>
          <w:iCs/>
          <w:rtl/>
        </w:rPr>
        <w:t>إن اللجنة المعنية بحقوق الإنسان</w:t>
      </w:r>
      <w:r>
        <w:rPr>
          <w:rFonts w:hint="cs"/>
          <w:rtl/>
        </w:rPr>
        <w:t xml:space="preserve">، المنشأة بموجب المادة 28 من العهد الدولي الخاص بالحقوق المدنية والسياسية، </w:t>
      </w:r>
    </w:p>
    <w:p w:rsidR="004F510A" w:rsidRPr="00D96092" w:rsidRDefault="004F510A" w:rsidP="00E3438B">
      <w:pPr>
        <w:pStyle w:val="SingleTxtGA"/>
        <w:rPr>
          <w:rtl/>
        </w:rPr>
      </w:pPr>
      <w:r>
        <w:rPr>
          <w:rFonts w:hint="cs"/>
          <w:rtl/>
        </w:rPr>
        <w:tab/>
      </w:r>
      <w:r w:rsidRPr="00E3438B">
        <w:rPr>
          <w:rFonts w:hint="cs"/>
          <w:i/>
          <w:iCs/>
          <w:rtl/>
        </w:rPr>
        <w:t>وقد اجتمعت</w:t>
      </w:r>
      <w:r w:rsidRPr="00D96092">
        <w:rPr>
          <w:rFonts w:hint="cs"/>
          <w:rtl/>
        </w:rPr>
        <w:t xml:space="preserve"> في 21 تشرين الأول/أكتوبر 2014، </w:t>
      </w:r>
    </w:p>
    <w:p w:rsidR="004F510A" w:rsidRPr="001314CF" w:rsidRDefault="004F510A" w:rsidP="00E3438B">
      <w:pPr>
        <w:pStyle w:val="SingleTxtGA"/>
        <w:rPr>
          <w:spacing w:val="-4"/>
          <w:rtl/>
        </w:rPr>
      </w:pPr>
      <w:r w:rsidRPr="001314CF">
        <w:rPr>
          <w:rFonts w:hint="cs"/>
          <w:spacing w:val="-4"/>
          <w:rtl/>
        </w:rPr>
        <w:tab/>
      </w:r>
      <w:r w:rsidR="00E3438B" w:rsidRPr="001314CF">
        <w:rPr>
          <w:rFonts w:hint="cs"/>
          <w:i/>
          <w:iCs/>
          <w:spacing w:val="-4"/>
          <w:rtl/>
        </w:rPr>
        <w:t>وقد فرغ</w:t>
      </w:r>
      <w:r w:rsidRPr="001314CF">
        <w:rPr>
          <w:rFonts w:hint="cs"/>
          <w:i/>
          <w:iCs/>
          <w:spacing w:val="-4"/>
          <w:rtl/>
        </w:rPr>
        <w:t xml:space="preserve">ت </w:t>
      </w:r>
      <w:r w:rsidRPr="001314CF">
        <w:rPr>
          <w:rFonts w:hint="cs"/>
          <w:spacing w:val="-4"/>
          <w:rtl/>
        </w:rPr>
        <w:t xml:space="preserve">من النظر في البلاغ رقم 1965/2010، المقدم إليها بالنيابة عن جون نجي مونيكا بموجب البروتوكول الاختياري الملحق بالعهد الدولي الخاص بالحقوق المدنية والسياسية، </w:t>
      </w:r>
    </w:p>
    <w:p w:rsidR="004F510A" w:rsidRDefault="004F510A" w:rsidP="00E3438B">
      <w:pPr>
        <w:pStyle w:val="SingleTxtGA"/>
        <w:rPr>
          <w:rtl/>
        </w:rPr>
      </w:pPr>
      <w:r>
        <w:rPr>
          <w:rFonts w:hint="cs"/>
          <w:rtl/>
        </w:rPr>
        <w:tab/>
      </w:r>
      <w:r w:rsidRPr="00E3438B">
        <w:rPr>
          <w:rFonts w:hint="cs"/>
          <w:i/>
          <w:iCs/>
          <w:rtl/>
        </w:rPr>
        <w:t>وقد وضعت في اعتبارها</w:t>
      </w:r>
      <w:r>
        <w:rPr>
          <w:rFonts w:hint="cs"/>
          <w:rtl/>
        </w:rPr>
        <w:t xml:space="preserve"> جميع المعلومات المكتوبة التي أتاحها لها كل من صاحب البلاغ والدولة الطرف، </w:t>
      </w:r>
    </w:p>
    <w:p w:rsidR="004F510A" w:rsidRDefault="004F510A" w:rsidP="00E3438B">
      <w:pPr>
        <w:pStyle w:val="SingleTxtGA"/>
        <w:rPr>
          <w:rtl/>
        </w:rPr>
      </w:pPr>
      <w:r>
        <w:rPr>
          <w:rFonts w:hint="cs"/>
          <w:rtl/>
        </w:rPr>
        <w:tab/>
      </w:r>
      <w:r w:rsidRPr="00E3438B">
        <w:rPr>
          <w:rFonts w:hint="cs"/>
          <w:i/>
          <w:iCs/>
          <w:rtl/>
        </w:rPr>
        <w:t>تعتمد</w:t>
      </w:r>
      <w:r>
        <w:rPr>
          <w:rFonts w:hint="cs"/>
          <w:rtl/>
        </w:rPr>
        <w:t xml:space="preserve"> ما يلي:</w:t>
      </w:r>
    </w:p>
    <w:p w:rsidR="004F510A" w:rsidRDefault="00E3438B" w:rsidP="001314CF">
      <w:pPr>
        <w:pStyle w:val="H1GA"/>
        <w:spacing w:before="120"/>
        <w:rPr>
          <w:rtl/>
        </w:rPr>
      </w:pPr>
      <w:r>
        <w:rPr>
          <w:rFonts w:hint="cs"/>
          <w:rtl/>
        </w:rPr>
        <w:lastRenderedPageBreak/>
        <w:tab/>
      </w:r>
      <w:r>
        <w:rPr>
          <w:rFonts w:hint="cs"/>
          <w:rtl/>
        </w:rPr>
        <w:tab/>
      </w:r>
      <w:r w:rsidR="004F510A">
        <w:rPr>
          <w:rFonts w:hint="cs"/>
          <w:rtl/>
        </w:rPr>
        <w:t>الآراء بموجب الفقرة 4 من المادة 5 من البروتوكول الاختياري</w:t>
      </w:r>
    </w:p>
    <w:p w:rsidR="004F510A" w:rsidRPr="00E3438B" w:rsidRDefault="004F510A" w:rsidP="00E3438B">
      <w:pPr>
        <w:pStyle w:val="SingleTxtGA"/>
        <w:rPr>
          <w:spacing w:val="-4"/>
          <w:rtl/>
        </w:rPr>
      </w:pPr>
      <w:r w:rsidRPr="00E3438B">
        <w:rPr>
          <w:rFonts w:hint="cs"/>
          <w:spacing w:val="-4"/>
          <w:rtl/>
        </w:rPr>
        <w:t>1-1</w:t>
      </w:r>
      <w:r w:rsidRPr="00E3438B">
        <w:rPr>
          <w:rFonts w:hint="cs"/>
          <w:spacing w:val="-4"/>
          <w:rtl/>
        </w:rPr>
        <w:tab/>
        <w:t xml:space="preserve">صاحب البلاغ هو جون نجي مونيكا، المولود في 6 كانون الثاني/يناير 1959 في فكتوريا (المسماة حالياً </w:t>
      </w:r>
      <w:proofErr w:type="spellStart"/>
      <w:r w:rsidR="001314CF">
        <w:rPr>
          <w:rFonts w:hint="cs"/>
          <w:spacing w:val="-4"/>
          <w:rtl/>
        </w:rPr>
        <w:t>ليمبه</w:t>
      </w:r>
      <w:proofErr w:type="spellEnd"/>
      <w:r w:rsidRPr="00E3438B">
        <w:rPr>
          <w:rFonts w:hint="cs"/>
          <w:spacing w:val="-4"/>
          <w:rtl/>
        </w:rPr>
        <w:t>)، بالكاميرون. و</w:t>
      </w:r>
      <w:r w:rsidR="00E3438B" w:rsidRPr="00E3438B">
        <w:rPr>
          <w:rFonts w:hint="cs"/>
          <w:spacing w:val="-4"/>
          <w:rtl/>
        </w:rPr>
        <w:t xml:space="preserve">هو </w:t>
      </w:r>
      <w:r w:rsidRPr="00E3438B">
        <w:rPr>
          <w:rFonts w:hint="cs"/>
          <w:spacing w:val="-4"/>
          <w:rtl/>
        </w:rPr>
        <w:t xml:space="preserve">يدعي </w:t>
      </w:r>
      <w:r w:rsidR="00E3438B" w:rsidRPr="00E3438B">
        <w:rPr>
          <w:rFonts w:hint="cs"/>
          <w:spacing w:val="-4"/>
          <w:rtl/>
        </w:rPr>
        <w:t xml:space="preserve">أن </w:t>
      </w:r>
      <w:r w:rsidRPr="00E3438B">
        <w:rPr>
          <w:rFonts w:hint="cs"/>
          <w:spacing w:val="-4"/>
          <w:rtl/>
        </w:rPr>
        <w:t xml:space="preserve">حقوقه </w:t>
      </w:r>
      <w:r w:rsidR="00E3438B" w:rsidRPr="00E3438B">
        <w:rPr>
          <w:rFonts w:hint="cs"/>
          <w:spacing w:val="-4"/>
          <w:rtl/>
        </w:rPr>
        <w:t xml:space="preserve">المكفولة </w:t>
      </w:r>
      <w:r w:rsidRPr="00E3438B">
        <w:rPr>
          <w:rFonts w:hint="cs"/>
          <w:spacing w:val="-4"/>
          <w:rtl/>
        </w:rPr>
        <w:t>بموجب الفقرة 3 من المادة 2 والمواد 6 و7 و9 و26 من العهد</w:t>
      </w:r>
      <w:r w:rsidR="00E3438B" w:rsidRPr="00E3438B">
        <w:rPr>
          <w:rFonts w:hint="cs"/>
          <w:spacing w:val="-4"/>
          <w:rtl/>
        </w:rPr>
        <w:t xml:space="preserve"> انتهكت</w:t>
      </w:r>
      <w:r w:rsidRPr="00E3438B">
        <w:rPr>
          <w:rFonts w:hint="cs"/>
          <w:spacing w:val="-4"/>
          <w:rtl/>
        </w:rPr>
        <w:t>. و</w:t>
      </w:r>
      <w:r w:rsidR="00E3438B" w:rsidRPr="00E3438B">
        <w:rPr>
          <w:rFonts w:hint="cs"/>
          <w:spacing w:val="-4"/>
          <w:rtl/>
        </w:rPr>
        <w:t xml:space="preserve">قد </w:t>
      </w:r>
      <w:r w:rsidRPr="00E3438B">
        <w:rPr>
          <w:rFonts w:hint="cs"/>
          <w:spacing w:val="-4"/>
          <w:rtl/>
        </w:rPr>
        <w:t>دخل البروتوكول الاختياري الملحق بالعهد حيز النفاذ بالنسبة للدولة الطرف في 27 أيلول/سبتمبر 1984. ويمثل صاحب البلاغ محامٍ.</w:t>
      </w:r>
    </w:p>
    <w:p w:rsidR="004F510A" w:rsidRDefault="004F510A" w:rsidP="00E3438B">
      <w:pPr>
        <w:pStyle w:val="SingleTxtGA"/>
        <w:rPr>
          <w:rtl/>
        </w:rPr>
      </w:pPr>
      <w:r>
        <w:rPr>
          <w:rFonts w:hint="cs"/>
          <w:rtl/>
        </w:rPr>
        <w:t>1-2</w:t>
      </w:r>
      <w:r>
        <w:rPr>
          <w:rFonts w:hint="cs"/>
          <w:rtl/>
        </w:rPr>
        <w:tab/>
        <w:t>وفي 18 تشرين الأول/أكتوبر 2010، رفض المقرر الخاص المعني بالبلاغات الجديدة والتدابير المؤقتة طلب الدولة الطرف النظر في مقبول</w:t>
      </w:r>
      <w:r w:rsidR="00E3438B">
        <w:rPr>
          <w:rFonts w:hint="cs"/>
          <w:rtl/>
        </w:rPr>
        <w:t>ي</w:t>
      </w:r>
      <w:r>
        <w:rPr>
          <w:rFonts w:hint="cs"/>
          <w:rtl/>
        </w:rPr>
        <w:t>ة البلاغ بشكل منفصل عن النظر في أسسه الموضوعية.</w:t>
      </w:r>
    </w:p>
    <w:p w:rsidR="004F510A" w:rsidRDefault="00E3438B" w:rsidP="00E3438B">
      <w:pPr>
        <w:pStyle w:val="H23GA"/>
        <w:rPr>
          <w:rtl/>
        </w:rPr>
      </w:pPr>
      <w:r>
        <w:rPr>
          <w:rFonts w:hint="cs"/>
          <w:rtl/>
        </w:rPr>
        <w:tab/>
      </w:r>
      <w:r>
        <w:rPr>
          <w:rFonts w:hint="cs"/>
          <w:rtl/>
        </w:rPr>
        <w:tab/>
      </w:r>
      <w:r w:rsidR="004F510A">
        <w:rPr>
          <w:rFonts w:hint="cs"/>
          <w:rtl/>
        </w:rPr>
        <w:t>الوقائع كما قدمها صاحب البلاغ</w:t>
      </w:r>
    </w:p>
    <w:p w:rsidR="004F510A" w:rsidRPr="001314CF" w:rsidRDefault="004F510A" w:rsidP="001314CF">
      <w:pPr>
        <w:pStyle w:val="SingleTxtGA"/>
        <w:spacing w:line="374" w:lineRule="exact"/>
        <w:rPr>
          <w:spacing w:val="-2"/>
          <w:rtl/>
        </w:rPr>
      </w:pPr>
      <w:r w:rsidRPr="001314CF">
        <w:rPr>
          <w:rFonts w:hint="cs"/>
          <w:spacing w:val="-2"/>
          <w:rtl/>
        </w:rPr>
        <w:t>2-1</w:t>
      </w:r>
      <w:r w:rsidRPr="001314CF">
        <w:rPr>
          <w:rFonts w:hint="cs"/>
          <w:spacing w:val="-2"/>
          <w:rtl/>
        </w:rPr>
        <w:tab/>
      </w:r>
      <w:r w:rsidR="00F339F3" w:rsidRPr="001314CF">
        <w:rPr>
          <w:rFonts w:hint="cs"/>
          <w:spacing w:val="-2"/>
          <w:rtl/>
        </w:rPr>
        <w:t xml:space="preserve">كان </w:t>
      </w:r>
      <w:r w:rsidRPr="001314CF">
        <w:rPr>
          <w:rFonts w:hint="cs"/>
          <w:spacing w:val="-2"/>
          <w:rtl/>
        </w:rPr>
        <w:t xml:space="preserve">صاحب البلاغ </w:t>
      </w:r>
      <w:r w:rsidR="00F339F3" w:rsidRPr="001314CF">
        <w:rPr>
          <w:rFonts w:hint="cs"/>
          <w:spacing w:val="-2"/>
          <w:rtl/>
        </w:rPr>
        <w:t>من المقاولين ورجال ال</w:t>
      </w:r>
      <w:r w:rsidRPr="001314CF">
        <w:rPr>
          <w:rFonts w:hint="cs"/>
          <w:spacing w:val="-2"/>
          <w:rtl/>
        </w:rPr>
        <w:t>أعمال و</w:t>
      </w:r>
      <w:r w:rsidR="00F339F3" w:rsidRPr="001314CF">
        <w:rPr>
          <w:rFonts w:hint="cs"/>
          <w:spacing w:val="-2"/>
          <w:rtl/>
        </w:rPr>
        <w:t xml:space="preserve">ممن أقرضوا الأموال </w:t>
      </w:r>
      <w:r w:rsidRPr="001314CF">
        <w:rPr>
          <w:rFonts w:hint="cs"/>
          <w:spacing w:val="-2"/>
          <w:rtl/>
        </w:rPr>
        <w:t xml:space="preserve">لمجلس </w:t>
      </w:r>
      <w:proofErr w:type="spellStart"/>
      <w:r w:rsidRPr="001314CF">
        <w:rPr>
          <w:rFonts w:hint="cs"/>
          <w:spacing w:val="-2"/>
          <w:rtl/>
        </w:rPr>
        <w:t>ليمب</w:t>
      </w:r>
      <w:r w:rsidR="001314CF" w:rsidRPr="001314CF">
        <w:rPr>
          <w:rFonts w:hint="cs"/>
          <w:spacing w:val="-2"/>
          <w:rtl/>
        </w:rPr>
        <w:t>ه</w:t>
      </w:r>
      <w:proofErr w:type="spellEnd"/>
      <w:r w:rsidRPr="001314CF">
        <w:rPr>
          <w:rFonts w:hint="cs"/>
          <w:spacing w:val="-2"/>
          <w:rtl/>
        </w:rPr>
        <w:t xml:space="preserve"> </w:t>
      </w:r>
      <w:r w:rsidR="00F339F3" w:rsidRPr="001314CF">
        <w:rPr>
          <w:rFonts w:hint="cs"/>
          <w:spacing w:val="-2"/>
          <w:rtl/>
        </w:rPr>
        <w:t xml:space="preserve">البلدي </w:t>
      </w:r>
      <w:r w:rsidRPr="001314CF">
        <w:rPr>
          <w:rFonts w:hint="cs"/>
          <w:spacing w:val="-2"/>
          <w:rtl/>
        </w:rPr>
        <w:t>و</w:t>
      </w:r>
      <w:r w:rsidR="00F339F3" w:rsidRPr="001314CF">
        <w:rPr>
          <w:rFonts w:hint="cs"/>
          <w:spacing w:val="-2"/>
          <w:rtl/>
        </w:rPr>
        <w:t xml:space="preserve">كان </w:t>
      </w:r>
      <w:r w:rsidRPr="001314CF">
        <w:rPr>
          <w:rFonts w:hint="cs"/>
          <w:spacing w:val="-2"/>
          <w:rtl/>
        </w:rPr>
        <w:t xml:space="preserve">مدير منتجع شاطئ </w:t>
      </w:r>
      <w:proofErr w:type="spellStart"/>
      <w:r w:rsidRPr="001314CF">
        <w:rPr>
          <w:rFonts w:hint="cs"/>
          <w:spacing w:val="-2"/>
          <w:rtl/>
        </w:rPr>
        <w:t>مايل</w:t>
      </w:r>
      <w:proofErr w:type="spellEnd"/>
      <w:r w:rsidRPr="001314CF">
        <w:rPr>
          <w:rFonts w:hint="cs"/>
          <w:spacing w:val="-2"/>
          <w:rtl/>
        </w:rPr>
        <w:t xml:space="preserve"> سيكس السياحي الذي يقع في </w:t>
      </w:r>
      <w:proofErr w:type="spellStart"/>
      <w:r w:rsidR="001314CF" w:rsidRPr="001314CF">
        <w:rPr>
          <w:rFonts w:hint="cs"/>
          <w:spacing w:val="-2"/>
          <w:rtl/>
        </w:rPr>
        <w:t>ليمبه</w:t>
      </w:r>
      <w:proofErr w:type="spellEnd"/>
      <w:r w:rsidRPr="001314CF">
        <w:rPr>
          <w:rFonts w:hint="cs"/>
          <w:spacing w:val="-2"/>
          <w:rtl/>
        </w:rPr>
        <w:t xml:space="preserve"> في محافظة فاكو في المنطقة الجنوبية الغربية، والذي تشرف عليه وزارة السياحة. وفي 29 آب/أغسطس 2002، كان لصاحب البلاغ </w:t>
      </w:r>
      <w:r w:rsidR="00F339F3" w:rsidRPr="001314CF">
        <w:rPr>
          <w:rFonts w:hint="cs"/>
          <w:spacing w:val="-2"/>
          <w:rtl/>
        </w:rPr>
        <w:t>على موعد</w:t>
      </w:r>
      <w:r w:rsidRPr="001314CF">
        <w:rPr>
          <w:rFonts w:hint="cs"/>
          <w:spacing w:val="-2"/>
          <w:rtl/>
        </w:rPr>
        <w:t xml:space="preserve"> مع صامويل </w:t>
      </w:r>
      <w:proofErr w:type="spellStart"/>
      <w:r w:rsidRPr="001314CF">
        <w:rPr>
          <w:rFonts w:hint="cs"/>
          <w:spacing w:val="-2"/>
          <w:rtl/>
        </w:rPr>
        <w:t>إبياما</w:t>
      </w:r>
      <w:proofErr w:type="spellEnd"/>
      <w:r w:rsidRPr="001314CF">
        <w:rPr>
          <w:rFonts w:hint="cs"/>
          <w:spacing w:val="-2"/>
          <w:rtl/>
        </w:rPr>
        <w:t xml:space="preserve"> </w:t>
      </w:r>
      <w:proofErr w:type="spellStart"/>
      <w:r w:rsidRPr="001314CF">
        <w:rPr>
          <w:rFonts w:hint="cs"/>
          <w:spacing w:val="-2"/>
          <w:rtl/>
        </w:rPr>
        <w:t>ليفاندا</w:t>
      </w:r>
      <w:proofErr w:type="spellEnd"/>
      <w:r w:rsidRPr="001314CF">
        <w:rPr>
          <w:rFonts w:hint="cs"/>
          <w:spacing w:val="-2"/>
          <w:rtl/>
        </w:rPr>
        <w:t xml:space="preserve"> وهو مندوب حكومي يعمل رئيساً لمجلس </w:t>
      </w:r>
      <w:proofErr w:type="spellStart"/>
      <w:r w:rsidRPr="001314CF">
        <w:rPr>
          <w:rFonts w:hint="cs"/>
          <w:spacing w:val="-2"/>
          <w:rtl/>
        </w:rPr>
        <w:t>ليمب</w:t>
      </w:r>
      <w:r w:rsidR="001314CF" w:rsidRPr="001314CF">
        <w:rPr>
          <w:rFonts w:hint="cs"/>
          <w:spacing w:val="-2"/>
          <w:rtl/>
        </w:rPr>
        <w:t>ه</w:t>
      </w:r>
      <w:proofErr w:type="spellEnd"/>
      <w:r w:rsidRPr="001314CF">
        <w:rPr>
          <w:rFonts w:hint="cs"/>
          <w:spacing w:val="-2"/>
          <w:rtl/>
        </w:rPr>
        <w:t xml:space="preserve"> </w:t>
      </w:r>
      <w:r w:rsidR="00F339F3" w:rsidRPr="001314CF">
        <w:rPr>
          <w:rFonts w:hint="cs"/>
          <w:spacing w:val="-2"/>
          <w:rtl/>
        </w:rPr>
        <w:t>البلدي</w:t>
      </w:r>
      <w:r w:rsidRPr="001314CF">
        <w:rPr>
          <w:rFonts w:hint="cs"/>
          <w:spacing w:val="-2"/>
          <w:rtl/>
        </w:rPr>
        <w:t xml:space="preserve">، للمطالبة بسداد بعض الفواتير التي </w:t>
      </w:r>
      <w:r w:rsidR="00F339F3" w:rsidRPr="001314CF">
        <w:rPr>
          <w:rFonts w:hint="cs"/>
          <w:spacing w:val="-2"/>
          <w:rtl/>
        </w:rPr>
        <w:t xml:space="preserve">تأخّر </w:t>
      </w:r>
      <w:r w:rsidRPr="001314CF">
        <w:rPr>
          <w:rFonts w:hint="cs"/>
          <w:spacing w:val="-2"/>
          <w:rtl/>
        </w:rPr>
        <w:t xml:space="preserve">دفعها </w:t>
      </w:r>
      <w:r w:rsidR="00F339F3" w:rsidRPr="001314CF">
        <w:rPr>
          <w:rFonts w:hint="cs"/>
          <w:spacing w:val="-2"/>
          <w:rtl/>
        </w:rPr>
        <w:t>و</w:t>
      </w:r>
      <w:r w:rsidRPr="001314CF">
        <w:rPr>
          <w:rFonts w:hint="cs"/>
          <w:spacing w:val="-2"/>
          <w:rtl/>
        </w:rPr>
        <w:t xml:space="preserve">تتعلق بعقود بمبلغ 956 946 7 فرنكاً من </w:t>
      </w:r>
      <w:r w:rsidRPr="001314CF">
        <w:rPr>
          <w:rFonts w:hint="cs"/>
          <w:spacing w:val="-2"/>
          <w:rtl/>
          <w:lang w:bidi="ar"/>
        </w:rPr>
        <w:t>فرنكات الجماعة المالية الأفريقية</w:t>
      </w:r>
      <w:r w:rsidRPr="001314CF">
        <w:rPr>
          <w:rFonts w:hint="cs"/>
          <w:spacing w:val="-2"/>
          <w:rtl/>
        </w:rPr>
        <w:t xml:space="preserve">،كان قد نفذها في الفترة بين عامي 1997 و1998. وعلى الرغم من </w:t>
      </w:r>
      <w:r w:rsidR="00F339F3" w:rsidRPr="001314CF">
        <w:rPr>
          <w:rFonts w:hint="cs"/>
          <w:spacing w:val="-2"/>
          <w:rtl/>
        </w:rPr>
        <w:t xml:space="preserve">وصول </w:t>
      </w:r>
      <w:r w:rsidRPr="001314CF">
        <w:rPr>
          <w:rFonts w:hint="cs"/>
          <w:spacing w:val="-2"/>
          <w:rtl/>
        </w:rPr>
        <w:t xml:space="preserve">السيد صامويل </w:t>
      </w:r>
      <w:proofErr w:type="spellStart"/>
      <w:r w:rsidRPr="001314CF">
        <w:rPr>
          <w:rFonts w:hint="cs"/>
          <w:spacing w:val="-2"/>
          <w:rtl/>
        </w:rPr>
        <w:t>إبياما</w:t>
      </w:r>
      <w:proofErr w:type="spellEnd"/>
      <w:r w:rsidRPr="001314CF">
        <w:rPr>
          <w:rFonts w:hint="cs"/>
          <w:spacing w:val="-2"/>
          <w:rtl/>
        </w:rPr>
        <w:t xml:space="preserve"> </w:t>
      </w:r>
      <w:proofErr w:type="spellStart"/>
      <w:r w:rsidRPr="001314CF">
        <w:rPr>
          <w:rFonts w:hint="cs"/>
          <w:spacing w:val="-2"/>
          <w:rtl/>
        </w:rPr>
        <w:t>ليفاندا</w:t>
      </w:r>
      <w:proofErr w:type="spellEnd"/>
      <w:r w:rsidRPr="001314CF">
        <w:rPr>
          <w:rFonts w:hint="cs"/>
          <w:spacing w:val="-2"/>
          <w:rtl/>
        </w:rPr>
        <w:t xml:space="preserve"> إلى المركز في حوالي الساعة التاسعة والنصف صباحاً، لكنه لم يستقبل صاحب البلاغ إلا كزائر أخير عندما غادر الجميع المركز وذلك في </w:t>
      </w:r>
      <w:r w:rsidR="00F339F3" w:rsidRPr="001314CF">
        <w:rPr>
          <w:rFonts w:hint="cs"/>
          <w:spacing w:val="-2"/>
          <w:rtl/>
        </w:rPr>
        <w:t xml:space="preserve">حوالي </w:t>
      </w:r>
      <w:r w:rsidRPr="001314CF">
        <w:rPr>
          <w:rFonts w:hint="cs"/>
          <w:spacing w:val="-2"/>
          <w:rtl/>
        </w:rPr>
        <w:t xml:space="preserve">الساعة الثانية والنصف من بعد الظهر. </w:t>
      </w:r>
    </w:p>
    <w:p w:rsidR="004F510A" w:rsidRPr="001314CF" w:rsidRDefault="004F510A" w:rsidP="00997E99">
      <w:pPr>
        <w:pStyle w:val="SingleTxtGA"/>
        <w:spacing w:line="374" w:lineRule="exact"/>
        <w:rPr>
          <w:spacing w:val="-2"/>
          <w:rtl/>
        </w:rPr>
      </w:pPr>
      <w:r w:rsidRPr="001314CF">
        <w:rPr>
          <w:rFonts w:hint="cs"/>
          <w:spacing w:val="-2"/>
          <w:rtl/>
        </w:rPr>
        <w:t>2-2</w:t>
      </w:r>
      <w:r w:rsidRPr="001314CF">
        <w:rPr>
          <w:rFonts w:hint="cs"/>
          <w:spacing w:val="-2"/>
          <w:rtl/>
        </w:rPr>
        <w:tab/>
        <w:t>وخلال الاجتماع، أعلن مندوب الحكو</w:t>
      </w:r>
      <w:r w:rsidR="00F339F3" w:rsidRPr="001314CF">
        <w:rPr>
          <w:rFonts w:hint="cs"/>
          <w:spacing w:val="-2"/>
          <w:rtl/>
        </w:rPr>
        <w:t>مة</w:t>
      </w:r>
      <w:r w:rsidRPr="001314CF">
        <w:rPr>
          <w:rFonts w:hint="cs"/>
          <w:spacing w:val="-2"/>
          <w:rtl/>
        </w:rPr>
        <w:t xml:space="preserve"> أن صاحب البلاغ "</w:t>
      </w:r>
      <w:r w:rsidR="00F059BD">
        <w:rPr>
          <w:rFonts w:hint="cs"/>
          <w:spacing w:val="-2"/>
          <w:rtl/>
        </w:rPr>
        <w:t>إ</w:t>
      </w:r>
      <w:r w:rsidR="00F059BD" w:rsidRPr="001314CF">
        <w:rPr>
          <w:rFonts w:hint="cs"/>
          <w:spacing w:val="-2"/>
          <w:rtl/>
        </w:rPr>
        <w:t>هانة</w:t>
      </w:r>
      <w:r w:rsidRPr="001314CF">
        <w:rPr>
          <w:rFonts w:hint="cs"/>
          <w:spacing w:val="-2"/>
          <w:rtl/>
        </w:rPr>
        <w:t xml:space="preserve">" لأنه </w:t>
      </w:r>
      <w:r w:rsidR="00F339F3" w:rsidRPr="001314CF">
        <w:rPr>
          <w:rFonts w:hint="cs"/>
          <w:spacing w:val="-2"/>
          <w:rtl/>
        </w:rPr>
        <w:t xml:space="preserve">انتزع </w:t>
      </w:r>
      <w:r w:rsidRPr="001314CF">
        <w:rPr>
          <w:rFonts w:hint="cs"/>
          <w:spacing w:val="-2"/>
          <w:rtl/>
        </w:rPr>
        <w:t xml:space="preserve">منه إدارة منتجع شاطئ </w:t>
      </w:r>
      <w:proofErr w:type="spellStart"/>
      <w:r w:rsidRPr="001314CF">
        <w:rPr>
          <w:rFonts w:hint="cs"/>
          <w:spacing w:val="-2"/>
          <w:rtl/>
        </w:rPr>
        <w:t>مايل</w:t>
      </w:r>
      <w:proofErr w:type="spellEnd"/>
      <w:r w:rsidRPr="001314CF">
        <w:rPr>
          <w:rFonts w:hint="cs"/>
          <w:spacing w:val="-2"/>
          <w:rtl/>
        </w:rPr>
        <w:t xml:space="preserve"> سيكس. وبعد ذلك، </w:t>
      </w:r>
      <w:r w:rsidR="00997E99">
        <w:rPr>
          <w:rFonts w:hint="cs"/>
          <w:spacing w:val="-2"/>
          <w:rtl/>
        </w:rPr>
        <w:t>ا</w:t>
      </w:r>
      <w:r w:rsidRPr="001314CF">
        <w:rPr>
          <w:rFonts w:hint="cs"/>
          <w:spacing w:val="-2"/>
          <w:rtl/>
        </w:rPr>
        <w:t xml:space="preserve">ستدعى </w:t>
      </w:r>
      <w:r w:rsidR="00F339F3" w:rsidRPr="001314CF">
        <w:rPr>
          <w:rFonts w:hint="cs"/>
          <w:spacing w:val="-2"/>
          <w:rtl/>
        </w:rPr>
        <w:t>مندوب الحكومة</w:t>
      </w:r>
      <w:r w:rsidRPr="001314CF">
        <w:rPr>
          <w:rFonts w:hint="cs"/>
          <w:spacing w:val="-2"/>
          <w:rtl/>
        </w:rPr>
        <w:t xml:space="preserve"> ثلاثة من موظفي المجلس إلى المكتب و</w:t>
      </w:r>
      <w:r w:rsidR="00F339F3" w:rsidRPr="001314CF">
        <w:rPr>
          <w:rFonts w:hint="cs"/>
          <w:spacing w:val="-2"/>
          <w:rtl/>
        </w:rPr>
        <w:t>عمدوا</w:t>
      </w:r>
      <w:r w:rsidRPr="001314CF">
        <w:rPr>
          <w:rFonts w:hint="cs"/>
          <w:spacing w:val="-2"/>
          <w:rtl/>
        </w:rPr>
        <w:t xml:space="preserve">، بموجب تعليمات سابقة، فيما يبدو، </w:t>
      </w:r>
      <w:r w:rsidR="00F339F3" w:rsidRPr="001314CF">
        <w:rPr>
          <w:rFonts w:hint="cs"/>
          <w:spacing w:val="-2"/>
          <w:rtl/>
        </w:rPr>
        <w:t xml:space="preserve">إلى </w:t>
      </w:r>
      <w:r w:rsidRPr="001314CF">
        <w:rPr>
          <w:rFonts w:hint="cs"/>
          <w:spacing w:val="-2"/>
          <w:rtl/>
        </w:rPr>
        <w:t xml:space="preserve">ضرب صاحب البلاغ ضرباً مبرحاً. وتمكن صاحب البلاغ من الهروب لكن موظفين </w:t>
      </w:r>
      <w:r w:rsidR="00F339F3" w:rsidRPr="001314CF">
        <w:rPr>
          <w:rFonts w:hint="cs"/>
          <w:spacing w:val="-2"/>
          <w:rtl/>
        </w:rPr>
        <w:t>آخرين تابعين للمجلس</w:t>
      </w:r>
      <w:r w:rsidRPr="001314CF">
        <w:rPr>
          <w:rFonts w:hint="cs"/>
          <w:spacing w:val="-2"/>
          <w:rtl/>
        </w:rPr>
        <w:t xml:space="preserve"> اعترضوه قبل مغادرته المبنى ووجهوا لكمات قوية إلى عين</w:t>
      </w:r>
      <w:r w:rsidR="00F339F3" w:rsidRPr="001314CF">
        <w:rPr>
          <w:rFonts w:hint="cs"/>
          <w:spacing w:val="-2"/>
          <w:rtl/>
        </w:rPr>
        <w:t>ي</w:t>
      </w:r>
      <w:r w:rsidRPr="001314CF">
        <w:rPr>
          <w:rFonts w:hint="cs"/>
          <w:spacing w:val="-2"/>
          <w:rtl/>
        </w:rPr>
        <w:t xml:space="preserve">ه ووجهه، مما أدى إلى تجميد حركته والتسبب في إصابته بنزيف حاد. وبينما كان ملقى على الأرض، </w:t>
      </w:r>
      <w:r w:rsidR="00F339F3" w:rsidRPr="001314CF">
        <w:rPr>
          <w:rFonts w:hint="cs"/>
          <w:spacing w:val="-2"/>
          <w:rtl/>
        </w:rPr>
        <w:t xml:space="preserve">أخذ </w:t>
      </w:r>
      <w:r w:rsidRPr="001314CF">
        <w:rPr>
          <w:rFonts w:hint="cs"/>
          <w:spacing w:val="-2"/>
          <w:rtl/>
        </w:rPr>
        <w:t xml:space="preserve">بعض ضباط الشرطة العاملين في المجلس </w:t>
      </w:r>
      <w:r w:rsidR="00F339F3" w:rsidRPr="001314CF">
        <w:rPr>
          <w:rFonts w:hint="cs"/>
          <w:spacing w:val="-2"/>
          <w:rtl/>
        </w:rPr>
        <w:t>ب</w:t>
      </w:r>
      <w:r w:rsidRPr="001314CF">
        <w:rPr>
          <w:rFonts w:hint="cs"/>
          <w:spacing w:val="-2"/>
          <w:rtl/>
        </w:rPr>
        <w:t xml:space="preserve">رقبته وفمه </w:t>
      </w:r>
      <w:r w:rsidR="00F339F3" w:rsidRPr="001314CF">
        <w:rPr>
          <w:rFonts w:hint="cs"/>
          <w:spacing w:val="-2"/>
          <w:rtl/>
        </w:rPr>
        <w:t xml:space="preserve">بقوة </w:t>
      </w:r>
      <w:r w:rsidRPr="001314CF">
        <w:rPr>
          <w:rFonts w:hint="cs"/>
          <w:spacing w:val="-2"/>
          <w:rtl/>
        </w:rPr>
        <w:t xml:space="preserve">لمنعه من الصراخ مما </w:t>
      </w:r>
      <w:r w:rsidR="00F339F3" w:rsidRPr="001314CF">
        <w:rPr>
          <w:rFonts w:hint="cs"/>
          <w:spacing w:val="-2"/>
          <w:rtl/>
        </w:rPr>
        <w:t xml:space="preserve">كاد يؤدي </w:t>
      </w:r>
      <w:r w:rsidRPr="001314CF">
        <w:rPr>
          <w:rFonts w:hint="cs"/>
          <w:spacing w:val="-2"/>
          <w:rtl/>
        </w:rPr>
        <w:t>إلى اختناقه. وفي الوقت نفسه، كان مندوب الحكوم</w:t>
      </w:r>
      <w:r w:rsidR="00F339F3" w:rsidRPr="001314CF">
        <w:rPr>
          <w:rFonts w:hint="cs"/>
          <w:spacing w:val="-2"/>
          <w:rtl/>
        </w:rPr>
        <w:t>ة</w:t>
      </w:r>
      <w:r w:rsidRPr="001314CF">
        <w:rPr>
          <w:rFonts w:hint="cs"/>
          <w:spacing w:val="-2"/>
          <w:rtl/>
        </w:rPr>
        <w:t xml:space="preserve"> وغيره من موظفي المجلس </w:t>
      </w:r>
      <w:r w:rsidR="009431C6" w:rsidRPr="001314CF">
        <w:rPr>
          <w:rFonts w:hint="cs"/>
          <w:spacing w:val="-2"/>
          <w:rtl/>
        </w:rPr>
        <w:t xml:space="preserve">يرفسون صاحب البلاغ بأقدامهم ويوسعونه ضرباً ولكماً </w:t>
      </w:r>
      <w:r w:rsidRPr="001314CF">
        <w:rPr>
          <w:rFonts w:hint="cs"/>
          <w:spacing w:val="-2"/>
          <w:rtl/>
        </w:rPr>
        <w:t xml:space="preserve">البلاغ. وتمكن صاحب البلاغ من مغادرة مبنى المجلس وساعده أشخاص مجهولو الهوية للذهاب إلى مكتب الأمن العام، ومن ثم إلى </w:t>
      </w:r>
      <w:r w:rsidR="009431C6" w:rsidRPr="001314CF">
        <w:rPr>
          <w:rFonts w:hint="cs"/>
          <w:spacing w:val="-2"/>
          <w:rtl/>
        </w:rPr>
        <w:t>أحد المستشفيات</w:t>
      </w:r>
      <w:r w:rsidRPr="001314CF">
        <w:rPr>
          <w:rFonts w:hint="cs"/>
          <w:spacing w:val="-2"/>
          <w:rtl/>
        </w:rPr>
        <w:t xml:space="preserve">. وخلال الهجوم، </w:t>
      </w:r>
      <w:r w:rsidR="009431C6" w:rsidRPr="001314CF">
        <w:rPr>
          <w:rFonts w:hint="cs"/>
          <w:spacing w:val="-2"/>
          <w:rtl/>
        </w:rPr>
        <w:t xml:space="preserve">استولي </w:t>
      </w:r>
      <w:r w:rsidRPr="001314CF">
        <w:rPr>
          <w:rFonts w:hint="cs"/>
          <w:spacing w:val="-2"/>
          <w:rtl/>
        </w:rPr>
        <w:t xml:space="preserve">على هاتفه النقال، ومحفظته التي كان يحمل فيها مبلغاً قدره 000 113 فرنك من فرنكات </w:t>
      </w:r>
      <w:r w:rsidRPr="001314CF">
        <w:rPr>
          <w:rFonts w:hint="cs"/>
          <w:spacing w:val="-2"/>
          <w:rtl/>
          <w:lang w:bidi="ar"/>
        </w:rPr>
        <w:t xml:space="preserve">الجماعة المالية الأفريقية، </w:t>
      </w:r>
      <w:r w:rsidRPr="001314CF">
        <w:rPr>
          <w:rFonts w:hint="cs"/>
          <w:spacing w:val="-2"/>
          <w:rtl/>
        </w:rPr>
        <w:t xml:space="preserve">وعلى سترته. وساعد المارة صاحب البلاغ في الذهاب إلى مخفر الشرطة. ورفض </w:t>
      </w:r>
      <w:r w:rsidR="00B34F61" w:rsidRPr="001314CF">
        <w:rPr>
          <w:rFonts w:hint="cs"/>
          <w:spacing w:val="-2"/>
          <w:rtl/>
        </w:rPr>
        <w:t>مندوب الحكومة</w:t>
      </w:r>
      <w:r w:rsidRPr="001314CF">
        <w:rPr>
          <w:rFonts w:hint="cs"/>
          <w:spacing w:val="-2"/>
          <w:rtl/>
        </w:rPr>
        <w:t xml:space="preserve"> مرافقته. ومع ذلك، وبعد مرور ساعة، وعندما كان صاحب البلاغ على وشك الذهاب إلى المستشفى، ظهر </w:t>
      </w:r>
      <w:r w:rsidR="00B34F61" w:rsidRPr="001314CF">
        <w:rPr>
          <w:rFonts w:hint="cs"/>
          <w:spacing w:val="-2"/>
          <w:rtl/>
        </w:rPr>
        <w:t>مندوب الحكومة</w:t>
      </w:r>
      <w:r w:rsidRPr="001314CF">
        <w:rPr>
          <w:rFonts w:hint="cs"/>
          <w:spacing w:val="-2"/>
          <w:rtl/>
        </w:rPr>
        <w:t xml:space="preserve"> الذي </w:t>
      </w:r>
      <w:r w:rsidR="009431C6" w:rsidRPr="001314CF">
        <w:rPr>
          <w:rFonts w:hint="cs"/>
          <w:spacing w:val="-2"/>
          <w:rtl/>
        </w:rPr>
        <w:t xml:space="preserve">اعتدى </w:t>
      </w:r>
      <w:r w:rsidRPr="001314CF">
        <w:rPr>
          <w:rFonts w:hint="cs"/>
          <w:spacing w:val="-2"/>
          <w:rtl/>
        </w:rPr>
        <w:t xml:space="preserve">عليه، وهو يحمل علبة بنزين فارغة وادعى أن </w:t>
      </w:r>
      <w:r w:rsidRPr="001314CF">
        <w:rPr>
          <w:rFonts w:hint="cs"/>
          <w:spacing w:val="-2"/>
          <w:rtl/>
        </w:rPr>
        <w:lastRenderedPageBreak/>
        <w:t xml:space="preserve">صاحب البلاغ حاول إضرام النار في مكتبه. ولم يكشف التفتيش الذي أجري لمكتب </w:t>
      </w:r>
      <w:r w:rsidR="00B34F61" w:rsidRPr="001314CF">
        <w:rPr>
          <w:rFonts w:hint="cs"/>
          <w:spacing w:val="-2"/>
          <w:rtl/>
        </w:rPr>
        <w:t>مندوب الحكومة</w:t>
      </w:r>
      <w:r w:rsidRPr="001314CF">
        <w:rPr>
          <w:rFonts w:hint="cs"/>
          <w:spacing w:val="-2"/>
          <w:rtl/>
        </w:rPr>
        <w:t xml:space="preserve"> عن أي أثر للبنزين. واقتيد صاح</w:t>
      </w:r>
      <w:r w:rsidR="009431C6" w:rsidRPr="001314CF">
        <w:rPr>
          <w:rFonts w:hint="cs"/>
          <w:spacing w:val="-2"/>
          <w:rtl/>
        </w:rPr>
        <w:t xml:space="preserve">ب البلاغ إلى المستشفى الإقليمي في مدينة </w:t>
      </w:r>
      <w:proofErr w:type="spellStart"/>
      <w:r w:rsidR="001314CF" w:rsidRPr="001314CF">
        <w:rPr>
          <w:rFonts w:hint="cs"/>
          <w:spacing w:val="-2"/>
          <w:rtl/>
        </w:rPr>
        <w:t>ليمبه</w:t>
      </w:r>
      <w:proofErr w:type="spellEnd"/>
      <w:r w:rsidRPr="001314CF">
        <w:rPr>
          <w:rFonts w:hint="cs"/>
          <w:spacing w:val="-2"/>
          <w:rtl/>
        </w:rPr>
        <w:t>.</w:t>
      </w:r>
    </w:p>
    <w:p w:rsidR="004F510A" w:rsidRPr="001314CF" w:rsidRDefault="004F510A" w:rsidP="009431C6">
      <w:pPr>
        <w:pStyle w:val="SingleTxtGA"/>
        <w:rPr>
          <w:spacing w:val="-2"/>
          <w:rtl/>
        </w:rPr>
      </w:pPr>
      <w:r w:rsidRPr="001314CF">
        <w:rPr>
          <w:rFonts w:hint="cs"/>
          <w:spacing w:val="-2"/>
          <w:rtl/>
        </w:rPr>
        <w:t>2-3</w:t>
      </w:r>
      <w:r w:rsidRPr="001314CF">
        <w:rPr>
          <w:rFonts w:hint="cs"/>
          <w:spacing w:val="-2"/>
          <w:rtl/>
        </w:rPr>
        <w:tab/>
        <w:t xml:space="preserve">وخلال بقائه في المستشفى، تلقى </w:t>
      </w:r>
      <w:r w:rsidR="009431C6" w:rsidRPr="001314CF">
        <w:rPr>
          <w:rFonts w:hint="cs"/>
          <w:spacing w:val="-2"/>
          <w:rtl/>
        </w:rPr>
        <w:t xml:space="preserve">صاحب البلاغ </w:t>
      </w:r>
      <w:r w:rsidRPr="001314CF">
        <w:rPr>
          <w:rFonts w:hint="cs"/>
          <w:spacing w:val="-2"/>
          <w:rtl/>
        </w:rPr>
        <w:t xml:space="preserve">تهديدات </w:t>
      </w:r>
      <w:r w:rsidR="009431C6" w:rsidRPr="001314CF">
        <w:rPr>
          <w:rFonts w:hint="cs"/>
          <w:spacing w:val="-2"/>
          <w:rtl/>
        </w:rPr>
        <w:t xml:space="preserve">بالقتل </w:t>
      </w:r>
      <w:r w:rsidRPr="001314CF">
        <w:rPr>
          <w:rFonts w:hint="cs"/>
          <w:spacing w:val="-2"/>
          <w:rtl/>
        </w:rPr>
        <w:t xml:space="preserve">من </w:t>
      </w:r>
      <w:r w:rsidR="00B34F61" w:rsidRPr="001314CF">
        <w:rPr>
          <w:rFonts w:hint="cs"/>
          <w:spacing w:val="-2"/>
          <w:rtl/>
        </w:rPr>
        <w:t>مندوب الحكومة</w:t>
      </w:r>
      <w:r w:rsidRPr="001314CF">
        <w:rPr>
          <w:rFonts w:hint="cs"/>
          <w:spacing w:val="-2"/>
          <w:rtl/>
        </w:rPr>
        <w:t xml:space="preserve"> إذا غادر المستشفى. و</w:t>
      </w:r>
      <w:r w:rsidR="009431C6" w:rsidRPr="001314CF">
        <w:rPr>
          <w:rFonts w:hint="cs"/>
          <w:spacing w:val="-2"/>
          <w:rtl/>
        </w:rPr>
        <w:t xml:space="preserve">عدل </w:t>
      </w:r>
      <w:r w:rsidRPr="001314CF">
        <w:rPr>
          <w:rFonts w:hint="cs"/>
          <w:spacing w:val="-2"/>
          <w:rtl/>
        </w:rPr>
        <w:t xml:space="preserve">الطبيب الذي </w:t>
      </w:r>
      <w:r w:rsidR="009431C6" w:rsidRPr="001314CF">
        <w:rPr>
          <w:rFonts w:hint="cs"/>
          <w:spacing w:val="-2"/>
          <w:rtl/>
        </w:rPr>
        <w:t xml:space="preserve">عالجه عن تحرير شهادة طبية له تبين حالته </w:t>
      </w:r>
      <w:r w:rsidRPr="001314CF">
        <w:rPr>
          <w:rFonts w:hint="cs"/>
          <w:spacing w:val="-2"/>
          <w:rtl/>
        </w:rPr>
        <w:t xml:space="preserve">نتيجة تعرضه لضغوط من جانب </w:t>
      </w:r>
      <w:r w:rsidR="009431C6" w:rsidRPr="001314CF">
        <w:rPr>
          <w:rFonts w:hint="cs"/>
          <w:spacing w:val="-2"/>
          <w:rtl/>
        </w:rPr>
        <w:t>الإدارة و</w:t>
      </w:r>
      <w:r w:rsidR="00B34F61" w:rsidRPr="001314CF">
        <w:rPr>
          <w:rFonts w:hint="cs"/>
          <w:spacing w:val="-2"/>
          <w:rtl/>
        </w:rPr>
        <w:t>مندوب الحكومة</w:t>
      </w:r>
      <w:r w:rsidRPr="001314CF">
        <w:rPr>
          <w:spacing w:val="-2"/>
          <w:vertAlign w:val="superscript"/>
          <w:rtl/>
        </w:rPr>
        <w:t>(</w:t>
      </w:r>
      <w:r w:rsidRPr="001314CF">
        <w:rPr>
          <w:rStyle w:val="FootnoteReference"/>
          <w:spacing w:val="-2"/>
          <w:rtl/>
        </w:rPr>
        <w:footnoteReference w:id="2"/>
      </w:r>
      <w:r w:rsidRPr="001314CF">
        <w:rPr>
          <w:spacing w:val="-2"/>
          <w:vertAlign w:val="superscript"/>
          <w:rtl/>
        </w:rPr>
        <w:t>)</w:t>
      </w:r>
      <w:r w:rsidRPr="001314CF">
        <w:rPr>
          <w:rFonts w:hint="cs"/>
          <w:spacing w:val="-2"/>
          <w:rtl/>
        </w:rPr>
        <w:t>.</w:t>
      </w:r>
    </w:p>
    <w:p w:rsidR="004F510A" w:rsidRPr="001314CF" w:rsidRDefault="004F510A" w:rsidP="001314CF">
      <w:pPr>
        <w:pStyle w:val="SingleTxtGA"/>
        <w:spacing w:line="370" w:lineRule="exact"/>
        <w:rPr>
          <w:spacing w:val="-2"/>
          <w:rtl/>
        </w:rPr>
      </w:pPr>
      <w:r w:rsidRPr="001314CF">
        <w:rPr>
          <w:rFonts w:hint="cs"/>
          <w:spacing w:val="-2"/>
          <w:rtl/>
        </w:rPr>
        <w:t>2-4</w:t>
      </w:r>
      <w:r w:rsidRPr="001314CF">
        <w:rPr>
          <w:rFonts w:hint="cs"/>
          <w:spacing w:val="-2"/>
          <w:rtl/>
        </w:rPr>
        <w:tab/>
        <w:t>وفي 25 تشرين الأول/أكتوبر 2002، تعرض صاحب البلاغ من جديد لل</w:t>
      </w:r>
      <w:r w:rsidR="009431C6" w:rsidRPr="001314CF">
        <w:rPr>
          <w:rFonts w:hint="cs"/>
          <w:spacing w:val="-2"/>
          <w:rtl/>
        </w:rPr>
        <w:t xml:space="preserve">اعتداء على أيدي رئيس الشرطة البلدية التابعة لمجلس مدينة </w:t>
      </w:r>
      <w:proofErr w:type="spellStart"/>
      <w:r w:rsidR="001314CF" w:rsidRPr="001314CF">
        <w:rPr>
          <w:rFonts w:hint="cs"/>
          <w:spacing w:val="-2"/>
          <w:rtl/>
        </w:rPr>
        <w:t>ليمبه</w:t>
      </w:r>
      <w:proofErr w:type="spellEnd"/>
      <w:r w:rsidR="009431C6" w:rsidRPr="001314CF">
        <w:rPr>
          <w:rFonts w:hint="cs"/>
          <w:spacing w:val="-2"/>
          <w:rtl/>
        </w:rPr>
        <w:t xml:space="preserve"> </w:t>
      </w:r>
      <w:r w:rsidRPr="001314CF">
        <w:rPr>
          <w:rFonts w:hint="cs"/>
          <w:spacing w:val="-2"/>
          <w:rtl/>
        </w:rPr>
        <w:t>وخمسة أ</w:t>
      </w:r>
      <w:r w:rsidR="009431C6" w:rsidRPr="001314CF">
        <w:rPr>
          <w:rFonts w:hint="cs"/>
          <w:spacing w:val="-2"/>
          <w:rtl/>
        </w:rPr>
        <w:t xml:space="preserve">شخاص </w:t>
      </w:r>
      <w:r w:rsidRPr="001314CF">
        <w:rPr>
          <w:rFonts w:hint="cs"/>
          <w:spacing w:val="-2"/>
          <w:rtl/>
        </w:rPr>
        <w:t>آخرين. و</w:t>
      </w:r>
      <w:r w:rsidR="009431C6" w:rsidRPr="001314CF">
        <w:rPr>
          <w:rFonts w:hint="cs"/>
          <w:spacing w:val="-2"/>
          <w:rtl/>
        </w:rPr>
        <w:t xml:space="preserve">هو </w:t>
      </w:r>
      <w:r w:rsidRPr="001314CF">
        <w:rPr>
          <w:rFonts w:hint="cs"/>
          <w:spacing w:val="-2"/>
          <w:rtl/>
        </w:rPr>
        <w:t xml:space="preserve">يدعي أنه </w:t>
      </w:r>
      <w:r w:rsidR="009431C6" w:rsidRPr="001314CF">
        <w:rPr>
          <w:rFonts w:hint="cs"/>
          <w:spacing w:val="-2"/>
          <w:rtl/>
        </w:rPr>
        <w:t xml:space="preserve">ألقي عليه القبض </w:t>
      </w:r>
      <w:r w:rsidRPr="001314CF">
        <w:rPr>
          <w:rFonts w:hint="cs"/>
          <w:spacing w:val="-2"/>
          <w:rtl/>
        </w:rPr>
        <w:t xml:space="preserve">فيما بعد </w:t>
      </w:r>
      <w:r w:rsidR="009431C6" w:rsidRPr="001314CF">
        <w:rPr>
          <w:rFonts w:hint="cs"/>
          <w:spacing w:val="-2"/>
          <w:rtl/>
        </w:rPr>
        <w:t xml:space="preserve">واحتجز </w:t>
      </w:r>
      <w:r w:rsidRPr="001314CF">
        <w:rPr>
          <w:rFonts w:hint="cs"/>
          <w:spacing w:val="-2"/>
          <w:rtl/>
        </w:rPr>
        <w:t xml:space="preserve">داخل مبنى المستشفى، </w:t>
      </w:r>
      <w:r w:rsidR="009431C6" w:rsidRPr="001314CF">
        <w:rPr>
          <w:rFonts w:hint="cs"/>
          <w:spacing w:val="-2"/>
          <w:rtl/>
        </w:rPr>
        <w:t xml:space="preserve">حيث توقف </w:t>
      </w:r>
      <w:r w:rsidRPr="001314CF">
        <w:rPr>
          <w:rFonts w:hint="cs"/>
          <w:spacing w:val="-2"/>
          <w:rtl/>
        </w:rPr>
        <w:t xml:space="preserve">لشراء </w:t>
      </w:r>
      <w:r w:rsidR="009431C6" w:rsidRPr="001314CF">
        <w:rPr>
          <w:rFonts w:hint="cs"/>
          <w:spacing w:val="-2"/>
          <w:rtl/>
        </w:rPr>
        <w:t xml:space="preserve">بعض </w:t>
      </w:r>
      <w:r w:rsidRPr="001314CF">
        <w:rPr>
          <w:rFonts w:hint="cs"/>
          <w:spacing w:val="-2"/>
          <w:rtl/>
        </w:rPr>
        <w:t xml:space="preserve">الأدوية. ويرفق صاحب البلاغ ببلاغه إفادة مكتوبة موقعة من مأمور المحكمة تشير إلى </w:t>
      </w:r>
      <w:r w:rsidR="009431C6" w:rsidRPr="001314CF">
        <w:rPr>
          <w:rFonts w:hint="cs"/>
          <w:spacing w:val="-2"/>
          <w:rtl/>
        </w:rPr>
        <w:t xml:space="preserve">أنه قبض عليه واحتجز </w:t>
      </w:r>
      <w:r w:rsidRPr="001314CF">
        <w:rPr>
          <w:rFonts w:hint="cs"/>
          <w:spacing w:val="-2"/>
          <w:rtl/>
        </w:rPr>
        <w:t xml:space="preserve">في المبنى </w:t>
      </w:r>
      <w:r w:rsidR="009431C6" w:rsidRPr="001314CF">
        <w:rPr>
          <w:rFonts w:hint="cs"/>
          <w:spacing w:val="-2"/>
          <w:rtl/>
        </w:rPr>
        <w:t xml:space="preserve">الملحق بمبنى </w:t>
      </w:r>
      <w:proofErr w:type="spellStart"/>
      <w:r w:rsidRPr="001314CF">
        <w:rPr>
          <w:rFonts w:hint="cs"/>
          <w:spacing w:val="-2"/>
          <w:rtl/>
        </w:rPr>
        <w:t>مانيمان</w:t>
      </w:r>
      <w:proofErr w:type="spellEnd"/>
      <w:r w:rsidRPr="001314CF">
        <w:rPr>
          <w:rFonts w:hint="cs"/>
          <w:spacing w:val="-2"/>
          <w:rtl/>
        </w:rPr>
        <w:t xml:space="preserve"> الواقع في مستشفى </w:t>
      </w:r>
      <w:proofErr w:type="spellStart"/>
      <w:r w:rsidR="001314CF" w:rsidRPr="001314CF">
        <w:rPr>
          <w:rFonts w:hint="cs"/>
          <w:spacing w:val="-2"/>
          <w:rtl/>
        </w:rPr>
        <w:t>ليمبه</w:t>
      </w:r>
      <w:proofErr w:type="spellEnd"/>
      <w:r w:rsidRPr="001314CF">
        <w:rPr>
          <w:rFonts w:hint="cs"/>
          <w:spacing w:val="-2"/>
          <w:rtl/>
        </w:rPr>
        <w:t xml:space="preserve"> من </w:t>
      </w:r>
      <w:r w:rsidR="009431C6" w:rsidRPr="001314CF">
        <w:rPr>
          <w:rFonts w:hint="cs"/>
          <w:spacing w:val="-2"/>
          <w:rtl/>
        </w:rPr>
        <w:t xml:space="preserve">قِبل رئيس شرطة </w:t>
      </w:r>
      <w:r w:rsidRPr="001314CF">
        <w:rPr>
          <w:rFonts w:hint="cs"/>
          <w:spacing w:val="-2"/>
          <w:rtl/>
        </w:rPr>
        <w:t xml:space="preserve">بلدية مجلس </w:t>
      </w:r>
      <w:r w:rsidR="009431C6" w:rsidRPr="001314CF">
        <w:rPr>
          <w:rFonts w:hint="cs"/>
          <w:spacing w:val="-2"/>
          <w:rtl/>
        </w:rPr>
        <w:t xml:space="preserve">مدينة </w:t>
      </w:r>
      <w:proofErr w:type="spellStart"/>
      <w:r w:rsidR="001314CF" w:rsidRPr="001314CF">
        <w:rPr>
          <w:rFonts w:hint="cs"/>
          <w:spacing w:val="-2"/>
          <w:rtl/>
        </w:rPr>
        <w:t>ليمبه</w:t>
      </w:r>
      <w:proofErr w:type="spellEnd"/>
      <w:r w:rsidRPr="001314CF">
        <w:rPr>
          <w:rFonts w:hint="cs"/>
          <w:spacing w:val="-2"/>
          <w:rtl/>
        </w:rPr>
        <w:t xml:space="preserve"> الذي كان بحوزته أمر بإلقاء القبض عليه </w:t>
      </w:r>
      <w:r w:rsidR="009431C6" w:rsidRPr="001314CF">
        <w:rPr>
          <w:rFonts w:hint="cs"/>
          <w:spacing w:val="-2"/>
          <w:rtl/>
        </w:rPr>
        <w:t xml:space="preserve">"وقعه </w:t>
      </w:r>
      <w:r w:rsidRPr="001314CF">
        <w:rPr>
          <w:rFonts w:hint="cs"/>
          <w:spacing w:val="-2"/>
          <w:rtl/>
        </w:rPr>
        <w:t>موظف رفيع المستوى في محافظة فاكو. واقتيد صاحب البلاغ إلى مخفر الشرطة وأطلق سراحه بعد 20 دقيقة. وفي اليوم</w:t>
      </w:r>
      <w:r w:rsidR="009431C6" w:rsidRPr="001314CF">
        <w:rPr>
          <w:rFonts w:hint="cs"/>
          <w:spacing w:val="-2"/>
          <w:rtl/>
        </w:rPr>
        <w:t xml:space="preserve"> ذاته</w:t>
      </w:r>
      <w:r w:rsidRPr="001314CF">
        <w:rPr>
          <w:rFonts w:hint="cs"/>
          <w:spacing w:val="-2"/>
          <w:rtl/>
        </w:rPr>
        <w:t>، وبعد مرور</w:t>
      </w:r>
      <w:r w:rsidR="001314CF">
        <w:rPr>
          <w:rFonts w:hint="eastAsia"/>
          <w:spacing w:val="-2"/>
          <w:rtl/>
        </w:rPr>
        <w:t> </w:t>
      </w:r>
      <w:r w:rsidRPr="001314CF">
        <w:rPr>
          <w:rFonts w:hint="cs"/>
          <w:spacing w:val="-2"/>
          <w:rtl/>
        </w:rPr>
        <w:t>30 دقيقة على إطلاق سراحه، ألقي القبض عل</w:t>
      </w:r>
      <w:r w:rsidR="009431C6" w:rsidRPr="001314CF">
        <w:rPr>
          <w:rFonts w:hint="cs"/>
          <w:spacing w:val="-2"/>
          <w:rtl/>
        </w:rPr>
        <w:t>يه</w:t>
      </w:r>
      <w:r w:rsidRPr="001314CF">
        <w:rPr>
          <w:rFonts w:hint="cs"/>
          <w:spacing w:val="-2"/>
          <w:rtl/>
        </w:rPr>
        <w:t xml:space="preserve"> مرة أخرى من </w:t>
      </w:r>
      <w:r w:rsidR="009431C6" w:rsidRPr="001314CF">
        <w:rPr>
          <w:rFonts w:hint="cs"/>
          <w:spacing w:val="-2"/>
          <w:rtl/>
        </w:rPr>
        <w:t xml:space="preserve">قبل </w:t>
      </w:r>
      <w:r w:rsidRPr="001314CF">
        <w:rPr>
          <w:rFonts w:hint="cs"/>
          <w:spacing w:val="-2"/>
          <w:rtl/>
        </w:rPr>
        <w:t xml:space="preserve">ضابط </w:t>
      </w:r>
      <w:r w:rsidR="009431C6" w:rsidRPr="001314CF">
        <w:rPr>
          <w:rFonts w:hint="cs"/>
          <w:spacing w:val="-2"/>
          <w:rtl/>
        </w:rPr>
        <w:t xml:space="preserve">في </w:t>
      </w:r>
      <w:r w:rsidRPr="001314CF">
        <w:rPr>
          <w:rFonts w:hint="cs"/>
          <w:spacing w:val="-2"/>
          <w:rtl/>
        </w:rPr>
        <w:t xml:space="preserve">مخفر شرطة </w:t>
      </w:r>
      <w:proofErr w:type="spellStart"/>
      <w:r w:rsidR="001314CF" w:rsidRPr="001314CF">
        <w:rPr>
          <w:rFonts w:hint="cs"/>
          <w:spacing w:val="-2"/>
          <w:rtl/>
        </w:rPr>
        <w:t>ليمبه</w:t>
      </w:r>
      <w:proofErr w:type="spellEnd"/>
      <w:r w:rsidRPr="001314CF">
        <w:rPr>
          <w:rFonts w:hint="cs"/>
          <w:spacing w:val="-2"/>
          <w:rtl/>
        </w:rPr>
        <w:t xml:space="preserve">، بموجب </w:t>
      </w:r>
      <w:r w:rsidR="009431C6" w:rsidRPr="001314CF">
        <w:rPr>
          <w:rFonts w:hint="cs"/>
          <w:spacing w:val="-2"/>
          <w:rtl/>
        </w:rPr>
        <w:t xml:space="preserve">اعتقال بتاريخ </w:t>
      </w:r>
      <w:r w:rsidRPr="001314CF">
        <w:rPr>
          <w:rFonts w:hint="cs"/>
          <w:spacing w:val="-2"/>
          <w:rtl/>
        </w:rPr>
        <w:t xml:space="preserve">30 آب/أغسطس 2002، </w:t>
      </w:r>
      <w:r w:rsidR="009431C6" w:rsidRPr="001314CF">
        <w:rPr>
          <w:rFonts w:hint="cs"/>
          <w:spacing w:val="-2"/>
          <w:rtl/>
        </w:rPr>
        <w:t xml:space="preserve">وقعه </w:t>
      </w:r>
      <w:r w:rsidRPr="001314CF">
        <w:rPr>
          <w:rFonts w:hint="cs"/>
          <w:spacing w:val="-2"/>
          <w:rtl/>
        </w:rPr>
        <w:t xml:space="preserve">موظف رفيع المستوى في محافظة فاكو، </w:t>
      </w:r>
      <w:r w:rsidR="000951C6" w:rsidRPr="001314CF">
        <w:rPr>
          <w:rFonts w:hint="cs"/>
          <w:spacing w:val="-2"/>
          <w:rtl/>
        </w:rPr>
        <w:t>و</w:t>
      </w:r>
      <w:r w:rsidRPr="001314CF">
        <w:rPr>
          <w:rFonts w:hint="cs"/>
          <w:spacing w:val="-2"/>
          <w:rtl/>
        </w:rPr>
        <w:t xml:space="preserve">يقضي بإلقاء القبض عليه واحتجازه لمدة 15 يوماً قابلة للتجديد. ولحق صاحب البلاغ بالضابط إلى </w:t>
      </w:r>
      <w:r w:rsidR="000951C6" w:rsidRPr="001314CF">
        <w:rPr>
          <w:rFonts w:hint="cs"/>
          <w:spacing w:val="-2"/>
          <w:rtl/>
        </w:rPr>
        <w:t>مكتب المدّعي العام</w:t>
      </w:r>
      <w:r w:rsidRPr="001314CF">
        <w:rPr>
          <w:rFonts w:hint="cs"/>
          <w:spacing w:val="-2"/>
          <w:rtl/>
        </w:rPr>
        <w:t>.</w:t>
      </w:r>
    </w:p>
    <w:p w:rsidR="004F510A" w:rsidRDefault="004F510A" w:rsidP="001314CF">
      <w:pPr>
        <w:pStyle w:val="SingleTxtGA"/>
        <w:spacing w:line="370" w:lineRule="exact"/>
        <w:rPr>
          <w:rtl/>
        </w:rPr>
      </w:pPr>
      <w:r>
        <w:rPr>
          <w:rFonts w:hint="cs"/>
          <w:rtl/>
        </w:rPr>
        <w:t>2-5</w:t>
      </w:r>
      <w:r>
        <w:rPr>
          <w:rFonts w:hint="cs"/>
          <w:rtl/>
        </w:rPr>
        <w:tab/>
        <w:t>وفي 17 أيلول/سبتمبر 2002، قد</w:t>
      </w:r>
      <w:r w:rsidR="000951C6">
        <w:rPr>
          <w:rFonts w:hint="cs"/>
          <w:rtl/>
        </w:rPr>
        <w:t>ّ</w:t>
      </w:r>
      <w:r>
        <w:rPr>
          <w:rFonts w:hint="cs"/>
          <w:rtl/>
        </w:rPr>
        <w:t xml:space="preserve">م صاحب البلاغ شكوى إلى </w:t>
      </w:r>
      <w:r w:rsidR="000951C6">
        <w:rPr>
          <w:rFonts w:hint="cs"/>
          <w:rtl/>
        </w:rPr>
        <w:t xml:space="preserve">المدّعي العام </w:t>
      </w:r>
      <w:r>
        <w:rPr>
          <w:rFonts w:hint="cs"/>
          <w:rtl/>
        </w:rPr>
        <w:t>للم</w:t>
      </w:r>
      <w:r w:rsidR="000951C6">
        <w:rPr>
          <w:rFonts w:hint="cs"/>
          <w:rtl/>
        </w:rPr>
        <w:t xml:space="preserve">قاطعة </w:t>
      </w:r>
      <w:r>
        <w:rPr>
          <w:rFonts w:hint="cs"/>
          <w:rtl/>
        </w:rPr>
        <w:t xml:space="preserve">الجنوبية الغربية، </w:t>
      </w:r>
      <w:r w:rsidR="000951C6">
        <w:rPr>
          <w:rFonts w:hint="cs"/>
          <w:rtl/>
        </w:rPr>
        <w:t xml:space="preserve">سُجلت </w:t>
      </w:r>
      <w:r>
        <w:rPr>
          <w:rFonts w:hint="cs"/>
          <w:rtl/>
        </w:rPr>
        <w:t>في 19 أيلول/سبتمبر 2002، وأ</w:t>
      </w:r>
      <w:r w:rsidR="000951C6">
        <w:rPr>
          <w:rFonts w:hint="cs"/>
          <w:rtl/>
        </w:rPr>
        <w:t xml:space="preserve">رفق </w:t>
      </w:r>
      <w:r>
        <w:rPr>
          <w:rFonts w:hint="cs"/>
          <w:rtl/>
        </w:rPr>
        <w:t xml:space="preserve">بها صورة </w:t>
      </w:r>
      <w:r w:rsidR="000951C6">
        <w:rPr>
          <w:rFonts w:hint="cs"/>
          <w:rtl/>
        </w:rPr>
        <w:t xml:space="preserve">تبين إصابة عينه </w:t>
      </w:r>
      <w:r>
        <w:rPr>
          <w:rFonts w:hint="cs"/>
          <w:rtl/>
        </w:rPr>
        <w:t xml:space="preserve">اليسرى. وفي 3 تشرين الأول/أكتوبر 2002، قدم شكوى أخرى إلى </w:t>
      </w:r>
      <w:r w:rsidR="000951C6">
        <w:rPr>
          <w:rFonts w:hint="cs"/>
          <w:rtl/>
        </w:rPr>
        <w:t xml:space="preserve">المدّعي العام </w:t>
      </w:r>
      <w:r>
        <w:rPr>
          <w:rFonts w:hint="cs"/>
          <w:rtl/>
        </w:rPr>
        <w:t xml:space="preserve">للدولة في </w:t>
      </w:r>
      <w:r w:rsidR="000951C6">
        <w:rPr>
          <w:rFonts w:hint="cs"/>
          <w:rtl/>
        </w:rPr>
        <w:t xml:space="preserve">المقاطعة </w:t>
      </w:r>
      <w:r>
        <w:rPr>
          <w:rFonts w:hint="cs"/>
          <w:rtl/>
        </w:rPr>
        <w:t xml:space="preserve">الجنوبية الغربية </w:t>
      </w:r>
      <w:r w:rsidR="000951C6">
        <w:rPr>
          <w:rFonts w:hint="cs"/>
          <w:rtl/>
        </w:rPr>
        <w:t xml:space="preserve">بشأن </w:t>
      </w:r>
      <w:r>
        <w:rPr>
          <w:rFonts w:hint="cs"/>
          <w:rtl/>
        </w:rPr>
        <w:t>تهديدات كان قد تلقاها وهو في المستشفى بعد الحادث الذي وقع في 29 آب/أغسطس 2002</w:t>
      </w:r>
      <w:r>
        <w:rPr>
          <w:vertAlign w:val="superscript"/>
          <w:rtl/>
        </w:rPr>
        <w:t>(</w:t>
      </w:r>
      <w:r>
        <w:rPr>
          <w:rStyle w:val="FootnoteReference"/>
          <w:rtl/>
        </w:rPr>
        <w:footnoteReference w:id="3"/>
      </w:r>
      <w:r>
        <w:rPr>
          <w:vertAlign w:val="superscript"/>
          <w:rtl/>
        </w:rPr>
        <w:t>)</w:t>
      </w:r>
      <w:r>
        <w:rPr>
          <w:rFonts w:hint="cs"/>
          <w:rtl/>
        </w:rPr>
        <w:t xml:space="preserve">. وفي تشرين الثاني/نوفمبر 2002، أحال المدعي العام للدولة في </w:t>
      </w:r>
      <w:r w:rsidR="000951C6">
        <w:rPr>
          <w:rFonts w:hint="cs"/>
          <w:rtl/>
        </w:rPr>
        <w:t xml:space="preserve">المقاطعة </w:t>
      </w:r>
      <w:r>
        <w:rPr>
          <w:rFonts w:hint="cs"/>
          <w:rtl/>
        </w:rPr>
        <w:t xml:space="preserve">الجنوبية الغربية شكاوى صاحب البلاغ إلى </w:t>
      </w:r>
      <w:r w:rsidR="000951C6">
        <w:rPr>
          <w:rFonts w:hint="cs"/>
          <w:rtl/>
        </w:rPr>
        <w:t xml:space="preserve">مفوض </w:t>
      </w:r>
      <w:r>
        <w:rPr>
          <w:rFonts w:hint="cs"/>
          <w:rtl/>
        </w:rPr>
        <w:t xml:space="preserve">الشرطة في دائرة الأمن العام في </w:t>
      </w:r>
      <w:r w:rsidR="000951C6">
        <w:rPr>
          <w:rFonts w:hint="cs"/>
          <w:rtl/>
        </w:rPr>
        <w:t xml:space="preserve">مدينة </w:t>
      </w:r>
      <w:proofErr w:type="spellStart"/>
      <w:r w:rsidR="001314CF">
        <w:rPr>
          <w:rFonts w:hint="cs"/>
          <w:rtl/>
        </w:rPr>
        <w:t>ليمبه</w:t>
      </w:r>
      <w:proofErr w:type="spellEnd"/>
      <w:r>
        <w:rPr>
          <w:rFonts w:hint="cs"/>
          <w:rtl/>
        </w:rPr>
        <w:t xml:space="preserve"> ورئيس الشرطة القضائية للم</w:t>
      </w:r>
      <w:r w:rsidR="000951C6">
        <w:rPr>
          <w:rFonts w:hint="cs"/>
          <w:rtl/>
        </w:rPr>
        <w:t xml:space="preserve">قاطعة </w:t>
      </w:r>
      <w:r>
        <w:rPr>
          <w:rFonts w:hint="cs"/>
          <w:rtl/>
        </w:rPr>
        <w:t>"لإجراء تحقيق شامل". وفي 3 تشرين الأول/أكتوبر 2002، قدم صاحب البلاغ وهو في المستشفى شكوى أخرى إلى المد</w:t>
      </w:r>
      <w:r w:rsidR="000951C6">
        <w:rPr>
          <w:rFonts w:hint="cs"/>
          <w:rtl/>
        </w:rPr>
        <w:t>ّعي</w:t>
      </w:r>
      <w:r>
        <w:rPr>
          <w:rFonts w:hint="cs"/>
          <w:rtl/>
        </w:rPr>
        <w:t xml:space="preserve"> العام للدولة في </w:t>
      </w:r>
      <w:proofErr w:type="spellStart"/>
      <w:r w:rsidR="001314CF">
        <w:rPr>
          <w:rFonts w:hint="cs"/>
          <w:rtl/>
        </w:rPr>
        <w:t>ليمبه</w:t>
      </w:r>
      <w:proofErr w:type="spellEnd"/>
      <w:r>
        <w:rPr>
          <w:rFonts w:hint="cs"/>
          <w:rtl/>
        </w:rPr>
        <w:t>. وفي 29 تشرين الأول/أكتوبر 2002، اعترف المدعي العام للدولة ف</w:t>
      </w:r>
      <w:r w:rsidR="000951C6">
        <w:rPr>
          <w:rFonts w:hint="cs"/>
          <w:rtl/>
        </w:rPr>
        <w:t xml:space="preserve">ي </w:t>
      </w:r>
      <w:proofErr w:type="spellStart"/>
      <w:r w:rsidR="001314CF">
        <w:rPr>
          <w:rFonts w:hint="cs"/>
          <w:rtl/>
        </w:rPr>
        <w:t>ليمبه</w:t>
      </w:r>
      <w:proofErr w:type="spellEnd"/>
      <w:r w:rsidR="000951C6">
        <w:rPr>
          <w:rFonts w:hint="cs"/>
          <w:rtl/>
        </w:rPr>
        <w:t xml:space="preserve"> بتلقي شكوى صاحب البلاغ.</w:t>
      </w:r>
    </w:p>
    <w:p w:rsidR="004F510A" w:rsidRPr="001314CF" w:rsidRDefault="004F510A" w:rsidP="001314CF">
      <w:pPr>
        <w:pStyle w:val="SingleTxtGA"/>
        <w:rPr>
          <w:spacing w:val="-2"/>
          <w:rtl/>
        </w:rPr>
      </w:pPr>
      <w:r w:rsidRPr="001314CF">
        <w:rPr>
          <w:rFonts w:hint="cs"/>
          <w:spacing w:val="-2"/>
          <w:rtl/>
        </w:rPr>
        <w:lastRenderedPageBreak/>
        <w:t>2-6</w:t>
      </w:r>
      <w:r w:rsidRPr="001314CF">
        <w:rPr>
          <w:rFonts w:hint="cs"/>
          <w:spacing w:val="-2"/>
          <w:rtl/>
        </w:rPr>
        <w:tab/>
        <w:t>وفي 13 تشرين الثاني/نوفمبر 2003، أرسل صاحب البلاغ رسالة إلى مندوب الحكوم</w:t>
      </w:r>
      <w:r w:rsidR="000951C6" w:rsidRPr="001314CF">
        <w:rPr>
          <w:rFonts w:hint="cs"/>
          <w:spacing w:val="-2"/>
          <w:rtl/>
        </w:rPr>
        <w:t>ة</w:t>
      </w:r>
      <w:r w:rsidRPr="001314CF">
        <w:rPr>
          <w:rFonts w:hint="cs"/>
          <w:spacing w:val="-2"/>
          <w:rtl/>
        </w:rPr>
        <w:t xml:space="preserve"> </w:t>
      </w:r>
      <w:r w:rsidR="000951C6" w:rsidRPr="001314CF">
        <w:rPr>
          <w:rFonts w:hint="cs"/>
          <w:spacing w:val="-2"/>
          <w:rtl/>
        </w:rPr>
        <w:t xml:space="preserve">سُجلت </w:t>
      </w:r>
      <w:r w:rsidRPr="001314CF">
        <w:rPr>
          <w:rFonts w:hint="cs"/>
          <w:spacing w:val="-2"/>
          <w:rtl/>
        </w:rPr>
        <w:t>في 20 تشرين الثاني/نوفمبر 2003، تتعلق بال</w:t>
      </w:r>
      <w:r w:rsidR="000951C6" w:rsidRPr="001314CF">
        <w:rPr>
          <w:rFonts w:hint="cs"/>
          <w:spacing w:val="-2"/>
          <w:rtl/>
        </w:rPr>
        <w:t xml:space="preserve">حجز </w:t>
      </w:r>
      <w:r w:rsidRPr="001314CF">
        <w:rPr>
          <w:rFonts w:hint="cs"/>
          <w:spacing w:val="-2"/>
          <w:rtl/>
        </w:rPr>
        <w:t xml:space="preserve">غير القانوني على ممتلكاته </w:t>
      </w:r>
      <w:r w:rsidR="000951C6" w:rsidRPr="001314CF">
        <w:rPr>
          <w:rFonts w:hint="cs"/>
          <w:spacing w:val="-2"/>
          <w:rtl/>
        </w:rPr>
        <w:t>مطالباً فيها باستردادها</w:t>
      </w:r>
      <w:r w:rsidRPr="001314CF">
        <w:rPr>
          <w:rFonts w:hint="cs"/>
          <w:spacing w:val="-2"/>
          <w:rtl/>
        </w:rPr>
        <w:t xml:space="preserve">. وفي 17 شباط/فبراير 2004، سُحبت التهم الموجهة ضد صاحب البلاغ </w:t>
      </w:r>
      <w:r w:rsidR="000951C6" w:rsidRPr="001314CF">
        <w:rPr>
          <w:rFonts w:hint="cs"/>
          <w:spacing w:val="-2"/>
          <w:rtl/>
        </w:rPr>
        <w:t xml:space="preserve">بالتسبب </w:t>
      </w:r>
      <w:r w:rsidRPr="001314CF">
        <w:rPr>
          <w:rFonts w:hint="cs"/>
          <w:spacing w:val="-2"/>
          <w:rtl/>
        </w:rPr>
        <w:t>في إرباك العمل في مكتب حكومي. وبعد أن انتظر صاحب البلاغ عبثاً إجراء تحقيق في تلك الوقائع، قرر تقديم شكوى ضد مندوب الحكوم</w:t>
      </w:r>
      <w:r w:rsidR="000951C6" w:rsidRPr="001314CF">
        <w:rPr>
          <w:rFonts w:hint="cs"/>
          <w:spacing w:val="-2"/>
          <w:rtl/>
        </w:rPr>
        <w:t>ة</w:t>
      </w:r>
      <w:r w:rsidRPr="001314CF">
        <w:rPr>
          <w:rFonts w:hint="cs"/>
          <w:spacing w:val="-2"/>
          <w:rtl/>
        </w:rPr>
        <w:t xml:space="preserve"> إلى مكتب الرئيس. وفي 1 آذار/مارس 2005، أعلم نائب الأمين ال</w:t>
      </w:r>
      <w:r w:rsidR="000951C6" w:rsidRPr="001314CF">
        <w:rPr>
          <w:rFonts w:hint="cs"/>
          <w:spacing w:val="-2"/>
          <w:rtl/>
        </w:rPr>
        <w:t>عام لمكتب الرئيس صاحب البلاغ أن</w:t>
      </w:r>
      <w:r w:rsidRPr="001314CF">
        <w:rPr>
          <w:rFonts w:hint="cs"/>
          <w:spacing w:val="-2"/>
          <w:rtl/>
        </w:rPr>
        <w:t xml:space="preserve"> شكواه </w:t>
      </w:r>
      <w:r w:rsidR="000951C6" w:rsidRPr="001314CF">
        <w:rPr>
          <w:rFonts w:hint="cs"/>
          <w:spacing w:val="-2"/>
          <w:rtl/>
        </w:rPr>
        <w:t xml:space="preserve">أحيلت </w:t>
      </w:r>
      <w:r w:rsidRPr="001314CF">
        <w:rPr>
          <w:rFonts w:hint="cs"/>
          <w:spacing w:val="-2"/>
          <w:rtl/>
        </w:rPr>
        <w:t xml:space="preserve">إلى نائب رئيس الوزراء ووزير العدل لاتخاذ الإجراء المناسب. وفي 20 نيسان/أبريل 2005، قدم صاحب البلاغ أيضاً شكوى إلى نائب رئيس الوزراء ووزير العدل. </w:t>
      </w:r>
      <w:r w:rsidR="000951C6" w:rsidRPr="001314CF">
        <w:rPr>
          <w:rFonts w:hint="cs"/>
          <w:spacing w:val="-2"/>
          <w:rtl/>
        </w:rPr>
        <w:t xml:space="preserve">ولما </w:t>
      </w:r>
      <w:r w:rsidRPr="001314CF">
        <w:rPr>
          <w:rFonts w:hint="cs"/>
          <w:spacing w:val="-2"/>
          <w:rtl/>
        </w:rPr>
        <w:t xml:space="preserve">لم يتلق أي رد على الرغم من متابعته للشكويين، قدم شكوى أخرى إلى رئيس الدولة في 10 آب/أغسطس 2006، </w:t>
      </w:r>
      <w:r w:rsidR="000951C6" w:rsidRPr="001314CF">
        <w:rPr>
          <w:rFonts w:hint="cs"/>
          <w:spacing w:val="-2"/>
          <w:rtl/>
        </w:rPr>
        <w:t xml:space="preserve">مطالباً </w:t>
      </w:r>
      <w:r w:rsidRPr="001314CF">
        <w:rPr>
          <w:rFonts w:hint="cs"/>
          <w:spacing w:val="-2"/>
          <w:rtl/>
        </w:rPr>
        <w:t xml:space="preserve">فيها </w:t>
      </w:r>
      <w:r w:rsidR="000951C6" w:rsidRPr="001314CF">
        <w:rPr>
          <w:rFonts w:hint="cs"/>
          <w:spacing w:val="-2"/>
          <w:rtl/>
        </w:rPr>
        <w:t>ب</w:t>
      </w:r>
      <w:r w:rsidRPr="001314CF">
        <w:rPr>
          <w:rFonts w:hint="cs"/>
          <w:spacing w:val="-2"/>
          <w:rtl/>
        </w:rPr>
        <w:t>التعويض عن الخسارة الدائمة التي تكبدها لأنه فقد بصره في العين اليسرى</w:t>
      </w:r>
      <w:r w:rsidRPr="001314CF">
        <w:rPr>
          <w:spacing w:val="-2"/>
          <w:vertAlign w:val="superscript"/>
          <w:rtl/>
        </w:rPr>
        <w:t>(</w:t>
      </w:r>
      <w:r w:rsidRPr="001314CF">
        <w:rPr>
          <w:rStyle w:val="FootnoteReference"/>
          <w:spacing w:val="-2"/>
          <w:rtl/>
        </w:rPr>
        <w:footnoteReference w:id="4"/>
      </w:r>
      <w:r w:rsidRPr="001314CF">
        <w:rPr>
          <w:spacing w:val="-2"/>
          <w:vertAlign w:val="superscript"/>
          <w:rtl/>
        </w:rPr>
        <w:t>)</w:t>
      </w:r>
      <w:r w:rsidRPr="001314CF">
        <w:rPr>
          <w:rFonts w:hint="cs"/>
          <w:spacing w:val="-2"/>
          <w:rtl/>
        </w:rPr>
        <w:t xml:space="preserve">. ولم يشرع في أي دعوى نتيجة لذلك، </w:t>
      </w:r>
      <w:r w:rsidR="000951C6" w:rsidRPr="001314CF">
        <w:rPr>
          <w:rFonts w:hint="cs"/>
          <w:spacing w:val="-2"/>
          <w:rtl/>
        </w:rPr>
        <w:t>بل إ</w:t>
      </w:r>
      <w:r w:rsidRPr="001314CF">
        <w:rPr>
          <w:rFonts w:hint="cs"/>
          <w:spacing w:val="-2"/>
          <w:rtl/>
        </w:rPr>
        <w:t xml:space="preserve">نه لم يتلق اعترافاً </w:t>
      </w:r>
      <w:r w:rsidR="000951C6" w:rsidRPr="001314CF">
        <w:rPr>
          <w:rFonts w:hint="cs"/>
          <w:spacing w:val="-2"/>
          <w:rtl/>
        </w:rPr>
        <w:t xml:space="preserve">بذلك </w:t>
      </w:r>
      <w:r w:rsidRPr="001314CF">
        <w:rPr>
          <w:rFonts w:hint="cs"/>
          <w:spacing w:val="-2"/>
          <w:rtl/>
        </w:rPr>
        <w:t>من الرئاسة. وفي 25 آذار/مارس 2008، تلقى صاحب البلاغ رسالة من اللجنة الوطنية المعنية بحقوق الإنسان والحريات تعلمه بإحالة شكواه المقدمة إلى</w:t>
      </w:r>
      <w:r w:rsidR="001314CF">
        <w:rPr>
          <w:rFonts w:hint="eastAsia"/>
          <w:spacing w:val="-2"/>
          <w:rtl/>
        </w:rPr>
        <w:t> </w:t>
      </w:r>
      <w:r w:rsidRPr="001314CF">
        <w:rPr>
          <w:rFonts w:hint="cs"/>
          <w:spacing w:val="-2"/>
          <w:rtl/>
        </w:rPr>
        <w:t>الرئيس إلى نائب رئيس الوزراء ووزير العدل لاتخاذ الإجراء المناسب.</w:t>
      </w:r>
    </w:p>
    <w:p w:rsidR="004F510A" w:rsidRDefault="004F510A" w:rsidP="000951C6">
      <w:pPr>
        <w:pStyle w:val="SingleTxtGA"/>
        <w:rPr>
          <w:rtl/>
        </w:rPr>
      </w:pPr>
      <w:r>
        <w:rPr>
          <w:rFonts w:hint="cs"/>
          <w:rtl/>
        </w:rPr>
        <w:t>2-7</w:t>
      </w:r>
      <w:r>
        <w:rPr>
          <w:rFonts w:hint="cs"/>
          <w:rtl/>
        </w:rPr>
        <w:tab/>
        <w:t>ويشير صاحب البلاغ أيضاً أنه قُدم إلى المحاكمة بعد الشكوى التي قدمها مندوب الحكوم</w:t>
      </w:r>
      <w:r w:rsidR="000951C6">
        <w:rPr>
          <w:rFonts w:hint="cs"/>
          <w:rtl/>
        </w:rPr>
        <w:t>ة</w:t>
      </w:r>
      <w:r>
        <w:rPr>
          <w:rFonts w:hint="cs"/>
          <w:rtl/>
        </w:rPr>
        <w:t xml:space="preserve"> بموجب المادة 185 من القانون الجنائي الكاميروني (التسبب في إرباك العمل في مكتب حكومي). وفشلت الدعوى المقدمة من الادعاء أثناء جلسة الاستماع وسُحبت الدعوى. ولم</w:t>
      </w:r>
      <w:r w:rsidR="000951C6">
        <w:rPr>
          <w:rFonts w:hint="eastAsia"/>
          <w:rtl/>
        </w:rPr>
        <w:t> </w:t>
      </w:r>
      <w:r>
        <w:rPr>
          <w:rFonts w:hint="cs"/>
          <w:rtl/>
        </w:rPr>
        <w:t>ي</w:t>
      </w:r>
      <w:r w:rsidR="000951C6">
        <w:rPr>
          <w:rFonts w:hint="cs"/>
          <w:rtl/>
        </w:rPr>
        <w:t xml:space="preserve">نظر </w:t>
      </w:r>
      <w:r>
        <w:rPr>
          <w:rFonts w:hint="cs"/>
          <w:rtl/>
        </w:rPr>
        <w:t xml:space="preserve">في أي </w:t>
      </w:r>
      <w:r w:rsidR="000951C6">
        <w:rPr>
          <w:rFonts w:hint="cs"/>
          <w:rtl/>
        </w:rPr>
        <w:t>من ال</w:t>
      </w:r>
      <w:r>
        <w:rPr>
          <w:rFonts w:hint="cs"/>
          <w:rtl/>
        </w:rPr>
        <w:t>شك</w:t>
      </w:r>
      <w:r w:rsidR="000951C6">
        <w:rPr>
          <w:rFonts w:hint="cs"/>
          <w:rtl/>
        </w:rPr>
        <w:t>ا</w:t>
      </w:r>
      <w:r>
        <w:rPr>
          <w:rFonts w:hint="cs"/>
          <w:rtl/>
        </w:rPr>
        <w:t>وى</w:t>
      </w:r>
      <w:r w:rsidR="000951C6">
        <w:rPr>
          <w:rFonts w:hint="cs"/>
          <w:rtl/>
        </w:rPr>
        <w:t xml:space="preserve"> التي قدمها صاحب البلاغ.</w:t>
      </w:r>
    </w:p>
    <w:p w:rsidR="004F510A" w:rsidRDefault="00E3438B" w:rsidP="00E3438B">
      <w:pPr>
        <w:pStyle w:val="H23GA"/>
        <w:rPr>
          <w:rtl/>
        </w:rPr>
      </w:pPr>
      <w:r>
        <w:rPr>
          <w:rFonts w:hint="cs"/>
          <w:rtl/>
        </w:rPr>
        <w:tab/>
      </w:r>
      <w:r>
        <w:rPr>
          <w:rFonts w:hint="cs"/>
          <w:rtl/>
        </w:rPr>
        <w:tab/>
      </w:r>
      <w:r w:rsidR="004F510A">
        <w:rPr>
          <w:rFonts w:hint="cs"/>
          <w:rtl/>
        </w:rPr>
        <w:t>الشكوى</w:t>
      </w:r>
    </w:p>
    <w:p w:rsidR="004F510A" w:rsidRDefault="004F510A" w:rsidP="000951C6">
      <w:pPr>
        <w:pStyle w:val="SingleTxtGA"/>
        <w:rPr>
          <w:rtl/>
        </w:rPr>
      </w:pPr>
      <w:r>
        <w:rPr>
          <w:rFonts w:hint="cs"/>
          <w:rtl/>
        </w:rPr>
        <w:t>3-1</w:t>
      </w:r>
      <w:r>
        <w:rPr>
          <w:rFonts w:hint="cs"/>
          <w:rtl/>
        </w:rPr>
        <w:tab/>
        <w:t>يدعي صاحب البلاغ أن تعرضه لل</w:t>
      </w:r>
      <w:r w:rsidR="000951C6">
        <w:rPr>
          <w:rFonts w:hint="cs"/>
          <w:rtl/>
        </w:rPr>
        <w:t xml:space="preserve">اعتداء </w:t>
      </w:r>
      <w:r>
        <w:rPr>
          <w:rFonts w:hint="cs"/>
          <w:rtl/>
        </w:rPr>
        <w:t>وللضرب واللكم في عينه ووجهه هو أمر يخالف أحكام الم</w:t>
      </w:r>
      <w:r w:rsidR="000951C6">
        <w:rPr>
          <w:rFonts w:hint="cs"/>
          <w:rtl/>
        </w:rPr>
        <w:t xml:space="preserve">ادتين </w:t>
      </w:r>
      <w:r>
        <w:rPr>
          <w:rFonts w:hint="cs"/>
          <w:rtl/>
        </w:rPr>
        <w:t>6 و7 والفقرة 1 من المادة 9 من العهد. ويدعي أيضاً أن التهديدات التي وجهها مندوب الحكوم</w:t>
      </w:r>
      <w:r w:rsidR="000951C6">
        <w:rPr>
          <w:rFonts w:hint="cs"/>
          <w:rtl/>
        </w:rPr>
        <w:t>ة</w:t>
      </w:r>
      <w:r>
        <w:rPr>
          <w:rFonts w:hint="cs"/>
          <w:rtl/>
        </w:rPr>
        <w:t xml:space="preserve"> إلى الطبيب الذي كان يعالجه والتهديدات بقتله في حال مغادرته المستشفى تشكل انتهاكاً للمادة 6 من العهد.</w:t>
      </w:r>
    </w:p>
    <w:p w:rsidR="004F510A" w:rsidRDefault="004F510A" w:rsidP="000951C6">
      <w:pPr>
        <w:pStyle w:val="SingleTxtGA"/>
        <w:rPr>
          <w:rtl/>
        </w:rPr>
      </w:pPr>
      <w:r>
        <w:rPr>
          <w:rFonts w:hint="cs"/>
          <w:rtl/>
        </w:rPr>
        <w:t>3-2</w:t>
      </w:r>
      <w:r>
        <w:rPr>
          <w:rFonts w:hint="cs"/>
          <w:rtl/>
        </w:rPr>
        <w:tab/>
        <w:t>وفيما يتعلق بإلقاء القبض عليه واحتجازه وال</w:t>
      </w:r>
      <w:r w:rsidR="000951C6">
        <w:rPr>
          <w:rFonts w:hint="cs"/>
          <w:rtl/>
        </w:rPr>
        <w:t xml:space="preserve">اعتداء </w:t>
      </w:r>
      <w:r>
        <w:rPr>
          <w:rFonts w:hint="cs"/>
          <w:rtl/>
        </w:rPr>
        <w:t>عليه عندما كان بصدد شراء أدوية</w:t>
      </w:r>
      <w:r w:rsidR="001314CF">
        <w:rPr>
          <w:rFonts w:hint="cs"/>
          <w:rtl/>
        </w:rPr>
        <w:t xml:space="preserve"> </w:t>
      </w:r>
      <w:r>
        <w:rPr>
          <w:rFonts w:hint="cs"/>
          <w:rtl/>
        </w:rPr>
        <w:t>في المستشفى، يدعي صاحب البلاغ أنه وقع ضحية انتهاك الفقرتين 1 و2 من المادة 9 من العهد.</w:t>
      </w:r>
    </w:p>
    <w:p w:rsidR="004F510A" w:rsidRDefault="004F510A" w:rsidP="004515A9">
      <w:pPr>
        <w:pStyle w:val="SingleTxtGA"/>
        <w:rPr>
          <w:rtl/>
        </w:rPr>
      </w:pPr>
      <w:r>
        <w:rPr>
          <w:rFonts w:hint="cs"/>
          <w:rtl/>
        </w:rPr>
        <w:t>3-3</w:t>
      </w:r>
      <w:r>
        <w:rPr>
          <w:rFonts w:hint="cs"/>
          <w:rtl/>
        </w:rPr>
        <w:tab/>
        <w:t>ويدعي صاحب البلاغ أيضاً أنه لم ت</w:t>
      </w:r>
      <w:r w:rsidR="004515A9">
        <w:rPr>
          <w:rFonts w:hint="cs"/>
          <w:rtl/>
        </w:rPr>
        <w:t xml:space="preserve">تح له </w:t>
      </w:r>
      <w:r>
        <w:rPr>
          <w:rFonts w:hint="cs"/>
          <w:rtl/>
        </w:rPr>
        <w:t xml:space="preserve">أمامه سبل انتصاف فعالة وذلك يخالف أحكام الفقرة 3(أ) و(ب) من المادة 2 من العهد. وفضلاً عن ذلك، فإن عدم </w:t>
      </w:r>
      <w:r w:rsidR="004515A9">
        <w:rPr>
          <w:rFonts w:hint="cs"/>
          <w:rtl/>
        </w:rPr>
        <w:t>ال</w:t>
      </w:r>
      <w:r>
        <w:rPr>
          <w:rFonts w:hint="cs"/>
          <w:rtl/>
        </w:rPr>
        <w:t xml:space="preserve">ملاحقة </w:t>
      </w:r>
      <w:r w:rsidR="004515A9">
        <w:rPr>
          <w:rFonts w:hint="cs"/>
          <w:rtl/>
        </w:rPr>
        <w:t>ال</w:t>
      </w:r>
      <w:r>
        <w:rPr>
          <w:rFonts w:hint="cs"/>
          <w:rtl/>
        </w:rPr>
        <w:t>قضائية و</w:t>
      </w:r>
      <w:r w:rsidR="004515A9">
        <w:rPr>
          <w:rFonts w:hint="cs"/>
          <w:rtl/>
        </w:rPr>
        <w:t xml:space="preserve">عدم الفصل لمن اعتدوا عليه </w:t>
      </w:r>
      <w:r>
        <w:rPr>
          <w:rFonts w:hint="cs"/>
          <w:rtl/>
        </w:rPr>
        <w:t xml:space="preserve">بشأن شكاوى صاحب البلاغ هو أمر يخالف أحكام المادتين 26 و2 </w:t>
      </w:r>
      <w:r w:rsidR="004515A9">
        <w:rPr>
          <w:rFonts w:hint="cs"/>
          <w:rtl/>
        </w:rPr>
        <w:t xml:space="preserve">(الفقرة 1) </w:t>
      </w:r>
      <w:r>
        <w:rPr>
          <w:rFonts w:hint="cs"/>
          <w:rtl/>
        </w:rPr>
        <w:t>مقروءة بالاقتران بالمادتين 6 و7 والفقرة 1 من المادة 9 من العهد.</w:t>
      </w:r>
    </w:p>
    <w:p w:rsidR="004F510A" w:rsidRPr="00612CD3" w:rsidRDefault="001314CF" w:rsidP="00E3438B">
      <w:pPr>
        <w:pStyle w:val="H23GA"/>
        <w:rPr>
          <w:rtl/>
        </w:rPr>
      </w:pPr>
      <w:r>
        <w:rPr>
          <w:rtl/>
        </w:rPr>
        <w:br w:type="page"/>
      </w:r>
      <w:r w:rsidR="00E3438B">
        <w:rPr>
          <w:rFonts w:hint="cs"/>
          <w:rtl/>
        </w:rPr>
        <w:lastRenderedPageBreak/>
        <w:tab/>
      </w:r>
      <w:r w:rsidR="00E3438B">
        <w:rPr>
          <w:rFonts w:hint="cs"/>
          <w:rtl/>
        </w:rPr>
        <w:tab/>
      </w:r>
      <w:r w:rsidR="004F510A" w:rsidRPr="00612CD3">
        <w:rPr>
          <w:rFonts w:hint="cs"/>
          <w:rtl/>
        </w:rPr>
        <w:t>ملاحظات الدولة الطرف بشأن المقبولية</w:t>
      </w:r>
    </w:p>
    <w:p w:rsidR="004F510A" w:rsidRPr="00612CD3" w:rsidRDefault="004F510A" w:rsidP="004515A9">
      <w:pPr>
        <w:pStyle w:val="SingleTxtGA"/>
        <w:rPr>
          <w:rtl/>
        </w:rPr>
      </w:pPr>
      <w:r w:rsidRPr="00612CD3">
        <w:rPr>
          <w:rFonts w:hint="cs"/>
          <w:rtl/>
        </w:rPr>
        <w:t>4-1</w:t>
      </w:r>
      <w:r w:rsidRPr="00612CD3">
        <w:rPr>
          <w:rFonts w:hint="cs"/>
          <w:rtl/>
        </w:rPr>
        <w:tab/>
        <w:t xml:space="preserve">في 4 تشرين الأول/أكتوبر 2010، دفعت الدولة الطرف بأنه ينبغي </w:t>
      </w:r>
      <w:r w:rsidR="004515A9">
        <w:rPr>
          <w:rFonts w:hint="cs"/>
          <w:rtl/>
        </w:rPr>
        <w:t>ال</w:t>
      </w:r>
      <w:r w:rsidRPr="00612CD3">
        <w:rPr>
          <w:rFonts w:hint="cs"/>
          <w:rtl/>
        </w:rPr>
        <w:t xml:space="preserve">إعلان </w:t>
      </w:r>
      <w:r w:rsidR="004515A9">
        <w:rPr>
          <w:rFonts w:hint="cs"/>
          <w:rtl/>
        </w:rPr>
        <w:t xml:space="preserve">عن عدم مقبولية </w:t>
      </w:r>
      <w:r w:rsidRPr="00612CD3">
        <w:rPr>
          <w:rFonts w:hint="cs"/>
          <w:rtl/>
        </w:rPr>
        <w:t>البلاغ لأن صاحب</w:t>
      </w:r>
      <w:r w:rsidR="004515A9">
        <w:rPr>
          <w:rFonts w:hint="cs"/>
          <w:rtl/>
        </w:rPr>
        <w:t>ة</w:t>
      </w:r>
      <w:r w:rsidRPr="00612CD3">
        <w:rPr>
          <w:rFonts w:hint="cs"/>
          <w:rtl/>
        </w:rPr>
        <w:t xml:space="preserve"> لم يستنفد سبل الانتصاف </w:t>
      </w:r>
      <w:r w:rsidR="004515A9">
        <w:rPr>
          <w:rFonts w:hint="cs"/>
          <w:rtl/>
        </w:rPr>
        <w:t>المحلية</w:t>
      </w:r>
      <w:r w:rsidRPr="00612CD3">
        <w:rPr>
          <w:rFonts w:hint="cs"/>
          <w:rtl/>
        </w:rPr>
        <w:t xml:space="preserve">. وأشارت </w:t>
      </w:r>
      <w:r>
        <w:rPr>
          <w:rFonts w:hint="cs"/>
          <w:rtl/>
        </w:rPr>
        <w:t xml:space="preserve">إلى </w:t>
      </w:r>
      <w:r w:rsidRPr="00612CD3">
        <w:rPr>
          <w:rFonts w:hint="cs"/>
          <w:rtl/>
        </w:rPr>
        <w:t xml:space="preserve">أن صاحب البلاغ اكتفى بتقديم شكوى إلى الشرطة القضائية وأرسل </w:t>
      </w:r>
      <w:r>
        <w:rPr>
          <w:rFonts w:hint="cs"/>
          <w:rtl/>
        </w:rPr>
        <w:t>رسائل</w:t>
      </w:r>
      <w:r w:rsidRPr="00612CD3">
        <w:rPr>
          <w:rFonts w:hint="cs"/>
          <w:rtl/>
        </w:rPr>
        <w:t xml:space="preserve"> ذات طبيعة إدارية إلى أعضاء الحكومة أو الرئاسة. وتدفع الدولة الطرف أنه كان يتعين على صاحب البلاغ </w:t>
      </w:r>
      <w:r>
        <w:rPr>
          <w:rFonts w:hint="cs"/>
          <w:rtl/>
        </w:rPr>
        <w:t>إقامة</w:t>
      </w:r>
      <w:r w:rsidRPr="00612CD3">
        <w:rPr>
          <w:rFonts w:hint="cs"/>
          <w:rtl/>
        </w:rPr>
        <w:t xml:space="preserve"> دعوى أمام </w:t>
      </w:r>
      <w:r w:rsidR="004515A9">
        <w:rPr>
          <w:rFonts w:hint="cs"/>
          <w:rtl/>
        </w:rPr>
        <w:t xml:space="preserve">قاضي تحقيق مختصّ </w:t>
      </w:r>
      <w:r w:rsidRPr="00997E99">
        <w:rPr>
          <w:rFonts w:hint="cs"/>
          <w:i/>
          <w:iCs/>
          <w:rtl/>
        </w:rPr>
        <w:t>(إقامة دعوى للادعاء بالحق المدني)</w:t>
      </w:r>
      <w:r w:rsidRPr="00612CD3">
        <w:rPr>
          <w:rFonts w:hint="cs"/>
          <w:rtl/>
        </w:rPr>
        <w:t xml:space="preserve"> بموجب المادة 157 من قانون الإجراءات الجنائية، </w:t>
      </w:r>
      <w:r>
        <w:rPr>
          <w:rFonts w:hint="cs"/>
          <w:rtl/>
        </w:rPr>
        <w:t xml:space="preserve">وهو إجراء </w:t>
      </w:r>
      <w:r w:rsidRPr="00612CD3">
        <w:rPr>
          <w:rFonts w:hint="cs"/>
          <w:rtl/>
        </w:rPr>
        <w:t>ل</w:t>
      </w:r>
      <w:r w:rsidR="004515A9">
        <w:rPr>
          <w:rFonts w:hint="cs"/>
          <w:rtl/>
        </w:rPr>
        <w:t>تحريك دعوى جنائية؛ وتدفع أيضاً أن</w:t>
      </w:r>
      <w:r w:rsidRPr="00612CD3">
        <w:rPr>
          <w:rFonts w:hint="cs"/>
          <w:rtl/>
        </w:rPr>
        <w:t xml:space="preserve"> أمام صاحب البلاغ </w:t>
      </w:r>
      <w:r w:rsidR="004515A9">
        <w:rPr>
          <w:rFonts w:hint="cs"/>
          <w:rtl/>
        </w:rPr>
        <w:t xml:space="preserve">أُتيحت له </w:t>
      </w:r>
      <w:r w:rsidRPr="00612CD3">
        <w:rPr>
          <w:rFonts w:hint="cs"/>
          <w:rtl/>
        </w:rPr>
        <w:t xml:space="preserve">فرصة لمطالبة رئيس </w:t>
      </w:r>
      <w:r>
        <w:rPr>
          <w:rFonts w:hint="cs"/>
          <w:rtl/>
        </w:rPr>
        <w:t>المحكمة</w:t>
      </w:r>
      <w:r w:rsidRPr="00612CD3">
        <w:rPr>
          <w:rFonts w:hint="cs"/>
          <w:rtl/>
        </w:rPr>
        <w:t xml:space="preserve"> بمقاضاته بموجب الحق الشخصي </w:t>
      </w:r>
      <w:r w:rsidRPr="00997E99">
        <w:rPr>
          <w:rFonts w:hint="cs"/>
          <w:i/>
          <w:iCs/>
          <w:rtl/>
        </w:rPr>
        <w:t>(</w:t>
      </w:r>
      <w:r w:rsidR="004515A9" w:rsidRPr="00997E99">
        <w:rPr>
          <w:rFonts w:hint="cs"/>
          <w:i/>
          <w:iCs/>
          <w:rtl/>
        </w:rPr>
        <w:t>مقاضاة فرد ما مباشرة</w:t>
      </w:r>
      <w:r w:rsidRPr="00997E99">
        <w:rPr>
          <w:rFonts w:hint="cs"/>
          <w:i/>
          <w:iCs/>
          <w:rtl/>
        </w:rPr>
        <w:t>)</w:t>
      </w:r>
      <w:r w:rsidRPr="00612CD3">
        <w:rPr>
          <w:rFonts w:hint="cs"/>
          <w:rtl/>
        </w:rPr>
        <w:t xml:space="preserve">، </w:t>
      </w:r>
      <w:r>
        <w:rPr>
          <w:rFonts w:hint="cs"/>
          <w:rtl/>
        </w:rPr>
        <w:t xml:space="preserve">وهي دعوى </w:t>
      </w:r>
      <w:r w:rsidRPr="00612CD3">
        <w:rPr>
          <w:rFonts w:hint="cs"/>
          <w:rtl/>
        </w:rPr>
        <w:t xml:space="preserve">يمكن </w:t>
      </w:r>
      <w:r w:rsidR="004515A9">
        <w:rPr>
          <w:rFonts w:hint="cs"/>
          <w:rtl/>
        </w:rPr>
        <w:t xml:space="preserve">تحريكها </w:t>
      </w:r>
      <w:r w:rsidRPr="00612CD3">
        <w:rPr>
          <w:rFonts w:hint="cs"/>
          <w:rtl/>
        </w:rPr>
        <w:t>إما من جانب مكتب الادعاء العام أو من جانب الضحية نفسه</w:t>
      </w:r>
      <w:r>
        <w:rPr>
          <w:rFonts w:hint="cs"/>
          <w:rtl/>
        </w:rPr>
        <w:t>ا</w:t>
      </w:r>
      <w:r w:rsidRPr="00612CD3">
        <w:rPr>
          <w:rFonts w:hint="cs"/>
          <w:rtl/>
        </w:rPr>
        <w:t xml:space="preserve">، وفقاً لأحكام المادة 290 من قانون الإجراءات الجنائية. </w:t>
      </w:r>
    </w:p>
    <w:p w:rsidR="004F510A" w:rsidRPr="00612CD3" w:rsidRDefault="004F510A" w:rsidP="004515A9">
      <w:pPr>
        <w:pStyle w:val="SingleTxtGA"/>
        <w:rPr>
          <w:rtl/>
        </w:rPr>
      </w:pPr>
      <w:r w:rsidRPr="00612CD3">
        <w:rPr>
          <w:rFonts w:hint="cs"/>
          <w:rtl/>
        </w:rPr>
        <w:t>4-2</w:t>
      </w:r>
      <w:r w:rsidRPr="00612CD3">
        <w:rPr>
          <w:rFonts w:hint="cs"/>
          <w:rtl/>
        </w:rPr>
        <w:tab/>
        <w:t>ووفقاً للدولة الطرف</w:t>
      </w:r>
      <w:r>
        <w:rPr>
          <w:rFonts w:hint="cs"/>
          <w:rtl/>
        </w:rPr>
        <w:t xml:space="preserve">، كان يتعين على صاحب البلاغ </w:t>
      </w:r>
      <w:r w:rsidRPr="00343295">
        <w:rPr>
          <w:rFonts w:hint="cs"/>
          <w:rtl/>
        </w:rPr>
        <w:t>أن يكون على علم بالسبل القانونية المشار إليها أعلاه</w:t>
      </w:r>
      <w:r>
        <w:rPr>
          <w:rFonts w:hint="cs"/>
          <w:rtl/>
        </w:rPr>
        <w:t xml:space="preserve"> </w:t>
      </w:r>
      <w:r w:rsidRPr="00343295">
        <w:rPr>
          <w:rFonts w:hint="cs"/>
          <w:rtl/>
        </w:rPr>
        <w:t>التي كانت متاحة أمامه</w:t>
      </w:r>
      <w:r>
        <w:rPr>
          <w:rFonts w:hint="cs"/>
          <w:rtl/>
        </w:rPr>
        <w:t xml:space="preserve"> لأنه</w:t>
      </w:r>
      <w:r w:rsidRPr="00612CD3">
        <w:rPr>
          <w:rFonts w:hint="cs"/>
          <w:rtl/>
        </w:rPr>
        <w:t xml:space="preserve"> كان ممثلاً بمحامٍ. وبما أنه لم يلجأ إلى أي منها، </w:t>
      </w:r>
      <w:r w:rsidR="004515A9">
        <w:rPr>
          <w:rFonts w:hint="cs"/>
          <w:rtl/>
        </w:rPr>
        <w:t>وجب القول ب</w:t>
      </w:r>
      <w:r>
        <w:rPr>
          <w:rFonts w:hint="cs"/>
          <w:rtl/>
        </w:rPr>
        <w:t xml:space="preserve">أنه </w:t>
      </w:r>
      <w:r w:rsidRPr="00612CD3">
        <w:rPr>
          <w:rFonts w:hint="cs"/>
          <w:rtl/>
        </w:rPr>
        <w:t xml:space="preserve">لم يستنفد سبل الانتصاف </w:t>
      </w:r>
      <w:r w:rsidR="004515A9">
        <w:rPr>
          <w:rFonts w:hint="cs"/>
          <w:rtl/>
        </w:rPr>
        <w:t>المح</w:t>
      </w:r>
      <w:r w:rsidRPr="00612CD3">
        <w:rPr>
          <w:rFonts w:hint="cs"/>
          <w:rtl/>
        </w:rPr>
        <w:t>لية.</w:t>
      </w:r>
    </w:p>
    <w:p w:rsidR="004F510A" w:rsidRPr="00612CD3" w:rsidRDefault="00E3438B" w:rsidP="00E3438B">
      <w:pPr>
        <w:pStyle w:val="H23GA"/>
        <w:rPr>
          <w:rtl/>
        </w:rPr>
      </w:pPr>
      <w:r>
        <w:rPr>
          <w:rFonts w:hint="cs"/>
          <w:rtl/>
        </w:rPr>
        <w:tab/>
      </w:r>
      <w:r>
        <w:rPr>
          <w:rFonts w:hint="cs"/>
          <w:rtl/>
        </w:rPr>
        <w:tab/>
      </w:r>
      <w:r w:rsidR="004F510A" w:rsidRPr="00612CD3">
        <w:rPr>
          <w:rFonts w:hint="cs"/>
          <w:rtl/>
        </w:rPr>
        <w:t xml:space="preserve">تعليقات صاحب البلاغ </w:t>
      </w:r>
      <w:r w:rsidR="004F510A">
        <w:rPr>
          <w:rFonts w:hint="cs"/>
          <w:rtl/>
        </w:rPr>
        <w:t>على</w:t>
      </w:r>
      <w:r w:rsidR="004F510A" w:rsidRPr="00612CD3">
        <w:rPr>
          <w:rFonts w:hint="cs"/>
          <w:rtl/>
        </w:rPr>
        <w:t xml:space="preserve"> ملاحظات الدولة الطرف بشأن المقبولية</w:t>
      </w:r>
    </w:p>
    <w:p w:rsidR="004F510A" w:rsidRPr="00612CD3" w:rsidRDefault="004F510A" w:rsidP="004515A9">
      <w:pPr>
        <w:pStyle w:val="SingleTxtGA"/>
        <w:rPr>
          <w:rtl/>
        </w:rPr>
      </w:pPr>
      <w:r w:rsidRPr="00612CD3">
        <w:rPr>
          <w:rFonts w:hint="cs"/>
          <w:rtl/>
        </w:rPr>
        <w:t>5-1</w:t>
      </w:r>
      <w:r w:rsidRPr="00612CD3">
        <w:rPr>
          <w:rFonts w:hint="cs"/>
          <w:rtl/>
        </w:rPr>
        <w:tab/>
        <w:t xml:space="preserve">في 8 كانون الأول/ديسمبر 2010، </w:t>
      </w:r>
      <w:r w:rsidR="004515A9">
        <w:rPr>
          <w:rFonts w:hint="cs"/>
          <w:rtl/>
        </w:rPr>
        <w:t xml:space="preserve">أبدى </w:t>
      </w:r>
      <w:r w:rsidRPr="00612CD3">
        <w:rPr>
          <w:rFonts w:hint="cs"/>
          <w:rtl/>
        </w:rPr>
        <w:t xml:space="preserve">صاحب البلاغ تعليقات </w:t>
      </w:r>
      <w:r>
        <w:rPr>
          <w:rFonts w:hint="cs"/>
          <w:rtl/>
        </w:rPr>
        <w:t>على</w:t>
      </w:r>
      <w:r w:rsidRPr="00612CD3">
        <w:rPr>
          <w:rFonts w:hint="cs"/>
          <w:rtl/>
        </w:rPr>
        <w:t xml:space="preserve"> ملاحظات الدولة الطرف بشأن المقبولية.</w:t>
      </w:r>
    </w:p>
    <w:p w:rsidR="004F510A" w:rsidRPr="00612CD3" w:rsidRDefault="004F510A" w:rsidP="004515A9">
      <w:pPr>
        <w:pStyle w:val="SingleTxtGA"/>
        <w:rPr>
          <w:rtl/>
        </w:rPr>
      </w:pPr>
      <w:r w:rsidRPr="00612CD3">
        <w:rPr>
          <w:rFonts w:hint="cs"/>
          <w:rtl/>
        </w:rPr>
        <w:t>5-2</w:t>
      </w:r>
      <w:r w:rsidRPr="00612CD3">
        <w:rPr>
          <w:rFonts w:hint="cs"/>
          <w:rtl/>
        </w:rPr>
        <w:tab/>
        <w:t xml:space="preserve">رفض صاحب البلاغ الادعاء بأنه لم يستنفد سبل الانتصاف </w:t>
      </w:r>
      <w:r w:rsidR="004515A9">
        <w:rPr>
          <w:rFonts w:hint="cs"/>
          <w:rtl/>
        </w:rPr>
        <w:t>المحلية</w:t>
      </w:r>
      <w:r w:rsidRPr="00612CD3">
        <w:rPr>
          <w:rFonts w:hint="cs"/>
          <w:rtl/>
        </w:rPr>
        <w:t>. و</w:t>
      </w:r>
      <w:r w:rsidR="004515A9">
        <w:rPr>
          <w:rFonts w:hint="cs"/>
          <w:rtl/>
        </w:rPr>
        <w:t xml:space="preserve">هو </w:t>
      </w:r>
      <w:r w:rsidRPr="00612CD3">
        <w:rPr>
          <w:rFonts w:hint="cs"/>
          <w:rtl/>
        </w:rPr>
        <w:t xml:space="preserve">يدعي أن المادتين 157 و290 من قانون الإجراءات الجنائية وإن كانت تنص على </w:t>
      </w:r>
      <w:r w:rsidR="004515A9">
        <w:rPr>
          <w:rFonts w:hint="cs"/>
          <w:rtl/>
        </w:rPr>
        <w:t xml:space="preserve">أن </w:t>
      </w:r>
      <w:r w:rsidRPr="00612CD3">
        <w:rPr>
          <w:rFonts w:hint="cs"/>
          <w:rtl/>
        </w:rPr>
        <w:t>إمكان</w:t>
      </w:r>
      <w:r w:rsidR="004515A9">
        <w:rPr>
          <w:rFonts w:hint="cs"/>
          <w:rtl/>
        </w:rPr>
        <w:t>ية تحريك</w:t>
      </w:r>
      <w:r w:rsidRPr="00612CD3">
        <w:rPr>
          <w:rFonts w:hint="cs"/>
          <w:rtl/>
        </w:rPr>
        <w:t xml:space="preserve"> الضحية </w:t>
      </w:r>
      <w:r w:rsidR="004515A9">
        <w:rPr>
          <w:rFonts w:hint="cs"/>
          <w:rtl/>
        </w:rPr>
        <w:t>ل</w:t>
      </w:r>
      <w:r>
        <w:rPr>
          <w:rFonts w:hint="cs"/>
          <w:rtl/>
        </w:rPr>
        <w:t>دعوى</w:t>
      </w:r>
      <w:r w:rsidRPr="00612CD3">
        <w:rPr>
          <w:rFonts w:hint="cs"/>
          <w:rtl/>
        </w:rPr>
        <w:t xml:space="preserve"> جنائية إما من خلال الادعاء </w:t>
      </w:r>
      <w:r>
        <w:rPr>
          <w:rFonts w:hint="cs"/>
          <w:rtl/>
        </w:rPr>
        <w:t>ب</w:t>
      </w:r>
      <w:r w:rsidRPr="00612CD3">
        <w:rPr>
          <w:rFonts w:hint="cs"/>
          <w:rtl/>
        </w:rPr>
        <w:t xml:space="preserve">الحق المدني، أو من خلال مقاضاة خاصة أمام </w:t>
      </w:r>
      <w:r w:rsidR="004515A9">
        <w:rPr>
          <w:rFonts w:hint="cs"/>
          <w:rtl/>
        </w:rPr>
        <w:t xml:space="preserve">قاضٍ </w:t>
      </w:r>
      <w:r w:rsidRPr="00612CD3">
        <w:rPr>
          <w:rFonts w:hint="cs"/>
          <w:rtl/>
        </w:rPr>
        <w:t xml:space="preserve">أو </w:t>
      </w:r>
      <w:r>
        <w:rPr>
          <w:rFonts w:hint="cs"/>
          <w:rtl/>
        </w:rPr>
        <w:t xml:space="preserve">أمام </w:t>
      </w:r>
      <w:r w:rsidRPr="00612CD3">
        <w:rPr>
          <w:rFonts w:hint="cs"/>
          <w:rtl/>
        </w:rPr>
        <w:t xml:space="preserve">محكمة مختصة (أ) </w:t>
      </w:r>
      <w:r>
        <w:rPr>
          <w:rFonts w:hint="cs"/>
          <w:rtl/>
        </w:rPr>
        <w:t xml:space="preserve">فإن هذه </w:t>
      </w:r>
      <w:r w:rsidRPr="00612CD3">
        <w:rPr>
          <w:rFonts w:hint="cs"/>
          <w:rtl/>
        </w:rPr>
        <w:t xml:space="preserve">الإجراءات </w:t>
      </w:r>
      <w:r w:rsidRPr="003D630D">
        <w:rPr>
          <w:rFonts w:hint="cs"/>
          <w:rtl/>
        </w:rPr>
        <w:t xml:space="preserve">لا تزال </w:t>
      </w:r>
      <w:r w:rsidRPr="00612CD3">
        <w:rPr>
          <w:rFonts w:hint="cs"/>
          <w:rtl/>
        </w:rPr>
        <w:t xml:space="preserve">غير متاحة بسبب التكاليف </w:t>
      </w:r>
      <w:r w:rsidR="004515A9">
        <w:rPr>
          <w:rFonts w:hint="cs"/>
          <w:rtl/>
        </w:rPr>
        <w:t>المترتبة عليها</w:t>
      </w:r>
      <w:r>
        <w:rPr>
          <w:rFonts w:hint="cs"/>
          <w:rtl/>
        </w:rPr>
        <w:t>؛</w:t>
      </w:r>
      <w:r w:rsidRPr="00612CD3">
        <w:rPr>
          <w:rFonts w:hint="cs"/>
          <w:rtl/>
        </w:rPr>
        <w:t xml:space="preserve"> و(ب) </w:t>
      </w:r>
      <w:r w:rsidR="004515A9">
        <w:rPr>
          <w:rFonts w:hint="cs"/>
          <w:rtl/>
        </w:rPr>
        <w:t xml:space="preserve">أنها </w:t>
      </w:r>
      <w:r w:rsidRPr="00612CD3">
        <w:rPr>
          <w:rFonts w:hint="cs"/>
          <w:rtl/>
        </w:rPr>
        <w:t>غير فعالة.</w:t>
      </w:r>
    </w:p>
    <w:p w:rsidR="004F510A" w:rsidRPr="00612CD3" w:rsidRDefault="004F510A" w:rsidP="00997E99">
      <w:pPr>
        <w:pStyle w:val="SingleTxtGA"/>
        <w:rPr>
          <w:rtl/>
        </w:rPr>
      </w:pPr>
      <w:r w:rsidRPr="00612CD3">
        <w:rPr>
          <w:rFonts w:hint="cs"/>
          <w:rtl/>
        </w:rPr>
        <w:t>5-3</w:t>
      </w:r>
      <w:r w:rsidRPr="00612CD3">
        <w:rPr>
          <w:rFonts w:hint="cs"/>
          <w:rtl/>
        </w:rPr>
        <w:tab/>
        <w:t>ويد</w:t>
      </w:r>
      <w:r w:rsidR="004515A9">
        <w:rPr>
          <w:rFonts w:hint="cs"/>
          <w:rtl/>
        </w:rPr>
        <w:t xml:space="preserve">فع </w:t>
      </w:r>
      <w:r w:rsidRPr="00612CD3">
        <w:rPr>
          <w:rFonts w:hint="cs"/>
          <w:rtl/>
        </w:rPr>
        <w:t xml:space="preserve">صاحب البلاغ </w:t>
      </w:r>
      <w:r w:rsidR="004515A9">
        <w:rPr>
          <w:rFonts w:hint="cs"/>
          <w:rtl/>
        </w:rPr>
        <w:t>ب</w:t>
      </w:r>
      <w:r w:rsidRPr="00612CD3">
        <w:rPr>
          <w:rFonts w:hint="cs"/>
          <w:rtl/>
        </w:rPr>
        <w:t xml:space="preserve">أن الفقرتين (1) و(2) من المادة </w:t>
      </w:r>
      <w:r w:rsidR="00997E99">
        <w:rPr>
          <w:rFonts w:hint="cs"/>
          <w:rtl/>
        </w:rPr>
        <w:t>158</w:t>
      </w:r>
      <w:r w:rsidRPr="00612CD3">
        <w:rPr>
          <w:rFonts w:hint="cs"/>
          <w:rtl/>
        </w:rPr>
        <w:t xml:space="preserve"> من قانون الإجراءات الجنائية تنص</w:t>
      </w:r>
      <w:r w:rsidR="004515A9">
        <w:rPr>
          <w:rFonts w:hint="cs"/>
          <w:rtl/>
        </w:rPr>
        <w:t>ّان</w:t>
      </w:r>
      <w:r w:rsidRPr="00612CD3">
        <w:rPr>
          <w:rFonts w:hint="cs"/>
          <w:rtl/>
        </w:rPr>
        <w:t xml:space="preserve"> على أن الطرف المخاصم الذي </w:t>
      </w:r>
      <w:r w:rsidR="004515A9">
        <w:rPr>
          <w:rFonts w:hint="cs"/>
          <w:rtl/>
        </w:rPr>
        <w:t xml:space="preserve">يحرك الدعوى </w:t>
      </w:r>
      <w:r w:rsidRPr="00612CD3">
        <w:rPr>
          <w:rFonts w:hint="cs"/>
          <w:rtl/>
        </w:rPr>
        <w:t xml:space="preserve">الجنائية: </w:t>
      </w:r>
      <w:r>
        <w:rPr>
          <w:rFonts w:hint="cs"/>
          <w:rtl/>
        </w:rPr>
        <w:t>"يودع</w:t>
      </w:r>
      <w:r w:rsidRPr="00612CD3">
        <w:rPr>
          <w:rFonts w:hint="cs"/>
          <w:rtl/>
        </w:rPr>
        <w:t xml:space="preserve"> لدى </w:t>
      </w:r>
      <w:r w:rsidR="004515A9">
        <w:rPr>
          <w:rFonts w:hint="cs"/>
          <w:rtl/>
        </w:rPr>
        <w:t xml:space="preserve">قلم </w:t>
      </w:r>
      <w:r w:rsidRPr="00612CD3">
        <w:rPr>
          <w:rFonts w:hint="cs"/>
          <w:rtl/>
        </w:rPr>
        <w:t>محكمة الدرجة الأولى مبلغاً يعتبر كافياً لسداد تكاليف ال</w:t>
      </w:r>
      <w:r w:rsidR="004515A9">
        <w:rPr>
          <w:rFonts w:hint="cs"/>
          <w:rtl/>
        </w:rPr>
        <w:t>دعوى</w:t>
      </w:r>
      <w:r>
        <w:rPr>
          <w:rFonts w:hint="cs"/>
          <w:rtl/>
        </w:rPr>
        <w:t xml:space="preserve">، </w:t>
      </w:r>
      <w:r w:rsidRPr="00F376B3">
        <w:rPr>
          <w:rFonts w:hint="cs"/>
          <w:rtl/>
        </w:rPr>
        <w:t xml:space="preserve">وهو </w:t>
      </w:r>
      <w:r w:rsidR="004515A9">
        <w:rPr>
          <w:rFonts w:hint="cs"/>
          <w:rtl/>
        </w:rPr>
        <w:t>مجازف في ذلك ل</w:t>
      </w:r>
      <w:r w:rsidRPr="00F376B3">
        <w:rPr>
          <w:rFonts w:hint="cs"/>
          <w:rtl/>
        </w:rPr>
        <w:t>احتمال عدم قبول شكواه</w:t>
      </w:r>
      <w:r>
        <w:rPr>
          <w:rFonts w:hint="cs"/>
          <w:rtl/>
        </w:rPr>
        <w:t>.</w:t>
      </w:r>
      <w:r w:rsidRPr="00612CD3">
        <w:rPr>
          <w:rFonts w:hint="cs"/>
          <w:rtl/>
        </w:rPr>
        <w:t xml:space="preserve"> ويحدد المبلغ </w:t>
      </w:r>
      <w:r>
        <w:rPr>
          <w:rFonts w:hint="cs"/>
          <w:rtl/>
        </w:rPr>
        <w:t xml:space="preserve">بموجب </w:t>
      </w:r>
      <w:r w:rsidR="004515A9">
        <w:rPr>
          <w:rFonts w:hint="cs"/>
          <w:rtl/>
        </w:rPr>
        <w:t xml:space="preserve">أمر يصدره </w:t>
      </w:r>
      <w:r w:rsidRPr="00612CD3">
        <w:rPr>
          <w:rFonts w:hint="cs"/>
          <w:rtl/>
        </w:rPr>
        <w:t>قاضي التحقيق. ويجوز تحديد مبلغ إضافي أثناء التحقيق". ووفقاً لصاحب البلاغ فإن إيداع مثل هذه المبالغ النقدية لا يرتبط بكمي</w:t>
      </w:r>
      <w:r>
        <w:rPr>
          <w:rFonts w:hint="cs"/>
          <w:rtl/>
        </w:rPr>
        <w:t>تها</w:t>
      </w:r>
      <w:r w:rsidRPr="00612CD3">
        <w:rPr>
          <w:rFonts w:hint="cs"/>
          <w:rtl/>
        </w:rPr>
        <w:t>، و</w:t>
      </w:r>
      <w:r w:rsidR="004515A9">
        <w:rPr>
          <w:rFonts w:hint="cs"/>
          <w:rtl/>
        </w:rPr>
        <w:t>ي</w:t>
      </w:r>
      <w:r w:rsidRPr="00612CD3">
        <w:rPr>
          <w:rFonts w:hint="cs"/>
          <w:rtl/>
        </w:rPr>
        <w:t xml:space="preserve">تبين </w:t>
      </w:r>
      <w:r w:rsidR="004515A9">
        <w:rPr>
          <w:rFonts w:hint="cs"/>
          <w:rtl/>
        </w:rPr>
        <w:t xml:space="preserve">من </w:t>
      </w:r>
      <w:r w:rsidRPr="00612CD3">
        <w:rPr>
          <w:rFonts w:hint="cs"/>
          <w:rtl/>
        </w:rPr>
        <w:t xml:space="preserve">الممارسة أن هذه المبالغ تتفاوت. وفي إطار المحاكم التي تقع في منطقة فاكو، تتراوح المبالغ التي يأمر قضاة التحقيق بدفعها، في الأحوال العادية، بين 000 160 و000 500 فرنك </w:t>
      </w:r>
      <w:r>
        <w:rPr>
          <w:rFonts w:hint="cs"/>
          <w:rtl/>
        </w:rPr>
        <w:t>من فرنكات الجماعة المالية الأفريقية</w:t>
      </w:r>
      <w:r w:rsidRPr="00612CD3">
        <w:rPr>
          <w:rFonts w:hint="cs"/>
          <w:rtl/>
        </w:rPr>
        <w:t xml:space="preserve"> </w:t>
      </w:r>
      <w:r w:rsidR="004515A9">
        <w:rPr>
          <w:rFonts w:hint="cs"/>
          <w:rtl/>
        </w:rPr>
        <w:t>فما فوق</w:t>
      </w:r>
      <w:r w:rsidRPr="00612CD3">
        <w:rPr>
          <w:rFonts w:hint="cs"/>
          <w:rtl/>
        </w:rPr>
        <w:t>. ويدعي صاحب البلاغ أن</w:t>
      </w:r>
      <w:r>
        <w:rPr>
          <w:rFonts w:hint="cs"/>
          <w:rtl/>
        </w:rPr>
        <w:t>ه</w:t>
      </w:r>
      <w:r w:rsidRPr="00612CD3">
        <w:rPr>
          <w:rFonts w:hint="cs"/>
          <w:rtl/>
        </w:rPr>
        <w:t xml:space="preserve"> كان عاجزاً </w:t>
      </w:r>
      <w:r>
        <w:rPr>
          <w:rFonts w:hint="cs"/>
          <w:rtl/>
        </w:rPr>
        <w:t xml:space="preserve">عن إيداع مثل هذه المبالغ </w:t>
      </w:r>
      <w:r w:rsidRPr="00612CD3">
        <w:rPr>
          <w:rFonts w:hint="cs"/>
          <w:rtl/>
        </w:rPr>
        <w:t>و</w:t>
      </w:r>
      <w:r>
        <w:rPr>
          <w:rFonts w:hint="cs"/>
          <w:rtl/>
        </w:rPr>
        <w:t xml:space="preserve">أنه </w:t>
      </w:r>
      <w:r w:rsidRPr="00612CD3">
        <w:rPr>
          <w:rFonts w:hint="cs"/>
          <w:rtl/>
        </w:rPr>
        <w:t>أقام إقامة مطولة في المستشفى أدت إلى تحمله تكاليف كبيرة. وأكد أنه المعيل الوحيد لأسرة مكونة من ست</w:t>
      </w:r>
      <w:r>
        <w:rPr>
          <w:rFonts w:hint="cs"/>
          <w:rtl/>
        </w:rPr>
        <w:t>ة</w:t>
      </w:r>
      <w:r w:rsidRPr="00612CD3">
        <w:rPr>
          <w:rFonts w:hint="cs"/>
          <w:rtl/>
        </w:rPr>
        <w:t xml:space="preserve"> أفراد وبالتالي </w:t>
      </w:r>
      <w:r>
        <w:rPr>
          <w:rFonts w:hint="cs"/>
          <w:rtl/>
        </w:rPr>
        <w:t>فإنه عاجز عن</w:t>
      </w:r>
      <w:r w:rsidRPr="00612CD3">
        <w:rPr>
          <w:rFonts w:hint="cs"/>
          <w:rtl/>
        </w:rPr>
        <w:t xml:space="preserve"> </w:t>
      </w:r>
      <w:r>
        <w:rPr>
          <w:rFonts w:hint="cs"/>
          <w:rtl/>
        </w:rPr>
        <w:t xml:space="preserve">دفع </w:t>
      </w:r>
      <w:r w:rsidRPr="00612CD3">
        <w:rPr>
          <w:rFonts w:hint="cs"/>
          <w:rtl/>
        </w:rPr>
        <w:t xml:space="preserve">مثل هذه المبالغ. </w:t>
      </w:r>
    </w:p>
    <w:p w:rsidR="004F510A" w:rsidRPr="00612CD3" w:rsidRDefault="004F510A" w:rsidP="00997E99">
      <w:pPr>
        <w:pStyle w:val="SingleTxtGA"/>
        <w:rPr>
          <w:rtl/>
        </w:rPr>
      </w:pPr>
      <w:r w:rsidRPr="00612CD3">
        <w:rPr>
          <w:rFonts w:hint="cs"/>
          <w:rtl/>
        </w:rPr>
        <w:lastRenderedPageBreak/>
        <w:t>5-4</w:t>
      </w:r>
      <w:r w:rsidRPr="00612CD3">
        <w:rPr>
          <w:rFonts w:hint="cs"/>
          <w:rtl/>
        </w:rPr>
        <w:tab/>
        <w:t xml:space="preserve">ويؤكد صاحب البلاغ أنه </w:t>
      </w:r>
      <w:r>
        <w:rPr>
          <w:rFonts w:hint="cs"/>
          <w:rtl/>
        </w:rPr>
        <w:t xml:space="preserve">حتى ولو </w:t>
      </w:r>
      <w:r w:rsidRPr="00612CD3">
        <w:rPr>
          <w:rFonts w:hint="cs"/>
          <w:rtl/>
        </w:rPr>
        <w:t>قدم مثل هذه الشكوى</w:t>
      </w:r>
      <w:r w:rsidR="00AF7B62">
        <w:rPr>
          <w:rFonts w:hint="cs"/>
          <w:rtl/>
        </w:rPr>
        <w:t>،</w:t>
      </w:r>
      <w:r w:rsidRPr="00612CD3">
        <w:rPr>
          <w:rFonts w:hint="cs"/>
          <w:rtl/>
        </w:rPr>
        <w:t xml:space="preserve"> بموجب المادة </w:t>
      </w:r>
      <w:r w:rsidR="00AF7B62">
        <w:rPr>
          <w:rFonts w:hint="cs"/>
          <w:rtl/>
        </w:rPr>
        <w:t>160 من قانون الإجراءات الجنائية بعد إيداع المبلغ المطلوب</w:t>
      </w:r>
      <w:r w:rsidRPr="00612CD3">
        <w:rPr>
          <w:rFonts w:hint="cs"/>
          <w:rtl/>
        </w:rPr>
        <w:t xml:space="preserve"> فإن قاضي التحقيق كان، رغم ذلك سيحيل الشكوى إلى محامي الدولة. وعندئذ فإما </w:t>
      </w:r>
      <w:r>
        <w:rPr>
          <w:rFonts w:hint="cs"/>
          <w:rtl/>
        </w:rPr>
        <w:t>يعلن</w:t>
      </w:r>
      <w:r w:rsidRPr="00612CD3">
        <w:rPr>
          <w:rFonts w:hint="cs"/>
          <w:rtl/>
        </w:rPr>
        <w:t xml:space="preserve"> محامي الدولة </w:t>
      </w:r>
      <w:r w:rsidR="00AF7B62">
        <w:rPr>
          <w:rFonts w:hint="cs"/>
          <w:rtl/>
        </w:rPr>
        <w:t xml:space="preserve">عدم </w:t>
      </w:r>
      <w:r w:rsidRPr="00612CD3">
        <w:rPr>
          <w:rFonts w:hint="cs"/>
          <w:rtl/>
        </w:rPr>
        <w:t xml:space="preserve">مقبولية الشكوى أو يأمر </w:t>
      </w:r>
      <w:r w:rsidR="00AF7B62">
        <w:rPr>
          <w:rFonts w:hint="cs"/>
          <w:rtl/>
        </w:rPr>
        <w:t xml:space="preserve">بالشروع في </w:t>
      </w:r>
      <w:r w:rsidRPr="00612CD3">
        <w:rPr>
          <w:rFonts w:hint="cs"/>
          <w:rtl/>
        </w:rPr>
        <w:t>تحقيق ضد أشخاص معروفي</w:t>
      </w:r>
      <w:r w:rsidR="00AF7B62">
        <w:rPr>
          <w:rFonts w:hint="cs"/>
          <w:rtl/>
        </w:rPr>
        <w:t>ن</w:t>
      </w:r>
      <w:r w:rsidRPr="00612CD3">
        <w:rPr>
          <w:rFonts w:hint="cs"/>
          <w:rtl/>
        </w:rPr>
        <w:t xml:space="preserve"> أو مجهولي الهوية. ويجوز الاستماع لشخص يذكر أسمه في الشكوى أيضاً كشاهد. وفي الحالة الراهنة، يدفع صاحب البلاغ أنه </w:t>
      </w:r>
      <w:r w:rsidR="00AF7B62">
        <w:rPr>
          <w:rFonts w:hint="cs"/>
          <w:rtl/>
        </w:rPr>
        <w:t>سبق</w:t>
      </w:r>
      <w:r w:rsidR="00997E99">
        <w:rPr>
          <w:rFonts w:hint="cs"/>
          <w:rtl/>
        </w:rPr>
        <w:t xml:space="preserve"> أن</w:t>
      </w:r>
      <w:r w:rsidR="00AF7B62">
        <w:rPr>
          <w:rFonts w:hint="cs"/>
          <w:rtl/>
        </w:rPr>
        <w:t xml:space="preserve"> </w:t>
      </w:r>
      <w:r w:rsidRPr="00612CD3">
        <w:rPr>
          <w:rFonts w:hint="cs"/>
          <w:rtl/>
        </w:rPr>
        <w:t>قد</w:t>
      </w:r>
      <w:r w:rsidR="00AF7B62">
        <w:rPr>
          <w:rFonts w:hint="cs"/>
          <w:rtl/>
        </w:rPr>
        <w:t>َّ</w:t>
      </w:r>
      <w:r w:rsidRPr="00612CD3">
        <w:rPr>
          <w:rFonts w:hint="cs"/>
          <w:rtl/>
        </w:rPr>
        <w:t>م شكاوى إلى المدعي العام للدولة، وفقاً للمادة 135(</w:t>
      </w:r>
      <w:r w:rsidR="00997E99">
        <w:rPr>
          <w:rFonts w:hint="cs"/>
          <w:rtl/>
        </w:rPr>
        <w:t>1</w:t>
      </w:r>
      <w:r w:rsidRPr="00612CD3">
        <w:rPr>
          <w:rFonts w:hint="cs"/>
          <w:rtl/>
        </w:rPr>
        <w:t>) من قانون الإجراءات الجنائية، دون جدوى. ولم</w:t>
      </w:r>
      <w:r w:rsidR="00997E99">
        <w:rPr>
          <w:rFonts w:hint="eastAsia"/>
          <w:rtl/>
        </w:rPr>
        <w:t> </w:t>
      </w:r>
      <w:r w:rsidRPr="00612CD3">
        <w:rPr>
          <w:rFonts w:hint="cs"/>
          <w:rtl/>
        </w:rPr>
        <w:t>ت</w:t>
      </w:r>
      <w:r w:rsidR="00AF7B62">
        <w:rPr>
          <w:rFonts w:hint="cs"/>
          <w:rtl/>
        </w:rPr>
        <w:t>بدأ أي من هاتين السلطتين في أي تحقيق.</w:t>
      </w:r>
    </w:p>
    <w:p w:rsidR="004F510A" w:rsidRPr="00612CD3" w:rsidRDefault="004F510A" w:rsidP="00997E99">
      <w:pPr>
        <w:pStyle w:val="SingleTxtGA"/>
        <w:rPr>
          <w:rtl/>
        </w:rPr>
      </w:pPr>
      <w:r w:rsidRPr="00612CD3">
        <w:rPr>
          <w:rFonts w:hint="cs"/>
          <w:rtl/>
        </w:rPr>
        <w:t>5-5</w:t>
      </w:r>
      <w:r w:rsidRPr="00612CD3">
        <w:rPr>
          <w:rFonts w:hint="cs"/>
          <w:rtl/>
        </w:rPr>
        <w:tab/>
        <w:t xml:space="preserve">وبالمثل، ووفقاً لصاحب البلاغ، فإن </w:t>
      </w:r>
      <w:r w:rsidR="00AF7B62">
        <w:rPr>
          <w:rFonts w:hint="cs"/>
          <w:rtl/>
        </w:rPr>
        <w:t>تحريك</w:t>
      </w:r>
      <w:r w:rsidRPr="00612CD3">
        <w:rPr>
          <w:rFonts w:hint="cs"/>
          <w:rtl/>
        </w:rPr>
        <w:t xml:space="preserve"> الدعوى بموجب المادة 290 من قانون الإجراءات الجنائية، من خلال </w:t>
      </w:r>
      <w:r w:rsidR="00AF7B62">
        <w:rPr>
          <w:rFonts w:hint="cs"/>
          <w:rtl/>
        </w:rPr>
        <w:t xml:space="preserve">عملية </w:t>
      </w:r>
      <w:r w:rsidRPr="00612CD3">
        <w:rPr>
          <w:rFonts w:hint="cs"/>
          <w:rtl/>
        </w:rPr>
        <w:t xml:space="preserve">المقاضاة بموجب الحق الشخصي، </w:t>
      </w:r>
      <w:r w:rsidR="00AF7B62">
        <w:rPr>
          <w:rFonts w:hint="cs"/>
          <w:rtl/>
        </w:rPr>
        <w:t xml:space="preserve">مرهون </w:t>
      </w:r>
      <w:r w:rsidRPr="00612CD3">
        <w:rPr>
          <w:rFonts w:hint="cs"/>
          <w:rtl/>
        </w:rPr>
        <w:t xml:space="preserve">أيضاً </w:t>
      </w:r>
      <w:r w:rsidR="00AF7B62">
        <w:rPr>
          <w:rFonts w:hint="cs"/>
          <w:rtl/>
        </w:rPr>
        <w:t xml:space="preserve">بدفع </w:t>
      </w:r>
      <w:r w:rsidRPr="00612CD3">
        <w:rPr>
          <w:rFonts w:hint="cs"/>
          <w:rtl/>
        </w:rPr>
        <w:t xml:space="preserve">مبالغ مالية كبيرة، </w:t>
      </w:r>
      <w:r w:rsidR="00AF7B62">
        <w:rPr>
          <w:rFonts w:hint="cs"/>
          <w:rtl/>
        </w:rPr>
        <w:t>تعذر عليه تقديمها</w:t>
      </w:r>
      <w:r w:rsidR="00997E99" w:rsidRPr="00612CD3">
        <w:rPr>
          <w:rFonts w:hint="cs"/>
          <w:rtl/>
        </w:rPr>
        <w:t>،</w:t>
      </w:r>
      <w:r w:rsidR="00AF7B62">
        <w:rPr>
          <w:rFonts w:hint="cs"/>
          <w:rtl/>
        </w:rPr>
        <w:t xml:space="preserve"> بعد أن</w:t>
      </w:r>
      <w:r w:rsidRPr="00612CD3">
        <w:rPr>
          <w:rFonts w:hint="cs"/>
          <w:rtl/>
        </w:rPr>
        <w:t xml:space="preserve"> أصبح معوزاً. وفضلاً عن ذلك، فإن الدائرة القانونية هي الطرف الرئيسي في </w:t>
      </w:r>
      <w:r w:rsidR="00AF7B62">
        <w:rPr>
          <w:rFonts w:hint="cs"/>
          <w:rtl/>
        </w:rPr>
        <w:t>القضية</w:t>
      </w:r>
      <w:r w:rsidRPr="00612CD3">
        <w:rPr>
          <w:rFonts w:hint="cs"/>
          <w:rtl/>
        </w:rPr>
        <w:t xml:space="preserve">، بموجب المادة 128 من قانون الإجراءات الجنائية. ويؤكد صاحب البلاغ أنه </w:t>
      </w:r>
      <w:r w:rsidR="00AF7B62">
        <w:rPr>
          <w:rFonts w:hint="cs"/>
          <w:rtl/>
        </w:rPr>
        <w:t xml:space="preserve">دأب على </w:t>
      </w:r>
      <w:r w:rsidRPr="00612CD3">
        <w:rPr>
          <w:rFonts w:hint="cs"/>
          <w:rtl/>
        </w:rPr>
        <w:t xml:space="preserve">تقديم </w:t>
      </w:r>
      <w:r w:rsidR="00AF7B62">
        <w:rPr>
          <w:rFonts w:hint="cs"/>
          <w:rtl/>
        </w:rPr>
        <w:t xml:space="preserve">شكاواه </w:t>
      </w:r>
      <w:r w:rsidRPr="00612CD3">
        <w:rPr>
          <w:rFonts w:hint="cs"/>
          <w:rtl/>
        </w:rPr>
        <w:t xml:space="preserve">إلى الدائرة القانونية </w:t>
      </w:r>
      <w:r w:rsidR="00AF7B62">
        <w:rPr>
          <w:rFonts w:hint="cs"/>
          <w:rtl/>
        </w:rPr>
        <w:t xml:space="preserve">دون أن يتلقى </w:t>
      </w:r>
      <w:r w:rsidRPr="00612CD3">
        <w:rPr>
          <w:rFonts w:hint="cs"/>
          <w:rtl/>
        </w:rPr>
        <w:t>ردوداً عليها.</w:t>
      </w:r>
    </w:p>
    <w:p w:rsidR="004F510A" w:rsidRPr="001314CF" w:rsidRDefault="004F510A" w:rsidP="001314CF">
      <w:pPr>
        <w:pStyle w:val="SingleTxtGA"/>
        <w:rPr>
          <w:spacing w:val="-4"/>
          <w:rtl/>
        </w:rPr>
      </w:pPr>
      <w:r w:rsidRPr="001314CF">
        <w:rPr>
          <w:rFonts w:hint="cs"/>
          <w:spacing w:val="-4"/>
          <w:rtl/>
        </w:rPr>
        <w:t>5-6</w:t>
      </w:r>
      <w:r w:rsidRPr="001314CF">
        <w:rPr>
          <w:rFonts w:hint="cs"/>
          <w:spacing w:val="-4"/>
          <w:rtl/>
        </w:rPr>
        <w:tab/>
        <w:t xml:space="preserve">ويضيف صاحب البلاغ أن </w:t>
      </w:r>
      <w:r w:rsidR="00AF7B62" w:rsidRPr="001314CF">
        <w:rPr>
          <w:rFonts w:hint="cs"/>
          <w:spacing w:val="-4"/>
          <w:rtl/>
        </w:rPr>
        <w:t xml:space="preserve">من </w:t>
      </w:r>
      <w:r w:rsidRPr="001314CF">
        <w:rPr>
          <w:rFonts w:hint="cs"/>
          <w:spacing w:val="-4"/>
          <w:rtl/>
        </w:rPr>
        <w:t xml:space="preserve">الأفعال التي يشير إليها في شكواه </w:t>
      </w:r>
      <w:r w:rsidR="00AF7B62" w:rsidRPr="001314CF">
        <w:rPr>
          <w:rFonts w:hint="cs"/>
          <w:spacing w:val="-4"/>
          <w:rtl/>
        </w:rPr>
        <w:t xml:space="preserve">الاعتداء عليه </w:t>
      </w:r>
      <w:r w:rsidRPr="001314CF">
        <w:rPr>
          <w:rFonts w:hint="cs"/>
          <w:spacing w:val="-4"/>
          <w:rtl/>
        </w:rPr>
        <w:t xml:space="preserve">وإلحاق ضرر </w:t>
      </w:r>
      <w:r w:rsidR="00AF7B62" w:rsidRPr="001314CF">
        <w:rPr>
          <w:rFonts w:hint="cs"/>
          <w:spacing w:val="-4"/>
          <w:rtl/>
        </w:rPr>
        <w:t xml:space="preserve">غير متعمد به </w:t>
      </w:r>
      <w:r w:rsidRPr="001314CF">
        <w:rPr>
          <w:rFonts w:hint="cs"/>
          <w:spacing w:val="-4"/>
          <w:rtl/>
        </w:rPr>
        <w:t xml:space="preserve">وإلقاء القبض </w:t>
      </w:r>
      <w:r w:rsidR="00AF7B62" w:rsidRPr="001314CF">
        <w:rPr>
          <w:rFonts w:hint="cs"/>
          <w:spacing w:val="-4"/>
          <w:rtl/>
        </w:rPr>
        <w:t xml:space="preserve">عليه تعسّفاً </w:t>
      </w:r>
      <w:r w:rsidRPr="001314CF">
        <w:rPr>
          <w:rFonts w:hint="cs"/>
          <w:spacing w:val="-4"/>
          <w:rtl/>
        </w:rPr>
        <w:t>وكلها جنح ارتكبت وأبلغ عنها في عام</w:t>
      </w:r>
      <w:r w:rsidR="00AF7B62" w:rsidRPr="001314CF">
        <w:rPr>
          <w:rFonts w:hint="eastAsia"/>
          <w:spacing w:val="-4"/>
          <w:rtl/>
        </w:rPr>
        <w:t> </w:t>
      </w:r>
      <w:r w:rsidRPr="001314CF">
        <w:rPr>
          <w:rFonts w:hint="cs"/>
          <w:spacing w:val="-4"/>
          <w:rtl/>
        </w:rPr>
        <w:t>2002. وتنص المادة 65(4) من قانون الإجراءات الجنائية، الذي دخل حيز النفاذ في عام 2007 على أن</w:t>
      </w:r>
      <w:r w:rsidR="001314CF">
        <w:rPr>
          <w:rFonts w:hint="eastAsia"/>
          <w:spacing w:val="-4"/>
          <w:rtl/>
        </w:rPr>
        <w:t> </w:t>
      </w:r>
      <w:r w:rsidR="00AF7B62" w:rsidRPr="001314CF">
        <w:rPr>
          <w:rFonts w:hint="cs"/>
          <w:spacing w:val="-4"/>
          <w:rtl/>
        </w:rPr>
        <w:t xml:space="preserve">تلك الأفعال </w:t>
      </w:r>
      <w:r w:rsidRPr="001314CF">
        <w:rPr>
          <w:rFonts w:hint="cs"/>
          <w:spacing w:val="-4"/>
          <w:rtl/>
        </w:rPr>
        <w:t xml:space="preserve">تسقط بالتقادم بعد مرور 3 سنوات. وبذلك فإن الدعوى </w:t>
      </w:r>
      <w:r w:rsidR="00AF7B62" w:rsidRPr="001314CF">
        <w:rPr>
          <w:rFonts w:hint="cs"/>
          <w:spacing w:val="-4"/>
          <w:rtl/>
        </w:rPr>
        <w:t xml:space="preserve">تكون قد </w:t>
      </w:r>
      <w:r w:rsidRPr="001314CF">
        <w:rPr>
          <w:rFonts w:hint="cs"/>
          <w:spacing w:val="-4"/>
          <w:rtl/>
        </w:rPr>
        <w:t>سقطت بموجب القانون. ولم تكن أمامه أية سبل انتصاف قبل أن يدخل قانون الإجراءات الجنائية حيز</w:t>
      </w:r>
      <w:r w:rsidR="001314CF">
        <w:rPr>
          <w:rFonts w:hint="eastAsia"/>
          <w:spacing w:val="-4"/>
          <w:rtl/>
        </w:rPr>
        <w:t> </w:t>
      </w:r>
      <w:r w:rsidRPr="001314CF">
        <w:rPr>
          <w:rFonts w:hint="cs"/>
          <w:spacing w:val="-4"/>
          <w:rtl/>
        </w:rPr>
        <w:t>النفاذ. ولذلك، يدعي صاحب البلاغ أن أياً من سبل الانتصاف التي اقترحتها الدولة الطرف لم تكن فعالة. ويدعو اللجنة إلى الإعلان عن مقب</w:t>
      </w:r>
      <w:r w:rsidR="00AF7B62" w:rsidRPr="001314CF">
        <w:rPr>
          <w:rFonts w:hint="cs"/>
          <w:spacing w:val="-4"/>
          <w:rtl/>
        </w:rPr>
        <w:t>ولية البلاغ.</w:t>
      </w:r>
    </w:p>
    <w:p w:rsidR="004F510A" w:rsidRPr="00612CD3" w:rsidRDefault="00E3438B" w:rsidP="00E3438B">
      <w:pPr>
        <w:pStyle w:val="H23GA"/>
        <w:rPr>
          <w:rtl/>
        </w:rPr>
      </w:pPr>
      <w:r>
        <w:rPr>
          <w:rFonts w:hint="cs"/>
          <w:rtl/>
        </w:rPr>
        <w:tab/>
      </w:r>
      <w:r>
        <w:rPr>
          <w:rFonts w:hint="cs"/>
          <w:rtl/>
        </w:rPr>
        <w:tab/>
      </w:r>
      <w:r w:rsidR="004F510A" w:rsidRPr="00612CD3">
        <w:rPr>
          <w:rFonts w:hint="cs"/>
          <w:rtl/>
        </w:rPr>
        <w:t>ملاحظات الدولة الطرف بشأن الأسس الموضوعية</w:t>
      </w:r>
    </w:p>
    <w:p w:rsidR="004F510A" w:rsidRPr="00997E99" w:rsidRDefault="004F510A" w:rsidP="00F059BD">
      <w:pPr>
        <w:pStyle w:val="SingleTxtGA"/>
        <w:rPr>
          <w:spacing w:val="-4"/>
          <w:rtl/>
        </w:rPr>
      </w:pPr>
      <w:r w:rsidRPr="00F059BD">
        <w:rPr>
          <w:rFonts w:hint="cs"/>
          <w:spacing w:val="-6"/>
          <w:rtl/>
        </w:rPr>
        <w:t>6-1</w:t>
      </w:r>
      <w:r w:rsidRPr="00F059BD">
        <w:rPr>
          <w:rFonts w:hint="cs"/>
          <w:spacing w:val="-6"/>
          <w:rtl/>
        </w:rPr>
        <w:tab/>
        <w:t xml:space="preserve">في </w:t>
      </w:r>
      <w:r w:rsidR="00997E99" w:rsidRPr="00F059BD">
        <w:rPr>
          <w:rFonts w:hint="cs"/>
          <w:spacing w:val="-6"/>
          <w:rtl/>
        </w:rPr>
        <w:t>ملاحظات أبدتها الدولة الطرف</w:t>
      </w:r>
      <w:r w:rsidR="00F059BD" w:rsidRPr="00F059BD">
        <w:rPr>
          <w:rFonts w:hint="cs"/>
          <w:spacing w:val="-6"/>
          <w:rtl/>
        </w:rPr>
        <w:t xml:space="preserve"> في</w:t>
      </w:r>
      <w:r w:rsidR="00997E99" w:rsidRPr="00F059BD">
        <w:rPr>
          <w:rFonts w:hint="cs"/>
          <w:spacing w:val="-6"/>
          <w:rtl/>
        </w:rPr>
        <w:t xml:space="preserve"> </w:t>
      </w:r>
      <w:r w:rsidRPr="00F059BD">
        <w:rPr>
          <w:rFonts w:hint="cs"/>
          <w:spacing w:val="-6"/>
          <w:rtl/>
        </w:rPr>
        <w:t xml:space="preserve">14 نيسان/أبريل 2011، </w:t>
      </w:r>
      <w:r w:rsidR="00AF7B62" w:rsidRPr="00F059BD">
        <w:rPr>
          <w:rFonts w:hint="cs"/>
          <w:spacing w:val="-6"/>
          <w:rtl/>
        </w:rPr>
        <w:t xml:space="preserve">ذهبت إلى </w:t>
      </w:r>
      <w:r w:rsidRPr="00F059BD">
        <w:rPr>
          <w:rFonts w:hint="cs"/>
          <w:spacing w:val="-6"/>
          <w:rtl/>
        </w:rPr>
        <w:t xml:space="preserve">أن الادعاءات </w:t>
      </w:r>
      <w:r w:rsidRPr="00997E99">
        <w:rPr>
          <w:rFonts w:hint="cs"/>
          <w:spacing w:val="-4"/>
          <w:rtl/>
        </w:rPr>
        <w:t>لا تقوم على أساس. و</w:t>
      </w:r>
      <w:r w:rsidR="00AF7B62" w:rsidRPr="00997E99">
        <w:rPr>
          <w:rFonts w:hint="cs"/>
          <w:spacing w:val="-4"/>
          <w:rtl/>
        </w:rPr>
        <w:t xml:space="preserve">هي </w:t>
      </w:r>
      <w:r w:rsidRPr="00997E99">
        <w:rPr>
          <w:rFonts w:hint="cs"/>
          <w:spacing w:val="-4"/>
          <w:rtl/>
        </w:rPr>
        <w:t xml:space="preserve">تدعي </w:t>
      </w:r>
      <w:r w:rsidR="00AF7B62" w:rsidRPr="00997E99">
        <w:rPr>
          <w:rFonts w:hint="cs"/>
          <w:spacing w:val="-4"/>
          <w:rtl/>
        </w:rPr>
        <w:t>أولاً أن صاحب البلاغ يفتقر إلى المصداقية، لأنه لم</w:t>
      </w:r>
      <w:r w:rsidR="00AF7B62" w:rsidRPr="00997E99">
        <w:rPr>
          <w:rFonts w:hint="eastAsia"/>
          <w:spacing w:val="-4"/>
          <w:rtl/>
        </w:rPr>
        <w:t> </w:t>
      </w:r>
      <w:r w:rsidRPr="00997E99">
        <w:rPr>
          <w:rFonts w:hint="cs"/>
          <w:spacing w:val="-4"/>
          <w:rtl/>
        </w:rPr>
        <w:t>يذكر في بلاغه أن السبب وراء موعده مع مندوب الحكوم</w:t>
      </w:r>
      <w:r w:rsidR="00AF7B62" w:rsidRPr="00997E99">
        <w:rPr>
          <w:rFonts w:hint="cs"/>
          <w:spacing w:val="-4"/>
          <w:rtl/>
        </w:rPr>
        <w:t xml:space="preserve">ة الذي يترأس مجلس </w:t>
      </w:r>
      <w:proofErr w:type="spellStart"/>
      <w:r w:rsidR="00AF7B62" w:rsidRPr="00997E99">
        <w:rPr>
          <w:rFonts w:hint="cs"/>
          <w:spacing w:val="-4"/>
          <w:rtl/>
        </w:rPr>
        <w:t>ليمبه</w:t>
      </w:r>
      <w:proofErr w:type="spellEnd"/>
      <w:r w:rsidRPr="00997E99">
        <w:rPr>
          <w:rFonts w:hint="cs"/>
          <w:spacing w:val="-4"/>
          <w:rtl/>
        </w:rPr>
        <w:t xml:space="preserve"> </w:t>
      </w:r>
      <w:r w:rsidR="00AF7B62" w:rsidRPr="00997E99">
        <w:rPr>
          <w:rFonts w:hint="cs"/>
          <w:spacing w:val="-4"/>
          <w:rtl/>
        </w:rPr>
        <w:t>البلدي</w:t>
      </w:r>
      <w:r w:rsidRPr="00997E99">
        <w:rPr>
          <w:rFonts w:hint="cs"/>
          <w:spacing w:val="-4"/>
          <w:rtl/>
        </w:rPr>
        <w:t xml:space="preserve">، في 29 آب/أغسطس 2002، هو طلب المساعدة، بعد أن </w:t>
      </w:r>
      <w:r w:rsidR="00AF7B62" w:rsidRPr="00997E99">
        <w:rPr>
          <w:rFonts w:hint="cs"/>
          <w:spacing w:val="-4"/>
          <w:rtl/>
        </w:rPr>
        <w:t xml:space="preserve">ادّعى </w:t>
      </w:r>
      <w:r w:rsidRPr="00997E99">
        <w:rPr>
          <w:rFonts w:hint="cs"/>
          <w:spacing w:val="-4"/>
          <w:rtl/>
        </w:rPr>
        <w:t>صاحب البلاغ أن داره احترقت</w:t>
      </w:r>
      <w:r w:rsidRPr="00997E99">
        <w:rPr>
          <w:spacing w:val="-4"/>
          <w:vertAlign w:val="superscript"/>
          <w:rtl/>
        </w:rPr>
        <w:t>(</w:t>
      </w:r>
      <w:r w:rsidRPr="00997E99">
        <w:rPr>
          <w:b/>
          <w:spacing w:val="-4"/>
          <w:vertAlign w:val="superscript"/>
          <w:rtl/>
        </w:rPr>
        <w:footnoteReference w:id="5"/>
      </w:r>
      <w:r w:rsidRPr="00997E99">
        <w:rPr>
          <w:spacing w:val="-4"/>
          <w:vertAlign w:val="superscript"/>
          <w:rtl/>
        </w:rPr>
        <w:t>)</w:t>
      </w:r>
      <w:r w:rsidRPr="00997E99">
        <w:rPr>
          <w:rFonts w:hint="cs"/>
          <w:spacing w:val="-4"/>
          <w:rtl/>
        </w:rPr>
        <w:t>.</w:t>
      </w:r>
      <w:r w:rsidR="00AF7B62" w:rsidRPr="00997E99">
        <w:rPr>
          <w:rFonts w:hint="cs"/>
          <w:spacing w:val="-4"/>
          <w:rtl/>
        </w:rPr>
        <w:t xml:space="preserve"> </w:t>
      </w:r>
      <w:r w:rsidRPr="00997E99">
        <w:rPr>
          <w:rFonts w:hint="cs"/>
          <w:spacing w:val="-4"/>
          <w:rtl/>
        </w:rPr>
        <w:t>ووفقاً للدولة الطرف، لم يشر صاحب البلاغ الذي اختصر أسباب وجوده في مكتب مندوب الحكوم</w:t>
      </w:r>
      <w:r w:rsidR="00AF7B62" w:rsidRPr="00997E99">
        <w:rPr>
          <w:rFonts w:hint="cs"/>
          <w:spacing w:val="-4"/>
          <w:rtl/>
        </w:rPr>
        <w:t>ة</w:t>
      </w:r>
      <w:r w:rsidRPr="00997E99">
        <w:rPr>
          <w:rFonts w:hint="cs"/>
          <w:spacing w:val="-4"/>
          <w:rtl/>
        </w:rPr>
        <w:t xml:space="preserve">، إلى موضوع النزاع مع هذا الأخير، وعليه، ترى الدولة الطرف أن ادعاءات صاحب البلاغ بموجب المادتين 6 و7 من العهد لا تقوم على أساس. </w:t>
      </w:r>
    </w:p>
    <w:p w:rsidR="004F510A" w:rsidRPr="00612CD3" w:rsidRDefault="004F510A" w:rsidP="00E75EA6">
      <w:pPr>
        <w:pStyle w:val="SingleTxtGA"/>
        <w:spacing w:line="372" w:lineRule="exact"/>
        <w:rPr>
          <w:rtl/>
        </w:rPr>
      </w:pPr>
      <w:r w:rsidRPr="00612CD3">
        <w:rPr>
          <w:rFonts w:hint="cs"/>
          <w:rtl/>
        </w:rPr>
        <w:t>6-2</w:t>
      </w:r>
      <w:r w:rsidRPr="00612CD3">
        <w:rPr>
          <w:rFonts w:hint="cs"/>
          <w:rtl/>
        </w:rPr>
        <w:tab/>
        <w:t xml:space="preserve">وفيما يتعلق بحق صاحب البلاغ في الحرية والأمن تدعي الدولة الطرف أن ادعاءات صاحب البلاغ غير صحيحة. ففي أعقاب الحادث الذي وقع في 29 آب/أغسطس 2002، </w:t>
      </w:r>
      <w:r w:rsidRPr="00612CD3">
        <w:rPr>
          <w:rFonts w:hint="cs"/>
          <w:rtl/>
        </w:rPr>
        <w:lastRenderedPageBreak/>
        <w:t xml:space="preserve">أصدر كبير </w:t>
      </w:r>
      <w:r w:rsidR="00B34F61">
        <w:rPr>
          <w:rFonts w:hint="cs"/>
          <w:rtl/>
        </w:rPr>
        <w:t xml:space="preserve">مسؤولي الشرطة </w:t>
      </w:r>
      <w:r w:rsidRPr="00612CD3">
        <w:rPr>
          <w:rFonts w:hint="cs"/>
          <w:rtl/>
        </w:rPr>
        <w:t xml:space="preserve">في </w:t>
      </w:r>
      <w:r w:rsidR="00B34F61">
        <w:rPr>
          <w:rFonts w:hint="cs"/>
          <w:rtl/>
        </w:rPr>
        <w:t xml:space="preserve">مدينة </w:t>
      </w:r>
      <w:r w:rsidRPr="00612CD3">
        <w:rPr>
          <w:rFonts w:hint="cs"/>
          <w:rtl/>
        </w:rPr>
        <w:t xml:space="preserve">فاكو أمراً في 30 آب/أغسطس 2002 </w:t>
      </w:r>
      <w:r>
        <w:rPr>
          <w:rFonts w:hint="cs"/>
          <w:rtl/>
        </w:rPr>
        <w:t>ب</w:t>
      </w:r>
      <w:r w:rsidRPr="00612CD3">
        <w:rPr>
          <w:rFonts w:hint="cs"/>
          <w:rtl/>
        </w:rPr>
        <w:t xml:space="preserve">احتجاز صاحب البلاغ إدارياً، لمدة 15 يوماً قابلة للتجديد لأنه ارتكب "أفعالاً لصوصية </w:t>
      </w:r>
      <w:r w:rsidR="00B34F61">
        <w:rPr>
          <w:rFonts w:hint="cs"/>
          <w:rtl/>
        </w:rPr>
        <w:t xml:space="preserve">ومحاولة إضرام النار في مكتب مندوب الحكومة عضو مجلس </w:t>
      </w:r>
      <w:proofErr w:type="spellStart"/>
      <w:r w:rsidR="00B34F61">
        <w:rPr>
          <w:rFonts w:hint="cs"/>
          <w:rtl/>
        </w:rPr>
        <w:t>ليمبه</w:t>
      </w:r>
      <w:proofErr w:type="spellEnd"/>
      <w:r w:rsidRPr="00612CD3">
        <w:rPr>
          <w:rFonts w:hint="cs"/>
          <w:rtl/>
        </w:rPr>
        <w:t xml:space="preserve"> </w:t>
      </w:r>
      <w:r w:rsidR="00B34F61">
        <w:rPr>
          <w:rFonts w:hint="cs"/>
          <w:rtl/>
        </w:rPr>
        <w:t>البلدي</w:t>
      </w:r>
      <w:r w:rsidRPr="00612CD3">
        <w:rPr>
          <w:rFonts w:hint="cs"/>
          <w:rtl/>
        </w:rPr>
        <w:t xml:space="preserve">، وتسبب في </w:t>
      </w:r>
      <w:r w:rsidR="00B34F61">
        <w:rPr>
          <w:rFonts w:hint="cs"/>
          <w:rtl/>
        </w:rPr>
        <w:t xml:space="preserve">حدوث </w:t>
      </w:r>
      <w:r w:rsidRPr="00612CD3">
        <w:rPr>
          <w:rFonts w:hint="cs"/>
          <w:rtl/>
        </w:rPr>
        <w:t>اضطرابا</w:t>
      </w:r>
      <w:r w:rsidR="00B34F61">
        <w:rPr>
          <w:rFonts w:hint="cs"/>
          <w:rtl/>
        </w:rPr>
        <w:t xml:space="preserve">ت في الخدمة العامة في مجلس </w:t>
      </w:r>
      <w:proofErr w:type="spellStart"/>
      <w:r w:rsidR="00B34F61">
        <w:rPr>
          <w:rFonts w:hint="cs"/>
          <w:rtl/>
        </w:rPr>
        <w:t>ليمبه</w:t>
      </w:r>
      <w:proofErr w:type="spellEnd"/>
      <w:r w:rsidRPr="00612CD3">
        <w:rPr>
          <w:rFonts w:hint="cs"/>
          <w:rtl/>
        </w:rPr>
        <w:t xml:space="preserve"> </w:t>
      </w:r>
      <w:r w:rsidR="00B34F61">
        <w:rPr>
          <w:rFonts w:hint="cs"/>
          <w:rtl/>
        </w:rPr>
        <w:t>البلدي</w:t>
      </w:r>
      <w:r w:rsidRPr="00612CD3">
        <w:rPr>
          <w:rFonts w:hint="cs"/>
          <w:rtl/>
        </w:rPr>
        <w:t>"</w:t>
      </w:r>
      <w:r w:rsidRPr="00612CD3">
        <w:rPr>
          <w:vertAlign w:val="superscript"/>
          <w:rtl/>
        </w:rPr>
        <w:t>(</w:t>
      </w:r>
      <w:r w:rsidRPr="00612CD3">
        <w:rPr>
          <w:b/>
          <w:vertAlign w:val="superscript"/>
          <w:rtl/>
        </w:rPr>
        <w:footnoteReference w:id="6"/>
      </w:r>
      <w:r w:rsidRPr="00612CD3">
        <w:rPr>
          <w:vertAlign w:val="superscript"/>
          <w:rtl/>
        </w:rPr>
        <w:t>)</w:t>
      </w:r>
      <w:r w:rsidRPr="00612CD3">
        <w:rPr>
          <w:rFonts w:hint="cs"/>
          <w:rtl/>
        </w:rPr>
        <w:t xml:space="preserve">، ومع ذلك، </w:t>
      </w:r>
      <w:r w:rsidR="00B34F61">
        <w:rPr>
          <w:rFonts w:hint="cs"/>
          <w:rtl/>
        </w:rPr>
        <w:t xml:space="preserve">تعذر </w:t>
      </w:r>
      <w:r w:rsidRPr="00612CD3">
        <w:rPr>
          <w:rFonts w:hint="cs"/>
          <w:rtl/>
        </w:rPr>
        <w:t xml:space="preserve">تنفيذ الأمر بسبب تدخل </w:t>
      </w:r>
      <w:r w:rsidR="00B34F61">
        <w:rPr>
          <w:rFonts w:hint="cs"/>
          <w:rtl/>
        </w:rPr>
        <w:t xml:space="preserve">المدعي </w:t>
      </w:r>
      <w:r w:rsidRPr="00612CD3">
        <w:rPr>
          <w:rFonts w:hint="cs"/>
          <w:rtl/>
        </w:rPr>
        <w:t>العام</w:t>
      </w:r>
      <w:r w:rsidRPr="00612CD3">
        <w:rPr>
          <w:vertAlign w:val="superscript"/>
          <w:rtl/>
        </w:rPr>
        <w:t>(</w:t>
      </w:r>
      <w:r w:rsidRPr="00612CD3">
        <w:rPr>
          <w:b/>
          <w:vertAlign w:val="superscript"/>
          <w:rtl/>
        </w:rPr>
        <w:footnoteReference w:id="7"/>
      </w:r>
      <w:r w:rsidRPr="00612CD3">
        <w:rPr>
          <w:vertAlign w:val="superscript"/>
          <w:rtl/>
        </w:rPr>
        <w:t>)</w:t>
      </w:r>
      <w:r w:rsidRPr="00612CD3">
        <w:rPr>
          <w:rFonts w:hint="cs"/>
          <w:rtl/>
        </w:rPr>
        <w:t xml:space="preserve">. وتشير الدولة الطرف أيضاً إلى رسالة من </w:t>
      </w:r>
      <w:r w:rsidR="00B34F61">
        <w:rPr>
          <w:rFonts w:hint="cs"/>
          <w:rtl/>
        </w:rPr>
        <w:t>مندوب الحكومة</w:t>
      </w:r>
      <w:r w:rsidRPr="00612CD3">
        <w:rPr>
          <w:rFonts w:hint="cs"/>
          <w:rtl/>
        </w:rPr>
        <w:t xml:space="preserve"> </w:t>
      </w:r>
      <w:r w:rsidR="00B34F61">
        <w:rPr>
          <w:rFonts w:hint="cs"/>
          <w:rtl/>
        </w:rPr>
        <w:t xml:space="preserve">عضو مجلس </w:t>
      </w:r>
      <w:proofErr w:type="spellStart"/>
      <w:r w:rsidR="00B34F61">
        <w:rPr>
          <w:rFonts w:hint="cs"/>
          <w:rtl/>
        </w:rPr>
        <w:t>ليمبه</w:t>
      </w:r>
      <w:proofErr w:type="spellEnd"/>
      <w:r w:rsidRPr="00612CD3">
        <w:rPr>
          <w:rFonts w:hint="cs"/>
          <w:rtl/>
        </w:rPr>
        <w:t xml:space="preserve"> </w:t>
      </w:r>
      <w:r w:rsidR="00B34F61">
        <w:rPr>
          <w:rFonts w:hint="cs"/>
          <w:rtl/>
        </w:rPr>
        <w:t xml:space="preserve">البلدي بتاريخ </w:t>
      </w:r>
      <w:r w:rsidRPr="00612CD3">
        <w:rPr>
          <w:rFonts w:hint="cs"/>
          <w:rtl/>
        </w:rPr>
        <w:t xml:space="preserve">3 أيلول/سبتمبر 2002، </w:t>
      </w:r>
      <w:r w:rsidR="00B34F61">
        <w:rPr>
          <w:rFonts w:hint="cs"/>
          <w:rtl/>
        </w:rPr>
        <w:t xml:space="preserve">وهي </w:t>
      </w:r>
      <w:r w:rsidRPr="00612CD3">
        <w:rPr>
          <w:rFonts w:hint="cs"/>
          <w:rtl/>
        </w:rPr>
        <w:t xml:space="preserve">موجهة إلى وزير العدل، </w:t>
      </w:r>
      <w:r>
        <w:rPr>
          <w:rFonts w:hint="cs"/>
          <w:rtl/>
        </w:rPr>
        <w:t xml:space="preserve">يتظلم </w:t>
      </w:r>
      <w:r w:rsidRPr="00612CD3">
        <w:rPr>
          <w:rFonts w:hint="cs"/>
          <w:rtl/>
        </w:rPr>
        <w:t xml:space="preserve">فيها المندوب </w:t>
      </w:r>
      <w:r w:rsidR="00B34F61">
        <w:rPr>
          <w:rFonts w:hint="cs"/>
          <w:rtl/>
        </w:rPr>
        <w:t xml:space="preserve">بشأن </w:t>
      </w:r>
      <w:r w:rsidRPr="00612CD3">
        <w:rPr>
          <w:rFonts w:hint="cs"/>
          <w:rtl/>
        </w:rPr>
        <w:t xml:space="preserve">الموقف </w:t>
      </w:r>
      <w:r w:rsidR="00B34F61">
        <w:rPr>
          <w:rFonts w:hint="cs"/>
          <w:rtl/>
        </w:rPr>
        <w:t xml:space="preserve">المتحيز الذي اتخذه المدعي </w:t>
      </w:r>
      <w:r w:rsidRPr="00612CD3">
        <w:rPr>
          <w:rFonts w:hint="cs"/>
          <w:rtl/>
        </w:rPr>
        <w:t>العام</w:t>
      </w:r>
      <w:r w:rsidR="007120D3">
        <w:rPr>
          <w:rFonts w:hint="cs"/>
          <w:rtl/>
        </w:rPr>
        <w:t xml:space="preserve"> وتقاعسه</w:t>
      </w:r>
      <w:r w:rsidRPr="00612CD3">
        <w:rPr>
          <w:rFonts w:hint="cs"/>
          <w:rtl/>
        </w:rPr>
        <w:t xml:space="preserve">، </w:t>
      </w:r>
      <w:r w:rsidR="00B34F61">
        <w:rPr>
          <w:rFonts w:hint="cs"/>
          <w:rtl/>
        </w:rPr>
        <w:t>لأنه لم يأمر ب</w:t>
      </w:r>
      <w:r w:rsidRPr="00612CD3">
        <w:rPr>
          <w:rFonts w:hint="cs"/>
          <w:rtl/>
        </w:rPr>
        <w:t xml:space="preserve">إلقاء القبض على صاحب البلاغ بعد أن حاول هذا الأخير قتله </w:t>
      </w:r>
      <w:r w:rsidR="007120D3">
        <w:rPr>
          <w:rFonts w:hint="cs"/>
          <w:rtl/>
        </w:rPr>
        <w:t xml:space="preserve">بالاعتداء </w:t>
      </w:r>
      <w:r w:rsidRPr="00612CD3">
        <w:rPr>
          <w:rFonts w:hint="cs"/>
          <w:rtl/>
        </w:rPr>
        <w:t xml:space="preserve">عليه وسكب البنزين عليه بهدف حرقه، في 29 آب/أغسطس 2002. ولذلك تدعي الدولة الطرف أن صاحب البلاغ استفاد من الحماية القضائية </w:t>
      </w:r>
      <w:r>
        <w:rPr>
          <w:rFonts w:hint="cs"/>
          <w:rtl/>
        </w:rPr>
        <w:t>و لا يمكن الادعاء</w:t>
      </w:r>
      <w:r w:rsidRPr="00612CD3">
        <w:rPr>
          <w:rFonts w:hint="cs"/>
          <w:rtl/>
        </w:rPr>
        <w:t xml:space="preserve"> بانتهاك حقه في الأمن. </w:t>
      </w:r>
    </w:p>
    <w:p w:rsidR="004F510A" w:rsidRPr="00612CD3" w:rsidRDefault="004F510A" w:rsidP="00997E99">
      <w:pPr>
        <w:pStyle w:val="SingleTxtGA"/>
        <w:spacing w:line="372" w:lineRule="exact"/>
        <w:rPr>
          <w:rtl/>
        </w:rPr>
      </w:pPr>
      <w:r w:rsidRPr="00612CD3">
        <w:rPr>
          <w:rFonts w:hint="cs"/>
          <w:rtl/>
        </w:rPr>
        <w:t>6-3</w:t>
      </w:r>
      <w:r w:rsidRPr="00612CD3">
        <w:rPr>
          <w:rFonts w:hint="cs"/>
          <w:rtl/>
        </w:rPr>
        <w:tab/>
        <w:t xml:space="preserve">وفيما يتعلق بمبدأ عدم التمييز، ترى الدولة الطرف أن توجيه التهم إلى صاحب البلاغ وسحبها فيما بعد لا يكشف عن أي تمييز. وتنص المادة 75 من قانون الإجراءات الجنائية الذي كان منطبقاً عندئذ في </w:t>
      </w:r>
      <w:r>
        <w:rPr>
          <w:rFonts w:hint="cs"/>
          <w:rtl/>
        </w:rPr>
        <w:t>المناطق</w:t>
      </w:r>
      <w:r w:rsidRPr="00612CD3">
        <w:rPr>
          <w:rFonts w:hint="cs"/>
          <w:rtl/>
        </w:rPr>
        <w:t xml:space="preserve"> التي</w:t>
      </w:r>
      <w:r>
        <w:rPr>
          <w:rFonts w:hint="cs"/>
          <w:rtl/>
        </w:rPr>
        <w:t xml:space="preserve"> </w:t>
      </w:r>
      <w:r w:rsidRPr="00612CD3">
        <w:rPr>
          <w:rFonts w:hint="cs"/>
          <w:rtl/>
        </w:rPr>
        <w:t xml:space="preserve">تطبق القانون </w:t>
      </w:r>
      <w:r w:rsidR="007120D3">
        <w:rPr>
          <w:rFonts w:hint="cs"/>
          <w:rtl/>
        </w:rPr>
        <w:t>العام</w:t>
      </w:r>
      <w:r w:rsidRPr="00612CD3">
        <w:rPr>
          <w:rFonts w:hint="cs"/>
          <w:rtl/>
        </w:rPr>
        <w:t xml:space="preserve"> في الكاميرون، على </w:t>
      </w:r>
      <w:r w:rsidR="007120D3">
        <w:rPr>
          <w:rFonts w:hint="cs"/>
          <w:rtl/>
        </w:rPr>
        <w:t xml:space="preserve">أنه </w:t>
      </w:r>
      <w:r w:rsidRPr="00612CD3">
        <w:rPr>
          <w:rFonts w:hint="cs"/>
          <w:rtl/>
        </w:rPr>
        <w:t>"</w:t>
      </w:r>
      <w:r w:rsidR="007120D3">
        <w:rPr>
          <w:rFonts w:hint="cs"/>
          <w:rtl/>
        </w:rPr>
        <w:t xml:space="preserve">يجوز للادّعاء </w:t>
      </w:r>
      <w:r w:rsidR="001314CF">
        <w:rPr>
          <w:rFonts w:hint="cs"/>
          <w:rtl/>
        </w:rPr>
        <w:t>في أية محاكمة .</w:t>
      </w:r>
      <w:r w:rsidRPr="00612CD3">
        <w:rPr>
          <w:rFonts w:hint="cs"/>
          <w:rtl/>
        </w:rPr>
        <w:t xml:space="preserve">.. في أي وقت من الأوقات قبل إصدار الحكم ... أن </w:t>
      </w:r>
      <w:r w:rsidR="007120D3">
        <w:rPr>
          <w:rFonts w:hint="cs"/>
          <w:rtl/>
        </w:rPr>
        <w:t xml:space="preserve">يتوقف عن ملاحقة أي </w:t>
      </w:r>
      <w:r w:rsidR="00997E99" w:rsidRPr="00612CD3">
        <w:rPr>
          <w:rFonts w:hint="cs"/>
          <w:rtl/>
        </w:rPr>
        <w:t>شخص</w:t>
      </w:r>
      <w:r w:rsidR="00997E99">
        <w:rPr>
          <w:rFonts w:hint="cs"/>
          <w:rtl/>
        </w:rPr>
        <w:t xml:space="preserve"> </w:t>
      </w:r>
      <w:r w:rsidR="007120D3">
        <w:rPr>
          <w:rFonts w:hint="cs"/>
          <w:rtl/>
        </w:rPr>
        <w:t>كان قضائياً</w:t>
      </w:r>
      <w:r>
        <w:rPr>
          <w:rFonts w:hint="cs"/>
          <w:rtl/>
        </w:rPr>
        <w:t>،</w:t>
      </w:r>
      <w:r w:rsidRPr="00612CD3">
        <w:rPr>
          <w:rFonts w:hint="cs"/>
          <w:rtl/>
        </w:rPr>
        <w:t xml:space="preserve"> إما بشكل عام</w:t>
      </w:r>
      <w:r>
        <w:rPr>
          <w:rFonts w:hint="cs"/>
          <w:rtl/>
        </w:rPr>
        <w:t>،</w:t>
      </w:r>
      <w:r w:rsidRPr="00612CD3">
        <w:rPr>
          <w:rFonts w:hint="cs"/>
          <w:rtl/>
        </w:rPr>
        <w:t xml:space="preserve"> أو فيما يتعلق بواحدة أو أكثر من الجرائم </w:t>
      </w:r>
      <w:r w:rsidR="007120D3">
        <w:rPr>
          <w:rFonts w:hint="cs"/>
          <w:rtl/>
        </w:rPr>
        <w:t xml:space="preserve">التي يتهم </w:t>
      </w:r>
      <w:r w:rsidRPr="00612CD3">
        <w:rPr>
          <w:rFonts w:hint="cs"/>
          <w:rtl/>
        </w:rPr>
        <w:t>ذلك الشخص</w:t>
      </w:r>
      <w:r w:rsidR="00997E99" w:rsidRPr="00997E99">
        <w:rPr>
          <w:rFonts w:hint="cs"/>
          <w:rtl/>
        </w:rPr>
        <w:t xml:space="preserve"> </w:t>
      </w:r>
      <w:r w:rsidR="00997E99">
        <w:rPr>
          <w:rFonts w:hint="cs"/>
          <w:rtl/>
        </w:rPr>
        <w:t>بارتكابها</w:t>
      </w:r>
      <w:r w:rsidRPr="00612CD3">
        <w:rPr>
          <w:rFonts w:hint="cs"/>
          <w:rtl/>
        </w:rPr>
        <w:t xml:space="preserve">". وينبغي </w:t>
      </w:r>
      <w:r w:rsidR="007120D3">
        <w:rPr>
          <w:rFonts w:hint="cs"/>
          <w:rtl/>
        </w:rPr>
        <w:t xml:space="preserve">النظر إلى </w:t>
      </w:r>
      <w:r w:rsidRPr="00612CD3">
        <w:rPr>
          <w:rFonts w:hint="cs"/>
          <w:rtl/>
        </w:rPr>
        <w:t xml:space="preserve">هذه الصلاحيات </w:t>
      </w:r>
      <w:r w:rsidR="007120D3">
        <w:rPr>
          <w:rFonts w:hint="cs"/>
          <w:rtl/>
        </w:rPr>
        <w:t>على أنها عنصر من العناصر المتروكة لتقدير النائب العام</w:t>
      </w:r>
      <w:r w:rsidRPr="00612CD3">
        <w:rPr>
          <w:rFonts w:hint="cs"/>
          <w:rtl/>
        </w:rPr>
        <w:t xml:space="preserve">. ونظراً لادعاءات </w:t>
      </w:r>
      <w:r w:rsidR="00B34F61">
        <w:rPr>
          <w:rFonts w:hint="cs"/>
          <w:rtl/>
        </w:rPr>
        <w:t>مندوب الحكومة</w:t>
      </w:r>
      <w:r w:rsidRPr="00612CD3">
        <w:rPr>
          <w:rFonts w:hint="cs"/>
          <w:rtl/>
        </w:rPr>
        <w:t xml:space="preserve"> بوجود تحيز من جانب النيابة العامة لصالح صاحب البلاغ، فإن الدولة الطرف </w:t>
      </w:r>
      <w:r w:rsidR="007120D3">
        <w:rPr>
          <w:rFonts w:hint="cs"/>
          <w:rtl/>
        </w:rPr>
        <w:t xml:space="preserve">تعرب عن استغرابها للادعاءات التي أفصح عنها </w:t>
      </w:r>
      <w:r w:rsidRPr="00612CD3">
        <w:rPr>
          <w:rFonts w:hint="cs"/>
          <w:rtl/>
        </w:rPr>
        <w:t>صاحب البلاغ ب</w:t>
      </w:r>
      <w:r w:rsidR="007120D3">
        <w:rPr>
          <w:rFonts w:hint="cs"/>
          <w:rtl/>
        </w:rPr>
        <w:t>حدوث تمييز ضده</w:t>
      </w:r>
      <w:r>
        <w:rPr>
          <w:rFonts w:hint="cs"/>
          <w:rtl/>
        </w:rPr>
        <w:t>،</w:t>
      </w:r>
      <w:r w:rsidRPr="00612CD3">
        <w:rPr>
          <w:rFonts w:hint="cs"/>
          <w:rtl/>
        </w:rPr>
        <w:t xml:space="preserve"> وهي ترفضها. </w:t>
      </w:r>
    </w:p>
    <w:p w:rsidR="004F510A" w:rsidRPr="00612CD3" w:rsidRDefault="00E75EA6" w:rsidP="00E75EA6">
      <w:pPr>
        <w:pStyle w:val="H23GA"/>
        <w:rPr>
          <w:rtl/>
        </w:rPr>
      </w:pPr>
      <w:r>
        <w:rPr>
          <w:rFonts w:hint="cs"/>
          <w:rtl/>
        </w:rPr>
        <w:tab/>
      </w:r>
      <w:r>
        <w:rPr>
          <w:rFonts w:hint="cs"/>
          <w:rtl/>
        </w:rPr>
        <w:tab/>
      </w:r>
      <w:r w:rsidR="004F510A" w:rsidRPr="00612CD3">
        <w:rPr>
          <w:rFonts w:hint="cs"/>
          <w:rtl/>
        </w:rPr>
        <w:t>معلومات أخرى من الدولة الطرف</w:t>
      </w:r>
    </w:p>
    <w:p w:rsidR="004F510A" w:rsidRPr="00612CD3" w:rsidRDefault="004F510A" w:rsidP="00997E99">
      <w:pPr>
        <w:pStyle w:val="SingleTxtGA"/>
        <w:spacing w:line="370" w:lineRule="exact"/>
        <w:rPr>
          <w:rtl/>
        </w:rPr>
      </w:pPr>
      <w:r w:rsidRPr="00612CD3">
        <w:rPr>
          <w:rFonts w:hint="cs"/>
          <w:rtl/>
        </w:rPr>
        <w:t>7-1</w:t>
      </w:r>
      <w:r w:rsidRPr="00612CD3">
        <w:rPr>
          <w:rFonts w:hint="cs"/>
          <w:rtl/>
        </w:rPr>
        <w:tab/>
        <w:t>في 28 نيسان/أبريل 2011، أكدت الدولة الطرف</w:t>
      </w:r>
      <w:r>
        <w:rPr>
          <w:rFonts w:hint="cs"/>
          <w:rtl/>
        </w:rPr>
        <w:t>،</w:t>
      </w:r>
      <w:r w:rsidRPr="00612CD3">
        <w:rPr>
          <w:rFonts w:hint="cs"/>
          <w:rtl/>
        </w:rPr>
        <w:t xml:space="preserve"> من جديد</w:t>
      </w:r>
      <w:r>
        <w:rPr>
          <w:rFonts w:hint="cs"/>
          <w:rtl/>
        </w:rPr>
        <w:t>،</w:t>
      </w:r>
      <w:r w:rsidRPr="00612CD3">
        <w:rPr>
          <w:rFonts w:hint="cs"/>
          <w:rtl/>
        </w:rPr>
        <w:t xml:space="preserve"> أنه ينبغي </w:t>
      </w:r>
      <w:r w:rsidR="00473384">
        <w:rPr>
          <w:rFonts w:hint="cs"/>
          <w:rtl/>
        </w:rPr>
        <w:t>ال</w:t>
      </w:r>
      <w:r w:rsidRPr="00612CD3">
        <w:rPr>
          <w:rFonts w:hint="cs"/>
          <w:rtl/>
        </w:rPr>
        <w:t xml:space="preserve">إعلان </w:t>
      </w:r>
      <w:r w:rsidR="00473384">
        <w:rPr>
          <w:rFonts w:hint="cs"/>
          <w:rtl/>
        </w:rPr>
        <w:t xml:space="preserve">عن عدم مقبولية </w:t>
      </w:r>
      <w:r w:rsidRPr="00612CD3">
        <w:rPr>
          <w:rFonts w:hint="cs"/>
          <w:rtl/>
        </w:rPr>
        <w:t>البلاغ لأن صاحب</w:t>
      </w:r>
      <w:r w:rsidR="00997E99">
        <w:rPr>
          <w:rFonts w:hint="cs"/>
          <w:rtl/>
        </w:rPr>
        <w:t>ه</w:t>
      </w:r>
      <w:r w:rsidRPr="00612CD3">
        <w:rPr>
          <w:rFonts w:hint="cs"/>
          <w:rtl/>
        </w:rPr>
        <w:t xml:space="preserve"> لم يستنفد سبل الانتصاف </w:t>
      </w:r>
      <w:r w:rsidR="00473384">
        <w:rPr>
          <w:rFonts w:hint="cs"/>
          <w:rtl/>
        </w:rPr>
        <w:t>المحلية</w:t>
      </w:r>
      <w:r w:rsidRPr="00612CD3">
        <w:rPr>
          <w:rFonts w:hint="cs"/>
          <w:rtl/>
        </w:rPr>
        <w:t xml:space="preserve">، مؤكدة على أن صاحب البلاغ اعترف بنفسه </w:t>
      </w:r>
      <w:r>
        <w:rPr>
          <w:rFonts w:hint="cs"/>
          <w:rtl/>
        </w:rPr>
        <w:t>ب</w:t>
      </w:r>
      <w:r w:rsidR="00473384">
        <w:rPr>
          <w:rFonts w:hint="cs"/>
          <w:rtl/>
        </w:rPr>
        <w:t xml:space="preserve">وجود عدد من </w:t>
      </w:r>
      <w:r w:rsidRPr="00612CD3">
        <w:rPr>
          <w:rFonts w:hint="cs"/>
          <w:rtl/>
        </w:rPr>
        <w:t xml:space="preserve">سبل </w:t>
      </w:r>
      <w:r w:rsidR="00473384">
        <w:rPr>
          <w:rFonts w:hint="cs"/>
          <w:rtl/>
        </w:rPr>
        <w:t xml:space="preserve">الانتصاف </w:t>
      </w:r>
      <w:r w:rsidRPr="00612CD3">
        <w:rPr>
          <w:rFonts w:hint="cs"/>
          <w:rtl/>
        </w:rPr>
        <w:t xml:space="preserve">القانونية التي لم </w:t>
      </w:r>
      <w:r w:rsidR="00473384">
        <w:rPr>
          <w:rFonts w:hint="cs"/>
          <w:rtl/>
        </w:rPr>
        <w:t>يطرقها.</w:t>
      </w:r>
    </w:p>
    <w:p w:rsidR="004F510A" w:rsidRPr="00E75EA6" w:rsidRDefault="004F510A" w:rsidP="00E75EA6">
      <w:pPr>
        <w:pStyle w:val="SingleTxtGA"/>
        <w:spacing w:line="370" w:lineRule="exact"/>
        <w:rPr>
          <w:spacing w:val="-2"/>
          <w:rtl/>
        </w:rPr>
      </w:pPr>
      <w:r w:rsidRPr="00E75EA6">
        <w:rPr>
          <w:rFonts w:hint="cs"/>
          <w:spacing w:val="-2"/>
          <w:rtl/>
        </w:rPr>
        <w:t>7-2</w:t>
      </w:r>
      <w:r w:rsidRPr="00E75EA6">
        <w:rPr>
          <w:rFonts w:hint="cs"/>
          <w:spacing w:val="-2"/>
          <w:rtl/>
        </w:rPr>
        <w:tab/>
        <w:t xml:space="preserve">وفيما يتعلق بتكاليف الإجراءات التي أشار إليها صاحب البلاغ على أنها تشكل عقبة، تسلط الدولة الطرف الضوء </w:t>
      </w:r>
      <w:r w:rsidR="00473384" w:rsidRPr="00E75EA6">
        <w:rPr>
          <w:rFonts w:hint="cs"/>
          <w:spacing w:val="-2"/>
          <w:rtl/>
        </w:rPr>
        <w:t>على وجود مساعدة قانونية لم يسْعَ</w:t>
      </w:r>
      <w:r w:rsidRPr="00E75EA6">
        <w:rPr>
          <w:rFonts w:hint="cs"/>
          <w:spacing w:val="-2"/>
          <w:rtl/>
        </w:rPr>
        <w:t xml:space="preserve"> صاحب البلاغ </w:t>
      </w:r>
      <w:r w:rsidR="00473384" w:rsidRPr="00E75EA6">
        <w:rPr>
          <w:rFonts w:hint="cs"/>
          <w:spacing w:val="-2"/>
          <w:rtl/>
        </w:rPr>
        <w:t xml:space="preserve">إلى </w:t>
      </w:r>
      <w:r w:rsidRPr="00E75EA6">
        <w:rPr>
          <w:rFonts w:hint="cs"/>
          <w:spacing w:val="-2"/>
          <w:rtl/>
        </w:rPr>
        <w:t>الحصول عليها. وفيما ي</w:t>
      </w:r>
      <w:r w:rsidR="00473384" w:rsidRPr="00E75EA6">
        <w:rPr>
          <w:rFonts w:hint="cs"/>
          <w:spacing w:val="-2"/>
          <w:rtl/>
        </w:rPr>
        <w:t xml:space="preserve">خص </w:t>
      </w:r>
      <w:r w:rsidRPr="00E75EA6">
        <w:rPr>
          <w:rFonts w:hint="cs"/>
          <w:spacing w:val="-2"/>
          <w:rtl/>
        </w:rPr>
        <w:t xml:space="preserve">تعليقات صاحب البلاغ بشأن </w:t>
      </w:r>
      <w:r w:rsidR="00473384" w:rsidRPr="00E75EA6">
        <w:rPr>
          <w:rFonts w:hint="cs"/>
          <w:spacing w:val="-2"/>
          <w:rtl/>
        </w:rPr>
        <w:t xml:space="preserve">قلة احتمالات </w:t>
      </w:r>
      <w:r w:rsidRPr="00E75EA6">
        <w:rPr>
          <w:rFonts w:hint="cs"/>
          <w:spacing w:val="-2"/>
          <w:rtl/>
        </w:rPr>
        <w:t>نجاح الإجراءات ل</w:t>
      </w:r>
      <w:r w:rsidR="00473384" w:rsidRPr="00E75EA6">
        <w:rPr>
          <w:rFonts w:hint="cs"/>
          <w:spacing w:val="-2"/>
          <w:rtl/>
        </w:rPr>
        <w:t xml:space="preserve">تقاعس </w:t>
      </w:r>
      <w:r w:rsidRPr="00E75EA6">
        <w:rPr>
          <w:rFonts w:hint="cs"/>
          <w:spacing w:val="-2"/>
          <w:rtl/>
        </w:rPr>
        <w:t xml:space="preserve">السلطات </w:t>
      </w:r>
      <w:r w:rsidR="00473384" w:rsidRPr="00E75EA6">
        <w:rPr>
          <w:rFonts w:hint="cs"/>
          <w:spacing w:val="-2"/>
          <w:rtl/>
        </w:rPr>
        <w:t xml:space="preserve">عن الاستجابة لشكاواه </w:t>
      </w:r>
      <w:r w:rsidRPr="00E75EA6">
        <w:rPr>
          <w:rFonts w:hint="cs"/>
          <w:spacing w:val="-2"/>
          <w:rtl/>
        </w:rPr>
        <w:t xml:space="preserve">السابقة، تؤكد الدولة الطرف أن </w:t>
      </w:r>
      <w:r w:rsidR="00473384" w:rsidRPr="00E75EA6">
        <w:rPr>
          <w:rFonts w:hint="cs"/>
          <w:i/>
          <w:iCs/>
          <w:spacing w:val="-2"/>
          <w:rtl/>
        </w:rPr>
        <w:t>مقاضاة شخص ما</w:t>
      </w:r>
      <w:r w:rsidR="00473384" w:rsidRPr="00E75EA6">
        <w:rPr>
          <w:rFonts w:hint="eastAsia"/>
          <w:i/>
          <w:iCs/>
          <w:spacing w:val="-2"/>
          <w:rtl/>
        </w:rPr>
        <w:t> </w:t>
      </w:r>
      <w:r w:rsidR="00473384" w:rsidRPr="00E75EA6">
        <w:rPr>
          <w:rFonts w:hint="cs"/>
          <w:i/>
          <w:iCs/>
          <w:spacing w:val="-2"/>
          <w:rtl/>
        </w:rPr>
        <w:t xml:space="preserve">أمام المحاكم مباشرة </w:t>
      </w:r>
      <w:r w:rsidRPr="00E75EA6">
        <w:rPr>
          <w:rFonts w:hint="cs"/>
          <w:i/>
          <w:iCs/>
          <w:spacing w:val="-2"/>
          <w:rtl/>
        </w:rPr>
        <w:t>وتقديم شكوى والادعاء بالحق المدني</w:t>
      </w:r>
      <w:r w:rsidRPr="00E75EA6">
        <w:rPr>
          <w:rFonts w:hint="cs"/>
          <w:spacing w:val="-2"/>
          <w:rtl/>
        </w:rPr>
        <w:t xml:space="preserve"> هما </w:t>
      </w:r>
      <w:r w:rsidR="00473384" w:rsidRPr="00E75EA6">
        <w:rPr>
          <w:rFonts w:hint="cs"/>
          <w:spacing w:val="-2"/>
          <w:rtl/>
        </w:rPr>
        <w:t xml:space="preserve">تحديداً </w:t>
      </w:r>
      <w:r w:rsidRPr="00E75EA6">
        <w:rPr>
          <w:rFonts w:hint="cs"/>
          <w:spacing w:val="-2"/>
          <w:rtl/>
        </w:rPr>
        <w:t>سبيلان لمواجهة السلبية وتقاعس السلطات المسؤولة عن الملاحقة القضائية.</w:t>
      </w:r>
    </w:p>
    <w:p w:rsidR="004F510A" w:rsidRPr="00612CD3" w:rsidRDefault="004F510A" w:rsidP="00E75EA6">
      <w:pPr>
        <w:pStyle w:val="SingleTxtGA"/>
        <w:spacing w:line="360" w:lineRule="exact"/>
        <w:rPr>
          <w:rtl/>
        </w:rPr>
      </w:pPr>
      <w:r w:rsidRPr="00612CD3">
        <w:rPr>
          <w:rFonts w:hint="cs"/>
          <w:rtl/>
        </w:rPr>
        <w:lastRenderedPageBreak/>
        <w:t>7-3</w:t>
      </w:r>
      <w:r w:rsidRPr="00612CD3">
        <w:rPr>
          <w:rFonts w:hint="cs"/>
          <w:rtl/>
        </w:rPr>
        <w:tab/>
        <w:t xml:space="preserve">أما فيما يتعلق بادعاء صاحب البلاغ بأن الأفعال المعنية تخضع للتقادم، فإن الدولة الطرف تدفع بأن هذه الأفعال وقعت في </w:t>
      </w:r>
      <w:proofErr w:type="spellStart"/>
      <w:r w:rsidR="001314CF">
        <w:rPr>
          <w:rFonts w:hint="cs"/>
          <w:rtl/>
        </w:rPr>
        <w:t>ليمبه</w:t>
      </w:r>
      <w:proofErr w:type="spellEnd"/>
      <w:r w:rsidRPr="00612CD3">
        <w:rPr>
          <w:rFonts w:hint="cs"/>
          <w:rtl/>
        </w:rPr>
        <w:t xml:space="preserve"> أي في الجزء الناطق بالإنكليزية من ال</w:t>
      </w:r>
      <w:r w:rsidR="00473384">
        <w:rPr>
          <w:rFonts w:hint="cs"/>
          <w:rtl/>
        </w:rPr>
        <w:t>كاميرون</w:t>
      </w:r>
      <w:r w:rsidRPr="00612CD3">
        <w:rPr>
          <w:rFonts w:hint="cs"/>
          <w:rtl/>
        </w:rPr>
        <w:t xml:space="preserve">، الذي يحكمه قانون الإجراءات الجنائية الساري المفعول قبل 1 كانون الثاني/يناير 2007 (تاريخ دخول قانون الإجراءات الجنائية حيز النفاذ)، وهو </w:t>
      </w:r>
      <w:r>
        <w:rPr>
          <w:rFonts w:hint="cs"/>
          <w:rtl/>
        </w:rPr>
        <w:t xml:space="preserve">قانون لا ينص على </w:t>
      </w:r>
      <w:r w:rsidRPr="00612CD3">
        <w:rPr>
          <w:rFonts w:hint="cs"/>
          <w:rtl/>
        </w:rPr>
        <w:t>حدود زمنية. ولذلك فإن الأ</w:t>
      </w:r>
      <w:r w:rsidR="00473384">
        <w:rPr>
          <w:rFonts w:hint="cs"/>
          <w:rtl/>
        </w:rPr>
        <w:t xml:space="preserve">فعال ذات الصلة لا تخضع للتقادم كما </w:t>
      </w:r>
      <w:r w:rsidRPr="00612CD3">
        <w:rPr>
          <w:rFonts w:hint="cs"/>
          <w:rtl/>
        </w:rPr>
        <w:t>يدعيه صاحب البلاغ وتدفع الدولة الطرف أنه ينبغي الإعلان عن عدم مقبولية البلاغ لأنه ل</w:t>
      </w:r>
      <w:r w:rsidR="00473384">
        <w:rPr>
          <w:rFonts w:hint="cs"/>
          <w:rtl/>
        </w:rPr>
        <w:t>م يستنفد سبل الانتصاف المحلية.</w:t>
      </w:r>
    </w:p>
    <w:p w:rsidR="004F510A" w:rsidRPr="00612CD3" w:rsidRDefault="00473384" w:rsidP="00E75EA6">
      <w:pPr>
        <w:pStyle w:val="H23GA"/>
        <w:spacing w:line="360" w:lineRule="exact"/>
        <w:rPr>
          <w:rtl/>
        </w:rPr>
      </w:pPr>
      <w:r>
        <w:rPr>
          <w:rFonts w:hint="cs"/>
          <w:rtl/>
        </w:rPr>
        <w:tab/>
      </w:r>
      <w:r>
        <w:rPr>
          <w:rFonts w:hint="cs"/>
          <w:rtl/>
        </w:rPr>
        <w:tab/>
      </w:r>
      <w:r w:rsidR="004F510A" w:rsidRPr="00612CD3">
        <w:rPr>
          <w:rFonts w:hint="cs"/>
          <w:rtl/>
        </w:rPr>
        <w:t>تعليقات صاحب البلاغ على ملاحظات الدولة الطرف بشأن الأسس الموضوعية</w:t>
      </w:r>
    </w:p>
    <w:p w:rsidR="004F510A" w:rsidRPr="00612CD3" w:rsidRDefault="004F510A" w:rsidP="007D2537">
      <w:pPr>
        <w:pStyle w:val="SingleTxtGA"/>
        <w:spacing w:line="370" w:lineRule="exact"/>
        <w:rPr>
          <w:rtl/>
        </w:rPr>
      </w:pPr>
      <w:r w:rsidRPr="00612CD3">
        <w:rPr>
          <w:rFonts w:hint="cs"/>
          <w:rtl/>
        </w:rPr>
        <w:t>8-1</w:t>
      </w:r>
      <w:r w:rsidRPr="00612CD3">
        <w:rPr>
          <w:rFonts w:hint="cs"/>
          <w:rtl/>
        </w:rPr>
        <w:tab/>
        <w:t xml:space="preserve">في 17 حزيران/يونيه 2011، </w:t>
      </w:r>
      <w:r w:rsidR="00473384">
        <w:rPr>
          <w:rFonts w:hint="cs"/>
          <w:rtl/>
        </w:rPr>
        <w:t xml:space="preserve">أبدى </w:t>
      </w:r>
      <w:r w:rsidRPr="00612CD3">
        <w:rPr>
          <w:rFonts w:hint="cs"/>
          <w:rtl/>
        </w:rPr>
        <w:t>صاحب البلاغ تعليقات على ملاحظات الدولة الطرف بشأن الأسس الموضوعي</w:t>
      </w:r>
      <w:r>
        <w:rPr>
          <w:rFonts w:hint="cs"/>
          <w:rtl/>
        </w:rPr>
        <w:t>ة</w:t>
      </w:r>
      <w:r w:rsidR="001314CF">
        <w:rPr>
          <w:rFonts w:hint="cs"/>
          <w:rtl/>
        </w:rPr>
        <w:t xml:space="preserve"> </w:t>
      </w:r>
      <w:r w:rsidRPr="00612CD3">
        <w:rPr>
          <w:rFonts w:hint="cs"/>
          <w:rtl/>
        </w:rPr>
        <w:t>للبلاغ، وأعاد التأكيد على حججه السابقة وأضاف ما يلي.</w:t>
      </w:r>
    </w:p>
    <w:p w:rsidR="004F510A" w:rsidRPr="00612CD3" w:rsidRDefault="004F510A" w:rsidP="007D2537">
      <w:pPr>
        <w:pStyle w:val="SingleTxtGA"/>
        <w:spacing w:line="370" w:lineRule="exact"/>
        <w:rPr>
          <w:rtl/>
        </w:rPr>
      </w:pPr>
      <w:r w:rsidRPr="00612CD3">
        <w:rPr>
          <w:rFonts w:hint="cs"/>
          <w:rtl/>
        </w:rPr>
        <w:t>8-2</w:t>
      </w:r>
      <w:r w:rsidRPr="00612CD3">
        <w:rPr>
          <w:rFonts w:hint="cs"/>
          <w:rtl/>
        </w:rPr>
        <w:tab/>
        <w:t>فيما يتعلق بالمادتين 6 و7 من العهد، يكرر صاحب البلاغ أن الغرض من الزيارة التي أجراها لمندوب الحكوم</w:t>
      </w:r>
      <w:r w:rsidR="00473384">
        <w:rPr>
          <w:rFonts w:hint="cs"/>
          <w:rtl/>
        </w:rPr>
        <w:t>ة</w:t>
      </w:r>
      <w:r w:rsidRPr="00612CD3">
        <w:rPr>
          <w:rFonts w:hint="cs"/>
          <w:rtl/>
        </w:rPr>
        <w:t xml:space="preserve"> </w:t>
      </w:r>
      <w:r>
        <w:rPr>
          <w:rFonts w:hint="cs"/>
          <w:rtl/>
        </w:rPr>
        <w:t>هو</w:t>
      </w:r>
      <w:r w:rsidRPr="00612CD3">
        <w:rPr>
          <w:rFonts w:hint="cs"/>
          <w:rtl/>
        </w:rPr>
        <w:t xml:space="preserve"> دفع فواتير متأخرة، مشيراً إلى استمارة مراجعة الحسابات التي قدمها في هذا الصدد، والتي لم تشر إليها الدولة الطرف. ويؤكد صاحب البلاغ أيضاً أن الدولة الطرف لم تعلق على ادعاءاته بتعرضه لاعتداء وحشي من </w:t>
      </w:r>
      <w:r w:rsidR="00473384">
        <w:rPr>
          <w:rFonts w:hint="cs"/>
          <w:rtl/>
        </w:rPr>
        <w:t>قِبل</w:t>
      </w:r>
      <w:r w:rsidRPr="00612CD3">
        <w:rPr>
          <w:rFonts w:hint="cs"/>
          <w:rtl/>
        </w:rPr>
        <w:t xml:space="preserve"> </w:t>
      </w:r>
      <w:r w:rsidR="00B34F61">
        <w:rPr>
          <w:rFonts w:hint="cs"/>
          <w:rtl/>
        </w:rPr>
        <w:t>مندوب الحكومة</w:t>
      </w:r>
      <w:r w:rsidRPr="00612CD3">
        <w:rPr>
          <w:rFonts w:hint="cs"/>
          <w:rtl/>
        </w:rPr>
        <w:t xml:space="preserve"> </w:t>
      </w:r>
      <w:r w:rsidR="00473384">
        <w:rPr>
          <w:rFonts w:hint="cs"/>
          <w:rtl/>
        </w:rPr>
        <w:t>ومن تواطأ معه</w:t>
      </w:r>
      <w:r w:rsidRPr="00612CD3">
        <w:rPr>
          <w:rFonts w:hint="cs"/>
          <w:rtl/>
        </w:rPr>
        <w:t>، مما</w:t>
      </w:r>
      <w:r w:rsidR="00473384">
        <w:rPr>
          <w:rFonts w:hint="eastAsia"/>
          <w:rtl/>
        </w:rPr>
        <w:t> </w:t>
      </w:r>
      <w:r w:rsidRPr="00612CD3">
        <w:rPr>
          <w:rFonts w:hint="cs"/>
          <w:rtl/>
        </w:rPr>
        <w:t>تسبب في إصابته بنزيف وجروح، وأن ذلك ي</w:t>
      </w:r>
      <w:r w:rsidR="00473384">
        <w:rPr>
          <w:rFonts w:hint="cs"/>
          <w:rtl/>
        </w:rPr>
        <w:t xml:space="preserve">رقى </w:t>
      </w:r>
      <w:r w:rsidRPr="00612CD3">
        <w:rPr>
          <w:rFonts w:hint="cs"/>
          <w:rtl/>
        </w:rPr>
        <w:t>إلى درجة التعذيب وأن الدولة الطرف لم</w:t>
      </w:r>
      <w:r w:rsidR="00473384">
        <w:rPr>
          <w:rFonts w:hint="eastAsia"/>
          <w:rtl/>
        </w:rPr>
        <w:t> </w:t>
      </w:r>
      <w:r w:rsidRPr="00612CD3">
        <w:rPr>
          <w:rFonts w:hint="cs"/>
          <w:rtl/>
        </w:rPr>
        <w:t>تجر أي تحقيق في ذلك. ويؤكد صاحب البلاغ أيضاً أن الدولة الطرف لم ت</w:t>
      </w:r>
      <w:r w:rsidR="00473384">
        <w:rPr>
          <w:rFonts w:hint="cs"/>
          <w:rtl/>
        </w:rPr>
        <w:t xml:space="preserve">علق </w:t>
      </w:r>
      <w:r w:rsidRPr="00612CD3">
        <w:rPr>
          <w:rFonts w:hint="cs"/>
          <w:rtl/>
        </w:rPr>
        <w:t xml:space="preserve">على ادعائه بأن </w:t>
      </w:r>
      <w:r w:rsidR="00B34F61">
        <w:rPr>
          <w:rFonts w:hint="cs"/>
          <w:rtl/>
        </w:rPr>
        <w:t>مندوب الحكومة</w:t>
      </w:r>
      <w:r w:rsidRPr="00612CD3">
        <w:rPr>
          <w:rFonts w:hint="cs"/>
          <w:rtl/>
        </w:rPr>
        <w:t xml:space="preserve"> حاول، بعد أن دخل صاحب البلاغ المستشفى، التآمر لقتله (مشيراً إلى </w:t>
      </w:r>
      <w:r w:rsidR="00473384">
        <w:rPr>
          <w:rFonts w:hint="cs"/>
          <w:rtl/>
        </w:rPr>
        <w:t>الوقائع الواردة في الفقرة 2-4).</w:t>
      </w:r>
    </w:p>
    <w:p w:rsidR="004F510A" w:rsidRPr="00E75EA6" w:rsidRDefault="004F510A" w:rsidP="007D2537">
      <w:pPr>
        <w:pStyle w:val="SingleTxtGA"/>
        <w:spacing w:line="370" w:lineRule="exact"/>
        <w:rPr>
          <w:spacing w:val="-4"/>
          <w:rtl/>
        </w:rPr>
      </w:pPr>
      <w:r w:rsidRPr="00E75EA6">
        <w:rPr>
          <w:rFonts w:hint="cs"/>
          <w:spacing w:val="-4"/>
          <w:rtl/>
        </w:rPr>
        <w:t>8-3</w:t>
      </w:r>
      <w:r w:rsidRPr="00E75EA6">
        <w:rPr>
          <w:rFonts w:hint="cs"/>
          <w:spacing w:val="-4"/>
          <w:rtl/>
        </w:rPr>
        <w:tab/>
        <w:t>وفيما يتعلق بالمادة 9 وادعاء الدولة الطرف بعدم تنفيذ الأمر الصادر بإلقاء القب</w:t>
      </w:r>
      <w:r w:rsidR="00726429" w:rsidRPr="00E75EA6">
        <w:rPr>
          <w:rFonts w:hint="cs"/>
          <w:spacing w:val="-4"/>
          <w:rtl/>
        </w:rPr>
        <w:t>ض على صاحب البلاغ، وبالتالي فإن</w:t>
      </w:r>
      <w:r w:rsidRPr="00E75EA6">
        <w:rPr>
          <w:rFonts w:hint="cs"/>
          <w:spacing w:val="-4"/>
          <w:rtl/>
        </w:rPr>
        <w:t xml:space="preserve"> الحرية والأمن</w:t>
      </w:r>
      <w:r w:rsidR="00726429" w:rsidRPr="00E75EA6">
        <w:rPr>
          <w:rFonts w:hint="cs"/>
          <w:spacing w:val="-4"/>
          <w:rtl/>
        </w:rPr>
        <w:t xml:space="preserve"> لم يُنتهك</w:t>
      </w:r>
      <w:r w:rsidRPr="00E75EA6">
        <w:rPr>
          <w:rFonts w:hint="cs"/>
          <w:spacing w:val="-4"/>
          <w:rtl/>
        </w:rPr>
        <w:t>، يشير صاحب البلاغ بأن ما ورد في تقرير م</w:t>
      </w:r>
      <w:r w:rsidR="00726429" w:rsidRPr="00E75EA6">
        <w:rPr>
          <w:rFonts w:hint="cs"/>
          <w:spacing w:val="-4"/>
          <w:rtl/>
        </w:rPr>
        <w:t xml:space="preserve">خفر </w:t>
      </w:r>
      <w:r w:rsidRPr="00E75EA6">
        <w:rPr>
          <w:rFonts w:hint="cs"/>
          <w:spacing w:val="-4"/>
          <w:rtl/>
        </w:rPr>
        <w:t>الشرطة الذي قدمته الدولة الطرف من الإشارة</w:t>
      </w:r>
      <w:r w:rsidR="001314CF" w:rsidRPr="00E75EA6">
        <w:rPr>
          <w:rFonts w:hint="cs"/>
          <w:spacing w:val="-4"/>
          <w:rtl/>
        </w:rPr>
        <w:t xml:space="preserve"> </w:t>
      </w:r>
      <w:r w:rsidRPr="00E75EA6">
        <w:rPr>
          <w:rFonts w:hint="cs"/>
          <w:spacing w:val="-4"/>
          <w:rtl/>
        </w:rPr>
        <w:t>إلى القبض عليه، واقتياده إلى مخفر الشرطة</w:t>
      </w:r>
      <w:r w:rsidR="00726429" w:rsidRPr="00E75EA6">
        <w:rPr>
          <w:rFonts w:hint="cs"/>
          <w:spacing w:val="-4"/>
          <w:rtl/>
        </w:rPr>
        <w:t xml:space="preserve"> في </w:t>
      </w:r>
      <w:proofErr w:type="spellStart"/>
      <w:r w:rsidR="00726429" w:rsidRPr="00E75EA6">
        <w:rPr>
          <w:rFonts w:hint="cs"/>
          <w:spacing w:val="-4"/>
          <w:rtl/>
        </w:rPr>
        <w:t>ليمبه</w:t>
      </w:r>
      <w:proofErr w:type="spellEnd"/>
      <w:r w:rsidR="00726429" w:rsidRPr="00E75EA6">
        <w:rPr>
          <w:rFonts w:hint="cs"/>
          <w:spacing w:val="-4"/>
          <w:rtl/>
        </w:rPr>
        <w:t xml:space="preserve">، </w:t>
      </w:r>
      <w:r w:rsidRPr="00E75EA6">
        <w:rPr>
          <w:rFonts w:hint="cs"/>
          <w:spacing w:val="-4"/>
          <w:rtl/>
        </w:rPr>
        <w:t xml:space="preserve">ثم إطلاق سراحه بعد صدور أوامر من </w:t>
      </w:r>
      <w:r w:rsidR="00726429" w:rsidRPr="00E75EA6">
        <w:rPr>
          <w:rFonts w:hint="cs"/>
          <w:spacing w:val="-4"/>
          <w:rtl/>
        </w:rPr>
        <w:t xml:space="preserve">المدعي </w:t>
      </w:r>
      <w:r w:rsidRPr="00E75EA6">
        <w:rPr>
          <w:rFonts w:hint="cs"/>
          <w:spacing w:val="-4"/>
          <w:rtl/>
        </w:rPr>
        <w:t xml:space="preserve">العام </w:t>
      </w:r>
      <w:r w:rsidR="00726429" w:rsidRPr="00E75EA6">
        <w:rPr>
          <w:rFonts w:hint="cs"/>
          <w:spacing w:val="-4"/>
          <w:rtl/>
        </w:rPr>
        <w:t>للدولة، هو يخالف ما</w:t>
      </w:r>
      <w:r w:rsidR="00E75EA6" w:rsidRPr="00E75EA6">
        <w:rPr>
          <w:rFonts w:hint="eastAsia"/>
          <w:spacing w:val="-4"/>
          <w:rtl/>
        </w:rPr>
        <w:t> </w:t>
      </w:r>
      <w:r w:rsidR="00726429" w:rsidRPr="00E75EA6">
        <w:rPr>
          <w:rFonts w:hint="cs"/>
          <w:spacing w:val="-4"/>
          <w:rtl/>
        </w:rPr>
        <w:t>وقع فعلاً</w:t>
      </w:r>
      <w:r w:rsidRPr="00E75EA6">
        <w:rPr>
          <w:rFonts w:hint="cs"/>
          <w:spacing w:val="-4"/>
          <w:rtl/>
        </w:rPr>
        <w:t>.</w:t>
      </w:r>
    </w:p>
    <w:p w:rsidR="004F510A" w:rsidRPr="00726429" w:rsidRDefault="004F510A" w:rsidP="007D2537">
      <w:pPr>
        <w:pStyle w:val="SingleTxtGA"/>
        <w:spacing w:line="370" w:lineRule="exact"/>
        <w:rPr>
          <w:spacing w:val="-2"/>
          <w:rtl/>
        </w:rPr>
      </w:pPr>
      <w:r w:rsidRPr="00726429">
        <w:rPr>
          <w:rFonts w:hint="cs"/>
          <w:spacing w:val="-2"/>
          <w:rtl/>
        </w:rPr>
        <w:t>8-4</w:t>
      </w:r>
      <w:r w:rsidRPr="00726429">
        <w:rPr>
          <w:rFonts w:hint="cs"/>
          <w:spacing w:val="-2"/>
          <w:rtl/>
        </w:rPr>
        <w:tab/>
        <w:t xml:space="preserve">ويكرر صاحب البلاغ أن كون الدولة الطرف لم تصدر قراراً بشأن الشكاوى التي قدمها يكشف عن انتهاك حقه في سبيل انتصاف فعال بموجب الفقرة 3 من المادة 2 من العهد، وكذلك عن انتهاك مبدأ عدم التمييز بموجب الفقرة 1 من المادة 2 والمادة 26 من العهد. ويضيف أن ممارسة السلطة التقديرية القضائية التي أثارتها الدولة الطرف تستند بالتأكيد </w:t>
      </w:r>
      <w:r w:rsidR="00726429" w:rsidRPr="00726429">
        <w:rPr>
          <w:rFonts w:hint="cs"/>
          <w:spacing w:val="-2"/>
          <w:rtl/>
        </w:rPr>
        <w:t xml:space="preserve">إلى الانتماء </w:t>
      </w:r>
      <w:r w:rsidRPr="00726429">
        <w:rPr>
          <w:rFonts w:hint="cs"/>
          <w:spacing w:val="-2"/>
          <w:rtl/>
        </w:rPr>
        <w:t xml:space="preserve">إلى الشريحة المجتمعية، لأن </w:t>
      </w:r>
      <w:r w:rsidR="00B34F61" w:rsidRPr="00726429">
        <w:rPr>
          <w:rFonts w:hint="cs"/>
          <w:spacing w:val="-2"/>
          <w:rtl/>
        </w:rPr>
        <w:t>مندوب الحكومة</w:t>
      </w:r>
      <w:r w:rsidRPr="00726429">
        <w:rPr>
          <w:rFonts w:hint="cs"/>
          <w:spacing w:val="-2"/>
          <w:rtl/>
        </w:rPr>
        <w:t xml:space="preserve"> ينتمي إلى النخبة السياسية والاقتصادية. ويضيف أنه وجهت إليه اتهامات جديدة (الشروع في القتل والاعتداء)</w:t>
      </w:r>
      <w:r w:rsidRPr="00726429">
        <w:rPr>
          <w:spacing w:val="-2"/>
          <w:vertAlign w:val="superscript"/>
          <w:rtl/>
        </w:rPr>
        <w:t>(</w:t>
      </w:r>
      <w:r w:rsidRPr="00726429">
        <w:rPr>
          <w:b/>
          <w:spacing w:val="-2"/>
          <w:vertAlign w:val="superscript"/>
          <w:rtl/>
        </w:rPr>
        <w:footnoteReference w:id="8"/>
      </w:r>
      <w:r w:rsidRPr="00726429">
        <w:rPr>
          <w:spacing w:val="-2"/>
          <w:vertAlign w:val="superscript"/>
          <w:rtl/>
        </w:rPr>
        <w:t>)</w:t>
      </w:r>
      <w:r w:rsidRPr="00726429">
        <w:rPr>
          <w:rFonts w:hint="cs"/>
          <w:spacing w:val="-2"/>
          <w:rtl/>
        </w:rPr>
        <w:t>.</w:t>
      </w:r>
    </w:p>
    <w:p w:rsidR="004F510A" w:rsidRPr="00D3269B" w:rsidRDefault="00726429" w:rsidP="00E75EA6">
      <w:pPr>
        <w:pStyle w:val="H23GA"/>
        <w:spacing w:line="360" w:lineRule="exact"/>
        <w:rPr>
          <w:rtl/>
        </w:rPr>
      </w:pPr>
      <w:r>
        <w:rPr>
          <w:rFonts w:hint="cs"/>
          <w:rtl/>
        </w:rPr>
        <w:tab/>
      </w:r>
      <w:r>
        <w:rPr>
          <w:rFonts w:hint="cs"/>
          <w:rtl/>
        </w:rPr>
        <w:tab/>
      </w:r>
      <w:r w:rsidR="004F510A" w:rsidRPr="00D3269B">
        <w:rPr>
          <w:rFonts w:hint="cs"/>
          <w:rtl/>
        </w:rPr>
        <w:t>معلومات أخرى مقدمة من صاحب البلاغ بشأن المقبولية</w:t>
      </w:r>
    </w:p>
    <w:p w:rsidR="004F510A" w:rsidRPr="00D3269B" w:rsidRDefault="004F510A" w:rsidP="007D2537">
      <w:pPr>
        <w:pStyle w:val="SingleTxtGA"/>
        <w:spacing w:line="366" w:lineRule="exact"/>
        <w:rPr>
          <w:sz w:val="30"/>
          <w:rtl/>
        </w:rPr>
      </w:pPr>
      <w:r w:rsidRPr="00D3269B">
        <w:rPr>
          <w:rFonts w:hint="cs"/>
          <w:sz w:val="30"/>
          <w:rtl/>
        </w:rPr>
        <w:t>9-</w:t>
      </w:r>
      <w:r w:rsidRPr="00D3269B">
        <w:rPr>
          <w:rFonts w:hint="cs"/>
          <w:sz w:val="30"/>
          <w:rtl/>
        </w:rPr>
        <w:tab/>
        <w:t>في 5 تموز/يوليه 2011، أجاب صاحب البلاغ على ملاحظات الدولة الطرف بشأن المقبولية. و</w:t>
      </w:r>
      <w:r w:rsidR="00C80684">
        <w:rPr>
          <w:rFonts w:hint="cs"/>
          <w:sz w:val="30"/>
          <w:rtl/>
        </w:rPr>
        <w:t xml:space="preserve">هو </w:t>
      </w:r>
      <w:r w:rsidRPr="00D3269B">
        <w:rPr>
          <w:rFonts w:hint="cs"/>
          <w:sz w:val="30"/>
          <w:rtl/>
        </w:rPr>
        <w:t xml:space="preserve">يصر على أن بلاغه </w:t>
      </w:r>
      <w:r w:rsidR="00C80684">
        <w:rPr>
          <w:rFonts w:hint="cs"/>
          <w:sz w:val="30"/>
          <w:rtl/>
        </w:rPr>
        <w:t>م</w:t>
      </w:r>
      <w:r w:rsidRPr="00D3269B">
        <w:rPr>
          <w:rFonts w:hint="cs"/>
          <w:sz w:val="30"/>
          <w:rtl/>
        </w:rPr>
        <w:t xml:space="preserve">قبول، ويؤكد على أن سبل الانتصاف التي تشير إليها الدولة </w:t>
      </w:r>
      <w:r w:rsidRPr="00D3269B">
        <w:rPr>
          <w:rFonts w:hint="cs"/>
          <w:sz w:val="30"/>
          <w:rtl/>
        </w:rPr>
        <w:lastRenderedPageBreak/>
        <w:t xml:space="preserve">الطرف هي سبل غير فعالة، ويشير إلى أنه لم يستوف شروط الحصول على المساعدة القانونية، لأنه </w:t>
      </w:r>
      <w:r w:rsidR="00C80684">
        <w:rPr>
          <w:rFonts w:hint="cs"/>
          <w:sz w:val="30"/>
          <w:rtl/>
        </w:rPr>
        <w:t xml:space="preserve">كان، </w:t>
      </w:r>
      <w:r w:rsidRPr="00D3269B">
        <w:rPr>
          <w:rFonts w:hint="cs"/>
          <w:sz w:val="30"/>
          <w:rtl/>
        </w:rPr>
        <w:t>قبل أن ي</w:t>
      </w:r>
      <w:r w:rsidR="00C80684">
        <w:rPr>
          <w:rFonts w:hint="cs"/>
          <w:sz w:val="30"/>
          <w:rtl/>
        </w:rPr>
        <w:t>أتي الحريق على منزله</w:t>
      </w:r>
      <w:r w:rsidRPr="00D3269B">
        <w:rPr>
          <w:rFonts w:hint="cs"/>
          <w:sz w:val="30"/>
          <w:rtl/>
        </w:rPr>
        <w:t xml:space="preserve">، </w:t>
      </w:r>
      <w:r w:rsidR="00C80684">
        <w:rPr>
          <w:rFonts w:hint="cs"/>
          <w:sz w:val="30"/>
          <w:rtl/>
        </w:rPr>
        <w:t xml:space="preserve">من رجال الأعمال وكان ممن يقرض المال لغيره وكانت </w:t>
      </w:r>
      <w:r>
        <w:rPr>
          <w:rFonts w:hint="cs"/>
          <w:sz w:val="30"/>
          <w:rtl/>
        </w:rPr>
        <w:t>لديه موارد مالية كافية</w:t>
      </w:r>
      <w:r w:rsidRPr="00D3269B">
        <w:rPr>
          <w:rFonts w:hint="cs"/>
          <w:sz w:val="30"/>
          <w:rtl/>
        </w:rPr>
        <w:t>.</w:t>
      </w:r>
    </w:p>
    <w:p w:rsidR="004F510A" w:rsidRPr="00D3269B" w:rsidRDefault="00C80684" w:rsidP="007D2537">
      <w:pPr>
        <w:pStyle w:val="H23GA"/>
        <w:spacing w:line="366" w:lineRule="exact"/>
        <w:rPr>
          <w:rtl/>
        </w:rPr>
      </w:pPr>
      <w:r>
        <w:rPr>
          <w:rFonts w:hint="cs"/>
          <w:rtl/>
        </w:rPr>
        <w:tab/>
      </w:r>
      <w:r>
        <w:rPr>
          <w:rFonts w:hint="cs"/>
          <w:rtl/>
        </w:rPr>
        <w:tab/>
      </w:r>
      <w:r w:rsidR="004F510A" w:rsidRPr="00D3269B">
        <w:rPr>
          <w:rFonts w:hint="cs"/>
          <w:rtl/>
        </w:rPr>
        <w:t>معلومات أخرى من الدولة الطرف بشأن الأسس الموضوعية</w:t>
      </w:r>
    </w:p>
    <w:p w:rsidR="004F510A" w:rsidRPr="00D3269B" w:rsidRDefault="004F510A" w:rsidP="007D2537">
      <w:pPr>
        <w:pStyle w:val="SingleTxtGA"/>
        <w:spacing w:line="360" w:lineRule="exact"/>
        <w:rPr>
          <w:sz w:val="30"/>
          <w:rtl/>
        </w:rPr>
      </w:pPr>
      <w:r w:rsidRPr="00D3269B">
        <w:rPr>
          <w:rFonts w:hint="cs"/>
          <w:sz w:val="30"/>
          <w:rtl/>
        </w:rPr>
        <w:t>10-1</w:t>
      </w:r>
      <w:r w:rsidRPr="00D3269B">
        <w:rPr>
          <w:rFonts w:hint="cs"/>
          <w:sz w:val="30"/>
          <w:rtl/>
        </w:rPr>
        <w:tab/>
        <w:t xml:space="preserve">في 24 كانون الثاني/يناير 2012، أكدت الدولة الطرف ادعاءها السابق وأشارت إلى أن الطرفين لا يوافقان على الوقائع: ففيما يدفع صاحب البلاغ بأن </w:t>
      </w:r>
      <w:r w:rsidR="00B34F61">
        <w:rPr>
          <w:rFonts w:hint="cs"/>
          <w:sz w:val="30"/>
          <w:rtl/>
        </w:rPr>
        <w:t>مندوب الحكومة</w:t>
      </w:r>
      <w:r w:rsidRPr="00D3269B">
        <w:rPr>
          <w:rFonts w:hint="cs"/>
          <w:sz w:val="30"/>
          <w:rtl/>
        </w:rPr>
        <w:t xml:space="preserve"> الذي يرأس </w:t>
      </w:r>
      <w:r w:rsidR="0063616D">
        <w:rPr>
          <w:rFonts w:hint="cs"/>
          <w:sz w:val="30"/>
          <w:rtl/>
        </w:rPr>
        <w:t xml:space="preserve">مجلس </w:t>
      </w:r>
      <w:proofErr w:type="spellStart"/>
      <w:r w:rsidRPr="00D3269B">
        <w:rPr>
          <w:rFonts w:hint="cs"/>
          <w:sz w:val="30"/>
          <w:rtl/>
        </w:rPr>
        <w:t>ليمب</w:t>
      </w:r>
      <w:r w:rsidR="001314CF">
        <w:rPr>
          <w:rFonts w:hint="cs"/>
          <w:sz w:val="30"/>
          <w:rtl/>
        </w:rPr>
        <w:t>ه</w:t>
      </w:r>
      <w:proofErr w:type="spellEnd"/>
      <w:r w:rsidRPr="00D3269B">
        <w:rPr>
          <w:rFonts w:hint="cs"/>
          <w:sz w:val="30"/>
          <w:rtl/>
        </w:rPr>
        <w:t xml:space="preserve"> </w:t>
      </w:r>
      <w:r w:rsidR="0063616D">
        <w:rPr>
          <w:rFonts w:hint="cs"/>
          <w:sz w:val="30"/>
          <w:rtl/>
        </w:rPr>
        <w:t xml:space="preserve">البلدي اعتدى </w:t>
      </w:r>
      <w:r w:rsidRPr="00D3269B">
        <w:rPr>
          <w:rFonts w:hint="cs"/>
          <w:sz w:val="30"/>
          <w:rtl/>
        </w:rPr>
        <w:t xml:space="preserve">عليه، يدعي هذا الأخير أن صاحب البلاغ حاول قتله. وقد شرع في </w:t>
      </w:r>
      <w:r w:rsidR="0063616D">
        <w:rPr>
          <w:rFonts w:hint="cs"/>
          <w:sz w:val="30"/>
          <w:rtl/>
        </w:rPr>
        <w:t xml:space="preserve">إجراء </w:t>
      </w:r>
      <w:r w:rsidRPr="00D3269B">
        <w:rPr>
          <w:rFonts w:hint="cs"/>
          <w:sz w:val="30"/>
          <w:rtl/>
        </w:rPr>
        <w:t xml:space="preserve">تحقيق قضائي </w:t>
      </w:r>
      <w:r w:rsidRPr="00997E99">
        <w:rPr>
          <w:rFonts w:hint="cs"/>
          <w:i/>
          <w:iCs/>
          <w:sz w:val="30"/>
          <w:rtl/>
        </w:rPr>
        <w:t>(</w:t>
      </w:r>
      <w:r w:rsidR="0063616D" w:rsidRPr="00997E99">
        <w:rPr>
          <w:rFonts w:hint="cs"/>
          <w:i/>
          <w:iCs/>
          <w:sz w:val="30"/>
          <w:rtl/>
        </w:rPr>
        <w:t>تحقيق قانوني</w:t>
      </w:r>
      <w:r w:rsidRPr="00997E99">
        <w:rPr>
          <w:rFonts w:hint="cs"/>
          <w:i/>
          <w:iCs/>
          <w:sz w:val="30"/>
          <w:rtl/>
        </w:rPr>
        <w:t>)</w:t>
      </w:r>
      <w:r w:rsidRPr="00D3269B">
        <w:rPr>
          <w:rFonts w:hint="cs"/>
          <w:sz w:val="30"/>
          <w:rtl/>
        </w:rPr>
        <w:t xml:space="preserve"> بهدف توضيح الحالة.</w:t>
      </w:r>
    </w:p>
    <w:p w:rsidR="004F510A" w:rsidRPr="00D3269B" w:rsidRDefault="004F510A" w:rsidP="007D2537">
      <w:pPr>
        <w:pStyle w:val="SingleTxtGA"/>
        <w:spacing w:line="360" w:lineRule="exact"/>
        <w:rPr>
          <w:sz w:val="30"/>
          <w:rtl/>
        </w:rPr>
      </w:pPr>
      <w:r w:rsidRPr="00D3269B">
        <w:rPr>
          <w:rFonts w:hint="cs"/>
          <w:sz w:val="30"/>
          <w:rtl/>
        </w:rPr>
        <w:t>10-2</w:t>
      </w:r>
      <w:r w:rsidRPr="00D3269B">
        <w:rPr>
          <w:rFonts w:hint="cs"/>
          <w:sz w:val="30"/>
          <w:rtl/>
        </w:rPr>
        <w:tab/>
      </w:r>
      <w:r>
        <w:rPr>
          <w:rFonts w:hint="cs"/>
          <w:sz w:val="30"/>
          <w:rtl/>
        </w:rPr>
        <w:t>و</w:t>
      </w:r>
      <w:r w:rsidRPr="00D3269B">
        <w:rPr>
          <w:rFonts w:hint="cs"/>
          <w:sz w:val="30"/>
          <w:rtl/>
        </w:rPr>
        <w:t xml:space="preserve">تدفع الدولة الطرف </w:t>
      </w:r>
      <w:r w:rsidR="00997E99">
        <w:rPr>
          <w:rFonts w:hint="cs"/>
          <w:sz w:val="30"/>
          <w:rtl/>
        </w:rPr>
        <w:t>ب</w:t>
      </w:r>
      <w:r w:rsidRPr="00D3269B">
        <w:rPr>
          <w:rFonts w:hint="cs"/>
          <w:sz w:val="30"/>
          <w:rtl/>
        </w:rPr>
        <w:t xml:space="preserve">أن حق صاحب البلاغ في الحرية أو الأمن كان محمياً، لأن الادعاء العام </w:t>
      </w:r>
      <w:r w:rsidR="0063616D">
        <w:rPr>
          <w:rFonts w:hint="cs"/>
          <w:sz w:val="30"/>
          <w:rtl/>
        </w:rPr>
        <w:t>اعترض على احتجازه، وبالتالي فإن</w:t>
      </w:r>
      <w:r w:rsidRPr="00D3269B">
        <w:rPr>
          <w:rFonts w:hint="cs"/>
          <w:sz w:val="30"/>
          <w:rtl/>
        </w:rPr>
        <w:t xml:space="preserve"> الأمر بالاحتجاز </w:t>
      </w:r>
      <w:r w:rsidR="0063616D">
        <w:rPr>
          <w:rFonts w:hint="cs"/>
          <w:sz w:val="30"/>
          <w:rtl/>
        </w:rPr>
        <w:t xml:space="preserve">لم ينفذ </w:t>
      </w:r>
      <w:r w:rsidRPr="00D3269B">
        <w:rPr>
          <w:rFonts w:hint="cs"/>
          <w:sz w:val="30"/>
          <w:rtl/>
        </w:rPr>
        <w:t>في هذا الصدد. وبالتالي تدفع الدولة الطرف بأن</w:t>
      </w:r>
      <w:r>
        <w:rPr>
          <w:rFonts w:hint="cs"/>
          <w:sz w:val="30"/>
          <w:rtl/>
        </w:rPr>
        <w:t xml:space="preserve"> </w:t>
      </w:r>
      <w:r w:rsidRPr="00D3269B">
        <w:rPr>
          <w:rFonts w:hint="cs"/>
          <w:sz w:val="30"/>
          <w:rtl/>
        </w:rPr>
        <w:t xml:space="preserve">صاحب البلاغ </w:t>
      </w:r>
      <w:r w:rsidR="0063616D">
        <w:rPr>
          <w:rFonts w:hint="cs"/>
          <w:sz w:val="30"/>
          <w:rtl/>
        </w:rPr>
        <w:t>لم يحتجز</w:t>
      </w:r>
      <w:r w:rsidRPr="00D3269B">
        <w:rPr>
          <w:rFonts w:hint="cs"/>
          <w:sz w:val="30"/>
          <w:rtl/>
        </w:rPr>
        <w:t>، وهو ما تؤكد عليه إفادة صاحب البلاغ المرفقة بشكواه</w:t>
      </w:r>
      <w:r w:rsidRPr="00D3269B">
        <w:rPr>
          <w:sz w:val="30"/>
          <w:vertAlign w:val="superscript"/>
          <w:rtl/>
        </w:rPr>
        <w:t>(</w:t>
      </w:r>
      <w:r w:rsidRPr="00D3269B">
        <w:rPr>
          <w:b/>
          <w:sz w:val="18"/>
          <w:szCs w:val="28"/>
          <w:vertAlign w:val="superscript"/>
          <w:rtl/>
        </w:rPr>
        <w:footnoteReference w:id="9"/>
      </w:r>
      <w:r w:rsidRPr="00D3269B">
        <w:rPr>
          <w:sz w:val="30"/>
          <w:vertAlign w:val="superscript"/>
          <w:rtl/>
        </w:rPr>
        <w:t>)</w:t>
      </w:r>
      <w:r w:rsidR="00C80684">
        <w:rPr>
          <w:rFonts w:hint="cs"/>
          <w:sz w:val="30"/>
          <w:rtl/>
        </w:rPr>
        <w:t>.</w:t>
      </w:r>
    </w:p>
    <w:p w:rsidR="004F510A" w:rsidRPr="00D3269B" w:rsidRDefault="004F510A" w:rsidP="00997E99">
      <w:pPr>
        <w:pStyle w:val="SingleTxtGA"/>
        <w:spacing w:line="360" w:lineRule="exact"/>
        <w:rPr>
          <w:sz w:val="30"/>
          <w:rtl/>
        </w:rPr>
      </w:pPr>
      <w:r w:rsidRPr="00D3269B">
        <w:rPr>
          <w:rFonts w:hint="cs"/>
          <w:sz w:val="30"/>
          <w:rtl/>
        </w:rPr>
        <w:t>10-3</w:t>
      </w:r>
      <w:r w:rsidRPr="00D3269B">
        <w:rPr>
          <w:rFonts w:hint="cs"/>
          <w:sz w:val="30"/>
          <w:rtl/>
        </w:rPr>
        <w:tab/>
        <w:t>وترفض الدولة الطرف ادعاءات صاحب البلاغ بالتمييز</w:t>
      </w:r>
      <w:r w:rsidR="0063616D">
        <w:rPr>
          <w:rFonts w:hint="cs"/>
          <w:sz w:val="30"/>
          <w:rtl/>
        </w:rPr>
        <w:t xml:space="preserve"> ضده</w:t>
      </w:r>
      <w:r w:rsidRPr="00D3269B">
        <w:rPr>
          <w:rFonts w:hint="cs"/>
          <w:sz w:val="30"/>
          <w:rtl/>
        </w:rPr>
        <w:t>، وتعيد التأكيد على أنه شرع في</w:t>
      </w:r>
      <w:r w:rsidR="0063616D">
        <w:rPr>
          <w:rFonts w:hint="cs"/>
          <w:sz w:val="30"/>
          <w:rtl/>
        </w:rPr>
        <w:t xml:space="preserve"> إجراء</w:t>
      </w:r>
      <w:r w:rsidRPr="00D3269B">
        <w:rPr>
          <w:rFonts w:hint="cs"/>
          <w:sz w:val="30"/>
          <w:rtl/>
        </w:rPr>
        <w:t xml:space="preserve"> تحقيق قضائي، وأن التهم لم توجه إلى صاحب البلاغ فحسب (لمحاولة القتل و</w:t>
      </w:r>
      <w:r>
        <w:rPr>
          <w:rFonts w:hint="cs"/>
          <w:sz w:val="30"/>
          <w:rtl/>
        </w:rPr>
        <w:t>إثارة ال</w:t>
      </w:r>
      <w:r w:rsidRPr="00D3269B">
        <w:rPr>
          <w:rFonts w:hint="cs"/>
          <w:sz w:val="30"/>
          <w:rtl/>
        </w:rPr>
        <w:t xml:space="preserve">بلبلة </w:t>
      </w:r>
      <w:r>
        <w:rPr>
          <w:rFonts w:hint="cs"/>
          <w:sz w:val="30"/>
          <w:rtl/>
        </w:rPr>
        <w:t>في مكتب حكومي</w:t>
      </w:r>
      <w:r w:rsidR="0063616D">
        <w:rPr>
          <w:rFonts w:hint="cs"/>
          <w:sz w:val="30"/>
          <w:rtl/>
        </w:rPr>
        <w:t xml:space="preserve">)، بل أيضاً ضد </w:t>
      </w:r>
      <w:proofErr w:type="spellStart"/>
      <w:r w:rsidR="0063616D">
        <w:rPr>
          <w:rFonts w:hint="cs"/>
          <w:sz w:val="30"/>
          <w:rtl/>
        </w:rPr>
        <w:t>ليفاندا</w:t>
      </w:r>
      <w:proofErr w:type="spellEnd"/>
      <w:r w:rsidR="0063616D">
        <w:rPr>
          <w:rFonts w:hint="cs"/>
          <w:sz w:val="30"/>
          <w:rtl/>
        </w:rPr>
        <w:t xml:space="preserve"> ص</w:t>
      </w:r>
      <w:r w:rsidRPr="00D3269B">
        <w:rPr>
          <w:rFonts w:hint="cs"/>
          <w:sz w:val="30"/>
          <w:rtl/>
        </w:rPr>
        <w:t xml:space="preserve">امويل </w:t>
      </w:r>
      <w:proofErr w:type="spellStart"/>
      <w:r w:rsidRPr="00D3269B">
        <w:rPr>
          <w:rFonts w:hint="cs"/>
          <w:sz w:val="30"/>
          <w:rtl/>
        </w:rPr>
        <w:t>إبياما</w:t>
      </w:r>
      <w:proofErr w:type="spellEnd"/>
      <w:r w:rsidRPr="00D3269B">
        <w:rPr>
          <w:rFonts w:hint="cs"/>
          <w:sz w:val="30"/>
          <w:rtl/>
        </w:rPr>
        <w:t xml:space="preserve">، </w:t>
      </w:r>
      <w:r w:rsidR="00B34F61">
        <w:rPr>
          <w:rFonts w:hint="cs"/>
          <w:sz w:val="30"/>
          <w:rtl/>
        </w:rPr>
        <w:t>مندوب الحكومة</w:t>
      </w:r>
      <w:r w:rsidR="0063616D">
        <w:rPr>
          <w:rFonts w:hint="cs"/>
          <w:sz w:val="30"/>
          <w:rtl/>
        </w:rPr>
        <w:t xml:space="preserve"> </w:t>
      </w:r>
      <w:r w:rsidRPr="00D3269B">
        <w:rPr>
          <w:rFonts w:hint="cs"/>
          <w:sz w:val="30"/>
          <w:rtl/>
        </w:rPr>
        <w:t xml:space="preserve">رئيس مجلس </w:t>
      </w:r>
      <w:proofErr w:type="spellStart"/>
      <w:r w:rsidRPr="00D3269B">
        <w:rPr>
          <w:rFonts w:hint="cs"/>
          <w:sz w:val="30"/>
          <w:rtl/>
        </w:rPr>
        <w:t>ليمب</w:t>
      </w:r>
      <w:r w:rsidR="0063616D">
        <w:rPr>
          <w:rFonts w:hint="cs"/>
          <w:sz w:val="30"/>
          <w:rtl/>
        </w:rPr>
        <w:t>ه</w:t>
      </w:r>
      <w:proofErr w:type="spellEnd"/>
      <w:r w:rsidRPr="00D3269B">
        <w:rPr>
          <w:rFonts w:hint="cs"/>
          <w:sz w:val="30"/>
          <w:rtl/>
        </w:rPr>
        <w:t xml:space="preserve"> </w:t>
      </w:r>
      <w:r w:rsidR="0063616D">
        <w:rPr>
          <w:rFonts w:hint="cs"/>
          <w:sz w:val="30"/>
          <w:rtl/>
        </w:rPr>
        <w:t>البلدي</w:t>
      </w:r>
      <w:r w:rsidRPr="00D3269B">
        <w:rPr>
          <w:rFonts w:hint="cs"/>
          <w:sz w:val="30"/>
          <w:rtl/>
        </w:rPr>
        <w:t xml:space="preserve"> (</w:t>
      </w:r>
      <w:r>
        <w:rPr>
          <w:rFonts w:hint="cs"/>
          <w:sz w:val="30"/>
          <w:rtl/>
        </w:rPr>
        <w:t>ب</w:t>
      </w:r>
      <w:r w:rsidRPr="00D3269B">
        <w:rPr>
          <w:rFonts w:hint="cs"/>
          <w:sz w:val="30"/>
          <w:rtl/>
        </w:rPr>
        <w:t>تهم</w:t>
      </w:r>
      <w:r w:rsidR="000D4D10">
        <w:rPr>
          <w:rFonts w:hint="cs"/>
          <w:sz w:val="30"/>
          <w:rtl/>
        </w:rPr>
        <w:t>ة</w:t>
      </w:r>
      <w:r w:rsidRPr="00D3269B">
        <w:rPr>
          <w:rFonts w:hint="cs"/>
          <w:sz w:val="30"/>
          <w:rtl/>
        </w:rPr>
        <w:t xml:space="preserve"> </w:t>
      </w:r>
      <w:r w:rsidR="000D4D10">
        <w:rPr>
          <w:rFonts w:hint="cs"/>
          <w:sz w:val="30"/>
          <w:rtl/>
        </w:rPr>
        <w:t xml:space="preserve">الاعتداء مما </w:t>
      </w:r>
      <w:r w:rsidRPr="00D3269B">
        <w:rPr>
          <w:rFonts w:hint="cs"/>
          <w:sz w:val="30"/>
          <w:rtl/>
        </w:rPr>
        <w:t xml:space="preserve">تسبب </w:t>
      </w:r>
      <w:r w:rsidR="000D4D10">
        <w:rPr>
          <w:rFonts w:hint="cs"/>
          <w:sz w:val="30"/>
          <w:rtl/>
        </w:rPr>
        <w:t xml:space="preserve">في حدوث إصابات بالغة </w:t>
      </w:r>
      <w:r w:rsidRPr="00D3269B">
        <w:rPr>
          <w:rFonts w:hint="cs"/>
          <w:sz w:val="30"/>
          <w:rtl/>
        </w:rPr>
        <w:t xml:space="preserve">وتهديدات </w:t>
      </w:r>
      <w:r w:rsidR="000D4D10">
        <w:rPr>
          <w:rFonts w:hint="cs"/>
          <w:sz w:val="30"/>
          <w:rtl/>
        </w:rPr>
        <w:t>مطلقة بغرض تلبية بعض الشروط</w:t>
      </w:r>
      <w:r w:rsidRPr="00D3269B">
        <w:rPr>
          <w:rFonts w:hint="cs"/>
          <w:sz w:val="30"/>
          <w:rtl/>
        </w:rPr>
        <w:t>)</w:t>
      </w:r>
      <w:r w:rsidRPr="00D3269B">
        <w:rPr>
          <w:sz w:val="30"/>
          <w:vertAlign w:val="superscript"/>
          <w:rtl/>
        </w:rPr>
        <w:t>(</w:t>
      </w:r>
      <w:r w:rsidRPr="00D3269B">
        <w:rPr>
          <w:b/>
          <w:sz w:val="18"/>
          <w:szCs w:val="28"/>
          <w:vertAlign w:val="superscript"/>
          <w:rtl/>
        </w:rPr>
        <w:footnoteReference w:id="10"/>
      </w:r>
      <w:r w:rsidRPr="00D3269B">
        <w:rPr>
          <w:sz w:val="30"/>
          <w:vertAlign w:val="superscript"/>
          <w:rtl/>
        </w:rPr>
        <w:t>)</w:t>
      </w:r>
      <w:r w:rsidRPr="00D3269B">
        <w:rPr>
          <w:rFonts w:hint="cs"/>
          <w:sz w:val="30"/>
          <w:rtl/>
        </w:rPr>
        <w:t>.</w:t>
      </w:r>
    </w:p>
    <w:p w:rsidR="004F510A" w:rsidRPr="00D3269B" w:rsidRDefault="00E75EA6" w:rsidP="007D2537">
      <w:pPr>
        <w:pStyle w:val="H23GA"/>
        <w:spacing w:line="366" w:lineRule="exact"/>
        <w:rPr>
          <w:rtl/>
        </w:rPr>
      </w:pPr>
      <w:r>
        <w:rPr>
          <w:rFonts w:hint="cs"/>
          <w:rtl/>
        </w:rPr>
        <w:tab/>
      </w:r>
      <w:r>
        <w:rPr>
          <w:rFonts w:hint="cs"/>
          <w:rtl/>
        </w:rPr>
        <w:tab/>
      </w:r>
      <w:r w:rsidR="004F510A" w:rsidRPr="00D3269B">
        <w:rPr>
          <w:rFonts w:hint="cs"/>
          <w:rtl/>
        </w:rPr>
        <w:t>المسائل والإجراءات المعروضة أمام اللجنة</w:t>
      </w:r>
    </w:p>
    <w:p w:rsidR="004F510A" w:rsidRPr="00D3269B" w:rsidRDefault="00E75EA6" w:rsidP="007D2537">
      <w:pPr>
        <w:pStyle w:val="H4GA"/>
        <w:spacing w:line="366" w:lineRule="exact"/>
        <w:rPr>
          <w:rtl/>
        </w:rPr>
      </w:pPr>
      <w:r>
        <w:rPr>
          <w:rFonts w:hint="cs"/>
          <w:rtl/>
        </w:rPr>
        <w:tab/>
      </w:r>
      <w:r>
        <w:rPr>
          <w:rFonts w:hint="cs"/>
          <w:rtl/>
        </w:rPr>
        <w:tab/>
      </w:r>
      <w:r w:rsidR="004F510A" w:rsidRPr="00D3269B">
        <w:rPr>
          <w:rFonts w:hint="cs"/>
          <w:rtl/>
        </w:rPr>
        <w:t>النظر في المقبولية</w:t>
      </w:r>
    </w:p>
    <w:p w:rsidR="004F510A" w:rsidRPr="00D3269B" w:rsidRDefault="004F510A" w:rsidP="007D2537">
      <w:pPr>
        <w:pStyle w:val="SingleTxtGA"/>
        <w:spacing w:line="366" w:lineRule="exact"/>
        <w:rPr>
          <w:sz w:val="30"/>
          <w:rtl/>
        </w:rPr>
      </w:pPr>
      <w:r w:rsidRPr="00D3269B">
        <w:rPr>
          <w:rFonts w:hint="cs"/>
          <w:sz w:val="30"/>
          <w:rtl/>
        </w:rPr>
        <w:t>11-1</w:t>
      </w:r>
      <w:r w:rsidRPr="00D3269B">
        <w:rPr>
          <w:rFonts w:hint="cs"/>
          <w:sz w:val="30"/>
          <w:rtl/>
        </w:rPr>
        <w:tab/>
        <w:t>قبل النظر في أي ادعاء يرد في بلاغ ما يتعين على اللجنة المعنية بحقوق الإنسان، وفقاً للمادة 93 من نظامها الداخلي، أن تقرر ما إذا كان البلاغ مقبولاً أ</w:t>
      </w:r>
      <w:r w:rsidR="000D4D10">
        <w:rPr>
          <w:rFonts w:hint="cs"/>
          <w:sz w:val="30"/>
          <w:rtl/>
        </w:rPr>
        <w:t>و</w:t>
      </w:r>
      <w:r w:rsidRPr="00D3269B">
        <w:rPr>
          <w:rFonts w:hint="cs"/>
          <w:sz w:val="30"/>
          <w:rtl/>
        </w:rPr>
        <w:t xml:space="preserve"> لا بموجب البروتوكول الاختياري الملحق بالعهد. </w:t>
      </w:r>
    </w:p>
    <w:p w:rsidR="004F510A" w:rsidRPr="00D3269B" w:rsidRDefault="004F510A" w:rsidP="007D2537">
      <w:pPr>
        <w:pStyle w:val="SingleTxtGA"/>
        <w:spacing w:line="366" w:lineRule="exact"/>
        <w:rPr>
          <w:sz w:val="30"/>
          <w:rtl/>
        </w:rPr>
      </w:pPr>
      <w:r w:rsidRPr="00D3269B">
        <w:rPr>
          <w:rFonts w:hint="cs"/>
          <w:sz w:val="30"/>
          <w:rtl/>
        </w:rPr>
        <w:t>11-2</w:t>
      </w:r>
      <w:r w:rsidRPr="00D3269B">
        <w:rPr>
          <w:rFonts w:hint="cs"/>
          <w:sz w:val="30"/>
          <w:rtl/>
        </w:rPr>
        <w:tab/>
        <w:t>وقد تأكدت اللجنة</w:t>
      </w:r>
      <w:r w:rsidR="000D4D10">
        <w:rPr>
          <w:rFonts w:hint="cs"/>
          <w:sz w:val="30"/>
          <w:rtl/>
        </w:rPr>
        <w:t>،</w:t>
      </w:r>
      <w:r w:rsidRPr="00D3269B">
        <w:rPr>
          <w:rFonts w:hint="cs"/>
          <w:sz w:val="30"/>
          <w:rtl/>
        </w:rPr>
        <w:t xml:space="preserve"> وفق ما </w:t>
      </w:r>
      <w:proofErr w:type="spellStart"/>
      <w:r w:rsidRPr="00D3269B">
        <w:rPr>
          <w:rFonts w:hint="cs"/>
          <w:sz w:val="30"/>
          <w:rtl/>
        </w:rPr>
        <w:t>تقتضيه</w:t>
      </w:r>
      <w:proofErr w:type="spellEnd"/>
      <w:r w:rsidRPr="00D3269B">
        <w:rPr>
          <w:rFonts w:hint="cs"/>
          <w:sz w:val="30"/>
          <w:rtl/>
        </w:rPr>
        <w:t xml:space="preserve"> الفقرة 2(أ) من المادة 5 من البروتوكول الاختياري</w:t>
      </w:r>
      <w:r w:rsidR="000D4D10">
        <w:rPr>
          <w:rFonts w:hint="cs"/>
          <w:sz w:val="30"/>
          <w:rtl/>
        </w:rPr>
        <w:t>،</w:t>
      </w:r>
      <w:r w:rsidRPr="00D3269B">
        <w:rPr>
          <w:rFonts w:hint="cs"/>
          <w:sz w:val="30"/>
          <w:rtl/>
        </w:rPr>
        <w:t xml:space="preserve"> من أن المسألة نفسها ليست قيد البحث في إطار أي إجراء آخر من إجراءات التحقيق الدولي أو التسوية الدولية. </w:t>
      </w:r>
    </w:p>
    <w:p w:rsidR="004F510A" w:rsidRPr="00D3269B" w:rsidRDefault="004F510A" w:rsidP="00A57EB4">
      <w:pPr>
        <w:pStyle w:val="SingleTxtGA"/>
        <w:rPr>
          <w:sz w:val="30"/>
          <w:rtl/>
        </w:rPr>
      </w:pPr>
      <w:r w:rsidRPr="00D3269B">
        <w:rPr>
          <w:rFonts w:hint="cs"/>
          <w:sz w:val="30"/>
          <w:rtl/>
        </w:rPr>
        <w:lastRenderedPageBreak/>
        <w:t>11-3</w:t>
      </w:r>
      <w:r w:rsidRPr="00D3269B">
        <w:rPr>
          <w:rFonts w:hint="cs"/>
          <w:sz w:val="30"/>
          <w:rtl/>
        </w:rPr>
        <w:tab/>
        <w:t xml:space="preserve">وتأخذ اللجنة علماً بطعن الدولة الطرف في مقبولية البلاغ على أساس عدم استنفاد سبل الانتصاف </w:t>
      </w:r>
      <w:r w:rsidR="000D4D10">
        <w:rPr>
          <w:rFonts w:hint="cs"/>
          <w:sz w:val="30"/>
          <w:rtl/>
        </w:rPr>
        <w:t>المحلية</w:t>
      </w:r>
      <w:r w:rsidRPr="00D3269B">
        <w:rPr>
          <w:rFonts w:hint="cs"/>
          <w:sz w:val="30"/>
          <w:rtl/>
        </w:rPr>
        <w:t>. و</w:t>
      </w:r>
      <w:r>
        <w:rPr>
          <w:rFonts w:hint="cs"/>
          <w:sz w:val="30"/>
          <w:rtl/>
        </w:rPr>
        <w:t>في رأي</w:t>
      </w:r>
      <w:r w:rsidRPr="00D3269B">
        <w:rPr>
          <w:rFonts w:hint="cs"/>
          <w:sz w:val="30"/>
          <w:rtl/>
        </w:rPr>
        <w:t xml:space="preserve"> الدولة الطرف أن صاحب البلاغ لم ينظر في إمكانية </w:t>
      </w:r>
      <w:r w:rsidR="000D4D10">
        <w:rPr>
          <w:rFonts w:hint="cs"/>
          <w:sz w:val="30"/>
          <w:rtl/>
        </w:rPr>
        <w:t xml:space="preserve">التظلم </w:t>
      </w:r>
      <w:r w:rsidRPr="00D3269B">
        <w:rPr>
          <w:rFonts w:hint="cs"/>
          <w:sz w:val="30"/>
          <w:rtl/>
        </w:rPr>
        <w:t xml:space="preserve">أمام محكمة مختصة </w:t>
      </w:r>
      <w:r w:rsidRPr="00997E99">
        <w:rPr>
          <w:rFonts w:hint="cs"/>
          <w:i/>
          <w:iCs/>
          <w:sz w:val="30"/>
          <w:rtl/>
        </w:rPr>
        <w:t>(تقديم شكوى والادعاء بالحق المدني)</w:t>
      </w:r>
      <w:r w:rsidRPr="00D3269B">
        <w:rPr>
          <w:rFonts w:hint="cs"/>
          <w:sz w:val="30"/>
          <w:rtl/>
        </w:rPr>
        <w:t xml:space="preserve"> بموجب المادة 157 من قانون الإجراءات الجنائية، أو تقديم شكواه مباشرة إلى رئيس المحكمة </w:t>
      </w:r>
      <w:r w:rsidRPr="00997E99">
        <w:rPr>
          <w:rFonts w:hint="cs"/>
          <w:i/>
          <w:iCs/>
          <w:sz w:val="30"/>
          <w:rtl/>
        </w:rPr>
        <w:t>(رفع شكوى بموجب الحق الشخصي)</w:t>
      </w:r>
      <w:r w:rsidRPr="00D3269B">
        <w:rPr>
          <w:rFonts w:hint="cs"/>
          <w:sz w:val="30"/>
          <w:rtl/>
        </w:rPr>
        <w:t>، بموجب المادة 290 من قانون الإجراءات ا</w:t>
      </w:r>
      <w:r w:rsidR="000D4D10">
        <w:rPr>
          <w:rFonts w:hint="cs"/>
          <w:sz w:val="30"/>
          <w:rtl/>
        </w:rPr>
        <w:t>لجنائية. وتلاحظ اللجنة أيضاً أن</w:t>
      </w:r>
      <w:r w:rsidRPr="00D3269B">
        <w:rPr>
          <w:rFonts w:hint="cs"/>
          <w:sz w:val="30"/>
          <w:rtl/>
        </w:rPr>
        <w:t xml:space="preserve"> </w:t>
      </w:r>
      <w:r w:rsidR="000D4D10">
        <w:rPr>
          <w:rFonts w:hint="cs"/>
          <w:sz w:val="30"/>
          <w:rtl/>
        </w:rPr>
        <w:t>ا</w:t>
      </w:r>
      <w:r w:rsidRPr="00D3269B">
        <w:rPr>
          <w:rFonts w:hint="cs"/>
          <w:sz w:val="30"/>
          <w:rtl/>
        </w:rPr>
        <w:t>لدولة الطرف</w:t>
      </w:r>
      <w:r w:rsidR="000D4D10">
        <w:rPr>
          <w:rFonts w:hint="cs"/>
          <w:sz w:val="30"/>
          <w:rtl/>
        </w:rPr>
        <w:t xml:space="preserve"> تذهب إلى أن</w:t>
      </w:r>
      <w:r w:rsidRPr="00D3269B">
        <w:rPr>
          <w:rFonts w:hint="cs"/>
          <w:sz w:val="30"/>
          <w:rtl/>
        </w:rPr>
        <w:t xml:space="preserve"> صاحب البلاغ </w:t>
      </w:r>
      <w:r w:rsidR="00770C94">
        <w:rPr>
          <w:rFonts w:hint="cs"/>
          <w:sz w:val="30"/>
          <w:rtl/>
        </w:rPr>
        <w:t xml:space="preserve">كتب </w:t>
      </w:r>
      <w:r w:rsidRPr="00D3269B">
        <w:rPr>
          <w:rFonts w:hint="cs"/>
          <w:sz w:val="30"/>
          <w:rtl/>
        </w:rPr>
        <w:t>رسائل إلى السلطات السياسية والإدارية لكنه لم يرفع دعوى قانون</w:t>
      </w:r>
      <w:r>
        <w:rPr>
          <w:rFonts w:hint="cs"/>
          <w:sz w:val="30"/>
          <w:rtl/>
        </w:rPr>
        <w:t>ية</w:t>
      </w:r>
      <w:r w:rsidRPr="00D3269B">
        <w:rPr>
          <w:rFonts w:hint="cs"/>
          <w:sz w:val="30"/>
          <w:rtl/>
        </w:rPr>
        <w:t xml:space="preserve"> </w:t>
      </w:r>
      <w:r w:rsidR="00770C94">
        <w:rPr>
          <w:rFonts w:hint="cs"/>
          <w:sz w:val="30"/>
          <w:rtl/>
        </w:rPr>
        <w:t xml:space="preserve">بالمعنى </w:t>
      </w:r>
      <w:r w:rsidRPr="00D3269B">
        <w:rPr>
          <w:rFonts w:hint="cs"/>
          <w:sz w:val="30"/>
          <w:rtl/>
        </w:rPr>
        <w:t>الدقيق</w:t>
      </w:r>
      <w:r w:rsidR="00770C94">
        <w:rPr>
          <w:rFonts w:hint="cs"/>
          <w:sz w:val="30"/>
          <w:rtl/>
        </w:rPr>
        <w:t xml:space="preserve"> للكلمة</w:t>
      </w:r>
      <w:r w:rsidRPr="00D3269B">
        <w:rPr>
          <w:rFonts w:hint="cs"/>
          <w:sz w:val="30"/>
          <w:rtl/>
        </w:rPr>
        <w:t>. ومع ذلك، ت</w:t>
      </w:r>
      <w:r w:rsidR="00770C94">
        <w:rPr>
          <w:rFonts w:hint="cs"/>
          <w:sz w:val="30"/>
          <w:rtl/>
        </w:rPr>
        <w:t xml:space="preserve">حيط </w:t>
      </w:r>
      <w:r w:rsidRPr="00D3269B">
        <w:rPr>
          <w:rFonts w:hint="cs"/>
          <w:sz w:val="30"/>
          <w:rtl/>
        </w:rPr>
        <w:t xml:space="preserve">اللجنة علماً بحجة صاحب البلاغ التي تؤكدها المعلومات المتاحة في الملف، أنه قدم في 17 أيلول/سبتمبر 2002 شكوى إلى </w:t>
      </w:r>
      <w:r w:rsidR="00770C94">
        <w:rPr>
          <w:rFonts w:hint="cs"/>
          <w:sz w:val="30"/>
          <w:rtl/>
        </w:rPr>
        <w:t>المدعي العام للدولة في ا</w:t>
      </w:r>
      <w:r w:rsidRPr="00D3269B">
        <w:rPr>
          <w:rFonts w:hint="cs"/>
          <w:sz w:val="30"/>
          <w:rtl/>
        </w:rPr>
        <w:t xml:space="preserve">لمقاطعة الجنوبية - الغربية حيث طلب صراحة الشروع في تحقيقات في ادعاءاته بالتعرض </w:t>
      </w:r>
      <w:r w:rsidRPr="00A57EB4">
        <w:rPr>
          <w:rFonts w:hint="cs"/>
          <w:sz w:val="30"/>
          <w:rtl/>
        </w:rPr>
        <w:t>لل</w:t>
      </w:r>
      <w:r w:rsidR="00770C94" w:rsidRPr="00A57EB4">
        <w:rPr>
          <w:rFonts w:hint="cs"/>
          <w:sz w:val="30"/>
          <w:rtl/>
        </w:rPr>
        <w:t>اعتداء</w:t>
      </w:r>
      <w:r w:rsidR="00770C94">
        <w:rPr>
          <w:rFonts w:hint="cs"/>
          <w:sz w:val="30"/>
          <w:rtl/>
        </w:rPr>
        <w:t xml:space="preserve"> </w:t>
      </w:r>
      <w:r w:rsidRPr="00D3269B">
        <w:rPr>
          <w:rFonts w:hint="cs"/>
          <w:sz w:val="30"/>
          <w:rtl/>
        </w:rPr>
        <w:t xml:space="preserve">في الحادث الذي وقع في 29 آب/أغسطس 2002. وجدد صاحب البلاغ شكواه إلى </w:t>
      </w:r>
      <w:r w:rsidR="00A57EB4">
        <w:rPr>
          <w:rFonts w:hint="cs"/>
          <w:sz w:val="30"/>
          <w:rtl/>
        </w:rPr>
        <w:t xml:space="preserve">المدعي العام للدولة </w:t>
      </w:r>
      <w:r w:rsidRPr="00D3269B">
        <w:rPr>
          <w:rFonts w:hint="cs"/>
          <w:sz w:val="30"/>
          <w:rtl/>
        </w:rPr>
        <w:t xml:space="preserve">في المقاطعة الجنوبية الغربية، في 3 تشرين الأول/أكتوبر 2002، حيث أشار إلى تعرضه للتهديد </w:t>
      </w:r>
      <w:r>
        <w:rPr>
          <w:rFonts w:hint="cs"/>
          <w:sz w:val="30"/>
          <w:rtl/>
        </w:rPr>
        <w:t>بالقتل</w:t>
      </w:r>
      <w:r w:rsidRPr="00D3269B">
        <w:rPr>
          <w:rFonts w:hint="cs"/>
          <w:sz w:val="30"/>
          <w:rtl/>
        </w:rPr>
        <w:t>، وب</w:t>
      </w:r>
      <w:r w:rsidR="00A57EB4">
        <w:rPr>
          <w:rFonts w:hint="cs"/>
          <w:sz w:val="30"/>
          <w:rtl/>
        </w:rPr>
        <w:t xml:space="preserve">ما يمس </w:t>
      </w:r>
      <w:r w:rsidRPr="00D3269B">
        <w:rPr>
          <w:rFonts w:hint="cs"/>
          <w:sz w:val="30"/>
          <w:rtl/>
        </w:rPr>
        <w:t>أمنه وحريته الشخصية. وفي اليوم</w:t>
      </w:r>
      <w:r w:rsidR="00A57EB4">
        <w:rPr>
          <w:rFonts w:hint="cs"/>
          <w:sz w:val="30"/>
          <w:rtl/>
        </w:rPr>
        <w:t xml:space="preserve"> ذاته</w:t>
      </w:r>
      <w:r w:rsidRPr="00D3269B">
        <w:rPr>
          <w:rFonts w:hint="cs"/>
          <w:sz w:val="30"/>
          <w:rtl/>
        </w:rPr>
        <w:t xml:space="preserve">، قدم أيضاً شكوى إلى </w:t>
      </w:r>
      <w:r w:rsidR="00A57EB4">
        <w:rPr>
          <w:rFonts w:hint="cs"/>
          <w:sz w:val="30"/>
          <w:rtl/>
        </w:rPr>
        <w:t xml:space="preserve">المدعي العام للدولة </w:t>
      </w:r>
      <w:r w:rsidRPr="00D3269B">
        <w:rPr>
          <w:rFonts w:hint="cs"/>
          <w:sz w:val="30"/>
          <w:rtl/>
        </w:rPr>
        <w:t xml:space="preserve">في </w:t>
      </w:r>
      <w:proofErr w:type="spellStart"/>
      <w:r w:rsidRPr="00D3269B">
        <w:rPr>
          <w:rFonts w:hint="cs"/>
          <w:sz w:val="30"/>
          <w:rtl/>
        </w:rPr>
        <w:t>ليمب</w:t>
      </w:r>
      <w:r w:rsidR="00A57EB4">
        <w:rPr>
          <w:rFonts w:hint="cs"/>
          <w:sz w:val="30"/>
          <w:rtl/>
        </w:rPr>
        <w:t>ه</w:t>
      </w:r>
      <w:proofErr w:type="spellEnd"/>
      <w:r w:rsidRPr="00D3269B">
        <w:rPr>
          <w:rFonts w:hint="cs"/>
          <w:sz w:val="30"/>
          <w:rtl/>
        </w:rPr>
        <w:t xml:space="preserve"> </w:t>
      </w:r>
      <w:r w:rsidR="00A57EB4">
        <w:rPr>
          <w:rFonts w:hint="cs"/>
          <w:sz w:val="30"/>
          <w:rtl/>
        </w:rPr>
        <w:t>للأسباب ذاتها</w:t>
      </w:r>
      <w:r w:rsidRPr="00D3269B">
        <w:rPr>
          <w:rFonts w:hint="cs"/>
          <w:sz w:val="30"/>
          <w:rtl/>
        </w:rPr>
        <w:t>.</w:t>
      </w:r>
    </w:p>
    <w:p w:rsidR="004F510A" w:rsidRPr="00D3269B" w:rsidRDefault="004F510A" w:rsidP="00A57EB4">
      <w:pPr>
        <w:pStyle w:val="SingleTxtGA"/>
        <w:rPr>
          <w:sz w:val="30"/>
          <w:rtl/>
        </w:rPr>
      </w:pPr>
      <w:r w:rsidRPr="00D3269B">
        <w:rPr>
          <w:rFonts w:hint="cs"/>
          <w:sz w:val="30"/>
          <w:rtl/>
        </w:rPr>
        <w:t>11-4</w:t>
      </w:r>
      <w:r w:rsidRPr="00D3269B">
        <w:rPr>
          <w:rFonts w:hint="cs"/>
          <w:sz w:val="30"/>
          <w:rtl/>
        </w:rPr>
        <w:tab/>
        <w:t>وتذك</w:t>
      </w:r>
      <w:r w:rsidR="00A57EB4">
        <w:rPr>
          <w:rFonts w:hint="cs"/>
          <w:sz w:val="30"/>
          <w:rtl/>
        </w:rPr>
        <w:t>ّر اللجنة أنه</w:t>
      </w:r>
      <w:r w:rsidRPr="00D3269B">
        <w:rPr>
          <w:rFonts w:hint="cs"/>
          <w:sz w:val="30"/>
          <w:rtl/>
        </w:rPr>
        <w:t xml:space="preserve"> ينبغي لصاحب البلاغ</w:t>
      </w:r>
      <w:r w:rsidR="00997E99">
        <w:rPr>
          <w:rFonts w:hint="cs"/>
          <w:sz w:val="30"/>
          <w:rtl/>
        </w:rPr>
        <w:t>،</w:t>
      </w:r>
      <w:r w:rsidRPr="00D3269B">
        <w:rPr>
          <w:rFonts w:hint="cs"/>
          <w:sz w:val="30"/>
          <w:rtl/>
        </w:rPr>
        <w:t xml:space="preserve"> </w:t>
      </w:r>
      <w:r w:rsidR="00A57EB4" w:rsidRPr="00D3269B">
        <w:rPr>
          <w:rFonts w:hint="cs"/>
          <w:sz w:val="30"/>
          <w:rtl/>
        </w:rPr>
        <w:t>لأغراض المقبولية</w:t>
      </w:r>
      <w:r w:rsidR="00997E99">
        <w:rPr>
          <w:rFonts w:hint="cs"/>
          <w:sz w:val="30"/>
          <w:rtl/>
        </w:rPr>
        <w:t>،</w:t>
      </w:r>
      <w:r w:rsidR="00A57EB4" w:rsidRPr="00D3269B">
        <w:rPr>
          <w:rFonts w:hint="cs"/>
          <w:sz w:val="30"/>
          <w:rtl/>
        </w:rPr>
        <w:t xml:space="preserve"> </w:t>
      </w:r>
      <w:r w:rsidRPr="00D3269B">
        <w:rPr>
          <w:rFonts w:hint="cs"/>
          <w:sz w:val="30"/>
          <w:rtl/>
        </w:rPr>
        <w:t>أن يستنفد سبل الانتصاف الفعالة فقط ا</w:t>
      </w:r>
      <w:r w:rsidR="00A57EB4">
        <w:rPr>
          <w:rFonts w:hint="cs"/>
          <w:sz w:val="30"/>
          <w:rtl/>
        </w:rPr>
        <w:t>لمتعلقة بالانتهاك المزعوم. وتحيط</w:t>
      </w:r>
      <w:r w:rsidRPr="00D3269B">
        <w:rPr>
          <w:rFonts w:hint="cs"/>
          <w:sz w:val="30"/>
          <w:rtl/>
        </w:rPr>
        <w:t xml:space="preserve"> اللجنة علماً بحجة الدولة الطرف </w:t>
      </w:r>
      <w:r w:rsidR="00A57EB4">
        <w:rPr>
          <w:rFonts w:hint="cs"/>
          <w:sz w:val="30"/>
          <w:rtl/>
        </w:rPr>
        <w:t>القائلة ب</w:t>
      </w:r>
      <w:r w:rsidRPr="00D3269B">
        <w:rPr>
          <w:rFonts w:hint="cs"/>
          <w:sz w:val="30"/>
          <w:rtl/>
        </w:rPr>
        <w:t xml:space="preserve">أن تقديم شكوى مباشرة أو تقديم </w:t>
      </w:r>
      <w:r>
        <w:rPr>
          <w:rFonts w:hint="cs"/>
          <w:sz w:val="30"/>
          <w:rtl/>
        </w:rPr>
        <w:t xml:space="preserve">شكوى </w:t>
      </w:r>
      <w:r w:rsidRPr="00D3269B">
        <w:rPr>
          <w:rFonts w:hint="cs"/>
          <w:sz w:val="30"/>
          <w:rtl/>
        </w:rPr>
        <w:t>وا</w:t>
      </w:r>
      <w:r w:rsidR="00A57EB4">
        <w:rPr>
          <w:rFonts w:hint="cs"/>
          <w:sz w:val="30"/>
          <w:rtl/>
        </w:rPr>
        <w:t>لادعاء بالحق الشخصي هما سبيلان من سبل ا</w:t>
      </w:r>
      <w:r w:rsidRPr="00D3269B">
        <w:rPr>
          <w:rFonts w:hint="cs"/>
          <w:sz w:val="30"/>
          <w:rtl/>
        </w:rPr>
        <w:t xml:space="preserve">لانتصاف كان يتعين على صاحب البلاغ أن </w:t>
      </w:r>
      <w:proofErr w:type="spellStart"/>
      <w:r w:rsidRPr="00D3269B">
        <w:rPr>
          <w:rFonts w:hint="cs"/>
          <w:sz w:val="30"/>
          <w:rtl/>
        </w:rPr>
        <w:t>يستنفدهما</w:t>
      </w:r>
      <w:proofErr w:type="spellEnd"/>
      <w:r w:rsidRPr="00D3269B">
        <w:rPr>
          <w:rFonts w:hint="cs"/>
          <w:sz w:val="30"/>
          <w:rtl/>
        </w:rPr>
        <w:t>. ومع ذلك، تشير اللجنة إلى الحجة التي قدمها صاحب البلاغ والتي تفيد بأن أي</w:t>
      </w:r>
      <w:r w:rsidR="00A57EB4">
        <w:rPr>
          <w:rFonts w:hint="cs"/>
          <w:sz w:val="30"/>
          <w:rtl/>
        </w:rPr>
        <w:t xml:space="preserve"> شكوى تقدم بموجب هذين الإجراءين</w:t>
      </w:r>
      <w:r w:rsidRPr="00D3269B">
        <w:rPr>
          <w:rFonts w:hint="cs"/>
          <w:sz w:val="30"/>
          <w:rtl/>
        </w:rPr>
        <w:t xml:space="preserve"> تُحال إلى </w:t>
      </w:r>
      <w:r w:rsidR="00A57EB4">
        <w:rPr>
          <w:rFonts w:hint="cs"/>
          <w:sz w:val="30"/>
          <w:rtl/>
        </w:rPr>
        <w:t xml:space="preserve">المدعي </w:t>
      </w:r>
      <w:r>
        <w:rPr>
          <w:rFonts w:hint="cs"/>
          <w:sz w:val="30"/>
          <w:rtl/>
        </w:rPr>
        <w:t>العام للدولة</w:t>
      </w:r>
      <w:r w:rsidRPr="00D3269B">
        <w:rPr>
          <w:rFonts w:hint="cs"/>
          <w:sz w:val="30"/>
          <w:rtl/>
        </w:rPr>
        <w:t xml:space="preserve"> الذي يجوز له إما أن يعلن عن عدم مقبولية الشكوى أو </w:t>
      </w:r>
      <w:r>
        <w:rPr>
          <w:rFonts w:hint="cs"/>
          <w:sz w:val="30"/>
          <w:rtl/>
        </w:rPr>
        <w:t xml:space="preserve">أن يصدر، </w:t>
      </w:r>
      <w:r w:rsidRPr="00D3269B">
        <w:rPr>
          <w:rFonts w:hint="cs"/>
          <w:sz w:val="30"/>
          <w:rtl/>
        </w:rPr>
        <w:t>بدلاً من ذلك</w:t>
      </w:r>
      <w:r>
        <w:rPr>
          <w:rFonts w:hint="cs"/>
          <w:sz w:val="30"/>
          <w:rtl/>
        </w:rPr>
        <w:t>،</w:t>
      </w:r>
      <w:r w:rsidRPr="00D3269B">
        <w:rPr>
          <w:rFonts w:hint="cs"/>
          <w:sz w:val="30"/>
          <w:rtl/>
        </w:rPr>
        <w:t xml:space="preserve"> قراراً للشروع في تحقيق (الفقرة 5-4). وفي الحالة الراهنة، تذكر اللجنة أن صاحب الشكوى كان قد قدم شكويين إلى الادعاء العام للمقاطعة الجنوبية الغربية وشكوى إلى </w:t>
      </w:r>
      <w:r>
        <w:rPr>
          <w:rFonts w:hint="cs"/>
          <w:sz w:val="30"/>
          <w:rtl/>
        </w:rPr>
        <w:t>الا</w:t>
      </w:r>
      <w:r w:rsidRPr="00D3269B">
        <w:rPr>
          <w:rFonts w:hint="cs"/>
          <w:sz w:val="30"/>
          <w:rtl/>
        </w:rPr>
        <w:t xml:space="preserve">دعاء </w:t>
      </w:r>
      <w:r>
        <w:rPr>
          <w:rFonts w:hint="cs"/>
          <w:sz w:val="30"/>
          <w:rtl/>
        </w:rPr>
        <w:t>العام للدولة</w:t>
      </w:r>
      <w:r w:rsidRPr="00D3269B">
        <w:rPr>
          <w:rFonts w:hint="cs"/>
          <w:sz w:val="30"/>
          <w:rtl/>
        </w:rPr>
        <w:t xml:space="preserve"> في </w:t>
      </w:r>
      <w:proofErr w:type="spellStart"/>
      <w:r w:rsidR="001314CF">
        <w:rPr>
          <w:rFonts w:hint="cs"/>
          <w:sz w:val="30"/>
          <w:rtl/>
        </w:rPr>
        <w:t>ليمبه</w:t>
      </w:r>
      <w:proofErr w:type="spellEnd"/>
      <w:r w:rsidRPr="00D3269B">
        <w:rPr>
          <w:rFonts w:hint="cs"/>
          <w:sz w:val="30"/>
          <w:rtl/>
        </w:rPr>
        <w:t>، في 17 أيلول/سبتمبر و3 تشرين الأول/أكتوبر 2002، وأن هاتين الشكويين بقيتا دون رد. وفي ضوء ما جاء أعلاه، تخلص اللجنة إلى أن سبل الانتصاف التي تشير إليها الدولة الطرف لم تكن</w:t>
      </w:r>
      <w:r>
        <w:rPr>
          <w:rFonts w:hint="cs"/>
          <w:sz w:val="30"/>
          <w:rtl/>
        </w:rPr>
        <w:t xml:space="preserve"> </w:t>
      </w:r>
      <w:r w:rsidR="00A57EB4">
        <w:rPr>
          <w:rFonts w:hint="cs"/>
          <w:sz w:val="30"/>
          <w:rtl/>
        </w:rPr>
        <w:t>لتُجدي</w:t>
      </w:r>
      <w:r w:rsidRPr="00D3269B">
        <w:rPr>
          <w:rFonts w:hint="cs"/>
          <w:sz w:val="30"/>
          <w:rtl/>
        </w:rPr>
        <w:t xml:space="preserve">، وأنه ليس هناك ما يحول دون </w:t>
      </w:r>
      <w:r w:rsidR="00A57EB4">
        <w:rPr>
          <w:rFonts w:hint="cs"/>
          <w:sz w:val="30"/>
          <w:rtl/>
        </w:rPr>
        <w:t xml:space="preserve">نظر </w:t>
      </w:r>
      <w:r w:rsidRPr="00D3269B">
        <w:rPr>
          <w:rFonts w:hint="cs"/>
          <w:sz w:val="30"/>
          <w:rtl/>
        </w:rPr>
        <w:t xml:space="preserve">اللجنة، بموجب الفقرة الفرعية (ب) من الفقرة 2 من المادة 5 من البروتوكول الاختياري، في شكوى صاحب البلاغ فيما يتعلق </w:t>
      </w:r>
      <w:r>
        <w:rPr>
          <w:rFonts w:hint="cs"/>
          <w:sz w:val="30"/>
          <w:rtl/>
        </w:rPr>
        <w:t>ب</w:t>
      </w:r>
      <w:r w:rsidRPr="00D3269B">
        <w:rPr>
          <w:rFonts w:hint="cs"/>
          <w:sz w:val="30"/>
          <w:rtl/>
        </w:rPr>
        <w:t xml:space="preserve">الحادث الذي وقع في 29 آب/أغسطس 2002. </w:t>
      </w:r>
    </w:p>
    <w:p w:rsidR="004F510A" w:rsidRPr="00D3269B" w:rsidRDefault="004F510A" w:rsidP="00997E99">
      <w:pPr>
        <w:pStyle w:val="SingleTxtGA"/>
        <w:rPr>
          <w:sz w:val="30"/>
          <w:rtl/>
        </w:rPr>
      </w:pPr>
      <w:r w:rsidRPr="00D3269B">
        <w:rPr>
          <w:rFonts w:hint="cs"/>
          <w:sz w:val="30"/>
          <w:rtl/>
        </w:rPr>
        <w:t>11-5</w:t>
      </w:r>
      <w:r w:rsidRPr="00D3269B">
        <w:rPr>
          <w:rFonts w:hint="cs"/>
          <w:sz w:val="30"/>
          <w:rtl/>
        </w:rPr>
        <w:tab/>
        <w:t>ومع ذلك، تلاحظ اللجنة أنه</w:t>
      </w:r>
      <w:r w:rsidR="00A57EB4">
        <w:rPr>
          <w:rFonts w:hint="cs"/>
          <w:sz w:val="30"/>
          <w:rtl/>
        </w:rPr>
        <w:t>،</w:t>
      </w:r>
      <w:r w:rsidRPr="00D3269B">
        <w:rPr>
          <w:rFonts w:hint="cs"/>
          <w:sz w:val="30"/>
          <w:rtl/>
        </w:rPr>
        <w:t xml:space="preserve"> فيما يتعلق بالحادث الذي وقع في 25 تشرين الأول/أكتوبر 2002، لم يقدم صاحب البلاغ أي شكوى إلى السلطات المحلية </w:t>
      </w:r>
      <w:r w:rsidR="00A57EB4">
        <w:rPr>
          <w:rFonts w:hint="cs"/>
          <w:sz w:val="30"/>
          <w:rtl/>
        </w:rPr>
        <w:t xml:space="preserve">بشأن الاعتداء </w:t>
      </w:r>
      <w:r w:rsidRPr="00D3269B">
        <w:rPr>
          <w:rFonts w:hint="cs"/>
          <w:sz w:val="30"/>
          <w:rtl/>
        </w:rPr>
        <w:t xml:space="preserve">عليه من جانب رئيس شرطة البلدية التابعة لمجلس </w:t>
      </w:r>
      <w:r w:rsidR="00A57EB4">
        <w:rPr>
          <w:rFonts w:hint="cs"/>
          <w:sz w:val="30"/>
          <w:rtl/>
        </w:rPr>
        <w:t xml:space="preserve">مدينة </w:t>
      </w:r>
      <w:proofErr w:type="spellStart"/>
      <w:r w:rsidRPr="00D3269B">
        <w:rPr>
          <w:rFonts w:hint="cs"/>
          <w:sz w:val="30"/>
          <w:rtl/>
        </w:rPr>
        <w:t>ليمب</w:t>
      </w:r>
      <w:r w:rsidR="00A57EB4">
        <w:rPr>
          <w:rFonts w:hint="cs"/>
          <w:sz w:val="30"/>
          <w:rtl/>
        </w:rPr>
        <w:t>ه</w:t>
      </w:r>
      <w:proofErr w:type="spellEnd"/>
      <w:r w:rsidRPr="00D3269B">
        <w:rPr>
          <w:rFonts w:hint="cs"/>
          <w:sz w:val="30"/>
          <w:rtl/>
        </w:rPr>
        <w:t xml:space="preserve"> وخمسة أشخاص آخرين (الفقرة</w:t>
      </w:r>
      <w:r w:rsidR="00A57EB4">
        <w:rPr>
          <w:rFonts w:hint="eastAsia"/>
          <w:sz w:val="30"/>
          <w:rtl/>
        </w:rPr>
        <w:t> </w:t>
      </w:r>
      <w:r w:rsidRPr="00D3269B">
        <w:rPr>
          <w:rFonts w:hint="cs"/>
          <w:sz w:val="30"/>
          <w:rtl/>
        </w:rPr>
        <w:t xml:space="preserve">2-4)، وكذلك إلقاء القبض عليه فيما بعد. </w:t>
      </w:r>
      <w:r>
        <w:rPr>
          <w:rFonts w:hint="cs"/>
          <w:sz w:val="30"/>
          <w:rtl/>
        </w:rPr>
        <w:t>وبما أن صاحب البلاغ لم ي</w:t>
      </w:r>
      <w:r w:rsidR="00A57EB4">
        <w:rPr>
          <w:rFonts w:hint="cs"/>
          <w:sz w:val="30"/>
          <w:rtl/>
        </w:rPr>
        <w:t xml:space="preserve">ُبْد </w:t>
      </w:r>
      <w:r w:rsidRPr="00D3269B">
        <w:rPr>
          <w:rFonts w:hint="cs"/>
          <w:sz w:val="30"/>
          <w:rtl/>
        </w:rPr>
        <w:t>الأسباب التي منعته من تقديم مثل هذه الشكوى، تعلن اللجنة عدم مقبولية هذا الجزء من البلاغ بموجب الفقرة 2(ب) من المادة 5 من البروتوكول الاختياري.</w:t>
      </w:r>
    </w:p>
    <w:p w:rsidR="004F510A" w:rsidRPr="00D3269B" w:rsidRDefault="004F510A" w:rsidP="00A57EB4">
      <w:pPr>
        <w:pStyle w:val="SingleTxtGA"/>
        <w:rPr>
          <w:sz w:val="30"/>
          <w:rtl/>
        </w:rPr>
      </w:pPr>
      <w:r w:rsidRPr="00D3269B">
        <w:rPr>
          <w:rFonts w:hint="cs"/>
          <w:sz w:val="30"/>
          <w:rtl/>
        </w:rPr>
        <w:lastRenderedPageBreak/>
        <w:t>11-6</w:t>
      </w:r>
      <w:r w:rsidRPr="00D3269B">
        <w:rPr>
          <w:rFonts w:hint="cs"/>
          <w:sz w:val="30"/>
          <w:rtl/>
        </w:rPr>
        <w:tab/>
        <w:t xml:space="preserve">وفيما يتعلق بادعاءات صاحب البلاغ بموجب الفقرة 1 من المادة 2، مقروءة بالاقتران بالمواد 6 و7 و9 </w:t>
      </w:r>
      <w:r w:rsidR="00A57EB4">
        <w:rPr>
          <w:rFonts w:hint="cs"/>
          <w:sz w:val="30"/>
          <w:rtl/>
        </w:rPr>
        <w:t>من العهد وبموجب المادة 26 منه</w:t>
      </w:r>
      <w:r w:rsidRPr="00D3269B">
        <w:rPr>
          <w:rFonts w:hint="cs"/>
          <w:sz w:val="30"/>
          <w:rtl/>
        </w:rPr>
        <w:t xml:space="preserve">، وبالاستناد إلى عدم وجود أي ملاحقة قضائية وفصل في الشكاوى التي </w:t>
      </w:r>
      <w:r>
        <w:rPr>
          <w:rFonts w:hint="cs"/>
          <w:sz w:val="30"/>
          <w:rtl/>
        </w:rPr>
        <w:t xml:space="preserve">قدمها </w:t>
      </w:r>
      <w:r w:rsidRPr="00D3269B">
        <w:rPr>
          <w:rFonts w:hint="cs"/>
          <w:sz w:val="30"/>
          <w:rtl/>
        </w:rPr>
        <w:t>صاحب البلاغ، تخلص اللجنة إلى أن هذا الأخير لم</w:t>
      </w:r>
      <w:r w:rsidR="00A57EB4">
        <w:rPr>
          <w:rFonts w:hint="eastAsia"/>
          <w:sz w:val="30"/>
          <w:rtl/>
        </w:rPr>
        <w:t> </w:t>
      </w:r>
      <w:r w:rsidRPr="00D3269B">
        <w:rPr>
          <w:rFonts w:hint="cs"/>
          <w:sz w:val="30"/>
          <w:rtl/>
        </w:rPr>
        <w:t xml:space="preserve">يبين الفرق في المعاملة </w:t>
      </w:r>
      <w:r>
        <w:rPr>
          <w:rFonts w:hint="cs"/>
          <w:sz w:val="30"/>
          <w:rtl/>
        </w:rPr>
        <w:t>مع</w:t>
      </w:r>
      <w:r w:rsidRPr="00D3269B">
        <w:rPr>
          <w:rFonts w:hint="cs"/>
          <w:sz w:val="30"/>
          <w:rtl/>
        </w:rPr>
        <w:t xml:space="preserve"> أفراد </w:t>
      </w:r>
      <w:r>
        <w:rPr>
          <w:rFonts w:hint="cs"/>
          <w:sz w:val="30"/>
          <w:rtl/>
        </w:rPr>
        <w:t xml:space="preserve">آخرين </w:t>
      </w:r>
      <w:r w:rsidRPr="00D3269B">
        <w:rPr>
          <w:rFonts w:hint="cs"/>
          <w:sz w:val="30"/>
          <w:rtl/>
        </w:rPr>
        <w:t>بموجب الولاية القضائية للدولة</w:t>
      </w:r>
      <w:r>
        <w:rPr>
          <w:rFonts w:hint="cs"/>
          <w:sz w:val="30"/>
          <w:rtl/>
        </w:rPr>
        <w:t xml:space="preserve"> الطرف</w:t>
      </w:r>
      <w:r w:rsidRPr="00D3269B">
        <w:rPr>
          <w:rFonts w:hint="cs"/>
          <w:sz w:val="30"/>
          <w:rtl/>
        </w:rPr>
        <w:t xml:space="preserve">، </w:t>
      </w:r>
      <w:r>
        <w:rPr>
          <w:rFonts w:hint="cs"/>
          <w:sz w:val="30"/>
          <w:rtl/>
        </w:rPr>
        <w:t>بموجب</w:t>
      </w:r>
      <w:r w:rsidRPr="00D3269B">
        <w:rPr>
          <w:rFonts w:hint="cs"/>
          <w:sz w:val="30"/>
          <w:rtl/>
        </w:rPr>
        <w:t xml:space="preserve"> الأصل الاجتماعي أو الملكية أو المولد أو أي وضع آخر. ولذلك تخلص اللجنة إلى أن صاحب البلاغ لم</w:t>
      </w:r>
      <w:r w:rsidRPr="00D3269B">
        <w:rPr>
          <w:rFonts w:hint="eastAsia"/>
          <w:sz w:val="30"/>
          <w:rtl/>
        </w:rPr>
        <w:t> </w:t>
      </w:r>
      <w:r w:rsidRPr="00D3269B">
        <w:rPr>
          <w:rFonts w:hint="cs"/>
          <w:sz w:val="30"/>
          <w:rtl/>
        </w:rPr>
        <w:t>يقدم أدلة لإثبات ادعائه، وبالتالي تعلن عدم مقبولية هذا الجزء من البلاغ بموجب المادة 2 من البروتوكول الاختياري.</w:t>
      </w:r>
    </w:p>
    <w:p w:rsidR="004F510A" w:rsidRPr="00D3269B" w:rsidRDefault="004F510A" w:rsidP="00E3438B">
      <w:pPr>
        <w:pStyle w:val="SingleTxtGA"/>
        <w:rPr>
          <w:sz w:val="30"/>
          <w:rtl/>
        </w:rPr>
      </w:pPr>
      <w:r w:rsidRPr="00D3269B">
        <w:rPr>
          <w:rFonts w:hint="cs"/>
          <w:sz w:val="30"/>
          <w:rtl/>
        </w:rPr>
        <w:t>11-7</w:t>
      </w:r>
      <w:r w:rsidRPr="00D3269B">
        <w:rPr>
          <w:rFonts w:hint="cs"/>
          <w:sz w:val="30"/>
          <w:rtl/>
        </w:rPr>
        <w:tab/>
        <w:t>وترى اللجنة أن صاحب البلاغ لم يقدم أدلة كافية في بلاغه بموجب المادة 6 من العهد، لأغراض المقبولية.</w:t>
      </w:r>
    </w:p>
    <w:p w:rsidR="004F510A" w:rsidRPr="00D3269B" w:rsidRDefault="004F510A" w:rsidP="00A57EB4">
      <w:pPr>
        <w:pStyle w:val="SingleTxtGA"/>
        <w:rPr>
          <w:sz w:val="30"/>
          <w:rtl/>
        </w:rPr>
      </w:pPr>
      <w:r w:rsidRPr="00D3269B">
        <w:rPr>
          <w:rFonts w:hint="cs"/>
          <w:sz w:val="30"/>
          <w:rtl/>
        </w:rPr>
        <w:t>11-8</w:t>
      </w:r>
      <w:r w:rsidRPr="00D3269B">
        <w:rPr>
          <w:rFonts w:hint="cs"/>
          <w:sz w:val="30"/>
          <w:rtl/>
        </w:rPr>
        <w:tab/>
        <w:t>وترى اللجنة أن صاحب البلاغ قدم أدلة كافية لإثبات ما تبقى من ادعاءاته، بقدر ما</w:t>
      </w:r>
      <w:r w:rsidR="00A57EB4">
        <w:rPr>
          <w:rFonts w:hint="eastAsia"/>
          <w:sz w:val="30"/>
          <w:rtl/>
        </w:rPr>
        <w:t> </w:t>
      </w:r>
      <w:r w:rsidRPr="00D3269B">
        <w:rPr>
          <w:rFonts w:hint="cs"/>
          <w:sz w:val="30"/>
          <w:rtl/>
        </w:rPr>
        <w:t>يتعلق ذلك بإثارة مسائل بموجب المواد 7 و9 والفقرة 3 من المادة 2 من العهد وبالتالي تنتقل إلى النظر في البلاغ ب</w:t>
      </w:r>
      <w:r w:rsidR="00A57EB4">
        <w:rPr>
          <w:rFonts w:hint="cs"/>
          <w:sz w:val="30"/>
          <w:rtl/>
        </w:rPr>
        <w:t>ناءً على أسسه الموضوعية.</w:t>
      </w:r>
    </w:p>
    <w:p w:rsidR="004F510A" w:rsidRPr="00D3269B" w:rsidRDefault="00A57EB4" w:rsidP="00A57EB4">
      <w:pPr>
        <w:pStyle w:val="H4GA"/>
        <w:rPr>
          <w:rtl/>
        </w:rPr>
      </w:pPr>
      <w:r>
        <w:rPr>
          <w:rFonts w:hint="cs"/>
          <w:rtl/>
        </w:rPr>
        <w:tab/>
      </w:r>
      <w:r>
        <w:rPr>
          <w:rFonts w:hint="cs"/>
          <w:rtl/>
        </w:rPr>
        <w:tab/>
      </w:r>
      <w:r w:rsidR="004F510A" w:rsidRPr="00D3269B">
        <w:rPr>
          <w:rFonts w:hint="cs"/>
          <w:rtl/>
        </w:rPr>
        <w:t>النظر في الأسس الموضوعية</w:t>
      </w:r>
    </w:p>
    <w:p w:rsidR="004F510A" w:rsidRPr="00D3269B" w:rsidRDefault="004F510A" w:rsidP="00E3438B">
      <w:pPr>
        <w:pStyle w:val="SingleTxtGA"/>
        <w:rPr>
          <w:sz w:val="30"/>
          <w:rtl/>
        </w:rPr>
      </w:pPr>
      <w:r w:rsidRPr="00D3269B">
        <w:rPr>
          <w:rFonts w:hint="cs"/>
          <w:sz w:val="30"/>
          <w:rtl/>
        </w:rPr>
        <w:t>12-1</w:t>
      </w:r>
      <w:r w:rsidRPr="00D3269B">
        <w:rPr>
          <w:rFonts w:hint="cs"/>
          <w:sz w:val="30"/>
          <w:rtl/>
        </w:rPr>
        <w:tab/>
        <w:t>نظرت اللجنة المعنية بحقوق الإنسان في البلاغ في ضوء كل المعلومات التي أتاحها لها الطرفان، وفقا ًلما هو منصوص عليه في الفقرة 1 من المادة 5 من البروتوكول الاختياري.</w:t>
      </w:r>
    </w:p>
    <w:p w:rsidR="004F510A" w:rsidRPr="00D3269B" w:rsidRDefault="004F510A" w:rsidP="00997E99">
      <w:pPr>
        <w:pStyle w:val="SingleTxtGA"/>
        <w:rPr>
          <w:sz w:val="30"/>
          <w:rtl/>
        </w:rPr>
      </w:pPr>
      <w:r w:rsidRPr="00997E99">
        <w:rPr>
          <w:rFonts w:hint="cs"/>
          <w:spacing w:val="-4"/>
          <w:sz w:val="30"/>
          <w:rtl/>
        </w:rPr>
        <w:t>12-2</w:t>
      </w:r>
      <w:r w:rsidRPr="00997E99">
        <w:rPr>
          <w:rFonts w:hint="cs"/>
          <w:spacing w:val="-4"/>
          <w:sz w:val="30"/>
          <w:rtl/>
        </w:rPr>
        <w:tab/>
      </w:r>
      <w:r w:rsidR="00A57EB4" w:rsidRPr="00997E99">
        <w:rPr>
          <w:rFonts w:hint="cs"/>
          <w:spacing w:val="-4"/>
          <w:sz w:val="30"/>
          <w:rtl/>
        </w:rPr>
        <w:t xml:space="preserve">وأحاطت </w:t>
      </w:r>
      <w:r w:rsidRPr="00997E99">
        <w:rPr>
          <w:rFonts w:hint="cs"/>
          <w:spacing w:val="-4"/>
          <w:sz w:val="30"/>
          <w:rtl/>
        </w:rPr>
        <w:t>اللجنة علماً ب</w:t>
      </w:r>
      <w:r w:rsidR="00A57EB4" w:rsidRPr="00997E99">
        <w:rPr>
          <w:rFonts w:hint="cs"/>
          <w:spacing w:val="-4"/>
          <w:sz w:val="30"/>
          <w:rtl/>
        </w:rPr>
        <w:t xml:space="preserve">ما ادعاه </w:t>
      </w:r>
      <w:r w:rsidRPr="00997E99">
        <w:rPr>
          <w:rFonts w:hint="cs"/>
          <w:spacing w:val="-4"/>
          <w:sz w:val="30"/>
          <w:rtl/>
        </w:rPr>
        <w:t>صاحب البلاغ أنه</w:t>
      </w:r>
      <w:r w:rsidR="00997E99" w:rsidRPr="00997E99">
        <w:rPr>
          <w:rFonts w:hint="cs"/>
          <w:spacing w:val="-4"/>
          <w:sz w:val="30"/>
          <w:rtl/>
        </w:rPr>
        <w:t xml:space="preserve"> كان</w:t>
      </w:r>
      <w:r w:rsidRPr="00997E99">
        <w:rPr>
          <w:rFonts w:hint="cs"/>
          <w:spacing w:val="-4"/>
          <w:sz w:val="30"/>
          <w:rtl/>
        </w:rPr>
        <w:t>، في 29 آب/أغسطس 2002</w:t>
      </w:r>
      <w:r w:rsidRPr="00D3269B">
        <w:rPr>
          <w:rFonts w:hint="cs"/>
          <w:sz w:val="30"/>
          <w:rtl/>
        </w:rPr>
        <w:t xml:space="preserve">، </w:t>
      </w:r>
      <w:r w:rsidR="00A57EB4">
        <w:rPr>
          <w:rFonts w:hint="cs"/>
          <w:sz w:val="30"/>
          <w:rtl/>
        </w:rPr>
        <w:t xml:space="preserve">على </w:t>
      </w:r>
      <w:r w:rsidRPr="00D3269B">
        <w:rPr>
          <w:rFonts w:hint="cs"/>
          <w:sz w:val="30"/>
          <w:rtl/>
        </w:rPr>
        <w:t xml:space="preserve">موعد مع </w:t>
      </w:r>
      <w:r w:rsidR="00B34F61">
        <w:rPr>
          <w:rFonts w:hint="cs"/>
          <w:sz w:val="30"/>
          <w:rtl/>
        </w:rPr>
        <w:t>مندوب الحكومة</w:t>
      </w:r>
      <w:r w:rsidRPr="00D3269B">
        <w:rPr>
          <w:rFonts w:hint="cs"/>
          <w:sz w:val="30"/>
          <w:rtl/>
        </w:rPr>
        <w:t xml:space="preserve"> الذي يرأس </w:t>
      </w:r>
      <w:r w:rsidR="00A57EB4">
        <w:rPr>
          <w:rFonts w:hint="cs"/>
          <w:sz w:val="30"/>
          <w:rtl/>
        </w:rPr>
        <w:t xml:space="preserve">مجلس </w:t>
      </w:r>
      <w:proofErr w:type="spellStart"/>
      <w:r w:rsidRPr="00D3269B">
        <w:rPr>
          <w:rFonts w:hint="cs"/>
          <w:sz w:val="30"/>
          <w:rtl/>
        </w:rPr>
        <w:t>ليمب</w:t>
      </w:r>
      <w:r w:rsidR="00A57EB4">
        <w:rPr>
          <w:rFonts w:hint="cs"/>
          <w:sz w:val="30"/>
          <w:rtl/>
        </w:rPr>
        <w:t>ه</w:t>
      </w:r>
      <w:proofErr w:type="spellEnd"/>
      <w:r w:rsidRPr="00D3269B">
        <w:rPr>
          <w:rFonts w:hint="cs"/>
          <w:sz w:val="30"/>
          <w:rtl/>
        </w:rPr>
        <w:t xml:space="preserve"> </w:t>
      </w:r>
      <w:r w:rsidR="00A57EB4">
        <w:rPr>
          <w:rFonts w:hint="cs"/>
          <w:sz w:val="30"/>
          <w:rtl/>
        </w:rPr>
        <w:t>البلدي</w:t>
      </w:r>
      <w:r w:rsidRPr="00D3269B">
        <w:rPr>
          <w:rFonts w:hint="cs"/>
          <w:sz w:val="30"/>
          <w:rtl/>
        </w:rPr>
        <w:t xml:space="preserve">، والذي </w:t>
      </w:r>
      <w:r w:rsidR="00A57EB4">
        <w:rPr>
          <w:rFonts w:hint="cs"/>
          <w:sz w:val="30"/>
          <w:rtl/>
        </w:rPr>
        <w:t>سدّد هو و</w:t>
      </w:r>
      <w:r w:rsidRPr="00D3269B">
        <w:rPr>
          <w:rFonts w:hint="cs"/>
          <w:sz w:val="30"/>
          <w:rtl/>
        </w:rPr>
        <w:t xml:space="preserve">ثلاثة موظفين في البلدية، ضربات </w:t>
      </w:r>
      <w:r w:rsidR="00A57EB4">
        <w:rPr>
          <w:rFonts w:hint="cs"/>
          <w:sz w:val="30"/>
          <w:rtl/>
        </w:rPr>
        <w:t>عنيفة إلى عينيه ووجه</w:t>
      </w:r>
      <w:r w:rsidRPr="00D3269B">
        <w:rPr>
          <w:rFonts w:hint="cs"/>
          <w:sz w:val="30"/>
          <w:rtl/>
        </w:rPr>
        <w:t xml:space="preserve"> مما تسبب في إصابته بنزيف حاد وتلف دائم في عينه </w:t>
      </w:r>
      <w:r w:rsidR="00645A69">
        <w:rPr>
          <w:rFonts w:hint="cs"/>
          <w:sz w:val="30"/>
          <w:rtl/>
        </w:rPr>
        <w:t>اليسرى. وادعى صاحب البلاغ أيضاً</w:t>
      </w:r>
      <w:r w:rsidRPr="00D3269B">
        <w:rPr>
          <w:rFonts w:hint="cs"/>
          <w:sz w:val="30"/>
          <w:rtl/>
        </w:rPr>
        <w:t xml:space="preserve">، </w:t>
      </w:r>
      <w:r w:rsidR="00645A69">
        <w:rPr>
          <w:rFonts w:hint="cs"/>
          <w:sz w:val="30"/>
          <w:rtl/>
        </w:rPr>
        <w:t xml:space="preserve">أن </w:t>
      </w:r>
      <w:r w:rsidR="00B34F61">
        <w:rPr>
          <w:rFonts w:hint="cs"/>
          <w:sz w:val="30"/>
          <w:rtl/>
        </w:rPr>
        <w:t>مندوب الحكومة</w:t>
      </w:r>
      <w:r w:rsidRPr="00D3269B">
        <w:rPr>
          <w:rFonts w:hint="cs"/>
          <w:sz w:val="30"/>
          <w:rtl/>
        </w:rPr>
        <w:t xml:space="preserve"> </w:t>
      </w:r>
      <w:r w:rsidR="00645A69">
        <w:rPr>
          <w:rFonts w:hint="cs"/>
          <w:sz w:val="30"/>
          <w:rtl/>
        </w:rPr>
        <w:t xml:space="preserve">هدّده بالقتل أثناء وجوده في المستشفى </w:t>
      </w:r>
      <w:r w:rsidRPr="00D3269B">
        <w:rPr>
          <w:rFonts w:hint="cs"/>
          <w:sz w:val="30"/>
          <w:rtl/>
        </w:rPr>
        <w:t>وأنه في 25 تشرين الأول/أكتوبر 2002، تعرض ل</w:t>
      </w:r>
      <w:r w:rsidR="00645A69">
        <w:rPr>
          <w:rFonts w:hint="cs"/>
          <w:sz w:val="30"/>
          <w:rtl/>
        </w:rPr>
        <w:t xml:space="preserve">اعتداء </w:t>
      </w:r>
      <w:r w:rsidRPr="00D3269B">
        <w:rPr>
          <w:rFonts w:hint="cs"/>
          <w:sz w:val="30"/>
          <w:rtl/>
        </w:rPr>
        <w:t xml:space="preserve">من جانب </w:t>
      </w:r>
      <w:r w:rsidR="00645A69">
        <w:rPr>
          <w:rFonts w:hint="cs"/>
          <w:sz w:val="30"/>
          <w:rtl/>
        </w:rPr>
        <w:t>أحد شرطة البلدية وأحد رجال الدرك وألقي القبض عليه واحتجز</w:t>
      </w:r>
      <w:r w:rsidRPr="00D3269B">
        <w:rPr>
          <w:rFonts w:hint="cs"/>
          <w:sz w:val="30"/>
          <w:rtl/>
        </w:rPr>
        <w:t xml:space="preserve"> في مستشفى </w:t>
      </w:r>
      <w:proofErr w:type="spellStart"/>
      <w:r w:rsidRPr="00D3269B">
        <w:rPr>
          <w:rFonts w:hint="cs"/>
          <w:sz w:val="30"/>
          <w:rtl/>
        </w:rPr>
        <w:t>ليمب</w:t>
      </w:r>
      <w:r w:rsidR="00645A69">
        <w:rPr>
          <w:rFonts w:hint="cs"/>
          <w:sz w:val="30"/>
          <w:rtl/>
        </w:rPr>
        <w:t>ه</w:t>
      </w:r>
      <w:proofErr w:type="spellEnd"/>
      <w:r w:rsidRPr="00D3269B">
        <w:rPr>
          <w:rFonts w:hint="cs"/>
          <w:sz w:val="30"/>
          <w:rtl/>
        </w:rPr>
        <w:t>.</w:t>
      </w:r>
    </w:p>
    <w:p w:rsidR="004F510A" w:rsidRPr="00D3269B" w:rsidRDefault="004F510A" w:rsidP="00645A69">
      <w:pPr>
        <w:pStyle w:val="SingleTxtGA"/>
        <w:rPr>
          <w:sz w:val="30"/>
          <w:rtl/>
        </w:rPr>
      </w:pPr>
      <w:r w:rsidRPr="00D3269B">
        <w:rPr>
          <w:rFonts w:hint="cs"/>
          <w:sz w:val="30"/>
          <w:rtl/>
        </w:rPr>
        <w:t>12-3</w:t>
      </w:r>
      <w:r w:rsidRPr="00D3269B">
        <w:rPr>
          <w:rFonts w:hint="cs"/>
          <w:sz w:val="30"/>
          <w:rtl/>
        </w:rPr>
        <w:tab/>
        <w:t xml:space="preserve">وتلاحظ اللجنة أن الدولة الطرف اكتفت بالتأكيد على أنها تعترض على الوقائع، لأن صاحب البلاغ ادعى أنه </w:t>
      </w:r>
      <w:r w:rsidR="00645A69">
        <w:rPr>
          <w:rFonts w:hint="cs"/>
          <w:sz w:val="30"/>
          <w:rtl/>
        </w:rPr>
        <w:t>تعرّض للاعتداء</w:t>
      </w:r>
      <w:r w:rsidRPr="00D3269B">
        <w:rPr>
          <w:rFonts w:hint="cs"/>
          <w:sz w:val="30"/>
          <w:rtl/>
        </w:rPr>
        <w:t xml:space="preserve">، في حين </w:t>
      </w:r>
      <w:r>
        <w:rPr>
          <w:rFonts w:hint="cs"/>
          <w:sz w:val="30"/>
          <w:rtl/>
        </w:rPr>
        <w:t xml:space="preserve">أكد </w:t>
      </w:r>
      <w:r w:rsidR="00B34F61">
        <w:rPr>
          <w:rFonts w:hint="cs"/>
          <w:sz w:val="30"/>
          <w:rtl/>
        </w:rPr>
        <w:t>مندوب الحكومة</w:t>
      </w:r>
      <w:r w:rsidR="00645A69">
        <w:rPr>
          <w:rFonts w:hint="cs"/>
          <w:sz w:val="30"/>
          <w:rtl/>
        </w:rPr>
        <w:t xml:space="preserve"> أن</w:t>
      </w:r>
      <w:r w:rsidRPr="00D3269B">
        <w:rPr>
          <w:rFonts w:hint="cs"/>
          <w:sz w:val="30"/>
          <w:rtl/>
        </w:rPr>
        <w:t xml:space="preserve"> صاحب البلاغ </w:t>
      </w:r>
      <w:r w:rsidR="00645A69">
        <w:rPr>
          <w:rFonts w:hint="cs"/>
          <w:sz w:val="30"/>
          <w:rtl/>
        </w:rPr>
        <w:t xml:space="preserve">حاول </w:t>
      </w:r>
      <w:r w:rsidRPr="00D3269B">
        <w:rPr>
          <w:rFonts w:hint="cs"/>
          <w:sz w:val="30"/>
          <w:rtl/>
        </w:rPr>
        <w:t xml:space="preserve">قتله عمداً. ومع ذلك، ترى اللجنة أن الدولة الطرف لم تدحض ادعاء صاحب البلاغ بتعرضه </w:t>
      </w:r>
      <w:r w:rsidR="00645A69">
        <w:rPr>
          <w:rFonts w:hint="cs"/>
          <w:sz w:val="30"/>
          <w:rtl/>
        </w:rPr>
        <w:t xml:space="preserve">لاعتداء </w:t>
      </w:r>
      <w:r w:rsidRPr="00D3269B">
        <w:rPr>
          <w:rFonts w:hint="cs"/>
          <w:sz w:val="30"/>
          <w:rtl/>
        </w:rPr>
        <w:t>شديد من جانب موظف حكوم</w:t>
      </w:r>
      <w:r>
        <w:rPr>
          <w:rFonts w:hint="cs"/>
          <w:sz w:val="30"/>
          <w:rtl/>
        </w:rPr>
        <w:t>ي</w:t>
      </w:r>
      <w:r w:rsidR="001314CF">
        <w:rPr>
          <w:rFonts w:hint="cs"/>
          <w:sz w:val="30"/>
          <w:rtl/>
        </w:rPr>
        <w:t xml:space="preserve"> </w:t>
      </w:r>
      <w:r>
        <w:rPr>
          <w:rFonts w:hint="cs"/>
          <w:sz w:val="30"/>
          <w:rtl/>
        </w:rPr>
        <w:t xml:space="preserve">في </w:t>
      </w:r>
      <w:r w:rsidRPr="00D3269B">
        <w:rPr>
          <w:rFonts w:hint="cs"/>
          <w:sz w:val="30"/>
          <w:rtl/>
        </w:rPr>
        <w:t xml:space="preserve">الدولة الطرف، تسبب في فقدانه لبصره </w:t>
      </w:r>
      <w:r>
        <w:rPr>
          <w:rFonts w:hint="cs"/>
          <w:sz w:val="30"/>
          <w:rtl/>
        </w:rPr>
        <w:t xml:space="preserve">في </w:t>
      </w:r>
      <w:r w:rsidRPr="00D3269B">
        <w:rPr>
          <w:rFonts w:hint="cs"/>
          <w:sz w:val="30"/>
          <w:rtl/>
        </w:rPr>
        <w:t>عينه اليسرى</w:t>
      </w:r>
      <w:r w:rsidR="00645A69">
        <w:rPr>
          <w:rFonts w:hint="cs"/>
          <w:sz w:val="30"/>
          <w:rtl/>
        </w:rPr>
        <w:t xml:space="preserve"> بشكل دائم</w:t>
      </w:r>
      <w:r w:rsidRPr="00D3269B">
        <w:rPr>
          <w:rFonts w:hint="cs"/>
          <w:sz w:val="30"/>
          <w:rtl/>
        </w:rPr>
        <w:t xml:space="preserve">، وأن مثل هذه الأفعال ظلت دون عقاب. وتذكر اللجنة بسوابقها القضائية التي تشير إلى أن التحقيق الجنائي وما يترتب عليه من ملاحقة قضائية هما </w:t>
      </w:r>
      <w:r w:rsidR="00645A69">
        <w:rPr>
          <w:rFonts w:hint="cs"/>
          <w:sz w:val="30"/>
          <w:rtl/>
        </w:rPr>
        <w:t xml:space="preserve">من سبل الانتصاف الضرورية </w:t>
      </w:r>
      <w:r>
        <w:rPr>
          <w:rFonts w:hint="cs"/>
          <w:sz w:val="30"/>
          <w:rtl/>
        </w:rPr>
        <w:t xml:space="preserve">لجبر </w:t>
      </w:r>
      <w:r w:rsidRPr="00D3269B">
        <w:rPr>
          <w:rFonts w:hint="cs"/>
          <w:sz w:val="30"/>
          <w:rtl/>
        </w:rPr>
        <w:t>انتهاكات حقوق الإنسان التي تحميها المادتان 6 و7 من العهد</w:t>
      </w:r>
      <w:r w:rsidRPr="00D3269B">
        <w:rPr>
          <w:sz w:val="30"/>
          <w:vertAlign w:val="superscript"/>
          <w:rtl/>
        </w:rPr>
        <w:t>(</w:t>
      </w:r>
      <w:r w:rsidRPr="00D3269B">
        <w:rPr>
          <w:b/>
          <w:sz w:val="18"/>
          <w:szCs w:val="28"/>
          <w:vertAlign w:val="superscript"/>
          <w:rtl/>
        </w:rPr>
        <w:footnoteReference w:id="11"/>
      </w:r>
      <w:r w:rsidRPr="00D3269B">
        <w:rPr>
          <w:sz w:val="30"/>
          <w:vertAlign w:val="superscript"/>
          <w:rtl/>
        </w:rPr>
        <w:t>)</w:t>
      </w:r>
      <w:r w:rsidRPr="00D3269B">
        <w:rPr>
          <w:rFonts w:hint="cs"/>
          <w:sz w:val="30"/>
          <w:rtl/>
        </w:rPr>
        <w:t xml:space="preserve">. </w:t>
      </w:r>
      <w:r w:rsidRPr="00D3269B">
        <w:rPr>
          <w:rFonts w:hint="cs"/>
          <w:sz w:val="30"/>
          <w:rtl/>
        </w:rPr>
        <w:lastRenderedPageBreak/>
        <w:t>وتذك</w:t>
      </w:r>
      <w:r w:rsidR="00645A69">
        <w:rPr>
          <w:rFonts w:hint="cs"/>
          <w:sz w:val="30"/>
          <w:rtl/>
        </w:rPr>
        <w:t>ّ</w:t>
      </w:r>
      <w:r w:rsidRPr="00D3269B">
        <w:rPr>
          <w:rFonts w:hint="cs"/>
          <w:sz w:val="30"/>
          <w:rtl/>
        </w:rPr>
        <w:t xml:space="preserve">ر أيضاً بتعليقها العام رقم 31(2004)، الذي ينص على أنه </w:t>
      </w:r>
      <w:r w:rsidR="00645A69">
        <w:rPr>
          <w:rFonts w:hint="cs"/>
          <w:sz w:val="30"/>
          <w:rtl/>
        </w:rPr>
        <w:t xml:space="preserve">على الدولة الطرف، </w:t>
      </w:r>
      <w:r w:rsidRPr="00D3269B">
        <w:rPr>
          <w:rFonts w:hint="cs"/>
          <w:sz w:val="30"/>
          <w:rtl/>
        </w:rPr>
        <w:t>حيثما تكشف التحقيقات عن حدوث انتهاكات لحقوق معينة واردة في العهد، أن تكفل محاكمة المسؤولين عن تلك الانتهاكات</w:t>
      </w:r>
      <w:r w:rsidRPr="00D3269B">
        <w:rPr>
          <w:sz w:val="30"/>
          <w:vertAlign w:val="superscript"/>
          <w:rtl/>
        </w:rPr>
        <w:t>(</w:t>
      </w:r>
      <w:r w:rsidRPr="00D3269B">
        <w:rPr>
          <w:b/>
          <w:sz w:val="18"/>
          <w:szCs w:val="28"/>
          <w:vertAlign w:val="superscript"/>
          <w:rtl/>
        </w:rPr>
        <w:footnoteReference w:id="12"/>
      </w:r>
      <w:r w:rsidRPr="00D3269B">
        <w:rPr>
          <w:sz w:val="30"/>
          <w:vertAlign w:val="superscript"/>
          <w:rtl/>
        </w:rPr>
        <w:t>)</w:t>
      </w:r>
      <w:r w:rsidRPr="00D3269B">
        <w:rPr>
          <w:rFonts w:hint="cs"/>
          <w:sz w:val="30"/>
          <w:rtl/>
        </w:rPr>
        <w:t>.</w:t>
      </w:r>
    </w:p>
    <w:p w:rsidR="004F510A" w:rsidRPr="00D3269B" w:rsidRDefault="004F510A" w:rsidP="00EA4ACF">
      <w:pPr>
        <w:pStyle w:val="SingleTxtGA"/>
        <w:rPr>
          <w:sz w:val="30"/>
          <w:rtl/>
        </w:rPr>
      </w:pPr>
      <w:r w:rsidRPr="00D3269B">
        <w:rPr>
          <w:rFonts w:hint="cs"/>
          <w:sz w:val="30"/>
          <w:rtl/>
        </w:rPr>
        <w:t>12-4</w:t>
      </w:r>
      <w:r w:rsidRPr="00D3269B">
        <w:rPr>
          <w:rFonts w:hint="cs"/>
          <w:sz w:val="30"/>
          <w:rtl/>
        </w:rPr>
        <w:tab/>
        <w:t xml:space="preserve">وفي الحالة الراهنة، لم تجر الدولة الطرف تحقيقاً فعالاً في مسؤولية الموظفين الحكوميين المشتبه في ارتكابهم بشكل مباشر جرائم في 29 آب/أغسطس 2002، </w:t>
      </w:r>
      <w:r>
        <w:rPr>
          <w:rFonts w:hint="cs"/>
          <w:sz w:val="30"/>
          <w:rtl/>
        </w:rPr>
        <w:t xml:space="preserve">كما </w:t>
      </w:r>
      <w:r w:rsidRPr="00D3269B">
        <w:rPr>
          <w:rFonts w:hint="cs"/>
          <w:sz w:val="30"/>
          <w:rtl/>
        </w:rPr>
        <w:t>أنها لم تقدم أي</w:t>
      </w:r>
      <w:r w:rsidR="00EA4ACF">
        <w:rPr>
          <w:rFonts w:hint="eastAsia"/>
          <w:sz w:val="30"/>
          <w:rtl/>
        </w:rPr>
        <w:t> </w:t>
      </w:r>
      <w:r w:rsidRPr="00D3269B">
        <w:rPr>
          <w:rFonts w:hint="cs"/>
          <w:sz w:val="30"/>
          <w:rtl/>
        </w:rPr>
        <w:t>توضيح ل</w:t>
      </w:r>
      <w:r w:rsidR="00645A69">
        <w:rPr>
          <w:rFonts w:hint="cs"/>
          <w:sz w:val="30"/>
          <w:rtl/>
        </w:rPr>
        <w:t xml:space="preserve">أسباب </w:t>
      </w:r>
      <w:r w:rsidRPr="00D3269B">
        <w:rPr>
          <w:rFonts w:hint="cs"/>
          <w:sz w:val="30"/>
          <w:rtl/>
        </w:rPr>
        <w:t xml:space="preserve">عدم </w:t>
      </w:r>
      <w:r>
        <w:rPr>
          <w:rFonts w:hint="cs"/>
          <w:sz w:val="30"/>
          <w:rtl/>
        </w:rPr>
        <w:t>ال</w:t>
      </w:r>
      <w:r w:rsidRPr="00D3269B">
        <w:rPr>
          <w:rFonts w:hint="cs"/>
          <w:sz w:val="30"/>
          <w:rtl/>
        </w:rPr>
        <w:t xml:space="preserve">شروع </w:t>
      </w:r>
      <w:r>
        <w:rPr>
          <w:rFonts w:hint="cs"/>
          <w:sz w:val="30"/>
          <w:rtl/>
        </w:rPr>
        <w:t xml:space="preserve">في </w:t>
      </w:r>
      <w:r w:rsidRPr="00D3269B">
        <w:rPr>
          <w:rFonts w:hint="cs"/>
          <w:sz w:val="30"/>
          <w:rtl/>
        </w:rPr>
        <w:t xml:space="preserve">التحقيق إلا في شباط/فبراير 2011، أي بعد مرور تسع سنوات </w:t>
      </w:r>
      <w:r>
        <w:rPr>
          <w:rFonts w:hint="cs"/>
          <w:sz w:val="30"/>
          <w:rtl/>
        </w:rPr>
        <w:t>على</w:t>
      </w:r>
      <w:r w:rsidRPr="00D3269B">
        <w:rPr>
          <w:rFonts w:hint="cs"/>
          <w:sz w:val="30"/>
          <w:rtl/>
        </w:rPr>
        <w:t xml:space="preserve"> الوقائع التي اشتكى منها صاحب البلاغ، والتي </w:t>
      </w:r>
      <w:r w:rsidR="00645A69">
        <w:rPr>
          <w:rFonts w:hint="cs"/>
          <w:sz w:val="30"/>
          <w:rtl/>
        </w:rPr>
        <w:t xml:space="preserve">استرعى </w:t>
      </w:r>
      <w:r w:rsidRPr="00D3269B">
        <w:rPr>
          <w:rFonts w:hint="cs"/>
          <w:sz w:val="30"/>
          <w:rtl/>
        </w:rPr>
        <w:t>انتباه السلطات المعنية إليها من خلال شكو</w:t>
      </w:r>
      <w:r>
        <w:rPr>
          <w:rFonts w:hint="cs"/>
          <w:sz w:val="30"/>
          <w:rtl/>
        </w:rPr>
        <w:t>يي</w:t>
      </w:r>
      <w:r w:rsidRPr="00D3269B">
        <w:rPr>
          <w:rFonts w:hint="cs"/>
          <w:sz w:val="30"/>
          <w:rtl/>
        </w:rPr>
        <w:t xml:space="preserve"> صاحب البلاغ المقدم</w:t>
      </w:r>
      <w:r>
        <w:rPr>
          <w:rFonts w:hint="cs"/>
          <w:sz w:val="30"/>
          <w:rtl/>
        </w:rPr>
        <w:t>تين</w:t>
      </w:r>
      <w:r w:rsidRPr="00D3269B">
        <w:rPr>
          <w:rFonts w:hint="cs"/>
          <w:sz w:val="30"/>
          <w:rtl/>
        </w:rPr>
        <w:t xml:space="preserve"> إلى </w:t>
      </w:r>
      <w:r w:rsidR="00645A69">
        <w:rPr>
          <w:rFonts w:hint="cs"/>
          <w:sz w:val="30"/>
          <w:rtl/>
        </w:rPr>
        <w:t xml:space="preserve">المدّعي العام </w:t>
      </w:r>
      <w:r w:rsidRPr="00D3269B">
        <w:rPr>
          <w:rFonts w:hint="cs"/>
          <w:sz w:val="30"/>
          <w:rtl/>
        </w:rPr>
        <w:t xml:space="preserve">في 17 أيلول/سبتمبر و3 تشرين الأول/أكتوبر 2002. وعلى الرغم من أن الدولة الطرف أشارت إلى </w:t>
      </w:r>
      <w:r>
        <w:rPr>
          <w:rFonts w:hint="cs"/>
          <w:sz w:val="30"/>
          <w:rtl/>
        </w:rPr>
        <w:t xml:space="preserve">أن </w:t>
      </w:r>
      <w:r w:rsidRPr="00D3269B">
        <w:rPr>
          <w:rFonts w:hint="cs"/>
          <w:sz w:val="30"/>
          <w:rtl/>
        </w:rPr>
        <w:t xml:space="preserve">باب التحقيق القضائي </w:t>
      </w:r>
      <w:r w:rsidRPr="009247DC">
        <w:rPr>
          <w:rFonts w:hint="cs"/>
          <w:sz w:val="30"/>
          <w:rtl/>
        </w:rPr>
        <w:t>الذي أُرجئ وفات موعده</w:t>
      </w:r>
      <w:r>
        <w:rPr>
          <w:rFonts w:hint="cs"/>
          <w:sz w:val="30"/>
          <w:rtl/>
        </w:rPr>
        <w:t xml:space="preserve"> أفتتح </w:t>
      </w:r>
      <w:r w:rsidRPr="00B570B6">
        <w:rPr>
          <w:rFonts w:hint="cs"/>
          <w:sz w:val="30"/>
          <w:rtl/>
        </w:rPr>
        <w:t>في شباط/فبراير 2011</w:t>
      </w:r>
      <w:r w:rsidR="00645A69">
        <w:rPr>
          <w:rFonts w:hint="cs"/>
          <w:sz w:val="30"/>
          <w:rtl/>
        </w:rPr>
        <w:t>،</w:t>
      </w:r>
      <w:r w:rsidRPr="00D3269B">
        <w:rPr>
          <w:rFonts w:hint="cs"/>
          <w:sz w:val="30"/>
          <w:rtl/>
        </w:rPr>
        <w:t xml:space="preserve"> فإنها لم تقدم أية معلومات عن </w:t>
      </w:r>
      <w:r w:rsidR="00645A69">
        <w:rPr>
          <w:rFonts w:hint="cs"/>
          <w:sz w:val="30"/>
          <w:rtl/>
        </w:rPr>
        <w:t>ال</w:t>
      </w:r>
      <w:r w:rsidRPr="00D3269B">
        <w:rPr>
          <w:rFonts w:hint="cs"/>
          <w:sz w:val="30"/>
          <w:rtl/>
        </w:rPr>
        <w:t xml:space="preserve">نتائج </w:t>
      </w:r>
      <w:proofErr w:type="spellStart"/>
      <w:r w:rsidR="00645A69">
        <w:rPr>
          <w:rFonts w:hint="cs"/>
          <w:sz w:val="30"/>
          <w:rtl/>
        </w:rPr>
        <w:t>المتمخضة</w:t>
      </w:r>
      <w:proofErr w:type="spellEnd"/>
      <w:r w:rsidR="00645A69">
        <w:rPr>
          <w:rFonts w:hint="cs"/>
          <w:sz w:val="30"/>
          <w:rtl/>
        </w:rPr>
        <w:t xml:space="preserve"> عن </w:t>
      </w:r>
      <w:r w:rsidRPr="00D3269B">
        <w:rPr>
          <w:rFonts w:hint="cs"/>
          <w:sz w:val="30"/>
          <w:rtl/>
        </w:rPr>
        <w:t xml:space="preserve">هذا التحقيق، كما أنها لم تحاكم أي شخص أو تبين </w:t>
      </w:r>
      <w:r>
        <w:rPr>
          <w:rFonts w:hint="cs"/>
          <w:sz w:val="30"/>
          <w:rtl/>
        </w:rPr>
        <w:t>الأ</w:t>
      </w:r>
      <w:r w:rsidRPr="00D3269B">
        <w:rPr>
          <w:rFonts w:hint="cs"/>
          <w:sz w:val="30"/>
          <w:rtl/>
        </w:rPr>
        <w:t xml:space="preserve">سباب </w:t>
      </w:r>
      <w:r>
        <w:rPr>
          <w:rFonts w:hint="cs"/>
          <w:sz w:val="30"/>
          <w:rtl/>
        </w:rPr>
        <w:t xml:space="preserve">التي حالت دون </w:t>
      </w:r>
      <w:r w:rsidRPr="00D3269B">
        <w:rPr>
          <w:rFonts w:hint="cs"/>
          <w:sz w:val="30"/>
          <w:rtl/>
        </w:rPr>
        <w:t>تحقيق تقدم ملحوظ في القضية أمام المحاكم.</w:t>
      </w:r>
    </w:p>
    <w:p w:rsidR="004F510A" w:rsidRPr="00D3269B" w:rsidRDefault="004F510A" w:rsidP="005E11CB">
      <w:pPr>
        <w:pStyle w:val="SingleTxtGA"/>
        <w:rPr>
          <w:sz w:val="30"/>
          <w:rtl/>
        </w:rPr>
      </w:pPr>
      <w:r w:rsidRPr="00D3269B">
        <w:rPr>
          <w:rFonts w:hint="cs"/>
          <w:sz w:val="30"/>
          <w:rtl/>
        </w:rPr>
        <w:t>12-5</w:t>
      </w:r>
      <w:r w:rsidRPr="00D3269B">
        <w:rPr>
          <w:rFonts w:hint="cs"/>
          <w:sz w:val="30"/>
          <w:rtl/>
        </w:rPr>
        <w:tab/>
        <w:t>وفي ضوء م</w:t>
      </w:r>
      <w:r w:rsidR="00645A69">
        <w:rPr>
          <w:rFonts w:hint="cs"/>
          <w:sz w:val="30"/>
          <w:rtl/>
        </w:rPr>
        <w:t xml:space="preserve">ا تقدم، ترى اللجنة أنه </w:t>
      </w:r>
      <w:r w:rsidRPr="00D3269B">
        <w:rPr>
          <w:rFonts w:hint="cs"/>
          <w:sz w:val="30"/>
          <w:rtl/>
        </w:rPr>
        <w:t xml:space="preserve">سبل الانتصاف التي </w:t>
      </w:r>
      <w:proofErr w:type="spellStart"/>
      <w:r w:rsidR="00645A69">
        <w:rPr>
          <w:rFonts w:hint="cs"/>
          <w:sz w:val="30"/>
          <w:rtl/>
        </w:rPr>
        <w:t>تتيحها</w:t>
      </w:r>
      <w:proofErr w:type="spellEnd"/>
      <w:r w:rsidR="00645A69">
        <w:rPr>
          <w:rFonts w:hint="cs"/>
          <w:sz w:val="30"/>
          <w:rtl/>
        </w:rPr>
        <w:t xml:space="preserve"> </w:t>
      </w:r>
      <w:r w:rsidRPr="00D3269B">
        <w:rPr>
          <w:rFonts w:hint="cs"/>
          <w:sz w:val="30"/>
          <w:rtl/>
        </w:rPr>
        <w:t xml:space="preserve">الدولة الطرف، </w:t>
      </w:r>
      <w:r w:rsidR="00645A69">
        <w:rPr>
          <w:rFonts w:hint="cs"/>
          <w:sz w:val="30"/>
          <w:rtl/>
        </w:rPr>
        <w:t xml:space="preserve">طال أمدها </w:t>
      </w:r>
      <w:r w:rsidRPr="00D3269B">
        <w:rPr>
          <w:rFonts w:hint="cs"/>
          <w:sz w:val="30"/>
          <w:rtl/>
        </w:rPr>
        <w:t>بشكل غير معقول و</w:t>
      </w:r>
      <w:r w:rsidR="00645A69">
        <w:rPr>
          <w:rFonts w:hint="cs"/>
          <w:sz w:val="30"/>
          <w:rtl/>
        </w:rPr>
        <w:t xml:space="preserve">عليه ينبغي </w:t>
      </w:r>
      <w:r w:rsidRPr="00D3269B">
        <w:rPr>
          <w:rFonts w:hint="cs"/>
          <w:sz w:val="30"/>
          <w:rtl/>
        </w:rPr>
        <w:t xml:space="preserve">اعتبار </w:t>
      </w:r>
      <w:r w:rsidR="00645A69">
        <w:rPr>
          <w:rFonts w:hint="cs"/>
          <w:sz w:val="30"/>
          <w:rtl/>
        </w:rPr>
        <w:t xml:space="preserve">أن </w:t>
      </w:r>
      <w:r w:rsidRPr="00D3269B">
        <w:rPr>
          <w:rFonts w:hint="cs"/>
          <w:sz w:val="30"/>
          <w:rtl/>
        </w:rPr>
        <w:t xml:space="preserve">الدولة الطرف انتهكت المادة 7 مقروءة بشكل منفصل، وبالاقتران بالفقرة 3 من المادة 2 لأنها لم </w:t>
      </w:r>
      <w:r w:rsidR="005E11CB">
        <w:rPr>
          <w:rFonts w:hint="cs"/>
          <w:sz w:val="30"/>
          <w:rtl/>
        </w:rPr>
        <w:t xml:space="preserve">تحقق فوراً </w:t>
      </w:r>
      <w:r w:rsidRPr="00D3269B">
        <w:rPr>
          <w:rFonts w:hint="cs"/>
          <w:sz w:val="30"/>
          <w:rtl/>
        </w:rPr>
        <w:t>في الوقائع.</w:t>
      </w:r>
    </w:p>
    <w:p w:rsidR="004F510A" w:rsidRPr="00D3269B" w:rsidRDefault="004F510A" w:rsidP="005E11CB">
      <w:pPr>
        <w:pStyle w:val="SingleTxtGA"/>
        <w:rPr>
          <w:sz w:val="30"/>
          <w:rtl/>
        </w:rPr>
      </w:pPr>
      <w:r w:rsidRPr="00D3269B">
        <w:rPr>
          <w:rFonts w:hint="cs"/>
          <w:sz w:val="30"/>
          <w:rtl/>
        </w:rPr>
        <w:t>12-6</w:t>
      </w:r>
      <w:r w:rsidRPr="00D3269B">
        <w:rPr>
          <w:rFonts w:hint="cs"/>
          <w:sz w:val="30"/>
          <w:rtl/>
        </w:rPr>
        <w:tab/>
        <w:t>وفيما يتعلق بالادعاء ب</w:t>
      </w:r>
      <w:r w:rsidR="005E11CB">
        <w:rPr>
          <w:rFonts w:hint="cs"/>
          <w:sz w:val="30"/>
          <w:rtl/>
        </w:rPr>
        <w:t>حدوث انتهاك ل</w:t>
      </w:r>
      <w:r w:rsidRPr="00D3269B">
        <w:rPr>
          <w:rFonts w:hint="cs"/>
          <w:sz w:val="30"/>
          <w:rtl/>
        </w:rPr>
        <w:t>لمادة 9، ت</w:t>
      </w:r>
      <w:r w:rsidR="005E11CB">
        <w:rPr>
          <w:rFonts w:hint="cs"/>
          <w:sz w:val="30"/>
          <w:rtl/>
        </w:rPr>
        <w:t xml:space="preserve">حيط </w:t>
      </w:r>
      <w:r w:rsidRPr="00D3269B">
        <w:rPr>
          <w:rFonts w:hint="cs"/>
          <w:sz w:val="30"/>
          <w:rtl/>
        </w:rPr>
        <w:t xml:space="preserve">اللجنة علماً بادعاء صاحب البلاغ بأن الدولة الطرف انتهكت حقه في الأمن لأنه تعرض </w:t>
      </w:r>
      <w:r w:rsidR="005E11CB">
        <w:rPr>
          <w:rFonts w:hint="cs"/>
          <w:sz w:val="30"/>
          <w:rtl/>
        </w:rPr>
        <w:t xml:space="preserve">لاعتداء </w:t>
      </w:r>
      <w:r w:rsidRPr="00D3269B">
        <w:rPr>
          <w:rFonts w:hint="cs"/>
          <w:sz w:val="30"/>
          <w:rtl/>
        </w:rPr>
        <w:t xml:space="preserve">من جانب موظفي حكومة الدولة الطرف في 29 آب/أغسطس 2002، لكنها تعتبر أن هذا الجزء من البلاغ يندرج </w:t>
      </w:r>
      <w:r w:rsidR="005E11CB">
        <w:rPr>
          <w:rFonts w:hint="cs"/>
          <w:sz w:val="30"/>
          <w:rtl/>
        </w:rPr>
        <w:t xml:space="preserve">ضمن ادعاءات </w:t>
      </w:r>
      <w:r w:rsidRPr="00D3269B">
        <w:rPr>
          <w:rFonts w:hint="cs"/>
          <w:sz w:val="30"/>
          <w:rtl/>
        </w:rPr>
        <w:t xml:space="preserve">صاحب البلاغ بموجب المادة 7 من العهد </w:t>
      </w:r>
      <w:r w:rsidR="005E11CB">
        <w:rPr>
          <w:rFonts w:hint="cs"/>
          <w:sz w:val="30"/>
          <w:rtl/>
        </w:rPr>
        <w:t>والتي نُظر فيها</w:t>
      </w:r>
      <w:r w:rsidRPr="00D3269B">
        <w:rPr>
          <w:rFonts w:hint="cs"/>
          <w:sz w:val="30"/>
          <w:rtl/>
        </w:rPr>
        <w:t>.</w:t>
      </w:r>
    </w:p>
    <w:p w:rsidR="004F510A" w:rsidRPr="00D3269B" w:rsidRDefault="004F510A" w:rsidP="005E11CB">
      <w:pPr>
        <w:pStyle w:val="SingleTxtGA"/>
        <w:rPr>
          <w:sz w:val="30"/>
          <w:rtl/>
        </w:rPr>
      </w:pPr>
      <w:r w:rsidRPr="00D3269B">
        <w:rPr>
          <w:rFonts w:hint="cs"/>
          <w:sz w:val="30"/>
          <w:rtl/>
        </w:rPr>
        <w:t>13-</w:t>
      </w:r>
      <w:r w:rsidRPr="00D3269B">
        <w:rPr>
          <w:rFonts w:hint="cs"/>
          <w:sz w:val="30"/>
          <w:rtl/>
        </w:rPr>
        <w:tab/>
        <w:t xml:space="preserve">إن اللجنة المعنية بحقوق الإنسان، إذ تتصرف بموجب الفقرة 4 من المادة 5 من البروتوكول الاختياري الملحق بالعهد الدولي الخاص بالحقوق المدنية والسياسية، ترى أن الدولة الطرف انتهكت حقوق صاحب البلاغ </w:t>
      </w:r>
      <w:r w:rsidR="005E11CB">
        <w:rPr>
          <w:rFonts w:hint="cs"/>
          <w:sz w:val="30"/>
          <w:rtl/>
        </w:rPr>
        <w:t xml:space="preserve">التي تكفلها </w:t>
      </w:r>
      <w:r w:rsidRPr="00D3269B">
        <w:rPr>
          <w:rFonts w:hint="cs"/>
          <w:sz w:val="30"/>
          <w:rtl/>
        </w:rPr>
        <w:t>المادة 7 مقروءة بالاقتران بالفقرة 3 من المادة 2 من العه</w:t>
      </w:r>
      <w:r w:rsidR="005E11CB">
        <w:rPr>
          <w:rFonts w:hint="cs"/>
          <w:sz w:val="30"/>
          <w:rtl/>
        </w:rPr>
        <w:t>د.</w:t>
      </w:r>
    </w:p>
    <w:p w:rsidR="004F510A" w:rsidRPr="00EA4ACF" w:rsidRDefault="004F510A" w:rsidP="005E11CB">
      <w:pPr>
        <w:pStyle w:val="SingleTxtGA"/>
        <w:rPr>
          <w:spacing w:val="2"/>
          <w:sz w:val="30"/>
          <w:rtl/>
        </w:rPr>
      </w:pPr>
      <w:r w:rsidRPr="00EA4ACF">
        <w:rPr>
          <w:rFonts w:hint="cs"/>
          <w:spacing w:val="2"/>
          <w:sz w:val="30"/>
          <w:rtl/>
        </w:rPr>
        <w:t>14-</w:t>
      </w:r>
      <w:r w:rsidRPr="00EA4ACF">
        <w:rPr>
          <w:rFonts w:hint="cs"/>
          <w:spacing w:val="2"/>
          <w:sz w:val="30"/>
          <w:rtl/>
        </w:rPr>
        <w:tab/>
        <w:t>وعملاً بالفقرة 3(أ) من المادة 2 من العهد، فإن الدولة الطرف ملزمة ب</w:t>
      </w:r>
      <w:r w:rsidR="005E11CB" w:rsidRPr="00EA4ACF">
        <w:rPr>
          <w:rFonts w:hint="cs"/>
          <w:spacing w:val="2"/>
          <w:sz w:val="30"/>
          <w:rtl/>
        </w:rPr>
        <w:t xml:space="preserve">إتاحة </w:t>
      </w:r>
      <w:r w:rsidRPr="00EA4ACF">
        <w:rPr>
          <w:rFonts w:hint="cs"/>
          <w:spacing w:val="2"/>
          <w:sz w:val="30"/>
          <w:rtl/>
        </w:rPr>
        <w:t xml:space="preserve">سبيل انتصاف فعال </w:t>
      </w:r>
      <w:r w:rsidR="005E11CB" w:rsidRPr="00EA4ACF">
        <w:rPr>
          <w:rFonts w:hint="cs"/>
          <w:spacing w:val="2"/>
          <w:sz w:val="30"/>
          <w:rtl/>
        </w:rPr>
        <w:t>ل</w:t>
      </w:r>
      <w:r w:rsidRPr="00EA4ACF">
        <w:rPr>
          <w:rFonts w:hint="cs"/>
          <w:spacing w:val="2"/>
          <w:sz w:val="30"/>
          <w:rtl/>
        </w:rPr>
        <w:t xml:space="preserve">صاحب البلاغ يتضمن </w:t>
      </w:r>
      <w:r w:rsidR="005E11CB" w:rsidRPr="00EA4ACF">
        <w:rPr>
          <w:rFonts w:hint="cs"/>
          <w:spacing w:val="2"/>
          <w:sz w:val="30"/>
          <w:rtl/>
        </w:rPr>
        <w:t>التعجيل ب</w:t>
      </w:r>
      <w:r w:rsidRPr="00EA4ACF">
        <w:rPr>
          <w:rFonts w:hint="cs"/>
          <w:spacing w:val="2"/>
          <w:sz w:val="30"/>
          <w:rtl/>
        </w:rPr>
        <w:t xml:space="preserve">الإجراءات القضائية التي ينبغي أن تشمل إجراء تحقيق في ادعاءات صاحب البلاغ، وملاحقة الجناة وتقديم التعويض المناسب </w:t>
      </w:r>
      <w:r w:rsidR="005E11CB" w:rsidRPr="00EA4ACF">
        <w:rPr>
          <w:rFonts w:hint="cs"/>
          <w:spacing w:val="2"/>
          <w:sz w:val="30"/>
          <w:rtl/>
        </w:rPr>
        <w:t>له</w:t>
      </w:r>
      <w:r w:rsidRPr="00EA4ACF">
        <w:rPr>
          <w:rFonts w:hint="cs"/>
          <w:spacing w:val="2"/>
          <w:sz w:val="30"/>
          <w:rtl/>
        </w:rPr>
        <w:t>. والدولة الطرف ملزمة أيضاً باتخاذ خطوات لمنع حد</w:t>
      </w:r>
      <w:r w:rsidR="00EA4ACF">
        <w:rPr>
          <w:rFonts w:hint="cs"/>
          <w:spacing w:val="2"/>
          <w:sz w:val="30"/>
          <w:rtl/>
        </w:rPr>
        <w:t>وث انتهاكات مماثلة في المستقبل.</w:t>
      </w:r>
    </w:p>
    <w:p w:rsidR="004F510A" w:rsidRPr="005E11CB" w:rsidRDefault="00EA4ACF" w:rsidP="00E3438B">
      <w:pPr>
        <w:pStyle w:val="SingleTxtGA"/>
        <w:rPr>
          <w:spacing w:val="-2"/>
          <w:sz w:val="30"/>
          <w:rtl/>
        </w:rPr>
      </w:pPr>
      <w:r>
        <w:rPr>
          <w:spacing w:val="-2"/>
          <w:sz w:val="30"/>
          <w:rtl/>
        </w:rPr>
        <w:br w:type="page"/>
      </w:r>
      <w:r w:rsidR="005E11CB" w:rsidRPr="005E11CB">
        <w:rPr>
          <w:rFonts w:hint="cs"/>
          <w:spacing w:val="-2"/>
          <w:sz w:val="30"/>
          <w:rtl/>
        </w:rPr>
        <w:lastRenderedPageBreak/>
        <w:t>15-</w:t>
      </w:r>
      <w:r w:rsidR="005E11CB" w:rsidRPr="005E11CB">
        <w:rPr>
          <w:rFonts w:hint="cs"/>
          <w:spacing w:val="-2"/>
          <w:sz w:val="30"/>
          <w:rtl/>
        </w:rPr>
        <w:tab/>
        <w:t xml:space="preserve">إن اللجنة، </w:t>
      </w:r>
      <w:r w:rsidR="004F510A" w:rsidRPr="005E11CB">
        <w:rPr>
          <w:rFonts w:hint="cs"/>
          <w:spacing w:val="-2"/>
          <w:sz w:val="30"/>
          <w:rtl/>
        </w:rPr>
        <w:t>إذ تضع في اعتبارها أن الدولة الطرف قد اعترفت لدى انضمامها إلى البروتوكول الاختياري باختصاصها في البت فيما إذا كان العهد قد انتُهك أم لا، وأن الدولة الطرف، قد تعهدت، بمقتضى المادة 2 من العهد، بأن تكفل لجميع الأفراد الموجودين في إقليمها أو الخاضعين لولايتها الحقوق المعترف بها في العهد وأن توفر لهم سبيل انتصاف فعال</w:t>
      </w:r>
      <w:r w:rsidR="005E11CB" w:rsidRPr="005E11CB">
        <w:rPr>
          <w:rFonts w:hint="cs"/>
          <w:spacing w:val="-2"/>
          <w:sz w:val="30"/>
          <w:rtl/>
        </w:rPr>
        <w:t>اً</w:t>
      </w:r>
      <w:r w:rsidR="004F510A" w:rsidRPr="005E11CB">
        <w:rPr>
          <w:rFonts w:hint="cs"/>
          <w:spacing w:val="-2"/>
          <w:sz w:val="30"/>
          <w:rtl/>
        </w:rPr>
        <w:t xml:space="preserve"> وقابل</w:t>
      </w:r>
      <w:r w:rsidR="005E11CB" w:rsidRPr="005E11CB">
        <w:rPr>
          <w:rFonts w:hint="cs"/>
          <w:spacing w:val="-2"/>
          <w:sz w:val="30"/>
          <w:rtl/>
        </w:rPr>
        <w:t>اً</w:t>
      </w:r>
      <w:r w:rsidR="004F510A" w:rsidRPr="005E11CB">
        <w:rPr>
          <w:rFonts w:hint="cs"/>
          <w:spacing w:val="-2"/>
          <w:sz w:val="30"/>
          <w:rtl/>
        </w:rPr>
        <w:t xml:space="preserve"> للإنفاذ في حال التثبت من وقوع الانتهاك، تود أن تتلقى من الدولة الطرف، في غضون 180 يوماً، معلومات عن التدابير المتخذة لوضع آراء اللجنة موضع التنفيذ. وتطلب اللجنة من الدولة الطرف بأن تنشر آراء اللجنة على نطاق واسع في الدولة الطرف.</w:t>
      </w:r>
    </w:p>
    <w:p w:rsidR="004F510A" w:rsidRDefault="004F510A" w:rsidP="00FD28C6">
      <w:pPr>
        <w:pStyle w:val="HChGA"/>
        <w:spacing w:before="120"/>
        <w:rPr>
          <w:rtl/>
        </w:rPr>
      </w:pPr>
      <w:r w:rsidRPr="00D3269B">
        <w:rPr>
          <w:rtl/>
        </w:rPr>
        <w:br w:type="page"/>
      </w:r>
      <w:r w:rsidRPr="00D3269B">
        <w:rPr>
          <w:rFonts w:hint="cs"/>
          <w:rtl/>
        </w:rPr>
        <w:lastRenderedPageBreak/>
        <w:t>المرفق</w:t>
      </w:r>
    </w:p>
    <w:p w:rsidR="00385E92" w:rsidRPr="00C2395D" w:rsidRDefault="00997E99" w:rsidP="00997E99">
      <w:pPr>
        <w:pStyle w:val="SingleTxtGA"/>
        <w:bidi w:val="0"/>
        <w:rPr>
          <w:lang w:bidi="ar-SY"/>
        </w:rPr>
      </w:pPr>
      <w:r>
        <w:rPr>
          <w:rFonts w:hint="cs"/>
          <w:rtl/>
          <w:lang w:val="es-ES_tradnl"/>
        </w:rPr>
        <w:t>[الأصل: بالإسبانية]</w:t>
      </w:r>
    </w:p>
    <w:p w:rsidR="004F510A" w:rsidRPr="00D3269B" w:rsidRDefault="005E11CB" w:rsidP="005E11CB">
      <w:pPr>
        <w:pStyle w:val="HChGA"/>
        <w:rPr>
          <w:rtl/>
        </w:rPr>
      </w:pPr>
      <w:r>
        <w:rPr>
          <w:rFonts w:hint="cs"/>
          <w:rtl/>
        </w:rPr>
        <w:tab/>
      </w:r>
      <w:r>
        <w:rPr>
          <w:rFonts w:hint="cs"/>
          <w:rtl/>
        </w:rPr>
        <w:tab/>
      </w:r>
      <w:r w:rsidR="004F510A" w:rsidRPr="00D3269B">
        <w:rPr>
          <w:rFonts w:hint="cs"/>
          <w:rtl/>
        </w:rPr>
        <w:t xml:space="preserve">رأي </w:t>
      </w:r>
      <w:r>
        <w:rPr>
          <w:rFonts w:hint="cs"/>
          <w:rtl/>
        </w:rPr>
        <w:t xml:space="preserve">فردي </w:t>
      </w:r>
      <w:r w:rsidR="004F510A" w:rsidRPr="00D3269B">
        <w:rPr>
          <w:rFonts w:hint="cs"/>
          <w:rtl/>
        </w:rPr>
        <w:t xml:space="preserve">لفابيان </w:t>
      </w:r>
      <w:proofErr w:type="spellStart"/>
      <w:r w:rsidR="004F510A" w:rsidRPr="00D3269B">
        <w:rPr>
          <w:rFonts w:hint="cs"/>
          <w:rtl/>
        </w:rPr>
        <w:t>سالفيولي</w:t>
      </w:r>
      <w:proofErr w:type="spellEnd"/>
      <w:r w:rsidR="004F510A" w:rsidRPr="00D3269B">
        <w:rPr>
          <w:rFonts w:hint="cs"/>
          <w:rtl/>
        </w:rPr>
        <w:t>، عضو في اللجنة (مخالف جزئياً)</w:t>
      </w:r>
    </w:p>
    <w:p w:rsidR="004F510A" w:rsidRPr="00D3269B" w:rsidRDefault="004F510A" w:rsidP="00997E99">
      <w:pPr>
        <w:pStyle w:val="SingleTxtGA"/>
        <w:rPr>
          <w:sz w:val="30"/>
          <w:rtl/>
        </w:rPr>
      </w:pPr>
      <w:r w:rsidRPr="00D3269B">
        <w:rPr>
          <w:rFonts w:hint="cs"/>
          <w:sz w:val="30"/>
          <w:rtl/>
        </w:rPr>
        <w:t>1-</w:t>
      </w:r>
      <w:r w:rsidRPr="00D3269B">
        <w:rPr>
          <w:rFonts w:hint="cs"/>
          <w:sz w:val="30"/>
          <w:rtl/>
        </w:rPr>
        <w:tab/>
        <w:t>إني أ</w:t>
      </w:r>
      <w:r w:rsidR="005E11CB">
        <w:rPr>
          <w:rFonts w:hint="cs"/>
          <w:sz w:val="30"/>
          <w:rtl/>
        </w:rPr>
        <w:t xml:space="preserve">شاطر </w:t>
      </w:r>
      <w:r w:rsidRPr="00D3269B">
        <w:rPr>
          <w:rFonts w:hint="cs"/>
          <w:sz w:val="30"/>
          <w:rtl/>
        </w:rPr>
        <w:t xml:space="preserve">اللجنة رأيها فيما يتعلق بالاستنتاجات في قضية </w:t>
      </w:r>
      <w:r w:rsidRPr="00D3269B">
        <w:rPr>
          <w:rFonts w:hint="cs"/>
          <w:i/>
          <w:iCs/>
          <w:sz w:val="30"/>
          <w:rtl/>
        </w:rPr>
        <w:t>مونيكا ضد الكاميرون</w:t>
      </w:r>
      <w:r w:rsidRPr="00D3269B">
        <w:rPr>
          <w:rFonts w:hint="cs"/>
          <w:sz w:val="30"/>
          <w:rtl/>
        </w:rPr>
        <w:t xml:space="preserve"> (البلاغ رقم 1965/2010). ومع ذلك، وللأسباب التي سأبينها أدناه، أعتقد أنه كان </w:t>
      </w:r>
      <w:r>
        <w:rPr>
          <w:rFonts w:hint="cs"/>
          <w:sz w:val="30"/>
          <w:rtl/>
        </w:rPr>
        <w:t xml:space="preserve">يتعين </w:t>
      </w:r>
      <w:r w:rsidRPr="00D3269B">
        <w:rPr>
          <w:rFonts w:hint="cs"/>
          <w:sz w:val="30"/>
          <w:rtl/>
        </w:rPr>
        <w:t xml:space="preserve">على اللجنة أن تعالج أيضاً موضوع إمكانية انتهاك المادة 6 من العهد، بقدر ما تكون الادعاءات التي قدمها صاحب البلاغ في هذا الصدد واضحة ولم </w:t>
      </w:r>
      <w:proofErr w:type="spellStart"/>
      <w:r w:rsidRPr="00D3269B">
        <w:rPr>
          <w:rFonts w:hint="cs"/>
          <w:sz w:val="30"/>
          <w:rtl/>
        </w:rPr>
        <w:t>تدحضها</w:t>
      </w:r>
      <w:proofErr w:type="spellEnd"/>
      <w:r w:rsidRPr="00D3269B">
        <w:rPr>
          <w:rFonts w:hint="cs"/>
          <w:sz w:val="30"/>
          <w:rtl/>
        </w:rPr>
        <w:t xml:space="preserve"> الدولة الطرف</w:t>
      </w:r>
      <w:r>
        <w:rPr>
          <w:rFonts w:hint="cs"/>
          <w:sz w:val="30"/>
          <w:rtl/>
        </w:rPr>
        <w:t xml:space="preserve"> </w:t>
      </w:r>
      <w:r w:rsidR="005E11CB">
        <w:rPr>
          <w:rFonts w:hint="cs"/>
          <w:sz w:val="30"/>
          <w:rtl/>
        </w:rPr>
        <w:t>بشكل مرض</w:t>
      </w:r>
      <w:r w:rsidRPr="00D3269B">
        <w:rPr>
          <w:rFonts w:hint="cs"/>
          <w:sz w:val="30"/>
          <w:rtl/>
        </w:rPr>
        <w:t>. و</w:t>
      </w:r>
      <w:r w:rsidR="005E11CB">
        <w:rPr>
          <w:rFonts w:hint="cs"/>
          <w:sz w:val="30"/>
          <w:rtl/>
        </w:rPr>
        <w:t xml:space="preserve">أرى أنه لم يحقق </w:t>
      </w:r>
      <w:r w:rsidR="0075470A">
        <w:rPr>
          <w:rFonts w:hint="cs"/>
          <w:sz w:val="30"/>
          <w:rtl/>
        </w:rPr>
        <w:t xml:space="preserve">بشكل مناسب </w:t>
      </w:r>
      <w:r w:rsidRPr="00D3269B">
        <w:rPr>
          <w:rFonts w:hint="cs"/>
          <w:sz w:val="30"/>
          <w:rtl/>
        </w:rPr>
        <w:t xml:space="preserve">في التهديدات بالقتل بعد تعرض صاحب البلاغ للضرب </w:t>
      </w:r>
      <w:r w:rsidR="0075470A">
        <w:rPr>
          <w:rFonts w:hint="cs"/>
          <w:sz w:val="30"/>
          <w:rtl/>
        </w:rPr>
        <w:t xml:space="preserve">المبرح </w:t>
      </w:r>
      <w:r w:rsidRPr="00D3269B">
        <w:rPr>
          <w:rFonts w:hint="cs"/>
          <w:sz w:val="30"/>
          <w:rtl/>
        </w:rPr>
        <w:t xml:space="preserve">الذي أدى إلى فقدانه لبصره؛ </w:t>
      </w:r>
      <w:r w:rsidR="0075470A">
        <w:rPr>
          <w:rFonts w:hint="cs"/>
          <w:sz w:val="30"/>
          <w:rtl/>
        </w:rPr>
        <w:t xml:space="preserve">كما أن </w:t>
      </w:r>
      <w:r w:rsidRPr="00D3269B">
        <w:rPr>
          <w:rFonts w:hint="cs"/>
          <w:sz w:val="30"/>
          <w:rtl/>
        </w:rPr>
        <w:t>الجناة</w:t>
      </w:r>
      <w:r w:rsidR="0075470A">
        <w:rPr>
          <w:rFonts w:hint="cs"/>
          <w:sz w:val="30"/>
          <w:rtl/>
        </w:rPr>
        <w:t xml:space="preserve"> لم يُلاحقوا ولم يُعاقبوا</w:t>
      </w:r>
      <w:r w:rsidRPr="00D3269B">
        <w:rPr>
          <w:rFonts w:hint="cs"/>
          <w:sz w:val="30"/>
          <w:rtl/>
        </w:rPr>
        <w:t xml:space="preserve">. </w:t>
      </w:r>
      <w:r w:rsidR="0075470A">
        <w:rPr>
          <w:rFonts w:hint="cs"/>
          <w:sz w:val="30"/>
          <w:rtl/>
        </w:rPr>
        <w:t xml:space="preserve">وعليه، </w:t>
      </w:r>
      <w:r w:rsidRPr="00D3269B">
        <w:rPr>
          <w:rFonts w:hint="cs"/>
          <w:sz w:val="30"/>
          <w:rtl/>
        </w:rPr>
        <w:t xml:space="preserve">كان يتعين على اللجنة أن لا تخلص إلى </w:t>
      </w:r>
      <w:r w:rsidR="0075470A">
        <w:rPr>
          <w:rFonts w:hint="cs"/>
          <w:sz w:val="30"/>
          <w:rtl/>
        </w:rPr>
        <w:t xml:space="preserve">عدم مقبولية </w:t>
      </w:r>
      <w:r w:rsidRPr="00D3269B">
        <w:rPr>
          <w:rFonts w:hint="cs"/>
          <w:sz w:val="30"/>
          <w:rtl/>
        </w:rPr>
        <w:t>ادعاءات صاحب البلاغ فيما يتعلق بإمكانية انتهاك المادة 6.</w:t>
      </w:r>
    </w:p>
    <w:p w:rsidR="004F510A" w:rsidRDefault="004F510A" w:rsidP="0003152B">
      <w:pPr>
        <w:pStyle w:val="SingleTxtGA"/>
        <w:rPr>
          <w:sz w:val="30"/>
          <w:rtl/>
        </w:rPr>
      </w:pPr>
      <w:r w:rsidRPr="00D3269B">
        <w:rPr>
          <w:rFonts w:hint="cs"/>
          <w:sz w:val="30"/>
          <w:rtl/>
        </w:rPr>
        <w:t>2-</w:t>
      </w:r>
      <w:r w:rsidRPr="00D3269B">
        <w:rPr>
          <w:rFonts w:hint="cs"/>
          <w:sz w:val="30"/>
          <w:rtl/>
        </w:rPr>
        <w:tab/>
        <w:t>ونظراً ل</w:t>
      </w:r>
      <w:r w:rsidR="0075470A">
        <w:rPr>
          <w:rFonts w:hint="cs"/>
          <w:sz w:val="30"/>
          <w:rtl/>
        </w:rPr>
        <w:t>طبيعة الحالة، حيث إن الضحية فقد</w:t>
      </w:r>
      <w:r w:rsidRPr="00D3269B">
        <w:rPr>
          <w:rFonts w:hint="cs"/>
          <w:sz w:val="30"/>
          <w:rtl/>
        </w:rPr>
        <w:t xml:space="preserve"> </w:t>
      </w:r>
      <w:r w:rsidR="0075470A">
        <w:rPr>
          <w:rFonts w:hint="cs"/>
          <w:sz w:val="30"/>
          <w:rtl/>
        </w:rPr>
        <w:t xml:space="preserve">القدرة على الإبصار في </w:t>
      </w:r>
      <w:r w:rsidRPr="00D3269B">
        <w:rPr>
          <w:rFonts w:hint="cs"/>
          <w:sz w:val="30"/>
          <w:rtl/>
        </w:rPr>
        <w:t xml:space="preserve">عين واحدة نتيجة انتهاكات </w:t>
      </w:r>
      <w:r w:rsidR="0075470A">
        <w:rPr>
          <w:rFonts w:hint="cs"/>
          <w:sz w:val="30"/>
          <w:rtl/>
        </w:rPr>
        <w:t>حقوقه الإنسانية وأنه أصبح معوزاً</w:t>
      </w:r>
      <w:r w:rsidRPr="00D3269B">
        <w:rPr>
          <w:rFonts w:hint="cs"/>
          <w:sz w:val="30"/>
          <w:rtl/>
        </w:rPr>
        <w:t xml:space="preserve">، كان يتعين على اللجنة أن </w:t>
      </w:r>
      <w:r w:rsidR="0075470A">
        <w:rPr>
          <w:rFonts w:hint="cs"/>
          <w:sz w:val="30"/>
          <w:rtl/>
        </w:rPr>
        <w:t xml:space="preserve">تشير إلى أن على الدولة الطرف في إطار تدابير التعويض الأخرى </w:t>
      </w:r>
      <w:r w:rsidRPr="00D3269B">
        <w:rPr>
          <w:rFonts w:hint="cs"/>
          <w:sz w:val="30"/>
          <w:rtl/>
        </w:rPr>
        <w:t xml:space="preserve">والمتمثل في أنه </w:t>
      </w:r>
      <w:r>
        <w:rPr>
          <w:rFonts w:hint="cs"/>
          <w:sz w:val="30"/>
          <w:rtl/>
        </w:rPr>
        <w:t>تتخذ</w:t>
      </w:r>
      <w:r w:rsidRPr="00D3269B">
        <w:rPr>
          <w:rFonts w:hint="cs"/>
          <w:sz w:val="30"/>
          <w:rtl/>
        </w:rPr>
        <w:t xml:space="preserve"> </w:t>
      </w:r>
      <w:r>
        <w:rPr>
          <w:rFonts w:hint="cs"/>
          <w:sz w:val="30"/>
          <w:rtl/>
        </w:rPr>
        <w:t>ال</w:t>
      </w:r>
      <w:r w:rsidRPr="00D3269B">
        <w:rPr>
          <w:rFonts w:hint="cs"/>
          <w:sz w:val="30"/>
          <w:rtl/>
        </w:rPr>
        <w:t xml:space="preserve">تدابير </w:t>
      </w:r>
      <w:r>
        <w:rPr>
          <w:rFonts w:hint="cs"/>
          <w:sz w:val="30"/>
          <w:rtl/>
        </w:rPr>
        <w:t>الصحيحة لإ</w:t>
      </w:r>
      <w:r w:rsidRPr="00D3269B">
        <w:rPr>
          <w:rFonts w:hint="cs"/>
          <w:sz w:val="30"/>
          <w:rtl/>
        </w:rPr>
        <w:t xml:space="preserve">عادة تأهيل </w:t>
      </w:r>
      <w:r>
        <w:rPr>
          <w:rFonts w:hint="cs"/>
          <w:sz w:val="30"/>
          <w:rtl/>
        </w:rPr>
        <w:t>صاحب البلاغ</w:t>
      </w:r>
      <w:r w:rsidRPr="00D3269B">
        <w:rPr>
          <w:rFonts w:hint="cs"/>
          <w:sz w:val="30"/>
          <w:rtl/>
        </w:rPr>
        <w:t xml:space="preserve"> (ضرورة </w:t>
      </w:r>
      <w:r>
        <w:rPr>
          <w:rFonts w:hint="cs"/>
          <w:sz w:val="30"/>
          <w:rtl/>
        </w:rPr>
        <w:t xml:space="preserve">توفير </w:t>
      </w:r>
      <w:r w:rsidRPr="00D3269B">
        <w:rPr>
          <w:rFonts w:hint="cs"/>
          <w:sz w:val="30"/>
          <w:rtl/>
        </w:rPr>
        <w:t xml:space="preserve">علاج طبي و/أو نفسي). وهذا </w:t>
      </w:r>
      <w:r w:rsidR="0003152B">
        <w:rPr>
          <w:rFonts w:hint="cs"/>
          <w:sz w:val="30"/>
          <w:rtl/>
        </w:rPr>
        <w:t xml:space="preserve">يُعد </w:t>
      </w:r>
      <w:r w:rsidRPr="00D3269B">
        <w:rPr>
          <w:rFonts w:hint="cs"/>
          <w:sz w:val="30"/>
          <w:rtl/>
        </w:rPr>
        <w:t xml:space="preserve">سبيل انتصاف </w:t>
      </w:r>
      <w:r w:rsidR="0003152B">
        <w:rPr>
          <w:rFonts w:hint="cs"/>
          <w:sz w:val="30"/>
          <w:rtl/>
        </w:rPr>
        <w:t xml:space="preserve">آخر غير </w:t>
      </w:r>
      <w:r w:rsidRPr="00D3269B">
        <w:rPr>
          <w:rFonts w:hint="cs"/>
          <w:sz w:val="30"/>
          <w:rtl/>
        </w:rPr>
        <w:t xml:space="preserve">التعويض </w:t>
      </w:r>
      <w:r w:rsidR="0003152B">
        <w:rPr>
          <w:rFonts w:hint="cs"/>
          <w:sz w:val="30"/>
          <w:rtl/>
        </w:rPr>
        <w:t xml:space="preserve">المالي </w:t>
      </w:r>
      <w:r w:rsidRPr="00D3269B">
        <w:rPr>
          <w:rFonts w:hint="cs"/>
          <w:sz w:val="30"/>
          <w:rtl/>
        </w:rPr>
        <w:t xml:space="preserve">الذي ينبغي تقديمه </w:t>
      </w:r>
      <w:r w:rsidR="0003152B">
        <w:rPr>
          <w:rFonts w:hint="cs"/>
          <w:sz w:val="30"/>
          <w:rtl/>
        </w:rPr>
        <w:t>ل</w:t>
      </w:r>
      <w:r w:rsidRPr="00D3269B">
        <w:rPr>
          <w:rFonts w:hint="cs"/>
          <w:sz w:val="30"/>
          <w:rtl/>
        </w:rPr>
        <w:t>لضحية</w:t>
      </w:r>
      <w:r w:rsidR="0003152B">
        <w:rPr>
          <w:rFonts w:hint="cs"/>
          <w:sz w:val="30"/>
          <w:rtl/>
        </w:rPr>
        <w:t xml:space="preserve"> لجبر الضرر الذي لحقه نتيجة لانتهاك حقوقه</w:t>
      </w:r>
      <w:r w:rsidRPr="00D3269B">
        <w:rPr>
          <w:rFonts w:hint="cs"/>
          <w:sz w:val="30"/>
          <w:rtl/>
        </w:rPr>
        <w:t>. وينبغي للجنة أن ت</w:t>
      </w:r>
      <w:r w:rsidR="0003152B">
        <w:rPr>
          <w:rFonts w:hint="cs"/>
          <w:sz w:val="30"/>
          <w:rtl/>
        </w:rPr>
        <w:t xml:space="preserve">حسّن </w:t>
      </w:r>
      <w:r w:rsidRPr="00D3269B">
        <w:rPr>
          <w:rFonts w:hint="cs"/>
          <w:sz w:val="30"/>
          <w:rtl/>
        </w:rPr>
        <w:t xml:space="preserve">سياستها بشأن الجبر في </w:t>
      </w:r>
      <w:r w:rsidR="0003152B">
        <w:rPr>
          <w:rFonts w:hint="cs"/>
          <w:sz w:val="30"/>
          <w:rtl/>
        </w:rPr>
        <w:t>ال</w:t>
      </w:r>
      <w:r w:rsidRPr="00D3269B">
        <w:rPr>
          <w:rFonts w:hint="cs"/>
          <w:sz w:val="30"/>
          <w:rtl/>
        </w:rPr>
        <w:t xml:space="preserve">حالات </w:t>
      </w:r>
      <w:r w:rsidR="0003152B">
        <w:rPr>
          <w:rFonts w:hint="cs"/>
          <w:sz w:val="30"/>
          <w:rtl/>
        </w:rPr>
        <w:t xml:space="preserve">الفردية حتى تضطلع </w:t>
      </w:r>
      <w:r w:rsidRPr="00D3269B">
        <w:rPr>
          <w:rFonts w:hint="cs"/>
          <w:sz w:val="30"/>
          <w:rtl/>
        </w:rPr>
        <w:t>بدورها المتمثل في تفسير وتطبيق العهد وبروتوكوله الاختياري</w:t>
      </w:r>
      <w:r w:rsidR="0003152B">
        <w:rPr>
          <w:rFonts w:hint="cs"/>
          <w:sz w:val="30"/>
          <w:rtl/>
        </w:rPr>
        <w:t xml:space="preserve"> على خير وجه</w:t>
      </w:r>
      <w:r w:rsidRPr="00D3269B">
        <w:rPr>
          <w:rFonts w:hint="cs"/>
          <w:sz w:val="30"/>
          <w:rtl/>
        </w:rPr>
        <w:t>.</w:t>
      </w:r>
    </w:p>
    <w:p w:rsidR="0003152B" w:rsidRPr="00FD28C6" w:rsidRDefault="00FD28C6" w:rsidP="00FD28C6">
      <w:pPr>
        <w:spacing w:before="120"/>
        <w:jc w:val="center"/>
        <w:rPr>
          <w:u w:val="single"/>
          <w:rtl/>
        </w:rPr>
      </w:pPr>
      <w:r>
        <w:rPr>
          <w:u w:val="single"/>
          <w:rtl/>
        </w:rPr>
        <w:tab/>
      </w:r>
      <w:r>
        <w:rPr>
          <w:u w:val="single"/>
          <w:rtl/>
        </w:rPr>
        <w:tab/>
      </w:r>
      <w:r>
        <w:rPr>
          <w:u w:val="single"/>
          <w:rtl/>
        </w:rPr>
        <w:tab/>
      </w:r>
    </w:p>
    <w:sectPr w:rsidR="0003152B" w:rsidRPr="00FD28C6" w:rsidSect="00420D7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0D3" w:rsidRPr="002901D9" w:rsidRDefault="007120D3" w:rsidP="002901D9">
      <w:pPr>
        <w:spacing w:after="60" w:line="240" w:lineRule="auto"/>
        <w:rPr>
          <w:i/>
          <w:iCs/>
        </w:rPr>
      </w:pPr>
      <w:r>
        <w:rPr>
          <w:rFonts w:hint="cs"/>
          <w:i/>
          <w:iCs/>
          <w:rtl/>
        </w:rPr>
        <w:t>الحواشي</w:t>
      </w:r>
    </w:p>
  </w:endnote>
  <w:endnote w:type="continuationSeparator" w:id="0">
    <w:p w:rsidR="007120D3" w:rsidRDefault="007120D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D3" w:rsidRPr="004F510A" w:rsidRDefault="007120D3" w:rsidP="004F510A">
    <w:pPr>
      <w:pStyle w:val="Footer"/>
      <w:tabs>
        <w:tab w:val="right" w:pos="9598"/>
      </w:tabs>
    </w:pPr>
    <w:r>
      <w:t>GE.15-00582</w:t>
    </w:r>
    <w:r>
      <w:tab/>
    </w:r>
    <w:r w:rsidRPr="004F510A">
      <w:rPr>
        <w:b/>
        <w:sz w:val="18"/>
      </w:rPr>
      <w:fldChar w:fldCharType="begin"/>
    </w:r>
    <w:r w:rsidRPr="004F510A">
      <w:rPr>
        <w:b/>
        <w:sz w:val="18"/>
      </w:rPr>
      <w:instrText xml:space="preserve"> PAGE  \* MERGEFORMAT </w:instrText>
    </w:r>
    <w:r w:rsidRPr="004F510A">
      <w:rPr>
        <w:b/>
        <w:sz w:val="18"/>
      </w:rPr>
      <w:fldChar w:fldCharType="separate"/>
    </w:r>
    <w:r w:rsidR="001802CD">
      <w:rPr>
        <w:b/>
        <w:noProof/>
        <w:sz w:val="18"/>
      </w:rPr>
      <w:t>2</w:t>
    </w:r>
    <w:r w:rsidRPr="004F510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D3" w:rsidRPr="004F510A" w:rsidRDefault="007120D3" w:rsidP="006959B0">
    <w:pPr>
      <w:pStyle w:val="Footer"/>
      <w:tabs>
        <w:tab w:val="right" w:pos="9599"/>
      </w:tabs>
      <w:jc w:val="left"/>
      <w:rPr>
        <w:b/>
        <w:sz w:val="18"/>
        <w:lang w:val="en-US"/>
      </w:rPr>
    </w:pPr>
    <w:r w:rsidRPr="004F510A">
      <w:rPr>
        <w:b/>
        <w:sz w:val="18"/>
        <w:lang w:val="en-US"/>
      </w:rPr>
      <w:fldChar w:fldCharType="begin"/>
    </w:r>
    <w:r w:rsidRPr="004F510A">
      <w:rPr>
        <w:b/>
        <w:sz w:val="18"/>
        <w:lang w:val="en-US"/>
      </w:rPr>
      <w:instrText xml:space="preserve"> PAGE  \* MERGEFORMAT </w:instrText>
    </w:r>
    <w:r w:rsidRPr="004F510A">
      <w:rPr>
        <w:b/>
        <w:sz w:val="18"/>
        <w:lang w:val="en-US"/>
      </w:rPr>
      <w:fldChar w:fldCharType="separate"/>
    </w:r>
    <w:r w:rsidR="001802CD">
      <w:rPr>
        <w:b/>
        <w:noProof/>
        <w:sz w:val="18"/>
        <w:lang w:val="en-US"/>
      </w:rPr>
      <w:t>3</w:t>
    </w:r>
    <w:r w:rsidRPr="004F510A">
      <w:rPr>
        <w:b/>
        <w:sz w:val="18"/>
        <w:lang w:val="en-US"/>
      </w:rPr>
      <w:fldChar w:fldCharType="end"/>
    </w:r>
    <w:r>
      <w:rPr>
        <w:b/>
        <w:sz w:val="18"/>
        <w:lang w:val="en-US"/>
      </w:rPr>
      <w:tab/>
    </w:r>
    <w:r>
      <w:rPr>
        <w:lang w:val="en-US"/>
      </w:rPr>
      <w:t>GE.15-00582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D3" w:rsidRDefault="007120D3" w:rsidP="004F510A">
    <w:pPr>
      <w:pStyle w:val="Footer"/>
      <w:jc w:val="right"/>
    </w:pPr>
    <w:r>
      <w:rPr>
        <w:sz w:val="20"/>
      </w:rPr>
      <w:t>(A)</w:t>
    </w:r>
    <w:r w:rsidR="001314CF">
      <w:rPr>
        <w:sz w:val="20"/>
      </w:rPr>
      <w:t xml:space="preserve">   </w:t>
    </w:r>
    <w:r>
      <w:rPr>
        <w:sz w:val="20"/>
      </w:rPr>
      <w:t>GE.15-00582</w:t>
    </w:r>
    <w:r>
      <w:rPr>
        <w:noProof/>
        <w:lang w:val="en-US"/>
      </w:rPr>
      <w:drawing>
        <wp:anchor distT="0" distB="0" distL="114300" distR="114300" simplePos="0" relativeHeight="251658240" behindDoc="1" locked="1" layoutInCell="0" allowOverlap="1" wp14:anchorId="3FEB272D" wp14:editId="3B4AC43C">
          <wp:simplePos x="0" y="0"/>
          <wp:positionH relativeFrom="margin">
            <wp:posOffset>706755</wp:posOffset>
          </wp:positionH>
          <wp:positionV relativeFrom="margin">
            <wp:posOffset>8289290</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4CF">
      <w:rPr>
        <w:sz w:val="20"/>
      </w:rPr>
      <w:t xml:space="preserve">    110515    120515</w:t>
    </w:r>
    <w:r w:rsidR="001802CD">
      <w:br/>
    </w:r>
    <w:r w:rsidR="001802CD" w:rsidRPr="001802CD">
      <w:rPr>
        <w:rFonts w:ascii="C39T30Lfz" w:hAnsi="C39T30Lfz"/>
        <w:sz w:val="56"/>
      </w:rPr>
      <w:t></w:t>
    </w:r>
    <w:r w:rsidR="001802CD" w:rsidRPr="001802CD">
      <w:rPr>
        <w:rFonts w:ascii="C39T30Lfz" w:hAnsi="C39T30Lfz"/>
        <w:sz w:val="56"/>
      </w:rPr>
      <w:t></w:t>
    </w:r>
    <w:r w:rsidR="001802CD" w:rsidRPr="001802CD">
      <w:rPr>
        <w:rFonts w:ascii="C39T30Lfz" w:hAnsi="C39T30Lfz"/>
        <w:sz w:val="56"/>
      </w:rPr>
      <w:t></w:t>
    </w:r>
    <w:r w:rsidR="001802CD" w:rsidRPr="001802CD">
      <w:rPr>
        <w:rFonts w:ascii="C39T30Lfz" w:hAnsi="C39T30Lfz"/>
        <w:sz w:val="56"/>
      </w:rPr>
      <w:t></w:t>
    </w:r>
    <w:r w:rsidR="001802CD" w:rsidRPr="001802CD">
      <w:rPr>
        <w:rFonts w:ascii="C39T30Lfz" w:hAnsi="C39T30Lfz"/>
        <w:sz w:val="56"/>
      </w:rPr>
      <w:t></w:t>
    </w:r>
    <w:r w:rsidR="001802CD" w:rsidRPr="001802CD">
      <w:rPr>
        <w:rFonts w:ascii="C39T30Lfz" w:hAnsi="C39T30Lfz"/>
        <w:sz w:val="56"/>
      </w:rPr>
      <w:t></w:t>
    </w:r>
    <w:r w:rsidR="001802CD" w:rsidRPr="001802CD">
      <w:rPr>
        <w:rFonts w:ascii="C39T30Lfz" w:hAnsi="C39T30Lfz"/>
        <w:sz w:val="56"/>
      </w:rPr>
      <w:t></w:t>
    </w:r>
    <w:r w:rsidR="001802CD" w:rsidRPr="001802CD">
      <w:rPr>
        <w:rFonts w:ascii="C39T30Lfz" w:hAnsi="C39T30Lfz"/>
        <w:sz w:val="56"/>
      </w:rPr>
      <w:t></w:t>
    </w:r>
    <w:r w:rsidR="001802CD" w:rsidRPr="001802CD">
      <w:rPr>
        <w:rFonts w:ascii="C39T30Lfz" w:hAnsi="C39T30Lfz"/>
        <w:sz w:val="56"/>
      </w:rPr>
      <w:t></w:t>
    </w:r>
    <w:r w:rsidR="001802CD">
      <w:rPr>
        <w:rFonts w:ascii="C39T30Lfz" w:hAnsi="C39T30Lfz"/>
        <w:sz w:val="56"/>
      </w:rPr>
      <w:tab/>
    </w:r>
    <w:r w:rsidR="001802CD">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CPR/C/112/D/1965/2010&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2/D/1965/2010&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0D3" w:rsidRDefault="007120D3" w:rsidP="000437B8">
      <w:pPr>
        <w:pStyle w:val="Footer"/>
        <w:bidi/>
        <w:spacing w:after="80" w:line="200" w:lineRule="exact"/>
        <w:ind w:left="680"/>
      </w:pPr>
      <w:r>
        <w:rPr>
          <w:rtl/>
        </w:rPr>
        <w:t>__________</w:t>
      </w:r>
    </w:p>
  </w:footnote>
  <w:footnote w:type="continuationSeparator" w:id="0">
    <w:p w:rsidR="007120D3" w:rsidRDefault="007120D3" w:rsidP="00656392">
      <w:pPr>
        <w:spacing w:line="240" w:lineRule="auto"/>
      </w:pPr>
      <w:r>
        <w:continuationSeparator/>
      </w:r>
    </w:p>
  </w:footnote>
  <w:footnote w:id="1">
    <w:p w:rsidR="00B07920" w:rsidRDefault="00B07920" w:rsidP="00B07920">
      <w:pPr>
        <w:pStyle w:val="FootnoteText1"/>
        <w:rPr>
          <w:rtl/>
        </w:rPr>
      </w:pPr>
      <w:r>
        <w:rPr>
          <w:rtl/>
        </w:rPr>
        <w:t>*</w:t>
      </w:r>
      <w:r>
        <w:rPr>
          <w:rtl/>
        </w:rPr>
        <w:tab/>
      </w:r>
      <w:r>
        <w:rPr>
          <w:rFonts w:hint="cs"/>
          <w:rtl/>
        </w:rPr>
        <w:t xml:space="preserve">شارك في النظر في هذا البلاغ أعضاء اللجنة التالية أسماؤهم: السيد عياض بن عاشور، والسيدة كريستين </w:t>
      </w:r>
      <w:proofErr w:type="spellStart"/>
      <w:r>
        <w:rPr>
          <w:rFonts w:hint="cs"/>
          <w:rtl/>
        </w:rPr>
        <w:t>شانيه</w:t>
      </w:r>
      <w:proofErr w:type="spellEnd"/>
      <w:r>
        <w:rPr>
          <w:rFonts w:hint="cs"/>
          <w:rtl/>
        </w:rPr>
        <w:t xml:space="preserve">، والسيد أحمد أمين فتح الله، والسيد </w:t>
      </w:r>
      <w:proofErr w:type="spellStart"/>
      <w:r>
        <w:rPr>
          <w:rFonts w:hint="cs"/>
          <w:rtl/>
        </w:rPr>
        <w:t>كورنيليس</w:t>
      </w:r>
      <w:proofErr w:type="spellEnd"/>
      <w:r>
        <w:rPr>
          <w:rFonts w:hint="cs"/>
          <w:rtl/>
        </w:rPr>
        <w:t xml:space="preserve"> </w:t>
      </w:r>
      <w:proofErr w:type="spellStart"/>
      <w:r>
        <w:rPr>
          <w:rFonts w:hint="cs"/>
          <w:rtl/>
        </w:rPr>
        <w:t>فلنترمان</w:t>
      </w:r>
      <w:proofErr w:type="spellEnd"/>
      <w:r>
        <w:rPr>
          <w:rFonts w:hint="cs"/>
          <w:rtl/>
        </w:rPr>
        <w:t xml:space="preserve">، والسيد فالتر كالين، والسيد يوجي </w:t>
      </w:r>
      <w:proofErr w:type="spellStart"/>
      <w:r>
        <w:rPr>
          <w:rFonts w:hint="cs"/>
          <w:rtl/>
        </w:rPr>
        <w:t>إواساوا</w:t>
      </w:r>
      <w:proofErr w:type="spellEnd"/>
      <w:r>
        <w:rPr>
          <w:rFonts w:hint="cs"/>
          <w:rtl/>
        </w:rPr>
        <w:t xml:space="preserve">، </w:t>
      </w:r>
      <w:r w:rsidRPr="00E3438B">
        <w:rPr>
          <w:rFonts w:hint="cs"/>
          <w:spacing w:val="-4"/>
          <w:rtl/>
        </w:rPr>
        <w:t xml:space="preserve">والسيد جيرالد ل. نومان، والسيد فابيان عمر </w:t>
      </w:r>
      <w:proofErr w:type="spellStart"/>
      <w:r w:rsidRPr="00E3438B">
        <w:rPr>
          <w:rFonts w:hint="cs"/>
          <w:spacing w:val="-4"/>
          <w:rtl/>
        </w:rPr>
        <w:t>سالفيولي</w:t>
      </w:r>
      <w:proofErr w:type="spellEnd"/>
      <w:r w:rsidRPr="00E3438B">
        <w:rPr>
          <w:rFonts w:hint="cs"/>
          <w:spacing w:val="-4"/>
          <w:rtl/>
        </w:rPr>
        <w:t xml:space="preserve">، والسيد </w:t>
      </w:r>
      <w:proofErr w:type="spellStart"/>
      <w:r w:rsidRPr="00E3438B">
        <w:rPr>
          <w:rFonts w:hint="cs"/>
          <w:spacing w:val="-4"/>
          <w:rtl/>
        </w:rPr>
        <w:t>ديروجلال</w:t>
      </w:r>
      <w:proofErr w:type="spellEnd"/>
      <w:r w:rsidRPr="00E3438B">
        <w:rPr>
          <w:rFonts w:hint="cs"/>
          <w:spacing w:val="-4"/>
          <w:rtl/>
        </w:rPr>
        <w:t xml:space="preserve"> </w:t>
      </w:r>
      <w:proofErr w:type="spellStart"/>
      <w:r w:rsidRPr="00E3438B">
        <w:rPr>
          <w:rFonts w:hint="cs"/>
          <w:spacing w:val="-4"/>
          <w:rtl/>
        </w:rPr>
        <w:t>سيتورسينغ</w:t>
      </w:r>
      <w:proofErr w:type="spellEnd"/>
      <w:r w:rsidRPr="00E3438B">
        <w:rPr>
          <w:rFonts w:hint="cs"/>
          <w:spacing w:val="-4"/>
          <w:rtl/>
        </w:rPr>
        <w:t xml:space="preserve">، والسيدة آنيا </w:t>
      </w:r>
      <w:proofErr w:type="spellStart"/>
      <w:r w:rsidRPr="00E3438B">
        <w:rPr>
          <w:rFonts w:hint="cs"/>
          <w:spacing w:val="-4"/>
          <w:rtl/>
        </w:rPr>
        <w:t>زايبريت</w:t>
      </w:r>
      <w:proofErr w:type="spellEnd"/>
      <w:r w:rsidRPr="00E3438B">
        <w:rPr>
          <w:rFonts w:hint="cs"/>
          <w:spacing w:val="-4"/>
          <w:rtl/>
        </w:rPr>
        <w:t xml:space="preserve"> - فور،</w:t>
      </w:r>
      <w:r>
        <w:rPr>
          <w:rFonts w:hint="cs"/>
          <w:rtl/>
        </w:rPr>
        <w:t xml:space="preserve"> والسيد يوفال </w:t>
      </w:r>
      <w:proofErr w:type="spellStart"/>
      <w:r>
        <w:rPr>
          <w:rFonts w:hint="cs"/>
          <w:rtl/>
        </w:rPr>
        <w:t>شاني</w:t>
      </w:r>
      <w:proofErr w:type="spellEnd"/>
      <w:r>
        <w:rPr>
          <w:rFonts w:hint="cs"/>
          <w:rtl/>
        </w:rPr>
        <w:t xml:space="preserve">، والسيد </w:t>
      </w:r>
      <w:proofErr w:type="spellStart"/>
      <w:r>
        <w:rPr>
          <w:rFonts w:hint="cs"/>
          <w:rtl/>
        </w:rPr>
        <w:t>كونستانتين</w:t>
      </w:r>
      <w:proofErr w:type="spellEnd"/>
      <w:r>
        <w:rPr>
          <w:rFonts w:hint="cs"/>
          <w:rtl/>
        </w:rPr>
        <w:t xml:space="preserve"> </w:t>
      </w:r>
      <w:proofErr w:type="spellStart"/>
      <w:r>
        <w:rPr>
          <w:rFonts w:hint="cs"/>
          <w:rtl/>
        </w:rPr>
        <w:t>فاردلازشفيلي</w:t>
      </w:r>
      <w:proofErr w:type="spellEnd"/>
      <w:r>
        <w:rPr>
          <w:rFonts w:hint="cs"/>
          <w:rtl/>
        </w:rPr>
        <w:t xml:space="preserve">، والسيدة مارغو </w:t>
      </w:r>
      <w:proofErr w:type="spellStart"/>
      <w:r>
        <w:rPr>
          <w:rFonts w:hint="cs"/>
          <w:rtl/>
        </w:rPr>
        <w:t>واترفال</w:t>
      </w:r>
      <w:proofErr w:type="spellEnd"/>
      <w:r>
        <w:rPr>
          <w:rFonts w:hint="cs"/>
          <w:rtl/>
        </w:rPr>
        <w:t xml:space="preserve">، والسيد أندري بول </w:t>
      </w:r>
      <w:proofErr w:type="spellStart"/>
      <w:r>
        <w:rPr>
          <w:rFonts w:hint="cs"/>
          <w:rtl/>
        </w:rPr>
        <w:t>زلاتيسكو</w:t>
      </w:r>
      <w:proofErr w:type="spellEnd"/>
      <w:r>
        <w:rPr>
          <w:rFonts w:hint="cs"/>
          <w:rtl/>
        </w:rPr>
        <w:t>.</w:t>
      </w:r>
    </w:p>
    <w:p w:rsidR="00B07920" w:rsidRPr="00B07920" w:rsidRDefault="00B07920" w:rsidP="00997E99">
      <w:pPr>
        <w:pStyle w:val="FootnoteText1"/>
        <w:ind w:left="1701"/>
        <w:rPr>
          <w:rtl/>
        </w:rPr>
      </w:pPr>
      <w:r>
        <w:rPr>
          <w:rtl/>
        </w:rPr>
        <w:tab/>
      </w:r>
      <w:r>
        <w:rPr>
          <w:rFonts w:hint="cs"/>
          <w:rtl/>
        </w:rPr>
        <w:t xml:space="preserve">ويرفق بهذه الآراء رأي فردي لعضو اللجنة السيد فابيان </w:t>
      </w:r>
      <w:proofErr w:type="spellStart"/>
      <w:r>
        <w:rPr>
          <w:rFonts w:hint="cs"/>
          <w:rtl/>
        </w:rPr>
        <w:t>سالفيولي</w:t>
      </w:r>
      <w:proofErr w:type="spellEnd"/>
      <w:r>
        <w:rPr>
          <w:rFonts w:hint="cs"/>
          <w:rtl/>
        </w:rPr>
        <w:t xml:space="preserve"> (رأي مخالف جزئياً).</w:t>
      </w:r>
    </w:p>
  </w:footnote>
  <w:footnote w:id="2">
    <w:p w:rsidR="007120D3" w:rsidRPr="00215BFF" w:rsidRDefault="007120D3" w:rsidP="009431C6">
      <w:pPr>
        <w:pStyle w:val="FootnoteText1"/>
      </w:pPr>
      <w:r w:rsidRPr="00215BFF">
        <w:rPr>
          <w:rtl/>
        </w:rPr>
        <w:t>(</w:t>
      </w:r>
      <w:r w:rsidRPr="00215BFF">
        <w:rPr>
          <w:rStyle w:val="FootnoteReference"/>
          <w:vertAlign w:val="baseline"/>
        </w:rPr>
        <w:footnoteRef/>
      </w:r>
      <w:r>
        <w:rPr>
          <w:sz w:val="26"/>
          <w:rtl/>
        </w:rPr>
        <w:t>)</w:t>
      </w:r>
      <w:r>
        <w:rPr>
          <w:sz w:val="26"/>
          <w:rtl/>
        </w:rPr>
        <w:tab/>
      </w:r>
      <w:r>
        <w:rPr>
          <w:rFonts w:hint="cs"/>
          <w:rtl/>
        </w:rPr>
        <w:t>يرفق صاحب البلاغ بياناً موقعاً من الطبيب الذي عالجه في 26 آب/أغسطس 2002 (بتاريخ 22 تشرين الأول/أكتوبر 2002)</w:t>
      </w:r>
      <w:r w:rsidR="001314CF">
        <w:rPr>
          <w:rFonts w:hint="cs"/>
          <w:rtl/>
        </w:rPr>
        <w:t xml:space="preserve"> </w:t>
      </w:r>
      <w:r>
        <w:rPr>
          <w:rFonts w:hint="cs"/>
          <w:rtl/>
        </w:rPr>
        <w:t>يذكر</w:t>
      </w:r>
      <w:r w:rsidR="001314CF">
        <w:rPr>
          <w:rFonts w:hint="cs"/>
          <w:rtl/>
        </w:rPr>
        <w:t xml:space="preserve"> </w:t>
      </w:r>
      <w:r>
        <w:rPr>
          <w:rFonts w:hint="cs"/>
          <w:rtl/>
        </w:rPr>
        <w:t xml:space="preserve">الطبيب </w:t>
      </w:r>
      <w:r w:rsidRPr="00701F96">
        <w:rPr>
          <w:rFonts w:hint="cs"/>
          <w:rtl/>
        </w:rPr>
        <w:t>فيه</w:t>
      </w:r>
      <w:r>
        <w:rPr>
          <w:rFonts w:hint="cs"/>
          <w:rtl/>
        </w:rPr>
        <w:t xml:space="preserve"> أنه أصدر شهادة طبية عدل عنها فيما بعد "لأن الجزء الفعلي من الجسم الذي أصيب إصابة خطيرة كان هو العين" وكان الطبيب جراحاً. وتشير شهادة إلى إصابة صاحب البلاغ إصابات متعددة في جميع أنحاء جسمه (ارتجاج في المخ، صدمات في الأنسجة اللينة من القفص الصدري، ورضوض متعددة، والتهاب معمم في العضلات؛ والإصابة بالعمى في العين اليسرى نتيجة اللكمات). وأرفق أربع شهادات طبية إضافية تقدم وصفاً لحالته الطبية، ولا سيما للعين اليسرى ("التشخيص هو أن النظر في العين اليسرى ضعيف جداً").</w:t>
      </w:r>
    </w:p>
  </w:footnote>
  <w:footnote w:id="3">
    <w:p w:rsidR="007120D3" w:rsidRPr="00E42796" w:rsidRDefault="007120D3" w:rsidP="00E3438B">
      <w:pPr>
        <w:pStyle w:val="FootnoteText1"/>
      </w:pPr>
      <w:r w:rsidRPr="00E42796">
        <w:rPr>
          <w:rtl/>
        </w:rPr>
        <w:t>(</w:t>
      </w:r>
      <w:r w:rsidRPr="00E42796">
        <w:rPr>
          <w:rStyle w:val="FootnoteReference"/>
          <w:vertAlign w:val="baseline"/>
        </w:rPr>
        <w:footnoteRef/>
      </w:r>
      <w:r>
        <w:rPr>
          <w:sz w:val="26"/>
          <w:rtl/>
        </w:rPr>
        <w:t>)</w:t>
      </w:r>
      <w:r>
        <w:rPr>
          <w:sz w:val="26"/>
          <w:rtl/>
        </w:rPr>
        <w:tab/>
      </w:r>
      <w:r>
        <w:rPr>
          <w:rFonts w:hint="cs"/>
          <w:rtl/>
        </w:rPr>
        <w:t>يرفق صاحب البلاغ نسخاً من الشكاوى التي قدمها.</w:t>
      </w:r>
    </w:p>
  </w:footnote>
  <w:footnote w:id="4">
    <w:p w:rsidR="007120D3" w:rsidRPr="00E42796" w:rsidRDefault="007120D3" w:rsidP="00E3438B">
      <w:pPr>
        <w:pStyle w:val="FootnoteText1"/>
      </w:pPr>
      <w:r w:rsidRPr="00E42796">
        <w:rPr>
          <w:rtl/>
        </w:rPr>
        <w:t>(</w:t>
      </w:r>
      <w:r w:rsidRPr="00E42796">
        <w:rPr>
          <w:rStyle w:val="FootnoteReference"/>
          <w:vertAlign w:val="baseline"/>
        </w:rPr>
        <w:footnoteRef/>
      </w:r>
      <w:r>
        <w:rPr>
          <w:sz w:val="26"/>
          <w:rtl/>
        </w:rPr>
        <w:t>)</w:t>
      </w:r>
      <w:r>
        <w:rPr>
          <w:sz w:val="26"/>
          <w:rtl/>
        </w:rPr>
        <w:tab/>
      </w:r>
      <w:r>
        <w:rPr>
          <w:rFonts w:hint="cs"/>
          <w:sz w:val="26"/>
          <w:rtl/>
        </w:rPr>
        <w:t xml:space="preserve">موثقة من شهادات </w:t>
      </w:r>
      <w:r>
        <w:rPr>
          <w:rFonts w:hint="cs"/>
          <w:rtl/>
        </w:rPr>
        <w:t xml:space="preserve">طبية متعددة قدمها صاحب البلاغ. </w:t>
      </w:r>
    </w:p>
  </w:footnote>
  <w:footnote w:id="5">
    <w:p w:rsidR="007120D3" w:rsidRPr="005B6D1A" w:rsidRDefault="007120D3" w:rsidP="00C80684">
      <w:pPr>
        <w:pStyle w:val="FootnoteText1"/>
      </w:pPr>
      <w:r w:rsidRPr="005B6D1A">
        <w:rPr>
          <w:rtl/>
        </w:rPr>
        <w:t>(</w:t>
      </w:r>
      <w:r w:rsidRPr="005B6D1A">
        <w:rPr>
          <w:rStyle w:val="FootnoteReference"/>
          <w:vertAlign w:val="baseline"/>
        </w:rPr>
        <w:footnoteRef/>
      </w:r>
      <w:r>
        <w:rPr>
          <w:sz w:val="26"/>
          <w:rtl/>
        </w:rPr>
        <w:t>)</w:t>
      </w:r>
      <w:r>
        <w:rPr>
          <w:sz w:val="26"/>
          <w:rtl/>
        </w:rPr>
        <w:tab/>
      </w:r>
      <w:r>
        <w:rPr>
          <w:rFonts w:hint="cs"/>
          <w:sz w:val="26"/>
          <w:rtl/>
        </w:rPr>
        <w:t xml:space="preserve">ترفق الدولة الطرف رسالة مؤرخة في 26 آب/أغسطس 2002 موقعة من صاحب البلاغ عنوانها "طلب المساعدة" موجهة إلى مندوب الحكومة (مجلس </w:t>
      </w:r>
      <w:proofErr w:type="spellStart"/>
      <w:r w:rsidR="001314CF">
        <w:rPr>
          <w:rFonts w:hint="cs"/>
          <w:sz w:val="26"/>
          <w:rtl/>
        </w:rPr>
        <w:t>ليمبه</w:t>
      </w:r>
      <w:proofErr w:type="spellEnd"/>
      <w:r>
        <w:rPr>
          <w:rFonts w:hint="cs"/>
          <w:sz w:val="26"/>
          <w:rtl/>
        </w:rPr>
        <w:t xml:space="preserve"> البلدي) يلتمس فيها صاحب البلاغ المساعدة، بالنيابة عن أسرته، التي احترق بيتها في 25 تموز/يوليه 2002.</w:t>
      </w:r>
    </w:p>
  </w:footnote>
  <w:footnote w:id="6">
    <w:p w:rsidR="007120D3" w:rsidRPr="005B6D1A" w:rsidRDefault="007120D3" w:rsidP="00C80684">
      <w:pPr>
        <w:pStyle w:val="FootnoteText1"/>
      </w:pPr>
      <w:r w:rsidRPr="005B6D1A">
        <w:rPr>
          <w:rtl/>
        </w:rPr>
        <w:t>(</w:t>
      </w:r>
      <w:r w:rsidRPr="005B6D1A">
        <w:rPr>
          <w:rStyle w:val="FootnoteReference"/>
          <w:vertAlign w:val="baseline"/>
        </w:rPr>
        <w:footnoteRef/>
      </w:r>
      <w:r>
        <w:rPr>
          <w:sz w:val="26"/>
          <w:rtl/>
        </w:rPr>
        <w:t>)</w:t>
      </w:r>
      <w:r>
        <w:rPr>
          <w:sz w:val="26"/>
          <w:rtl/>
        </w:rPr>
        <w:tab/>
      </w:r>
      <w:r>
        <w:rPr>
          <w:rFonts w:hint="cs"/>
          <w:sz w:val="26"/>
          <w:rtl/>
        </w:rPr>
        <w:t>وثيقة أرفقتها الدولة ا</w:t>
      </w:r>
      <w:r w:rsidR="001314CF">
        <w:rPr>
          <w:rFonts w:hint="cs"/>
          <w:sz w:val="26"/>
          <w:rtl/>
        </w:rPr>
        <w:t>لطرف.</w:t>
      </w:r>
    </w:p>
  </w:footnote>
  <w:footnote w:id="7">
    <w:p w:rsidR="007120D3" w:rsidRPr="005B6D1A" w:rsidRDefault="007120D3" w:rsidP="00C80684">
      <w:pPr>
        <w:pStyle w:val="FootnoteText1"/>
      </w:pPr>
      <w:r w:rsidRPr="005B6D1A">
        <w:rPr>
          <w:rtl/>
        </w:rPr>
        <w:t>(</w:t>
      </w:r>
      <w:r w:rsidRPr="005B6D1A">
        <w:rPr>
          <w:rStyle w:val="FootnoteReference"/>
          <w:vertAlign w:val="baseline"/>
        </w:rPr>
        <w:footnoteRef/>
      </w:r>
      <w:r>
        <w:rPr>
          <w:sz w:val="26"/>
          <w:rtl/>
        </w:rPr>
        <w:t>)</w:t>
      </w:r>
      <w:r>
        <w:rPr>
          <w:sz w:val="26"/>
          <w:rtl/>
        </w:rPr>
        <w:tab/>
      </w:r>
      <w:r>
        <w:rPr>
          <w:rFonts w:hint="cs"/>
          <w:rtl/>
        </w:rPr>
        <w:t>ترفق الدولة الطرف شهادة خطية من أحد ضباط الشرطة بتاريخ 7 تشرين الثاني/نوفمبر 2002، يدعي فيها: (أ) تعذر إلقاء القبض على صاحب البلاغ لدخوله المستشفى؛ (ب) إلقاء القبض على صاحب البلاغ ثم</w:t>
      </w:r>
      <w:r w:rsidR="00C80684">
        <w:rPr>
          <w:rFonts w:hint="eastAsia"/>
          <w:rtl/>
        </w:rPr>
        <w:t> </w:t>
      </w:r>
      <w:r>
        <w:rPr>
          <w:rFonts w:hint="cs"/>
          <w:rtl/>
        </w:rPr>
        <w:t>الإفراج عنه بأمر من المدعي العام.</w:t>
      </w:r>
      <w:r w:rsidRPr="005B6D1A">
        <w:rPr>
          <w:rtl/>
        </w:rPr>
        <w:t xml:space="preserve"> </w:t>
      </w:r>
    </w:p>
  </w:footnote>
  <w:footnote w:id="8">
    <w:p w:rsidR="007120D3" w:rsidRPr="005B6D1A" w:rsidRDefault="007120D3" w:rsidP="00C80684">
      <w:pPr>
        <w:pStyle w:val="FootnoteText1"/>
      </w:pPr>
      <w:r w:rsidRPr="005B6D1A">
        <w:rPr>
          <w:rtl/>
        </w:rPr>
        <w:t>(</w:t>
      </w:r>
      <w:r w:rsidRPr="005B6D1A">
        <w:rPr>
          <w:rStyle w:val="FootnoteReference"/>
          <w:vertAlign w:val="baseline"/>
        </w:rPr>
        <w:footnoteRef/>
      </w:r>
      <w:r>
        <w:rPr>
          <w:sz w:val="26"/>
          <w:rtl/>
        </w:rPr>
        <w:t>)</w:t>
      </w:r>
      <w:r>
        <w:rPr>
          <w:sz w:val="26"/>
          <w:rtl/>
        </w:rPr>
        <w:tab/>
      </w:r>
      <w:r>
        <w:rPr>
          <w:rFonts w:hint="cs"/>
          <w:sz w:val="26"/>
          <w:rtl/>
        </w:rPr>
        <w:t>يرفق صاحب البلاغ أمر</w:t>
      </w:r>
      <w:r w:rsidR="00C80684">
        <w:rPr>
          <w:rFonts w:hint="cs"/>
          <w:sz w:val="26"/>
          <w:rtl/>
        </w:rPr>
        <w:t>اً</w:t>
      </w:r>
      <w:r>
        <w:rPr>
          <w:rFonts w:hint="cs"/>
          <w:sz w:val="26"/>
          <w:rtl/>
        </w:rPr>
        <w:t xml:space="preserve"> بالحضور</w:t>
      </w:r>
      <w:r w:rsidR="00997E99">
        <w:rPr>
          <w:rFonts w:hint="cs"/>
          <w:sz w:val="26"/>
          <w:rtl/>
        </w:rPr>
        <w:t xml:space="preserve"> </w:t>
      </w:r>
      <w:r w:rsidRPr="00997E99">
        <w:rPr>
          <w:rFonts w:hint="cs"/>
          <w:i/>
          <w:iCs/>
          <w:sz w:val="26"/>
          <w:rtl/>
        </w:rPr>
        <w:t xml:space="preserve">(الاستدعاء </w:t>
      </w:r>
      <w:r w:rsidR="00C80684" w:rsidRPr="00997E99">
        <w:rPr>
          <w:rFonts w:hint="cs"/>
          <w:i/>
          <w:iCs/>
          <w:sz w:val="26"/>
          <w:rtl/>
        </w:rPr>
        <w:t>للمثول</w:t>
      </w:r>
      <w:r w:rsidRPr="00997E99">
        <w:rPr>
          <w:rFonts w:hint="cs"/>
          <w:i/>
          <w:iCs/>
          <w:sz w:val="26"/>
          <w:rtl/>
        </w:rPr>
        <w:t>)</w:t>
      </w:r>
      <w:r>
        <w:rPr>
          <w:rFonts w:hint="cs"/>
          <w:sz w:val="26"/>
          <w:rtl/>
        </w:rPr>
        <w:t xml:space="preserve"> مؤرخ في 25 شباط/فبراير 2011 يشير إلى تهام صاحب البلاغ بالشروع في القتل والاعتداء.</w:t>
      </w:r>
      <w:r w:rsidRPr="005B6D1A">
        <w:rPr>
          <w:rtl/>
        </w:rPr>
        <w:t xml:space="preserve"> </w:t>
      </w:r>
    </w:p>
  </w:footnote>
  <w:footnote w:id="9">
    <w:p w:rsidR="007120D3" w:rsidRPr="008B3594" w:rsidRDefault="007120D3" w:rsidP="007D2537">
      <w:pPr>
        <w:pStyle w:val="FootnoteText1"/>
      </w:pPr>
      <w:r w:rsidRPr="008B3594">
        <w:rPr>
          <w:rtl/>
        </w:rPr>
        <w:t>(</w:t>
      </w:r>
      <w:r w:rsidRPr="008B3594">
        <w:rPr>
          <w:rStyle w:val="FootnoteReference"/>
          <w:vertAlign w:val="baseline"/>
        </w:rPr>
        <w:footnoteRef/>
      </w:r>
      <w:r>
        <w:rPr>
          <w:sz w:val="26"/>
          <w:rtl/>
        </w:rPr>
        <w:t>)</w:t>
      </w:r>
      <w:r>
        <w:rPr>
          <w:sz w:val="26"/>
          <w:rtl/>
        </w:rPr>
        <w:tab/>
      </w:r>
      <w:r w:rsidR="000D4D10">
        <w:rPr>
          <w:rFonts w:hint="cs"/>
          <w:sz w:val="26"/>
          <w:rtl/>
        </w:rPr>
        <w:t>بتاريخ</w:t>
      </w:r>
      <w:r>
        <w:rPr>
          <w:rFonts w:hint="cs"/>
          <w:sz w:val="26"/>
          <w:rtl/>
        </w:rPr>
        <w:t xml:space="preserve"> 24 نيسان/أبريل 2004. تقدم الإفادة وصفاً للحادث الذي وقع في 25 تشرين الأول/</w:t>
      </w:r>
      <w:r w:rsidR="007D2537">
        <w:rPr>
          <w:rFonts w:hint="cs"/>
          <w:sz w:val="26"/>
          <w:rtl/>
        </w:rPr>
        <w:t xml:space="preserve">           </w:t>
      </w:r>
      <w:r>
        <w:rPr>
          <w:rFonts w:hint="cs"/>
          <w:sz w:val="26"/>
          <w:rtl/>
        </w:rPr>
        <w:t>أكتوبر 2002، عندما</w:t>
      </w:r>
      <w:r w:rsidR="000D4D10">
        <w:rPr>
          <w:rFonts w:hint="cs"/>
          <w:sz w:val="26"/>
          <w:rtl/>
        </w:rPr>
        <w:t xml:space="preserve"> كان صاحب البلاغ في مستشفى </w:t>
      </w:r>
      <w:proofErr w:type="spellStart"/>
      <w:r w:rsidR="000D4D10">
        <w:rPr>
          <w:rFonts w:hint="cs"/>
          <w:sz w:val="26"/>
          <w:rtl/>
        </w:rPr>
        <w:t>ليمبه</w:t>
      </w:r>
      <w:proofErr w:type="spellEnd"/>
      <w:r w:rsidRPr="008B3594">
        <w:rPr>
          <w:rtl/>
        </w:rPr>
        <w:t xml:space="preserve"> </w:t>
      </w:r>
      <w:r>
        <w:rPr>
          <w:rFonts w:hint="cs"/>
          <w:rtl/>
        </w:rPr>
        <w:t>لشراء بعض الأدوية، حيث جاء رئيس شرطة</w:t>
      </w:r>
      <w:r w:rsidR="007D2537">
        <w:rPr>
          <w:rFonts w:hint="eastAsia"/>
          <w:rtl/>
        </w:rPr>
        <w:t> </w:t>
      </w:r>
      <w:r>
        <w:rPr>
          <w:rFonts w:hint="cs"/>
          <w:rtl/>
        </w:rPr>
        <w:t xml:space="preserve">بلدية مجلس </w:t>
      </w:r>
      <w:r w:rsidR="000D4D10">
        <w:rPr>
          <w:rFonts w:hint="cs"/>
          <w:rtl/>
        </w:rPr>
        <w:t xml:space="preserve">مدينة </w:t>
      </w:r>
      <w:proofErr w:type="spellStart"/>
      <w:r w:rsidR="000D4D10">
        <w:rPr>
          <w:rFonts w:hint="cs"/>
          <w:rtl/>
        </w:rPr>
        <w:t>ليمبه</w:t>
      </w:r>
      <w:proofErr w:type="spellEnd"/>
      <w:r>
        <w:rPr>
          <w:rFonts w:hint="cs"/>
          <w:rtl/>
        </w:rPr>
        <w:t xml:space="preserve"> </w:t>
      </w:r>
      <w:r w:rsidR="000D4D10">
        <w:rPr>
          <w:rFonts w:hint="cs"/>
          <w:rtl/>
        </w:rPr>
        <w:t>يطلبه</w:t>
      </w:r>
      <w:r>
        <w:rPr>
          <w:rFonts w:hint="cs"/>
          <w:rtl/>
        </w:rPr>
        <w:t xml:space="preserve">، وأطلعه على أمر بالاحتجاز موقع من جانب </w:t>
      </w:r>
      <w:r w:rsidR="000D4D10">
        <w:rPr>
          <w:rFonts w:hint="cs"/>
          <w:rtl/>
        </w:rPr>
        <w:t xml:space="preserve">رئيس شرطة مدينة </w:t>
      </w:r>
      <w:r>
        <w:rPr>
          <w:rFonts w:hint="cs"/>
          <w:rtl/>
        </w:rPr>
        <w:t xml:space="preserve">فاكو، </w:t>
      </w:r>
      <w:r w:rsidR="000D4D10">
        <w:rPr>
          <w:rFonts w:hint="cs"/>
          <w:rtl/>
        </w:rPr>
        <w:t xml:space="preserve">بتاريخ </w:t>
      </w:r>
      <w:r>
        <w:rPr>
          <w:rFonts w:hint="cs"/>
          <w:rtl/>
        </w:rPr>
        <w:t xml:space="preserve">13 آب/أغسطس 2002. ويفيد الجزء المعني في هذا الصدد "أن صاحب البلاغ قاوم الاحتجاز وتعرض للضرب الشديد ... وتعاطف </w:t>
      </w:r>
      <w:r w:rsidR="000D4D10">
        <w:rPr>
          <w:rFonts w:hint="cs"/>
          <w:rtl/>
        </w:rPr>
        <w:t xml:space="preserve">الناس </w:t>
      </w:r>
      <w:r>
        <w:rPr>
          <w:rFonts w:hint="cs"/>
          <w:rtl/>
        </w:rPr>
        <w:t xml:space="preserve">معه ومنعوا احتجازه </w:t>
      </w:r>
      <w:r w:rsidR="000D4D10">
        <w:rPr>
          <w:rFonts w:hint="cs"/>
          <w:rtl/>
        </w:rPr>
        <w:t>غير القانوني</w:t>
      </w:r>
      <w:r>
        <w:rPr>
          <w:rFonts w:hint="cs"/>
          <w:rtl/>
        </w:rPr>
        <w:t xml:space="preserve">... ومن </w:t>
      </w:r>
      <w:r w:rsidR="000D4D10">
        <w:rPr>
          <w:rFonts w:hint="cs"/>
          <w:rtl/>
        </w:rPr>
        <w:t xml:space="preserve">تم اقتيد إلى مركز الدرك في </w:t>
      </w:r>
      <w:proofErr w:type="spellStart"/>
      <w:r w:rsidR="000D4D10">
        <w:rPr>
          <w:rFonts w:hint="cs"/>
          <w:rtl/>
        </w:rPr>
        <w:t>ليمبه</w:t>
      </w:r>
      <w:proofErr w:type="spellEnd"/>
      <w:r>
        <w:rPr>
          <w:rFonts w:hint="cs"/>
          <w:rtl/>
        </w:rPr>
        <w:t xml:space="preserve"> ولكن الضغوط التي مارسها </w:t>
      </w:r>
      <w:r w:rsidR="000D4D10">
        <w:rPr>
          <w:rFonts w:hint="cs"/>
          <w:rtl/>
        </w:rPr>
        <w:t xml:space="preserve">الناس </w:t>
      </w:r>
      <w:r>
        <w:rPr>
          <w:rFonts w:hint="cs"/>
          <w:rtl/>
        </w:rPr>
        <w:t>أجبرت رجال الدرك على إطلاق سراحه بعد 20 دقيقة".</w:t>
      </w:r>
    </w:p>
  </w:footnote>
  <w:footnote w:id="10">
    <w:p w:rsidR="007120D3" w:rsidRPr="008B3594" w:rsidRDefault="007120D3" w:rsidP="00997E99">
      <w:pPr>
        <w:pStyle w:val="FootnoteText1"/>
      </w:pPr>
      <w:r w:rsidRPr="008B3594">
        <w:rPr>
          <w:rtl/>
        </w:rPr>
        <w:t>(</w:t>
      </w:r>
      <w:r w:rsidRPr="008B3594">
        <w:rPr>
          <w:rStyle w:val="FootnoteReference"/>
          <w:vertAlign w:val="baseline"/>
        </w:rPr>
        <w:footnoteRef/>
      </w:r>
      <w:r>
        <w:rPr>
          <w:sz w:val="26"/>
          <w:rtl/>
        </w:rPr>
        <w:t>)</w:t>
      </w:r>
      <w:r>
        <w:rPr>
          <w:sz w:val="26"/>
          <w:rtl/>
        </w:rPr>
        <w:tab/>
      </w:r>
      <w:r>
        <w:rPr>
          <w:rFonts w:hint="cs"/>
          <w:sz w:val="26"/>
          <w:rtl/>
        </w:rPr>
        <w:t xml:space="preserve">وثيقة مؤرخة 7 شباط/فبراير 2011، محكمة الاستئناف في المنطقة الجنوبية الغربية، إجراءات جنائية ضد نجيي مونيكا دجون </w:t>
      </w:r>
      <w:proofErr w:type="spellStart"/>
      <w:r>
        <w:rPr>
          <w:rFonts w:hint="cs"/>
          <w:sz w:val="26"/>
          <w:rtl/>
        </w:rPr>
        <w:t>وليفاندا</w:t>
      </w:r>
      <w:proofErr w:type="spellEnd"/>
      <w:r>
        <w:rPr>
          <w:rFonts w:hint="cs"/>
          <w:sz w:val="26"/>
          <w:rtl/>
        </w:rPr>
        <w:t xml:space="preserve"> </w:t>
      </w:r>
      <w:r w:rsidR="00997E99">
        <w:rPr>
          <w:rFonts w:hint="cs"/>
          <w:sz w:val="26"/>
          <w:rtl/>
        </w:rPr>
        <w:t>ص</w:t>
      </w:r>
      <w:r>
        <w:rPr>
          <w:rFonts w:hint="cs"/>
          <w:sz w:val="26"/>
          <w:rtl/>
        </w:rPr>
        <w:t xml:space="preserve">امويل </w:t>
      </w:r>
      <w:proofErr w:type="spellStart"/>
      <w:r>
        <w:rPr>
          <w:rFonts w:hint="cs"/>
          <w:sz w:val="26"/>
          <w:rtl/>
        </w:rPr>
        <w:t>إبياما</w:t>
      </w:r>
      <w:proofErr w:type="spellEnd"/>
      <w:r>
        <w:rPr>
          <w:rFonts w:hint="cs"/>
          <w:rtl/>
        </w:rPr>
        <w:t>.</w:t>
      </w:r>
    </w:p>
  </w:footnote>
  <w:footnote w:id="11">
    <w:p w:rsidR="007120D3" w:rsidRPr="008B3594" w:rsidRDefault="007120D3" w:rsidP="00645A69">
      <w:pPr>
        <w:pStyle w:val="FootnoteText1"/>
      </w:pPr>
      <w:r w:rsidRPr="008B3594">
        <w:rPr>
          <w:rtl/>
        </w:rPr>
        <w:t>(</w:t>
      </w:r>
      <w:r w:rsidRPr="008B3594">
        <w:rPr>
          <w:rStyle w:val="FootnoteReference"/>
          <w:vertAlign w:val="baseline"/>
        </w:rPr>
        <w:footnoteRef/>
      </w:r>
      <w:r>
        <w:rPr>
          <w:sz w:val="26"/>
          <w:rtl/>
        </w:rPr>
        <w:t>)</w:t>
      </w:r>
      <w:r>
        <w:rPr>
          <w:sz w:val="26"/>
          <w:rtl/>
        </w:rPr>
        <w:tab/>
      </w:r>
      <w:r>
        <w:rPr>
          <w:rFonts w:hint="cs"/>
          <w:sz w:val="26"/>
          <w:rtl/>
        </w:rPr>
        <w:t xml:space="preserve">انظر البلاغات رقم 1619/2007، </w:t>
      </w:r>
      <w:proofErr w:type="spellStart"/>
      <w:r>
        <w:rPr>
          <w:rFonts w:hint="cs"/>
          <w:i/>
          <w:iCs/>
          <w:sz w:val="26"/>
          <w:rtl/>
        </w:rPr>
        <w:t>بيستانيو</w:t>
      </w:r>
      <w:proofErr w:type="spellEnd"/>
      <w:r>
        <w:rPr>
          <w:rFonts w:hint="cs"/>
          <w:i/>
          <w:iCs/>
          <w:sz w:val="26"/>
          <w:rtl/>
        </w:rPr>
        <w:t xml:space="preserve"> ضد </w:t>
      </w:r>
      <w:r w:rsidRPr="007F33FB">
        <w:rPr>
          <w:rFonts w:hint="cs"/>
          <w:i/>
          <w:iCs/>
          <w:rtl/>
        </w:rPr>
        <w:t>الفلبين</w:t>
      </w:r>
      <w:r>
        <w:rPr>
          <w:rFonts w:hint="cs"/>
          <w:rtl/>
        </w:rPr>
        <w:t>، آراء اعتمدت في 23 آذار/مارس 2010، الفقرة</w:t>
      </w:r>
      <w:r w:rsidR="00645A69">
        <w:rPr>
          <w:rFonts w:hint="eastAsia"/>
          <w:rtl/>
        </w:rPr>
        <w:t> </w:t>
      </w:r>
      <w:r>
        <w:rPr>
          <w:rFonts w:hint="cs"/>
          <w:rtl/>
        </w:rPr>
        <w:t xml:space="preserve">7-2؛ ورقم 1447/2006، </w:t>
      </w:r>
      <w:proofErr w:type="spellStart"/>
      <w:r>
        <w:rPr>
          <w:rFonts w:hint="cs"/>
          <w:i/>
          <w:iCs/>
          <w:rtl/>
        </w:rPr>
        <w:t>أميروف</w:t>
      </w:r>
      <w:proofErr w:type="spellEnd"/>
      <w:r>
        <w:rPr>
          <w:rFonts w:hint="cs"/>
          <w:i/>
          <w:iCs/>
          <w:rtl/>
        </w:rPr>
        <w:t xml:space="preserve"> </w:t>
      </w:r>
      <w:proofErr w:type="spellStart"/>
      <w:r>
        <w:rPr>
          <w:rFonts w:hint="cs"/>
          <w:i/>
          <w:iCs/>
          <w:rtl/>
        </w:rPr>
        <w:t>وأميروفا</w:t>
      </w:r>
      <w:proofErr w:type="spellEnd"/>
      <w:r>
        <w:rPr>
          <w:rFonts w:hint="cs"/>
          <w:i/>
          <w:iCs/>
          <w:rtl/>
        </w:rPr>
        <w:t xml:space="preserve"> ضد الاتحاد الروسي</w:t>
      </w:r>
      <w:r>
        <w:rPr>
          <w:rFonts w:hint="cs"/>
          <w:rtl/>
        </w:rPr>
        <w:t xml:space="preserve">، آراء اعتمدت في 2 </w:t>
      </w:r>
      <w:r w:rsidR="00645A69">
        <w:rPr>
          <w:rFonts w:hint="cs"/>
          <w:rtl/>
        </w:rPr>
        <w:t>نيسان/</w:t>
      </w:r>
      <w:r w:rsidR="001314CF">
        <w:rPr>
          <w:rFonts w:hint="cs"/>
          <w:rtl/>
        </w:rPr>
        <w:t xml:space="preserve"> </w:t>
      </w:r>
      <w:r w:rsidR="00645A69">
        <w:rPr>
          <w:rFonts w:hint="cs"/>
          <w:rtl/>
        </w:rPr>
        <w:t>أبريل</w:t>
      </w:r>
      <w:r>
        <w:rPr>
          <w:rFonts w:hint="cs"/>
          <w:rtl/>
        </w:rPr>
        <w:t xml:space="preserve"> 2009، الفقرة 11-2؛ و</w:t>
      </w:r>
      <w:r>
        <w:rPr>
          <w:rFonts w:hint="cs"/>
          <w:sz w:val="26"/>
          <w:rtl/>
        </w:rPr>
        <w:t xml:space="preserve">رقم 1436/2005، </w:t>
      </w:r>
      <w:proofErr w:type="spellStart"/>
      <w:r>
        <w:rPr>
          <w:rFonts w:hint="cs"/>
          <w:i/>
          <w:iCs/>
          <w:sz w:val="26"/>
          <w:rtl/>
        </w:rPr>
        <w:t>ساثاسيفام</w:t>
      </w:r>
      <w:proofErr w:type="spellEnd"/>
      <w:r>
        <w:rPr>
          <w:rFonts w:hint="cs"/>
          <w:i/>
          <w:iCs/>
          <w:sz w:val="26"/>
          <w:rtl/>
        </w:rPr>
        <w:t xml:space="preserve"> </w:t>
      </w:r>
      <w:proofErr w:type="spellStart"/>
      <w:r>
        <w:rPr>
          <w:rFonts w:hint="cs"/>
          <w:i/>
          <w:iCs/>
          <w:sz w:val="26"/>
          <w:rtl/>
        </w:rPr>
        <w:t>وساراسواثي</w:t>
      </w:r>
      <w:proofErr w:type="spellEnd"/>
      <w:r>
        <w:rPr>
          <w:rFonts w:hint="cs"/>
          <w:i/>
          <w:iCs/>
          <w:sz w:val="26"/>
          <w:rtl/>
        </w:rPr>
        <w:t xml:space="preserve"> ضد سري لانكا</w:t>
      </w:r>
      <w:r>
        <w:rPr>
          <w:rFonts w:hint="cs"/>
          <w:rtl/>
        </w:rPr>
        <w:t>، آراء اعتمدت في 8 تموز/يوليه 2008، الفقرة 6-4.</w:t>
      </w:r>
    </w:p>
  </w:footnote>
  <w:footnote w:id="12">
    <w:p w:rsidR="007120D3" w:rsidRPr="008B3594" w:rsidRDefault="007120D3" w:rsidP="00E3438B">
      <w:pPr>
        <w:pStyle w:val="FootnoteText1"/>
      </w:pPr>
      <w:r w:rsidRPr="008B3594">
        <w:rPr>
          <w:rtl/>
        </w:rPr>
        <w:t>(</w:t>
      </w:r>
      <w:r w:rsidRPr="008B3594">
        <w:rPr>
          <w:rStyle w:val="FootnoteReference"/>
          <w:vertAlign w:val="baseline"/>
        </w:rPr>
        <w:footnoteRef/>
      </w:r>
      <w:r>
        <w:rPr>
          <w:sz w:val="26"/>
          <w:rtl/>
        </w:rPr>
        <w:t>)</w:t>
      </w:r>
      <w:r>
        <w:rPr>
          <w:sz w:val="26"/>
          <w:rtl/>
        </w:rPr>
        <w:tab/>
      </w:r>
      <w:r>
        <w:rPr>
          <w:rFonts w:hint="cs"/>
          <w:sz w:val="26"/>
          <w:rtl/>
        </w:rPr>
        <w:t>التعليق العام رقم 31(2004) بشأن طبيعة الالتزام القانوني العام المفروض على الدول الأطراف في العهد، الفقرة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D3" w:rsidRPr="004F510A" w:rsidRDefault="007120D3" w:rsidP="004F510A">
    <w:pPr>
      <w:pStyle w:val="Header"/>
      <w:jc w:val="right"/>
    </w:pPr>
    <w:r w:rsidRPr="004F510A">
      <w:t>CCPR/C/112/D/1965/2010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D3" w:rsidRPr="004F510A" w:rsidRDefault="007120D3" w:rsidP="004F510A">
    <w:pPr>
      <w:pStyle w:val="Header"/>
      <w:jc w:val="left"/>
    </w:pPr>
    <w:r w:rsidRPr="004F510A">
      <w:t>CCPR/C/112/D/1965/2010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B0A00"/>
    <w:rsid w:val="000076D5"/>
    <w:rsid w:val="0003152B"/>
    <w:rsid w:val="00043663"/>
    <w:rsid w:val="000437B8"/>
    <w:rsid w:val="000505CF"/>
    <w:rsid w:val="000951C6"/>
    <w:rsid w:val="000D4D10"/>
    <w:rsid w:val="000D701C"/>
    <w:rsid w:val="000E2A71"/>
    <w:rsid w:val="001314CF"/>
    <w:rsid w:val="00160263"/>
    <w:rsid w:val="001802CD"/>
    <w:rsid w:val="00181F96"/>
    <w:rsid w:val="001A1371"/>
    <w:rsid w:val="001B0A00"/>
    <w:rsid w:val="001B346A"/>
    <w:rsid w:val="001E1CAD"/>
    <w:rsid w:val="001E290D"/>
    <w:rsid w:val="002144FA"/>
    <w:rsid w:val="0023469A"/>
    <w:rsid w:val="00243C8A"/>
    <w:rsid w:val="00267A0E"/>
    <w:rsid w:val="002901D9"/>
    <w:rsid w:val="002976C2"/>
    <w:rsid w:val="003260FF"/>
    <w:rsid w:val="00343D95"/>
    <w:rsid w:val="00374341"/>
    <w:rsid w:val="00385E92"/>
    <w:rsid w:val="003D1062"/>
    <w:rsid w:val="00420D7B"/>
    <w:rsid w:val="00450B21"/>
    <w:rsid w:val="004515A9"/>
    <w:rsid w:val="00453B63"/>
    <w:rsid w:val="00455780"/>
    <w:rsid w:val="00473384"/>
    <w:rsid w:val="004B0A1C"/>
    <w:rsid w:val="004D298E"/>
    <w:rsid w:val="004F510A"/>
    <w:rsid w:val="00517BC9"/>
    <w:rsid w:val="0054472E"/>
    <w:rsid w:val="005662A9"/>
    <w:rsid w:val="005827D4"/>
    <w:rsid w:val="0059622A"/>
    <w:rsid w:val="005C5878"/>
    <w:rsid w:val="005C7CEA"/>
    <w:rsid w:val="005D3C0B"/>
    <w:rsid w:val="005E11CB"/>
    <w:rsid w:val="005E5217"/>
    <w:rsid w:val="005F0FA4"/>
    <w:rsid w:val="005F30EE"/>
    <w:rsid w:val="0060473A"/>
    <w:rsid w:val="0063616D"/>
    <w:rsid w:val="00645A69"/>
    <w:rsid w:val="00656392"/>
    <w:rsid w:val="00664752"/>
    <w:rsid w:val="0068781D"/>
    <w:rsid w:val="006959B0"/>
    <w:rsid w:val="006B3E27"/>
    <w:rsid w:val="006B6507"/>
    <w:rsid w:val="006C104C"/>
    <w:rsid w:val="007120D3"/>
    <w:rsid w:val="00726429"/>
    <w:rsid w:val="00733704"/>
    <w:rsid w:val="0075470A"/>
    <w:rsid w:val="00770C94"/>
    <w:rsid w:val="0078071A"/>
    <w:rsid w:val="00787E1E"/>
    <w:rsid w:val="007D2537"/>
    <w:rsid w:val="00852A9A"/>
    <w:rsid w:val="008F49E1"/>
    <w:rsid w:val="0090370F"/>
    <w:rsid w:val="009269D2"/>
    <w:rsid w:val="00942135"/>
    <w:rsid w:val="009431C6"/>
    <w:rsid w:val="009521B0"/>
    <w:rsid w:val="00997E99"/>
    <w:rsid w:val="009A7E9F"/>
    <w:rsid w:val="009E5018"/>
    <w:rsid w:val="00A12B37"/>
    <w:rsid w:val="00A155A5"/>
    <w:rsid w:val="00A57EB4"/>
    <w:rsid w:val="00AB6758"/>
    <w:rsid w:val="00AF7B62"/>
    <w:rsid w:val="00B07920"/>
    <w:rsid w:val="00B13763"/>
    <w:rsid w:val="00B34F61"/>
    <w:rsid w:val="00B477A4"/>
    <w:rsid w:val="00B54045"/>
    <w:rsid w:val="00C11032"/>
    <w:rsid w:val="00C438D7"/>
    <w:rsid w:val="00C80684"/>
    <w:rsid w:val="00C81B50"/>
    <w:rsid w:val="00CB6622"/>
    <w:rsid w:val="00CD1801"/>
    <w:rsid w:val="00D10EF1"/>
    <w:rsid w:val="00D42810"/>
    <w:rsid w:val="00D914A7"/>
    <w:rsid w:val="00DD13C3"/>
    <w:rsid w:val="00DD596E"/>
    <w:rsid w:val="00DD621E"/>
    <w:rsid w:val="00DF0575"/>
    <w:rsid w:val="00E039F5"/>
    <w:rsid w:val="00E3438B"/>
    <w:rsid w:val="00E70E04"/>
    <w:rsid w:val="00E75EA6"/>
    <w:rsid w:val="00EA4ACF"/>
    <w:rsid w:val="00EC05A7"/>
    <w:rsid w:val="00EC4B6B"/>
    <w:rsid w:val="00ED7442"/>
    <w:rsid w:val="00EF1EE5"/>
    <w:rsid w:val="00F059BD"/>
    <w:rsid w:val="00F339F3"/>
    <w:rsid w:val="00F763B4"/>
    <w:rsid w:val="00F900C3"/>
    <w:rsid w:val="00FD28C6"/>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uiPriority w:val="99"/>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SingleTxtGAChar">
    <w:name w:val="_ Single Txt_GA Char"/>
    <w:link w:val="SingleTxtGA"/>
    <w:uiPriority w:val="99"/>
    <w:locked/>
    <w:rsid w:val="00385E92"/>
    <w:rPr>
      <w:rFonts w:ascii="Times New Roman" w:hAnsi="Times New Roman" w:cs="Traditional Arabic"/>
      <w:sz w:val="2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uiPriority w:val="99"/>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SingleTxtGAChar">
    <w:name w:val="_ Single Txt_GA Char"/>
    <w:link w:val="SingleTxtGA"/>
    <w:uiPriority w:val="99"/>
    <w:locked/>
    <w:rsid w:val="00385E92"/>
    <w:rPr>
      <w:rFonts w:ascii="Times New Roman" w:hAnsi="Times New Roman" w:cs="Traditional Arabic"/>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F9E37-2EC5-44DB-BA20-43DADD8E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4162</Words>
  <Characters>23729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CCPR/C/112/D/1965/2010</vt:lpstr>
    </vt:vector>
  </TitlesOfParts>
  <Company>DCM</Company>
  <LinksUpToDate>false</LinksUpToDate>
  <CharactersWithSpaces>27836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CCPR/C/112/D/1965/2010</dc:title>
  <dc:subject>K. Boraan/ E. Louati</dc:subject>
  <dc:creator>Mahmoud</dc:creator>
  <cp:keywords/>
  <dc:description/>
  <cp:lastModifiedBy>El-Maseri M.</cp:lastModifiedBy>
  <cp:revision>2</cp:revision>
  <dcterms:created xsi:type="dcterms:W3CDTF">2015-05-12T10:21:00Z</dcterms:created>
  <dcterms:modified xsi:type="dcterms:W3CDTF">2015-05-12T10:21:00Z</dcterms:modified>
</cp:coreProperties>
</file>